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EF" w:rsidRPr="007629EF" w:rsidRDefault="007629EF" w:rsidP="007629EF">
      <w:pPr>
        <w:jc w:val="center"/>
        <w:outlineLvl w:val="0"/>
        <w:rPr>
          <w:b/>
        </w:rPr>
      </w:pPr>
      <w:r w:rsidRPr="007629EF">
        <w:rPr>
          <w:b/>
        </w:rPr>
        <w:t>BEFORE THE</w:t>
      </w:r>
    </w:p>
    <w:p w:rsidR="007629EF" w:rsidRPr="007629EF" w:rsidRDefault="007629EF" w:rsidP="007629EF">
      <w:pPr>
        <w:jc w:val="center"/>
        <w:outlineLvl w:val="0"/>
        <w:rPr>
          <w:b/>
        </w:rPr>
      </w:pPr>
      <w:r w:rsidRPr="007629EF">
        <w:rPr>
          <w:b/>
        </w:rPr>
        <w:t>PENNSYLVANIA PUBLIC UTILITY COMMISSION</w:t>
      </w:r>
    </w:p>
    <w:p w:rsidR="007629EF" w:rsidRPr="007629EF" w:rsidRDefault="007629EF" w:rsidP="007629EF">
      <w:pPr>
        <w:jc w:val="both"/>
        <w:rPr>
          <w:b/>
        </w:rPr>
      </w:pPr>
    </w:p>
    <w:p w:rsidR="007629EF" w:rsidRPr="007629EF" w:rsidRDefault="007629EF" w:rsidP="007629EF">
      <w:pPr>
        <w:jc w:val="both"/>
        <w:rPr>
          <w:b/>
        </w:rPr>
      </w:pPr>
    </w:p>
    <w:p w:rsidR="0016493A" w:rsidRPr="00292335" w:rsidRDefault="0016493A" w:rsidP="0016493A">
      <w:pPr>
        <w:spacing w:line="233" w:lineRule="auto"/>
        <w:jc w:val="both"/>
        <w:rPr>
          <w:b/>
        </w:rPr>
      </w:pPr>
    </w:p>
    <w:p w:rsidR="0016493A" w:rsidRDefault="0016493A" w:rsidP="0016493A">
      <w:pPr>
        <w:spacing w:line="233" w:lineRule="auto"/>
        <w:jc w:val="both"/>
      </w:pPr>
      <w:r>
        <w:t>Petition</w:t>
      </w:r>
      <w:r w:rsidRPr="000B1ECD">
        <w:t xml:space="preserve"> of </w:t>
      </w:r>
      <w:r>
        <w:tab/>
      </w:r>
      <w:r>
        <w:tab/>
      </w:r>
      <w:r>
        <w:tab/>
      </w:r>
      <w:r>
        <w:tab/>
      </w:r>
      <w:r>
        <w:tab/>
      </w:r>
      <w:r>
        <w:tab/>
        <w:t>:</w:t>
      </w:r>
    </w:p>
    <w:p w:rsidR="0016493A" w:rsidRDefault="0016493A" w:rsidP="0016493A">
      <w:pPr>
        <w:spacing w:line="233" w:lineRule="auto"/>
        <w:jc w:val="both"/>
      </w:pPr>
      <w:r w:rsidRPr="000B1ECD">
        <w:t>Duquesne Light Company</w:t>
      </w:r>
      <w:r>
        <w:tab/>
      </w:r>
      <w:r>
        <w:tab/>
      </w:r>
      <w:r>
        <w:tab/>
      </w:r>
      <w:r>
        <w:tab/>
      </w:r>
      <w:r w:rsidRPr="000B1ECD">
        <w:t>:</w:t>
      </w:r>
      <w:r>
        <w:tab/>
      </w:r>
      <w:r>
        <w:tab/>
      </w:r>
    </w:p>
    <w:p w:rsidR="0016493A" w:rsidRDefault="005C0DBF" w:rsidP="0016493A">
      <w:pPr>
        <w:spacing w:line="233" w:lineRule="auto"/>
        <w:jc w:val="both"/>
      </w:pPr>
      <w:proofErr w:type="gramStart"/>
      <w:r>
        <w:t>f</w:t>
      </w:r>
      <w:r w:rsidR="0016493A">
        <w:t>or</w:t>
      </w:r>
      <w:proofErr w:type="gramEnd"/>
      <w:r w:rsidR="0016493A">
        <w:t xml:space="preserve"> Approval of a Default</w:t>
      </w:r>
      <w:r w:rsidR="0016493A">
        <w:tab/>
      </w:r>
      <w:r w:rsidR="0016493A">
        <w:tab/>
      </w:r>
      <w:r w:rsidR="0016493A">
        <w:tab/>
      </w:r>
      <w:r w:rsidR="0016493A">
        <w:tab/>
        <w:t>:</w:t>
      </w:r>
      <w:r w:rsidR="0016493A">
        <w:tab/>
      </w:r>
      <w:r w:rsidR="0016493A">
        <w:tab/>
        <w:t>P-2014-2418242</w:t>
      </w:r>
    </w:p>
    <w:p w:rsidR="0016493A" w:rsidRDefault="0016493A" w:rsidP="0016493A">
      <w:pPr>
        <w:spacing w:line="233" w:lineRule="auto"/>
        <w:jc w:val="both"/>
      </w:pPr>
      <w:r>
        <w:t>Service Program for the Period</w:t>
      </w:r>
      <w:r>
        <w:tab/>
      </w:r>
      <w:r>
        <w:tab/>
      </w:r>
      <w:r>
        <w:tab/>
        <w:t>:</w:t>
      </w:r>
    </w:p>
    <w:p w:rsidR="0016493A" w:rsidRPr="000B1ECD" w:rsidRDefault="0016493A" w:rsidP="0016493A">
      <w:pPr>
        <w:spacing w:line="233" w:lineRule="auto"/>
        <w:jc w:val="both"/>
      </w:pPr>
      <w:r>
        <w:t>June 1, 2015 through May 31, 2017</w:t>
      </w:r>
      <w:r>
        <w:tab/>
      </w:r>
      <w:r>
        <w:tab/>
      </w:r>
      <w:r>
        <w:tab/>
        <w:t>:</w:t>
      </w:r>
    </w:p>
    <w:p w:rsidR="0016493A" w:rsidRDefault="0016493A" w:rsidP="0016493A">
      <w:pPr>
        <w:spacing w:line="233" w:lineRule="auto"/>
        <w:jc w:val="both"/>
      </w:pPr>
    </w:p>
    <w:p w:rsidR="007629EF" w:rsidRDefault="007629EF" w:rsidP="007629EF"/>
    <w:p w:rsidR="0016493A" w:rsidRPr="007629EF" w:rsidRDefault="0016493A" w:rsidP="007629EF"/>
    <w:p w:rsidR="007629EF" w:rsidRPr="007629EF" w:rsidRDefault="007629EF" w:rsidP="007629EF">
      <w:pPr>
        <w:tabs>
          <w:tab w:val="center" w:pos="4680"/>
        </w:tabs>
        <w:suppressAutoHyphens/>
        <w:jc w:val="center"/>
        <w:rPr>
          <w:b/>
          <w:spacing w:val="-3"/>
          <w:u w:val="single"/>
        </w:rPr>
      </w:pPr>
      <w:r w:rsidRPr="007629EF">
        <w:rPr>
          <w:b/>
          <w:spacing w:val="-3"/>
          <w:u w:val="single"/>
        </w:rPr>
        <w:t>RECOMMENDED DECISION</w:t>
      </w:r>
    </w:p>
    <w:p w:rsidR="007629EF" w:rsidRPr="007629EF" w:rsidRDefault="007629EF" w:rsidP="007629EF">
      <w:pPr>
        <w:tabs>
          <w:tab w:val="center" w:pos="4680"/>
        </w:tabs>
        <w:suppressAutoHyphens/>
        <w:jc w:val="center"/>
        <w:rPr>
          <w:b/>
          <w:spacing w:val="-3"/>
          <w:u w:val="single"/>
        </w:rPr>
      </w:pPr>
    </w:p>
    <w:p w:rsidR="007629EF" w:rsidRPr="007629EF" w:rsidRDefault="007629EF" w:rsidP="007629EF">
      <w:pPr>
        <w:tabs>
          <w:tab w:val="center" w:pos="4680"/>
        </w:tabs>
        <w:suppressAutoHyphens/>
        <w:jc w:val="center"/>
        <w:rPr>
          <w:b/>
          <w:spacing w:val="-3"/>
          <w:u w:val="single"/>
        </w:rPr>
      </w:pPr>
    </w:p>
    <w:p w:rsidR="007629EF" w:rsidRPr="007629EF" w:rsidRDefault="007629EF" w:rsidP="007629EF">
      <w:pPr>
        <w:tabs>
          <w:tab w:val="center" w:pos="4680"/>
        </w:tabs>
        <w:suppressAutoHyphens/>
        <w:jc w:val="center"/>
        <w:rPr>
          <w:spacing w:val="-3"/>
        </w:rPr>
      </w:pPr>
      <w:r w:rsidRPr="007629EF">
        <w:rPr>
          <w:spacing w:val="-3"/>
        </w:rPr>
        <w:t>Before</w:t>
      </w:r>
    </w:p>
    <w:p w:rsidR="007629EF" w:rsidRPr="007629EF" w:rsidRDefault="007629EF" w:rsidP="007629EF">
      <w:pPr>
        <w:tabs>
          <w:tab w:val="center" w:pos="4680"/>
        </w:tabs>
        <w:suppressAutoHyphens/>
        <w:jc w:val="center"/>
        <w:rPr>
          <w:spacing w:val="-3"/>
        </w:rPr>
      </w:pPr>
      <w:r w:rsidRPr="007629EF">
        <w:rPr>
          <w:spacing w:val="-3"/>
        </w:rPr>
        <w:t>Katrina L. Dunderdale</w:t>
      </w:r>
    </w:p>
    <w:p w:rsidR="007629EF" w:rsidRPr="007629EF" w:rsidRDefault="007629EF" w:rsidP="007629EF">
      <w:pPr>
        <w:tabs>
          <w:tab w:val="center" w:pos="4680"/>
        </w:tabs>
        <w:suppressAutoHyphens/>
        <w:jc w:val="center"/>
        <w:rPr>
          <w:spacing w:val="-3"/>
        </w:rPr>
      </w:pPr>
      <w:r w:rsidRPr="007629EF">
        <w:rPr>
          <w:spacing w:val="-3"/>
        </w:rPr>
        <w:t>Administrative Law Judge</w:t>
      </w:r>
    </w:p>
    <w:p w:rsidR="007629EF" w:rsidRPr="007629EF" w:rsidRDefault="007629EF" w:rsidP="007629EF">
      <w:pPr>
        <w:tabs>
          <w:tab w:val="center" w:pos="4680"/>
        </w:tabs>
        <w:suppressAutoHyphens/>
        <w:jc w:val="center"/>
        <w:rPr>
          <w:spacing w:val="-3"/>
        </w:rPr>
      </w:pPr>
    </w:p>
    <w:p w:rsidR="007629EF" w:rsidRPr="007629EF" w:rsidRDefault="007629EF" w:rsidP="007629EF">
      <w:pPr>
        <w:tabs>
          <w:tab w:val="center" w:pos="4680"/>
        </w:tabs>
        <w:suppressAutoHyphens/>
        <w:jc w:val="both"/>
        <w:rPr>
          <w:spacing w:val="-3"/>
        </w:rPr>
      </w:pPr>
    </w:p>
    <w:p w:rsidR="007629EF" w:rsidRPr="007629EF" w:rsidRDefault="007629EF" w:rsidP="007629EF">
      <w:pPr>
        <w:tabs>
          <w:tab w:val="center" w:pos="4680"/>
        </w:tabs>
        <w:suppressAutoHyphens/>
        <w:spacing w:line="360" w:lineRule="auto"/>
        <w:jc w:val="both"/>
        <w:rPr>
          <w:spacing w:val="-3"/>
        </w:rPr>
        <w:sectPr w:rsidR="007629EF" w:rsidRPr="007629EF" w:rsidSect="006C6975">
          <w:footerReference w:type="default" r:id="rId9"/>
          <w:pgSz w:w="12240" w:h="15840" w:code="1"/>
          <w:pgMar w:top="1440" w:right="1440" w:bottom="1440" w:left="1440" w:header="720" w:footer="720" w:gutter="0"/>
          <w:pgNumType w:start="1"/>
          <w:cols w:space="720"/>
          <w:formProt w:val="0"/>
          <w:titlePg/>
          <w:docGrid w:linePitch="360"/>
        </w:sectPr>
      </w:pPr>
    </w:p>
    <w:p w:rsidR="007629EF" w:rsidRPr="007629EF" w:rsidRDefault="007629EF" w:rsidP="007629EF">
      <w:pPr>
        <w:tabs>
          <w:tab w:val="left" w:pos="720"/>
          <w:tab w:val="left" w:pos="1440"/>
        </w:tabs>
        <w:spacing w:line="360" w:lineRule="auto"/>
        <w:jc w:val="center"/>
        <w:rPr>
          <w:b/>
          <w:u w:val="single"/>
        </w:rPr>
      </w:pPr>
      <w:r w:rsidRPr="007629EF">
        <w:rPr>
          <w:b/>
          <w:u w:val="single"/>
        </w:rPr>
        <w:lastRenderedPageBreak/>
        <w:t>TABLE OF CONTENTS</w:t>
      </w:r>
    </w:p>
    <w:p w:rsidR="007629EF" w:rsidRPr="007629EF" w:rsidRDefault="007629EF" w:rsidP="007629EF">
      <w:pPr>
        <w:tabs>
          <w:tab w:val="left" w:pos="720"/>
          <w:tab w:val="left" w:pos="1440"/>
          <w:tab w:val="left" w:pos="2160"/>
        </w:tabs>
        <w:spacing w:line="360" w:lineRule="auto"/>
      </w:pPr>
    </w:p>
    <w:p w:rsidR="007629EF" w:rsidRDefault="007629EF" w:rsidP="006C640C">
      <w:pPr>
        <w:tabs>
          <w:tab w:val="left" w:pos="720"/>
          <w:tab w:val="left" w:pos="1440"/>
          <w:tab w:val="left" w:pos="2160"/>
          <w:tab w:val="right" w:leader="dot" w:pos="9360"/>
        </w:tabs>
      </w:pPr>
      <w:r w:rsidRPr="007629EF">
        <w:t>I.</w:t>
      </w:r>
      <w:r w:rsidRPr="007629EF">
        <w:tab/>
      </w:r>
      <w:r w:rsidRPr="007629EF">
        <w:rPr>
          <w:caps/>
        </w:rPr>
        <w:t>history of the proceeding</w:t>
      </w:r>
      <w:r w:rsidRPr="007629EF">
        <w:tab/>
        <w:t>1</w:t>
      </w:r>
    </w:p>
    <w:p w:rsidR="006C640C" w:rsidRPr="007629EF" w:rsidRDefault="006C640C" w:rsidP="006C640C">
      <w:pPr>
        <w:tabs>
          <w:tab w:val="left" w:pos="720"/>
          <w:tab w:val="left" w:pos="1440"/>
          <w:tab w:val="left" w:pos="2160"/>
          <w:tab w:val="right" w:leader="dot" w:pos="9360"/>
        </w:tabs>
      </w:pPr>
    </w:p>
    <w:p w:rsidR="006C640C" w:rsidRDefault="007629EF" w:rsidP="006C640C">
      <w:pPr>
        <w:tabs>
          <w:tab w:val="left" w:pos="720"/>
          <w:tab w:val="left" w:pos="1440"/>
          <w:tab w:val="left" w:pos="2160"/>
          <w:tab w:val="right" w:leader="dot" w:pos="9360"/>
        </w:tabs>
      </w:pPr>
      <w:r w:rsidRPr="007629EF">
        <w:t>II.</w:t>
      </w:r>
      <w:r w:rsidRPr="007629EF">
        <w:tab/>
        <w:t>FINDINGS OF FACT</w:t>
      </w:r>
      <w:r w:rsidRPr="007629EF">
        <w:tab/>
      </w:r>
      <w:r w:rsidR="00E933F5">
        <w:t>3</w:t>
      </w:r>
    </w:p>
    <w:p w:rsidR="006C640C" w:rsidRPr="007629EF" w:rsidRDefault="006C640C" w:rsidP="006C640C">
      <w:pPr>
        <w:tabs>
          <w:tab w:val="left" w:pos="720"/>
          <w:tab w:val="left" w:pos="1440"/>
          <w:tab w:val="left" w:pos="2160"/>
          <w:tab w:val="right" w:leader="dot" w:pos="9360"/>
        </w:tabs>
      </w:pPr>
    </w:p>
    <w:p w:rsidR="007629EF" w:rsidRDefault="007629EF" w:rsidP="006C640C">
      <w:pPr>
        <w:tabs>
          <w:tab w:val="left" w:pos="720"/>
          <w:tab w:val="left" w:pos="1440"/>
          <w:tab w:val="left" w:pos="2160"/>
          <w:tab w:val="right" w:leader="dot" w:pos="9360"/>
        </w:tabs>
      </w:pPr>
      <w:r w:rsidRPr="007629EF">
        <w:t>III.</w:t>
      </w:r>
      <w:r w:rsidRPr="007629EF">
        <w:tab/>
        <w:t>DESCRIPTION OF DEFAULT SERVICE PROVIDER</w:t>
      </w:r>
      <w:r w:rsidRPr="007629EF">
        <w:tab/>
      </w:r>
      <w:r w:rsidR="003D762E">
        <w:t>7</w:t>
      </w:r>
    </w:p>
    <w:p w:rsidR="006C640C" w:rsidRDefault="006C640C" w:rsidP="006C640C">
      <w:pPr>
        <w:tabs>
          <w:tab w:val="left" w:pos="720"/>
          <w:tab w:val="left" w:pos="1440"/>
          <w:tab w:val="left" w:pos="2160"/>
          <w:tab w:val="right" w:leader="dot" w:pos="9360"/>
        </w:tabs>
      </w:pPr>
    </w:p>
    <w:p w:rsidR="00CD2DD2" w:rsidRDefault="00CD2DD2" w:rsidP="006C640C">
      <w:pPr>
        <w:tabs>
          <w:tab w:val="left" w:pos="720"/>
          <w:tab w:val="left" w:pos="1440"/>
          <w:tab w:val="left" w:pos="2160"/>
          <w:tab w:val="right" w:leader="dot" w:pos="9360"/>
        </w:tabs>
      </w:pPr>
      <w:r>
        <w:t>IV.</w:t>
      </w:r>
      <w:r>
        <w:tab/>
        <w:t>SETTLEMENT PROVISIONS AND STATEMENTS IN SUPPORT</w:t>
      </w:r>
      <w:r>
        <w:tab/>
      </w:r>
      <w:r w:rsidR="003D762E">
        <w:t>8</w:t>
      </w:r>
    </w:p>
    <w:p w:rsidR="006C640C" w:rsidRDefault="006C640C" w:rsidP="006C640C">
      <w:pPr>
        <w:tabs>
          <w:tab w:val="left" w:pos="720"/>
          <w:tab w:val="left" w:pos="1440"/>
          <w:tab w:val="left" w:pos="2160"/>
          <w:tab w:val="right" w:leader="dot" w:pos="9360"/>
        </w:tabs>
      </w:pPr>
    </w:p>
    <w:p w:rsidR="00CD2DD2" w:rsidRDefault="00620CD5" w:rsidP="00CD2DD2">
      <w:pPr>
        <w:pStyle w:val="ListParagraph"/>
        <w:numPr>
          <w:ilvl w:val="0"/>
          <w:numId w:val="16"/>
        </w:numPr>
        <w:tabs>
          <w:tab w:val="left" w:pos="720"/>
          <w:tab w:val="left" w:pos="1440"/>
          <w:tab w:val="right" w:leader="dot" w:pos="9360"/>
        </w:tabs>
        <w:spacing w:line="360" w:lineRule="auto"/>
        <w:ind w:left="1440" w:hanging="720"/>
      </w:pPr>
      <w:r>
        <w:t>Specific Settlement Terms</w:t>
      </w:r>
      <w:r w:rsidR="00CD2DD2">
        <w:tab/>
      </w:r>
      <w:r w:rsidR="003D762E">
        <w:t>9</w:t>
      </w:r>
      <w:r w:rsidR="00CD2DD2">
        <w:tab/>
      </w:r>
      <w:r w:rsidR="00CD2DD2">
        <w:tab/>
      </w:r>
    </w:p>
    <w:p w:rsidR="00CD2DD2" w:rsidRDefault="00620CD5" w:rsidP="00CD2DD2">
      <w:pPr>
        <w:pStyle w:val="ListParagraph"/>
        <w:numPr>
          <w:ilvl w:val="0"/>
          <w:numId w:val="17"/>
        </w:numPr>
        <w:tabs>
          <w:tab w:val="left" w:pos="720"/>
          <w:tab w:val="left" w:pos="1440"/>
          <w:tab w:val="left" w:pos="2160"/>
          <w:tab w:val="right" w:leader="dot" w:pos="9360"/>
        </w:tabs>
        <w:spacing w:line="360" w:lineRule="auto"/>
        <w:ind w:left="2160" w:hanging="720"/>
      </w:pPr>
      <w:r>
        <w:t>Residential Procurement Issues</w:t>
      </w:r>
      <w:r w:rsidR="00CD2DD2">
        <w:tab/>
      </w:r>
      <w:r w:rsidR="003D762E">
        <w:t>9</w:t>
      </w:r>
    </w:p>
    <w:p w:rsidR="00CD2DD2" w:rsidRDefault="00704D11" w:rsidP="00CD2DD2">
      <w:pPr>
        <w:pStyle w:val="ListParagraph"/>
        <w:numPr>
          <w:ilvl w:val="0"/>
          <w:numId w:val="17"/>
        </w:numPr>
        <w:tabs>
          <w:tab w:val="left" w:pos="720"/>
          <w:tab w:val="left" w:pos="1440"/>
          <w:tab w:val="left" w:pos="2160"/>
          <w:tab w:val="right" w:leader="dot" w:pos="9360"/>
        </w:tabs>
        <w:spacing w:line="360" w:lineRule="auto"/>
        <w:ind w:left="2160" w:hanging="720"/>
      </w:pPr>
      <w:r>
        <w:t xml:space="preserve">Standard Offer Program (SOP) </w:t>
      </w:r>
      <w:r w:rsidR="00620CD5">
        <w:t>Issues</w:t>
      </w:r>
      <w:r w:rsidR="00CD2DD2">
        <w:tab/>
      </w:r>
      <w:r w:rsidR="003D762E">
        <w:t>10</w:t>
      </w:r>
    </w:p>
    <w:p w:rsidR="00CD2DD2" w:rsidRDefault="00CD2DD2" w:rsidP="00CD2DD2">
      <w:pPr>
        <w:pStyle w:val="ListParagraph"/>
        <w:numPr>
          <w:ilvl w:val="0"/>
          <w:numId w:val="17"/>
        </w:numPr>
        <w:tabs>
          <w:tab w:val="left" w:pos="720"/>
          <w:tab w:val="left" w:pos="1440"/>
          <w:tab w:val="right" w:leader="dot" w:pos="9360"/>
        </w:tabs>
        <w:spacing w:line="360" w:lineRule="auto"/>
        <w:ind w:left="2160" w:hanging="720"/>
      </w:pPr>
      <w:r>
        <w:t xml:space="preserve">Time-of-Use </w:t>
      </w:r>
      <w:r w:rsidR="00704D11">
        <w:t xml:space="preserve">(TOU) </w:t>
      </w:r>
      <w:r>
        <w:t>Program</w:t>
      </w:r>
      <w:r>
        <w:tab/>
      </w:r>
      <w:r w:rsidR="003D762E">
        <w:t>12</w:t>
      </w:r>
    </w:p>
    <w:p w:rsidR="00CD2DD2" w:rsidRDefault="00CD2DD2" w:rsidP="00CD2DD2">
      <w:pPr>
        <w:pStyle w:val="ListParagraph"/>
        <w:numPr>
          <w:ilvl w:val="0"/>
          <w:numId w:val="17"/>
        </w:numPr>
        <w:tabs>
          <w:tab w:val="left" w:pos="720"/>
          <w:tab w:val="left" w:pos="1440"/>
          <w:tab w:val="left" w:pos="2160"/>
          <w:tab w:val="right" w:leader="dot" w:pos="9360"/>
        </w:tabs>
        <w:spacing w:line="360" w:lineRule="auto"/>
        <w:ind w:left="2160" w:hanging="720"/>
      </w:pPr>
      <w:r>
        <w:t>Supply Master Agreement</w:t>
      </w:r>
      <w:r w:rsidR="005E6F15">
        <w:t xml:space="preserve"> (SMA)</w:t>
      </w:r>
      <w:r>
        <w:tab/>
      </w:r>
      <w:r w:rsidR="003D762E">
        <w:t>14</w:t>
      </w:r>
    </w:p>
    <w:p w:rsidR="00CD2DD2" w:rsidRDefault="00CD2DD2" w:rsidP="00CD2DD2">
      <w:pPr>
        <w:pStyle w:val="ListParagraph"/>
        <w:numPr>
          <w:ilvl w:val="0"/>
          <w:numId w:val="17"/>
        </w:numPr>
        <w:tabs>
          <w:tab w:val="left" w:pos="720"/>
          <w:tab w:val="left" w:pos="1440"/>
          <w:tab w:val="left" w:pos="2160"/>
          <w:tab w:val="right" w:leader="dot" w:pos="9360"/>
        </w:tabs>
        <w:spacing w:line="360" w:lineRule="auto"/>
        <w:ind w:left="2160" w:hanging="720"/>
      </w:pPr>
      <w:r>
        <w:t>Unbundling</w:t>
      </w:r>
      <w:r w:rsidR="003D762E">
        <w:t xml:space="preserve"> of Default Service Costs</w:t>
      </w:r>
      <w:r>
        <w:tab/>
      </w:r>
      <w:r w:rsidR="003D762E">
        <w:t>15</w:t>
      </w:r>
    </w:p>
    <w:p w:rsidR="00CD2DD2" w:rsidRDefault="00CD2DD2" w:rsidP="00CD2DD2">
      <w:pPr>
        <w:pStyle w:val="ListParagraph"/>
        <w:numPr>
          <w:ilvl w:val="0"/>
          <w:numId w:val="17"/>
        </w:numPr>
        <w:tabs>
          <w:tab w:val="left" w:pos="720"/>
          <w:tab w:val="left" w:pos="1440"/>
          <w:tab w:val="left" w:pos="2160"/>
          <w:tab w:val="right" w:leader="dot" w:pos="9360"/>
        </w:tabs>
        <w:spacing w:line="360" w:lineRule="auto"/>
        <w:ind w:left="2160" w:hanging="720"/>
      </w:pPr>
      <w:r>
        <w:t>Miscellaneous</w:t>
      </w:r>
      <w:r w:rsidR="003D762E">
        <w:t xml:space="preserve"> Provisions</w:t>
      </w:r>
      <w:r>
        <w:tab/>
      </w:r>
      <w:r w:rsidR="00685199">
        <w:t>15</w:t>
      </w:r>
    </w:p>
    <w:p w:rsidR="006C640C" w:rsidRDefault="006C640C" w:rsidP="006C640C">
      <w:pPr>
        <w:pStyle w:val="ListParagraph"/>
        <w:tabs>
          <w:tab w:val="left" w:pos="720"/>
          <w:tab w:val="left" w:pos="1440"/>
          <w:tab w:val="left" w:pos="2160"/>
          <w:tab w:val="right" w:leader="dot" w:pos="9360"/>
        </w:tabs>
        <w:ind w:left="2160"/>
      </w:pPr>
    </w:p>
    <w:p w:rsidR="00CD2DD2" w:rsidRDefault="00CD2DD2" w:rsidP="00CD2DD2">
      <w:pPr>
        <w:pStyle w:val="ListParagraph"/>
        <w:numPr>
          <w:ilvl w:val="0"/>
          <w:numId w:val="16"/>
        </w:numPr>
        <w:tabs>
          <w:tab w:val="left" w:pos="720"/>
          <w:tab w:val="left" w:pos="1440"/>
          <w:tab w:val="left" w:pos="2160"/>
          <w:tab w:val="right" w:leader="dot" w:pos="9360"/>
        </w:tabs>
        <w:spacing w:line="360" w:lineRule="auto"/>
        <w:ind w:left="1440" w:hanging="720"/>
      </w:pPr>
      <w:r>
        <w:t>Statement</w:t>
      </w:r>
      <w:r w:rsidR="00223D77">
        <w:t>s</w:t>
      </w:r>
      <w:r w:rsidR="008158CD">
        <w:t xml:space="preserve"> in Support</w:t>
      </w:r>
      <w:r>
        <w:tab/>
      </w:r>
      <w:r w:rsidR="008158CD">
        <w:t>16</w:t>
      </w:r>
    </w:p>
    <w:p w:rsidR="00CD2DD2" w:rsidRDefault="00223D77" w:rsidP="006C640C">
      <w:pPr>
        <w:pStyle w:val="ListParagraph"/>
        <w:numPr>
          <w:ilvl w:val="0"/>
          <w:numId w:val="18"/>
        </w:numPr>
        <w:tabs>
          <w:tab w:val="left" w:pos="720"/>
          <w:tab w:val="left" w:pos="1440"/>
          <w:tab w:val="left" w:pos="2160"/>
          <w:tab w:val="right" w:leader="dot" w:pos="9360"/>
        </w:tabs>
        <w:ind w:left="2160" w:hanging="720"/>
      </w:pPr>
      <w:r>
        <w:t>Conclusion Concerning Settlement Provisions</w:t>
      </w:r>
      <w:r w:rsidR="00CD2DD2">
        <w:tab/>
      </w:r>
      <w:r>
        <w:t>16</w:t>
      </w:r>
    </w:p>
    <w:p w:rsidR="00CD2DD2" w:rsidRPr="007629EF" w:rsidRDefault="00CD2DD2" w:rsidP="007629EF">
      <w:pPr>
        <w:tabs>
          <w:tab w:val="left" w:pos="720"/>
          <w:tab w:val="left" w:pos="1440"/>
          <w:tab w:val="left" w:pos="2160"/>
          <w:tab w:val="right" w:leader="dot" w:pos="9360"/>
        </w:tabs>
        <w:spacing w:line="360" w:lineRule="auto"/>
      </w:pPr>
    </w:p>
    <w:p w:rsidR="007629EF" w:rsidRDefault="007629EF" w:rsidP="006C640C">
      <w:pPr>
        <w:tabs>
          <w:tab w:val="left" w:pos="720"/>
          <w:tab w:val="left" w:pos="1440"/>
          <w:tab w:val="left" w:pos="2160"/>
          <w:tab w:val="right" w:leader="dot" w:pos="9360"/>
        </w:tabs>
      </w:pPr>
      <w:r w:rsidRPr="007629EF">
        <w:t>V.</w:t>
      </w:r>
      <w:r w:rsidRPr="007629EF">
        <w:tab/>
        <w:t>DISCUSSION</w:t>
      </w:r>
      <w:r w:rsidRPr="007629EF">
        <w:tab/>
      </w:r>
      <w:r w:rsidRPr="007629EF">
        <w:tab/>
      </w:r>
      <w:r w:rsidR="00373A36">
        <w:t>1</w:t>
      </w:r>
      <w:r w:rsidRPr="007629EF">
        <w:t>7</w:t>
      </w:r>
    </w:p>
    <w:p w:rsidR="006C640C" w:rsidRPr="007629EF" w:rsidRDefault="006C640C" w:rsidP="006C640C">
      <w:pPr>
        <w:tabs>
          <w:tab w:val="left" w:pos="720"/>
          <w:tab w:val="left" w:pos="1440"/>
          <w:tab w:val="left" w:pos="2160"/>
          <w:tab w:val="right" w:leader="dot" w:pos="9360"/>
        </w:tabs>
      </w:pPr>
    </w:p>
    <w:p w:rsidR="006C640C" w:rsidRDefault="007629EF" w:rsidP="006C640C">
      <w:pPr>
        <w:tabs>
          <w:tab w:val="left" w:pos="720"/>
          <w:tab w:val="left" w:pos="1440"/>
          <w:tab w:val="right" w:leader="dot" w:pos="9360"/>
        </w:tabs>
      </w:pPr>
      <w:r w:rsidRPr="007629EF">
        <w:tab/>
        <w:t>A.</w:t>
      </w:r>
      <w:r w:rsidRPr="007629EF">
        <w:tab/>
        <w:t>Legal Standards</w:t>
      </w:r>
      <w:r w:rsidRPr="007629EF">
        <w:tab/>
      </w:r>
      <w:r w:rsidR="00373A36">
        <w:t>1</w:t>
      </w:r>
      <w:r w:rsidRPr="007629EF">
        <w:t>7</w:t>
      </w:r>
    </w:p>
    <w:p w:rsidR="006C640C" w:rsidRPr="007629EF" w:rsidRDefault="006C640C" w:rsidP="006C640C">
      <w:pPr>
        <w:tabs>
          <w:tab w:val="left" w:pos="720"/>
          <w:tab w:val="left" w:pos="1440"/>
          <w:tab w:val="right" w:leader="dot" w:pos="9360"/>
        </w:tabs>
      </w:pP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1.</w:t>
      </w:r>
      <w:r w:rsidRPr="007629EF">
        <w:tab/>
        <w:t>Burden of Proof</w:t>
      </w:r>
      <w:r w:rsidRPr="007629EF">
        <w:tab/>
      </w:r>
      <w:r w:rsidR="00373A36">
        <w:t>1</w:t>
      </w:r>
      <w:r w:rsidRPr="007629EF">
        <w:t>7</w:t>
      </w:r>
    </w:p>
    <w:p w:rsidR="007629EF" w:rsidRDefault="007629EF" w:rsidP="007629EF">
      <w:pPr>
        <w:tabs>
          <w:tab w:val="left" w:pos="720"/>
          <w:tab w:val="left" w:pos="1440"/>
          <w:tab w:val="left" w:pos="2160"/>
          <w:tab w:val="right" w:leader="dot" w:pos="9360"/>
        </w:tabs>
        <w:spacing w:line="360" w:lineRule="auto"/>
      </w:pPr>
      <w:r w:rsidRPr="007629EF">
        <w:tab/>
      </w:r>
      <w:r w:rsidRPr="007629EF">
        <w:tab/>
        <w:t>2.</w:t>
      </w:r>
      <w:r w:rsidRPr="007629EF">
        <w:tab/>
        <w:t>Legal Standards Applicable to Default Service Plans</w:t>
      </w:r>
      <w:r w:rsidRPr="007629EF">
        <w:tab/>
      </w:r>
      <w:r w:rsidR="00373A36">
        <w:t>18</w:t>
      </w:r>
    </w:p>
    <w:p w:rsidR="006C640C" w:rsidRPr="007629EF" w:rsidRDefault="006C640C" w:rsidP="006C640C">
      <w:pPr>
        <w:tabs>
          <w:tab w:val="left" w:pos="720"/>
          <w:tab w:val="left" w:pos="1440"/>
          <w:tab w:val="left" w:pos="2160"/>
          <w:tab w:val="right" w:leader="dot" w:pos="9360"/>
        </w:tabs>
      </w:pPr>
    </w:p>
    <w:p w:rsidR="007629EF" w:rsidRDefault="007629EF" w:rsidP="006C640C">
      <w:pPr>
        <w:tabs>
          <w:tab w:val="left" w:pos="720"/>
          <w:tab w:val="left" w:pos="1440"/>
          <w:tab w:val="left" w:pos="2160"/>
          <w:tab w:val="right" w:leader="dot" w:pos="9360"/>
        </w:tabs>
      </w:pPr>
      <w:r w:rsidRPr="007629EF">
        <w:tab/>
        <w:t>B.</w:t>
      </w:r>
      <w:r w:rsidRPr="007629EF">
        <w:tab/>
        <w:t>Default Service Procurement Plan Issues</w:t>
      </w:r>
      <w:r w:rsidRPr="007629EF">
        <w:tab/>
        <w:t>1</w:t>
      </w:r>
      <w:r w:rsidR="00373A36">
        <w:t>9</w:t>
      </w:r>
    </w:p>
    <w:p w:rsidR="006C640C" w:rsidRPr="007629EF" w:rsidRDefault="006C640C" w:rsidP="006C640C">
      <w:pPr>
        <w:tabs>
          <w:tab w:val="left" w:pos="720"/>
          <w:tab w:val="left" w:pos="1440"/>
          <w:tab w:val="left" w:pos="2160"/>
          <w:tab w:val="right" w:leader="dot" w:pos="9360"/>
        </w:tabs>
      </w:pP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1.</w:t>
      </w:r>
      <w:r w:rsidRPr="007629EF">
        <w:tab/>
        <w:t>Residential Procurement</w:t>
      </w:r>
      <w:r w:rsidRPr="007629EF">
        <w:tab/>
        <w:t>1</w:t>
      </w:r>
      <w:r w:rsidR="004F69A5">
        <w:t>9</w:t>
      </w:r>
    </w:p>
    <w:p w:rsidR="007629EF" w:rsidRDefault="007629EF" w:rsidP="007629EF">
      <w:pPr>
        <w:tabs>
          <w:tab w:val="left" w:pos="720"/>
          <w:tab w:val="left" w:pos="1440"/>
          <w:tab w:val="left" w:pos="2160"/>
          <w:tab w:val="left" w:pos="2880"/>
          <w:tab w:val="right" w:leader="dot" w:pos="9360"/>
        </w:tabs>
        <w:spacing w:line="360" w:lineRule="auto"/>
      </w:pPr>
      <w:r w:rsidRPr="007629EF">
        <w:tab/>
      </w:r>
      <w:r w:rsidRPr="007629EF">
        <w:tab/>
      </w:r>
      <w:r w:rsidRPr="007629EF">
        <w:tab/>
        <w:t>a.</w:t>
      </w:r>
      <w:r w:rsidRPr="007629EF">
        <w:tab/>
      </w:r>
      <w:r w:rsidR="00E933F5">
        <w:t>Disposition</w:t>
      </w:r>
      <w:r w:rsidRPr="007629EF">
        <w:tab/>
        <w:t>1</w:t>
      </w:r>
      <w:r w:rsidR="004F69A5">
        <w:t>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2.</w:t>
      </w:r>
      <w:r w:rsidRPr="007629EF">
        <w:tab/>
        <w:t>Small C&amp;I Procurement</w:t>
      </w:r>
      <w:r w:rsidR="00E933F5">
        <w:t xml:space="preserve"> Issues</w:t>
      </w:r>
      <w:r w:rsidRPr="007629EF">
        <w:tab/>
      </w:r>
      <w:r w:rsidR="004F69A5">
        <w:t>20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r>
      <w:r w:rsidR="00E933F5">
        <w:t>Disposition</w:t>
      </w:r>
      <w:r w:rsidR="009F1178">
        <w:tab/>
      </w:r>
      <w:r w:rsidR="004F69A5">
        <w:t>22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3.</w:t>
      </w:r>
      <w:r w:rsidRPr="007629EF">
        <w:tab/>
        <w:t xml:space="preserve">Medium C&amp;I Procurement </w:t>
      </w:r>
      <w:r w:rsidR="00E933F5">
        <w:t xml:space="preserve">Issues </w:t>
      </w:r>
      <w:r w:rsidRPr="007629EF">
        <w:tab/>
      </w:r>
      <w:r w:rsidR="00AF7F55">
        <w:t>23</w:t>
      </w:r>
    </w:p>
    <w:p w:rsidR="009F213D" w:rsidRPr="007629EF" w:rsidRDefault="009F213D" w:rsidP="009F213D">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r>
      <w:r w:rsidR="00E933F5">
        <w:t>Disposition</w:t>
      </w:r>
      <w:r w:rsidRPr="007629EF">
        <w:tab/>
      </w:r>
      <w:r w:rsidR="00AF7F55">
        <w:t>25</w:t>
      </w:r>
    </w:p>
    <w:p w:rsidR="00EA0028"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p>
    <w:p w:rsidR="007629EF" w:rsidRDefault="00EA0028" w:rsidP="007629EF">
      <w:pPr>
        <w:tabs>
          <w:tab w:val="left" w:pos="720"/>
          <w:tab w:val="left" w:pos="1440"/>
          <w:tab w:val="left" w:pos="2160"/>
          <w:tab w:val="left" w:pos="2880"/>
          <w:tab w:val="left" w:pos="3600"/>
          <w:tab w:val="right" w:leader="dot" w:pos="9360"/>
        </w:tabs>
        <w:spacing w:line="360" w:lineRule="auto"/>
      </w:pPr>
      <w:r>
        <w:tab/>
      </w:r>
      <w:r>
        <w:tab/>
      </w:r>
      <w:r w:rsidR="007629EF" w:rsidRPr="007629EF">
        <w:t>4.</w:t>
      </w:r>
      <w:r w:rsidR="007629EF" w:rsidRPr="007629EF">
        <w:tab/>
        <w:t>Large C&amp;I Procurement</w:t>
      </w:r>
      <w:r w:rsidR="00E933F5">
        <w:t xml:space="preserve"> Issues</w:t>
      </w:r>
      <w:r w:rsidR="007629EF" w:rsidRPr="007629EF">
        <w:tab/>
      </w:r>
      <w:r w:rsidR="008A0822">
        <w:t>27</w:t>
      </w:r>
    </w:p>
    <w:p w:rsidR="009F213D" w:rsidRPr="007629EF" w:rsidRDefault="009F213D" w:rsidP="009F213D">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w:t>
      </w:r>
      <w:r w:rsidR="00E933F5">
        <w:t>isposition</w:t>
      </w:r>
      <w:r w:rsidRPr="007629EF">
        <w:tab/>
      </w:r>
      <w:r w:rsidR="008A0822">
        <w:t>28</w:t>
      </w:r>
    </w:p>
    <w:p w:rsidR="00F01040" w:rsidRDefault="009F213D" w:rsidP="00184923">
      <w:pPr>
        <w:tabs>
          <w:tab w:val="left" w:pos="720"/>
          <w:tab w:val="left" w:pos="1440"/>
          <w:tab w:val="left" w:pos="2160"/>
          <w:tab w:val="left" w:pos="2880"/>
          <w:tab w:val="left" w:pos="3600"/>
          <w:tab w:val="right" w:leader="dot" w:pos="9360"/>
        </w:tabs>
        <w:spacing w:line="360" w:lineRule="auto"/>
      </w:pPr>
      <w:r>
        <w:tab/>
      </w:r>
      <w:r>
        <w:tab/>
      </w:r>
      <w:r>
        <w:tab/>
      </w:r>
    </w:p>
    <w:p w:rsidR="009F213D" w:rsidRPr="007629EF" w:rsidRDefault="00184923" w:rsidP="00184923">
      <w:pPr>
        <w:tabs>
          <w:tab w:val="left" w:pos="720"/>
          <w:tab w:val="left" w:pos="1440"/>
          <w:tab w:val="left" w:pos="2160"/>
          <w:tab w:val="left" w:pos="2880"/>
          <w:tab w:val="left" w:pos="3600"/>
          <w:tab w:val="right" w:leader="dot" w:pos="9360"/>
        </w:tabs>
        <w:spacing w:line="360" w:lineRule="auto"/>
      </w:pPr>
      <w:r>
        <w:tab/>
        <w:t xml:space="preserve">C. </w:t>
      </w:r>
      <w:r>
        <w:tab/>
        <w:t>Alternative Energy Credit Procurement Issues</w:t>
      </w:r>
      <w:r w:rsidR="00E933F5">
        <w:tab/>
        <w:t>2</w:t>
      </w:r>
      <w:r w:rsidR="008A0822">
        <w:t>8</w:t>
      </w:r>
    </w:p>
    <w:p w:rsidR="00184923" w:rsidRPr="007629EF" w:rsidRDefault="004701C1" w:rsidP="004701C1">
      <w:pPr>
        <w:tabs>
          <w:tab w:val="left" w:pos="720"/>
          <w:tab w:val="left" w:pos="1440"/>
          <w:tab w:val="left" w:pos="2160"/>
          <w:tab w:val="left" w:pos="2880"/>
          <w:tab w:val="left" w:pos="2970"/>
          <w:tab w:val="left" w:pos="3330"/>
          <w:tab w:val="right" w:leader="dot" w:pos="9360"/>
        </w:tabs>
        <w:spacing w:line="360" w:lineRule="auto"/>
      </w:pPr>
      <w:r>
        <w:tab/>
      </w:r>
      <w:r>
        <w:tab/>
        <w:t>1</w:t>
      </w:r>
      <w:r w:rsidR="00184923" w:rsidRPr="007629EF">
        <w:t>.</w:t>
      </w:r>
      <w:r w:rsidR="00184923" w:rsidRPr="007629EF">
        <w:tab/>
        <w:t>D</w:t>
      </w:r>
      <w:r>
        <w:t>isposition</w:t>
      </w:r>
      <w:r>
        <w:tab/>
      </w:r>
      <w:r>
        <w:tab/>
      </w:r>
      <w:r w:rsidR="008A0822">
        <w:t>30</w:t>
      </w:r>
    </w:p>
    <w:p w:rsidR="00184923" w:rsidRDefault="00184923"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r>
    </w:p>
    <w:p w:rsidR="007629EF" w:rsidRDefault="00184923" w:rsidP="007629EF">
      <w:pPr>
        <w:tabs>
          <w:tab w:val="left" w:pos="720"/>
          <w:tab w:val="left" w:pos="1440"/>
          <w:tab w:val="left" w:pos="2160"/>
          <w:tab w:val="left" w:pos="2880"/>
          <w:tab w:val="left" w:pos="3600"/>
          <w:tab w:val="right" w:leader="dot" w:pos="9360"/>
        </w:tabs>
        <w:spacing w:line="360" w:lineRule="auto"/>
      </w:pPr>
      <w:r>
        <w:tab/>
        <w:t xml:space="preserve">D. </w:t>
      </w:r>
      <w:r>
        <w:tab/>
        <w:t>S</w:t>
      </w:r>
      <w:r w:rsidR="007629EF" w:rsidRPr="007629EF">
        <w:t>tandard Offer Program</w:t>
      </w:r>
      <w:r w:rsidR="007629EF" w:rsidRPr="007629EF">
        <w:tab/>
      </w:r>
      <w:r w:rsidR="008A0822">
        <w:t>31</w:t>
      </w:r>
    </w:p>
    <w:p w:rsidR="006A7577" w:rsidRDefault="000A2F5C" w:rsidP="006A7577">
      <w:pPr>
        <w:pStyle w:val="ListParagraph"/>
        <w:numPr>
          <w:ilvl w:val="0"/>
          <w:numId w:val="14"/>
        </w:numPr>
        <w:tabs>
          <w:tab w:val="left" w:pos="720"/>
          <w:tab w:val="left" w:pos="1440"/>
          <w:tab w:val="left" w:pos="2160"/>
          <w:tab w:val="left" w:pos="2880"/>
          <w:tab w:val="right" w:leader="dot" w:pos="9360"/>
        </w:tabs>
        <w:spacing w:line="360" w:lineRule="auto"/>
        <w:ind w:left="2160" w:hanging="720"/>
      </w:pPr>
      <w:r>
        <w:t>Disposition</w:t>
      </w:r>
      <w:r>
        <w:tab/>
      </w:r>
      <w:r w:rsidR="008A0822">
        <w:t>32</w:t>
      </w:r>
    </w:p>
    <w:p w:rsidR="00F01040" w:rsidRDefault="00184923" w:rsidP="007629EF">
      <w:pPr>
        <w:tabs>
          <w:tab w:val="left" w:pos="720"/>
          <w:tab w:val="left" w:pos="1440"/>
          <w:tab w:val="right" w:leader="dot" w:pos="9360"/>
        </w:tabs>
        <w:spacing w:line="360" w:lineRule="auto"/>
      </w:pPr>
      <w:r>
        <w:tab/>
      </w:r>
    </w:p>
    <w:p w:rsidR="007629EF" w:rsidRPr="007629EF" w:rsidRDefault="00F01040" w:rsidP="007629EF">
      <w:pPr>
        <w:tabs>
          <w:tab w:val="left" w:pos="720"/>
          <w:tab w:val="left" w:pos="1440"/>
          <w:tab w:val="right" w:leader="dot" w:pos="9360"/>
        </w:tabs>
        <w:spacing w:line="360" w:lineRule="auto"/>
      </w:pPr>
      <w:r>
        <w:tab/>
      </w:r>
      <w:r w:rsidR="00184923">
        <w:t>E</w:t>
      </w:r>
      <w:r w:rsidR="007629EF" w:rsidRPr="007629EF">
        <w:t>.</w:t>
      </w:r>
      <w:r w:rsidR="007629EF" w:rsidRPr="007629EF">
        <w:tab/>
        <w:t>Rate Design</w:t>
      </w:r>
      <w:r w:rsidR="007629EF" w:rsidRPr="007629EF">
        <w:tab/>
      </w:r>
      <w:r w:rsidR="008A0822">
        <w:t>34</w:t>
      </w:r>
    </w:p>
    <w:p w:rsidR="00184923" w:rsidRDefault="00D0422A" w:rsidP="000F2D7D">
      <w:pPr>
        <w:tabs>
          <w:tab w:val="left" w:pos="720"/>
          <w:tab w:val="left" w:pos="1440"/>
          <w:tab w:val="left" w:pos="2160"/>
          <w:tab w:val="left" w:pos="2880"/>
          <w:tab w:val="right" w:leader="dot" w:pos="9360"/>
        </w:tabs>
        <w:spacing w:line="360" w:lineRule="auto"/>
      </w:pPr>
      <w:r>
        <w:tab/>
      </w:r>
      <w:r>
        <w:tab/>
        <w:t>1</w:t>
      </w:r>
      <w:r w:rsidR="00184923">
        <w:t xml:space="preserve">. </w:t>
      </w:r>
      <w:r w:rsidR="000F2D7D">
        <w:tab/>
      </w:r>
      <w:r w:rsidR="00184923">
        <w:t>Default Service Cost Unbundling Issues</w:t>
      </w:r>
      <w:r w:rsidR="007629EF" w:rsidRPr="007629EF">
        <w:tab/>
      </w:r>
      <w:r w:rsidR="008A0822">
        <w:t>34</w:t>
      </w:r>
    </w:p>
    <w:p w:rsidR="00184923" w:rsidRDefault="00184923" w:rsidP="000F2D7D">
      <w:pPr>
        <w:tabs>
          <w:tab w:val="left" w:pos="720"/>
          <w:tab w:val="left" w:pos="1440"/>
          <w:tab w:val="left" w:pos="2160"/>
          <w:tab w:val="left" w:pos="2880"/>
          <w:tab w:val="right" w:leader="dot" w:pos="9360"/>
        </w:tabs>
        <w:spacing w:line="360" w:lineRule="auto"/>
      </w:pPr>
      <w:r>
        <w:tab/>
      </w:r>
      <w:r>
        <w:tab/>
      </w:r>
      <w:r>
        <w:tab/>
      </w:r>
      <w:r w:rsidR="00D0422A">
        <w:t>a</w:t>
      </w:r>
      <w:r>
        <w:t xml:space="preserve">. </w:t>
      </w:r>
      <w:r w:rsidR="000F2D7D">
        <w:tab/>
      </w:r>
      <w:r w:rsidR="00D0422A">
        <w:t>Disposition</w:t>
      </w:r>
      <w:r w:rsidR="007629EF" w:rsidRPr="007629EF">
        <w:tab/>
      </w:r>
      <w:r w:rsidR="008A0822">
        <w:t>34</w:t>
      </w:r>
    </w:p>
    <w:p w:rsidR="00F01040" w:rsidRDefault="00D0422A" w:rsidP="000F2D7D">
      <w:pPr>
        <w:tabs>
          <w:tab w:val="left" w:pos="720"/>
          <w:tab w:val="left" w:pos="1440"/>
          <w:tab w:val="left" w:pos="2160"/>
          <w:tab w:val="left" w:pos="2880"/>
          <w:tab w:val="right" w:leader="dot" w:pos="9360"/>
        </w:tabs>
        <w:spacing w:line="360" w:lineRule="auto"/>
      </w:pPr>
      <w:r>
        <w:tab/>
      </w:r>
      <w:r>
        <w:tab/>
        <w:t>2</w:t>
      </w:r>
      <w:r w:rsidR="000F2D7D">
        <w:t>.</w:t>
      </w:r>
      <w:r w:rsidR="00F01040">
        <w:t xml:space="preserve">    </w:t>
      </w:r>
      <w:r w:rsidR="000F2D7D">
        <w:tab/>
      </w:r>
      <w:r>
        <w:t>Non-</w:t>
      </w:r>
      <w:proofErr w:type="spellStart"/>
      <w:r>
        <w:t>Bypassable</w:t>
      </w:r>
      <w:proofErr w:type="spellEnd"/>
      <w:r>
        <w:t xml:space="preserve"> Charge to Recover PJM Charges</w:t>
      </w:r>
      <w:r>
        <w:tab/>
      </w:r>
      <w:r w:rsidR="008A0822">
        <w:t>35</w:t>
      </w:r>
    </w:p>
    <w:p w:rsidR="00D0422A" w:rsidRDefault="00D0422A" w:rsidP="000F2D7D">
      <w:pPr>
        <w:tabs>
          <w:tab w:val="left" w:pos="720"/>
          <w:tab w:val="left" w:pos="1440"/>
          <w:tab w:val="left" w:pos="2160"/>
          <w:tab w:val="left" w:pos="2880"/>
          <w:tab w:val="right" w:leader="dot" w:pos="9360"/>
        </w:tabs>
        <w:spacing w:line="360" w:lineRule="auto"/>
      </w:pPr>
      <w:r>
        <w:tab/>
      </w:r>
      <w:r>
        <w:tab/>
        <w:t>3.</w:t>
      </w:r>
      <w:r>
        <w:tab/>
        <w:t>Disposition</w:t>
      </w:r>
      <w:r>
        <w:tab/>
      </w:r>
      <w:r w:rsidR="008A0822">
        <w:t>36</w:t>
      </w:r>
    </w:p>
    <w:p w:rsidR="00F01040" w:rsidRDefault="00F01040" w:rsidP="00D0422A">
      <w:pPr>
        <w:tabs>
          <w:tab w:val="left" w:pos="720"/>
          <w:tab w:val="left" w:pos="1440"/>
          <w:tab w:val="left" w:pos="2160"/>
          <w:tab w:val="left" w:pos="2880"/>
          <w:tab w:val="right" w:leader="dot" w:pos="9360"/>
        </w:tabs>
        <w:spacing w:line="360" w:lineRule="auto"/>
      </w:pPr>
      <w:r>
        <w:tab/>
      </w:r>
      <w:r>
        <w:tab/>
      </w:r>
      <w:r>
        <w:tab/>
      </w:r>
      <w:r>
        <w:tab/>
        <w:t xml:space="preserve">     </w:t>
      </w:r>
    </w:p>
    <w:p w:rsidR="00184923" w:rsidRDefault="00184923" w:rsidP="007629EF">
      <w:pPr>
        <w:tabs>
          <w:tab w:val="left" w:pos="720"/>
          <w:tab w:val="left" w:pos="1440"/>
          <w:tab w:val="left" w:pos="2160"/>
          <w:tab w:val="right" w:leader="dot" w:pos="9360"/>
        </w:tabs>
        <w:spacing w:line="360" w:lineRule="auto"/>
      </w:pPr>
      <w:r>
        <w:tab/>
        <w:t xml:space="preserve">F. </w:t>
      </w:r>
      <w:r>
        <w:tab/>
        <w:t>Time of Use Program</w:t>
      </w:r>
      <w:r w:rsidR="006F0560">
        <w:t xml:space="preserve"> </w:t>
      </w:r>
      <w:r w:rsidR="00D0422A">
        <w:tab/>
      </w:r>
      <w:r w:rsidR="008A0822">
        <w:t>37</w:t>
      </w:r>
    </w:p>
    <w:p w:rsidR="00D0422A" w:rsidRDefault="00D0422A" w:rsidP="007629EF">
      <w:pPr>
        <w:tabs>
          <w:tab w:val="left" w:pos="720"/>
          <w:tab w:val="left" w:pos="1440"/>
          <w:tab w:val="left" w:pos="2160"/>
          <w:tab w:val="right" w:leader="dot" w:pos="9360"/>
        </w:tabs>
        <w:spacing w:line="360" w:lineRule="auto"/>
      </w:pPr>
      <w:r>
        <w:tab/>
      </w:r>
      <w:r>
        <w:tab/>
        <w:t>1.</w:t>
      </w:r>
      <w:r>
        <w:tab/>
        <w:t>Disposition</w:t>
      </w:r>
      <w:r>
        <w:tab/>
      </w:r>
      <w:r w:rsidR="005462D3">
        <w:t>37</w:t>
      </w:r>
    </w:p>
    <w:p w:rsidR="006C640C" w:rsidRDefault="006C640C" w:rsidP="007629EF">
      <w:pPr>
        <w:tabs>
          <w:tab w:val="left" w:pos="720"/>
          <w:tab w:val="left" w:pos="1440"/>
          <w:tab w:val="left" w:pos="2160"/>
          <w:tab w:val="right" w:leader="dot" w:pos="9360"/>
        </w:tabs>
        <w:spacing w:line="360" w:lineRule="auto"/>
      </w:pPr>
    </w:p>
    <w:p w:rsidR="00184923" w:rsidRDefault="00184923" w:rsidP="007629EF">
      <w:pPr>
        <w:tabs>
          <w:tab w:val="left" w:pos="720"/>
          <w:tab w:val="left" w:pos="1440"/>
          <w:tab w:val="left" w:pos="2160"/>
          <w:tab w:val="right" w:leader="dot" w:pos="9360"/>
        </w:tabs>
        <w:spacing w:line="360" w:lineRule="auto"/>
      </w:pPr>
      <w:r>
        <w:tab/>
        <w:t xml:space="preserve">G. </w:t>
      </w:r>
      <w:r>
        <w:tab/>
        <w:t>Supply Master Agreement Issues</w:t>
      </w:r>
      <w:r w:rsidR="008A0822">
        <w:t xml:space="preserve"> </w:t>
      </w:r>
      <w:r w:rsidR="00147232">
        <w:tab/>
        <w:t>3</w:t>
      </w:r>
      <w:r w:rsidR="008A0822">
        <w:t>9</w:t>
      </w:r>
    </w:p>
    <w:p w:rsidR="00147232" w:rsidRDefault="00147232" w:rsidP="007629EF">
      <w:pPr>
        <w:tabs>
          <w:tab w:val="left" w:pos="720"/>
          <w:tab w:val="left" w:pos="1440"/>
          <w:tab w:val="left" w:pos="2160"/>
          <w:tab w:val="right" w:leader="dot" w:pos="9360"/>
        </w:tabs>
        <w:spacing w:line="360" w:lineRule="auto"/>
      </w:pPr>
      <w:r>
        <w:tab/>
      </w:r>
      <w:r>
        <w:tab/>
        <w:t>1.</w:t>
      </w:r>
      <w:r>
        <w:tab/>
        <w:t>Disposition</w:t>
      </w:r>
      <w:r>
        <w:tab/>
      </w:r>
      <w:r w:rsidR="008A0822">
        <w:t>40</w:t>
      </w:r>
    </w:p>
    <w:p w:rsidR="006C640C" w:rsidRDefault="006C640C" w:rsidP="007629EF">
      <w:pPr>
        <w:tabs>
          <w:tab w:val="left" w:pos="720"/>
          <w:tab w:val="left" w:pos="1440"/>
          <w:tab w:val="left" w:pos="2160"/>
          <w:tab w:val="right" w:leader="dot" w:pos="9360"/>
        </w:tabs>
        <w:spacing w:line="360" w:lineRule="auto"/>
      </w:pPr>
    </w:p>
    <w:p w:rsidR="00184923" w:rsidRDefault="00184923" w:rsidP="00EA0028">
      <w:pPr>
        <w:tabs>
          <w:tab w:val="left" w:pos="720"/>
          <w:tab w:val="left" w:pos="1440"/>
          <w:tab w:val="left" w:pos="2160"/>
          <w:tab w:val="right" w:leader="dot" w:pos="9360"/>
        </w:tabs>
      </w:pPr>
      <w:r>
        <w:tab/>
        <w:t xml:space="preserve">H. </w:t>
      </w:r>
      <w:r>
        <w:tab/>
        <w:t>Request for Proposal and Independent Evaluator Process Issues</w:t>
      </w:r>
      <w:r w:rsidR="00147232">
        <w:tab/>
      </w:r>
      <w:r w:rsidR="008A0822">
        <w:t>41</w:t>
      </w:r>
    </w:p>
    <w:p w:rsidR="00145838" w:rsidRDefault="00184923" w:rsidP="007629EF">
      <w:pPr>
        <w:tabs>
          <w:tab w:val="left" w:pos="720"/>
          <w:tab w:val="left" w:pos="1440"/>
          <w:tab w:val="left" w:pos="2160"/>
          <w:tab w:val="right" w:leader="dot" w:pos="9360"/>
        </w:tabs>
        <w:spacing w:line="360" w:lineRule="auto"/>
      </w:pPr>
      <w:r>
        <w:tab/>
      </w:r>
    </w:p>
    <w:p w:rsidR="00CD4067" w:rsidRDefault="00CD4067" w:rsidP="00EA0028">
      <w:pPr>
        <w:tabs>
          <w:tab w:val="left" w:pos="720"/>
          <w:tab w:val="left" w:pos="1440"/>
          <w:tab w:val="left" w:pos="2160"/>
          <w:tab w:val="right" w:leader="dot" w:pos="9360"/>
        </w:tabs>
      </w:pPr>
      <w:r>
        <w:t>V</w:t>
      </w:r>
      <w:r w:rsidR="00CD2DD2">
        <w:t>I</w:t>
      </w:r>
      <w:r>
        <w:t>.</w:t>
      </w:r>
      <w:r>
        <w:tab/>
        <w:t>CONCLUSION</w:t>
      </w:r>
      <w:r>
        <w:tab/>
      </w:r>
      <w:r w:rsidR="008A0822">
        <w:t>41</w:t>
      </w:r>
    </w:p>
    <w:p w:rsidR="00F01040" w:rsidRDefault="00F01040" w:rsidP="007A04B6">
      <w:pPr>
        <w:tabs>
          <w:tab w:val="left" w:pos="720"/>
          <w:tab w:val="left" w:pos="1440"/>
          <w:tab w:val="left" w:pos="2160"/>
          <w:tab w:val="right" w:leader="dot" w:pos="9360"/>
        </w:tabs>
      </w:pPr>
    </w:p>
    <w:p w:rsidR="00CD4067" w:rsidRDefault="00CD4067" w:rsidP="00EA0028">
      <w:pPr>
        <w:tabs>
          <w:tab w:val="left" w:pos="720"/>
          <w:tab w:val="left" w:pos="1440"/>
          <w:tab w:val="left" w:pos="2160"/>
          <w:tab w:val="right" w:leader="dot" w:pos="9360"/>
        </w:tabs>
      </w:pPr>
      <w:r>
        <w:t>VI</w:t>
      </w:r>
      <w:r w:rsidR="00711594">
        <w:t>I</w:t>
      </w:r>
      <w:r>
        <w:t>.</w:t>
      </w:r>
      <w:r>
        <w:tab/>
        <w:t>CONCLUSIONS OF LAW</w:t>
      </w:r>
      <w:r>
        <w:tab/>
      </w:r>
      <w:r w:rsidR="00512EB1">
        <w:t>41</w:t>
      </w:r>
    </w:p>
    <w:p w:rsidR="00F01040" w:rsidRDefault="00F01040" w:rsidP="007A04B6">
      <w:pPr>
        <w:tabs>
          <w:tab w:val="left" w:pos="720"/>
          <w:tab w:val="left" w:pos="1440"/>
          <w:tab w:val="right" w:leader="dot" w:pos="9360"/>
        </w:tabs>
      </w:pPr>
    </w:p>
    <w:p w:rsidR="007629EF" w:rsidRPr="007629EF" w:rsidRDefault="00CD4067" w:rsidP="007629EF">
      <w:pPr>
        <w:tabs>
          <w:tab w:val="left" w:pos="720"/>
          <w:tab w:val="left" w:pos="1440"/>
          <w:tab w:val="right" w:leader="dot" w:pos="9360"/>
        </w:tabs>
        <w:spacing w:line="360" w:lineRule="auto"/>
      </w:pPr>
      <w:r>
        <w:t>VII</w:t>
      </w:r>
      <w:r w:rsidR="00711594">
        <w:t>I</w:t>
      </w:r>
      <w:r w:rsidR="007629EF" w:rsidRPr="007629EF">
        <w:t>.</w:t>
      </w:r>
      <w:r w:rsidR="007629EF" w:rsidRPr="007629EF">
        <w:tab/>
        <w:t>ORDER</w:t>
      </w:r>
      <w:r w:rsidR="007629EF" w:rsidRPr="007629EF">
        <w:tab/>
      </w:r>
      <w:r w:rsidR="00512EB1">
        <w:t>44</w:t>
      </w:r>
    </w:p>
    <w:p w:rsidR="00F01040" w:rsidRDefault="00F01040" w:rsidP="007629EF">
      <w:pPr>
        <w:tabs>
          <w:tab w:val="left" w:pos="720"/>
          <w:tab w:val="left" w:pos="1440"/>
          <w:tab w:val="right" w:leader="dot" w:pos="9360"/>
        </w:tabs>
        <w:spacing w:line="360" w:lineRule="auto"/>
      </w:pPr>
    </w:p>
    <w:p w:rsidR="0065517E" w:rsidRDefault="0065517E" w:rsidP="007629EF">
      <w:pPr>
        <w:tabs>
          <w:tab w:val="left" w:pos="720"/>
          <w:tab w:val="left" w:pos="1440"/>
          <w:tab w:val="right" w:leader="dot" w:pos="9360"/>
        </w:tabs>
        <w:spacing w:line="360" w:lineRule="auto"/>
        <w:sectPr w:rsidR="0065517E" w:rsidSect="0065517E">
          <w:footerReference w:type="first" r:id="rId10"/>
          <w:pgSz w:w="12240" w:h="15840" w:code="1"/>
          <w:pgMar w:top="1440" w:right="1440" w:bottom="1440" w:left="1440" w:header="720" w:footer="720" w:gutter="0"/>
          <w:pgNumType w:fmt="lowerRoman" w:start="1"/>
          <w:cols w:space="720"/>
          <w:formProt w:val="0"/>
          <w:titlePg/>
          <w:docGrid w:linePitch="360"/>
        </w:sectPr>
      </w:pPr>
    </w:p>
    <w:p w:rsidR="007629EF" w:rsidRPr="000F2D7D" w:rsidRDefault="007629EF" w:rsidP="007205BD">
      <w:pPr>
        <w:autoSpaceDE/>
        <w:autoSpaceDN/>
        <w:spacing w:line="360" w:lineRule="auto"/>
        <w:jc w:val="center"/>
        <w:rPr>
          <w:spacing w:val="-3"/>
          <w:u w:val="single"/>
        </w:rPr>
      </w:pPr>
      <w:r w:rsidRPr="000F2D7D">
        <w:rPr>
          <w:spacing w:val="-3"/>
        </w:rPr>
        <w:t>I.</w:t>
      </w:r>
      <w:r w:rsidRPr="000F2D7D">
        <w:rPr>
          <w:spacing w:val="-3"/>
        </w:rPr>
        <w:tab/>
      </w:r>
      <w:r w:rsidRPr="000F2D7D">
        <w:rPr>
          <w:spacing w:val="-3"/>
          <w:u w:val="single"/>
        </w:rPr>
        <w:t>HISTORY OF THE PROCEEDING</w:t>
      </w:r>
    </w:p>
    <w:p w:rsidR="0016493A" w:rsidRDefault="0016493A" w:rsidP="00132357">
      <w:pPr>
        <w:spacing w:line="360" w:lineRule="auto"/>
      </w:pPr>
    </w:p>
    <w:p w:rsidR="00132357" w:rsidRDefault="00132357" w:rsidP="00132357">
      <w:pPr>
        <w:pStyle w:val="BodyText2"/>
        <w:spacing w:after="0" w:line="360" w:lineRule="auto"/>
        <w:ind w:firstLine="1440"/>
      </w:pPr>
      <w:r>
        <w:t>On April 24, 2014, Duquesne Light Company (DLC</w:t>
      </w:r>
      <w:r>
        <w:rPr>
          <w:lang w:val="en-US"/>
        </w:rPr>
        <w:t xml:space="preserve">, </w:t>
      </w:r>
      <w:r w:rsidR="0016493A">
        <w:t>Duquesne Light</w:t>
      </w:r>
      <w:r>
        <w:rPr>
          <w:lang w:val="en-US"/>
        </w:rPr>
        <w:t xml:space="preserve"> or the Company</w:t>
      </w:r>
      <w:r w:rsidR="0016493A">
        <w:t xml:space="preserve">) </w:t>
      </w:r>
      <w:r>
        <w:t>filed the above-captioned Petition with the Pennsylvania Public Utility Commission (Commission)</w:t>
      </w:r>
      <w:r>
        <w:rPr>
          <w:lang w:val="en-US"/>
        </w:rPr>
        <w:t xml:space="preserve"> wherein</w:t>
      </w:r>
      <w:r>
        <w:t xml:space="preserve">, Duquesne Light requested </w:t>
      </w:r>
      <w:r>
        <w:rPr>
          <w:lang w:val="en-US"/>
        </w:rPr>
        <w:t xml:space="preserve">the </w:t>
      </w:r>
      <w:r>
        <w:t>Commission</w:t>
      </w:r>
      <w:r>
        <w:rPr>
          <w:lang w:val="en-US"/>
        </w:rPr>
        <w:t>’s</w:t>
      </w:r>
      <w:r>
        <w:t xml:space="preserve"> approval </w:t>
      </w:r>
      <w:r>
        <w:rPr>
          <w:lang w:val="en-US"/>
        </w:rPr>
        <w:t xml:space="preserve">of the </w:t>
      </w:r>
      <w:r>
        <w:t>Default Service Plan for the period June 1, 2015 through May 31, 2017 (Default Service Plan or DSP VII).  Duquesne Light proposed separate default supply procurements for:  (1) Residential and Lighting (Residential) default service customers, (2) Small Commercial and Industrial (Small C&amp;I) default service customers with monthly metered demands less than 25 kW, (3) Medium Commercial and Industrial (Medium C&amp;I) default service customers with monthly metered demands equal to or greater than 25 kW and less than 300 kW, and (4) Large Commercial and Industrial (Large C&amp;I) default service customers with monthly metered demands equal to or greater than 300 kW.  Duquesne Light proposed to procure supplies for Residential, Small C&amp;I and Medium C&amp;I default service customers through fixed-price full requirements contracts</w:t>
      </w:r>
      <w:r>
        <w:rPr>
          <w:lang w:val="en-US"/>
        </w:rPr>
        <w:t xml:space="preserve">, and </w:t>
      </w:r>
      <w:r>
        <w:t>proposed to continue to procure supplies for Large C&amp;I default service customers through the PJM Interconnection, LLC (PJM) day-ahead hourly spot market.</w:t>
      </w:r>
    </w:p>
    <w:p w:rsidR="00132357" w:rsidRDefault="00132357" w:rsidP="00132357">
      <w:pPr>
        <w:spacing w:line="360" w:lineRule="auto"/>
        <w:ind w:firstLine="1440"/>
      </w:pPr>
    </w:p>
    <w:p w:rsidR="00132357" w:rsidRDefault="00132357" w:rsidP="00132357">
      <w:pPr>
        <w:spacing w:line="360" w:lineRule="auto"/>
        <w:ind w:firstLine="1440"/>
      </w:pPr>
      <w:r>
        <w:t xml:space="preserve">In addition, the Company proposed to revise its Standard Offer Program (SOP) to provide for third party enrollment as </w:t>
      </w:r>
      <w:r w:rsidR="00A221BF">
        <w:t>used</w:t>
      </w:r>
      <w:r>
        <w:t xml:space="preserve"> by other EDCs in Pennsylvania in order to enhance competition in its service territory.  The Company also proposed a Time-of-Use (TOU) Program under which electric supply for TOU customers would be provided by an electric generation supplier (EGS) selected through a competitive Request for Proposal (RFP) process. </w:t>
      </w:r>
    </w:p>
    <w:p w:rsidR="00132357" w:rsidRDefault="00132357" w:rsidP="00132357">
      <w:pPr>
        <w:spacing w:line="360" w:lineRule="auto"/>
        <w:ind w:firstLine="1440"/>
      </w:pPr>
    </w:p>
    <w:p w:rsidR="0016493A" w:rsidRDefault="0016493A" w:rsidP="00132357">
      <w:pPr>
        <w:spacing w:line="360" w:lineRule="auto"/>
        <w:ind w:firstLine="1440"/>
      </w:pPr>
      <w:r>
        <w:t>On May 2, 2014, the Office of Administrative Law Judge issued a Notice scheduling the Prehearing Conference for June 2, 2014</w:t>
      </w:r>
      <w:r w:rsidR="00536D3B">
        <w:t>,</w:t>
      </w:r>
      <w:r>
        <w:t xml:space="preserve"> at 9:00 a.m. by telephone.  On May 7, 2014, the presiding officer issued a Prehearing Conference Order notifying the parties of the obligation to file prehearing memoranda prior to the prehearing conference.</w:t>
      </w:r>
    </w:p>
    <w:p w:rsidR="0016493A" w:rsidRDefault="0016493A" w:rsidP="00132357">
      <w:pPr>
        <w:spacing w:line="360" w:lineRule="auto"/>
        <w:ind w:firstLine="720"/>
      </w:pPr>
    </w:p>
    <w:p w:rsidR="00132357" w:rsidRDefault="0016493A" w:rsidP="00132357">
      <w:pPr>
        <w:spacing w:line="360" w:lineRule="auto"/>
        <w:ind w:firstLine="1440"/>
      </w:pPr>
      <w:r w:rsidRPr="00244823">
        <w:t xml:space="preserve">Copies of the Petition were served in accordance with </w:t>
      </w:r>
      <w:bookmarkStart w:id="0" w:name="_BA_Cite_82"/>
      <w:r>
        <w:rPr>
          <w:color w:val="000000"/>
        </w:rPr>
        <w:t>52 Pa.Code §</w:t>
      </w:r>
      <w:r w:rsidR="00536D3B">
        <w:rPr>
          <w:color w:val="000000"/>
        </w:rPr>
        <w:t xml:space="preserve"> </w:t>
      </w:r>
      <w:r w:rsidRPr="00244823">
        <w:rPr>
          <w:color w:val="000000"/>
        </w:rPr>
        <w:t>54.185(b)</w:t>
      </w:r>
      <w:bookmarkEnd w:id="0"/>
      <w:r w:rsidR="00FE1D8C">
        <w:t xml:space="preserve">, and </w:t>
      </w:r>
      <w:r w:rsidRPr="00244823">
        <w:t>the Commission</w:t>
      </w:r>
      <w:r w:rsidR="00FE1D8C">
        <w:t xml:space="preserve"> published notice in the </w:t>
      </w:r>
      <w:r w:rsidR="00FE1D8C" w:rsidRPr="00244823">
        <w:rPr>
          <w:i/>
        </w:rPr>
        <w:t>Pennsylvania Bulletin</w:t>
      </w:r>
      <w:r w:rsidR="00FE1D8C" w:rsidRPr="00244823">
        <w:t xml:space="preserve"> </w:t>
      </w:r>
      <w:r w:rsidR="00FE1D8C">
        <w:t>which set</w:t>
      </w:r>
      <w:r w:rsidRPr="00244823">
        <w:t xml:space="preserve"> a deadline for filing protests, complaints or petitions to intervene as of </w:t>
      </w:r>
      <w:r w:rsidR="00FE1D8C">
        <w:t xml:space="preserve">May 27, 2014.  </w:t>
      </w:r>
    </w:p>
    <w:p w:rsidR="0016493A" w:rsidRDefault="00FE1D8C" w:rsidP="00132357">
      <w:pPr>
        <w:spacing w:line="360" w:lineRule="auto"/>
        <w:ind w:firstLine="1440"/>
      </w:pPr>
      <w:r>
        <w:t>On May 2, 2014, the Office of Administrative Law Judge scheduled</w:t>
      </w:r>
      <w:r w:rsidR="0016493A" w:rsidRPr="00244823">
        <w:t xml:space="preserve"> a Prehearing Conference for </w:t>
      </w:r>
      <w:r w:rsidR="0016493A">
        <w:t>June 2, 2014 before the</w:t>
      </w:r>
      <w:r w:rsidR="0016493A" w:rsidRPr="00244823">
        <w:t xml:space="preserve"> presiding officer wherein the following </w:t>
      </w:r>
      <w:proofErr w:type="spellStart"/>
      <w:r w:rsidR="0016493A" w:rsidRPr="00244823">
        <w:t>intervenors</w:t>
      </w:r>
      <w:proofErr w:type="spellEnd"/>
      <w:r w:rsidR="0016493A" w:rsidRPr="00244823">
        <w:t xml:space="preserve"> </w:t>
      </w:r>
      <w:r w:rsidR="0016493A">
        <w:t xml:space="preserve">or entities </w:t>
      </w:r>
      <w:r w:rsidR="0016493A" w:rsidRPr="00244823">
        <w:t>were afforded active party status in this case</w:t>
      </w:r>
      <w:r w:rsidR="0016493A">
        <w:t xml:space="preserve">: </w:t>
      </w:r>
      <w:r w:rsidR="005D3DE6">
        <w:t xml:space="preserve"> </w:t>
      </w:r>
      <w:r w:rsidR="0016493A">
        <w:t xml:space="preserve">Bureau of </w:t>
      </w:r>
      <w:r w:rsidR="00132357">
        <w:t>Investigation and Enforcement (</w:t>
      </w:r>
      <w:r w:rsidR="0016493A">
        <w:t>BIE); Coalition for Affordable Utility Service</w:t>
      </w:r>
      <w:r w:rsidR="00132357">
        <w:t>s and Energy Efficiency in PA (</w:t>
      </w:r>
      <w:r w:rsidR="0016493A">
        <w:t>CAUSE</w:t>
      </w:r>
      <w:r w:rsidR="00B16045">
        <w:t>-PA</w:t>
      </w:r>
      <w:r w:rsidR="0016493A">
        <w:t xml:space="preserve">); </w:t>
      </w:r>
      <w:r w:rsidR="00CD409B">
        <w:t xml:space="preserve">Citizen’s for Pennsylvania’s Future (Penn Future); </w:t>
      </w:r>
      <w:r w:rsidR="0016493A">
        <w:t xml:space="preserve">Exelon Generation Corp., LLC </w:t>
      </w:r>
      <w:r w:rsidR="00132357">
        <w:t>(Exelon Gen</w:t>
      </w:r>
      <w:r w:rsidR="009706AE">
        <w:t xml:space="preserve">, </w:t>
      </w:r>
      <w:proofErr w:type="spellStart"/>
      <w:r w:rsidR="009706AE">
        <w:t>ExGen</w:t>
      </w:r>
      <w:proofErr w:type="spellEnd"/>
      <w:r w:rsidR="009706AE">
        <w:t xml:space="preserve"> or </w:t>
      </w:r>
      <w:proofErr w:type="spellStart"/>
      <w:r w:rsidR="009706AE">
        <w:t>ExelonGen</w:t>
      </w:r>
      <w:proofErr w:type="spellEnd"/>
      <w:r w:rsidR="0016493A">
        <w:t>); Duques</w:t>
      </w:r>
      <w:r w:rsidR="00132357">
        <w:t>ne Industrial Intervenors (DII</w:t>
      </w:r>
      <w:r w:rsidR="0016493A">
        <w:t xml:space="preserve">); FirstEnergy Solutions Corp. </w:t>
      </w:r>
      <w:r w:rsidR="00132357">
        <w:t>(FES</w:t>
      </w:r>
      <w:r w:rsidR="0016493A">
        <w:t xml:space="preserve">); </w:t>
      </w:r>
      <w:proofErr w:type="spellStart"/>
      <w:r w:rsidR="0016493A">
        <w:t>NextEra</w:t>
      </w:r>
      <w:proofErr w:type="spellEnd"/>
      <w:r w:rsidR="0016493A">
        <w:t xml:space="preserve"> Energy Services Pennsylvania, LLC (</w:t>
      </w:r>
      <w:proofErr w:type="spellStart"/>
      <w:r w:rsidR="0016493A">
        <w:t>NextEra</w:t>
      </w:r>
      <w:proofErr w:type="spellEnd"/>
      <w:r w:rsidR="0016493A">
        <w:t>); Noble A</w:t>
      </w:r>
      <w:r w:rsidR="00CD409B">
        <w:t>mericas Energy Solutions, LLC (</w:t>
      </w:r>
      <w:r w:rsidR="0016493A">
        <w:t>Noble Americas)</w:t>
      </w:r>
      <w:r w:rsidR="00CD409B">
        <w:t>; Office of Consumer Advocate (</w:t>
      </w:r>
      <w:r w:rsidR="0016493A">
        <w:t>OCA); Office of</w:t>
      </w:r>
      <w:r w:rsidR="00CD409B">
        <w:t xml:space="preserve"> Small Business Advocate (OSBA</w:t>
      </w:r>
      <w:r w:rsidR="0016493A">
        <w:t>); and Retail Energy Supply Association (RESA).</w:t>
      </w:r>
    </w:p>
    <w:p w:rsidR="0016493A" w:rsidRDefault="0016493A" w:rsidP="00132357">
      <w:pPr>
        <w:spacing w:line="360" w:lineRule="auto"/>
      </w:pPr>
      <w:r>
        <w:tab/>
      </w:r>
      <w:r>
        <w:tab/>
      </w:r>
    </w:p>
    <w:p w:rsidR="0016493A" w:rsidRDefault="0016493A" w:rsidP="00CD409B">
      <w:pPr>
        <w:spacing w:line="360" w:lineRule="auto"/>
        <w:ind w:firstLine="1440"/>
      </w:pPr>
      <w:r>
        <w:t xml:space="preserve">On June 2, 2014, the presiding officer conducted a prehearing conference telephonically from Pittsburgh with the following parties represented:  Duquesne Light; OCA; OSBA; BIE; CAUSE-PA; FES; Noble Americas; Penn Future; </w:t>
      </w:r>
      <w:proofErr w:type="spellStart"/>
      <w:r>
        <w:t>NextEra</w:t>
      </w:r>
      <w:proofErr w:type="spellEnd"/>
      <w:r>
        <w:t>; DII; Exelon</w:t>
      </w:r>
      <w:r w:rsidR="00CD409B">
        <w:t xml:space="preserve"> Gen</w:t>
      </w:r>
      <w:r>
        <w:t>; and RESA.  Prehearing memoranda were filed prior to the prehearing conference by:  OCA; OSBA; BIE; CAUSE-PA; DII; Exelon</w:t>
      </w:r>
      <w:r w:rsidR="00CD409B">
        <w:t xml:space="preserve"> Gen</w:t>
      </w:r>
      <w:r w:rsidR="005737CD">
        <w:t xml:space="preserve">; Noble Americas; RESA; </w:t>
      </w:r>
      <w:proofErr w:type="spellStart"/>
      <w:r w:rsidR="005737CD">
        <w:t>NextEra</w:t>
      </w:r>
      <w:proofErr w:type="spellEnd"/>
      <w:r w:rsidR="005737CD">
        <w:t xml:space="preserve">; FES and Penn Future.  </w:t>
      </w:r>
      <w:r>
        <w:t xml:space="preserve">At the prehearing conference, the parties considered issues </w:t>
      </w:r>
      <w:proofErr w:type="gramStart"/>
      <w:r>
        <w:t>raised</w:t>
      </w:r>
      <w:proofErr w:type="gramEnd"/>
      <w:r>
        <w:t xml:space="preserve"> by the Petition, discussed discovery provisions and established a litigation schedule, which included scheduling the evidentiary hearings to begin on August 25, 2014.  </w:t>
      </w:r>
    </w:p>
    <w:p w:rsidR="0016493A" w:rsidRDefault="0016493A" w:rsidP="0016493A">
      <w:pPr>
        <w:spacing w:line="360" w:lineRule="auto"/>
      </w:pPr>
    </w:p>
    <w:p w:rsidR="0016493A" w:rsidRDefault="00AE6FA6" w:rsidP="0016493A">
      <w:pPr>
        <w:spacing w:line="360" w:lineRule="auto"/>
      </w:pPr>
      <w:r w:rsidRPr="00244823">
        <w:tab/>
      </w:r>
      <w:r w:rsidR="006D0480" w:rsidRPr="00244823">
        <w:tab/>
      </w:r>
      <w:r w:rsidR="005737CD">
        <w:t>In addition, a</w:t>
      </w:r>
      <w:r w:rsidR="007C60EF" w:rsidRPr="00244823">
        <w:t>t the Prehearing Conference, a schedule was established for submitting written testimony, holding evidentiary hearings and filing briefs.</w:t>
      </w:r>
      <w:r w:rsidR="005737CD">
        <w:t xml:space="preserve">  On June 12</w:t>
      </w:r>
      <w:r w:rsidR="0016493A">
        <w:t xml:space="preserve">, 2014, the Office of Administrative Law Judge issued the Prehearing Order and the Hearing Notice to approximately 300 entities which were listed on the original service list.  Approximately twelve entities appeared at the prehearing conference and </w:t>
      </w:r>
      <w:r w:rsidR="005737CD">
        <w:t>participated</w:t>
      </w:r>
      <w:r w:rsidR="0016493A">
        <w:t xml:space="preserve"> in the litigation in this proceeding.</w:t>
      </w:r>
    </w:p>
    <w:p w:rsidR="0016493A" w:rsidRDefault="0016493A" w:rsidP="00B16045">
      <w:pPr>
        <w:pStyle w:val="BodyText2"/>
        <w:keepLines/>
        <w:spacing w:after="0" w:line="360" w:lineRule="auto"/>
        <w:rPr>
          <w:lang w:val="en-US"/>
        </w:rPr>
      </w:pPr>
    </w:p>
    <w:p w:rsidR="00B16045" w:rsidRDefault="00B16045" w:rsidP="00B16045">
      <w:pPr>
        <w:pStyle w:val="BodyText2"/>
        <w:spacing w:after="0" w:line="360" w:lineRule="auto"/>
        <w:ind w:firstLine="1440"/>
        <w:rPr>
          <w:lang w:val="en-US"/>
        </w:rPr>
      </w:pPr>
      <w:r>
        <w:rPr>
          <w:lang w:val="en-US"/>
        </w:rPr>
        <w:t xml:space="preserve">On April 24, 2014, Duquesne Light submitted </w:t>
      </w:r>
      <w:r w:rsidRPr="00244823">
        <w:t xml:space="preserve">direct testimony.  </w:t>
      </w:r>
      <w:r>
        <w:t xml:space="preserve">On July 8, 2014, </w:t>
      </w:r>
      <w:r>
        <w:rPr>
          <w:lang w:val="en-US"/>
        </w:rPr>
        <w:t>BIE,</w:t>
      </w:r>
      <w:r>
        <w:t xml:space="preserve"> OCA, OSBA, </w:t>
      </w:r>
      <w:proofErr w:type="spellStart"/>
      <w:r>
        <w:t>ExGen</w:t>
      </w:r>
      <w:proofErr w:type="spellEnd"/>
      <w:r>
        <w:t xml:space="preserve">, </w:t>
      </w:r>
      <w:proofErr w:type="spellStart"/>
      <w:r>
        <w:t>NextEra</w:t>
      </w:r>
      <w:proofErr w:type="spellEnd"/>
      <w:r>
        <w:t xml:space="preserve">, </w:t>
      </w:r>
      <w:proofErr w:type="spellStart"/>
      <w:r>
        <w:t>PennFuture</w:t>
      </w:r>
      <w:proofErr w:type="spellEnd"/>
      <w:r>
        <w:t xml:space="preserve"> and RESA served direct testimony.  On August</w:t>
      </w:r>
      <w:r w:rsidR="005D3DE6">
        <w:rPr>
          <w:lang w:val="en-US"/>
        </w:rPr>
        <w:t> </w:t>
      </w:r>
      <w:r>
        <w:t xml:space="preserve">1, 2014, Duquesne Light, OCA, OSBA, and RESA served rebuttal testimony.  On August 15, 2014, Duquesne Light, </w:t>
      </w:r>
      <w:r>
        <w:rPr>
          <w:lang w:val="en-US"/>
        </w:rPr>
        <w:t>BIE</w:t>
      </w:r>
      <w:r>
        <w:t xml:space="preserve">, OCA, OSBA, </w:t>
      </w:r>
      <w:proofErr w:type="spellStart"/>
      <w:r>
        <w:t>NextEra</w:t>
      </w:r>
      <w:proofErr w:type="spellEnd"/>
      <w:r>
        <w:t xml:space="preserve">, </w:t>
      </w:r>
      <w:proofErr w:type="spellStart"/>
      <w:r>
        <w:t>PennFuture</w:t>
      </w:r>
      <w:proofErr w:type="spellEnd"/>
      <w:r>
        <w:t xml:space="preserve"> and RESA served surrebuttal testimony.  On August 21, 2014, Duquesne Light served rejoinder testimony.</w:t>
      </w:r>
    </w:p>
    <w:p w:rsidR="00B16045" w:rsidRDefault="00B16045" w:rsidP="00B16045">
      <w:pPr>
        <w:pStyle w:val="BodyText2"/>
        <w:spacing w:after="0" w:line="360" w:lineRule="auto"/>
        <w:ind w:firstLine="1440"/>
      </w:pPr>
      <w:r>
        <w:rPr>
          <w:lang w:val="en-US"/>
        </w:rPr>
        <w:t xml:space="preserve">The presiding officer conducted the evidentiary </w:t>
      </w:r>
      <w:r>
        <w:t>hearing on August 25, 2014</w:t>
      </w:r>
      <w:r>
        <w:rPr>
          <w:lang w:val="en-US"/>
        </w:rPr>
        <w:t xml:space="preserve"> at which al</w:t>
      </w:r>
      <w:r>
        <w:t xml:space="preserve">l parties waived cross-examination.  </w:t>
      </w:r>
      <w:r>
        <w:rPr>
          <w:lang w:val="en-US"/>
        </w:rPr>
        <w:t>The</w:t>
      </w:r>
      <w:r>
        <w:t xml:space="preserve"> parties stipulated to the admission of the previously served testimony and exhibits.  </w:t>
      </w:r>
      <w:r>
        <w:rPr>
          <w:lang w:val="en-US"/>
        </w:rPr>
        <w:t>The presiding officer</w:t>
      </w:r>
      <w:r>
        <w:t xml:space="preserve"> directed the Company to send a Common Brief outline to the parties</w:t>
      </w:r>
      <w:r>
        <w:rPr>
          <w:lang w:val="en-US"/>
        </w:rPr>
        <w:t xml:space="preserve"> for use by all parties filing main brief</w:t>
      </w:r>
      <w:r w:rsidR="003B64A6">
        <w:rPr>
          <w:lang w:val="en-US"/>
        </w:rPr>
        <w:t>s</w:t>
      </w:r>
      <w:r>
        <w:t xml:space="preserve">.  </w:t>
      </w:r>
    </w:p>
    <w:p w:rsidR="00B16045" w:rsidRDefault="00B16045" w:rsidP="00B16045">
      <w:pPr>
        <w:pStyle w:val="BodyText2"/>
        <w:spacing w:after="0" w:line="360" w:lineRule="auto"/>
        <w:rPr>
          <w:lang w:val="en-US"/>
        </w:rPr>
      </w:pPr>
    </w:p>
    <w:p w:rsidR="00154532" w:rsidRPr="00244823" w:rsidRDefault="00B16045" w:rsidP="00A92F02">
      <w:pPr>
        <w:pStyle w:val="BodyText2"/>
        <w:spacing w:after="0" w:line="360" w:lineRule="auto"/>
        <w:ind w:firstLine="1440"/>
      </w:pPr>
      <w:r>
        <w:t xml:space="preserve">On September 15, 2014, Duquesne Light entered into a Stipulation </w:t>
      </w:r>
      <w:r>
        <w:rPr>
          <w:lang w:val="en-US"/>
        </w:rPr>
        <w:t>(Settlement or Settl</w:t>
      </w:r>
      <w:r w:rsidR="00894B53">
        <w:rPr>
          <w:lang w:val="en-US"/>
        </w:rPr>
        <w:t>e</w:t>
      </w:r>
      <w:r>
        <w:rPr>
          <w:lang w:val="en-US"/>
        </w:rPr>
        <w:t xml:space="preserve">ment Stipulation) </w:t>
      </w:r>
      <w:r>
        <w:t xml:space="preserve">with </w:t>
      </w:r>
      <w:r>
        <w:rPr>
          <w:lang w:val="en-US"/>
        </w:rPr>
        <w:t>BIE</w:t>
      </w:r>
      <w:r>
        <w:t xml:space="preserve">, OCA, </w:t>
      </w:r>
      <w:r w:rsidRPr="00421171">
        <w:t xml:space="preserve">CAUSE-PA, </w:t>
      </w:r>
      <w:proofErr w:type="spellStart"/>
      <w:r w:rsidRPr="00421171">
        <w:t>ExGen</w:t>
      </w:r>
      <w:proofErr w:type="spellEnd"/>
      <w:r>
        <w:t xml:space="preserve">, </w:t>
      </w:r>
      <w:proofErr w:type="spellStart"/>
      <w:r w:rsidRPr="00421171">
        <w:t>NextEra</w:t>
      </w:r>
      <w:proofErr w:type="spellEnd"/>
      <w:r>
        <w:t xml:space="preserve"> </w:t>
      </w:r>
      <w:r w:rsidRPr="00421171">
        <w:t>and RESA</w:t>
      </w:r>
      <w:r>
        <w:t>, which resolved issues regarding the Residential Procurement Plan, the SOP, the TOU Program, the Supply Master Agreement (SMA) and unbundling of default service costs</w:t>
      </w:r>
      <w:r>
        <w:rPr>
          <w:lang w:val="en-US"/>
        </w:rPr>
        <w:t xml:space="preserve">.  </w:t>
      </w:r>
      <w:r>
        <w:t>The Settlement reserve</w:t>
      </w:r>
      <w:r w:rsidR="00A92F02">
        <w:rPr>
          <w:lang w:val="en-US"/>
        </w:rPr>
        <w:t>d</w:t>
      </w:r>
      <w:r>
        <w:t xml:space="preserve"> for litigation issues regarding the Small C&amp;I procurement plan, the Medium C&amp;I procurement plan, the Large C&amp;I procurement plan, procurement </w:t>
      </w:r>
      <w:r w:rsidR="00A92F02">
        <w:t>of alternative energy credits (</w:t>
      </w:r>
      <w:r>
        <w:t xml:space="preserve">AECs) and the methodology for recovering certain PJM transmission charges.  The Settlement </w:t>
      </w:r>
      <w:r w:rsidR="00A92F02">
        <w:rPr>
          <w:lang w:val="en-US"/>
        </w:rPr>
        <w:t xml:space="preserve">was </w:t>
      </w:r>
      <w:r>
        <w:t xml:space="preserve">agreed to or not opposed by all Parties in this proceeding and </w:t>
      </w:r>
      <w:r w:rsidR="00A92F02">
        <w:rPr>
          <w:lang w:val="en-US"/>
        </w:rPr>
        <w:t>was</w:t>
      </w:r>
      <w:r>
        <w:t xml:space="preserve"> filed contemporaneously with </w:t>
      </w:r>
      <w:r w:rsidR="00A92F02">
        <w:rPr>
          <w:lang w:val="en-US"/>
        </w:rPr>
        <w:t>the</w:t>
      </w:r>
      <w:r>
        <w:t xml:space="preserve"> Main Briefs.</w:t>
      </w:r>
      <w:r w:rsidR="006A015A" w:rsidRPr="006A015A">
        <w:rPr>
          <w:rStyle w:val="FootnoteReference"/>
        </w:rPr>
        <w:t xml:space="preserve"> </w:t>
      </w:r>
      <w:r w:rsidR="006A015A">
        <w:rPr>
          <w:rStyle w:val="FootnoteReference"/>
        </w:rPr>
        <w:footnoteReference w:id="1"/>
      </w:r>
      <w:r>
        <w:t xml:space="preserve">  As directed by the ALJ, the Parties file</w:t>
      </w:r>
      <w:r w:rsidR="00A92F02">
        <w:rPr>
          <w:lang w:val="en-US"/>
        </w:rPr>
        <w:t>d</w:t>
      </w:r>
      <w:r>
        <w:t xml:space="preserve"> Statements in Support with respect to the settled issues on September 30, 2014, contemporaneously with</w:t>
      </w:r>
      <w:r w:rsidR="00A92F02">
        <w:rPr>
          <w:lang w:val="en-US"/>
        </w:rPr>
        <w:t xml:space="preserve"> the filing of</w:t>
      </w:r>
      <w:r>
        <w:t xml:space="preserve"> Reply Briefs.</w:t>
      </w:r>
      <w:r w:rsidR="00A92F02">
        <w:rPr>
          <w:lang w:val="en-US"/>
        </w:rPr>
        <w:t xml:space="preserve">  </w:t>
      </w:r>
      <w:r w:rsidR="007C60EF" w:rsidRPr="00244823">
        <w:t xml:space="preserve">All briefs were considered timely filed and the record closed on </w:t>
      </w:r>
      <w:r w:rsidR="0016493A">
        <w:rPr>
          <w:lang w:val="en-US"/>
        </w:rPr>
        <w:t>October 3, 2014</w:t>
      </w:r>
      <w:r w:rsidR="007C60EF" w:rsidRPr="00244823">
        <w:t>.</w:t>
      </w:r>
    </w:p>
    <w:p w:rsidR="00154532" w:rsidRPr="00FF7365" w:rsidRDefault="00154532" w:rsidP="008E6311">
      <w:pPr>
        <w:pStyle w:val="BodyText2"/>
        <w:keepLines/>
        <w:spacing w:after="0" w:line="360" w:lineRule="auto"/>
      </w:pPr>
    </w:p>
    <w:p w:rsidR="00B10D9D" w:rsidRPr="00FF7365" w:rsidRDefault="00C57D29" w:rsidP="008E6311">
      <w:pPr>
        <w:suppressAutoHyphens/>
        <w:spacing w:line="360" w:lineRule="auto"/>
        <w:jc w:val="center"/>
        <w:rPr>
          <w:spacing w:val="-3"/>
          <w:u w:val="single"/>
        </w:rPr>
      </w:pPr>
      <w:r w:rsidRPr="00FF7365">
        <w:rPr>
          <w:spacing w:val="-3"/>
        </w:rPr>
        <w:t>II.</w:t>
      </w:r>
      <w:r w:rsidR="00154532" w:rsidRPr="00FF7365">
        <w:rPr>
          <w:spacing w:val="-3"/>
        </w:rPr>
        <w:tab/>
      </w:r>
      <w:r w:rsidR="007C60EF" w:rsidRPr="00FF7365">
        <w:rPr>
          <w:spacing w:val="-3"/>
          <w:u w:val="single"/>
        </w:rPr>
        <w:t>FINDINGS OF FACT</w:t>
      </w:r>
      <w:r w:rsidR="005D2E99" w:rsidRPr="00FF7365">
        <w:rPr>
          <w:spacing w:val="-3"/>
          <w:u w:val="single"/>
        </w:rPr>
        <w:fldChar w:fldCharType="begin"/>
      </w:r>
      <w:r w:rsidR="005D2E99" w:rsidRPr="00FF7365">
        <w:instrText xml:space="preserve"> TC "</w:instrText>
      </w:r>
      <w:bookmarkStart w:id="1" w:name="_Toc327430223"/>
      <w:bookmarkStart w:id="2" w:name="_Toc327438692"/>
      <w:bookmarkStart w:id="3" w:name="_Toc327439160"/>
      <w:r w:rsidR="005D2E99" w:rsidRPr="00FF7365">
        <w:rPr>
          <w:spacing w:val="-3"/>
        </w:rPr>
        <w:instrText>II.</w:instrText>
      </w:r>
      <w:r w:rsidR="005D2E99" w:rsidRPr="00FF7365">
        <w:rPr>
          <w:spacing w:val="-3"/>
        </w:rPr>
        <w:tab/>
      </w:r>
      <w:r w:rsidR="005D2E99" w:rsidRPr="00FF7365">
        <w:rPr>
          <w:spacing w:val="-3"/>
          <w:u w:val="single"/>
        </w:rPr>
        <w:instrText>FINDINGS OF FACT</w:instrText>
      </w:r>
      <w:bookmarkEnd w:id="1"/>
      <w:bookmarkEnd w:id="2"/>
      <w:bookmarkEnd w:id="3"/>
      <w:r w:rsidR="005D2E99" w:rsidRPr="00FF7365">
        <w:instrText xml:space="preserve">" \f C \l "1" </w:instrText>
      </w:r>
      <w:r w:rsidR="005D2E99" w:rsidRPr="00FF7365">
        <w:rPr>
          <w:spacing w:val="-3"/>
          <w:u w:val="single"/>
        </w:rPr>
        <w:fldChar w:fldCharType="end"/>
      </w:r>
    </w:p>
    <w:p w:rsidR="002E5AAC" w:rsidRDefault="002E5AAC" w:rsidP="00DF1DA0">
      <w:pPr>
        <w:pStyle w:val="BodyText2USDE"/>
        <w:spacing w:after="0"/>
        <w:ind w:firstLine="1440"/>
        <w:jc w:val="both"/>
      </w:pPr>
    </w:p>
    <w:p w:rsidR="00F03F66" w:rsidRDefault="00F03F66" w:rsidP="00F03F66">
      <w:pPr>
        <w:pStyle w:val="BodyText2USDE"/>
        <w:spacing w:after="0" w:line="360" w:lineRule="auto"/>
      </w:pPr>
      <w:r>
        <w:tab/>
        <w:t>1.</w:t>
      </w:r>
      <w:r>
        <w:tab/>
      </w:r>
      <w:r w:rsidRPr="00F7706A">
        <w:t xml:space="preserve">On April 24, 2014, Duquesne Light filed </w:t>
      </w:r>
      <w:r>
        <w:t xml:space="preserve">its Default Service Petition (Default Service Plan or DSP VII) with the </w:t>
      </w:r>
      <w:r w:rsidRPr="00F7706A">
        <w:t xml:space="preserve">Commission </w:t>
      </w:r>
      <w:r>
        <w:t>and</w:t>
      </w:r>
      <w:r w:rsidRPr="00F7706A">
        <w:t xml:space="preserve"> requested Commission approval for a Default Service Plan for the period June 1,</w:t>
      </w:r>
      <w:r>
        <w:t xml:space="preserve"> 2015 through May 31, 2017</w:t>
      </w:r>
      <w:r w:rsidRPr="00F7706A">
        <w:t xml:space="preserve">.  </w:t>
      </w:r>
      <w:proofErr w:type="gramStart"/>
      <w:r>
        <w:t>(Duquesne Light Ex. No. 1, p. 1.)</w:t>
      </w:r>
      <w:proofErr w:type="gramEnd"/>
    </w:p>
    <w:p w:rsidR="00F03F66" w:rsidRDefault="00F03F66" w:rsidP="00F03F66">
      <w:pPr>
        <w:pStyle w:val="BodyText2USDE"/>
        <w:spacing w:after="0" w:line="360" w:lineRule="auto"/>
      </w:pPr>
    </w:p>
    <w:p w:rsidR="00F03F66" w:rsidRDefault="00F03F66" w:rsidP="00F03F66">
      <w:pPr>
        <w:pStyle w:val="BodyText2USDE"/>
        <w:spacing w:after="0" w:line="360" w:lineRule="auto"/>
      </w:pPr>
      <w:r>
        <w:tab/>
        <w:t>2.</w:t>
      </w:r>
      <w:r>
        <w:tab/>
        <w:t>Duquesne Light’s separate default supply procurement classes are:  (1)</w:t>
      </w:r>
      <w:r w:rsidR="007B6894">
        <w:t> </w:t>
      </w:r>
      <w:r>
        <w:t xml:space="preserve">Residential and Lighting (Residential) customers; (2) Small Commercial and Industrial (Small C&amp;I) customers with monthly metered demands less than 25 kW; (3) Medium Commercial and Industrial (Medium C&amp;I) customers with monthly metered demands equal to or greater than 25 kW and less than 300 kW; and (4) Large Commercial and Industrial (Large C&amp;I) customers with monthly metered demands equal to or greater than 300 kW.  </w:t>
      </w:r>
      <w:proofErr w:type="gramStart"/>
      <w:r>
        <w:t>(Duquesne Light Ex. No. 1, pp.</w:t>
      </w:r>
      <w:r w:rsidR="00912034">
        <w:t> </w:t>
      </w:r>
      <w:r>
        <w:t>3</w:t>
      </w:r>
      <w:r w:rsidR="00912034">
        <w:noBreakHyphen/>
      </w:r>
      <w:r>
        <w:t>19.)</w:t>
      </w:r>
      <w:proofErr w:type="gramEnd"/>
    </w:p>
    <w:p w:rsidR="00912034" w:rsidRDefault="00912034" w:rsidP="00F03F66">
      <w:pPr>
        <w:pStyle w:val="BodyText2USDE"/>
        <w:spacing w:after="0" w:line="360" w:lineRule="auto"/>
      </w:pPr>
    </w:p>
    <w:p w:rsidR="00F03F66" w:rsidRDefault="00F03F66" w:rsidP="00912034">
      <w:pPr>
        <w:pStyle w:val="BodyText2USDE"/>
        <w:spacing w:after="0" w:line="360" w:lineRule="auto"/>
        <w:ind w:firstLine="1440"/>
      </w:pPr>
      <w:r>
        <w:t>3.</w:t>
      </w:r>
      <w:r>
        <w:tab/>
      </w:r>
      <w:r w:rsidRPr="00E13F06">
        <w:t>A full requirements contract requires a supplier to provide energy, capacity, ancillary services, AECs and any other services or products necessary to serve a specified percentage of default service load 24 hours a day, for the term of the contract.  Because the contract is “load-following,” the amount of energy and other services and products a supplier must provide will vary depending upon Duquesne Light’s actual default service load</w:t>
      </w:r>
      <w:r>
        <w:t xml:space="preserve">.  </w:t>
      </w:r>
      <w:proofErr w:type="gramStart"/>
      <w:r>
        <w:t>(Duquesne Light Ex. No. 1, p. 3.)</w:t>
      </w:r>
      <w:proofErr w:type="gramEnd"/>
      <w:r>
        <w:t xml:space="preserve"> </w:t>
      </w:r>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4.</w:t>
      </w:r>
      <w:r>
        <w:tab/>
        <w:t xml:space="preserve">On September 11, 2014, the Commission extended the final Small C&amp;I procurement term under the Default Service Plan VI (DSP VI) by </w:t>
      </w:r>
      <w:r w:rsidR="007B6894">
        <w:t>six</w:t>
      </w:r>
      <w:r>
        <w:t xml:space="preserve"> months to a one-year term so that the DSP VI contract would extend through November 2015 and replace the 6-month contract scheduled to be procured in February 2015.  </w:t>
      </w:r>
      <w:r w:rsidRPr="0086034A">
        <w:t>(</w:t>
      </w:r>
      <w:r w:rsidRPr="0086034A">
        <w:rPr>
          <w:i/>
        </w:rPr>
        <w:t>P</w:t>
      </w:r>
      <w:r w:rsidRPr="00E52881">
        <w:rPr>
          <w:i/>
        </w:rPr>
        <w:t xml:space="preserve">etition of Duquesne Light Company </w:t>
      </w:r>
      <w:proofErr w:type="gramStart"/>
      <w:r w:rsidRPr="00E52881">
        <w:rPr>
          <w:i/>
        </w:rPr>
        <w:t>For</w:t>
      </w:r>
      <w:proofErr w:type="gramEnd"/>
      <w:r w:rsidRPr="00E52881">
        <w:rPr>
          <w:i/>
        </w:rPr>
        <w:t xml:space="preserve"> Approval of Revisions to Its Approved Default Service Plan VI</w:t>
      </w:r>
      <w:r w:rsidRPr="0042058E">
        <w:rPr>
          <w:i/>
        </w:rPr>
        <w:t>,</w:t>
      </w:r>
      <w:r>
        <w:t xml:space="preserve"> Docket No. P-2012-2301664, Final Order entered September 11, 2014.)</w:t>
      </w:r>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5.</w:t>
      </w:r>
      <w:r>
        <w:tab/>
        <w:t xml:space="preserve">The Small C&amp;I and Residential customer classes have similar shopping levels and market sophistication.  As of March 2014, 48.3% of Duquesne Light’s Small C&amp;I load and 46.5% of Residential load were served by alternative suppliers.  </w:t>
      </w:r>
      <w:proofErr w:type="gramStart"/>
      <w:r>
        <w:t>(Duquesne Light Ex. NSF-1, pp. 2-3.)</w:t>
      </w:r>
      <w:proofErr w:type="gramEnd"/>
      <w:r>
        <w:t xml:space="preserve"> </w:t>
      </w:r>
    </w:p>
    <w:p w:rsidR="00F03F66" w:rsidRDefault="00F03F66" w:rsidP="00912034">
      <w:pPr>
        <w:pStyle w:val="BodyText2USDE"/>
        <w:spacing w:after="0" w:line="360" w:lineRule="auto"/>
        <w:ind w:firstLine="1440"/>
      </w:pPr>
    </w:p>
    <w:p w:rsidR="00F03F66" w:rsidRDefault="00F03F66" w:rsidP="00912034">
      <w:pPr>
        <w:pStyle w:val="BodyText2"/>
        <w:spacing w:after="0" w:line="360" w:lineRule="auto"/>
        <w:ind w:firstLine="1440"/>
        <w:rPr>
          <w:lang w:val="en-US"/>
        </w:rPr>
      </w:pPr>
      <w:r>
        <w:rPr>
          <w:lang w:val="en-US"/>
        </w:rPr>
        <w:t>6</w:t>
      </w:r>
      <w:r>
        <w:t>.</w:t>
      </w:r>
      <w:r>
        <w:tab/>
        <w:t>The DSP VII procurement plan for Small C&amp;I customers</w:t>
      </w:r>
      <w:r>
        <w:rPr>
          <w:lang w:val="en-US"/>
        </w:rPr>
        <w:t>, as proposed by the Company,</w:t>
      </w:r>
      <w:r>
        <w:t xml:space="preserve"> is the same procurement plan Small C&amp;I customers currently </w:t>
      </w:r>
      <w:r>
        <w:rPr>
          <w:lang w:val="en-US"/>
        </w:rPr>
        <w:t>are</w:t>
      </w:r>
      <w:r>
        <w:t xml:space="preserve"> offered under DSP VI</w:t>
      </w:r>
      <w:r>
        <w:rPr>
          <w:lang w:val="en-US"/>
        </w:rPr>
        <w:t xml:space="preserve"> and </w:t>
      </w:r>
      <w:r>
        <w:t xml:space="preserve">is not a step backwards in providing market responsive rates for Small C&amp;I customers. </w:t>
      </w:r>
      <w:r>
        <w:rPr>
          <w:lang w:val="en-US"/>
        </w:rPr>
        <w:t xml:space="preserve"> </w:t>
      </w:r>
      <w:r>
        <w:t>(Duquesne Light St. No. 3-R, pp. 29-30.)</w:t>
      </w:r>
    </w:p>
    <w:p w:rsidR="00F03F66" w:rsidRPr="001C5ADA" w:rsidRDefault="00F03F66" w:rsidP="00912034">
      <w:pPr>
        <w:pStyle w:val="BodyText2"/>
        <w:spacing w:after="0" w:line="360" w:lineRule="auto"/>
        <w:ind w:firstLine="1440"/>
        <w:rPr>
          <w:lang w:val="en-US"/>
        </w:rPr>
      </w:pPr>
    </w:p>
    <w:p w:rsidR="00F03F66" w:rsidRDefault="00F03F66" w:rsidP="00912034">
      <w:pPr>
        <w:pStyle w:val="BodyText2"/>
        <w:spacing w:after="0" w:line="360" w:lineRule="auto"/>
        <w:ind w:firstLine="1440"/>
        <w:rPr>
          <w:lang w:val="en-US"/>
        </w:rPr>
      </w:pPr>
      <w:r>
        <w:rPr>
          <w:lang w:val="en-US"/>
        </w:rPr>
        <w:t>7</w:t>
      </w:r>
      <w:r>
        <w:t>.</w:t>
      </w:r>
      <w:r>
        <w:tab/>
        <w:t xml:space="preserve">RESA’s Small C&amp;I procurement proposal </w:t>
      </w:r>
      <w:r>
        <w:rPr>
          <w:lang w:val="en-US"/>
        </w:rPr>
        <w:t xml:space="preserve">includes </w:t>
      </w:r>
      <w:r>
        <w:t xml:space="preserve">two “hard stops” of </w:t>
      </w:r>
      <w:r>
        <w:rPr>
          <w:lang w:val="en-US"/>
        </w:rPr>
        <w:t xml:space="preserve">electricity </w:t>
      </w:r>
      <w:r>
        <w:t>suppl</w:t>
      </w:r>
      <w:r>
        <w:rPr>
          <w:lang w:val="en-US"/>
        </w:rPr>
        <w:t>y</w:t>
      </w:r>
      <w:r>
        <w:t xml:space="preserve"> in the procurement plan.</w:t>
      </w:r>
      <w:r w:rsidR="0086034A">
        <w:rPr>
          <w:lang w:val="en-US"/>
        </w:rPr>
        <w:t xml:space="preserve"> </w:t>
      </w:r>
      <w:r>
        <w:t xml:space="preserve"> </w:t>
      </w:r>
      <w:r>
        <w:rPr>
          <w:lang w:val="en-US"/>
        </w:rPr>
        <w:t xml:space="preserve">“Hard stops” expose customers to rate instability and risk.   </w:t>
      </w:r>
      <w:r>
        <w:t>(</w:t>
      </w:r>
      <w:r w:rsidRPr="0078605E">
        <w:t>Duquesne Light St. No. 3-R, pp. 14-18</w:t>
      </w:r>
      <w:r>
        <w:rPr>
          <w:lang w:val="en-US"/>
        </w:rPr>
        <w:t xml:space="preserve">; </w:t>
      </w:r>
      <w:r>
        <w:t xml:space="preserve">Duquesne Light St. No. 3-SR, p. 7.) </w:t>
      </w:r>
    </w:p>
    <w:p w:rsidR="00F03F66" w:rsidRPr="001C5ADA" w:rsidRDefault="00F03F66" w:rsidP="00912034">
      <w:pPr>
        <w:pStyle w:val="BodyText2"/>
        <w:spacing w:after="0" w:line="360" w:lineRule="auto"/>
        <w:ind w:firstLine="1440"/>
        <w:rPr>
          <w:lang w:val="en-US"/>
        </w:rPr>
      </w:pPr>
    </w:p>
    <w:p w:rsidR="00F03F66" w:rsidRDefault="00F03F66" w:rsidP="00912034">
      <w:pPr>
        <w:pStyle w:val="BodyText2USDE"/>
        <w:spacing w:after="0" w:line="360" w:lineRule="auto"/>
        <w:ind w:firstLine="1440"/>
      </w:pPr>
      <w:r>
        <w:t>8.</w:t>
      </w:r>
      <w:r>
        <w:tab/>
        <w:t xml:space="preserve">Duquesne Light’s proposed Small C&amp;I supply product portfolio will facilitate retail competition, provide a more predictable and stable default service rate, make it easier for EGSs to market savings off of the default service rate, make it easier for customers to compare EGS offers with default service rates, and make it easier for shopping customers to more confidently make retail supply decisions.  </w:t>
      </w:r>
      <w:proofErr w:type="gramStart"/>
      <w:r>
        <w:t>(Duquesne Light St. No. 3-R, p. 20.)</w:t>
      </w:r>
      <w:proofErr w:type="gramEnd"/>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9.</w:t>
      </w:r>
      <w:r>
        <w:tab/>
        <w:t xml:space="preserve">The Company’s proposed electricity supply plan for Medium C&amp;I customers would move from six-month supply contracts without laddering under DSP VI to three-month supply contracts without laddering under the DSP VII Plan, making default service rates for Medium C&amp;I customers more responsive to market changes during the DSP VII default service period.  Duquesne Light’s proposed procurement methodology for Medium C&amp;I customers for DSP VII is more market responsive than the methodology in the current DSP VI Plan.  </w:t>
      </w:r>
      <w:proofErr w:type="gramStart"/>
      <w:r>
        <w:t>(Duquesne Light Ex. No. 1, p. 12.)</w:t>
      </w:r>
      <w:proofErr w:type="gramEnd"/>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10.</w:t>
      </w:r>
      <w:r>
        <w:tab/>
        <w:t xml:space="preserve">Approximately 72% of Duquesne Light’s Medium C&amp;I customer load shops as of March 2014.  </w:t>
      </w:r>
      <w:proofErr w:type="gramStart"/>
      <w:r>
        <w:t>(Duquesne Light Ex. NSF-1, p. 3.)</w:t>
      </w:r>
      <w:proofErr w:type="gramEnd"/>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11.</w:t>
      </w:r>
      <w:r>
        <w:tab/>
        <w:t xml:space="preserve">Reducing the threshold for hourly priced service in Duquesne Light’s service territory from 300 kW to 100 kW would produce rate instability.  </w:t>
      </w:r>
      <w:proofErr w:type="gramStart"/>
      <w:r>
        <w:t>(OSBA St. No. 2, pp.</w:t>
      </w:r>
      <w:r w:rsidR="00F83859">
        <w:t> </w:t>
      </w:r>
      <w:r>
        <w:t>3-4.)</w:t>
      </w:r>
      <w:proofErr w:type="gramEnd"/>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12.</w:t>
      </w:r>
      <w:r>
        <w:tab/>
        <w:t xml:space="preserve">Approximately 42% of the Medium C&amp;I load would be carved out of the Medium C&amp;I procurements if the threshold was reduced to 100 kW and the remaining load for the Medium C&amp;I customers (with demands between 25 kW to 100 kW) would be too small and insufficient to attract potential RFP suppliers.  </w:t>
      </w:r>
      <w:proofErr w:type="gramStart"/>
      <w:r>
        <w:t>(Duquesne Light St. No. 2-SR, p. 3.)</w:t>
      </w:r>
      <w:proofErr w:type="gramEnd"/>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13.</w:t>
      </w:r>
      <w:r>
        <w:tab/>
        <w:t xml:space="preserve">Duquesne Light has one of the lowest kilowatt demand thresholds for hourly priced default service in the country.  </w:t>
      </w:r>
      <w:proofErr w:type="gramStart"/>
      <w:r>
        <w:t>(Duquesne Light St. No. 3, p. 5.)</w:t>
      </w:r>
      <w:proofErr w:type="gramEnd"/>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14.</w:t>
      </w:r>
      <w:r>
        <w:tab/>
        <w:t xml:space="preserve">Duquesne Light’s Large C&amp;I customer class consists of customers with demand equal to or greater than 300 kW.  </w:t>
      </w:r>
      <w:proofErr w:type="gramStart"/>
      <w:r>
        <w:t>(Duquesne Light St. No. 2, p. 6.)</w:t>
      </w:r>
      <w:proofErr w:type="gramEnd"/>
    </w:p>
    <w:p w:rsidR="00F03F66" w:rsidRDefault="00F03F66" w:rsidP="00912034">
      <w:pPr>
        <w:pStyle w:val="BodyText2USDE"/>
        <w:spacing w:after="0" w:line="360" w:lineRule="auto"/>
        <w:ind w:firstLine="1440"/>
      </w:pPr>
      <w:r>
        <w:t>15.</w:t>
      </w:r>
      <w:r>
        <w:tab/>
        <w:t xml:space="preserve">Approximately 96% of the Large C&amp;I load shops with an EGS.  </w:t>
      </w:r>
      <w:proofErr w:type="gramStart"/>
      <w:r>
        <w:t>(Duquesne Light St. No. 2-R, p. 9.)</w:t>
      </w:r>
      <w:proofErr w:type="gramEnd"/>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16.</w:t>
      </w:r>
      <w:r>
        <w:tab/>
        <w:t xml:space="preserve">Duquesne Light procures default supplies for Large C&amp;I customers through the PJM day-ahead hourly spot market.  Capacity is procured through PJM’s Reliability Pricing Model auction construct.  All of these costs are passed through to Large C&amp;I customers with no mark-up by Duquesne Light.  </w:t>
      </w:r>
      <w:proofErr w:type="gramStart"/>
      <w:r>
        <w:t>(Duquesne Light St. No. 3-RJ, p. 4.)</w:t>
      </w:r>
      <w:proofErr w:type="gramEnd"/>
      <w:r>
        <w:t xml:space="preserve"> </w:t>
      </w:r>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17.</w:t>
      </w:r>
      <w:r>
        <w:tab/>
        <w:t>Duquesne Light currently charges Large C&amp;I default service customers a Fixed Retail Adder of $4.49 per MWH to recover administrative costs for providing hourly priced service, which includes PJM related costs, billing costs, Information Technology (IT) costs, accounting costs and other related costs to provide this service.  The $4.49 per MWH cost reasonably reflects Duquesne Light’s actual costs for providing hourly priced service.</w:t>
      </w:r>
      <w:r w:rsidRPr="006C7EB2">
        <w:t xml:space="preserve"> </w:t>
      </w:r>
      <w:r>
        <w:t xml:space="preserve"> </w:t>
      </w:r>
      <w:proofErr w:type="gramStart"/>
      <w:r w:rsidRPr="00386F2E">
        <w:t>(Duquesne Light St. No. 4-R, p. 17</w:t>
      </w:r>
      <w:r>
        <w:t>, 18</w:t>
      </w:r>
      <w:r w:rsidRPr="00386F2E">
        <w:t>.)</w:t>
      </w:r>
      <w:proofErr w:type="gramEnd"/>
      <w:r w:rsidRPr="00386F2E">
        <w:t xml:space="preserve"> </w:t>
      </w:r>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18.</w:t>
      </w:r>
      <w:r>
        <w:tab/>
        <w:t xml:space="preserve">The Company’s administrative costs for providing hourly priced service are largely tied to PJM interface and billing related costs that would remain even if a third party provided hourly priced service, and Duquesne Light continued to do the billing and reconciliation.  </w:t>
      </w:r>
      <w:proofErr w:type="gramStart"/>
      <w:r>
        <w:t>(Duquesne Light St. No. 4-R, p. 18.)</w:t>
      </w:r>
      <w:proofErr w:type="gramEnd"/>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19.</w:t>
      </w:r>
      <w:r>
        <w:tab/>
        <w:t xml:space="preserve">Large C&amp;I customers have expressed a desire for Duquesne Light to provide hourly priced service.  </w:t>
      </w:r>
      <w:proofErr w:type="gramStart"/>
      <w:r>
        <w:t>(Duquesne Light St. No. 3-R, p. 7.)</w:t>
      </w:r>
      <w:proofErr w:type="gramEnd"/>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20.</w:t>
      </w:r>
      <w:r>
        <w:tab/>
        <w:t xml:space="preserve">Under the Company’s proposal, wholesale suppliers providing default supplies as the winning bidders in RFPs will provide the AECs required for the Company to comply with the Alternative Energy Portfolio Standards Act of 2004, 73 P.S. § 1648.1 </w:t>
      </w:r>
      <w:r w:rsidR="004111D6">
        <w:t>–</w:t>
      </w:r>
      <w:r>
        <w:t xml:space="preserve"> 1648.8 (AEPS Act) for the load that each wholesale supplier provides.  (Duquesne Light St. No. 2, pp.</w:t>
      </w:r>
      <w:r w:rsidR="005A7973">
        <w:t> </w:t>
      </w:r>
      <w:r>
        <w:t>6-7.)</w:t>
      </w:r>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21.</w:t>
      </w:r>
      <w:r>
        <w:tab/>
        <w:t>Duquesne Light proposed in DSP VII to use the same methodology for procuring AECs for Residential, Small C&amp;I, Medium C&amp;I and Large C&amp;I customers currently used in the DSP VI procurements, as approved by the Commission previously.  (</w:t>
      </w:r>
      <w:r w:rsidRPr="00001C42">
        <w:rPr>
          <w:i/>
        </w:rPr>
        <w:t>Petition of Duquesne Light Company for Approval of a Default Service Program and Procurement Plan for the Period June 1, 2013 through May 31, 2015</w:t>
      </w:r>
      <w:r>
        <w:t>, Docket No. P-2012-2301665, Order entered January 25, 2013 [</w:t>
      </w:r>
      <w:r w:rsidRPr="0063399C">
        <w:rPr>
          <w:u w:val="single"/>
        </w:rPr>
        <w:t>DSP VI Order</w:t>
      </w:r>
      <w:r>
        <w:t>]).</w:t>
      </w:r>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22.</w:t>
      </w:r>
      <w:r>
        <w:tab/>
        <w:t xml:space="preserve">The Commission approved Duquesne Light’s current DSP VI procurement plan, and did </w:t>
      </w:r>
      <w:r w:rsidRPr="00B216E1">
        <w:t xml:space="preserve">not </w:t>
      </w:r>
      <w:r>
        <w:t xml:space="preserve">include long-term contracts for either energy or AECs.  </w:t>
      </w:r>
      <w:proofErr w:type="gramStart"/>
      <w:r>
        <w:t>(</w:t>
      </w:r>
      <w:r w:rsidRPr="00133309">
        <w:rPr>
          <w:u w:val="single"/>
        </w:rPr>
        <w:t>DSP VI Order</w:t>
      </w:r>
      <w:r>
        <w:rPr>
          <w:u w:val="single"/>
        </w:rPr>
        <w:t>)</w:t>
      </w:r>
      <w:r>
        <w:rPr>
          <w:i/>
        </w:rPr>
        <w:t>.</w:t>
      </w:r>
      <w:proofErr w:type="gramEnd"/>
      <w:r>
        <w:t xml:space="preserve"> </w:t>
      </w:r>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23.</w:t>
      </w:r>
      <w:r>
        <w:tab/>
        <w:t xml:space="preserve">AEC credits are a small percentage of default service costs and are unlikely to </w:t>
      </w:r>
      <w:proofErr w:type="spellStart"/>
      <w:proofErr w:type="gramStart"/>
      <w:r>
        <w:t>effect</w:t>
      </w:r>
      <w:proofErr w:type="spellEnd"/>
      <w:proofErr w:type="gramEnd"/>
      <w:r>
        <w:t xml:space="preserve"> rate stability.  </w:t>
      </w:r>
      <w:proofErr w:type="gramStart"/>
      <w:r>
        <w:t>(Duquesne St. No. 3-RJ, p. 12.)</w:t>
      </w:r>
      <w:proofErr w:type="gramEnd"/>
      <w:r>
        <w:t xml:space="preserve">  </w:t>
      </w:r>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24.</w:t>
      </w:r>
      <w:r>
        <w:tab/>
      </w:r>
      <w:r w:rsidRPr="00CD0770">
        <w:t xml:space="preserve">Duquesne Light’s </w:t>
      </w:r>
      <w:r>
        <w:t xml:space="preserve">proposed </w:t>
      </w:r>
      <w:r w:rsidRPr="00CD0770">
        <w:t xml:space="preserve">AEC </w:t>
      </w:r>
      <w:r>
        <w:t xml:space="preserve">procurement plan includes tailored and separate supply portfolios for each customer class and takes into account the benefits of price stability, the different shopping properties of each customer class, and the Commission’s desire to further develop the competitive market.  </w:t>
      </w:r>
      <w:proofErr w:type="gramStart"/>
      <w:r>
        <w:t>(Duquesne Light St. No. 3, p. 22.)</w:t>
      </w:r>
      <w:proofErr w:type="gramEnd"/>
      <w:r>
        <w:t xml:space="preserve">  </w:t>
      </w:r>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25.</w:t>
      </w:r>
      <w:r>
        <w:tab/>
        <w:t xml:space="preserve">The Company currently recovers PJM Interconnection, LLC (PJM) charges, including Network Integration Transmission Service (NITS), Regional Transmission Expansion (RTEP), Generation Deactivation Charges and Unaccounted for Energy (UFE) charges from default service customers through the Company’s Transmission Service Charge (TSC). </w:t>
      </w:r>
      <w:r w:rsidRPr="00E8264C">
        <w:t xml:space="preserve"> </w:t>
      </w:r>
      <w:proofErr w:type="gramStart"/>
      <w:r>
        <w:t>(Duquesne Light St. No. 4-RJ, p. 5.)</w:t>
      </w:r>
      <w:proofErr w:type="gramEnd"/>
    </w:p>
    <w:p w:rsidR="00F03F66" w:rsidRDefault="00F03F66" w:rsidP="00912034">
      <w:pPr>
        <w:pStyle w:val="BodyText2USDE"/>
        <w:spacing w:after="0" w:line="360" w:lineRule="auto"/>
        <w:ind w:firstLine="1440"/>
      </w:pPr>
    </w:p>
    <w:p w:rsidR="00F03F66" w:rsidRDefault="00F03F66" w:rsidP="00912034">
      <w:pPr>
        <w:pStyle w:val="BodyText2USDE"/>
        <w:spacing w:after="0" w:line="360" w:lineRule="auto"/>
        <w:ind w:firstLine="1440"/>
      </w:pPr>
      <w:r>
        <w:t>26.</w:t>
      </w:r>
      <w:r>
        <w:tab/>
        <w:t>Duquesne Light’s non-market based transmission cost (NMB Transmission Cost) recovery methodology is not anti-c</w:t>
      </w:r>
      <w:r w:rsidRPr="002C281A">
        <w:t>ompetitive</w:t>
      </w:r>
      <w:r>
        <w:t>.</w:t>
      </w:r>
      <w:r w:rsidRPr="002C281A">
        <w:t xml:space="preserve"> </w:t>
      </w:r>
      <w:r w:rsidR="00041FCB">
        <w:t xml:space="preserve"> </w:t>
      </w:r>
      <w:proofErr w:type="gramStart"/>
      <w:r>
        <w:t>(</w:t>
      </w:r>
      <w:r w:rsidRPr="002C281A">
        <w:t>Duquesne Light St. No. 4-RJ, pp. 5-6.</w:t>
      </w:r>
      <w:r>
        <w:t>)</w:t>
      </w:r>
      <w:proofErr w:type="gramEnd"/>
      <w:r w:rsidRPr="002C281A">
        <w:t xml:space="preserve">  </w:t>
      </w:r>
    </w:p>
    <w:p w:rsidR="00F03F66" w:rsidRDefault="00F03F66" w:rsidP="00DF1DA0">
      <w:pPr>
        <w:pStyle w:val="BodyText2USDE"/>
        <w:spacing w:after="0"/>
        <w:ind w:firstLine="1440"/>
        <w:jc w:val="both"/>
      </w:pPr>
    </w:p>
    <w:p w:rsidR="00603978" w:rsidRPr="00436EE4" w:rsidRDefault="009E3632" w:rsidP="00436EE4">
      <w:pPr>
        <w:autoSpaceDE/>
        <w:autoSpaceDN/>
        <w:spacing w:line="360" w:lineRule="auto"/>
        <w:jc w:val="center"/>
        <w:rPr>
          <w:spacing w:val="-3"/>
          <w:u w:val="single"/>
        </w:rPr>
      </w:pPr>
      <w:r w:rsidRPr="00436EE4">
        <w:rPr>
          <w:spacing w:val="-3"/>
        </w:rPr>
        <w:t>III.</w:t>
      </w:r>
      <w:r w:rsidRPr="00436EE4">
        <w:rPr>
          <w:spacing w:val="-3"/>
        </w:rPr>
        <w:tab/>
      </w:r>
      <w:r w:rsidRPr="00436EE4">
        <w:rPr>
          <w:spacing w:val="-3"/>
          <w:u w:val="single"/>
        </w:rPr>
        <w:t>DESCRIPTION OF DEFAULT SERVICE PROVIDER</w:t>
      </w:r>
    </w:p>
    <w:p w:rsidR="004F1055" w:rsidRPr="00436EE4" w:rsidRDefault="00603978" w:rsidP="00436EE4">
      <w:pPr>
        <w:autoSpaceDE/>
        <w:autoSpaceDN/>
        <w:spacing w:line="360" w:lineRule="auto"/>
        <w:jc w:val="center"/>
        <w:rPr>
          <w:spacing w:val="-3"/>
          <w:u w:val="single"/>
        </w:rPr>
      </w:pPr>
      <w:r w:rsidRPr="00436EE4">
        <w:rPr>
          <w:spacing w:val="-3"/>
        </w:rPr>
        <w:t>Duquesne Light Company</w:t>
      </w:r>
      <w:r w:rsidR="009E3632" w:rsidRPr="00436EE4">
        <w:rPr>
          <w:spacing w:val="-3"/>
          <w:u w:val="single"/>
        </w:rPr>
        <w:fldChar w:fldCharType="begin"/>
      </w:r>
      <w:r w:rsidR="009E3632" w:rsidRPr="00436EE4">
        <w:instrText xml:space="preserve"> TC "</w:instrText>
      </w:r>
      <w:r w:rsidR="009E3632" w:rsidRPr="00436EE4">
        <w:rPr>
          <w:spacing w:val="-3"/>
        </w:rPr>
        <w:instrText>I.</w:instrText>
      </w:r>
      <w:r w:rsidR="009E3632" w:rsidRPr="00436EE4">
        <w:rPr>
          <w:spacing w:val="-3"/>
        </w:rPr>
        <w:tab/>
      </w:r>
      <w:r w:rsidR="009E3632" w:rsidRPr="00436EE4">
        <w:rPr>
          <w:spacing w:val="-3"/>
          <w:u w:val="single"/>
        </w:rPr>
        <w:instrText>HISTORY OF THE PROCEEDING</w:instrText>
      </w:r>
      <w:r w:rsidR="009E3632" w:rsidRPr="00436EE4">
        <w:instrText xml:space="preserve">" \f C \l "1" </w:instrText>
      </w:r>
      <w:r w:rsidR="009E3632" w:rsidRPr="00436EE4">
        <w:rPr>
          <w:spacing w:val="-3"/>
          <w:u w:val="single"/>
        </w:rPr>
        <w:fldChar w:fldCharType="end"/>
      </w:r>
    </w:p>
    <w:p w:rsidR="00BC7E4E" w:rsidRDefault="00BC7E4E" w:rsidP="00DF1DA0">
      <w:pPr>
        <w:autoSpaceDE/>
        <w:autoSpaceDN/>
        <w:spacing w:line="360" w:lineRule="auto"/>
        <w:ind w:firstLine="1440"/>
        <w:rPr>
          <w:spacing w:val="-3"/>
        </w:rPr>
      </w:pPr>
    </w:p>
    <w:p w:rsidR="007A18C9" w:rsidRPr="00244823" w:rsidRDefault="007A18C9" w:rsidP="00A92F02">
      <w:pPr>
        <w:spacing w:line="360" w:lineRule="auto"/>
        <w:ind w:firstLine="1440"/>
      </w:pPr>
      <w:r>
        <w:t>Duquesne Light is a public utility as that term is defined under Section 102 of the Public Utility Code, 66 Pa.C.S.</w:t>
      </w:r>
      <w:r w:rsidR="007A68F1">
        <w:t>A.</w:t>
      </w:r>
      <w:r>
        <w:t xml:space="preserve"> §</w:t>
      </w:r>
      <w:r w:rsidR="00683BE1">
        <w:t xml:space="preserve"> </w:t>
      </w:r>
      <w:r>
        <w:t>102, certified by the Commission to provide electric service in the City of Pittsburgh and in Allegheny and Beaver Counties in Pennsylvania.  Duquesne Light is also an “electric distribution compan</w:t>
      </w:r>
      <w:r w:rsidR="00A92F02">
        <w:t>y” (</w:t>
      </w:r>
      <w:r>
        <w:t>EDC) and</w:t>
      </w:r>
      <w:r w:rsidR="00A92F02">
        <w:t xml:space="preserve"> a “default service provider” (</w:t>
      </w:r>
      <w:r>
        <w:t>DSP), as those terms are defined under Section 2803 of the Public Utility Code,</w:t>
      </w:r>
      <w:r>
        <w:rPr>
          <w:rStyle w:val="FootnoteReference"/>
        </w:rPr>
        <w:footnoteReference w:id="2"/>
      </w:r>
      <w:r>
        <w:t xml:space="preserve"> </w:t>
      </w:r>
      <w:r w:rsidR="00633321">
        <w:t xml:space="preserve">and </w:t>
      </w:r>
      <w:r>
        <w:t>which currently provides electric distribut</w:t>
      </w:r>
      <w:r w:rsidR="00465909">
        <w:t>ion service to approximately 590</w:t>
      </w:r>
      <w:r>
        <w:t>,000 customers.</w:t>
      </w:r>
    </w:p>
    <w:p w:rsidR="007A18C9" w:rsidRDefault="007A18C9" w:rsidP="00A92F02">
      <w:pPr>
        <w:autoSpaceDE/>
        <w:autoSpaceDN/>
        <w:spacing w:line="360" w:lineRule="auto"/>
        <w:rPr>
          <w:spacing w:val="-3"/>
        </w:rPr>
      </w:pPr>
    </w:p>
    <w:p w:rsidR="00A92F02" w:rsidRDefault="00A92F02" w:rsidP="00A92F02">
      <w:pPr>
        <w:pStyle w:val="BodyText2"/>
        <w:spacing w:after="0" w:line="360" w:lineRule="auto"/>
        <w:ind w:firstLine="1440"/>
      </w:pPr>
      <w:r>
        <w:t xml:space="preserve">Duquesne Light has been a leader among utilities across the country in developing default service plans that both promote high levels of competition and provide reasonable default service rates, along with appropriate levels of rate stability for customers that do not choose to shop.  Duquesne Light currently has one of the most successful retail access programs in the country, with 75% of the Company’s load receiving supply from an </w:t>
      </w:r>
      <w:r>
        <w:rPr>
          <w:lang w:val="en-US"/>
        </w:rPr>
        <w:t>Electric Generation Supplier (</w:t>
      </w:r>
      <w:r>
        <w:t>EGS</w:t>
      </w:r>
      <w:r>
        <w:rPr>
          <w:lang w:val="en-US"/>
        </w:rPr>
        <w:t>)</w:t>
      </w:r>
      <w:r>
        <w:t xml:space="preserve">, as of March 2014.  Duquesne Light is among the top electric utilities in the United States in terms of percentage of load receiving service from a competitive supplier.  </w:t>
      </w:r>
    </w:p>
    <w:p w:rsidR="00A92F02" w:rsidRDefault="00A92F02" w:rsidP="00A92F02">
      <w:pPr>
        <w:pStyle w:val="BodyText2"/>
        <w:spacing w:after="0" w:line="360" w:lineRule="auto"/>
        <w:rPr>
          <w:lang w:val="en-US"/>
        </w:rPr>
      </w:pPr>
    </w:p>
    <w:p w:rsidR="00A92F02" w:rsidRDefault="00A92F02" w:rsidP="00A92F02">
      <w:pPr>
        <w:pStyle w:val="BodyText2"/>
        <w:spacing w:after="0" w:line="360" w:lineRule="auto"/>
        <w:ind w:firstLine="1440"/>
      </w:pPr>
      <w:r>
        <w:t xml:space="preserve">Duquesne Light was one of the first utilities in the nation to offer hourly priced default service to all customers with demand equal to or greater than 300 kW, and has one of the lowest kilowatt demand thresholds for hourly priced default service for Large C&amp;I customers in the United States.  Moreover, 96% of the Company’s Large C&amp;I load is being served by an EGS.  Duquesne Light’s success in promoting customer shopping is not limited to larger customers.  As of March 2014, approximately 46.5% of the Company’s Residential load, 48% of the Company’s Small C&amp;I load and 72% of the Company’s Medium C&amp;I load was being served by an EGS.  </w:t>
      </w:r>
    </w:p>
    <w:p w:rsidR="00A92F02" w:rsidRDefault="00A92F02" w:rsidP="008E6311">
      <w:pPr>
        <w:pStyle w:val="BodyText2"/>
        <w:spacing w:after="0" w:line="360" w:lineRule="auto"/>
        <w:jc w:val="center"/>
        <w:rPr>
          <w:b/>
          <w:lang w:val="en-US"/>
        </w:rPr>
      </w:pPr>
    </w:p>
    <w:p w:rsidR="00C40FFC" w:rsidRPr="008C5AAB" w:rsidRDefault="00C40FFC" w:rsidP="00C40FFC">
      <w:pPr>
        <w:tabs>
          <w:tab w:val="left" w:pos="720"/>
          <w:tab w:val="left" w:pos="1440"/>
          <w:tab w:val="left" w:pos="2160"/>
          <w:tab w:val="right" w:leader="dot" w:pos="9360"/>
        </w:tabs>
        <w:spacing w:line="360" w:lineRule="auto"/>
        <w:jc w:val="center"/>
        <w:rPr>
          <w:u w:val="single"/>
        </w:rPr>
      </w:pPr>
      <w:r w:rsidRPr="008C5AAB">
        <w:t>I</w:t>
      </w:r>
      <w:r>
        <w:t>V</w:t>
      </w:r>
      <w:r w:rsidRPr="008C5AAB">
        <w:t>.</w:t>
      </w:r>
      <w:r w:rsidRPr="008C5AAB">
        <w:tab/>
      </w:r>
      <w:r w:rsidRPr="008C5AAB">
        <w:rPr>
          <w:u w:val="single"/>
        </w:rPr>
        <w:t>SETTLEMENT PROVISIONS AND STATEMENTS IN SUPPORT</w:t>
      </w:r>
    </w:p>
    <w:p w:rsidR="00C40FFC" w:rsidRDefault="00C40FFC" w:rsidP="00C40FFC">
      <w:pPr>
        <w:pStyle w:val="BodyText"/>
        <w:spacing w:after="0" w:line="360" w:lineRule="auto"/>
        <w:ind w:left="0" w:firstLine="0"/>
        <w:rPr>
          <w:lang w:val="en-US" w:eastAsia="en-US"/>
        </w:rPr>
      </w:pPr>
    </w:p>
    <w:p w:rsidR="00C40FFC" w:rsidRDefault="00C40FFC" w:rsidP="00C40FFC">
      <w:pPr>
        <w:pStyle w:val="BodyText2"/>
        <w:spacing w:after="0" w:line="360" w:lineRule="auto"/>
        <w:ind w:firstLine="1440"/>
      </w:pPr>
      <w:r>
        <w:rPr>
          <w:lang w:val="en-US"/>
        </w:rPr>
        <w:t xml:space="preserve">The following parties entered into a Settlement Stipulation:  </w:t>
      </w:r>
      <w:r>
        <w:t>Duquesne Light</w:t>
      </w:r>
      <w:r>
        <w:rPr>
          <w:lang w:val="en-US"/>
        </w:rPr>
        <w:t xml:space="preserve">, BIE, OCA, CAUSE-PA, </w:t>
      </w:r>
      <w:proofErr w:type="spellStart"/>
      <w:r>
        <w:rPr>
          <w:lang w:val="en-US"/>
        </w:rPr>
        <w:t>ExGen</w:t>
      </w:r>
      <w:proofErr w:type="spellEnd"/>
      <w:r>
        <w:rPr>
          <w:lang w:val="en-US"/>
        </w:rPr>
        <w:t xml:space="preserve">, </w:t>
      </w:r>
      <w:proofErr w:type="spellStart"/>
      <w:r>
        <w:rPr>
          <w:lang w:val="en-US"/>
        </w:rPr>
        <w:t>NextEra</w:t>
      </w:r>
      <w:proofErr w:type="spellEnd"/>
      <w:r>
        <w:rPr>
          <w:lang w:val="en-US"/>
        </w:rPr>
        <w:t>, and RESA</w:t>
      </w:r>
      <w:r>
        <w:t xml:space="preserve">.  </w:t>
      </w:r>
      <w:r>
        <w:rPr>
          <w:lang w:val="en-US"/>
        </w:rPr>
        <w:t>All parties in this proceeding either agreed to the Settlement or did not oppose it</w:t>
      </w:r>
      <w:r>
        <w:t>.</w:t>
      </w:r>
      <w:r>
        <w:rPr>
          <w:rStyle w:val="FootnoteReference"/>
        </w:rPr>
        <w:footnoteReference w:id="3"/>
      </w:r>
      <w:r>
        <w:rPr>
          <w:lang w:val="en-US"/>
        </w:rPr>
        <w:t xml:space="preserve">  </w:t>
      </w:r>
      <w:r>
        <w:t>The Settlement resolve</w:t>
      </w:r>
      <w:r>
        <w:rPr>
          <w:lang w:val="en-US"/>
        </w:rPr>
        <w:t>d</w:t>
      </w:r>
      <w:r>
        <w:t xml:space="preserve"> issues regarding the </w:t>
      </w:r>
      <w:r>
        <w:rPr>
          <w:lang w:val="en-US"/>
        </w:rPr>
        <w:t>r</w:t>
      </w:r>
      <w:proofErr w:type="spellStart"/>
      <w:r>
        <w:t>esidential</w:t>
      </w:r>
      <w:proofErr w:type="spellEnd"/>
      <w:r>
        <w:t xml:space="preserve"> default service procurement plan, the Standard Offer Program</w:t>
      </w:r>
      <w:r>
        <w:rPr>
          <w:lang w:val="en-US"/>
        </w:rPr>
        <w:t>,</w:t>
      </w:r>
      <w:r>
        <w:t xml:space="preserve"> the Time-of-Use Program, the Supply Master Agreement</w:t>
      </w:r>
      <w:r>
        <w:rPr>
          <w:lang w:val="en-US"/>
        </w:rPr>
        <w:t xml:space="preserve">, </w:t>
      </w:r>
      <w:r>
        <w:t>and unbundling of default service procurement costs.</w:t>
      </w:r>
      <w:r>
        <w:rPr>
          <w:rStyle w:val="FootnoteReference"/>
        </w:rPr>
        <w:footnoteReference w:id="4"/>
      </w:r>
      <w:r>
        <w:t xml:space="preserve">  The Settlement reserve</w:t>
      </w:r>
      <w:r>
        <w:rPr>
          <w:lang w:val="en-US"/>
        </w:rPr>
        <w:t>d</w:t>
      </w:r>
      <w:r>
        <w:t xml:space="preserve"> for litigation issues regarding the Small C&amp;I procurement plan, the Medium C&amp;I procurement plan, the Large C&amp;I procurement plan, procurement of alternative energy credits</w:t>
      </w:r>
      <w:r>
        <w:rPr>
          <w:lang w:val="en-US"/>
        </w:rPr>
        <w:t>,</w:t>
      </w:r>
      <w:r>
        <w:t xml:space="preserve"> and the methodology for recovering certain PJM transmission charges.  The issues that have been resolved by the Settlement Stipulation are addressed in </w:t>
      </w:r>
      <w:r>
        <w:rPr>
          <w:lang w:val="en-US"/>
        </w:rPr>
        <w:t>the p</w:t>
      </w:r>
      <w:r>
        <w:t xml:space="preserve">arties’ Statements in Support.  The issues that have been reserved for litigation </w:t>
      </w:r>
      <w:r>
        <w:rPr>
          <w:lang w:val="en-US"/>
        </w:rPr>
        <w:t>were</w:t>
      </w:r>
      <w:r>
        <w:t xml:space="preserve"> addressed in </w:t>
      </w:r>
      <w:r>
        <w:rPr>
          <w:lang w:val="en-US"/>
        </w:rPr>
        <w:t>the parties’</w:t>
      </w:r>
      <w:r>
        <w:t xml:space="preserve"> Main and Reply Briefs.</w:t>
      </w:r>
    </w:p>
    <w:p w:rsidR="00C40FFC" w:rsidRDefault="00C40FFC" w:rsidP="00C40FFC">
      <w:pPr>
        <w:pStyle w:val="Heading1"/>
        <w:numPr>
          <w:ilvl w:val="0"/>
          <w:numId w:val="0"/>
        </w:numPr>
        <w:spacing w:after="0" w:line="360" w:lineRule="auto"/>
        <w:jc w:val="left"/>
      </w:pPr>
    </w:p>
    <w:p w:rsidR="00C40FFC" w:rsidRPr="00C74F25" w:rsidRDefault="00C40FFC" w:rsidP="00C40FFC">
      <w:pPr>
        <w:pStyle w:val="Heading1"/>
        <w:numPr>
          <w:ilvl w:val="0"/>
          <w:numId w:val="27"/>
        </w:numPr>
        <w:spacing w:after="0" w:line="360" w:lineRule="auto"/>
        <w:ind w:left="720" w:hanging="720"/>
        <w:jc w:val="left"/>
        <w:rPr>
          <w:b w:val="0"/>
        </w:rPr>
      </w:pPr>
      <w:r w:rsidRPr="00C74F25">
        <w:rPr>
          <w:b w:val="0"/>
          <w:caps w:val="0"/>
        </w:rPr>
        <w:t>Specific Settlement Terms</w:t>
      </w:r>
    </w:p>
    <w:p w:rsidR="00C40FFC" w:rsidRPr="005B5869" w:rsidRDefault="00C40FFC" w:rsidP="00C40FFC">
      <w:pPr>
        <w:pStyle w:val="Heading2"/>
        <w:numPr>
          <w:ilvl w:val="0"/>
          <w:numId w:val="0"/>
        </w:numPr>
        <w:spacing w:after="0" w:line="360" w:lineRule="auto"/>
        <w:jc w:val="left"/>
        <w:rPr>
          <w:b w:val="0"/>
        </w:rPr>
      </w:pPr>
    </w:p>
    <w:p w:rsidR="00C40FFC" w:rsidRPr="00C1508B" w:rsidRDefault="00C40FFC" w:rsidP="00C74F25">
      <w:pPr>
        <w:pStyle w:val="Heading2"/>
        <w:numPr>
          <w:ilvl w:val="0"/>
          <w:numId w:val="28"/>
        </w:numPr>
        <w:spacing w:after="0" w:line="360" w:lineRule="auto"/>
        <w:ind w:left="1440" w:hanging="720"/>
        <w:jc w:val="left"/>
        <w:rPr>
          <w:b w:val="0"/>
          <w:u w:val="single"/>
        </w:rPr>
      </w:pPr>
      <w:r w:rsidRPr="00C1508B">
        <w:rPr>
          <w:b w:val="0"/>
          <w:caps w:val="0"/>
          <w:u w:val="single"/>
        </w:rPr>
        <w:t>Residential Procurement Issues</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Duquesne Light proposed to acquire default service supplies for Residential customers through twelve-month, laddered full-requirements supply contracts from third party suppliers, obtained through semi-annual requests for proposals.</w:t>
      </w:r>
      <w:r>
        <w:rPr>
          <w:rStyle w:val="FootnoteReference"/>
        </w:rPr>
        <w:footnoteReference w:id="5"/>
      </w:r>
      <w:r>
        <w:t xml:space="preserve">  Unlike Duquesne Light’s current default service plan, which provides Residential customers with twelve-month, non-laddered products, Residential default service supply products under this Plan will be laddered on a six-month basis.  This </w:t>
      </w:r>
      <w:r>
        <w:rPr>
          <w:lang w:val="en-US"/>
        </w:rPr>
        <w:t xml:space="preserve">plan </w:t>
      </w:r>
      <w:r>
        <w:t>will produce more market responsive default service rates and result in changes to default service supply rates every six months as compared to once per year under the currently-effective plan.</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 xml:space="preserve">The Settlement adopts Duquesne Light’s proposed Residential procurement plan including </w:t>
      </w:r>
      <w:r>
        <w:rPr>
          <w:lang w:val="en-US"/>
        </w:rPr>
        <w:t xml:space="preserve">the Company’s proposal </w:t>
      </w:r>
      <w:r>
        <w:t>that there would be six months of supply procured during DSP VII which would overhang into DSP VIII commencing June 1, 2017, for 50% of Residential default service requirements.  However, the Settlement further provides Duquesne</w:t>
      </w:r>
      <w:r w:rsidR="005E02F1">
        <w:rPr>
          <w:lang w:val="en-US"/>
        </w:rPr>
        <w:t> </w:t>
      </w:r>
      <w:r>
        <w:t xml:space="preserve">Light </w:t>
      </w:r>
      <w:r>
        <w:rPr>
          <w:lang w:val="en-US"/>
        </w:rPr>
        <w:t>must</w:t>
      </w:r>
      <w:r>
        <w:t xml:space="preserve"> file an appropriate petition with the Commission requesting to amend the DSP VII program to eliminate the portion of this contract that extends beyond May 31, 2017 (or the date set by the Commission for the termination of Duquesne Light’s role as Default Service Provider), </w:t>
      </w:r>
      <w:r w:rsidRPr="00387EA7">
        <w:rPr>
          <w:b/>
          <w:u w:val="single"/>
        </w:rPr>
        <w:t>if</w:t>
      </w:r>
      <w:r>
        <w:t xml:space="preserve"> the</w:t>
      </w:r>
      <w:r w:rsidRPr="005A3E3F">
        <w:t xml:space="preserve"> </w:t>
      </w:r>
      <w:r>
        <w:t>Commission determines</w:t>
      </w:r>
      <w:r>
        <w:rPr>
          <w:lang w:val="en-US"/>
        </w:rPr>
        <w:t xml:space="preserve"> – at</w:t>
      </w:r>
      <w:r>
        <w:t xml:space="preserve"> any time prior to the last solicitation under the DSP VII program in 2016</w:t>
      </w:r>
      <w:r>
        <w:rPr>
          <w:lang w:val="en-US"/>
        </w:rPr>
        <w:t xml:space="preserve"> – </w:t>
      </w:r>
      <w:r>
        <w:t>that Duquesne Light will not continue in its role as Default Service Provider.</w:t>
      </w:r>
    </w:p>
    <w:p w:rsidR="00C40FFC" w:rsidRDefault="00C40FFC" w:rsidP="00C40FFC">
      <w:pPr>
        <w:pStyle w:val="Heading2"/>
        <w:numPr>
          <w:ilvl w:val="0"/>
          <w:numId w:val="0"/>
        </w:numPr>
        <w:spacing w:after="0" w:line="360" w:lineRule="auto"/>
        <w:jc w:val="left"/>
      </w:pPr>
    </w:p>
    <w:p w:rsidR="00C40FFC" w:rsidRPr="00C74F25" w:rsidRDefault="00C40FFC" w:rsidP="00C40FFC">
      <w:pPr>
        <w:pStyle w:val="BodyText2"/>
        <w:numPr>
          <w:ilvl w:val="0"/>
          <w:numId w:val="28"/>
        </w:numPr>
        <w:ind w:left="1440" w:hanging="720"/>
        <w:rPr>
          <w:u w:val="single"/>
          <w:lang w:val="en-US" w:eastAsia="en-US"/>
        </w:rPr>
      </w:pPr>
      <w:r w:rsidRPr="00C74F25">
        <w:rPr>
          <w:u w:val="single"/>
          <w:lang w:val="en-US" w:eastAsia="en-US"/>
        </w:rPr>
        <w:t>S</w:t>
      </w:r>
      <w:r w:rsidR="00C1508B">
        <w:rPr>
          <w:u w:val="single"/>
          <w:lang w:val="en-US" w:eastAsia="en-US"/>
        </w:rPr>
        <w:t>tandard Offer Program (SOP)</w:t>
      </w:r>
      <w:r w:rsidRPr="00C74F25">
        <w:rPr>
          <w:u w:val="single"/>
          <w:lang w:val="en-US" w:eastAsia="en-US"/>
        </w:rPr>
        <w:t xml:space="preserve"> Issues</w:t>
      </w:r>
    </w:p>
    <w:p w:rsidR="00C40FFC" w:rsidRDefault="00C40FFC" w:rsidP="00C40FFC">
      <w:pPr>
        <w:pStyle w:val="BodyText2"/>
        <w:spacing w:after="0" w:line="360" w:lineRule="auto"/>
        <w:ind w:firstLine="1440"/>
      </w:pPr>
      <w:r>
        <w:t>Duquesne Light currently has an SOP approved by the Commission in the DSP VI proceeding.  The Company’s current SOP targets non-shopping Residential and Small C&amp;I customers who contact the Company with four types of calls</w:t>
      </w:r>
      <w:r>
        <w:rPr>
          <w:lang w:val="en-US"/>
        </w:rPr>
        <w:t xml:space="preserve">:  </w:t>
      </w:r>
      <w:r>
        <w:t>(1) to initiate or move service; (2</w:t>
      </w:r>
      <w:r w:rsidRPr="00626737">
        <w:t>)</w:t>
      </w:r>
      <w:r w:rsidRPr="00626737">
        <w:rPr>
          <w:lang w:val="en-US"/>
        </w:rPr>
        <w:t> </w:t>
      </w:r>
      <w:r w:rsidRPr="00626737">
        <w:t>t</w:t>
      </w:r>
      <w:r>
        <w:t>o discuss choice questions; (3) to resolve high bill concerns; or (4) to inquire about the SOP</w:t>
      </w:r>
      <w:r>
        <w:rPr>
          <w:lang w:val="en-US"/>
        </w:rPr>
        <w:t>.  All types of callers</w:t>
      </w:r>
      <w:r>
        <w:t xml:space="preserve"> are provided information regarding participation in the SOP.  After the customer’s specific inquiry has been addressed, Duquesne Light’s customer service representative promotes the SOP </w:t>
      </w:r>
      <w:r>
        <w:rPr>
          <w:lang w:val="en-US"/>
        </w:rPr>
        <w:t>by making use of</w:t>
      </w:r>
      <w:r>
        <w:t xml:space="preserve"> an established script.  If the customer indicates interest in participating in the SOP, </w:t>
      </w:r>
      <w:r>
        <w:rPr>
          <w:lang w:val="en-US"/>
        </w:rPr>
        <w:t>the caller</w:t>
      </w:r>
      <w:r>
        <w:t xml:space="preserve"> is transferred to a participating EGS for program details and enrollment.  </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rPr>
          <w:lang w:val="en-US"/>
        </w:rPr>
      </w:pPr>
      <w:r>
        <w:t>In the</w:t>
      </w:r>
      <w:r>
        <w:rPr>
          <w:lang w:val="en-US"/>
        </w:rPr>
        <w:t xml:space="preserve"> previous</w:t>
      </w:r>
      <w:r>
        <w:t xml:space="preserve"> DSP VI proceeding, the Company could not complete the work required to provide the necessary customer data transfers to permit a third party to enroll customers in the SOP because the Company could not make additional modifications to its IT systems to transfer customer data until it had completed the installation of its new customer care and billing system (FOCUS).  </w:t>
      </w:r>
      <w:r>
        <w:rPr>
          <w:lang w:val="en-US"/>
        </w:rPr>
        <w:t xml:space="preserve">Current estimates suggest the </w:t>
      </w:r>
      <w:r>
        <w:t>FOCUS system will go live in November 2014.</w:t>
      </w:r>
      <w:r>
        <w:rPr>
          <w:rStyle w:val="FootnoteReference"/>
        </w:rPr>
        <w:footnoteReference w:id="6"/>
      </w:r>
      <w:r>
        <w:rPr>
          <w:lang w:val="en-US"/>
        </w:rPr>
        <w:t xml:space="preserve">  In the DSP VII proceeding, </w:t>
      </w:r>
      <w:r>
        <w:t xml:space="preserve">Duquesne Light proposed a SOP that more closely resembles other programs offered throughout Pennsylvania by using a third party vendor to enroll customers.  This </w:t>
      </w:r>
      <w:r>
        <w:rPr>
          <w:lang w:val="en-US"/>
        </w:rPr>
        <w:t xml:space="preserve">proposal </w:t>
      </w:r>
      <w:r>
        <w:t>would include a transfer of the customer and simultaneous transfer of customer information to the third party vendor</w:t>
      </w:r>
      <w:r>
        <w:rPr>
          <w:lang w:val="en-US"/>
        </w:rPr>
        <w:t xml:space="preserve"> and the </w:t>
      </w:r>
      <w:r>
        <w:t>pertinent customer information that would assist the third party in enrolling the customer in the program.</w:t>
      </w:r>
      <w:r>
        <w:rPr>
          <w:rStyle w:val="FootnoteReference"/>
        </w:rPr>
        <w:footnoteReference w:id="7"/>
      </w:r>
      <w:r>
        <w:t xml:space="preserve">  </w:t>
      </w:r>
    </w:p>
    <w:p w:rsidR="00C40FFC" w:rsidRDefault="00C40FFC" w:rsidP="00C40FFC">
      <w:pPr>
        <w:pStyle w:val="BodyText2"/>
        <w:spacing w:after="0" w:line="360" w:lineRule="auto"/>
      </w:pPr>
      <w:r>
        <w:rPr>
          <w:lang w:val="en-US"/>
        </w:rPr>
        <w:tab/>
      </w:r>
      <w:r>
        <w:rPr>
          <w:lang w:val="en-US"/>
        </w:rPr>
        <w:tab/>
      </w:r>
      <w:r>
        <w:t>Duquesne Light’s customer enrollment fee under the DSP VI SOP was $25.00 per customer through August 31, 2014.  Effective September 1, 2014, the SOP fee was reduced to $10.28.  Under the Company’s proposed DSP VII SOP, the customer enrollment fee was projected to be $38.50.  Duquesne Light St. No. 5-R, p. 9.  Under the Commission’s precedent regarding SOP customer enrollment fees, EGSs directly bear the cost of the SOP enrollment fee up to $30.00 and any costs above $30.00 are split between eligible default service customers and EGSs through the Purchase of Receivables (“POR”) discount.  See Duquesne Light Exh. No. 1, p. 21.</w:t>
      </w:r>
      <w:r>
        <w:rPr>
          <w:lang w:val="en-US"/>
        </w:rPr>
        <w:t xml:space="preserve">  </w:t>
      </w:r>
      <w:r>
        <w:t>Both OCA and RESA opposed the Company’s SOP proposal.  OCA argued that it was premature to determine if the SOP should continue after 2015 and that EDCs’ SOPs should be reviewed and considered for potential elimination.  OCA St. No. 2, p. 5.  OCA also argued that the Company’s enhanced SOP would not be cost-effective even though its costs are expected to be comparable to costs incurred by other EDCs.  OCA further argued that the Company should revise its SOP customer script.  OCA St. No. 2, pp. 18-19.  RESA argued that it was premature to adopt a revised SOP noting that there would be a significant increase in the customer acquisition fee under the new program.  RESA recommended that the Company conduct a stakeholder collaborative to discuss SOP changes.  RESA St. No. 1, p. 30.</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rPr>
          <w:lang w:val="en-US"/>
        </w:rPr>
      </w:pPr>
      <w:r>
        <w:t xml:space="preserve">Under the Settlement Stipulation, Duquesne Light agreed to revise its current introductory customer script within 90 days of approval of the Settlement for purposes of clarifying that the 7% discount is subject to change during the twelve-month term of the SOP for a customer.  Settlement Stipulation, ¶4.  </w:t>
      </w:r>
      <w:r>
        <w:rPr>
          <w:lang w:val="en-US"/>
        </w:rPr>
        <w:t xml:space="preserve">In </w:t>
      </w:r>
      <w:proofErr w:type="spellStart"/>
      <w:r>
        <w:rPr>
          <w:lang w:val="en-US"/>
        </w:rPr>
        <w:t>t</w:t>
      </w:r>
      <w:r>
        <w:t>he</w:t>
      </w:r>
      <w:proofErr w:type="spellEnd"/>
      <w:r>
        <w:t xml:space="preserve"> Settlement</w:t>
      </w:r>
      <w:r>
        <w:rPr>
          <w:lang w:val="en-US"/>
        </w:rPr>
        <w:t xml:space="preserve">, </w:t>
      </w:r>
      <w:r>
        <w:t xml:space="preserve">the Parties agree to conduct a </w:t>
      </w:r>
    </w:p>
    <w:p w:rsidR="00C40FFC" w:rsidRDefault="00C40FFC" w:rsidP="00C40FFC">
      <w:pPr>
        <w:pStyle w:val="BodyText2"/>
        <w:spacing w:after="0" w:line="360" w:lineRule="auto"/>
      </w:pPr>
      <w:r>
        <w:t xml:space="preserve">collaborative with interested </w:t>
      </w:r>
      <w:r>
        <w:rPr>
          <w:lang w:val="en-US"/>
        </w:rPr>
        <w:t>p</w:t>
      </w:r>
      <w:r>
        <w:t>arties to consider changes to the Company’s existing SOP, including, among other things, the following:</w:t>
      </w:r>
    </w:p>
    <w:p w:rsidR="00C40FFC" w:rsidRDefault="00C40FFC" w:rsidP="00C40FFC">
      <w:pPr>
        <w:pStyle w:val="ListNumber"/>
        <w:numPr>
          <w:ilvl w:val="0"/>
          <w:numId w:val="0"/>
        </w:numPr>
        <w:spacing w:after="0" w:line="240" w:lineRule="auto"/>
        <w:ind w:left="1440" w:right="720"/>
        <w:rPr>
          <w:lang w:val="en-US"/>
        </w:rPr>
      </w:pPr>
    </w:p>
    <w:p w:rsidR="00C40FFC" w:rsidRDefault="00C40FFC" w:rsidP="00C40FFC">
      <w:pPr>
        <w:pStyle w:val="ListNumber"/>
        <w:numPr>
          <w:ilvl w:val="0"/>
          <w:numId w:val="0"/>
        </w:numPr>
        <w:spacing w:after="0" w:line="240" w:lineRule="auto"/>
        <w:ind w:left="1440" w:right="720"/>
      </w:pPr>
      <w:r>
        <w:t xml:space="preserve">Enhanced customer disclosure of the SOP offer and future PTC changes to include disclosures that:  (i) the initial discount is based on the current PTC; (ii) the PTC will change semi-annually with the next change in [month]; (iii) the percentage savings a customer will experience will vary as the PTC changes; and (iv) the SOP rate may be higher or lower than the next PTC; </w:t>
      </w:r>
    </w:p>
    <w:p w:rsidR="00C40FFC" w:rsidRPr="00064A44" w:rsidRDefault="00C40FFC" w:rsidP="00C40FFC">
      <w:pPr>
        <w:pStyle w:val="ListNumber"/>
        <w:numPr>
          <w:ilvl w:val="0"/>
          <w:numId w:val="0"/>
        </w:numPr>
        <w:spacing w:after="0" w:line="240" w:lineRule="auto"/>
        <w:ind w:left="1440" w:right="720"/>
      </w:pPr>
    </w:p>
    <w:p w:rsidR="00C40FFC" w:rsidRDefault="00C40FFC" w:rsidP="00C40FFC">
      <w:pPr>
        <w:pStyle w:val="ListNumber"/>
        <w:numPr>
          <w:ilvl w:val="0"/>
          <w:numId w:val="0"/>
        </w:numPr>
        <w:spacing w:after="0" w:line="240" w:lineRule="auto"/>
        <w:ind w:left="1440" w:right="720"/>
      </w:pPr>
      <w:r>
        <w:t>Other program improvements including use of a third party to enroll customers or other means to improve customer enrollment; and</w:t>
      </w:r>
    </w:p>
    <w:p w:rsidR="0083039D" w:rsidRDefault="0083039D" w:rsidP="00C40FFC">
      <w:pPr>
        <w:pStyle w:val="ListNumber"/>
        <w:numPr>
          <w:ilvl w:val="0"/>
          <w:numId w:val="0"/>
        </w:numPr>
        <w:spacing w:after="0" w:line="240" w:lineRule="auto"/>
        <w:ind w:left="1440" w:right="720"/>
        <w:rPr>
          <w:lang w:val="en-US"/>
        </w:rPr>
      </w:pPr>
    </w:p>
    <w:p w:rsidR="00C40FFC" w:rsidRPr="00BE7C5F" w:rsidRDefault="00C40FFC" w:rsidP="00C40FFC">
      <w:pPr>
        <w:pStyle w:val="ListNumber"/>
        <w:numPr>
          <w:ilvl w:val="0"/>
          <w:numId w:val="0"/>
        </w:numPr>
        <w:spacing w:after="0" w:line="240" w:lineRule="auto"/>
        <w:ind w:left="1440" w:right="720"/>
      </w:pPr>
      <w:r w:rsidRPr="00BE7C5F">
        <w:t>Cost recovery, provided however, that the collaborative shall not address or consider any proposals to recover SOP costs</w:t>
      </w:r>
      <w:r>
        <w:t xml:space="preserve"> from EGSs that do not participate in Duquesne Light’s POR Program or</w:t>
      </w:r>
      <w:r w:rsidRPr="00BE7C5F">
        <w:t xml:space="preserve"> from Medium or Large Commercial and Industrial customers (i.e., customers with cumulative demands equal to or greater than 25 kW) that are not eligible for the SOP program or to recover SOP costs through an increase to the Medium C&amp;I Purchase of Receivables discount rate.</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rPr>
          <w:lang w:val="en-US"/>
        </w:rPr>
      </w:pPr>
      <w:r>
        <w:t>The Parties also agreed Duquesne Light will continue its current SOP and implement any revised SOP resulting from this collaborative and resulting Commission Order approving a revised SOP within six months after entry of the Commission Order approving a revised SOP, provided that any Information Technology changes required to implement the revised SOP can be completed in that time frame.  The Parties further agreed Duquesne Light will continue a $10.28 customer enrollment fee that became effective September 1, 2014 for participating EGSs until the existing SOP is replaced by a revised SOP approved by the Commission.</w:t>
      </w:r>
    </w:p>
    <w:p w:rsidR="00C40FFC" w:rsidRPr="00C40FFC" w:rsidRDefault="00C40FFC" w:rsidP="00C40FFC">
      <w:pPr>
        <w:pStyle w:val="BodyText2"/>
        <w:spacing w:after="0" w:line="360" w:lineRule="auto"/>
        <w:ind w:firstLine="1440"/>
        <w:rPr>
          <w:lang w:val="en-US"/>
        </w:rPr>
      </w:pPr>
    </w:p>
    <w:p w:rsidR="00C40FFC" w:rsidRPr="00C74F25" w:rsidRDefault="00C40FFC" w:rsidP="00C40FFC">
      <w:pPr>
        <w:pStyle w:val="BodyText2"/>
        <w:numPr>
          <w:ilvl w:val="0"/>
          <w:numId w:val="28"/>
        </w:numPr>
        <w:spacing w:after="0" w:line="360" w:lineRule="auto"/>
        <w:ind w:left="1440" w:hanging="720"/>
        <w:rPr>
          <w:u w:val="single"/>
          <w:lang w:val="en-US"/>
        </w:rPr>
      </w:pPr>
      <w:r w:rsidRPr="00C74F25">
        <w:rPr>
          <w:u w:val="single"/>
          <w:lang w:val="en-US"/>
        </w:rPr>
        <w:t>Time-of-Use Program</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In its DSP VII Plan, the Company proposed to offer a TOU program to all:  (1)</w:t>
      </w:r>
      <w:r>
        <w:rPr>
          <w:lang w:val="en-US"/>
        </w:rPr>
        <w:t> </w:t>
      </w:r>
      <w:r>
        <w:t>Residential and Small C&amp;I customers who have a smart meter and its data collection and communications system is installed and successfully tested, and (2) Medium C&amp;I customers with interval meters, as long as the customer’s meter also has the necessary data collection and communication systems in place and successfully tested.  Duquesne Light St. No. 4, p. 15.</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The Company estimates 10,000 Residential and Small C&amp;I customers with smart meters will be eligible for the TOU program June 1, 2015 and an additional 100,000 smart meter customers will be eligible June 1, 2016 for a total 110,000 eligible Residential and Small C&amp;I customers by June 1, 2016.  In addition, approximately 23,000 Medium C&amp;I customers with interval meters will be eligible for the TOU program throughout the entire default service period of June 1, 2015 through May 31, 2017.</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 xml:space="preserve">Under the Company’s proposal, TOU rates would be distinguished by three time periods throughout the year.  The Summer On-Peak would consist of all hours during weekdays (excluding PJM holidays) from 2:00 </w:t>
      </w:r>
      <w:r>
        <w:rPr>
          <w:lang w:val="en-US"/>
        </w:rPr>
        <w:t>p.m.</w:t>
      </w:r>
      <w:r>
        <w:t xml:space="preserve"> through 6:00 </w:t>
      </w:r>
      <w:r>
        <w:rPr>
          <w:lang w:val="en-US"/>
        </w:rPr>
        <w:t>p.m.</w:t>
      </w:r>
      <w:r>
        <w:t xml:space="preserve"> from June 1 through September 30.  All other hours during those months would be the Summer Off-Peak Period.  All hours during October 1 through May 31 would be the Non-Summer Period.  The same on-peak and off-peak periods would be applicable to all eligible TOU service customers.</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The Company proposed to acquire electricity for the TOU program from an EGS through an RFP process.  The Company proposed to issue two RFPs to EGSs, one for TOU supply during June 2015 – May 2016 (the first TOU program year), and one for TOU supply during June 2016 – May 2017 (the second TOU program year).  A single EGS would be chosen as the winning supplier in each RFP for all customer classes.  Each RFP would seek TOU supply to meet customers’ load requirements during one of the two twelve-month TOU program years with time-differentiated rates aligned with the periods described above.  The Company proposed the limitations described above and in the Company’s testimony in large part due to IT constraints and due to the low number of customers that will be eligible for the TOU program, especially in the first year of the DSP VII plan.  Duquesne Light St. No. 2-R, pp. 12-13.</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RESA opposed the Company’s TOU proposal, arguing that it was too restrictive in terms of EGS participation and flexibility with respect to on/off peak periods.  RESA also argued that the Company should hold a collaborative to design the details of the TOU program.  I&amp;E argued that winning TOU EGSs should be responsible for TOU program costs.</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The TOU Settlement Stipulation reflects a compromise of parties’ positions.  Under the TOU Settlement Stipulation, Duquesne Light’s TOU Program for the first year of DSP VII would be approved for Residential (other than those customers enrolled in Duquesne Light’s Customer Assistance Program (“CAP”)), Small C&amp;I and Medium C&amp;I customers with interval meters, as long as the customer also has the necessary data collection and communications systems in place, and the systems have been successfully tested.  CAP customers will not be eligible for the TOU Program in the first year of DSP VII because issues regarding CAP portability have not been finally determined at this time, and there will be a limited window for TOU enrollment in the first year of DSP VII.</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Duquesne Light also will conduct a collaborative with interested parties to develop a TOU Program and cost recovery mechanism for the year commencing June 1, 2016 and ending May 31, 2017, to identify ways to permit multiple EGSs to participate in a TOU offering(s) and to explore how to effectively integrate the TOU Program with CAP provided that general issues regarding CAP portability have otherwise been decided by the Commission.</w:t>
      </w:r>
    </w:p>
    <w:p w:rsidR="00C40FFC" w:rsidRDefault="00C40FFC" w:rsidP="00C40FFC">
      <w:pPr>
        <w:pStyle w:val="BodyText2"/>
        <w:spacing w:after="0" w:line="360" w:lineRule="auto"/>
      </w:pPr>
      <w:r>
        <w:t>The TOU Settlement Stipulation is in the public interest and should be approved.  The TOU Settlement Stipulation allows Duquesne Light’s TOU proposal to go into effect for the first year of the DSP VII period but also provides for a collaborative to discuss TOU issues for the second year of the DSP VII plan.  This will provide parties an opportunity to develop a consensus TOU program for the second year when there will be more eligible TOU customers and allow the Company time to implement IT changes that may be necessary for a revised TOU program.</w:t>
      </w:r>
    </w:p>
    <w:p w:rsidR="00C40FFC" w:rsidRDefault="00C40FFC" w:rsidP="00E8718E">
      <w:pPr>
        <w:pStyle w:val="BodyText2"/>
        <w:spacing w:after="0" w:line="360" w:lineRule="auto"/>
        <w:rPr>
          <w:lang w:val="en-US" w:eastAsia="en-US"/>
        </w:rPr>
      </w:pPr>
    </w:p>
    <w:p w:rsidR="00C40FFC" w:rsidRPr="00C74F25" w:rsidRDefault="00C40FFC" w:rsidP="00C40FFC">
      <w:pPr>
        <w:pStyle w:val="BodyText2"/>
        <w:numPr>
          <w:ilvl w:val="0"/>
          <w:numId w:val="28"/>
        </w:numPr>
        <w:ind w:left="1440" w:hanging="720"/>
        <w:rPr>
          <w:u w:val="single"/>
          <w:lang w:val="en-US" w:eastAsia="en-US"/>
        </w:rPr>
      </w:pPr>
      <w:r w:rsidRPr="00C74F25">
        <w:rPr>
          <w:u w:val="single"/>
          <w:lang w:val="en-US" w:eastAsia="en-US"/>
        </w:rPr>
        <w:t>Supply Master Agreement Issues</w:t>
      </w:r>
    </w:p>
    <w:p w:rsidR="00C40FFC" w:rsidRDefault="00C40FFC" w:rsidP="00C40FFC">
      <w:pPr>
        <w:pStyle w:val="BodyText2"/>
        <w:spacing w:after="0" w:line="360" w:lineRule="auto"/>
        <w:ind w:firstLine="1440"/>
        <w:rPr>
          <w:lang w:val="en-US"/>
        </w:rPr>
      </w:pPr>
      <w:r>
        <w:t>In this proceeding, the Company provided a SMA for procuring supply for default service customers through full requirements contracts.  The SMA was based on the template, with a few modifications, that was developed through a Procurement Collaboration Working Group of EDCs in Pennsylvania.  Duquesne Light St. No. 2, p. 16.</w:t>
      </w:r>
    </w:p>
    <w:p w:rsidR="00C40FFC" w:rsidRPr="00293AED" w:rsidRDefault="00C40FFC" w:rsidP="00C40FFC">
      <w:pPr>
        <w:pStyle w:val="BodyText2"/>
        <w:spacing w:after="0" w:line="360" w:lineRule="auto"/>
        <w:ind w:firstLine="1440"/>
        <w:rPr>
          <w:lang w:val="en-US"/>
        </w:rPr>
      </w:pPr>
    </w:p>
    <w:p w:rsidR="00C40FFC" w:rsidRDefault="00C40FFC" w:rsidP="00C40FFC">
      <w:pPr>
        <w:pStyle w:val="BodyText2"/>
        <w:spacing w:after="0" w:line="360" w:lineRule="auto"/>
        <w:ind w:firstLine="1440"/>
      </w:pPr>
      <w:r>
        <w:t xml:space="preserve">Both </w:t>
      </w:r>
      <w:proofErr w:type="spellStart"/>
      <w:r>
        <w:t>ExGen</w:t>
      </w:r>
      <w:proofErr w:type="spellEnd"/>
      <w:r>
        <w:t xml:space="preserve"> and </w:t>
      </w:r>
      <w:proofErr w:type="spellStart"/>
      <w:r>
        <w:t>NextEra</w:t>
      </w:r>
      <w:proofErr w:type="spellEnd"/>
      <w:r>
        <w:t xml:space="preserve"> proposed modifications to Duquesne Light’s proposed SMA.  The Settlement Stipulation adopts the modifications proposed by </w:t>
      </w:r>
      <w:proofErr w:type="spellStart"/>
      <w:r>
        <w:t>ExGen</w:t>
      </w:r>
      <w:proofErr w:type="spellEnd"/>
      <w:r>
        <w:t xml:space="preserve"> related to the definition of “Termination Payment” and reflects a compromise of Duquesne Light’s and </w:t>
      </w:r>
      <w:proofErr w:type="spellStart"/>
      <w:r>
        <w:t>ExGen’s</w:t>
      </w:r>
      <w:proofErr w:type="spellEnd"/>
      <w:r>
        <w:t xml:space="preserve"> positions regarding delivery of AECs.</w:t>
      </w:r>
      <w:r>
        <w:rPr>
          <w:rStyle w:val="FootnoteReference"/>
        </w:rPr>
        <w:footnoteReference w:id="8"/>
      </w:r>
      <w:r>
        <w:t xml:space="preserve">  The Settlement also adopts </w:t>
      </w:r>
      <w:proofErr w:type="spellStart"/>
      <w:r>
        <w:t>NextEra’s</w:t>
      </w:r>
      <w:proofErr w:type="spellEnd"/>
      <w:r>
        <w:t xml:space="preserve"> position regarding the senior unsecured debt rating standards for financial institutions providing letters of credit.  The Settlement Stipulation further clarifies language in Article 5.4 of the SMA.</w:t>
      </w:r>
    </w:p>
    <w:p w:rsidR="00C40FFC" w:rsidRDefault="00C40FFC" w:rsidP="00C40FFC">
      <w:pPr>
        <w:pStyle w:val="Heading2"/>
        <w:numPr>
          <w:ilvl w:val="0"/>
          <w:numId w:val="0"/>
        </w:numPr>
        <w:spacing w:after="0" w:line="360" w:lineRule="auto"/>
        <w:jc w:val="left"/>
      </w:pPr>
    </w:p>
    <w:p w:rsidR="00376A5A" w:rsidRPr="00376A5A" w:rsidRDefault="00376A5A" w:rsidP="00376A5A">
      <w:pPr>
        <w:pStyle w:val="BodyText2"/>
        <w:rPr>
          <w:lang w:val="en-US" w:eastAsia="en-US"/>
        </w:rPr>
      </w:pPr>
    </w:p>
    <w:p w:rsidR="00C40FFC" w:rsidRPr="00C74F25" w:rsidRDefault="00C40FFC" w:rsidP="00C40FFC">
      <w:pPr>
        <w:pStyle w:val="BodyText2"/>
        <w:numPr>
          <w:ilvl w:val="0"/>
          <w:numId w:val="28"/>
        </w:numPr>
        <w:ind w:left="1440" w:hanging="720"/>
        <w:rPr>
          <w:u w:val="single"/>
          <w:lang w:val="en-US" w:eastAsia="en-US"/>
        </w:rPr>
      </w:pPr>
      <w:r w:rsidRPr="00C74F25">
        <w:rPr>
          <w:u w:val="single"/>
          <w:lang w:val="en-US" w:eastAsia="en-US"/>
        </w:rPr>
        <w:t>Unbundling of Default Service Costs</w:t>
      </w:r>
    </w:p>
    <w:p w:rsidR="00C40FFC" w:rsidRDefault="00C40FFC" w:rsidP="00C40FFC">
      <w:pPr>
        <w:pStyle w:val="BodyText2"/>
        <w:spacing w:after="0" w:line="360" w:lineRule="auto"/>
        <w:ind w:firstLine="1440"/>
      </w:pPr>
      <w:r>
        <w:t>In this proceeding, RESA argued that Duquesne Light should unbundle certain default service related costs from base rates and recover such costs as default service costs solely from default service customers.  RESA St. No. 1, p. 21.  The Company disagreed with RESA’s proposal for several reasons, including that the Company’s negotiated POR settlement was intended to replace the need to further unbundle any default service costs from base rates.  The Company further explained that any additional unbundling would have a minimal effect on the Price to Compare.  Duquesne Light St. No. 2-R, pp. 11-16.  Nevertheless, Duquesne Light has agreed under the Settlement Stipulation that it will file a plan to unbundle from base rates costs associated with the provision of default service, including default service proceeding and procurement costs, and cash working capital with regard to default service procurements in the earlier of its next general rate increase filing or its Default Service Plan filing for the period commencing June 1, 2017.  Duquesne Light will simultaneously propose a mechanism to recover such costs from default service customers.  All parties reserve the right to comment on and oppose such proposal.  Settlement Stipulation, ¶ 13.</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Duquesne Light was willing to agree to this unbundling proposal as a compromise of Parties’ positions in this proceeding.</w:t>
      </w:r>
    </w:p>
    <w:p w:rsidR="00C40FFC" w:rsidRDefault="00C40FFC" w:rsidP="00C40FFC">
      <w:pPr>
        <w:pStyle w:val="Heading2"/>
        <w:numPr>
          <w:ilvl w:val="0"/>
          <w:numId w:val="0"/>
        </w:numPr>
        <w:spacing w:after="0" w:line="360" w:lineRule="auto"/>
        <w:jc w:val="left"/>
      </w:pPr>
    </w:p>
    <w:p w:rsidR="00C40FFC" w:rsidRPr="00C74F25" w:rsidRDefault="00C40FFC" w:rsidP="00C40FFC">
      <w:pPr>
        <w:pStyle w:val="BodyText2"/>
        <w:numPr>
          <w:ilvl w:val="0"/>
          <w:numId w:val="28"/>
        </w:numPr>
        <w:ind w:left="1440" w:hanging="720"/>
        <w:rPr>
          <w:u w:val="single"/>
          <w:lang w:val="en-US" w:eastAsia="en-US"/>
        </w:rPr>
      </w:pPr>
      <w:r w:rsidRPr="00C74F25">
        <w:rPr>
          <w:u w:val="single"/>
          <w:lang w:val="en-US" w:eastAsia="en-US"/>
        </w:rPr>
        <w:t>Miscellaneous Provisions</w:t>
      </w:r>
    </w:p>
    <w:p w:rsidR="00C40FFC" w:rsidRDefault="00C40FFC" w:rsidP="00C40FFC">
      <w:pPr>
        <w:pStyle w:val="BodyText2"/>
        <w:spacing w:after="0" w:line="360" w:lineRule="auto"/>
        <w:ind w:firstLine="1440"/>
      </w:pPr>
      <w:r>
        <w:t>The Settlement Stipulation generally provides that Duquesne Light’s DSP VII filing is approved except as modified by the Settlement Stipulation.  There were numerous provisions of Duquesne Light’s DSP VII plan that were not challenged by other parties, including the Company’s Retail Market Enhancement Surcharge.</w:t>
      </w:r>
      <w:r>
        <w:rPr>
          <w:rStyle w:val="FootnoteReference"/>
        </w:rPr>
        <w:footnoteReference w:id="9"/>
      </w:r>
      <w:r>
        <w:t xml:space="preserve">  Under the Settlement, the Parties agree that the Retail Market Surcharge, and other unchallenged provisions should be approved.  Likewise, </w:t>
      </w:r>
      <w:proofErr w:type="spellStart"/>
      <w:r>
        <w:t>ExGen</w:t>
      </w:r>
      <w:proofErr w:type="spellEnd"/>
      <w:r>
        <w:t xml:space="preserve"> raised issues regarding the Request for Proposal and Independent Evaluator process issues in this proceeding, but agreed to not pursue these issues as part of the Settlement Stipulation.  In addition, the Company’s POR Program will continue through the term of the DSP VII proceeding.  Any issues related to recovery of SOP costs through the POR discount will be addressed in the SOP collaborative.</w:t>
      </w:r>
    </w:p>
    <w:p w:rsidR="00C40FFC" w:rsidRDefault="00C40FFC" w:rsidP="00C40FFC">
      <w:pPr>
        <w:pStyle w:val="BodyText"/>
        <w:spacing w:after="0" w:line="360" w:lineRule="auto"/>
        <w:ind w:left="0" w:firstLine="0"/>
        <w:rPr>
          <w:lang w:val="en-US" w:eastAsia="en-US"/>
        </w:rPr>
      </w:pPr>
    </w:p>
    <w:p w:rsidR="00C40FFC" w:rsidRPr="00C74F25" w:rsidRDefault="00C40FFC" w:rsidP="00C40FFC">
      <w:pPr>
        <w:pStyle w:val="BodyText"/>
        <w:numPr>
          <w:ilvl w:val="0"/>
          <w:numId w:val="27"/>
        </w:numPr>
        <w:spacing w:after="0" w:line="360" w:lineRule="auto"/>
        <w:ind w:left="720" w:hanging="720"/>
        <w:rPr>
          <w:u w:val="single"/>
          <w:lang w:val="en-US" w:eastAsia="en-US"/>
        </w:rPr>
      </w:pPr>
      <w:r w:rsidRPr="00C74F25">
        <w:rPr>
          <w:u w:val="single"/>
          <w:lang w:val="en-US" w:eastAsia="en-US"/>
        </w:rPr>
        <w:t>Statements in Support</w:t>
      </w:r>
    </w:p>
    <w:p w:rsidR="00C40FFC" w:rsidRDefault="00C40FFC" w:rsidP="00C40FFC">
      <w:pPr>
        <w:pStyle w:val="BodyText"/>
        <w:spacing w:after="0" w:line="360" w:lineRule="auto"/>
        <w:ind w:left="0" w:firstLine="0"/>
        <w:rPr>
          <w:lang w:val="en-US" w:eastAsia="en-US"/>
        </w:rPr>
      </w:pPr>
    </w:p>
    <w:p w:rsidR="00C40FFC" w:rsidRDefault="00C40FFC" w:rsidP="00C40FFC">
      <w:pPr>
        <w:pStyle w:val="BodyText2"/>
        <w:spacing w:after="0" w:line="360" w:lineRule="auto"/>
        <w:rPr>
          <w:lang w:val="en-US"/>
        </w:rPr>
      </w:pPr>
      <w:r>
        <w:rPr>
          <w:lang w:val="en-US" w:eastAsia="en-US"/>
        </w:rPr>
        <w:tab/>
      </w:r>
      <w:r>
        <w:rPr>
          <w:lang w:val="en-US" w:eastAsia="en-US"/>
        </w:rPr>
        <w:tab/>
        <w:t xml:space="preserve">Duquesne Light contends the </w:t>
      </w:r>
      <w:r>
        <w:t xml:space="preserve">Settlement was achieved after a comprehensive investigation of </w:t>
      </w:r>
      <w:r>
        <w:rPr>
          <w:lang w:val="en-US"/>
        </w:rPr>
        <w:t xml:space="preserve">the </w:t>
      </w:r>
      <w:r>
        <w:t>DSP VII Plan</w:t>
      </w:r>
      <w:r>
        <w:rPr>
          <w:lang w:val="en-US"/>
        </w:rPr>
        <w:t xml:space="preserve"> and after the Company</w:t>
      </w:r>
      <w:r>
        <w:t xml:space="preserve"> responded to numerous formal discovery requests.  Parties filed five rounds of testimony, including the Company’s direct testimony, other parties’ direct testimony, rebuttal testimony, surrebuttal testimony and rejoinder testimony</w:t>
      </w:r>
      <w:r>
        <w:rPr>
          <w:lang w:val="en-US"/>
        </w:rPr>
        <w:t xml:space="preserve"> and </w:t>
      </w:r>
      <w:r>
        <w:t>numerous settlement discussions and negotiations occurred which ultimately lead to the Settlement.</w:t>
      </w:r>
      <w:r>
        <w:rPr>
          <w:lang w:val="en-US"/>
        </w:rPr>
        <w:t xml:space="preserve">  The Company asserts the </w:t>
      </w:r>
      <w:r>
        <w:t xml:space="preserve">Settlement reflects a carefully balanced compromise of the interests of the </w:t>
      </w:r>
      <w:r>
        <w:rPr>
          <w:lang w:val="en-US"/>
        </w:rPr>
        <w:t>p</w:t>
      </w:r>
      <w:r>
        <w:t>arties</w:t>
      </w:r>
      <w:r>
        <w:rPr>
          <w:lang w:val="en-US"/>
        </w:rPr>
        <w:t xml:space="preserve"> and should be approved without modification because it is </w:t>
      </w:r>
      <w:r>
        <w:t>just and reasonable, supported by substantial evidence</w:t>
      </w:r>
      <w:r>
        <w:rPr>
          <w:lang w:val="en-US"/>
        </w:rPr>
        <w:t xml:space="preserve">.  </w:t>
      </w:r>
    </w:p>
    <w:p w:rsidR="00C40FFC" w:rsidRDefault="00C40FFC" w:rsidP="00C40FFC">
      <w:pPr>
        <w:pStyle w:val="BodyText2"/>
        <w:spacing w:after="0" w:line="360" w:lineRule="auto"/>
        <w:rPr>
          <w:lang w:val="en-US"/>
        </w:rPr>
      </w:pPr>
    </w:p>
    <w:p w:rsidR="00C40FFC" w:rsidRPr="00C74F25" w:rsidRDefault="00C40FFC" w:rsidP="00C40FFC">
      <w:pPr>
        <w:pStyle w:val="BodyText2"/>
        <w:numPr>
          <w:ilvl w:val="0"/>
          <w:numId w:val="29"/>
        </w:numPr>
        <w:spacing w:after="0" w:line="360" w:lineRule="auto"/>
        <w:ind w:left="1440" w:hanging="720"/>
        <w:rPr>
          <w:u w:val="single"/>
          <w:lang w:val="en-US" w:eastAsia="en-US"/>
        </w:rPr>
      </w:pPr>
      <w:r w:rsidRPr="00C74F25">
        <w:rPr>
          <w:u w:val="single"/>
          <w:lang w:val="en-US" w:eastAsia="en-US"/>
        </w:rPr>
        <w:t>Conclusion Concerning Settlement Provisions</w:t>
      </w:r>
    </w:p>
    <w:p w:rsidR="00C40FFC" w:rsidRDefault="00C40FFC" w:rsidP="00C40FFC">
      <w:pPr>
        <w:pStyle w:val="BodyText2"/>
        <w:spacing w:after="0" w:line="360" w:lineRule="auto"/>
        <w:rPr>
          <w:lang w:val="en-US"/>
        </w:rPr>
      </w:pPr>
    </w:p>
    <w:p w:rsidR="00C40FFC" w:rsidRDefault="00C40FFC" w:rsidP="00C40FFC">
      <w:pPr>
        <w:pStyle w:val="BodyText2"/>
        <w:spacing w:after="0" w:line="360" w:lineRule="auto"/>
        <w:ind w:firstLine="1440"/>
      </w:pPr>
      <w:r>
        <w:t xml:space="preserve">The </w:t>
      </w:r>
      <w:r>
        <w:rPr>
          <w:lang w:val="en-US"/>
        </w:rPr>
        <w:t>r</w:t>
      </w:r>
      <w:proofErr w:type="spellStart"/>
      <w:r>
        <w:t>esidential</w:t>
      </w:r>
      <w:proofErr w:type="spellEnd"/>
      <w:r>
        <w:t xml:space="preserve"> procurement plan adopted under the Settlement is in the public interest and should be approved.  The </w:t>
      </w:r>
      <w:r>
        <w:rPr>
          <w:lang w:val="en-US"/>
        </w:rPr>
        <w:t>r</w:t>
      </w:r>
      <w:proofErr w:type="spellStart"/>
      <w:r>
        <w:t>esidential</w:t>
      </w:r>
      <w:proofErr w:type="spellEnd"/>
      <w:r>
        <w:t xml:space="preserve"> plan under the Settlement moves Residential customers from twelve-month supply rate changes under the DSP VI procurement plan to six-month supply rate changes</w:t>
      </w:r>
      <w:r>
        <w:rPr>
          <w:lang w:val="en-US"/>
        </w:rPr>
        <w:t xml:space="preserve"> under the DSP VII procurement plan</w:t>
      </w:r>
      <w:r>
        <w:t>.</w:t>
      </w:r>
    </w:p>
    <w:p w:rsidR="00C40FFC" w:rsidRDefault="00C40FFC" w:rsidP="00C40FFC">
      <w:pPr>
        <w:pStyle w:val="BodyText"/>
        <w:spacing w:after="0" w:line="360" w:lineRule="auto"/>
        <w:ind w:left="0" w:firstLine="0"/>
        <w:rPr>
          <w:lang w:val="en-US" w:eastAsia="en-US"/>
        </w:rPr>
      </w:pPr>
    </w:p>
    <w:p w:rsidR="00C40FFC" w:rsidRDefault="00C40FFC" w:rsidP="00C40FFC">
      <w:pPr>
        <w:pStyle w:val="BodyText2"/>
        <w:spacing w:after="0" w:line="360" w:lineRule="auto"/>
        <w:ind w:firstLine="1440"/>
      </w:pPr>
      <w:r>
        <w:t xml:space="preserve">The SOP Settlement is a reasonable compromise of </w:t>
      </w:r>
      <w:r>
        <w:rPr>
          <w:lang w:val="en-US"/>
        </w:rPr>
        <w:t>the p</w:t>
      </w:r>
      <w:r>
        <w:t>arties’ positions in this proceeding</w:t>
      </w:r>
      <w:r>
        <w:rPr>
          <w:lang w:val="en-US"/>
        </w:rPr>
        <w:t xml:space="preserve"> even though n</w:t>
      </w:r>
      <w:r>
        <w:t xml:space="preserve">either OCA nor RESA agreed with the Company’s SOP proposal.  The SOP collaborative </w:t>
      </w:r>
      <w:r>
        <w:rPr>
          <w:lang w:val="en-US"/>
        </w:rPr>
        <w:t xml:space="preserve">– agreed to as a part of the Settlement – </w:t>
      </w:r>
      <w:r>
        <w:t xml:space="preserve">will provide </w:t>
      </w:r>
      <w:r>
        <w:rPr>
          <w:lang w:val="en-US"/>
        </w:rPr>
        <w:t>all parties</w:t>
      </w:r>
      <w:r>
        <w:t xml:space="preserve"> with a forum to further discuss SOP issues and</w:t>
      </w:r>
      <w:r>
        <w:rPr>
          <w:lang w:val="en-US"/>
        </w:rPr>
        <w:t xml:space="preserve"> to </w:t>
      </w:r>
      <w:r>
        <w:t>attempt to reach a compromise solution.  In the meantime, the Company will continue its current SOP.</w:t>
      </w:r>
    </w:p>
    <w:p w:rsidR="00C40FFC" w:rsidRDefault="00C40FFC" w:rsidP="00C40FFC">
      <w:pPr>
        <w:pStyle w:val="BodyText"/>
        <w:spacing w:after="0" w:line="360" w:lineRule="auto"/>
        <w:ind w:left="0" w:firstLine="0"/>
        <w:rPr>
          <w:lang w:val="en-US" w:eastAsia="en-US"/>
        </w:rPr>
      </w:pPr>
    </w:p>
    <w:p w:rsidR="00C40FFC" w:rsidRDefault="00C40FFC" w:rsidP="00C40FFC">
      <w:pPr>
        <w:pStyle w:val="BodyText2"/>
        <w:spacing w:after="0" w:line="360" w:lineRule="auto"/>
        <w:ind w:firstLine="1440"/>
      </w:pPr>
      <w:r>
        <w:t>The SMA Settlement reflects a reasonable compromise of parties’ positions</w:t>
      </w:r>
      <w:r>
        <w:rPr>
          <w:lang w:val="en-US"/>
        </w:rPr>
        <w:t xml:space="preserve"> and </w:t>
      </w:r>
      <w:r>
        <w:t>avoids unnecessary litigation over SMA issues in this proceeding.</w:t>
      </w:r>
    </w:p>
    <w:p w:rsidR="00C40FFC" w:rsidRDefault="00C40FFC" w:rsidP="008E6311">
      <w:pPr>
        <w:pStyle w:val="BodyText2"/>
        <w:spacing w:after="0" w:line="360" w:lineRule="auto"/>
        <w:jc w:val="center"/>
        <w:rPr>
          <w:b/>
          <w:lang w:val="en-US"/>
        </w:rPr>
      </w:pPr>
    </w:p>
    <w:p w:rsidR="00215ED3" w:rsidRPr="004B7434" w:rsidRDefault="009E3632" w:rsidP="008E6311">
      <w:pPr>
        <w:pStyle w:val="BodyText2"/>
        <w:spacing w:after="0" w:line="360" w:lineRule="auto"/>
        <w:jc w:val="center"/>
        <w:rPr>
          <w:u w:val="single"/>
        </w:rPr>
      </w:pPr>
      <w:r w:rsidRPr="004B7434">
        <w:rPr>
          <w:lang w:val="en-US"/>
        </w:rPr>
        <w:t>V</w:t>
      </w:r>
      <w:r w:rsidR="00C57D29" w:rsidRPr="004B7434">
        <w:t>.</w:t>
      </w:r>
      <w:r w:rsidR="00154532" w:rsidRPr="004B7434">
        <w:tab/>
      </w:r>
      <w:r w:rsidRPr="004B7434">
        <w:rPr>
          <w:u w:val="single"/>
          <w:lang w:val="en-US"/>
        </w:rPr>
        <w:t>DISCUSSION</w:t>
      </w:r>
      <w:r w:rsidR="005D2E99" w:rsidRPr="004B7434">
        <w:rPr>
          <w:u w:val="single"/>
        </w:rPr>
        <w:fldChar w:fldCharType="begin"/>
      </w:r>
      <w:r w:rsidR="005D2E99" w:rsidRPr="004B7434">
        <w:instrText xml:space="preserve"> TC "</w:instrText>
      </w:r>
      <w:bookmarkStart w:id="4" w:name="_Toc327430224"/>
      <w:bookmarkStart w:id="5" w:name="_Toc327438693"/>
      <w:bookmarkStart w:id="6" w:name="_Toc327439161"/>
      <w:r w:rsidR="005D2E99" w:rsidRPr="004B7434">
        <w:instrText>III.</w:instrText>
      </w:r>
      <w:r w:rsidR="005D2E99" w:rsidRPr="004B7434">
        <w:tab/>
      </w:r>
      <w:r w:rsidR="005D2E99" w:rsidRPr="004B7434">
        <w:rPr>
          <w:u w:val="single"/>
        </w:rPr>
        <w:instrText>STANDARDS APPLICABLE TO DEFAULT SERVICE</w:instrText>
      </w:r>
      <w:bookmarkEnd w:id="4"/>
      <w:bookmarkEnd w:id="5"/>
      <w:bookmarkEnd w:id="6"/>
      <w:r w:rsidR="005D2E99" w:rsidRPr="004B7434">
        <w:instrText xml:space="preserve">" \f C \l "1" </w:instrText>
      </w:r>
      <w:r w:rsidR="005D2E99" w:rsidRPr="004B7434">
        <w:rPr>
          <w:u w:val="single"/>
        </w:rPr>
        <w:fldChar w:fldCharType="end"/>
      </w:r>
    </w:p>
    <w:p w:rsidR="004C6A25" w:rsidRPr="004B7434" w:rsidRDefault="004C6A25" w:rsidP="009E3632">
      <w:pPr>
        <w:pStyle w:val="BodyText2"/>
        <w:spacing w:after="0" w:line="360" w:lineRule="auto"/>
        <w:rPr>
          <w:lang w:val="en-US"/>
        </w:rPr>
      </w:pPr>
    </w:p>
    <w:p w:rsidR="00C57D29" w:rsidRPr="004B7434" w:rsidRDefault="00EE639F" w:rsidP="009E3632">
      <w:pPr>
        <w:pStyle w:val="BodyText2"/>
        <w:spacing w:after="0" w:line="360" w:lineRule="auto"/>
        <w:rPr>
          <w:lang w:val="en-US"/>
        </w:rPr>
      </w:pPr>
      <w:r w:rsidRPr="004B7434">
        <w:rPr>
          <w:lang w:val="en-US"/>
        </w:rPr>
        <w:t>A.</w:t>
      </w:r>
      <w:r w:rsidRPr="004B7434">
        <w:rPr>
          <w:lang w:val="en-US"/>
        </w:rPr>
        <w:tab/>
      </w:r>
      <w:r w:rsidRPr="00C74F25">
        <w:rPr>
          <w:u w:val="single"/>
          <w:lang w:val="en-US"/>
        </w:rPr>
        <w:t>Legal Standards</w:t>
      </w:r>
    </w:p>
    <w:p w:rsidR="00EE639F" w:rsidRPr="004B7434" w:rsidRDefault="00EE639F" w:rsidP="009E3632">
      <w:pPr>
        <w:pStyle w:val="BodyText2"/>
        <w:spacing w:after="0" w:line="360" w:lineRule="auto"/>
        <w:rPr>
          <w:lang w:val="en-US"/>
        </w:rPr>
      </w:pPr>
    </w:p>
    <w:p w:rsidR="00EE639F" w:rsidRPr="00C74F25" w:rsidRDefault="00EE639F" w:rsidP="009E3632">
      <w:pPr>
        <w:pStyle w:val="BodyText2"/>
        <w:spacing w:after="0" w:line="360" w:lineRule="auto"/>
        <w:rPr>
          <w:u w:val="single"/>
          <w:lang w:val="en-US"/>
        </w:rPr>
      </w:pPr>
      <w:r w:rsidRPr="004B7434">
        <w:rPr>
          <w:lang w:val="en-US"/>
        </w:rPr>
        <w:tab/>
        <w:t>1.</w:t>
      </w:r>
      <w:r w:rsidRPr="004B7434">
        <w:rPr>
          <w:lang w:val="en-US"/>
        </w:rPr>
        <w:tab/>
      </w:r>
      <w:r w:rsidRPr="00C74F25">
        <w:rPr>
          <w:u w:val="single"/>
          <w:lang w:val="en-US"/>
        </w:rPr>
        <w:t>Burden of Proof</w:t>
      </w:r>
    </w:p>
    <w:p w:rsidR="00EE639F" w:rsidRPr="00EE639F" w:rsidRDefault="00EE639F" w:rsidP="009E3632">
      <w:pPr>
        <w:pStyle w:val="BodyText2"/>
        <w:spacing w:after="0" w:line="360" w:lineRule="auto"/>
        <w:rPr>
          <w:lang w:val="en-US"/>
        </w:rPr>
      </w:pPr>
    </w:p>
    <w:p w:rsidR="00107561" w:rsidRDefault="00CC60E7" w:rsidP="00107561">
      <w:pPr>
        <w:spacing w:line="360" w:lineRule="auto"/>
        <w:ind w:firstLine="1440"/>
        <w:rPr>
          <w:color w:val="000000"/>
        </w:rPr>
      </w:pPr>
      <w:r w:rsidRPr="00244823">
        <w:rPr>
          <w:color w:val="000000"/>
        </w:rPr>
        <w:t xml:space="preserve">In this case, </w:t>
      </w:r>
      <w:r>
        <w:rPr>
          <w:color w:val="000000"/>
        </w:rPr>
        <w:t>Duquesne Light requests</w:t>
      </w:r>
      <w:r w:rsidRPr="00244823">
        <w:t xml:space="preserve"> the Commission approve </w:t>
      </w:r>
      <w:r>
        <w:t>its petition</w:t>
      </w:r>
      <w:r w:rsidRPr="00244823">
        <w:t xml:space="preserve"> establishing the proposed DSPs.</w:t>
      </w:r>
      <w:r>
        <w:t xml:space="preserve">  </w:t>
      </w:r>
      <w:r>
        <w:rPr>
          <w:color w:val="000000"/>
        </w:rPr>
        <w:t>Duquesne Light has</w:t>
      </w:r>
      <w:r w:rsidR="00C57D29" w:rsidRPr="00244823">
        <w:rPr>
          <w:color w:val="000000"/>
        </w:rPr>
        <w:t xml:space="preserve"> the burden of proof to establish </w:t>
      </w:r>
      <w:r>
        <w:rPr>
          <w:color w:val="000000"/>
        </w:rPr>
        <w:t>it is</w:t>
      </w:r>
      <w:r w:rsidR="00C57D29" w:rsidRPr="00244823">
        <w:rPr>
          <w:color w:val="000000"/>
        </w:rPr>
        <w:t xml:space="preserve"> entitled to the relief </w:t>
      </w:r>
      <w:r>
        <w:rPr>
          <w:color w:val="000000"/>
        </w:rPr>
        <w:t>sought, and it must meet that burden of proof by a preponderance of the</w:t>
      </w:r>
    </w:p>
    <w:p w:rsidR="00C57D29" w:rsidRDefault="00CC60E7" w:rsidP="00107561">
      <w:pPr>
        <w:spacing w:line="360" w:lineRule="auto"/>
        <w:rPr>
          <w:color w:val="000000"/>
        </w:rPr>
      </w:pPr>
      <w:proofErr w:type="gramStart"/>
      <w:r>
        <w:rPr>
          <w:color w:val="000000"/>
        </w:rPr>
        <w:t>evidence</w:t>
      </w:r>
      <w:proofErr w:type="gramEnd"/>
      <w:r w:rsidR="00C57D29" w:rsidRPr="00244823">
        <w:rPr>
          <w:color w:val="000000"/>
        </w:rPr>
        <w:t>.</w:t>
      </w:r>
      <w:r>
        <w:rPr>
          <w:rStyle w:val="FootnoteReference"/>
          <w:color w:val="000000"/>
        </w:rPr>
        <w:footnoteReference w:id="10"/>
      </w:r>
      <w:r w:rsidR="00C57D29" w:rsidRPr="00244823">
        <w:rPr>
          <w:color w:val="000000"/>
        </w:rPr>
        <w:t xml:space="preserve">  To meet </w:t>
      </w:r>
      <w:r>
        <w:rPr>
          <w:color w:val="000000"/>
        </w:rPr>
        <w:t>that</w:t>
      </w:r>
      <w:r w:rsidR="00C57D29" w:rsidRPr="00244823">
        <w:rPr>
          <w:color w:val="000000"/>
        </w:rPr>
        <w:t xml:space="preserve"> burden of proof, </w:t>
      </w:r>
      <w:r>
        <w:rPr>
          <w:color w:val="000000"/>
        </w:rPr>
        <w:t>DLC</w:t>
      </w:r>
      <w:r w:rsidR="00C57D29" w:rsidRPr="00244823">
        <w:rPr>
          <w:color w:val="000000"/>
        </w:rPr>
        <w:t xml:space="preserve"> must present evidence more convincing, by even the smallest amount, than that presented by any opposing party.  </w:t>
      </w:r>
      <w:proofErr w:type="gramStart"/>
      <w:r w:rsidR="00AE6FA6" w:rsidRPr="007C1C2A">
        <w:rPr>
          <w:i/>
          <w:color w:val="000000"/>
        </w:rPr>
        <w:t>Se-Ling Hosiery v. Margulies,</w:t>
      </w:r>
      <w:r w:rsidR="00AE6FA6" w:rsidRPr="00244823">
        <w:rPr>
          <w:color w:val="000000"/>
        </w:rPr>
        <w:t xml:space="preserve"> 70 A.2d 854 (Pa. 1950).</w:t>
      </w:r>
      <w:proofErr w:type="gramEnd"/>
      <w:r w:rsidR="00AE6FA6" w:rsidRPr="00244823">
        <w:rPr>
          <w:color w:val="000000"/>
        </w:rPr>
        <w:t xml:space="preserve">  </w:t>
      </w:r>
    </w:p>
    <w:p w:rsidR="00BC7E4E" w:rsidRDefault="00BC7E4E" w:rsidP="007A18C9">
      <w:pPr>
        <w:spacing w:line="360" w:lineRule="auto"/>
        <w:ind w:firstLine="1440"/>
        <w:rPr>
          <w:color w:val="000000"/>
        </w:rPr>
      </w:pPr>
    </w:p>
    <w:p w:rsidR="007A18C9" w:rsidRDefault="007A18C9" w:rsidP="007A18C9">
      <w:pPr>
        <w:pStyle w:val="BodyText2"/>
        <w:spacing w:after="0" w:line="360" w:lineRule="auto"/>
        <w:rPr>
          <w:lang w:val="en-US"/>
        </w:rPr>
      </w:pPr>
      <w:r>
        <w:rPr>
          <w:lang w:val="en-US"/>
        </w:rPr>
        <w:tab/>
      </w:r>
      <w:r>
        <w:rPr>
          <w:lang w:val="en-US"/>
        </w:rPr>
        <w:tab/>
      </w:r>
      <w:r>
        <w:t xml:space="preserve">Although Duquesne Light bears the burden of proving that its proposals are in the public interest, </w:t>
      </w:r>
      <w:r>
        <w:rPr>
          <w:lang w:val="en-US"/>
        </w:rPr>
        <w:t xml:space="preserve">any </w:t>
      </w:r>
      <w:r>
        <w:t xml:space="preserve">party </w:t>
      </w:r>
      <w:r>
        <w:rPr>
          <w:lang w:val="en-US"/>
        </w:rPr>
        <w:t xml:space="preserve">making a proposal contrary to DLC’s proposal carries the </w:t>
      </w:r>
      <w:r>
        <w:t xml:space="preserve">burden of proof as to </w:t>
      </w:r>
      <w:r>
        <w:rPr>
          <w:lang w:val="en-US"/>
        </w:rPr>
        <w:t>that contrary</w:t>
      </w:r>
      <w:r>
        <w:t xml:space="preserve"> proposal.</w:t>
      </w:r>
      <w:r>
        <w:rPr>
          <w:rStyle w:val="FootnoteReference"/>
        </w:rPr>
        <w:footnoteReference w:id="11"/>
      </w:r>
      <w:r>
        <w:t xml:space="preserve">  </w:t>
      </w:r>
      <w:proofErr w:type="spellStart"/>
      <w:r>
        <w:rPr>
          <w:lang w:val="en-US"/>
        </w:rPr>
        <w:t>T</w:t>
      </w:r>
      <w:r>
        <w:t>he</w:t>
      </w:r>
      <w:proofErr w:type="spellEnd"/>
      <w:r>
        <w:t xml:space="preserve"> Public Utility Code cannot reasonably be read to place the burden of pro</w:t>
      </w:r>
      <w:r>
        <w:rPr>
          <w:lang w:val="en-US"/>
        </w:rPr>
        <w:t xml:space="preserve">ving the legality/illegality or reasonableness/unreasonableness of a contrary </w:t>
      </w:r>
      <w:r>
        <w:t xml:space="preserve">proposal the </w:t>
      </w:r>
      <w:r w:rsidR="006A2CDA">
        <w:rPr>
          <w:lang w:val="en-US"/>
        </w:rPr>
        <w:t xml:space="preserve">public </w:t>
      </w:r>
      <w:r>
        <w:t>utility did not include in its filing and which</w:t>
      </w:r>
      <w:r>
        <w:rPr>
          <w:lang w:val="en-US"/>
        </w:rPr>
        <w:t xml:space="preserve"> the public utility most frequently would oppose</w:t>
      </w:r>
      <w:r>
        <w:t>.</w:t>
      </w:r>
      <w:r>
        <w:rPr>
          <w:rStyle w:val="FootnoteReference"/>
        </w:rPr>
        <w:footnoteReference w:id="12"/>
      </w:r>
      <w:r>
        <w:t xml:space="preserve">  </w:t>
      </w:r>
    </w:p>
    <w:p w:rsidR="007A18C9" w:rsidRDefault="007A18C9" w:rsidP="007A18C9">
      <w:pPr>
        <w:pStyle w:val="BodyText2"/>
        <w:spacing w:after="0" w:line="360" w:lineRule="auto"/>
        <w:rPr>
          <w:lang w:val="en-US"/>
        </w:rPr>
      </w:pPr>
    </w:p>
    <w:p w:rsidR="00592D0C" w:rsidRDefault="00592D0C" w:rsidP="007A18C9">
      <w:pPr>
        <w:pStyle w:val="BodyText2"/>
        <w:spacing w:after="0" w:line="360" w:lineRule="auto"/>
        <w:rPr>
          <w:lang w:val="en-US"/>
        </w:rPr>
      </w:pPr>
    </w:p>
    <w:p w:rsidR="00592D0C" w:rsidRDefault="00592D0C" w:rsidP="007A18C9">
      <w:pPr>
        <w:pStyle w:val="BodyText2"/>
        <w:spacing w:after="0" w:line="360" w:lineRule="auto"/>
        <w:rPr>
          <w:lang w:val="en-US"/>
        </w:rPr>
      </w:pPr>
    </w:p>
    <w:p w:rsidR="00EE639F" w:rsidRPr="00466F40" w:rsidRDefault="00EE639F" w:rsidP="008E6311">
      <w:pPr>
        <w:pStyle w:val="BodyText2"/>
        <w:spacing w:after="0" w:line="360" w:lineRule="auto"/>
        <w:rPr>
          <w:lang w:val="en-US"/>
        </w:rPr>
      </w:pPr>
      <w:r>
        <w:rPr>
          <w:b/>
          <w:lang w:val="en-US"/>
        </w:rPr>
        <w:tab/>
      </w:r>
      <w:r w:rsidRPr="00466F40">
        <w:rPr>
          <w:lang w:val="en-US"/>
        </w:rPr>
        <w:t>2.</w:t>
      </w:r>
      <w:r w:rsidRPr="00466F40">
        <w:rPr>
          <w:lang w:val="en-US"/>
        </w:rPr>
        <w:tab/>
      </w:r>
      <w:r w:rsidRPr="00C74F25">
        <w:rPr>
          <w:u w:val="single"/>
          <w:lang w:val="en-US"/>
        </w:rPr>
        <w:t>Legal Standards Applicable to Default Service Plans</w:t>
      </w:r>
    </w:p>
    <w:p w:rsidR="00EE639F" w:rsidRPr="00EE639F" w:rsidRDefault="00EE639F" w:rsidP="008E6311">
      <w:pPr>
        <w:pStyle w:val="BodyText2"/>
        <w:spacing w:after="0" w:line="360" w:lineRule="auto"/>
        <w:rPr>
          <w:b/>
          <w:u w:val="single"/>
          <w:lang w:val="en-US"/>
        </w:rPr>
      </w:pPr>
    </w:p>
    <w:p w:rsidR="008D0891" w:rsidRDefault="00215ED3" w:rsidP="008E6311">
      <w:pPr>
        <w:pStyle w:val="BodyText2"/>
        <w:spacing w:after="0" w:line="360" w:lineRule="auto"/>
        <w:ind w:firstLine="1440"/>
        <w:rPr>
          <w:lang w:val="en-US"/>
        </w:rPr>
      </w:pPr>
      <w:r w:rsidRPr="00244823">
        <w:t xml:space="preserve">The </w:t>
      </w:r>
      <w:r w:rsidR="008E242A" w:rsidRPr="00244823">
        <w:t xml:space="preserve">Electricity Generation Customer Choice and </w:t>
      </w:r>
      <w:r w:rsidRPr="00244823">
        <w:t>Competition Act</w:t>
      </w:r>
      <w:r w:rsidRPr="00244823">
        <w:rPr>
          <w:rStyle w:val="FootnoteReference"/>
        </w:rPr>
        <w:footnoteReference w:id="13"/>
      </w:r>
      <w:r w:rsidRPr="00244823">
        <w:t xml:space="preserve"> (Act</w:t>
      </w:r>
      <w:r w:rsidR="00210F1C">
        <w:rPr>
          <w:lang w:val="en-US"/>
        </w:rPr>
        <w:t xml:space="preserve"> 138</w:t>
      </w:r>
      <w:r w:rsidRPr="00244823">
        <w:t>)</w:t>
      </w:r>
      <w:r w:rsidR="00CE2910">
        <w:rPr>
          <w:lang w:val="en-US"/>
        </w:rPr>
        <w:t xml:space="preserve"> does not specify a specific default service rate design methodology in its requirement that</w:t>
      </w:r>
      <w:r w:rsidRPr="00244823">
        <w:t xml:space="preserve"> default service providers acquire electric energy through a “prudent mix” of resources designed:</w:t>
      </w:r>
      <w:r w:rsidR="00F92CBB">
        <w:rPr>
          <w:lang w:val="en-US"/>
        </w:rPr>
        <w:t xml:space="preserve"> </w:t>
      </w:r>
      <w:r w:rsidRPr="00244823">
        <w:t xml:space="preserve"> (i) to provide adequate and reliable service; (ii) to provide the least cost to customers over time; and (iii) to achieve these results through competitive processes</w:t>
      </w:r>
      <w:r w:rsidR="00CE2910">
        <w:rPr>
          <w:lang w:val="en-US"/>
        </w:rPr>
        <w:t>, including</w:t>
      </w:r>
      <w:r w:rsidRPr="00244823">
        <w:t xml:space="preserve"> auctions, requests for </w:t>
      </w:r>
    </w:p>
    <w:p w:rsidR="00B1213A" w:rsidRDefault="00215ED3" w:rsidP="001E0C95">
      <w:pPr>
        <w:pStyle w:val="BodyText2"/>
        <w:spacing w:after="0" w:line="360" w:lineRule="auto"/>
        <w:rPr>
          <w:lang w:val="en-US"/>
        </w:rPr>
      </w:pPr>
      <w:r w:rsidRPr="00244823">
        <w:t>proposals and/or bilateral agreements.</w:t>
      </w:r>
      <w:r w:rsidR="00CE2910">
        <w:rPr>
          <w:rStyle w:val="FootnoteReference"/>
        </w:rPr>
        <w:footnoteReference w:id="14"/>
      </w:r>
      <w:r w:rsidR="00CE2910">
        <w:rPr>
          <w:lang w:val="en-US"/>
        </w:rPr>
        <w:t xml:space="preserve">  Based </w:t>
      </w:r>
      <w:r w:rsidR="00CE2910" w:rsidRPr="00244823">
        <w:t xml:space="preserve">on the legislative finding that “competitive market forces are more effective than economic regulation in controlling the cost of generating </w:t>
      </w:r>
    </w:p>
    <w:p w:rsidR="00215ED3" w:rsidRDefault="00CE2910" w:rsidP="00B1213A">
      <w:pPr>
        <w:pStyle w:val="BodyText2"/>
        <w:spacing w:after="0" w:line="360" w:lineRule="auto"/>
        <w:rPr>
          <w:lang w:val="en-US"/>
        </w:rPr>
      </w:pPr>
      <w:r w:rsidRPr="00244823">
        <w:t>electricity</w:t>
      </w:r>
      <w:r>
        <w:rPr>
          <w:lang w:val="en-US"/>
        </w:rPr>
        <w:t>,”</w:t>
      </w:r>
      <w:r>
        <w:rPr>
          <w:rStyle w:val="FootnoteReference"/>
          <w:lang w:val="en-US"/>
        </w:rPr>
        <w:footnoteReference w:id="15"/>
      </w:r>
      <w:r>
        <w:rPr>
          <w:lang w:val="en-US"/>
        </w:rPr>
        <w:t xml:space="preserve"> Act</w:t>
      </w:r>
      <w:r w:rsidR="00210F1C">
        <w:rPr>
          <w:lang w:val="en-US"/>
        </w:rPr>
        <w:t xml:space="preserve"> 138</w:t>
      </w:r>
      <w:r>
        <w:rPr>
          <w:lang w:val="en-US"/>
        </w:rPr>
        <w:t xml:space="preserve"> mandates </w:t>
      </w:r>
      <w:r w:rsidR="00215ED3" w:rsidRPr="00244823">
        <w:t>that customers have direct access to a competi</w:t>
      </w:r>
      <w:r>
        <w:t>tive retail generation market.</w:t>
      </w:r>
      <w:r>
        <w:rPr>
          <w:rStyle w:val="FootnoteReference"/>
        </w:rPr>
        <w:footnoteReference w:id="16"/>
      </w:r>
      <w:r w:rsidR="00215ED3" w:rsidRPr="00244823">
        <w:t xml:space="preserve">  </w:t>
      </w:r>
    </w:p>
    <w:p w:rsidR="00CD4B1C" w:rsidRPr="00CD4B1C" w:rsidRDefault="00CD4B1C" w:rsidP="00B1213A">
      <w:pPr>
        <w:pStyle w:val="BodyText2"/>
        <w:spacing w:after="0" w:line="360" w:lineRule="auto"/>
        <w:rPr>
          <w:lang w:val="en-US"/>
        </w:rPr>
      </w:pPr>
    </w:p>
    <w:p w:rsidR="00215ED3" w:rsidRPr="00244823" w:rsidRDefault="00215ED3" w:rsidP="009B2E30">
      <w:pPr>
        <w:pStyle w:val="BodyText2"/>
        <w:spacing w:after="0" w:line="360" w:lineRule="auto"/>
        <w:ind w:firstLine="1440"/>
      </w:pPr>
      <w:r w:rsidRPr="00244823">
        <w:t xml:space="preserve">In </w:t>
      </w:r>
      <w:r w:rsidR="000B25FF">
        <w:rPr>
          <w:lang w:val="en-US"/>
        </w:rPr>
        <w:t>response</w:t>
      </w:r>
      <w:r w:rsidRPr="00244823">
        <w:t>, the Commission enacted default service regulations</w:t>
      </w:r>
      <w:r w:rsidR="000B25FF">
        <w:rPr>
          <w:lang w:val="en-US"/>
        </w:rPr>
        <w:t xml:space="preserve"> in 2007 at</w:t>
      </w:r>
      <w:r w:rsidRPr="00244823">
        <w:t xml:space="preserve"> 52</w:t>
      </w:r>
      <w:r w:rsidR="00DE7D9B">
        <w:rPr>
          <w:lang w:val="en-US"/>
        </w:rPr>
        <w:t> </w:t>
      </w:r>
      <w:r w:rsidRPr="00244823">
        <w:t xml:space="preserve">Pa.Code </w:t>
      </w:r>
      <w:r w:rsidR="000B25FF">
        <w:rPr>
          <w:lang w:val="en-US"/>
        </w:rPr>
        <w:t xml:space="preserve">Sections </w:t>
      </w:r>
      <w:r w:rsidRPr="00244823">
        <w:t xml:space="preserve">54.181 to 54.189, and </w:t>
      </w:r>
      <w:r w:rsidR="000B25FF">
        <w:rPr>
          <w:lang w:val="en-US"/>
        </w:rPr>
        <w:t xml:space="preserve">issued </w:t>
      </w:r>
      <w:r w:rsidRPr="00244823">
        <w:t>a policy statement</w:t>
      </w:r>
      <w:r w:rsidR="000B25FF">
        <w:rPr>
          <w:lang w:val="en-US"/>
        </w:rPr>
        <w:t xml:space="preserve"> at</w:t>
      </w:r>
      <w:r w:rsidRPr="00244823">
        <w:t xml:space="preserve"> 52 Pa.Code </w:t>
      </w:r>
      <w:r w:rsidR="000B25FF">
        <w:rPr>
          <w:lang w:val="en-US"/>
        </w:rPr>
        <w:t>Sections</w:t>
      </w:r>
      <w:r w:rsidRPr="00244823">
        <w:t xml:space="preserve"> 69.1802 to 69.1817, </w:t>
      </w:r>
      <w:r w:rsidR="000B25FF">
        <w:rPr>
          <w:lang w:val="en-US"/>
        </w:rPr>
        <w:t xml:space="preserve">to </w:t>
      </w:r>
      <w:r w:rsidRPr="00244823">
        <w:t xml:space="preserve">address default service plans.  The regulations </w:t>
      </w:r>
      <w:r w:rsidR="000B25FF">
        <w:rPr>
          <w:lang w:val="en-US"/>
        </w:rPr>
        <w:t>recently were</w:t>
      </w:r>
      <w:r w:rsidRPr="00244823">
        <w:t xml:space="preserve"> amended to incorporate the Act 129</w:t>
      </w:r>
      <w:r w:rsidR="00210F1C">
        <w:rPr>
          <w:rStyle w:val="FootnoteReference"/>
        </w:rPr>
        <w:footnoteReference w:id="17"/>
      </w:r>
      <w:r w:rsidRPr="00244823">
        <w:t xml:space="preserve"> amendments </w:t>
      </w:r>
      <w:r w:rsidR="00210F1C">
        <w:rPr>
          <w:lang w:val="en-US"/>
        </w:rPr>
        <w:t>into Act 138</w:t>
      </w:r>
      <w:r w:rsidRPr="00244823">
        <w:t>.</w:t>
      </w:r>
      <w:r w:rsidR="000B25FF">
        <w:rPr>
          <w:rStyle w:val="FootnoteReference"/>
        </w:rPr>
        <w:footnoteReference w:id="18"/>
      </w:r>
      <w:r w:rsidRPr="00244823">
        <w:t xml:space="preserve">  </w:t>
      </w:r>
    </w:p>
    <w:p w:rsidR="008E242A" w:rsidRDefault="008E242A" w:rsidP="009B2E30">
      <w:pPr>
        <w:pStyle w:val="BriefL1"/>
        <w:numPr>
          <w:ilvl w:val="0"/>
          <w:numId w:val="0"/>
        </w:numPr>
        <w:spacing w:after="0" w:line="360" w:lineRule="auto"/>
        <w:jc w:val="left"/>
        <w:outlineLvl w:val="9"/>
        <w:rPr>
          <w:szCs w:val="24"/>
        </w:rPr>
      </w:pPr>
      <w:bookmarkStart w:id="7" w:name="_Toc323736679"/>
    </w:p>
    <w:p w:rsidR="0005720E" w:rsidRDefault="0005720E" w:rsidP="0005720E">
      <w:pPr>
        <w:pStyle w:val="BodyText"/>
        <w:rPr>
          <w:lang w:val="en-US" w:eastAsia="en-US"/>
        </w:rPr>
      </w:pPr>
    </w:p>
    <w:p w:rsidR="0005720E" w:rsidRDefault="0005720E" w:rsidP="0005720E">
      <w:pPr>
        <w:pStyle w:val="BodyText"/>
        <w:rPr>
          <w:lang w:val="en-US" w:eastAsia="en-US"/>
        </w:rPr>
      </w:pPr>
    </w:p>
    <w:p w:rsidR="0005720E" w:rsidRDefault="0005720E" w:rsidP="0005720E">
      <w:pPr>
        <w:pStyle w:val="BodyText"/>
        <w:rPr>
          <w:lang w:val="en-US" w:eastAsia="en-US"/>
        </w:rPr>
      </w:pPr>
    </w:p>
    <w:p w:rsidR="0005720E" w:rsidRPr="0005720E" w:rsidRDefault="0005720E" w:rsidP="0005720E">
      <w:pPr>
        <w:pStyle w:val="BodyText"/>
        <w:rPr>
          <w:lang w:val="en-US" w:eastAsia="en-US"/>
        </w:rPr>
      </w:pPr>
    </w:p>
    <w:p w:rsidR="006C6975" w:rsidRPr="00C74F25" w:rsidRDefault="00EE639F" w:rsidP="009B2E30">
      <w:pPr>
        <w:pStyle w:val="BriefL1"/>
        <w:numPr>
          <w:ilvl w:val="0"/>
          <w:numId w:val="0"/>
        </w:numPr>
        <w:spacing w:after="0" w:line="360" w:lineRule="auto"/>
        <w:jc w:val="left"/>
        <w:outlineLvl w:val="9"/>
        <w:rPr>
          <w:b w:val="0"/>
          <w:szCs w:val="24"/>
          <w:u w:val="single"/>
        </w:rPr>
      </w:pPr>
      <w:r w:rsidRPr="00A13910">
        <w:rPr>
          <w:b w:val="0"/>
          <w:szCs w:val="24"/>
        </w:rPr>
        <w:t>B</w:t>
      </w:r>
      <w:r w:rsidR="00C57D29" w:rsidRPr="00A13910">
        <w:rPr>
          <w:b w:val="0"/>
          <w:szCs w:val="24"/>
        </w:rPr>
        <w:t>.</w:t>
      </w:r>
      <w:r w:rsidR="00C761F9" w:rsidRPr="00A13910">
        <w:rPr>
          <w:b w:val="0"/>
          <w:caps w:val="0"/>
          <w:szCs w:val="24"/>
        </w:rPr>
        <w:tab/>
      </w:r>
      <w:bookmarkEnd w:id="7"/>
      <w:r w:rsidR="00C761F9" w:rsidRPr="00C74F25">
        <w:rPr>
          <w:b w:val="0"/>
          <w:caps w:val="0"/>
          <w:szCs w:val="24"/>
          <w:u w:val="single"/>
        </w:rPr>
        <w:t>Default Service Procurement Issues</w:t>
      </w:r>
    </w:p>
    <w:p w:rsidR="00154532" w:rsidRPr="00A13910" w:rsidRDefault="00154532" w:rsidP="009B2E30">
      <w:pPr>
        <w:pStyle w:val="BodyText"/>
        <w:spacing w:after="0" w:line="360" w:lineRule="auto"/>
        <w:rPr>
          <w:szCs w:val="24"/>
        </w:rPr>
      </w:pPr>
    </w:p>
    <w:p w:rsidR="00AD0AFA" w:rsidRPr="00A13910" w:rsidRDefault="005D2E99" w:rsidP="009B2E30">
      <w:pPr>
        <w:pStyle w:val="BriefL3"/>
        <w:numPr>
          <w:ilvl w:val="0"/>
          <w:numId w:val="0"/>
        </w:numPr>
        <w:spacing w:after="0" w:line="360" w:lineRule="auto"/>
        <w:ind w:left="720"/>
        <w:outlineLvl w:val="9"/>
        <w:rPr>
          <w:szCs w:val="24"/>
        </w:rPr>
      </w:pPr>
      <w:bookmarkStart w:id="8" w:name="_Toc323736681"/>
      <w:r w:rsidRPr="00A13910">
        <w:rPr>
          <w:szCs w:val="24"/>
        </w:rPr>
        <w:t>1.</w:t>
      </w:r>
      <w:r w:rsidRPr="00A13910">
        <w:rPr>
          <w:szCs w:val="24"/>
        </w:rPr>
        <w:tab/>
      </w:r>
      <w:bookmarkEnd w:id="8"/>
      <w:r w:rsidR="00EE639F" w:rsidRPr="00C74F25">
        <w:rPr>
          <w:szCs w:val="24"/>
          <w:u w:val="single"/>
        </w:rPr>
        <w:t xml:space="preserve">Residential </w:t>
      </w:r>
      <w:r w:rsidR="00AD0AFA" w:rsidRPr="00C74F25">
        <w:rPr>
          <w:szCs w:val="24"/>
          <w:u w:val="single"/>
        </w:rPr>
        <w:t>Procurement</w:t>
      </w:r>
      <w:r w:rsidR="00AD0AFA" w:rsidRPr="00A13910">
        <w:rPr>
          <w:szCs w:val="24"/>
        </w:rPr>
        <w:t xml:space="preserve"> </w:t>
      </w:r>
    </w:p>
    <w:p w:rsidR="000855F4" w:rsidRDefault="000855F4" w:rsidP="001916A2">
      <w:pPr>
        <w:pStyle w:val="BodyText2"/>
        <w:spacing w:after="0" w:line="360" w:lineRule="auto"/>
        <w:ind w:firstLine="1440"/>
        <w:rPr>
          <w:lang w:val="en-US"/>
        </w:rPr>
      </w:pPr>
    </w:p>
    <w:p w:rsidR="000855F4" w:rsidRDefault="009B2E30" w:rsidP="009B2E30">
      <w:pPr>
        <w:pStyle w:val="BodyText2"/>
        <w:spacing w:line="360" w:lineRule="auto"/>
        <w:ind w:firstLine="1440"/>
        <w:rPr>
          <w:lang w:val="en-US"/>
        </w:rPr>
      </w:pPr>
      <w:r>
        <w:t>The Residential procurement issues have been resolved by the Settlement Stipulation of the Parties.</w:t>
      </w:r>
      <w:r>
        <w:rPr>
          <w:lang w:val="en-US"/>
        </w:rPr>
        <w:t xml:space="preserve">  </w:t>
      </w:r>
      <w:r w:rsidR="000855F4">
        <w:rPr>
          <w:lang w:val="en-US"/>
        </w:rPr>
        <w:t>The parties stipulated (or did not object) in Paragraph No. 1 of the Settlement that the Company’s “</w:t>
      </w:r>
      <w:r w:rsidR="000855F4">
        <w:t>proposed default service procurement plan for Residential customers will be approved, provided that, should the Commission determine, any time prior to the last solicitation under the DSP VII program in 2016, that Duquesne Light will not continue in its role as Default Service provider beyond May 31, 2017, Duquesne Light agrees to file an appropriate petition with the Commission requesting to amend the DSP VII program to ensure that no fixed-priced contracts extend beyond May 31, 2017, or the date set by the Commission for the termination of Duquesne Light’s role as Default Service provider</w:t>
      </w:r>
      <w:r w:rsidR="000855F4">
        <w:rPr>
          <w:lang w:val="en-US"/>
        </w:rPr>
        <w:t>.”</w:t>
      </w:r>
    </w:p>
    <w:p w:rsidR="00C74F25" w:rsidRDefault="00C74F25" w:rsidP="00C74F25">
      <w:pPr>
        <w:pStyle w:val="BodyText2"/>
        <w:spacing w:after="0" w:line="360" w:lineRule="auto"/>
        <w:ind w:firstLine="1440"/>
        <w:rPr>
          <w:lang w:val="en-US"/>
        </w:rPr>
      </w:pPr>
    </w:p>
    <w:p w:rsidR="005A3CD5" w:rsidRPr="00C74F25" w:rsidRDefault="003C38EE" w:rsidP="00FA2556">
      <w:pPr>
        <w:pStyle w:val="ListParagraph"/>
        <w:numPr>
          <w:ilvl w:val="0"/>
          <w:numId w:val="19"/>
        </w:numPr>
        <w:autoSpaceDE/>
        <w:autoSpaceDN/>
        <w:spacing w:line="360" w:lineRule="auto"/>
        <w:ind w:firstLine="720"/>
        <w:rPr>
          <w:u w:val="single"/>
        </w:rPr>
      </w:pPr>
      <w:r w:rsidRPr="00C74F25">
        <w:rPr>
          <w:u w:val="single"/>
        </w:rPr>
        <w:t>Disposit</w:t>
      </w:r>
      <w:r w:rsidR="00FC1C98" w:rsidRPr="00C74F25">
        <w:rPr>
          <w:u w:val="single"/>
        </w:rPr>
        <w:t xml:space="preserve">ion </w:t>
      </w:r>
      <w:r w:rsidR="00FA2556" w:rsidRPr="00C74F25">
        <w:rPr>
          <w:u w:val="single"/>
        </w:rPr>
        <w:t>–</w:t>
      </w:r>
      <w:r w:rsidR="00FC1C98" w:rsidRPr="00C74F25">
        <w:rPr>
          <w:u w:val="single"/>
        </w:rPr>
        <w:t xml:space="preserve"> Residential Procurement</w:t>
      </w:r>
    </w:p>
    <w:p w:rsidR="003C38EE" w:rsidRDefault="003C38EE" w:rsidP="009B2E30">
      <w:pPr>
        <w:pStyle w:val="BodyText"/>
        <w:spacing w:after="0" w:line="360" w:lineRule="auto"/>
        <w:ind w:left="0" w:firstLine="0"/>
        <w:rPr>
          <w:szCs w:val="24"/>
          <w:lang w:val="en-US"/>
        </w:rPr>
      </w:pPr>
    </w:p>
    <w:p w:rsidR="00AC01D4" w:rsidRPr="00593870" w:rsidRDefault="00AC01D4" w:rsidP="00AC01D4">
      <w:pPr>
        <w:spacing w:line="360" w:lineRule="auto"/>
      </w:pPr>
      <w:r>
        <w:tab/>
      </w:r>
      <w:r>
        <w:tab/>
      </w:r>
      <w:r w:rsidRPr="00B730CB">
        <w:t xml:space="preserve">All signatories to the Settlement agreed the Company’s proposal should be approved.  In the Settlement, DLC agreed to file a petition to amend the DSP VII if the Commission determines at a future date to end Duquesne Light’s role as a default service provider before May 31, 2017.  Duquesne Light’s proposal was to use 12-month laddered full-requirements supply contracts from its suppliers using semi-annual RFPs.  This proposal differs from the current procurement plan under the DSP VI which is not laddered.  The laddering in this proposal is on a six month basis and means the default service generation providers vary every six months.  In addition the last contract would overhang into the DSP VIII Plan period by </w:t>
      </w:r>
      <w:r w:rsidRPr="00593870">
        <w:t>six months.  This overhang was approved by the Commission in the DSP VI Plan on September</w:t>
      </w:r>
      <w:r>
        <w:t> </w:t>
      </w:r>
      <w:r w:rsidRPr="00593870">
        <w:t xml:space="preserve">11, 2014 at Docket No. </w:t>
      </w:r>
      <w:proofErr w:type="gramStart"/>
      <w:r w:rsidRPr="00593870">
        <w:t>P-2012-2301664.</w:t>
      </w:r>
      <w:proofErr w:type="gramEnd"/>
    </w:p>
    <w:p w:rsidR="00AC01D4" w:rsidRPr="00593870" w:rsidRDefault="00AC01D4" w:rsidP="00AC01D4">
      <w:pPr>
        <w:spacing w:line="360" w:lineRule="auto"/>
      </w:pPr>
    </w:p>
    <w:p w:rsidR="00AC01D4" w:rsidRDefault="00AC01D4" w:rsidP="00AC01D4">
      <w:pPr>
        <w:spacing w:line="360" w:lineRule="auto"/>
        <w:rPr>
          <w:color w:val="000000" w:themeColor="text1"/>
        </w:rPr>
      </w:pPr>
      <w:r w:rsidRPr="00593870">
        <w:tab/>
      </w:r>
      <w:r w:rsidRPr="00593870">
        <w:tab/>
      </w:r>
      <w:r w:rsidRPr="00593870">
        <w:rPr>
          <w:color w:val="000000" w:themeColor="text1"/>
        </w:rPr>
        <w:t xml:space="preserve">I recommend </w:t>
      </w:r>
      <w:r>
        <w:rPr>
          <w:color w:val="000000" w:themeColor="text1"/>
        </w:rPr>
        <w:t>this proposed settlement term should</w:t>
      </w:r>
      <w:r w:rsidRPr="00593870">
        <w:rPr>
          <w:color w:val="000000" w:themeColor="text1"/>
        </w:rPr>
        <w:t xml:space="preserve"> be approved</w:t>
      </w:r>
      <w:r>
        <w:rPr>
          <w:color w:val="000000" w:themeColor="text1"/>
        </w:rPr>
        <w:t xml:space="preserve"> as in the public interest</w:t>
      </w:r>
      <w:r w:rsidRPr="00593870">
        <w:rPr>
          <w:color w:val="000000" w:themeColor="text1"/>
        </w:rPr>
        <w:t>.</w:t>
      </w:r>
      <w:r>
        <w:rPr>
          <w:color w:val="000000" w:themeColor="text1"/>
        </w:rPr>
        <w:t xml:space="preserve">  This laddering of supply products and offerings available to Residential customers will produce default services which are more responsive to the market because 50% of the supply will be replaced every six months with a new supply contract.  With the supply portfolio changing every six months but only for 50% of the customer load, this provision balances price stability with market responsiveness.  </w:t>
      </w:r>
    </w:p>
    <w:p w:rsidR="00AC01D4" w:rsidRDefault="00AC01D4" w:rsidP="009B2E30">
      <w:pPr>
        <w:pStyle w:val="BodyText"/>
        <w:spacing w:after="0" w:line="360" w:lineRule="auto"/>
        <w:ind w:left="0" w:firstLine="0"/>
        <w:rPr>
          <w:szCs w:val="24"/>
          <w:lang w:val="en-US"/>
        </w:rPr>
      </w:pPr>
    </w:p>
    <w:p w:rsidR="00EE639F" w:rsidRPr="00516AA4" w:rsidRDefault="00EE639F" w:rsidP="009B2E30">
      <w:pPr>
        <w:pStyle w:val="BodyText"/>
        <w:spacing w:after="0" w:line="360" w:lineRule="auto"/>
        <w:ind w:left="0" w:firstLine="0"/>
        <w:rPr>
          <w:szCs w:val="24"/>
          <w:lang w:val="en-US"/>
        </w:rPr>
      </w:pPr>
      <w:r w:rsidRPr="00516AA4">
        <w:rPr>
          <w:szCs w:val="24"/>
          <w:lang w:val="en-US"/>
        </w:rPr>
        <w:tab/>
        <w:t>2.</w:t>
      </w:r>
      <w:r w:rsidRPr="00516AA4">
        <w:rPr>
          <w:szCs w:val="24"/>
          <w:lang w:val="en-US"/>
        </w:rPr>
        <w:tab/>
      </w:r>
      <w:r w:rsidRPr="00C74F25">
        <w:rPr>
          <w:szCs w:val="24"/>
          <w:u w:val="single"/>
          <w:lang w:val="en-US"/>
        </w:rPr>
        <w:t xml:space="preserve">Small </w:t>
      </w:r>
      <w:r w:rsidR="00457F90" w:rsidRPr="00C74F25">
        <w:rPr>
          <w:szCs w:val="24"/>
          <w:u w:val="single"/>
          <w:lang w:val="en-US"/>
        </w:rPr>
        <w:t>C&amp;I</w:t>
      </w:r>
      <w:r w:rsidRPr="00C74F25">
        <w:rPr>
          <w:szCs w:val="24"/>
          <w:u w:val="single"/>
          <w:lang w:val="en-US"/>
        </w:rPr>
        <w:t xml:space="preserve"> Procurement</w:t>
      </w:r>
      <w:r w:rsidR="00457F90" w:rsidRPr="00C74F25">
        <w:rPr>
          <w:szCs w:val="24"/>
          <w:u w:val="single"/>
          <w:lang w:val="en-US"/>
        </w:rPr>
        <w:t xml:space="preserve"> </w:t>
      </w:r>
      <w:r w:rsidR="00FC1C98" w:rsidRPr="00C74F25">
        <w:rPr>
          <w:szCs w:val="24"/>
          <w:u w:val="single"/>
          <w:lang w:val="en-US"/>
        </w:rPr>
        <w:t>Issues</w:t>
      </w:r>
    </w:p>
    <w:p w:rsidR="0069731A" w:rsidRDefault="00884AFB" w:rsidP="009B2E30">
      <w:pPr>
        <w:pStyle w:val="BriefL3"/>
        <w:numPr>
          <w:ilvl w:val="0"/>
          <w:numId w:val="0"/>
        </w:numPr>
        <w:spacing w:after="0" w:line="360" w:lineRule="auto"/>
        <w:ind w:hanging="720"/>
        <w:outlineLvl w:val="9"/>
        <w:rPr>
          <w:b/>
          <w:szCs w:val="24"/>
        </w:rPr>
      </w:pPr>
      <w:r>
        <w:rPr>
          <w:b/>
          <w:szCs w:val="24"/>
        </w:rPr>
        <w:tab/>
      </w:r>
    </w:p>
    <w:p w:rsidR="009B2E30" w:rsidRDefault="009B2E30" w:rsidP="009B2E30">
      <w:pPr>
        <w:pStyle w:val="BodyText2"/>
        <w:spacing w:after="0" w:line="360" w:lineRule="auto"/>
        <w:ind w:firstLine="1440"/>
        <w:rPr>
          <w:lang w:val="en-US"/>
        </w:rPr>
      </w:pPr>
      <w:r>
        <w:t>Duquesne Light proposes to obtain default service supply through 12-month, laddered</w:t>
      </w:r>
      <w:r w:rsidR="005F7A7A">
        <w:rPr>
          <w:rStyle w:val="FootnoteReference"/>
        </w:rPr>
        <w:footnoteReference w:id="19"/>
      </w:r>
      <w:r>
        <w:t xml:space="preserve"> full</w:t>
      </w:r>
      <w:r w:rsidR="005F7A7A">
        <w:rPr>
          <w:lang w:val="en-US"/>
        </w:rPr>
        <w:t>-</w:t>
      </w:r>
      <w:r>
        <w:t xml:space="preserve">requirements supply contracts from third party suppliers obtained through semi-annual RFPs.  </w:t>
      </w:r>
      <w:r w:rsidRPr="00E13F06">
        <w:t>A full requirements contract requires a supplier to provide energy, capacity, ancillary services, AECs and any other services or products necessary to serve a specified percentage of default service load 24 hours a day, for the term of the contract.  Because the contract is “load-following,” the amount of energy and other services and products a supplier must provide will vary depending upon Duquesne Light’s actual default service load.</w:t>
      </w:r>
      <w:r>
        <w:t xml:space="preserve">  Initially, Duquesne Light proposed to procure one 6-month full requirements contract at the beginning of the DSP VII period</w:t>
      </w:r>
      <w:r>
        <w:rPr>
          <w:lang w:val="en-US"/>
        </w:rPr>
        <w:t>,</w:t>
      </w:r>
      <w:r>
        <w:rPr>
          <w:rStyle w:val="FootnoteReference"/>
        </w:rPr>
        <w:footnoteReference w:id="20"/>
      </w:r>
      <w:r>
        <w:rPr>
          <w:lang w:val="en-US"/>
        </w:rPr>
        <w:t xml:space="preserve"> h</w:t>
      </w:r>
      <w:proofErr w:type="spellStart"/>
      <w:r>
        <w:t>owever</w:t>
      </w:r>
      <w:proofErr w:type="spellEnd"/>
      <w:r>
        <w:t xml:space="preserve">, on June 5, 2014, Duquesne Light filed a Petition with the Commission requesting to extend the final Small C&amp;I procurement term under DSP VI by </w:t>
      </w:r>
      <w:r w:rsidR="007864A4">
        <w:rPr>
          <w:lang w:val="en-US"/>
        </w:rPr>
        <w:t>six</w:t>
      </w:r>
      <w:r>
        <w:t xml:space="preserve"> months so the DSP VI contract would extend through November 2015 and replace the 6-month contract scheduled to be procured in February 2015.  The Commission granted this Petition on by Order entered September 11, 2014 at Docket No. P-2012-2301664.</w:t>
      </w:r>
    </w:p>
    <w:p w:rsidR="009B2E30" w:rsidRPr="009B2E30" w:rsidRDefault="009B2E30" w:rsidP="009B2E30">
      <w:pPr>
        <w:pStyle w:val="BodyText2"/>
        <w:spacing w:after="0" w:line="360" w:lineRule="auto"/>
        <w:ind w:firstLine="1440"/>
        <w:rPr>
          <w:lang w:val="en-US"/>
        </w:rPr>
      </w:pPr>
    </w:p>
    <w:p w:rsidR="009B2E30" w:rsidRDefault="009B2E30" w:rsidP="009B2E30">
      <w:pPr>
        <w:pStyle w:val="BodyText2"/>
        <w:spacing w:after="0" w:line="360" w:lineRule="auto"/>
        <w:ind w:firstLine="1440"/>
        <w:rPr>
          <w:lang w:val="en-US"/>
        </w:rPr>
      </w:pPr>
      <w:r>
        <w:rPr>
          <w:lang w:val="en-US"/>
        </w:rPr>
        <w:t xml:space="preserve">DLC proposes </w:t>
      </w:r>
      <w:proofErr w:type="spellStart"/>
      <w:r>
        <w:rPr>
          <w:lang w:val="en-US"/>
        </w:rPr>
        <w:t>t</w:t>
      </w:r>
      <w:r>
        <w:t>he</w:t>
      </w:r>
      <w:proofErr w:type="spellEnd"/>
      <w:r>
        <w:t xml:space="preserve"> 12-month default service supply contracts </w:t>
      </w:r>
      <w:r>
        <w:rPr>
          <w:lang w:val="en-US"/>
        </w:rPr>
        <w:t>should</w:t>
      </w:r>
      <w:r>
        <w:t xml:space="preserve"> be “laddered” contracts</w:t>
      </w:r>
      <w:r w:rsidR="0055186D">
        <w:rPr>
          <w:lang w:val="en-US"/>
        </w:rPr>
        <w:t xml:space="preserve"> where the </w:t>
      </w:r>
      <w:r w:rsidR="0055186D">
        <w:t xml:space="preserve">delivery periods </w:t>
      </w:r>
      <w:r w:rsidR="0055186D">
        <w:rPr>
          <w:lang w:val="en-US"/>
        </w:rPr>
        <w:t>will</w:t>
      </w:r>
      <w:r>
        <w:t xml:space="preserve"> overlap.  </w:t>
      </w:r>
      <w:r>
        <w:rPr>
          <w:lang w:val="en-US"/>
        </w:rPr>
        <w:t xml:space="preserve">DLC provided the </w:t>
      </w:r>
      <w:r>
        <w:t xml:space="preserve">table </w:t>
      </w:r>
      <w:r>
        <w:rPr>
          <w:lang w:val="en-US"/>
        </w:rPr>
        <w:t>to illustrate</w:t>
      </w:r>
      <w:r>
        <w:t xml:space="preserve"> the RFP Date, Procurement Amount, Contract Term and Delivery Period </w:t>
      </w:r>
      <w:proofErr w:type="gramStart"/>
      <w:r>
        <w:t>for each procurement</w:t>
      </w:r>
      <w:proofErr w:type="gramEnd"/>
      <w:r>
        <w:t xml:space="preserve"> under DSP VII, reflecting the DSP VI modifications approved by the Commission on September 11, 2014.</w:t>
      </w:r>
      <w:r>
        <w:rPr>
          <w:rStyle w:val="FootnoteReference"/>
        </w:rPr>
        <w:footnoteReference w:id="21"/>
      </w:r>
    </w:p>
    <w:p w:rsidR="009B2E30" w:rsidRPr="009B2E30" w:rsidRDefault="009B2E30" w:rsidP="009B2E30">
      <w:pPr>
        <w:pStyle w:val="BodyText2"/>
        <w:spacing w:after="0" w:line="360" w:lineRule="auto"/>
        <w:ind w:firstLine="1440"/>
        <w:rPr>
          <w:lang w:val="en-US"/>
        </w:rPr>
      </w:pPr>
    </w:p>
    <w:tbl>
      <w:tblPr>
        <w:tblStyle w:val="TableGrid"/>
        <w:tblW w:w="9738" w:type="dxa"/>
        <w:tblLook w:val="04A0" w:firstRow="1" w:lastRow="0" w:firstColumn="1" w:lastColumn="0" w:noHBand="0" w:noVBand="1"/>
      </w:tblPr>
      <w:tblGrid>
        <w:gridCol w:w="1818"/>
        <w:gridCol w:w="2520"/>
        <w:gridCol w:w="1800"/>
        <w:gridCol w:w="3600"/>
      </w:tblGrid>
      <w:tr w:rsidR="009B2E30" w:rsidRPr="007262FC" w:rsidTr="007B62B7">
        <w:tc>
          <w:tcPr>
            <w:tcW w:w="1818" w:type="dxa"/>
          </w:tcPr>
          <w:p w:rsidR="009B2E30" w:rsidRPr="007262FC" w:rsidRDefault="009B2E30" w:rsidP="009B2E30">
            <w:pPr>
              <w:pStyle w:val="BodyText2"/>
              <w:keepNext/>
              <w:keepLines/>
              <w:spacing w:after="0" w:line="360" w:lineRule="auto"/>
              <w:rPr>
                <w:b/>
              </w:rPr>
            </w:pPr>
            <w:r>
              <w:rPr>
                <w:b/>
              </w:rPr>
              <w:t>RFP Date</w:t>
            </w:r>
          </w:p>
        </w:tc>
        <w:tc>
          <w:tcPr>
            <w:tcW w:w="2520" w:type="dxa"/>
          </w:tcPr>
          <w:p w:rsidR="009B2E30" w:rsidRPr="007262FC" w:rsidRDefault="009B2E30" w:rsidP="009B2E30">
            <w:pPr>
              <w:pStyle w:val="BodyText2"/>
              <w:keepNext/>
              <w:keepLines/>
              <w:spacing w:after="0" w:line="360" w:lineRule="auto"/>
              <w:rPr>
                <w:b/>
              </w:rPr>
            </w:pPr>
            <w:r>
              <w:rPr>
                <w:b/>
              </w:rPr>
              <w:t>Procurement Amount</w:t>
            </w:r>
          </w:p>
        </w:tc>
        <w:tc>
          <w:tcPr>
            <w:tcW w:w="1800" w:type="dxa"/>
          </w:tcPr>
          <w:p w:rsidR="009B2E30" w:rsidRPr="007262FC" w:rsidRDefault="009B2E30" w:rsidP="009B2E30">
            <w:pPr>
              <w:pStyle w:val="BodyText2"/>
              <w:keepNext/>
              <w:keepLines/>
              <w:spacing w:after="0" w:line="360" w:lineRule="auto"/>
              <w:rPr>
                <w:b/>
              </w:rPr>
            </w:pPr>
            <w:r>
              <w:rPr>
                <w:b/>
              </w:rPr>
              <w:t>Contract Term</w:t>
            </w:r>
          </w:p>
        </w:tc>
        <w:tc>
          <w:tcPr>
            <w:tcW w:w="3600" w:type="dxa"/>
          </w:tcPr>
          <w:p w:rsidR="009B2E30" w:rsidRPr="007262FC" w:rsidRDefault="009B2E30" w:rsidP="009B2E30">
            <w:pPr>
              <w:pStyle w:val="BodyText2"/>
              <w:keepNext/>
              <w:keepLines/>
              <w:spacing w:after="0" w:line="360" w:lineRule="auto"/>
              <w:rPr>
                <w:b/>
              </w:rPr>
            </w:pPr>
            <w:r>
              <w:rPr>
                <w:b/>
              </w:rPr>
              <w:t>Delivery Period</w:t>
            </w:r>
          </w:p>
        </w:tc>
      </w:tr>
      <w:tr w:rsidR="009B2E30" w:rsidTr="007B62B7">
        <w:tc>
          <w:tcPr>
            <w:tcW w:w="1818" w:type="dxa"/>
          </w:tcPr>
          <w:p w:rsidR="009B2E30" w:rsidRDefault="009B2E30" w:rsidP="009B2E30">
            <w:pPr>
              <w:pStyle w:val="BodyText2"/>
              <w:keepNext/>
              <w:keepLines/>
              <w:spacing w:after="0" w:line="360" w:lineRule="auto"/>
            </w:pPr>
            <w:r>
              <w:t>March 2015</w:t>
            </w:r>
          </w:p>
        </w:tc>
        <w:tc>
          <w:tcPr>
            <w:tcW w:w="2520" w:type="dxa"/>
          </w:tcPr>
          <w:p w:rsidR="009B2E30" w:rsidRDefault="009B2E30" w:rsidP="009B2E30">
            <w:pPr>
              <w:pStyle w:val="BodyText2"/>
              <w:keepNext/>
              <w:keepLines/>
              <w:spacing w:after="0" w:line="360" w:lineRule="auto"/>
            </w:pPr>
            <w:r>
              <w:t>50%</w:t>
            </w:r>
          </w:p>
        </w:tc>
        <w:tc>
          <w:tcPr>
            <w:tcW w:w="1800" w:type="dxa"/>
          </w:tcPr>
          <w:p w:rsidR="009B2E30" w:rsidRDefault="009B2E30" w:rsidP="009B2E30">
            <w:pPr>
              <w:pStyle w:val="BodyText2"/>
              <w:keepNext/>
              <w:keepLines/>
              <w:spacing w:after="0" w:line="360" w:lineRule="auto"/>
            </w:pPr>
            <w:r>
              <w:t>12 months</w:t>
            </w:r>
          </w:p>
        </w:tc>
        <w:tc>
          <w:tcPr>
            <w:tcW w:w="3600" w:type="dxa"/>
          </w:tcPr>
          <w:p w:rsidR="009B2E30" w:rsidRDefault="009B2E30" w:rsidP="009B2E30">
            <w:pPr>
              <w:pStyle w:val="BodyText2"/>
              <w:keepNext/>
              <w:keepLines/>
              <w:spacing w:after="0" w:line="360" w:lineRule="auto"/>
            </w:pPr>
            <w:r>
              <w:t>June 2015 – May 2016</w:t>
            </w:r>
          </w:p>
        </w:tc>
      </w:tr>
      <w:tr w:rsidR="009B2E30" w:rsidTr="007B62B7">
        <w:tc>
          <w:tcPr>
            <w:tcW w:w="1818" w:type="dxa"/>
          </w:tcPr>
          <w:p w:rsidR="009B2E30" w:rsidRDefault="009B2E30" w:rsidP="009B2E30">
            <w:pPr>
              <w:pStyle w:val="BodyText2"/>
              <w:keepNext/>
              <w:keepLines/>
              <w:spacing w:after="0" w:line="360" w:lineRule="auto"/>
            </w:pPr>
            <w:r>
              <w:t>September 2015</w:t>
            </w:r>
          </w:p>
        </w:tc>
        <w:tc>
          <w:tcPr>
            <w:tcW w:w="2520" w:type="dxa"/>
          </w:tcPr>
          <w:p w:rsidR="009B2E30" w:rsidRDefault="009B2E30" w:rsidP="009B2E30">
            <w:pPr>
              <w:pStyle w:val="BodyText2"/>
              <w:keepNext/>
              <w:keepLines/>
              <w:spacing w:after="0" w:line="360" w:lineRule="auto"/>
            </w:pPr>
            <w:r>
              <w:t>50%</w:t>
            </w:r>
          </w:p>
        </w:tc>
        <w:tc>
          <w:tcPr>
            <w:tcW w:w="1800" w:type="dxa"/>
          </w:tcPr>
          <w:p w:rsidR="009B2E30" w:rsidRDefault="009B2E30" w:rsidP="009B2E30">
            <w:pPr>
              <w:pStyle w:val="BodyText2"/>
              <w:keepNext/>
              <w:keepLines/>
              <w:spacing w:after="0" w:line="360" w:lineRule="auto"/>
            </w:pPr>
            <w:r>
              <w:t>12 months</w:t>
            </w:r>
          </w:p>
        </w:tc>
        <w:tc>
          <w:tcPr>
            <w:tcW w:w="3600" w:type="dxa"/>
          </w:tcPr>
          <w:p w:rsidR="009B2E30" w:rsidRDefault="009B2E30" w:rsidP="009B2E30">
            <w:pPr>
              <w:pStyle w:val="BodyText2"/>
              <w:keepNext/>
              <w:keepLines/>
              <w:spacing w:after="0" w:line="360" w:lineRule="auto"/>
            </w:pPr>
            <w:r>
              <w:t>December 2015 – November 2016</w:t>
            </w:r>
          </w:p>
        </w:tc>
      </w:tr>
      <w:tr w:rsidR="009B2E30" w:rsidTr="007B62B7">
        <w:tc>
          <w:tcPr>
            <w:tcW w:w="1818" w:type="dxa"/>
          </w:tcPr>
          <w:p w:rsidR="009B2E30" w:rsidRDefault="009B2E30" w:rsidP="009B2E30">
            <w:pPr>
              <w:pStyle w:val="BodyText2"/>
              <w:keepNext/>
              <w:keepLines/>
              <w:spacing w:after="0" w:line="360" w:lineRule="auto"/>
            </w:pPr>
            <w:r>
              <w:t>March 2016</w:t>
            </w:r>
          </w:p>
        </w:tc>
        <w:tc>
          <w:tcPr>
            <w:tcW w:w="2520" w:type="dxa"/>
          </w:tcPr>
          <w:p w:rsidR="009B2E30" w:rsidRDefault="009B2E30" w:rsidP="009B2E30">
            <w:pPr>
              <w:pStyle w:val="BodyText2"/>
              <w:keepNext/>
              <w:keepLines/>
              <w:spacing w:after="0" w:line="360" w:lineRule="auto"/>
            </w:pPr>
            <w:r>
              <w:t>50%</w:t>
            </w:r>
          </w:p>
        </w:tc>
        <w:tc>
          <w:tcPr>
            <w:tcW w:w="1800" w:type="dxa"/>
          </w:tcPr>
          <w:p w:rsidR="009B2E30" w:rsidRDefault="009B2E30" w:rsidP="009B2E30">
            <w:pPr>
              <w:pStyle w:val="BodyText2"/>
              <w:keepNext/>
              <w:keepLines/>
              <w:spacing w:after="0" w:line="360" w:lineRule="auto"/>
            </w:pPr>
            <w:r>
              <w:t>12 months</w:t>
            </w:r>
          </w:p>
        </w:tc>
        <w:tc>
          <w:tcPr>
            <w:tcW w:w="3600" w:type="dxa"/>
          </w:tcPr>
          <w:p w:rsidR="009B2E30" w:rsidRDefault="009B2E30" w:rsidP="009B2E30">
            <w:pPr>
              <w:pStyle w:val="BodyText2"/>
              <w:keepNext/>
              <w:keepLines/>
              <w:spacing w:after="0" w:line="360" w:lineRule="auto"/>
            </w:pPr>
            <w:r>
              <w:t>June 2016 – May 2017</w:t>
            </w:r>
          </w:p>
        </w:tc>
      </w:tr>
      <w:tr w:rsidR="009B2E30" w:rsidTr="007B62B7">
        <w:tc>
          <w:tcPr>
            <w:tcW w:w="1818" w:type="dxa"/>
          </w:tcPr>
          <w:p w:rsidR="009B2E30" w:rsidRDefault="009B2E30" w:rsidP="009B2E30">
            <w:pPr>
              <w:pStyle w:val="BodyText2"/>
              <w:keepLines/>
              <w:spacing w:after="0" w:line="360" w:lineRule="auto"/>
            </w:pPr>
            <w:r>
              <w:t>September 2016</w:t>
            </w:r>
          </w:p>
        </w:tc>
        <w:tc>
          <w:tcPr>
            <w:tcW w:w="2520" w:type="dxa"/>
          </w:tcPr>
          <w:p w:rsidR="009B2E30" w:rsidRDefault="009B2E30" w:rsidP="009B2E30">
            <w:pPr>
              <w:pStyle w:val="BodyText2"/>
              <w:keepLines/>
              <w:spacing w:after="0" w:line="360" w:lineRule="auto"/>
            </w:pPr>
            <w:r>
              <w:t>50%</w:t>
            </w:r>
          </w:p>
        </w:tc>
        <w:tc>
          <w:tcPr>
            <w:tcW w:w="1800" w:type="dxa"/>
          </w:tcPr>
          <w:p w:rsidR="009B2E30" w:rsidRDefault="009B2E30" w:rsidP="009B2E30">
            <w:pPr>
              <w:pStyle w:val="BodyText2"/>
              <w:keepLines/>
              <w:spacing w:after="0" w:line="360" w:lineRule="auto"/>
            </w:pPr>
            <w:r>
              <w:t>12 months</w:t>
            </w:r>
          </w:p>
        </w:tc>
        <w:tc>
          <w:tcPr>
            <w:tcW w:w="3600" w:type="dxa"/>
          </w:tcPr>
          <w:p w:rsidR="009B2E30" w:rsidRDefault="009B2E30" w:rsidP="009B2E30">
            <w:pPr>
              <w:pStyle w:val="BodyText2"/>
              <w:keepLines/>
              <w:spacing w:after="0" w:line="360" w:lineRule="auto"/>
            </w:pPr>
            <w:r>
              <w:t>December 2016 – November 2017</w:t>
            </w:r>
          </w:p>
        </w:tc>
      </w:tr>
    </w:tbl>
    <w:p w:rsidR="009B2E30" w:rsidRDefault="009B2E30" w:rsidP="007B62B7">
      <w:pPr>
        <w:pStyle w:val="BodyText2"/>
        <w:spacing w:after="0" w:line="360" w:lineRule="auto"/>
        <w:ind w:left="720"/>
      </w:pPr>
    </w:p>
    <w:p w:rsidR="009B2E30" w:rsidRDefault="009B2E30" w:rsidP="00DA6D67">
      <w:pPr>
        <w:pStyle w:val="BodyText2"/>
        <w:spacing w:after="0" w:line="360" w:lineRule="auto"/>
        <w:ind w:firstLine="1440"/>
      </w:pPr>
      <w:r>
        <w:t xml:space="preserve">The Company </w:t>
      </w:r>
      <w:r>
        <w:rPr>
          <w:lang w:val="en-US"/>
        </w:rPr>
        <w:t>proposes</w:t>
      </w:r>
      <w:r>
        <w:t xml:space="preserve"> the same procurement program for Small C&amp;I and Residential customers because both classes have similar switching levels and market sophistication.  </w:t>
      </w:r>
      <w:r>
        <w:rPr>
          <w:lang w:val="en-US"/>
        </w:rPr>
        <w:t xml:space="preserve">DLC points out that </w:t>
      </w:r>
      <w:r>
        <w:t>48.3% of Duquesne Light’s Small C&amp;I load and 46.5% of Residential load was being served by alternative suppliers</w:t>
      </w:r>
      <w:r>
        <w:rPr>
          <w:lang w:val="en-US"/>
        </w:rPr>
        <w:t xml:space="preserve"> as </w:t>
      </w:r>
      <w:r>
        <w:t>of March 2014.</w:t>
      </w:r>
      <w:r>
        <w:rPr>
          <w:rStyle w:val="FootnoteReference"/>
        </w:rPr>
        <w:footnoteReference w:id="22"/>
      </w:r>
      <w:r>
        <w:t xml:space="preserve">    </w:t>
      </w:r>
    </w:p>
    <w:p w:rsidR="009B2E30" w:rsidRDefault="009B2E30" w:rsidP="007B62B7">
      <w:pPr>
        <w:pStyle w:val="BodyText2"/>
        <w:spacing w:after="0" w:line="360" w:lineRule="auto"/>
        <w:ind w:left="720"/>
        <w:rPr>
          <w:lang w:val="en-US"/>
        </w:rPr>
      </w:pPr>
    </w:p>
    <w:p w:rsidR="00EB24A8" w:rsidRDefault="001B2A94" w:rsidP="00EB24A8">
      <w:pPr>
        <w:spacing w:line="360" w:lineRule="auto"/>
      </w:pPr>
      <w:r>
        <w:tab/>
      </w:r>
      <w:r>
        <w:tab/>
      </w:r>
      <w:r w:rsidR="00EB24A8">
        <w:t xml:space="preserve">DLC argues this procurement plan provides rate stability and, similar to the Residential class, the last full-requirements contract would extend into the DSP VIII period by six months.  The Company contends RESA’s counter proposal would create a “hard stop” at the end of the DSP VII period which would expose Small C&amp;I customers to unnecessary rate instability and risk </w:t>
      </w:r>
      <w:r w:rsidR="00A221BF">
        <w:t>by replacing</w:t>
      </w:r>
      <w:r w:rsidR="00BC7AEC">
        <w:t xml:space="preserve"> </w:t>
      </w:r>
      <w:r w:rsidR="00A221BF">
        <w:t xml:space="preserve">100% of the supply load (instead of only 50%), </w:t>
      </w:r>
      <w:r w:rsidR="00EB24A8">
        <w:t>and would expose this class to the full impact of a significant m</w:t>
      </w:r>
      <w:bookmarkStart w:id="9" w:name="_GoBack"/>
      <w:bookmarkEnd w:id="9"/>
      <w:r w:rsidR="00EB24A8">
        <w:t>arket disruption.  Lastly</w:t>
      </w:r>
      <w:r w:rsidR="00A221BF">
        <w:t>,</w:t>
      </w:r>
      <w:r w:rsidR="00EB24A8">
        <w:t xml:space="preserve"> DLC argues RESA’s proposal focuses solely on enhancing the retail market through short-term supply products to the detriment of the Commission’s stated concern for price stability.</w:t>
      </w:r>
    </w:p>
    <w:p w:rsidR="00EB24A8" w:rsidRDefault="00EB24A8" w:rsidP="00EB24A8">
      <w:pPr>
        <w:spacing w:line="360" w:lineRule="auto"/>
      </w:pPr>
      <w:r>
        <w:tab/>
      </w:r>
    </w:p>
    <w:p w:rsidR="00EB24A8" w:rsidRDefault="00EB24A8" w:rsidP="00EB24A8">
      <w:pPr>
        <w:spacing w:line="360" w:lineRule="auto"/>
      </w:pPr>
      <w:r>
        <w:tab/>
      </w:r>
      <w:r>
        <w:tab/>
        <w:t>RESA proposes the Company procure Small C&amp;I default service load using a blend of 12-month, 6-month and 3-month full-requirements contracts.  RESA contends its proposal would increase market responsiveness of the mix of supply, would better support sustainable retail competition, would provide more accurate price signals and would allow suppliers to invest in the Pennsylvania market place with a myriad of value-added products and services.</w:t>
      </w:r>
      <w:r>
        <w:rPr>
          <w:rStyle w:val="FootnoteReference"/>
        </w:rPr>
        <w:footnoteReference w:id="23"/>
      </w:r>
      <w:r>
        <w:t xml:space="preserve">  </w:t>
      </w:r>
    </w:p>
    <w:p w:rsidR="00EB24A8" w:rsidRDefault="00EB24A8" w:rsidP="00EB24A8">
      <w:pPr>
        <w:spacing w:line="360" w:lineRule="auto"/>
      </w:pPr>
    </w:p>
    <w:p w:rsidR="00EB24A8" w:rsidRDefault="00EB24A8" w:rsidP="00EB24A8">
      <w:pPr>
        <w:spacing w:line="360" w:lineRule="auto"/>
      </w:pPr>
      <w:r>
        <w:tab/>
      </w:r>
      <w:r>
        <w:tab/>
        <w:t>OSBA disagrees with RESA’s proposal and agrees with Duquesne Light’s proposal.  OSBA contends the Company’s proposal continues to provide reasonable price stability to this class of customers.  OSBA points out the DLC proposal offers a fixed-price rate that would reset two times per year and be reconciled semi-annually using 6-month and 12-month fixed price, full-requirements, load-following contracts awarded using a RFP procurement process.</w:t>
      </w:r>
      <w:r>
        <w:rPr>
          <w:rStyle w:val="FootnoteReference"/>
        </w:rPr>
        <w:footnoteReference w:id="24"/>
      </w:r>
      <w:r>
        <w:t xml:space="preserve">  OSBA argues RESA fails to acknowledge the Commission already rejected exactly that same contention made by RESA in another proceeding that Act 129 mandates default service prices be market-reflective and market-responsive.</w:t>
      </w:r>
      <w:r>
        <w:rPr>
          <w:rStyle w:val="FootnoteReference"/>
        </w:rPr>
        <w:footnoteReference w:id="25"/>
      </w:r>
      <w:r>
        <w:t xml:space="preserve">  </w:t>
      </w:r>
    </w:p>
    <w:p w:rsidR="005A2B8B" w:rsidRPr="005A2B8B" w:rsidRDefault="005A2B8B" w:rsidP="005A2B8B">
      <w:pPr>
        <w:pStyle w:val="BriefL3"/>
        <w:numPr>
          <w:ilvl w:val="0"/>
          <w:numId w:val="0"/>
        </w:numPr>
        <w:spacing w:after="0" w:line="360" w:lineRule="auto"/>
        <w:ind w:firstLine="1440"/>
        <w:outlineLvl w:val="9"/>
        <w:rPr>
          <w:szCs w:val="24"/>
        </w:rPr>
      </w:pPr>
    </w:p>
    <w:p w:rsidR="00DD6125" w:rsidRPr="00D46853" w:rsidRDefault="00DD6125" w:rsidP="00D46853">
      <w:pPr>
        <w:pStyle w:val="ListParagraph"/>
        <w:numPr>
          <w:ilvl w:val="0"/>
          <w:numId w:val="30"/>
        </w:numPr>
        <w:autoSpaceDE/>
        <w:autoSpaceDN/>
        <w:spacing w:line="360" w:lineRule="auto"/>
        <w:ind w:firstLine="720"/>
        <w:rPr>
          <w:u w:val="single"/>
        </w:rPr>
      </w:pPr>
      <w:r w:rsidRPr="00D46853">
        <w:rPr>
          <w:u w:val="single"/>
        </w:rPr>
        <w:t>Disposition</w:t>
      </w:r>
      <w:r w:rsidR="003C38EE" w:rsidRPr="00D46853">
        <w:rPr>
          <w:u w:val="single"/>
        </w:rPr>
        <w:t xml:space="preserve"> – Small C&amp;I Procurement</w:t>
      </w:r>
    </w:p>
    <w:p w:rsidR="009B2E30" w:rsidRDefault="009B2E30" w:rsidP="005A2B8B">
      <w:pPr>
        <w:pStyle w:val="ListParagraph"/>
        <w:autoSpaceDE/>
        <w:autoSpaceDN/>
        <w:spacing w:line="360" w:lineRule="auto"/>
        <w:ind w:left="0" w:hanging="360"/>
        <w:rPr>
          <w:b/>
        </w:rPr>
      </w:pPr>
    </w:p>
    <w:p w:rsidR="005A2B8B" w:rsidRDefault="009B2E30" w:rsidP="005A2B8B">
      <w:pPr>
        <w:pStyle w:val="BodyText2"/>
        <w:spacing w:after="0" w:line="360" w:lineRule="auto"/>
        <w:ind w:firstLine="1440"/>
        <w:rPr>
          <w:lang w:val="en-US"/>
        </w:rPr>
      </w:pPr>
      <w:r>
        <w:t xml:space="preserve">Small C&amp;I customers are non-residential customers with monthly metered demands less than 25 kW.  </w:t>
      </w:r>
      <w:r w:rsidR="005A2B8B">
        <w:t xml:space="preserve">Duquesne Light’s Small C&amp;I procurement plan is not a step backwards in providing market responsive rates for Small C&amp;I customers.  </w:t>
      </w:r>
      <w:r w:rsidR="005A2B8B">
        <w:rPr>
          <w:lang w:val="en-US"/>
        </w:rPr>
        <w:t>On</w:t>
      </w:r>
      <w:r w:rsidR="005A2B8B">
        <w:t xml:space="preserve"> September 11, 2014, the Commission granted </w:t>
      </w:r>
      <w:r w:rsidR="005A2B8B">
        <w:rPr>
          <w:lang w:val="en-US"/>
        </w:rPr>
        <w:t>a</w:t>
      </w:r>
      <w:r w:rsidR="005A2B8B">
        <w:t xml:space="preserve"> proposal </w:t>
      </w:r>
      <w:r w:rsidR="005A2B8B">
        <w:rPr>
          <w:lang w:val="en-US"/>
        </w:rPr>
        <w:t xml:space="preserve">from Duquesne Light </w:t>
      </w:r>
      <w:r w:rsidR="005A2B8B">
        <w:t xml:space="preserve">to extend by six months the contract term of the </w:t>
      </w:r>
      <w:r w:rsidR="005A2B8B" w:rsidRPr="005A2B8B">
        <w:rPr>
          <w:u w:val="single"/>
        </w:rPr>
        <w:t>final</w:t>
      </w:r>
      <w:r w:rsidR="005A2B8B">
        <w:t xml:space="preserve"> Small </w:t>
      </w:r>
      <w:proofErr w:type="gramStart"/>
      <w:r w:rsidR="005A2B8B">
        <w:t>C&amp;I</w:t>
      </w:r>
      <w:proofErr w:type="gramEnd"/>
      <w:r w:rsidR="005A2B8B">
        <w:t xml:space="preserve"> procurement under the DSP VI plan.  </w:t>
      </w:r>
      <w:r w:rsidR="005A2B8B" w:rsidRPr="00D27F97">
        <w:rPr>
          <w:i/>
        </w:rPr>
        <w:t>Petition of Duquesne Light Company for Approval of Revisions to its Approved Default Service Plan VI</w:t>
      </w:r>
      <w:r w:rsidR="005A2B8B">
        <w:t>, Docket No. P-2012-2301664.  Therefore, the DSP VII procurement plan</w:t>
      </w:r>
      <w:r w:rsidR="005A2B8B">
        <w:rPr>
          <w:lang w:val="en-US"/>
        </w:rPr>
        <w:t xml:space="preserve"> discussed herein</w:t>
      </w:r>
      <w:r w:rsidR="005A2B8B">
        <w:t xml:space="preserve"> for Small C&amp;I customers is the same procurement plan </w:t>
      </w:r>
      <w:r w:rsidR="005A2B8B">
        <w:rPr>
          <w:lang w:val="en-US"/>
        </w:rPr>
        <w:t>Duquesne Light currently offers</w:t>
      </w:r>
      <w:r w:rsidR="005A2B8B">
        <w:t xml:space="preserve"> Small C&amp;I customers under DSP VI.</w:t>
      </w:r>
    </w:p>
    <w:p w:rsidR="005A2B8B" w:rsidRPr="005A2B8B" w:rsidRDefault="005A2B8B" w:rsidP="005A2B8B">
      <w:pPr>
        <w:pStyle w:val="BodyText2"/>
        <w:spacing w:after="0" w:line="360" w:lineRule="auto"/>
        <w:ind w:firstLine="1440"/>
        <w:rPr>
          <w:lang w:val="en-US"/>
        </w:rPr>
      </w:pPr>
    </w:p>
    <w:p w:rsidR="00C74F25" w:rsidRDefault="005A2B8B" w:rsidP="005A2B8B">
      <w:pPr>
        <w:autoSpaceDE/>
        <w:autoSpaceDN/>
        <w:spacing w:line="360" w:lineRule="auto"/>
        <w:ind w:firstLine="1440"/>
      </w:pPr>
      <w:r>
        <w:t>RESA’s proposal would inject two “hard stops” of supplies in the procurement plan and would eliminate the overhang contract at the end of the proposed D</w:t>
      </w:r>
      <w:r w:rsidR="00E41833">
        <w:t>SP</w:t>
      </w:r>
      <w:r>
        <w:t xml:space="preserve"> VII Plan which will provide a portion of supplies for the next DSP Plan – DSP VIII.  The DSP VII plan avoids purchasing 100% of the supply at one point in time or even within a short, few-month period of time.  The use of “hard stops” in procurement exposes customers to unnecessary rate instability and risk because </w:t>
      </w:r>
      <w:r w:rsidRPr="005A2B8B">
        <w:rPr>
          <w:u w:val="single"/>
        </w:rPr>
        <w:t>all</w:t>
      </w:r>
      <w:r>
        <w:t xml:space="preserve"> of the default service load would be solicited at one time or within a short period of time.  Customers would be fully exposed to the impacts of significant market disruptions, such as the recent “Polar Vortex.”  Market disruptions may include sudden and significant increases in default service rates, or the possibility that the solicitation is not subscribed, leaving the customers fully exposed to further market price changes.  See Duquesne Light St. No. 3-R, pp. 14-18.  The Company, through its witness, presented an analysis which </w:t>
      </w:r>
    </w:p>
    <w:p w:rsidR="00B60327" w:rsidRDefault="005A2B8B" w:rsidP="00C74F25">
      <w:pPr>
        <w:autoSpaceDE/>
        <w:autoSpaceDN/>
        <w:spacing w:line="360" w:lineRule="auto"/>
      </w:pPr>
      <w:proofErr w:type="gramStart"/>
      <w:r>
        <w:t>convincingly</w:t>
      </w:r>
      <w:proofErr w:type="gramEnd"/>
      <w:r>
        <w:t xml:space="preserve"> demonstrated RESA’s proposal herein would </w:t>
      </w:r>
      <w:r>
        <w:rPr>
          <w:u w:val="single"/>
        </w:rPr>
        <w:t>double</w:t>
      </w:r>
      <w:r>
        <w:t xml:space="preserve"> rate instability as compared to the Company’s plan.</w:t>
      </w:r>
      <w:r>
        <w:rPr>
          <w:rStyle w:val="FootnoteReference"/>
        </w:rPr>
        <w:footnoteReference w:id="26"/>
      </w:r>
      <w:r>
        <w:t xml:space="preserve">  </w:t>
      </w:r>
    </w:p>
    <w:p w:rsidR="00C74F25" w:rsidRDefault="00C74F25" w:rsidP="00C74F25">
      <w:pPr>
        <w:autoSpaceDE/>
        <w:autoSpaceDN/>
        <w:spacing w:line="360" w:lineRule="auto"/>
      </w:pPr>
    </w:p>
    <w:p w:rsidR="00973910" w:rsidRDefault="00B758BB" w:rsidP="00973910">
      <w:pPr>
        <w:spacing w:line="360" w:lineRule="auto"/>
      </w:pPr>
      <w:r>
        <w:tab/>
      </w:r>
      <w:r>
        <w:tab/>
      </w:r>
      <w:r w:rsidR="005A2B8B">
        <w:t xml:space="preserve">Moreover, RESA’s proposed three and six month supply products are not necessary to support sustainable retail competition.  </w:t>
      </w:r>
      <w:r w:rsidR="00B60327">
        <w:t>Duquesne Light has a long history with default service and has offered the majority of its customers fixed price default service supply rates for many years.  Over the previous six DSP Plan years, Duquesne Light has achieved some of the highest levels of customer load switched in the United States and consistently is among the top electric utility service areas in the United States in terms of percentage of total load receiving service from a competitive supplier.</w:t>
      </w:r>
      <w:r w:rsidR="00B60327">
        <w:rPr>
          <w:rStyle w:val="FootnoteReference"/>
        </w:rPr>
        <w:footnoteReference w:id="27"/>
      </w:r>
      <w:r w:rsidR="00973910" w:rsidRPr="00973910">
        <w:t xml:space="preserve"> </w:t>
      </w:r>
      <w:r w:rsidR="00973910">
        <w:t>The Company’s customers already enjoy a high level of retail competition and the incentive to shop would be lessened due to price instability and a chilling effect on shopping if RESA’s proposal were accepted over DLC’s proposal and OSBA’s contention.  Accordingly, DLC’s proposal should be accepted for the DSP VII and the Small C&amp;I customer class should mirror the Residential class for default service procurement.</w:t>
      </w:r>
    </w:p>
    <w:p w:rsidR="005A2B8B" w:rsidRDefault="005A2B8B" w:rsidP="005A2B8B">
      <w:pPr>
        <w:autoSpaceDE/>
        <w:autoSpaceDN/>
        <w:spacing w:line="360" w:lineRule="auto"/>
        <w:ind w:firstLine="1440"/>
      </w:pPr>
    </w:p>
    <w:p w:rsidR="00EE639F" w:rsidRPr="00126F6C" w:rsidRDefault="00EE639F" w:rsidP="00126F6C">
      <w:pPr>
        <w:pStyle w:val="BodyText"/>
        <w:spacing w:after="0" w:line="360" w:lineRule="auto"/>
        <w:ind w:hanging="720"/>
        <w:rPr>
          <w:szCs w:val="24"/>
          <w:lang w:val="en-US"/>
        </w:rPr>
      </w:pPr>
      <w:r w:rsidRPr="00126F6C">
        <w:rPr>
          <w:szCs w:val="24"/>
          <w:lang w:val="en-US"/>
        </w:rPr>
        <w:t>3.</w:t>
      </w:r>
      <w:r w:rsidRPr="00126F6C">
        <w:rPr>
          <w:szCs w:val="24"/>
          <w:lang w:val="en-US"/>
        </w:rPr>
        <w:tab/>
      </w:r>
      <w:r w:rsidRPr="00C74F25">
        <w:rPr>
          <w:szCs w:val="24"/>
          <w:u w:val="single"/>
          <w:lang w:val="en-US"/>
        </w:rPr>
        <w:t>Medium C</w:t>
      </w:r>
      <w:r w:rsidR="00E92ABD" w:rsidRPr="00C74F25">
        <w:rPr>
          <w:szCs w:val="24"/>
          <w:u w:val="single"/>
          <w:lang w:val="en-US"/>
        </w:rPr>
        <w:t>&amp;I</w:t>
      </w:r>
      <w:r w:rsidRPr="00C74F25">
        <w:rPr>
          <w:szCs w:val="24"/>
          <w:u w:val="single"/>
          <w:lang w:val="en-US"/>
        </w:rPr>
        <w:t xml:space="preserve"> Procurement</w:t>
      </w:r>
      <w:r w:rsidR="00FC1C98" w:rsidRPr="00C74F25">
        <w:rPr>
          <w:szCs w:val="24"/>
          <w:u w:val="single"/>
          <w:lang w:val="en-US"/>
        </w:rPr>
        <w:t xml:space="preserve"> Issues</w:t>
      </w:r>
    </w:p>
    <w:p w:rsidR="002668BB" w:rsidRPr="002668BB" w:rsidRDefault="002668BB" w:rsidP="002668BB">
      <w:pPr>
        <w:autoSpaceDE/>
        <w:autoSpaceDN/>
        <w:spacing w:line="360" w:lineRule="auto"/>
        <w:rPr>
          <w:b/>
        </w:rPr>
      </w:pPr>
    </w:p>
    <w:p w:rsidR="002668BB" w:rsidRDefault="002668BB" w:rsidP="002668BB">
      <w:pPr>
        <w:pStyle w:val="BodyText2"/>
        <w:spacing w:after="0" w:line="360" w:lineRule="auto"/>
        <w:ind w:firstLine="1530"/>
        <w:rPr>
          <w:lang w:val="en-US"/>
        </w:rPr>
      </w:pPr>
      <w:r w:rsidRPr="002668BB">
        <w:t>Duquesne Light’s Medium C&amp;I customers are those customers with monthly metered demands equal to or greater than 25 kW and less than 300 kW.</w:t>
      </w:r>
      <w:r w:rsidR="004B701A">
        <w:rPr>
          <w:rStyle w:val="FootnoteReference"/>
        </w:rPr>
        <w:footnoteReference w:id="28"/>
      </w:r>
      <w:r w:rsidRPr="002668BB">
        <w:t xml:space="preserve">  Duquesne Light proposes to obtain default service supply for Medium C&amp;I customers through full requirements contracts with three-month terms, with no laddering.  The proposed RFP Date, Procurement Amount, Contract Term and Delivery Period for Medium C&amp;I customers under DSP VII is set forth below:</w:t>
      </w:r>
      <w:r>
        <w:rPr>
          <w:rStyle w:val="FootnoteReference"/>
        </w:rPr>
        <w:footnoteReference w:id="29"/>
      </w:r>
      <w:r w:rsidRPr="002668BB">
        <w:t xml:space="preserve"> </w:t>
      </w:r>
    </w:p>
    <w:p w:rsidR="002668BB" w:rsidRPr="002668BB" w:rsidRDefault="002668BB" w:rsidP="002668BB">
      <w:pPr>
        <w:pStyle w:val="BodyText2"/>
        <w:spacing w:after="0" w:line="360" w:lineRule="auto"/>
        <w:ind w:firstLine="1530"/>
        <w:rPr>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76"/>
        <w:gridCol w:w="1924"/>
        <w:gridCol w:w="3600"/>
      </w:tblGrid>
      <w:tr w:rsidR="002668BB" w:rsidRPr="002668BB" w:rsidTr="00711594">
        <w:tc>
          <w:tcPr>
            <w:tcW w:w="1908" w:type="dxa"/>
          </w:tcPr>
          <w:p w:rsidR="002668BB" w:rsidRPr="002668BB" w:rsidRDefault="002668BB" w:rsidP="002668BB">
            <w:pPr>
              <w:keepNext/>
              <w:keepLines/>
              <w:spacing w:line="360" w:lineRule="auto"/>
              <w:rPr>
                <w:b/>
              </w:rPr>
            </w:pPr>
            <w:r w:rsidRPr="002668BB">
              <w:rPr>
                <w:b/>
              </w:rPr>
              <w:t>RFP Date</w:t>
            </w:r>
          </w:p>
        </w:tc>
        <w:tc>
          <w:tcPr>
            <w:tcW w:w="2576" w:type="dxa"/>
          </w:tcPr>
          <w:p w:rsidR="002668BB" w:rsidRPr="002668BB" w:rsidRDefault="002668BB" w:rsidP="002668BB">
            <w:pPr>
              <w:keepNext/>
              <w:keepLines/>
              <w:spacing w:line="360" w:lineRule="auto"/>
              <w:rPr>
                <w:b/>
              </w:rPr>
            </w:pPr>
            <w:r w:rsidRPr="002668BB">
              <w:rPr>
                <w:b/>
              </w:rPr>
              <w:t>Procurement Amount</w:t>
            </w:r>
          </w:p>
        </w:tc>
        <w:tc>
          <w:tcPr>
            <w:tcW w:w="1924" w:type="dxa"/>
          </w:tcPr>
          <w:p w:rsidR="002668BB" w:rsidRPr="002668BB" w:rsidRDefault="002668BB" w:rsidP="002668BB">
            <w:pPr>
              <w:keepNext/>
              <w:keepLines/>
              <w:spacing w:line="360" w:lineRule="auto"/>
              <w:rPr>
                <w:b/>
              </w:rPr>
            </w:pPr>
            <w:r w:rsidRPr="002668BB">
              <w:rPr>
                <w:b/>
              </w:rPr>
              <w:t>Contract Term</w:t>
            </w:r>
          </w:p>
        </w:tc>
        <w:tc>
          <w:tcPr>
            <w:tcW w:w="3600" w:type="dxa"/>
          </w:tcPr>
          <w:p w:rsidR="002668BB" w:rsidRPr="002668BB" w:rsidRDefault="002668BB" w:rsidP="002668BB">
            <w:pPr>
              <w:keepNext/>
              <w:keepLines/>
              <w:spacing w:line="360" w:lineRule="auto"/>
              <w:rPr>
                <w:b/>
              </w:rPr>
            </w:pPr>
            <w:r w:rsidRPr="002668BB">
              <w:rPr>
                <w:b/>
              </w:rPr>
              <w:t>Delivery Period</w:t>
            </w:r>
          </w:p>
        </w:tc>
      </w:tr>
      <w:tr w:rsidR="002668BB" w:rsidRPr="002668BB" w:rsidTr="00711594">
        <w:tc>
          <w:tcPr>
            <w:tcW w:w="1908" w:type="dxa"/>
          </w:tcPr>
          <w:p w:rsidR="002668BB" w:rsidRPr="002668BB" w:rsidRDefault="002668BB" w:rsidP="002668BB">
            <w:pPr>
              <w:keepNext/>
              <w:keepLines/>
              <w:spacing w:line="360" w:lineRule="auto"/>
            </w:pPr>
            <w:r w:rsidRPr="002668BB">
              <w:t>March 2015</w:t>
            </w:r>
          </w:p>
        </w:tc>
        <w:tc>
          <w:tcPr>
            <w:tcW w:w="2576" w:type="dxa"/>
          </w:tcPr>
          <w:p w:rsidR="002668BB" w:rsidRPr="002668BB" w:rsidRDefault="002668BB" w:rsidP="002668BB">
            <w:pPr>
              <w:keepNext/>
              <w:keepLines/>
              <w:spacing w:line="360" w:lineRule="auto"/>
            </w:pPr>
            <w:r w:rsidRPr="002668BB">
              <w:t>100%</w:t>
            </w:r>
          </w:p>
        </w:tc>
        <w:tc>
          <w:tcPr>
            <w:tcW w:w="1924" w:type="dxa"/>
          </w:tcPr>
          <w:p w:rsidR="002668BB" w:rsidRPr="002668BB" w:rsidRDefault="002668BB" w:rsidP="002668BB">
            <w:pPr>
              <w:keepNext/>
              <w:keepLines/>
              <w:spacing w:line="360" w:lineRule="auto"/>
            </w:pPr>
            <w:r w:rsidRPr="002668BB">
              <w:t>3 months</w:t>
            </w:r>
          </w:p>
        </w:tc>
        <w:tc>
          <w:tcPr>
            <w:tcW w:w="3600" w:type="dxa"/>
          </w:tcPr>
          <w:p w:rsidR="002668BB" w:rsidRPr="002668BB" w:rsidRDefault="002668BB" w:rsidP="002668BB">
            <w:pPr>
              <w:keepNext/>
              <w:keepLines/>
              <w:spacing w:line="360" w:lineRule="auto"/>
            </w:pPr>
            <w:r w:rsidRPr="002668BB">
              <w:t>June 2015 – August 2015</w:t>
            </w:r>
          </w:p>
        </w:tc>
      </w:tr>
      <w:tr w:rsidR="002668BB" w:rsidRPr="002668BB" w:rsidTr="00711594">
        <w:tc>
          <w:tcPr>
            <w:tcW w:w="1908" w:type="dxa"/>
          </w:tcPr>
          <w:p w:rsidR="002668BB" w:rsidRPr="002668BB" w:rsidRDefault="002668BB" w:rsidP="002668BB">
            <w:pPr>
              <w:keepNext/>
              <w:keepLines/>
              <w:spacing w:line="360" w:lineRule="auto"/>
            </w:pPr>
            <w:r w:rsidRPr="002668BB">
              <w:t>June 2015</w:t>
            </w:r>
          </w:p>
        </w:tc>
        <w:tc>
          <w:tcPr>
            <w:tcW w:w="2576" w:type="dxa"/>
          </w:tcPr>
          <w:p w:rsidR="002668BB" w:rsidRPr="002668BB" w:rsidRDefault="002668BB" w:rsidP="002668BB">
            <w:pPr>
              <w:keepNext/>
              <w:keepLines/>
              <w:spacing w:line="360" w:lineRule="auto"/>
            </w:pPr>
            <w:r w:rsidRPr="002668BB">
              <w:t>100%</w:t>
            </w:r>
          </w:p>
        </w:tc>
        <w:tc>
          <w:tcPr>
            <w:tcW w:w="1924" w:type="dxa"/>
          </w:tcPr>
          <w:p w:rsidR="002668BB" w:rsidRPr="002668BB" w:rsidRDefault="002668BB" w:rsidP="002668BB">
            <w:pPr>
              <w:keepNext/>
              <w:keepLines/>
              <w:spacing w:line="360" w:lineRule="auto"/>
            </w:pPr>
            <w:r w:rsidRPr="002668BB">
              <w:t>3 months</w:t>
            </w:r>
          </w:p>
        </w:tc>
        <w:tc>
          <w:tcPr>
            <w:tcW w:w="3600" w:type="dxa"/>
          </w:tcPr>
          <w:p w:rsidR="002668BB" w:rsidRPr="002668BB" w:rsidRDefault="002668BB" w:rsidP="002668BB">
            <w:pPr>
              <w:keepNext/>
              <w:keepLines/>
              <w:spacing w:line="360" w:lineRule="auto"/>
            </w:pPr>
            <w:r w:rsidRPr="002668BB">
              <w:t>September 2015 – November 2015</w:t>
            </w:r>
          </w:p>
        </w:tc>
      </w:tr>
      <w:tr w:rsidR="002668BB" w:rsidRPr="002668BB" w:rsidTr="00711594">
        <w:tc>
          <w:tcPr>
            <w:tcW w:w="1908" w:type="dxa"/>
          </w:tcPr>
          <w:p w:rsidR="002668BB" w:rsidRPr="002668BB" w:rsidRDefault="002668BB" w:rsidP="002668BB">
            <w:pPr>
              <w:keepNext/>
              <w:keepLines/>
              <w:spacing w:line="360" w:lineRule="auto"/>
            </w:pPr>
            <w:r w:rsidRPr="002668BB">
              <w:t>September 2015</w:t>
            </w:r>
          </w:p>
        </w:tc>
        <w:tc>
          <w:tcPr>
            <w:tcW w:w="2576" w:type="dxa"/>
          </w:tcPr>
          <w:p w:rsidR="002668BB" w:rsidRPr="002668BB" w:rsidRDefault="002668BB" w:rsidP="002668BB">
            <w:pPr>
              <w:keepNext/>
              <w:keepLines/>
              <w:spacing w:line="360" w:lineRule="auto"/>
            </w:pPr>
            <w:r w:rsidRPr="002668BB">
              <w:t>100%</w:t>
            </w:r>
          </w:p>
        </w:tc>
        <w:tc>
          <w:tcPr>
            <w:tcW w:w="1924" w:type="dxa"/>
          </w:tcPr>
          <w:p w:rsidR="002668BB" w:rsidRPr="002668BB" w:rsidRDefault="002668BB" w:rsidP="002668BB">
            <w:pPr>
              <w:keepNext/>
              <w:keepLines/>
              <w:spacing w:line="360" w:lineRule="auto"/>
            </w:pPr>
            <w:r w:rsidRPr="002668BB">
              <w:t>3 months</w:t>
            </w:r>
          </w:p>
        </w:tc>
        <w:tc>
          <w:tcPr>
            <w:tcW w:w="3600" w:type="dxa"/>
          </w:tcPr>
          <w:p w:rsidR="002668BB" w:rsidRPr="002668BB" w:rsidRDefault="002668BB" w:rsidP="002668BB">
            <w:pPr>
              <w:keepNext/>
              <w:keepLines/>
              <w:spacing w:line="360" w:lineRule="auto"/>
            </w:pPr>
            <w:r w:rsidRPr="002668BB">
              <w:t>December 2015 – February 2016</w:t>
            </w:r>
          </w:p>
        </w:tc>
      </w:tr>
      <w:tr w:rsidR="002668BB" w:rsidRPr="002668BB" w:rsidTr="00711594">
        <w:tc>
          <w:tcPr>
            <w:tcW w:w="1908" w:type="dxa"/>
          </w:tcPr>
          <w:p w:rsidR="002668BB" w:rsidRPr="002668BB" w:rsidRDefault="002668BB" w:rsidP="002668BB">
            <w:pPr>
              <w:keepNext/>
              <w:keepLines/>
              <w:spacing w:line="360" w:lineRule="auto"/>
            </w:pPr>
            <w:r w:rsidRPr="002668BB">
              <w:t>December 2015</w:t>
            </w:r>
          </w:p>
        </w:tc>
        <w:tc>
          <w:tcPr>
            <w:tcW w:w="2576" w:type="dxa"/>
          </w:tcPr>
          <w:p w:rsidR="002668BB" w:rsidRPr="002668BB" w:rsidRDefault="002668BB" w:rsidP="002668BB">
            <w:pPr>
              <w:keepNext/>
              <w:keepLines/>
              <w:spacing w:line="360" w:lineRule="auto"/>
            </w:pPr>
            <w:r w:rsidRPr="002668BB">
              <w:t>100%</w:t>
            </w:r>
          </w:p>
        </w:tc>
        <w:tc>
          <w:tcPr>
            <w:tcW w:w="1924" w:type="dxa"/>
          </w:tcPr>
          <w:p w:rsidR="002668BB" w:rsidRPr="002668BB" w:rsidRDefault="002668BB" w:rsidP="002668BB">
            <w:pPr>
              <w:keepNext/>
              <w:keepLines/>
              <w:spacing w:line="360" w:lineRule="auto"/>
            </w:pPr>
            <w:r w:rsidRPr="002668BB">
              <w:t>3 months</w:t>
            </w:r>
          </w:p>
        </w:tc>
        <w:tc>
          <w:tcPr>
            <w:tcW w:w="3600" w:type="dxa"/>
          </w:tcPr>
          <w:p w:rsidR="002668BB" w:rsidRPr="002668BB" w:rsidRDefault="002668BB" w:rsidP="002668BB">
            <w:pPr>
              <w:keepNext/>
              <w:keepLines/>
              <w:spacing w:line="360" w:lineRule="auto"/>
            </w:pPr>
            <w:r w:rsidRPr="002668BB">
              <w:t>March 2016 – May 2016</w:t>
            </w:r>
          </w:p>
        </w:tc>
      </w:tr>
      <w:tr w:rsidR="002668BB" w:rsidRPr="002668BB" w:rsidTr="00711594">
        <w:tc>
          <w:tcPr>
            <w:tcW w:w="1908" w:type="dxa"/>
          </w:tcPr>
          <w:p w:rsidR="002668BB" w:rsidRPr="002668BB" w:rsidRDefault="002668BB" w:rsidP="002668BB">
            <w:pPr>
              <w:keepNext/>
              <w:keepLines/>
              <w:spacing w:line="360" w:lineRule="auto"/>
            </w:pPr>
            <w:r w:rsidRPr="002668BB">
              <w:t>March 2016</w:t>
            </w:r>
          </w:p>
        </w:tc>
        <w:tc>
          <w:tcPr>
            <w:tcW w:w="2576" w:type="dxa"/>
          </w:tcPr>
          <w:p w:rsidR="002668BB" w:rsidRPr="002668BB" w:rsidRDefault="002668BB" w:rsidP="002668BB">
            <w:pPr>
              <w:keepNext/>
              <w:keepLines/>
              <w:spacing w:line="360" w:lineRule="auto"/>
            </w:pPr>
            <w:r w:rsidRPr="002668BB">
              <w:t>100%</w:t>
            </w:r>
          </w:p>
        </w:tc>
        <w:tc>
          <w:tcPr>
            <w:tcW w:w="1924" w:type="dxa"/>
          </w:tcPr>
          <w:p w:rsidR="002668BB" w:rsidRPr="002668BB" w:rsidRDefault="002668BB" w:rsidP="002668BB">
            <w:pPr>
              <w:keepNext/>
              <w:keepLines/>
              <w:spacing w:line="360" w:lineRule="auto"/>
            </w:pPr>
            <w:r w:rsidRPr="002668BB">
              <w:t>3 months</w:t>
            </w:r>
          </w:p>
        </w:tc>
        <w:tc>
          <w:tcPr>
            <w:tcW w:w="3600" w:type="dxa"/>
          </w:tcPr>
          <w:p w:rsidR="002668BB" w:rsidRPr="002668BB" w:rsidRDefault="002668BB" w:rsidP="002668BB">
            <w:pPr>
              <w:keepNext/>
              <w:keepLines/>
              <w:spacing w:line="360" w:lineRule="auto"/>
            </w:pPr>
            <w:r w:rsidRPr="002668BB">
              <w:t>June 2016 – August 2016</w:t>
            </w:r>
          </w:p>
        </w:tc>
      </w:tr>
      <w:tr w:rsidR="002668BB" w:rsidRPr="002668BB" w:rsidTr="00711594">
        <w:tc>
          <w:tcPr>
            <w:tcW w:w="1908" w:type="dxa"/>
          </w:tcPr>
          <w:p w:rsidR="002668BB" w:rsidRPr="002668BB" w:rsidRDefault="002668BB" w:rsidP="002668BB">
            <w:pPr>
              <w:keepNext/>
              <w:keepLines/>
              <w:spacing w:line="360" w:lineRule="auto"/>
            </w:pPr>
            <w:r w:rsidRPr="002668BB">
              <w:t>June 2016</w:t>
            </w:r>
          </w:p>
        </w:tc>
        <w:tc>
          <w:tcPr>
            <w:tcW w:w="2576" w:type="dxa"/>
          </w:tcPr>
          <w:p w:rsidR="002668BB" w:rsidRPr="002668BB" w:rsidRDefault="002668BB" w:rsidP="002668BB">
            <w:pPr>
              <w:keepNext/>
              <w:keepLines/>
              <w:spacing w:line="360" w:lineRule="auto"/>
            </w:pPr>
            <w:r w:rsidRPr="002668BB">
              <w:t>100%</w:t>
            </w:r>
          </w:p>
        </w:tc>
        <w:tc>
          <w:tcPr>
            <w:tcW w:w="1924" w:type="dxa"/>
          </w:tcPr>
          <w:p w:rsidR="002668BB" w:rsidRPr="002668BB" w:rsidRDefault="002668BB" w:rsidP="002668BB">
            <w:pPr>
              <w:keepNext/>
              <w:keepLines/>
              <w:spacing w:line="360" w:lineRule="auto"/>
            </w:pPr>
            <w:r w:rsidRPr="002668BB">
              <w:t>3 months</w:t>
            </w:r>
          </w:p>
        </w:tc>
        <w:tc>
          <w:tcPr>
            <w:tcW w:w="3600" w:type="dxa"/>
          </w:tcPr>
          <w:p w:rsidR="002668BB" w:rsidRPr="002668BB" w:rsidRDefault="002668BB" w:rsidP="002668BB">
            <w:pPr>
              <w:keepNext/>
              <w:keepLines/>
              <w:spacing w:line="360" w:lineRule="auto"/>
            </w:pPr>
            <w:r w:rsidRPr="002668BB">
              <w:t>September 2016 – November 2016</w:t>
            </w:r>
          </w:p>
        </w:tc>
      </w:tr>
      <w:tr w:rsidR="002668BB" w:rsidRPr="002668BB" w:rsidTr="00711594">
        <w:tc>
          <w:tcPr>
            <w:tcW w:w="1908" w:type="dxa"/>
          </w:tcPr>
          <w:p w:rsidR="002668BB" w:rsidRPr="002668BB" w:rsidRDefault="002668BB" w:rsidP="002668BB">
            <w:pPr>
              <w:keepNext/>
              <w:keepLines/>
              <w:spacing w:line="360" w:lineRule="auto"/>
            </w:pPr>
            <w:r w:rsidRPr="002668BB">
              <w:t>September 2016</w:t>
            </w:r>
          </w:p>
        </w:tc>
        <w:tc>
          <w:tcPr>
            <w:tcW w:w="2576" w:type="dxa"/>
          </w:tcPr>
          <w:p w:rsidR="002668BB" w:rsidRPr="002668BB" w:rsidRDefault="002668BB" w:rsidP="002668BB">
            <w:pPr>
              <w:keepNext/>
              <w:keepLines/>
              <w:spacing w:line="360" w:lineRule="auto"/>
            </w:pPr>
            <w:r w:rsidRPr="002668BB">
              <w:t>100%</w:t>
            </w:r>
          </w:p>
        </w:tc>
        <w:tc>
          <w:tcPr>
            <w:tcW w:w="1924" w:type="dxa"/>
          </w:tcPr>
          <w:p w:rsidR="002668BB" w:rsidRPr="002668BB" w:rsidRDefault="002668BB" w:rsidP="002668BB">
            <w:pPr>
              <w:keepNext/>
              <w:keepLines/>
              <w:spacing w:line="360" w:lineRule="auto"/>
            </w:pPr>
            <w:r w:rsidRPr="002668BB">
              <w:t>3 months</w:t>
            </w:r>
          </w:p>
        </w:tc>
        <w:tc>
          <w:tcPr>
            <w:tcW w:w="3600" w:type="dxa"/>
          </w:tcPr>
          <w:p w:rsidR="002668BB" w:rsidRPr="002668BB" w:rsidRDefault="002668BB" w:rsidP="002668BB">
            <w:pPr>
              <w:keepNext/>
              <w:keepLines/>
              <w:spacing w:line="360" w:lineRule="auto"/>
            </w:pPr>
            <w:r w:rsidRPr="002668BB">
              <w:t>December 2016 – February 2017</w:t>
            </w:r>
          </w:p>
        </w:tc>
      </w:tr>
      <w:tr w:rsidR="002668BB" w:rsidRPr="002668BB" w:rsidTr="00711594">
        <w:tc>
          <w:tcPr>
            <w:tcW w:w="1908" w:type="dxa"/>
          </w:tcPr>
          <w:p w:rsidR="002668BB" w:rsidRPr="002668BB" w:rsidRDefault="002668BB" w:rsidP="002668BB">
            <w:pPr>
              <w:keepNext/>
              <w:keepLines/>
              <w:spacing w:line="360" w:lineRule="auto"/>
            </w:pPr>
            <w:r w:rsidRPr="002668BB">
              <w:t>December 2016</w:t>
            </w:r>
          </w:p>
        </w:tc>
        <w:tc>
          <w:tcPr>
            <w:tcW w:w="2576" w:type="dxa"/>
          </w:tcPr>
          <w:p w:rsidR="002668BB" w:rsidRPr="002668BB" w:rsidRDefault="002668BB" w:rsidP="002668BB">
            <w:pPr>
              <w:keepNext/>
              <w:keepLines/>
              <w:spacing w:line="360" w:lineRule="auto"/>
            </w:pPr>
            <w:r w:rsidRPr="002668BB">
              <w:t>100%</w:t>
            </w:r>
          </w:p>
        </w:tc>
        <w:tc>
          <w:tcPr>
            <w:tcW w:w="1924" w:type="dxa"/>
          </w:tcPr>
          <w:p w:rsidR="002668BB" w:rsidRPr="002668BB" w:rsidRDefault="002668BB" w:rsidP="002668BB">
            <w:pPr>
              <w:keepNext/>
              <w:keepLines/>
              <w:spacing w:line="360" w:lineRule="auto"/>
            </w:pPr>
            <w:r w:rsidRPr="002668BB">
              <w:t>3 months</w:t>
            </w:r>
          </w:p>
        </w:tc>
        <w:tc>
          <w:tcPr>
            <w:tcW w:w="3600" w:type="dxa"/>
          </w:tcPr>
          <w:p w:rsidR="002668BB" w:rsidRPr="002668BB" w:rsidRDefault="002668BB" w:rsidP="002668BB">
            <w:pPr>
              <w:keepNext/>
              <w:keepLines/>
              <w:spacing w:line="360" w:lineRule="auto"/>
            </w:pPr>
            <w:r w:rsidRPr="002668BB">
              <w:t>March 2017 – May 2017</w:t>
            </w:r>
          </w:p>
        </w:tc>
      </w:tr>
    </w:tbl>
    <w:p w:rsidR="002668BB" w:rsidRPr="002668BB" w:rsidRDefault="002668BB" w:rsidP="002668BB">
      <w:pPr>
        <w:spacing w:line="360" w:lineRule="auto"/>
      </w:pPr>
    </w:p>
    <w:p w:rsidR="002668BB" w:rsidRPr="002668BB" w:rsidRDefault="002668BB" w:rsidP="002668BB">
      <w:pPr>
        <w:pStyle w:val="BodyText2"/>
        <w:spacing w:after="0" w:line="360" w:lineRule="auto"/>
        <w:ind w:firstLine="1440"/>
      </w:pPr>
      <w:r w:rsidRPr="002668BB">
        <w:t>Duquesne Light</w:t>
      </w:r>
      <w:r>
        <w:rPr>
          <w:lang w:val="en-US"/>
        </w:rPr>
        <w:t xml:space="preserve"> argues </w:t>
      </w:r>
      <w:r w:rsidR="004B701A">
        <w:rPr>
          <w:lang w:val="en-US"/>
        </w:rPr>
        <w:t>the</w:t>
      </w:r>
      <w:r w:rsidRPr="002668BB">
        <w:t xml:space="preserve"> proposed procurement methodology for DSP VII is more market responsive than under the current DSP VI Plan.  The </w:t>
      </w:r>
      <w:r>
        <w:rPr>
          <w:lang w:val="en-US"/>
        </w:rPr>
        <w:t xml:space="preserve">Company proposes the </w:t>
      </w:r>
      <w:r w:rsidRPr="002668BB">
        <w:t xml:space="preserve">supply plan </w:t>
      </w:r>
      <w:proofErr w:type="spellStart"/>
      <w:r>
        <w:rPr>
          <w:lang w:val="en-US"/>
        </w:rPr>
        <w:t>sh</w:t>
      </w:r>
      <w:r w:rsidRPr="002668BB">
        <w:t>ould</w:t>
      </w:r>
      <w:proofErr w:type="spellEnd"/>
      <w:r w:rsidRPr="002668BB">
        <w:t xml:space="preserve"> move from </w:t>
      </w:r>
      <w:r w:rsidRPr="002668BB">
        <w:rPr>
          <w:b/>
          <w:u w:val="single"/>
        </w:rPr>
        <w:t>six</w:t>
      </w:r>
      <w:r w:rsidRPr="00480746">
        <w:rPr>
          <w:b/>
        </w:rPr>
        <w:t>-</w:t>
      </w:r>
      <w:r w:rsidRPr="002668BB">
        <w:t xml:space="preserve">month contracts without laddering under DSP VI to </w:t>
      </w:r>
      <w:r w:rsidRPr="002668BB">
        <w:rPr>
          <w:b/>
          <w:u w:val="single"/>
        </w:rPr>
        <w:t>three</w:t>
      </w:r>
      <w:r w:rsidRPr="00480746">
        <w:rPr>
          <w:b/>
        </w:rPr>
        <w:t>-</w:t>
      </w:r>
      <w:r w:rsidRPr="002668BB">
        <w:t xml:space="preserve">month contracts without laddering under the DSP VII Plan, making default service rates for Medium C&amp;I customers </w:t>
      </w:r>
      <w:r w:rsidRPr="004B701A">
        <w:rPr>
          <w:u w:val="single"/>
        </w:rPr>
        <w:t>more</w:t>
      </w:r>
      <w:r w:rsidRPr="002668BB">
        <w:t xml:space="preserve"> responsive to market changes.</w:t>
      </w:r>
      <w:r w:rsidR="004B701A">
        <w:rPr>
          <w:rStyle w:val="FootnoteReference"/>
        </w:rPr>
        <w:footnoteReference w:id="30"/>
      </w:r>
      <w:r w:rsidRPr="002668BB">
        <w:t xml:space="preserve">  </w:t>
      </w:r>
      <w:r w:rsidR="004B701A">
        <w:rPr>
          <w:lang w:val="en-US"/>
        </w:rPr>
        <w:t>The</w:t>
      </w:r>
      <w:r w:rsidRPr="002668BB">
        <w:t xml:space="preserve"> Company noted approximately 72% of </w:t>
      </w:r>
      <w:r w:rsidR="004B701A">
        <w:rPr>
          <w:lang w:val="en-US"/>
        </w:rPr>
        <w:t xml:space="preserve">its </w:t>
      </w:r>
      <w:r w:rsidRPr="002668BB">
        <w:t xml:space="preserve">Medium C&amp;I customer load </w:t>
      </w:r>
      <w:r w:rsidR="004B701A">
        <w:rPr>
          <w:lang w:val="en-US"/>
        </w:rPr>
        <w:t xml:space="preserve">currently </w:t>
      </w:r>
      <w:r w:rsidRPr="002668BB">
        <w:t>is served by an EGS.</w:t>
      </w:r>
      <w:r w:rsidR="004B701A">
        <w:rPr>
          <w:rStyle w:val="FootnoteReference"/>
        </w:rPr>
        <w:footnoteReference w:id="31"/>
      </w:r>
      <w:r w:rsidRPr="002668BB">
        <w:t xml:space="preserve">  </w:t>
      </w:r>
    </w:p>
    <w:p w:rsidR="002668BB" w:rsidRPr="002668BB" w:rsidRDefault="002668BB" w:rsidP="002668BB">
      <w:pPr>
        <w:autoSpaceDE/>
        <w:autoSpaceDN/>
        <w:spacing w:line="360" w:lineRule="auto"/>
      </w:pPr>
    </w:p>
    <w:p w:rsidR="00E92372" w:rsidRDefault="002668BB" w:rsidP="00E92372">
      <w:pPr>
        <w:spacing w:line="360" w:lineRule="auto"/>
      </w:pPr>
      <w:r w:rsidRPr="002668BB">
        <w:tab/>
      </w:r>
      <w:r w:rsidRPr="002668BB">
        <w:tab/>
      </w:r>
      <w:r w:rsidR="00E92372">
        <w:t xml:space="preserve">OSBA generally disagrees with the Company and proposes DLC continue to use the 6-month, full-requirements, load-following, non-laddered contracts included in the DSP VI.  OSBA points to the statistic that 37% of the Medium C&amp;I class customers choose not to shop and should not be involuntarily subjected to the price volatility inherent to procurements using only 3-month supply contracts.  OSBA contends DLC’s proposal would implement immediately the directive in the Commission’s End State Order even though the Pennsylvania Legislature has not passed the needed enabling legislation.  </w:t>
      </w:r>
    </w:p>
    <w:p w:rsidR="002668BB" w:rsidRPr="002668BB" w:rsidRDefault="002668BB" w:rsidP="002668BB">
      <w:pPr>
        <w:tabs>
          <w:tab w:val="left" w:pos="1440"/>
        </w:tabs>
        <w:autoSpaceDE/>
        <w:autoSpaceDN/>
        <w:spacing w:line="360" w:lineRule="auto"/>
      </w:pPr>
      <w:r w:rsidRPr="002668BB">
        <w:tab/>
        <w:t xml:space="preserve">RESA disagrees with the Company and proposes, in the alternative, to modify the Company’s proposed procurement plan for Medium </w:t>
      </w:r>
      <w:proofErr w:type="gramStart"/>
      <w:r w:rsidRPr="002668BB">
        <w:t>C&amp;I</w:t>
      </w:r>
      <w:proofErr w:type="gramEnd"/>
      <w:r w:rsidRPr="002668BB">
        <w:t xml:space="preserve"> customers.  RESA proposes to split the Company’s existing Medium C&amp;I class of customers with monthly metered demands equal to or greater than 25 kW and less than 300 kW into two separate procurement groups.  RESA’s first group would be customers with monthly metered demands between 25 kW to 100 kW.  RESA St. No. 1-R, p. 7.  RESA proposes that the Company acquire default supply for this group through three-month, non-laddered, full-requirements contracts.  RESA’s second group of Medium C&amp;I customers would be those customers with monthly metered demands greater than 100 kW and less than 300 kW.  RESA proposes that all of those customers be provided hourly priced default service in the same manner as Duquesne Light’s Large C&amp;I customers.  RESA St. No. 1-R, p. 7.  RESA’s proposal would reduce the threshold for hourly priced service in Duquesne Light’s service territory from 300 kW to 100 </w:t>
      </w:r>
      <w:r w:rsidR="000939DA" w:rsidRPr="002668BB">
        <w:t>Kw</w:t>
      </w:r>
      <w:r w:rsidR="000939DA">
        <w:t>.</w:t>
      </w:r>
    </w:p>
    <w:p w:rsidR="002668BB" w:rsidRDefault="002668BB" w:rsidP="002668BB">
      <w:pPr>
        <w:pStyle w:val="ListParagraph"/>
        <w:autoSpaceDE/>
        <w:autoSpaceDN/>
        <w:spacing w:line="360" w:lineRule="auto"/>
        <w:ind w:left="0"/>
        <w:rPr>
          <w:b/>
        </w:rPr>
      </w:pPr>
    </w:p>
    <w:p w:rsidR="00DD6125" w:rsidRPr="00101372" w:rsidRDefault="00DD6125" w:rsidP="00F03992">
      <w:pPr>
        <w:pStyle w:val="ListParagraph"/>
        <w:numPr>
          <w:ilvl w:val="0"/>
          <w:numId w:val="20"/>
        </w:numPr>
        <w:autoSpaceDE/>
        <w:autoSpaceDN/>
        <w:spacing w:line="360" w:lineRule="auto"/>
        <w:ind w:left="2160" w:hanging="720"/>
        <w:rPr>
          <w:u w:val="single"/>
        </w:rPr>
      </w:pPr>
      <w:r w:rsidRPr="00101372">
        <w:rPr>
          <w:u w:val="single"/>
        </w:rPr>
        <w:t>Disposition</w:t>
      </w:r>
      <w:r w:rsidR="004A6054" w:rsidRPr="00101372">
        <w:rPr>
          <w:u w:val="single"/>
        </w:rPr>
        <w:t xml:space="preserve"> – Medium C&amp;I Procurement</w:t>
      </w:r>
    </w:p>
    <w:p w:rsidR="00DD6125" w:rsidRDefault="00DD6125" w:rsidP="004B701A">
      <w:pPr>
        <w:pStyle w:val="BodyText"/>
        <w:spacing w:after="0" w:line="360" w:lineRule="auto"/>
        <w:ind w:left="0" w:firstLine="0"/>
        <w:rPr>
          <w:szCs w:val="24"/>
          <w:lang w:val="en-US"/>
        </w:rPr>
      </w:pPr>
    </w:p>
    <w:p w:rsidR="004B701A" w:rsidRDefault="004541CC" w:rsidP="004B701A">
      <w:pPr>
        <w:pStyle w:val="BodyText2"/>
        <w:spacing w:after="0" w:line="360" w:lineRule="auto"/>
        <w:ind w:firstLine="1440"/>
        <w:rPr>
          <w:lang w:val="en-US"/>
        </w:rPr>
      </w:pPr>
      <w:r>
        <w:rPr>
          <w:lang w:val="en-US"/>
        </w:rPr>
        <w:t xml:space="preserve">At the outset, it should be noted </w:t>
      </w:r>
      <w:r>
        <w:t>Duquesne Light has one of the lowest kilowatt demand thresholds for hourly priced default service in the country.</w:t>
      </w:r>
      <w:r>
        <w:rPr>
          <w:rStyle w:val="FootnoteReference"/>
        </w:rPr>
        <w:footnoteReference w:id="32"/>
      </w:r>
      <w:r>
        <w:t xml:space="preserve">  </w:t>
      </w:r>
      <w:r>
        <w:rPr>
          <w:lang w:val="en-US"/>
        </w:rPr>
        <w:t xml:space="preserve">Within the context of that fact, OSBA proposed </w:t>
      </w:r>
      <w:r w:rsidRPr="002668BB">
        <w:t xml:space="preserve">to maintain six-month, non-laddered, full-requirements contracts for Medium </w:t>
      </w:r>
      <w:proofErr w:type="gramStart"/>
      <w:r w:rsidRPr="002668BB">
        <w:t>C&amp;I</w:t>
      </w:r>
      <w:proofErr w:type="gramEnd"/>
      <w:r w:rsidRPr="002668BB">
        <w:t xml:space="preserve"> customers</w:t>
      </w:r>
      <w:r>
        <w:rPr>
          <w:lang w:val="en-US"/>
        </w:rPr>
        <w:t>.</w:t>
      </w:r>
      <w:r w:rsidR="008D75AE">
        <w:rPr>
          <w:rStyle w:val="FootnoteReference"/>
          <w:lang w:val="en-US"/>
        </w:rPr>
        <w:footnoteReference w:id="33"/>
      </w:r>
      <w:r>
        <w:rPr>
          <w:lang w:val="en-US"/>
        </w:rPr>
        <w:t xml:space="preserve">  </w:t>
      </w:r>
      <w:r w:rsidR="004B701A" w:rsidRPr="002668BB">
        <w:t xml:space="preserve">In rebuttal testimony, the Company </w:t>
      </w:r>
      <w:r w:rsidR="004B701A">
        <w:rPr>
          <w:lang w:val="en-US"/>
        </w:rPr>
        <w:t>acknowledged</w:t>
      </w:r>
      <w:r w:rsidR="004B701A" w:rsidRPr="002668BB">
        <w:t xml:space="preserve"> </w:t>
      </w:r>
      <w:r>
        <w:rPr>
          <w:lang w:val="en-US"/>
        </w:rPr>
        <w:t>this</w:t>
      </w:r>
      <w:r w:rsidR="004B701A" w:rsidRPr="002668BB">
        <w:t xml:space="preserve"> proposal </w:t>
      </w:r>
      <w:r w:rsidR="008D75AE">
        <w:rPr>
          <w:lang w:val="en-US"/>
        </w:rPr>
        <w:t>had</w:t>
      </w:r>
      <w:r w:rsidR="004B701A" w:rsidRPr="002668BB">
        <w:t xml:space="preserve"> certain benefits, including longer term price stability and eliminating RFPs, which </w:t>
      </w:r>
      <w:r w:rsidR="008D75AE">
        <w:rPr>
          <w:lang w:val="en-US"/>
        </w:rPr>
        <w:t>should</w:t>
      </w:r>
      <w:r w:rsidR="004B701A" w:rsidRPr="002668BB">
        <w:t xml:space="preserve"> produce cost savings.  </w:t>
      </w:r>
      <w:r w:rsidR="004B701A">
        <w:rPr>
          <w:lang w:val="en-US"/>
        </w:rPr>
        <w:t>I agree with Duquesne Light and</w:t>
      </w:r>
      <w:r w:rsidR="004B701A" w:rsidRPr="002668BB">
        <w:t xml:space="preserve"> OSBA</w:t>
      </w:r>
      <w:r w:rsidR="004B701A">
        <w:rPr>
          <w:lang w:val="en-US"/>
        </w:rPr>
        <w:t xml:space="preserve"> that OSBA</w:t>
      </w:r>
      <w:r w:rsidR="004B701A" w:rsidRPr="002668BB">
        <w:t>’s recommendation for Medium C&amp;I customers is reasonable</w:t>
      </w:r>
      <w:r w:rsidR="004B701A">
        <w:rPr>
          <w:lang w:val="en-US"/>
        </w:rPr>
        <w:t xml:space="preserve">.  </w:t>
      </w:r>
      <w:proofErr w:type="spellStart"/>
      <w:r w:rsidR="004B701A">
        <w:rPr>
          <w:lang w:val="en-US"/>
        </w:rPr>
        <w:t>T</w:t>
      </w:r>
      <w:r w:rsidR="004B701A" w:rsidRPr="002668BB">
        <w:t>he</w:t>
      </w:r>
      <w:proofErr w:type="spellEnd"/>
      <w:r w:rsidR="004B701A" w:rsidRPr="002668BB">
        <w:t xml:space="preserve"> degree to which procurement periods should be shortened to make default service rates more market responsive needs to be balanced with the benefits of price stability</w:t>
      </w:r>
      <w:r w:rsidR="008D75AE">
        <w:rPr>
          <w:lang w:val="en-US"/>
        </w:rPr>
        <w:t xml:space="preserve"> and is a matter of subjectivity</w:t>
      </w:r>
      <w:r w:rsidR="004B701A" w:rsidRPr="002668BB">
        <w:t>.</w:t>
      </w:r>
      <w:r w:rsidR="008D75AE">
        <w:rPr>
          <w:lang w:val="en-US"/>
        </w:rPr>
        <w:t xml:space="preserve">  However, there is a </w:t>
      </w:r>
      <w:r w:rsidR="004B701A" w:rsidRPr="002668BB">
        <w:t>proper balance in this instance, where a large portion of Medium C&amp;I customers have already swi</w:t>
      </w:r>
      <w:r w:rsidR="008D75AE">
        <w:t>tched to a competitive supplier</w:t>
      </w:r>
      <w:r w:rsidR="004B701A" w:rsidRPr="002668BB">
        <w:t xml:space="preserve">.  </w:t>
      </w:r>
    </w:p>
    <w:p w:rsidR="004B701A" w:rsidRDefault="004B701A" w:rsidP="004B701A">
      <w:pPr>
        <w:pStyle w:val="BodyText2"/>
        <w:spacing w:after="0" w:line="360" w:lineRule="auto"/>
        <w:ind w:firstLine="1440"/>
        <w:rPr>
          <w:lang w:val="en-US"/>
        </w:rPr>
      </w:pPr>
    </w:p>
    <w:p w:rsidR="004541CC" w:rsidRDefault="004B701A" w:rsidP="004B701A">
      <w:pPr>
        <w:pStyle w:val="BodyText2"/>
        <w:spacing w:after="0" w:line="360" w:lineRule="auto"/>
        <w:ind w:firstLine="1440"/>
        <w:rPr>
          <w:lang w:val="en-US"/>
        </w:rPr>
      </w:pPr>
      <w:r>
        <w:t xml:space="preserve">RESA’s proposal </w:t>
      </w:r>
      <w:r w:rsidR="00FC5937">
        <w:t>–</w:t>
      </w:r>
      <w:r>
        <w:rPr>
          <w:lang w:val="en-US"/>
        </w:rPr>
        <w:t xml:space="preserve"> </w:t>
      </w:r>
      <w:r>
        <w:t>to lower the hourly priced service threshold from 300 kW to 100 kW</w:t>
      </w:r>
      <w:r>
        <w:rPr>
          <w:lang w:val="en-US"/>
        </w:rPr>
        <w:t xml:space="preserve"> – runs </w:t>
      </w:r>
      <w:r w:rsidR="008D75AE">
        <w:rPr>
          <w:lang w:val="en-US"/>
        </w:rPr>
        <w:t>counter to</w:t>
      </w:r>
      <w:r>
        <w:rPr>
          <w:lang w:val="en-US"/>
        </w:rPr>
        <w:t xml:space="preserve"> the Commission’s decision</w:t>
      </w:r>
      <w:r>
        <w:rPr>
          <w:rStyle w:val="FootnoteReference"/>
          <w:lang w:val="en-US"/>
        </w:rPr>
        <w:footnoteReference w:id="34"/>
      </w:r>
      <w:r>
        <w:rPr>
          <w:lang w:val="en-US"/>
        </w:rPr>
        <w:t xml:space="preserve"> </w:t>
      </w:r>
      <w:r>
        <w:t>that directing an hourly default service product for such Medium C&amp;I customers may raise legal questions about compliance with the Competition Act</w:t>
      </w:r>
      <w:r w:rsidR="008D75AE">
        <w:rPr>
          <w:lang w:val="en-US"/>
        </w:rPr>
        <w:t xml:space="preserve">.  Further, </w:t>
      </w:r>
      <w:r>
        <w:t xml:space="preserve">the Commission </w:t>
      </w:r>
      <w:r w:rsidR="008D75AE">
        <w:rPr>
          <w:lang w:val="en-US"/>
        </w:rPr>
        <w:t>has stated it prefer</w:t>
      </w:r>
      <w:r w:rsidR="007004B1">
        <w:rPr>
          <w:lang w:val="en-US"/>
        </w:rPr>
        <w:t>s</w:t>
      </w:r>
      <w:r>
        <w:t xml:space="preserve"> to pursue legislative amendments </w:t>
      </w:r>
      <w:r w:rsidR="008D75AE">
        <w:rPr>
          <w:lang w:val="en-US"/>
        </w:rPr>
        <w:t>to</w:t>
      </w:r>
      <w:r>
        <w:t xml:space="preserve"> provide for such authority before mandating an hourly priced product for Medium </w:t>
      </w:r>
      <w:proofErr w:type="gramStart"/>
      <w:r>
        <w:t>C&amp;I</w:t>
      </w:r>
      <w:proofErr w:type="gramEnd"/>
      <w:r>
        <w:t xml:space="preserve"> customers.</w:t>
      </w:r>
      <w:r>
        <w:rPr>
          <w:rStyle w:val="FootnoteReference"/>
        </w:rPr>
        <w:footnoteReference w:id="35"/>
      </w:r>
      <w:r w:rsidR="004541CC">
        <w:rPr>
          <w:lang w:val="en-US"/>
        </w:rPr>
        <w:t xml:space="preserve">  </w:t>
      </w:r>
      <w:r>
        <w:t>These changes have not been adopted by the General Assembly</w:t>
      </w:r>
      <w:r w:rsidR="008D75AE">
        <w:rPr>
          <w:lang w:val="en-US"/>
        </w:rPr>
        <w:t xml:space="preserve"> to date</w:t>
      </w:r>
      <w:r>
        <w:t xml:space="preserve">.  </w:t>
      </w:r>
    </w:p>
    <w:p w:rsidR="004541CC" w:rsidRDefault="004541CC" w:rsidP="004B701A">
      <w:pPr>
        <w:pStyle w:val="BodyText2"/>
        <w:spacing w:after="0" w:line="360" w:lineRule="auto"/>
        <w:ind w:firstLine="1440"/>
        <w:rPr>
          <w:lang w:val="en-US"/>
        </w:rPr>
      </w:pPr>
    </w:p>
    <w:p w:rsidR="004B701A" w:rsidRDefault="004541CC" w:rsidP="004541CC">
      <w:pPr>
        <w:pStyle w:val="BodyText2"/>
        <w:spacing w:after="0" w:line="360" w:lineRule="auto"/>
        <w:ind w:firstLine="1440"/>
      </w:pPr>
      <w:r>
        <w:rPr>
          <w:lang w:val="en-US"/>
        </w:rPr>
        <w:t xml:space="preserve">I agree with Duquesne Light that the Company’s DSP VII Plan is a </w:t>
      </w:r>
      <w:r w:rsidR="004B701A">
        <w:t>premature</w:t>
      </w:r>
      <w:r>
        <w:rPr>
          <w:lang w:val="en-US"/>
        </w:rPr>
        <w:t>ly early time</w:t>
      </w:r>
      <w:r w:rsidR="004B701A">
        <w:t xml:space="preserve"> to adopt </w:t>
      </w:r>
      <w:r>
        <w:rPr>
          <w:lang w:val="en-US"/>
        </w:rPr>
        <w:t>these</w:t>
      </w:r>
      <w:r w:rsidR="004B701A">
        <w:t xml:space="preserve"> changes.</w:t>
      </w:r>
      <w:r>
        <w:rPr>
          <w:lang w:val="en-US"/>
        </w:rPr>
        <w:t xml:space="preserve">  There is no indication in the record, other than RESA’s bald claims, that </w:t>
      </w:r>
      <w:r w:rsidR="004B701A">
        <w:t xml:space="preserve">Medium C&amp;I customers above </w:t>
      </w:r>
      <w:r w:rsidR="008D75AE">
        <w:rPr>
          <w:lang w:val="en-US"/>
        </w:rPr>
        <w:t xml:space="preserve">the </w:t>
      </w:r>
      <w:r w:rsidR="004B701A">
        <w:t xml:space="preserve">100 kW </w:t>
      </w:r>
      <w:r w:rsidR="008D75AE">
        <w:rPr>
          <w:lang w:val="en-US"/>
        </w:rPr>
        <w:t xml:space="preserve">threshold </w:t>
      </w:r>
      <w:r w:rsidR="004B701A">
        <w:t xml:space="preserve">desire to receive hourly priced default service.  OSBA, </w:t>
      </w:r>
      <w:r>
        <w:rPr>
          <w:lang w:val="en-US"/>
        </w:rPr>
        <w:t xml:space="preserve">the statutory advocate for this class of customers, </w:t>
      </w:r>
      <w:r w:rsidR="004B701A">
        <w:t>opposes providing hourly priced service for Medium C&amp;I customers, because it provides insufficient rate stability.</w:t>
      </w:r>
      <w:r>
        <w:rPr>
          <w:rStyle w:val="FootnoteReference"/>
        </w:rPr>
        <w:footnoteReference w:id="36"/>
      </w:r>
      <w:r w:rsidR="004B701A">
        <w:t xml:space="preserve">    </w:t>
      </w:r>
    </w:p>
    <w:p w:rsidR="004B701A" w:rsidRDefault="004541CC" w:rsidP="004B701A">
      <w:pPr>
        <w:pStyle w:val="BodyText2"/>
        <w:spacing w:after="0" w:line="360" w:lineRule="auto"/>
      </w:pPr>
      <w:r>
        <w:rPr>
          <w:lang w:val="en-US"/>
        </w:rPr>
        <w:t xml:space="preserve">It is important to note, also, the </w:t>
      </w:r>
      <w:r w:rsidR="008D75AE">
        <w:rPr>
          <w:lang w:val="en-US"/>
        </w:rPr>
        <w:t xml:space="preserve">Company’s </w:t>
      </w:r>
      <w:r w:rsidR="004B701A">
        <w:t>proposed plan already increases the market responsiveness of default service rates by moving from six-month to three-month procurements.</w:t>
      </w:r>
    </w:p>
    <w:p w:rsidR="004541CC" w:rsidRDefault="004541CC" w:rsidP="004B701A">
      <w:pPr>
        <w:pStyle w:val="BodyText2"/>
        <w:spacing w:after="0" w:line="360" w:lineRule="auto"/>
        <w:rPr>
          <w:lang w:val="en-US"/>
        </w:rPr>
      </w:pPr>
    </w:p>
    <w:p w:rsidR="004B701A" w:rsidRDefault="004541CC" w:rsidP="004541CC">
      <w:pPr>
        <w:pStyle w:val="BodyText2"/>
        <w:spacing w:after="0" w:line="360" w:lineRule="auto"/>
        <w:ind w:firstLine="1440"/>
      </w:pPr>
      <w:r>
        <w:rPr>
          <w:lang w:val="en-US"/>
        </w:rPr>
        <w:t xml:space="preserve">Furthermore, the Company correctly notes that </w:t>
      </w:r>
      <w:r w:rsidR="004B701A">
        <w:t xml:space="preserve">if RESA’s proposal </w:t>
      </w:r>
      <w:r>
        <w:rPr>
          <w:lang w:val="en-US"/>
        </w:rPr>
        <w:t xml:space="preserve">– to remove </w:t>
      </w:r>
      <w:r>
        <w:t>the load for customers with demands from 100 kW to 300 kW</w:t>
      </w:r>
      <w:r>
        <w:rPr>
          <w:lang w:val="en-US"/>
        </w:rPr>
        <w:t xml:space="preserve"> </w:t>
      </w:r>
      <w:r w:rsidR="00023BFB">
        <w:rPr>
          <w:lang w:val="en-US"/>
        </w:rPr>
        <w:t>–</w:t>
      </w:r>
      <w:r>
        <w:rPr>
          <w:lang w:val="en-US"/>
        </w:rPr>
        <w:t xml:space="preserve"> was</w:t>
      </w:r>
      <w:r w:rsidR="004B701A">
        <w:t xml:space="preserve"> adopted, approximately 42% of the Medium C&amp;I load would be carved out of the Medium C&amp;I procurement class.</w:t>
      </w:r>
      <w:r>
        <w:rPr>
          <w:rStyle w:val="FootnoteReference"/>
        </w:rPr>
        <w:footnoteReference w:id="37"/>
      </w:r>
      <w:r w:rsidR="004B701A">
        <w:t xml:space="preserve">  The remaining load for the Medium C&amp;I customers with demands equal to or greater than 25 kW to 100 kW</w:t>
      </w:r>
      <w:r w:rsidR="008D75AE">
        <w:t xml:space="preserve"> will be relatively small</w:t>
      </w:r>
      <w:r w:rsidR="004B701A">
        <w:t xml:space="preserve"> and </w:t>
      </w:r>
      <w:r>
        <w:rPr>
          <w:lang w:val="en-US"/>
        </w:rPr>
        <w:t>in</w:t>
      </w:r>
      <w:r w:rsidR="004B701A">
        <w:t>sufficient to attract potential RFP suppliers.</w:t>
      </w:r>
      <w:r>
        <w:rPr>
          <w:rStyle w:val="FootnoteReference"/>
        </w:rPr>
        <w:footnoteReference w:id="38"/>
      </w:r>
      <w:r w:rsidR="004B701A">
        <w:t xml:space="preserve">  </w:t>
      </w:r>
      <w:r>
        <w:rPr>
          <w:lang w:val="en-US"/>
        </w:rPr>
        <w:t xml:space="preserve">I agree with the Company’s request that </w:t>
      </w:r>
      <w:proofErr w:type="spellStart"/>
      <w:r>
        <w:rPr>
          <w:lang w:val="en-US"/>
        </w:rPr>
        <w:t>t</w:t>
      </w:r>
      <w:r w:rsidR="004B701A">
        <w:t>he</w:t>
      </w:r>
      <w:proofErr w:type="spellEnd"/>
      <w:r w:rsidR="004B701A">
        <w:t xml:space="preserve"> potential for failed RFPs should be evaluated in more detail before the hourly priced service threshold is reduced from the current 300 kW threshold.  </w:t>
      </w:r>
    </w:p>
    <w:p w:rsidR="004541CC" w:rsidRDefault="004541CC" w:rsidP="004B701A">
      <w:pPr>
        <w:pStyle w:val="BodyText2"/>
        <w:spacing w:after="0" w:line="360" w:lineRule="auto"/>
        <w:ind w:firstLine="1440"/>
        <w:rPr>
          <w:lang w:val="en-US"/>
        </w:rPr>
      </w:pPr>
    </w:p>
    <w:p w:rsidR="00EE639F" w:rsidRPr="00FE0C55" w:rsidRDefault="00EE639F" w:rsidP="007B62B7">
      <w:pPr>
        <w:pStyle w:val="BodyText"/>
        <w:spacing w:after="0" w:line="360" w:lineRule="auto"/>
        <w:ind w:left="720" w:firstLine="0"/>
        <w:rPr>
          <w:szCs w:val="24"/>
          <w:lang w:val="en-US"/>
        </w:rPr>
      </w:pPr>
      <w:r w:rsidRPr="00FE0C55">
        <w:rPr>
          <w:szCs w:val="24"/>
          <w:lang w:val="en-US"/>
        </w:rPr>
        <w:t>4.</w:t>
      </w:r>
      <w:r w:rsidRPr="00FE0C55">
        <w:rPr>
          <w:szCs w:val="24"/>
          <w:lang w:val="en-US"/>
        </w:rPr>
        <w:tab/>
      </w:r>
      <w:r w:rsidRPr="00101372">
        <w:rPr>
          <w:szCs w:val="24"/>
          <w:u w:val="single"/>
          <w:lang w:val="en-US"/>
        </w:rPr>
        <w:t>Large C</w:t>
      </w:r>
      <w:r w:rsidR="0086394E" w:rsidRPr="00101372">
        <w:rPr>
          <w:szCs w:val="24"/>
          <w:u w:val="single"/>
          <w:lang w:val="en-US"/>
        </w:rPr>
        <w:t>&amp;I</w:t>
      </w:r>
      <w:r w:rsidRPr="00101372">
        <w:rPr>
          <w:szCs w:val="24"/>
          <w:u w:val="single"/>
          <w:lang w:val="en-US"/>
        </w:rPr>
        <w:t xml:space="preserve"> Procurement</w:t>
      </w:r>
      <w:r w:rsidR="00524076">
        <w:rPr>
          <w:szCs w:val="24"/>
          <w:u w:val="single"/>
          <w:lang w:val="en-US"/>
        </w:rPr>
        <w:t xml:space="preserve"> Issues</w:t>
      </w:r>
    </w:p>
    <w:p w:rsidR="0084672B" w:rsidRDefault="0084672B" w:rsidP="00A70F2A">
      <w:pPr>
        <w:autoSpaceDE/>
        <w:autoSpaceDN/>
        <w:spacing w:line="360" w:lineRule="auto"/>
        <w:rPr>
          <w:b/>
        </w:rPr>
      </w:pPr>
    </w:p>
    <w:p w:rsidR="008D75AE" w:rsidRDefault="00A70F2A" w:rsidP="00A70F2A">
      <w:pPr>
        <w:pStyle w:val="BodyText2"/>
        <w:spacing w:after="0" w:line="360" w:lineRule="auto"/>
        <w:ind w:firstLine="1440"/>
        <w:rPr>
          <w:lang w:val="en-US"/>
        </w:rPr>
      </w:pPr>
      <w:r>
        <w:rPr>
          <w:lang w:val="en-US"/>
        </w:rPr>
        <w:t xml:space="preserve">As explained by </w:t>
      </w:r>
      <w:r w:rsidR="008D75AE">
        <w:t>Duquesne Light</w:t>
      </w:r>
      <w:r>
        <w:rPr>
          <w:lang w:val="en-US"/>
        </w:rPr>
        <w:t>, the Company</w:t>
      </w:r>
      <w:r w:rsidR="008D75AE">
        <w:t xml:space="preserve"> </w:t>
      </w:r>
      <w:r>
        <w:rPr>
          <w:lang w:val="en-US"/>
        </w:rPr>
        <w:t>“</w:t>
      </w:r>
      <w:r w:rsidR="008D75AE">
        <w:t>procures default supplies for Large C&amp;I customers through the PJM day-ahead hourly spot market.  Capacity is procured through PJM’s Reliability Pricing Model auction construct</w:t>
      </w:r>
      <w:r>
        <w:rPr>
          <w:lang w:val="en-US"/>
        </w:rPr>
        <w:t xml:space="preserve"> and a</w:t>
      </w:r>
      <w:proofErr w:type="spellStart"/>
      <w:r w:rsidR="008D75AE">
        <w:t>ll</w:t>
      </w:r>
      <w:proofErr w:type="spellEnd"/>
      <w:r w:rsidR="008D75AE">
        <w:t xml:space="preserve"> of these costs are passed through to Large C&amp;I customers with no mark-up by Duquesne Light.  Duquesne Light does charge Large C&amp;I default service customers a Fixed Retail Adder of $4.49 per MWH to recover the Company’s administrative costs for providing hourly priced service, which includes PJM related costs, billing </w:t>
      </w:r>
      <w:r>
        <w:t>costs, Information Technology (</w:t>
      </w:r>
      <w:r w:rsidR="008D75AE">
        <w:t>IT) costs, accounting costs and other related costs to provide this service.  A description of the costs and scope of work required to provide hourly priced service to Large C&amp;I customers is provided in Duquesne Light St. No. 4-R, p. 17.</w:t>
      </w:r>
      <w:r>
        <w:rPr>
          <w:lang w:val="en-US"/>
        </w:rPr>
        <w:t>”</w:t>
      </w:r>
      <w:r w:rsidR="008D75AE">
        <w:t xml:space="preserve">  </w:t>
      </w:r>
    </w:p>
    <w:p w:rsidR="00A70F2A" w:rsidRDefault="00A70F2A" w:rsidP="00A70F2A">
      <w:pPr>
        <w:pStyle w:val="BodyText2"/>
        <w:spacing w:after="0" w:line="360" w:lineRule="auto"/>
        <w:ind w:firstLine="1440"/>
        <w:rPr>
          <w:lang w:val="en-US"/>
        </w:rPr>
      </w:pPr>
    </w:p>
    <w:p w:rsidR="008D75AE" w:rsidRDefault="008D75AE" w:rsidP="00A70F2A">
      <w:pPr>
        <w:pStyle w:val="BodyText2"/>
        <w:spacing w:after="0" w:line="360" w:lineRule="auto"/>
        <w:ind w:firstLine="1440"/>
      </w:pPr>
      <w:r>
        <w:t>RESA argues hourly priced service should be bid out to third parties.  RESA proposes to maintain the existing price and cost collection structure with the only difference being that Duquesne Light competitively bid out the hourly priced service</w:t>
      </w:r>
      <w:r w:rsidR="00A70F2A">
        <w:rPr>
          <w:lang w:val="en-US"/>
        </w:rPr>
        <w:t xml:space="preserve">.  </w:t>
      </w:r>
      <w:r>
        <w:t>RESA argues that competitive bidding “is the best way to ensure that the resulting rates are reflective of all of the costs and risks involved in providing default service to customers.”  RESA also argues that Duquesne Light’s Fixed Retail Adder of $4.49 per MWH is a proxy figure.</w:t>
      </w:r>
      <w:r w:rsidR="00A70F2A">
        <w:rPr>
          <w:rStyle w:val="FootnoteReference"/>
        </w:rPr>
        <w:footnoteReference w:id="39"/>
      </w:r>
    </w:p>
    <w:p w:rsidR="00A70F2A" w:rsidRDefault="00A70F2A" w:rsidP="00A70F2A">
      <w:pPr>
        <w:pStyle w:val="BodyText2"/>
        <w:spacing w:after="0" w:line="360" w:lineRule="auto"/>
        <w:rPr>
          <w:lang w:val="en-US"/>
        </w:rPr>
      </w:pPr>
    </w:p>
    <w:p w:rsidR="008D75AE" w:rsidRDefault="008D75AE" w:rsidP="00A70F2A">
      <w:pPr>
        <w:pStyle w:val="BodyText2"/>
        <w:spacing w:after="0" w:line="360" w:lineRule="auto"/>
        <w:ind w:firstLine="1440"/>
      </w:pPr>
      <w:r>
        <w:t xml:space="preserve">Duquesne Light passes through </w:t>
      </w:r>
      <w:r w:rsidR="00A70F2A">
        <w:rPr>
          <w:lang w:val="en-US"/>
        </w:rPr>
        <w:t>to Large C&amp;I customers the</w:t>
      </w:r>
      <w:r>
        <w:t xml:space="preserve"> supply costs for providing hourly priced service (including PJM spot energy costs, PJM capacity costs, spot ancillary service costs, AEC requirements, and other PJM direct charges).  </w:t>
      </w:r>
      <w:r w:rsidR="00A70F2A">
        <w:rPr>
          <w:lang w:val="en-US"/>
        </w:rPr>
        <w:t xml:space="preserve">If the hourly priced service was bid out, as proposed by RESA, </w:t>
      </w:r>
      <w:r>
        <w:t xml:space="preserve">Large C&amp;I customers </w:t>
      </w:r>
      <w:r w:rsidR="00A70F2A">
        <w:rPr>
          <w:lang w:val="en-US"/>
        </w:rPr>
        <w:t>would be un</w:t>
      </w:r>
      <w:r>
        <w:t xml:space="preserve">able to avoid the Fixed Retail Adder.  </w:t>
      </w:r>
      <w:proofErr w:type="spellStart"/>
      <w:r w:rsidR="00A70F2A">
        <w:rPr>
          <w:lang w:val="en-US"/>
        </w:rPr>
        <w:t>T</w:t>
      </w:r>
      <w:r>
        <w:t>he</w:t>
      </w:r>
      <w:proofErr w:type="spellEnd"/>
      <w:r>
        <w:t xml:space="preserve"> Company</w:t>
      </w:r>
      <w:r w:rsidR="00A70F2A">
        <w:rPr>
          <w:lang w:val="en-US"/>
        </w:rPr>
        <w:t xml:space="preserve"> convincingly showed </w:t>
      </w:r>
      <w:proofErr w:type="spellStart"/>
      <w:r w:rsidR="00A70F2A">
        <w:rPr>
          <w:lang w:val="en-US"/>
        </w:rPr>
        <w:t>it</w:t>
      </w:r>
      <w:r>
        <w:t>s</w:t>
      </w:r>
      <w:proofErr w:type="spellEnd"/>
      <w:r>
        <w:t xml:space="preserve"> administrative costs for providing hourly priced service are largely tied to PJM interface and billing related costs that would remain even if a third party provided hourly priced service and Duquesne Light continued to do the billing and reconciliation.</w:t>
      </w:r>
      <w:r w:rsidR="00A70F2A">
        <w:rPr>
          <w:rStyle w:val="FootnoteReference"/>
        </w:rPr>
        <w:footnoteReference w:id="40"/>
      </w:r>
      <w:r>
        <w:t xml:space="preserve">  </w:t>
      </w:r>
      <w:r w:rsidR="00A70F2A">
        <w:rPr>
          <w:lang w:val="en-US"/>
        </w:rPr>
        <w:t>The Company</w:t>
      </w:r>
      <w:r>
        <w:t xml:space="preserve"> further demonstrated the $4.49 per MWH cost is not a proxy figure but reasonably reflects Duquesne Light’s actual costs for providing hourly priced service.</w:t>
      </w:r>
      <w:r>
        <w:rPr>
          <w:rStyle w:val="FootnoteReference"/>
        </w:rPr>
        <w:footnoteReference w:id="41"/>
      </w:r>
      <w:r>
        <w:t xml:space="preserve">  No party in this proceeding disputed </w:t>
      </w:r>
      <w:r w:rsidR="00A70F2A">
        <w:rPr>
          <w:lang w:val="en-US"/>
        </w:rPr>
        <w:t>the</w:t>
      </w:r>
      <w:r>
        <w:t xml:space="preserve"> cost analysis</w:t>
      </w:r>
      <w:r w:rsidR="00A70F2A">
        <w:rPr>
          <w:lang w:val="en-US"/>
        </w:rPr>
        <w:t xml:space="preserve"> of Duquesne Light’s expert on this issue</w:t>
      </w:r>
      <w:r>
        <w:t xml:space="preserve">.  </w:t>
      </w:r>
    </w:p>
    <w:p w:rsidR="008D75AE" w:rsidRDefault="008D75AE" w:rsidP="00A70F2A">
      <w:pPr>
        <w:autoSpaceDE/>
        <w:autoSpaceDN/>
        <w:spacing w:line="360" w:lineRule="auto"/>
        <w:rPr>
          <w:b/>
        </w:rPr>
      </w:pPr>
    </w:p>
    <w:p w:rsidR="00DD6125" w:rsidRPr="00101372" w:rsidRDefault="00DD6125" w:rsidP="00077373">
      <w:pPr>
        <w:pStyle w:val="ListParagraph"/>
        <w:numPr>
          <w:ilvl w:val="0"/>
          <w:numId w:val="21"/>
        </w:numPr>
        <w:autoSpaceDE/>
        <w:autoSpaceDN/>
        <w:spacing w:line="360" w:lineRule="auto"/>
        <w:ind w:left="2160" w:hanging="720"/>
        <w:rPr>
          <w:u w:val="single"/>
        </w:rPr>
      </w:pPr>
      <w:r w:rsidRPr="00101372">
        <w:rPr>
          <w:u w:val="single"/>
        </w:rPr>
        <w:t>Disposition</w:t>
      </w:r>
      <w:r w:rsidR="003C38EE" w:rsidRPr="00101372">
        <w:rPr>
          <w:u w:val="single"/>
        </w:rPr>
        <w:t xml:space="preserve"> </w:t>
      </w:r>
      <w:r w:rsidR="004A6054" w:rsidRPr="00101372">
        <w:rPr>
          <w:u w:val="single"/>
        </w:rPr>
        <w:t>– Large C&amp;I Procurement</w:t>
      </w:r>
      <w:r w:rsidR="003C38EE" w:rsidRPr="00101372">
        <w:rPr>
          <w:u w:val="single"/>
        </w:rPr>
        <w:t xml:space="preserve"> </w:t>
      </w:r>
    </w:p>
    <w:p w:rsidR="008D75AE" w:rsidRDefault="008D75AE" w:rsidP="00A70F2A">
      <w:pPr>
        <w:pStyle w:val="ListParagraph"/>
        <w:autoSpaceDE/>
        <w:autoSpaceDN/>
        <w:spacing w:line="360" w:lineRule="auto"/>
        <w:ind w:left="0"/>
        <w:rPr>
          <w:b/>
        </w:rPr>
      </w:pPr>
    </w:p>
    <w:p w:rsidR="00AC583B" w:rsidRDefault="008D75AE" w:rsidP="00A70F2A">
      <w:pPr>
        <w:pStyle w:val="ListParagraph"/>
        <w:autoSpaceDE/>
        <w:autoSpaceDN/>
        <w:spacing w:line="360" w:lineRule="auto"/>
        <w:ind w:left="0" w:firstLine="1440"/>
      </w:pPr>
      <w:r>
        <w:t xml:space="preserve">Duquesne Light’s Large C&amp;I customer class consists of customers with demand equal to or greater than 300 kW.  Duquesne Light St. No. 2, p. 6.  Duquesne Light was one of the first EDCs in the country to offer hourly priced service to all customers </w:t>
      </w:r>
      <w:r w:rsidR="00A70F2A">
        <w:t xml:space="preserve">whose usage was </w:t>
      </w:r>
      <w:r>
        <w:t>equal to or greater than 300 kW, and still</w:t>
      </w:r>
      <w:r w:rsidR="00B331C0">
        <w:t xml:space="preserve"> the Company</w:t>
      </w:r>
      <w:r>
        <w:t xml:space="preserve"> has one of the lowest kilowatt demand hourly </w:t>
      </w:r>
    </w:p>
    <w:p w:rsidR="008D75AE" w:rsidRDefault="008D75AE" w:rsidP="00AC583B">
      <w:pPr>
        <w:pStyle w:val="ListParagraph"/>
        <w:autoSpaceDE/>
        <w:autoSpaceDN/>
        <w:spacing w:line="360" w:lineRule="auto"/>
        <w:ind w:left="0"/>
      </w:pPr>
      <w:proofErr w:type="gramStart"/>
      <w:r>
        <w:t>priced</w:t>
      </w:r>
      <w:proofErr w:type="gramEnd"/>
      <w:r>
        <w:t xml:space="preserve"> service thresholds for Large C&amp;I customers in the </w:t>
      </w:r>
      <w:r w:rsidR="00B331C0">
        <w:t>country</w:t>
      </w:r>
      <w:r>
        <w:t>.</w:t>
      </w:r>
      <w:r w:rsidR="00B331C0">
        <w:rPr>
          <w:rStyle w:val="FootnoteReference"/>
        </w:rPr>
        <w:footnoteReference w:id="42"/>
      </w:r>
      <w:r>
        <w:t xml:space="preserve">  </w:t>
      </w:r>
      <w:r w:rsidR="00B331C0">
        <w:t>In fact</w:t>
      </w:r>
      <w:r>
        <w:t>, approximately 96% of Large C&amp;I load is being served</w:t>
      </w:r>
      <w:r w:rsidR="00B331C0">
        <w:t xml:space="preserve"> currently</w:t>
      </w:r>
      <w:r>
        <w:t xml:space="preserve"> by an EGS.</w:t>
      </w:r>
      <w:r w:rsidR="00B331C0">
        <w:rPr>
          <w:rStyle w:val="FootnoteReference"/>
        </w:rPr>
        <w:footnoteReference w:id="43"/>
      </w:r>
      <w:r>
        <w:t xml:space="preserve">  </w:t>
      </w:r>
    </w:p>
    <w:p w:rsidR="009D1715" w:rsidRDefault="009D1715" w:rsidP="00AC583B">
      <w:pPr>
        <w:pStyle w:val="ListParagraph"/>
        <w:autoSpaceDE/>
        <w:autoSpaceDN/>
        <w:spacing w:line="360" w:lineRule="auto"/>
        <w:ind w:left="0"/>
      </w:pPr>
    </w:p>
    <w:p w:rsidR="008D75AE" w:rsidRDefault="008D75AE" w:rsidP="00A70F2A">
      <w:pPr>
        <w:pStyle w:val="BodyText2"/>
        <w:spacing w:after="0" w:line="360" w:lineRule="auto"/>
        <w:ind w:firstLine="1440"/>
        <w:rPr>
          <w:lang w:val="en-US"/>
        </w:rPr>
      </w:pPr>
      <w:r>
        <w:rPr>
          <w:lang w:val="en-US"/>
        </w:rPr>
        <w:t xml:space="preserve">I agree with the Company’s argument that </w:t>
      </w:r>
      <w:r>
        <w:t xml:space="preserve">RESA’s hourly priced service proposal </w:t>
      </w:r>
      <w:r>
        <w:rPr>
          <w:lang w:val="en-US"/>
        </w:rPr>
        <w:t xml:space="preserve">is </w:t>
      </w:r>
      <w:r>
        <w:t xml:space="preserve">not clearly defined and </w:t>
      </w:r>
      <w:r>
        <w:rPr>
          <w:lang w:val="en-US"/>
        </w:rPr>
        <w:t xml:space="preserve">RESA has not shown the potential or likelihood of </w:t>
      </w:r>
      <w:r>
        <w:t>benefit</w:t>
      </w:r>
      <w:r>
        <w:rPr>
          <w:lang w:val="en-US"/>
        </w:rPr>
        <w:t>(</w:t>
      </w:r>
      <w:r>
        <w:t>s</w:t>
      </w:r>
      <w:r>
        <w:rPr>
          <w:lang w:val="en-US"/>
        </w:rPr>
        <w:t>)</w:t>
      </w:r>
      <w:r>
        <w:t xml:space="preserve"> to Large C&amp;I customers.  </w:t>
      </w:r>
      <w:r w:rsidR="00A70F2A">
        <w:t xml:space="preserve">RESA’s proposal to bid out hourly priced service </w:t>
      </w:r>
      <w:r w:rsidR="00A70F2A">
        <w:rPr>
          <w:lang w:val="en-US"/>
        </w:rPr>
        <w:t>would</w:t>
      </w:r>
      <w:r w:rsidR="00A70F2A">
        <w:t xml:space="preserve"> increase costs for Large C&amp;I default service customers </w:t>
      </w:r>
      <w:r w:rsidR="00A70F2A">
        <w:rPr>
          <w:lang w:val="en-US"/>
        </w:rPr>
        <w:t>but provide no</w:t>
      </w:r>
      <w:r w:rsidR="00A70F2A">
        <w:t xml:space="preserve"> benefit</w:t>
      </w:r>
      <w:r w:rsidR="00A70F2A">
        <w:rPr>
          <w:lang w:val="en-US"/>
        </w:rPr>
        <w:t xml:space="preserve"> in exchange for the increased </w:t>
      </w:r>
      <w:proofErr w:type="spellStart"/>
      <w:r w:rsidR="00A70F2A">
        <w:rPr>
          <w:lang w:val="en-US"/>
        </w:rPr>
        <w:t>cost</w:t>
      </w:r>
      <w:r w:rsidR="00A70F2A">
        <w:t>s</w:t>
      </w:r>
      <w:proofErr w:type="spellEnd"/>
      <w:r w:rsidR="00A70F2A">
        <w:t xml:space="preserve">.  </w:t>
      </w:r>
    </w:p>
    <w:p w:rsidR="00ED43E0" w:rsidRPr="003102BE" w:rsidRDefault="00EE639F" w:rsidP="007B6153">
      <w:pPr>
        <w:pStyle w:val="BodyText"/>
        <w:spacing w:after="0" w:line="360" w:lineRule="auto"/>
        <w:ind w:left="720" w:firstLine="0"/>
      </w:pPr>
      <w:r w:rsidRPr="003102BE">
        <w:rPr>
          <w:szCs w:val="24"/>
          <w:lang w:val="en-US"/>
        </w:rPr>
        <w:tab/>
      </w:r>
    </w:p>
    <w:p w:rsidR="00ED43E0" w:rsidRPr="003102BE" w:rsidRDefault="00ED43E0" w:rsidP="003102BE">
      <w:pPr>
        <w:pStyle w:val="ListParagraph"/>
        <w:autoSpaceDE/>
        <w:autoSpaceDN/>
        <w:spacing w:line="360" w:lineRule="auto"/>
        <w:ind w:hanging="720"/>
      </w:pPr>
      <w:r w:rsidRPr="003102BE">
        <w:t xml:space="preserve">C. </w:t>
      </w:r>
      <w:r w:rsidRPr="003102BE">
        <w:tab/>
      </w:r>
      <w:r w:rsidRPr="00101372">
        <w:rPr>
          <w:u w:val="single"/>
        </w:rPr>
        <w:t>Alternative Energy Credit Procurement Issues</w:t>
      </w:r>
    </w:p>
    <w:p w:rsidR="00ED43E0" w:rsidRDefault="00ED43E0" w:rsidP="00B331C0">
      <w:pPr>
        <w:autoSpaceDE/>
        <w:autoSpaceDN/>
        <w:spacing w:line="360" w:lineRule="auto"/>
        <w:rPr>
          <w:b/>
        </w:rPr>
      </w:pPr>
    </w:p>
    <w:p w:rsidR="00022700" w:rsidRDefault="00567A91" w:rsidP="00B331C0">
      <w:pPr>
        <w:autoSpaceDE/>
        <w:autoSpaceDN/>
        <w:spacing w:line="360" w:lineRule="auto"/>
      </w:pPr>
      <w:r>
        <w:tab/>
      </w:r>
      <w:r>
        <w:tab/>
      </w:r>
      <w:r w:rsidR="00B331C0">
        <w:t>Duquesne Light proposes to acquire default supplies for Residential, Small C&amp;I and Medium C&amp;I customers through full-requirements contracts of different lengths depending on the class.</w:t>
      </w:r>
      <w:r w:rsidR="001960E6">
        <w:rPr>
          <w:rStyle w:val="FootnoteReference"/>
        </w:rPr>
        <w:footnoteReference w:id="44"/>
      </w:r>
      <w:r w:rsidR="00B331C0">
        <w:t xml:space="preserve">  Under the Company’s proposal, wholesale suppliers providing default service supplies as the winning bidders in RFPs will also provide the AECs that are required for the Company to comply with the Alternative Energy Portfolio Standards Act of 2004, 73 P.S. § 1648.1 - 1648.8 (AEPS Act) for the load that each wholesale supplier is providing.  For Large C&amp;I customers, Duquesne Light proposes to acquire default service supplies through the day-ahead market directly from PJM.  Duquesne Light will acquire AECs to meet the AEPS obligation associated with default service for Large C&amp;I customers.</w:t>
      </w:r>
      <w:r w:rsidR="00B331C0">
        <w:rPr>
          <w:rStyle w:val="FootnoteReference"/>
        </w:rPr>
        <w:footnoteReference w:id="45"/>
      </w:r>
      <w:r w:rsidR="00B331C0">
        <w:t xml:space="preserve">  Duquesne Light is proposing in DSP VII to use the same methodology for procuring AECs for Residential, Small C&amp;I, Medium C&amp;I and Large C&amp;I customers that i</w:t>
      </w:r>
      <w:r w:rsidR="00C5191F">
        <w:t>t</w:t>
      </w:r>
      <w:r w:rsidR="00B331C0">
        <w:t xml:space="preserve"> currently is using for the DSP VI procurements.  This same methodology was approved as part of the Company’s DSP VI plan.</w:t>
      </w:r>
      <w:r w:rsidR="0094686C">
        <w:rPr>
          <w:rStyle w:val="FootnoteReference"/>
        </w:rPr>
        <w:footnoteReference w:id="46"/>
      </w:r>
      <w:r w:rsidR="00B331C0">
        <w:t xml:space="preserve">  </w:t>
      </w:r>
    </w:p>
    <w:p w:rsidR="000A2FF0" w:rsidRDefault="000A2FF0" w:rsidP="00B331C0">
      <w:pPr>
        <w:autoSpaceDE/>
        <w:autoSpaceDN/>
        <w:spacing w:line="360" w:lineRule="auto"/>
      </w:pPr>
    </w:p>
    <w:p w:rsidR="00F6305C" w:rsidRDefault="000D4A8F" w:rsidP="000D4A8F">
      <w:pPr>
        <w:pStyle w:val="BodyText2"/>
        <w:spacing w:line="360" w:lineRule="auto"/>
      </w:pPr>
      <w:r>
        <w:rPr>
          <w:lang w:val="en-US"/>
        </w:rPr>
        <w:tab/>
      </w:r>
      <w:r>
        <w:rPr>
          <w:lang w:val="en-US"/>
        </w:rPr>
        <w:tab/>
      </w:r>
      <w:proofErr w:type="spellStart"/>
      <w:r w:rsidR="00F6305C">
        <w:t>PennFuture</w:t>
      </w:r>
      <w:proofErr w:type="spellEnd"/>
      <w:r w:rsidR="00F6305C">
        <w:t xml:space="preserve"> argues the Company should “enter into long-term contracts for a portion of their AEPS obligation in DSP VII.”  </w:t>
      </w:r>
      <w:proofErr w:type="spellStart"/>
      <w:r w:rsidR="00F6305C">
        <w:t>PennFuture</w:t>
      </w:r>
      <w:proofErr w:type="spellEnd"/>
      <w:r w:rsidR="00F6305C">
        <w:t xml:space="preserve"> St. No. 1, p. 15.  </w:t>
      </w:r>
      <w:proofErr w:type="spellStart"/>
      <w:r w:rsidR="00F6305C">
        <w:t>PennFuture</w:t>
      </w:r>
      <w:proofErr w:type="spellEnd"/>
      <w:r w:rsidR="00F6305C">
        <w:t xml:space="preserve"> does not make a specific recommendation in its testimony regarding how many AECs should be procured under what length of contract, but rather generally suggests the Company could procure its entire Tier I obligation through “contract strips for ten to twenty years.”  </w:t>
      </w:r>
      <w:proofErr w:type="spellStart"/>
      <w:r w:rsidR="00F6305C">
        <w:t>PennFuture</w:t>
      </w:r>
      <w:proofErr w:type="spellEnd"/>
      <w:r w:rsidR="00F6305C">
        <w:t xml:space="preserve"> St. No. 7, p.</w:t>
      </w:r>
      <w:r>
        <w:rPr>
          <w:lang w:val="en-US"/>
        </w:rPr>
        <w:t> </w:t>
      </w:r>
      <w:r w:rsidR="00F6305C">
        <w:t>15.</w:t>
      </w:r>
    </w:p>
    <w:p w:rsidR="00B331C0" w:rsidRDefault="00B331C0" w:rsidP="00B331C0">
      <w:pPr>
        <w:autoSpaceDE/>
        <w:autoSpaceDN/>
        <w:spacing w:line="360" w:lineRule="auto"/>
      </w:pPr>
    </w:p>
    <w:p w:rsidR="00F6305C" w:rsidRDefault="00E32E9A" w:rsidP="00B331C0">
      <w:pPr>
        <w:autoSpaceDE/>
        <w:autoSpaceDN/>
        <w:spacing w:line="360" w:lineRule="auto"/>
        <w:rPr>
          <w:i/>
        </w:rPr>
      </w:pPr>
      <w:r>
        <w:tab/>
      </w:r>
      <w:r>
        <w:tab/>
      </w:r>
      <w:r w:rsidR="00F6305C">
        <w:t xml:space="preserve">Duquesne Light argues </w:t>
      </w:r>
      <w:proofErr w:type="spellStart"/>
      <w:r w:rsidR="00F6305C">
        <w:t>PennFuture’s</w:t>
      </w:r>
      <w:proofErr w:type="spellEnd"/>
      <w:r w:rsidR="00F6305C">
        <w:t xml:space="preserve"> proposal should be denied due to the uncertainty associated with customer migration and whether the EDC will remain as the default service provider.  The Company points out the Commission indicated it currently retains the EDC in the DSP role</w:t>
      </w:r>
      <w:r w:rsidR="00F6305C">
        <w:rPr>
          <w:rStyle w:val="FootnoteReference"/>
        </w:rPr>
        <w:footnoteReference w:id="47"/>
      </w:r>
      <w:r w:rsidR="00F6305C">
        <w:t xml:space="preserve"> but </w:t>
      </w:r>
      <w:r w:rsidR="003C23E5">
        <w:t xml:space="preserve">the </w:t>
      </w:r>
      <w:r w:rsidR="00F6305C">
        <w:t xml:space="preserve">Commission indicated the </w:t>
      </w:r>
      <w:r w:rsidR="00F6305C" w:rsidRPr="00E048AF">
        <w:rPr>
          <w:i/>
        </w:rPr>
        <w:t>Default Service End State Order</w:t>
      </w:r>
      <w:r w:rsidR="00F6305C">
        <w:t xml:space="preserve"> did not preclude a future change in the DSP providers.  In addition, the Commission directed the Office of Competitive Market Oversight (OCMO) to convene a working group to identify issues associated with implementation of a default service model in which </w:t>
      </w:r>
      <w:proofErr w:type="gramStart"/>
      <w:r w:rsidR="00F6305C">
        <w:t>an alternative entity, or multiple entities, provide</w:t>
      </w:r>
      <w:proofErr w:type="gramEnd"/>
      <w:r w:rsidR="00F6305C">
        <w:t xml:space="preserve"> default service to customers.  </w:t>
      </w:r>
    </w:p>
    <w:p w:rsidR="00F6305C" w:rsidRPr="00F6305C" w:rsidRDefault="00F6305C" w:rsidP="00B331C0">
      <w:pPr>
        <w:autoSpaceDE/>
        <w:autoSpaceDN/>
        <w:spacing w:line="360" w:lineRule="auto"/>
      </w:pPr>
    </w:p>
    <w:p w:rsidR="00F6305C" w:rsidRDefault="00AA7C50" w:rsidP="00B331C0">
      <w:pPr>
        <w:autoSpaceDE/>
        <w:autoSpaceDN/>
        <w:spacing w:line="360" w:lineRule="auto"/>
      </w:pPr>
      <w:r>
        <w:tab/>
      </w:r>
      <w:r>
        <w:tab/>
      </w:r>
      <w:r w:rsidR="00F6305C" w:rsidRPr="00F6305C">
        <w:t>The Company argues there is considerable risk for Duquesne Light to enter into ten or twenty-year contracts for AECs due to this uncertainty about any future role it might have as an EDC.  Long-term contracts</w:t>
      </w:r>
      <w:r w:rsidR="00F6305C">
        <w:t xml:space="preserve"> present substantial risks that the prices paid for AECs under the long-term contracts are substantially higher than market prices in later years.  If that statement by the Commission becomes an eventuality, and the Commission requires Duquesne Light to stop providing default service, the Company contends there is substantial uncertainty regarding who would be responsible for the costs of such contracts, whether the cost responsibility would fall on the new default service provider, distribution customers, default service customers or if some party would argue that Duquesne Light should be responsible for such costs.  </w:t>
      </w:r>
    </w:p>
    <w:p w:rsidR="007B6153" w:rsidRDefault="007B6153" w:rsidP="00B331C0">
      <w:pPr>
        <w:autoSpaceDE/>
        <w:autoSpaceDN/>
        <w:spacing w:line="360" w:lineRule="auto"/>
      </w:pPr>
    </w:p>
    <w:p w:rsidR="00F6305C" w:rsidRPr="00101372" w:rsidRDefault="00F6305C" w:rsidP="00022700">
      <w:pPr>
        <w:pStyle w:val="ListParagraph"/>
        <w:numPr>
          <w:ilvl w:val="0"/>
          <w:numId w:val="22"/>
        </w:numPr>
        <w:autoSpaceDE/>
        <w:autoSpaceDN/>
        <w:spacing w:line="360" w:lineRule="auto"/>
        <w:ind w:left="1440" w:hanging="720"/>
        <w:rPr>
          <w:u w:val="single"/>
        </w:rPr>
      </w:pPr>
      <w:r w:rsidRPr="00101372">
        <w:rPr>
          <w:u w:val="single"/>
        </w:rPr>
        <w:t>Disposition – Alternative Energy Credit Procurement Issues</w:t>
      </w:r>
    </w:p>
    <w:p w:rsidR="00F6305C" w:rsidRDefault="00F6305C" w:rsidP="004B3B33">
      <w:pPr>
        <w:autoSpaceDE/>
        <w:autoSpaceDN/>
        <w:spacing w:line="360" w:lineRule="auto"/>
      </w:pPr>
    </w:p>
    <w:p w:rsidR="00B331C0" w:rsidRDefault="004B3B33" w:rsidP="007B6153">
      <w:pPr>
        <w:autoSpaceDE/>
        <w:autoSpaceDN/>
        <w:spacing w:line="360" w:lineRule="auto"/>
      </w:pPr>
      <w:r>
        <w:tab/>
      </w:r>
      <w:r>
        <w:tab/>
      </w:r>
      <w:proofErr w:type="spellStart"/>
      <w:r w:rsidR="00F6305C">
        <w:t>PennFuture’s</w:t>
      </w:r>
      <w:proofErr w:type="spellEnd"/>
      <w:r w:rsidR="00F6305C">
        <w:t xml:space="preserve"> proposal lacks necessary specificity and should be rejected on that basis alone.</w:t>
      </w:r>
      <w:r w:rsidR="007B6153">
        <w:t xml:space="preserve">  </w:t>
      </w:r>
      <w:r w:rsidR="00F6305C">
        <w:t xml:space="preserve">Act 129 requires a prudent mix of spot market purchases, short-term contracts and long-term contracts for acquiring default supplies.  </w:t>
      </w:r>
      <w:proofErr w:type="gramStart"/>
      <w:r w:rsidR="00F6305C">
        <w:t>66 Pa.C.S.</w:t>
      </w:r>
      <w:proofErr w:type="gramEnd"/>
      <w:r w:rsidR="00F6305C">
        <w:t xml:space="preserve"> § 2807(e</w:t>
      </w:r>
      <w:proofErr w:type="gramStart"/>
      <w:r w:rsidR="00F6305C">
        <w:t>)(</w:t>
      </w:r>
      <w:proofErr w:type="gramEnd"/>
      <w:r w:rsidR="00F6305C">
        <w:t xml:space="preserve">3.2).  The same prudent mix standard for acquiring default supplies also applies to the acquisition of AECs.  </w:t>
      </w:r>
    </w:p>
    <w:p w:rsidR="004B3B33" w:rsidRDefault="004B3B33" w:rsidP="004B3B33">
      <w:pPr>
        <w:autoSpaceDE/>
        <w:autoSpaceDN/>
        <w:spacing w:line="360" w:lineRule="auto"/>
      </w:pPr>
    </w:p>
    <w:p w:rsidR="004B3B33" w:rsidRPr="004B3B33" w:rsidRDefault="004B3B33" w:rsidP="004B3B33">
      <w:pPr>
        <w:pStyle w:val="BodyText2"/>
        <w:spacing w:after="0" w:line="360" w:lineRule="auto"/>
        <w:ind w:firstLine="1440"/>
        <w:rPr>
          <w:lang w:val="en-US"/>
        </w:rPr>
      </w:pPr>
      <w:proofErr w:type="spellStart"/>
      <w:r>
        <w:rPr>
          <w:lang w:val="en-US"/>
        </w:rPr>
        <w:t>T</w:t>
      </w:r>
      <w:r>
        <w:t>he</w:t>
      </w:r>
      <w:proofErr w:type="spellEnd"/>
      <w:r>
        <w:t xml:space="preserve"> Commission discouraged EDCs from entering into long-term contracts for default supplies.  In the December 16, 2011 Commission Order in the Retail Markets Investigation, the Commission recommended the use of long-term contracts </w:t>
      </w:r>
      <w:r w:rsidR="00FC5E26">
        <w:rPr>
          <w:lang w:val="en-US"/>
        </w:rPr>
        <w:t xml:space="preserve">should </w:t>
      </w:r>
      <w:r>
        <w:t>be limited in future default service plans, stating as follows:</w:t>
      </w:r>
      <w:r>
        <w:rPr>
          <w:lang w:val="en-US"/>
        </w:rPr>
        <w:t xml:space="preserve"> </w:t>
      </w:r>
      <w:r w:rsidR="00E96DEF">
        <w:rPr>
          <w:lang w:val="en-US"/>
        </w:rPr>
        <w:t xml:space="preserve"> </w:t>
      </w:r>
      <w:r>
        <w:rPr>
          <w:lang w:val="en-US"/>
        </w:rPr>
        <w:t>“</w:t>
      </w:r>
      <w:r>
        <w:t>[T]he Commission continues to recommend the following . . . that EDCs limit the proportion of long-term contracts that make up their default service plan energy portfolios, and consider using already existing long-term contracts from pervious or presently effective default service plans.</w:t>
      </w:r>
      <w:r>
        <w:rPr>
          <w:lang w:val="en-US"/>
        </w:rPr>
        <w:t>”</w:t>
      </w:r>
      <w:r>
        <w:rPr>
          <w:rStyle w:val="FootnoteReference"/>
          <w:lang w:val="en-US"/>
        </w:rPr>
        <w:footnoteReference w:id="48"/>
      </w:r>
    </w:p>
    <w:p w:rsidR="004B3B33" w:rsidRDefault="004B3B33" w:rsidP="004B3B33">
      <w:pPr>
        <w:pStyle w:val="BodyText2"/>
        <w:spacing w:after="0" w:line="360" w:lineRule="auto"/>
      </w:pPr>
    </w:p>
    <w:p w:rsidR="004B3B33" w:rsidRPr="004B3B33" w:rsidRDefault="004B3B33" w:rsidP="004B3B33">
      <w:pPr>
        <w:pStyle w:val="BodyText2"/>
        <w:spacing w:after="0" w:line="360" w:lineRule="auto"/>
        <w:ind w:firstLine="1350"/>
      </w:pPr>
      <w:r>
        <w:t xml:space="preserve">The Commission approved Duquesne Light’s DSP VI procurement plan, </w:t>
      </w:r>
      <w:r>
        <w:rPr>
          <w:lang w:val="en-US"/>
        </w:rPr>
        <w:t>which</w:t>
      </w:r>
      <w:r>
        <w:t xml:space="preserve"> does </w:t>
      </w:r>
      <w:r>
        <w:rPr>
          <w:u w:val="single"/>
        </w:rPr>
        <w:t>not</w:t>
      </w:r>
      <w:r>
        <w:t xml:space="preserve"> include long-term contracts for either energy or AECs.  </w:t>
      </w:r>
      <w:r>
        <w:rPr>
          <w:lang w:val="en-US"/>
        </w:rPr>
        <w:t xml:space="preserve">If the Commission wanted long term contracts it would have indicated this requirement in the </w:t>
      </w:r>
      <w:r>
        <w:rPr>
          <w:i/>
        </w:rPr>
        <w:t>DSP VI Order.</w:t>
      </w:r>
      <w:r>
        <w:rPr>
          <w:lang w:val="en-US"/>
        </w:rPr>
        <w:t xml:space="preserve">  </w:t>
      </w:r>
      <w:r w:rsidRPr="004B3B33">
        <w:t>I agree with the Company</w:t>
      </w:r>
      <w:r w:rsidR="002275E0">
        <w:rPr>
          <w:lang w:val="en-US"/>
        </w:rPr>
        <w:t xml:space="preserve">. </w:t>
      </w:r>
      <w:r w:rsidRPr="004B3B33">
        <w:t xml:space="preserve"> </w:t>
      </w:r>
      <w:r w:rsidR="002275E0">
        <w:rPr>
          <w:lang w:val="en-US"/>
        </w:rPr>
        <w:t>B</w:t>
      </w:r>
      <w:proofErr w:type="spellStart"/>
      <w:r w:rsidRPr="004B3B33">
        <w:t>ased</w:t>
      </w:r>
      <w:proofErr w:type="spellEnd"/>
      <w:r w:rsidRPr="004B3B33">
        <w:t xml:space="preserve"> upon</w:t>
      </w:r>
      <w:r>
        <w:t xml:space="preserve"> the Commission’s interpretation of the Act 129 prudent mix requirement, the Commission’s approval of Duquesne Light’s DSP VI plan and the Commission’s statement in the </w:t>
      </w:r>
      <w:r w:rsidRPr="00903E65">
        <w:rPr>
          <w:i/>
        </w:rPr>
        <w:t>Default Service End State Order</w:t>
      </w:r>
      <w:r>
        <w:t xml:space="preserve">, long-term AEC contracts are not required by Act 129.  </w:t>
      </w:r>
      <w:proofErr w:type="spellStart"/>
      <w:r>
        <w:t>PennFuture</w:t>
      </w:r>
      <w:proofErr w:type="spellEnd"/>
      <w:r>
        <w:t xml:space="preserve"> correctly cites to the use of long term contracts by other EDCs but these contracts were approved before the conclusion of the Commission’s Retail Market Investigation and recent </w:t>
      </w:r>
      <w:r w:rsidR="00AF35C7">
        <w:rPr>
          <w:lang w:val="en-US"/>
        </w:rPr>
        <w:t xml:space="preserve">Commission </w:t>
      </w:r>
      <w:r>
        <w:t>determinations.</w:t>
      </w:r>
      <w:r>
        <w:rPr>
          <w:rStyle w:val="FootnoteReference"/>
        </w:rPr>
        <w:footnoteReference w:id="49"/>
      </w:r>
    </w:p>
    <w:p w:rsidR="004B3B33" w:rsidRDefault="004B3B33" w:rsidP="004B3B33">
      <w:pPr>
        <w:pStyle w:val="ListParagraph"/>
        <w:autoSpaceDE/>
        <w:autoSpaceDN/>
        <w:spacing w:line="360" w:lineRule="auto"/>
        <w:ind w:left="0"/>
        <w:rPr>
          <w:b/>
        </w:rPr>
      </w:pPr>
    </w:p>
    <w:p w:rsidR="00ED43E0" w:rsidRPr="005C6FE5" w:rsidRDefault="00ED43E0" w:rsidP="008C16A0">
      <w:pPr>
        <w:pStyle w:val="ListParagraph"/>
        <w:autoSpaceDE/>
        <w:autoSpaceDN/>
        <w:spacing w:line="360" w:lineRule="auto"/>
        <w:ind w:hanging="720"/>
      </w:pPr>
      <w:r w:rsidRPr="005C6FE5">
        <w:t xml:space="preserve">D. </w:t>
      </w:r>
      <w:r w:rsidRPr="005C6FE5">
        <w:tab/>
      </w:r>
      <w:r w:rsidRPr="00101372">
        <w:rPr>
          <w:u w:val="single"/>
        </w:rPr>
        <w:t>Standard Offer Program (SOP)</w:t>
      </w:r>
    </w:p>
    <w:p w:rsidR="006D47C0" w:rsidRDefault="006D47C0" w:rsidP="004B3B33">
      <w:pPr>
        <w:pStyle w:val="BodyText"/>
        <w:spacing w:after="0" w:line="360" w:lineRule="auto"/>
        <w:ind w:left="0" w:firstLine="0"/>
        <w:rPr>
          <w:szCs w:val="24"/>
          <w:lang w:val="en-US"/>
        </w:rPr>
      </w:pPr>
    </w:p>
    <w:p w:rsidR="007B62B7" w:rsidRDefault="007B62B7" w:rsidP="004B3B33">
      <w:pPr>
        <w:pStyle w:val="BodyText"/>
        <w:spacing w:after="0" w:line="360" w:lineRule="auto"/>
        <w:ind w:left="0"/>
        <w:rPr>
          <w:szCs w:val="24"/>
          <w:lang w:val="en-US"/>
        </w:rPr>
      </w:pPr>
      <w:r>
        <w:rPr>
          <w:szCs w:val="24"/>
          <w:lang w:val="en-US"/>
        </w:rPr>
        <w:t>The parties stipulated to the following provisions in the Settlement concerning the SOP:</w:t>
      </w:r>
    </w:p>
    <w:p w:rsidR="00FD647A" w:rsidRDefault="007B62B7" w:rsidP="008C16A0">
      <w:pPr>
        <w:pStyle w:val="BodyText"/>
        <w:numPr>
          <w:ilvl w:val="0"/>
          <w:numId w:val="7"/>
        </w:numPr>
        <w:spacing w:after="0"/>
        <w:ind w:left="2160" w:right="720" w:hanging="720"/>
      </w:pPr>
      <w:r>
        <w:rPr>
          <w:szCs w:val="24"/>
          <w:lang w:val="en-US"/>
        </w:rPr>
        <w:t xml:space="preserve">Within 90 days of approval of [the] Settlement, </w:t>
      </w:r>
      <w:r w:rsidRPr="00B704F7">
        <w:t>Duquesne Light agrees to revise its current introductory script for eligible residential customers for the purpose of clarifying that the 7% discount is subject to change during the 12 month program.</w:t>
      </w:r>
      <w:r>
        <w:t xml:space="preserve">  </w:t>
      </w:r>
    </w:p>
    <w:p w:rsidR="00101372" w:rsidRDefault="00101372" w:rsidP="00BA5640">
      <w:pPr>
        <w:autoSpaceDE/>
        <w:autoSpaceDN/>
        <w:spacing w:line="360" w:lineRule="auto"/>
      </w:pPr>
    </w:p>
    <w:p w:rsidR="007B62B7" w:rsidRPr="008C16A0" w:rsidRDefault="00BA5640" w:rsidP="00101372">
      <w:pPr>
        <w:autoSpaceDE/>
        <w:autoSpaceDN/>
      </w:pPr>
      <w:r>
        <w:tab/>
      </w:r>
      <w:r>
        <w:tab/>
      </w:r>
      <w:r w:rsidR="007B62B7">
        <w:t>Duquesne Light will revise its SOP script to include the following language:</w:t>
      </w:r>
    </w:p>
    <w:p w:rsidR="008C16A0" w:rsidRDefault="008C16A0" w:rsidP="008C16A0">
      <w:pPr>
        <w:pStyle w:val="BodyText"/>
        <w:spacing w:after="0"/>
        <w:ind w:left="2160" w:right="720" w:firstLine="0"/>
      </w:pPr>
    </w:p>
    <w:p w:rsidR="007B62B7" w:rsidRDefault="007B62B7" w:rsidP="007B62B7">
      <w:pPr>
        <w:pStyle w:val="ListNumber"/>
        <w:numPr>
          <w:ilvl w:val="0"/>
          <w:numId w:val="0"/>
        </w:numPr>
        <w:spacing w:line="240" w:lineRule="auto"/>
        <w:ind w:left="2880"/>
        <w:rPr>
          <w:lang w:val="en-US"/>
        </w:rPr>
      </w:pPr>
      <w:r w:rsidRPr="00B704F7">
        <w:t>“I see that you are eligible for a voluntary program that offers a price for generation service for 12 months that is 7% off of the current price to compare.  The price to compare may change during the 12 months but your rate will remain fixed at ___.  If you are interested, I will transfer you to a supplier who is participating in this program for more information.”</w:t>
      </w:r>
    </w:p>
    <w:p w:rsidR="008C16A0" w:rsidRPr="008C16A0" w:rsidRDefault="008C16A0" w:rsidP="007B62B7">
      <w:pPr>
        <w:pStyle w:val="ListNumber"/>
        <w:numPr>
          <w:ilvl w:val="0"/>
          <w:numId w:val="0"/>
        </w:numPr>
        <w:spacing w:line="240" w:lineRule="auto"/>
        <w:ind w:left="2880"/>
        <w:rPr>
          <w:lang w:val="en-US"/>
        </w:rPr>
      </w:pPr>
    </w:p>
    <w:p w:rsidR="007B62B7" w:rsidRPr="008C16A0" w:rsidRDefault="007B62B7" w:rsidP="008C16A0">
      <w:pPr>
        <w:pStyle w:val="ListNumber"/>
        <w:numPr>
          <w:ilvl w:val="0"/>
          <w:numId w:val="7"/>
        </w:numPr>
        <w:spacing w:after="0" w:line="240" w:lineRule="auto"/>
        <w:ind w:left="2160" w:hanging="720"/>
        <w:jc w:val="both"/>
      </w:pPr>
      <w:r>
        <w:t>Duquesne Light and the Parties agree to conduct a collaborative with interested Parties to consider changes to the Company’s existing SOP, including, among other things, the following:</w:t>
      </w:r>
    </w:p>
    <w:p w:rsidR="008C16A0" w:rsidRDefault="008C16A0" w:rsidP="008C16A0">
      <w:pPr>
        <w:pStyle w:val="ListNumber"/>
        <w:numPr>
          <w:ilvl w:val="0"/>
          <w:numId w:val="0"/>
        </w:numPr>
        <w:spacing w:after="0" w:line="240" w:lineRule="auto"/>
        <w:ind w:left="2160"/>
        <w:jc w:val="both"/>
      </w:pPr>
    </w:p>
    <w:p w:rsidR="007B62B7" w:rsidRDefault="007B62B7" w:rsidP="008C16A0">
      <w:pPr>
        <w:pStyle w:val="ListNumber"/>
        <w:numPr>
          <w:ilvl w:val="1"/>
          <w:numId w:val="7"/>
        </w:numPr>
        <w:tabs>
          <w:tab w:val="num" w:pos="5760"/>
        </w:tabs>
        <w:spacing w:after="240" w:line="240" w:lineRule="auto"/>
      </w:pPr>
      <w:r>
        <w:t xml:space="preserve">Enhanced customer disclosure of the SOP offer and future PTC changes to include disclosures that:  (i) the initial discount is based on the current PTC; (ii) the PTC will change semi-annually with the next change in [month]; (iii) the percentage savings a customer will experience will vary as the PTC changes; and (iv) the SOP rate may be higher or lower than the next PTC; </w:t>
      </w:r>
    </w:p>
    <w:p w:rsidR="007B62B7" w:rsidRDefault="007B62B7" w:rsidP="008C16A0">
      <w:pPr>
        <w:pStyle w:val="ListNumber"/>
        <w:numPr>
          <w:ilvl w:val="1"/>
          <w:numId w:val="7"/>
        </w:numPr>
        <w:tabs>
          <w:tab w:val="num" w:pos="5040"/>
        </w:tabs>
        <w:spacing w:after="240" w:line="240" w:lineRule="auto"/>
      </w:pPr>
      <w:r>
        <w:t>Other program improvements including use of a third party to enroll customers or other means to improve customer enrollment; and</w:t>
      </w:r>
    </w:p>
    <w:p w:rsidR="007B62B7" w:rsidRPr="00BE7C5F" w:rsidRDefault="007B62B7" w:rsidP="008C16A0">
      <w:pPr>
        <w:pStyle w:val="ListNumber"/>
        <w:numPr>
          <w:ilvl w:val="1"/>
          <w:numId w:val="7"/>
        </w:numPr>
        <w:tabs>
          <w:tab w:val="num" w:pos="4320"/>
        </w:tabs>
        <w:spacing w:after="240" w:line="240" w:lineRule="auto"/>
      </w:pPr>
      <w:r w:rsidRPr="00BE7C5F">
        <w:t>Cost recovery, provided however, that the collaborative shall not address or consider any proposals to recover SOP costs</w:t>
      </w:r>
      <w:r>
        <w:t xml:space="preserve"> from EGSs that do not participate in Duquesne Light’s POR Program or</w:t>
      </w:r>
      <w:r w:rsidRPr="00BE7C5F">
        <w:t xml:space="preserve"> from Medium or Large Commercial and Industrial customers (i.e., customers with cumulative demands equal to or greater than 25 kW) that are not eligible for the SOP program or to recover SOP costs through an increase to the Medium C&amp;I Purchase of Receivables discount rate.</w:t>
      </w:r>
    </w:p>
    <w:p w:rsidR="007B62B7" w:rsidRPr="007B62B7" w:rsidRDefault="007B62B7" w:rsidP="00C63E7B">
      <w:pPr>
        <w:pStyle w:val="ListNumber"/>
        <w:numPr>
          <w:ilvl w:val="0"/>
          <w:numId w:val="8"/>
        </w:numPr>
        <w:spacing w:after="0" w:line="240" w:lineRule="auto"/>
        <w:ind w:hanging="1080"/>
      </w:pPr>
      <w:r>
        <w:t>The collaborative will commence within 45 days of entry of the Commission’s Final Order in this proceeding.</w:t>
      </w:r>
    </w:p>
    <w:p w:rsidR="007B62B7" w:rsidRDefault="007B62B7" w:rsidP="00C63E7B">
      <w:pPr>
        <w:pStyle w:val="ListNumber"/>
        <w:numPr>
          <w:ilvl w:val="0"/>
          <w:numId w:val="0"/>
        </w:numPr>
        <w:spacing w:after="0" w:line="240" w:lineRule="auto"/>
        <w:ind w:left="2520" w:hanging="1080"/>
        <w:jc w:val="both"/>
      </w:pPr>
    </w:p>
    <w:p w:rsidR="007B62B7" w:rsidRPr="007B62B7" w:rsidRDefault="007B62B7" w:rsidP="00C63E7B">
      <w:pPr>
        <w:pStyle w:val="ListNumber"/>
        <w:numPr>
          <w:ilvl w:val="0"/>
          <w:numId w:val="8"/>
        </w:numPr>
        <w:spacing w:after="0" w:line="240" w:lineRule="auto"/>
        <w:ind w:hanging="1080"/>
      </w:pPr>
      <w:r>
        <w:t>Duquesne Light will be required to implement any revised SOP resulting from this collaborative and resulting Commission Order approving a revised SOP within six months after entry of the Commission Order approving a revised SOP, provided that any Information Technology changes required to implement the revised SOP can be completed in that time frame.</w:t>
      </w:r>
    </w:p>
    <w:p w:rsidR="007B62B7" w:rsidRDefault="007B62B7" w:rsidP="00C63E7B">
      <w:pPr>
        <w:pStyle w:val="BodyText"/>
        <w:spacing w:after="0"/>
        <w:ind w:hanging="1080"/>
        <w:rPr>
          <w:lang w:val="en-US"/>
        </w:rPr>
      </w:pPr>
    </w:p>
    <w:p w:rsidR="007B62B7" w:rsidRDefault="007B62B7" w:rsidP="00C63E7B">
      <w:pPr>
        <w:pStyle w:val="BodyText"/>
        <w:numPr>
          <w:ilvl w:val="0"/>
          <w:numId w:val="8"/>
        </w:numPr>
        <w:spacing w:after="0"/>
        <w:ind w:hanging="1080"/>
        <w:rPr>
          <w:lang w:val="en-US"/>
        </w:rPr>
      </w:pPr>
      <w:r>
        <w:t>Duquesne Light will continue its current SOP (with a $10.28 customer enrollment fee for participating EGSs becoming effective September</w:t>
      </w:r>
      <w:r w:rsidR="008C16A0">
        <w:rPr>
          <w:lang w:val="en-US"/>
        </w:rPr>
        <w:t> </w:t>
      </w:r>
      <w:r>
        <w:t>1, 2014) until it is replaced by a revised SOP approved by the Commission.  The Customer Acquisition Fee established in September 2014 will remain in effect until the program is revised and approved by the Commission</w:t>
      </w:r>
      <w:r>
        <w:rPr>
          <w:lang w:val="en-US"/>
        </w:rPr>
        <w:t>.</w:t>
      </w:r>
    </w:p>
    <w:p w:rsidR="006018D0" w:rsidRPr="007B62B7" w:rsidRDefault="006018D0" w:rsidP="006018D0">
      <w:pPr>
        <w:pStyle w:val="BodyText"/>
        <w:spacing w:after="0"/>
        <w:ind w:left="2520" w:firstLine="0"/>
        <w:rPr>
          <w:lang w:val="en-US"/>
        </w:rPr>
      </w:pPr>
    </w:p>
    <w:p w:rsidR="007B62B7" w:rsidRPr="007B62B7" w:rsidRDefault="007B62B7" w:rsidP="006018D0">
      <w:pPr>
        <w:pStyle w:val="BodyText"/>
        <w:spacing w:after="0"/>
        <w:ind w:left="0" w:firstLine="0"/>
        <w:rPr>
          <w:szCs w:val="24"/>
          <w:lang w:val="en-US"/>
        </w:rPr>
      </w:pPr>
    </w:p>
    <w:p w:rsidR="00D85BF0" w:rsidRDefault="00D85BF0" w:rsidP="00566B3C">
      <w:pPr>
        <w:pStyle w:val="BodyText2"/>
        <w:spacing w:after="0" w:line="360" w:lineRule="auto"/>
        <w:ind w:firstLine="1440"/>
        <w:rPr>
          <w:lang w:val="en-US"/>
        </w:rPr>
      </w:pPr>
      <w:r>
        <w:t xml:space="preserve">The </w:t>
      </w:r>
      <w:r>
        <w:rPr>
          <w:lang w:val="en-US"/>
        </w:rPr>
        <w:t xml:space="preserve">Settlement resolved the </w:t>
      </w:r>
      <w:r>
        <w:t>SOP issues, however, at the hearing, the Company indicated it intended to submit the SOP RFP and the results of the RFP that the Company received on September 10, 2014 as attachments to the Company’s Main Brief.</w:t>
      </w:r>
      <w:r>
        <w:rPr>
          <w:rStyle w:val="FootnoteReference"/>
        </w:rPr>
        <w:footnoteReference w:id="50"/>
      </w:r>
      <w:r>
        <w:t xml:space="preserve">  </w:t>
      </w:r>
      <w:r>
        <w:rPr>
          <w:lang w:val="en-US"/>
        </w:rPr>
        <w:t xml:space="preserve">Later the parties resolved </w:t>
      </w:r>
      <w:r>
        <w:t xml:space="preserve">the SOP issues </w:t>
      </w:r>
      <w:r>
        <w:rPr>
          <w:lang w:val="en-US"/>
        </w:rPr>
        <w:t>making it</w:t>
      </w:r>
      <w:r>
        <w:t xml:space="preserve"> no longer necessary </w:t>
      </w:r>
      <w:r>
        <w:rPr>
          <w:lang w:val="en-US"/>
        </w:rPr>
        <w:t xml:space="preserve">for Duquesne Light </w:t>
      </w:r>
      <w:r>
        <w:t>to include the SOP RFP and the RFP results as attachments to the Company’s Main Brief</w:t>
      </w:r>
      <w:r>
        <w:rPr>
          <w:lang w:val="en-US"/>
        </w:rPr>
        <w:t xml:space="preserve">.  These issues in the SOP collaborative were addressed under the Settlement.  </w:t>
      </w:r>
    </w:p>
    <w:p w:rsidR="00A07F00" w:rsidRDefault="00883E83" w:rsidP="00A07F00">
      <w:pPr>
        <w:pStyle w:val="BodyText"/>
        <w:spacing w:after="0" w:line="360" w:lineRule="auto"/>
        <w:ind w:left="0" w:firstLine="0"/>
        <w:rPr>
          <w:szCs w:val="24"/>
          <w:lang w:val="en-US"/>
        </w:rPr>
      </w:pPr>
      <w:r w:rsidRPr="00096219">
        <w:rPr>
          <w:szCs w:val="24"/>
          <w:lang w:val="en-US"/>
        </w:rPr>
        <w:tab/>
      </w:r>
    </w:p>
    <w:p w:rsidR="00566B3C" w:rsidRPr="00A07F00" w:rsidRDefault="006D47C0" w:rsidP="00A07F00">
      <w:pPr>
        <w:pStyle w:val="BodyText"/>
        <w:numPr>
          <w:ilvl w:val="0"/>
          <w:numId w:val="31"/>
        </w:numPr>
        <w:spacing w:after="0" w:line="360" w:lineRule="auto"/>
        <w:ind w:left="1440" w:hanging="720"/>
        <w:rPr>
          <w:szCs w:val="24"/>
        </w:rPr>
      </w:pPr>
      <w:r w:rsidRPr="00101372">
        <w:rPr>
          <w:u w:val="single"/>
        </w:rPr>
        <w:t xml:space="preserve">Disposition </w:t>
      </w:r>
      <w:r w:rsidR="00ED43E0" w:rsidRPr="00101372">
        <w:rPr>
          <w:u w:val="single"/>
        </w:rPr>
        <w:t>–</w:t>
      </w:r>
      <w:r w:rsidRPr="00101372">
        <w:rPr>
          <w:u w:val="single"/>
        </w:rPr>
        <w:t xml:space="preserve"> </w:t>
      </w:r>
      <w:r w:rsidR="00ED43E0" w:rsidRPr="00101372">
        <w:rPr>
          <w:color w:val="000000" w:themeColor="text1"/>
          <w:u w:val="single"/>
        </w:rPr>
        <w:t xml:space="preserve">SOP </w:t>
      </w:r>
    </w:p>
    <w:p w:rsidR="00566B3C" w:rsidRDefault="00566B3C" w:rsidP="00566B3C">
      <w:pPr>
        <w:pStyle w:val="BriefL3"/>
        <w:numPr>
          <w:ilvl w:val="0"/>
          <w:numId w:val="0"/>
        </w:numPr>
        <w:spacing w:after="0" w:line="360" w:lineRule="auto"/>
        <w:ind w:left="720" w:firstLine="720"/>
        <w:outlineLvl w:val="9"/>
        <w:rPr>
          <w:szCs w:val="24"/>
        </w:rPr>
      </w:pPr>
    </w:p>
    <w:p w:rsidR="00F41583" w:rsidRDefault="00576BDF" w:rsidP="00F41583">
      <w:pPr>
        <w:spacing w:line="360" w:lineRule="auto"/>
      </w:pPr>
      <w:r>
        <w:tab/>
      </w:r>
      <w:r>
        <w:tab/>
      </w:r>
      <w:r w:rsidR="00F41583">
        <w:t>Currently, the Company’s DSP VI targets non-shopping Residential and Small C&amp;I customers who contact the company with four different types of calls</w:t>
      </w:r>
      <w:r w:rsidR="00FD7DA6">
        <w:t>.</w:t>
      </w:r>
      <w:r w:rsidR="00F41583">
        <w:t xml:space="preserve"> </w:t>
      </w:r>
      <w:r w:rsidR="00FD7DA6">
        <w:t xml:space="preserve"> P</w:t>
      </w:r>
      <w:r w:rsidR="00F41583">
        <w:t>rior to the conclusion of resolving the caller’s request, DLC would promote the SOP to the caller using a script.  If the caller expressed interest, DLC would transfer the caller to a participating EGS on a rotation</w:t>
      </w:r>
      <w:r w:rsidR="00FD7DA6">
        <w:t>al</w:t>
      </w:r>
      <w:r w:rsidR="00F41583">
        <w:t xml:space="preserve"> basis.  Duquesne Light </w:t>
      </w:r>
      <w:r w:rsidR="00F41583" w:rsidRPr="00B730CB">
        <w:t xml:space="preserve">was unable to use a third party to operate the Standard Offer Program because of technical problems that precluded the Company from providing the customer data transfers essential when using a third party.  However, DLC now estimates the needed Information Technology modifications to implement the use of a third party will be provided through the Company’s new customer care and billing system (entitled Focus) which will go live in November 2014.  </w:t>
      </w:r>
      <w:r w:rsidR="00F41583">
        <w:t xml:space="preserve">In DSP VII, </w:t>
      </w:r>
      <w:r w:rsidR="00F41583" w:rsidRPr="00B730CB">
        <w:t>Duquesne Light proposed a SOP which resembles other similar programs offered by other major electric distribution companies</w:t>
      </w:r>
      <w:r w:rsidR="00F41583">
        <w:t xml:space="preserve"> and relies more on a third party vendor to handle the enrollment of interested customers</w:t>
      </w:r>
      <w:r w:rsidR="00F41583" w:rsidRPr="00B730CB">
        <w:t xml:space="preserve">.  </w:t>
      </w:r>
    </w:p>
    <w:p w:rsidR="00F41583" w:rsidRPr="00B730CB" w:rsidRDefault="00F41583" w:rsidP="00F41583">
      <w:pPr>
        <w:spacing w:line="360" w:lineRule="auto"/>
      </w:pPr>
    </w:p>
    <w:p w:rsidR="00F41583" w:rsidRPr="00B730CB" w:rsidRDefault="00F41583" w:rsidP="00F41583">
      <w:pPr>
        <w:spacing w:line="360" w:lineRule="auto"/>
      </w:pPr>
      <w:r w:rsidRPr="00B730CB">
        <w:tab/>
      </w:r>
      <w:r w:rsidRPr="00B730CB">
        <w:tab/>
        <w:t xml:space="preserve">In the Settlement, the </w:t>
      </w:r>
      <w:r>
        <w:t>Company</w:t>
      </w:r>
      <w:r w:rsidRPr="00B730CB">
        <w:t xml:space="preserve"> agreed to revise the SOP script to clarify to customers the 7% discount (offered through the SOP) is subject to change during the 12-month term.  The parties agreed DLC should continue to use the $10.28 customer enrollment fee (which became effective on September 1, 2014) for participating suppliers until the existing SOP is replaced by </w:t>
      </w:r>
      <w:r>
        <w:t>a</w:t>
      </w:r>
      <w:r w:rsidRPr="00B730CB">
        <w:t xml:space="preserve"> revised SOP </w:t>
      </w:r>
      <w:r w:rsidR="007C1B64">
        <w:t>in</w:t>
      </w:r>
      <w:r w:rsidRPr="00B730CB">
        <w:t xml:space="preserve"> a future Commission order.  Duquesne Light will conduct a collaborative with intere</w:t>
      </w:r>
      <w:r>
        <w:t>sted parties to consider change</w:t>
      </w:r>
      <w:r w:rsidRPr="00B730CB">
        <w:t>s to the SOP including enhanced disclosures of the SOP offer, program improvements and cost recovery proposals.  The parties agreed the current SOP should continue and new changes will be implemented within six months of the Commission’s Final Order herein.</w:t>
      </w:r>
    </w:p>
    <w:p w:rsidR="00F41583" w:rsidRPr="00593870" w:rsidRDefault="00F41583" w:rsidP="00F41583">
      <w:pPr>
        <w:spacing w:line="360" w:lineRule="auto"/>
      </w:pPr>
    </w:p>
    <w:p w:rsidR="00F41583" w:rsidRDefault="00F41583" w:rsidP="00F41583">
      <w:pPr>
        <w:spacing w:line="360" w:lineRule="auto"/>
        <w:rPr>
          <w:color w:val="000000" w:themeColor="text1"/>
        </w:rPr>
      </w:pPr>
      <w:r w:rsidRPr="00593870">
        <w:tab/>
      </w:r>
      <w:r w:rsidRPr="00593870">
        <w:tab/>
      </w:r>
      <w:r w:rsidRPr="00593870">
        <w:rPr>
          <w:color w:val="000000" w:themeColor="text1"/>
        </w:rPr>
        <w:t xml:space="preserve">I recommend </w:t>
      </w:r>
      <w:r>
        <w:rPr>
          <w:color w:val="000000" w:themeColor="text1"/>
        </w:rPr>
        <w:t>this proposed settlement term should</w:t>
      </w:r>
      <w:r w:rsidRPr="00593870">
        <w:rPr>
          <w:color w:val="000000" w:themeColor="text1"/>
        </w:rPr>
        <w:t xml:space="preserve"> be approved</w:t>
      </w:r>
      <w:r>
        <w:rPr>
          <w:color w:val="000000" w:themeColor="text1"/>
        </w:rPr>
        <w:t xml:space="preserve"> as in the public interest</w:t>
      </w:r>
      <w:r w:rsidRPr="00593870">
        <w:rPr>
          <w:color w:val="000000" w:themeColor="text1"/>
        </w:rPr>
        <w:t>.</w:t>
      </w:r>
      <w:r>
        <w:rPr>
          <w:color w:val="000000" w:themeColor="text1"/>
        </w:rPr>
        <w:t xml:space="preserve">  This settlement provision represents a compromise of the parties’ relative positions.  Previously, DLC was unable to use a third party vendor due to technological barriers but it has eliminated those barriers with the advent of the Focus system, which will go live in November 2014 and will allow DLC to share customer information with the third party vendor.  Not all parties were in agreement with the SOP as proposed by the Company but agreed to settle this issue because of DLC’s agreement to initiate a collaborative which will give all parties a forum in which to discuss these issues and to find a solution in the future.  Because the Focus system has not been implemented yet, and because the implementation of that system is likely to take some time before it is fully and accurately operational, I agree with the parties that this settlement provision is in the public interest because it provides time and a forum for the parties to work out a solution.  </w:t>
      </w:r>
    </w:p>
    <w:p w:rsidR="00ED43E0" w:rsidRPr="000A539E" w:rsidRDefault="00ED43E0" w:rsidP="00566B3C">
      <w:pPr>
        <w:pStyle w:val="BodyText"/>
        <w:spacing w:after="0" w:line="360" w:lineRule="auto"/>
        <w:ind w:left="0" w:firstLine="0"/>
        <w:rPr>
          <w:szCs w:val="24"/>
          <w:lang w:val="en-US"/>
        </w:rPr>
      </w:pPr>
      <w:r w:rsidRPr="000A539E">
        <w:rPr>
          <w:szCs w:val="24"/>
          <w:lang w:val="en-US"/>
        </w:rPr>
        <w:tab/>
      </w:r>
    </w:p>
    <w:p w:rsidR="005C33A8" w:rsidRDefault="006D47C0" w:rsidP="006D47C0">
      <w:pPr>
        <w:pStyle w:val="BriefL1"/>
        <w:numPr>
          <w:ilvl w:val="0"/>
          <w:numId w:val="0"/>
        </w:numPr>
        <w:spacing w:after="0" w:line="360" w:lineRule="auto"/>
        <w:jc w:val="left"/>
        <w:rPr>
          <w:b w:val="0"/>
          <w:caps w:val="0"/>
          <w:szCs w:val="24"/>
          <w:u w:val="single"/>
        </w:rPr>
      </w:pPr>
      <w:r w:rsidRPr="000A539E">
        <w:rPr>
          <w:b w:val="0"/>
          <w:szCs w:val="24"/>
        </w:rPr>
        <w:t>e.</w:t>
      </w:r>
      <w:r w:rsidRPr="000A539E">
        <w:rPr>
          <w:b w:val="0"/>
          <w:szCs w:val="24"/>
        </w:rPr>
        <w:tab/>
      </w:r>
      <w:r w:rsidR="00E15AFB" w:rsidRPr="00101372">
        <w:rPr>
          <w:b w:val="0"/>
          <w:caps w:val="0"/>
          <w:szCs w:val="24"/>
          <w:u w:val="single"/>
        </w:rPr>
        <w:t>Rate Design</w:t>
      </w:r>
    </w:p>
    <w:p w:rsidR="006D47C0" w:rsidRPr="000A539E" w:rsidRDefault="006D47C0" w:rsidP="006D47C0">
      <w:pPr>
        <w:pStyle w:val="BriefL1"/>
        <w:numPr>
          <w:ilvl w:val="0"/>
          <w:numId w:val="0"/>
        </w:numPr>
        <w:spacing w:after="0" w:line="360" w:lineRule="auto"/>
        <w:jc w:val="left"/>
        <w:rPr>
          <w:b w:val="0"/>
          <w:szCs w:val="24"/>
        </w:rPr>
      </w:pPr>
      <w:r w:rsidRPr="000A539E">
        <w:rPr>
          <w:b w:val="0"/>
          <w:caps w:val="0"/>
          <w:szCs w:val="24"/>
        </w:rPr>
        <w:fldChar w:fldCharType="begin"/>
      </w:r>
      <w:r w:rsidRPr="000A539E">
        <w:rPr>
          <w:b w:val="0"/>
        </w:rPr>
        <w:instrText xml:space="preserve"> TC "</w:instrText>
      </w:r>
      <w:r w:rsidRPr="000A539E">
        <w:rPr>
          <w:b w:val="0"/>
          <w:szCs w:val="24"/>
        </w:rPr>
        <w:instrText>A.</w:instrText>
      </w:r>
      <w:r w:rsidRPr="000A539E">
        <w:rPr>
          <w:b w:val="0"/>
          <w:szCs w:val="24"/>
        </w:rPr>
        <w:tab/>
        <w:instrText>D</w:instrText>
      </w:r>
      <w:r w:rsidRPr="000A539E">
        <w:rPr>
          <w:b w:val="0"/>
          <w:caps w:val="0"/>
          <w:szCs w:val="24"/>
        </w:rPr>
        <w:instrText>efault Service Procurement and Implementation Plans</w:instrText>
      </w:r>
      <w:r w:rsidRPr="000A539E">
        <w:rPr>
          <w:b w:val="0"/>
        </w:rPr>
        <w:instrText xml:space="preserve">" \f C \l "2" </w:instrText>
      </w:r>
      <w:r w:rsidRPr="000A539E">
        <w:rPr>
          <w:b w:val="0"/>
          <w:caps w:val="0"/>
          <w:szCs w:val="24"/>
        </w:rPr>
        <w:fldChar w:fldCharType="end"/>
      </w:r>
    </w:p>
    <w:p w:rsidR="006D47C0" w:rsidRPr="00101372" w:rsidRDefault="006D47C0" w:rsidP="00566B3C">
      <w:pPr>
        <w:pStyle w:val="BriefL3"/>
        <w:numPr>
          <w:ilvl w:val="0"/>
          <w:numId w:val="0"/>
        </w:numPr>
        <w:spacing w:after="0" w:line="360" w:lineRule="auto"/>
        <w:ind w:left="720"/>
        <w:outlineLvl w:val="9"/>
        <w:rPr>
          <w:szCs w:val="24"/>
          <w:u w:val="single"/>
        </w:rPr>
      </w:pPr>
      <w:r w:rsidRPr="000A539E">
        <w:rPr>
          <w:szCs w:val="24"/>
        </w:rPr>
        <w:t>1.</w:t>
      </w:r>
      <w:r w:rsidRPr="000A539E">
        <w:rPr>
          <w:szCs w:val="24"/>
        </w:rPr>
        <w:tab/>
      </w:r>
      <w:r w:rsidR="00E15AFB" w:rsidRPr="00101372">
        <w:rPr>
          <w:szCs w:val="24"/>
          <w:u w:val="single"/>
        </w:rPr>
        <w:t>Default Service Cost Unbundling Issues</w:t>
      </w:r>
    </w:p>
    <w:p w:rsidR="00E15AFB" w:rsidRDefault="007E102F" w:rsidP="00566B3C">
      <w:pPr>
        <w:pStyle w:val="BodyText"/>
        <w:spacing w:after="0" w:line="360" w:lineRule="auto"/>
        <w:ind w:left="0" w:firstLine="0"/>
        <w:rPr>
          <w:szCs w:val="24"/>
          <w:lang w:val="en-US"/>
        </w:rPr>
      </w:pPr>
      <w:r>
        <w:rPr>
          <w:szCs w:val="24"/>
          <w:lang w:val="en-US"/>
        </w:rPr>
        <w:tab/>
      </w:r>
      <w:r>
        <w:rPr>
          <w:szCs w:val="24"/>
          <w:lang w:val="en-US"/>
        </w:rPr>
        <w:tab/>
      </w:r>
    </w:p>
    <w:p w:rsidR="007E102F" w:rsidRPr="007E102F" w:rsidRDefault="007E102F" w:rsidP="00566B3C">
      <w:pPr>
        <w:pStyle w:val="BodyText2"/>
        <w:spacing w:line="360" w:lineRule="auto"/>
        <w:rPr>
          <w:lang w:val="en-US"/>
        </w:rPr>
      </w:pPr>
      <w:r>
        <w:rPr>
          <w:lang w:val="en-US"/>
        </w:rPr>
        <w:tab/>
      </w:r>
      <w:r>
        <w:rPr>
          <w:lang w:val="en-US"/>
        </w:rPr>
        <w:tab/>
      </w:r>
      <w:r w:rsidR="00566B3C">
        <w:t>The default service cost unbundling issues have been resolved by the Settlement Stipulation of the Parties.</w:t>
      </w:r>
      <w:r w:rsidR="00566B3C">
        <w:rPr>
          <w:lang w:val="en-US"/>
        </w:rPr>
        <w:t xml:space="preserve">  </w:t>
      </w:r>
      <w:r>
        <w:rPr>
          <w:lang w:val="en-US"/>
        </w:rPr>
        <w:t>The parties stipulated in the Settlement that in “</w:t>
      </w:r>
      <w:r>
        <w:t>the earlier of its next general rate increase filing or its Default Service Plan filing for the period com</w:t>
      </w:r>
      <w:r w:rsidR="00566B3C">
        <w:t xml:space="preserve">mencing June 1, 2017, </w:t>
      </w:r>
      <w:r>
        <w:t>Duquesne Light will propose to unbundle from base rates costs associated with the provision of default service, including default service proceeding and procurement costs, and cash working capital with regard to default service procurements.  Duquesne Light will simultaneously propose a mechanism for recovery of such costs from default service customers.  All parties reserve the right to comment on and oppose such proposal</w:t>
      </w:r>
      <w:r>
        <w:rPr>
          <w:lang w:val="en-US"/>
        </w:rPr>
        <w:t>.”</w:t>
      </w:r>
    </w:p>
    <w:p w:rsidR="00E15AFB" w:rsidRDefault="00E15AFB" w:rsidP="00566B3C">
      <w:pPr>
        <w:pStyle w:val="BriefL3"/>
        <w:numPr>
          <w:ilvl w:val="0"/>
          <w:numId w:val="0"/>
        </w:numPr>
        <w:spacing w:after="0" w:line="360" w:lineRule="auto"/>
        <w:ind w:left="720" w:firstLine="720"/>
        <w:outlineLvl w:val="9"/>
        <w:rPr>
          <w:b/>
          <w:szCs w:val="24"/>
        </w:rPr>
      </w:pPr>
    </w:p>
    <w:p w:rsidR="00E15AFB" w:rsidRPr="009858AC" w:rsidRDefault="00E15AFB" w:rsidP="00AE2413">
      <w:pPr>
        <w:pStyle w:val="ListParagraph"/>
        <w:numPr>
          <w:ilvl w:val="0"/>
          <w:numId w:val="24"/>
        </w:numPr>
        <w:spacing w:line="360" w:lineRule="auto"/>
        <w:ind w:left="2160" w:hanging="720"/>
        <w:rPr>
          <w:color w:val="000000" w:themeColor="text1"/>
          <w:u w:val="single"/>
        </w:rPr>
      </w:pPr>
      <w:r w:rsidRPr="009858AC">
        <w:rPr>
          <w:u w:val="single"/>
        </w:rPr>
        <w:t xml:space="preserve">Disposition </w:t>
      </w:r>
      <w:r w:rsidR="001A09B1" w:rsidRPr="009858AC">
        <w:rPr>
          <w:u w:val="single"/>
        </w:rPr>
        <w:t>–</w:t>
      </w:r>
      <w:r w:rsidRPr="009858AC">
        <w:rPr>
          <w:u w:val="single"/>
        </w:rPr>
        <w:t xml:space="preserve"> Default Service Cost Unbundling Issues</w:t>
      </w:r>
    </w:p>
    <w:p w:rsidR="00E15AFB" w:rsidRDefault="00E15AFB" w:rsidP="00E15AFB">
      <w:pPr>
        <w:pStyle w:val="BodyText"/>
        <w:spacing w:after="0" w:line="360" w:lineRule="auto"/>
        <w:ind w:left="0" w:firstLine="0"/>
        <w:rPr>
          <w:szCs w:val="24"/>
          <w:lang w:val="en-US"/>
        </w:rPr>
      </w:pPr>
      <w:r w:rsidRPr="00B37A0A">
        <w:rPr>
          <w:szCs w:val="24"/>
          <w:lang w:val="en-US"/>
        </w:rPr>
        <w:tab/>
      </w:r>
    </w:p>
    <w:p w:rsidR="00DB1CEC" w:rsidRPr="00B730CB" w:rsidRDefault="00E11102" w:rsidP="00DB1CEC">
      <w:pPr>
        <w:spacing w:line="360" w:lineRule="auto"/>
      </w:pPr>
      <w:r>
        <w:tab/>
      </w:r>
      <w:r>
        <w:tab/>
      </w:r>
      <w:r w:rsidR="00DB1CEC" w:rsidRPr="00B730CB">
        <w:t>The parties agreed DLC will propose to unbundle these costs from base rate</w:t>
      </w:r>
      <w:r w:rsidR="009F3D83">
        <w:t>s</w:t>
      </w:r>
      <w:r w:rsidR="00DB1CEC" w:rsidRPr="00B730CB">
        <w:t xml:space="preserve"> at its next general rate increase filing or in the DSP VIII filing (whichever filing occurs first).  These costs are associated with default service including the cost of the DSP proceeding and procurement costs, plus cash working capital in regard to default service procurements.  Lastly, DLC agreed it would propose a mechanism to recover such costs from default service customers.</w:t>
      </w:r>
    </w:p>
    <w:p w:rsidR="00DB1CEC" w:rsidRPr="00593870" w:rsidRDefault="00DB1CEC" w:rsidP="00DB1CEC">
      <w:pPr>
        <w:spacing w:line="360" w:lineRule="auto"/>
      </w:pPr>
    </w:p>
    <w:p w:rsidR="00DB1CEC" w:rsidRDefault="00DB1CEC" w:rsidP="00DB1CEC">
      <w:pPr>
        <w:spacing w:line="360" w:lineRule="auto"/>
        <w:rPr>
          <w:color w:val="000000" w:themeColor="text1"/>
        </w:rPr>
      </w:pPr>
      <w:r w:rsidRPr="00593870">
        <w:tab/>
      </w:r>
      <w:r w:rsidRPr="00593870">
        <w:tab/>
      </w:r>
      <w:r w:rsidRPr="00593870">
        <w:rPr>
          <w:color w:val="000000" w:themeColor="text1"/>
        </w:rPr>
        <w:t xml:space="preserve">I recommend </w:t>
      </w:r>
      <w:r>
        <w:rPr>
          <w:color w:val="000000" w:themeColor="text1"/>
        </w:rPr>
        <w:t>this proposed settlement term should</w:t>
      </w:r>
      <w:r w:rsidRPr="00593870">
        <w:rPr>
          <w:color w:val="000000" w:themeColor="text1"/>
        </w:rPr>
        <w:t xml:space="preserve"> be approved</w:t>
      </w:r>
      <w:r>
        <w:rPr>
          <w:color w:val="000000" w:themeColor="text1"/>
        </w:rPr>
        <w:t xml:space="preserve"> as in the public interest</w:t>
      </w:r>
      <w:r w:rsidRPr="00593870">
        <w:rPr>
          <w:color w:val="000000" w:themeColor="text1"/>
        </w:rPr>
        <w:t>.</w:t>
      </w:r>
      <w:r>
        <w:rPr>
          <w:color w:val="000000" w:themeColor="text1"/>
        </w:rPr>
        <w:t xml:space="preserve">  The Company and RESA firmly remained at odds on where the cost of default service should be borne: by the default service customer or by the supplier.  In order to reduce litigation costs but still provide a mechanism into the future which, hopefully, will permit the parties to resolve this issue, the parties agreed to leave the Company’s original proposal in place but provide for DLC to create a new proposal for the next general base rate filing or the filing of the DSP VIII.  This agreement reduces costs and creates time in which a better solution may be found for this dilemma.  </w:t>
      </w:r>
      <w:r w:rsidR="000F501D">
        <w:rPr>
          <w:color w:val="000000" w:themeColor="text1"/>
        </w:rPr>
        <w:t xml:space="preserve">In the meantime, the proposal continues the terms previously approved by the Commission in the DSP VI filing.  </w:t>
      </w:r>
      <w:r>
        <w:rPr>
          <w:color w:val="000000" w:themeColor="text1"/>
        </w:rPr>
        <w:t>For those reasons, this settlement term is in the public interest at this time.</w:t>
      </w:r>
    </w:p>
    <w:p w:rsidR="006D47C0" w:rsidRPr="00B37A0A" w:rsidRDefault="006D47C0" w:rsidP="006D47C0">
      <w:pPr>
        <w:pStyle w:val="BriefL3"/>
        <w:numPr>
          <w:ilvl w:val="0"/>
          <w:numId w:val="0"/>
        </w:numPr>
        <w:spacing w:after="0" w:line="360" w:lineRule="auto"/>
        <w:ind w:left="1440" w:hanging="720"/>
        <w:rPr>
          <w:szCs w:val="24"/>
        </w:rPr>
      </w:pPr>
      <w:r w:rsidRPr="00B37A0A">
        <w:rPr>
          <w:szCs w:val="24"/>
        </w:rPr>
        <w:t>2.</w:t>
      </w:r>
      <w:r w:rsidRPr="00B37A0A">
        <w:rPr>
          <w:szCs w:val="24"/>
        </w:rPr>
        <w:tab/>
      </w:r>
      <w:r w:rsidR="00E15AFB" w:rsidRPr="009858AC">
        <w:rPr>
          <w:szCs w:val="24"/>
          <w:u w:val="single"/>
        </w:rPr>
        <w:t>Non-</w:t>
      </w:r>
      <w:proofErr w:type="spellStart"/>
      <w:r w:rsidR="00E15AFB" w:rsidRPr="009858AC">
        <w:rPr>
          <w:szCs w:val="24"/>
          <w:u w:val="single"/>
        </w:rPr>
        <w:t>Bypassable</w:t>
      </w:r>
      <w:proofErr w:type="spellEnd"/>
      <w:r w:rsidR="00E15AFB" w:rsidRPr="009858AC">
        <w:rPr>
          <w:szCs w:val="24"/>
          <w:u w:val="single"/>
        </w:rPr>
        <w:t xml:space="preserve"> Charge to Recover PJM Charges</w:t>
      </w:r>
    </w:p>
    <w:p w:rsidR="00566B3C" w:rsidRDefault="00566B3C" w:rsidP="006C3E25">
      <w:pPr>
        <w:pStyle w:val="BodyText2"/>
        <w:spacing w:after="0" w:line="360" w:lineRule="auto"/>
        <w:rPr>
          <w:lang w:val="en-US"/>
        </w:rPr>
      </w:pPr>
    </w:p>
    <w:p w:rsidR="00566B3C" w:rsidRDefault="00566B3C" w:rsidP="006C3E25">
      <w:pPr>
        <w:pStyle w:val="BodyText2"/>
        <w:spacing w:after="0" w:line="360" w:lineRule="auto"/>
        <w:ind w:firstLine="1530"/>
      </w:pPr>
      <w:r>
        <w:t xml:space="preserve">The Company currently recovers PJM Interconnection, LLC (“PJM”) charges, including Network Integration Transmission Service (“NITS”), Regional Transmission Expansion (“RTEP”), Generation Deactivation Charges and Unaccounted for Energy (“UFE”) charges from default service customers through the Company’s Transmission Service Charge (“TSC”). </w:t>
      </w:r>
      <w:r w:rsidR="00D8545E">
        <w:rPr>
          <w:lang w:val="en-US"/>
        </w:rPr>
        <w:t xml:space="preserve"> </w:t>
      </w:r>
      <w:r>
        <w:t xml:space="preserve">The cost-recovery methodology for these costs was fully-litigated in the Company’s DSP VI proceeding.  In that DSP VI proceeding, the Commission approved recovery of these costs only from default service customers through a </w:t>
      </w:r>
      <w:proofErr w:type="spellStart"/>
      <w:r>
        <w:t>bypassable</w:t>
      </w:r>
      <w:proofErr w:type="spellEnd"/>
      <w:r>
        <w:t xml:space="preserve"> charge.  </w:t>
      </w:r>
      <w:r w:rsidRPr="00D27F97">
        <w:rPr>
          <w:i/>
        </w:rPr>
        <w:t>DSP VI Order</w:t>
      </w:r>
      <w:r>
        <w:t>, pp.</w:t>
      </w:r>
      <w:r w:rsidR="006041AA">
        <w:rPr>
          <w:lang w:val="en-US"/>
        </w:rPr>
        <w:t> </w:t>
      </w:r>
      <w:r>
        <w:t>221</w:t>
      </w:r>
      <w:r w:rsidR="006041AA">
        <w:rPr>
          <w:lang w:val="en-US"/>
        </w:rPr>
        <w:noBreakHyphen/>
      </w:r>
      <w:r>
        <w:t>222.  The Company has proposed to continue this same Commission-approved cost recovery methodology for these transmission costs for default service customers under the DSP VII plan.</w:t>
      </w:r>
    </w:p>
    <w:p w:rsidR="006D47C0" w:rsidRDefault="006D47C0" w:rsidP="006C3E25">
      <w:pPr>
        <w:pStyle w:val="BodyText"/>
        <w:spacing w:after="0" w:line="360" w:lineRule="auto"/>
        <w:ind w:left="0" w:firstLine="0"/>
        <w:rPr>
          <w:szCs w:val="24"/>
          <w:lang w:val="en-US"/>
        </w:rPr>
      </w:pPr>
    </w:p>
    <w:p w:rsidR="00566B3C" w:rsidRDefault="00566B3C" w:rsidP="006C3E25">
      <w:pPr>
        <w:pStyle w:val="BodyText"/>
        <w:spacing w:after="0" w:line="360" w:lineRule="auto"/>
        <w:ind w:left="0"/>
        <w:rPr>
          <w:lang w:val="en-US"/>
        </w:rPr>
      </w:pPr>
      <w:r>
        <w:t xml:space="preserve">RESA and </w:t>
      </w:r>
      <w:proofErr w:type="spellStart"/>
      <w:r>
        <w:t>ExGen</w:t>
      </w:r>
      <w:proofErr w:type="spellEnd"/>
      <w:r>
        <w:t xml:space="preserve"> propose</w:t>
      </w:r>
      <w:r>
        <w:rPr>
          <w:lang w:val="en-US"/>
        </w:rPr>
        <w:t>d</w:t>
      </w:r>
      <w:r>
        <w:t xml:space="preserve"> Duquesne Light recover certain transmission costs for both shopping and default service customers.  RESA requests </w:t>
      </w:r>
      <w:r>
        <w:rPr>
          <w:lang w:val="en-US"/>
        </w:rPr>
        <w:t>specifically that Duquesne Light</w:t>
      </w:r>
      <w:r>
        <w:t xml:space="preserve"> recover NITS, RTEP, Generation Deactivation and UFE costs for shopping customers</w:t>
      </w:r>
      <w:r>
        <w:rPr>
          <w:rStyle w:val="FootnoteReference"/>
        </w:rPr>
        <w:footnoteReference w:id="51"/>
      </w:r>
      <w:r>
        <w:rPr>
          <w:lang w:val="en-US"/>
        </w:rPr>
        <w:t xml:space="preserve"> while</w:t>
      </w:r>
      <w:r>
        <w:t xml:space="preserve"> </w:t>
      </w:r>
      <w:proofErr w:type="spellStart"/>
      <w:r>
        <w:t>ExGen</w:t>
      </w:r>
      <w:proofErr w:type="spellEnd"/>
      <w:r>
        <w:t xml:space="preserve"> requests the Company recover NITS, Transmission Enhancement charges, RTEP and Generation Deactivation charges for shopping customers.</w:t>
      </w:r>
      <w:r>
        <w:rPr>
          <w:rStyle w:val="FootnoteReference"/>
        </w:rPr>
        <w:footnoteReference w:id="52"/>
      </w:r>
      <w:r>
        <w:t xml:space="preserve">  RESA and </w:t>
      </w:r>
      <w:proofErr w:type="spellStart"/>
      <w:r>
        <w:t>ExGen</w:t>
      </w:r>
      <w:proofErr w:type="spellEnd"/>
      <w:r>
        <w:t xml:space="preserve"> refer to these transmission charges as non-market based charges</w:t>
      </w:r>
      <w:r>
        <w:rPr>
          <w:lang w:val="en-US"/>
        </w:rPr>
        <w:t xml:space="preserve"> but Duquesne Light refer</w:t>
      </w:r>
      <w:r w:rsidR="001A09B1">
        <w:rPr>
          <w:lang w:val="en-US"/>
        </w:rPr>
        <w:t>s</w:t>
      </w:r>
      <w:r>
        <w:rPr>
          <w:lang w:val="en-US"/>
        </w:rPr>
        <w:t xml:space="preserve"> </w:t>
      </w:r>
      <w:r>
        <w:t>to these costs as “NMB Transmission Costs.”</w:t>
      </w:r>
    </w:p>
    <w:p w:rsidR="00566B3C" w:rsidRDefault="00566B3C" w:rsidP="006C3E25">
      <w:pPr>
        <w:pStyle w:val="BodyText"/>
        <w:spacing w:after="0" w:line="360" w:lineRule="auto"/>
        <w:ind w:left="0"/>
        <w:rPr>
          <w:lang w:val="en-US"/>
        </w:rPr>
      </w:pPr>
    </w:p>
    <w:p w:rsidR="009858AC" w:rsidRDefault="00465B80" w:rsidP="006C3E25">
      <w:pPr>
        <w:pStyle w:val="BodyText2"/>
        <w:spacing w:line="360" w:lineRule="auto"/>
        <w:rPr>
          <w:lang w:val="en-US"/>
        </w:rPr>
      </w:pPr>
      <w:r>
        <w:rPr>
          <w:lang w:val="en-US"/>
        </w:rPr>
        <w:tab/>
      </w:r>
      <w:r>
        <w:rPr>
          <w:lang w:val="en-US"/>
        </w:rPr>
        <w:tab/>
      </w:r>
      <w:r w:rsidR="00566B3C">
        <w:rPr>
          <w:lang w:val="en-US"/>
        </w:rPr>
        <w:t>Duquesne Light points out the same</w:t>
      </w:r>
      <w:r w:rsidR="00566B3C">
        <w:t xml:space="preserve"> issue was litigated </w:t>
      </w:r>
      <w:r w:rsidR="00566B3C">
        <w:rPr>
          <w:lang w:val="en-US"/>
        </w:rPr>
        <w:t>already in the last DSP proceeding (</w:t>
      </w:r>
      <w:r w:rsidR="00566B3C">
        <w:t>Duquesne Light’s DSP VI</w:t>
      </w:r>
      <w:r w:rsidR="00566B3C">
        <w:rPr>
          <w:lang w:val="en-US"/>
        </w:rPr>
        <w:t>)</w:t>
      </w:r>
      <w:r w:rsidR="00566B3C">
        <w:t>, and the Commission denied requests for Duquesne Light to recover NMB Transmission Costs for shopping customers</w:t>
      </w:r>
      <w:r w:rsidR="00566B3C">
        <w:rPr>
          <w:lang w:val="en-US"/>
        </w:rPr>
        <w:t>.</w:t>
      </w:r>
      <w:r w:rsidR="00566B3C">
        <w:rPr>
          <w:rStyle w:val="FootnoteReference"/>
          <w:lang w:val="en-US"/>
        </w:rPr>
        <w:footnoteReference w:id="53"/>
      </w:r>
      <w:r w:rsidR="00566B3C">
        <w:rPr>
          <w:lang w:val="en-US"/>
        </w:rPr>
        <w:t xml:space="preserve">  </w:t>
      </w:r>
      <w:r w:rsidR="00566B3C">
        <w:t xml:space="preserve">RESA argues the </w:t>
      </w:r>
    </w:p>
    <w:p w:rsidR="00566B3C" w:rsidRDefault="00566B3C" w:rsidP="009858AC">
      <w:pPr>
        <w:pStyle w:val="BodyText2"/>
        <w:spacing w:line="360" w:lineRule="auto"/>
        <w:rPr>
          <w:lang w:val="en-US"/>
        </w:rPr>
      </w:pPr>
      <w:r>
        <w:t xml:space="preserve">Company’s NMB Transmission Cost recovery methodology is anti-competitive because these costs are significant and volatile, which creates </w:t>
      </w:r>
      <w:r w:rsidR="006C3E25">
        <w:rPr>
          <w:lang w:val="en-US"/>
        </w:rPr>
        <w:t xml:space="preserve">a </w:t>
      </w:r>
      <w:r>
        <w:t>risk of non-recovery by EGSs.</w:t>
      </w:r>
      <w:r w:rsidR="006C3E25">
        <w:rPr>
          <w:rStyle w:val="FootnoteReference"/>
        </w:rPr>
        <w:footnoteReference w:id="54"/>
      </w:r>
      <w:r>
        <w:t xml:space="preserve">  Duquesne Light disagrees </w:t>
      </w:r>
      <w:r w:rsidR="006C3E25">
        <w:rPr>
          <w:lang w:val="en-US"/>
        </w:rPr>
        <w:t xml:space="preserve">and asserts </w:t>
      </w:r>
      <w:r>
        <w:t xml:space="preserve">NITS cost make up the majority of the NMB Transmission costs, and </w:t>
      </w:r>
      <w:r w:rsidR="006C3E25">
        <w:rPr>
          <w:lang w:val="en-US"/>
        </w:rPr>
        <w:t>those</w:t>
      </w:r>
      <w:r>
        <w:t xml:space="preserve"> costs are fixed on a yearly basis from June 1 – May 31 of each year.</w:t>
      </w:r>
      <w:r w:rsidR="006C3E25">
        <w:rPr>
          <w:rStyle w:val="FootnoteReference"/>
        </w:rPr>
        <w:footnoteReference w:id="55"/>
      </w:r>
      <w:r>
        <w:t xml:space="preserve">  </w:t>
      </w:r>
      <w:r w:rsidR="006C3E25">
        <w:rPr>
          <w:lang w:val="en-US"/>
        </w:rPr>
        <w:t xml:space="preserve">The Company also argues nothing prevents an </w:t>
      </w:r>
      <w:r w:rsidR="006C3E25">
        <w:t>EGS</w:t>
      </w:r>
      <w:r>
        <w:t xml:space="preserve"> from providing for variable recovery of these costs in their contracts with customers.</w:t>
      </w:r>
    </w:p>
    <w:p w:rsidR="00E15AFB" w:rsidRDefault="00E15AFB" w:rsidP="006C3E25">
      <w:pPr>
        <w:pStyle w:val="BriefL3"/>
        <w:numPr>
          <w:ilvl w:val="0"/>
          <w:numId w:val="0"/>
        </w:numPr>
        <w:spacing w:after="0" w:line="360" w:lineRule="auto"/>
        <w:ind w:firstLine="720"/>
        <w:outlineLvl w:val="9"/>
        <w:rPr>
          <w:b/>
          <w:szCs w:val="24"/>
        </w:rPr>
      </w:pPr>
    </w:p>
    <w:p w:rsidR="00E15AFB" w:rsidRPr="009858AC" w:rsidRDefault="00E15AFB" w:rsidP="005F4BA7">
      <w:pPr>
        <w:pStyle w:val="ListParagraph"/>
        <w:numPr>
          <w:ilvl w:val="0"/>
          <w:numId w:val="7"/>
        </w:numPr>
        <w:spacing w:line="360" w:lineRule="auto"/>
        <w:ind w:left="1440" w:hanging="720"/>
        <w:rPr>
          <w:color w:val="000000" w:themeColor="text1"/>
          <w:u w:val="single"/>
        </w:rPr>
      </w:pPr>
      <w:r w:rsidRPr="009858AC">
        <w:rPr>
          <w:u w:val="single"/>
        </w:rPr>
        <w:t xml:space="preserve">Disposition </w:t>
      </w:r>
      <w:r w:rsidR="008968B1" w:rsidRPr="009858AC">
        <w:rPr>
          <w:u w:val="single"/>
        </w:rPr>
        <w:t>–</w:t>
      </w:r>
      <w:r w:rsidRPr="009858AC">
        <w:rPr>
          <w:u w:val="single"/>
        </w:rPr>
        <w:t xml:space="preserve"> Non-</w:t>
      </w:r>
      <w:proofErr w:type="spellStart"/>
      <w:r w:rsidRPr="009858AC">
        <w:rPr>
          <w:u w:val="single"/>
        </w:rPr>
        <w:t>Bypassable</w:t>
      </w:r>
      <w:proofErr w:type="spellEnd"/>
      <w:r w:rsidRPr="009858AC">
        <w:rPr>
          <w:u w:val="single"/>
        </w:rPr>
        <w:t xml:space="preserve"> Charge to Recover PJM Charges</w:t>
      </w:r>
    </w:p>
    <w:p w:rsidR="00E15AFB" w:rsidRPr="000C0B17" w:rsidRDefault="00E15AFB" w:rsidP="006C3E25">
      <w:pPr>
        <w:pStyle w:val="BodyText"/>
        <w:spacing w:after="0" w:line="360" w:lineRule="auto"/>
        <w:ind w:left="0" w:firstLine="0"/>
        <w:rPr>
          <w:szCs w:val="24"/>
          <w:lang w:val="en-US"/>
        </w:rPr>
      </w:pPr>
      <w:r w:rsidRPr="000C0B17">
        <w:rPr>
          <w:szCs w:val="24"/>
          <w:lang w:val="en-US"/>
        </w:rPr>
        <w:tab/>
      </w:r>
    </w:p>
    <w:p w:rsidR="00C07AB6" w:rsidRPr="006C3E25" w:rsidRDefault="006C3E25" w:rsidP="00C07AB6">
      <w:pPr>
        <w:pStyle w:val="BodyText"/>
        <w:spacing w:after="0" w:line="360" w:lineRule="auto"/>
        <w:ind w:left="0"/>
        <w:rPr>
          <w:szCs w:val="24"/>
          <w:lang w:val="en-US"/>
        </w:rPr>
      </w:pPr>
      <w:r w:rsidRPr="000C0B17">
        <w:rPr>
          <w:szCs w:val="24"/>
          <w:lang w:val="en-US"/>
        </w:rPr>
        <w:t xml:space="preserve">I agree with the Company that </w:t>
      </w:r>
      <w:r w:rsidRPr="000C0B17">
        <w:t xml:space="preserve">RESA’s arguments </w:t>
      </w:r>
      <w:r w:rsidR="008968B1">
        <w:t>–</w:t>
      </w:r>
      <w:r w:rsidRPr="000C0B17">
        <w:rPr>
          <w:lang w:val="en-US"/>
        </w:rPr>
        <w:t xml:space="preserve"> </w:t>
      </w:r>
      <w:r w:rsidRPr="000C0B17">
        <w:t>that Duquesne Light’s NMB Transmission Cost recovery methodology is anti-competitive</w:t>
      </w:r>
      <w:r w:rsidRPr="000C0B17">
        <w:rPr>
          <w:lang w:val="en-US"/>
        </w:rPr>
        <w:t xml:space="preserve"> </w:t>
      </w:r>
      <w:r w:rsidR="008968B1">
        <w:rPr>
          <w:lang w:val="en-US"/>
        </w:rPr>
        <w:t>–</w:t>
      </w:r>
      <w:r w:rsidRPr="000C0B17">
        <w:rPr>
          <w:lang w:val="en-US"/>
        </w:rPr>
        <w:t xml:space="preserve"> </w:t>
      </w:r>
      <w:r w:rsidRPr="000C0B17">
        <w:t>should be denied for the same reasons the Commission denied these arguments in the FirstEnergy DSP proceedings.</w:t>
      </w:r>
      <w:r w:rsidR="00C07AB6">
        <w:rPr>
          <w:lang w:val="en-US"/>
        </w:rPr>
        <w:t xml:space="preserve">  </w:t>
      </w:r>
      <w:r w:rsidR="00C07AB6">
        <w:t xml:space="preserve">RESA </w:t>
      </w:r>
      <w:r w:rsidR="00C07AB6">
        <w:rPr>
          <w:lang w:val="en-US"/>
        </w:rPr>
        <w:t>contends</w:t>
      </w:r>
      <w:r w:rsidR="00C07AB6">
        <w:t xml:space="preserve"> the Commission’s recent </w:t>
      </w:r>
      <w:r w:rsidR="00C07AB6" w:rsidRPr="007973C3">
        <w:rPr>
          <w:i/>
        </w:rPr>
        <w:t>Fixed Price Order</w:t>
      </w:r>
      <w:r w:rsidR="00C07AB6">
        <w:rPr>
          <w:rStyle w:val="FootnoteReference"/>
        </w:rPr>
        <w:footnoteReference w:id="56"/>
      </w:r>
      <w:r w:rsidR="00C07AB6">
        <w:t xml:space="preserve"> justifies recovery of NMB Transmission Costs by the EDC on a non-</w:t>
      </w:r>
      <w:proofErr w:type="spellStart"/>
      <w:r w:rsidR="00C07AB6">
        <w:t>bypassable</w:t>
      </w:r>
      <w:proofErr w:type="spellEnd"/>
      <w:r w:rsidR="00C07AB6">
        <w:t xml:space="preserve"> basis</w:t>
      </w:r>
      <w:r w:rsidR="00C07AB6">
        <w:rPr>
          <w:rStyle w:val="FootnoteReference"/>
        </w:rPr>
        <w:footnoteReference w:id="57"/>
      </w:r>
      <w:r w:rsidR="00C07AB6">
        <w:rPr>
          <w:lang w:val="en-US"/>
        </w:rPr>
        <w:t xml:space="preserve">, however, </w:t>
      </w:r>
      <w:r w:rsidR="00C07AB6">
        <w:t xml:space="preserve">the Commission specifically rejected these arguments in the </w:t>
      </w:r>
      <w:r w:rsidR="00C07AB6" w:rsidRPr="00D27F97">
        <w:rPr>
          <w:i/>
        </w:rPr>
        <w:t>FirstEnergy DSP Order</w:t>
      </w:r>
      <w:r w:rsidR="00C07AB6" w:rsidRPr="006C3E25">
        <w:rPr>
          <w:lang w:val="en-US"/>
        </w:rPr>
        <w:t xml:space="preserve"> </w:t>
      </w:r>
      <w:proofErr w:type="spellStart"/>
      <w:r w:rsidR="00C07AB6">
        <w:rPr>
          <w:lang w:val="en-US"/>
        </w:rPr>
        <w:t>wi</w:t>
      </w:r>
      <w:r w:rsidR="00C07AB6">
        <w:t>th</w:t>
      </w:r>
      <w:proofErr w:type="spellEnd"/>
      <w:r w:rsidR="00C07AB6">
        <w:t xml:space="preserve"> respect to recovery of NITS costs</w:t>
      </w:r>
      <w:r w:rsidR="00C07AB6">
        <w:rPr>
          <w:lang w:val="en-US"/>
        </w:rPr>
        <w:t>.</w:t>
      </w:r>
      <w:r w:rsidR="00C07AB6">
        <w:rPr>
          <w:rStyle w:val="FootnoteReference"/>
          <w:lang w:val="en-US"/>
        </w:rPr>
        <w:footnoteReference w:id="58"/>
      </w:r>
      <w:r w:rsidR="00C07AB6">
        <w:rPr>
          <w:lang w:val="en-US"/>
        </w:rPr>
        <w:t xml:space="preserve">  The charges associated with default service will be borne by the customers responsible for generating those charges – the default service customers.  Charges associated with shopping should not be paid by non-shopping cus</w:t>
      </w:r>
      <w:r w:rsidR="00BD1018">
        <w:rPr>
          <w:lang w:val="en-US"/>
        </w:rPr>
        <w:t>t</w:t>
      </w:r>
      <w:r w:rsidR="00C07AB6">
        <w:rPr>
          <w:lang w:val="en-US"/>
        </w:rPr>
        <w:t>omers.</w:t>
      </w:r>
    </w:p>
    <w:p w:rsidR="006C3E25" w:rsidRDefault="006C3E25" w:rsidP="006C3E25">
      <w:pPr>
        <w:pStyle w:val="BodyText"/>
        <w:spacing w:after="0" w:line="360" w:lineRule="auto"/>
        <w:ind w:left="0" w:firstLine="0"/>
        <w:rPr>
          <w:szCs w:val="24"/>
          <w:lang w:val="en-US"/>
        </w:rPr>
      </w:pPr>
    </w:p>
    <w:p w:rsidR="00BF58C1" w:rsidRDefault="00BF58C1" w:rsidP="006C3E25">
      <w:pPr>
        <w:pStyle w:val="BodyText"/>
        <w:spacing w:after="0" w:line="360" w:lineRule="auto"/>
        <w:ind w:left="0" w:firstLine="0"/>
        <w:rPr>
          <w:szCs w:val="24"/>
          <w:lang w:val="en-US"/>
        </w:rPr>
      </w:pPr>
    </w:p>
    <w:p w:rsidR="00BF58C1" w:rsidRDefault="00BF58C1" w:rsidP="006C3E25">
      <w:pPr>
        <w:pStyle w:val="BodyText"/>
        <w:spacing w:after="0" w:line="360" w:lineRule="auto"/>
        <w:ind w:left="0" w:firstLine="0"/>
        <w:rPr>
          <w:szCs w:val="24"/>
          <w:lang w:val="en-US"/>
        </w:rPr>
      </w:pPr>
    </w:p>
    <w:p w:rsidR="00BF58C1" w:rsidRDefault="00BF58C1" w:rsidP="006C3E25">
      <w:pPr>
        <w:pStyle w:val="BodyText"/>
        <w:spacing w:after="0" w:line="360" w:lineRule="auto"/>
        <w:ind w:left="0" w:firstLine="0"/>
        <w:rPr>
          <w:szCs w:val="24"/>
          <w:lang w:val="en-US"/>
        </w:rPr>
      </w:pPr>
    </w:p>
    <w:p w:rsidR="00BF58C1" w:rsidRDefault="00BF58C1" w:rsidP="006C3E25">
      <w:pPr>
        <w:pStyle w:val="BodyText"/>
        <w:spacing w:after="0" w:line="360" w:lineRule="auto"/>
        <w:ind w:left="0" w:firstLine="0"/>
        <w:rPr>
          <w:szCs w:val="24"/>
          <w:lang w:val="en-US"/>
        </w:rPr>
      </w:pPr>
    </w:p>
    <w:p w:rsidR="00BF58C1" w:rsidRDefault="00BF58C1" w:rsidP="006C3E25">
      <w:pPr>
        <w:pStyle w:val="BodyText"/>
        <w:spacing w:after="0" w:line="360" w:lineRule="auto"/>
        <w:ind w:left="0" w:firstLine="0"/>
        <w:rPr>
          <w:szCs w:val="24"/>
          <w:lang w:val="en-US"/>
        </w:rPr>
      </w:pPr>
    </w:p>
    <w:p w:rsidR="00BF58C1" w:rsidRPr="00C07AB6" w:rsidRDefault="00BF58C1" w:rsidP="006C3E25">
      <w:pPr>
        <w:pStyle w:val="BodyText"/>
        <w:spacing w:after="0" w:line="360" w:lineRule="auto"/>
        <w:ind w:left="0" w:firstLine="0"/>
        <w:rPr>
          <w:szCs w:val="24"/>
          <w:lang w:val="en-US"/>
        </w:rPr>
      </w:pPr>
    </w:p>
    <w:p w:rsidR="006D47C0" w:rsidRPr="000C0B17" w:rsidRDefault="006D47C0" w:rsidP="006D47C0">
      <w:pPr>
        <w:pStyle w:val="BriefL1"/>
        <w:numPr>
          <w:ilvl w:val="0"/>
          <w:numId w:val="0"/>
        </w:numPr>
        <w:spacing w:after="0" w:line="360" w:lineRule="auto"/>
        <w:jc w:val="left"/>
        <w:rPr>
          <w:b w:val="0"/>
          <w:szCs w:val="24"/>
        </w:rPr>
      </w:pPr>
      <w:r w:rsidRPr="000C0B17">
        <w:rPr>
          <w:b w:val="0"/>
          <w:szCs w:val="24"/>
        </w:rPr>
        <w:t>F.</w:t>
      </w:r>
      <w:r w:rsidRPr="000C0B17">
        <w:rPr>
          <w:b w:val="0"/>
          <w:szCs w:val="24"/>
        </w:rPr>
        <w:tab/>
      </w:r>
      <w:r w:rsidR="00E15AFB" w:rsidRPr="009858AC">
        <w:rPr>
          <w:b w:val="0"/>
          <w:caps w:val="0"/>
          <w:szCs w:val="24"/>
          <w:u w:val="single"/>
        </w:rPr>
        <w:t>Time-of-Use Program (TOU)</w:t>
      </w:r>
      <w:r w:rsidRPr="000C0B17">
        <w:rPr>
          <w:b w:val="0"/>
          <w:caps w:val="0"/>
          <w:szCs w:val="24"/>
        </w:rPr>
        <w:fldChar w:fldCharType="begin"/>
      </w:r>
      <w:r w:rsidRPr="000C0B17">
        <w:rPr>
          <w:b w:val="0"/>
        </w:rPr>
        <w:instrText xml:space="preserve"> TC "</w:instrText>
      </w:r>
      <w:r w:rsidRPr="000C0B17">
        <w:rPr>
          <w:b w:val="0"/>
          <w:szCs w:val="24"/>
        </w:rPr>
        <w:instrText>A.</w:instrText>
      </w:r>
      <w:r w:rsidRPr="000C0B17">
        <w:rPr>
          <w:b w:val="0"/>
          <w:szCs w:val="24"/>
        </w:rPr>
        <w:tab/>
        <w:instrText>D</w:instrText>
      </w:r>
      <w:r w:rsidRPr="000C0B17">
        <w:rPr>
          <w:b w:val="0"/>
          <w:caps w:val="0"/>
          <w:szCs w:val="24"/>
        </w:rPr>
        <w:instrText>efault Service Procurement and Implementation Plans</w:instrText>
      </w:r>
      <w:r w:rsidRPr="000C0B17">
        <w:rPr>
          <w:b w:val="0"/>
        </w:rPr>
        <w:instrText xml:space="preserve">" \f C \l "2" </w:instrText>
      </w:r>
      <w:r w:rsidRPr="000C0B17">
        <w:rPr>
          <w:b w:val="0"/>
          <w:caps w:val="0"/>
          <w:szCs w:val="24"/>
        </w:rPr>
        <w:fldChar w:fldCharType="end"/>
      </w:r>
    </w:p>
    <w:p w:rsidR="007B62B7" w:rsidRDefault="007B62B7" w:rsidP="007B62B7">
      <w:pPr>
        <w:pStyle w:val="BodyText"/>
        <w:spacing w:after="0" w:line="360" w:lineRule="auto"/>
        <w:ind w:left="720" w:firstLine="0"/>
        <w:rPr>
          <w:szCs w:val="24"/>
          <w:lang w:val="en-US"/>
        </w:rPr>
      </w:pPr>
    </w:p>
    <w:p w:rsidR="007B62B7" w:rsidRDefault="007B62B7" w:rsidP="009D13FA">
      <w:pPr>
        <w:pStyle w:val="BodyText"/>
        <w:spacing w:after="0" w:line="360" w:lineRule="auto"/>
        <w:ind w:left="0" w:firstLine="720"/>
        <w:rPr>
          <w:szCs w:val="24"/>
          <w:lang w:val="en-US"/>
        </w:rPr>
      </w:pPr>
      <w:r>
        <w:rPr>
          <w:szCs w:val="24"/>
          <w:lang w:val="en-US"/>
        </w:rPr>
        <w:tab/>
        <w:t>The parties stipulated to the following provisions in t</w:t>
      </w:r>
      <w:r w:rsidR="007E102F">
        <w:rPr>
          <w:szCs w:val="24"/>
          <w:lang w:val="en-US"/>
        </w:rPr>
        <w:t>he Settlement concerning the TOU Program</w:t>
      </w:r>
      <w:r>
        <w:rPr>
          <w:szCs w:val="24"/>
          <w:lang w:val="en-US"/>
        </w:rPr>
        <w:t>:</w:t>
      </w:r>
    </w:p>
    <w:p w:rsidR="006D47C0" w:rsidRPr="007E102F" w:rsidRDefault="006D47C0" w:rsidP="007E102F">
      <w:pPr>
        <w:pStyle w:val="BriefL3"/>
        <w:numPr>
          <w:ilvl w:val="0"/>
          <w:numId w:val="0"/>
        </w:numPr>
        <w:spacing w:after="0"/>
        <w:rPr>
          <w:szCs w:val="24"/>
        </w:rPr>
      </w:pPr>
    </w:p>
    <w:p w:rsidR="007E102F" w:rsidRDefault="007E102F" w:rsidP="000C0B17">
      <w:pPr>
        <w:pStyle w:val="BriefL3"/>
        <w:numPr>
          <w:ilvl w:val="0"/>
          <w:numId w:val="9"/>
        </w:numPr>
        <w:spacing w:after="0"/>
        <w:ind w:left="2160" w:right="720"/>
      </w:pPr>
      <w:r>
        <w:rPr>
          <w:szCs w:val="24"/>
        </w:rPr>
        <w:t xml:space="preserve">Duquesne Light’s </w:t>
      </w:r>
      <w:r w:rsidRPr="007E102F">
        <w:t>TOU Program for the first year of DSP VII will be approved for Residential (other than those customers enrolled in Duquesne Light’s Customer Assistance</w:t>
      </w:r>
      <w:r>
        <w:t xml:space="preserve"> Program (“CAP”)), Small C&amp;I and Medium C&amp;I customers with interval meters, as long as the customer also has the necessary data collection and communications systems in place, and the systems have been successfully tested.  CAP customers will not be eligible for the TOU Program in the first year of DSP VII because issues regarding CAP portability have not been finally determined at this time, and there will be a limited window for TOU enrollment in the first year of DSP VII.  </w:t>
      </w:r>
    </w:p>
    <w:p w:rsidR="007E102F" w:rsidRDefault="007E102F" w:rsidP="000C0B17">
      <w:pPr>
        <w:pStyle w:val="BriefL3"/>
        <w:numPr>
          <w:ilvl w:val="0"/>
          <w:numId w:val="0"/>
        </w:numPr>
        <w:spacing w:after="0"/>
        <w:ind w:left="2160" w:hanging="720"/>
      </w:pPr>
    </w:p>
    <w:p w:rsidR="007E102F" w:rsidRPr="007E102F" w:rsidRDefault="007E102F" w:rsidP="000C0B17">
      <w:pPr>
        <w:pStyle w:val="BriefL3"/>
        <w:numPr>
          <w:ilvl w:val="0"/>
          <w:numId w:val="9"/>
        </w:numPr>
        <w:spacing w:after="0"/>
        <w:ind w:left="2160"/>
        <w:rPr>
          <w:lang w:val="x-none"/>
        </w:rPr>
      </w:pPr>
      <w:r>
        <w:t xml:space="preserve">Duquesne Light will conduct a collaborative to develop a TOU Program and cost recovery mechanism for the year commencing June 1, 2016 and ending May 31, 2017, to identify ways to permit multiple EGSs to participate in a TOU offering(s) and will explore how to effectively integrate the TOU Program with CAP provided that general issues regarding CAP portability have otherwise been decided by the Commission.  In order to permit the Company time to identify new options available for TOU service and assess necessary TOU Program changes to potentially integrate CAP customers if CAP portability issues have been decided, the collaborative will commence no later than June 30, 2015.  The collaborative will continue for 60 days.  Following the collaborative, the Company will file with the Commission by September 30, 2015, a TOU Program proposal reflecting any consensus that has been achieved and the Company’s proposal on unresolved issues.  The Commission will provide an opportunity for comments by interested parties, and issue a final order by January 31, </w:t>
      </w:r>
      <w:proofErr w:type="gramStart"/>
      <w:r>
        <w:t>2016,</w:t>
      </w:r>
      <w:proofErr w:type="gramEnd"/>
      <w:r>
        <w:t xml:space="preserve"> so that any actions necessary to commence the approved TOU program commencing June 1, 2016 can be completed.</w:t>
      </w:r>
    </w:p>
    <w:p w:rsidR="007E102F" w:rsidRDefault="007E102F" w:rsidP="007E102F">
      <w:pPr>
        <w:pStyle w:val="ListNumber"/>
        <w:numPr>
          <w:ilvl w:val="0"/>
          <w:numId w:val="0"/>
        </w:numPr>
        <w:spacing w:after="0" w:line="240" w:lineRule="auto"/>
        <w:ind w:left="720"/>
        <w:jc w:val="both"/>
        <w:rPr>
          <w:lang w:val="en-US"/>
        </w:rPr>
      </w:pPr>
    </w:p>
    <w:p w:rsidR="0031769A" w:rsidRPr="0031769A" w:rsidRDefault="0031769A" w:rsidP="007E102F">
      <w:pPr>
        <w:pStyle w:val="ListNumber"/>
        <w:numPr>
          <w:ilvl w:val="0"/>
          <w:numId w:val="0"/>
        </w:numPr>
        <w:spacing w:after="0" w:line="240" w:lineRule="auto"/>
        <w:ind w:left="720"/>
        <w:jc w:val="both"/>
        <w:rPr>
          <w:lang w:val="en-US"/>
        </w:rPr>
      </w:pPr>
    </w:p>
    <w:p w:rsidR="006D47C0" w:rsidRPr="009858AC" w:rsidRDefault="006D47C0" w:rsidP="00F27AA9">
      <w:pPr>
        <w:pStyle w:val="ListParagraph"/>
        <w:numPr>
          <w:ilvl w:val="0"/>
          <w:numId w:val="25"/>
        </w:numPr>
        <w:spacing w:line="360" w:lineRule="auto"/>
        <w:ind w:left="1440" w:hanging="720"/>
        <w:rPr>
          <w:color w:val="000000" w:themeColor="text1"/>
          <w:u w:val="single"/>
        </w:rPr>
      </w:pPr>
      <w:r w:rsidRPr="009858AC">
        <w:rPr>
          <w:u w:val="single"/>
        </w:rPr>
        <w:t xml:space="preserve">Disposition </w:t>
      </w:r>
      <w:r w:rsidR="00E15AFB" w:rsidRPr="009858AC">
        <w:rPr>
          <w:u w:val="single"/>
        </w:rPr>
        <w:t>–</w:t>
      </w:r>
      <w:r w:rsidRPr="009858AC">
        <w:rPr>
          <w:u w:val="single"/>
        </w:rPr>
        <w:t xml:space="preserve"> </w:t>
      </w:r>
      <w:r w:rsidR="00E15AFB" w:rsidRPr="009858AC">
        <w:rPr>
          <w:color w:val="000000" w:themeColor="text1"/>
          <w:u w:val="single"/>
        </w:rPr>
        <w:t>Time-of-Use Program</w:t>
      </w:r>
    </w:p>
    <w:p w:rsidR="006D47C0" w:rsidRDefault="006D47C0" w:rsidP="006D47C0">
      <w:pPr>
        <w:spacing w:line="360" w:lineRule="auto"/>
        <w:rPr>
          <w:color w:val="000000" w:themeColor="text1"/>
        </w:rPr>
      </w:pPr>
    </w:p>
    <w:p w:rsidR="000B1507" w:rsidRPr="00B730CB" w:rsidRDefault="009561EA" w:rsidP="000B1507">
      <w:pPr>
        <w:spacing w:line="360" w:lineRule="auto"/>
      </w:pPr>
      <w:r>
        <w:tab/>
      </w:r>
      <w:r>
        <w:tab/>
      </w:r>
      <w:r w:rsidR="000B1507" w:rsidRPr="00B730CB">
        <w:t>Currently there are or will be 10,000 Residential and Small C&amp;I customers with Smart Meters who would be eligible for the TOU program, as of June 1, 2015.  In addition, DLC anticipates 100,000 more customers will have Smart Meters and become eligible for the TOU program as of June 1, 2016 and an additional 23,000 Medium C&amp;I customers with interval meters who be eligible from June 1, 2015 through May 31, 2017.</w:t>
      </w:r>
      <w:r w:rsidR="000B1507">
        <w:t xml:space="preserve">  The Company proposed three TOU rate time period</w:t>
      </w:r>
      <w:r w:rsidR="00E93873">
        <w:t>s</w:t>
      </w:r>
      <w:r w:rsidR="000B1507">
        <w:t xml:space="preserve"> throughout the year and proposed to issue two RFPs to suppliers: (1) to cover TOU supply from June 2015 to May 2016 and (2) to cover TOU supply from June 2016 to May 2017.  A single supplier would be selected as the winning supplier for each of the two program periods.  </w:t>
      </w:r>
    </w:p>
    <w:p w:rsidR="000B1507" w:rsidRPr="00B730CB" w:rsidRDefault="000B1507" w:rsidP="000B1507">
      <w:pPr>
        <w:spacing w:line="360" w:lineRule="auto"/>
      </w:pPr>
    </w:p>
    <w:p w:rsidR="000B1507" w:rsidRPr="00B730CB" w:rsidRDefault="000B1507" w:rsidP="000B1507">
      <w:pPr>
        <w:spacing w:line="360" w:lineRule="auto"/>
        <w:ind w:firstLine="1440"/>
      </w:pPr>
      <w:r w:rsidRPr="00B730CB">
        <w:t xml:space="preserve">The parties agreed to approve the TOU program </w:t>
      </w:r>
      <w:r>
        <w:t xml:space="preserve">as proposed </w:t>
      </w:r>
      <w:r w:rsidRPr="00B730CB">
        <w:t xml:space="preserve">for </w:t>
      </w:r>
      <w:r>
        <w:t>non-CAP R</w:t>
      </w:r>
      <w:r w:rsidRPr="00B730CB">
        <w:t>esidential</w:t>
      </w:r>
      <w:r>
        <w:t xml:space="preserve"> </w:t>
      </w:r>
      <w:r w:rsidRPr="00B730CB">
        <w:t xml:space="preserve">customers plus for Small C&amp;I and Medium C&amp;I customers with </w:t>
      </w:r>
      <w:r>
        <w:t xml:space="preserve">successfully tested </w:t>
      </w:r>
      <w:r w:rsidRPr="00B730CB">
        <w:t xml:space="preserve">interval meters.  The Company agreed to conduct a collaborative to develop a TOU program and cost recovery mechanism for the program year commencing June 1, 2016 and ending May 31, 2017.  Through the collaborative, DLC will identify ways to permit multiple suppliers to participate in a TOU offering, and explore ways to effectively integrate TOU with the CAP program if the Commission resolves general issues regarding CAP portability.  </w:t>
      </w:r>
    </w:p>
    <w:p w:rsidR="000B1507" w:rsidRPr="00B730CB" w:rsidRDefault="000B1507" w:rsidP="000B1507">
      <w:pPr>
        <w:spacing w:line="360" w:lineRule="auto"/>
      </w:pPr>
    </w:p>
    <w:p w:rsidR="000B1507" w:rsidRPr="00B730CB" w:rsidRDefault="000B1507" w:rsidP="000B1507">
      <w:pPr>
        <w:spacing w:line="360" w:lineRule="auto"/>
      </w:pPr>
      <w:r w:rsidRPr="00B730CB">
        <w:tab/>
      </w:r>
      <w:r w:rsidRPr="00B730CB">
        <w:tab/>
      </w:r>
      <w:r w:rsidR="00E93873">
        <w:t>By September 30, 2015, t</w:t>
      </w:r>
      <w:r w:rsidRPr="00B730CB">
        <w:t>he Company will file its proposal with the Commission for how to develop the TOU program</w:t>
      </w:r>
      <w:r w:rsidR="00E93873">
        <w:t xml:space="preserve"> </w:t>
      </w:r>
      <w:r w:rsidRPr="00B730CB">
        <w:t>which will reflect any consensus achieved by the collaborative and includes DLC’s proposal on how to handle the unresolved issues.  The collaborative would request the Commission issues its Final Order in that proceeding by January</w:t>
      </w:r>
      <w:r w:rsidR="00D53569">
        <w:t> </w:t>
      </w:r>
      <w:r w:rsidRPr="00B730CB">
        <w:t xml:space="preserve">31, 2016 after providing a comment period first.  </w:t>
      </w:r>
    </w:p>
    <w:p w:rsidR="000B1507" w:rsidRPr="00593870" w:rsidRDefault="000B1507" w:rsidP="000B1507">
      <w:pPr>
        <w:spacing w:line="360" w:lineRule="auto"/>
      </w:pPr>
    </w:p>
    <w:p w:rsidR="000B1507" w:rsidRDefault="000B1507" w:rsidP="000B1507">
      <w:pPr>
        <w:spacing w:line="360" w:lineRule="auto"/>
        <w:rPr>
          <w:color w:val="000000" w:themeColor="text1"/>
        </w:rPr>
      </w:pPr>
      <w:r w:rsidRPr="00593870">
        <w:tab/>
      </w:r>
      <w:r w:rsidRPr="00593870">
        <w:tab/>
      </w:r>
      <w:r w:rsidRPr="00593870">
        <w:rPr>
          <w:color w:val="000000" w:themeColor="text1"/>
        </w:rPr>
        <w:t xml:space="preserve">I recommend </w:t>
      </w:r>
      <w:r>
        <w:rPr>
          <w:color w:val="000000" w:themeColor="text1"/>
        </w:rPr>
        <w:t>this proposed settlement term should</w:t>
      </w:r>
      <w:r w:rsidRPr="00593870">
        <w:rPr>
          <w:color w:val="000000" w:themeColor="text1"/>
        </w:rPr>
        <w:t xml:space="preserve"> be approved</w:t>
      </w:r>
      <w:r>
        <w:rPr>
          <w:color w:val="000000" w:themeColor="text1"/>
        </w:rPr>
        <w:t xml:space="preserve"> as in the public interest</w:t>
      </w:r>
      <w:r w:rsidRPr="00593870">
        <w:rPr>
          <w:color w:val="000000" w:themeColor="text1"/>
        </w:rPr>
        <w:t>.</w:t>
      </w:r>
      <w:r>
        <w:rPr>
          <w:color w:val="000000" w:themeColor="text1"/>
        </w:rPr>
        <w:t xml:space="preserve">  The </w:t>
      </w:r>
      <w:r w:rsidR="0014613A">
        <w:rPr>
          <w:color w:val="000000" w:themeColor="text1"/>
        </w:rPr>
        <w:t>S</w:t>
      </w:r>
      <w:r>
        <w:rPr>
          <w:color w:val="000000" w:themeColor="text1"/>
        </w:rPr>
        <w:t>ettlement allows DLC to implement the TOU program for the first year</w:t>
      </w:r>
      <w:r w:rsidR="00065DF4">
        <w:rPr>
          <w:color w:val="000000" w:themeColor="text1"/>
        </w:rPr>
        <w:t xml:space="preserve"> and expand the program’s availability thereafter.  The </w:t>
      </w:r>
      <w:r w:rsidR="0014613A">
        <w:rPr>
          <w:color w:val="000000" w:themeColor="text1"/>
        </w:rPr>
        <w:t>s</w:t>
      </w:r>
      <w:r w:rsidR="00065DF4">
        <w:rPr>
          <w:color w:val="000000" w:themeColor="text1"/>
        </w:rPr>
        <w:t>ettlement term</w:t>
      </w:r>
      <w:r>
        <w:rPr>
          <w:color w:val="000000" w:themeColor="text1"/>
        </w:rPr>
        <w:t xml:space="preserve"> contains a mechanism and forum for collecting alternative ideas that might create a TOU program with multiple suppliers instead of the one supplier anticipated through the original proposal.  Furthermore, there are not many eligible TOU customers for the first year of the TOU program and the collaborative will likely produce a consensus for changes that can implemented after more customers become eligible for the TOU program.  </w:t>
      </w:r>
    </w:p>
    <w:p w:rsidR="006D47C0" w:rsidRDefault="006D47C0" w:rsidP="001A048F">
      <w:pPr>
        <w:pStyle w:val="BodyText2"/>
        <w:spacing w:after="0"/>
        <w:rPr>
          <w:lang w:val="en-US"/>
        </w:rPr>
      </w:pPr>
    </w:p>
    <w:p w:rsidR="00EF3337" w:rsidRPr="00AE6093" w:rsidRDefault="00EF3337" w:rsidP="001A048F">
      <w:pPr>
        <w:pStyle w:val="BodyText2"/>
        <w:spacing w:after="0"/>
        <w:rPr>
          <w:lang w:val="en-US"/>
        </w:rPr>
      </w:pPr>
    </w:p>
    <w:p w:rsidR="006D47C0" w:rsidRPr="008F3889" w:rsidRDefault="006D47C0" w:rsidP="006D47C0">
      <w:pPr>
        <w:pStyle w:val="BriefL1"/>
        <w:numPr>
          <w:ilvl w:val="0"/>
          <w:numId w:val="0"/>
        </w:numPr>
        <w:spacing w:after="0" w:line="360" w:lineRule="auto"/>
        <w:jc w:val="left"/>
        <w:rPr>
          <w:szCs w:val="24"/>
        </w:rPr>
      </w:pPr>
      <w:r w:rsidRPr="00AE6093">
        <w:rPr>
          <w:b w:val="0"/>
          <w:szCs w:val="24"/>
        </w:rPr>
        <w:t>G.</w:t>
      </w:r>
      <w:r w:rsidRPr="00AE6093">
        <w:rPr>
          <w:b w:val="0"/>
          <w:szCs w:val="24"/>
        </w:rPr>
        <w:tab/>
      </w:r>
      <w:r w:rsidR="00E15AFB" w:rsidRPr="009858AC">
        <w:rPr>
          <w:b w:val="0"/>
          <w:caps w:val="0"/>
          <w:szCs w:val="24"/>
          <w:u w:val="single"/>
        </w:rPr>
        <w:t>Supply Master Agreement Issues</w:t>
      </w:r>
      <w:r w:rsidRPr="008F3889">
        <w:rPr>
          <w:caps w:val="0"/>
          <w:szCs w:val="24"/>
        </w:rPr>
        <w:fldChar w:fldCharType="begin"/>
      </w:r>
      <w:r w:rsidRPr="008F3889">
        <w:rPr>
          <w:szCs w:val="24"/>
        </w:rPr>
        <w:instrText xml:space="preserve"> TC "A.</w:instrText>
      </w:r>
      <w:r w:rsidRPr="008F3889">
        <w:rPr>
          <w:szCs w:val="24"/>
        </w:rPr>
        <w:tab/>
        <w:instrText>D</w:instrText>
      </w:r>
      <w:r w:rsidRPr="008F3889">
        <w:rPr>
          <w:caps w:val="0"/>
          <w:szCs w:val="24"/>
        </w:rPr>
        <w:instrText>efault Service Procurement and Implementation Plans</w:instrText>
      </w:r>
      <w:r w:rsidRPr="008F3889">
        <w:rPr>
          <w:szCs w:val="24"/>
        </w:rPr>
        <w:instrText xml:space="preserve">" \f C \l "2" </w:instrText>
      </w:r>
      <w:r w:rsidRPr="008F3889">
        <w:rPr>
          <w:caps w:val="0"/>
          <w:szCs w:val="24"/>
        </w:rPr>
        <w:fldChar w:fldCharType="end"/>
      </w:r>
    </w:p>
    <w:p w:rsidR="007E102F" w:rsidRDefault="007E102F" w:rsidP="007E102F">
      <w:pPr>
        <w:pStyle w:val="BodyText"/>
        <w:spacing w:after="0" w:line="360" w:lineRule="auto"/>
        <w:ind w:left="720" w:firstLine="0"/>
        <w:rPr>
          <w:szCs w:val="24"/>
          <w:lang w:val="en-US"/>
        </w:rPr>
      </w:pPr>
    </w:p>
    <w:p w:rsidR="007E102F" w:rsidRDefault="007E102F" w:rsidP="007E102F">
      <w:pPr>
        <w:pStyle w:val="BodyText"/>
        <w:spacing w:after="0" w:line="360" w:lineRule="auto"/>
        <w:ind w:left="720" w:firstLine="0"/>
        <w:rPr>
          <w:szCs w:val="24"/>
          <w:lang w:val="en-US"/>
        </w:rPr>
      </w:pPr>
      <w:r>
        <w:rPr>
          <w:szCs w:val="24"/>
          <w:lang w:val="en-US"/>
        </w:rPr>
        <w:tab/>
      </w:r>
      <w:r>
        <w:rPr>
          <w:szCs w:val="24"/>
          <w:lang w:val="en-US"/>
        </w:rPr>
        <w:tab/>
        <w:t>The parties stipulated to the following provisions in the Settlement concerning the Supply Master Agreement Issues:</w:t>
      </w:r>
    </w:p>
    <w:p w:rsidR="006D47C0" w:rsidRDefault="006D47C0" w:rsidP="007E102F">
      <w:pPr>
        <w:pStyle w:val="BriefL3"/>
        <w:numPr>
          <w:ilvl w:val="0"/>
          <w:numId w:val="0"/>
        </w:numPr>
        <w:spacing w:after="0"/>
        <w:ind w:left="1440" w:firstLine="720"/>
        <w:rPr>
          <w:szCs w:val="24"/>
        </w:rPr>
      </w:pPr>
    </w:p>
    <w:p w:rsidR="007E102F" w:rsidRDefault="007E102F" w:rsidP="007E102F">
      <w:pPr>
        <w:pStyle w:val="BriefL3"/>
        <w:numPr>
          <w:ilvl w:val="0"/>
          <w:numId w:val="0"/>
        </w:numPr>
        <w:spacing w:after="0"/>
        <w:ind w:left="1440" w:firstLine="720"/>
      </w:pPr>
      <w:r>
        <w:rPr>
          <w:szCs w:val="24"/>
        </w:rPr>
        <w:t xml:space="preserve">1. </w:t>
      </w:r>
      <w:r>
        <w:rPr>
          <w:szCs w:val="24"/>
        </w:rPr>
        <w:tab/>
        <w:t xml:space="preserve">The Company’s </w:t>
      </w:r>
      <w:r>
        <w:t>proposed SMA is adopted, including the revisions agreed to by the Company in its rebuttal testimony, and the following revisions:</w:t>
      </w:r>
    </w:p>
    <w:p w:rsidR="007E102F" w:rsidRPr="007E102F" w:rsidRDefault="007E102F" w:rsidP="007E102F">
      <w:pPr>
        <w:pStyle w:val="BriefL3"/>
        <w:numPr>
          <w:ilvl w:val="0"/>
          <w:numId w:val="0"/>
        </w:numPr>
        <w:spacing w:after="0"/>
        <w:ind w:left="1440" w:firstLine="720"/>
        <w:rPr>
          <w:szCs w:val="24"/>
        </w:rPr>
      </w:pPr>
    </w:p>
    <w:p w:rsidR="007E102F" w:rsidRDefault="007E102F" w:rsidP="007E102F">
      <w:pPr>
        <w:pStyle w:val="ListNumber"/>
        <w:numPr>
          <w:ilvl w:val="0"/>
          <w:numId w:val="0"/>
        </w:numPr>
        <w:spacing w:line="240" w:lineRule="auto"/>
        <w:ind w:left="2880" w:hanging="720"/>
        <w:rPr>
          <w:lang w:val="en-US"/>
        </w:rPr>
      </w:pPr>
      <w:r>
        <w:t>a)</w:t>
      </w:r>
      <w:r>
        <w:tab/>
      </w:r>
      <w:r w:rsidRPr="005451CA">
        <w:t>Duquesne Light agrees to revise the definition of “Termination Payment” to read as follows:  “A payment resulting from an Early Termination that is calculated in accordance with Article 5.4.”</w:t>
      </w:r>
    </w:p>
    <w:p w:rsidR="007E102F" w:rsidRPr="007E102F" w:rsidRDefault="007E102F" w:rsidP="007E102F">
      <w:pPr>
        <w:pStyle w:val="ListNumber"/>
        <w:numPr>
          <w:ilvl w:val="0"/>
          <w:numId w:val="0"/>
        </w:numPr>
        <w:spacing w:line="240" w:lineRule="auto"/>
        <w:ind w:left="2880" w:hanging="720"/>
        <w:rPr>
          <w:lang w:val="en-US"/>
        </w:rPr>
      </w:pPr>
    </w:p>
    <w:p w:rsidR="007E102F" w:rsidRDefault="007E102F" w:rsidP="007E102F">
      <w:pPr>
        <w:pStyle w:val="ListNumber"/>
        <w:numPr>
          <w:ilvl w:val="0"/>
          <w:numId w:val="0"/>
        </w:numPr>
        <w:spacing w:line="240" w:lineRule="auto"/>
        <w:ind w:left="1440" w:firstLine="720"/>
      </w:pPr>
      <w:r>
        <w:t>b)</w:t>
      </w:r>
      <w:r>
        <w:tab/>
        <w:t>Duquesne Light will revise the following Section of Article 5.4:</w:t>
      </w:r>
    </w:p>
    <w:p w:rsidR="007E102F" w:rsidRDefault="007E102F" w:rsidP="007E102F">
      <w:pPr>
        <w:pStyle w:val="Quote"/>
        <w:ind w:left="3600"/>
      </w:pPr>
      <w:r>
        <w:t>“The DS Supplier may, in its sole discretion, select the notional quantity in the following subsection 5.4(a)(i) by indicating yes or no on Appendix E.  If the DS Supplier does not select subsection 5.4(a)(i) it will be deemed to be excluded from this Agreement.  [CHECK BOX]”</w:t>
      </w:r>
    </w:p>
    <w:p w:rsidR="007E102F" w:rsidRDefault="007E102F" w:rsidP="007E102F">
      <w:pPr>
        <w:pStyle w:val="Quote"/>
        <w:ind w:left="2160" w:firstLine="720"/>
      </w:pPr>
      <w:r>
        <w:t>to read as follows:</w:t>
      </w:r>
    </w:p>
    <w:p w:rsidR="007E102F" w:rsidRDefault="007E102F" w:rsidP="007E102F">
      <w:pPr>
        <w:pStyle w:val="ListNumber"/>
        <w:numPr>
          <w:ilvl w:val="0"/>
          <w:numId w:val="0"/>
        </w:numPr>
        <w:spacing w:line="240" w:lineRule="auto"/>
        <w:ind w:left="3600"/>
        <w:rPr>
          <w:lang w:val="en-US"/>
        </w:rPr>
      </w:pPr>
      <w:r>
        <w:t>“</w:t>
      </w:r>
      <w:r>
        <w:sym w:font="Symbol" w:char="F0F0"/>
      </w:r>
      <w:r>
        <w:t xml:space="preserve"> The DS Supplier may, in its sole discretion, add the following subsection 5.4(a)(1) by checking this box.  If DS Supplier does not check this box, subsection 5.4(a)(1) will be deemed to be excluded from this Agreement.”</w:t>
      </w:r>
    </w:p>
    <w:p w:rsidR="007E102F" w:rsidRPr="007E102F" w:rsidRDefault="007E102F" w:rsidP="007E102F">
      <w:pPr>
        <w:pStyle w:val="ListNumber"/>
        <w:numPr>
          <w:ilvl w:val="0"/>
          <w:numId w:val="0"/>
        </w:numPr>
        <w:spacing w:line="240" w:lineRule="auto"/>
        <w:ind w:left="3600"/>
        <w:rPr>
          <w:lang w:val="en-US"/>
        </w:rPr>
      </w:pPr>
    </w:p>
    <w:p w:rsidR="007E102F" w:rsidRDefault="007E102F" w:rsidP="007E102F">
      <w:pPr>
        <w:pStyle w:val="ListNumber"/>
        <w:numPr>
          <w:ilvl w:val="0"/>
          <w:numId w:val="0"/>
        </w:numPr>
        <w:spacing w:line="240" w:lineRule="auto"/>
        <w:ind w:left="1440" w:firstLine="720"/>
      </w:pPr>
      <w:r>
        <w:t>c)</w:t>
      </w:r>
      <w:r>
        <w:tab/>
        <w:t>The Company will revise Article 6.7 of its SMA as follows:</w:t>
      </w:r>
    </w:p>
    <w:p w:rsidR="007E102F" w:rsidRDefault="007E102F" w:rsidP="007E102F">
      <w:pPr>
        <w:pStyle w:val="BlockText"/>
        <w:ind w:left="3600"/>
      </w:pPr>
      <w:r>
        <w:rPr>
          <w:b/>
        </w:rPr>
        <w:t xml:space="preserve">6.7 Security </w:t>
      </w:r>
      <w:proofErr w:type="gramStart"/>
      <w:r>
        <w:rPr>
          <w:b/>
        </w:rPr>
        <w:t>Instruments</w:t>
      </w:r>
      <w:r>
        <w:t xml:space="preserve">  At</w:t>
      </w:r>
      <w:proofErr w:type="gramEnd"/>
      <w:r>
        <w:t xml:space="preserve"> each DS Supplier’s choice, the following are deemed to be acceptable methods for posting security, if required:</w:t>
      </w:r>
    </w:p>
    <w:p w:rsidR="007E102F" w:rsidRDefault="007E102F" w:rsidP="007E102F">
      <w:pPr>
        <w:pStyle w:val="ListNumber"/>
        <w:numPr>
          <w:ilvl w:val="0"/>
          <w:numId w:val="0"/>
        </w:numPr>
        <w:spacing w:line="240" w:lineRule="auto"/>
        <w:ind w:left="3600"/>
      </w:pPr>
      <w:r>
        <w:t>(a) Cash; or</w:t>
      </w:r>
    </w:p>
    <w:p w:rsidR="007E102F" w:rsidRDefault="007E102F" w:rsidP="007E102F">
      <w:pPr>
        <w:pStyle w:val="ListNumber"/>
        <w:numPr>
          <w:ilvl w:val="0"/>
          <w:numId w:val="0"/>
        </w:numPr>
        <w:spacing w:line="240" w:lineRule="auto"/>
        <w:ind w:left="3600"/>
        <w:rPr>
          <w:lang w:val="en-US"/>
        </w:rPr>
      </w:pPr>
      <w:r>
        <w:t xml:space="preserve">(b) A standby irrevocable letter of credit acceptable to the Company, in its sole discretion, issued by a bank or other financial institution with a minimum </w:t>
      </w:r>
      <w:r w:rsidRPr="00B76CBD">
        <w:rPr>
          <w:strike/>
        </w:rPr>
        <w:t>[“A”]</w:t>
      </w:r>
      <w:r>
        <w:t xml:space="preserve"> “A-” senior unsecured debt rating (or, if unavailable, corporate issuer rating discounted one notch) from S&amp;P and </w:t>
      </w:r>
      <w:r w:rsidRPr="00B76CBD">
        <w:rPr>
          <w:strike/>
        </w:rPr>
        <w:t>[“A2”]</w:t>
      </w:r>
      <w:r>
        <w:t xml:space="preserve"> “A3” from Moody’s (see standard format in Appendix __).</w:t>
      </w:r>
    </w:p>
    <w:p w:rsidR="007E102F" w:rsidRDefault="007E102F" w:rsidP="00CE67E7">
      <w:pPr>
        <w:pStyle w:val="ListNumber"/>
        <w:numPr>
          <w:ilvl w:val="0"/>
          <w:numId w:val="0"/>
        </w:numPr>
        <w:spacing w:after="0" w:line="240" w:lineRule="auto"/>
        <w:ind w:left="2880" w:hanging="720"/>
        <w:rPr>
          <w:lang w:val="en-US"/>
        </w:rPr>
      </w:pPr>
      <w:r>
        <w:t>d)</w:t>
      </w:r>
      <w:r>
        <w:tab/>
      </w:r>
      <w:r w:rsidRPr="00CC6C58">
        <w:t>The first sentence of Paragraph 2 in Appendix E shall be replaced with the following:  “AECs shall be provided on a six (6) month basis or at the end of any Delivery Period, if the Delivery Period is less than six (6) months, and shall be transferred to the Company within 30 days from the final day of any such six month period or Delivery Period; provided; however, that if the term of any Delivery Period includes two different AEPS reporting years, then DS Supplier shall provide the AECs required for the first AEPS reporting year by June 30th of each year.”</w:t>
      </w:r>
    </w:p>
    <w:p w:rsidR="00CE67E7" w:rsidRDefault="00CE67E7" w:rsidP="00CE67E7">
      <w:pPr>
        <w:pStyle w:val="ListNumber"/>
        <w:numPr>
          <w:ilvl w:val="0"/>
          <w:numId w:val="0"/>
        </w:numPr>
        <w:spacing w:after="0" w:line="240" w:lineRule="auto"/>
        <w:ind w:left="2880" w:hanging="720"/>
        <w:rPr>
          <w:lang w:val="en-US"/>
        </w:rPr>
      </w:pPr>
    </w:p>
    <w:p w:rsidR="00CE67E7" w:rsidRPr="00CE67E7" w:rsidRDefault="00CE67E7" w:rsidP="00CE67E7">
      <w:pPr>
        <w:pStyle w:val="ListNumber"/>
        <w:numPr>
          <w:ilvl w:val="0"/>
          <w:numId w:val="0"/>
        </w:numPr>
        <w:spacing w:after="0" w:line="240" w:lineRule="auto"/>
        <w:ind w:left="2880" w:hanging="720"/>
        <w:rPr>
          <w:lang w:val="en-US"/>
        </w:rPr>
      </w:pPr>
    </w:p>
    <w:p w:rsidR="006D47C0" w:rsidRPr="009858AC" w:rsidRDefault="006D47C0" w:rsidP="00DE15F6">
      <w:pPr>
        <w:pStyle w:val="ListParagraph"/>
        <w:numPr>
          <w:ilvl w:val="0"/>
          <w:numId w:val="26"/>
        </w:numPr>
        <w:spacing w:line="360" w:lineRule="auto"/>
        <w:ind w:left="1440" w:hanging="720"/>
        <w:rPr>
          <w:color w:val="000000" w:themeColor="text1"/>
          <w:u w:val="single"/>
        </w:rPr>
      </w:pPr>
      <w:r w:rsidRPr="009858AC">
        <w:rPr>
          <w:u w:val="single"/>
        </w:rPr>
        <w:t>Disposition</w:t>
      </w:r>
      <w:r w:rsidRPr="009858AC">
        <w:rPr>
          <w:color w:val="000000" w:themeColor="text1"/>
          <w:u w:val="single"/>
        </w:rPr>
        <w:t xml:space="preserve"> </w:t>
      </w:r>
      <w:r w:rsidR="00E15AFB" w:rsidRPr="009858AC">
        <w:rPr>
          <w:color w:val="000000" w:themeColor="text1"/>
          <w:u w:val="single"/>
        </w:rPr>
        <w:t>–</w:t>
      </w:r>
      <w:r w:rsidRPr="009858AC">
        <w:rPr>
          <w:color w:val="000000" w:themeColor="text1"/>
          <w:u w:val="single"/>
        </w:rPr>
        <w:t xml:space="preserve"> </w:t>
      </w:r>
      <w:r w:rsidR="00E15AFB" w:rsidRPr="009858AC">
        <w:rPr>
          <w:color w:val="000000" w:themeColor="text1"/>
          <w:u w:val="single"/>
        </w:rPr>
        <w:t>Supply Master Agreement Issues</w:t>
      </w:r>
    </w:p>
    <w:p w:rsidR="006D47C0" w:rsidRPr="00AE6093" w:rsidRDefault="006D47C0" w:rsidP="006C3E25">
      <w:pPr>
        <w:spacing w:line="360" w:lineRule="auto"/>
        <w:rPr>
          <w:color w:val="000000" w:themeColor="text1"/>
        </w:rPr>
      </w:pPr>
    </w:p>
    <w:p w:rsidR="00EF7A10" w:rsidRPr="00B730CB" w:rsidRDefault="006C3E25" w:rsidP="00EF7A10">
      <w:pPr>
        <w:spacing w:line="360" w:lineRule="auto"/>
      </w:pPr>
      <w:r w:rsidRPr="00AE6093">
        <w:rPr>
          <w:color w:val="000000" w:themeColor="text1"/>
        </w:rPr>
        <w:tab/>
      </w:r>
      <w:r w:rsidRPr="00AE6093">
        <w:rPr>
          <w:color w:val="000000" w:themeColor="text1"/>
        </w:rPr>
        <w:tab/>
      </w:r>
      <w:r w:rsidR="00EF7A10">
        <w:t>DLC proposed to provide a SMA to procure supply for DSP customers through full-requirements contracts using a template developed through the Procurement Collaboration Working Group of Electric Distribution Companies in Pennsylvania.</w:t>
      </w:r>
      <w:r w:rsidR="00EF7A10">
        <w:rPr>
          <w:rStyle w:val="FootnoteReference"/>
        </w:rPr>
        <w:footnoteReference w:id="59"/>
      </w:r>
      <w:r w:rsidR="00EF7A10">
        <w:t xml:space="preserve">  The parties agreed to this proposal with four modifications:  (1) to revise the definition of “Termination Payment” to read “A payment resulting from an Early Termination that is calculated in accordance with Article 5.4; (2) to revise Article 5.4 of the SMA to permit the supplier to check a box rather than indicate “yes” or “no”; (3) to revise Article 6.7 of the SMA to change the acceptable ratings for suppliers; and (4) to replace the first sentence of Paragraph 2 in Appendix E concerning AECs with specific language.</w:t>
      </w:r>
      <w:r w:rsidR="00EF7A10">
        <w:rPr>
          <w:rStyle w:val="FootnoteReference"/>
        </w:rPr>
        <w:footnoteReference w:id="60"/>
      </w:r>
      <w:r w:rsidR="00EF7A10">
        <w:t xml:space="preserve">   </w:t>
      </w:r>
    </w:p>
    <w:p w:rsidR="00EF7A10" w:rsidRPr="00593870" w:rsidRDefault="00EF7A10" w:rsidP="00EF7A10">
      <w:pPr>
        <w:spacing w:line="360" w:lineRule="auto"/>
      </w:pPr>
    </w:p>
    <w:p w:rsidR="006C3E25" w:rsidRPr="00AE6093" w:rsidRDefault="00EF7A10" w:rsidP="00EF7A10">
      <w:pPr>
        <w:pStyle w:val="BodyText2"/>
        <w:spacing w:after="0" w:line="360" w:lineRule="auto"/>
      </w:pPr>
      <w:r w:rsidRPr="00593870">
        <w:tab/>
      </w:r>
      <w:r w:rsidRPr="00593870">
        <w:tab/>
      </w:r>
      <w:r w:rsidRPr="00593870">
        <w:rPr>
          <w:color w:val="000000" w:themeColor="text1"/>
        </w:rPr>
        <w:t xml:space="preserve">I recommend </w:t>
      </w:r>
      <w:r>
        <w:rPr>
          <w:color w:val="000000" w:themeColor="text1"/>
        </w:rPr>
        <w:t>this proposed settlement term should</w:t>
      </w:r>
      <w:r w:rsidRPr="00593870">
        <w:rPr>
          <w:color w:val="000000" w:themeColor="text1"/>
        </w:rPr>
        <w:t xml:space="preserve"> be approved</w:t>
      </w:r>
      <w:r>
        <w:rPr>
          <w:color w:val="000000" w:themeColor="text1"/>
        </w:rPr>
        <w:t xml:space="preserve"> as in the public interest</w:t>
      </w:r>
      <w:r w:rsidRPr="00593870">
        <w:rPr>
          <w:color w:val="000000" w:themeColor="text1"/>
        </w:rPr>
        <w:t>.</w:t>
      </w:r>
      <w:r>
        <w:rPr>
          <w:color w:val="000000" w:themeColor="text1"/>
        </w:rPr>
        <w:t xml:space="preserve">  The Company’s original proposal was based on a template created by the Procurement Collaboration Working Group but was modified with agreement between the parties to include clarification of some terms.  This settlement provision is a reasonable compromise which avoids unnecessary litigation.</w:t>
      </w:r>
    </w:p>
    <w:p w:rsidR="006C3E25" w:rsidRDefault="006C3E25" w:rsidP="006C3E25">
      <w:pPr>
        <w:pStyle w:val="BriefL1"/>
        <w:numPr>
          <w:ilvl w:val="0"/>
          <w:numId w:val="0"/>
        </w:numPr>
        <w:spacing w:after="0" w:line="360" w:lineRule="auto"/>
        <w:jc w:val="left"/>
        <w:outlineLvl w:val="9"/>
        <w:rPr>
          <w:b w:val="0"/>
          <w:szCs w:val="24"/>
        </w:rPr>
      </w:pPr>
    </w:p>
    <w:p w:rsidR="004A06B3" w:rsidRPr="004A06B3" w:rsidRDefault="004A06B3" w:rsidP="004A06B3">
      <w:pPr>
        <w:pStyle w:val="BodyText"/>
        <w:rPr>
          <w:lang w:val="en-US" w:eastAsia="en-US"/>
        </w:rPr>
      </w:pPr>
    </w:p>
    <w:p w:rsidR="006D47C0" w:rsidRPr="009858AC" w:rsidRDefault="006D47C0" w:rsidP="006D47C0">
      <w:pPr>
        <w:pStyle w:val="BriefL1"/>
        <w:numPr>
          <w:ilvl w:val="0"/>
          <w:numId w:val="0"/>
        </w:numPr>
        <w:spacing w:after="0" w:line="360" w:lineRule="auto"/>
        <w:jc w:val="left"/>
        <w:rPr>
          <w:b w:val="0"/>
          <w:szCs w:val="24"/>
          <w:u w:val="single"/>
        </w:rPr>
      </w:pPr>
      <w:r w:rsidRPr="00AE6093">
        <w:rPr>
          <w:b w:val="0"/>
          <w:szCs w:val="24"/>
        </w:rPr>
        <w:t>h.</w:t>
      </w:r>
      <w:r w:rsidRPr="00AE6093">
        <w:rPr>
          <w:b w:val="0"/>
          <w:szCs w:val="24"/>
        </w:rPr>
        <w:tab/>
      </w:r>
      <w:r w:rsidR="00E15AFB" w:rsidRPr="009858AC">
        <w:rPr>
          <w:b w:val="0"/>
          <w:caps w:val="0"/>
          <w:szCs w:val="24"/>
          <w:u w:val="single"/>
        </w:rPr>
        <w:t>Request for Proposal and Independent Evaluator Process Issues</w:t>
      </w:r>
      <w:r w:rsidRPr="009858AC">
        <w:rPr>
          <w:b w:val="0"/>
          <w:caps w:val="0"/>
          <w:szCs w:val="24"/>
          <w:u w:val="single"/>
        </w:rPr>
        <w:fldChar w:fldCharType="begin"/>
      </w:r>
      <w:r w:rsidRPr="009858AC">
        <w:rPr>
          <w:b w:val="0"/>
          <w:u w:val="single"/>
        </w:rPr>
        <w:instrText xml:space="preserve"> TC "</w:instrText>
      </w:r>
      <w:r w:rsidRPr="009858AC">
        <w:rPr>
          <w:b w:val="0"/>
          <w:szCs w:val="24"/>
          <w:u w:val="single"/>
        </w:rPr>
        <w:instrText>A.</w:instrText>
      </w:r>
      <w:r w:rsidRPr="009858AC">
        <w:rPr>
          <w:b w:val="0"/>
          <w:szCs w:val="24"/>
          <w:u w:val="single"/>
        </w:rPr>
        <w:tab/>
        <w:instrText>D</w:instrText>
      </w:r>
      <w:r w:rsidRPr="009858AC">
        <w:rPr>
          <w:b w:val="0"/>
          <w:caps w:val="0"/>
          <w:szCs w:val="24"/>
          <w:u w:val="single"/>
        </w:rPr>
        <w:instrText>efault Service Procurement and Implementation Plans</w:instrText>
      </w:r>
      <w:r w:rsidRPr="009858AC">
        <w:rPr>
          <w:b w:val="0"/>
          <w:u w:val="single"/>
        </w:rPr>
        <w:instrText xml:space="preserve">" \f C \l "2" </w:instrText>
      </w:r>
      <w:r w:rsidRPr="009858AC">
        <w:rPr>
          <w:b w:val="0"/>
          <w:caps w:val="0"/>
          <w:szCs w:val="24"/>
          <w:u w:val="single"/>
        </w:rPr>
        <w:fldChar w:fldCharType="end"/>
      </w:r>
    </w:p>
    <w:p w:rsidR="006D47C0" w:rsidRDefault="006D47C0" w:rsidP="006C3E25">
      <w:pPr>
        <w:pStyle w:val="BodyText"/>
        <w:spacing w:after="0" w:line="360" w:lineRule="auto"/>
        <w:ind w:left="0" w:firstLine="0"/>
        <w:rPr>
          <w:szCs w:val="24"/>
          <w:lang w:val="en-US"/>
        </w:rPr>
      </w:pPr>
    </w:p>
    <w:p w:rsidR="006C3E25" w:rsidRDefault="006C3E25" w:rsidP="006C3E25">
      <w:pPr>
        <w:pStyle w:val="BodyText2"/>
        <w:spacing w:after="0" w:line="360" w:lineRule="auto"/>
        <w:ind w:firstLine="1440"/>
      </w:pPr>
      <w:proofErr w:type="spellStart"/>
      <w:r>
        <w:t>ExGen</w:t>
      </w:r>
      <w:proofErr w:type="spellEnd"/>
      <w:r>
        <w:t xml:space="preserve"> agreed not to pursue its request for proposal and independent evaluator process issues pursuant to the Settlement Stipulation of the Parties.</w:t>
      </w:r>
    </w:p>
    <w:p w:rsidR="006C3E25" w:rsidRDefault="006C3E25" w:rsidP="006C3E25">
      <w:pPr>
        <w:pStyle w:val="BodyText"/>
        <w:spacing w:after="0" w:line="360" w:lineRule="auto"/>
        <w:ind w:left="0" w:firstLine="0"/>
        <w:rPr>
          <w:szCs w:val="24"/>
          <w:lang w:val="en-US"/>
        </w:rPr>
      </w:pPr>
    </w:p>
    <w:p w:rsidR="006D47C0" w:rsidRPr="00AE6093" w:rsidRDefault="006D47C0" w:rsidP="006D47C0">
      <w:pPr>
        <w:spacing w:line="360" w:lineRule="auto"/>
        <w:jc w:val="center"/>
        <w:rPr>
          <w:color w:val="000000" w:themeColor="text1"/>
          <w:u w:val="single"/>
        </w:rPr>
      </w:pPr>
      <w:r w:rsidRPr="00AE6093">
        <w:rPr>
          <w:color w:val="000000" w:themeColor="text1"/>
        </w:rPr>
        <w:t>V</w:t>
      </w:r>
      <w:r w:rsidR="00A31649">
        <w:rPr>
          <w:color w:val="000000" w:themeColor="text1"/>
        </w:rPr>
        <w:t>I</w:t>
      </w:r>
      <w:r w:rsidRPr="00AE6093">
        <w:rPr>
          <w:color w:val="000000" w:themeColor="text1"/>
        </w:rPr>
        <w:t>.</w:t>
      </w:r>
      <w:r w:rsidRPr="00AE6093">
        <w:rPr>
          <w:color w:val="000000" w:themeColor="text1"/>
        </w:rPr>
        <w:tab/>
      </w:r>
      <w:r w:rsidRPr="00AE6093">
        <w:rPr>
          <w:color w:val="000000" w:themeColor="text1"/>
          <w:u w:val="single"/>
        </w:rPr>
        <w:t>CONCLUSION</w:t>
      </w:r>
    </w:p>
    <w:p w:rsidR="006D47C0" w:rsidRDefault="006D47C0" w:rsidP="006C3E25">
      <w:pPr>
        <w:spacing w:line="360" w:lineRule="auto"/>
        <w:rPr>
          <w:b/>
          <w:color w:val="000000" w:themeColor="text1"/>
        </w:rPr>
      </w:pPr>
    </w:p>
    <w:p w:rsidR="006C3E25" w:rsidRPr="00DD1DC0" w:rsidRDefault="006C3E25" w:rsidP="006C3E25">
      <w:pPr>
        <w:spacing w:line="360" w:lineRule="auto"/>
        <w:ind w:firstLine="1440"/>
        <w:rPr>
          <w:b/>
          <w:color w:val="000000" w:themeColor="text1"/>
        </w:rPr>
      </w:pPr>
      <w:r>
        <w:t>I recommend the Commission approve DSP VII Plan as proposed by the Company and as modified by the Settlement Stipulation that was filed on September 15, 2014</w:t>
      </w:r>
      <w:r w:rsidR="00FD3AA2">
        <w:t xml:space="preserve">.  </w:t>
      </w:r>
      <w:r>
        <w:t>I recommend the Commission authorize the Company to file</w:t>
      </w:r>
      <w:r w:rsidR="00D33F73">
        <w:t xml:space="preserve"> the tariff sheets set forth in the Tariff Supplement provided with the filing to be modified to reflect the Settlement Stipulation</w:t>
      </w:r>
      <w:r>
        <w:t xml:space="preserve"> on one day’s notice</w:t>
      </w:r>
      <w:r w:rsidR="00D33F73">
        <w:t xml:space="preserve">; </w:t>
      </w:r>
      <w:r>
        <w:t>grant the approvals for Duquesne Light Company to procure power as set forth in this proceeding, including, if needed, credit support from its parent</w:t>
      </w:r>
      <w:r w:rsidR="00D33F73">
        <w:t>;</w:t>
      </w:r>
      <w:r>
        <w:t xml:space="preserve"> approve the Supply Master Agreement and related attachments, including the Non-Disclosure Agreement, for procuring power for Residential and Lighting customers, Small C&amp;I customers and Medium C&amp;I customers as modified by the Settlement Stipulation</w:t>
      </w:r>
      <w:r w:rsidR="00D33F73">
        <w:t>;</w:t>
      </w:r>
      <w:r>
        <w:t xml:space="preserve"> approve the Company’s Retail Market Enhancement Surcharge</w:t>
      </w:r>
      <w:r w:rsidR="00D33F73">
        <w:t>;</w:t>
      </w:r>
      <w:r>
        <w:t xml:space="preserve"> </w:t>
      </w:r>
      <w:r w:rsidR="00D706EC">
        <w:t xml:space="preserve">and </w:t>
      </w:r>
      <w:r>
        <w:t>make the specific findings required under 66 Pa.C.S. § 2807(e</w:t>
      </w:r>
      <w:proofErr w:type="gramStart"/>
      <w:r>
        <w:t>)(</w:t>
      </w:r>
      <w:proofErr w:type="gramEnd"/>
      <w:r>
        <w:t>3.7)</w:t>
      </w:r>
      <w:r w:rsidR="00D706EC">
        <w:t xml:space="preserve">. </w:t>
      </w:r>
    </w:p>
    <w:p w:rsidR="002C0414" w:rsidRDefault="002C0414" w:rsidP="00711594">
      <w:pPr>
        <w:pStyle w:val="BriefL1"/>
        <w:numPr>
          <w:ilvl w:val="0"/>
          <w:numId w:val="0"/>
        </w:numPr>
        <w:spacing w:after="0" w:line="360" w:lineRule="auto"/>
        <w:jc w:val="left"/>
        <w:outlineLvl w:val="9"/>
        <w:rPr>
          <w:szCs w:val="24"/>
        </w:rPr>
      </w:pPr>
      <w:bookmarkStart w:id="10" w:name="_Toc323736774"/>
    </w:p>
    <w:p w:rsidR="001C6238" w:rsidRPr="001D3B7B" w:rsidRDefault="001C6238" w:rsidP="00711594">
      <w:pPr>
        <w:pStyle w:val="BriefL1"/>
        <w:numPr>
          <w:ilvl w:val="0"/>
          <w:numId w:val="0"/>
        </w:numPr>
        <w:spacing w:after="0" w:line="360" w:lineRule="auto"/>
        <w:outlineLvl w:val="9"/>
        <w:rPr>
          <w:b w:val="0"/>
          <w:szCs w:val="24"/>
          <w:u w:val="single"/>
        </w:rPr>
      </w:pPr>
      <w:bookmarkStart w:id="11" w:name="_Toc323736779"/>
      <w:r w:rsidRPr="001D3B7B">
        <w:rPr>
          <w:b w:val="0"/>
          <w:szCs w:val="24"/>
        </w:rPr>
        <w:t>V</w:t>
      </w:r>
      <w:r w:rsidR="00711594" w:rsidRPr="001D3B7B">
        <w:rPr>
          <w:b w:val="0"/>
          <w:szCs w:val="24"/>
        </w:rPr>
        <w:t>I</w:t>
      </w:r>
      <w:r w:rsidRPr="001D3B7B">
        <w:rPr>
          <w:b w:val="0"/>
          <w:szCs w:val="24"/>
        </w:rPr>
        <w:t>I.</w:t>
      </w:r>
      <w:r w:rsidRPr="001D3B7B">
        <w:rPr>
          <w:b w:val="0"/>
          <w:szCs w:val="24"/>
        </w:rPr>
        <w:tab/>
      </w:r>
      <w:r w:rsidRPr="001D3B7B">
        <w:rPr>
          <w:b w:val="0"/>
          <w:szCs w:val="24"/>
          <w:u w:val="single"/>
        </w:rPr>
        <w:t>conclusion</w:t>
      </w:r>
      <w:bookmarkEnd w:id="11"/>
      <w:r w:rsidRPr="001D3B7B">
        <w:rPr>
          <w:b w:val="0"/>
          <w:szCs w:val="24"/>
          <w:u w:val="single"/>
        </w:rPr>
        <w:t>s of LaW</w:t>
      </w:r>
      <w:r w:rsidRPr="001D3B7B">
        <w:rPr>
          <w:b w:val="0"/>
          <w:szCs w:val="24"/>
          <w:u w:val="single"/>
        </w:rPr>
        <w:fldChar w:fldCharType="begin"/>
      </w:r>
      <w:r w:rsidRPr="001D3B7B">
        <w:rPr>
          <w:b w:val="0"/>
          <w:szCs w:val="24"/>
        </w:rPr>
        <w:instrText xml:space="preserve"> TC "</w:instrText>
      </w:r>
      <w:bookmarkStart w:id="12" w:name="_Toc327430252"/>
      <w:bookmarkStart w:id="13" w:name="_Toc327438721"/>
      <w:bookmarkStart w:id="14" w:name="_Toc327439189"/>
      <w:r w:rsidRPr="001D3B7B">
        <w:rPr>
          <w:b w:val="0"/>
          <w:szCs w:val="24"/>
        </w:rPr>
        <w:instrText>V.</w:instrText>
      </w:r>
      <w:r w:rsidRPr="001D3B7B">
        <w:rPr>
          <w:b w:val="0"/>
          <w:szCs w:val="24"/>
        </w:rPr>
        <w:tab/>
      </w:r>
      <w:r w:rsidRPr="001D3B7B">
        <w:rPr>
          <w:b w:val="0"/>
          <w:szCs w:val="24"/>
          <w:u w:val="single"/>
        </w:rPr>
        <w:instrText>conclusions of LaW</w:instrText>
      </w:r>
      <w:bookmarkEnd w:id="12"/>
      <w:bookmarkEnd w:id="13"/>
      <w:bookmarkEnd w:id="14"/>
      <w:r w:rsidRPr="001D3B7B">
        <w:rPr>
          <w:b w:val="0"/>
          <w:szCs w:val="24"/>
        </w:rPr>
        <w:instrText xml:space="preserve">" \f C \l "1" </w:instrText>
      </w:r>
      <w:r w:rsidRPr="001D3B7B">
        <w:rPr>
          <w:b w:val="0"/>
          <w:szCs w:val="24"/>
          <w:u w:val="single"/>
        </w:rPr>
        <w:fldChar w:fldCharType="end"/>
      </w:r>
    </w:p>
    <w:p w:rsidR="001C6238" w:rsidRPr="00E646EE" w:rsidRDefault="001C6238" w:rsidP="00711594">
      <w:pPr>
        <w:pStyle w:val="BodyText"/>
        <w:spacing w:after="0" w:line="360" w:lineRule="auto"/>
        <w:ind w:firstLine="0"/>
        <w:rPr>
          <w:szCs w:val="24"/>
        </w:rPr>
      </w:pPr>
    </w:p>
    <w:p w:rsidR="000A0550" w:rsidRDefault="000A0550" w:rsidP="00A050D4">
      <w:pPr>
        <w:pStyle w:val="BodyText2"/>
        <w:spacing w:after="0" w:line="360" w:lineRule="auto"/>
        <w:ind w:firstLine="1440"/>
        <w:rPr>
          <w:lang w:val="en-US"/>
        </w:rPr>
      </w:pPr>
      <w:r>
        <w:t>1.</w:t>
      </w:r>
      <w:r>
        <w:tab/>
        <w:t>The Commission has jurisdiction over the subject matter and the parties to this proceeding. 66 Pa.C.S.</w:t>
      </w:r>
      <w:r>
        <w:rPr>
          <w:lang w:val="en-US"/>
        </w:rPr>
        <w:t>A.</w:t>
      </w:r>
      <w:r>
        <w:t xml:space="preserve"> § 501, et seq.</w:t>
      </w:r>
    </w:p>
    <w:p w:rsidR="000A0550"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rPr>
          <w:lang w:val="en-US"/>
        </w:rPr>
        <w:t xml:space="preserve">2. </w:t>
      </w:r>
      <w:r>
        <w:rPr>
          <w:lang w:val="en-US"/>
        </w:rPr>
        <w:tab/>
        <w:t xml:space="preserve">All of the rates Duquesne Light Company charges must be just and reasonable.  </w:t>
      </w:r>
      <w:proofErr w:type="gramStart"/>
      <w:r>
        <w:rPr>
          <w:lang w:val="en-US"/>
        </w:rPr>
        <w:t>66 Pa.C.S.A.</w:t>
      </w:r>
      <w:proofErr w:type="gramEnd"/>
      <w:r>
        <w:rPr>
          <w:lang w:val="en-US"/>
        </w:rPr>
        <w:t xml:space="preserve"> § 1301.</w:t>
      </w:r>
    </w:p>
    <w:p w:rsidR="000A0550" w:rsidRPr="0063399C"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rPr>
          <w:lang w:val="en-US"/>
        </w:rPr>
        <w:t>3</w:t>
      </w:r>
      <w:r>
        <w:t>.</w:t>
      </w:r>
      <w:r>
        <w:tab/>
        <w:t>Duquesne Light</w:t>
      </w:r>
      <w:r>
        <w:rPr>
          <w:lang w:val="en-US"/>
        </w:rPr>
        <w:t xml:space="preserve"> Company</w:t>
      </w:r>
      <w:r>
        <w:t xml:space="preserve">, as the Petitioner, has the burden of proof with respect to its proposals in this proceeding. </w:t>
      </w:r>
      <w:r w:rsidR="00041FCB">
        <w:rPr>
          <w:lang w:val="en-US"/>
        </w:rPr>
        <w:t xml:space="preserve"> </w:t>
      </w:r>
      <w:r>
        <w:t>66 Pa.C.S.</w:t>
      </w:r>
      <w:r>
        <w:rPr>
          <w:lang w:val="en-US"/>
        </w:rPr>
        <w:t>A.</w:t>
      </w:r>
      <w:r>
        <w:t xml:space="preserve"> § 332(a). </w:t>
      </w:r>
    </w:p>
    <w:p w:rsidR="000A0550" w:rsidRPr="0063399C"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t>4.</w:t>
      </w:r>
      <w:r>
        <w:tab/>
        <w:t xml:space="preserve">The burden of proof </w:t>
      </w:r>
      <w:r w:rsidRPr="000032B1">
        <w:t xml:space="preserve">means a duty to establish a fact by a preponderance of the evidence.  </w:t>
      </w:r>
      <w:r w:rsidRPr="007C52AD">
        <w:rPr>
          <w:i/>
        </w:rPr>
        <w:t>Se-Ling Hosiery v. Margulies</w:t>
      </w:r>
      <w:r w:rsidRPr="000032B1">
        <w:t>, 364 Pa. 45, 70 A.2d 854 (1950).</w:t>
      </w:r>
    </w:p>
    <w:p w:rsidR="000A0550" w:rsidRPr="0063399C"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rPr>
          <w:lang w:val="en-US"/>
        </w:rPr>
        <w:t>5</w:t>
      </w:r>
      <w:r>
        <w:t>.</w:t>
      </w:r>
      <w:r>
        <w:tab/>
        <w:t>A party mak</w:t>
      </w:r>
      <w:r>
        <w:rPr>
          <w:lang w:val="en-US"/>
        </w:rPr>
        <w:t>ing</w:t>
      </w:r>
      <w:r>
        <w:t xml:space="preserve"> a proposal not included in </w:t>
      </w:r>
      <w:r>
        <w:rPr>
          <w:lang w:val="en-US"/>
        </w:rPr>
        <w:t>Duquesne Light Company’s</w:t>
      </w:r>
      <w:r>
        <w:t xml:space="preserve"> case bears the burden of proof as to its proposal.  </w:t>
      </w:r>
      <w:r w:rsidRPr="00FA6BFC">
        <w:rPr>
          <w:i/>
        </w:rPr>
        <w:t>Pa. P</w:t>
      </w:r>
      <w:r w:rsidR="00FA6BFC" w:rsidRPr="00FA6BFC">
        <w:rPr>
          <w:i/>
          <w:lang w:val="en-US"/>
        </w:rPr>
        <w:t xml:space="preserve">ub. </w:t>
      </w:r>
      <w:proofErr w:type="gramStart"/>
      <w:r w:rsidR="00FA6BFC" w:rsidRPr="00FA6BFC">
        <w:rPr>
          <w:i/>
          <w:lang w:val="en-US"/>
        </w:rPr>
        <w:t>Util. Comm’n</w:t>
      </w:r>
      <w:r w:rsidRPr="00FA6BFC">
        <w:rPr>
          <w:i/>
        </w:rPr>
        <w:t xml:space="preserve"> v. Metropolitan Edison Company, et al</w:t>
      </w:r>
      <w:r w:rsidRPr="0063399C">
        <w:rPr>
          <w:u w:val="single"/>
        </w:rPr>
        <w:t>.</w:t>
      </w:r>
      <w:r>
        <w:t>, Docket Nos.</w:t>
      </w:r>
      <w:proofErr w:type="gramEnd"/>
      <w:r>
        <w:t xml:space="preserve"> R-00061366, </w:t>
      </w:r>
      <w:r>
        <w:rPr>
          <w:i/>
        </w:rPr>
        <w:t>et al.</w:t>
      </w:r>
      <w:r>
        <w:t>, 2007 Pa. PUC LEXIS 5 (January 11, 2007)</w:t>
      </w:r>
      <w:r>
        <w:rPr>
          <w:lang w:val="en-US"/>
        </w:rPr>
        <w:t>;</w:t>
      </w:r>
      <w:r w:rsidRPr="000032B1">
        <w:rPr>
          <w:i/>
        </w:rPr>
        <w:t xml:space="preserve"> </w:t>
      </w:r>
      <w:r w:rsidRPr="00FA6BFC">
        <w:rPr>
          <w:i/>
        </w:rPr>
        <w:t>Joint Default Service Plan for Citizens’ Electric Company of Lewisburg, PA and Wellsboro Electric Company for the Period of June 1, 2010 through May 31, 2013,</w:t>
      </w:r>
      <w:r>
        <w:t xml:space="preserve"> Docket Nos. P-2009-2110798, et al., 2010 WL 1259684 at 2, 19-20 (February 25, 2010).</w:t>
      </w:r>
    </w:p>
    <w:p w:rsidR="000A0550" w:rsidRPr="0063399C"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rPr>
          <w:lang w:val="en-US"/>
        </w:rPr>
        <w:t>6</w:t>
      </w:r>
      <w:r>
        <w:t>.</w:t>
      </w:r>
      <w:r>
        <w:tab/>
        <w:t>Duquesne Light</w:t>
      </w:r>
      <w:r>
        <w:rPr>
          <w:lang w:val="en-US"/>
        </w:rPr>
        <w:t xml:space="preserve"> Company</w:t>
      </w:r>
      <w:r>
        <w:t xml:space="preserve">’s default service obligations </w:t>
      </w:r>
      <w:r>
        <w:rPr>
          <w:lang w:val="en-US"/>
        </w:rPr>
        <w:t xml:space="preserve">as an Electric Distribution Company </w:t>
      </w:r>
      <w:r>
        <w:t xml:space="preserve">are set forth in Act 129 of 2008, Oct. 15, P.L. 1592, No. 129 (Act 129), codified in Chapter 28 of the Public Utility Code, </w:t>
      </w:r>
      <w:proofErr w:type="gramStart"/>
      <w:r>
        <w:t>66</w:t>
      </w:r>
      <w:proofErr w:type="gramEnd"/>
      <w:r>
        <w:t xml:space="preserve"> Pa.C.S.</w:t>
      </w:r>
      <w:r>
        <w:rPr>
          <w:lang w:val="en-US"/>
        </w:rPr>
        <w:t>A.</w:t>
      </w:r>
      <w:r>
        <w:t xml:space="preserve"> Ch. 28.</w:t>
      </w:r>
    </w:p>
    <w:p w:rsidR="000A0550" w:rsidRPr="0063399C"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rPr>
          <w:lang w:val="en-US"/>
        </w:rPr>
        <w:t>7</w:t>
      </w:r>
      <w:r>
        <w:t>.</w:t>
      </w:r>
      <w:r>
        <w:tab/>
        <w:t xml:space="preserve">Duquesne Light </w:t>
      </w:r>
      <w:r>
        <w:rPr>
          <w:lang w:val="en-US"/>
        </w:rPr>
        <w:t xml:space="preserve">Company </w:t>
      </w:r>
      <w:r>
        <w:t xml:space="preserve">is obligated to provide electric generation supply service to customers </w:t>
      </w:r>
      <w:r>
        <w:rPr>
          <w:lang w:val="en-US"/>
        </w:rPr>
        <w:t>who</w:t>
      </w:r>
      <w:r>
        <w:t xml:space="preserve"> do not choose an </w:t>
      </w:r>
      <w:r>
        <w:rPr>
          <w:lang w:val="en-US"/>
        </w:rPr>
        <w:t>Electric Generation Supplier</w:t>
      </w:r>
      <w:r>
        <w:t xml:space="preserve"> and to customers </w:t>
      </w:r>
      <w:r>
        <w:rPr>
          <w:lang w:val="en-US"/>
        </w:rPr>
        <w:t>who</w:t>
      </w:r>
      <w:r>
        <w:t xml:space="preserve"> contract with an </w:t>
      </w:r>
      <w:r>
        <w:rPr>
          <w:lang w:val="en-US"/>
        </w:rPr>
        <w:t>Electric Generation Supplier</w:t>
      </w:r>
      <w:r>
        <w:t xml:space="preserve"> for supply service if the chosen </w:t>
      </w:r>
      <w:r>
        <w:rPr>
          <w:lang w:val="en-US"/>
        </w:rPr>
        <w:t>Electric Generation Supplier</w:t>
      </w:r>
      <w:r>
        <w:t xml:space="preserve"> does not provide the service.  66 Pa.C.S</w:t>
      </w:r>
      <w:r>
        <w:rPr>
          <w:lang w:val="en-US"/>
        </w:rPr>
        <w:t>.A</w:t>
      </w:r>
      <w:r>
        <w:t>. § 2807(e)(3.1).</w:t>
      </w:r>
    </w:p>
    <w:p w:rsidR="000A0550" w:rsidRPr="0063399C"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rPr>
          <w:lang w:val="en-US"/>
        </w:rPr>
        <w:t>8</w:t>
      </w:r>
      <w:r>
        <w:t>.</w:t>
      </w:r>
      <w:r>
        <w:tab/>
      </w:r>
      <w:r>
        <w:rPr>
          <w:lang w:val="en-US"/>
        </w:rPr>
        <w:t>Duquesne Light Company is obligated to procure power “</w:t>
      </w:r>
      <w:r>
        <w:t xml:space="preserve">through competitive procurement processes” (including auctions, requests for proposals and/or competitively procured bilateral agreements procured at no greater than the cost of obtaining generation under comparable terms in the wholesale market), and such procurement must be a “prudent mix” of spot market purchases, short-term contracts and long-term purchases.  </w:t>
      </w:r>
      <w:proofErr w:type="gramStart"/>
      <w:r>
        <w:rPr>
          <w:lang w:val="en-US"/>
        </w:rPr>
        <w:t>66 Pa.C.S.A.</w:t>
      </w:r>
      <w:proofErr w:type="gramEnd"/>
      <w:r>
        <w:rPr>
          <w:lang w:val="en-US"/>
        </w:rPr>
        <w:t xml:space="preserve"> §</w:t>
      </w:r>
      <w:r>
        <w:t xml:space="preserve"> 2807(e</w:t>
      </w:r>
      <w:proofErr w:type="gramStart"/>
      <w:r>
        <w:t>)(</w:t>
      </w:r>
      <w:proofErr w:type="gramEnd"/>
      <w:r>
        <w:t xml:space="preserve">3.1)-(3.2).  </w:t>
      </w:r>
    </w:p>
    <w:p w:rsidR="000A0550"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rPr>
          <w:lang w:val="en-US"/>
        </w:rPr>
        <w:t xml:space="preserve">9. </w:t>
      </w:r>
      <w:r>
        <w:rPr>
          <w:lang w:val="en-US"/>
        </w:rPr>
        <w:tab/>
        <w:t xml:space="preserve">The prudent mix of contracts entered into by Duquesne Light Company must be designed to ensure adequate and reliable service, and the least cost to customers over time.  </w:t>
      </w:r>
      <w:proofErr w:type="gramStart"/>
      <w:r>
        <w:rPr>
          <w:lang w:val="en-US"/>
        </w:rPr>
        <w:t>66 Pa.C.S.A.</w:t>
      </w:r>
      <w:proofErr w:type="gramEnd"/>
      <w:r>
        <w:rPr>
          <w:lang w:val="en-US"/>
        </w:rPr>
        <w:t xml:space="preserve"> § 2807(3</w:t>
      </w:r>
      <w:proofErr w:type="gramStart"/>
      <w:r>
        <w:rPr>
          <w:lang w:val="en-US"/>
        </w:rPr>
        <w:t>)(</w:t>
      </w:r>
      <w:proofErr w:type="gramEnd"/>
      <w:r>
        <w:rPr>
          <w:lang w:val="en-US"/>
        </w:rPr>
        <w:t>3.4).</w:t>
      </w:r>
    </w:p>
    <w:p w:rsidR="000A0550" w:rsidRPr="0063399C"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rPr>
          <w:lang w:val="en-US"/>
        </w:rPr>
        <w:t>10</w:t>
      </w:r>
      <w:r>
        <w:t>.</w:t>
      </w:r>
      <w:r>
        <w:tab/>
      </w:r>
      <w:r>
        <w:rPr>
          <w:lang w:val="en-US"/>
        </w:rPr>
        <w:t>Duquesne Light Company’s default service plan must take into account one of the stated</w:t>
      </w:r>
      <w:r>
        <w:t xml:space="preserve"> objectives of Act 129</w:t>
      </w:r>
      <w:r>
        <w:rPr>
          <w:lang w:val="en-US"/>
        </w:rPr>
        <w:t>,</w:t>
      </w:r>
      <w:r>
        <w:t xml:space="preserve"> </w:t>
      </w:r>
      <w:r>
        <w:rPr>
          <w:lang w:val="en-US"/>
        </w:rPr>
        <w:t>which is whether there are</w:t>
      </w:r>
      <w:r>
        <w:t xml:space="preserve"> any benefits of price stability over time</w:t>
      </w:r>
      <w:r>
        <w:rPr>
          <w:lang w:val="en-US"/>
        </w:rPr>
        <w:t>, and then to ensure the d</w:t>
      </w:r>
      <w:proofErr w:type="spellStart"/>
      <w:r>
        <w:t>efault</w:t>
      </w:r>
      <w:proofErr w:type="spellEnd"/>
      <w:r>
        <w:t xml:space="preserve"> service plan </w:t>
      </w:r>
      <w:r>
        <w:rPr>
          <w:lang w:val="en-US"/>
        </w:rPr>
        <w:t>provides</w:t>
      </w:r>
      <w:r>
        <w:t xml:space="preserve"> “adequate and reliable service” at the “least cost to customers over time.”  66 Pa.C.S</w:t>
      </w:r>
      <w:r>
        <w:rPr>
          <w:lang w:val="en-US"/>
        </w:rPr>
        <w:t>.A</w:t>
      </w:r>
      <w:r>
        <w:t xml:space="preserve">. § 2807(e)(3.4).  </w:t>
      </w:r>
    </w:p>
    <w:p w:rsidR="000A0550" w:rsidRPr="0063399C"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rPr>
          <w:lang w:val="en-US"/>
        </w:rPr>
        <w:t>11</w:t>
      </w:r>
      <w:r>
        <w:t>.</w:t>
      </w:r>
      <w:r>
        <w:tab/>
      </w:r>
      <w:r>
        <w:rPr>
          <w:lang w:val="en-US"/>
        </w:rPr>
        <w:t>The Pennsylvania Legislature eliminated the “prevailing market prices” standard, originally included in Act 129, and replaced the standard with the current “prudent mix” standard</w:t>
      </w:r>
      <w:r>
        <w:t>.</w:t>
      </w:r>
      <w:r>
        <w:rPr>
          <w:lang w:val="en-US"/>
        </w:rPr>
        <w:t xml:space="preserve">  </w:t>
      </w:r>
      <w:proofErr w:type="gramStart"/>
      <w:r>
        <w:rPr>
          <w:lang w:val="en-US"/>
        </w:rPr>
        <w:t>(</w:t>
      </w:r>
      <w:r w:rsidRPr="007926CC">
        <w:rPr>
          <w:i/>
          <w:lang w:val="en-US"/>
        </w:rPr>
        <w:t>Default Service and Retail Electric Markets</w:t>
      </w:r>
      <w:r>
        <w:rPr>
          <w:lang w:val="en-US"/>
        </w:rPr>
        <w:t>, Docket No.</w:t>
      </w:r>
      <w:proofErr w:type="gramEnd"/>
      <w:r>
        <w:rPr>
          <w:lang w:val="en-US"/>
        </w:rPr>
        <w:t xml:space="preserve"> L-2009-2095604, Order entered October 4, 2011, at 39, 40.)</w:t>
      </w:r>
      <w:r>
        <w:t xml:space="preserve"> </w:t>
      </w:r>
    </w:p>
    <w:p w:rsidR="000A0550" w:rsidRPr="0063399C" w:rsidRDefault="000A0550" w:rsidP="00A050D4">
      <w:pPr>
        <w:pStyle w:val="BodyText2"/>
        <w:spacing w:after="0" w:line="360" w:lineRule="auto"/>
        <w:ind w:firstLine="1440"/>
        <w:rPr>
          <w:lang w:val="en-US"/>
        </w:rPr>
      </w:pPr>
    </w:p>
    <w:p w:rsidR="000A0550" w:rsidRPr="00915E5D" w:rsidRDefault="000A0550" w:rsidP="00A050D4">
      <w:pPr>
        <w:pStyle w:val="BodyText2"/>
        <w:spacing w:after="0" w:line="360" w:lineRule="auto"/>
        <w:ind w:firstLine="1440"/>
        <w:rPr>
          <w:lang w:val="en-US"/>
        </w:rPr>
      </w:pPr>
      <w:r>
        <w:t>1</w:t>
      </w:r>
      <w:r>
        <w:rPr>
          <w:lang w:val="en-US"/>
        </w:rPr>
        <w:t>2</w:t>
      </w:r>
      <w:r>
        <w:t>.</w:t>
      </w:r>
      <w:r>
        <w:tab/>
        <w:t>Duquesne Light</w:t>
      </w:r>
      <w:r w:rsidR="00D706EC">
        <w:rPr>
          <w:lang w:val="en-US"/>
        </w:rPr>
        <w:t xml:space="preserve"> Company</w:t>
      </w:r>
      <w:r>
        <w:t>’s procurement plan meets all of the statutory requirements.  All default service supplies are procured through competitive procurement processes</w:t>
      </w:r>
      <w:r w:rsidR="00D706EC">
        <w:rPr>
          <w:lang w:val="en-US"/>
        </w:rPr>
        <w:t xml:space="preserve"> and no generation supply was withheld from the market in a manner that violates </w:t>
      </w:r>
      <w:r w:rsidR="00066F58">
        <w:rPr>
          <w:lang w:val="en-US"/>
        </w:rPr>
        <w:t>f</w:t>
      </w:r>
      <w:r w:rsidR="00D706EC">
        <w:rPr>
          <w:lang w:val="en-US"/>
        </w:rPr>
        <w:t>ederal law</w:t>
      </w:r>
      <w:r>
        <w:t>.</w:t>
      </w:r>
      <w:r>
        <w:rPr>
          <w:lang w:val="en-US"/>
        </w:rPr>
        <w:t xml:space="preserve">  66 Pa.C.S.A. </w:t>
      </w:r>
      <w:r w:rsidR="00D706EC">
        <w:rPr>
          <w:lang w:val="en-US"/>
        </w:rPr>
        <w:t>§</w:t>
      </w:r>
      <w:r w:rsidR="005514E5">
        <w:rPr>
          <w:lang w:val="en-US"/>
        </w:rPr>
        <w:t xml:space="preserve"> </w:t>
      </w:r>
      <w:r w:rsidR="00D706EC">
        <w:rPr>
          <w:lang w:val="en-US"/>
        </w:rPr>
        <w:t>2807(e)(3.7)</w:t>
      </w:r>
      <w:r>
        <w:rPr>
          <w:lang w:val="en-US"/>
        </w:rPr>
        <w:t>.</w:t>
      </w:r>
    </w:p>
    <w:p w:rsidR="000A0550" w:rsidRPr="0063399C" w:rsidRDefault="000A055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t>1</w:t>
      </w:r>
      <w:r>
        <w:rPr>
          <w:lang w:val="en-US"/>
        </w:rPr>
        <w:t>3</w:t>
      </w:r>
      <w:r>
        <w:t>.</w:t>
      </w:r>
      <w:r>
        <w:tab/>
        <w:t xml:space="preserve">Duquesne Light </w:t>
      </w:r>
      <w:r w:rsidR="00512810">
        <w:rPr>
          <w:lang w:val="en-US"/>
        </w:rPr>
        <w:t xml:space="preserve">Company </w:t>
      </w:r>
      <w:r>
        <w:t>has proposed a prudent mix of contracts</w:t>
      </w:r>
      <w:r>
        <w:rPr>
          <w:lang w:val="en-US"/>
        </w:rPr>
        <w:t>, including the acquisition of Alternative Energy Credits,</w:t>
      </w:r>
      <w:r>
        <w:t xml:space="preserve"> for customers that will provide least cost to customers over time, </w:t>
      </w:r>
      <w:r>
        <w:rPr>
          <w:lang w:val="en-US"/>
        </w:rPr>
        <w:t>and take</w:t>
      </w:r>
      <w:r>
        <w:t xml:space="preserve"> into account the benefits of price stability for customers.</w:t>
      </w:r>
      <w:r>
        <w:rPr>
          <w:lang w:val="en-US"/>
        </w:rPr>
        <w:t xml:space="preserve">  </w:t>
      </w:r>
      <w:r>
        <w:t xml:space="preserve">The Company’s default service procurement plan meets the prudent mix requirements of Act 129.  </w:t>
      </w:r>
      <w:proofErr w:type="gramStart"/>
      <w:r>
        <w:rPr>
          <w:lang w:val="en-US"/>
        </w:rPr>
        <w:t>66</w:t>
      </w:r>
      <w:r w:rsidR="003F4D51">
        <w:rPr>
          <w:lang w:val="en-US"/>
        </w:rPr>
        <w:t> </w:t>
      </w:r>
      <w:r>
        <w:rPr>
          <w:lang w:val="en-US"/>
        </w:rPr>
        <w:t>Pa.C.S.A.</w:t>
      </w:r>
      <w:proofErr w:type="gramEnd"/>
      <w:r>
        <w:rPr>
          <w:lang w:val="en-US"/>
        </w:rPr>
        <w:t xml:space="preserve"> </w:t>
      </w:r>
      <w:proofErr w:type="gramStart"/>
      <w:r>
        <w:rPr>
          <w:lang w:val="en-US"/>
        </w:rPr>
        <w:t>Chap. 28</w:t>
      </w:r>
      <w:r w:rsidR="00512810">
        <w:rPr>
          <w:lang w:val="en-US"/>
        </w:rPr>
        <w:t>.</w:t>
      </w:r>
      <w:proofErr w:type="gramEnd"/>
      <w:r w:rsidR="00512810">
        <w:rPr>
          <w:lang w:val="en-US"/>
        </w:rPr>
        <w:t xml:space="preserve"> </w:t>
      </w:r>
    </w:p>
    <w:p w:rsidR="00512810" w:rsidRPr="0063399C" w:rsidRDefault="00512810" w:rsidP="00A050D4">
      <w:pPr>
        <w:pStyle w:val="BodyText2"/>
        <w:spacing w:after="0" w:line="360" w:lineRule="auto"/>
        <w:ind w:firstLine="1440"/>
        <w:rPr>
          <w:lang w:val="en-US"/>
        </w:rPr>
      </w:pPr>
    </w:p>
    <w:p w:rsidR="000A0550" w:rsidRDefault="000A0550" w:rsidP="00A050D4">
      <w:pPr>
        <w:pStyle w:val="BodyText2"/>
        <w:spacing w:after="0" w:line="360" w:lineRule="auto"/>
        <w:ind w:firstLine="1440"/>
        <w:rPr>
          <w:lang w:val="en-US"/>
        </w:rPr>
      </w:pPr>
      <w:r>
        <w:t>1</w:t>
      </w:r>
      <w:r>
        <w:rPr>
          <w:lang w:val="en-US"/>
        </w:rPr>
        <w:t>4</w:t>
      </w:r>
      <w:r>
        <w:t>.</w:t>
      </w:r>
      <w:r>
        <w:tab/>
        <w:t xml:space="preserve"> </w:t>
      </w:r>
      <w:r>
        <w:rPr>
          <w:lang w:val="en-US"/>
        </w:rPr>
        <w:t>Duquesne Light Company, as an Electric Distribution Company, must</w:t>
      </w:r>
      <w:r w:rsidRPr="00056319">
        <w:t xml:space="preserve"> </w:t>
      </w:r>
      <w:r>
        <w:rPr>
          <w:lang w:val="en-US"/>
        </w:rPr>
        <w:t>“</w:t>
      </w:r>
      <w:r w:rsidRPr="00056319">
        <w:t xml:space="preserve">limit the proportion of long-term contracts that make up their default service plan energy portfolios, and consider using already existing long-term contracts from pervious or presently </w:t>
      </w:r>
      <w:r>
        <w:t>effective default service plans”</w:t>
      </w:r>
      <w:r>
        <w:rPr>
          <w:lang w:val="en-US"/>
        </w:rPr>
        <w:t xml:space="preserve"> but is not required to procure </w:t>
      </w:r>
      <w:r>
        <w:t xml:space="preserve">long-term </w:t>
      </w:r>
      <w:r>
        <w:rPr>
          <w:lang w:val="en-US"/>
        </w:rPr>
        <w:t>Alternative Energy Credits</w:t>
      </w:r>
      <w:r>
        <w:t xml:space="preserve"> contracts or adopt a prescriptive </w:t>
      </w:r>
      <w:r>
        <w:rPr>
          <w:lang w:val="en-US"/>
        </w:rPr>
        <w:t>Alternative Energy Credits</w:t>
      </w:r>
      <w:r>
        <w:t xml:space="preserve"> procurement methodology.  </w:t>
      </w:r>
      <w:r w:rsidRPr="001A2A18">
        <w:rPr>
          <w:i/>
        </w:rPr>
        <w:t xml:space="preserve">Investigation of Pennsylvania’s Retail Electricity Market: </w:t>
      </w:r>
      <w:r w:rsidR="005D3EE5">
        <w:rPr>
          <w:i/>
          <w:lang w:val="en-US"/>
        </w:rPr>
        <w:t xml:space="preserve"> </w:t>
      </w:r>
      <w:r w:rsidRPr="001A2A18">
        <w:rPr>
          <w:i/>
        </w:rPr>
        <w:t>Recommendations Regarding Upcoming Default Service Plans</w:t>
      </w:r>
      <w:r>
        <w:rPr>
          <w:i/>
        </w:rPr>
        <w:t>,</w:t>
      </w:r>
      <w:r>
        <w:t xml:space="preserve"> Docket No. I-2011-2237952, Order entered December 16, 2011, p. 19.</w:t>
      </w:r>
    </w:p>
    <w:p w:rsidR="000A0550" w:rsidRPr="0063399C" w:rsidRDefault="000A0550" w:rsidP="00A050D4">
      <w:pPr>
        <w:pStyle w:val="BodyText2"/>
        <w:spacing w:after="0" w:line="360" w:lineRule="auto"/>
        <w:ind w:firstLine="1440"/>
        <w:rPr>
          <w:lang w:val="en-US"/>
        </w:rPr>
      </w:pPr>
    </w:p>
    <w:p w:rsidR="000A0550" w:rsidRDefault="000A0550" w:rsidP="001A2A18">
      <w:pPr>
        <w:pStyle w:val="BodyText2USDE"/>
        <w:spacing w:after="0" w:line="360" w:lineRule="auto"/>
        <w:ind w:firstLine="1440"/>
      </w:pPr>
      <w:r>
        <w:t>15.</w:t>
      </w:r>
      <w:r>
        <w:tab/>
      </w:r>
      <w:r w:rsidRPr="00141B78">
        <w:t>The Alternative Energy Program Act</w:t>
      </w:r>
      <w:r>
        <w:t xml:space="preserve"> does not require long-term Alternative Energy Credits contracts.  The demand for Alternative Energy Credits is determined based upon the specific Alternative Energy Credits requirements set forth in the </w:t>
      </w:r>
      <w:r w:rsidRPr="00141B78">
        <w:t>Alternative Energy Program Act,</w:t>
      </w:r>
      <w:r>
        <w:t xml:space="preserve"> which increase over a fifteen year period.  73 P.S. § 1648.2 and §1648.3.  </w:t>
      </w:r>
    </w:p>
    <w:p w:rsidR="000A0550" w:rsidRDefault="000A0550" w:rsidP="00A050D4">
      <w:pPr>
        <w:pStyle w:val="BodyText2USDE"/>
        <w:spacing w:after="0" w:line="360" w:lineRule="auto"/>
        <w:ind w:firstLine="1440"/>
        <w:jc w:val="both"/>
      </w:pPr>
    </w:p>
    <w:p w:rsidR="000A0550" w:rsidRDefault="000A0550" w:rsidP="00A050D4">
      <w:pPr>
        <w:pStyle w:val="BodyText2USDE"/>
        <w:spacing w:after="0" w:line="360" w:lineRule="auto"/>
        <w:ind w:firstLine="1440"/>
        <w:jc w:val="both"/>
      </w:pPr>
      <w:r>
        <w:t xml:space="preserve">16. </w:t>
      </w:r>
      <w:r>
        <w:tab/>
        <w:t>Neither Duquesne Light Company nor its affiliated interests have withheld from the market any generation supply in a manner that violates federal law.</w:t>
      </w:r>
    </w:p>
    <w:p w:rsidR="000A0550" w:rsidRDefault="000A0550" w:rsidP="00A050D4">
      <w:pPr>
        <w:pStyle w:val="BodyText2USDE"/>
        <w:spacing w:after="0" w:line="360" w:lineRule="auto"/>
        <w:ind w:firstLine="1440"/>
        <w:jc w:val="both"/>
      </w:pPr>
    </w:p>
    <w:p w:rsidR="001C6238" w:rsidRPr="00106BE5" w:rsidRDefault="001C6238" w:rsidP="001C6238">
      <w:pPr>
        <w:pStyle w:val="BodyText2"/>
        <w:spacing w:after="0" w:line="360" w:lineRule="auto"/>
        <w:jc w:val="center"/>
        <w:rPr>
          <w:u w:val="single"/>
        </w:rPr>
      </w:pPr>
      <w:r w:rsidRPr="00106BE5">
        <w:t>VI</w:t>
      </w:r>
      <w:r w:rsidR="00711594" w:rsidRPr="00106BE5">
        <w:rPr>
          <w:lang w:val="en-US"/>
        </w:rPr>
        <w:t>I</w:t>
      </w:r>
      <w:r w:rsidRPr="00106BE5">
        <w:rPr>
          <w:lang w:val="en-US"/>
        </w:rPr>
        <w:t>I</w:t>
      </w:r>
      <w:r w:rsidRPr="00106BE5">
        <w:t>.</w:t>
      </w:r>
      <w:r w:rsidRPr="00106BE5">
        <w:tab/>
      </w:r>
      <w:r w:rsidRPr="00106BE5">
        <w:rPr>
          <w:u w:val="single"/>
        </w:rPr>
        <w:t>ORDER</w:t>
      </w:r>
      <w:r w:rsidRPr="00106BE5">
        <w:rPr>
          <w:u w:val="single"/>
        </w:rPr>
        <w:fldChar w:fldCharType="begin"/>
      </w:r>
      <w:r w:rsidRPr="00106BE5">
        <w:instrText xml:space="preserve"> TC "</w:instrText>
      </w:r>
      <w:bookmarkStart w:id="15" w:name="_Toc327430253"/>
      <w:bookmarkStart w:id="16" w:name="_Toc327438722"/>
      <w:bookmarkStart w:id="17" w:name="_Toc327439190"/>
      <w:r w:rsidRPr="00106BE5">
        <w:instrText>VI.</w:instrText>
      </w:r>
      <w:r w:rsidRPr="00106BE5">
        <w:tab/>
      </w:r>
      <w:r w:rsidRPr="00106BE5">
        <w:rPr>
          <w:u w:val="single"/>
        </w:rPr>
        <w:instrText>ORDER</w:instrText>
      </w:r>
      <w:bookmarkEnd w:id="15"/>
      <w:bookmarkEnd w:id="16"/>
      <w:bookmarkEnd w:id="17"/>
      <w:r w:rsidRPr="00106BE5">
        <w:instrText xml:space="preserve">" \f C \l "1" </w:instrText>
      </w:r>
      <w:r w:rsidRPr="00106BE5">
        <w:rPr>
          <w:u w:val="single"/>
        </w:rPr>
        <w:fldChar w:fldCharType="end"/>
      </w:r>
    </w:p>
    <w:p w:rsidR="001C6238" w:rsidRPr="00E646EE" w:rsidRDefault="001C6238" w:rsidP="001C6238">
      <w:pPr>
        <w:pStyle w:val="BodyText2"/>
        <w:spacing w:after="0" w:line="360" w:lineRule="auto"/>
        <w:jc w:val="center"/>
        <w:rPr>
          <w:u w:val="single"/>
        </w:rPr>
      </w:pPr>
    </w:p>
    <w:p w:rsidR="001C6238" w:rsidRPr="00E646EE" w:rsidRDefault="001C6238" w:rsidP="001C6238">
      <w:pPr>
        <w:pStyle w:val="BodyText2"/>
        <w:spacing w:after="0" w:line="360" w:lineRule="auto"/>
        <w:jc w:val="center"/>
      </w:pPr>
    </w:p>
    <w:p w:rsidR="001C6238" w:rsidRPr="00E646EE" w:rsidRDefault="001C6238" w:rsidP="001C6238">
      <w:pPr>
        <w:pStyle w:val="BodyText2"/>
        <w:spacing w:after="0" w:line="360" w:lineRule="auto"/>
      </w:pPr>
      <w:r w:rsidRPr="00E646EE">
        <w:tab/>
      </w:r>
      <w:r w:rsidR="00C20313">
        <w:rPr>
          <w:lang w:val="en-US"/>
        </w:rPr>
        <w:tab/>
      </w:r>
      <w:r w:rsidRPr="00E646EE">
        <w:t>THEREFORE,</w:t>
      </w:r>
    </w:p>
    <w:p w:rsidR="001C6238" w:rsidRPr="00E646EE" w:rsidRDefault="001C6238" w:rsidP="001C6238">
      <w:pPr>
        <w:pStyle w:val="BodyText2"/>
        <w:spacing w:after="0" w:line="360" w:lineRule="auto"/>
      </w:pPr>
    </w:p>
    <w:p w:rsidR="001C6238" w:rsidRPr="00E646EE" w:rsidRDefault="00C20313" w:rsidP="001C6238">
      <w:pPr>
        <w:pStyle w:val="BodyText2"/>
        <w:spacing w:after="0" w:line="360" w:lineRule="auto"/>
      </w:pPr>
      <w:r>
        <w:rPr>
          <w:lang w:val="en-US"/>
        </w:rPr>
        <w:tab/>
      </w:r>
      <w:r w:rsidR="001C6238" w:rsidRPr="00E646EE">
        <w:tab/>
        <w:t>IT IS RECOMMENDED:</w:t>
      </w:r>
    </w:p>
    <w:p w:rsidR="001C6238" w:rsidRPr="00E646EE" w:rsidRDefault="001C6238" w:rsidP="001C6238">
      <w:pPr>
        <w:pStyle w:val="BodyText2"/>
        <w:spacing w:after="0" w:line="360" w:lineRule="auto"/>
      </w:pPr>
    </w:p>
    <w:p w:rsidR="00A97008" w:rsidRDefault="00A97008" w:rsidP="00A97008">
      <w:pPr>
        <w:pStyle w:val="BodyText2"/>
        <w:spacing w:after="0" w:line="360" w:lineRule="auto"/>
        <w:ind w:firstLine="1440"/>
        <w:rPr>
          <w:lang w:val="en-US"/>
        </w:rPr>
      </w:pPr>
      <w:r>
        <w:t>1.</w:t>
      </w:r>
      <w:r>
        <w:tab/>
        <w:t>Th</w:t>
      </w:r>
      <w:r>
        <w:rPr>
          <w:lang w:val="en-US"/>
        </w:rPr>
        <w:t>at</w:t>
      </w:r>
      <w:r>
        <w:t xml:space="preserve"> </w:t>
      </w:r>
      <w:proofErr w:type="spellStart"/>
      <w:r>
        <w:rPr>
          <w:lang w:val="en-US"/>
        </w:rPr>
        <w:t>t</w:t>
      </w:r>
      <w:r>
        <w:t>he</w:t>
      </w:r>
      <w:proofErr w:type="spellEnd"/>
      <w:r>
        <w:t xml:space="preserve"> Default Service Plan</w:t>
      </w:r>
      <w:r>
        <w:rPr>
          <w:lang w:val="en-US"/>
        </w:rPr>
        <w:t>,</w:t>
      </w:r>
      <w:r>
        <w:t xml:space="preserve"> as proposed by </w:t>
      </w:r>
      <w:r>
        <w:rPr>
          <w:lang w:val="en-US"/>
        </w:rPr>
        <w:t xml:space="preserve">Duquesne Light Company </w:t>
      </w:r>
      <w:r>
        <w:t>and as modified by the Settlement Stipulation filed on September 15, 2014</w:t>
      </w:r>
      <w:r>
        <w:rPr>
          <w:lang w:val="en-US"/>
        </w:rPr>
        <w:t>,</w:t>
      </w:r>
      <w:r>
        <w:t xml:space="preserve"> is approved. </w:t>
      </w:r>
    </w:p>
    <w:p w:rsidR="00A97008" w:rsidRPr="0063399C" w:rsidRDefault="00A97008" w:rsidP="00A97008">
      <w:pPr>
        <w:pStyle w:val="BodyText2"/>
        <w:spacing w:after="0" w:line="360" w:lineRule="auto"/>
        <w:ind w:firstLine="1440"/>
        <w:rPr>
          <w:lang w:val="en-US"/>
        </w:rPr>
      </w:pPr>
    </w:p>
    <w:p w:rsidR="00A97008" w:rsidRDefault="00A97008" w:rsidP="00A97008">
      <w:pPr>
        <w:pStyle w:val="BodyText2"/>
        <w:spacing w:after="0" w:line="360" w:lineRule="auto"/>
        <w:ind w:firstLine="1440"/>
        <w:rPr>
          <w:lang w:val="en-US"/>
        </w:rPr>
      </w:pPr>
      <w:r>
        <w:t>2.</w:t>
      </w:r>
      <w:r>
        <w:tab/>
        <w:t>Th</w:t>
      </w:r>
      <w:r>
        <w:rPr>
          <w:lang w:val="en-US"/>
        </w:rPr>
        <w:t>at</w:t>
      </w:r>
      <w:r>
        <w:t xml:space="preserve"> Duquesne Light </w:t>
      </w:r>
      <w:r>
        <w:rPr>
          <w:lang w:val="en-US"/>
        </w:rPr>
        <w:t xml:space="preserve">Company </w:t>
      </w:r>
      <w:r>
        <w:t xml:space="preserve">is authorized to file on one day’s notice the tariff sheets set forth in the Tariff Supplement provided with the filing to be modified to reflect the Settlement Stipulation. </w:t>
      </w:r>
    </w:p>
    <w:p w:rsidR="00A97008" w:rsidRPr="0063399C" w:rsidRDefault="00A97008" w:rsidP="00A97008">
      <w:pPr>
        <w:pStyle w:val="BodyText2"/>
        <w:spacing w:after="0" w:line="360" w:lineRule="auto"/>
        <w:ind w:firstLine="1440"/>
        <w:rPr>
          <w:lang w:val="en-US"/>
        </w:rPr>
      </w:pPr>
    </w:p>
    <w:p w:rsidR="00A97008" w:rsidRDefault="00BD6C63" w:rsidP="00A97008">
      <w:pPr>
        <w:pStyle w:val="BodyText2"/>
        <w:spacing w:after="0" w:line="360" w:lineRule="auto"/>
        <w:ind w:firstLine="1440"/>
        <w:rPr>
          <w:lang w:val="en-US"/>
        </w:rPr>
      </w:pPr>
      <w:r>
        <w:rPr>
          <w:lang w:val="en-US"/>
        </w:rPr>
        <w:t>3</w:t>
      </w:r>
      <w:r w:rsidR="00A97008">
        <w:t>.</w:t>
      </w:r>
      <w:r w:rsidR="00A97008">
        <w:tab/>
        <w:t>Th</w:t>
      </w:r>
      <w:r w:rsidR="00A97008">
        <w:rPr>
          <w:lang w:val="en-US"/>
        </w:rPr>
        <w:t>at</w:t>
      </w:r>
      <w:r w:rsidR="00A97008">
        <w:t xml:space="preserve"> </w:t>
      </w:r>
      <w:proofErr w:type="spellStart"/>
      <w:r w:rsidR="00A97008">
        <w:rPr>
          <w:lang w:val="en-US"/>
        </w:rPr>
        <w:t>t</w:t>
      </w:r>
      <w:r w:rsidR="00A97008">
        <w:t>he</w:t>
      </w:r>
      <w:proofErr w:type="spellEnd"/>
      <w:r w:rsidR="00A97008">
        <w:t xml:space="preserve"> approvals for Duquesne Light Company to procure power as set forth in this proceeding are granted, including, if needed, credit support from its parent.</w:t>
      </w:r>
    </w:p>
    <w:p w:rsidR="00A97008" w:rsidRPr="0063399C" w:rsidRDefault="00A97008" w:rsidP="00A97008">
      <w:pPr>
        <w:pStyle w:val="BodyText2"/>
        <w:spacing w:after="0" w:line="360" w:lineRule="auto"/>
        <w:ind w:firstLine="1440"/>
        <w:rPr>
          <w:lang w:val="en-US"/>
        </w:rPr>
      </w:pPr>
    </w:p>
    <w:p w:rsidR="00A97008" w:rsidRDefault="00BD6C63" w:rsidP="00A97008">
      <w:pPr>
        <w:pStyle w:val="BodyText2"/>
        <w:spacing w:after="0" w:line="360" w:lineRule="auto"/>
        <w:ind w:firstLine="1440"/>
        <w:rPr>
          <w:lang w:val="en-US"/>
        </w:rPr>
      </w:pPr>
      <w:r>
        <w:rPr>
          <w:lang w:val="en-US"/>
        </w:rPr>
        <w:t>4</w:t>
      </w:r>
      <w:r w:rsidR="00A97008">
        <w:t>.</w:t>
      </w:r>
      <w:r w:rsidR="00A97008">
        <w:tab/>
        <w:t>Th</w:t>
      </w:r>
      <w:r w:rsidR="00A97008">
        <w:rPr>
          <w:lang w:val="en-US"/>
        </w:rPr>
        <w:t>at</w:t>
      </w:r>
      <w:r w:rsidR="00A97008">
        <w:t xml:space="preserve"> </w:t>
      </w:r>
      <w:proofErr w:type="spellStart"/>
      <w:r w:rsidR="00A97008">
        <w:rPr>
          <w:lang w:val="en-US"/>
        </w:rPr>
        <w:t>t</w:t>
      </w:r>
      <w:r w:rsidR="00A97008">
        <w:t>he</w:t>
      </w:r>
      <w:proofErr w:type="spellEnd"/>
      <w:r w:rsidR="00A97008">
        <w:t xml:space="preserve"> Supply Master Agreement</w:t>
      </w:r>
      <w:r w:rsidR="00A97008">
        <w:rPr>
          <w:lang w:val="en-US"/>
        </w:rPr>
        <w:t>,</w:t>
      </w:r>
      <w:r w:rsidR="00A97008">
        <w:t xml:space="preserve"> as modified by the Settlement Stipulation and related attachments, including the Non-Disclosure Agreement, for procuring power for Residential and Lighting customers, Small </w:t>
      </w:r>
      <w:r w:rsidR="00A97008">
        <w:rPr>
          <w:lang w:val="en-US"/>
        </w:rPr>
        <w:t>Commercial and Industrial customers</w:t>
      </w:r>
      <w:r w:rsidR="00A97008">
        <w:t xml:space="preserve"> and Medium </w:t>
      </w:r>
      <w:r w:rsidR="00A97008">
        <w:rPr>
          <w:lang w:val="en-US"/>
        </w:rPr>
        <w:t xml:space="preserve">Commercial and Industrial </w:t>
      </w:r>
      <w:r w:rsidR="00A97008">
        <w:t xml:space="preserve">customers are approved. </w:t>
      </w:r>
    </w:p>
    <w:p w:rsidR="00A97008" w:rsidRPr="0063399C" w:rsidRDefault="00A97008" w:rsidP="00A97008">
      <w:pPr>
        <w:pStyle w:val="BodyText2"/>
        <w:spacing w:after="0" w:line="360" w:lineRule="auto"/>
        <w:ind w:firstLine="1440"/>
        <w:rPr>
          <w:lang w:val="en-US"/>
        </w:rPr>
      </w:pPr>
    </w:p>
    <w:p w:rsidR="00A97008" w:rsidRDefault="00BD6C63" w:rsidP="00A97008">
      <w:pPr>
        <w:pStyle w:val="BodyText2"/>
        <w:spacing w:after="0" w:line="360" w:lineRule="auto"/>
        <w:ind w:firstLine="1440"/>
        <w:rPr>
          <w:lang w:val="en-US"/>
        </w:rPr>
      </w:pPr>
      <w:r>
        <w:rPr>
          <w:lang w:val="en-US"/>
        </w:rPr>
        <w:t>5</w:t>
      </w:r>
      <w:r w:rsidR="00A97008">
        <w:t>.</w:t>
      </w:r>
      <w:r w:rsidR="00A97008">
        <w:tab/>
        <w:t>Th</w:t>
      </w:r>
      <w:r w:rsidR="00A97008">
        <w:rPr>
          <w:lang w:val="en-US"/>
        </w:rPr>
        <w:t>at</w:t>
      </w:r>
      <w:r w:rsidR="00A97008">
        <w:t xml:space="preserve"> Duquesne Light</w:t>
      </w:r>
      <w:r w:rsidR="00A97008">
        <w:rPr>
          <w:lang w:val="en-US"/>
        </w:rPr>
        <w:t xml:space="preserve"> Company</w:t>
      </w:r>
      <w:r w:rsidR="00A97008">
        <w:t>’s Retail Market Enhancement Surcharge is approved.</w:t>
      </w:r>
    </w:p>
    <w:p w:rsidR="00065674" w:rsidRPr="00065674" w:rsidRDefault="00065674" w:rsidP="00A97008">
      <w:pPr>
        <w:pStyle w:val="BodyText2"/>
        <w:spacing w:after="0" w:line="360" w:lineRule="auto"/>
        <w:ind w:firstLine="1440"/>
        <w:rPr>
          <w:lang w:val="en-US"/>
        </w:rPr>
      </w:pPr>
    </w:p>
    <w:p w:rsidR="00A97008" w:rsidRDefault="00D8248E" w:rsidP="00A97008">
      <w:pPr>
        <w:pStyle w:val="BodyText2"/>
        <w:spacing w:after="0" w:line="360" w:lineRule="auto"/>
        <w:ind w:firstLine="1440"/>
        <w:rPr>
          <w:lang w:val="en-US"/>
        </w:rPr>
      </w:pPr>
      <w:proofErr w:type="gramStart"/>
      <w:r>
        <w:rPr>
          <w:lang w:val="en-US"/>
        </w:rPr>
        <w:t>6</w:t>
      </w:r>
      <w:r w:rsidR="00A97008">
        <w:rPr>
          <w:lang w:val="en-US"/>
        </w:rPr>
        <w:t xml:space="preserve">. </w:t>
      </w:r>
      <w:r w:rsidR="00A97008">
        <w:rPr>
          <w:lang w:val="en-US"/>
        </w:rPr>
        <w:tab/>
        <w:t>That n</w:t>
      </w:r>
      <w:r w:rsidR="00A97008">
        <w:t xml:space="preserve">either Duquesne Light </w:t>
      </w:r>
      <w:r w:rsidR="00607B58">
        <w:rPr>
          <w:lang w:val="en-US"/>
        </w:rPr>
        <w:t xml:space="preserve">Company </w:t>
      </w:r>
      <w:r w:rsidR="00A97008">
        <w:t>nor its affiliated interests</w:t>
      </w:r>
      <w:proofErr w:type="gramEnd"/>
      <w:r w:rsidR="00A97008">
        <w:t xml:space="preserve"> have withheld from the market any generation supply in a manner that violates federal law.</w:t>
      </w:r>
    </w:p>
    <w:p w:rsidR="00A97008" w:rsidRPr="0063399C" w:rsidRDefault="00A97008" w:rsidP="00A97008">
      <w:pPr>
        <w:pStyle w:val="BodyText2"/>
        <w:spacing w:after="0" w:line="360" w:lineRule="auto"/>
        <w:ind w:firstLine="1440"/>
        <w:rPr>
          <w:lang w:val="en-US"/>
        </w:rPr>
      </w:pPr>
    </w:p>
    <w:p w:rsidR="00A97008" w:rsidRDefault="00D8248E" w:rsidP="00A97008">
      <w:pPr>
        <w:pStyle w:val="BodyText2"/>
        <w:spacing w:after="0" w:line="360" w:lineRule="auto"/>
        <w:ind w:firstLine="1440"/>
        <w:rPr>
          <w:lang w:val="en-US"/>
        </w:rPr>
      </w:pPr>
      <w:r>
        <w:rPr>
          <w:lang w:val="en-US"/>
        </w:rPr>
        <w:t>7</w:t>
      </w:r>
      <w:r w:rsidR="00A97008">
        <w:t>.</w:t>
      </w:r>
      <w:r w:rsidR="00A97008">
        <w:tab/>
        <w:t>Th</w:t>
      </w:r>
      <w:r w:rsidR="00A97008">
        <w:rPr>
          <w:lang w:val="en-US"/>
        </w:rPr>
        <w:t>at s</w:t>
      </w:r>
      <w:proofErr w:type="spellStart"/>
      <w:r w:rsidR="00A97008">
        <w:t>uch</w:t>
      </w:r>
      <w:proofErr w:type="spellEnd"/>
      <w:r w:rsidR="00A97008">
        <w:t xml:space="preserve"> other relief as is just and reasonable under the circumstances is granted. </w:t>
      </w:r>
    </w:p>
    <w:p w:rsidR="00A97008" w:rsidRPr="0063399C" w:rsidRDefault="00A97008" w:rsidP="00A97008">
      <w:pPr>
        <w:pStyle w:val="BodyText2"/>
        <w:spacing w:after="0" w:line="360" w:lineRule="auto"/>
        <w:ind w:firstLine="1440"/>
        <w:rPr>
          <w:lang w:val="en-US"/>
        </w:rPr>
      </w:pPr>
    </w:p>
    <w:p w:rsidR="00A97008" w:rsidRDefault="00D8248E" w:rsidP="00A97008">
      <w:pPr>
        <w:pStyle w:val="BodyText2"/>
        <w:spacing w:after="0" w:line="360" w:lineRule="auto"/>
        <w:ind w:firstLine="1440"/>
      </w:pPr>
      <w:r>
        <w:rPr>
          <w:lang w:val="en-US"/>
        </w:rPr>
        <w:t>8</w:t>
      </w:r>
      <w:r w:rsidR="00A97008">
        <w:t>.</w:t>
      </w:r>
      <w:r w:rsidR="00A97008">
        <w:tab/>
        <w:t>Th</w:t>
      </w:r>
      <w:r w:rsidR="00A97008">
        <w:rPr>
          <w:lang w:val="en-US"/>
        </w:rPr>
        <w:t xml:space="preserve">at, upon Final Order by the Commission, the </w:t>
      </w:r>
      <w:r w:rsidR="00A97008">
        <w:t xml:space="preserve">Commission’s Secretary shall mark Docket No. P-2014-2418242 as closed.  </w:t>
      </w:r>
    </w:p>
    <w:p w:rsidR="001C6238" w:rsidRDefault="001C6238" w:rsidP="00A97008">
      <w:pPr>
        <w:spacing w:line="360" w:lineRule="auto"/>
        <w:ind w:firstLine="1440"/>
      </w:pPr>
    </w:p>
    <w:p w:rsidR="00F120E7" w:rsidRDefault="00F120E7" w:rsidP="001C6238">
      <w:pPr>
        <w:spacing w:line="360" w:lineRule="auto"/>
      </w:pPr>
    </w:p>
    <w:p w:rsidR="00D151DD" w:rsidRPr="00E646EE" w:rsidRDefault="00D151DD" w:rsidP="001C6238">
      <w:pPr>
        <w:spacing w:line="360" w:lineRule="auto"/>
      </w:pPr>
    </w:p>
    <w:p w:rsidR="00C30FE1" w:rsidRDefault="001C6238" w:rsidP="00C30FE1">
      <w:r>
        <w:t xml:space="preserve">Date:  </w:t>
      </w:r>
      <w:r w:rsidR="006D0967">
        <w:rPr>
          <w:u w:val="single"/>
        </w:rPr>
        <w:t>October 28</w:t>
      </w:r>
      <w:r w:rsidRPr="001C6238">
        <w:rPr>
          <w:u w:val="single"/>
        </w:rPr>
        <w:t>, 201</w:t>
      </w:r>
      <w:r w:rsidR="006D0967">
        <w:rPr>
          <w:u w:val="single"/>
        </w:rPr>
        <w:t>4</w:t>
      </w:r>
      <w:r>
        <w:tab/>
      </w:r>
      <w:r>
        <w:tab/>
      </w:r>
      <w:r>
        <w:tab/>
      </w:r>
      <w:r>
        <w:tab/>
      </w:r>
      <w:r>
        <w:tab/>
      </w:r>
      <w:r w:rsidR="00C30FE1">
        <w:rPr>
          <w:u w:val="single"/>
        </w:rPr>
        <w:tab/>
      </w:r>
      <w:r w:rsidR="00C30FE1">
        <w:rPr>
          <w:u w:val="single"/>
        </w:rPr>
        <w:tab/>
        <w:t>/s/</w:t>
      </w:r>
      <w:r w:rsidR="00C30FE1">
        <w:rPr>
          <w:u w:val="single"/>
        </w:rPr>
        <w:tab/>
      </w:r>
      <w:r w:rsidR="00C30FE1">
        <w:rPr>
          <w:u w:val="single"/>
        </w:rPr>
        <w:tab/>
      </w:r>
      <w:r w:rsidR="00C30FE1">
        <w:rPr>
          <w:u w:val="single"/>
        </w:rPr>
        <w:tab/>
      </w:r>
    </w:p>
    <w:p w:rsidR="001C6238" w:rsidRDefault="001C6238" w:rsidP="001C6238">
      <w:r>
        <w:tab/>
      </w:r>
      <w:r>
        <w:tab/>
      </w:r>
      <w:r>
        <w:tab/>
      </w:r>
      <w:r>
        <w:tab/>
      </w:r>
      <w:r>
        <w:tab/>
      </w:r>
      <w:r>
        <w:tab/>
      </w:r>
      <w:r>
        <w:tab/>
      </w:r>
      <w:r>
        <w:tab/>
        <w:t>Katrina L. Dunderdale</w:t>
      </w:r>
    </w:p>
    <w:p w:rsidR="0021334A" w:rsidRPr="001C6238" w:rsidRDefault="001C6238" w:rsidP="00DB341F">
      <w:r>
        <w:tab/>
      </w:r>
      <w:r>
        <w:tab/>
      </w:r>
      <w:r>
        <w:tab/>
      </w:r>
      <w:r>
        <w:tab/>
      </w:r>
      <w:r>
        <w:tab/>
      </w:r>
      <w:r>
        <w:tab/>
      </w:r>
      <w:r>
        <w:tab/>
      </w:r>
      <w:r>
        <w:tab/>
        <w:t>Administrative Law Judge</w:t>
      </w:r>
      <w:bookmarkEnd w:id="10"/>
    </w:p>
    <w:sectPr w:rsidR="0021334A" w:rsidRPr="001C6238" w:rsidSect="006C6975">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A36" w:rsidRDefault="00EE5A36">
      <w:r>
        <w:separator/>
      </w:r>
    </w:p>
  </w:endnote>
  <w:endnote w:type="continuationSeparator" w:id="0">
    <w:p w:rsidR="00EE5A36" w:rsidRDefault="00EE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603009"/>
      <w:docPartObj>
        <w:docPartGallery w:val="Page Numbers (Bottom of Page)"/>
        <w:docPartUnique/>
      </w:docPartObj>
    </w:sdtPr>
    <w:sdtEndPr>
      <w:rPr>
        <w:noProof/>
        <w:sz w:val="20"/>
        <w:szCs w:val="20"/>
      </w:rPr>
    </w:sdtEndPr>
    <w:sdtContent>
      <w:p w:rsidR="00A221BF" w:rsidRPr="003C38EE" w:rsidRDefault="00A221BF">
        <w:pPr>
          <w:pStyle w:val="Footer"/>
          <w:jc w:val="center"/>
          <w:rPr>
            <w:sz w:val="20"/>
            <w:szCs w:val="20"/>
          </w:rPr>
        </w:pPr>
        <w:r w:rsidRPr="003C38EE">
          <w:rPr>
            <w:sz w:val="20"/>
            <w:szCs w:val="20"/>
          </w:rPr>
          <w:fldChar w:fldCharType="begin"/>
        </w:r>
        <w:r w:rsidRPr="003C38EE">
          <w:rPr>
            <w:sz w:val="20"/>
            <w:szCs w:val="20"/>
          </w:rPr>
          <w:instrText xml:space="preserve"> PAGE   \* MERGEFORMAT </w:instrText>
        </w:r>
        <w:r w:rsidRPr="003C38EE">
          <w:rPr>
            <w:sz w:val="20"/>
            <w:szCs w:val="20"/>
          </w:rPr>
          <w:fldChar w:fldCharType="separate"/>
        </w:r>
        <w:r w:rsidR="00B74B06">
          <w:rPr>
            <w:noProof/>
            <w:sz w:val="20"/>
            <w:szCs w:val="20"/>
          </w:rPr>
          <w:t>45</w:t>
        </w:r>
        <w:r w:rsidRPr="003C38EE">
          <w:rPr>
            <w:noProof/>
            <w:sz w:val="20"/>
            <w:szCs w:val="20"/>
          </w:rPr>
          <w:fldChar w:fldCharType="end"/>
        </w:r>
      </w:p>
    </w:sdtContent>
  </w:sdt>
  <w:p w:rsidR="00A221BF" w:rsidRPr="00154532" w:rsidRDefault="00A221BF" w:rsidP="00154532">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BF" w:rsidRPr="00392F4E" w:rsidRDefault="00A221BF" w:rsidP="00392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A36" w:rsidRDefault="00EE5A36">
      <w:r>
        <w:separator/>
      </w:r>
    </w:p>
  </w:footnote>
  <w:footnote w:type="continuationSeparator" w:id="0">
    <w:p w:rsidR="00EE5A36" w:rsidRDefault="00EE5A36">
      <w:r>
        <w:continuationSeparator/>
      </w:r>
    </w:p>
  </w:footnote>
  <w:footnote w:id="1">
    <w:p w:rsidR="00A221BF" w:rsidRDefault="00A221BF" w:rsidP="006A015A">
      <w:pPr>
        <w:pStyle w:val="FootnoteText"/>
      </w:pPr>
      <w:r>
        <w:tab/>
      </w:r>
      <w:r>
        <w:rPr>
          <w:rStyle w:val="FootnoteReference"/>
        </w:rPr>
        <w:footnoteRef/>
      </w:r>
      <w:r>
        <w:t xml:space="preserve"> </w:t>
      </w:r>
      <w:r>
        <w:tab/>
        <w:t xml:space="preserve">Main briefs were not filed by BIE, CAUSE-PA, </w:t>
      </w:r>
      <w:proofErr w:type="spellStart"/>
      <w:r>
        <w:t>ExelonGen</w:t>
      </w:r>
      <w:proofErr w:type="spellEnd"/>
      <w:r>
        <w:t xml:space="preserve">, FES, </w:t>
      </w:r>
      <w:proofErr w:type="spellStart"/>
      <w:r>
        <w:t>NextEra</w:t>
      </w:r>
      <w:proofErr w:type="spellEnd"/>
      <w:r>
        <w:t xml:space="preserve"> and OCA.</w:t>
      </w:r>
    </w:p>
  </w:footnote>
  <w:footnote w:id="2">
    <w:p w:rsidR="00A221BF" w:rsidRDefault="00A221BF" w:rsidP="007A18C9">
      <w:pPr>
        <w:pStyle w:val="FootnoteText"/>
      </w:pPr>
      <w:r>
        <w:tab/>
      </w:r>
      <w:r>
        <w:rPr>
          <w:rStyle w:val="FootnoteReference"/>
        </w:rPr>
        <w:footnoteRef/>
      </w:r>
      <w:r>
        <w:t xml:space="preserve"> </w:t>
      </w:r>
      <w:r>
        <w:tab/>
      </w:r>
      <w:proofErr w:type="gramStart"/>
      <w:r>
        <w:t>66 Pa.C.S.A.</w:t>
      </w:r>
      <w:proofErr w:type="gramEnd"/>
      <w:r>
        <w:t xml:space="preserve"> § 2803.</w:t>
      </w:r>
    </w:p>
    <w:p w:rsidR="00A221BF" w:rsidRDefault="00A221BF" w:rsidP="007A18C9">
      <w:pPr>
        <w:pStyle w:val="FootnoteText"/>
      </w:pPr>
    </w:p>
  </w:footnote>
  <w:footnote w:id="3">
    <w:p w:rsidR="00A221BF" w:rsidRDefault="00A221BF" w:rsidP="00C40FFC">
      <w:pPr>
        <w:pStyle w:val="FootnoteText"/>
        <w:ind w:firstLine="720"/>
      </w:pPr>
      <w:r>
        <w:rPr>
          <w:rStyle w:val="FootnoteReference"/>
        </w:rPr>
        <w:footnoteRef/>
      </w:r>
      <w:r>
        <w:t xml:space="preserve"> </w:t>
      </w:r>
      <w:r>
        <w:tab/>
        <w:t xml:space="preserve">The Stipulation is not opposed by OSBA, </w:t>
      </w:r>
      <w:proofErr w:type="spellStart"/>
      <w:r>
        <w:t>PennFuture</w:t>
      </w:r>
      <w:proofErr w:type="spellEnd"/>
      <w:r>
        <w:t>, Duquesne Industrial Intervenors, FirstEnergy Solutions and Noble Americas Energy Solutions.</w:t>
      </w:r>
    </w:p>
    <w:p w:rsidR="00A221BF" w:rsidRDefault="00A221BF" w:rsidP="00C40FFC">
      <w:pPr>
        <w:pStyle w:val="FootnoteText"/>
        <w:ind w:firstLine="720"/>
        <w:jc w:val="both"/>
      </w:pPr>
    </w:p>
  </w:footnote>
  <w:footnote w:id="4">
    <w:p w:rsidR="00A221BF" w:rsidRDefault="00A221BF" w:rsidP="00C40FFC">
      <w:pPr>
        <w:pStyle w:val="FootnoteText"/>
        <w:ind w:firstLine="720"/>
      </w:pPr>
      <w:r>
        <w:rPr>
          <w:rStyle w:val="FootnoteReference"/>
        </w:rPr>
        <w:footnoteRef/>
      </w:r>
      <w:r>
        <w:t xml:space="preserve"> </w:t>
      </w:r>
      <w:r>
        <w:tab/>
        <w:t xml:space="preserve">The Settlement further provides that Duquesne Light’s DSP VII filing is approved except as modified by the Settlement.  Several aspects of Duquesne Light’s filing were not contested but are proposed to be approved by the Settlement.  One of these uncontested items was Duquesne Light’s proposal to expand the scope of Rider No. 1 Consumer Education Surcharge to recover all costs associated with Commission-mandated retail market initiatives and to rename Rider No. 1 the Retail Market Enhancement Surcharge.  </w:t>
      </w:r>
    </w:p>
  </w:footnote>
  <w:footnote w:id="5">
    <w:p w:rsidR="00A221BF" w:rsidRDefault="00A221BF" w:rsidP="00C40FFC">
      <w:pPr>
        <w:pStyle w:val="FootnoteText"/>
        <w:jc w:val="both"/>
      </w:pPr>
    </w:p>
    <w:p w:rsidR="00A221BF" w:rsidRDefault="00A221BF" w:rsidP="00C40FFC">
      <w:pPr>
        <w:pStyle w:val="FootnoteText"/>
        <w:ind w:firstLine="720"/>
      </w:pPr>
      <w:r>
        <w:rPr>
          <w:rStyle w:val="FootnoteReference"/>
        </w:rPr>
        <w:footnoteRef/>
      </w:r>
      <w:r>
        <w:t xml:space="preserve"> </w:t>
      </w:r>
      <w:r>
        <w:tab/>
        <w:t>There is one six-month supply contract at the beginning of the DSP VII Plan to start the laddering process.  Laddering allows for supply contracts to overlap which avoids a hard stop.  Full-requirement supply contracts are covered by the Supply Master Agreement.</w:t>
      </w:r>
    </w:p>
  </w:footnote>
  <w:footnote w:id="6">
    <w:p w:rsidR="00A221BF" w:rsidRDefault="00A221BF" w:rsidP="00C40FFC">
      <w:pPr>
        <w:pStyle w:val="FootnoteText"/>
        <w:ind w:firstLine="720"/>
      </w:pPr>
      <w:r>
        <w:rPr>
          <w:rStyle w:val="FootnoteReference"/>
        </w:rPr>
        <w:footnoteRef/>
      </w:r>
      <w:r>
        <w:t xml:space="preserve"> </w:t>
      </w:r>
      <w:r>
        <w:tab/>
        <w:t xml:space="preserve">See Duquesne Light St. No. 5, p. 14.  </w:t>
      </w:r>
    </w:p>
  </w:footnote>
  <w:footnote w:id="7">
    <w:p w:rsidR="00A221BF" w:rsidRDefault="00A221BF" w:rsidP="00C40FFC">
      <w:pPr>
        <w:pStyle w:val="FootnoteText"/>
      </w:pPr>
    </w:p>
    <w:p w:rsidR="00A221BF" w:rsidRDefault="00A221BF" w:rsidP="00C40FFC">
      <w:pPr>
        <w:pStyle w:val="FootnoteText"/>
        <w:ind w:firstLine="720"/>
      </w:pPr>
      <w:r>
        <w:rPr>
          <w:rStyle w:val="FootnoteReference"/>
        </w:rPr>
        <w:footnoteRef/>
      </w:r>
      <w:r>
        <w:t xml:space="preserve"> </w:t>
      </w:r>
      <w:r>
        <w:tab/>
        <w:t>See Duquesne Light St. No. 5, p. 16.</w:t>
      </w:r>
    </w:p>
  </w:footnote>
  <w:footnote w:id="8">
    <w:p w:rsidR="00A221BF" w:rsidRDefault="00A221BF" w:rsidP="00C40FFC">
      <w:pPr>
        <w:pStyle w:val="FootnoteText"/>
      </w:pPr>
      <w:r>
        <w:tab/>
      </w:r>
      <w:r>
        <w:rPr>
          <w:rStyle w:val="FootnoteReference"/>
        </w:rPr>
        <w:footnoteRef/>
      </w:r>
      <w:r>
        <w:t xml:space="preserve"> </w:t>
      </w:r>
      <w:r>
        <w:tab/>
        <w:t xml:space="preserve">Duquesne Light requested quarterly delivery of AECs, and </w:t>
      </w:r>
      <w:proofErr w:type="spellStart"/>
      <w:r>
        <w:t>ExGen</w:t>
      </w:r>
      <w:proofErr w:type="spellEnd"/>
      <w:r>
        <w:t xml:space="preserve"> requested annual delivery.  The Settlement Stipulation generally provides for delivery on a six-month basis.</w:t>
      </w:r>
    </w:p>
  </w:footnote>
  <w:footnote w:id="9">
    <w:p w:rsidR="00A221BF" w:rsidRDefault="00A221BF" w:rsidP="00C40FFC">
      <w:pPr>
        <w:pStyle w:val="FootnoteText"/>
      </w:pPr>
      <w:r>
        <w:tab/>
      </w:r>
      <w:r>
        <w:rPr>
          <w:rStyle w:val="FootnoteReference"/>
        </w:rPr>
        <w:footnoteRef/>
      </w:r>
      <w:r>
        <w:t xml:space="preserve"> </w:t>
      </w:r>
      <w:r>
        <w:tab/>
        <w:t>In this proceeding, the Company proposed to expand the scope of Rider No. 1 – Consumer Education Surcharge to recover all costs associated with Commission-mandated retail market initiatives.  The revised surcharge is called the Retail Market Enhancement Surcharge (“RMES”).  Duquesne Light St. No. 4, p. 39.  Under the RMES, the Company will be able to recover costs associated with implementing Commission-mandated activities, programs, projects, services, etc. to enhance the competitive energy market in Pennsylvania as well as Commission-mandated consumer education costs.  In order for a cost to qualify to be recovered through the RMES, the Commission must direct that the cost be recovered through the RMES.</w:t>
      </w:r>
    </w:p>
  </w:footnote>
  <w:footnote w:id="10">
    <w:p w:rsidR="00A221BF" w:rsidRDefault="00A221BF" w:rsidP="00CC60E7">
      <w:pPr>
        <w:pStyle w:val="FootnoteText"/>
        <w:ind w:firstLine="720"/>
      </w:pPr>
      <w:r>
        <w:rPr>
          <w:rStyle w:val="FootnoteReference"/>
        </w:rPr>
        <w:footnoteRef/>
      </w:r>
      <w:r>
        <w:t xml:space="preserve"> </w:t>
      </w:r>
      <w:r>
        <w:tab/>
      </w:r>
      <w:proofErr w:type="gramStart"/>
      <w:r w:rsidRPr="00244823">
        <w:rPr>
          <w:color w:val="000000"/>
        </w:rPr>
        <w:t>66 Pa.C.S.</w:t>
      </w:r>
      <w:r>
        <w:rPr>
          <w:color w:val="000000"/>
        </w:rPr>
        <w:t>A.</w:t>
      </w:r>
      <w:proofErr w:type="gramEnd"/>
      <w:r>
        <w:rPr>
          <w:color w:val="000000"/>
        </w:rPr>
        <w:t xml:space="preserve"> </w:t>
      </w:r>
      <w:r w:rsidRPr="00244823">
        <w:rPr>
          <w:color w:val="000000"/>
        </w:rPr>
        <w:t>§</w:t>
      </w:r>
      <w:r>
        <w:rPr>
          <w:color w:val="000000"/>
        </w:rPr>
        <w:t xml:space="preserve"> </w:t>
      </w:r>
      <w:r w:rsidRPr="00244823">
        <w:rPr>
          <w:color w:val="000000"/>
        </w:rPr>
        <w:t>332(a)</w:t>
      </w:r>
      <w:r>
        <w:rPr>
          <w:color w:val="000000"/>
        </w:rPr>
        <w:t xml:space="preserve">; and </w:t>
      </w:r>
      <w:r w:rsidRPr="002F2524">
        <w:rPr>
          <w:i/>
          <w:color w:val="000000"/>
        </w:rPr>
        <w:t xml:space="preserve">Samuel J. Lansberry, Inc. v. Pa. Pub. </w:t>
      </w:r>
      <w:proofErr w:type="gramStart"/>
      <w:r w:rsidRPr="002F2524">
        <w:rPr>
          <w:i/>
          <w:color w:val="000000"/>
        </w:rPr>
        <w:t>Util. Comm’n,</w:t>
      </w:r>
      <w:r w:rsidRPr="00244823">
        <w:rPr>
          <w:color w:val="000000"/>
        </w:rPr>
        <w:t xml:space="preserve"> 578 A.2d 600 (Pa. Cmwlth. 1990), </w:t>
      </w:r>
      <w:r w:rsidRPr="002F2524">
        <w:rPr>
          <w:i/>
          <w:color w:val="000000"/>
        </w:rPr>
        <w:t>alloc.</w:t>
      </w:r>
      <w:proofErr w:type="gramEnd"/>
      <w:r w:rsidRPr="002F2524">
        <w:rPr>
          <w:i/>
          <w:color w:val="000000"/>
        </w:rPr>
        <w:t xml:space="preserve"> </w:t>
      </w:r>
      <w:proofErr w:type="gramStart"/>
      <w:r w:rsidRPr="002F2524">
        <w:rPr>
          <w:i/>
          <w:color w:val="000000"/>
        </w:rPr>
        <w:t>den.</w:t>
      </w:r>
      <w:r w:rsidRPr="00244823">
        <w:rPr>
          <w:color w:val="000000"/>
        </w:rPr>
        <w:t>, 602 A.2d 863 (Pa. 1992)</w:t>
      </w:r>
      <w:r>
        <w:rPr>
          <w:color w:val="000000"/>
        </w:rPr>
        <w:t>.</w:t>
      </w:r>
      <w:proofErr w:type="gramEnd"/>
    </w:p>
  </w:footnote>
  <w:footnote w:id="11">
    <w:p w:rsidR="00A221BF" w:rsidRDefault="00A221BF">
      <w:pPr>
        <w:pStyle w:val="FootnoteText"/>
      </w:pPr>
    </w:p>
    <w:p w:rsidR="00A221BF" w:rsidRDefault="00A221BF">
      <w:pPr>
        <w:pStyle w:val="FootnoteText"/>
      </w:pPr>
      <w:r>
        <w:tab/>
      </w:r>
      <w:r>
        <w:rPr>
          <w:rStyle w:val="FootnoteReference"/>
        </w:rPr>
        <w:footnoteRef/>
      </w:r>
      <w:r>
        <w:t xml:space="preserve"> </w:t>
      </w:r>
      <w:r>
        <w:tab/>
      </w:r>
      <w:r w:rsidRPr="002F2524">
        <w:rPr>
          <w:i/>
        </w:rPr>
        <w:t xml:space="preserve">Pa. Pub. </w:t>
      </w:r>
      <w:proofErr w:type="gramStart"/>
      <w:r w:rsidRPr="002F2524">
        <w:rPr>
          <w:i/>
        </w:rPr>
        <w:t>Util. Comm’n v. Metropolitan Edison Company, et al</w:t>
      </w:r>
      <w:r w:rsidRPr="00772229">
        <w:t>.</w:t>
      </w:r>
      <w:r>
        <w:t>, Docket Nos.</w:t>
      </w:r>
      <w:proofErr w:type="gramEnd"/>
      <w:r>
        <w:t xml:space="preserve"> R-00061366, </w:t>
      </w:r>
      <w:r>
        <w:rPr>
          <w:i/>
        </w:rPr>
        <w:t>et al.</w:t>
      </w:r>
      <w:r>
        <w:t>, 2007 Pa. PUC LEXIS 5 (January 11, 2007).</w:t>
      </w:r>
    </w:p>
  </w:footnote>
  <w:footnote w:id="12">
    <w:p w:rsidR="00A221BF" w:rsidRDefault="00A221BF">
      <w:pPr>
        <w:pStyle w:val="FootnoteText"/>
      </w:pPr>
    </w:p>
    <w:p w:rsidR="00A221BF" w:rsidRDefault="00A221BF">
      <w:pPr>
        <w:pStyle w:val="FootnoteText"/>
      </w:pPr>
      <w:r>
        <w:tab/>
      </w:r>
      <w:r>
        <w:rPr>
          <w:rStyle w:val="FootnoteReference"/>
        </w:rPr>
        <w:footnoteRef/>
      </w:r>
      <w:r>
        <w:t xml:space="preserve"> </w:t>
      </w:r>
      <w:r>
        <w:tab/>
      </w:r>
      <w:r w:rsidRPr="007A18C9">
        <w:t xml:space="preserve">See </w:t>
      </w:r>
      <w:r w:rsidRPr="002F2524">
        <w:rPr>
          <w:i/>
        </w:rPr>
        <w:t>Joint Default Service Plan for Citizens’ Electric Company of Lewisburg, PA and Wellsboro Electric Company for the Period of June 1, 2010 through May 31, 2013,</w:t>
      </w:r>
      <w:r>
        <w:t xml:space="preserve"> Docket Nos. P-2009-2110798, et al., 2010 WL 1259684 at 2, 19-20 (February 25, 2010).</w:t>
      </w:r>
    </w:p>
    <w:p w:rsidR="00A221BF" w:rsidRDefault="00A221BF">
      <w:pPr>
        <w:pStyle w:val="FootnoteText"/>
      </w:pPr>
    </w:p>
  </w:footnote>
  <w:footnote w:id="13">
    <w:p w:rsidR="00A221BF" w:rsidRDefault="00A221BF" w:rsidP="00CE2910">
      <w:pPr>
        <w:pStyle w:val="FootnoteText"/>
        <w:ind w:firstLine="720"/>
      </w:pPr>
      <w:r w:rsidRPr="00244823">
        <w:rPr>
          <w:rStyle w:val="FootnoteReference"/>
        </w:rPr>
        <w:footnoteRef/>
      </w:r>
      <w:r w:rsidRPr="00244823">
        <w:tab/>
      </w:r>
      <w:proofErr w:type="gramStart"/>
      <w:r w:rsidRPr="00935260">
        <w:rPr>
          <w:i/>
        </w:rPr>
        <w:t>Electricity Generation Customer Choice and Competition Act</w:t>
      </w:r>
      <w:r w:rsidRPr="00244823">
        <w:t>, Act 138 of 1996, as amended by Act 129 of 2008 (Act 129), codified at 66 Pa.C.S.</w:t>
      </w:r>
      <w:r>
        <w:t>A.</w:t>
      </w:r>
      <w:proofErr w:type="gramEnd"/>
      <w:r w:rsidRPr="00244823">
        <w:t xml:space="preserve"> </w:t>
      </w:r>
      <w:proofErr w:type="gramStart"/>
      <w:r w:rsidRPr="00244823">
        <w:t>§§</w:t>
      </w:r>
      <w:r>
        <w:t xml:space="preserve"> </w:t>
      </w:r>
      <w:r w:rsidRPr="00244823">
        <w:t xml:space="preserve">2801 </w:t>
      </w:r>
      <w:r w:rsidRPr="00244823">
        <w:rPr>
          <w:i/>
        </w:rPr>
        <w:t>et seq</w:t>
      </w:r>
      <w:r w:rsidRPr="00244823">
        <w:t>.</w:t>
      </w:r>
      <w:proofErr w:type="gramEnd"/>
      <w:r w:rsidRPr="00244823">
        <w:t xml:space="preserve"> </w:t>
      </w:r>
    </w:p>
    <w:p w:rsidR="00A221BF" w:rsidRPr="00244823" w:rsidRDefault="00A221BF" w:rsidP="00CE2910">
      <w:pPr>
        <w:pStyle w:val="FootnoteText"/>
        <w:ind w:firstLine="720"/>
      </w:pPr>
    </w:p>
  </w:footnote>
  <w:footnote w:id="14">
    <w:p w:rsidR="00A221BF" w:rsidRDefault="00A221BF" w:rsidP="00CE2910">
      <w:pPr>
        <w:pStyle w:val="FootnoteText"/>
        <w:ind w:firstLine="720"/>
      </w:pPr>
      <w:r>
        <w:rPr>
          <w:rStyle w:val="FootnoteReference"/>
        </w:rPr>
        <w:footnoteRef/>
      </w:r>
      <w:r>
        <w:t xml:space="preserve"> </w:t>
      </w:r>
      <w:r>
        <w:tab/>
      </w:r>
      <w:proofErr w:type="gramStart"/>
      <w:r w:rsidRPr="00244823">
        <w:t>66 Pa</w:t>
      </w:r>
      <w:r>
        <w:t>.C.S.A.</w:t>
      </w:r>
      <w:proofErr w:type="gramEnd"/>
      <w:r>
        <w:t xml:space="preserve"> §§ 2807(e</w:t>
      </w:r>
      <w:proofErr w:type="gramStart"/>
      <w:r>
        <w:t>)(</w:t>
      </w:r>
      <w:proofErr w:type="gramEnd"/>
      <w:r>
        <w:t>3.1) and 2807</w:t>
      </w:r>
      <w:r w:rsidRPr="00244823">
        <w:t>(e)(3.4).</w:t>
      </w:r>
    </w:p>
    <w:p w:rsidR="00A221BF" w:rsidRDefault="00A221BF" w:rsidP="00CE2910">
      <w:pPr>
        <w:pStyle w:val="FootnoteText"/>
        <w:ind w:firstLine="720"/>
      </w:pPr>
    </w:p>
  </w:footnote>
  <w:footnote w:id="15">
    <w:p w:rsidR="00A221BF" w:rsidRDefault="00A221BF" w:rsidP="00CE2910">
      <w:pPr>
        <w:pStyle w:val="FootnoteText"/>
        <w:ind w:firstLine="720"/>
      </w:pPr>
      <w:r>
        <w:rPr>
          <w:rStyle w:val="FootnoteReference"/>
        </w:rPr>
        <w:footnoteRef/>
      </w:r>
      <w:r>
        <w:t xml:space="preserve"> </w:t>
      </w:r>
      <w:r>
        <w:tab/>
      </w:r>
      <w:proofErr w:type="gramStart"/>
      <w:r w:rsidRPr="00244823">
        <w:t>66 Pa.C.S.</w:t>
      </w:r>
      <w:r>
        <w:t>A.</w:t>
      </w:r>
      <w:proofErr w:type="gramEnd"/>
      <w:r w:rsidRPr="00244823">
        <w:t xml:space="preserve"> §</w:t>
      </w:r>
      <w:r>
        <w:t xml:space="preserve"> </w:t>
      </w:r>
      <w:r w:rsidRPr="00244823">
        <w:t>2802(5).</w:t>
      </w:r>
      <w:r>
        <w:t xml:space="preserve">  </w:t>
      </w:r>
      <w:proofErr w:type="gramStart"/>
      <w:r w:rsidRPr="00CE2910">
        <w:t xml:space="preserve">See, </w:t>
      </w:r>
      <w:r w:rsidRPr="00C37BBB">
        <w:rPr>
          <w:i/>
        </w:rPr>
        <w:t>Green Mountain Energy Company v. Pa. Pub.</w:t>
      </w:r>
      <w:proofErr w:type="gramEnd"/>
      <w:r w:rsidRPr="00C37BBB">
        <w:rPr>
          <w:i/>
        </w:rPr>
        <w:t xml:space="preserve"> </w:t>
      </w:r>
      <w:proofErr w:type="gramStart"/>
      <w:r w:rsidRPr="00C37BBB">
        <w:rPr>
          <w:i/>
        </w:rPr>
        <w:t>Util. Comm’n</w:t>
      </w:r>
      <w:r w:rsidRPr="00244823">
        <w:rPr>
          <w:i/>
        </w:rPr>
        <w:t>,</w:t>
      </w:r>
      <w:r w:rsidRPr="00244823">
        <w:t xml:space="preserve"> 812 A.2d 740, 742 (</w:t>
      </w:r>
      <w:proofErr w:type="spellStart"/>
      <w:r w:rsidRPr="00244823">
        <w:t>Pa</w:t>
      </w:r>
      <w:r>
        <w:t>.</w:t>
      </w:r>
      <w:r w:rsidRPr="00244823">
        <w:t>Cmwlth</w:t>
      </w:r>
      <w:proofErr w:type="spellEnd"/>
      <w:r w:rsidRPr="00244823">
        <w:t>. 2002).</w:t>
      </w:r>
      <w:proofErr w:type="gramEnd"/>
    </w:p>
  </w:footnote>
  <w:footnote w:id="16">
    <w:p w:rsidR="00A221BF" w:rsidRDefault="00A221BF">
      <w:pPr>
        <w:pStyle w:val="FootnoteText"/>
      </w:pPr>
    </w:p>
    <w:p w:rsidR="00A221BF" w:rsidRDefault="00A221BF" w:rsidP="00CE2910">
      <w:pPr>
        <w:pStyle w:val="FootnoteText"/>
        <w:ind w:firstLine="720"/>
      </w:pPr>
      <w:r>
        <w:rPr>
          <w:rStyle w:val="FootnoteReference"/>
        </w:rPr>
        <w:footnoteRef/>
      </w:r>
      <w:r>
        <w:t xml:space="preserve"> </w:t>
      </w:r>
      <w:r>
        <w:tab/>
      </w:r>
      <w:proofErr w:type="gramStart"/>
      <w:r w:rsidRPr="00244823">
        <w:t>66 Pa.C.S.</w:t>
      </w:r>
      <w:r>
        <w:t>A.</w:t>
      </w:r>
      <w:proofErr w:type="gramEnd"/>
      <w:r w:rsidRPr="00244823">
        <w:t xml:space="preserve"> § 2802(3).</w:t>
      </w:r>
    </w:p>
  </w:footnote>
  <w:footnote w:id="17">
    <w:p w:rsidR="00A221BF" w:rsidRDefault="00A221BF">
      <w:pPr>
        <w:pStyle w:val="FootnoteText"/>
      </w:pPr>
    </w:p>
    <w:p w:rsidR="00A221BF" w:rsidRDefault="00A221BF">
      <w:pPr>
        <w:pStyle w:val="FootnoteText"/>
      </w:pPr>
      <w:r>
        <w:tab/>
      </w:r>
      <w:r>
        <w:rPr>
          <w:rStyle w:val="FootnoteReference"/>
        </w:rPr>
        <w:footnoteRef/>
      </w:r>
      <w:r>
        <w:t xml:space="preserve"> </w:t>
      </w:r>
      <w:r>
        <w:tab/>
      </w:r>
      <w:r w:rsidRPr="00244823">
        <w:t>Act 129 of 2008 (Act 129), codified at 66 Pa.C.S.</w:t>
      </w:r>
      <w:r>
        <w:t>A.</w:t>
      </w:r>
      <w:r w:rsidRPr="00244823">
        <w:t xml:space="preserve"> </w:t>
      </w:r>
      <w:proofErr w:type="gramStart"/>
      <w:r w:rsidRPr="00244823">
        <w:t xml:space="preserve">§§ 2801 </w:t>
      </w:r>
      <w:r w:rsidRPr="00244823">
        <w:rPr>
          <w:i/>
        </w:rPr>
        <w:t>et seq</w:t>
      </w:r>
      <w:r w:rsidRPr="00244823">
        <w:t>.</w:t>
      </w:r>
      <w:proofErr w:type="gramEnd"/>
    </w:p>
  </w:footnote>
  <w:footnote w:id="18">
    <w:p w:rsidR="00A221BF" w:rsidRDefault="00A221BF">
      <w:pPr>
        <w:pStyle w:val="FootnoteText"/>
      </w:pPr>
    </w:p>
    <w:p w:rsidR="00A221BF" w:rsidRDefault="00A221BF" w:rsidP="000B25FF">
      <w:pPr>
        <w:pStyle w:val="FootnoteText"/>
        <w:ind w:firstLine="720"/>
      </w:pPr>
      <w:r>
        <w:rPr>
          <w:rStyle w:val="FootnoteReference"/>
        </w:rPr>
        <w:footnoteRef/>
      </w:r>
      <w:r>
        <w:t xml:space="preserve"> </w:t>
      </w:r>
      <w:r>
        <w:tab/>
      </w:r>
      <w:r w:rsidRPr="0039217A">
        <w:rPr>
          <w:i/>
        </w:rPr>
        <w:t>Implementation of Act 129 of October 15, 2008; Default Service And Retail Electric Markets,</w:t>
      </w:r>
      <w:r w:rsidRPr="00244823">
        <w:t xml:space="preserve"> Docket No. L 2009</w:t>
      </w:r>
      <w:r w:rsidRPr="00244823">
        <w:noBreakHyphen/>
        <w:t>2095604 (Final Rulemaking Order entered October 4, 2011) (</w:t>
      </w:r>
      <w:r>
        <w:t>“</w:t>
      </w:r>
      <w:r w:rsidRPr="00210F1C">
        <w:t>Act 129 Final Rulemaking Order</w:t>
      </w:r>
      <w:r>
        <w:t>”</w:t>
      </w:r>
      <w:r w:rsidRPr="00244823">
        <w:t>).</w:t>
      </w:r>
    </w:p>
    <w:p w:rsidR="00A221BF" w:rsidRDefault="00A221BF" w:rsidP="000B25FF">
      <w:pPr>
        <w:pStyle w:val="FootnoteText"/>
        <w:ind w:firstLine="720"/>
      </w:pPr>
    </w:p>
  </w:footnote>
  <w:footnote w:id="19">
    <w:p w:rsidR="00A221BF" w:rsidRPr="005F7A7A" w:rsidRDefault="00A221BF" w:rsidP="005F7A7A">
      <w:pPr>
        <w:rPr>
          <w:sz w:val="20"/>
          <w:szCs w:val="20"/>
        </w:rPr>
      </w:pPr>
      <w:r>
        <w:tab/>
      </w:r>
      <w:r w:rsidRPr="005F7A7A">
        <w:rPr>
          <w:rStyle w:val="FootnoteReference"/>
          <w:sz w:val="20"/>
          <w:szCs w:val="20"/>
        </w:rPr>
        <w:footnoteRef/>
      </w:r>
      <w:r w:rsidRPr="005F7A7A">
        <w:rPr>
          <w:sz w:val="20"/>
          <w:szCs w:val="20"/>
        </w:rPr>
        <w:t xml:space="preserve"> </w:t>
      </w:r>
      <w:r w:rsidRPr="005F7A7A">
        <w:rPr>
          <w:sz w:val="20"/>
          <w:szCs w:val="20"/>
        </w:rPr>
        <w:tab/>
        <w:t>“Laddered” means the delivery periods on the contract will overlap such that only 50% of the load will be replaced with a new contract every six months.  See D</w:t>
      </w:r>
      <w:r>
        <w:rPr>
          <w:sz w:val="20"/>
          <w:szCs w:val="20"/>
        </w:rPr>
        <w:t xml:space="preserve">uquesne </w:t>
      </w:r>
      <w:r w:rsidRPr="005F7A7A">
        <w:rPr>
          <w:sz w:val="20"/>
          <w:szCs w:val="20"/>
        </w:rPr>
        <w:t>L</w:t>
      </w:r>
      <w:r>
        <w:rPr>
          <w:sz w:val="20"/>
          <w:szCs w:val="20"/>
        </w:rPr>
        <w:t>ight</w:t>
      </w:r>
      <w:r w:rsidRPr="005F7A7A">
        <w:rPr>
          <w:sz w:val="20"/>
          <w:szCs w:val="20"/>
        </w:rPr>
        <w:t xml:space="preserve"> Ex</w:t>
      </w:r>
      <w:r>
        <w:rPr>
          <w:sz w:val="20"/>
          <w:szCs w:val="20"/>
        </w:rPr>
        <w:t>h</w:t>
      </w:r>
      <w:r w:rsidRPr="005F7A7A">
        <w:rPr>
          <w:sz w:val="20"/>
          <w:szCs w:val="20"/>
        </w:rPr>
        <w:t>. 1, p</w:t>
      </w:r>
      <w:r>
        <w:rPr>
          <w:sz w:val="20"/>
          <w:szCs w:val="20"/>
        </w:rPr>
        <w:t>.</w:t>
      </w:r>
      <w:r w:rsidRPr="005F7A7A">
        <w:rPr>
          <w:sz w:val="20"/>
          <w:szCs w:val="20"/>
        </w:rPr>
        <w:t xml:space="preserve"> 9.</w:t>
      </w:r>
    </w:p>
    <w:p w:rsidR="00A221BF" w:rsidRDefault="00A221BF">
      <w:pPr>
        <w:pStyle w:val="FootnoteText"/>
      </w:pPr>
    </w:p>
  </w:footnote>
  <w:footnote w:id="20">
    <w:p w:rsidR="00A221BF" w:rsidRDefault="00A221BF" w:rsidP="009B2E30">
      <w:pPr>
        <w:pStyle w:val="FootnoteText"/>
        <w:ind w:firstLine="720"/>
      </w:pPr>
      <w:r>
        <w:rPr>
          <w:rStyle w:val="FootnoteReference"/>
        </w:rPr>
        <w:footnoteRef/>
      </w:r>
      <w:r>
        <w:t xml:space="preserve"> </w:t>
      </w:r>
      <w:r>
        <w:tab/>
        <w:t xml:space="preserve">See Duquesne Light Exh. No. 1, p. 9.  </w:t>
      </w:r>
    </w:p>
    <w:p w:rsidR="00A221BF" w:rsidRDefault="00A221BF" w:rsidP="009B2E30">
      <w:pPr>
        <w:pStyle w:val="FootnoteText"/>
        <w:ind w:firstLine="720"/>
      </w:pPr>
    </w:p>
  </w:footnote>
  <w:footnote w:id="21">
    <w:p w:rsidR="00A221BF" w:rsidRPr="009B2E30" w:rsidRDefault="00A221BF" w:rsidP="009B2E30">
      <w:pPr>
        <w:pStyle w:val="BodyText2"/>
        <w:spacing w:after="0" w:line="240" w:lineRule="auto"/>
        <w:ind w:firstLine="720"/>
        <w:rPr>
          <w:sz w:val="20"/>
          <w:szCs w:val="20"/>
        </w:rPr>
      </w:pPr>
      <w:r w:rsidRPr="009B2E30">
        <w:rPr>
          <w:rStyle w:val="FootnoteReference"/>
          <w:sz w:val="20"/>
          <w:szCs w:val="20"/>
        </w:rPr>
        <w:footnoteRef/>
      </w:r>
      <w:r w:rsidRPr="009B2E30">
        <w:rPr>
          <w:sz w:val="20"/>
          <w:szCs w:val="20"/>
        </w:rPr>
        <w:t xml:space="preserve"> </w:t>
      </w:r>
      <w:r w:rsidRPr="009B2E30">
        <w:rPr>
          <w:sz w:val="20"/>
          <w:szCs w:val="20"/>
        </w:rPr>
        <w:tab/>
        <w:t>See Duquesne Light Exh. No. 1, p. 9.</w:t>
      </w:r>
    </w:p>
    <w:p w:rsidR="00A221BF" w:rsidRDefault="00A221BF" w:rsidP="009B2E30">
      <w:pPr>
        <w:pStyle w:val="FootnoteText"/>
        <w:ind w:firstLine="720"/>
      </w:pPr>
    </w:p>
  </w:footnote>
  <w:footnote w:id="22">
    <w:p w:rsidR="00A221BF" w:rsidRDefault="00A221BF" w:rsidP="009B2E30">
      <w:pPr>
        <w:pStyle w:val="FootnoteText"/>
        <w:ind w:firstLine="720"/>
      </w:pPr>
      <w:r>
        <w:rPr>
          <w:rStyle w:val="FootnoteReference"/>
        </w:rPr>
        <w:footnoteRef/>
      </w:r>
      <w:r>
        <w:t xml:space="preserve"> </w:t>
      </w:r>
      <w:r>
        <w:tab/>
        <w:t>See Exhibit NSF-1, pp. 2-3.</w:t>
      </w:r>
    </w:p>
    <w:p w:rsidR="00A221BF" w:rsidRDefault="00A221BF" w:rsidP="009B2E30">
      <w:pPr>
        <w:pStyle w:val="FootnoteText"/>
        <w:ind w:firstLine="720"/>
      </w:pPr>
    </w:p>
  </w:footnote>
  <w:footnote w:id="23">
    <w:p w:rsidR="00A221BF" w:rsidRPr="004B58B1" w:rsidRDefault="00A221BF" w:rsidP="00EB24A8">
      <w:pPr>
        <w:pStyle w:val="FootnoteText"/>
        <w:ind w:firstLine="720"/>
      </w:pPr>
      <w:r w:rsidRPr="004B58B1">
        <w:rPr>
          <w:rStyle w:val="FootnoteReference"/>
        </w:rPr>
        <w:footnoteRef/>
      </w:r>
      <w:r w:rsidRPr="004B58B1">
        <w:t xml:space="preserve"> </w:t>
      </w:r>
      <w:r w:rsidRPr="004B58B1">
        <w:tab/>
      </w:r>
      <w:proofErr w:type="gramStart"/>
      <w:r w:rsidRPr="004B58B1">
        <w:t>See RESA St</w:t>
      </w:r>
      <w:r>
        <w:t>.</w:t>
      </w:r>
      <w:r w:rsidRPr="004B58B1">
        <w:t xml:space="preserve"> 1-R, Exh.</w:t>
      </w:r>
      <w:proofErr w:type="gramEnd"/>
      <w:r w:rsidRPr="004B58B1">
        <w:t xml:space="preserve"> RJH-6 &amp; St</w:t>
      </w:r>
      <w:r>
        <w:t>.</w:t>
      </w:r>
      <w:r w:rsidRPr="004B58B1">
        <w:t xml:space="preserve"> 1, p. 15-16.</w:t>
      </w:r>
    </w:p>
    <w:p w:rsidR="00A221BF" w:rsidRPr="004B58B1" w:rsidRDefault="00A221BF" w:rsidP="00EB24A8">
      <w:pPr>
        <w:pStyle w:val="FootnoteText"/>
        <w:ind w:firstLine="720"/>
      </w:pPr>
    </w:p>
  </w:footnote>
  <w:footnote w:id="24">
    <w:p w:rsidR="00A221BF" w:rsidRDefault="00A221BF" w:rsidP="00EB24A8">
      <w:pPr>
        <w:pStyle w:val="FootnoteText"/>
        <w:ind w:firstLine="720"/>
      </w:pPr>
      <w:r w:rsidRPr="004B58B1">
        <w:rPr>
          <w:rStyle w:val="FootnoteReference"/>
        </w:rPr>
        <w:footnoteRef/>
      </w:r>
      <w:r w:rsidRPr="004B58B1">
        <w:t xml:space="preserve"> </w:t>
      </w:r>
      <w:r w:rsidRPr="004B58B1">
        <w:tab/>
        <w:t>See OSBA St</w:t>
      </w:r>
      <w:r>
        <w:t>.</w:t>
      </w:r>
      <w:r w:rsidRPr="004B58B1">
        <w:t xml:space="preserve"> 1, p. 2-3.</w:t>
      </w:r>
    </w:p>
    <w:p w:rsidR="00A221BF" w:rsidRPr="004B58B1" w:rsidRDefault="00A221BF" w:rsidP="00EB24A8">
      <w:pPr>
        <w:pStyle w:val="FootnoteText"/>
        <w:ind w:firstLine="720"/>
      </w:pPr>
    </w:p>
  </w:footnote>
  <w:footnote w:id="25">
    <w:p w:rsidR="00A221BF" w:rsidRDefault="00A221BF" w:rsidP="00EB24A8">
      <w:pPr>
        <w:pStyle w:val="FootnoteText"/>
        <w:ind w:firstLine="720"/>
      </w:pPr>
      <w:r w:rsidRPr="00703099">
        <w:rPr>
          <w:rStyle w:val="FootnoteReference"/>
        </w:rPr>
        <w:footnoteRef/>
      </w:r>
      <w:r w:rsidRPr="00703099">
        <w:t xml:space="preserve"> </w:t>
      </w:r>
      <w:r w:rsidRPr="00703099">
        <w:tab/>
        <w:t xml:space="preserve">See Default Service &amp; Retail Electric Markets, Docket No. L-2009-2095604, Order entered </w:t>
      </w:r>
      <w:r>
        <w:t>October 4, 2011</w:t>
      </w:r>
      <w:r w:rsidRPr="00703099">
        <w:t>, p. 39-40.</w:t>
      </w:r>
    </w:p>
    <w:p w:rsidR="00A221BF" w:rsidRPr="00703099" w:rsidRDefault="00A221BF" w:rsidP="00EB24A8">
      <w:pPr>
        <w:pStyle w:val="FootnoteText"/>
        <w:ind w:firstLine="720"/>
      </w:pPr>
    </w:p>
  </w:footnote>
  <w:footnote w:id="26">
    <w:p w:rsidR="00A221BF" w:rsidRPr="00B60327" w:rsidRDefault="00A221BF" w:rsidP="00D82E75">
      <w:pPr>
        <w:autoSpaceDE/>
        <w:autoSpaceDN/>
        <w:ind w:firstLine="720"/>
        <w:rPr>
          <w:sz w:val="20"/>
          <w:szCs w:val="20"/>
        </w:rPr>
      </w:pPr>
      <w:r w:rsidRPr="00B60327">
        <w:rPr>
          <w:rStyle w:val="FootnoteReference"/>
          <w:sz w:val="20"/>
          <w:szCs w:val="20"/>
        </w:rPr>
        <w:footnoteRef/>
      </w:r>
      <w:r w:rsidRPr="00B60327">
        <w:rPr>
          <w:sz w:val="20"/>
          <w:szCs w:val="20"/>
        </w:rPr>
        <w:t xml:space="preserve"> </w:t>
      </w:r>
      <w:r w:rsidRPr="00B60327">
        <w:rPr>
          <w:sz w:val="20"/>
          <w:szCs w:val="20"/>
        </w:rPr>
        <w:tab/>
        <w:t xml:space="preserve">See Duquesne Light St. No. 3-R, pp. 13-14; 3-RS, </w:t>
      </w:r>
      <w:proofErr w:type="gramStart"/>
      <w:r w:rsidRPr="00B60327">
        <w:rPr>
          <w:sz w:val="20"/>
          <w:szCs w:val="20"/>
        </w:rPr>
        <w:t>pp</w:t>
      </w:r>
      <w:proofErr w:type="gramEnd"/>
      <w:r w:rsidRPr="00B60327">
        <w:rPr>
          <w:sz w:val="20"/>
          <w:szCs w:val="20"/>
        </w:rPr>
        <w:t>. 13-15.</w:t>
      </w:r>
    </w:p>
    <w:p w:rsidR="00A221BF" w:rsidRPr="00B60327" w:rsidRDefault="00A221BF" w:rsidP="005A2B8B">
      <w:pPr>
        <w:pStyle w:val="FootnoteText"/>
        <w:ind w:firstLine="720"/>
      </w:pPr>
    </w:p>
  </w:footnote>
  <w:footnote w:id="27">
    <w:p w:rsidR="00A221BF" w:rsidRDefault="00A221BF" w:rsidP="00101372">
      <w:pPr>
        <w:pStyle w:val="BodyText2"/>
        <w:spacing w:after="0" w:line="240" w:lineRule="auto"/>
        <w:ind w:firstLine="720"/>
        <w:rPr>
          <w:sz w:val="20"/>
          <w:szCs w:val="20"/>
          <w:lang w:val="en-US"/>
        </w:rPr>
      </w:pPr>
      <w:r w:rsidRPr="00B60327">
        <w:rPr>
          <w:rStyle w:val="FootnoteReference"/>
          <w:sz w:val="20"/>
          <w:szCs w:val="20"/>
        </w:rPr>
        <w:footnoteRef/>
      </w:r>
      <w:r w:rsidRPr="00B60327">
        <w:rPr>
          <w:sz w:val="20"/>
          <w:szCs w:val="20"/>
        </w:rPr>
        <w:t xml:space="preserve"> </w:t>
      </w:r>
      <w:r w:rsidRPr="00B60327">
        <w:rPr>
          <w:sz w:val="20"/>
          <w:szCs w:val="20"/>
        </w:rPr>
        <w:tab/>
      </w:r>
      <w:r w:rsidRPr="00B60327">
        <w:rPr>
          <w:sz w:val="20"/>
          <w:szCs w:val="20"/>
          <w:lang w:val="en-US"/>
        </w:rPr>
        <w:t xml:space="preserve">See </w:t>
      </w:r>
      <w:r w:rsidRPr="00B60327">
        <w:rPr>
          <w:sz w:val="20"/>
          <w:szCs w:val="20"/>
        </w:rPr>
        <w:t>Duquesne Light St. No. 2-R, p. 20.</w:t>
      </w:r>
    </w:p>
    <w:p w:rsidR="00A221BF" w:rsidRPr="00101372" w:rsidRDefault="00A221BF" w:rsidP="00101372">
      <w:pPr>
        <w:pStyle w:val="BodyText2"/>
        <w:spacing w:after="0" w:line="240" w:lineRule="auto"/>
        <w:ind w:firstLine="720"/>
        <w:rPr>
          <w:lang w:val="en-US"/>
        </w:rPr>
      </w:pPr>
    </w:p>
  </w:footnote>
  <w:footnote w:id="28">
    <w:p w:rsidR="00A221BF" w:rsidRPr="004B701A" w:rsidRDefault="00A221BF" w:rsidP="004B701A">
      <w:pPr>
        <w:pStyle w:val="FootnoteText"/>
        <w:ind w:firstLine="720"/>
      </w:pPr>
      <w:r w:rsidRPr="004B701A">
        <w:rPr>
          <w:rStyle w:val="FootnoteReference"/>
        </w:rPr>
        <w:footnoteRef/>
      </w:r>
      <w:r w:rsidRPr="004B701A">
        <w:t xml:space="preserve"> </w:t>
      </w:r>
      <w:r w:rsidRPr="004B701A">
        <w:tab/>
      </w:r>
      <w:proofErr w:type="gramStart"/>
      <w:r w:rsidRPr="004B701A">
        <w:t>Duquesne Light Ex</w:t>
      </w:r>
      <w:r>
        <w:t>h</w:t>
      </w:r>
      <w:r w:rsidRPr="004B701A">
        <w:t>.</w:t>
      </w:r>
      <w:proofErr w:type="gramEnd"/>
      <w:r w:rsidRPr="004B701A">
        <w:t xml:space="preserve"> No. 1, p. 11.  </w:t>
      </w:r>
    </w:p>
    <w:p w:rsidR="00A221BF" w:rsidRPr="004B701A" w:rsidRDefault="00A221BF" w:rsidP="004B701A">
      <w:pPr>
        <w:pStyle w:val="FootnoteText"/>
      </w:pPr>
    </w:p>
  </w:footnote>
  <w:footnote w:id="29">
    <w:p w:rsidR="00A221BF" w:rsidRPr="004B701A" w:rsidRDefault="00A221BF" w:rsidP="004B701A">
      <w:pPr>
        <w:ind w:firstLine="720"/>
        <w:rPr>
          <w:sz w:val="20"/>
          <w:szCs w:val="20"/>
        </w:rPr>
      </w:pPr>
      <w:r w:rsidRPr="004B701A">
        <w:rPr>
          <w:rStyle w:val="FootnoteReference"/>
          <w:sz w:val="20"/>
          <w:szCs w:val="20"/>
        </w:rPr>
        <w:footnoteRef/>
      </w:r>
      <w:r w:rsidRPr="004B701A">
        <w:rPr>
          <w:sz w:val="20"/>
          <w:szCs w:val="20"/>
        </w:rPr>
        <w:t xml:space="preserve"> </w:t>
      </w:r>
      <w:r w:rsidRPr="004B701A">
        <w:rPr>
          <w:sz w:val="20"/>
          <w:szCs w:val="20"/>
        </w:rPr>
        <w:tab/>
        <w:t>See Duquesne Light Exh. No. 1, p. 11.</w:t>
      </w:r>
    </w:p>
    <w:p w:rsidR="00A221BF" w:rsidRPr="004B701A" w:rsidRDefault="00A221BF" w:rsidP="004B701A">
      <w:pPr>
        <w:pStyle w:val="FootnoteText"/>
        <w:ind w:firstLine="720"/>
      </w:pPr>
    </w:p>
  </w:footnote>
  <w:footnote w:id="30">
    <w:p w:rsidR="00A221BF" w:rsidRPr="004B701A" w:rsidRDefault="00A221BF" w:rsidP="004B701A">
      <w:pPr>
        <w:pStyle w:val="FootnoteText"/>
        <w:ind w:firstLine="720"/>
      </w:pPr>
      <w:r w:rsidRPr="004B701A">
        <w:rPr>
          <w:rStyle w:val="FootnoteReference"/>
        </w:rPr>
        <w:footnoteRef/>
      </w:r>
      <w:r w:rsidRPr="004B701A">
        <w:t xml:space="preserve"> </w:t>
      </w:r>
      <w:r w:rsidRPr="004B701A">
        <w:tab/>
      </w:r>
      <w:proofErr w:type="gramStart"/>
      <w:r w:rsidRPr="004B701A">
        <w:t>Duquesne Light Exh.</w:t>
      </w:r>
      <w:proofErr w:type="gramEnd"/>
      <w:r w:rsidRPr="004B701A">
        <w:t xml:space="preserve"> No. 1, p. 12.  </w:t>
      </w:r>
    </w:p>
    <w:p w:rsidR="00A221BF" w:rsidRPr="004B701A" w:rsidRDefault="00A221BF" w:rsidP="004B701A">
      <w:pPr>
        <w:pStyle w:val="FootnoteText"/>
      </w:pPr>
    </w:p>
  </w:footnote>
  <w:footnote w:id="31">
    <w:p w:rsidR="00A221BF" w:rsidRDefault="00A221BF" w:rsidP="004B701A">
      <w:pPr>
        <w:pStyle w:val="FootnoteText"/>
        <w:ind w:firstLine="720"/>
      </w:pPr>
      <w:r w:rsidRPr="004B701A">
        <w:rPr>
          <w:rStyle w:val="FootnoteReference"/>
        </w:rPr>
        <w:footnoteRef/>
      </w:r>
      <w:r w:rsidRPr="004B701A">
        <w:t xml:space="preserve"> </w:t>
      </w:r>
      <w:r w:rsidRPr="004B701A">
        <w:tab/>
        <w:t>See Exhibit NSF-1, p. 3.  Percentage based on figures in March 2014.</w:t>
      </w:r>
    </w:p>
    <w:p w:rsidR="00A221BF" w:rsidRPr="004B701A" w:rsidRDefault="00A221BF" w:rsidP="004B701A">
      <w:pPr>
        <w:pStyle w:val="FootnoteText"/>
        <w:ind w:firstLine="720"/>
      </w:pPr>
    </w:p>
  </w:footnote>
  <w:footnote w:id="32">
    <w:p w:rsidR="00A221BF" w:rsidRDefault="00A221BF" w:rsidP="004541CC">
      <w:pPr>
        <w:pStyle w:val="FootnoteText"/>
        <w:ind w:firstLine="720"/>
      </w:pPr>
      <w:r>
        <w:rPr>
          <w:rStyle w:val="FootnoteReference"/>
        </w:rPr>
        <w:footnoteRef/>
      </w:r>
      <w:r>
        <w:t xml:space="preserve"> </w:t>
      </w:r>
      <w:r>
        <w:tab/>
        <w:t xml:space="preserve">See Duquesne Light St. No. 3, p. 5.  </w:t>
      </w:r>
    </w:p>
  </w:footnote>
  <w:footnote w:id="33">
    <w:p w:rsidR="00A221BF" w:rsidRDefault="00A221BF">
      <w:pPr>
        <w:pStyle w:val="FootnoteText"/>
      </w:pPr>
    </w:p>
    <w:p w:rsidR="00A221BF" w:rsidRDefault="00A221BF" w:rsidP="008D75AE">
      <w:pPr>
        <w:pStyle w:val="FootnoteText"/>
        <w:ind w:firstLine="720"/>
      </w:pPr>
      <w:r>
        <w:rPr>
          <w:rStyle w:val="FootnoteReference"/>
        </w:rPr>
        <w:footnoteRef/>
      </w:r>
      <w:r>
        <w:t xml:space="preserve"> </w:t>
      </w:r>
      <w:r>
        <w:tab/>
        <w:t xml:space="preserve">See OSBA St. No. 1, p. 7.  </w:t>
      </w:r>
    </w:p>
    <w:p w:rsidR="00A221BF" w:rsidRDefault="00A221BF" w:rsidP="008D75AE">
      <w:pPr>
        <w:pStyle w:val="FootnoteText"/>
        <w:ind w:firstLine="720"/>
      </w:pPr>
    </w:p>
  </w:footnote>
  <w:footnote w:id="34">
    <w:p w:rsidR="00A221BF" w:rsidRDefault="00A221BF" w:rsidP="004B701A">
      <w:pPr>
        <w:pStyle w:val="FootnoteText"/>
        <w:ind w:firstLine="720"/>
      </w:pPr>
      <w:r>
        <w:rPr>
          <w:rStyle w:val="FootnoteReference"/>
        </w:rPr>
        <w:footnoteRef/>
      </w:r>
      <w:r>
        <w:t xml:space="preserve"> </w:t>
      </w:r>
      <w:r>
        <w:tab/>
        <w:t xml:space="preserve">See </w:t>
      </w:r>
      <w:r w:rsidRPr="00B34BA9">
        <w:rPr>
          <w:i/>
        </w:rPr>
        <w:t>Investigation of Pennsylvania’s Retail Electricity Market: End State of Default Service</w:t>
      </w:r>
      <w:r w:rsidRPr="00B34BA9">
        <w:t>, Docket No. I-2011-2237952, Order entered February 15, 2013 (“</w:t>
      </w:r>
      <w:r w:rsidRPr="00B34BA9">
        <w:rPr>
          <w:i/>
        </w:rPr>
        <w:t>Default Service End-State Order</w:t>
      </w:r>
      <w:r w:rsidRPr="00B34BA9">
        <w:t>”)</w:t>
      </w:r>
      <w:r>
        <w:t xml:space="preserve"> p. 31.  </w:t>
      </w:r>
    </w:p>
    <w:p w:rsidR="00A221BF" w:rsidRDefault="00A221BF" w:rsidP="004B701A">
      <w:pPr>
        <w:pStyle w:val="FootnoteText"/>
        <w:ind w:firstLine="720"/>
      </w:pPr>
    </w:p>
  </w:footnote>
  <w:footnote w:id="35">
    <w:p w:rsidR="00A221BF" w:rsidRDefault="00A221BF" w:rsidP="004541CC">
      <w:pPr>
        <w:pStyle w:val="FootnoteText"/>
        <w:ind w:firstLine="720"/>
      </w:pPr>
      <w:r>
        <w:rPr>
          <w:rStyle w:val="FootnoteReference"/>
        </w:rPr>
        <w:footnoteRef/>
      </w:r>
      <w:r>
        <w:t xml:space="preserve"> </w:t>
      </w:r>
      <w:r>
        <w:tab/>
        <w:t xml:space="preserve">See </w:t>
      </w:r>
      <w:r w:rsidRPr="00B34BA9">
        <w:rPr>
          <w:i/>
        </w:rPr>
        <w:t>Default Service End-State Order</w:t>
      </w:r>
      <w:r w:rsidRPr="00B34BA9">
        <w:t>,</w:t>
      </w:r>
      <w:r>
        <w:t xml:space="preserve"> supra, p. 45.  </w:t>
      </w:r>
    </w:p>
    <w:p w:rsidR="00A221BF" w:rsidRDefault="00A221BF" w:rsidP="004541CC">
      <w:pPr>
        <w:pStyle w:val="FootnoteText"/>
        <w:ind w:firstLine="720"/>
      </w:pPr>
    </w:p>
  </w:footnote>
  <w:footnote w:id="36">
    <w:p w:rsidR="00A221BF" w:rsidRDefault="00A221BF" w:rsidP="004541CC">
      <w:pPr>
        <w:pStyle w:val="FootnoteText"/>
        <w:ind w:firstLine="720"/>
      </w:pPr>
      <w:r>
        <w:rPr>
          <w:rStyle w:val="FootnoteReference"/>
        </w:rPr>
        <w:footnoteRef/>
      </w:r>
      <w:r>
        <w:t xml:space="preserve"> </w:t>
      </w:r>
      <w:r>
        <w:tab/>
        <w:t>See OSBA St. No. 2, pp. 3-4.</w:t>
      </w:r>
    </w:p>
    <w:p w:rsidR="00A221BF" w:rsidRDefault="00A221BF" w:rsidP="004541CC">
      <w:pPr>
        <w:pStyle w:val="FootnoteText"/>
        <w:ind w:firstLine="720"/>
      </w:pPr>
    </w:p>
  </w:footnote>
  <w:footnote w:id="37">
    <w:p w:rsidR="00A221BF" w:rsidRDefault="00A221BF" w:rsidP="004541CC">
      <w:pPr>
        <w:pStyle w:val="FootnoteText"/>
        <w:ind w:firstLine="720"/>
      </w:pPr>
      <w:r>
        <w:rPr>
          <w:rStyle w:val="FootnoteReference"/>
        </w:rPr>
        <w:footnoteRef/>
      </w:r>
      <w:r>
        <w:t xml:space="preserve"> </w:t>
      </w:r>
      <w:r>
        <w:tab/>
        <w:t xml:space="preserve">See Duquesne Light St. No. 2-SR, p. 3.  </w:t>
      </w:r>
    </w:p>
  </w:footnote>
  <w:footnote w:id="38">
    <w:p w:rsidR="00A221BF" w:rsidRDefault="00A221BF">
      <w:pPr>
        <w:pStyle w:val="FootnoteText"/>
      </w:pPr>
    </w:p>
    <w:p w:rsidR="00A221BF" w:rsidRDefault="00A221BF" w:rsidP="004541CC">
      <w:pPr>
        <w:pStyle w:val="FootnoteText"/>
        <w:ind w:firstLine="720"/>
      </w:pPr>
      <w:r>
        <w:rPr>
          <w:rStyle w:val="FootnoteReference"/>
        </w:rPr>
        <w:footnoteRef/>
      </w:r>
      <w:r>
        <w:t xml:space="preserve"> </w:t>
      </w:r>
      <w:r>
        <w:tab/>
        <w:t xml:space="preserve">See Duquesne Light St. No. 2-SR, p. 3.  </w:t>
      </w:r>
    </w:p>
    <w:p w:rsidR="00A221BF" w:rsidRDefault="00A221BF" w:rsidP="004541CC">
      <w:pPr>
        <w:pStyle w:val="FootnoteText"/>
        <w:ind w:firstLine="720"/>
      </w:pPr>
    </w:p>
  </w:footnote>
  <w:footnote w:id="39">
    <w:p w:rsidR="00A221BF" w:rsidRDefault="00A221BF" w:rsidP="00A70F2A">
      <w:pPr>
        <w:pStyle w:val="FootnoteText"/>
        <w:ind w:firstLine="720"/>
      </w:pPr>
      <w:r>
        <w:rPr>
          <w:rStyle w:val="FootnoteReference"/>
        </w:rPr>
        <w:footnoteRef/>
      </w:r>
      <w:r>
        <w:t xml:space="preserve"> </w:t>
      </w:r>
      <w:r>
        <w:tab/>
        <w:t xml:space="preserve">See RESA St. No. 1, pp. 19-20 and also Exhibit NSF-5, RESA response to Duquesne Light Interrogatory Set I, question 3.  </w:t>
      </w:r>
    </w:p>
    <w:p w:rsidR="00A221BF" w:rsidRDefault="00A221BF" w:rsidP="00A70F2A">
      <w:pPr>
        <w:pStyle w:val="FootnoteText"/>
        <w:ind w:firstLine="720"/>
      </w:pPr>
    </w:p>
  </w:footnote>
  <w:footnote w:id="40">
    <w:p w:rsidR="00A221BF" w:rsidRPr="00B331C0" w:rsidRDefault="00A221BF" w:rsidP="00B331C0">
      <w:pPr>
        <w:pStyle w:val="FootnoteText"/>
        <w:ind w:firstLine="720"/>
      </w:pPr>
      <w:r w:rsidRPr="00B331C0">
        <w:rPr>
          <w:rStyle w:val="FootnoteReference"/>
        </w:rPr>
        <w:footnoteRef/>
      </w:r>
      <w:r w:rsidRPr="00B331C0">
        <w:t xml:space="preserve"> </w:t>
      </w:r>
      <w:r w:rsidRPr="00B331C0">
        <w:tab/>
        <w:t xml:space="preserve">See Duquesne Light St. No. 4-R, p. 18.  </w:t>
      </w:r>
    </w:p>
    <w:p w:rsidR="00A221BF" w:rsidRPr="00B331C0" w:rsidRDefault="00A221BF" w:rsidP="00B331C0">
      <w:pPr>
        <w:pStyle w:val="FootnoteText"/>
        <w:ind w:firstLine="720"/>
      </w:pPr>
    </w:p>
  </w:footnote>
  <w:footnote w:id="41">
    <w:p w:rsidR="00A221BF" w:rsidRDefault="00A221BF" w:rsidP="00B331C0">
      <w:pPr>
        <w:pStyle w:val="FootnoteText"/>
        <w:ind w:firstLine="720"/>
      </w:pPr>
      <w:r w:rsidRPr="00B331C0">
        <w:rPr>
          <w:rStyle w:val="FootnoteReference"/>
        </w:rPr>
        <w:footnoteRef/>
      </w:r>
      <w:r w:rsidRPr="00B331C0">
        <w:t xml:space="preserve"> </w:t>
      </w:r>
      <w:r w:rsidRPr="00B331C0">
        <w:tab/>
        <w:t xml:space="preserve">The witness, Mr. </w:t>
      </w:r>
      <w:proofErr w:type="spellStart"/>
      <w:r w:rsidRPr="00B331C0">
        <w:t>Pfrommer</w:t>
      </w:r>
      <w:proofErr w:type="spellEnd"/>
      <w:r w:rsidRPr="00B331C0">
        <w:t>, explained an update to the Fixed Retail Adder would support a cost of $4.66 per MWH.  See Duquesne Light St. No. 4-R, p. 17.</w:t>
      </w:r>
    </w:p>
    <w:p w:rsidR="00A221BF" w:rsidRPr="00B331C0" w:rsidRDefault="00A221BF" w:rsidP="00B331C0">
      <w:pPr>
        <w:pStyle w:val="FootnoteText"/>
        <w:ind w:firstLine="720"/>
      </w:pPr>
    </w:p>
  </w:footnote>
  <w:footnote w:id="42">
    <w:p w:rsidR="00A221BF" w:rsidRPr="00B331C0" w:rsidRDefault="00A221BF" w:rsidP="00B331C0">
      <w:pPr>
        <w:pStyle w:val="FootnoteText"/>
        <w:ind w:firstLine="720"/>
      </w:pPr>
      <w:r w:rsidRPr="00B331C0">
        <w:rPr>
          <w:rStyle w:val="FootnoteReference"/>
        </w:rPr>
        <w:footnoteRef/>
      </w:r>
      <w:r w:rsidRPr="00B331C0">
        <w:t xml:space="preserve"> </w:t>
      </w:r>
      <w:r w:rsidRPr="00B331C0">
        <w:tab/>
        <w:t xml:space="preserve">See Duquesne Light St. No. 3, p. 5.  </w:t>
      </w:r>
    </w:p>
  </w:footnote>
  <w:footnote w:id="43">
    <w:p w:rsidR="00A221BF" w:rsidRPr="00B331C0" w:rsidRDefault="00A221BF" w:rsidP="00B331C0">
      <w:pPr>
        <w:autoSpaceDE/>
        <w:autoSpaceDN/>
        <w:rPr>
          <w:sz w:val="20"/>
          <w:szCs w:val="20"/>
        </w:rPr>
      </w:pPr>
    </w:p>
    <w:p w:rsidR="00A221BF" w:rsidRPr="00B331C0" w:rsidRDefault="00A221BF" w:rsidP="00B331C0">
      <w:pPr>
        <w:autoSpaceDE/>
        <w:autoSpaceDN/>
        <w:ind w:firstLine="720"/>
        <w:rPr>
          <w:b/>
          <w:sz w:val="20"/>
          <w:szCs w:val="20"/>
        </w:rPr>
      </w:pPr>
      <w:r w:rsidRPr="00B331C0">
        <w:rPr>
          <w:rStyle w:val="FootnoteReference"/>
          <w:sz w:val="20"/>
          <w:szCs w:val="20"/>
        </w:rPr>
        <w:footnoteRef/>
      </w:r>
      <w:r w:rsidRPr="00B331C0">
        <w:rPr>
          <w:sz w:val="20"/>
          <w:szCs w:val="20"/>
        </w:rPr>
        <w:t xml:space="preserve"> </w:t>
      </w:r>
      <w:r w:rsidRPr="00B331C0">
        <w:rPr>
          <w:sz w:val="20"/>
          <w:szCs w:val="20"/>
        </w:rPr>
        <w:tab/>
      </w:r>
      <w:r>
        <w:rPr>
          <w:sz w:val="20"/>
          <w:szCs w:val="20"/>
        </w:rPr>
        <w:t xml:space="preserve">See </w:t>
      </w:r>
      <w:r w:rsidRPr="00B331C0">
        <w:rPr>
          <w:sz w:val="20"/>
          <w:szCs w:val="20"/>
        </w:rPr>
        <w:t>Duquesne Light St. No. 2-R, p. 9.</w:t>
      </w:r>
    </w:p>
    <w:p w:rsidR="00A221BF" w:rsidRPr="00B331C0" w:rsidRDefault="00A221BF" w:rsidP="00B331C0">
      <w:pPr>
        <w:pStyle w:val="FootnoteText"/>
      </w:pPr>
    </w:p>
  </w:footnote>
  <w:footnote w:id="44">
    <w:p w:rsidR="00A221BF" w:rsidRDefault="00A221BF">
      <w:pPr>
        <w:pStyle w:val="FootnoteText"/>
      </w:pPr>
      <w:r>
        <w:tab/>
      </w:r>
      <w:r>
        <w:rPr>
          <w:rStyle w:val="FootnoteReference"/>
        </w:rPr>
        <w:footnoteRef/>
      </w:r>
      <w:r>
        <w:t xml:space="preserve"> </w:t>
      </w:r>
      <w:r>
        <w:tab/>
        <w:t>Duquesne Light St. No. 2, p. 4.</w:t>
      </w:r>
    </w:p>
    <w:p w:rsidR="00A221BF" w:rsidRDefault="00A221BF">
      <w:pPr>
        <w:pStyle w:val="FootnoteText"/>
      </w:pPr>
    </w:p>
  </w:footnote>
  <w:footnote w:id="45">
    <w:p w:rsidR="00A221BF" w:rsidRDefault="00A221BF" w:rsidP="00070D6C">
      <w:pPr>
        <w:pStyle w:val="FootnoteText"/>
        <w:ind w:firstLine="720"/>
      </w:pPr>
      <w:r>
        <w:rPr>
          <w:rStyle w:val="FootnoteReference"/>
        </w:rPr>
        <w:footnoteRef/>
      </w:r>
      <w:r>
        <w:t xml:space="preserve"> </w:t>
      </w:r>
      <w:r>
        <w:tab/>
        <w:t>AECs required to meet the AEPS Act will be purchased by Duquesne Power, LLC (“Duquesne Power”) on behalf of Duquesne Light.  Duquesne Power, an affiliate of Duquesne Light, has energy traders who routinely procure AECs.  These AECs will be transferred to Duquesne Light in an at-cost manner from Duquesne Power.  Duquesne Light St. No. 2, pp. 6-7.</w:t>
      </w:r>
    </w:p>
    <w:p w:rsidR="00A221BF" w:rsidRDefault="00A221BF" w:rsidP="00070D6C">
      <w:pPr>
        <w:pStyle w:val="FootnoteText"/>
        <w:ind w:firstLine="720"/>
      </w:pPr>
    </w:p>
  </w:footnote>
  <w:footnote w:id="46">
    <w:p w:rsidR="00A221BF" w:rsidRPr="0094686C" w:rsidRDefault="00A221BF" w:rsidP="0094686C">
      <w:pPr>
        <w:autoSpaceDE/>
        <w:autoSpaceDN/>
        <w:rPr>
          <w:sz w:val="20"/>
          <w:szCs w:val="20"/>
        </w:rPr>
      </w:pPr>
      <w:r>
        <w:tab/>
      </w:r>
      <w:r w:rsidRPr="0094686C">
        <w:rPr>
          <w:rStyle w:val="FootnoteReference"/>
          <w:sz w:val="20"/>
          <w:szCs w:val="20"/>
        </w:rPr>
        <w:footnoteRef/>
      </w:r>
      <w:r w:rsidRPr="0094686C">
        <w:rPr>
          <w:sz w:val="20"/>
          <w:szCs w:val="20"/>
        </w:rPr>
        <w:t xml:space="preserve"> </w:t>
      </w:r>
      <w:r>
        <w:tab/>
      </w:r>
      <w:r w:rsidRPr="0094686C">
        <w:rPr>
          <w:i/>
          <w:sz w:val="20"/>
          <w:szCs w:val="20"/>
        </w:rPr>
        <w:t>Petition of Duquesne Light Company for Approval of a Default Service Program and Procurement Plan for the Period June 1, 2013 through May 31, 2015</w:t>
      </w:r>
      <w:r w:rsidRPr="0094686C">
        <w:rPr>
          <w:sz w:val="20"/>
          <w:szCs w:val="20"/>
        </w:rPr>
        <w:t>, Docket No. P-2012-2301665, Order entered January 25, 2013</w:t>
      </w:r>
      <w:r>
        <w:rPr>
          <w:sz w:val="20"/>
          <w:szCs w:val="20"/>
        </w:rPr>
        <w:t>.</w:t>
      </w:r>
      <w:r w:rsidRPr="0094686C">
        <w:rPr>
          <w:sz w:val="20"/>
          <w:szCs w:val="20"/>
        </w:rPr>
        <w:t xml:space="preserve">  </w:t>
      </w:r>
      <w:proofErr w:type="gramStart"/>
      <w:r w:rsidRPr="00B7675A">
        <w:rPr>
          <w:i/>
          <w:sz w:val="20"/>
          <w:szCs w:val="20"/>
        </w:rPr>
        <w:t>(DSP VI Order).</w:t>
      </w:r>
      <w:proofErr w:type="gramEnd"/>
    </w:p>
    <w:p w:rsidR="00A221BF" w:rsidRDefault="00A221BF">
      <w:pPr>
        <w:pStyle w:val="FootnoteText"/>
      </w:pPr>
    </w:p>
  </w:footnote>
  <w:footnote w:id="47">
    <w:p w:rsidR="00A221BF" w:rsidRDefault="00A221BF" w:rsidP="00F6305C">
      <w:pPr>
        <w:pStyle w:val="FootnoteText"/>
        <w:ind w:firstLine="720"/>
      </w:pPr>
      <w:r>
        <w:rPr>
          <w:rStyle w:val="FootnoteReference"/>
        </w:rPr>
        <w:footnoteRef/>
      </w:r>
      <w:r>
        <w:t xml:space="preserve"> </w:t>
      </w:r>
      <w:r>
        <w:tab/>
        <w:t xml:space="preserve">See </w:t>
      </w:r>
      <w:r w:rsidRPr="00A6336A">
        <w:rPr>
          <w:i/>
        </w:rPr>
        <w:t>Default Service End State Order</w:t>
      </w:r>
      <w:r>
        <w:t xml:space="preserve">, p. 20.  </w:t>
      </w:r>
    </w:p>
  </w:footnote>
  <w:footnote w:id="48">
    <w:p w:rsidR="00A221BF" w:rsidRDefault="00A221BF" w:rsidP="004B3B33">
      <w:pPr>
        <w:pStyle w:val="FootnoteText"/>
        <w:ind w:firstLine="720"/>
      </w:pPr>
      <w:r>
        <w:rPr>
          <w:rStyle w:val="FootnoteReference"/>
        </w:rPr>
        <w:footnoteRef/>
      </w:r>
      <w:r>
        <w:t xml:space="preserve"> </w:t>
      </w:r>
      <w:r>
        <w:tab/>
        <w:t xml:space="preserve">See </w:t>
      </w:r>
      <w:r>
        <w:rPr>
          <w:i/>
        </w:rPr>
        <w:t>Investigation of Pennsylvania’s Retail Electricity Market: Recommendations Regarding Upcoming Default Service Plans,</w:t>
      </w:r>
      <w:r>
        <w:t xml:space="preserve"> Docket No. I-2011-2237952, Order entered December 16, 2011, p. 19.</w:t>
      </w:r>
    </w:p>
    <w:p w:rsidR="00A221BF" w:rsidRDefault="00A221BF" w:rsidP="004B3B33">
      <w:pPr>
        <w:pStyle w:val="FootnoteText"/>
        <w:ind w:firstLine="720"/>
      </w:pPr>
    </w:p>
  </w:footnote>
  <w:footnote w:id="49">
    <w:p w:rsidR="00A221BF" w:rsidRDefault="00A221BF" w:rsidP="004B3B33">
      <w:pPr>
        <w:pStyle w:val="FootnoteText"/>
        <w:ind w:firstLine="720"/>
        <w:jc w:val="both"/>
      </w:pPr>
      <w:r>
        <w:rPr>
          <w:rStyle w:val="FootnoteReference"/>
        </w:rPr>
        <w:footnoteRef/>
      </w:r>
      <w:r>
        <w:t xml:space="preserve"> </w:t>
      </w:r>
      <w:r>
        <w:tab/>
      </w:r>
      <w:r w:rsidRPr="00F826A2">
        <w:t>See,</w:t>
      </w:r>
      <w:r>
        <w:t xml:space="preserve"> </w:t>
      </w:r>
      <w:proofErr w:type="spellStart"/>
      <w:r>
        <w:t>PennFuture</w:t>
      </w:r>
      <w:proofErr w:type="spellEnd"/>
      <w:r>
        <w:t xml:space="preserve"> St. No. 1, pp. 5-6, contracts approved from 2007 – 2011.</w:t>
      </w:r>
    </w:p>
  </w:footnote>
  <w:footnote w:id="50">
    <w:p w:rsidR="00A221BF" w:rsidRDefault="00A221BF" w:rsidP="00D85BF0">
      <w:pPr>
        <w:pStyle w:val="FootnoteText"/>
        <w:ind w:firstLine="720"/>
      </w:pPr>
      <w:r>
        <w:rPr>
          <w:rStyle w:val="FootnoteReference"/>
        </w:rPr>
        <w:footnoteRef/>
      </w:r>
      <w:r>
        <w:t xml:space="preserve"> </w:t>
      </w:r>
      <w:r>
        <w:tab/>
        <w:t xml:space="preserve">See Tr. 39-40.  </w:t>
      </w:r>
    </w:p>
  </w:footnote>
  <w:footnote w:id="51">
    <w:p w:rsidR="00A221BF" w:rsidRDefault="00A221BF" w:rsidP="00566B3C">
      <w:pPr>
        <w:pStyle w:val="FootnoteText"/>
        <w:ind w:firstLine="720"/>
      </w:pPr>
      <w:r>
        <w:rPr>
          <w:rStyle w:val="FootnoteReference"/>
        </w:rPr>
        <w:footnoteRef/>
      </w:r>
      <w:r>
        <w:t xml:space="preserve"> </w:t>
      </w:r>
      <w:r>
        <w:tab/>
        <w:t>See RESA St. No. 1, p. 22.</w:t>
      </w:r>
    </w:p>
  </w:footnote>
  <w:footnote w:id="52">
    <w:p w:rsidR="00A221BF" w:rsidRDefault="00A221BF">
      <w:pPr>
        <w:pStyle w:val="FootnoteText"/>
      </w:pPr>
    </w:p>
    <w:p w:rsidR="00A221BF" w:rsidRDefault="00A221BF" w:rsidP="00566B3C">
      <w:pPr>
        <w:pStyle w:val="FootnoteText"/>
        <w:ind w:firstLine="720"/>
      </w:pPr>
      <w:r>
        <w:rPr>
          <w:rStyle w:val="FootnoteReference"/>
        </w:rPr>
        <w:footnoteRef/>
      </w:r>
      <w:r>
        <w:t xml:space="preserve"> </w:t>
      </w:r>
      <w:r>
        <w:tab/>
        <w:t xml:space="preserve">See </w:t>
      </w:r>
      <w:proofErr w:type="spellStart"/>
      <w:r>
        <w:t>ExGen</w:t>
      </w:r>
      <w:proofErr w:type="spellEnd"/>
      <w:r>
        <w:t xml:space="preserve"> St. No. 1, p. 4.  </w:t>
      </w:r>
    </w:p>
    <w:p w:rsidR="00A221BF" w:rsidRDefault="00A221BF" w:rsidP="00566B3C">
      <w:pPr>
        <w:pStyle w:val="FootnoteText"/>
        <w:ind w:firstLine="720"/>
      </w:pPr>
    </w:p>
  </w:footnote>
  <w:footnote w:id="53">
    <w:p w:rsidR="00A221BF" w:rsidRPr="00566B3C" w:rsidRDefault="00A221BF" w:rsidP="00F317AD">
      <w:pPr>
        <w:pStyle w:val="BodyText"/>
        <w:spacing w:after="0"/>
        <w:ind w:left="0" w:firstLine="720"/>
        <w:rPr>
          <w:sz w:val="20"/>
          <w:lang w:val="en-US"/>
        </w:rPr>
      </w:pPr>
      <w:r w:rsidRPr="00566B3C">
        <w:rPr>
          <w:rStyle w:val="FootnoteReference"/>
          <w:sz w:val="20"/>
        </w:rPr>
        <w:footnoteRef/>
      </w:r>
      <w:r w:rsidRPr="00566B3C">
        <w:rPr>
          <w:sz w:val="20"/>
        </w:rPr>
        <w:t xml:space="preserve"> </w:t>
      </w:r>
      <w:r w:rsidRPr="00566B3C">
        <w:rPr>
          <w:sz w:val="20"/>
        </w:rPr>
        <w:tab/>
      </w:r>
      <w:r w:rsidRPr="00566B3C">
        <w:rPr>
          <w:sz w:val="20"/>
          <w:lang w:val="en-US"/>
        </w:rPr>
        <w:t xml:space="preserve">The same issue was contested in the FirstEnergy line of default service plan proceedings and the Commission refused to alter its decision.  See </w:t>
      </w:r>
      <w:r w:rsidRPr="00566B3C">
        <w:rPr>
          <w:i/>
          <w:sz w:val="20"/>
        </w:rPr>
        <w:t>Joint Petition of Metropolitan Edison Company, Pennsylvania Electric Company, Pennsylvania Power Company and West Penn Power Company for Approval of Their Default Service Programs</w:t>
      </w:r>
      <w:r w:rsidRPr="00566B3C">
        <w:rPr>
          <w:sz w:val="20"/>
        </w:rPr>
        <w:t>, Docket No. P-2013-2391368, et al. Order entered July 24, 2014, p. 56. (</w:t>
      </w:r>
      <w:r w:rsidRPr="00566B3C">
        <w:rPr>
          <w:i/>
          <w:sz w:val="20"/>
        </w:rPr>
        <w:t>FirstEnergy DSP Order</w:t>
      </w:r>
      <w:r w:rsidRPr="00566B3C">
        <w:rPr>
          <w:sz w:val="20"/>
        </w:rPr>
        <w:t xml:space="preserve">).  </w:t>
      </w:r>
    </w:p>
    <w:p w:rsidR="00A221BF" w:rsidRDefault="00A221BF" w:rsidP="00566B3C">
      <w:pPr>
        <w:pStyle w:val="FootnoteText"/>
        <w:ind w:firstLine="720"/>
      </w:pPr>
    </w:p>
  </w:footnote>
  <w:footnote w:id="54">
    <w:p w:rsidR="00A221BF" w:rsidRDefault="00A221BF">
      <w:pPr>
        <w:pStyle w:val="FootnoteText"/>
      </w:pPr>
      <w:r>
        <w:tab/>
      </w:r>
      <w:r>
        <w:rPr>
          <w:rStyle w:val="FootnoteReference"/>
        </w:rPr>
        <w:footnoteRef/>
      </w:r>
      <w:r>
        <w:t xml:space="preserve"> </w:t>
      </w:r>
      <w:r>
        <w:tab/>
        <w:t xml:space="preserve">See RESA St. No. 1-SR, pp. 23-24.  </w:t>
      </w:r>
    </w:p>
    <w:p w:rsidR="00A221BF" w:rsidRDefault="00A221BF">
      <w:pPr>
        <w:pStyle w:val="FootnoteText"/>
      </w:pPr>
    </w:p>
  </w:footnote>
  <w:footnote w:id="55">
    <w:p w:rsidR="00A221BF" w:rsidRDefault="00A221BF">
      <w:pPr>
        <w:pStyle w:val="FootnoteText"/>
      </w:pPr>
      <w:r>
        <w:tab/>
      </w:r>
      <w:r>
        <w:rPr>
          <w:rStyle w:val="FootnoteReference"/>
        </w:rPr>
        <w:footnoteRef/>
      </w:r>
      <w:r>
        <w:t xml:space="preserve"> </w:t>
      </w:r>
      <w:r>
        <w:tab/>
        <w:t xml:space="preserve">See Duquesne Light St. No. 4-RJ, pp. 5-6.  </w:t>
      </w:r>
    </w:p>
    <w:p w:rsidR="00A221BF" w:rsidRDefault="00A221BF">
      <w:pPr>
        <w:pStyle w:val="FootnoteText"/>
      </w:pPr>
    </w:p>
  </w:footnote>
  <w:footnote w:id="56">
    <w:p w:rsidR="00A221BF" w:rsidRDefault="00A221BF" w:rsidP="00C07AB6">
      <w:pPr>
        <w:pStyle w:val="FootnoteText"/>
      </w:pPr>
      <w:r>
        <w:tab/>
      </w:r>
      <w:r>
        <w:rPr>
          <w:rStyle w:val="FootnoteReference"/>
        </w:rPr>
        <w:footnoteRef/>
      </w:r>
      <w:r>
        <w:t xml:space="preserve"> </w:t>
      </w:r>
      <w:r>
        <w:tab/>
        <w:t xml:space="preserve">See </w:t>
      </w:r>
      <w:r w:rsidRPr="00077E1C">
        <w:rPr>
          <w:i/>
        </w:rPr>
        <w:t>Guidelines for Use of Fixed Price Labels for Products with a Pass-Through Clause</w:t>
      </w:r>
      <w:r>
        <w:t>, Docket No. M-2013-2362961, Final Order entered November 14, 2013.</w:t>
      </w:r>
    </w:p>
    <w:p w:rsidR="00A221BF" w:rsidRDefault="00A221BF" w:rsidP="00C07AB6">
      <w:pPr>
        <w:pStyle w:val="FootnoteText"/>
        <w:jc w:val="both"/>
      </w:pPr>
    </w:p>
  </w:footnote>
  <w:footnote w:id="57">
    <w:p w:rsidR="00A221BF" w:rsidRDefault="00A221BF" w:rsidP="00C07AB6">
      <w:pPr>
        <w:pStyle w:val="FootnoteText"/>
      </w:pPr>
      <w:r>
        <w:tab/>
      </w:r>
      <w:r>
        <w:rPr>
          <w:rStyle w:val="FootnoteReference"/>
        </w:rPr>
        <w:footnoteRef/>
      </w:r>
      <w:r>
        <w:t xml:space="preserve"> </w:t>
      </w:r>
      <w:r>
        <w:tab/>
        <w:t xml:space="preserve">See RESA St. No. 1, p. 25.  </w:t>
      </w:r>
    </w:p>
    <w:p w:rsidR="00A221BF" w:rsidRDefault="00A221BF" w:rsidP="00C07AB6">
      <w:pPr>
        <w:pStyle w:val="FootnoteText"/>
      </w:pPr>
    </w:p>
  </w:footnote>
  <w:footnote w:id="58">
    <w:p w:rsidR="00A221BF" w:rsidRDefault="00A221BF" w:rsidP="00C07AB6">
      <w:pPr>
        <w:pStyle w:val="FootnoteText"/>
      </w:pPr>
      <w:r>
        <w:tab/>
      </w:r>
      <w:r>
        <w:rPr>
          <w:rStyle w:val="FootnoteReference"/>
        </w:rPr>
        <w:footnoteRef/>
      </w:r>
      <w:r>
        <w:t xml:space="preserve"> </w:t>
      </w:r>
      <w:r>
        <w:tab/>
        <w:t xml:space="preserve">See </w:t>
      </w:r>
      <w:r w:rsidRPr="00D27F97">
        <w:rPr>
          <w:i/>
        </w:rPr>
        <w:t>FirstEnergy DSP Order</w:t>
      </w:r>
      <w:r>
        <w:t>, pp. 31-32.</w:t>
      </w:r>
    </w:p>
  </w:footnote>
  <w:footnote w:id="59">
    <w:p w:rsidR="00A221BF" w:rsidRDefault="00A221BF" w:rsidP="00EF7A10">
      <w:pPr>
        <w:pStyle w:val="FootnoteText"/>
        <w:ind w:firstLine="720"/>
      </w:pPr>
      <w:r w:rsidRPr="00593870">
        <w:rPr>
          <w:rStyle w:val="FootnoteReference"/>
        </w:rPr>
        <w:footnoteRef/>
      </w:r>
      <w:r w:rsidRPr="00593870">
        <w:t xml:space="preserve"> </w:t>
      </w:r>
      <w:r w:rsidRPr="00593870">
        <w:tab/>
        <w:t>See D</w:t>
      </w:r>
      <w:r>
        <w:t>uquesne Light</w:t>
      </w:r>
      <w:r w:rsidRPr="00593870">
        <w:t xml:space="preserve"> St. No. 2, p 16.</w:t>
      </w:r>
    </w:p>
    <w:p w:rsidR="00A221BF" w:rsidRPr="00593870" w:rsidRDefault="00A221BF" w:rsidP="00EF7A10">
      <w:pPr>
        <w:pStyle w:val="FootnoteText"/>
        <w:ind w:firstLine="720"/>
      </w:pPr>
    </w:p>
  </w:footnote>
  <w:footnote w:id="60">
    <w:p w:rsidR="00A221BF" w:rsidRPr="00593870" w:rsidRDefault="00A221BF" w:rsidP="00EF7A10">
      <w:pPr>
        <w:pStyle w:val="FootnoteText"/>
        <w:ind w:firstLine="720"/>
      </w:pPr>
      <w:r w:rsidRPr="00593870">
        <w:rPr>
          <w:rStyle w:val="FootnoteReference"/>
        </w:rPr>
        <w:footnoteRef/>
      </w:r>
      <w:r w:rsidRPr="00593870">
        <w:t xml:space="preserve"> </w:t>
      </w:r>
      <w:r w:rsidRPr="00593870">
        <w:tab/>
        <w:t>The replacement sentence shall read as follows: “AECs shall be provided on a six (6) month basis or at the end of any Delivery Period, if the Delivery Period is less than six (6) months, and shall be transferred to the Company within 30 days from the final day of any such six month period or Delivery Period; provided; however, that if the term of any Delivery Period includes two different AEPS reporting years, then DS Supplier shall provide the AECs required for the first AEPS reporting year by June 30</w:t>
      </w:r>
      <w:r w:rsidRPr="00593870">
        <w:rPr>
          <w:vertAlign w:val="superscript"/>
        </w:rPr>
        <w:t>th</w:t>
      </w:r>
      <w:r w:rsidRPr="00593870">
        <w:t xml:space="preserve"> of each year.”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1">
    <w:nsid w:val="FFFFFF81"/>
    <w:multiLevelType w:val="singleLevel"/>
    <w:tmpl w:val="65969ABC"/>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C21EB00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E52C5FD0"/>
    <w:lvl w:ilvl="0">
      <w:start w:val="1"/>
      <w:numFmt w:val="decimal"/>
      <w:pStyle w:val="ListNumber"/>
      <w:lvlText w:val="%1."/>
      <w:lvlJc w:val="left"/>
      <w:pPr>
        <w:tabs>
          <w:tab w:val="num" w:pos="504"/>
        </w:tabs>
        <w:ind w:left="504" w:hanging="504"/>
      </w:pPr>
      <w:rPr>
        <w:rFonts w:hint="default"/>
      </w:rPr>
    </w:lvl>
  </w:abstractNum>
  <w:abstractNum w:abstractNumId="5">
    <w:nsid w:val="0312681D"/>
    <w:multiLevelType w:val="hybridMultilevel"/>
    <w:tmpl w:val="D9320024"/>
    <w:lvl w:ilvl="0" w:tplc="C3622E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9D60DD8"/>
    <w:multiLevelType w:val="hybridMultilevel"/>
    <w:tmpl w:val="186C461C"/>
    <w:lvl w:ilvl="0" w:tplc="9E9AF6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CD0458B"/>
    <w:multiLevelType w:val="multilevel"/>
    <w:tmpl w:val="BC828214"/>
    <w:lvl w:ilvl="0">
      <w:start w:val="1"/>
      <w:numFmt w:val="none"/>
      <w:lvlText w:val="Q."/>
      <w:lvlJc w:val="left"/>
      <w:pPr>
        <w:tabs>
          <w:tab w:val="num" w:pos="1440"/>
        </w:tabs>
        <w:ind w:left="1440" w:hanging="1440"/>
      </w:pPr>
      <w:rPr>
        <w:rFonts w:ascii="Times New Roman" w:hAnsi="Times New Roman" w:cs="Times New Roman" w:hint="default"/>
        <w:caps/>
        <w:strike w:val="0"/>
        <w:dstrike w:val="0"/>
        <w:outline w:val="0"/>
        <w:shadow w:val="0"/>
        <w:emboss w:val="0"/>
        <w:imprint w:val="0"/>
        <w:vanish w:val="0"/>
        <w:webHidden w:val="0"/>
        <w:sz w:val="24"/>
        <w:u w:val="none"/>
        <w:effect w:val="none"/>
        <w:vertAlign w:val="baseline"/>
        <w:specVanish w:val="0"/>
      </w:rPr>
    </w:lvl>
    <w:lvl w:ilvl="1">
      <w:start w:val="1"/>
      <w:numFmt w:val="none"/>
      <w:lvlRestart w:val="0"/>
      <w:pStyle w:val="DirectNext"/>
      <w:lvlText w:val="%2A."/>
      <w:lvlJc w:val="left"/>
      <w:pPr>
        <w:tabs>
          <w:tab w:val="num" w:pos="720"/>
        </w:tabs>
        <w:ind w:left="720" w:hanging="720"/>
      </w:pPr>
    </w:lvl>
    <w:lvl w:ilvl="2">
      <w:start w:val="1"/>
      <w:numFmt w:val="bullet"/>
      <w:lvlText w:val=""/>
      <w:lvlJc w:val="left"/>
      <w:pPr>
        <w:tabs>
          <w:tab w:val="num" w:pos="3528"/>
        </w:tabs>
        <w:ind w:left="3528" w:hanging="576"/>
      </w:pPr>
      <w:rPr>
        <w:rFonts w:ascii="Symbol" w:hAnsi="Symbol" w:hint="default"/>
      </w:rPr>
    </w:lvl>
    <w:lvl w:ilvl="3">
      <w:start w:val="1"/>
      <w:numFmt w:val="none"/>
      <w:lvlText w:val="(%4)"/>
      <w:lvlJc w:val="left"/>
      <w:pPr>
        <w:tabs>
          <w:tab w:val="num" w:pos="1800"/>
        </w:tabs>
        <w:ind w:left="1440" w:firstLine="0"/>
      </w:pPr>
    </w:lvl>
    <w:lvl w:ilvl="4">
      <w:start w:val="1"/>
      <w:numFmt w:val="none"/>
      <w:lvlText w:val="(%5)"/>
      <w:lvlJc w:val="left"/>
      <w:pPr>
        <w:tabs>
          <w:tab w:val="num" w:pos="2880"/>
        </w:tabs>
        <w:ind w:left="2880" w:hanging="936"/>
      </w:pPr>
    </w:lvl>
    <w:lvl w:ilvl="5">
      <w:start w:val="1"/>
      <w:numFmt w:val="none"/>
      <w:lvlText w:val="%1.%2.%3.%4.%5.%6."/>
      <w:lvlJc w:val="left"/>
      <w:pPr>
        <w:tabs>
          <w:tab w:val="num" w:pos="2880"/>
        </w:tabs>
        <w:ind w:left="2736" w:hanging="936"/>
      </w:pPr>
    </w:lvl>
    <w:lvl w:ilvl="6">
      <w:start w:val="1"/>
      <w:numFmt w:val="none"/>
      <w:lvlText w:val="%1.%2.%3.%4.%5.%6.%7."/>
      <w:lvlJc w:val="left"/>
      <w:pPr>
        <w:tabs>
          <w:tab w:val="num" w:pos="3600"/>
        </w:tabs>
        <w:ind w:left="3240" w:hanging="1080"/>
      </w:pPr>
    </w:lvl>
    <w:lvl w:ilvl="7">
      <w:start w:val="1"/>
      <w:numFmt w:val="none"/>
      <w:lvlText w:val="%1.%2.%3.%4.%5.%6.%7.%8."/>
      <w:lvlJc w:val="left"/>
      <w:pPr>
        <w:tabs>
          <w:tab w:val="num" w:pos="3960"/>
        </w:tabs>
        <w:ind w:left="3744" w:hanging="1224"/>
      </w:pPr>
    </w:lvl>
    <w:lvl w:ilvl="8">
      <w:numFmt w:val="none"/>
      <w:lvlRestart w:val="2"/>
      <w:lvlText w:val="%1.%2.%3.%4.%5.%6.%7.%8.%9."/>
      <w:lvlJc w:val="left"/>
      <w:pPr>
        <w:tabs>
          <w:tab w:val="num" w:pos="4680"/>
        </w:tabs>
        <w:ind w:left="4320" w:hanging="1440"/>
      </w:pPr>
    </w:lvl>
  </w:abstractNum>
  <w:abstractNum w:abstractNumId="8">
    <w:nsid w:val="1BBE7D5C"/>
    <w:multiLevelType w:val="hybridMultilevel"/>
    <w:tmpl w:val="132E1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E5660"/>
    <w:multiLevelType w:val="hybridMultilevel"/>
    <w:tmpl w:val="3424C91A"/>
    <w:lvl w:ilvl="0" w:tplc="B1466BA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4E12D7"/>
    <w:multiLevelType w:val="hybridMultilevel"/>
    <w:tmpl w:val="10C25848"/>
    <w:lvl w:ilvl="0" w:tplc="B36E229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1DC53EBC"/>
    <w:multiLevelType w:val="hybridMultilevel"/>
    <w:tmpl w:val="234A2668"/>
    <w:lvl w:ilvl="0" w:tplc="7264E2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68D1839"/>
    <w:multiLevelType w:val="hybridMultilevel"/>
    <w:tmpl w:val="CBE230A6"/>
    <w:lvl w:ilvl="0" w:tplc="7F6A9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6E5609"/>
    <w:multiLevelType w:val="hybridMultilevel"/>
    <w:tmpl w:val="FACABF14"/>
    <w:lvl w:ilvl="0" w:tplc="13D2B46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90A156F"/>
    <w:multiLevelType w:val="hybridMultilevel"/>
    <w:tmpl w:val="54024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FC09A3"/>
    <w:multiLevelType w:val="hybridMultilevel"/>
    <w:tmpl w:val="B8B80568"/>
    <w:lvl w:ilvl="0" w:tplc="F35004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536341"/>
    <w:multiLevelType w:val="multilevel"/>
    <w:tmpl w:val="3BE8B4DC"/>
    <w:name w:val="zzmpBrief||Brief|3|1|1|1|2|41||1|0|33||1|0|32||1|0|33||1|0|32||1|0|32||1|0|32||1|0|32||1|0|32||"/>
    <w:lvl w:ilvl="0">
      <w:start w:val="1"/>
      <w:numFmt w:val="upperRoman"/>
      <w:pStyle w:val="BriefL1"/>
      <w:lvlText w:val="%1."/>
      <w:lvlJc w:val="left"/>
      <w:pPr>
        <w:tabs>
          <w:tab w:val="num" w:pos="720"/>
        </w:tabs>
        <w:ind w:left="0" w:firstLine="0"/>
      </w:pPr>
      <w:rPr>
        <w:b/>
        <w:i w:val="0"/>
        <w:caps/>
        <w:smallCaps w:val="0"/>
        <w:u w:val="none"/>
      </w:rPr>
    </w:lvl>
    <w:lvl w:ilvl="1">
      <w:start w:val="1"/>
      <w:numFmt w:val="upperLetter"/>
      <w:pStyle w:val="BriefL2"/>
      <w:lvlText w:val="%2."/>
      <w:lvlJc w:val="left"/>
      <w:pPr>
        <w:tabs>
          <w:tab w:val="num" w:pos="1530"/>
        </w:tabs>
        <w:ind w:left="1530" w:hanging="720"/>
      </w:pPr>
      <w:rPr>
        <w:b/>
        <w:i w:val="0"/>
        <w:caps w:val="0"/>
        <w:u w:val="none"/>
      </w:rPr>
    </w:lvl>
    <w:lvl w:ilvl="2">
      <w:start w:val="1"/>
      <w:numFmt w:val="decimal"/>
      <w:pStyle w:val="BriefL3"/>
      <w:lvlText w:val="%3."/>
      <w:lvlJc w:val="left"/>
      <w:pPr>
        <w:tabs>
          <w:tab w:val="num" w:pos="2160"/>
        </w:tabs>
        <w:ind w:left="2160" w:hanging="720"/>
      </w:pPr>
      <w:rPr>
        <w:b/>
        <w:i w:val="0"/>
        <w:caps w:val="0"/>
        <w:u w:val="none"/>
      </w:rPr>
    </w:lvl>
    <w:lvl w:ilvl="3">
      <w:start w:val="1"/>
      <w:numFmt w:val="lowerLetter"/>
      <w:pStyle w:val="BriefL4"/>
      <w:lvlText w:val="%4."/>
      <w:lvlJc w:val="left"/>
      <w:pPr>
        <w:tabs>
          <w:tab w:val="num" w:pos="2880"/>
        </w:tabs>
        <w:ind w:left="2880" w:hanging="720"/>
      </w:pPr>
      <w:rPr>
        <w:b/>
        <w:i w:val="0"/>
        <w:caps w:val="0"/>
        <w:u w:val="none"/>
      </w:rPr>
    </w:lvl>
    <w:lvl w:ilvl="4">
      <w:start w:val="1"/>
      <w:numFmt w:val="decimal"/>
      <w:pStyle w:val="BriefL5"/>
      <w:lvlText w:val="(%5)"/>
      <w:lvlJc w:val="left"/>
      <w:pPr>
        <w:tabs>
          <w:tab w:val="num" w:pos="3600"/>
        </w:tabs>
        <w:ind w:left="3600" w:hanging="720"/>
      </w:pPr>
      <w:rPr>
        <w:b w:val="0"/>
        <w:i w:val="0"/>
        <w:caps w:val="0"/>
        <w:u w:val="none"/>
      </w:rPr>
    </w:lvl>
    <w:lvl w:ilvl="5">
      <w:start w:val="1"/>
      <w:numFmt w:val="lowerLetter"/>
      <w:pStyle w:val="BriefL6"/>
      <w:lvlText w:val="(%6)"/>
      <w:lvlJc w:val="left"/>
      <w:pPr>
        <w:tabs>
          <w:tab w:val="num" w:pos="4320"/>
        </w:tabs>
        <w:ind w:left="4320" w:hanging="720"/>
      </w:pPr>
      <w:rPr>
        <w:b w:val="0"/>
        <w:i w:val="0"/>
        <w:caps w:val="0"/>
        <w:u w:val="none"/>
      </w:rPr>
    </w:lvl>
    <w:lvl w:ilvl="6">
      <w:start w:val="1"/>
      <w:numFmt w:val="lowerRoman"/>
      <w:pStyle w:val="BriefL7"/>
      <w:lvlText w:val="(%7)"/>
      <w:lvlJc w:val="left"/>
      <w:pPr>
        <w:tabs>
          <w:tab w:val="num" w:pos="5040"/>
        </w:tabs>
        <w:ind w:left="5040" w:hanging="720"/>
      </w:pPr>
      <w:rPr>
        <w:b w:val="0"/>
        <w:i w:val="0"/>
        <w:caps w:val="0"/>
        <w:u w:val="none"/>
      </w:rPr>
    </w:lvl>
    <w:lvl w:ilvl="7">
      <w:start w:val="1"/>
      <w:numFmt w:val="lowerLetter"/>
      <w:pStyle w:val="BriefL8"/>
      <w:lvlText w:val="%8)"/>
      <w:lvlJc w:val="left"/>
      <w:pPr>
        <w:tabs>
          <w:tab w:val="num" w:pos="5760"/>
        </w:tabs>
        <w:ind w:left="5760" w:hanging="720"/>
      </w:pPr>
      <w:rPr>
        <w:b w:val="0"/>
        <w:i w:val="0"/>
        <w:caps w:val="0"/>
        <w:u w:val="none"/>
      </w:rPr>
    </w:lvl>
    <w:lvl w:ilvl="8">
      <w:start w:val="1"/>
      <w:numFmt w:val="lowerRoman"/>
      <w:pStyle w:val="BriefL9"/>
      <w:lvlText w:val="%9)"/>
      <w:lvlJc w:val="left"/>
      <w:pPr>
        <w:tabs>
          <w:tab w:val="num" w:pos="6480"/>
        </w:tabs>
        <w:ind w:left="6480" w:hanging="720"/>
      </w:pPr>
      <w:rPr>
        <w:b w:val="0"/>
        <w:i w:val="0"/>
        <w:caps w:val="0"/>
        <w:u w:val="none"/>
      </w:rPr>
    </w:lvl>
  </w:abstractNum>
  <w:abstractNum w:abstractNumId="17">
    <w:nsid w:val="2EF94A7C"/>
    <w:multiLevelType w:val="hybridMultilevel"/>
    <w:tmpl w:val="C9904632"/>
    <w:lvl w:ilvl="0" w:tplc="4B9624A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D716A8E"/>
    <w:multiLevelType w:val="hybridMultilevel"/>
    <w:tmpl w:val="711CABD8"/>
    <w:lvl w:ilvl="0" w:tplc="58FE5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044E76"/>
    <w:multiLevelType w:val="hybridMultilevel"/>
    <w:tmpl w:val="0B864D9C"/>
    <w:lvl w:ilvl="0" w:tplc="800A8D88">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0693FDE"/>
    <w:multiLevelType w:val="hybridMultilevel"/>
    <w:tmpl w:val="704C9CEC"/>
    <w:lvl w:ilvl="0" w:tplc="ABFC8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A64F2B"/>
    <w:multiLevelType w:val="hybridMultilevel"/>
    <w:tmpl w:val="7426688C"/>
    <w:lvl w:ilvl="0" w:tplc="08BEA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2629DF"/>
    <w:multiLevelType w:val="hybridMultilevel"/>
    <w:tmpl w:val="C1AC5CE2"/>
    <w:lvl w:ilvl="0" w:tplc="FC7A97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FA0B54"/>
    <w:multiLevelType w:val="multilevel"/>
    <w:tmpl w:val="E5F48172"/>
    <w:lvl w:ilvl="0">
      <w:start w:val="1"/>
      <w:numFmt w:val="upperRoman"/>
      <w:pStyle w:val="Heading1"/>
      <w:lvlText w:val="%1."/>
      <w:lvlJc w:val="left"/>
      <w:pPr>
        <w:tabs>
          <w:tab w:val="num" w:pos="720"/>
        </w:tabs>
        <w:ind w:left="720" w:hanging="720"/>
      </w:pPr>
      <w:rPr>
        <w:rFonts w:cs="Times New Roman"/>
        <w:caps w:val="0"/>
        <w:strike w:val="0"/>
        <w:dstrike w:val="0"/>
        <w:vanish w:val="0"/>
        <w:webHidden w:val="0"/>
        <w:color w:val="010000"/>
        <w:u w:val="none"/>
        <w:effect w:val="none"/>
        <w:specVanish w:val="0"/>
      </w:rPr>
    </w:lvl>
    <w:lvl w:ilvl="1">
      <w:start w:val="1"/>
      <w:numFmt w:val="upperLetter"/>
      <w:pStyle w:val="Heading2"/>
      <w:lvlText w:val="%2."/>
      <w:lvlJc w:val="left"/>
      <w:pPr>
        <w:tabs>
          <w:tab w:val="num" w:pos="1440"/>
        </w:tabs>
        <w:ind w:left="1440" w:hanging="720"/>
      </w:pPr>
      <w:rPr>
        <w:rFonts w:cs="Times New Roman"/>
        <w:caps w:val="0"/>
        <w:strike w:val="0"/>
        <w:dstrike w:val="0"/>
        <w:vanish w:val="0"/>
        <w:webHidden w:val="0"/>
        <w:color w:val="010000"/>
        <w:u w:val="none"/>
        <w:effect w:val="none"/>
        <w:specVanish w:val="0"/>
      </w:rPr>
    </w:lvl>
    <w:lvl w:ilvl="2">
      <w:start w:val="1"/>
      <w:numFmt w:val="decimal"/>
      <w:pStyle w:val="Heading3"/>
      <w:lvlText w:val="%3."/>
      <w:lvlJc w:val="left"/>
      <w:pPr>
        <w:tabs>
          <w:tab w:val="num" w:pos="2160"/>
        </w:tabs>
        <w:ind w:left="2160" w:hanging="720"/>
      </w:pPr>
      <w:rPr>
        <w:rFonts w:cs="Times New Roman"/>
        <w:caps w:val="0"/>
        <w:strike w:val="0"/>
        <w:dstrike w:val="0"/>
        <w:vanish w:val="0"/>
        <w:webHidden w:val="0"/>
        <w:color w:val="010000"/>
        <w:u w:val="none"/>
        <w:effect w:val="none"/>
        <w:specVanish w:val="0"/>
      </w:rPr>
    </w:lvl>
    <w:lvl w:ilvl="3">
      <w:start w:val="1"/>
      <w:numFmt w:val="lowerLetter"/>
      <w:pStyle w:val="Heading4"/>
      <w:lvlText w:val="%4."/>
      <w:lvlJc w:val="left"/>
      <w:pPr>
        <w:tabs>
          <w:tab w:val="num" w:pos="2880"/>
        </w:tabs>
        <w:ind w:left="2880" w:hanging="720"/>
      </w:pPr>
      <w:rPr>
        <w:rFonts w:cs="Times New Roman"/>
        <w:caps w:val="0"/>
        <w:strike w:val="0"/>
        <w:dstrike w:val="0"/>
        <w:vanish w:val="0"/>
        <w:webHidden w:val="0"/>
        <w:color w:val="010000"/>
        <w:u w:val="none"/>
        <w:effect w:val="none"/>
        <w:specVanish w:val="0"/>
      </w:rPr>
    </w:lvl>
    <w:lvl w:ilvl="4">
      <w:start w:val="1"/>
      <w:numFmt w:val="lowerRoman"/>
      <w:pStyle w:val="Heading5"/>
      <w:lvlText w:val="%5."/>
      <w:lvlJc w:val="left"/>
      <w:pPr>
        <w:tabs>
          <w:tab w:val="num" w:pos="3600"/>
        </w:tabs>
        <w:ind w:left="3600" w:hanging="720"/>
      </w:pPr>
      <w:rPr>
        <w:rFonts w:cs="Times New Roman"/>
        <w:caps w:val="0"/>
        <w:strike w:val="0"/>
        <w:dstrike w:val="0"/>
        <w:vanish w:val="0"/>
        <w:webHidden w:val="0"/>
        <w:color w:val="010000"/>
        <w:u w:val="none"/>
        <w:effect w:val="none"/>
        <w:specVanish w:val="0"/>
      </w:rPr>
    </w:lvl>
    <w:lvl w:ilvl="5">
      <w:start w:val="1"/>
      <w:numFmt w:val="upperLetter"/>
      <w:pStyle w:val="Heading6"/>
      <w:lvlText w:val="(%6)"/>
      <w:lvlJc w:val="left"/>
      <w:pPr>
        <w:tabs>
          <w:tab w:val="num" w:pos="4320"/>
        </w:tabs>
        <w:ind w:left="4320" w:hanging="720"/>
      </w:pPr>
      <w:rPr>
        <w:rFonts w:cs="Times New Roman"/>
        <w:caps w:val="0"/>
        <w:strike w:val="0"/>
        <w:dstrike w:val="0"/>
        <w:vanish w:val="0"/>
        <w:webHidden w:val="0"/>
        <w:color w:val="010000"/>
        <w:u w:val="none"/>
        <w:effect w:val="none"/>
        <w:specVanish w:val="0"/>
      </w:rPr>
    </w:lvl>
    <w:lvl w:ilvl="6">
      <w:start w:val="1"/>
      <w:numFmt w:val="decimal"/>
      <w:pStyle w:val="Heading7"/>
      <w:lvlText w:val="(%7)"/>
      <w:lvlJc w:val="left"/>
      <w:pPr>
        <w:tabs>
          <w:tab w:val="num" w:pos="5040"/>
        </w:tabs>
        <w:ind w:left="5040" w:hanging="720"/>
      </w:pPr>
      <w:rPr>
        <w:rFonts w:cs="Times New Roman"/>
        <w:caps w:val="0"/>
        <w:strike w:val="0"/>
        <w:dstrike w:val="0"/>
        <w:vanish w:val="0"/>
        <w:webHidden w:val="0"/>
        <w:color w:val="010000"/>
        <w:u w:val="none"/>
        <w:effect w:val="none"/>
        <w:specVanish w:val="0"/>
      </w:rPr>
    </w:lvl>
    <w:lvl w:ilvl="7">
      <w:start w:val="1"/>
      <w:numFmt w:val="lowerLetter"/>
      <w:pStyle w:val="Heading8"/>
      <w:lvlText w:val="(%8)"/>
      <w:lvlJc w:val="left"/>
      <w:pPr>
        <w:tabs>
          <w:tab w:val="num" w:pos="5760"/>
        </w:tabs>
        <w:ind w:left="5760" w:hanging="720"/>
      </w:pPr>
      <w:rPr>
        <w:rFonts w:cs="Times New Roman"/>
        <w:caps w:val="0"/>
        <w:strike w:val="0"/>
        <w:dstrike w:val="0"/>
        <w:vanish w:val="0"/>
        <w:webHidden w:val="0"/>
        <w:color w:val="010000"/>
        <w:u w:val="none"/>
        <w:effect w:val="none"/>
        <w:specVanish w:val="0"/>
      </w:rPr>
    </w:lvl>
    <w:lvl w:ilvl="8">
      <w:start w:val="1"/>
      <w:numFmt w:val="lowerRoman"/>
      <w:pStyle w:val="Heading9"/>
      <w:lvlText w:val="(%9)"/>
      <w:lvlJc w:val="left"/>
      <w:pPr>
        <w:tabs>
          <w:tab w:val="num" w:pos="6480"/>
        </w:tabs>
        <w:ind w:left="6480" w:hanging="720"/>
      </w:pPr>
      <w:rPr>
        <w:rFonts w:cs="Times New Roman"/>
        <w:caps w:val="0"/>
        <w:strike w:val="0"/>
        <w:dstrike w:val="0"/>
        <w:vanish w:val="0"/>
        <w:webHidden w:val="0"/>
        <w:color w:val="010000"/>
        <w:u w:val="none"/>
        <w:effect w:val="none"/>
        <w:specVanish w:val="0"/>
      </w:rPr>
    </w:lvl>
  </w:abstractNum>
  <w:abstractNum w:abstractNumId="24">
    <w:nsid w:val="65F06AA6"/>
    <w:multiLevelType w:val="hybridMultilevel"/>
    <w:tmpl w:val="69508578"/>
    <w:lvl w:ilvl="0" w:tplc="2A0EA10A">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7754FCF"/>
    <w:multiLevelType w:val="hybridMultilevel"/>
    <w:tmpl w:val="0D4CA326"/>
    <w:lvl w:ilvl="0" w:tplc="A94A24B6">
      <w:start w:val="1"/>
      <w:numFmt w:val="bullet"/>
      <w:pStyle w:val="NBBullet1"/>
      <w:lvlText w:val=""/>
      <w:lvlJc w:val="left"/>
      <w:pPr>
        <w:tabs>
          <w:tab w:val="num" w:pos="378"/>
        </w:tabs>
        <w:ind w:left="378" w:hanging="378"/>
      </w:pPr>
      <w:rPr>
        <w:rFonts w:ascii="Symbol" w:hAnsi="Symbol" w:hint="default"/>
        <w:sz w:val="24"/>
      </w:rPr>
    </w:lvl>
    <w:lvl w:ilvl="1" w:tplc="DCCC32B4">
      <w:start w:val="1"/>
      <w:numFmt w:val="bullet"/>
      <w:lvlText w:val="o"/>
      <w:lvlJc w:val="left"/>
      <w:pPr>
        <w:tabs>
          <w:tab w:val="num" w:pos="-792"/>
        </w:tabs>
        <w:ind w:left="-792" w:hanging="360"/>
      </w:pPr>
      <w:rPr>
        <w:rFonts w:ascii="Courier New" w:hAnsi="Courier New" w:cs="Times New Roman" w:hint="default"/>
      </w:rPr>
    </w:lvl>
    <w:lvl w:ilvl="2" w:tplc="B47EB38E">
      <w:start w:val="1"/>
      <w:numFmt w:val="bullet"/>
      <w:lvlText w:val=""/>
      <w:lvlJc w:val="left"/>
      <w:pPr>
        <w:tabs>
          <w:tab w:val="num" w:pos="-72"/>
        </w:tabs>
        <w:ind w:left="-72" w:hanging="360"/>
      </w:pPr>
      <w:rPr>
        <w:rFonts w:ascii="Wingdings" w:hAnsi="Wingdings" w:hint="default"/>
      </w:rPr>
    </w:lvl>
    <w:lvl w:ilvl="3" w:tplc="E208E08C">
      <w:start w:val="1"/>
      <w:numFmt w:val="bullet"/>
      <w:lvlText w:val=""/>
      <w:lvlJc w:val="left"/>
      <w:pPr>
        <w:tabs>
          <w:tab w:val="num" w:pos="648"/>
        </w:tabs>
        <w:ind w:left="648" w:hanging="360"/>
      </w:pPr>
      <w:rPr>
        <w:rFonts w:ascii="Symbol" w:hAnsi="Symbol" w:hint="default"/>
      </w:rPr>
    </w:lvl>
    <w:lvl w:ilvl="4" w:tplc="F5F44454">
      <w:start w:val="1"/>
      <w:numFmt w:val="bullet"/>
      <w:lvlText w:val="o"/>
      <w:lvlJc w:val="left"/>
      <w:pPr>
        <w:tabs>
          <w:tab w:val="num" w:pos="1368"/>
        </w:tabs>
        <w:ind w:left="1368" w:hanging="360"/>
      </w:pPr>
      <w:rPr>
        <w:rFonts w:ascii="Courier New" w:hAnsi="Courier New" w:cs="Times New Roman" w:hint="default"/>
      </w:rPr>
    </w:lvl>
    <w:lvl w:ilvl="5" w:tplc="B01A72EC">
      <w:start w:val="1"/>
      <w:numFmt w:val="bullet"/>
      <w:lvlText w:val=""/>
      <w:lvlJc w:val="left"/>
      <w:pPr>
        <w:tabs>
          <w:tab w:val="num" w:pos="2088"/>
        </w:tabs>
        <w:ind w:left="2088" w:hanging="360"/>
      </w:pPr>
      <w:rPr>
        <w:rFonts w:ascii="Wingdings" w:hAnsi="Wingdings" w:hint="default"/>
      </w:rPr>
    </w:lvl>
    <w:lvl w:ilvl="6" w:tplc="6C22E1A4">
      <w:start w:val="1"/>
      <w:numFmt w:val="bullet"/>
      <w:lvlText w:val=""/>
      <w:lvlJc w:val="left"/>
      <w:pPr>
        <w:tabs>
          <w:tab w:val="num" w:pos="2808"/>
        </w:tabs>
        <w:ind w:left="2808" w:hanging="360"/>
      </w:pPr>
      <w:rPr>
        <w:rFonts w:ascii="Symbol" w:hAnsi="Symbol" w:hint="default"/>
      </w:rPr>
    </w:lvl>
    <w:lvl w:ilvl="7" w:tplc="FD8CB004">
      <w:start w:val="1"/>
      <w:numFmt w:val="bullet"/>
      <w:lvlText w:val="o"/>
      <w:lvlJc w:val="left"/>
      <w:pPr>
        <w:tabs>
          <w:tab w:val="num" w:pos="3528"/>
        </w:tabs>
        <w:ind w:left="3528" w:hanging="360"/>
      </w:pPr>
      <w:rPr>
        <w:rFonts w:ascii="Courier New" w:hAnsi="Courier New" w:cs="Times New Roman" w:hint="default"/>
      </w:rPr>
    </w:lvl>
    <w:lvl w:ilvl="8" w:tplc="303CD4B4">
      <w:start w:val="1"/>
      <w:numFmt w:val="bullet"/>
      <w:lvlText w:val=""/>
      <w:lvlJc w:val="left"/>
      <w:pPr>
        <w:tabs>
          <w:tab w:val="num" w:pos="4248"/>
        </w:tabs>
        <w:ind w:left="4248" w:hanging="360"/>
      </w:pPr>
      <w:rPr>
        <w:rFonts w:ascii="Wingdings" w:hAnsi="Wingdings" w:hint="default"/>
      </w:rPr>
    </w:lvl>
  </w:abstractNum>
  <w:abstractNum w:abstractNumId="26">
    <w:nsid w:val="6830551D"/>
    <w:multiLevelType w:val="hybridMultilevel"/>
    <w:tmpl w:val="11C4D9E8"/>
    <w:lvl w:ilvl="0" w:tplc="3334CA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96D4BBB"/>
    <w:multiLevelType w:val="hybridMultilevel"/>
    <w:tmpl w:val="833281A8"/>
    <w:lvl w:ilvl="0" w:tplc="43E61D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C9C5C04"/>
    <w:multiLevelType w:val="hybridMultilevel"/>
    <w:tmpl w:val="3A843F34"/>
    <w:lvl w:ilvl="0" w:tplc="141CF7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1B45840"/>
    <w:multiLevelType w:val="hybridMultilevel"/>
    <w:tmpl w:val="05D884EC"/>
    <w:lvl w:ilvl="0" w:tplc="75F83D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608686F"/>
    <w:multiLevelType w:val="multilevel"/>
    <w:tmpl w:val="45B6C248"/>
    <w:name w:val="(Unnamed Numbering Schem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16"/>
  </w:num>
  <w:num w:numId="2">
    <w:abstractNumId w:val="4"/>
  </w:num>
  <w:num w:numId="3">
    <w:abstractNumId w:val="2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abstractNumId w:val="0"/>
  </w:num>
  <w:num w:numId="7">
    <w:abstractNumId w:val="13"/>
  </w:num>
  <w:num w:numId="8">
    <w:abstractNumId w:val="19"/>
  </w:num>
  <w:num w:numId="9">
    <w:abstractNumId w:val="10"/>
  </w:num>
  <w:num w:numId="10">
    <w:abstractNumId w:val="3"/>
  </w:num>
  <w:num w:numId="11">
    <w:abstractNumId w:val="1"/>
  </w:num>
  <w:num w:numId="12">
    <w:abstractNumId w:val="2"/>
  </w:num>
  <w:num w:numId="13">
    <w:abstractNumId w:val="30"/>
  </w:num>
  <w:num w:numId="14">
    <w:abstractNumId w:val="26"/>
  </w:num>
  <w:num w:numId="15">
    <w:abstractNumId w:val="17"/>
  </w:num>
  <w:num w:numId="16">
    <w:abstractNumId w:val="21"/>
  </w:num>
  <w:num w:numId="17">
    <w:abstractNumId w:val="27"/>
  </w:num>
  <w:num w:numId="18">
    <w:abstractNumId w:val="11"/>
  </w:num>
  <w:num w:numId="19">
    <w:abstractNumId w:val="14"/>
  </w:num>
  <w:num w:numId="20">
    <w:abstractNumId w:val="28"/>
  </w:num>
  <w:num w:numId="21">
    <w:abstractNumId w:val="6"/>
  </w:num>
  <w:num w:numId="22">
    <w:abstractNumId w:val="18"/>
  </w:num>
  <w:num w:numId="23">
    <w:abstractNumId w:val="15"/>
  </w:num>
  <w:num w:numId="24">
    <w:abstractNumId w:val="24"/>
  </w:num>
  <w:num w:numId="25">
    <w:abstractNumId w:val="9"/>
  </w:num>
  <w:num w:numId="26">
    <w:abstractNumId w:val="29"/>
  </w:num>
  <w:num w:numId="27">
    <w:abstractNumId w:val="22"/>
  </w:num>
  <w:num w:numId="28">
    <w:abstractNumId w:val="5"/>
  </w:num>
  <w:num w:numId="29">
    <w:abstractNumId w:val="20"/>
  </w:num>
  <w:num w:numId="30">
    <w:abstractNumId w:val="8"/>
  </w:num>
  <w:num w:numId="3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0FA2"/>
    <w:rsid w:val="00001ABA"/>
    <w:rsid w:val="00001C42"/>
    <w:rsid w:val="00002E79"/>
    <w:rsid w:val="00002E99"/>
    <w:rsid w:val="00002FE1"/>
    <w:rsid w:val="00003119"/>
    <w:rsid w:val="00003135"/>
    <w:rsid w:val="00005247"/>
    <w:rsid w:val="000065C6"/>
    <w:rsid w:val="0001101D"/>
    <w:rsid w:val="00011478"/>
    <w:rsid w:val="00014A18"/>
    <w:rsid w:val="0001515F"/>
    <w:rsid w:val="0001542F"/>
    <w:rsid w:val="00016224"/>
    <w:rsid w:val="00016C19"/>
    <w:rsid w:val="000203D5"/>
    <w:rsid w:val="000211EE"/>
    <w:rsid w:val="0002197A"/>
    <w:rsid w:val="00022700"/>
    <w:rsid w:val="00022A46"/>
    <w:rsid w:val="00022DE4"/>
    <w:rsid w:val="00023BFB"/>
    <w:rsid w:val="000253F8"/>
    <w:rsid w:val="00025DAC"/>
    <w:rsid w:val="0002674C"/>
    <w:rsid w:val="00031878"/>
    <w:rsid w:val="00031CED"/>
    <w:rsid w:val="00035173"/>
    <w:rsid w:val="00035E80"/>
    <w:rsid w:val="0003622E"/>
    <w:rsid w:val="00036BAE"/>
    <w:rsid w:val="0003743C"/>
    <w:rsid w:val="00037E8B"/>
    <w:rsid w:val="00037FA0"/>
    <w:rsid w:val="00040542"/>
    <w:rsid w:val="0004078E"/>
    <w:rsid w:val="00041250"/>
    <w:rsid w:val="00041A55"/>
    <w:rsid w:val="00041FCB"/>
    <w:rsid w:val="00042772"/>
    <w:rsid w:val="000427EF"/>
    <w:rsid w:val="00042863"/>
    <w:rsid w:val="00043936"/>
    <w:rsid w:val="000447F9"/>
    <w:rsid w:val="00044A87"/>
    <w:rsid w:val="00045AFB"/>
    <w:rsid w:val="00046207"/>
    <w:rsid w:val="0004623F"/>
    <w:rsid w:val="0004692F"/>
    <w:rsid w:val="000479F3"/>
    <w:rsid w:val="00050489"/>
    <w:rsid w:val="00050903"/>
    <w:rsid w:val="00050AF1"/>
    <w:rsid w:val="00050B04"/>
    <w:rsid w:val="00051A53"/>
    <w:rsid w:val="0005258F"/>
    <w:rsid w:val="00052930"/>
    <w:rsid w:val="00054540"/>
    <w:rsid w:val="00054583"/>
    <w:rsid w:val="00054A10"/>
    <w:rsid w:val="00055FCB"/>
    <w:rsid w:val="00056DCD"/>
    <w:rsid w:val="000571E4"/>
    <w:rsid w:val="0005720E"/>
    <w:rsid w:val="00057272"/>
    <w:rsid w:val="0005737B"/>
    <w:rsid w:val="00057409"/>
    <w:rsid w:val="00057C65"/>
    <w:rsid w:val="00060268"/>
    <w:rsid w:val="000603EA"/>
    <w:rsid w:val="00060BB1"/>
    <w:rsid w:val="00061FC2"/>
    <w:rsid w:val="00062755"/>
    <w:rsid w:val="00062E2C"/>
    <w:rsid w:val="00063E24"/>
    <w:rsid w:val="00063F87"/>
    <w:rsid w:val="00064462"/>
    <w:rsid w:val="00064634"/>
    <w:rsid w:val="00064A44"/>
    <w:rsid w:val="000653E3"/>
    <w:rsid w:val="00065674"/>
    <w:rsid w:val="00065DF4"/>
    <w:rsid w:val="000666B7"/>
    <w:rsid w:val="00066EF6"/>
    <w:rsid w:val="00066F58"/>
    <w:rsid w:val="00067108"/>
    <w:rsid w:val="00067609"/>
    <w:rsid w:val="0007005B"/>
    <w:rsid w:val="00070A25"/>
    <w:rsid w:val="00070D6C"/>
    <w:rsid w:val="0007178A"/>
    <w:rsid w:val="00073240"/>
    <w:rsid w:val="0007372A"/>
    <w:rsid w:val="00073C3B"/>
    <w:rsid w:val="00073D8E"/>
    <w:rsid w:val="00074074"/>
    <w:rsid w:val="00074FE1"/>
    <w:rsid w:val="000754CF"/>
    <w:rsid w:val="00076407"/>
    <w:rsid w:val="00077373"/>
    <w:rsid w:val="00077EC5"/>
    <w:rsid w:val="00080251"/>
    <w:rsid w:val="00080D01"/>
    <w:rsid w:val="00080E54"/>
    <w:rsid w:val="00081A6A"/>
    <w:rsid w:val="0008208D"/>
    <w:rsid w:val="00082308"/>
    <w:rsid w:val="00082AF7"/>
    <w:rsid w:val="00082B14"/>
    <w:rsid w:val="00084929"/>
    <w:rsid w:val="000850D6"/>
    <w:rsid w:val="000851FC"/>
    <w:rsid w:val="000855F4"/>
    <w:rsid w:val="00085C3A"/>
    <w:rsid w:val="000866D3"/>
    <w:rsid w:val="0008677E"/>
    <w:rsid w:val="00086BC4"/>
    <w:rsid w:val="000874DF"/>
    <w:rsid w:val="00087E56"/>
    <w:rsid w:val="00090232"/>
    <w:rsid w:val="000904AA"/>
    <w:rsid w:val="00091F5A"/>
    <w:rsid w:val="0009208B"/>
    <w:rsid w:val="0009238E"/>
    <w:rsid w:val="000939DA"/>
    <w:rsid w:val="00093BF9"/>
    <w:rsid w:val="00094A3F"/>
    <w:rsid w:val="00095FC9"/>
    <w:rsid w:val="00096219"/>
    <w:rsid w:val="00096FF3"/>
    <w:rsid w:val="000A0550"/>
    <w:rsid w:val="000A2F5C"/>
    <w:rsid w:val="000A2FF0"/>
    <w:rsid w:val="000A3014"/>
    <w:rsid w:val="000A34C7"/>
    <w:rsid w:val="000A539E"/>
    <w:rsid w:val="000A72C3"/>
    <w:rsid w:val="000A7D7E"/>
    <w:rsid w:val="000B0074"/>
    <w:rsid w:val="000B0DA3"/>
    <w:rsid w:val="000B1507"/>
    <w:rsid w:val="000B200B"/>
    <w:rsid w:val="000B25EB"/>
    <w:rsid w:val="000B25FF"/>
    <w:rsid w:val="000B284A"/>
    <w:rsid w:val="000B30A3"/>
    <w:rsid w:val="000B3A2F"/>
    <w:rsid w:val="000B3E55"/>
    <w:rsid w:val="000B41C6"/>
    <w:rsid w:val="000B49C4"/>
    <w:rsid w:val="000B55DC"/>
    <w:rsid w:val="000B5F82"/>
    <w:rsid w:val="000B6B6C"/>
    <w:rsid w:val="000B6D6C"/>
    <w:rsid w:val="000B709F"/>
    <w:rsid w:val="000B7D0F"/>
    <w:rsid w:val="000C0B17"/>
    <w:rsid w:val="000C198B"/>
    <w:rsid w:val="000C1BA2"/>
    <w:rsid w:val="000C1E5F"/>
    <w:rsid w:val="000C3A73"/>
    <w:rsid w:val="000C5271"/>
    <w:rsid w:val="000C5888"/>
    <w:rsid w:val="000C63B7"/>
    <w:rsid w:val="000C6B6B"/>
    <w:rsid w:val="000C6C05"/>
    <w:rsid w:val="000C6C19"/>
    <w:rsid w:val="000D016C"/>
    <w:rsid w:val="000D179A"/>
    <w:rsid w:val="000D1C11"/>
    <w:rsid w:val="000D2CCA"/>
    <w:rsid w:val="000D4032"/>
    <w:rsid w:val="000D4140"/>
    <w:rsid w:val="000D4A8F"/>
    <w:rsid w:val="000D4DCB"/>
    <w:rsid w:val="000D5615"/>
    <w:rsid w:val="000D57F0"/>
    <w:rsid w:val="000D5EF0"/>
    <w:rsid w:val="000D67B4"/>
    <w:rsid w:val="000D6DDD"/>
    <w:rsid w:val="000E0446"/>
    <w:rsid w:val="000E0DD1"/>
    <w:rsid w:val="000E20D9"/>
    <w:rsid w:val="000E30B9"/>
    <w:rsid w:val="000E339F"/>
    <w:rsid w:val="000E5A85"/>
    <w:rsid w:val="000F0A49"/>
    <w:rsid w:val="000F0B3E"/>
    <w:rsid w:val="000F1AF0"/>
    <w:rsid w:val="000F28B7"/>
    <w:rsid w:val="000F2D7D"/>
    <w:rsid w:val="000F30E9"/>
    <w:rsid w:val="000F3E4A"/>
    <w:rsid w:val="000F4091"/>
    <w:rsid w:val="000F4767"/>
    <w:rsid w:val="000F501D"/>
    <w:rsid w:val="000F53E2"/>
    <w:rsid w:val="000F5D44"/>
    <w:rsid w:val="000F61A3"/>
    <w:rsid w:val="000F7691"/>
    <w:rsid w:val="00100249"/>
    <w:rsid w:val="001011A4"/>
    <w:rsid w:val="00101372"/>
    <w:rsid w:val="001018E8"/>
    <w:rsid w:val="00101B9A"/>
    <w:rsid w:val="00101BB0"/>
    <w:rsid w:val="00102809"/>
    <w:rsid w:val="00102C05"/>
    <w:rsid w:val="00102E24"/>
    <w:rsid w:val="001031A6"/>
    <w:rsid w:val="0010340C"/>
    <w:rsid w:val="0010391C"/>
    <w:rsid w:val="00104073"/>
    <w:rsid w:val="0010439A"/>
    <w:rsid w:val="00104D08"/>
    <w:rsid w:val="00104D86"/>
    <w:rsid w:val="00105981"/>
    <w:rsid w:val="00105D65"/>
    <w:rsid w:val="001065FF"/>
    <w:rsid w:val="001066C1"/>
    <w:rsid w:val="00106BE5"/>
    <w:rsid w:val="00107561"/>
    <w:rsid w:val="00107B80"/>
    <w:rsid w:val="00107F72"/>
    <w:rsid w:val="0011177C"/>
    <w:rsid w:val="00112C1A"/>
    <w:rsid w:val="00113C98"/>
    <w:rsid w:val="001143EE"/>
    <w:rsid w:val="00114807"/>
    <w:rsid w:val="0011485C"/>
    <w:rsid w:val="00116479"/>
    <w:rsid w:val="00116C62"/>
    <w:rsid w:val="00116E62"/>
    <w:rsid w:val="00120267"/>
    <w:rsid w:val="001203D5"/>
    <w:rsid w:val="001206B8"/>
    <w:rsid w:val="00120886"/>
    <w:rsid w:val="00121116"/>
    <w:rsid w:val="00121353"/>
    <w:rsid w:val="001219D3"/>
    <w:rsid w:val="00122432"/>
    <w:rsid w:val="00122A9C"/>
    <w:rsid w:val="001236C2"/>
    <w:rsid w:val="00124745"/>
    <w:rsid w:val="00124850"/>
    <w:rsid w:val="00124F5A"/>
    <w:rsid w:val="001252C6"/>
    <w:rsid w:val="001259E3"/>
    <w:rsid w:val="001260D5"/>
    <w:rsid w:val="00126F6C"/>
    <w:rsid w:val="001270B6"/>
    <w:rsid w:val="00130350"/>
    <w:rsid w:val="00130D33"/>
    <w:rsid w:val="001313D5"/>
    <w:rsid w:val="00132357"/>
    <w:rsid w:val="00132557"/>
    <w:rsid w:val="00132928"/>
    <w:rsid w:val="00135677"/>
    <w:rsid w:val="0013770C"/>
    <w:rsid w:val="001402C2"/>
    <w:rsid w:val="00140883"/>
    <w:rsid w:val="0014181A"/>
    <w:rsid w:val="001419C6"/>
    <w:rsid w:val="00141B78"/>
    <w:rsid w:val="0014297C"/>
    <w:rsid w:val="00142EE0"/>
    <w:rsid w:val="001430F5"/>
    <w:rsid w:val="001441F9"/>
    <w:rsid w:val="001446D8"/>
    <w:rsid w:val="00145838"/>
    <w:rsid w:val="0014613A"/>
    <w:rsid w:val="00146789"/>
    <w:rsid w:val="0014702E"/>
    <w:rsid w:val="00147232"/>
    <w:rsid w:val="00147369"/>
    <w:rsid w:val="00147BD8"/>
    <w:rsid w:val="001505C4"/>
    <w:rsid w:val="00151654"/>
    <w:rsid w:val="00151AB7"/>
    <w:rsid w:val="00152C73"/>
    <w:rsid w:val="0015311C"/>
    <w:rsid w:val="00153529"/>
    <w:rsid w:val="001543F6"/>
    <w:rsid w:val="00154532"/>
    <w:rsid w:val="001547B2"/>
    <w:rsid w:val="00155068"/>
    <w:rsid w:val="00155B2A"/>
    <w:rsid w:val="001565F8"/>
    <w:rsid w:val="0015685D"/>
    <w:rsid w:val="00160A23"/>
    <w:rsid w:val="001623CC"/>
    <w:rsid w:val="0016246F"/>
    <w:rsid w:val="001624A5"/>
    <w:rsid w:val="00162C37"/>
    <w:rsid w:val="001634FE"/>
    <w:rsid w:val="0016493A"/>
    <w:rsid w:val="00164F73"/>
    <w:rsid w:val="0016514F"/>
    <w:rsid w:val="00165847"/>
    <w:rsid w:val="00165F80"/>
    <w:rsid w:val="001662CA"/>
    <w:rsid w:val="001664C3"/>
    <w:rsid w:val="00166B7B"/>
    <w:rsid w:val="001714A2"/>
    <w:rsid w:val="00171BA5"/>
    <w:rsid w:val="00171DAF"/>
    <w:rsid w:val="0017234C"/>
    <w:rsid w:val="00173E92"/>
    <w:rsid w:val="00175A01"/>
    <w:rsid w:val="00175AC8"/>
    <w:rsid w:val="00176246"/>
    <w:rsid w:val="00176536"/>
    <w:rsid w:val="001767DF"/>
    <w:rsid w:val="00176CF6"/>
    <w:rsid w:val="00176EB7"/>
    <w:rsid w:val="00180239"/>
    <w:rsid w:val="00181BAB"/>
    <w:rsid w:val="001820C1"/>
    <w:rsid w:val="0018226F"/>
    <w:rsid w:val="00182ECA"/>
    <w:rsid w:val="00183199"/>
    <w:rsid w:val="001833D5"/>
    <w:rsid w:val="00184923"/>
    <w:rsid w:val="00184D52"/>
    <w:rsid w:val="00185BBD"/>
    <w:rsid w:val="00185C5C"/>
    <w:rsid w:val="001872C9"/>
    <w:rsid w:val="00187495"/>
    <w:rsid w:val="00187BD6"/>
    <w:rsid w:val="00190014"/>
    <w:rsid w:val="001900E6"/>
    <w:rsid w:val="0019021E"/>
    <w:rsid w:val="001903D7"/>
    <w:rsid w:val="00190843"/>
    <w:rsid w:val="00190C50"/>
    <w:rsid w:val="001916A1"/>
    <w:rsid w:val="001916A2"/>
    <w:rsid w:val="00191E6C"/>
    <w:rsid w:val="001921B0"/>
    <w:rsid w:val="001939FA"/>
    <w:rsid w:val="00194079"/>
    <w:rsid w:val="001946B4"/>
    <w:rsid w:val="00194759"/>
    <w:rsid w:val="001947F4"/>
    <w:rsid w:val="00194D63"/>
    <w:rsid w:val="0019509B"/>
    <w:rsid w:val="001957B2"/>
    <w:rsid w:val="001960E6"/>
    <w:rsid w:val="0019719E"/>
    <w:rsid w:val="001977CE"/>
    <w:rsid w:val="001A0238"/>
    <w:rsid w:val="001A048F"/>
    <w:rsid w:val="001A09B1"/>
    <w:rsid w:val="001A1495"/>
    <w:rsid w:val="001A1506"/>
    <w:rsid w:val="001A1CAF"/>
    <w:rsid w:val="001A2A18"/>
    <w:rsid w:val="001A3E92"/>
    <w:rsid w:val="001A4001"/>
    <w:rsid w:val="001A6172"/>
    <w:rsid w:val="001A66FD"/>
    <w:rsid w:val="001B2A94"/>
    <w:rsid w:val="001B3233"/>
    <w:rsid w:val="001B34D0"/>
    <w:rsid w:val="001B35B4"/>
    <w:rsid w:val="001B3E4E"/>
    <w:rsid w:val="001B3EC2"/>
    <w:rsid w:val="001B4058"/>
    <w:rsid w:val="001B5C54"/>
    <w:rsid w:val="001B5F0C"/>
    <w:rsid w:val="001B6114"/>
    <w:rsid w:val="001B72FF"/>
    <w:rsid w:val="001B784A"/>
    <w:rsid w:val="001B7978"/>
    <w:rsid w:val="001C015C"/>
    <w:rsid w:val="001C1A35"/>
    <w:rsid w:val="001C1E51"/>
    <w:rsid w:val="001C23B6"/>
    <w:rsid w:val="001C36F2"/>
    <w:rsid w:val="001C38EE"/>
    <w:rsid w:val="001C41FF"/>
    <w:rsid w:val="001C6238"/>
    <w:rsid w:val="001C6692"/>
    <w:rsid w:val="001C6FC2"/>
    <w:rsid w:val="001C7043"/>
    <w:rsid w:val="001C7376"/>
    <w:rsid w:val="001C7DC7"/>
    <w:rsid w:val="001D0606"/>
    <w:rsid w:val="001D0829"/>
    <w:rsid w:val="001D113B"/>
    <w:rsid w:val="001D2ED3"/>
    <w:rsid w:val="001D36BC"/>
    <w:rsid w:val="001D393D"/>
    <w:rsid w:val="001D3B7B"/>
    <w:rsid w:val="001D3F3F"/>
    <w:rsid w:val="001D47AE"/>
    <w:rsid w:val="001D48D9"/>
    <w:rsid w:val="001D497A"/>
    <w:rsid w:val="001D4E53"/>
    <w:rsid w:val="001D5698"/>
    <w:rsid w:val="001D5CAE"/>
    <w:rsid w:val="001D5F5F"/>
    <w:rsid w:val="001E0583"/>
    <w:rsid w:val="001E069C"/>
    <w:rsid w:val="001E0C95"/>
    <w:rsid w:val="001E10E9"/>
    <w:rsid w:val="001E1661"/>
    <w:rsid w:val="001E19B7"/>
    <w:rsid w:val="001E1EE6"/>
    <w:rsid w:val="001E3B79"/>
    <w:rsid w:val="001E41F1"/>
    <w:rsid w:val="001E5609"/>
    <w:rsid w:val="001E571F"/>
    <w:rsid w:val="001E5890"/>
    <w:rsid w:val="001E5B0C"/>
    <w:rsid w:val="001E755C"/>
    <w:rsid w:val="001E768B"/>
    <w:rsid w:val="001E7B23"/>
    <w:rsid w:val="001E7F26"/>
    <w:rsid w:val="001F13CF"/>
    <w:rsid w:val="001F1EAA"/>
    <w:rsid w:val="001F3D60"/>
    <w:rsid w:val="001F4497"/>
    <w:rsid w:val="001F4931"/>
    <w:rsid w:val="001F49F6"/>
    <w:rsid w:val="001F4EA1"/>
    <w:rsid w:val="001F505D"/>
    <w:rsid w:val="001F59C0"/>
    <w:rsid w:val="0020000E"/>
    <w:rsid w:val="002013E6"/>
    <w:rsid w:val="002026C5"/>
    <w:rsid w:val="002028E6"/>
    <w:rsid w:val="00202D14"/>
    <w:rsid w:val="002036D5"/>
    <w:rsid w:val="00203A9C"/>
    <w:rsid w:val="002041A0"/>
    <w:rsid w:val="00204963"/>
    <w:rsid w:val="00204BA2"/>
    <w:rsid w:val="002069A1"/>
    <w:rsid w:val="002078C8"/>
    <w:rsid w:val="00207B5A"/>
    <w:rsid w:val="00210131"/>
    <w:rsid w:val="00210873"/>
    <w:rsid w:val="00210F1C"/>
    <w:rsid w:val="00211975"/>
    <w:rsid w:val="00211B5E"/>
    <w:rsid w:val="00212459"/>
    <w:rsid w:val="002125BC"/>
    <w:rsid w:val="0021334A"/>
    <w:rsid w:val="00213B1C"/>
    <w:rsid w:val="002144C0"/>
    <w:rsid w:val="00215BC9"/>
    <w:rsid w:val="00215ED3"/>
    <w:rsid w:val="0021760F"/>
    <w:rsid w:val="002200EB"/>
    <w:rsid w:val="00220680"/>
    <w:rsid w:val="00220DDE"/>
    <w:rsid w:val="0022121D"/>
    <w:rsid w:val="00222C02"/>
    <w:rsid w:val="002235AE"/>
    <w:rsid w:val="002237FA"/>
    <w:rsid w:val="00223A59"/>
    <w:rsid w:val="00223D77"/>
    <w:rsid w:val="002240DA"/>
    <w:rsid w:val="00224561"/>
    <w:rsid w:val="00224765"/>
    <w:rsid w:val="00225F1A"/>
    <w:rsid w:val="00226DE9"/>
    <w:rsid w:val="002275E0"/>
    <w:rsid w:val="002303BF"/>
    <w:rsid w:val="00230E7D"/>
    <w:rsid w:val="00231E50"/>
    <w:rsid w:val="00232753"/>
    <w:rsid w:val="00233436"/>
    <w:rsid w:val="00233675"/>
    <w:rsid w:val="00235F16"/>
    <w:rsid w:val="002363EF"/>
    <w:rsid w:val="002364A5"/>
    <w:rsid w:val="0023749B"/>
    <w:rsid w:val="002375E8"/>
    <w:rsid w:val="002400C7"/>
    <w:rsid w:val="002415BA"/>
    <w:rsid w:val="002416E9"/>
    <w:rsid w:val="00242186"/>
    <w:rsid w:val="002429BF"/>
    <w:rsid w:val="00244823"/>
    <w:rsid w:val="00245029"/>
    <w:rsid w:val="002450E9"/>
    <w:rsid w:val="002454D3"/>
    <w:rsid w:val="00247CA3"/>
    <w:rsid w:val="00250814"/>
    <w:rsid w:val="002513C3"/>
    <w:rsid w:val="0025187E"/>
    <w:rsid w:val="0025289E"/>
    <w:rsid w:val="00252F51"/>
    <w:rsid w:val="0025436A"/>
    <w:rsid w:val="00254570"/>
    <w:rsid w:val="00254C03"/>
    <w:rsid w:val="00254F34"/>
    <w:rsid w:val="002551BA"/>
    <w:rsid w:val="0025745B"/>
    <w:rsid w:val="00257550"/>
    <w:rsid w:val="00257DB1"/>
    <w:rsid w:val="002604DD"/>
    <w:rsid w:val="00260CAB"/>
    <w:rsid w:val="00260D99"/>
    <w:rsid w:val="00261C22"/>
    <w:rsid w:val="0026205E"/>
    <w:rsid w:val="0026242D"/>
    <w:rsid w:val="00262489"/>
    <w:rsid w:val="00263219"/>
    <w:rsid w:val="00263229"/>
    <w:rsid w:val="0026329B"/>
    <w:rsid w:val="0026368A"/>
    <w:rsid w:val="0026383B"/>
    <w:rsid w:val="002642AE"/>
    <w:rsid w:val="00265AAB"/>
    <w:rsid w:val="00266291"/>
    <w:rsid w:val="00266542"/>
    <w:rsid w:val="00266583"/>
    <w:rsid w:val="002668BB"/>
    <w:rsid w:val="00267AB8"/>
    <w:rsid w:val="0027020D"/>
    <w:rsid w:val="00271E91"/>
    <w:rsid w:val="0027269F"/>
    <w:rsid w:val="0027280D"/>
    <w:rsid w:val="00272B34"/>
    <w:rsid w:val="00272BA0"/>
    <w:rsid w:val="00273026"/>
    <w:rsid w:val="00273561"/>
    <w:rsid w:val="00274102"/>
    <w:rsid w:val="00274793"/>
    <w:rsid w:val="0027494C"/>
    <w:rsid w:val="00276158"/>
    <w:rsid w:val="0027705C"/>
    <w:rsid w:val="0027716B"/>
    <w:rsid w:val="00280A32"/>
    <w:rsid w:val="002812C6"/>
    <w:rsid w:val="0028224F"/>
    <w:rsid w:val="002825EF"/>
    <w:rsid w:val="00282AF1"/>
    <w:rsid w:val="00282EAB"/>
    <w:rsid w:val="00283369"/>
    <w:rsid w:val="00283A52"/>
    <w:rsid w:val="002854BA"/>
    <w:rsid w:val="002860B7"/>
    <w:rsid w:val="00287174"/>
    <w:rsid w:val="0029147F"/>
    <w:rsid w:val="002917C7"/>
    <w:rsid w:val="0029366E"/>
    <w:rsid w:val="00293919"/>
    <w:rsid w:val="00293AED"/>
    <w:rsid w:val="00293BBE"/>
    <w:rsid w:val="00293D3A"/>
    <w:rsid w:val="00294AD7"/>
    <w:rsid w:val="0029563E"/>
    <w:rsid w:val="002959B7"/>
    <w:rsid w:val="002960E1"/>
    <w:rsid w:val="002967E5"/>
    <w:rsid w:val="00297030"/>
    <w:rsid w:val="00297686"/>
    <w:rsid w:val="00297D50"/>
    <w:rsid w:val="00297E8C"/>
    <w:rsid w:val="002A06F1"/>
    <w:rsid w:val="002A0F3D"/>
    <w:rsid w:val="002A1DD5"/>
    <w:rsid w:val="002A28F7"/>
    <w:rsid w:val="002A41AC"/>
    <w:rsid w:val="002A4CA7"/>
    <w:rsid w:val="002A54D9"/>
    <w:rsid w:val="002A5809"/>
    <w:rsid w:val="002A5F90"/>
    <w:rsid w:val="002A6146"/>
    <w:rsid w:val="002A65D3"/>
    <w:rsid w:val="002A675D"/>
    <w:rsid w:val="002A6E22"/>
    <w:rsid w:val="002A7660"/>
    <w:rsid w:val="002A79EB"/>
    <w:rsid w:val="002B04F4"/>
    <w:rsid w:val="002B0C47"/>
    <w:rsid w:val="002B0E31"/>
    <w:rsid w:val="002B16E7"/>
    <w:rsid w:val="002B1DB7"/>
    <w:rsid w:val="002B1F63"/>
    <w:rsid w:val="002B3192"/>
    <w:rsid w:val="002B391D"/>
    <w:rsid w:val="002B445B"/>
    <w:rsid w:val="002B4E9F"/>
    <w:rsid w:val="002B52D9"/>
    <w:rsid w:val="002B5A65"/>
    <w:rsid w:val="002B72F8"/>
    <w:rsid w:val="002C0414"/>
    <w:rsid w:val="002C06C1"/>
    <w:rsid w:val="002C13F5"/>
    <w:rsid w:val="002C1656"/>
    <w:rsid w:val="002C2C4E"/>
    <w:rsid w:val="002C32C8"/>
    <w:rsid w:val="002C3CFF"/>
    <w:rsid w:val="002C40FB"/>
    <w:rsid w:val="002C447F"/>
    <w:rsid w:val="002C5366"/>
    <w:rsid w:val="002C53B8"/>
    <w:rsid w:val="002C568F"/>
    <w:rsid w:val="002C5D50"/>
    <w:rsid w:val="002C66E9"/>
    <w:rsid w:val="002C7097"/>
    <w:rsid w:val="002C747D"/>
    <w:rsid w:val="002C7890"/>
    <w:rsid w:val="002D0411"/>
    <w:rsid w:val="002D2FA7"/>
    <w:rsid w:val="002D2FE8"/>
    <w:rsid w:val="002D38D3"/>
    <w:rsid w:val="002D45D9"/>
    <w:rsid w:val="002D4635"/>
    <w:rsid w:val="002D4D92"/>
    <w:rsid w:val="002D5338"/>
    <w:rsid w:val="002D5C00"/>
    <w:rsid w:val="002D5C15"/>
    <w:rsid w:val="002D728F"/>
    <w:rsid w:val="002D7857"/>
    <w:rsid w:val="002E05D8"/>
    <w:rsid w:val="002E0B0F"/>
    <w:rsid w:val="002E0ED3"/>
    <w:rsid w:val="002E1B83"/>
    <w:rsid w:val="002E22DB"/>
    <w:rsid w:val="002E25B4"/>
    <w:rsid w:val="002E2B8A"/>
    <w:rsid w:val="002E4721"/>
    <w:rsid w:val="002E474F"/>
    <w:rsid w:val="002E4F5F"/>
    <w:rsid w:val="002E5363"/>
    <w:rsid w:val="002E56B5"/>
    <w:rsid w:val="002E5AAC"/>
    <w:rsid w:val="002E602F"/>
    <w:rsid w:val="002E72E7"/>
    <w:rsid w:val="002E7503"/>
    <w:rsid w:val="002E76DB"/>
    <w:rsid w:val="002F0F5A"/>
    <w:rsid w:val="002F0FFA"/>
    <w:rsid w:val="002F1808"/>
    <w:rsid w:val="002F1896"/>
    <w:rsid w:val="002F1B3F"/>
    <w:rsid w:val="002F1F9B"/>
    <w:rsid w:val="002F2524"/>
    <w:rsid w:val="002F2FF2"/>
    <w:rsid w:val="002F3368"/>
    <w:rsid w:val="002F44BA"/>
    <w:rsid w:val="002F4996"/>
    <w:rsid w:val="002F4ED2"/>
    <w:rsid w:val="002F5E28"/>
    <w:rsid w:val="002F61D3"/>
    <w:rsid w:val="002F633D"/>
    <w:rsid w:val="002F6C53"/>
    <w:rsid w:val="002F6E18"/>
    <w:rsid w:val="002F7F6E"/>
    <w:rsid w:val="00300357"/>
    <w:rsid w:val="003004CB"/>
    <w:rsid w:val="003012DF"/>
    <w:rsid w:val="0030227C"/>
    <w:rsid w:val="003038D5"/>
    <w:rsid w:val="00303B0E"/>
    <w:rsid w:val="00303DB0"/>
    <w:rsid w:val="0030470B"/>
    <w:rsid w:val="00304A18"/>
    <w:rsid w:val="00306D07"/>
    <w:rsid w:val="00306F27"/>
    <w:rsid w:val="00307B57"/>
    <w:rsid w:val="003100D0"/>
    <w:rsid w:val="003102BE"/>
    <w:rsid w:val="00312843"/>
    <w:rsid w:val="00312F22"/>
    <w:rsid w:val="003136D3"/>
    <w:rsid w:val="00313850"/>
    <w:rsid w:val="00314721"/>
    <w:rsid w:val="00316851"/>
    <w:rsid w:val="003174E7"/>
    <w:rsid w:val="0031769A"/>
    <w:rsid w:val="00317D0D"/>
    <w:rsid w:val="00320062"/>
    <w:rsid w:val="003200A3"/>
    <w:rsid w:val="00320759"/>
    <w:rsid w:val="003211D2"/>
    <w:rsid w:val="0032144C"/>
    <w:rsid w:val="0032169C"/>
    <w:rsid w:val="00322F2D"/>
    <w:rsid w:val="003234C9"/>
    <w:rsid w:val="00323521"/>
    <w:rsid w:val="00323934"/>
    <w:rsid w:val="00324710"/>
    <w:rsid w:val="00325C09"/>
    <w:rsid w:val="00325F05"/>
    <w:rsid w:val="00326C6F"/>
    <w:rsid w:val="00326C84"/>
    <w:rsid w:val="003274DE"/>
    <w:rsid w:val="00331A6A"/>
    <w:rsid w:val="00331AAA"/>
    <w:rsid w:val="00331AF4"/>
    <w:rsid w:val="00332002"/>
    <w:rsid w:val="003320F2"/>
    <w:rsid w:val="00332287"/>
    <w:rsid w:val="00332AC7"/>
    <w:rsid w:val="00332B66"/>
    <w:rsid w:val="0033380D"/>
    <w:rsid w:val="00333A41"/>
    <w:rsid w:val="003345C8"/>
    <w:rsid w:val="003349B3"/>
    <w:rsid w:val="00335ADD"/>
    <w:rsid w:val="00335D62"/>
    <w:rsid w:val="00335F8C"/>
    <w:rsid w:val="00337800"/>
    <w:rsid w:val="0033787C"/>
    <w:rsid w:val="00337DC7"/>
    <w:rsid w:val="0034029E"/>
    <w:rsid w:val="003402EE"/>
    <w:rsid w:val="003403AB"/>
    <w:rsid w:val="00340EE5"/>
    <w:rsid w:val="00341C98"/>
    <w:rsid w:val="0034230F"/>
    <w:rsid w:val="00342A79"/>
    <w:rsid w:val="00342BE2"/>
    <w:rsid w:val="00343041"/>
    <w:rsid w:val="003442B7"/>
    <w:rsid w:val="0034442E"/>
    <w:rsid w:val="00345B47"/>
    <w:rsid w:val="0034638F"/>
    <w:rsid w:val="003465E7"/>
    <w:rsid w:val="00347C26"/>
    <w:rsid w:val="00347E61"/>
    <w:rsid w:val="003500EE"/>
    <w:rsid w:val="003505BB"/>
    <w:rsid w:val="00350ED7"/>
    <w:rsid w:val="0035253D"/>
    <w:rsid w:val="0035263D"/>
    <w:rsid w:val="00353BD0"/>
    <w:rsid w:val="00354518"/>
    <w:rsid w:val="00354E2B"/>
    <w:rsid w:val="00355A71"/>
    <w:rsid w:val="003560DF"/>
    <w:rsid w:val="00356359"/>
    <w:rsid w:val="00356365"/>
    <w:rsid w:val="003606CC"/>
    <w:rsid w:val="00360C06"/>
    <w:rsid w:val="00362815"/>
    <w:rsid w:val="0036322E"/>
    <w:rsid w:val="003636BD"/>
    <w:rsid w:val="00363760"/>
    <w:rsid w:val="00364A6D"/>
    <w:rsid w:val="003654EE"/>
    <w:rsid w:val="003660B6"/>
    <w:rsid w:val="00366708"/>
    <w:rsid w:val="00366FF5"/>
    <w:rsid w:val="00367234"/>
    <w:rsid w:val="00367E2E"/>
    <w:rsid w:val="00367FC0"/>
    <w:rsid w:val="00370017"/>
    <w:rsid w:val="00370437"/>
    <w:rsid w:val="00370C6B"/>
    <w:rsid w:val="00370D41"/>
    <w:rsid w:val="00371B8B"/>
    <w:rsid w:val="0037227A"/>
    <w:rsid w:val="00372449"/>
    <w:rsid w:val="0037301E"/>
    <w:rsid w:val="00373A36"/>
    <w:rsid w:val="00373E1F"/>
    <w:rsid w:val="003743AB"/>
    <w:rsid w:val="00374FE0"/>
    <w:rsid w:val="003756DC"/>
    <w:rsid w:val="00375B4B"/>
    <w:rsid w:val="00376162"/>
    <w:rsid w:val="0037679C"/>
    <w:rsid w:val="00376A5A"/>
    <w:rsid w:val="003774CE"/>
    <w:rsid w:val="0037776B"/>
    <w:rsid w:val="00380135"/>
    <w:rsid w:val="00380709"/>
    <w:rsid w:val="00382303"/>
    <w:rsid w:val="003828F7"/>
    <w:rsid w:val="00382B3D"/>
    <w:rsid w:val="00383014"/>
    <w:rsid w:val="00383E42"/>
    <w:rsid w:val="003843A6"/>
    <w:rsid w:val="0038441D"/>
    <w:rsid w:val="00384A08"/>
    <w:rsid w:val="00384CDF"/>
    <w:rsid w:val="00385439"/>
    <w:rsid w:val="00387EA7"/>
    <w:rsid w:val="00387F47"/>
    <w:rsid w:val="0039072F"/>
    <w:rsid w:val="00391B13"/>
    <w:rsid w:val="0039217A"/>
    <w:rsid w:val="00392F4E"/>
    <w:rsid w:val="00393B93"/>
    <w:rsid w:val="00393DE8"/>
    <w:rsid w:val="00394DDF"/>
    <w:rsid w:val="0039566B"/>
    <w:rsid w:val="0039607F"/>
    <w:rsid w:val="003969BE"/>
    <w:rsid w:val="00396BA6"/>
    <w:rsid w:val="003A07A1"/>
    <w:rsid w:val="003A0D3D"/>
    <w:rsid w:val="003A2400"/>
    <w:rsid w:val="003A2569"/>
    <w:rsid w:val="003A294D"/>
    <w:rsid w:val="003A3AC0"/>
    <w:rsid w:val="003A3C2C"/>
    <w:rsid w:val="003A41A8"/>
    <w:rsid w:val="003A4A2C"/>
    <w:rsid w:val="003A540E"/>
    <w:rsid w:val="003A5D44"/>
    <w:rsid w:val="003A60D4"/>
    <w:rsid w:val="003A7199"/>
    <w:rsid w:val="003A7AF3"/>
    <w:rsid w:val="003B144A"/>
    <w:rsid w:val="003B16AE"/>
    <w:rsid w:val="003B1C93"/>
    <w:rsid w:val="003B2B0E"/>
    <w:rsid w:val="003B2D25"/>
    <w:rsid w:val="003B4C83"/>
    <w:rsid w:val="003B4C91"/>
    <w:rsid w:val="003B4D8F"/>
    <w:rsid w:val="003B57AE"/>
    <w:rsid w:val="003B61E0"/>
    <w:rsid w:val="003B64A6"/>
    <w:rsid w:val="003B6ACD"/>
    <w:rsid w:val="003B791E"/>
    <w:rsid w:val="003C02CC"/>
    <w:rsid w:val="003C04D8"/>
    <w:rsid w:val="003C07BF"/>
    <w:rsid w:val="003C1B18"/>
    <w:rsid w:val="003C23E5"/>
    <w:rsid w:val="003C3462"/>
    <w:rsid w:val="003C3576"/>
    <w:rsid w:val="003C38EE"/>
    <w:rsid w:val="003C3BE0"/>
    <w:rsid w:val="003C424C"/>
    <w:rsid w:val="003C6C56"/>
    <w:rsid w:val="003C6DD9"/>
    <w:rsid w:val="003D00B6"/>
    <w:rsid w:val="003D01EF"/>
    <w:rsid w:val="003D08C4"/>
    <w:rsid w:val="003D0C34"/>
    <w:rsid w:val="003D1265"/>
    <w:rsid w:val="003D1573"/>
    <w:rsid w:val="003D1D61"/>
    <w:rsid w:val="003D2574"/>
    <w:rsid w:val="003D2C41"/>
    <w:rsid w:val="003D3062"/>
    <w:rsid w:val="003D419D"/>
    <w:rsid w:val="003D5350"/>
    <w:rsid w:val="003D695A"/>
    <w:rsid w:val="003D7313"/>
    <w:rsid w:val="003D762E"/>
    <w:rsid w:val="003E04E8"/>
    <w:rsid w:val="003E09D7"/>
    <w:rsid w:val="003E0DC4"/>
    <w:rsid w:val="003E31EC"/>
    <w:rsid w:val="003E33F8"/>
    <w:rsid w:val="003E3484"/>
    <w:rsid w:val="003E3839"/>
    <w:rsid w:val="003E3E95"/>
    <w:rsid w:val="003E44F8"/>
    <w:rsid w:val="003E47AA"/>
    <w:rsid w:val="003E6F0C"/>
    <w:rsid w:val="003F0149"/>
    <w:rsid w:val="003F1539"/>
    <w:rsid w:val="003F204A"/>
    <w:rsid w:val="003F20CD"/>
    <w:rsid w:val="003F2AE6"/>
    <w:rsid w:val="003F2CBF"/>
    <w:rsid w:val="003F3DE1"/>
    <w:rsid w:val="003F49DD"/>
    <w:rsid w:val="003F4A80"/>
    <w:rsid w:val="003F4D51"/>
    <w:rsid w:val="003F68D9"/>
    <w:rsid w:val="003F6D2E"/>
    <w:rsid w:val="003F6E69"/>
    <w:rsid w:val="003F70C4"/>
    <w:rsid w:val="003F7718"/>
    <w:rsid w:val="0040044D"/>
    <w:rsid w:val="00401219"/>
    <w:rsid w:val="00401B20"/>
    <w:rsid w:val="0040254A"/>
    <w:rsid w:val="0040451B"/>
    <w:rsid w:val="00404BEA"/>
    <w:rsid w:val="00405651"/>
    <w:rsid w:val="00406150"/>
    <w:rsid w:val="0040724A"/>
    <w:rsid w:val="00407622"/>
    <w:rsid w:val="00410375"/>
    <w:rsid w:val="00410A01"/>
    <w:rsid w:val="004111D6"/>
    <w:rsid w:val="00413065"/>
    <w:rsid w:val="00413254"/>
    <w:rsid w:val="0041330A"/>
    <w:rsid w:val="00415028"/>
    <w:rsid w:val="00415E90"/>
    <w:rsid w:val="00415EAE"/>
    <w:rsid w:val="00416457"/>
    <w:rsid w:val="004168FA"/>
    <w:rsid w:val="00416CB1"/>
    <w:rsid w:val="00417D96"/>
    <w:rsid w:val="00417F51"/>
    <w:rsid w:val="00421C2E"/>
    <w:rsid w:val="00422CC9"/>
    <w:rsid w:val="00422F6D"/>
    <w:rsid w:val="00423466"/>
    <w:rsid w:val="00424C47"/>
    <w:rsid w:val="00425AC9"/>
    <w:rsid w:val="00426B86"/>
    <w:rsid w:val="00427858"/>
    <w:rsid w:val="00431547"/>
    <w:rsid w:val="004327EC"/>
    <w:rsid w:val="0043332D"/>
    <w:rsid w:val="00433E69"/>
    <w:rsid w:val="004346CD"/>
    <w:rsid w:val="004356C5"/>
    <w:rsid w:val="00436809"/>
    <w:rsid w:val="00436BCE"/>
    <w:rsid w:val="00436EE4"/>
    <w:rsid w:val="004404D0"/>
    <w:rsid w:val="0044078D"/>
    <w:rsid w:val="004407F6"/>
    <w:rsid w:val="00440886"/>
    <w:rsid w:val="004411F0"/>
    <w:rsid w:val="004416DA"/>
    <w:rsid w:val="00441E17"/>
    <w:rsid w:val="0044209D"/>
    <w:rsid w:val="0044244A"/>
    <w:rsid w:val="00442D5D"/>
    <w:rsid w:val="00442DAC"/>
    <w:rsid w:val="00442F0C"/>
    <w:rsid w:val="004432FB"/>
    <w:rsid w:val="004433E8"/>
    <w:rsid w:val="00443A14"/>
    <w:rsid w:val="00443A7F"/>
    <w:rsid w:val="00443A96"/>
    <w:rsid w:val="00444026"/>
    <w:rsid w:val="004469D5"/>
    <w:rsid w:val="00446AEA"/>
    <w:rsid w:val="004509B5"/>
    <w:rsid w:val="00451351"/>
    <w:rsid w:val="0045167E"/>
    <w:rsid w:val="00451823"/>
    <w:rsid w:val="00451B01"/>
    <w:rsid w:val="004520A8"/>
    <w:rsid w:val="0045285C"/>
    <w:rsid w:val="0045399F"/>
    <w:rsid w:val="00453D77"/>
    <w:rsid w:val="004541CC"/>
    <w:rsid w:val="0045453E"/>
    <w:rsid w:val="0045486B"/>
    <w:rsid w:val="004549DF"/>
    <w:rsid w:val="0045595D"/>
    <w:rsid w:val="00456D0F"/>
    <w:rsid w:val="00457F90"/>
    <w:rsid w:val="0046057D"/>
    <w:rsid w:val="00460BAD"/>
    <w:rsid w:val="0046171F"/>
    <w:rsid w:val="004621A9"/>
    <w:rsid w:val="00462C56"/>
    <w:rsid w:val="0046322D"/>
    <w:rsid w:val="00463681"/>
    <w:rsid w:val="0046369E"/>
    <w:rsid w:val="00464395"/>
    <w:rsid w:val="004653CE"/>
    <w:rsid w:val="00465909"/>
    <w:rsid w:val="00465B80"/>
    <w:rsid w:val="00466286"/>
    <w:rsid w:val="0046675E"/>
    <w:rsid w:val="0046678A"/>
    <w:rsid w:val="00466F40"/>
    <w:rsid w:val="004677A9"/>
    <w:rsid w:val="0046782D"/>
    <w:rsid w:val="00467F9F"/>
    <w:rsid w:val="00470191"/>
    <w:rsid w:val="004701C1"/>
    <w:rsid w:val="0047054E"/>
    <w:rsid w:val="004711BD"/>
    <w:rsid w:val="00471509"/>
    <w:rsid w:val="00471F17"/>
    <w:rsid w:val="00473B99"/>
    <w:rsid w:val="00474652"/>
    <w:rsid w:val="004747D9"/>
    <w:rsid w:val="00474CBE"/>
    <w:rsid w:val="004760BE"/>
    <w:rsid w:val="00476814"/>
    <w:rsid w:val="0048022D"/>
    <w:rsid w:val="00480746"/>
    <w:rsid w:val="00480D6C"/>
    <w:rsid w:val="004814A9"/>
    <w:rsid w:val="00481787"/>
    <w:rsid w:val="004830F5"/>
    <w:rsid w:val="00483846"/>
    <w:rsid w:val="00483E5B"/>
    <w:rsid w:val="0048474E"/>
    <w:rsid w:val="00484CA9"/>
    <w:rsid w:val="004855ED"/>
    <w:rsid w:val="004861E7"/>
    <w:rsid w:val="004879DD"/>
    <w:rsid w:val="00487C67"/>
    <w:rsid w:val="00491200"/>
    <w:rsid w:val="00491896"/>
    <w:rsid w:val="00491996"/>
    <w:rsid w:val="00491C5C"/>
    <w:rsid w:val="0049236F"/>
    <w:rsid w:val="00492758"/>
    <w:rsid w:val="00493B9D"/>
    <w:rsid w:val="00493BC3"/>
    <w:rsid w:val="004956BA"/>
    <w:rsid w:val="004972F0"/>
    <w:rsid w:val="00497AF5"/>
    <w:rsid w:val="00497E0D"/>
    <w:rsid w:val="004A0106"/>
    <w:rsid w:val="004A0350"/>
    <w:rsid w:val="004A06B3"/>
    <w:rsid w:val="004A07DC"/>
    <w:rsid w:val="004A0AF0"/>
    <w:rsid w:val="004A0EF1"/>
    <w:rsid w:val="004A0FEF"/>
    <w:rsid w:val="004A2FAC"/>
    <w:rsid w:val="004A3206"/>
    <w:rsid w:val="004A44C7"/>
    <w:rsid w:val="004A4575"/>
    <w:rsid w:val="004A4727"/>
    <w:rsid w:val="004A4A9D"/>
    <w:rsid w:val="004A5FC7"/>
    <w:rsid w:val="004A6054"/>
    <w:rsid w:val="004A6092"/>
    <w:rsid w:val="004A6217"/>
    <w:rsid w:val="004A64C3"/>
    <w:rsid w:val="004A69C3"/>
    <w:rsid w:val="004A77C4"/>
    <w:rsid w:val="004A7866"/>
    <w:rsid w:val="004B12AD"/>
    <w:rsid w:val="004B226B"/>
    <w:rsid w:val="004B3128"/>
    <w:rsid w:val="004B356A"/>
    <w:rsid w:val="004B3A7B"/>
    <w:rsid w:val="004B3B33"/>
    <w:rsid w:val="004B5935"/>
    <w:rsid w:val="004B6B02"/>
    <w:rsid w:val="004B701A"/>
    <w:rsid w:val="004B73DA"/>
    <w:rsid w:val="004B7434"/>
    <w:rsid w:val="004B74BB"/>
    <w:rsid w:val="004B7FAC"/>
    <w:rsid w:val="004C0188"/>
    <w:rsid w:val="004C0884"/>
    <w:rsid w:val="004C0C8D"/>
    <w:rsid w:val="004C0CEC"/>
    <w:rsid w:val="004C12EA"/>
    <w:rsid w:val="004C177B"/>
    <w:rsid w:val="004C17D5"/>
    <w:rsid w:val="004C19EA"/>
    <w:rsid w:val="004C1EBE"/>
    <w:rsid w:val="004C2207"/>
    <w:rsid w:val="004C2285"/>
    <w:rsid w:val="004C2538"/>
    <w:rsid w:val="004C2836"/>
    <w:rsid w:val="004C2D94"/>
    <w:rsid w:val="004C39C7"/>
    <w:rsid w:val="004C4634"/>
    <w:rsid w:val="004C48EC"/>
    <w:rsid w:val="004C54A1"/>
    <w:rsid w:val="004C5959"/>
    <w:rsid w:val="004C63E6"/>
    <w:rsid w:val="004C6A25"/>
    <w:rsid w:val="004C726D"/>
    <w:rsid w:val="004D03C6"/>
    <w:rsid w:val="004D1909"/>
    <w:rsid w:val="004D3EE1"/>
    <w:rsid w:val="004D5A20"/>
    <w:rsid w:val="004D5EDA"/>
    <w:rsid w:val="004D6C12"/>
    <w:rsid w:val="004D722D"/>
    <w:rsid w:val="004D7F7C"/>
    <w:rsid w:val="004E1CCA"/>
    <w:rsid w:val="004E2F83"/>
    <w:rsid w:val="004E3AE5"/>
    <w:rsid w:val="004E5493"/>
    <w:rsid w:val="004E695B"/>
    <w:rsid w:val="004F0FF9"/>
    <w:rsid w:val="004F1055"/>
    <w:rsid w:val="004F137F"/>
    <w:rsid w:val="004F208C"/>
    <w:rsid w:val="004F2098"/>
    <w:rsid w:val="004F2221"/>
    <w:rsid w:val="004F3E69"/>
    <w:rsid w:val="004F41EE"/>
    <w:rsid w:val="004F49E5"/>
    <w:rsid w:val="004F5009"/>
    <w:rsid w:val="004F6326"/>
    <w:rsid w:val="004F65FA"/>
    <w:rsid w:val="004F69A5"/>
    <w:rsid w:val="004F6E4D"/>
    <w:rsid w:val="004F7785"/>
    <w:rsid w:val="005003FD"/>
    <w:rsid w:val="00500BA1"/>
    <w:rsid w:val="00501337"/>
    <w:rsid w:val="00501434"/>
    <w:rsid w:val="00501A81"/>
    <w:rsid w:val="00501D4A"/>
    <w:rsid w:val="00504D11"/>
    <w:rsid w:val="00504DB7"/>
    <w:rsid w:val="00504F83"/>
    <w:rsid w:val="0050525A"/>
    <w:rsid w:val="00506407"/>
    <w:rsid w:val="00506ED2"/>
    <w:rsid w:val="00506F36"/>
    <w:rsid w:val="00507C85"/>
    <w:rsid w:val="00510F62"/>
    <w:rsid w:val="0051160B"/>
    <w:rsid w:val="00511A70"/>
    <w:rsid w:val="00512810"/>
    <w:rsid w:val="00512EB1"/>
    <w:rsid w:val="0051332A"/>
    <w:rsid w:val="00513B5B"/>
    <w:rsid w:val="00516AA4"/>
    <w:rsid w:val="005173E3"/>
    <w:rsid w:val="00517AFB"/>
    <w:rsid w:val="0052063B"/>
    <w:rsid w:val="00520643"/>
    <w:rsid w:val="0052099A"/>
    <w:rsid w:val="0052141E"/>
    <w:rsid w:val="00522754"/>
    <w:rsid w:val="0052367C"/>
    <w:rsid w:val="00524076"/>
    <w:rsid w:val="005243A1"/>
    <w:rsid w:val="00524D3C"/>
    <w:rsid w:val="005250FA"/>
    <w:rsid w:val="00525E13"/>
    <w:rsid w:val="00526A4B"/>
    <w:rsid w:val="00526B7E"/>
    <w:rsid w:val="005275CB"/>
    <w:rsid w:val="0052786B"/>
    <w:rsid w:val="00527CD9"/>
    <w:rsid w:val="00530DF3"/>
    <w:rsid w:val="005310C0"/>
    <w:rsid w:val="0053179F"/>
    <w:rsid w:val="00531C6A"/>
    <w:rsid w:val="005321D0"/>
    <w:rsid w:val="00532F9F"/>
    <w:rsid w:val="00533922"/>
    <w:rsid w:val="0053542E"/>
    <w:rsid w:val="00535728"/>
    <w:rsid w:val="00535B47"/>
    <w:rsid w:val="00536D3B"/>
    <w:rsid w:val="00536F41"/>
    <w:rsid w:val="005400E9"/>
    <w:rsid w:val="005402E2"/>
    <w:rsid w:val="00540B9C"/>
    <w:rsid w:val="00541FA5"/>
    <w:rsid w:val="00542010"/>
    <w:rsid w:val="0054294E"/>
    <w:rsid w:val="00545105"/>
    <w:rsid w:val="00545F7A"/>
    <w:rsid w:val="005462D3"/>
    <w:rsid w:val="00546A81"/>
    <w:rsid w:val="005475EB"/>
    <w:rsid w:val="0054774A"/>
    <w:rsid w:val="00550761"/>
    <w:rsid w:val="005508BD"/>
    <w:rsid w:val="00550D82"/>
    <w:rsid w:val="0055145B"/>
    <w:rsid w:val="005514E5"/>
    <w:rsid w:val="0055186D"/>
    <w:rsid w:val="00552868"/>
    <w:rsid w:val="005534AB"/>
    <w:rsid w:val="0055352D"/>
    <w:rsid w:val="00553EBF"/>
    <w:rsid w:val="0055455B"/>
    <w:rsid w:val="00554B00"/>
    <w:rsid w:val="00555AB2"/>
    <w:rsid w:val="00555B24"/>
    <w:rsid w:val="0055616E"/>
    <w:rsid w:val="0055694C"/>
    <w:rsid w:val="0055741C"/>
    <w:rsid w:val="005574DE"/>
    <w:rsid w:val="00557573"/>
    <w:rsid w:val="005575D1"/>
    <w:rsid w:val="005578E0"/>
    <w:rsid w:val="005603E7"/>
    <w:rsid w:val="0056090B"/>
    <w:rsid w:val="005612C7"/>
    <w:rsid w:val="005619A9"/>
    <w:rsid w:val="00561A9A"/>
    <w:rsid w:val="00562740"/>
    <w:rsid w:val="00562E88"/>
    <w:rsid w:val="0056328E"/>
    <w:rsid w:val="0056379F"/>
    <w:rsid w:val="00563841"/>
    <w:rsid w:val="00563989"/>
    <w:rsid w:val="00564484"/>
    <w:rsid w:val="005644B8"/>
    <w:rsid w:val="00564A1C"/>
    <w:rsid w:val="00565D07"/>
    <w:rsid w:val="005668AC"/>
    <w:rsid w:val="00566B3C"/>
    <w:rsid w:val="005677D7"/>
    <w:rsid w:val="00567996"/>
    <w:rsid w:val="00567999"/>
    <w:rsid w:val="00567A91"/>
    <w:rsid w:val="00567BF2"/>
    <w:rsid w:val="00573059"/>
    <w:rsid w:val="005736E5"/>
    <w:rsid w:val="005737CD"/>
    <w:rsid w:val="005747B9"/>
    <w:rsid w:val="0057687A"/>
    <w:rsid w:val="00576BDF"/>
    <w:rsid w:val="00577041"/>
    <w:rsid w:val="005770EA"/>
    <w:rsid w:val="0057742F"/>
    <w:rsid w:val="0057761C"/>
    <w:rsid w:val="0058038C"/>
    <w:rsid w:val="00581507"/>
    <w:rsid w:val="00581B40"/>
    <w:rsid w:val="00582C34"/>
    <w:rsid w:val="00582CDA"/>
    <w:rsid w:val="0058333F"/>
    <w:rsid w:val="00585641"/>
    <w:rsid w:val="00585EA4"/>
    <w:rsid w:val="00586253"/>
    <w:rsid w:val="00586343"/>
    <w:rsid w:val="00586404"/>
    <w:rsid w:val="00586AF6"/>
    <w:rsid w:val="005877DE"/>
    <w:rsid w:val="00587965"/>
    <w:rsid w:val="00590920"/>
    <w:rsid w:val="00590C78"/>
    <w:rsid w:val="0059119F"/>
    <w:rsid w:val="00592916"/>
    <w:rsid w:val="00592D0C"/>
    <w:rsid w:val="00593214"/>
    <w:rsid w:val="00593CE6"/>
    <w:rsid w:val="00593F0C"/>
    <w:rsid w:val="00594E69"/>
    <w:rsid w:val="00595AB6"/>
    <w:rsid w:val="00595AE0"/>
    <w:rsid w:val="00595DD7"/>
    <w:rsid w:val="0059627C"/>
    <w:rsid w:val="0059680A"/>
    <w:rsid w:val="005977E8"/>
    <w:rsid w:val="0059795E"/>
    <w:rsid w:val="005A01EB"/>
    <w:rsid w:val="005A0C2C"/>
    <w:rsid w:val="005A14FF"/>
    <w:rsid w:val="005A1B71"/>
    <w:rsid w:val="005A1D44"/>
    <w:rsid w:val="005A1E9F"/>
    <w:rsid w:val="005A2764"/>
    <w:rsid w:val="005A2B8B"/>
    <w:rsid w:val="005A310C"/>
    <w:rsid w:val="005A36C7"/>
    <w:rsid w:val="005A3B57"/>
    <w:rsid w:val="005A3C0A"/>
    <w:rsid w:val="005A3CD5"/>
    <w:rsid w:val="005A5B03"/>
    <w:rsid w:val="005A61B2"/>
    <w:rsid w:val="005A7973"/>
    <w:rsid w:val="005A7A92"/>
    <w:rsid w:val="005A7E9F"/>
    <w:rsid w:val="005B10F0"/>
    <w:rsid w:val="005B178E"/>
    <w:rsid w:val="005B242B"/>
    <w:rsid w:val="005B32AD"/>
    <w:rsid w:val="005B3E21"/>
    <w:rsid w:val="005B49D8"/>
    <w:rsid w:val="005B4C34"/>
    <w:rsid w:val="005B51A3"/>
    <w:rsid w:val="005B5869"/>
    <w:rsid w:val="005B5909"/>
    <w:rsid w:val="005B5FC9"/>
    <w:rsid w:val="005B60D3"/>
    <w:rsid w:val="005B62CE"/>
    <w:rsid w:val="005B680E"/>
    <w:rsid w:val="005B6C33"/>
    <w:rsid w:val="005B7AB7"/>
    <w:rsid w:val="005C0318"/>
    <w:rsid w:val="005C08ED"/>
    <w:rsid w:val="005C09AD"/>
    <w:rsid w:val="005C0C8C"/>
    <w:rsid w:val="005C0DBF"/>
    <w:rsid w:val="005C33A8"/>
    <w:rsid w:val="005C3872"/>
    <w:rsid w:val="005C4358"/>
    <w:rsid w:val="005C57F9"/>
    <w:rsid w:val="005C6FE5"/>
    <w:rsid w:val="005C7120"/>
    <w:rsid w:val="005C715E"/>
    <w:rsid w:val="005C77AA"/>
    <w:rsid w:val="005D0602"/>
    <w:rsid w:val="005D087B"/>
    <w:rsid w:val="005D092D"/>
    <w:rsid w:val="005D0A97"/>
    <w:rsid w:val="005D0C67"/>
    <w:rsid w:val="005D0E9C"/>
    <w:rsid w:val="005D0F60"/>
    <w:rsid w:val="005D2A31"/>
    <w:rsid w:val="005D2E99"/>
    <w:rsid w:val="005D3226"/>
    <w:rsid w:val="005D3DE6"/>
    <w:rsid w:val="005D3EE5"/>
    <w:rsid w:val="005D4D9B"/>
    <w:rsid w:val="005D5EE9"/>
    <w:rsid w:val="005D687B"/>
    <w:rsid w:val="005D73AA"/>
    <w:rsid w:val="005E0114"/>
    <w:rsid w:val="005E02F1"/>
    <w:rsid w:val="005E053D"/>
    <w:rsid w:val="005E0618"/>
    <w:rsid w:val="005E13BE"/>
    <w:rsid w:val="005E2C46"/>
    <w:rsid w:val="005E3B28"/>
    <w:rsid w:val="005E3F58"/>
    <w:rsid w:val="005E4199"/>
    <w:rsid w:val="005E54C3"/>
    <w:rsid w:val="005E55DA"/>
    <w:rsid w:val="005E5B28"/>
    <w:rsid w:val="005E6D13"/>
    <w:rsid w:val="005E6F15"/>
    <w:rsid w:val="005F02FC"/>
    <w:rsid w:val="005F0BA9"/>
    <w:rsid w:val="005F0EEA"/>
    <w:rsid w:val="005F1423"/>
    <w:rsid w:val="005F1676"/>
    <w:rsid w:val="005F179B"/>
    <w:rsid w:val="005F1E12"/>
    <w:rsid w:val="005F1FD3"/>
    <w:rsid w:val="005F2817"/>
    <w:rsid w:val="005F38D9"/>
    <w:rsid w:val="005F3D91"/>
    <w:rsid w:val="005F3E44"/>
    <w:rsid w:val="005F4BA7"/>
    <w:rsid w:val="005F4CA1"/>
    <w:rsid w:val="005F5242"/>
    <w:rsid w:val="005F56AB"/>
    <w:rsid w:val="005F5D43"/>
    <w:rsid w:val="005F5E27"/>
    <w:rsid w:val="005F62F4"/>
    <w:rsid w:val="005F67A4"/>
    <w:rsid w:val="005F6FC5"/>
    <w:rsid w:val="005F7A7A"/>
    <w:rsid w:val="006003AA"/>
    <w:rsid w:val="00600BFD"/>
    <w:rsid w:val="006018D0"/>
    <w:rsid w:val="00601ECB"/>
    <w:rsid w:val="006020A2"/>
    <w:rsid w:val="006031D8"/>
    <w:rsid w:val="00603978"/>
    <w:rsid w:val="006041AA"/>
    <w:rsid w:val="006044E1"/>
    <w:rsid w:val="006048F7"/>
    <w:rsid w:val="00604DA9"/>
    <w:rsid w:val="00606BAC"/>
    <w:rsid w:val="00607219"/>
    <w:rsid w:val="0060777D"/>
    <w:rsid w:val="0060787A"/>
    <w:rsid w:val="00607B58"/>
    <w:rsid w:val="00607C07"/>
    <w:rsid w:val="00611436"/>
    <w:rsid w:val="0061189A"/>
    <w:rsid w:val="00611ED6"/>
    <w:rsid w:val="006121C3"/>
    <w:rsid w:val="006121F2"/>
    <w:rsid w:val="00612404"/>
    <w:rsid w:val="006126B8"/>
    <w:rsid w:val="00613A5B"/>
    <w:rsid w:val="00613E70"/>
    <w:rsid w:val="006146CB"/>
    <w:rsid w:val="006151E8"/>
    <w:rsid w:val="0061546E"/>
    <w:rsid w:val="0061574D"/>
    <w:rsid w:val="00615FFB"/>
    <w:rsid w:val="00616B3F"/>
    <w:rsid w:val="00617453"/>
    <w:rsid w:val="00617F66"/>
    <w:rsid w:val="00617FF6"/>
    <w:rsid w:val="00620100"/>
    <w:rsid w:val="00620597"/>
    <w:rsid w:val="00620CD5"/>
    <w:rsid w:val="00621F6A"/>
    <w:rsid w:val="0062234D"/>
    <w:rsid w:val="0062442A"/>
    <w:rsid w:val="00626332"/>
    <w:rsid w:val="00626737"/>
    <w:rsid w:val="0062677B"/>
    <w:rsid w:val="00626ADE"/>
    <w:rsid w:val="006271B6"/>
    <w:rsid w:val="00627782"/>
    <w:rsid w:val="00627BA0"/>
    <w:rsid w:val="00627CE5"/>
    <w:rsid w:val="006318A4"/>
    <w:rsid w:val="00631B1C"/>
    <w:rsid w:val="00632DB1"/>
    <w:rsid w:val="00632E52"/>
    <w:rsid w:val="0063311D"/>
    <w:rsid w:val="00633321"/>
    <w:rsid w:val="00633F3C"/>
    <w:rsid w:val="00634542"/>
    <w:rsid w:val="0063469D"/>
    <w:rsid w:val="00634AA2"/>
    <w:rsid w:val="00634D85"/>
    <w:rsid w:val="00636397"/>
    <w:rsid w:val="00636450"/>
    <w:rsid w:val="00636993"/>
    <w:rsid w:val="00640FF9"/>
    <w:rsid w:val="00641C2C"/>
    <w:rsid w:val="00643063"/>
    <w:rsid w:val="006433A4"/>
    <w:rsid w:val="00644CFC"/>
    <w:rsid w:val="00645312"/>
    <w:rsid w:val="00645392"/>
    <w:rsid w:val="00645854"/>
    <w:rsid w:val="00645DBB"/>
    <w:rsid w:val="006461FB"/>
    <w:rsid w:val="006465E2"/>
    <w:rsid w:val="00646C9D"/>
    <w:rsid w:val="0064719F"/>
    <w:rsid w:val="0065070B"/>
    <w:rsid w:val="00650C38"/>
    <w:rsid w:val="00652AF4"/>
    <w:rsid w:val="0065366A"/>
    <w:rsid w:val="00654D6E"/>
    <w:rsid w:val="0065517E"/>
    <w:rsid w:val="0065677C"/>
    <w:rsid w:val="0065685A"/>
    <w:rsid w:val="00657239"/>
    <w:rsid w:val="006602B8"/>
    <w:rsid w:val="00660CA6"/>
    <w:rsid w:val="00661F7B"/>
    <w:rsid w:val="006634B0"/>
    <w:rsid w:val="006639B6"/>
    <w:rsid w:val="00663DB2"/>
    <w:rsid w:val="0066407A"/>
    <w:rsid w:val="0066482B"/>
    <w:rsid w:val="00664E72"/>
    <w:rsid w:val="0066539C"/>
    <w:rsid w:val="006655B4"/>
    <w:rsid w:val="00665C4F"/>
    <w:rsid w:val="00666103"/>
    <w:rsid w:val="00666CE7"/>
    <w:rsid w:val="00667EEC"/>
    <w:rsid w:val="0067051F"/>
    <w:rsid w:val="0067096A"/>
    <w:rsid w:val="00670EBA"/>
    <w:rsid w:val="00672665"/>
    <w:rsid w:val="0067312C"/>
    <w:rsid w:val="0067419C"/>
    <w:rsid w:val="0067449C"/>
    <w:rsid w:val="00674C20"/>
    <w:rsid w:val="006763F3"/>
    <w:rsid w:val="006769A8"/>
    <w:rsid w:val="00676A9E"/>
    <w:rsid w:val="00677789"/>
    <w:rsid w:val="00677A94"/>
    <w:rsid w:val="00677AF3"/>
    <w:rsid w:val="00677FA1"/>
    <w:rsid w:val="006803CC"/>
    <w:rsid w:val="006804DD"/>
    <w:rsid w:val="00680AA2"/>
    <w:rsid w:val="00680FFD"/>
    <w:rsid w:val="006816B8"/>
    <w:rsid w:val="006836CF"/>
    <w:rsid w:val="00683BE1"/>
    <w:rsid w:val="00684075"/>
    <w:rsid w:val="006843B8"/>
    <w:rsid w:val="00684DAB"/>
    <w:rsid w:val="00684EEC"/>
    <w:rsid w:val="00684F6C"/>
    <w:rsid w:val="00685199"/>
    <w:rsid w:val="00685864"/>
    <w:rsid w:val="00685B3E"/>
    <w:rsid w:val="00685F1D"/>
    <w:rsid w:val="00687057"/>
    <w:rsid w:val="00690B95"/>
    <w:rsid w:val="006917B7"/>
    <w:rsid w:val="006919E1"/>
    <w:rsid w:val="0069222F"/>
    <w:rsid w:val="00692C19"/>
    <w:rsid w:val="0069359D"/>
    <w:rsid w:val="00693BEC"/>
    <w:rsid w:val="00694014"/>
    <w:rsid w:val="00694651"/>
    <w:rsid w:val="00694BE9"/>
    <w:rsid w:val="00695B76"/>
    <w:rsid w:val="00695BB8"/>
    <w:rsid w:val="0069608E"/>
    <w:rsid w:val="00696B71"/>
    <w:rsid w:val="0069731A"/>
    <w:rsid w:val="006975BF"/>
    <w:rsid w:val="006A015A"/>
    <w:rsid w:val="006A0982"/>
    <w:rsid w:val="006A1625"/>
    <w:rsid w:val="006A2304"/>
    <w:rsid w:val="006A2351"/>
    <w:rsid w:val="006A26A4"/>
    <w:rsid w:val="006A2CDA"/>
    <w:rsid w:val="006A34D6"/>
    <w:rsid w:val="006A3A99"/>
    <w:rsid w:val="006A46F6"/>
    <w:rsid w:val="006A5753"/>
    <w:rsid w:val="006A6093"/>
    <w:rsid w:val="006A6C3E"/>
    <w:rsid w:val="006A7577"/>
    <w:rsid w:val="006A777A"/>
    <w:rsid w:val="006A7A0E"/>
    <w:rsid w:val="006B03C6"/>
    <w:rsid w:val="006B08DA"/>
    <w:rsid w:val="006B090D"/>
    <w:rsid w:val="006B0C3F"/>
    <w:rsid w:val="006B20F3"/>
    <w:rsid w:val="006B2979"/>
    <w:rsid w:val="006B2B91"/>
    <w:rsid w:val="006B31B8"/>
    <w:rsid w:val="006B3F5A"/>
    <w:rsid w:val="006B415B"/>
    <w:rsid w:val="006B5A8D"/>
    <w:rsid w:val="006B5B45"/>
    <w:rsid w:val="006B5B6C"/>
    <w:rsid w:val="006B6973"/>
    <w:rsid w:val="006B6D99"/>
    <w:rsid w:val="006B7583"/>
    <w:rsid w:val="006C089B"/>
    <w:rsid w:val="006C1C84"/>
    <w:rsid w:val="006C24A1"/>
    <w:rsid w:val="006C24F2"/>
    <w:rsid w:val="006C2992"/>
    <w:rsid w:val="006C2C4C"/>
    <w:rsid w:val="006C393A"/>
    <w:rsid w:val="006C3E25"/>
    <w:rsid w:val="006C425E"/>
    <w:rsid w:val="006C4988"/>
    <w:rsid w:val="006C5A4D"/>
    <w:rsid w:val="006C640C"/>
    <w:rsid w:val="006C6975"/>
    <w:rsid w:val="006D0480"/>
    <w:rsid w:val="006D0967"/>
    <w:rsid w:val="006D0AA2"/>
    <w:rsid w:val="006D1D92"/>
    <w:rsid w:val="006D239D"/>
    <w:rsid w:val="006D25F9"/>
    <w:rsid w:val="006D2651"/>
    <w:rsid w:val="006D26AC"/>
    <w:rsid w:val="006D2B4B"/>
    <w:rsid w:val="006D2C44"/>
    <w:rsid w:val="006D33B5"/>
    <w:rsid w:val="006D3830"/>
    <w:rsid w:val="006D47C0"/>
    <w:rsid w:val="006D48B8"/>
    <w:rsid w:val="006D4CBC"/>
    <w:rsid w:val="006D4D99"/>
    <w:rsid w:val="006D5523"/>
    <w:rsid w:val="006D5797"/>
    <w:rsid w:val="006D74BC"/>
    <w:rsid w:val="006D750C"/>
    <w:rsid w:val="006D770D"/>
    <w:rsid w:val="006D7841"/>
    <w:rsid w:val="006E035E"/>
    <w:rsid w:val="006E150D"/>
    <w:rsid w:val="006E230A"/>
    <w:rsid w:val="006E24B5"/>
    <w:rsid w:val="006E24FB"/>
    <w:rsid w:val="006E2DDD"/>
    <w:rsid w:val="006E3B8A"/>
    <w:rsid w:val="006E5CD5"/>
    <w:rsid w:val="006E6FAE"/>
    <w:rsid w:val="006E7416"/>
    <w:rsid w:val="006F011C"/>
    <w:rsid w:val="006F01A1"/>
    <w:rsid w:val="006F0560"/>
    <w:rsid w:val="006F0D86"/>
    <w:rsid w:val="006F0FF6"/>
    <w:rsid w:val="006F1075"/>
    <w:rsid w:val="006F1BFA"/>
    <w:rsid w:val="006F1EE6"/>
    <w:rsid w:val="006F220B"/>
    <w:rsid w:val="006F254D"/>
    <w:rsid w:val="006F318B"/>
    <w:rsid w:val="006F3A0C"/>
    <w:rsid w:val="006F5C21"/>
    <w:rsid w:val="006F6B3B"/>
    <w:rsid w:val="006F70A0"/>
    <w:rsid w:val="006F73AF"/>
    <w:rsid w:val="006F74A6"/>
    <w:rsid w:val="006F77FC"/>
    <w:rsid w:val="006F7984"/>
    <w:rsid w:val="006F7FCB"/>
    <w:rsid w:val="007004B1"/>
    <w:rsid w:val="00701488"/>
    <w:rsid w:val="00701615"/>
    <w:rsid w:val="00701CCF"/>
    <w:rsid w:val="007026C5"/>
    <w:rsid w:val="007029A6"/>
    <w:rsid w:val="00702A13"/>
    <w:rsid w:val="007030D8"/>
    <w:rsid w:val="0070367F"/>
    <w:rsid w:val="00703C22"/>
    <w:rsid w:val="00703FA8"/>
    <w:rsid w:val="007041DB"/>
    <w:rsid w:val="00704D11"/>
    <w:rsid w:val="00705080"/>
    <w:rsid w:val="0070581D"/>
    <w:rsid w:val="00706690"/>
    <w:rsid w:val="007067EB"/>
    <w:rsid w:val="007073DE"/>
    <w:rsid w:val="007074A3"/>
    <w:rsid w:val="0070780A"/>
    <w:rsid w:val="0071078E"/>
    <w:rsid w:val="00710875"/>
    <w:rsid w:val="00710A23"/>
    <w:rsid w:val="0071139D"/>
    <w:rsid w:val="00711594"/>
    <w:rsid w:val="00711E2C"/>
    <w:rsid w:val="0071324C"/>
    <w:rsid w:val="0071331C"/>
    <w:rsid w:val="00713833"/>
    <w:rsid w:val="007138CC"/>
    <w:rsid w:val="00713D64"/>
    <w:rsid w:val="00713EDF"/>
    <w:rsid w:val="00714476"/>
    <w:rsid w:val="00715106"/>
    <w:rsid w:val="007153E2"/>
    <w:rsid w:val="007160D0"/>
    <w:rsid w:val="0071633D"/>
    <w:rsid w:val="00716D94"/>
    <w:rsid w:val="007177EB"/>
    <w:rsid w:val="007200FA"/>
    <w:rsid w:val="007203E5"/>
    <w:rsid w:val="00720545"/>
    <w:rsid w:val="007205BD"/>
    <w:rsid w:val="00721865"/>
    <w:rsid w:val="00721C2D"/>
    <w:rsid w:val="007224A3"/>
    <w:rsid w:val="007231C5"/>
    <w:rsid w:val="00723BD6"/>
    <w:rsid w:val="00724191"/>
    <w:rsid w:val="00724533"/>
    <w:rsid w:val="00724828"/>
    <w:rsid w:val="00724ABE"/>
    <w:rsid w:val="00725B28"/>
    <w:rsid w:val="00727642"/>
    <w:rsid w:val="0073107C"/>
    <w:rsid w:val="00734A54"/>
    <w:rsid w:val="00735291"/>
    <w:rsid w:val="0073666E"/>
    <w:rsid w:val="007369CC"/>
    <w:rsid w:val="0073730F"/>
    <w:rsid w:val="007374CB"/>
    <w:rsid w:val="00737617"/>
    <w:rsid w:val="00740EC2"/>
    <w:rsid w:val="0074152E"/>
    <w:rsid w:val="00741D60"/>
    <w:rsid w:val="0074212A"/>
    <w:rsid w:val="0074428A"/>
    <w:rsid w:val="007449E6"/>
    <w:rsid w:val="0074549A"/>
    <w:rsid w:val="00745676"/>
    <w:rsid w:val="00746BEF"/>
    <w:rsid w:val="00746EC7"/>
    <w:rsid w:val="007470B2"/>
    <w:rsid w:val="00747E27"/>
    <w:rsid w:val="0075046D"/>
    <w:rsid w:val="007513EE"/>
    <w:rsid w:val="00751647"/>
    <w:rsid w:val="00751C00"/>
    <w:rsid w:val="00751EE9"/>
    <w:rsid w:val="00752614"/>
    <w:rsid w:val="007534DE"/>
    <w:rsid w:val="00753852"/>
    <w:rsid w:val="00753A19"/>
    <w:rsid w:val="007547DD"/>
    <w:rsid w:val="00755337"/>
    <w:rsid w:val="00755FF1"/>
    <w:rsid w:val="0076043A"/>
    <w:rsid w:val="007613CF"/>
    <w:rsid w:val="00761AAA"/>
    <w:rsid w:val="00762087"/>
    <w:rsid w:val="007629EF"/>
    <w:rsid w:val="00763BC5"/>
    <w:rsid w:val="00763CBC"/>
    <w:rsid w:val="00763DA0"/>
    <w:rsid w:val="00763E0D"/>
    <w:rsid w:val="00764553"/>
    <w:rsid w:val="00764649"/>
    <w:rsid w:val="007650CD"/>
    <w:rsid w:val="00765153"/>
    <w:rsid w:val="00765481"/>
    <w:rsid w:val="00765B07"/>
    <w:rsid w:val="00765C4C"/>
    <w:rsid w:val="00765F34"/>
    <w:rsid w:val="00770881"/>
    <w:rsid w:val="00771201"/>
    <w:rsid w:val="00771822"/>
    <w:rsid w:val="00771A7C"/>
    <w:rsid w:val="00771D54"/>
    <w:rsid w:val="00772229"/>
    <w:rsid w:val="00772A63"/>
    <w:rsid w:val="00772FD2"/>
    <w:rsid w:val="00773C36"/>
    <w:rsid w:val="0077423B"/>
    <w:rsid w:val="007742F9"/>
    <w:rsid w:val="00774975"/>
    <w:rsid w:val="00774983"/>
    <w:rsid w:val="00774E8E"/>
    <w:rsid w:val="00774E95"/>
    <w:rsid w:val="007755BC"/>
    <w:rsid w:val="00775777"/>
    <w:rsid w:val="00776862"/>
    <w:rsid w:val="00776BA4"/>
    <w:rsid w:val="00777FA9"/>
    <w:rsid w:val="007803E8"/>
    <w:rsid w:val="00780F6F"/>
    <w:rsid w:val="00782F07"/>
    <w:rsid w:val="00783F05"/>
    <w:rsid w:val="00784AE9"/>
    <w:rsid w:val="00784DE1"/>
    <w:rsid w:val="00784E90"/>
    <w:rsid w:val="00785657"/>
    <w:rsid w:val="007864A4"/>
    <w:rsid w:val="007871FE"/>
    <w:rsid w:val="007876C7"/>
    <w:rsid w:val="0079050C"/>
    <w:rsid w:val="00791EE7"/>
    <w:rsid w:val="0079240F"/>
    <w:rsid w:val="007926CC"/>
    <w:rsid w:val="0079308B"/>
    <w:rsid w:val="007945B3"/>
    <w:rsid w:val="00794B70"/>
    <w:rsid w:val="00794F5D"/>
    <w:rsid w:val="00795B9F"/>
    <w:rsid w:val="007A0296"/>
    <w:rsid w:val="007A04B6"/>
    <w:rsid w:val="007A11B4"/>
    <w:rsid w:val="007A18C9"/>
    <w:rsid w:val="007A3A65"/>
    <w:rsid w:val="007A3CC5"/>
    <w:rsid w:val="007A3EC6"/>
    <w:rsid w:val="007A4FD3"/>
    <w:rsid w:val="007A5290"/>
    <w:rsid w:val="007A67B2"/>
    <w:rsid w:val="007A68F1"/>
    <w:rsid w:val="007A77A3"/>
    <w:rsid w:val="007B135C"/>
    <w:rsid w:val="007B1380"/>
    <w:rsid w:val="007B1766"/>
    <w:rsid w:val="007B19DA"/>
    <w:rsid w:val="007B2D17"/>
    <w:rsid w:val="007B35A5"/>
    <w:rsid w:val="007B5502"/>
    <w:rsid w:val="007B5F09"/>
    <w:rsid w:val="007B6153"/>
    <w:rsid w:val="007B61CB"/>
    <w:rsid w:val="007B62B7"/>
    <w:rsid w:val="007B6894"/>
    <w:rsid w:val="007B76C4"/>
    <w:rsid w:val="007C076F"/>
    <w:rsid w:val="007C1820"/>
    <w:rsid w:val="007C1B64"/>
    <w:rsid w:val="007C1C2A"/>
    <w:rsid w:val="007C3448"/>
    <w:rsid w:val="007C3678"/>
    <w:rsid w:val="007C4259"/>
    <w:rsid w:val="007C52AD"/>
    <w:rsid w:val="007C5582"/>
    <w:rsid w:val="007C60EF"/>
    <w:rsid w:val="007C6559"/>
    <w:rsid w:val="007C6954"/>
    <w:rsid w:val="007C717D"/>
    <w:rsid w:val="007C7302"/>
    <w:rsid w:val="007D012E"/>
    <w:rsid w:val="007D0506"/>
    <w:rsid w:val="007D10F8"/>
    <w:rsid w:val="007D17E2"/>
    <w:rsid w:val="007D1D20"/>
    <w:rsid w:val="007D315C"/>
    <w:rsid w:val="007D3C0C"/>
    <w:rsid w:val="007D45FD"/>
    <w:rsid w:val="007D46E9"/>
    <w:rsid w:val="007D5471"/>
    <w:rsid w:val="007D731A"/>
    <w:rsid w:val="007D73C0"/>
    <w:rsid w:val="007D78D2"/>
    <w:rsid w:val="007E102F"/>
    <w:rsid w:val="007E190E"/>
    <w:rsid w:val="007E1A70"/>
    <w:rsid w:val="007E2BC5"/>
    <w:rsid w:val="007E2D78"/>
    <w:rsid w:val="007E311B"/>
    <w:rsid w:val="007E3F9C"/>
    <w:rsid w:val="007E41E2"/>
    <w:rsid w:val="007E5B4B"/>
    <w:rsid w:val="007E5FB1"/>
    <w:rsid w:val="007E6AF7"/>
    <w:rsid w:val="007E7A74"/>
    <w:rsid w:val="007F0DFF"/>
    <w:rsid w:val="007F10B2"/>
    <w:rsid w:val="007F1F05"/>
    <w:rsid w:val="007F24B0"/>
    <w:rsid w:val="007F380E"/>
    <w:rsid w:val="007F42CA"/>
    <w:rsid w:val="007F6F2B"/>
    <w:rsid w:val="007F6FD9"/>
    <w:rsid w:val="007F7E37"/>
    <w:rsid w:val="007F7EA4"/>
    <w:rsid w:val="008007A7"/>
    <w:rsid w:val="00801014"/>
    <w:rsid w:val="008027C4"/>
    <w:rsid w:val="00802923"/>
    <w:rsid w:val="00802FED"/>
    <w:rsid w:val="00803DAC"/>
    <w:rsid w:val="00804477"/>
    <w:rsid w:val="00804C86"/>
    <w:rsid w:val="008057A3"/>
    <w:rsid w:val="00805A28"/>
    <w:rsid w:val="00805FBB"/>
    <w:rsid w:val="0080625F"/>
    <w:rsid w:val="00806327"/>
    <w:rsid w:val="00807062"/>
    <w:rsid w:val="008073DF"/>
    <w:rsid w:val="0081077F"/>
    <w:rsid w:val="00810A05"/>
    <w:rsid w:val="00810DD6"/>
    <w:rsid w:val="00811AAF"/>
    <w:rsid w:val="00812347"/>
    <w:rsid w:val="00813D97"/>
    <w:rsid w:val="00814C77"/>
    <w:rsid w:val="008158CD"/>
    <w:rsid w:val="00816263"/>
    <w:rsid w:val="00817C41"/>
    <w:rsid w:val="00820EA8"/>
    <w:rsid w:val="00820F98"/>
    <w:rsid w:val="00823059"/>
    <w:rsid w:val="00823762"/>
    <w:rsid w:val="008253A9"/>
    <w:rsid w:val="008256B0"/>
    <w:rsid w:val="008257A9"/>
    <w:rsid w:val="0083039D"/>
    <w:rsid w:val="00830480"/>
    <w:rsid w:val="00830B79"/>
    <w:rsid w:val="00830CF6"/>
    <w:rsid w:val="0083115C"/>
    <w:rsid w:val="00832033"/>
    <w:rsid w:val="00833101"/>
    <w:rsid w:val="00833501"/>
    <w:rsid w:val="00833A00"/>
    <w:rsid w:val="00834D50"/>
    <w:rsid w:val="00835992"/>
    <w:rsid w:val="00835CFA"/>
    <w:rsid w:val="00836054"/>
    <w:rsid w:val="00836BDF"/>
    <w:rsid w:val="008374AC"/>
    <w:rsid w:val="008413F8"/>
    <w:rsid w:val="008416FA"/>
    <w:rsid w:val="00841788"/>
    <w:rsid w:val="00843727"/>
    <w:rsid w:val="008438CF"/>
    <w:rsid w:val="008443C9"/>
    <w:rsid w:val="0084515A"/>
    <w:rsid w:val="0084530C"/>
    <w:rsid w:val="00845A5B"/>
    <w:rsid w:val="0084672B"/>
    <w:rsid w:val="00847888"/>
    <w:rsid w:val="00847A57"/>
    <w:rsid w:val="00847D8F"/>
    <w:rsid w:val="00847E37"/>
    <w:rsid w:val="008512A4"/>
    <w:rsid w:val="008515FE"/>
    <w:rsid w:val="00851C4D"/>
    <w:rsid w:val="008531CD"/>
    <w:rsid w:val="00853662"/>
    <w:rsid w:val="00854EC8"/>
    <w:rsid w:val="008550CC"/>
    <w:rsid w:val="0085530A"/>
    <w:rsid w:val="00856B92"/>
    <w:rsid w:val="00857B94"/>
    <w:rsid w:val="0086034A"/>
    <w:rsid w:val="00862130"/>
    <w:rsid w:val="008621CB"/>
    <w:rsid w:val="0086387A"/>
    <w:rsid w:val="0086394E"/>
    <w:rsid w:val="00863E11"/>
    <w:rsid w:val="00865F5D"/>
    <w:rsid w:val="00866021"/>
    <w:rsid w:val="00866359"/>
    <w:rsid w:val="008701EC"/>
    <w:rsid w:val="008707B5"/>
    <w:rsid w:val="00870CDB"/>
    <w:rsid w:val="00870DC5"/>
    <w:rsid w:val="0087102A"/>
    <w:rsid w:val="008711F9"/>
    <w:rsid w:val="00871EBD"/>
    <w:rsid w:val="008733C7"/>
    <w:rsid w:val="00873790"/>
    <w:rsid w:val="008737CF"/>
    <w:rsid w:val="00874CB6"/>
    <w:rsid w:val="00874DF1"/>
    <w:rsid w:val="00874F41"/>
    <w:rsid w:val="0087566E"/>
    <w:rsid w:val="00876F3F"/>
    <w:rsid w:val="0087715A"/>
    <w:rsid w:val="008771BB"/>
    <w:rsid w:val="008812D1"/>
    <w:rsid w:val="008820AB"/>
    <w:rsid w:val="0088262B"/>
    <w:rsid w:val="008827D2"/>
    <w:rsid w:val="008831D1"/>
    <w:rsid w:val="00883E39"/>
    <w:rsid w:val="00883E83"/>
    <w:rsid w:val="008841A9"/>
    <w:rsid w:val="00884433"/>
    <w:rsid w:val="00884662"/>
    <w:rsid w:val="00884AFB"/>
    <w:rsid w:val="008857F5"/>
    <w:rsid w:val="00886427"/>
    <w:rsid w:val="008867E1"/>
    <w:rsid w:val="008871D7"/>
    <w:rsid w:val="00890304"/>
    <w:rsid w:val="0089075B"/>
    <w:rsid w:val="00891111"/>
    <w:rsid w:val="00891598"/>
    <w:rsid w:val="008921ED"/>
    <w:rsid w:val="00892C1D"/>
    <w:rsid w:val="00894A7C"/>
    <w:rsid w:val="00894B53"/>
    <w:rsid w:val="00894CA8"/>
    <w:rsid w:val="00895C57"/>
    <w:rsid w:val="00895D6E"/>
    <w:rsid w:val="00895FD3"/>
    <w:rsid w:val="008967EB"/>
    <w:rsid w:val="008968B1"/>
    <w:rsid w:val="00896C46"/>
    <w:rsid w:val="00897260"/>
    <w:rsid w:val="00897626"/>
    <w:rsid w:val="00897759"/>
    <w:rsid w:val="0089776A"/>
    <w:rsid w:val="00897E4E"/>
    <w:rsid w:val="008A048B"/>
    <w:rsid w:val="008A0822"/>
    <w:rsid w:val="008A1C3D"/>
    <w:rsid w:val="008A23FD"/>
    <w:rsid w:val="008A26EC"/>
    <w:rsid w:val="008A28B8"/>
    <w:rsid w:val="008A2995"/>
    <w:rsid w:val="008A380E"/>
    <w:rsid w:val="008A5162"/>
    <w:rsid w:val="008A56BF"/>
    <w:rsid w:val="008A5E19"/>
    <w:rsid w:val="008A6D50"/>
    <w:rsid w:val="008A7776"/>
    <w:rsid w:val="008B038C"/>
    <w:rsid w:val="008B26F0"/>
    <w:rsid w:val="008B36FD"/>
    <w:rsid w:val="008B3B09"/>
    <w:rsid w:val="008B430E"/>
    <w:rsid w:val="008B4BD5"/>
    <w:rsid w:val="008B6730"/>
    <w:rsid w:val="008B6A92"/>
    <w:rsid w:val="008B6B09"/>
    <w:rsid w:val="008B787D"/>
    <w:rsid w:val="008C0504"/>
    <w:rsid w:val="008C1585"/>
    <w:rsid w:val="008C16A0"/>
    <w:rsid w:val="008C2266"/>
    <w:rsid w:val="008C25BB"/>
    <w:rsid w:val="008C26B6"/>
    <w:rsid w:val="008C513E"/>
    <w:rsid w:val="008C53F0"/>
    <w:rsid w:val="008C59DB"/>
    <w:rsid w:val="008C5AAB"/>
    <w:rsid w:val="008C6629"/>
    <w:rsid w:val="008C6835"/>
    <w:rsid w:val="008C6C08"/>
    <w:rsid w:val="008C74B5"/>
    <w:rsid w:val="008C7929"/>
    <w:rsid w:val="008D0273"/>
    <w:rsid w:val="008D0891"/>
    <w:rsid w:val="008D188C"/>
    <w:rsid w:val="008D3128"/>
    <w:rsid w:val="008D34B8"/>
    <w:rsid w:val="008D42F3"/>
    <w:rsid w:val="008D445F"/>
    <w:rsid w:val="008D579E"/>
    <w:rsid w:val="008D603A"/>
    <w:rsid w:val="008D75AE"/>
    <w:rsid w:val="008D7685"/>
    <w:rsid w:val="008E02F4"/>
    <w:rsid w:val="008E0B96"/>
    <w:rsid w:val="008E1921"/>
    <w:rsid w:val="008E242A"/>
    <w:rsid w:val="008E3699"/>
    <w:rsid w:val="008E4BDD"/>
    <w:rsid w:val="008E5E7B"/>
    <w:rsid w:val="008E6311"/>
    <w:rsid w:val="008E6D84"/>
    <w:rsid w:val="008E74B6"/>
    <w:rsid w:val="008E77D6"/>
    <w:rsid w:val="008F2A6C"/>
    <w:rsid w:val="008F2DA8"/>
    <w:rsid w:val="008F317D"/>
    <w:rsid w:val="008F3E45"/>
    <w:rsid w:val="008F406F"/>
    <w:rsid w:val="008F44EC"/>
    <w:rsid w:val="008F5583"/>
    <w:rsid w:val="008F57ED"/>
    <w:rsid w:val="008F5C7A"/>
    <w:rsid w:val="008F6263"/>
    <w:rsid w:val="008F6D51"/>
    <w:rsid w:val="008F755E"/>
    <w:rsid w:val="008F7577"/>
    <w:rsid w:val="009008BD"/>
    <w:rsid w:val="00901AF9"/>
    <w:rsid w:val="00902611"/>
    <w:rsid w:val="00902695"/>
    <w:rsid w:val="00902DE7"/>
    <w:rsid w:val="00904D88"/>
    <w:rsid w:val="00906067"/>
    <w:rsid w:val="009065DB"/>
    <w:rsid w:val="00907551"/>
    <w:rsid w:val="00907E93"/>
    <w:rsid w:val="00910CEA"/>
    <w:rsid w:val="0091132B"/>
    <w:rsid w:val="0091132C"/>
    <w:rsid w:val="009113CF"/>
    <w:rsid w:val="009115A9"/>
    <w:rsid w:val="00911D44"/>
    <w:rsid w:val="00912034"/>
    <w:rsid w:val="00914725"/>
    <w:rsid w:val="00914E76"/>
    <w:rsid w:val="009156EE"/>
    <w:rsid w:val="009172A6"/>
    <w:rsid w:val="00917822"/>
    <w:rsid w:val="0092013C"/>
    <w:rsid w:val="00920AD2"/>
    <w:rsid w:val="00921B57"/>
    <w:rsid w:val="0092221D"/>
    <w:rsid w:val="00922226"/>
    <w:rsid w:val="00922597"/>
    <w:rsid w:val="00922A6F"/>
    <w:rsid w:val="00922F48"/>
    <w:rsid w:val="0092374A"/>
    <w:rsid w:val="00923EC2"/>
    <w:rsid w:val="009242C7"/>
    <w:rsid w:val="0092653C"/>
    <w:rsid w:val="00926832"/>
    <w:rsid w:val="009269AC"/>
    <w:rsid w:val="00927004"/>
    <w:rsid w:val="009273D2"/>
    <w:rsid w:val="00927833"/>
    <w:rsid w:val="00927925"/>
    <w:rsid w:val="009300C2"/>
    <w:rsid w:val="009305A1"/>
    <w:rsid w:val="00930DF5"/>
    <w:rsid w:val="00930F2E"/>
    <w:rsid w:val="00931037"/>
    <w:rsid w:val="009314F5"/>
    <w:rsid w:val="00932AF9"/>
    <w:rsid w:val="00933A0A"/>
    <w:rsid w:val="00933D72"/>
    <w:rsid w:val="009347A5"/>
    <w:rsid w:val="009347D3"/>
    <w:rsid w:val="00934A25"/>
    <w:rsid w:val="00934AB3"/>
    <w:rsid w:val="00935260"/>
    <w:rsid w:val="00935A17"/>
    <w:rsid w:val="0093674E"/>
    <w:rsid w:val="00937022"/>
    <w:rsid w:val="00937180"/>
    <w:rsid w:val="0093754B"/>
    <w:rsid w:val="009376ED"/>
    <w:rsid w:val="00940229"/>
    <w:rsid w:val="00940CE1"/>
    <w:rsid w:val="00941F87"/>
    <w:rsid w:val="00942CCF"/>
    <w:rsid w:val="00942D62"/>
    <w:rsid w:val="00943089"/>
    <w:rsid w:val="009432C6"/>
    <w:rsid w:val="009435E2"/>
    <w:rsid w:val="00943A83"/>
    <w:rsid w:val="00944247"/>
    <w:rsid w:val="009464F4"/>
    <w:rsid w:val="0094676D"/>
    <w:rsid w:val="00946799"/>
    <w:rsid w:val="0094686C"/>
    <w:rsid w:val="009469A0"/>
    <w:rsid w:val="00946AAD"/>
    <w:rsid w:val="00947667"/>
    <w:rsid w:val="009479D5"/>
    <w:rsid w:val="00951A8E"/>
    <w:rsid w:val="00951B5E"/>
    <w:rsid w:val="00951BBB"/>
    <w:rsid w:val="00952807"/>
    <w:rsid w:val="009529D3"/>
    <w:rsid w:val="0095343C"/>
    <w:rsid w:val="00954275"/>
    <w:rsid w:val="0095435F"/>
    <w:rsid w:val="00955364"/>
    <w:rsid w:val="009557FB"/>
    <w:rsid w:val="00955942"/>
    <w:rsid w:val="009561EA"/>
    <w:rsid w:val="009570DC"/>
    <w:rsid w:val="00957662"/>
    <w:rsid w:val="00960BD1"/>
    <w:rsid w:val="009625AA"/>
    <w:rsid w:val="009640F6"/>
    <w:rsid w:val="009651D5"/>
    <w:rsid w:val="0096618B"/>
    <w:rsid w:val="0096643A"/>
    <w:rsid w:val="009666DA"/>
    <w:rsid w:val="009701FB"/>
    <w:rsid w:val="009706AE"/>
    <w:rsid w:val="00970AF3"/>
    <w:rsid w:val="00970C9D"/>
    <w:rsid w:val="009712E6"/>
    <w:rsid w:val="009715D8"/>
    <w:rsid w:val="00972029"/>
    <w:rsid w:val="009720FB"/>
    <w:rsid w:val="00973910"/>
    <w:rsid w:val="00973E46"/>
    <w:rsid w:val="00973F09"/>
    <w:rsid w:val="00974610"/>
    <w:rsid w:val="0097582B"/>
    <w:rsid w:val="00975943"/>
    <w:rsid w:val="009763DA"/>
    <w:rsid w:val="0097721D"/>
    <w:rsid w:val="009803F3"/>
    <w:rsid w:val="009814C2"/>
    <w:rsid w:val="0098199E"/>
    <w:rsid w:val="009821E0"/>
    <w:rsid w:val="00982465"/>
    <w:rsid w:val="0098258E"/>
    <w:rsid w:val="00982A23"/>
    <w:rsid w:val="00982B86"/>
    <w:rsid w:val="00984416"/>
    <w:rsid w:val="009844EF"/>
    <w:rsid w:val="009845CC"/>
    <w:rsid w:val="00985126"/>
    <w:rsid w:val="0098519E"/>
    <w:rsid w:val="0098535A"/>
    <w:rsid w:val="009858AC"/>
    <w:rsid w:val="00985B9C"/>
    <w:rsid w:val="00985C6A"/>
    <w:rsid w:val="00986CBC"/>
    <w:rsid w:val="00986FC2"/>
    <w:rsid w:val="00987467"/>
    <w:rsid w:val="00987E15"/>
    <w:rsid w:val="00990058"/>
    <w:rsid w:val="0099006D"/>
    <w:rsid w:val="0099020F"/>
    <w:rsid w:val="00991D78"/>
    <w:rsid w:val="009921FF"/>
    <w:rsid w:val="00992300"/>
    <w:rsid w:val="0099233E"/>
    <w:rsid w:val="00992DDC"/>
    <w:rsid w:val="00992E4D"/>
    <w:rsid w:val="00993E51"/>
    <w:rsid w:val="00993FC1"/>
    <w:rsid w:val="00994060"/>
    <w:rsid w:val="00996448"/>
    <w:rsid w:val="0099674A"/>
    <w:rsid w:val="009971D9"/>
    <w:rsid w:val="009973C5"/>
    <w:rsid w:val="009A0061"/>
    <w:rsid w:val="009A037F"/>
    <w:rsid w:val="009A0F04"/>
    <w:rsid w:val="009A1641"/>
    <w:rsid w:val="009A178A"/>
    <w:rsid w:val="009A2067"/>
    <w:rsid w:val="009A21FD"/>
    <w:rsid w:val="009A241C"/>
    <w:rsid w:val="009A3008"/>
    <w:rsid w:val="009A30DB"/>
    <w:rsid w:val="009A34BD"/>
    <w:rsid w:val="009A5335"/>
    <w:rsid w:val="009A564A"/>
    <w:rsid w:val="009A5D90"/>
    <w:rsid w:val="009A607B"/>
    <w:rsid w:val="009A6FA6"/>
    <w:rsid w:val="009A723C"/>
    <w:rsid w:val="009A779B"/>
    <w:rsid w:val="009A7E3C"/>
    <w:rsid w:val="009B0651"/>
    <w:rsid w:val="009B0C85"/>
    <w:rsid w:val="009B0D2D"/>
    <w:rsid w:val="009B2349"/>
    <w:rsid w:val="009B2E30"/>
    <w:rsid w:val="009B2F9D"/>
    <w:rsid w:val="009B4283"/>
    <w:rsid w:val="009B5849"/>
    <w:rsid w:val="009B590E"/>
    <w:rsid w:val="009B5D6B"/>
    <w:rsid w:val="009B69A0"/>
    <w:rsid w:val="009B74B3"/>
    <w:rsid w:val="009C029B"/>
    <w:rsid w:val="009C10CA"/>
    <w:rsid w:val="009C111E"/>
    <w:rsid w:val="009C13B1"/>
    <w:rsid w:val="009C17A3"/>
    <w:rsid w:val="009C228F"/>
    <w:rsid w:val="009C330F"/>
    <w:rsid w:val="009C3713"/>
    <w:rsid w:val="009C416F"/>
    <w:rsid w:val="009C44F8"/>
    <w:rsid w:val="009C4B13"/>
    <w:rsid w:val="009C5580"/>
    <w:rsid w:val="009C6BDB"/>
    <w:rsid w:val="009D0C0E"/>
    <w:rsid w:val="009D13FA"/>
    <w:rsid w:val="009D1715"/>
    <w:rsid w:val="009D2069"/>
    <w:rsid w:val="009D2AF0"/>
    <w:rsid w:val="009D37EA"/>
    <w:rsid w:val="009D6B27"/>
    <w:rsid w:val="009D734E"/>
    <w:rsid w:val="009D7BB0"/>
    <w:rsid w:val="009D7DAC"/>
    <w:rsid w:val="009D7F3A"/>
    <w:rsid w:val="009E1252"/>
    <w:rsid w:val="009E1824"/>
    <w:rsid w:val="009E2517"/>
    <w:rsid w:val="009E3632"/>
    <w:rsid w:val="009E598A"/>
    <w:rsid w:val="009E5BF0"/>
    <w:rsid w:val="009E63E3"/>
    <w:rsid w:val="009E69D3"/>
    <w:rsid w:val="009F0121"/>
    <w:rsid w:val="009F01F6"/>
    <w:rsid w:val="009F05D0"/>
    <w:rsid w:val="009F09FD"/>
    <w:rsid w:val="009F1178"/>
    <w:rsid w:val="009F1362"/>
    <w:rsid w:val="009F1510"/>
    <w:rsid w:val="009F213D"/>
    <w:rsid w:val="009F365D"/>
    <w:rsid w:val="009F3B69"/>
    <w:rsid w:val="009F3D83"/>
    <w:rsid w:val="009F3EC4"/>
    <w:rsid w:val="009F413B"/>
    <w:rsid w:val="009F421F"/>
    <w:rsid w:val="009F444C"/>
    <w:rsid w:val="009F57DD"/>
    <w:rsid w:val="009F63AF"/>
    <w:rsid w:val="009F66B4"/>
    <w:rsid w:val="009F6BF1"/>
    <w:rsid w:val="009F6E21"/>
    <w:rsid w:val="00A00354"/>
    <w:rsid w:val="00A02AD2"/>
    <w:rsid w:val="00A03223"/>
    <w:rsid w:val="00A03B90"/>
    <w:rsid w:val="00A050D4"/>
    <w:rsid w:val="00A050EC"/>
    <w:rsid w:val="00A05E73"/>
    <w:rsid w:val="00A06389"/>
    <w:rsid w:val="00A06973"/>
    <w:rsid w:val="00A07A16"/>
    <w:rsid w:val="00A07F00"/>
    <w:rsid w:val="00A102E6"/>
    <w:rsid w:val="00A10F71"/>
    <w:rsid w:val="00A12333"/>
    <w:rsid w:val="00A12A9A"/>
    <w:rsid w:val="00A13910"/>
    <w:rsid w:val="00A13FE5"/>
    <w:rsid w:val="00A1403A"/>
    <w:rsid w:val="00A14673"/>
    <w:rsid w:val="00A14704"/>
    <w:rsid w:val="00A14E5A"/>
    <w:rsid w:val="00A15057"/>
    <w:rsid w:val="00A16044"/>
    <w:rsid w:val="00A17649"/>
    <w:rsid w:val="00A2010E"/>
    <w:rsid w:val="00A21C65"/>
    <w:rsid w:val="00A221BF"/>
    <w:rsid w:val="00A22496"/>
    <w:rsid w:val="00A224AF"/>
    <w:rsid w:val="00A23E0B"/>
    <w:rsid w:val="00A24209"/>
    <w:rsid w:val="00A243BB"/>
    <w:rsid w:val="00A24FC1"/>
    <w:rsid w:val="00A2541C"/>
    <w:rsid w:val="00A25AA8"/>
    <w:rsid w:val="00A25C02"/>
    <w:rsid w:val="00A25D6F"/>
    <w:rsid w:val="00A27082"/>
    <w:rsid w:val="00A2780D"/>
    <w:rsid w:val="00A30723"/>
    <w:rsid w:val="00A31002"/>
    <w:rsid w:val="00A31287"/>
    <w:rsid w:val="00A31649"/>
    <w:rsid w:val="00A319FB"/>
    <w:rsid w:val="00A31E89"/>
    <w:rsid w:val="00A32235"/>
    <w:rsid w:val="00A32D64"/>
    <w:rsid w:val="00A32DB2"/>
    <w:rsid w:val="00A32F6C"/>
    <w:rsid w:val="00A33A2A"/>
    <w:rsid w:val="00A33DC1"/>
    <w:rsid w:val="00A34505"/>
    <w:rsid w:val="00A34BA4"/>
    <w:rsid w:val="00A35959"/>
    <w:rsid w:val="00A36646"/>
    <w:rsid w:val="00A36735"/>
    <w:rsid w:val="00A370B8"/>
    <w:rsid w:val="00A3767B"/>
    <w:rsid w:val="00A4123B"/>
    <w:rsid w:val="00A41F65"/>
    <w:rsid w:val="00A422C7"/>
    <w:rsid w:val="00A426D5"/>
    <w:rsid w:val="00A43247"/>
    <w:rsid w:val="00A434B4"/>
    <w:rsid w:val="00A442D1"/>
    <w:rsid w:val="00A452AA"/>
    <w:rsid w:val="00A458E6"/>
    <w:rsid w:val="00A4733E"/>
    <w:rsid w:val="00A476AA"/>
    <w:rsid w:val="00A4795A"/>
    <w:rsid w:val="00A479F6"/>
    <w:rsid w:val="00A47EE2"/>
    <w:rsid w:val="00A501FC"/>
    <w:rsid w:val="00A5078F"/>
    <w:rsid w:val="00A50ED5"/>
    <w:rsid w:val="00A5217B"/>
    <w:rsid w:val="00A540C0"/>
    <w:rsid w:val="00A543D6"/>
    <w:rsid w:val="00A54595"/>
    <w:rsid w:val="00A54B57"/>
    <w:rsid w:val="00A55495"/>
    <w:rsid w:val="00A5567B"/>
    <w:rsid w:val="00A56214"/>
    <w:rsid w:val="00A562A9"/>
    <w:rsid w:val="00A5676D"/>
    <w:rsid w:val="00A56AF2"/>
    <w:rsid w:val="00A57882"/>
    <w:rsid w:val="00A60542"/>
    <w:rsid w:val="00A60F4C"/>
    <w:rsid w:val="00A62209"/>
    <w:rsid w:val="00A622B9"/>
    <w:rsid w:val="00A62791"/>
    <w:rsid w:val="00A6292E"/>
    <w:rsid w:val="00A62BBE"/>
    <w:rsid w:val="00A637D6"/>
    <w:rsid w:val="00A64E2D"/>
    <w:rsid w:val="00A65016"/>
    <w:rsid w:val="00A659A3"/>
    <w:rsid w:val="00A70651"/>
    <w:rsid w:val="00A70CA0"/>
    <w:rsid w:val="00A70F2A"/>
    <w:rsid w:val="00A71147"/>
    <w:rsid w:val="00A71486"/>
    <w:rsid w:val="00A721D3"/>
    <w:rsid w:val="00A74AF3"/>
    <w:rsid w:val="00A74DF0"/>
    <w:rsid w:val="00A76336"/>
    <w:rsid w:val="00A76480"/>
    <w:rsid w:val="00A76F82"/>
    <w:rsid w:val="00A80158"/>
    <w:rsid w:val="00A8030C"/>
    <w:rsid w:val="00A80704"/>
    <w:rsid w:val="00A80862"/>
    <w:rsid w:val="00A80B7B"/>
    <w:rsid w:val="00A846D1"/>
    <w:rsid w:val="00A866F8"/>
    <w:rsid w:val="00A86EDF"/>
    <w:rsid w:val="00A86FBB"/>
    <w:rsid w:val="00A87018"/>
    <w:rsid w:val="00A8749E"/>
    <w:rsid w:val="00A9103C"/>
    <w:rsid w:val="00A9105D"/>
    <w:rsid w:val="00A9110B"/>
    <w:rsid w:val="00A91123"/>
    <w:rsid w:val="00A92373"/>
    <w:rsid w:val="00A92BA8"/>
    <w:rsid w:val="00A92F02"/>
    <w:rsid w:val="00A93FB7"/>
    <w:rsid w:val="00A94147"/>
    <w:rsid w:val="00A9568C"/>
    <w:rsid w:val="00A962D7"/>
    <w:rsid w:val="00A965C4"/>
    <w:rsid w:val="00A97008"/>
    <w:rsid w:val="00A97A39"/>
    <w:rsid w:val="00AA0A87"/>
    <w:rsid w:val="00AA159D"/>
    <w:rsid w:val="00AA23BA"/>
    <w:rsid w:val="00AA2819"/>
    <w:rsid w:val="00AA2EC9"/>
    <w:rsid w:val="00AA36C7"/>
    <w:rsid w:val="00AA3B44"/>
    <w:rsid w:val="00AA406D"/>
    <w:rsid w:val="00AA42CD"/>
    <w:rsid w:val="00AA4AF1"/>
    <w:rsid w:val="00AA592A"/>
    <w:rsid w:val="00AA5BB9"/>
    <w:rsid w:val="00AA7C50"/>
    <w:rsid w:val="00AB2347"/>
    <w:rsid w:val="00AB2464"/>
    <w:rsid w:val="00AB294C"/>
    <w:rsid w:val="00AB3790"/>
    <w:rsid w:val="00AB3DBD"/>
    <w:rsid w:val="00AB4B32"/>
    <w:rsid w:val="00AB5EEE"/>
    <w:rsid w:val="00AB603A"/>
    <w:rsid w:val="00AB7377"/>
    <w:rsid w:val="00AB757B"/>
    <w:rsid w:val="00AB7905"/>
    <w:rsid w:val="00AC01D4"/>
    <w:rsid w:val="00AC03CC"/>
    <w:rsid w:val="00AC04B8"/>
    <w:rsid w:val="00AC056A"/>
    <w:rsid w:val="00AC08D6"/>
    <w:rsid w:val="00AC0E08"/>
    <w:rsid w:val="00AC28D0"/>
    <w:rsid w:val="00AC30BD"/>
    <w:rsid w:val="00AC3E6D"/>
    <w:rsid w:val="00AC41BA"/>
    <w:rsid w:val="00AC425C"/>
    <w:rsid w:val="00AC5464"/>
    <w:rsid w:val="00AC54A8"/>
    <w:rsid w:val="00AC56B3"/>
    <w:rsid w:val="00AC583B"/>
    <w:rsid w:val="00AC6D5D"/>
    <w:rsid w:val="00AC739B"/>
    <w:rsid w:val="00AC7D2E"/>
    <w:rsid w:val="00AC7F31"/>
    <w:rsid w:val="00AD08A9"/>
    <w:rsid w:val="00AD0AFA"/>
    <w:rsid w:val="00AD0B8D"/>
    <w:rsid w:val="00AD2E4C"/>
    <w:rsid w:val="00AD2F57"/>
    <w:rsid w:val="00AD3299"/>
    <w:rsid w:val="00AD6AC6"/>
    <w:rsid w:val="00AD6DF1"/>
    <w:rsid w:val="00AD731C"/>
    <w:rsid w:val="00AE166A"/>
    <w:rsid w:val="00AE2413"/>
    <w:rsid w:val="00AE2A0F"/>
    <w:rsid w:val="00AE2D23"/>
    <w:rsid w:val="00AE39FF"/>
    <w:rsid w:val="00AE3AB6"/>
    <w:rsid w:val="00AE43EA"/>
    <w:rsid w:val="00AE4CC5"/>
    <w:rsid w:val="00AE5B46"/>
    <w:rsid w:val="00AE6093"/>
    <w:rsid w:val="00AE64E4"/>
    <w:rsid w:val="00AE6816"/>
    <w:rsid w:val="00AE6DC5"/>
    <w:rsid w:val="00AE6DD8"/>
    <w:rsid w:val="00AE6FA6"/>
    <w:rsid w:val="00AE76FC"/>
    <w:rsid w:val="00AE7C1B"/>
    <w:rsid w:val="00AE7DC3"/>
    <w:rsid w:val="00AF0C92"/>
    <w:rsid w:val="00AF13C8"/>
    <w:rsid w:val="00AF1A68"/>
    <w:rsid w:val="00AF2AE9"/>
    <w:rsid w:val="00AF30FB"/>
    <w:rsid w:val="00AF3174"/>
    <w:rsid w:val="00AF35C7"/>
    <w:rsid w:val="00AF3CA5"/>
    <w:rsid w:val="00AF43A3"/>
    <w:rsid w:val="00AF4DD8"/>
    <w:rsid w:val="00AF544A"/>
    <w:rsid w:val="00AF5EBD"/>
    <w:rsid w:val="00AF6655"/>
    <w:rsid w:val="00AF69F3"/>
    <w:rsid w:val="00AF725A"/>
    <w:rsid w:val="00AF754F"/>
    <w:rsid w:val="00AF7AAD"/>
    <w:rsid w:val="00AF7B6E"/>
    <w:rsid w:val="00AF7F55"/>
    <w:rsid w:val="00B0003C"/>
    <w:rsid w:val="00B000E6"/>
    <w:rsid w:val="00B00857"/>
    <w:rsid w:val="00B01228"/>
    <w:rsid w:val="00B01460"/>
    <w:rsid w:val="00B01A4E"/>
    <w:rsid w:val="00B02D45"/>
    <w:rsid w:val="00B04A1E"/>
    <w:rsid w:val="00B04A94"/>
    <w:rsid w:val="00B05375"/>
    <w:rsid w:val="00B0560B"/>
    <w:rsid w:val="00B07DB0"/>
    <w:rsid w:val="00B10408"/>
    <w:rsid w:val="00B105BD"/>
    <w:rsid w:val="00B106FD"/>
    <w:rsid w:val="00B10BE1"/>
    <w:rsid w:val="00B10D9D"/>
    <w:rsid w:val="00B11B0F"/>
    <w:rsid w:val="00B1213A"/>
    <w:rsid w:val="00B12632"/>
    <w:rsid w:val="00B12DE0"/>
    <w:rsid w:val="00B1327D"/>
    <w:rsid w:val="00B13484"/>
    <w:rsid w:val="00B139F0"/>
    <w:rsid w:val="00B13E2F"/>
    <w:rsid w:val="00B1463C"/>
    <w:rsid w:val="00B15071"/>
    <w:rsid w:val="00B153A3"/>
    <w:rsid w:val="00B16045"/>
    <w:rsid w:val="00B160FF"/>
    <w:rsid w:val="00B16969"/>
    <w:rsid w:val="00B16B10"/>
    <w:rsid w:val="00B1789B"/>
    <w:rsid w:val="00B179DA"/>
    <w:rsid w:val="00B17E29"/>
    <w:rsid w:val="00B204EA"/>
    <w:rsid w:val="00B21357"/>
    <w:rsid w:val="00B21740"/>
    <w:rsid w:val="00B22385"/>
    <w:rsid w:val="00B236E0"/>
    <w:rsid w:val="00B24F51"/>
    <w:rsid w:val="00B2686A"/>
    <w:rsid w:val="00B26AD9"/>
    <w:rsid w:val="00B26C0E"/>
    <w:rsid w:val="00B273FA"/>
    <w:rsid w:val="00B27713"/>
    <w:rsid w:val="00B27770"/>
    <w:rsid w:val="00B30747"/>
    <w:rsid w:val="00B3082C"/>
    <w:rsid w:val="00B30BFA"/>
    <w:rsid w:val="00B312E0"/>
    <w:rsid w:val="00B31949"/>
    <w:rsid w:val="00B3206C"/>
    <w:rsid w:val="00B331C0"/>
    <w:rsid w:val="00B337B1"/>
    <w:rsid w:val="00B343A7"/>
    <w:rsid w:val="00B34D51"/>
    <w:rsid w:val="00B3654B"/>
    <w:rsid w:val="00B36A8B"/>
    <w:rsid w:val="00B3736B"/>
    <w:rsid w:val="00B373B1"/>
    <w:rsid w:val="00B37A0A"/>
    <w:rsid w:val="00B400A2"/>
    <w:rsid w:val="00B402CF"/>
    <w:rsid w:val="00B40BC3"/>
    <w:rsid w:val="00B41AA9"/>
    <w:rsid w:val="00B42052"/>
    <w:rsid w:val="00B42143"/>
    <w:rsid w:val="00B4231E"/>
    <w:rsid w:val="00B428B5"/>
    <w:rsid w:val="00B42B82"/>
    <w:rsid w:val="00B42D4F"/>
    <w:rsid w:val="00B43798"/>
    <w:rsid w:val="00B43DE2"/>
    <w:rsid w:val="00B442FF"/>
    <w:rsid w:val="00B44A3E"/>
    <w:rsid w:val="00B44B93"/>
    <w:rsid w:val="00B45A10"/>
    <w:rsid w:val="00B466BF"/>
    <w:rsid w:val="00B47CE2"/>
    <w:rsid w:val="00B47DFC"/>
    <w:rsid w:val="00B47E80"/>
    <w:rsid w:val="00B504A7"/>
    <w:rsid w:val="00B50692"/>
    <w:rsid w:val="00B50733"/>
    <w:rsid w:val="00B519CC"/>
    <w:rsid w:val="00B525A4"/>
    <w:rsid w:val="00B53EEB"/>
    <w:rsid w:val="00B55EAA"/>
    <w:rsid w:val="00B563E8"/>
    <w:rsid w:val="00B571DC"/>
    <w:rsid w:val="00B572DF"/>
    <w:rsid w:val="00B60327"/>
    <w:rsid w:val="00B606E5"/>
    <w:rsid w:val="00B609EC"/>
    <w:rsid w:val="00B61390"/>
    <w:rsid w:val="00B6233D"/>
    <w:rsid w:val="00B625E0"/>
    <w:rsid w:val="00B642F1"/>
    <w:rsid w:val="00B64F3F"/>
    <w:rsid w:val="00B64FDB"/>
    <w:rsid w:val="00B6564E"/>
    <w:rsid w:val="00B66BCA"/>
    <w:rsid w:val="00B670BF"/>
    <w:rsid w:val="00B67AC7"/>
    <w:rsid w:val="00B70220"/>
    <w:rsid w:val="00B70538"/>
    <w:rsid w:val="00B705E8"/>
    <w:rsid w:val="00B706C6"/>
    <w:rsid w:val="00B70A7F"/>
    <w:rsid w:val="00B70E1E"/>
    <w:rsid w:val="00B715DC"/>
    <w:rsid w:val="00B7459D"/>
    <w:rsid w:val="00B74B06"/>
    <w:rsid w:val="00B74F61"/>
    <w:rsid w:val="00B75557"/>
    <w:rsid w:val="00B758BB"/>
    <w:rsid w:val="00B75DE4"/>
    <w:rsid w:val="00B76551"/>
    <w:rsid w:val="00B7675A"/>
    <w:rsid w:val="00B806F4"/>
    <w:rsid w:val="00B83324"/>
    <w:rsid w:val="00B83F0D"/>
    <w:rsid w:val="00B85920"/>
    <w:rsid w:val="00B85A59"/>
    <w:rsid w:val="00B85E24"/>
    <w:rsid w:val="00B86566"/>
    <w:rsid w:val="00B86BC2"/>
    <w:rsid w:val="00B876F6"/>
    <w:rsid w:val="00B87D27"/>
    <w:rsid w:val="00B87F4C"/>
    <w:rsid w:val="00B905A3"/>
    <w:rsid w:val="00B90BFE"/>
    <w:rsid w:val="00B91548"/>
    <w:rsid w:val="00B918E3"/>
    <w:rsid w:val="00B91938"/>
    <w:rsid w:val="00B92419"/>
    <w:rsid w:val="00B92533"/>
    <w:rsid w:val="00B9412F"/>
    <w:rsid w:val="00B9484E"/>
    <w:rsid w:val="00B950D3"/>
    <w:rsid w:val="00B9530C"/>
    <w:rsid w:val="00B954F6"/>
    <w:rsid w:val="00B96162"/>
    <w:rsid w:val="00B964CD"/>
    <w:rsid w:val="00B97143"/>
    <w:rsid w:val="00B97350"/>
    <w:rsid w:val="00B97581"/>
    <w:rsid w:val="00B97AB5"/>
    <w:rsid w:val="00B97B03"/>
    <w:rsid w:val="00BA0600"/>
    <w:rsid w:val="00BA0935"/>
    <w:rsid w:val="00BA0F1B"/>
    <w:rsid w:val="00BA19C5"/>
    <w:rsid w:val="00BA1D83"/>
    <w:rsid w:val="00BA2331"/>
    <w:rsid w:val="00BA26A2"/>
    <w:rsid w:val="00BA2BE0"/>
    <w:rsid w:val="00BA2C40"/>
    <w:rsid w:val="00BA3528"/>
    <w:rsid w:val="00BA4097"/>
    <w:rsid w:val="00BA5156"/>
    <w:rsid w:val="00BA5640"/>
    <w:rsid w:val="00BA6222"/>
    <w:rsid w:val="00BA7211"/>
    <w:rsid w:val="00BA7587"/>
    <w:rsid w:val="00BA7A7F"/>
    <w:rsid w:val="00BA7F7C"/>
    <w:rsid w:val="00BB0A31"/>
    <w:rsid w:val="00BB0DB6"/>
    <w:rsid w:val="00BB16B1"/>
    <w:rsid w:val="00BB1C6D"/>
    <w:rsid w:val="00BB229F"/>
    <w:rsid w:val="00BB23C8"/>
    <w:rsid w:val="00BB2D99"/>
    <w:rsid w:val="00BB3636"/>
    <w:rsid w:val="00BB3976"/>
    <w:rsid w:val="00BB3B01"/>
    <w:rsid w:val="00BB3E39"/>
    <w:rsid w:val="00BB4B56"/>
    <w:rsid w:val="00BB54F4"/>
    <w:rsid w:val="00BB5ADF"/>
    <w:rsid w:val="00BB5DF1"/>
    <w:rsid w:val="00BB5F49"/>
    <w:rsid w:val="00BB6999"/>
    <w:rsid w:val="00BB6FCA"/>
    <w:rsid w:val="00BB7DC4"/>
    <w:rsid w:val="00BC035A"/>
    <w:rsid w:val="00BC0BCE"/>
    <w:rsid w:val="00BC12E9"/>
    <w:rsid w:val="00BC233D"/>
    <w:rsid w:val="00BC3AA4"/>
    <w:rsid w:val="00BC3CC6"/>
    <w:rsid w:val="00BC4E90"/>
    <w:rsid w:val="00BC5838"/>
    <w:rsid w:val="00BC5CA3"/>
    <w:rsid w:val="00BC681E"/>
    <w:rsid w:val="00BC689D"/>
    <w:rsid w:val="00BC6E32"/>
    <w:rsid w:val="00BC77A3"/>
    <w:rsid w:val="00BC7AEC"/>
    <w:rsid w:val="00BC7E4E"/>
    <w:rsid w:val="00BD1018"/>
    <w:rsid w:val="00BD2783"/>
    <w:rsid w:val="00BD2B26"/>
    <w:rsid w:val="00BD2F26"/>
    <w:rsid w:val="00BD34B7"/>
    <w:rsid w:val="00BD536D"/>
    <w:rsid w:val="00BD61F5"/>
    <w:rsid w:val="00BD6C63"/>
    <w:rsid w:val="00BD6DC5"/>
    <w:rsid w:val="00BD727C"/>
    <w:rsid w:val="00BD775B"/>
    <w:rsid w:val="00BE0854"/>
    <w:rsid w:val="00BE15C8"/>
    <w:rsid w:val="00BE1713"/>
    <w:rsid w:val="00BE1B48"/>
    <w:rsid w:val="00BE1ED2"/>
    <w:rsid w:val="00BE22C1"/>
    <w:rsid w:val="00BE2EA5"/>
    <w:rsid w:val="00BE48CB"/>
    <w:rsid w:val="00BE64F9"/>
    <w:rsid w:val="00BE75A5"/>
    <w:rsid w:val="00BE77E4"/>
    <w:rsid w:val="00BF0292"/>
    <w:rsid w:val="00BF21F5"/>
    <w:rsid w:val="00BF3350"/>
    <w:rsid w:val="00BF341D"/>
    <w:rsid w:val="00BF3473"/>
    <w:rsid w:val="00BF3514"/>
    <w:rsid w:val="00BF42D6"/>
    <w:rsid w:val="00BF58C1"/>
    <w:rsid w:val="00BF686B"/>
    <w:rsid w:val="00BF718F"/>
    <w:rsid w:val="00BF767C"/>
    <w:rsid w:val="00C0065E"/>
    <w:rsid w:val="00C00CA6"/>
    <w:rsid w:val="00C02D0B"/>
    <w:rsid w:val="00C0347F"/>
    <w:rsid w:val="00C036BC"/>
    <w:rsid w:val="00C0476A"/>
    <w:rsid w:val="00C05166"/>
    <w:rsid w:val="00C06FB1"/>
    <w:rsid w:val="00C077F8"/>
    <w:rsid w:val="00C07AB6"/>
    <w:rsid w:val="00C107A6"/>
    <w:rsid w:val="00C10B97"/>
    <w:rsid w:val="00C11773"/>
    <w:rsid w:val="00C119B3"/>
    <w:rsid w:val="00C11F0B"/>
    <w:rsid w:val="00C1222E"/>
    <w:rsid w:val="00C12473"/>
    <w:rsid w:val="00C12E8F"/>
    <w:rsid w:val="00C1315E"/>
    <w:rsid w:val="00C13877"/>
    <w:rsid w:val="00C13DEC"/>
    <w:rsid w:val="00C1508B"/>
    <w:rsid w:val="00C16397"/>
    <w:rsid w:val="00C16803"/>
    <w:rsid w:val="00C17274"/>
    <w:rsid w:val="00C1793B"/>
    <w:rsid w:val="00C17AD6"/>
    <w:rsid w:val="00C201CA"/>
    <w:rsid w:val="00C20313"/>
    <w:rsid w:val="00C21F8D"/>
    <w:rsid w:val="00C2206F"/>
    <w:rsid w:val="00C2240B"/>
    <w:rsid w:val="00C22A2C"/>
    <w:rsid w:val="00C23AB8"/>
    <w:rsid w:val="00C23D73"/>
    <w:rsid w:val="00C23FF1"/>
    <w:rsid w:val="00C241A1"/>
    <w:rsid w:val="00C24CAE"/>
    <w:rsid w:val="00C26807"/>
    <w:rsid w:val="00C27500"/>
    <w:rsid w:val="00C27ADF"/>
    <w:rsid w:val="00C306E8"/>
    <w:rsid w:val="00C30901"/>
    <w:rsid w:val="00C30FE1"/>
    <w:rsid w:val="00C310B6"/>
    <w:rsid w:val="00C3137A"/>
    <w:rsid w:val="00C31641"/>
    <w:rsid w:val="00C33B4E"/>
    <w:rsid w:val="00C34769"/>
    <w:rsid w:val="00C34F0D"/>
    <w:rsid w:val="00C34F46"/>
    <w:rsid w:val="00C35247"/>
    <w:rsid w:val="00C353A1"/>
    <w:rsid w:val="00C356AB"/>
    <w:rsid w:val="00C35956"/>
    <w:rsid w:val="00C35961"/>
    <w:rsid w:val="00C359E9"/>
    <w:rsid w:val="00C36025"/>
    <w:rsid w:val="00C36241"/>
    <w:rsid w:val="00C37BBB"/>
    <w:rsid w:val="00C400CC"/>
    <w:rsid w:val="00C4033D"/>
    <w:rsid w:val="00C40586"/>
    <w:rsid w:val="00C407D6"/>
    <w:rsid w:val="00C40D4D"/>
    <w:rsid w:val="00C40FFC"/>
    <w:rsid w:val="00C41A33"/>
    <w:rsid w:val="00C4208F"/>
    <w:rsid w:val="00C42691"/>
    <w:rsid w:val="00C436C0"/>
    <w:rsid w:val="00C44378"/>
    <w:rsid w:val="00C4517C"/>
    <w:rsid w:val="00C45AF3"/>
    <w:rsid w:val="00C45B0D"/>
    <w:rsid w:val="00C460C1"/>
    <w:rsid w:val="00C4647E"/>
    <w:rsid w:val="00C46751"/>
    <w:rsid w:val="00C47475"/>
    <w:rsid w:val="00C4768E"/>
    <w:rsid w:val="00C50B9A"/>
    <w:rsid w:val="00C50C6B"/>
    <w:rsid w:val="00C50F4A"/>
    <w:rsid w:val="00C5188F"/>
    <w:rsid w:val="00C5191F"/>
    <w:rsid w:val="00C55987"/>
    <w:rsid w:val="00C55A06"/>
    <w:rsid w:val="00C5657B"/>
    <w:rsid w:val="00C56BDB"/>
    <w:rsid w:val="00C5701A"/>
    <w:rsid w:val="00C57D29"/>
    <w:rsid w:val="00C60A73"/>
    <w:rsid w:val="00C6203D"/>
    <w:rsid w:val="00C62638"/>
    <w:rsid w:val="00C62750"/>
    <w:rsid w:val="00C62EB7"/>
    <w:rsid w:val="00C630D0"/>
    <w:rsid w:val="00C63E7B"/>
    <w:rsid w:val="00C640B5"/>
    <w:rsid w:val="00C64773"/>
    <w:rsid w:val="00C64CF0"/>
    <w:rsid w:val="00C654F1"/>
    <w:rsid w:val="00C6679E"/>
    <w:rsid w:val="00C67551"/>
    <w:rsid w:val="00C7042D"/>
    <w:rsid w:val="00C71622"/>
    <w:rsid w:val="00C72120"/>
    <w:rsid w:val="00C7266D"/>
    <w:rsid w:val="00C73A02"/>
    <w:rsid w:val="00C74F25"/>
    <w:rsid w:val="00C761F9"/>
    <w:rsid w:val="00C77255"/>
    <w:rsid w:val="00C77DA0"/>
    <w:rsid w:val="00C816A0"/>
    <w:rsid w:val="00C821EE"/>
    <w:rsid w:val="00C82E29"/>
    <w:rsid w:val="00C84234"/>
    <w:rsid w:val="00C843D7"/>
    <w:rsid w:val="00C845C0"/>
    <w:rsid w:val="00C84A0A"/>
    <w:rsid w:val="00C851A6"/>
    <w:rsid w:val="00C8592B"/>
    <w:rsid w:val="00C86C9D"/>
    <w:rsid w:val="00C86E2D"/>
    <w:rsid w:val="00C872C2"/>
    <w:rsid w:val="00C87A65"/>
    <w:rsid w:val="00C90325"/>
    <w:rsid w:val="00C90A15"/>
    <w:rsid w:val="00C920F8"/>
    <w:rsid w:val="00C92879"/>
    <w:rsid w:val="00C95999"/>
    <w:rsid w:val="00C95EA4"/>
    <w:rsid w:val="00C961C9"/>
    <w:rsid w:val="00C9641F"/>
    <w:rsid w:val="00C97750"/>
    <w:rsid w:val="00CA11D6"/>
    <w:rsid w:val="00CA14AF"/>
    <w:rsid w:val="00CA1EE0"/>
    <w:rsid w:val="00CA224A"/>
    <w:rsid w:val="00CA2E01"/>
    <w:rsid w:val="00CA3396"/>
    <w:rsid w:val="00CA3537"/>
    <w:rsid w:val="00CA35CD"/>
    <w:rsid w:val="00CA39C6"/>
    <w:rsid w:val="00CA39D8"/>
    <w:rsid w:val="00CA3E77"/>
    <w:rsid w:val="00CA4CCE"/>
    <w:rsid w:val="00CA5D12"/>
    <w:rsid w:val="00CA67E4"/>
    <w:rsid w:val="00CA73E2"/>
    <w:rsid w:val="00CA7963"/>
    <w:rsid w:val="00CA7FA0"/>
    <w:rsid w:val="00CB0EAF"/>
    <w:rsid w:val="00CB1084"/>
    <w:rsid w:val="00CB18E0"/>
    <w:rsid w:val="00CB2246"/>
    <w:rsid w:val="00CB37DE"/>
    <w:rsid w:val="00CB3A42"/>
    <w:rsid w:val="00CB4D2A"/>
    <w:rsid w:val="00CB4DB1"/>
    <w:rsid w:val="00CC1092"/>
    <w:rsid w:val="00CC1B40"/>
    <w:rsid w:val="00CC3542"/>
    <w:rsid w:val="00CC3A56"/>
    <w:rsid w:val="00CC411F"/>
    <w:rsid w:val="00CC4185"/>
    <w:rsid w:val="00CC43BA"/>
    <w:rsid w:val="00CC5C68"/>
    <w:rsid w:val="00CC60E7"/>
    <w:rsid w:val="00CC6938"/>
    <w:rsid w:val="00CC7A93"/>
    <w:rsid w:val="00CD000F"/>
    <w:rsid w:val="00CD1593"/>
    <w:rsid w:val="00CD2DD2"/>
    <w:rsid w:val="00CD34D3"/>
    <w:rsid w:val="00CD4067"/>
    <w:rsid w:val="00CD409B"/>
    <w:rsid w:val="00CD4B1C"/>
    <w:rsid w:val="00CD5489"/>
    <w:rsid w:val="00CD55B6"/>
    <w:rsid w:val="00CD665A"/>
    <w:rsid w:val="00CD68CE"/>
    <w:rsid w:val="00CD7428"/>
    <w:rsid w:val="00CE08CE"/>
    <w:rsid w:val="00CE08DC"/>
    <w:rsid w:val="00CE0BAD"/>
    <w:rsid w:val="00CE20E9"/>
    <w:rsid w:val="00CE2744"/>
    <w:rsid w:val="00CE2910"/>
    <w:rsid w:val="00CE3773"/>
    <w:rsid w:val="00CE41D5"/>
    <w:rsid w:val="00CE43AF"/>
    <w:rsid w:val="00CE4E9A"/>
    <w:rsid w:val="00CE5678"/>
    <w:rsid w:val="00CE5C18"/>
    <w:rsid w:val="00CE675E"/>
    <w:rsid w:val="00CE67E7"/>
    <w:rsid w:val="00CE6EB0"/>
    <w:rsid w:val="00CE6FC5"/>
    <w:rsid w:val="00CE701C"/>
    <w:rsid w:val="00CE7F13"/>
    <w:rsid w:val="00CF005C"/>
    <w:rsid w:val="00CF0E33"/>
    <w:rsid w:val="00CF2366"/>
    <w:rsid w:val="00CF2C3F"/>
    <w:rsid w:val="00CF4490"/>
    <w:rsid w:val="00CF59B6"/>
    <w:rsid w:val="00CF5A8F"/>
    <w:rsid w:val="00CF74E6"/>
    <w:rsid w:val="00CF778F"/>
    <w:rsid w:val="00CF77B7"/>
    <w:rsid w:val="00CF781D"/>
    <w:rsid w:val="00CF7CDA"/>
    <w:rsid w:val="00D00379"/>
    <w:rsid w:val="00D00FB3"/>
    <w:rsid w:val="00D0133C"/>
    <w:rsid w:val="00D01850"/>
    <w:rsid w:val="00D01C21"/>
    <w:rsid w:val="00D028CD"/>
    <w:rsid w:val="00D02EDF"/>
    <w:rsid w:val="00D0334F"/>
    <w:rsid w:val="00D0422A"/>
    <w:rsid w:val="00D046A4"/>
    <w:rsid w:val="00D05487"/>
    <w:rsid w:val="00D057EE"/>
    <w:rsid w:val="00D061A2"/>
    <w:rsid w:val="00D06571"/>
    <w:rsid w:val="00D066A2"/>
    <w:rsid w:val="00D10467"/>
    <w:rsid w:val="00D10652"/>
    <w:rsid w:val="00D108FD"/>
    <w:rsid w:val="00D11859"/>
    <w:rsid w:val="00D12A5B"/>
    <w:rsid w:val="00D13DB2"/>
    <w:rsid w:val="00D15082"/>
    <w:rsid w:val="00D151DD"/>
    <w:rsid w:val="00D159C2"/>
    <w:rsid w:val="00D160F3"/>
    <w:rsid w:val="00D1766A"/>
    <w:rsid w:val="00D209B6"/>
    <w:rsid w:val="00D2255F"/>
    <w:rsid w:val="00D22A84"/>
    <w:rsid w:val="00D2354C"/>
    <w:rsid w:val="00D2424D"/>
    <w:rsid w:val="00D24620"/>
    <w:rsid w:val="00D246E1"/>
    <w:rsid w:val="00D247C6"/>
    <w:rsid w:val="00D24A77"/>
    <w:rsid w:val="00D25854"/>
    <w:rsid w:val="00D25903"/>
    <w:rsid w:val="00D27075"/>
    <w:rsid w:val="00D30214"/>
    <w:rsid w:val="00D304C9"/>
    <w:rsid w:val="00D3123C"/>
    <w:rsid w:val="00D32A49"/>
    <w:rsid w:val="00D332EC"/>
    <w:rsid w:val="00D33979"/>
    <w:rsid w:val="00D33C32"/>
    <w:rsid w:val="00D33E15"/>
    <w:rsid w:val="00D33EC4"/>
    <w:rsid w:val="00D33F73"/>
    <w:rsid w:val="00D344B2"/>
    <w:rsid w:val="00D34974"/>
    <w:rsid w:val="00D36952"/>
    <w:rsid w:val="00D37787"/>
    <w:rsid w:val="00D406F9"/>
    <w:rsid w:val="00D40A9A"/>
    <w:rsid w:val="00D42071"/>
    <w:rsid w:val="00D42E5E"/>
    <w:rsid w:val="00D4308A"/>
    <w:rsid w:val="00D445D0"/>
    <w:rsid w:val="00D44B05"/>
    <w:rsid w:val="00D44DDC"/>
    <w:rsid w:val="00D46121"/>
    <w:rsid w:val="00D46853"/>
    <w:rsid w:val="00D46A9C"/>
    <w:rsid w:val="00D4707D"/>
    <w:rsid w:val="00D4770E"/>
    <w:rsid w:val="00D50B06"/>
    <w:rsid w:val="00D51B5E"/>
    <w:rsid w:val="00D52543"/>
    <w:rsid w:val="00D52C15"/>
    <w:rsid w:val="00D53417"/>
    <w:rsid w:val="00D53569"/>
    <w:rsid w:val="00D5376A"/>
    <w:rsid w:val="00D54545"/>
    <w:rsid w:val="00D55377"/>
    <w:rsid w:val="00D557D5"/>
    <w:rsid w:val="00D56F4A"/>
    <w:rsid w:val="00D5711E"/>
    <w:rsid w:val="00D57E05"/>
    <w:rsid w:val="00D57E4B"/>
    <w:rsid w:val="00D57F52"/>
    <w:rsid w:val="00D60265"/>
    <w:rsid w:val="00D62265"/>
    <w:rsid w:val="00D62A64"/>
    <w:rsid w:val="00D6356F"/>
    <w:rsid w:val="00D63573"/>
    <w:rsid w:val="00D635C3"/>
    <w:rsid w:val="00D64769"/>
    <w:rsid w:val="00D64F50"/>
    <w:rsid w:val="00D65F9C"/>
    <w:rsid w:val="00D6715B"/>
    <w:rsid w:val="00D6717D"/>
    <w:rsid w:val="00D671A1"/>
    <w:rsid w:val="00D6747E"/>
    <w:rsid w:val="00D675A0"/>
    <w:rsid w:val="00D67D2E"/>
    <w:rsid w:val="00D706EC"/>
    <w:rsid w:val="00D70B18"/>
    <w:rsid w:val="00D7167B"/>
    <w:rsid w:val="00D71F74"/>
    <w:rsid w:val="00D72A23"/>
    <w:rsid w:val="00D73519"/>
    <w:rsid w:val="00D7359A"/>
    <w:rsid w:val="00D73E83"/>
    <w:rsid w:val="00D74CC6"/>
    <w:rsid w:val="00D751DE"/>
    <w:rsid w:val="00D75549"/>
    <w:rsid w:val="00D77010"/>
    <w:rsid w:val="00D80A3E"/>
    <w:rsid w:val="00D81440"/>
    <w:rsid w:val="00D82146"/>
    <w:rsid w:val="00D8248E"/>
    <w:rsid w:val="00D825BC"/>
    <w:rsid w:val="00D82E75"/>
    <w:rsid w:val="00D8383A"/>
    <w:rsid w:val="00D84061"/>
    <w:rsid w:val="00D84B3D"/>
    <w:rsid w:val="00D8545E"/>
    <w:rsid w:val="00D8591B"/>
    <w:rsid w:val="00D859B0"/>
    <w:rsid w:val="00D85BF0"/>
    <w:rsid w:val="00D85C83"/>
    <w:rsid w:val="00D86143"/>
    <w:rsid w:val="00D872C4"/>
    <w:rsid w:val="00D907A0"/>
    <w:rsid w:val="00D90EE9"/>
    <w:rsid w:val="00D90FBA"/>
    <w:rsid w:val="00D914E6"/>
    <w:rsid w:val="00D91550"/>
    <w:rsid w:val="00D9181D"/>
    <w:rsid w:val="00D92151"/>
    <w:rsid w:val="00D92315"/>
    <w:rsid w:val="00D92EF0"/>
    <w:rsid w:val="00D95D18"/>
    <w:rsid w:val="00D96C50"/>
    <w:rsid w:val="00D971D2"/>
    <w:rsid w:val="00DA0131"/>
    <w:rsid w:val="00DA0323"/>
    <w:rsid w:val="00DA1B53"/>
    <w:rsid w:val="00DA1E16"/>
    <w:rsid w:val="00DA2084"/>
    <w:rsid w:val="00DA233D"/>
    <w:rsid w:val="00DA32CC"/>
    <w:rsid w:val="00DA3FF9"/>
    <w:rsid w:val="00DA46DA"/>
    <w:rsid w:val="00DA479D"/>
    <w:rsid w:val="00DA4E06"/>
    <w:rsid w:val="00DA6D67"/>
    <w:rsid w:val="00DA7038"/>
    <w:rsid w:val="00DA7888"/>
    <w:rsid w:val="00DA79F0"/>
    <w:rsid w:val="00DA7FB5"/>
    <w:rsid w:val="00DB1300"/>
    <w:rsid w:val="00DB13BD"/>
    <w:rsid w:val="00DB1971"/>
    <w:rsid w:val="00DB1CEC"/>
    <w:rsid w:val="00DB2FE3"/>
    <w:rsid w:val="00DB33E3"/>
    <w:rsid w:val="00DB341F"/>
    <w:rsid w:val="00DB386D"/>
    <w:rsid w:val="00DB49BC"/>
    <w:rsid w:val="00DB5081"/>
    <w:rsid w:val="00DB6E6C"/>
    <w:rsid w:val="00DC2C2E"/>
    <w:rsid w:val="00DC2DF7"/>
    <w:rsid w:val="00DC38C3"/>
    <w:rsid w:val="00DC451E"/>
    <w:rsid w:val="00DC513B"/>
    <w:rsid w:val="00DC5FA1"/>
    <w:rsid w:val="00DC6BE6"/>
    <w:rsid w:val="00DC7C98"/>
    <w:rsid w:val="00DD0BF8"/>
    <w:rsid w:val="00DD0CE4"/>
    <w:rsid w:val="00DD10FC"/>
    <w:rsid w:val="00DD17C3"/>
    <w:rsid w:val="00DD1FA5"/>
    <w:rsid w:val="00DD2003"/>
    <w:rsid w:val="00DD2299"/>
    <w:rsid w:val="00DD28E6"/>
    <w:rsid w:val="00DD3EF4"/>
    <w:rsid w:val="00DD4594"/>
    <w:rsid w:val="00DD476D"/>
    <w:rsid w:val="00DD4892"/>
    <w:rsid w:val="00DD4EB6"/>
    <w:rsid w:val="00DD5AC2"/>
    <w:rsid w:val="00DD5B4E"/>
    <w:rsid w:val="00DD6125"/>
    <w:rsid w:val="00DE0E17"/>
    <w:rsid w:val="00DE15F6"/>
    <w:rsid w:val="00DE2540"/>
    <w:rsid w:val="00DE352D"/>
    <w:rsid w:val="00DE3721"/>
    <w:rsid w:val="00DE4045"/>
    <w:rsid w:val="00DE46BF"/>
    <w:rsid w:val="00DE4E9F"/>
    <w:rsid w:val="00DE56B4"/>
    <w:rsid w:val="00DE5741"/>
    <w:rsid w:val="00DE5826"/>
    <w:rsid w:val="00DE5B02"/>
    <w:rsid w:val="00DE5D87"/>
    <w:rsid w:val="00DE6381"/>
    <w:rsid w:val="00DE6675"/>
    <w:rsid w:val="00DE6725"/>
    <w:rsid w:val="00DE762E"/>
    <w:rsid w:val="00DE7786"/>
    <w:rsid w:val="00DE7C27"/>
    <w:rsid w:val="00DE7D9B"/>
    <w:rsid w:val="00DF0583"/>
    <w:rsid w:val="00DF0C27"/>
    <w:rsid w:val="00DF0FEF"/>
    <w:rsid w:val="00DF1DA0"/>
    <w:rsid w:val="00DF23B4"/>
    <w:rsid w:val="00DF2742"/>
    <w:rsid w:val="00DF3A33"/>
    <w:rsid w:val="00DF40E7"/>
    <w:rsid w:val="00DF448C"/>
    <w:rsid w:val="00DF45BC"/>
    <w:rsid w:val="00DF4A8E"/>
    <w:rsid w:val="00DF4F11"/>
    <w:rsid w:val="00DF4F57"/>
    <w:rsid w:val="00DF55F8"/>
    <w:rsid w:val="00DF6808"/>
    <w:rsid w:val="00DF6C9E"/>
    <w:rsid w:val="00DF7450"/>
    <w:rsid w:val="00DF79C6"/>
    <w:rsid w:val="00DF7EE1"/>
    <w:rsid w:val="00E00915"/>
    <w:rsid w:val="00E050A9"/>
    <w:rsid w:val="00E05795"/>
    <w:rsid w:val="00E061D8"/>
    <w:rsid w:val="00E06B8C"/>
    <w:rsid w:val="00E06CEE"/>
    <w:rsid w:val="00E06F3D"/>
    <w:rsid w:val="00E07E38"/>
    <w:rsid w:val="00E07EE4"/>
    <w:rsid w:val="00E11102"/>
    <w:rsid w:val="00E1140B"/>
    <w:rsid w:val="00E1169D"/>
    <w:rsid w:val="00E11E96"/>
    <w:rsid w:val="00E124B1"/>
    <w:rsid w:val="00E12FD5"/>
    <w:rsid w:val="00E14245"/>
    <w:rsid w:val="00E14297"/>
    <w:rsid w:val="00E15AFB"/>
    <w:rsid w:val="00E16BBB"/>
    <w:rsid w:val="00E20B16"/>
    <w:rsid w:val="00E21DCF"/>
    <w:rsid w:val="00E21F02"/>
    <w:rsid w:val="00E22703"/>
    <w:rsid w:val="00E22756"/>
    <w:rsid w:val="00E22B2C"/>
    <w:rsid w:val="00E22F49"/>
    <w:rsid w:val="00E23CFB"/>
    <w:rsid w:val="00E23FC2"/>
    <w:rsid w:val="00E24228"/>
    <w:rsid w:val="00E24A67"/>
    <w:rsid w:val="00E24DCC"/>
    <w:rsid w:val="00E25CCC"/>
    <w:rsid w:val="00E27B5F"/>
    <w:rsid w:val="00E31230"/>
    <w:rsid w:val="00E3244A"/>
    <w:rsid w:val="00E32988"/>
    <w:rsid w:val="00E32E9A"/>
    <w:rsid w:val="00E33211"/>
    <w:rsid w:val="00E341FA"/>
    <w:rsid w:val="00E3444E"/>
    <w:rsid w:val="00E3532A"/>
    <w:rsid w:val="00E36A29"/>
    <w:rsid w:val="00E36F30"/>
    <w:rsid w:val="00E3786D"/>
    <w:rsid w:val="00E402CE"/>
    <w:rsid w:val="00E406CD"/>
    <w:rsid w:val="00E40B19"/>
    <w:rsid w:val="00E40B7C"/>
    <w:rsid w:val="00E4146C"/>
    <w:rsid w:val="00E41611"/>
    <w:rsid w:val="00E41833"/>
    <w:rsid w:val="00E41E98"/>
    <w:rsid w:val="00E426E9"/>
    <w:rsid w:val="00E43C9E"/>
    <w:rsid w:val="00E441FF"/>
    <w:rsid w:val="00E445D8"/>
    <w:rsid w:val="00E45B42"/>
    <w:rsid w:val="00E45E7B"/>
    <w:rsid w:val="00E46343"/>
    <w:rsid w:val="00E463AA"/>
    <w:rsid w:val="00E46427"/>
    <w:rsid w:val="00E467E5"/>
    <w:rsid w:val="00E46ACA"/>
    <w:rsid w:val="00E46F58"/>
    <w:rsid w:val="00E501D0"/>
    <w:rsid w:val="00E5063C"/>
    <w:rsid w:val="00E5192D"/>
    <w:rsid w:val="00E526F5"/>
    <w:rsid w:val="00E52881"/>
    <w:rsid w:val="00E52A0C"/>
    <w:rsid w:val="00E52FD1"/>
    <w:rsid w:val="00E533A6"/>
    <w:rsid w:val="00E53CED"/>
    <w:rsid w:val="00E544F2"/>
    <w:rsid w:val="00E5471C"/>
    <w:rsid w:val="00E5528B"/>
    <w:rsid w:val="00E5593B"/>
    <w:rsid w:val="00E60A6F"/>
    <w:rsid w:val="00E619F4"/>
    <w:rsid w:val="00E619F6"/>
    <w:rsid w:val="00E61DB4"/>
    <w:rsid w:val="00E61F8B"/>
    <w:rsid w:val="00E625C2"/>
    <w:rsid w:val="00E629EC"/>
    <w:rsid w:val="00E63429"/>
    <w:rsid w:val="00E63F24"/>
    <w:rsid w:val="00E6531B"/>
    <w:rsid w:val="00E65DC0"/>
    <w:rsid w:val="00E65DDE"/>
    <w:rsid w:val="00E6655C"/>
    <w:rsid w:val="00E66B84"/>
    <w:rsid w:val="00E66D18"/>
    <w:rsid w:val="00E67B53"/>
    <w:rsid w:val="00E67C5F"/>
    <w:rsid w:val="00E70A61"/>
    <w:rsid w:val="00E70C56"/>
    <w:rsid w:val="00E71C1C"/>
    <w:rsid w:val="00E7225B"/>
    <w:rsid w:val="00E72FA3"/>
    <w:rsid w:val="00E737E3"/>
    <w:rsid w:val="00E7590B"/>
    <w:rsid w:val="00E77251"/>
    <w:rsid w:val="00E773C3"/>
    <w:rsid w:val="00E776F0"/>
    <w:rsid w:val="00E77867"/>
    <w:rsid w:val="00E77A84"/>
    <w:rsid w:val="00E808B9"/>
    <w:rsid w:val="00E817EE"/>
    <w:rsid w:val="00E818A4"/>
    <w:rsid w:val="00E818B6"/>
    <w:rsid w:val="00E82247"/>
    <w:rsid w:val="00E82490"/>
    <w:rsid w:val="00E826EE"/>
    <w:rsid w:val="00E829B3"/>
    <w:rsid w:val="00E82D83"/>
    <w:rsid w:val="00E83487"/>
    <w:rsid w:val="00E8537E"/>
    <w:rsid w:val="00E8705B"/>
    <w:rsid w:val="00E8718E"/>
    <w:rsid w:val="00E876D0"/>
    <w:rsid w:val="00E90A8E"/>
    <w:rsid w:val="00E90B9C"/>
    <w:rsid w:val="00E90FC9"/>
    <w:rsid w:val="00E9187B"/>
    <w:rsid w:val="00E91B86"/>
    <w:rsid w:val="00E91EAA"/>
    <w:rsid w:val="00E9222E"/>
    <w:rsid w:val="00E92372"/>
    <w:rsid w:val="00E92ABD"/>
    <w:rsid w:val="00E92C8E"/>
    <w:rsid w:val="00E92DE9"/>
    <w:rsid w:val="00E92FD0"/>
    <w:rsid w:val="00E933F5"/>
    <w:rsid w:val="00E93873"/>
    <w:rsid w:val="00E94124"/>
    <w:rsid w:val="00E94338"/>
    <w:rsid w:val="00E947AB"/>
    <w:rsid w:val="00E94BA8"/>
    <w:rsid w:val="00E9620C"/>
    <w:rsid w:val="00E968BA"/>
    <w:rsid w:val="00E96DEF"/>
    <w:rsid w:val="00E97438"/>
    <w:rsid w:val="00EA0028"/>
    <w:rsid w:val="00EA070C"/>
    <w:rsid w:val="00EA07C2"/>
    <w:rsid w:val="00EA20DF"/>
    <w:rsid w:val="00EA2976"/>
    <w:rsid w:val="00EA2E1D"/>
    <w:rsid w:val="00EA2E9E"/>
    <w:rsid w:val="00EA381D"/>
    <w:rsid w:val="00EA4A25"/>
    <w:rsid w:val="00EA57DC"/>
    <w:rsid w:val="00EA6920"/>
    <w:rsid w:val="00EA6938"/>
    <w:rsid w:val="00EA6C76"/>
    <w:rsid w:val="00EA76B3"/>
    <w:rsid w:val="00EA78CD"/>
    <w:rsid w:val="00EA78E3"/>
    <w:rsid w:val="00EA7CFC"/>
    <w:rsid w:val="00EB045D"/>
    <w:rsid w:val="00EB1C43"/>
    <w:rsid w:val="00EB24A8"/>
    <w:rsid w:val="00EB2981"/>
    <w:rsid w:val="00EB403F"/>
    <w:rsid w:val="00EB41C4"/>
    <w:rsid w:val="00EB4721"/>
    <w:rsid w:val="00EB4AE5"/>
    <w:rsid w:val="00EB4C47"/>
    <w:rsid w:val="00EB55C1"/>
    <w:rsid w:val="00EB55EF"/>
    <w:rsid w:val="00EB6590"/>
    <w:rsid w:val="00EB6988"/>
    <w:rsid w:val="00EB6E0B"/>
    <w:rsid w:val="00EB7202"/>
    <w:rsid w:val="00EB7E30"/>
    <w:rsid w:val="00EB7EE9"/>
    <w:rsid w:val="00EC06BA"/>
    <w:rsid w:val="00EC1909"/>
    <w:rsid w:val="00EC19C3"/>
    <w:rsid w:val="00EC1A2C"/>
    <w:rsid w:val="00EC2835"/>
    <w:rsid w:val="00EC4455"/>
    <w:rsid w:val="00EC4C63"/>
    <w:rsid w:val="00EC531E"/>
    <w:rsid w:val="00EC569C"/>
    <w:rsid w:val="00EC7119"/>
    <w:rsid w:val="00EC7BE1"/>
    <w:rsid w:val="00EC7C22"/>
    <w:rsid w:val="00ED1828"/>
    <w:rsid w:val="00ED23F0"/>
    <w:rsid w:val="00ED2444"/>
    <w:rsid w:val="00ED27A2"/>
    <w:rsid w:val="00ED32F1"/>
    <w:rsid w:val="00ED43E0"/>
    <w:rsid w:val="00ED4EEA"/>
    <w:rsid w:val="00ED6403"/>
    <w:rsid w:val="00ED7049"/>
    <w:rsid w:val="00ED78FF"/>
    <w:rsid w:val="00EE0866"/>
    <w:rsid w:val="00EE0F49"/>
    <w:rsid w:val="00EE1729"/>
    <w:rsid w:val="00EE2A49"/>
    <w:rsid w:val="00EE2FDE"/>
    <w:rsid w:val="00EE5A36"/>
    <w:rsid w:val="00EE5DAF"/>
    <w:rsid w:val="00EE639F"/>
    <w:rsid w:val="00EE752C"/>
    <w:rsid w:val="00EE75E0"/>
    <w:rsid w:val="00EE796E"/>
    <w:rsid w:val="00EE7F03"/>
    <w:rsid w:val="00EF0865"/>
    <w:rsid w:val="00EF0C56"/>
    <w:rsid w:val="00EF0DEE"/>
    <w:rsid w:val="00EF13C0"/>
    <w:rsid w:val="00EF166C"/>
    <w:rsid w:val="00EF2A10"/>
    <w:rsid w:val="00EF3337"/>
    <w:rsid w:val="00EF4E76"/>
    <w:rsid w:val="00EF5F9A"/>
    <w:rsid w:val="00EF601D"/>
    <w:rsid w:val="00EF7A10"/>
    <w:rsid w:val="00F0007F"/>
    <w:rsid w:val="00F00D62"/>
    <w:rsid w:val="00F01040"/>
    <w:rsid w:val="00F01D30"/>
    <w:rsid w:val="00F02144"/>
    <w:rsid w:val="00F0305C"/>
    <w:rsid w:val="00F03992"/>
    <w:rsid w:val="00F03F66"/>
    <w:rsid w:val="00F04388"/>
    <w:rsid w:val="00F07323"/>
    <w:rsid w:val="00F10621"/>
    <w:rsid w:val="00F10CD3"/>
    <w:rsid w:val="00F10D93"/>
    <w:rsid w:val="00F118E3"/>
    <w:rsid w:val="00F11A5B"/>
    <w:rsid w:val="00F120E7"/>
    <w:rsid w:val="00F12747"/>
    <w:rsid w:val="00F12A25"/>
    <w:rsid w:val="00F12E23"/>
    <w:rsid w:val="00F12E7D"/>
    <w:rsid w:val="00F133E6"/>
    <w:rsid w:val="00F13E82"/>
    <w:rsid w:val="00F142D9"/>
    <w:rsid w:val="00F14ECA"/>
    <w:rsid w:val="00F150B2"/>
    <w:rsid w:val="00F152ED"/>
    <w:rsid w:val="00F162BC"/>
    <w:rsid w:val="00F16722"/>
    <w:rsid w:val="00F1692D"/>
    <w:rsid w:val="00F16B2C"/>
    <w:rsid w:val="00F16BD3"/>
    <w:rsid w:val="00F1708E"/>
    <w:rsid w:val="00F17831"/>
    <w:rsid w:val="00F20325"/>
    <w:rsid w:val="00F20435"/>
    <w:rsid w:val="00F2053D"/>
    <w:rsid w:val="00F220BD"/>
    <w:rsid w:val="00F2262D"/>
    <w:rsid w:val="00F23018"/>
    <w:rsid w:val="00F23229"/>
    <w:rsid w:val="00F23B5F"/>
    <w:rsid w:val="00F23C18"/>
    <w:rsid w:val="00F23FEF"/>
    <w:rsid w:val="00F24E01"/>
    <w:rsid w:val="00F25084"/>
    <w:rsid w:val="00F26CD5"/>
    <w:rsid w:val="00F26E3C"/>
    <w:rsid w:val="00F275F1"/>
    <w:rsid w:val="00F277FF"/>
    <w:rsid w:val="00F27AA9"/>
    <w:rsid w:val="00F30A69"/>
    <w:rsid w:val="00F30A75"/>
    <w:rsid w:val="00F311C2"/>
    <w:rsid w:val="00F313EB"/>
    <w:rsid w:val="00F317AD"/>
    <w:rsid w:val="00F33096"/>
    <w:rsid w:val="00F33548"/>
    <w:rsid w:val="00F3514C"/>
    <w:rsid w:val="00F353CA"/>
    <w:rsid w:val="00F35EA1"/>
    <w:rsid w:val="00F36183"/>
    <w:rsid w:val="00F36BBD"/>
    <w:rsid w:val="00F37452"/>
    <w:rsid w:val="00F375E3"/>
    <w:rsid w:val="00F37A2D"/>
    <w:rsid w:val="00F40D25"/>
    <w:rsid w:val="00F41583"/>
    <w:rsid w:val="00F4181D"/>
    <w:rsid w:val="00F41D79"/>
    <w:rsid w:val="00F42338"/>
    <w:rsid w:val="00F42876"/>
    <w:rsid w:val="00F444B9"/>
    <w:rsid w:val="00F44689"/>
    <w:rsid w:val="00F45F28"/>
    <w:rsid w:val="00F47475"/>
    <w:rsid w:val="00F47991"/>
    <w:rsid w:val="00F50C78"/>
    <w:rsid w:val="00F51210"/>
    <w:rsid w:val="00F516E9"/>
    <w:rsid w:val="00F52763"/>
    <w:rsid w:val="00F52C48"/>
    <w:rsid w:val="00F52F52"/>
    <w:rsid w:val="00F53785"/>
    <w:rsid w:val="00F5394E"/>
    <w:rsid w:val="00F557E3"/>
    <w:rsid w:val="00F5660C"/>
    <w:rsid w:val="00F56E70"/>
    <w:rsid w:val="00F57EE7"/>
    <w:rsid w:val="00F605EE"/>
    <w:rsid w:val="00F61F4B"/>
    <w:rsid w:val="00F6305C"/>
    <w:rsid w:val="00F63836"/>
    <w:rsid w:val="00F64399"/>
    <w:rsid w:val="00F64FAD"/>
    <w:rsid w:val="00F65346"/>
    <w:rsid w:val="00F65AE9"/>
    <w:rsid w:val="00F66894"/>
    <w:rsid w:val="00F66C93"/>
    <w:rsid w:val="00F67AB9"/>
    <w:rsid w:val="00F70D1A"/>
    <w:rsid w:val="00F710BC"/>
    <w:rsid w:val="00F7182C"/>
    <w:rsid w:val="00F72218"/>
    <w:rsid w:val="00F729D0"/>
    <w:rsid w:val="00F72B43"/>
    <w:rsid w:val="00F730B8"/>
    <w:rsid w:val="00F75303"/>
    <w:rsid w:val="00F763DE"/>
    <w:rsid w:val="00F76819"/>
    <w:rsid w:val="00F77F53"/>
    <w:rsid w:val="00F80759"/>
    <w:rsid w:val="00F80D57"/>
    <w:rsid w:val="00F814F0"/>
    <w:rsid w:val="00F81C84"/>
    <w:rsid w:val="00F82DAB"/>
    <w:rsid w:val="00F830D4"/>
    <w:rsid w:val="00F8339F"/>
    <w:rsid w:val="00F83859"/>
    <w:rsid w:val="00F83979"/>
    <w:rsid w:val="00F84685"/>
    <w:rsid w:val="00F85F91"/>
    <w:rsid w:val="00F86092"/>
    <w:rsid w:val="00F8669D"/>
    <w:rsid w:val="00F8686D"/>
    <w:rsid w:val="00F86945"/>
    <w:rsid w:val="00F86BF3"/>
    <w:rsid w:val="00F900CD"/>
    <w:rsid w:val="00F9081A"/>
    <w:rsid w:val="00F90A94"/>
    <w:rsid w:val="00F90A9D"/>
    <w:rsid w:val="00F90C06"/>
    <w:rsid w:val="00F916A9"/>
    <w:rsid w:val="00F92CBB"/>
    <w:rsid w:val="00F942EB"/>
    <w:rsid w:val="00F9451F"/>
    <w:rsid w:val="00F947FE"/>
    <w:rsid w:val="00F949CF"/>
    <w:rsid w:val="00F94AAA"/>
    <w:rsid w:val="00F94DF1"/>
    <w:rsid w:val="00F95827"/>
    <w:rsid w:val="00F96005"/>
    <w:rsid w:val="00F96A8A"/>
    <w:rsid w:val="00FA0E84"/>
    <w:rsid w:val="00FA16D0"/>
    <w:rsid w:val="00FA1864"/>
    <w:rsid w:val="00FA2556"/>
    <w:rsid w:val="00FA474F"/>
    <w:rsid w:val="00FA494D"/>
    <w:rsid w:val="00FA4ED1"/>
    <w:rsid w:val="00FA5A47"/>
    <w:rsid w:val="00FA5B52"/>
    <w:rsid w:val="00FA6BFC"/>
    <w:rsid w:val="00FA73C3"/>
    <w:rsid w:val="00FA7A69"/>
    <w:rsid w:val="00FB2B16"/>
    <w:rsid w:val="00FB7417"/>
    <w:rsid w:val="00FB7861"/>
    <w:rsid w:val="00FB7BB4"/>
    <w:rsid w:val="00FB7FCA"/>
    <w:rsid w:val="00FC05D5"/>
    <w:rsid w:val="00FC0E49"/>
    <w:rsid w:val="00FC1C98"/>
    <w:rsid w:val="00FC2405"/>
    <w:rsid w:val="00FC2FBF"/>
    <w:rsid w:val="00FC3482"/>
    <w:rsid w:val="00FC3D60"/>
    <w:rsid w:val="00FC53BD"/>
    <w:rsid w:val="00FC5898"/>
    <w:rsid w:val="00FC5937"/>
    <w:rsid w:val="00FC5E26"/>
    <w:rsid w:val="00FC6300"/>
    <w:rsid w:val="00FC6BB9"/>
    <w:rsid w:val="00FC7DF8"/>
    <w:rsid w:val="00FD02F5"/>
    <w:rsid w:val="00FD25D2"/>
    <w:rsid w:val="00FD342D"/>
    <w:rsid w:val="00FD3AA2"/>
    <w:rsid w:val="00FD4C02"/>
    <w:rsid w:val="00FD647A"/>
    <w:rsid w:val="00FD6492"/>
    <w:rsid w:val="00FD6573"/>
    <w:rsid w:val="00FD66A0"/>
    <w:rsid w:val="00FD6EF7"/>
    <w:rsid w:val="00FD73DD"/>
    <w:rsid w:val="00FD746E"/>
    <w:rsid w:val="00FD795C"/>
    <w:rsid w:val="00FD7AA6"/>
    <w:rsid w:val="00FD7DA6"/>
    <w:rsid w:val="00FE07DE"/>
    <w:rsid w:val="00FE0C55"/>
    <w:rsid w:val="00FE1916"/>
    <w:rsid w:val="00FE1C67"/>
    <w:rsid w:val="00FE1CDD"/>
    <w:rsid w:val="00FE1D8C"/>
    <w:rsid w:val="00FE21C0"/>
    <w:rsid w:val="00FE2447"/>
    <w:rsid w:val="00FE287F"/>
    <w:rsid w:val="00FE35A0"/>
    <w:rsid w:val="00FE475F"/>
    <w:rsid w:val="00FE48EC"/>
    <w:rsid w:val="00FE4B25"/>
    <w:rsid w:val="00FE6504"/>
    <w:rsid w:val="00FE6E90"/>
    <w:rsid w:val="00FE6EFF"/>
    <w:rsid w:val="00FE7348"/>
    <w:rsid w:val="00FF00C2"/>
    <w:rsid w:val="00FF1695"/>
    <w:rsid w:val="00FF16F0"/>
    <w:rsid w:val="00FF2625"/>
    <w:rsid w:val="00FF2C8D"/>
    <w:rsid w:val="00FF319C"/>
    <w:rsid w:val="00FF4D92"/>
    <w:rsid w:val="00FF4F5F"/>
    <w:rsid w:val="00FF54EC"/>
    <w:rsid w:val="00FF580D"/>
    <w:rsid w:val="00FF7365"/>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footer" w:uiPriority="99"/>
    <w:lsdException w:name="caption" w:semiHidden="1" w:unhideWhenUsed="1" w:qFormat="1"/>
    <w:lsdException w:name="footnote reference" w:uiPriority="99"/>
    <w:lsdException w:name="List Number" w:qFormat="1"/>
    <w:lsdException w:name="Title" w:qFormat="1"/>
    <w:lsdException w:name="Subtitle" w:qFormat="1"/>
    <w:lsdException w:name="Block Text" w:uiPriority="1"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2"/>
    <w:link w:val="Heading1Char"/>
    <w:qFormat/>
    <w:rsid w:val="00442F0C"/>
    <w:pPr>
      <w:keepLines/>
      <w:numPr>
        <w:numId w:val="4"/>
      </w:numPr>
      <w:autoSpaceDE/>
      <w:autoSpaceDN/>
      <w:spacing w:after="240"/>
      <w:jc w:val="both"/>
      <w:outlineLvl w:val="0"/>
    </w:pPr>
    <w:rPr>
      <w:b/>
      <w:bCs/>
      <w:caps/>
      <w:szCs w:val="32"/>
      <w:u w:val="single"/>
    </w:rPr>
  </w:style>
  <w:style w:type="paragraph" w:styleId="Heading2">
    <w:name w:val="heading 2"/>
    <w:basedOn w:val="Normal"/>
    <w:next w:val="BodyText2"/>
    <w:link w:val="Heading2Char"/>
    <w:unhideWhenUsed/>
    <w:qFormat/>
    <w:rsid w:val="00442F0C"/>
    <w:pPr>
      <w:keepLines/>
      <w:numPr>
        <w:ilvl w:val="1"/>
        <w:numId w:val="4"/>
      </w:numPr>
      <w:autoSpaceDE/>
      <w:autoSpaceDN/>
      <w:spacing w:after="240"/>
      <w:jc w:val="both"/>
      <w:outlineLvl w:val="1"/>
    </w:pPr>
    <w:rPr>
      <w:b/>
      <w:bCs/>
      <w:iCs/>
      <w:caps/>
      <w:szCs w:val="28"/>
    </w:rPr>
  </w:style>
  <w:style w:type="paragraph" w:styleId="Heading3">
    <w:name w:val="heading 3"/>
    <w:basedOn w:val="Normal"/>
    <w:next w:val="BodyText2"/>
    <w:link w:val="Heading3Char"/>
    <w:unhideWhenUsed/>
    <w:qFormat/>
    <w:rsid w:val="00442F0C"/>
    <w:pPr>
      <w:numPr>
        <w:ilvl w:val="2"/>
        <w:numId w:val="4"/>
      </w:numPr>
      <w:autoSpaceDE/>
      <w:autoSpaceDN/>
      <w:spacing w:after="240"/>
      <w:jc w:val="both"/>
      <w:outlineLvl w:val="2"/>
    </w:pPr>
    <w:rPr>
      <w:b/>
      <w:bCs/>
      <w:szCs w:val="26"/>
    </w:rPr>
  </w:style>
  <w:style w:type="paragraph" w:styleId="Heading4">
    <w:name w:val="heading 4"/>
    <w:basedOn w:val="Normal"/>
    <w:next w:val="BodyText2"/>
    <w:link w:val="Heading4Char"/>
    <w:unhideWhenUsed/>
    <w:qFormat/>
    <w:rsid w:val="00442F0C"/>
    <w:pPr>
      <w:numPr>
        <w:ilvl w:val="3"/>
        <w:numId w:val="4"/>
      </w:numPr>
      <w:autoSpaceDE/>
      <w:autoSpaceDN/>
      <w:spacing w:after="240"/>
      <w:jc w:val="both"/>
      <w:outlineLvl w:val="3"/>
    </w:pPr>
    <w:rPr>
      <w:b/>
      <w:bCs/>
      <w:szCs w:val="28"/>
    </w:rPr>
  </w:style>
  <w:style w:type="paragraph" w:styleId="Heading5">
    <w:name w:val="heading 5"/>
    <w:basedOn w:val="Normal"/>
    <w:next w:val="BodyText2"/>
    <w:link w:val="Heading5Char"/>
    <w:unhideWhenUsed/>
    <w:qFormat/>
    <w:rsid w:val="00442F0C"/>
    <w:pPr>
      <w:numPr>
        <w:ilvl w:val="4"/>
        <w:numId w:val="4"/>
      </w:numPr>
      <w:autoSpaceDE/>
      <w:autoSpaceDN/>
      <w:spacing w:after="240"/>
      <w:jc w:val="both"/>
      <w:outlineLvl w:val="4"/>
    </w:pPr>
    <w:rPr>
      <w:b/>
      <w:bCs/>
      <w:iCs/>
      <w:szCs w:val="26"/>
    </w:rPr>
  </w:style>
  <w:style w:type="paragraph" w:styleId="Heading6">
    <w:name w:val="heading 6"/>
    <w:basedOn w:val="Normal"/>
    <w:next w:val="BodyText2"/>
    <w:link w:val="Heading6Char"/>
    <w:unhideWhenUsed/>
    <w:qFormat/>
    <w:rsid w:val="00442F0C"/>
    <w:pPr>
      <w:numPr>
        <w:ilvl w:val="5"/>
        <w:numId w:val="4"/>
      </w:numPr>
      <w:autoSpaceDE/>
      <w:autoSpaceDN/>
      <w:spacing w:after="240"/>
      <w:outlineLvl w:val="5"/>
    </w:pPr>
    <w:rPr>
      <w:b/>
      <w:bCs/>
      <w:szCs w:val="22"/>
    </w:rPr>
  </w:style>
  <w:style w:type="paragraph" w:styleId="Heading7">
    <w:name w:val="heading 7"/>
    <w:basedOn w:val="Normal"/>
    <w:next w:val="BodyText2"/>
    <w:link w:val="Heading7Char"/>
    <w:unhideWhenUsed/>
    <w:qFormat/>
    <w:rsid w:val="00442F0C"/>
    <w:pPr>
      <w:numPr>
        <w:ilvl w:val="6"/>
        <w:numId w:val="4"/>
      </w:numPr>
      <w:autoSpaceDE/>
      <w:autoSpaceDN/>
      <w:spacing w:after="240"/>
      <w:outlineLvl w:val="6"/>
    </w:pPr>
    <w:rPr>
      <w:b/>
    </w:rPr>
  </w:style>
  <w:style w:type="paragraph" w:styleId="Heading8">
    <w:name w:val="heading 8"/>
    <w:basedOn w:val="Normal"/>
    <w:next w:val="BodyText2"/>
    <w:link w:val="Heading8Char"/>
    <w:unhideWhenUsed/>
    <w:qFormat/>
    <w:rsid w:val="00442F0C"/>
    <w:pPr>
      <w:numPr>
        <w:ilvl w:val="7"/>
        <w:numId w:val="4"/>
      </w:numPr>
      <w:autoSpaceDE/>
      <w:autoSpaceDN/>
      <w:spacing w:after="240"/>
      <w:jc w:val="both"/>
      <w:outlineLvl w:val="7"/>
    </w:pPr>
    <w:rPr>
      <w:b/>
      <w:iCs/>
    </w:rPr>
  </w:style>
  <w:style w:type="paragraph" w:styleId="Heading9">
    <w:name w:val="heading 9"/>
    <w:basedOn w:val="Normal"/>
    <w:next w:val="BodyText2"/>
    <w:link w:val="Heading9Char"/>
    <w:unhideWhenUsed/>
    <w:qFormat/>
    <w:rsid w:val="00442F0C"/>
    <w:pPr>
      <w:numPr>
        <w:ilvl w:val="8"/>
        <w:numId w:val="4"/>
      </w:numPr>
      <w:autoSpaceDE/>
      <w:autoSpaceDN/>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rPr>
      <w:lang w:val="x-none" w:eastAsia="x-none"/>
    </w:r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713D64"/>
    <w:rPr>
      <w:sz w:val="20"/>
      <w:szCs w:val="20"/>
    </w:rPr>
  </w:style>
  <w:style w:type="character" w:styleId="FootnoteReference">
    <w:name w:val="footnote reference"/>
    <w:aliases w:val="o,fr,Style 13,Style 12,Style 28,(NECG) Footnote Reference,Style 11,Style 9,Style 16,Style 15,Style 17,Style 20,o1,fr1,o2,fr2,o3,fr3,Style 8,Style 7,Style 19,Style 42"/>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rPr>
      <w:lang w:val="x-none" w:eastAsia="x-none"/>
    </w:rPr>
  </w:style>
  <w:style w:type="character" w:customStyle="1" w:styleId="HeaderChar">
    <w:name w:val="Header Char"/>
    <w:link w:val="Header"/>
    <w:rsid w:val="00BE0854"/>
    <w:rPr>
      <w:sz w:val="24"/>
      <w:szCs w:val="24"/>
    </w:rPr>
  </w:style>
  <w:style w:type="table" w:styleId="TableGrid">
    <w:name w:val="Table Grid"/>
    <w:basedOn w:val="TableNormal"/>
    <w:rsid w:val="005E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C60EF"/>
    <w:pPr>
      <w:spacing w:after="120" w:line="480" w:lineRule="auto"/>
    </w:pPr>
    <w:rPr>
      <w:lang w:val="x-none" w:eastAsia="x-none"/>
    </w:rPr>
  </w:style>
  <w:style w:type="character" w:customStyle="1" w:styleId="BodyText2Char">
    <w:name w:val="Body Text 2 Char"/>
    <w:link w:val="BodyText2"/>
    <w:rsid w:val="007C60EF"/>
    <w:rPr>
      <w:sz w:val="24"/>
      <w:szCs w:val="24"/>
    </w:rPr>
  </w:style>
  <w:style w:type="paragraph" w:styleId="BodyText">
    <w:name w:val="Body Text"/>
    <w:basedOn w:val="Normal"/>
    <w:link w:val="BodyTextChar"/>
    <w:rsid w:val="006C6975"/>
    <w:pPr>
      <w:widowControl w:val="0"/>
      <w:autoSpaceDE/>
      <w:autoSpaceDN/>
      <w:spacing w:after="240"/>
      <w:ind w:left="1440" w:firstLine="1440"/>
    </w:pPr>
    <w:rPr>
      <w:szCs w:val="20"/>
      <w:lang w:val="x-none" w:eastAsia="x-none"/>
    </w:rPr>
  </w:style>
  <w:style w:type="character" w:customStyle="1" w:styleId="BodyTextChar">
    <w:name w:val="Body Text Char"/>
    <w:link w:val="BodyText"/>
    <w:rsid w:val="006C6975"/>
    <w:rPr>
      <w:sz w:val="24"/>
    </w:rPr>
  </w:style>
  <w:style w:type="paragraph" w:customStyle="1" w:styleId="BusinessSignature">
    <w:name w:val="Business Signature"/>
    <w:basedOn w:val="Normal"/>
    <w:rsid w:val="006C6975"/>
    <w:pPr>
      <w:tabs>
        <w:tab w:val="left" w:pos="403"/>
        <w:tab w:val="right" w:pos="4320"/>
      </w:tabs>
      <w:autoSpaceDE/>
      <w:autoSpaceDN/>
      <w:ind w:left="1440"/>
    </w:pPr>
    <w:rPr>
      <w:szCs w:val="20"/>
    </w:rPr>
  </w:style>
  <w:style w:type="paragraph" w:customStyle="1" w:styleId="TitlePageDate">
    <w:name w:val="Title Page Date"/>
    <w:basedOn w:val="Normal"/>
    <w:rsid w:val="006C6975"/>
    <w:pPr>
      <w:autoSpaceDE/>
      <w:autoSpaceDN/>
      <w:spacing w:before="720"/>
      <w:ind w:left="1440"/>
      <w:jc w:val="center"/>
    </w:pPr>
    <w:rPr>
      <w:b/>
      <w:caps/>
      <w:szCs w:val="20"/>
    </w:rPr>
  </w:style>
  <w:style w:type="paragraph" w:customStyle="1" w:styleId="TitlePageDocument">
    <w:name w:val="Title Page Document"/>
    <w:basedOn w:val="Normal"/>
    <w:rsid w:val="006C6975"/>
    <w:pPr>
      <w:autoSpaceDE/>
      <w:autoSpaceDN/>
      <w:ind w:left="1440"/>
      <w:jc w:val="center"/>
    </w:pPr>
    <w:rPr>
      <w:b/>
      <w:bCs/>
      <w:caps/>
      <w:szCs w:val="20"/>
    </w:rPr>
  </w:style>
  <w:style w:type="paragraph" w:customStyle="1" w:styleId="TitlePageParty">
    <w:name w:val="Title Page Party"/>
    <w:basedOn w:val="Normal"/>
    <w:rsid w:val="006C6975"/>
    <w:pPr>
      <w:autoSpaceDE/>
      <w:autoSpaceDN/>
      <w:spacing w:before="720"/>
      <w:ind w:left="1440"/>
      <w:jc w:val="center"/>
    </w:pPr>
    <w:rPr>
      <w:b/>
      <w:caps/>
      <w:szCs w:val="20"/>
    </w:rPr>
  </w:style>
  <w:style w:type="paragraph" w:customStyle="1" w:styleId="FirmDouble">
    <w:name w:val="Firm Double"/>
    <w:basedOn w:val="Normal"/>
    <w:rsid w:val="006C6975"/>
    <w:pPr>
      <w:autoSpaceDE/>
      <w:autoSpaceDN/>
      <w:spacing w:line="480" w:lineRule="auto"/>
    </w:pPr>
  </w:style>
  <w:style w:type="paragraph" w:customStyle="1" w:styleId="FirmDouble05">
    <w:name w:val="Firm Double 05"/>
    <w:basedOn w:val="Normal"/>
    <w:rsid w:val="006C6975"/>
    <w:pPr>
      <w:autoSpaceDE/>
      <w:autoSpaceDN/>
      <w:spacing w:line="480" w:lineRule="auto"/>
      <w:ind w:left="1440" w:firstLine="720"/>
    </w:pPr>
  </w:style>
  <w:style w:type="paragraph" w:customStyle="1" w:styleId="FirmDouble1">
    <w:name w:val="Firm Double 1"/>
    <w:basedOn w:val="Normal"/>
    <w:rsid w:val="006C6975"/>
    <w:pPr>
      <w:autoSpaceDE/>
      <w:autoSpaceDN/>
      <w:spacing w:line="480" w:lineRule="auto"/>
      <w:ind w:left="1440" w:firstLine="1440"/>
    </w:pPr>
  </w:style>
  <w:style w:type="paragraph" w:customStyle="1" w:styleId="FirmDoubleFullJustify">
    <w:name w:val="Firm Double Full Justify"/>
    <w:basedOn w:val="Normal"/>
    <w:rsid w:val="006C6975"/>
    <w:pPr>
      <w:autoSpaceDE/>
      <w:autoSpaceDN/>
      <w:spacing w:line="480" w:lineRule="auto"/>
      <w:ind w:left="1440"/>
      <w:jc w:val="both"/>
    </w:pPr>
  </w:style>
  <w:style w:type="paragraph" w:customStyle="1" w:styleId="FirmPlain">
    <w:name w:val="Firm Plain"/>
    <w:basedOn w:val="Normal"/>
    <w:rsid w:val="006C6975"/>
    <w:pPr>
      <w:autoSpaceDE/>
      <w:autoSpaceDN/>
    </w:pPr>
  </w:style>
  <w:style w:type="paragraph" w:customStyle="1" w:styleId="FirmQuote">
    <w:name w:val="Firm Quote"/>
    <w:basedOn w:val="Normal"/>
    <w:rsid w:val="006C6975"/>
    <w:pPr>
      <w:autoSpaceDE/>
      <w:autoSpaceDN/>
      <w:spacing w:before="240" w:after="240"/>
      <w:ind w:left="1440" w:right="1440"/>
    </w:pPr>
  </w:style>
  <w:style w:type="paragraph" w:customStyle="1" w:styleId="FirmSingle">
    <w:name w:val="Firm Single"/>
    <w:basedOn w:val="Normal"/>
    <w:rsid w:val="006C6975"/>
    <w:pPr>
      <w:autoSpaceDE/>
      <w:autoSpaceDN/>
      <w:spacing w:after="240"/>
      <w:ind w:left="1440"/>
    </w:pPr>
  </w:style>
  <w:style w:type="paragraph" w:customStyle="1" w:styleId="FirmSingle05">
    <w:name w:val="Firm Single 05"/>
    <w:basedOn w:val="Normal"/>
    <w:rsid w:val="006C6975"/>
    <w:pPr>
      <w:autoSpaceDE/>
      <w:autoSpaceDN/>
      <w:spacing w:after="240"/>
      <w:ind w:left="1440" w:firstLine="720"/>
    </w:pPr>
  </w:style>
  <w:style w:type="paragraph" w:customStyle="1" w:styleId="FirmSingle1">
    <w:name w:val="Firm Single 1"/>
    <w:basedOn w:val="Normal"/>
    <w:rsid w:val="006C6975"/>
    <w:pPr>
      <w:autoSpaceDE/>
      <w:autoSpaceDN/>
      <w:spacing w:after="240"/>
      <w:ind w:left="1440" w:firstLine="1440"/>
    </w:pPr>
  </w:style>
  <w:style w:type="paragraph" w:customStyle="1" w:styleId="FirmSingleFullJustify">
    <w:name w:val="Firm Single Full Justify"/>
    <w:basedOn w:val="Normal"/>
    <w:rsid w:val="006C6975"/>
    <w:pPr>
      <w:autoSpaceDE/>
      <w:autoSpaceDN/>
      <w:spacing w:after="240"/>
      <w:ind w:left="1440"/>
      <w:jc w:val="both"/>
    </w:pPr>
  </w:style>
  <w:style w:type="paragraph" w:customStyle="1" w:styleId="FirmTable">
    <w:name w:val="Firm Table"/>
    <w:basedOn w:val="Normal"/>
    <w:rsid w:val="006C6975"/>
    <w:pPr>
      <w:autoSpaceDE/>
      <w:autoSpaceDN/>
      <w:ind w:left="1440"/>
    </w:pPr>
  </w:style>
  <w:style w:type="paragraph" w:customStyle="1" w:styleId="FirmTitleCB">
    <w:name w:val="Firm Title CB"/>
    <w:basedOn w:val="Normal"/>
    <w:rsid w:val="006C6975"/>
    <w:pPr>
      <w:keepNext/>
      <w:keepLines/>
      <w:autoSpaceDE/>
      <w:autoSpaceDN/>
      <w:spacing w:after="240"/>
      <w:ind w:left="1440"/>
      <w:jc w:val="center"/>
      <w:outlineLvl w:val="0"/>
    </w:pPr>
    <w:rPr>
      <w:b/>
    </w:rPr>
  </w:style>
  <w:style w:type="paragraph" w:customStyle="1" w:styleId="FirmTitleCBU">
    <w:name w:val="Firm Title CBU"/>
    <w:basedOn w:val="Normal"/>
    <w:rsid w:val="006C6975"/>
    <w:pPr>
      <w:keepNext/>
      <w:keepLines/>
      <w:autoSpaceDE/>
      <w:autoSpaceDN/>
      <w:spacing w:after="240"/>
      <w:ind w:left="1440"/>
      <w:jc w:val="center"/>
      <w:outlineLvl w:val="0"/>
    </w:pPr>
    <w:rPr>
      <w:b/>
      <w:u w:val="single"/>
    </w:rPr>
  </w:style>
  <w:style w:type="paragraph" w:customStyle="1" w:styleId="FirmTitleCU">
    <w:name w:val="Firm Title CU"/>
    <w:basedOn w:val="Normal"/>
    <w:rsid w:val="006C6975"/>
    <w:pPr>
      <w:keepNext/>
      <w:keepLines/>
      <w:autoSpaceDE/>
      <w:autoSpaceDN/>
      <w:spacing w:after="240"/>
      <w:ind w:left="1440"/>
      <w:jc w:val="center"/>
      <w:outlineLvl w:val="0"/>
    </w:pPr>
    <w:rPr>
      <w:u w:val="single"/>
    </w:rPr>
  </w:style>
  <w:style w:type="paragraph" w:customStyle="1" w:styleId="FirmTitleLB">
    <w:name w:val="Firm Title LB"/>
    <w:basedOn w:val="Normal"/>
    <w:rsid w:val="006C6975"/>
    <w:pPr>
      <w:keepNext/>
      <w:keepLines/>
      <w:autoSpaceDE/>
      <w:autoSpaceDN/>
      <w:spacing w:after="240"/>
      <w:ind w:left="1440"/>
      <w:outlineLvl w:val="0"/>
    </w:pPr>
    <w:rPr>
      <w:b/>
    </w:rPr>
  </w:style>
  <w:style w:type="paragraph" w:customStyle="1" w:styleId="FirmTitleLBU">
    <w:name w:val="Firm Title LBU"/>
    <w:basedOn w:val="Normal"/>
    <w:rsid w:val="006C6975"/>
    <w:pPr>
      <w:keepNext/>
      <w:keepLines/>
      <w:autoSpaceDE/>
      <w:autoSpaceDN/>
      <w:spacing w:after="240"/>
      <w:ind w:left="1440"/>
      <w:outlineLvl w:val="0"/>
    </w:pPr>
    <w:rPr>
      <w:b/>
      <w:u w:val="single"/>
    </w:rPr>
  </w:style>
  <w:style w:type="paragraph" w:customStyle="1" w:styleId="FirmTitleLU">
    <w:name w:val="Firm Title LU"/>
    <w:basedOn w:val="Normal"/>
    <w:rsid w:val="006C6975"/>
    <w:pPr>
      <w:keepNext/>
      <w:keepLines/>
      <w:autoSpaceDE/>
      <w:autoSpaceDN/>
      <w:spacing w:after="240"/>
      <w:ind w:left="1440"/>
      <w:outlineLvl w:val="0"/>
    </w:pPr>
    <w:rPr>
      <w:u w:val="single"/>
    </w:rPr>
  </w:style>
  <w:style w:type="paragraph" w:customStyle="1" w:styleId="FirmSingle05E">
    <w:name w:val="Firm Single 05 (E)"/>
    <w:basedOn w:val="Normal"/>
    <w:rsid w:val="006C6975"/>
    <w:pPr>
      <w:autoSpaceDE/>
      <w:autoSpaceDN/>
      <w:spacing w:after="240"/>
      <w:ind w:left="720"/>
      <w:jc w:val="both"/>
    </w:pPr>
  </w:style>
  <w:style w:type="paragraph" w:customStyle="1" w:styleId="FirmSingle1E">
    <w:name w:val="Firm Single 1 (E)"/>
    <w:basedOn w:val="Normal"/>
    <w:rsid w:val="006C6975"/>
    <w:pPr>
      <w:autoSpaceDE/>
      <w:autoSpaceDN/>
      <w:spacing w:after="240"/>
      <w:ind w:left="1440"/>
      <w:jc w:val="both"/>
    </w:pPr>
  </w:style>
  <w:style w:type="paragraph" w:customStyle="1" w:styleId="FirmSingle15E">
    <w:name w:val="Firm Single 1.5 (E)"/>
    <w:basedOn w:val="Normal"/>
    <w:rsid w:val="006C6975"/>
    <w:pPr>
      <w:autoSpaceDE/>
      <w:autoSpaceDN/>
      <w:spacing w:after="240"/>
      <w:ind w:left="2160"/>
      <w:jc w:val="both"/>
    </w:pPr>
  </w:style>
  <w:style w:type="paragraph" w:customStyle="1" w:styleId="FirmTitleLB05E">
    <w:name w:val="Firm Title LB 05 (E)"/>
    <w:basedOn w:val="Normal"/>
    <w:rsid w:val="006C6975"/>
    <w:pPr>
      <w:keepNext/>
      <w:keepLines/>
      <w:autoSpaceDE/>
      <w:autoSpaceDN/>
      <w:spacing w:after="240"/>
      <w:ind w:left="720"/>
      <w:outlineLvl w:val="0"/>
    </w:pPr>
    <w:rPr>
      <w:b/>
    </w:rPr>
  </w:style>
  <w:style w:type="paragraph" w:customStyle="1" w:styleId="FirmTitleLBU05E">
    <w:name w:val="Firm Title LBU 05 (E)"/>
    <w:basedOn w:val="Normal"/>
    <w:rsid w:val="006C6975"/>
    <w:pPr>
      <w:keepNext/>
      <w:keepLines/>
      <w:autoSpaceDE/>
      <w:autoSpaceDN/>
      <w:spacing w:after="240"/>
      <w:ind w:left="720"/>
      <w:outlineLvl w:val="0"/>
    </w:pPr>
    <w:rPr>
      <w:b/>
      <w:u w:val="single"/>
    </w:rPr>
  </w:style>
  <w:style w:type="paragraph" w:customStyle="1" w:styleId="FirmTitleLU05E">
    <w:name w:val="Firm Title LU 05 (E)"/>
    <w:basedOn w:val="Normal"/>
    <w:rsid w:val="006C6975"/>
    <w:pPr>
      <w:keepNext/>
      <w:keepLines/>
      <w:autoSpaceDE/>
      <w:autoSpaceDN/>
      <w:spacing w:after="240"/>
      <w:ind w:left="720"/>
      <w:outlineLvl w:val="0"/>
    </w:pPr>
    <w:rPr>
      <w:u w:val="single"/>
    </w:rPr>
  </w:style>
  <w:style w:type="paragraph" w:customStyle="1" w:styleId="FirmTitleLB1E">
    <w:name w:val="Firm Title LB 1 (E)"/>
    <w:basedOn w:val="Normal"/>
    <w:rsid w:val="006C6975"/>
    <w:pPr>
      <w:keepNext/>
      <w:keepLines/>
      <w:autoSpaceDE/>
      <w:autoSpaceDN/>
      <w:spacing w:after="240"/>
      <w:ind w:left="1440"/>
      <w:outlineLvl w:val="0"/>
    </w:pPr>
    <w:rPr>
      <w:b/>
    </w:rPr>
  </w:style>
  <w:style w:type="paragraph" w:customStyle="1" w:styleId="FirmTitleLBU1E">
    <w:name w:val="Firm Title LBU 1 (E)"/>
    <w:basedOn w:val="Normal"/>
    <w:rsid w:val="006C6975"/>
    <w:pPr>
      <w:keepNext/>
      <w:keepLines/>
      <w:autoSpaceDE/>
      <w:autoSpaceDN/>
      <w:spacing w:after="240"/>
      <w:ind w:left="1440"/>
      <w:outlineLvl w:val="0"/>
    </w:pPr>
    <w:rPr>
      <w:b/>
      <w:u w:val="single"/>
    </w:rPr>
  </w:style>
  <w:style w:type="paragraph" w:customStyle="1" w:styleId="FirmTitleLU1E">
    <w:name w:val="Firm Title LU 1 (E)"/>
    <w:basedOn w:val="Normal"/>
    <w:rsid w:val="006C6975"/>
    <w:pPr>
      <w:keepNext/>
      <w:keepLines/>
      <w:autoSpaceDE/>
      <w:autoSpaceDN/>
      <w:spacing w:after="240"/>
      <w:ind w:left="1440"/>
      <w:outlineLvl w:val="0"/>
    </w:pPr>
    <w:rPr>
      <w:u w:val="single"/>
    </w:rPr>
  </w:style>
  <w:style w:type="paragraph" w:customStyle="1" w:styleId="FirmTitleLB15E">
    <w:name w:val="Firm Title LB 1.5 (E)"/>
    <w:basedOn w:val="Normal"/>
    <w:rsid w:val="006C6975"/>
    <w:pPr>
      <w:keepNext/>
      <w:keepLines/>
      <w:autoSpaceDE/>
      <w:autoSpaceDN/>
      <w:spacing w:after="240"/>
      <w:ind w:left="2160"/>
      <w:outlineLvl w:val="0"/>
    </w:pPr>
    <w:rPr>
      <w:b/>
    </w:rPr>
  </w:style>
  <w:style w:type="paragraph" w:customStyle="1" w:styleId="FirmTitleLBU15E">
    <w:name w:val="Firm Title LBU 1.5 (E)"/>
    <w:basedOn w:val="Normal"/>
    <w:rsid w:val="006C6975"/>
    <w:pPr>
      <w:keepNext/>
      <w:keepLines/>
      <w:autoSpaceDE/>
      <w:autoSpaceDN/>
      <w:spacing w:after="240"/>
      <w:ind w:left="2160"/>
      <w:outlineLvl w:val="0"/>
    </w:pPr>
    <w:rPr>
      <w:b/>
      <w:u w:val="single"/>
    </w:rPr>
  </w:style>
  <w:style w:type="paragraph" w:customStyle="1" w:styleId="FirmTitleLU15E">
    <w:name w:val="Firm Title LU 1.5 (E)"/>
    <w:basedOn w:val="Normal"/>
    <w:rsid w:val="006C6975"/>
    <w:pPr>
      <w:keepNext/>
      <w:keepLines/>
      <w:autoSpaceDE/>
      <w:autoSpaceDN/>
      <w:spacing w:after="240"/>
      <w:ind w:left="2160"/>
      <w:outlineLvl w:val="0"/>
    </w:pPr>
    <w:rPr>
      <w:u w:val="single"/>
    </w:rPr>
  </w:style>
  <w:style w:type="paragraph" w:styleId="Quote">
    <w:name w:val="Quote"/>
    <w:basedOn w:val="Normal"/>
    <w:next w:val="BodyTextContinued"/>
    <w:link w:val="QuoteChar"/>
    <w:uiPriority w:val="29"/>
    <w:qFormat/>
    <w:rsid w:val="006C6975"/>
    <w:pPr>
      <w:autoSpaceDE/>
      <w:autoSpaceDN/>
      <w:spacing w:after="240"/>
      <w:ind w:left="1440" w:right="1440"/>
    </w:pPr>
    <w:rPr>
      <w:szCs w:val="20"/>
      <w:lang w:val="x-none" w:eastAsia="x-none"/>
    </w:rPr>
  </w:style>
  <w:style w:type="character" w:customStyle="1" w:styleId="QuoteChar">
    <w:name w:val="Quote Char"/>
    <w:link w:val="Quote"/>
    <w:uiPriority w:val="29"/>
    <w:rsid w:val="006C6975"/>
    <w:rPr>
      <w:sz w:val="24"/>
    </w:rPr>
  </w:style>
  <w:style w:type="paragraph" w:customStyle="1" w:styleId="DeliveryPhrase">
    <w:name w:val="Delivery Phrase"/>
    <w:basedOn w:val="Normal"/>
    <w:next w:val="Normal"/>
    <w:rsid w:val="006C6975"/>
    <w:pPr>
      <w:autoSpaceDE/>
      <w:autoSpaceDN/>
      <w:spacing w:after="240"/>
      <w:ind w:left="1440"/>
    </w:pPr>
    <w:rPr>
      <w:b/>
      <w:caps/>
      <w:szCs w:val="20"/>
    </w:rPr>
  </w:style>
  <w:style w:type="paragraph" w:customStyle="1" w:styleId="DocumentTitle">
    <w:name w:val="Document Title"/>
    <w:basedOn w:val="Normal"/>
    <w:next w:val="BodyText"/>
    <w:rsid w:val="006C6975"/>
    <w:pPr>
      <w:autoSpaceDE/>
      <w:autoSpaceDN/>
      <w:spacing w:after="480"/>
      <w:ind w:left="1440"/>
      <w:jc w:val="center"/>
    </w:pPr>
    <w:rPr>
      <w:b/>
      <w:caps/>
    </w:rPr>
  </w:style>
  <w:style w:type="paragraph" w:customStyle="1" w:styleId="BodyTextContinued">
    <w:name w:val="Body Text Continued"/>
    <w:basedOn w:val="BodyText"/>
    <w:next w:val="BodyText"/>
    <w:rsid w:val="006C6975"/>
    <w:pPr>
      <w:ind w:firstLine="0"/>
    </w:pPr>
  </w:style>
  <w:style w:type="character" w:styleId="Hyperlink">
    <w:name w:val="Hyperlink"/>
    <w:uiPriority w:val="99"/>
    <w:rsid w:val="006C6975"/>
    <w:rPr>
      <w:color w:val="0000FF"/>
      <w:u w:val="single"/>
    </w:rPr>
  </w:style>
  <w:style w:type="paragraph" w:customStyle="1" w:styleId="NumContinue">
    <w:name w:val="Num Continue"/>
    <w:basedOn w:val="BodyText"/>
    <w:rsid w:val="006C6975"/>
    <w:rPr>
      <w:szCs w:val="24"/>
    </w:rPr>
  </w:style>
  <w:style w:type="paragraph" w:customStyle="1" w:styleId="BriefCont1">
    <w:name w:val="Brief Cont 1"/>
    <w:basedOn w:val="Normal"/>
    <w:rsid w:val="006C6975"/>
    <w:pPr>
      <w:autoSpaceDE/>
      <w:autoSpaceDN/>
      <w:spacing w:after="240"/>
      <w:ind w:left="1440"/>
    </w:pPr>
  </w:style>
  <w:style w:type="paragraph" w:customStyle="1" w:styleId="BriefCont2">
    <w:name w:val="Brief Cont 2"/>
    <w:basedOn w:val="BriefCont1"/>
    <w:rsid w:val="006C6975"/>
    <w:pPr>
      <w:ind w:left="2160"/>
    </w:pPr>
  </w:style>
  <w:style w:type="paragraph" w:customStyle="1" w:styleId="BriefCont3">
    <w:name w:val="Brief Cont 3"/>
    <w:basedOn w:val="BriefCont2"/>
    <w:rsid w:val="006C6975"/>
    <w:pPr>
      <w:ind w:left="2880"/>
    </w:pPr>
  </w:style>
  <w:style w:type="paragraph" w:customStyle="1" w:styleId="BriefCont4">
    <w:name w:val="Brief Cont 4"/>
    <w:basedOn w:val="BriefCont3"/>
    <w:rsid w:val="006C6975"/>
  </w:style>
  <w:style w:type="paragraph" w:customStyle="1" w:styleId="BriefCont5">
    <w:name w:val="Brief Cont 5"/>
    <w:basedOn w:val="BriefCont4"/>
    <w:rsid w:val="006C6975"/>
    <w:pPr>
      <w:ind w:left="3600"/>
    </w:pPr>
  </w:style>
  <w:style w:type="paragraph" w:customStyle="1" w:styleId="BriefCont6">
    <w:name w:val="Brief Cont 6"/>
    <w:basedOn w:val="BriefCont5"/>
    <w:rsid w:val="006C6975"/>
    <w:pPr>
      <w:ind w:left="4320"/>
    </w:pPr>
  </w:style>
  <w:style w:type="paragraph" w:customStyle="1" w:styleId="BriefCont7">
    <w:name w:val="Brief Cont 7"/>
    <w:basedOn w:val="BriefCont6"/>
    <w:rsid w:val="006C6975"/>
    <w:pPr>
      <w:ind w:left="5040"/>
    </w:pPr>
  </w:style>
  <w:style w:type="paragraph" w:customStyle="1" w:styleId="BriefCont8">
    <w:name w:val="Brief Cont 8"/>
    <w:basedOn w:val="BriefCont7"/>
    <w:rsid w:val="006C6975"/>
    <w:pPr>
      <w:ind w:left="5760"/>
    </w:pPr>
  </w:style>
  <w:style w:type="paragraph" w:customStyle="1" w:styleId="BriefCont9">
    <w:name w:val="Brief Cont 9"/>
    <w:basedOn w:val="BriefCont8"/>
    <w:rsid w:val="006C6975"/>
    <w:pPr>
      <w:ind w:left="6480"/>
    </w:pPr>
  </w:style>
  <w:style w:type="paragraph" w:customStyle="1" w:styleId="BriefL1">
    <w:name w:val="Brief_L1"/>
    <w:basedOn w:val="Normal"/>
    <w:next w:val="BodyText"/>
    <w:rsid w:val="006C6975"/>
    <w:pPr>
      <w:numPr>
        <w:numId w:val="1"/>
      </w:numPr>
      <w:autoSpaceDE/>
      <w:autoSpaceDN/>
      <w:spacing w:after="360"/>
      <w:jc w:val="center"/>
      <w:outlineLvl w:val="0"/>
    </w:pPr>
    <w:rPr>
      <w:b/>
      <w:caps/>
      <w:szCs w:val="20"/>
    </w:rPr>
  </w:style>
  <w:style w:type="paragraph" w:customStyle="1" w:styleId="BriefL2">
    <w:name w:val="Brief_L2"/>
    <w:basedOn w:val="BriefL1"/>
    <w:next w:val="BodyText"/>
    <w:rsid w:val="006C6975"/>
    <w:pPr>
      <w:keepNext/>
      <w:keepLines/>
      <w:numPr>
        <w:ilvl w:val="1"/>
      </w:numPr>
      <w:jc w:val="left"/>
      <w:outlineLvl w:val="1"/>
    </w:pPr>
    <w:rPr>
      <w:caps w:val="0"/>
    </w:rPr>
  </w:style>
  <w:style w:type="paragraph" w:customStyle="1" w:styleId="BriefL3">
    <w:name w:val="Brief_L3"/>
    <w:basedOn w:val="BriefL2"/>
    <w:rsid w:val="006C6975"/>
    <w:pPr>
      <w:keepNext w:val="0"/>
      <w:keepLines w:val="0"/>
      <w:numPr>
        <w:ilvl w:val="2"/>
      </w:numPr>
      <w:spacing w:after="240"/>
      <w:outlineLvl w:val="2"/>
    </w:pPr>
    <w:rPr>
      <w:b w:val="0"/>
    </w:rPr>
  </w:style>
  <w:style w:type="paragraph" w:customStyle="1" w:styleId="BriefL4">
    <w:name w:val="Brief_L4"/>
    <w:basedOn w:val="BriefL3"/>
    <w:next w:val="BodyText"/>
    <w:rsid w:val="006C6975"/>
    <w:pPr>
      <w:numPr>
        <w:ilvl w:val="3"/>
      </w:numPr>
      <w:outlineLvl w:val="3"/>
    </w:pPr>
    <w:rPr>
      <w:b/>
    </w:rPr>
  </w:style>
  <w:style w:type="paragraph" w:customStyle="1" w:styleId="BriefL5">
    <w:name w:val="Brief_L5"/>
    <w:basedOn w:val="BriefL4"/>
    <w:next w:val="BodyText"/>
    <w:rsid w:val="006C6975"/>
    <w:pPr>
      <w:numPr>
        <w:ilvl w:val="4"/>
      </w:numPr>
      <w:outlineLvl w:val="4"/>
    </w:pPr>
    <w:rPr>
      <w:b w:val="0"/>
    </w:rPr>
  </w:style>
  <w:style w:type="paragraph" w:customStyle="1" w:styleId="BriefL6">
    <w:name w:val="Brief_L6"/>
    <w:basedOn w:val="BriefL5"/>
    <w:next w:val="BodyText"/>
    <w:rsid w:val="006C6975"/>
    <w:pPr>
      <w:numPr>
        <w:ilvl w:val="5"/>
      </w:numPr>
      <w:outlineLvl w:val="5"/>
    </w:pPr>
  </w:style>
  <w:style w:type="paragraph" w:customStyle="1" w:styleId="BriefL7">
    <w:name w:val="Brief_L7"/>
    <w:basedOn w:val="BriefL6"/>
    <w:next w:val="BodyText"/>
    <w:rsid w:val="006C6975"/>
    <w:pPr>
      <w:numPr>
        <w:ilvl w:val="6"/>
      </w:numPr>
      <w:outlineLvl w:val="6"/>
    </w:pPr>
  </w:style>
  <w:style w:type="paragraph" w:customStyle="1" w:styleId="BriefL8">
    <w:name w:val="Brief_L8"/>
    <w:basedOn w:val="BriefL7"/>
    <w:next w:val="BodyText"/>
    <w:rsid w:val="006C6975"/>
    <w:pPr>
      <w:numPr>
        <w:ilvl w:val="7"/>
      </w:numPr>
      <w:outlineLvl w:val="7"/>
    </w:pPr>
  </w:style>
  <w:style w:type="paragraph" w:customStyle="1" w:styleId="BriefL9">
    <w:name w:val="Brief_L9"/>
    <w:basedOn w:val="BriefL8"/>
    <w:next w:val="BodyText"/>
    <w:rsid w:val="006C6975"/>
    <w:pPr>
      <w:numPr>
        <w:ilvl w:val="8"/>
      </w:numPr>
      <w:outlineLvl w:val="8"/>
    </w:pPr>
  </w:style>
  <w:style w:type="character" w:customStyle="1" w:styleId="FooterChar">
    <w:name w:val="Footer Char"/>
    <w:link w:val="Footer"/>
    <w:uiPriority w:val="99"/>
    <w:rsid w:val="006C6975"/>
    <w:rPr>
      <w:sz w:val="24"/>
      <w:szCs w:val="24"/>
    </w:rPr>
  </w:style>
  <w:style w:type="paragraph" w:customStyle="1" w:styleId="BriefL3Continued">
    <w:name w:val="Brief L3 Continued"/>
    <w:basedOn w:val="Normal"/>
    <w:rsid w:val="006C6975"/>
    <w:pPr>
      <w:autoSpaceDE/>
      <w:autoSpaceDN/>
      <w:spacing w:after="360"/>
      <w:ind w:left="2880"/>
    </w:pPr>
  </w:style>
  <w:style w:type="paragraph" w:customStyle="1" w:styleId="briefCont20">
    <w:name w:val="brief Cont 2"/>
    <w:basedOn w:val="BriefCont1"/>
    <w:rsid w:val="006C6975"/>
    <w:pPr>
      <w:widowControl w:val="0"/>
      <w:spacing w:after="0" w:line="480" w:lineRule="auto"/>
      <w:ind w:left="0"/>
    </w:pPr>
    <w:rPr>
      <w:szCs w:val="20"/>
    </w:rPr>
  </w:style>
  <w:style w:type="paragraph" w:styleId="DocumentMap">
    <w:name w:val="Document Map"/>
    <w:basedOn w:val="Normal"/>
    <w:link w:val="DocumentMapChar"/>
    <w:rsid w:val="006C6975"/>
    <w:pPr>
      <w:shd w:val="clear" w:color="auto" w:fill="000080"/>
      <w:autoSpaceDE/>
      <w:autoSpaceDN/>
      <w:ind w:left="1440"/>
    </w:pPr>
    <w:rPr>
      <w:rFonts w:ascii="Tahoma" w:hAnsi="Tahoma"/>
      <w:sz w:val="20"/>
      <w:szCs w:val="20"/>
      <w:lang w:val="x-none" w:eastAsia="x-none"/>
    </w:rPr>
  </w:style>
  <w:style w:type="character" w:customStyle="1" w:styleId="DocumentMapChar">
    <w:name w:val="Document Map Char"/>
    <w:link w:val="DocumentMap"/>
    <w:rsid w:val="006C6975"/>
    <w:rPr>
      <w:rFonts w:ascii="Tahoma" w:hAnsi="Tahoma" w:cs="Tahoma"/>
      <w:shd w:val="clear" w:color="auto" w:fill="000080"/>
    </w:rPr>
  </w:style>
  <w:style w:type="paragraph" w:customStyle="1" w:styleId="FootnoteBody">
    <w:name w:val="Footnote Body"/>
    <w:basedOn w:val="FirmPlain"/>
    <w:rsid w:val="006C6975"/>
    <w:pPr>
      <w:spacing w:after="120"/>
      <w:ind w:left="720" w:hanging="720"/>
    </w:pPr>
  </w:style>
  <w:style w:type="paragraph" w:styleId="Title">
    <w:name w:val="Title"/>
    <w:basedOn w:val="Normal"/>
    <w:link w:val="TitleChar"/>
    <w:qFormat/>
    <w:rsid w:val="006C6975"/>
    <w:pPr>
      <w:autoSpaceDE/>
      <w:autoSpaceDN/>
      <w:spacing w:before="240" w:after="60"/>
      <w:ind w:left="1440"/>
      <w:jc w:val="center"/>
      <w:outlineLvl w:val="0"/>
    </w:pPr>
    <w:rPr>
      <w:rFonts w:ascii="Arial" w:hAnsi="Arial"/>
      <w:b/>
      <w:bCs/>
      <w:kern w:val="28"/>
      <w:sz w:val="32"/>
      <w:szCs w:val="32"/>
      <w:lang w:val="x-none" w:eastAsia="x-none"/>
    </w:rPr>
  </w:style>
  <w:style w:type="character" w:customStyle="1" w:styleId="TitleChar">
    <w:name w:val="Title Char"/>
    <w:link w:val="Title"/>
    <w:rsid w:val="006C6975"/>
    <w:rPr>
      <w:rFonts w:ascii="Arial" w:hAnsi="Arial" w:cs="Arial"/>
      <w:b/>
      <w:bCs/>
      <w:kern w:val="28"/>
      <w:sz w:val="32"/>
      <w:szCs w:val="32"/>
    </w:rPr>
  </w:style>
  <w:style w:type="paragraph" w:customStyle="1" w:styleId="TOCHeader">
    <w:name w:val="TOC Header"/>
    <w:basedOn w:val="Normal"/>
    <w:rsid w:val="006C6975"/>
    <w:pPr>
      <w:autoSpaceDE/>
      <w:autoSpaceDN/>
      <w:ind w:left="115" w:right="115"/>
      <w:jc w:val="center"/>
    </w:pPr>
    <w:rPr>
      <w:szCs w:val="20"/>
    </w:rPr>
  </w:style>
  <w:style w:type="paragraph" w:styleId="TableofAuthorities">
    <w:name w:val="table of authorities"/>
    <w:basedOn w:val="Normal"/>
    <w:next w:val="Normal"/>
    <w:rsid w:val="006C6975"/>
    <w:pPr>
      <w:autoSpaceDE/>
      <w:autoSpaceDN/>
      <w:ind w:left="240" w:hanging="240"/>
    </w:pPr>
  </w:style>
  <w:style w:type="paragraph" w:styleId="TOC1">
    <w:name w:val="toc 1"/>
    <w:basedOn w:val="Normal"/>
    <w:next w:val="Normal"/>
    <w:autoRedefine/>
    <w:uiPriority w:val="39"/>
    <w:rsid w:val="007231C5"/>
    <w:pPr>
      <w:keepLines/>
      <w:tabs>
        <w:tab w:val="right" w:leader="dot" w:pos="9288"/>
      </w:tabs>
      <w:autoSpaceDE/>
      <w:autoSpaceDN/>
      <w:ind w:left="720" w:right="720" w:hanging="720"/>
    </w:pPr>
    <w:rPr>
      <w:b/>
      <w:caps/>
      <w:noProof/>
      <w:szCs w:val="20"/>
    </w:rPr>
  </w:style>
  <w:style w:type="paragraph" w:styleId="TOC2">
    <w:name w:val="toc 2"/>
    <w:basedOn w:val="Normal"/>
    <w:next w:val="Normal"/>
    <w:autoRedefine/>
    <w:uiPriority w:val="39"/>
    <w:rsid w:val="008E6311"/>
    <w:pPr>
      <w:keepLines/>
      <w:tabs>
        <w:tab w:val="left" w:pos="1440"/>
        <w:tab w:val="right" w:leader="dot" w:pos="9288"/>
      </w:tabs>
      <w:autoSpaceDE/>
      <w:autoSpaceDN/>
      <w:ind w:left="1440" w:right="720" w:hanging="720"/>
    </w:pPr>
    <w:rPr>
      <w:szCs w:val="20"/>
    </w:rPr>
  </w:style>
  <w:style w:type="paragraph" w:styleId="TOC3">
    <w:name w:val="toc 3"/>
    <w:basedOn w:val="Normal"/>
    <w:next w:val="Normal"/>
    <w:autoRedefine/>
    <w:uiPriority w:val="39"/>
    <w:rsid w:val="007231C5"/>
    <w:pPr>
      <w:keepLines/>
      <w:tabs>
        <w:tab w:val="left" w:pos="2160"/>
        <w:tab w:val="right" w:leader="dot" w:pos="9288"/>
      </w:tabs>
      <w:autoSpaceDE/>
      <w:autoSpaceDN/>
      <w:ind w:left="2160" w:right="720" w:hanging="720"/>
    </w:pPr>
    <w:rPr>
      <w:szCs w:val="20"/>
    </w:rPr>
  </w:style>
  <w:style w:type="paragraph" w:styleId="TOC4">
    <w:name w:val="toc 4"/>
    <w:basedOn w:val="Normal"/>
    <w:next w:val="Normal"/>
    <w:autoRedefine/>
    <w:uiPriority w:val="39"/>
    <w:rsid w:val="006C6975"/>
    <w:pPr>
      <w:keepLines/>
      <w:tabs>
        <w:tab w:val="right" w:leader="dot" w:pos="9288"/>
      </w:tabs>
      <w:autoSpaceDE/>
      <w:autoSpaceDN/>
      <w:spacing w:after="120"/>
      <w:ind w:left="2880" w:right="720" w:hanging="720"/>
    </w:pPr>
    <w:rPr>
      <w:szCs w:val="20"/>
    </w:rPr>
  </w:style>
  <w:style w:type="paragraph" w:styleId="TOC5">
    <w:name w:val="toc 5"/>
    <w:basedOn w:val="Normal"/>
    <w:next w:val="Normal"/>
    <w:autoRedefine/>
    <w:rsid w:val="006C6975"/>
    <w:pPr>
      <w:keepLines/>
      <w:tabs>
        <w:tab w:val="right" w:leader="dot" w:pos="9288"/>
      </w:tabs>
      <w:autoSpaceDE/>
      <w:autoSpaceDN/>
      <w:spacing w:after="120"/>
      <w:ind w:left="3600" w:right="720" w:hanging="720"/>
    </w:pPr>
    <w:rPr>
      <w:szCs w:val="20"/>
    </w:rPr>
  </w:style>
  <w:style w:type="paragraph" w:styleId="TOC6">
    <w:name w:val="toc 6"/>
    <w:basedOn w:val="Normal"/>
    <w:next w:val="Normal"/>
    <w:autoRedefine/>
    <w:rsid w:val="006C6975"/>
    <w:pPr>
      <w:keepLines/>
      <w:tabs>
        <w:tab w:val="right" w:leader="dot" w:pos="9288"/>
      </w:tabs>
      <w:autoSpaceDE/>
      <w:autoSpaceDN/>
      <w:spacing w:after="120"/>
      <w:ind w:left="4320" w:right="720" w:hanging="720"/>
    </w:pPr>
    <w:rPr>
      <w:szCs w:val="20"/>
    </w:rPr>
  </w:style>
  <w:style w:type="paragraph" w:styleId="TOC7">
    <w:name w:val="toc 7"/>
    <w:basedOn w:val="Normal"/>
    <w:next w:val="Normal"/>
    <w:autoRedefine/>
    <w:rsid w:val="006C6975"/>
    <w:pPr>
      <w:keepLines/>
      <w:tabs>
        <w:tab w:val="right" w:leader="dot" w:pos="9288"/>
      </w:tabs>
      <w:autoSpaceDE/>
      <w:autoSpaceDN/>
      <w:spacing w:after="120"/>
      <w:ind w:left="5040" w:right="720" w:hanging="720"/>
    </w:pPr>
    <w:rPr>
      <w:szCs w:val="20"/>
    </w:rPr>
  </w:style>
  <w:style w:type="paragraph" w:styleId="TOC8">
    <w:name w:val="toc 8"/>
    <w:basedOn w:val="Normal"/>
    <w:next w:val="Normal"/>
    <w:autoRedefine/>
    <w:rsid w:val="006C6975"/>
    <w:pPr>
      <w:keepLines/>
      <w:tabs>
        <w:tab w:val="right" w:leader="dot" w:pos="9288"/>
      </w:tabs>
      <w:autoSpaceDE/>
      <w:autoSpaceDN/>
      <w:spacing w:after="120"/>
      <w:ind w:left="5760" w:right="720" w:hanging="720"/>
    </w:pPr>
    <w:rPr>
      <w:szCs w:val="20"/>
    </w:rPr>
  </w:style>
  <w:style w:type="paragraph" w:styleId="TOC9">
    <w:name w:val="toc 9"/>
    <w:basedOn w:val="Normal"/>
    <w:next w:val="Normal"/>
    <w:autoRedefine/>
    <w:rsid w:val="006C6975"/>
    <w:pPr>
      <w:keepLines/>
      <w:tabs>
        <w:tab w:val="right" w:leader="dot" w:pos="9288"/>
      </w:tabs>
      <w:autoSpaceDE/>
      <w:autoSpaceDN/>
      <w:spacing w:after="120"/>
      <w:ind w:left="6480" w:right="720" w:hanging="720"/>
    </w:pPr>
    <w:rPr>
      <w:szCs w:val="20"/>
    </w:rPr>
  </w:style>
  <w:style w:type="paragraph" w:customStyle="1" w:styleId="MacPacTrailer">
    <w:name w:val="MacPac Trailer"/>
    <w:rsid w:val="006C6975"/>
    <w:pPr>
      <w:widowControl w:val="0"/>
      <w:spacing w:line="200" w:lineRule="exact"/>
    </w:pPr>
    <w:rPr>
      <w:sz w:val="16"/>
      <w:szCs w:val="22"/>
    </w:rPr>
  </w:style>
  <w:style w:type="paragraph" w:styleId="ListNumber">
    <w:name w:val="List Number"/>
    <w:basedOn w:val="Normal"/>
    <w:link w:val="ListNumberChar"/>
    <w:qFormat/>
    <w:rsid w:val="006C6975"/>
    <w:pPr>
      <w:numPr>
        <w:numId w:val="2"/>
      </w:numPr>
      <w:autoSpaceDE/>
      <w:autoSpaceDN/>
      <w:spacing w:after="120" w:line="480" w:lineRule="auto"/>
    </w:pPr>
    <w:rPr>
      <w:lang w:val="x-none" w:eastAsia="x-none"/>
    </w:rPr>
  </w:style>
  <w:style w:type="paragraph" w:styleId="BalloonText">
    <w:name w:val="Balloon Text"/>
    <w:basedOn w:val="Normal"/>
    <w:link w:val="BalloonTextChar"/>
    <w:rsid w:val="006C6975"/>
    <w:pPr>
      <w:autoSpaceDE/>
      <w:autoSpaceDN/>
      <w:ind w:left="1440"/>
    </w:pPr>
    <w:rPr>
      <w:rFonts w:ascii="Tahoma" w:hAnsi="Tahoma"/>
      <w:sz w:val="16"/>
      <w:szCs w:val="16"/>
      <w:lang w:val="x-none" w:eastAsia="x-none"/>
    </w:rPr>
  </w:style>
  <w:style w:type="character" w:customStyle="1" w:styleId="BalloonTextChar">
    <w:name w:val="Balloon Text Char"/>
    <w:link w:val="BalloonText"/>
    <w:rsid w:val="006C6975"/>
    <w:rPr>
      <w:rFonts w:ascii="Tahoma" w:hAnsi="Tahoma" w:cs="Tahoma"/>
      <w:sz w:val="16"/>
      <w:szCs w:val="1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C6975"/>
  </w:style>
  <w:style w:type="paragraph" w:customStyle="1" w:styleId="BATOAPageHeading">
    <w:name w:val="BA TOA Page Heading"/>
    <w:basedOn w:val="Normal"/>
    <w:rsid w:val="006C6975"/>
    <w:pPr>
      <w:keepNext/>
      <w:keepLines/>
      <w:tabs>
        <w:tab w:val="right" w:pos="9360"/>
      </w:tabs>
      <w:autoSpaceDE/>
      <w:autoSpaceDN/>
      <w:jc w:val="right"/>
    </w:pPr>
    <w:rPr>
      <w:b/>
    </w:rPr>
  </w:style>
  <w:style w:type="paragraph" w:customStyle="1" w:styleId="BATOAHeading">
    <w:name w:val="BA TOA Heading"/>
    <w:basedOn w:val="Normal"/>
    <w:rsid w:val="006C6975"/>
    <w:pPr>
      <w:keepNext/>
      <w:keepLines/>
      <w:autoSpaceDE/>
      <w:autoSpaceDN/>
      <w:spacing w:before="480" w:after="240"/>
    </w:pPr>
    <w:rPr>
      <w:b/>
      <w:smallCaps/>
      <w:noProof/>
    </w:rPr>
  </w:style>
  <w:style w:type="paragraph" w:customStyle="1" w:styleId="BATOAEntry">
    <w:name w:val="BA TOA Entry"/>
    <w:basedOn w:val="Normal"/>
    <w:rsid w:val="006C6975"/>
    <w:pPr>
      <w:keepLines/>
      <w:tabs>
        <w:tab w:val="right" w:leader="dot" w:pos="9360"/>
      </w:tabs>
      <w:autoSpaceDE/>
      <w:autoSpaceDN/>
      <w:spacing w:after="240"/>
      <w:ind w:left="360" w:right="720" w:hanging="360"/>
    </w:pPr>
  </w:style>
  <w:style w:type="paragraph" w:customStyle="1" w:styleId="BADraft">
    <w:name w:val="BA Draft"/>
    <w:basedOn w:val="BodyText"/>
    <w:rsid w:val="006C6975"/>
    <w:pPr>
      <w:keepLines/>
      <w:spacing w:after="0"/>
      <w:ind w:left="0" w:firstLine="0"/>
    </w:pPr>
    <w:rPr>
      <w:szCs w:val="24"/>
    </w:rPr>
  </w:style>
  <w:style w:type="paragraph" w:customStyle="1" w:styleId="BATOATitle">
    <w:name w:val="BA TOA Title"/>
    <w:basedOn w:val="Normal"/>
    <w:rsid w:val="006C6975"/>
    <w:pPr>
      <w:keepNext/>
      <w:autoSpaceDE/>
      <w:autoSpaceDN/>
      <w:spacing w:before="120" w:after="240"/>
      <w:jc w:val="center"/>
    </w:pPr>
    <w:rPr>
      <w:b/>
      <w:caps/>
      <w:u w:val="single"/>
    </w:rPr>
  </w:style>
  <w:style w:type="character" w:styleId="Emphasis">
    <w:name w:val="Emphasis"/>
    <w:qFormat/>
    <w:rsid w:val="006C6975"/>
    <w:rPr>
      <w:i/>
      <w:iCs/>
    </w:rPr>
  </w:style>
  <w:style w:type="character" w:styleId="Strong">
    <w:name w:val="Strong"/>
    <w:qFormat/>
    <w:rsid w:val="006C6975"/>
    <w:rPr>
      <w:b/>
      <w:bCs/>
    </w:rPr>
  </w:style>
  <w:style w:type="paragraph" w:customStyle="1" w:styleId="indent">
    <w:name w:val="indent"/>
    <w:basedOn w:val="Normal"/>
    <w:link w:val="indentChar"/>
    <w:qFormat/>
    <w:rsid w:val="006C6975"/>
    <w:pPr>
      <w:autoSpaceDE/>
      <w:autoSpaceDN/>
      <w:spacing w:after="240"/>
      <w:ind w:left="1440"/>
    </w:pPr>
    <w:rPr>
      <w:lang w:val="x-none" w:eastAsia="x-none"/>
    </w:rPr>
  </w:style>
  <w:style w:type="paragraph" w:customStyle="1" w:styleId="numindent">
    <w:name w:val="num indent"/>
    <w:basedOn w:val="ListNumber"/>
    <w:link w:val="numindentChar"/>
    <w:qFormat/>
    <w:rsid w:val="006C6975"/>
    <w:pPr>
      <w:tabs>
        <w:tab w:val="clear" w:pos="504"/>
        <w:tab w:val="num" w:pos="1980"/>
      </w:tabs>
      <w:spacing w:after="240" w:line="240" w:lineRule="auto"/>
      <w:ind w:left="1440" w:firstLine="0"/>
    </w:pPr>
    <w:rPr>
      <w:b/>
    </w:rPr>
  </w:style>
  <w:style w:type="character" w:customStyle="1" w:styleId="indentChar">
    <w:name w:val="indent Char"/>
    <w:link w:val="indent"/>
    <w:rsid w:val="006C6975"/>
    <w:rPr>
      <w:sz w:val="24"/>
      <w:szCs w:val="24"/>
    </w:rPr>
  </w:style>
  <w:style w:type="character" w:customStyle="1" w:styleId="ListNumberChar">
    <w:name w:val="List Number Char"/>
    <w:link w:val="ListNumber"/>
    <w:rsid w:val="006C6975"/>
    <w:rPr>
      <w:sz w:val="24"/>
      <w:szCs w:val="24"/>
      <w:lang w:val="x-none" w:eastAsia="x-none"/>
    </w:rPr>
  </w:style>
  <w:style w:type="character" w:customStyle="1" w:styleId="numindentChar">
    <w:name w:val="num indent Char"/>
    <w:link w:val="numindent"/>
    <w:rsid w:val="006C6975"/>
    <w:rPr>
      <w:b/>
      <w:sz w:val="24"/>
      <w:szCs w:val="24"/>
      <w:lang w:val="x-none" w:eastAsia="x-none"/>
    </w:rPr>
  </w:style>
  <w:style w:type="paragraph" w:styleId="PlainText">
    <w:name w:val="Plain Text"/>
    <w:basedOn w:val="Normal"/>
    <w:link w:val="PlainTextChar"/>
    <w:uiPriority w:val="99"/>
    <w:unhideWhenUsed/>
    <w:rsid w:val="006C6975"/>
    <w:pPr>
      <w:autoSpaceDE/>
      <w:autoSpaceDN/>
    </w:pPr>
    <w:rPr>
      <w:rFonts w:ascii="Consolas" w:eastAsia="Calibri" w:hAnsi="Consolas"/>
      <w:sz w:val="21"/>
      <w:szCs w:val="21"/>
      <w:lang w:val="x-none" w:eastAsia="x-none"/>
    </w:rPr>
  </w:style>
  <w:style w:type="character" w:customStyle="1" w:styleId="PlainTextChar">
    <w:name w:val="Plain Text Char"/>
    <w:link w:val="PlainText"/>
    <w:uiPriority w:val="99"/>
    <w:rsid w:val="006C6975"/>
    <w:rPr>
      <w:rFonts w:ascii="Consolas" w:eastAsia="Calibri" w:hAnsi="Consolas"/>
      <w:sz w:val="21"/>
      <w:szCs w:val="21"/>
    </w:rPr>
  </w:style>
  <w:style w:type="paragraph" w:customStyle="1" w:styleId="BodyTex3">
    <w:name w:val="Body Tex 3"/>
    <w:basedOn w:val="Normal"/>
    <w:link w:val="BodyTex3Char"/>
    <w:qFormat/>
    <w:rsid w:val="006C6975"/>
    <w:pPr>
      <w:autoSpaceDE/>
      <w:autoSpaceDN/>
      <w:spacing w:line="480" w:lineRule="auto"/>
    </w:pPr>
    <w:rPr>
      <w:lang w:val="x-none" w:eastAsia="x-none"/>
    </w:rPr>
  </w:style>
  <w:style w:type="character" w:customStyle="1" w:styleId="BodyTex3Char">
    <w:name w:val="Body Tex 3 Char"/>
    <w:link w:val="BodyTex3"/>
    <w:rsid w:val="006C6975"/>
    <w:rPr>
      <w:sz w:val="24"/>
      <w:szCs w:val="24"/>
    </w:rPr>
  </w:style>
  <w:style w:type="paragraph" w:customStyle="1" w:styleId="answ">
    <w:name w:val="answ"/>
    <w:basedOn w:val="Normal"/>
    <w:next w:val="Normal"/>
    <w:rsid w:val="00F37A2D"/>
    <w:pPr>
      <w:suppressAutoHyphens/>
      <w:autoSpaceDE/>
      <w:autoSpaceDN/>
      <w:spacing w:after="240" w:line="360" w:lineRule="auto"/>
      <w:ind w:left="720" w:hanging="720"/>
      <w:jc w:val="both"/>
    </w:pPr>
    <w:rPr>
      <w:szCs w:val="20"/>
    </w:rPr>
  </w:style>
  <w:style w:type="paragraph" w:styleId="NoSpacing">
    <w:name w:val="No Spacing"/>
    <w:uiPriority w:val="1"/>
    <w:qFormat/>
    <w:rsid w:val="00703C22"/>
    <w:rPr>
      <w:rFonts w:ascii="Calibri" w:eastAsia="Calibri" w:hAnsi="Calibri"/>
      <w:sz w:val="22"/>
      <w:szCs w:val="22"/>
    </w:rPr>
  </w:style>
  <w:style w:type="paragraph" w:styleId="Revision">
    <w:name w:val="Revision"/>
    <w:hidden/>
    <w:uiPriority w:val="99"/>
    <w:semiHidden/>
    <w:rsid w:val="000C1BA2"/>
    <w:rPr>
      <w:sz w:val="24"/>
      <w:szCs w:val="24"/>
    </w:rPr>
  </w:style>
  <w:style w:type="paragraph" w:styleId="BlockText">
    <w:name w:val="Block Text"/>
    <w:basedOn w:val="Normal"/>
    <w:uiPriority w:val="1"/>
    <w:unhideWhenUsed/>
    <w:qFormat/>
    <w:rsid w:val="0055352D"/>
    <w:pPr>
      <w:autoSpaceDE/>
      <w:autoSpaceDN/>
      <w:spacing w:after="240"/>
      <w:ind w:left="1440" w:right="1440"/>
      <w:jc w:val="both"/>
    </w:pPr>
  </w:style>
  <w:style w:type="paragraph" w:styleId="ListBullet">
    <w:name w:val="List Bullet"/>
    <w:aliases w:val="b1"/>
    <w:basedOn w:val="Normal"/>
    <w:unhideWhenUsed/>
    <w:rsid w:val="001543F6"/>
    <w:pPr>
      <w:tabs>
        <w:tab w:val="num" w:pos="360"/>
      </w:tabs>
      <w:autoSpaceDE/>
      <w:autoSpaceDN/>
      <w:spacing w:after="240"/>
      <w:ind w:left="360"/>
      <w:jc w:val="both"/>
    </w:pPr>
    <w:rPr>
      <w:szCs w:val="20"/>
    </w:rPr>
  </w:style>
  <w:style w:type="character" w:customStyle="1" w:styleId="FootnoteText2Char">
    <w:name w:val="Footnote Text2 Char"/>
    <w:link w:val="FootnoteText2"/>
    <w:locked/>
    <w:rsid w:val="001543F6"/>
  </w:style>
  <w:style w:type="paragraph" w:customStyle="1" w:styleId="FootnoteText2">
    <w:name w:val="Footnote Text2"/>
    <w:basedOn w:val="Normal"/>
    <w:link w:val="FootnoteText2Char"/>
    <w:rsid w:val="001543F6"/>
    <w:pPr>
      <w:autoSpaceDE/>
      <w:autoSpaceDN/>
      <w:spacing w:after="120"/>
      <w:jc w:val="both"/>
    </w:pPr>
    <w:rPr>
      <w:sz w:val="20"/>
      <w:szCs w:val="20"/>
    </w:rPr>
  </w:style>
  <w:style w:type="paragraph" w:customStyle="1" w:styleId="NBBullet1">
    <w:name w:val="NB Bullet 1"/>
    <w:basedOn w:val="Normal"/>
    <w:rsid w:val="001543F6"/>
    <w:pPr>
      <w:numPr>
        <w:numId w:val="3"/>
      </w:numPr>
      <w:autoSpaceDE/>
      <w:autoSpaceDN/>
      <w:spacing w:after="60"/>
      <w:ind w:left="374" w:hanging="374"/>
    </w:pPr>
    <w:rPr>
      <w:sz w:val="20"/>
      <w:szCs w:val="22"/>
    </w:rPr>
  </w:style>
  <w:style w:type="character" w:customStyle="1" w:styleId="Heading1Char">
    <w:name w:val="Heading 1 Char"/>
    <w:basedOn w:val="DefaultParagraphFont"/>
    <w:link w:val="Heading1"/>
    <w:rsid w:val="00442F0C"/>
    <w:rPr>
      <w:b/>
      <w:bCs/>
      <w:caps/>
      <w:sz w:val="24"/>
      <w:szCs w:val="32"/>
      <w:u w:val="single"/>
    </w:rPr>
  </w:style>
  <w:style w:type="character" w:customStyle="1" w:styleId="Heading2Char">
    <w:name w:val="Heading 2 Char"/>
    <w:basedOn w:val="DefaultParagraphFont"/>
    <w:link w:val="Heading2"/>
    <w:rsid w:val="00442F0C"/>
    <w:rPr>
      <w:b/>
      <w:bCs/>
      <w:iCs/>
      <w:caps/>
      <w:sz w:val="24"/>
      <w:szCs w:val="28"/>
    </w:rPr>
  </w:style>
  <w:style w:type="character" w:customStyle="1" w:styleId="Heading3Char">
    <w:name w:val="Heading 3 Char"/>
    <w:basedOn w:val="DefaultParagraphFont"/>
    <w:link w:val="Heading3"/>
    <w:rsid w:val="00442F0C"/>
    <w:rPr>
      <w:b/>
      <w:bCs/>
      <w:sz w:val="24"/>
      <w:szCs w:val="26"/>
    </w:rPr>
  </w:style>
  <w:style w:type="character" w:customStyle="1" w:styleId="Heading4Char">
    <w:name w:val="Heading 4 Char"/>
    <w:basedOn w:val="DefaultParagraphFont"/>
    <w:link w:val="Heading4"/>
    <w:rsid w:val="00442F0C"/>
    <w:rPr>
      <w:b/>
      <w:bCs/>
      <w:sz w:val="24"/>
      <w:szCs w:val="28"/>
    </w:rPr>
  </w:style>
  <w:style w:type="character" w:customStyle="1" w:styleId="Heading5Char">
    <w:name w:val="Heading 5 Char"/>
    <w:basedOn w:val="DefaultParagraphFont"/>
    <w:link w:val="Heading5"/>
    <w:rsid w:val="00442F0C"/>
    <w:rPr>
      <w:b/>
      <w:bCs/>
      <w:iCs/>
      <w:sz w:val="24"/>
      <w:szCs w:val="26"/>
    </w:rPr>
  </w:style>
  <w:style w:type="character" w:customStyle="1" w:styleId="Heading6Char">
    <w:name w:val="Heading 6 Char"/>
    <w:basedOn w:val="DefaultParagraphFont"/>
    <w:link w:val="Heading6"/>
    <w:rsid w:val="00442F0C"/>
    <w:rPr>
      <w:b/>
      <w:bCs/>
      <w:sz w:val="24"/>
      <w:szCs w:val="22"/>
    </w:rPr>
  </w:style>
  <w:style w:type="character" w:customStyle="1" w:styleId="Heading7Char">
    <w:name w:val="Heading 7 Char"/>
    <w:basedOn w:val="DefaultParagraphFont"/>
    <w:link w:val="Heading7"/>
    <w:rsid w:val="00442F0C"/>
    <w:rPr>
      <w:b/>
      <w:sz w:val="24"/>
      <w:szCs w:val="24"/>
    </w:rPr>
  </w:style>
  <w:style w:type="character" w:customStyle="1" w:styleId="Heading8Char">
    <w:name w:val="Heading 8 Char"/>
    <w:basedOn w:val="DefaultParagraphFont"/>
    <w:link w:val="Heading8"/>
    <w:rsid w:val="00442F0C"/>
    <w:rPr>
      <w:b/>
      <w:iCs/>
      <w:sz w:val="24"/>
      <w:szCs w:val="24"/>
    </w:rPr>
  </w:style>
  <w:style w:type="character" w:customStyle="1" w:styleId="Heading9Char">
    <w:name w:val="Heading 9 Char"/>
    <w:basedOn w:val="DefaultParagraphFont"/>
    <w:link w:val="Heading9"/>
    <w:rsid w:val="00442F0C"/>
    <w:rPr>
      <w:b/>
      <w:sz w:val="24"/>
      <w:szCs w:val="22"/>
    </w:rPr>
  </w:style>
  <w:style w:type="table" w:styleId="TableGrid5">
    <w:name w:val="Table Grid 5"/>
    <w:basedOn w:val="TableNormal"/>
    <w:rsid w:val="003F1539"/>
    <w:pPr>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539"/>
    <w:pPr>
      <w:autoSpaceDE w:val="0"/>
      <w:autoSpaceDN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3F1539"/>
    <w:pPr>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
    <w:name w:val="Light List"/>
    <w:basedOn w:val="TableNormal"/>
    <w:uiPriority w:val="61"/>
    <w:rsid w:val="003F153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List4">
    <w:name w:val="Table List 4"/>
    <w:basedOn w:val="TableNormal"/>
    <w:rsid w:val="003F1539"/>
    <w:pPr>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7">
    <w:name w:val="Table Grid 7"/>
    <w:basedOn w:val="TableNormal"/>
    <w:rsid w:val="003F1539"/>
    <w:pPr>
      <w:autoSpaceDE w:val="0"/>
      <w:autoSpaceDN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539"/>
    <w:pPr>
      <w:autoSpaceDE w:val="0"/>
      <w:autoSpaceDN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539"/>
    <w:pPr>
      <w:autoSpaceDE w:val="0"/>
      <w:autoSpaceDN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539"/>
    <w:pPr>
      <w:autoSpaceDE w:val="0"/>
      <w:autoSpaceDN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539"/>
    <w:pPr>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DirectNext">
    <w:name w:val="Direct Next"/>
    <w:basedOn w:val="Normal"/>
    <w:rsid w:val="00297E8C"/>
    <w:pPr>
      <w:numPr>
        <w:ilvl w:val="1"/>
        <w:numId w:val="5"/>
      </w:numPr>
      <w:autoSpaceDE/>
      <w:autoSpaceDN/>
      <w:spacing w:line="504" w:lineRule="exact"/>
      <w:ind w:firstLine="720"/>
    </w:pPr>
  </w:style>
  <w:style w:type="paragraph" w:customStyle="1" w:styleId="DirectAnswer">
    <w:name w:val="Direct Answer"/>
    <w:basedOn w:val="Normal"/>
    <w:next w:val="Normal"/>
    <w:rsid w:val="00297E8C"/>
    <w:pPr>
      <w:tabs>
        <w:tab w:val="num" w:pos="360"/>
      </w:tabs>
      <w:autoSpaceDE/>
      <w:autoSpaceDN/>
      <w:spacing w:line="504" w:lineRule="exact"/>
    </w:pPr>
    <w:rPr>
      <w:rFonts w:eastAsia="Calibri"/>
      <w:szCs w:val="20"/>
    </w:rPr>
  </w:style>
  <w:style w:type="paragraph" w:customStyle="1" w:styleId="Level2">
    <w:name w:val="Level 2"/>
    <w:rsid w:val="00415028"/>
    <w:pPr>
      <w:widowControl w:val="0"/>
      <w:tabs>
        <w:tab w:val="num" w:pos="720"/>
      </w:tabs>
      <w:autoSpaceDE w:val="0"/>
      <w:autoSpaceDN w:val="0"/>
      <w:adjustRightInd w:val="0"/>
      <w:spacing w:line="480" w:lineRule="auto"/>
      <w:ind w:left="720" w:hanging="720"/>
      <w:jc w:val="both"/>
    </w:pPr>
    <w:rPr>
      <w:sz w:val="24"/>
      <w:szCs w:val="24"/>
    </w:rPr>
  </w:style>
  <w:style w:type="character" w:customStyle="1" w:styleId="NormalChar">
    <w:name w:val="Normal Char"/>
    <w:link w:val="Normal1"/>
    <w:locked/>
    <w:rsid w:val="009A564A"/>
    <w:rPr>
      <w:sz w:val="24"/>
      <w:szCs w:val="24"/>
    </w:rPr>
  </w:style>
  <w:style w:type="paragraph" w:customStyle="1" w:styleId="Normal1">
    <w:name w:val="Normal1"/>
    <w:basedOn w:val="Normal"/>
    <w:link w:val="NormalChar"/>
    <w:qFormat/>
    <w:rsid w:val="009A564A"/>
    <w:pPr>
      <w:autoSpaceDE/>
      <w:autoSpaceDN/>
      <w:spacing w:line="480" w:lineRule="auto"/>
      <w:ind w:firstLine="720"/>
    </w:pPr>
  </w:style>
  <w:style w:type="character" w:customStyle="1" w:styleId="normal-c6">
    <w:name w:val="normal-c6"/>
    <w:rsid w:val="00E90FC9"/>
  </w:style>
  <w:style w:type="character" w:customStyle="1" w:styleId="WBBodyText1Char">
    <w:name w:val="WB Body Text 1 Char"/>
    <w:aliases w:val="B1 Char"/>
    <w:link w:val="WBBodyText1"/>
    <w:locked/>
    <w:rsid w:val="00164F73"/>
    <w:rPr>
      <w:sz w:val="24"/>
      <w:szCs w:val="24"/>
    </w:rPr>
  </w:style>
  <w:style w:type="paragraph" w:customStyle="1" w:styleId="WBBodyText1">
    <w:name w:val="WB Body Text 1"/>
    <w:aliases w:val="B1,Body Text 1"/>
    <w:basedOn w:val="Normal"/>
    <w:link w:val="WBBodyText1Char"/>
    <w:rsid w:val="00164F73"/>
    <w:pPr>
      <w:autoSpaceDE/>
      <w:autoSpaceDN/>
      <w:spacing w:line="480" w:lineRule="auto"/>
      <w:ind w:firstLine="720"/>
    </w:pPr>
  </w:style>
  <w:style w:type="paragraph" w:styleId="CommentText">
    <w:name w:val="annotation text"/>
    <w:basedOn w:val="Normal"/>
    <w:link w:val="CommentTextChar"/>
    <w:unhideWhenUsed/>
    <w:rsid w:val="007A67B2"/>
    <w:pPr>
      <w:autoSpaceDE/>
      <w:autoSpaceDN/>
    </w:pPr>
    <w:rPr>
      <w:rFonts w:eastAsiaTheme="minorHAnsi" w:cstheme="minorBidi"/>
      <w:sz w:val="20"/>
      <w:szCs w:val="20"/>
    </w:rPr>
  </w:style>
  <w:style w:type="character" w:customStyle="1" w:styleId="CommentTextChar">
    <w:name w:val="Comment Text Char"/>
    <w:basedOn w:val="DefaultParagraphFont"/>
    <w:link w:val="CommentText"/>
    <w:rsid w:val="007A67B2"/>
    <w:rPr>
      <w:rFonts w:eastAsiaTheme="minorHAnsi" w:cstheme="minorBidi"/>
    </w:rPr>
  </w:style>
  <w:style w:type="paragraph" w:customStyle="1" w:styleId="BodyTextFirstLine5DS">
    <w:name w:val="Body Text First Line .5 DS"/>
    <w:aliases w:val="5/0d"/>
    <w:basedOn w:val="Normal"/>
    <w:rsid w:val="001E1661"/>
    <w:pPr>
      <w:autoSpaceDE/>
      <w:autoSpaceDN/>
      <w:spacing w:line="480" w:lineRule="auto"/>
      <w:ind w:firstLine="720"/>
      <w:jc w:val="both"/>
    </w:pPr>
    <w:rPr>
      <w:rFonts w:eastAsia="Calibri"/>
    </w:rPr>
  </w:style>
  <w:style w:type="paragraph" w:customStyle="1" w:styleId="BodyTextSS">
    <w:name w:val="Body Text SS"/>
    <w:aliases w:val="0/0s"/>
    <w:basedOn w:val="Normal"/>
    <w:qFormat/>
    <w:rsid w:val="001E1661"/>
    <w:pPr>
      <w:autoSpaceDE/>
      <w:autoSpaceDN/>
      <w:spacing w:after="240"/>
      <w:jc w:val="both"/>
    </w:pPr>
  </w:style>
  <w:style w:type="paragraph" w:styleId="ListBullet5">
    <w:name w:val="List Bullet 5"/>
    <w:aliases w:val="b5"/>
    <w:basedOn w:val="Normal"/>
    <w:rsid w:val="00184923"/>
    <w:pPr>
      <w:numPr>
        <w:numId w:val="6"/>
      </w:numPr>
      <w:autoSpaceDE/>
      <w:autoSpaceDN/>
      <w:spacing w:after="240"/>
      <w:jc w:val="both"/>
    </w:pPr>
    <w:rPr>
      <w:szCs w:val="20"/>
    </w:rPr>
  </w:style>
  <w:style w:type="paragraph" w:customStyle="1" w:styleId="BodyText2USDE">
    <w:name w:val="Body Text 2 USDE"/>
    <w:basedOn w:val="Normal"/>
    <w:uiPriority w:val="1"/>
    <w:qFormat/>
    <w:rsid w:val="002E5AAC"/>
    <w:pPr>
      <w:autoSpaceDE/>
      <w:autoSpaceDN/>
      <w:spacing w:after="240" w:line="480" w:lineRule="auto"/>
      <w:ind w:firstLine="720"/>
    </w:pPr>
    <w:rPr>
      <w:rFonts w:eastAsiaTheme="minorHAnsi" w:cstheme="minorBidi"/>
    </w:rPr>
  </w:style>
  <w:style w:type="paragraph" w:styleId="ListBullet2">
    <w:name w:val="List Bullet 2"/>
    <w:basedOn w:val="Normal"/>
    <w:rsid w:val="004B701A"/>
    <w:pPr>
      <w:numPr>
        <w:numId w:val="10"/>
      </w:numPr>
      <w:contextualSpacing/>
    </w:pPr>
  </w:style>
  <w:style w:type="paragraph" w:styleId="ListBullet4">
    <w:name w:val="List Bullet 4"/>
    <w:basedOn w:val="Normal"/>
    <w:rsid w:val="00566B3C"/>
    <w:pPr>
      <w:numPr>
        <w:numId w:val="1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footer" w:uiPriority="99"/>
    <w:lsdException w:name="caption" w:semiHidden="1" w:unhideWhenUsed="1" w:qFormat="1"/>
    <w:lsdException w:name="footnote reference" w:uiPriority="99"/>
    <w:lsdException w:name="List Number" w:qFormat="1"/>
    <w:lsdException w:name="Title" w:qFormat="1"/>
    <w:lsdException w:name="Subtitle" w:qFormat="1"/>
    <w:lsdException w:name="Block Text" w:uiPriority="1"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2"/>
    <w:link w:val="Heading1Char"/>
    <w:qFormat/>
    <w:rsid w:val="00442F0C"/>
    <w:pPr>
      <w:keepLines/>
      <w:numPr>
        <w:numId w:val="4"/>
      </w:numPr>
      <w:autoSpaceDE/>
      <w:autoSpaceDN/>
      <w:spacing w:after="240"/>
      <w:jc w:val="both"/>
      <w:outlineLvl w:val="0"/>
    </w:pPr>
    <w:rPr>
      <w:b/>
      <w:bCs/>
      <w:caps/>
      <w:szCs w:val="32"/>
      <w:u w:val="single"/>
    </w:rPr>
  </w:style>
  <w:style w:type="paragraph" w:styleId="Heading2">
    <w:name w:val="heading 2"/>
    <w:basedOn w:val="Normal"/>
    <w:next w:val="BodyText2"/>
    <w:link w:val="Heading2Char"/>
    <w:unhideWhenUsed/>
    <w:qFormat/>
    <w:rsid w:val="00442F0C"/>
    <w:pPr>
      <w:keepLines/>
      <w:numPr>
        <w:ilvl w:val="1"/>
        <w:numId w:val="4"/>
      </w:numPr>
      <w:autoSpaceDE/>
      <w:autoSpaceDN/>
      <w:spacing w:after="240"/>
      <w:jc w:val="both"/>
      <w:outlineLvl w:val="1"/>
    </w:pPr>
    <w:rPr>
      <w:b/>
      <w:bCs/>
      <w:iCs/>
      <w:caps/>
      <w:szCs w:val="28"/>
    </w:rPr>
  </w:style>
  <w:style w:type="paragraph" w:styleId="Heading3">
    <w:name w:val="heading 3"/>
    <w:basedOn w:val="Normal"/>
    <w:next w:val="BodyText2"/>
    <w:link w:val="Heading3Char"/>
    <w:unhideWhenUsed/>
    <w:qFormat/>
    <w:rsid w:val="00442F0C"/>
    <w:pPr>
      <w:numPr>
        <w:ilvl w:val="2"/>
        <w:numId w:val="4"/>
      </w:numPr>
      <w:autoSpaceDE/>
      <w:autoSpaceDN/>
      <w:spacing w:after="240"/>
      <w:jc w:val="both"/>
      <w:outlineLvl w:val="2"/>
    </w:pPr>
    <w:rPr>
      <w:b/>
      <w:bCs/>
      <w:szCs w:val="26"/>
    </w:rPr>
  </w:style>
  <w:style w:type="paragraph" w:styleId="Heading4">
    <w:name w:val="heading 4"/>
    <w:basedOn w:val="Normal"/>
    <w:next w:val="BodyText2"/>
    <w:link w:val="Heading4Char"/>
    <w:unhideWhenUsed/>
    <w:qFormat/>
    <w:rsid w:val="00442F0C"/>
    <w:pPr>
      <w:numPr>
        <w:ilvl w:val="3"/>
        <w:numId w:val="4"/>
      </w:numPr>
      <w:autoSpaceDE/>
      <w:autoSpaceDN/>
      <w:spacing w:after="240"/>
      <w:jc w:val="both"/>
      <w:outlineLvl w:val="3"/>
    </w:pPr>
    <w:rPr>
      <w:b/>
      <w:bCs/>
      <w:szCs w:val="28"/>
    </w:rPr>
  </w:style>
  <w:style w:type="paragraph" w:styleId="Heading5">
    <w:name w:val="heading 5"/>
    <w:basedOn w:val="Normal"/>
    <w:next w:val="BodyText2"/>
    <w:link w:val="Heading5Char"/>
    <w:unhideWhenUsed/>
    <w:qFormat/>
    <w:rsid w:val="00442F0C"/>
    <w:pPr>
      <w:numPr>
        <w:ilvl w:val="4"/>
        <w:numId w:val="4"/>
      </w:numPr>
      <w:autoSpaceDE/>
      <w:autoSpaceDN/>
      <w:spacing w:after="240"/>
      <w:jc w:val="both"/>
      <w:outlineLvl w:val="4"/>
    </w:pPr>
    <w:rPr>
      <w:b/>
      <w:bCs/>
      <w:iCs/>
      <w:szCs w:val="26"/>
    </w:rPr>
  </w:style>
  <w:style w:type="paragraph" w:styleId="Heading6">
    <w:name w:val="heading 6"/>
    <w:basedOn w:val="Normal"/>
    <w:next w:val="BodyText2"/>
    <w:link w:val="Heading6Char"/>
    <w:unhideWhenUsed/>
    <w:qFormat/>
    <w:rsid w:val="00442F0C"/>
    <w:pPr>
      <w:numPr>
        <w:ilvl w:val="5"/>
        <w:numId w:val="4"/>
      </w:numPr>
      <w:autoSpaceDE/>
      <w:autoSpaceDN/>
      <w:spacing w:after="240"/>
      <w:outlineLvl w:val="5"/>
    </w:pPr>
    <w:rPr>
      <w:b/>
      <w:bCs/>
      <w:szCs w:val="22"/>
    </w:rPr>
  </w:style>
  <w:style w:type="paragraph" w:styleId="Heading7">
    <w:name w:val="heading 7"/>
    <w:basedOn w:val="Normal"/>
    <w:next w:val="BodyText2"/>
    <w:link w:val="Heading7Char"/>
    <w:unhideWhenUsed/>
    <w:qFormat/>
    <w:rsid w:val="00442F0C"/>
    <w:pPr>
      <w:numPr>
        <w:ilvl w:val="6"/>
        <w:numId w:val="4"/>
      </w:numPr>
      <w:autoSpaceDE/>
      <w:autoSpaceDN/>
      <w:spacing w:after="240"/>
      <w:outlineLvl w:val="6"/>
    </w:pPr>
    <w:rPr>
      <w:b/>
    </w:rPr>
  </w:style>
  <w:style w:type="paragraph" w:styleId="Heading8">
    <w:name w:val="heading 8"/>
    <w:basedOn w:val="Normal"/>
    <w:next w:val="BodyText2"/>
    <w:link w:val="Heading8Char"/>
    <w:unhideWhenUsed/>
    <w:qFormat/>
    <w:rsid w:val="00442F0C"/>
    <w:pPr>
      <w:numPr>
        <w:ilvl w:val="7"/>
        <w:numId w:val="4"/>
      </w:numPr>
      <w:autoSpaceDE/>
      <w:autoSpaceDN/>
      <w:spacing w:after="240"/>
      <w:jc w:val="both"/>
      <w:outlineLvl w:val="7"/>
    </w:pPr>
    <w:rPr>
      <w:b/>
      <w:iCs/>
    </w:rPr>
  </w:style>
  <w:style w:type="paragraph" w:styleId="Heading9">
    <w:name w:val="heading 9"/>
    <w:basedOn w:val="Normal"/>
    <w:next w:val="BodyText2"/>
    <w:link w:val="Heading9Char"/>
    <w:unhideWhenUsed/>
    <w:qFormat/>
    <w:rsid w:val="00442F0C"/>
    <w:pPr>
      <w:numPr>
        <w:ilvl w:val="8"/>
        <w:numId w:val="4"/>
      </w:numPr>
      <w:autoSpaceDE/>
      <w:autoSpaceDN/>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rPr>
      <w:lang w:val="x-none" w:eastAsia="x-none"/>
    </w:r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713D64"/>
    <w:rPr>
      <w:sz w:val="20"/>
      <w:szCs w:val="20"/>
    </w:rPr>
  </w:style>
  <w:style w:type="character" w:styleId="FootnoteReference">
    <w:name w:val="footnote reference"/>
    <w:aliases w:val="o,fr,Style 13,Style 12,Style 28,(NECG) Footnote Reference,Style 11,Style 9,Style 16,Style 15,Style 17,Style 20,o1,fr1,o2,fr2,o3,fr3,Style 8,Style 7,Style 19,Style 42"/>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rPr>
      <w:lang w:val="x-none" w:eastAsia="x-none"/>
    </w:rPr>
  </w:style>
  <w:style w:type="character" w:customStyle="1" w:styleId="HeaderChar">
    <w:name w:val="Header Char"/>
    <w:link w:val="Header"/>
    <w:rsid w:val="00BE0854"/>
    <w:rPr>
      <w:sz w:val="24"/>
      <w:szCs w:val="24"/>
    </w:rPr>
  </w:style>
  <w:style w:type="table" w:styleId="TableGrid">
    <w:name w:val="Table Grid"/>
    <w:basedOn w:val="TableNormal"/>
    <w:rsid w:val="005E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C60EF"/>
    <w:pPr>
      <w:spacing w:after="120" w:line="480" w:lineRule="auto"/>
    </w:pPr>
    <w:rPr>
      <w:lang w:val="x-none" w:eastAsia="x-none"/>
    </w:rPr>
  </w:style>
  <w:style w:type="character" w:customStyle="1" w:styleId="BodyText2Char">
    <w:name w:val="Body Text 2 Char"/>
    <w:link w:val="BodyText2"/>
    <w:rsid w:val="007C60EF"/>
    <w:rPr>
      <w:sz w:val="24"/>
      <w:szCs w:val="24"/>
    </w:rPr>
  </w:style>
  <w:style w:type="paragraph" w:styleId="BodyText">
    <w:name w:val="Body Text"/>
    <w:basedOn w:val="Normal"/>
    <w:link w:val="BodyTextChar"/>
    <w:rsid w:val="006C6975"/>
    <w:pPr>
      <w:widowControl w:val="0"/>
      <w:autoSpaceDE/>
      <w:autoSpaceDN/>
      <w:spacing w:after="240"/>
      <w:ind w:left="1440" w:firstLine="1440"/>
    </w:pPr>
    <w:rPr>
      <w:szCs w:val="20"/>
      <w:lang w:val="x-none" w:eastAsia="x-none"/>
    </w:rPr>
  </w:style>
  <w:style w:type="character" w:customStyle="1" w:styleId="BodyTextChar">
    <w:name w:val="Body Text Char"/>
    <w:link w:val="BodyText"/>
    <w:rsid w:val="006C6975"/>
    <w:rPr>
      <w:sz w:val="24"/>
    </w:rPr>
  </w:style>
  <w:style w:type="paragraph" w:customStyle="1" w:styleId="BusinessSignature">
    <w:name w:val="Business Signature"/>
    <w:basedOn w:val="Normal"/>
    <w:rsid w:val="006C6975"/>
    <w:pPr>
      <w:tabs>
        <w:tab w:val="left" w:pos="403"/>
        <w:tab w:val="right" w:pos="4320"/>
      </w:tabs>
      <w:autoSpaceDE/>
      <w:autoSpaceDN/>
      <w:ind w:left="1440"/>
    </w:pPr>
    <w:rPr>
      <w:szCs w:val="20"/>
    </w:rPr>
  </w:style>
  <w:style w:type="paragraph" w:customStyle="1" w:styleId="TitlePageDate">
    <w:name w:val="Title Page Date"/>
    <w:basedOn w:val="Normal"/>
    <w:rsid w:val="006C6975"/>
    <w:pPr>
      <w:autoSpaceDE/>
      <w:autoSpaceDN/>
      <w:spacing w:before="720"/>
      <w:ind w:left="1440"/>
      <w:jc w:val="center"/>
    </w:pPr>
    <w:rPr>
      <w:b/>
      <w:caps/>
      <w:szCs w:val="20"/>
    </w:rPr>
  </w:style>
  <w:style w:type="paragraph" w:customStyle="1" w:styleId="TitlePageDocument">
    <w:name w:val="Title Page Document"/>
    <w:basedOn w:val="Normal"/>
    <w:rsid w:val="006C6975"/>
    <w:pPr>
      <w:autoSpaceDE/>
      <w:autoSpaceDN/>
      <w:ind w:left="1440"/>
      <w:jc w:val="center"/>
    </w:pPr>
    <w:rPr>
      <w:b/>
      <w:bCs/>
      <w:caps/>
      <w:szCs w:val="20"/>
    </w:rPr>
  </w:style>
  <w:style w:type="paragraph" w:customStyle="1" w:styleId="TitlePageParty">
    <w:name w:val="Title Page Party"/>
    <w:basedOn w:val="Normal"/>
    <w:rsid w:val="006C6975"/>
    <w:pPr>
      <w:autoSpaceDE/>
      <w:autoSpaceDN/>
      <w:spacing w:before="720"/>
      <w:ind w:left="1440"/>
      <w:jc w:val="center"/>
    </w:pPr>
    <w:rPr>
      <w:b/>
      <w:caps/>
      <w:szCs w:val="20"/>
    </w:rPr>
  </w:style>
  <w:style w:type="paragraph" w:customStyle="1" w:styleId="FirmDouble">
    <w:name w:val="Firm Double"/>
    <w:basedOn w:val="Normal"/>
    <w:rsid w:val="006C6975"/>
    <w:pPr>
      <w:autoSpaceDE/>
      <w:autoSpaceDN/>
      <w:spacing w:line="480" w:lineRule="auto"/>
    </w:pPr>
  </w:style>
  <w:style w:type="paragraph" w:customStyle="1" w:styleId="FirmDouble05">
    <w:name w:val="Firm Double 05"/>
    <w:basedOn w:val="Normal"/>
    <w:rsid w:val="006C6975"/>
    <w:pPr>
      <w:autoSpaceDE/>
      <w:autoSpaceDN/>
      <w:spacing w:line="480" w:lineRule="auto"/>
      <w:ind w:left="1440" w:firstLine="720"/>
    </w:pPr>
  </w:style>
  <w:style w:type="paragraph" w:customStyle="1" w:styleId="FirmDouble1">
    <w:name w:val="Firm Double 1"/>
    <w:basedOn w:val="Normal"/>
    <w:rsid w:val="006C6975"/>
    <w:pPr>
      <w:autoSpaceDE/>
      <w:autoSpaceDN/>
      <w:spacing w:line="480" w:lineRule="auto"/>
      <w:ind w:left="1440" w:firstLine="1440"/>
    </w:pPr>
  </w:style>
  <w:style w:type="paragraph" w:customStyle="1" w:styleId="FirmDoubleFullJustify">
    <w:name w:val="Firm Double Full Justify"/>
    <w:basedOn w:val="Normal"/>
    <w:rsid w:val="006C6975"/>
    <w:pPr>
      <w:autoSpaceDE/>
      <w:autoSpaceDN/>
      <w:spacing w:line="480" w:lineRule="auto"/>
      <w:ind w:left="1440"/>
      <w:jc w:val="both"/>
    </w:pPr>
  </w:style>
  <w:style w:type="paragraph" w:customStyle="1" w:styleId="FirmPlain">
    <w:name w:val="Firm Plain"/>
    <w:basedOn w:val="Normal"/>
    <w:rsid w:val="006C6975"/>
    <w:pPr>
      <w:autoSpaceDE/>
      <w:autoSpaceDN/>
    </w:pPr>
  </w:style>
  <w:style w:type="paragraph" w:customStyle="1" w:styleId="FirmQuote">
    <w:name w:val="Firm Quote"/>
    <w:basedOn w:val="Normal"/>
    <w:rsid w:val="006C6975"/>
    <w:pPr>
      <w:autoSpaceDE/>
      <w:autoSpaceDN/>
      <w:spacing w:before="240" w:after="240"/>
      <w:ind w:left="1440" w:right="1440"/>
    </w:pPr>
  </w:style>
  <w:style w:type="paragraph" w:customStyle="1" w:styleId="FirmSingle">
    <w:name w:val="Firm Single"/>
    <w:basedOn w:val="Normal"/>
    <w:rsid w:val="006C6975"/>
    <w:pPr>
      <w:autoSpaceDE/>
      <w:autoSpaceDN/>
      <w:spacing w:after="240"/>
      <w:ind w:left="1440"/>
    </w:pPr>
  </w:style>
  <w:style w:type="paragraph" w:customStyle="1" w:styleId="FirmSingle05">
    <w:name w:val="Firm Single 05"/>
    <w:basedOn w:val="Normal"/>
    <w:rsid w:val="006C6975"/>
    <w:pPr>
      <w:autoSpaceDE/>
      <w:autoSpaceDN/>
      <w:spacing w:after="240"/>
      <w:ind w:left="1440" w:firstLine="720"/>
    </w:pPr>
  </w:style>
  <w:style w:type="paragraph" w:customStyle="1" w:styleId="FirmSingle1">
    <w:name w:val="Firm Single 1"/>
    <w:basedOn w:val="Normal"/>
    <w:rsid w:val="006C6975"/>
    <w:pPr>
      <w:autoSpaceDE/>
      <w:autoSpaceDN/>
      <w:spacing w:after="240"/>
      <w:ind w:left="1440" w:firstLine="1440"/>
    </w:pPr>
  </w:style>
  <w:style w:type="paragraph" w:customStyle="1" w:styleId="FirmSingleFullJustify">
    <w:name w:val="Firm Single Full Justify"/>
    <w:basedOn w:val="Normal"/>
    <w:rsid w:val="006C6975"/>
    <w:pPr>
      <w:autoSpaceDE/>
      <w:autoSpaceDN/>
      <w:spacing w:after="240"/>
      <w:ind w:left="1440"/>
      <w:jc w:val="both"/>
    </w:pPr>
  </w:style>
  <w:style w:type="paragraph" w:customStyle="1" w:styleId="FirmTable">
    <w:name w:val="Firm Table"/>
    <w:basedOn w:val="Normal"/>
    <w:rsid w:val="006C6975"/>
    <w:pPr>
      <w:autoSpaceDE/>
      <w:autoSpaceDN/>
      <w:ind w:left="1440"/>
    </w:pPr>
  </w:style>
  <w:style w:type="paragraph" w:customStyle="1" w:styleId="FirmTitleCB">
    <w:name w:val="Firm Title CB"/>
    <w:basedOn w:val="Normal"/>
    <w:rsid w:val="006C6975"/>
    <w:pPr>
      <w:keepNext/>
      <w:keepLines/>
      <w:autoSpaceDE/>
      <w:autoSpaceDN/>
      <w:spacing w:after="240"/>
      <w:ind w:left="1440"/>
      <w:jc w:val="center"/>
      <w:outlineLvl w:val="0"/>
    </w:pPr>
    <w:rPr>
      <w:b/>
    </w:rPr>
  </w:style>
  <w:style w:type="paragraph" w:customStyle="1" w:styleId="FirmTitleCBU">
    <w:name w:val="Firm Title CBU"/>
    <w:basedOn w:val="Normal"/>
    <w:rsid w:val="006C6975"/>
    <w:pPr>
      <w:keepNext/>
      <w:keepLines/>
      <w:autoSpaceDE/>
      <w:autoSpaceDN/>
      <w:spacing w:after="240"/>
      <w:ind w:left="1440"/>
      <w:jc w:val="center"/>
      <w:outlineLvl w:val="0"/>
    </w:pPr>
    <w:rPr>
      <w:b/>
      <w:u w:val="single"/>
    </w:rPr>
  </w:style>
  <w:style w:type="paragraph" w:customStyle="1" w:styleId="FirmTitleCU">
    <w:name w:val="Firm Title CU"/>
    <w:basedOn w:val="Normal"/>
    <w:rsid w:val="006C6975"/>
    <w:pPr>
      <w:keepNext/>
      <w:keepLines/>
      <w:autoSpaceDE/>
      <w:autoSpaceDN/>
      <w:spacing w:after="240"/>
      <w:ind w:left="1440"/>
      <w:jc w:val="center"/>
      <w:outlineLvl w:val="0"/>
    </w:pPr>
    <w:rPr>
      <w:u w:val="single"/>
    </w:rPr>
  </w:style>
  <w:style w:type="paragraph" w:customStyle="1" w:styleId="FirmTitleLB">
    <w:name w:val="Firm Title LB"/>
    <w:basedOn w:val="Normal"/>
    <w:rsid w:val="006C6975"/>
    <w:pPr>
      <w:keepNext/>
      <w:keepLines/>
      <w:autoSpaceDE/>
      <w:autoSpaceDN/>
      <w:spacing w:after="240"/>
      <w:ind w:left="1440"/>
      <w:outlineLvl w:val="0"/>
    </w:pPr>
    <w:rPr>
      <w:b/>
    </w:rPr>
  </w:style>
  <w:style w:type="paragraph" w:customStyle="1" w:styleId="FirmTitleLBU">
    <w:name w:val="Firm Title LBU"/>
    <w:basedOn w:val="Normal"/>
    <w:rsid w:val="006C6975"/>
    <w:pPr>
      <w:keepNext/>
      <w:keepLines/>
      <w:autoSpaceDE/>
      <w:autoSpaceDN/>
      <w:spacing w:after="240"/>
      <w:ind w:left="1440"/>
      <w:outlineLvl w:val="0"/>
    </w:pPr>
    <w:rPr>
      <w:b/>
      <w:u w:val="single"/>
    </w:rPr>
  </w:style>
  <w:style w:type="paragraph" w:customStyle="1" w:styleId="FirmTitleLU">
    <w:name w:val="Firm Title LU"/>
    <w:basedOn w:val="Normal"/>
    <w:rsid w:val="006C6975"/>
    <w:pPr>
      <w:keepNext/>
      <w:keepLines/>
      <w:autoSpaceDE/>
      <w:autoSpaceDN/>
      <w:spacing w:after="240"/>
      <w:ind w:left="1440"/>
      <w:outlineLvl w:val="0"/>
    </w:pPr>
    <w:rPr>
      <w:u w:val="single"/>
    </w:rPr>
  </w:style>
  <w:style w:type="paragraph" w:customStyle="1" w:styleId="FirmSingle05E">
    <w:name w:val="Firm Single 05 (E)"/>
    <w:basedOn w:val="Normal"/>
    <w:rsid w:val="006C6975"/>
    <w:pPr>
      <w:autoSpaceDE/>
      <w:autoSpaceDN/>
      <w:spacing w:after="240"/>
      <w:ind w:left="720"/>
      <w:jc w:val="both"/>
    </w:pPr>
  </w:style>
  <w:style w:type="paragraph" w:customStyle="1" w:styleId="FirmSingle1E">
    <w:name w:val="Firm Single 1 (E)"/>
    <w:basedOn w:val="Normal"/>
    <w:rsid w:val="006C6975"/>
    <w:pPr>
      <w:autoSpaceDE/>
      <w:autoSpaceDN/>
      <w:spacing w:after="240"/>
      <w:ind w:left="1440"/>
      <w:jc w:val="both"/>
    </w:pPr>
  </w:style>
  <w:style w:type="paragraph" w:customStyle="1" w:styleId="FirmSingle15E">
    <w:name w:val="Firm Single 1.5 (E)"/>
    <w:basedOn w:val="Normal"/>
    <w:rsid w:val="006C6975"/>
    <w:pPr>
      <w:autoSpaceDE/>
      <w:autoSpaceDN/>
      <w:spacing w:after="240"/>
      <w:ind w:left="2160"/>
      <w:jc w:val="both"/>
    </w:pPr>
  </w:style>
  <w:style w:type="paragraph" w:customStyle="1" w:styleId="FirmTitleLB05E">
    <w:name w:val="Firm Title LB 05 (E)"/>
    <w:basedOn w:val="Normal"/>
    <w:rsid w:val="006C6975"/>
    <w:pPr>
      <w:keepNext/>
      <w:keepLines/>
      <w:autoSpaceDE/>
      <w:autoSpaceDN/>
      <w:spacing w:after="240"/>
      <w:ind w:left="720"/>
      <w:outlineLvl w:val="0"/>
    </w:pPr>
    <w:rPr>
      <w:b/>
    </w:rPr>
  </w:style>
  <w:style w:type="paragraph" w:customStyle="1" w:styleId="FirmTitleLBU05E">
    <w:name w:val="Firm Title LBU 05 (E)"/>
    <w:basedOn w:val="Normal"/>
    <w:rsid w:val="006C6975"/>
    <w:pPr>
      <w:keepNext/>
      <w:keepLines/>
      <w:autoSpaceDE/>
      <w:autoSpaceDN/>
      <w:spacing w:after="240"/>
      <w:ind w:left="720"/>
      <w:outlineLvl w:val="0"/>
    </w:pPr>
    <w:rPr>
      <w:b/>
      <w:u w:val="single"/>
    </w:rPr>
  </w:style>
  <w:style w:type="paragraph" w:customStyle="1" w:styleId="FirmTitleLU05E">
    <w:name w:val="Firm Title LU 05 (E)"/>
    <w:basedOn w:val="Normal"/>
    <w:rsid w:val="006C6975"/>
    <w:pPr>
      <w:keepNext/>
      <w:keepLines/>
      <w:autoSpaceDE/>
      <w:autoSpaceDN/>
      <w:spacing w:after="240"/>
      <w:ind w:left="720"/>
      <w:outlineLvl w:val="0"/>
    </w:pPr>
    <w:rPr>
      <w:u w:val="single"/>
    </w:rPr>
  </w:style>
  <w:style w:type="paragraph" w:customStyle="1" w:styleId="FirmTitleLB1E">
    <w:name w:val="Firm Title LB 1 (E)"/>
    <w:basedOn w:val="Normal"/>
    <w:rsid w:val="006C6975"/>
    <w:pPr>
      <w:keepNext/>
      <w:keepLines/>
      <w:autoSpaceDE/>
      <w:autoSpaceDN/>
      <w:spacing w:after="240"/>
      <w:ind w:left="1440"/>
      <w:outlineLvl w:val="0"/>
    </w:pPr>
    <w:rPr>
      <w:b/>
    </w:rPr>
  </w:style>
  <w:style w:type="paragraph" w:customStyle="1" w:styleId="FirmTitleLBU1E">
    <w:name w:val="Firm Title LBU 1 (E)"/>
    <w:basedOn w:val="Normal"/>
    <w:rsid w:val="006C6975"/>
    <w:pPr>
      <w:keepNext/>
      <w:keepLines/>
      <w:autoSpaceDE/>
      <w:autoSpaceDN/>
      <w:spacing w:after="240"/>
      <w:ind w:left="1440"/>
      <w:outlineLvl w:val="0"/>
    </w:pPr>
    <w:rPr>
      <w:b/>
      <w:u w:val="single"/>
    </w:rPr>
  </w:style>
  <w:style w:type="paragraph" w:customStyle="1" w:styleId="FirmTitleLU1E">
    <w:name w:val="Firm Title LU 1 (E)"/>
    <w:basedOn w:val="Normal"/>
    <w:rsid w:val="006C6975"/>
    <w:pPr>
      <w:keepNext/>
      <w:keepLines/>
      <w:autoSpaceDE/>
      <w:autoSpaceDN/>
      <w:spacing w:after="240"/>
      <w:ind w:left="1440"/>
      <w:outlineLvl w:val="0"/>
    </w:pPr>
    <w:rPr>
      <w:u w:val="single"/>
    </w:rPr>
  </w:style>
  <w:style w:type="paragraph" w:customStyle="1" w:styleId="FirmTitleLB15E">
    <w:name w:val="Firm Title LB 1.5 (E)"/>
    <w:basedOn w:val="Normal"/>
    <w:rsid w:val="006C6975"/>
    <w:pPr>
      <w:keepNext/>
      <w:keepLines/>
      <w:autoSpaceDE/>
      <w:autoSpaceDN/>
      <w:spacing w:after="240"/>
      <w:ind w:left="2160"/>
      <w:outlineLvl w:val="0"/>
    </w:pPr>
    <w:rPr>
      <w:b/>
    </w:rPr>
  </w:style>
  <w:style w:type="paragraph" w:customStyle="1" w:styleId="FirmTitleLBU15E">
    <w:name w:val="Firm Title LBU 1.5 (E)"/>
    <w:basedOn w:val="Normal"/>
    <w:rsid w:val="006C6975"/>
    <w:pPr>
      <w:keepNext/>
      <w:keepLines/>
      <w:autoSpaceDE/>
      <w:autoSpaceDN/>
      <w:spacing w:after="240"/>
      <w:ind w:left="2160"/>
      <w:outlineLvl w:val="0"/>
    </w:pPr>
    <w:rPr>
      <w:b/>
      <w:u w:val="single"/>
    </w:rPr>
  </w:style>
  <w:style w:type="paragraph" w:customStyle="1" w:styleId="FirmTitleLU15E">
    <w:name w:val="Firm Title LU 1.5 (E)"/>
    <w:basedOn w:val="Normal"/>
    <w:rsid w:val="006C6975"/>
    <w:pPr>
      <w:keepNext/>
      <w:keepLines/>
      <w:autoSpaceDE/>
      <w:autoSpaceDN/>
      <w:spacing w:after="240"/>
      <w:ind w:left="2160"/>
      <w:outlineLvl w:val="0"/>
    </w:pPr>
    <w:rPr>
      <w:u w:val="single"/>
    </w:rPr>
  </w:style>
  <w:style w:type="paragraph" w:styleId="Quote">
    <w:name w:val="Quote"/>
    <w:basedOn w:val="Normal"/>
    <w:next w:val="BodyTextContinued"/>
    <w:link w:val="QuoteChar"/>
    <w:uiPriority w:val="29"/>
    <w:qFormat/>
    <w:rsid w:val="006C6975"/>
    <w:pPr>
      <w:autoSpaceDE/>
      <w:autoSpaceDN/>
      <w:spacing w:after="240"/>
      <w:ind w:left="1440" w:right="1440"/>
    </w:pPr>
    <w:rPr>
      <w:szCs w:val="20"/>
      <w:lang w:val="x-none" w:eastAsia="x-none"/>
    </w:rPr>
  </w:style>
  <w:style w:type="character" w:customStyle="1" w:styleId="QuoteChar">
    <w:name w:val="Quote Char"/>
    <w:link w:val="Quote"/>
    <w:uiPriority w:val="29"/>
    <w:rsid w:val="006C6975"/>
    <w:rPr>
      <w:sz w:val="24"/>
    </w:rPr>
  </w:style>
  <w:style w:type="paragraph" w:customStyle="1" w:styleId="DeliveryPhrase">
    <w:name w:val="Delivery Phrase"/>
    <w:basedOn w:val="Normal"/>
    <w:next w:val="Normal"/>
    <w:rsid w:val="006C6975"/>
    <w:pPr>
      <w:autoSpaceDE/>
      <w:autoSpaceDN/>
      <w:spacing w:after="240"/>
      <w:ind w:left="1440"/>
    </w:pPr>
    <w:rPr>
      <w:b/>
      <w:caps/>
      <w:szCs w:val="20"/>
    </w:rPr>
  </w:style>
  <w:style w:type="paragraph" w:customStyle="1" w:styleId="DocumentTitle">
    <w:name w:val="Document Title"/>
    <w:basedOn w:val="Normal"/>
    <w:next w:val="BodyText"/>
    <w:rsid w:val="006C6975"/>
    <w:pPr>
      <w:autoSpaceDE/>
      <w:autoSpaceDN/>
      <w:spacing w:after="480"/>
      <w:ind w:left="1440"/>
      <w:jc w:val="center"/>
    </w:pPr>
    <w:rPr>
      <w:b/>
      <w:caps/>
    </w:rPr>
  </w:style>
  <w:style w:type="paragraph" w:customStyle="1" w:styleId="BodyTextContinued">
    <w:name w:val="Body Text Continued"/>
    <w:basedOn w:val="BodyText"/>
    <w:next w:val="BodyText"/>
    <w:rsid w:val="006C6975"/>
    <w:pPr>
      <w:ind w:firstLine="0"/>
    </w:pPr>
  </w:style>
  <w:style w:type="character" w:styleId="Hyperlink">
    <w:name w:val="Hyperlink"/>
    <w:uiPriority w:val="99"/>
    <w:rsid w:val="006C6975"/>
    <w:rPr>
      <w:color w:val="0000FF"/>
      <w:u w:val="single"/>
    </w:rPr>
  </w:style>
  <w:style w:type="paragraph" w:customStyle="1" w:styleId="NumContinue">
    <w:name w:val="Num Continue"/>
    <w:basedOn w:val="BodyText"/>
    <w:rsid w:val="006C6975"/>
    <w:rPr>
      <w:szCs w:val="24"/>
    </w:rPr>
  </w:style>
  <w:style w:type="paragraph" w:customStyle="1" w:styleId="BriefCont1">
    <w:name w:val="Brief Cont 1"/>
    <w:basedOn w:val="Normal"/>
    <w:rsid w:val="006C6975"/>
    <w:pPr>
      <w:autoSpaceDE/>
      <w:autoSpaceDN/>
      <w:spacing w:after="240"/>
      <w:ind w:left="1440"/>
    </w:pPr>
  </w:style>
  <w:style w:type="paragraph" w:customStyle="1" w:styleId="BriefCont2">
    <w:name w:val="Brief Cont 2"/>
    <w:basedOn w:val="BriefCont1"/>
    <w:rsid w:val="006C6975"/>
    <w:pPr>
      <w:ind w:left="2160"/>
    </w:pPr>
  </w:style>
  <w:style w:type="paragraph" w:customStyle="1" w:styleId="BriefCont3">
    <w:name w:val="Brief Cont 3"/>
    <w:basedOn w:val="BriefCont2"/>
    <w:rsid w:val="006C6975"/>
    <w:pPr>
      <w:ind w:left="2880"/>
    </w:pPr>
  </w:style>
  <w:style w:type="paragraph" w:customStyle="1" w:styleId="BriefCont4">
    <w:name w:val="Brief Cont 4"/>
    <w:basedOn w:val="BriefCont3"/>
    <w:rsid w:val="006C6975"/>
  </w:style>
  <w:style w:type="paragraph" w:customStyle="1" w:styleId="BriefCont5">
    <w:name w:val="Brief Cont 5"/>
    <w:basedOn w:val="BriefCont4"/>
    <w:rsid w:val="006C6975"/>
    <w:pPr>
      <w:ind w:left="3600"/>
    </w:pPr>
  </w:style>
  <w:style w:type="paragraph" w:customStyle="1" w:styleId="BriefCont6">
    <w:name w:val="Brief Cont 6"/>
    <w:basedOn w:val="BriefCont5"/>
    <w:rsid w:val="006C6975"/>
    <w:pPr>
      <w:ind w:left="4320"/>
    </w:pPr>
  </w:style>
  <w:style w:type="paragraph" w:customStyle="1" w:styleId="BriefCont7">
    <w:name w:val="Brief Cont 7"/>
    <w:basedOn w:val="BriefCont6"/>
    <w:rsid w:val="006C6975"/>
    <w:pPr>
      <w:ind w:left="5040"/>
    </w:pPr>
  </w:style>
  <w:style w:type="paragraph" w:customStyle="1" w:styleId="BriefCont8">
    <w:name w:val="Brief Cont 8"/>
    <w:basedOn w:val="BriefCont7"/>
    <w:rsid w:val="006C6975"/>
    <w:pPr>
      <w:ind w:left="5760"/>
    </w:pPr>
  </w:style>
  <w:style w:type="paragraph" w:customStyle="1" w:styleId="BriefCont9">
    <w:name w:val="Brief Cont 9"/>
    <w:basedOn w:val="BriefCont8"/>
    <w:rsid w:val="006C6975"/>
    <w:pPr>
      <w:ind w:left="6480"/>
    </w:pPr>
  </w:style>
  <w:style w:type="paragraph" w:customStyle="1" w:styleId="BriefL1">
    <w:name w:val="Brief_L1"/>
    <w:basedOn w:val="Normal"/>
    <w:next w:val="BodyText"/>
    <w:rsid w:val="006C6975"/>
    <w:pPr>
      <w:numPr>
        <w:numId w:val="1"/>
      </w:numPr>
      <w:autoSpaceDE/>
      <w:autoSpaceDN/>
      <w:spacing w:after="360"/>
      <w:jc w:val="center"/>
      <w:outlineLvl w:val="0"/>
    </w:pPr>
    <w:rPr>
      <w:b/>
      <w:caps/>
      <w:szCs w:val="20"/>
    </w:rPr>
  </w:style>
  <w:style w:type="paragraph" w:customStyle="1" w:styleId="BriefL2">
    <w:name w:val="Brief_L2"/>
    <w:basedOn w:val="BriefL1"/>
    <w:next w:val="BodyText"/>
    <w:rsid w:val="006C6975"/>
    <w:pPr>
      <w:keepNext/>
      <w:keepLines/>
      <w:numPr>
        <w:ilvl w:val="1"/>
      </w:numPr>
      <w:jc w:val="left"/>
      <w:outlineLvl w:val="1"/>
    </w:pPr>
    <w:rPr>
      <w:caps w:val="0"/>
    </w:rPr>
  </w:style>
  <w:style w:type="paragraph" w:customStyle="1" w:styleId="BriefL3">
    <w:name w:val="Brief_L3"/>
    <w:basedOn w:val="BriefL2"/>
    <w:rsid w:val="006C6975"/>
    <w:pPr>
      <w:keepNext w:val="0"/>
      <w:keepLines w:val="0"/>
      <w:numPr>
        <w:ilvl w:val="2"/>
      </w:numPr>
      <w:spacing w:after="240"/>
      <w:outlineLvl w:val="2"/>
    </w:pPr>
    <w:rPr>
      <w:b w:val="0"/>
    </w:rPr>
  </w:style>
  <w:style w:type="paragraph" w:customStyle="1" w:styleId="BriefL4">
    <w:name w:val="Brief_L4"/>
    <w:basedOn w:val="BriefL3"/>
    <w:next w:val="BodyText"/>
    <w:rsid w:val="006C6975"/>
    <w:pPr>
      <w:numPr>
        <w:ilvl w:val="3"/>
      </w:numPr>
      <w:outlineLvl w:val="3"/>
    </w:pPr>
    <w:rPr>
      <w:b/>
    </w:rPr>
  </w:style>
  <w:style w:type="paragraph" w:customStyle="1" w:styleId="BriefL5">
    <w:name w:val="Brief_L5"/>
    <w:basedOn w:val="BriefL4"/>
    <w:next w:val="BodyText"/>
    <w:rsid w:val="006C6975"/>
    <w:pPr>
      <w:numPr>
        <w:ilvl w:val="4"/>
      </w:numPr>
      <w:outlineLvl w:val="4"/>
    </w:pPr>
    <w:rPr>
      <w:b w:val="0"/>
    </w:rPr>
  </w:style>
  <w:style w:type="paragraph" w:customStyle="1" w:styleId="BriefL6">
    <w:name w:val="Brief_L6"/>
    <w:basedOn w:val="BriefL5"/>
    <w:next w:val="BodyText"/>
    <w:rsid w:val="006C6975"/>
    <w:pPr>
      <w:numPr>
        <w:ilvl w:val="5"/>
      </w:numPr>
      <w:outlineLvl w:val="5"/>
    </w:pPr>
  </w:style>
  <w:style w:type="paragraph" w:customStyle="1" w:styleId="BriefL7">
    <w:name w:val="Brief_L7"/>
    <w:basedOn w:val="BriefL6"/>
    <w:next w:val="BodyText"/>
    <w:rsid w:val="006C6975"/>
    <w:pPr>
      <w:numPr>
        <w:ilvl w:val="6"/>
      </w:numPr>
      <w:outlineLvl w:val="6"/>
    </w:pPr>
  </w:style>
  <w:style w:type="paragraph" w:customStyle="1" w:styleId="BriefL8">
    <w:name w:val="Brief_L8"/>
    <w:basedOn w:val="BriefL7"/>
    <w:next w:val="BodyText"/>
    <w:rsid w:val="006C6975"/>
    <w:pPr>
      <w:numPr>
        <w:ilvl w:val="7"/>
      </w:numPr>
      <w:outlineLvl w:val="7"/>
    </w:pPr>
  </w:style>
  <w:style w:type="paragraph" w:customStyle="1" w:styleId="BriefL9">
    <w:name w:val="Brief_L9"/>
    <w:basedOn w:val="BriefL8"/>
    <w:next w:val="BodyText"/>
    <w:rsid w:val="006C6975"/>
    <w:pPr>
      <w:numPr>
        <w:ilvl w:val="8"/>
      </w:numPr>
      <w:outlineLvl w:val="8"/>
    </w:pPr>
  </w:style>
  <w:style w:type="character" w:customStyle="1" w:styleId="FooterChar">
    <w:name w:val="Footer Char"/>
    <w:link w:val="Footer"/>
    <w:uiPriority w:val="99"/>
    <w:rsid w:val="006C6975"/>
    <w:rPr>
      <w:sz w:val="24"/>
      <w:szCs w:val="24"/>
    </w:rPr>
  </w:style>
  <w:style w:type="paragraph" w:customStyle="1" w:styleId="BriefL3Continued">
    <w:name w:val="Brief L3 Continued"/>
    <w:basedOn w:val="Normal"/>
    <w:rsid w:val="006C6975"/>
    <w:pPr>
      <w:autoSpaceDE/>
      <w:autoSpaceDN/>
      <w:spacing w:after="360"/>
      <w:ind w:left="2880"/>
    </w:pPr>
  </w:style>
  <w:style w:type="paragraph" w:customStyle="1" w:styleId="briefCont20">
    <w:name w:val="brief Cont 2"/>
    <w:basedOn w:val="BriefCont1"/>
    <w:rsid w:val="006C6975"/>
    <w:pPr>
      <w:widowControl w:val="0"/>
      <w:spacing w:after="0" w:line="480" w:lineRule="auto"/>
      <w:ind w:left="0"/>
    </w:pPr>
    <w:rPr>
      <w:szCs w:val="20"/>
    </w:rPr>
  </w:style>
  <w:style w:type="paragraph" w:styleId="DocumentMap">
    <w:name w:val="Document Map"/>
    <w:basedOn w:val="Normal"/>
    <w:link w:val="DocumentMapChar"/>
    <w:rsid w:val="006C6975"/>
    <w:pPr>
      <w:shd w:val="clear" w:color="auto" w:fill="000080"/>
      <w:autoSpaceDE/>
      <w:autoSpaceDN/>
      <w:ind w:left="1440"/>
    </w:pPr>
    <w:rPr>
      <w:rFonts w:ascii="Tahoma" w:hAnsi="Tahoma"/>
      <w:sz w:val="20"/>
      <w:szCs w:val="20"/>
      <w:lang w:val="x-none" w:eastAsia="x-none"/>
    </w:rPr>
  </w:style>
  <w:style w:type="character" w:customStyle="1" w:styleId="DocumentMapChar">
    <w:name w:val="Document Map Char"/>
    <w:link w:val="DocumentMap"/>
    <w:rsid w:val="006C6975"/>
    <w:rPr>
      <w:rFonts w:ascii="Tahoma" w:hAnsi="Tahoma" w:cs="Tahoma"/>
      <w:shd w:val="clear" w:color="auto" w:fill="000080"/>
    </w:rPr>
  </w:style>
  <w:style w:type="paragraph" w:customStyle="1" w:styleId="FootnoteBody">
    <w:name w:val="Footnote Body"/>
    <w:basedOn w:val="FirmPlain"/>
    <w:rsid w:val="006C6975"/>
    <w:pPr>
      <w:spacing w:after="120"/>
      <w:ind w:left="720" w:hanging="720"/>
    </w:pPr>
  </w:style>
  <w:style w:type="paragraph" w:styleId="Title">
    <w:name w:val="Title"/>
    <w:basedOn w:val="Normal"/>
    <w:link w:val="TitleChar"/>
    <w:qFormat/>
    <w:rsid w:val="006C6975"/>
    <w:pPr>
      <w:autoSpaceDE/>
      <w:autoSpaceDN/>
      <w:spacing w:before="240" w:after="60"/>
      <w:ind w:left="1440"/>
      <w:jc w:val="center"/>
      <w:outlineLvl w:val="0"/>
    </w:pPr>
    <w:rPr>
      <w:rFonts w:ascii="Arial" w:hAnsi="Arial"/>
      <w:b/>
      <w:bCs/>
      <w:kern w:val="28"/>
      <w:sz w:val="32"/>
      <w:szCs w:val="32"/>
      <w:lang w:val="x-none" w:eastAsia="x-none"/>
    </w:rPr>
  </w:style>
  <w:style w:type="character" w:customStyle="1" w:styleId="TitleChar">
    <w:name w:val="Title Char"/>
    <w:link w:val="Title"/>
    <w:rsid w:val="006C6975"/>
    <w:rPr>
      <w:rFonts w:ascii="Arial" w:hAnsi="Arial" w:cs="Arial"/>
      <w:b/>
      <w:bCs/>
      <w:kern w:val="28"/>
      <w:sz w:val="32"/>
      <w:szCs w:val="32"/>
    </w:rPr>
  </w:style>
  <w:style w:type="paragraph" w:customStyle="1" w:styleId="TOCHeader">
    <w:name w:val="TOC Header"/>
    <w:basedOn w:val="Normal"/>
    <w:rsid w:val="006C6975"/>
    <w:pPr>
      <w:autoSpaceDE/>
      <w:autoSpaceDN/>
      <w:ind w:left="115" w:right="115"/>
      <w:jc w:val="center"/>
    </w:pPr>
    <w:rPr>
      <w:szCs w:val="20"/>
    </w:rPr>
  </w:style>
  <w:style w:type="paragraph" w:styleId="TableofAuthorities">
    <w:name w:val="table of authorities"/>
    <w:basedOn w:val="Normal"/>
    <w:next w:val="Normal"/>
    <w:rsid w:val="006C6975"/>
    <w:pPr>
      <w:autoSpaceDE/>
      <w:autoSpaceDN/>
      <w:ind w:left="240" w:hanging="240"/>
    </w:pPr>
  </w:style>
  <w:style w:type="paragraph" w:styleId="TOC1">
    <w:name w:val="toc 1"/>
    <w:basedOn w:val="Normal"/>
    <w:next w:val="Normal"/>
    <w:autoRedefine/>
    <w:uiPriority w:val="39"/>
    <w:rsid w:val="007231C5"/>
    <w:pPr>
      <w:keepLines/>
      <w:tabs>
        <w:tab w:val="right" w:leader="dot" w:pos="9288"/>
      </w:tabs>
      <w:autoSpaceDE/>
      <w:autoSpaceDN/>
      <w:ind w:left="720" w:right="720" w:hanging="720"/>
    </w:pPr>
    <w:rPr>
      <w:b/>
      <w:caps/>
      <w:noProof/>
      <w:szCs w:val="20"/>
    </w:rPr>
  </w:style>
  <w:style w:type="paragraph" w:styleId="TOC2">
    <w:name w:val="toc 2"/>
    <w:basedOn w:val="Normal"/>
    <w:next w:val="Normal"/>
    <w:autoRedefine/>
    <w:uiPriority w:val="39"/>
    <w:rsid w:val="008E6311"/>
    <w:pPr>
      <w:keepLines/>
      <w:tabs>
        <w:tab w:val="left" w:pos="1440"/>
        <w:tab w:val="right" w:leader="dot" w:pos="9288"/>
      </w:tabs>
      <w:autoSpaceDE/>
      <w:autoSpaceDN/>
      <w:ind w:left="1440" w:right="720" w:hanging="720"/>
    </w:pPr>
    <w:rPr>
      <w:szCs w:val="20"/>
    </w:rPr>
  </w:style>
  <w:style w:type="paragraph" w:styleId="TOC3">
    <w:name w:val="toc 3"/>
    <w:basedOn w:val="Normal"/>
    <w:next w:val="Normal"/>
    <w:autoRedefine/>
    <w:uiPriority w:val="39"/>
    <w:rsid w:val="007231C5"/>
    <w:pPr>
      <w:keepLines/>
      <w:tabs>
        <w:tab w:val="left" w:pos="2160"/>
        <w:tab w:val="right" w:leader="dot" w:pos="9288"/>
      </w:tabs>
      <w:autoSpaceDE/>
      <w:autoSpaceDN/>
      <w:ind w:left="2160" w:right="720" w:hanging="720"/>
    </w:pPr>
    <w:rPr>
      <w:szCs w:val="20"/>
    </w:rPr>
  </w:style>
  <w:style w:type="paragraph" w:styleId="TOC4">
    <w:name w:val="toc 4"/>
    <w:basedOn w:val="Normal"/>
    <w:next w:val="Normal"/>
    <w:autoRedefine/>
    <w:uiPriority w:val="39"/>
    <w:rsid w:val="006C6975"/>
    <w:pPr>
      <w:keepLines/>
      <w:tabs>
        <w:tab w:val="right" w:leader="dot" w:pos="9288"/>
      </w:tabs>
      <w:autoSpaceDE/>
      <w:autoSpaceDN/>
      <w:spacing w:after="120"/>
      <w:ind w:left="2880" w:right="720" w:hanging="720"/>
    </w:pPr>
    <w:rPr>
      <w:szCs w:val="20"/>
    </w:rPr>
  </w:style>
  <w:style w:type="paragraph" w:styleId="TOC5">
    <w:name w:val="toc 5"/>
    <w:basedOn w:val="Normal"/>
    <w:next w:val="Normal"/>
    <w:autoRedefine/>
    <w:rsid w:val="006C6975"/>
    <w:pPr>
      <w:keepLines/>
      <w:tabs>
        <w:tab w:val="right" w:leader="dot" w:pos="9288"/>
      </w:tabs>
      <w:autoSpaceDE/>
      <w:autoSpaceDN/>
      <w:spacing w:after="120"/>
      <w:ind w:left="3600" w:right="720" w:hanging="720"/>
    </w:pPr>
    <w:rPr>
      <w:szCs w:val="20"/>
    </w:rPr>
  </w:style>
  <w:style w:type="paragraph" w:styleId="TOC6">
    <w:name w:val="toc 6"/>
    <w:basedOn w:val="Normal"/>
    <w:next w:val="Normal"/>
    <w:autoRedefine/>
    <w:rsid w:val="006C6975"/>
    <w:pPr>
      <w:keepLines/>
      <w:tabs>
        <w:tab w:val="right" w:leader="dot" w:pos="9288"/>
      </w:tabs>
      <w:autoSpaceDE/>
      <w:autoSpaceDN/>
      <w:spacing w:after="120"/>
      <w:ind w:left="4320" w:right="720" w:hanging="720"/>
    </w:pPr>
    <w:rPr>
      <w:szCs w:val="20"/>
    </w:rPr>
  </w:style>
  <w:style w:type="paragraph" w:styleId="TOC7">
    <w:name w:val="toc 7"/>
    <w:basedOn w:val="Normal"/>
    <w:next w:val="Normal"/>
    <w:autoRedefine/>
    <w:rsid w:val="006C6975"/>
    <w:pPr>
      <w:keepLines/>
      <w:tabs>
        <w:tab w:val="right" w:leader="dot" w:pos="9288"/>
      </w:tabs>
      <w:autoSpaceDE/>
      <w:autoSpaceDN/>
      <w:spacing w:after="120"/>
      <w:ind w:left="5040" w:right="720" w:hanging="720"/>
    </w:pPr>
    <w:rPr>
      <w:szCs w:val="20"/>
    </w:rPr>
  </w:style>
  <w:style w:type="paragraph" w:styleId="TOC8">
    <w:name w:val="toc 8"/>
    <w:basedOn w:val="Normal"/>
    <w:next w:val="Normal"/>
    <w:autoRedefine/>
    <w:rsid w:val="006C6975"/>
    <w:pPr>
      <w:keepLines/>
      <w:tabs>
        <w:tab w:val="right" w:leader="dot" w:pos="9288"/>
      </w:tabs>
      <w:autoSpaceDE/>
      <w:autoSpaceDN/>
      <w:spacing w:after="120"/>
      <w:ind w:left="5760" w:right="720" w:hanging="720"/>
    </w:pPr>
    <w:rPr>
      <w:szCs w:val="20"/>
    </w:rPr>
  </w:style>
  <w:style w:type="paragraph" w:styleId="TOC9">
    <w:name w:val="toc 9"/>
    <w:basedOn w:val="Normal"/>
    <w:next w:val="Normal"/>
    <w:autoRedefine/>
    <w:rsid w:val="006C6975"/>
    <w:pPr>
      <w:keepLines/>
      <w:tabs>
        <w:tab w:val="right" w:leader="dot" w:pos="9288"/>
      </w:tabs>
      <w:autoSpaceDE/>
      <w:autoSpaceDN/>
      <w:spacing w:after="120"/>
      <w:ind w:left="6480" w:right="720" w:hanging="720"/>
    </w:pPr>
    <w:rPr>
      <w:szCs w:val="20"/>
    </w:rPr>
  </w:style>
  <w:style w:type="paragraph" w:customStyle="1" w:styleId="MacPacTrailer">
    <w:name w:val="MacPac Trailer"/>
    <w:rsid w:val="006C6975"/>
    <w:pPr>
      <w:widowControl w:val="0"/>
      <w:spacing w:line="200" w:lineRule="exact"/>
    </w:pPr>
    <w:rPr>
      <w:sz w:val="16"/>
      <w:szCs w:val="22"/>
    </w:rPr>
  </w:style>
  <w:style w:type="paragraph" w:styleId="ListNumber">
    <w:name w:val="List Number"/>
    <w:basedOn w:val="Normal"/>
    <w:link w:val="ListNumberChar"/>
    <w:qFormat/>
    <w:rsid w:val="006C6975"/>
    <w:pPr>
      <w:numPr>
        <w:numId w:val="2"/>
      </w:numPr>
      <w:autoSpaceDE/>
      <w:autoSpaceDN/>
      <w:spacing w:after="120" w:line="480" w:lineRule="auto"/>
    </w:pPr>
    <w:rPr>
      <w:lang w:val="x-none" w:eastAsia="x-none"/>
    </w:rPr>
  </w:style>
  <w:style w:type="paragraph" w:styleId="BalloonText">
    <w:name w:val="Balloon Text"/>
    <w:basedOn w:val="Normal"/>
    <w:link w:val="BalloonTextChar"/>
    <w:rsid w:val="006C6975"/>
    <w:pPr>
      <w:autoSpaceDE/>
      <w:autoSpaceDN/>
      <w:ind w:left="1440"/>
    </w:pPr>
    <w:rPr>
      <w:rFonts w:ascii="Tahoma" w:hAnsi="Tahoma"/>
      <w:sz w:val="16"/>
      <w:szCs w:val="16"/>
      <w:lang w:val="x-none" w:eastAsia="x-none"/>
    </w:rPr>
  </w:style>
  <w:style w:type="character" w:customStyle="1" w:styleId="BalloonTextChar">
    <w:name w:val="Balloon Text Char"/>
    <w:link w:val="BalloonText"/>
    <w:rsid w:val="006C6975"/>
    <w:rPr>
      <w:rFonts w:ascii="Tahoma" w:hAnsi="Tahoma" w:cs="Tahoma"/>
      <w:sz w:val="16"/>
      <w:szCs w:val="1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C6975"/>
  </w:style>
  <w:style w:type="paragraph" w:customStyle="1" w:styleId="BATOAPageHeading">
    <w:name w:val="BA TOA Page Heading"/>
    <w:basedOn w:val="Normal"/>
    <w:rsid w:val="006C6975"/>
    <w:pPr>
      <w:keepNext/>
      <w:keepLines/>
      <w:tabs>
        <w:tab w:val="right" w:pos="9360"/>
      </w:tabs>
      <w:autoSpaceDE/>
      <w:autoSpaceDN/>
      <w:jc w:val="right"/>
    </w:pPr>
    <w:rPr>
      <w:b/>
    </w:rPr>
  </w:style>
  <w:style w:type="paragraph" w:customStyle="1" w:styleId="BATOAHeading">
    <w:name w:val="BA TOA Heading"/>
    <w:basedOn w:val="Normal"/>
    <w:rsid w:val="006C6975"/>
    <w:pPr>
      <w:keepNext/>
      <w:keepLines/>
      <w:autoSpaceDE/>
      <w:autoSpaceDN/>
      <w:spacing w:before="480" w:after="240"/>
    </w:pPr>
    <w:rPr>
      <w:b/>
      <w:smallCaps/>
      <w:noProof/>
    </w:rPr>
  </w:style>
  <w:style w:type="paragraph" w:customStyle="1" w:styleId="BATOAEntry">
    <w:name w:val="BA TOA Entry"/>
    <w:basedOn w:val="Normal"/>
    <w:rsid w:val="006C6975"/>
    <w:pPr>
      <w:keepLines/>
      <w:tabs>
        <w:tab w:val="right" w:leader="dot" w:pos="9360"/>
      </w:tabs>
      <w:autoSpaceDE/>
      <w:autoSpaceDN/>
      <w:spacing w:after="240"/>
      <w:ind w:left="360" w:right="720" w:hanging="360"/>
    </w:pPr>
  </w:style>
  <w:style w:type="paragraph" w:customStyle="1" w:styleId="BADraft">
    <w:name w:val="BA Draft"/>
    <w:basedOn w:val="BodyText"/>
    <w:rsid w:val="006C6975"/>
    <w:pPr>
      <w:keepLines/>
      <w:spacing w:after="0"/>
      <w:ind w:left="0" w:firstLine="0"/>
    </w:pPr>
    <w:rPr>
      <w:szCs w:val="24"/>
    </w:rPr>
  </w:style>
  <w:style w:type="paragraph" w:customStyle="1" w:styleId="BATOATitle">
    <w:name w:val="BA TOA Title"/>
    <w:basedOn w:val="Normal"/>
    <w:rsid w:val="006C6975"/>
    <w:pPr>
      <w:keepNext/>
      <w:autoSpaceDE/>
      <w:autoSpaceDN/>
      <w:spacing w:before="120" w:after="240"/>
      <w:jc w:val="center"/>
    </w:pPr>
    <w:rPr>
      <w:b/>
      <w:caps/>
      <w:u w:val="single"/>
    </w:rPr>
  </w:style>
  <w:style w:type="character" w:styleId="Emphasis">
    <w:name w:val="Emphasis"/>
    <w:qFormat/>
    <w:rsid w:val="006C6975"/>
    <w:rPr>
      <w:i/>
      <w:iCs/>
    </w:rPr>
  </w:style>
  <w:style w:type="character" w:styleId="Strong">
    <w:name w:val="Strong"/>
    <w:qFormat/>
    <w:rsid w:val="006C6975"/>
    <w:rPr>
      <w:b/>
      <w:bCs/>
    </w:rPr>
  </w:style>
  <w:style w:type="paragraph" w:customStyle="1" w:styleId="indent">
    <w:name w:val="indent"/>
    <w:basedOn w:val="Normal"/>
    <w:link w:val="indentChar"/>
    <w:qFormat/>
    <w:rsid w:val="006C6975"/>
    <w:pPr>
      <w:autoSpaceDE/>
      <w:autoSpaceDN/>
      <w:spacing w:after="240"/>
      <w:ind w:left="1440"/>
    </w:pPr>
    <w:rPr>
      <w:lang w:val="x-none" w:eastAsia="x-none"/>
    </w:rPr>
  </w:style>
  <w:style w:type="paragraph" w:customStyle="1" w:styleId="numindent">
    <w:name w:val="num indent"/>
    <w:basedOn w:val="ListNumber"/>
    <w:link w:val="numindentChar"/>
    <w:qFormat/>
    <w:rsid w:val="006C6975"/>
    <w:pPr>
      <w:tabs>
        <w:tab w:val="clear" w:pos="504"/>
        <w:tab w:val="num" w:pos="1980"/>
      </w:tabs>
      <w:spacing w:after="240" w:line="240" w:lineRule="auto"/>
      <w:ind w:left="1440" w:firstLine="0"/>
    </w:pPr>
    <w:rPr>
      <w:b/>
    </w:rPr>
  </w:style>
  <w:style w:type="character" w:customStyle="1" w:styleId="indentChar">
    <w:name w:val="indent Char"/>
    <w:link w:val="indent"/>
    <w:rsid w:val="006C6975"/>
    <w:rPr>
      <w:sz w:val="24"/>
      <w:szCs w:val="24"/>
    </w:rPr>
  </w:style>
  <w:style w:type="character" w:customStyle="1" w:styleId="ListNumberChar">
    <w:name w:val="List Number Char"/>
    <w:link w:val="ListNumber"/>
    <w:rsid w:val="006C6975"/>
    <w:rPr>
      <w:sz w:val="24"/>
      <w:szCs w:val="24"/>
      <w:lang w:val="x-none" w:eastAsia="x-none"/>
    </w:rPr>
  </w:style>
  <w:style w:type="character" w:customStyle="1" w:styleId="numindentChar">
    <w:name w:val="num indent Char"/>
    <w:link w:val="numindent"/>
    <w:rsid w:val="006C6975"/>
    <w:rPr>
      <w:b/>
      <w:sz w:val="24"/>
      <w:szCs w:val="24"/>
      <w:lang w:val="x-none" w:eastAsia="x-none"/>
    </w:rPr>
  </w:style>
  <w:style w:type="paragraph" w:styleId="PlainText">
    <w:name w:val="Plain Text"/>
    <w:basedOn w:val="Normal"/>
    <w:link w:val="PlainTextChar"/>
    <w:uiPriority w:val="99"/>
    <w:unhideWhenUsed/>
    <w:rsid w:val="006C6975"/>
    <w:pPr>
      <w:autoSpaceDE/>
      <w:autoSpaceDN/>
    </w:pPr>
    <w:rPr>
      <w:rFonts w:ascii="Consolas" w:eastAsia="Calibri" w:hAnsi="Consolas"/>
      <w:sz w:val="21"/>
      <w:szCs w:val="21"/>
      <w:lang w:val="x-none" w:eastAsia="x-none"/>
    </w:rPr>
  </w:style>
  <w:style w:type="character" w:customStyle="1" w:styleId="PlainTextChar">
    <w:name w:val="Plain Text Char"/>
    <w:link w:val="PlainText"/>
    <w:uiPriority w:val="99"/>
    <w:rsid w:val="006C6975"/>
    <w:rPr>
      <w:rFonts w:ascii="Consolas" w:eastAsia="Calibri" w:hAnsi="Consolas"/>
      <w:sz w:val="21"/>
      <w:szCs w:val="21"/>
    </w:rPr>
  </w:style>
  <w:style w:type="paragraph" w:customStyle="1" w:styleId="BodyTex3">
    <w:name w:val="Body Tex 3"/>
    <w:basedOn w:val="Normal"/>
    <w:link w:val="BodyTex3Char"/>
    <w:qFormat/>
    <w:rsid w:val="006C6975"/>
    <w:pPr>
      <w:autoSpaceDE/>
      <w:autoSpaceDN/>
      <w:spacing w:line="480" w:lineRule="auto"/>
    </w:pPr>
    <w:rPr>
      <w:lang w:val="x-none" w:eastAsia="x-none"/>
    </w:rPr>
  </w:style>
  <w:style w:type="character" w:customStyle="1" w:styleId="BodyTex3Char">
    <w:name w:val="Body Tex 3 Char"/>
    <w:link w:val="BodyTex3"/>
    <w:rsid w:val="006C6975"/>
    <w:rPr>
      <w:sz w:val="24"/>
      <w:szCs w:val="24"/>
    </w:rPr>
  </w:style>
  <w:style w:type="paragraph" w:customStyle="1" w:styleId="answ">
    <w:name w:val="answ"/>
    <w:basedOn w:val="Normal"/>
    <w:next w:val="Normal"/>
    <w:rsid w:val="00F37A2D"/>
    <w:pPr>
      <w:suppressAutoHyphens/>
      <w:autoSpaceDE/>
      <w:autoSpaceDN/>
      <w:spacing w:after="240" w:line="360" w:lineRule="auto"/>
      <w:ind w:left="720" w:hanging="720"/>
      <w:jc w:val="both"/>
    </w:pPr>
    <w:rPr>
      <w:szCs w:val="20"/>
    </w:rPr>
  </w:style>
  <w:style w:type="paragraph" w:styleId="NoSpacing">
    <w:name w:val="No Spacing"/>
    <w:uiPriority w:val="1"/>
    <w:qFormat/>
    <w:rsid w:val="00703C22"/>
    <w:rPr>
      <w:rFonts w:ascii="Calibri" w:eastAsia="Calibri" w:hAnsi="Calibri"/>
      <w:sz w:val="22"/>
      <w:szCs w:val="22"/>
    </w:rPr>
  </w:style>
  <w:style w:type="paragraph" w:styleId="Revision">
    <w:name w:val="Revision"/>
    <w:hidden/>
    <w:uiPriority w:val="99"/>
    <w:semiHidden/>
    <w:rsid w:val="000C1BA2"/>
    <w:rPr>
      <w:sz w:val="24"/>
      <w:szCs w:val="24"/>
    </w:rPr>
  </w:style>
  <w:style w:type="paragraph" w:styleId="BlockText">
    <w:name w:val="Block Text"/>
    <w:basedOn w:val="Normal"/>
    <w:uiPriority w:val="1"/>
    <w:unhideWhenUsed/>
    <w:qFormat/>
    <w:rsid w:val="0055352D"/>
    <w:pPr>
      <w:autoSpaceDE/>
      <w:autoSpaceDN/>
      <w:spacing w:after="240"/>
      <w:ind w:left="1440" w:right="1440"/>
      <w:jc w:val="both"/>
    </w:pPr>
  </w:style>
  <w:style w:type="paragraph" w:styleId="ListBullet">
    <w:name w:val="List Bullet"/>
    <w:aliases w:val="b1"/>
    <w:basedOn w:val="Normal"/>
    <w:unhideWhenUsed/>
    <w:rsid w:val="001543F6"/>
    <w:pPr>
      <w:tabs>
        <w:tab w:val="num" w:pos="360"/>
      </w:tabs>
      <w:autoSpaceDE/>
      <w:autoSpaceDN/>
      <w:spacing w:after="240"/>
      <w:ind w:left="360"/>
      <w:jc w:val="both"/>
    </w:pPr>
    <w:rPr>
      <w:szCs w:val="20"/>
    </w:rPr>
  </w:style>
  <w:style w:type="character" w:customStyle="1" w:styleId="FootnoteText2Char">
    <w:name w:val="Footnote Text2 Char"/>
    <w:link w:val="FootnoteText2"/>
    <w:locked/>
    <w:rsid w:val="001543F6"/>
  </w:style>
  <w:style w:type="paragraph" w:customStyle="1" w:styleId="FootnoteText2">
    <w:name w:val="Footnote Text2"/>
    <w:basedOn w:val="Normal"/>
    <w:link w:val="FootnoteText2Char"/>
    <w:rsid w:val="001543F6"/>
    <w:pPr>
      <w:autoSpaceDE/>
      <w:autoSpaceDN/>
      <w:spacing w:after="120"/>
      <w:jc w:val="both"/>
    </w:pPr>
    <w:rPr>
      <w:sz w:val="20"/>
      <w:szCs w:val="20"/>
    </w:rPr>
  </w:style>
  <w:style w:type="paragraph" w:customStyle="1" w:styleId="NBBullet1">
    <w:name w:val="NB Bullet 1"/>
    <w:basedOn w:val="Normal"/>
    <w:rsid w:val="001543F6"/>
    <w:pPr>
      <w:numPr>
        <w:numId w:val="3"/>
      </w:numPr>
      <w:autoSpaceDE/>
      <w:autoSpaceDN/>
      <w:spacing w:after="60"/>
      <w:ind w:left="374" w:hanging="374"/>
    </w:pPr>
    <w:rPr>
      <w:sz w:val="20"/>
      <w:szCs w:val="22"/>
    </w:rPr>
  </w:style>
  <w:style w:type="character" w:customStyle="1" w:styleId="Heading1Char">
    <w:name w:val="Heading 1 Char"/>
    <w:basedOn w:val="DefaultParagraphFont"/>
    <w:link w:val="Heading1"/>
    <w:rsid w:val="00442F0C"/>
    <w:rPr>
      <w:b/>
      <w:bCs/>
      <w:caps/>
      <w:sz w:val="24"/>
      <w:szCs w:val="32"/>
      <w:u w:val="single"/>
    </w:rPr>
  </w:style>
  <w:style w:type="character" w:customStyle="1" w:styleId="Heading2Char">
    <w:name w:val="Heading 2 Char"/>
    <w:basedOn w:val="DefaultParagraphFont"/>
    <w:link w:val="Heading2"/>
    <w:rsid w:val="00442F0C"/>
    <w:rPr>
      <w:b/>
      <w:bCs/>
      <w:iCs/>
      <w:caps/>
      <w:sz w:val="24"/>
      <w:szCs w:val="28"/>
    </w:rPr>
  </w:style>
  <w:style w:type="character" w:customStyle="1" w:styleId="Heading3Char">
    <w:name w:val="Heading 3 Char"/>
    <w:basedOn w:val="DefaultParagraphFont"/>
    <w:link w:val="Heading3"/>
    <w:rsid w:val="00442F0C"/>
    <w:rPr>
      <w:b/>
      <w:bCs/>
      <w:sz w:val="24"/>
      <w:szCs w:val="26"/>
    </w:rPr>
  </w:style>
  <w:style w:type="character" w:customStyle="1" w:styleId="Heading4Char">
    <w:name w:val="Heading 4 Char"/>
    <w:basedOn w:val="DefaultParagraphFont"/>
    <w:link w:val="Heading4"/>
    <w:rsid w:val="00442F0C"/>
    <w:rPr>
      <w:b/>
      <w:bCs/>
      <w:sz w:val="24"/>
      <w:szCs w:val="28"/>
    </w:rPr>
  </w:style>
  <w:style w:type="character" w:customStyle="1" w:styleId="Heading5Char">
    <w:name w:val="Heading 5 Char"/>
    <w:basedOn w:val="DefaultParagraphFont"/>
    <w:link w:val="Heading5"/>
    <w:rsid w:val="00442F0C"/>
    <w:rPr>
      <w:b/>
      <w:bCs/>
      <w:iCs/>
      <w:sz w:val="24"/>
      <w:szCs w:val="26"/>
    </w:rPr>
  </w:style>
  <w:style w:type="character" w:customStyle="1" w:styleId="Heading6Char">
    <w:name w:val="Heading 6 Char"/>
    <w:basedOn w:val="DefaultParagraphFont"/>
    <w:link w:val="Heading6"/>
    <w:rsid w:val="00442F0C"/>
    <w:rPr>
      <w:b/>
      <w:bCs/>
      <w:sz w:val="24"/>
      <w:szCs w:val="22"/>
    </w:rPr>
  </w:style>
  <w:style w:type="character" w:customStyle="1" w:styleId="Heading7Char">
    <w:name w:val="Heading 7 Char"/>
    <w:basedOn w:val="DefaultParagraphFont"/>
    <w:link w:val="Heading7"/>
    <w:rsid w:val="00442F0C"/>
    <w:rPr>
      <w:b/>
      <w:sz w:val="24"/>
      <w:szCs w:val="24"/>
    </w:rPr>
  </w:style>
  <w:style w:type="character" w:customStyle="1" w:styleId="Heading8Char">
    <w:name w:val="Heading 8 Char"/>
    <w:basedOn w:val="DefaultParagraphFont"/>
    <w:link w:val="Heading8"/>
    <w:rsid w:val="00442F0C"/>
    <w:rPr>
      <w:b/>
      <w:iCs/>
      <w:sz w:val="24"/>
      <w:szCs w:val="24"/>
    </w:rPr>
  </w:style>
  <w:style w:type="character" w:customStyle="1" w:styleId="Heading9Char">
    <w:name w:val="Heading 9 Char"/>
    <w:basedOn w:val="DefaultParagraphFont"/>
    <w:link w:val="Heading9"/>
    <w:rsid w:val="00442F0C"/>
    <w:rPr>
      <w:b/>
      <w:sz w:val="24"/>
      <w:szCs w:val="22"/>
    </w:rPr>
  </w:style>
  <w:style w:type="table" w:styleId="TableGrid5">
    <w:name w:val="Table Grid 5"/>
    <w:basedOn w:val="TableNormal"/>
    <w:rsid w:val="003F1539"/>
    <w:pPr>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539"/>
    <w:pPr>
      <w:autoSpaceDE w:val="0"/>
      <w:autoSpaceDN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3F1539"/>
    <w:pPr>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
    <w:name w:val="Light List"/>
    <w:basedOn w:val="TableNormal"/>
    <w:uiPriority w:val="61"/>
    <w:rsid w:val="003F153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List4">
    <w:name w:val="Table List 4"/>
    <w:basedOn w:val="TableNormal"/>
    <w:rsid w:val="003F1539"/>
    <w:pPr>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7">
    <w:name w:val="Table Grid 7"/>
    <w:basedOn w:val="TableNormal"/>
    <w:rsid w:val="003F1539"/>
    <w:pPr>
      <w:autoSpaceDE w:val="0"/>
      <w:autoSpaceDN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539"/>
    <w:pPr>
      <w:autoSpaceDE w:val="0"/>
      <w:autoSpaceDN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539"/>
    <w:pPr>
      <w:autoSpaceDE w:val="0"/>
      <w:autoSpaceDN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539"/>
    <w:pPr>
      <w:autoSpaceDE w:val="0"/>
      <w:autoSpaceDN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539"/>
    <w:pPr>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DirectNext">
    <w:name w:val="Direct Next"/>
    <w:basedOn w:val="Normal"/>
    <w:rsid w:val="00297E8C"/>
    <w:pPr>
      <w:numPr>
        <w:ilvl w:val="1"/>
        <w:numId w:val="5"/>
      </w:numPr>
      <w:autoSpaceDE/>
      <w:autoSpaceDN/>
      <w:spacing w:line="504" w:lineRule="exact"/>
      <w:ind w:firstLine="720"/>
    </w:pPr>
  </w:style>
  <w:style w:type="paragraph" w:customStyle="1" w:styleId="DirectAnswer">
    <w:name w:val="Direct Answer"/>
    <w:basedOn w:val="Normal"/>
    <w:next w:val="Normal"/>
    <w:rsid w:val="00297E8C"/>
    <w:pPr>
      <w:tabs>
        <w:tab w:val="num" w:pos="360"/>
      </w:tabs>
      <w:autoSpaceDE/>
      <w:autoSpaceDN/>
      <w:spacing w:line="504" w:lineRule="exact"/>
    </w:pPr>
    <w:rPr>
      <w:rFonts w:eastAsia="Calibri"/>
      <w:szCs w:val="20"/>
    </w:rPr>
  </w:style>
  <w:style w:type="paragraph" w:customStyle="1" w:styleId="Level2">
    <w:name w:val="Level 2"/>
    <w:rsid w:val="00415028"/>
    <w:pPr>
      <w:widowControl w:val="0"/>
      <w:tabs>
        <w:tab w:val="num" w:pos="720"/>
      </w:tabs>
      <w:autoSpaceDE w:val="0"/>
      <w:autoSpaceDN w:val="0"/>
      <w:adjustRightInd w:val="0"/>
      <w:spacing w:line="480" w:lineRule="auto"/>
      <w:ind w:left="720" w:hanging="720"/>
      <w:jc w:val="both"/>
    </w:pPr>
    <w:rPr>
      <w:sz w:val="24"/>
      <w:szCs w:val="24"/>
    </w:rPr>
  </w:style>
  <w:style w:type="character" w:customStyle="1" w:styleId="NormalChar">
    <w:name w:val="Normal Char"/>
    <w:link w:val="Normal1"/>
    <w:locked/>
    <w:rsid w:val="009A564A"/>
    <w:rPr>
      <w:sz w:val="24"/>
      <w:szCs w:val="24"/>
    </w:rPr>
  </w:style>
  <w:style w:type="paragraph" w:customStyle="1" w:styleId="Normal1">
    <w:name w:val="Normal1"/>
    <w:basedOn w:val="Normal"/>
    <w:link w:val="NormalChar"/>
    <w:qFormat/>
    <w:rsid w:val="009A564A"/>
    <w:pPr>
      <w:autoSpaceDE/>
      <w:autoSpaceDN/>
      <w:spacing w:line="480" w:lineRule="auto"/>
      <w:ind w:firstLine="720"/>
    </w:pPr>
  </w:style>
  <w:style w:type="character" w:customStyle="1" w:styleId="normal-c6">
    <w:name w:val="normal-c6"/>
    <w:rsid w:val="00E90FC9"/>
  </w:style>
  <w:style w:type="character" w:customStyle="1" w:styleId="WBBodyText1Char">
    <w:name w:val="WB Body Text 1 Char"/>
    <w:aliases w:val="B1 Char"/>
    <w:link w:val="WBBodyText1"/>
    <w:locked/>
    <w:rsid w:val="00164F73"/>
    <w:rPr>
      <w:sz w:val="24"/>
      <w:szCs w:val="24"/>
    </w:rPr>
  </w:style>
  <w:style w:type="paragraph" w:customStyle="1" w:styleId="WBBodyText1">
    <w:name w:val="WB Body Text 1"/>
    <w:aliases w:val="B1,Body Text 1"/>
    <w:basedOn w:val="Normal"/>
    <w:link w:val="WBBodyText1Char"/>
    <w:rsid w:val="00164F73"/>
    <w:pPr>
      <w:autoSpaceDE/>
      <w:autoSpaceDN/>
      <w:spacing w:line="480" w:lineRule="auto"/>
      <w:ind w:firstLine="720"/>
    </w:pPr>
  </w:style>
  <w:style w:type="paragraph" w:styleId="CommentText">
    <w:name w:val="annotation text"/>
    <w:basedOn w:val="Normal"/>
    <w:link w:val="CommentTextChar"/>
    <w:unhideWhenUsed/>
    <w:rsid w:val="007A67B2"/>
    <w:pPr>
      <w:autoSpaceDE/>
      <w:autoSpaceDN/>
    </w:pPr>
    <w:rPr>
      <w:rFonts w:eastAsiaTheme="minorHAnsi" w:cstheme="minorBidi"/>
      <w:sz w:val="20"/>
      <w:szCs w:val="20"/>
    </w:rPr>
  </w:style>
  <w:style w:type="character" w:customStyle="1" w:styleId="CommentTextChar">
    <w:name w:val="Comment Text Char"/>
    <w:basedOn w:val="DefaultParagraphFont"/>
    <w:link w:val="CommentText"/>
    <w:rsid w:val="007A67B2"/>
    <w:rPr>
      <w:rFonts w:eastAsiaTheme="minorHAnsi" w:cstheme="minorBidi"/>
    </w:rPr>
  </w:style>
  <w:style w:type="paragraph" w:customStyle="1" w:styleId="BodyTextFirstLine5DS">
    <w:name w:val="Body Text First Line .5 DS"/>
    <w:aliases w:val="5/0d"/>
    <w:basedOn w:val="Normal"/>
    <w:rsid w:val="001E1661"/>
    <w:pPr>
      <w:autoSpaceDE/>
      <w:autoSpaceDN/>
      <w:spacing w:line="480" w:lineRule="auto"/>
      <w:ind w:firstLine="720"/>
      <w:jc w:val="both"/>
    </w:pPr>
    <w:rPr>
      <w:rFonts w:eastAsia="Calibri"/>
    </w:rPr>
  </w:style>
  <w:style w:type="paragraph" w:customStyle="1" w:styleId="BodyTextSS">
    <w:name w:val="Body Text SS"/>
    <w:aliases w:val="0/0s"/>
    <w:basedOn w:val="Normal"/>
    <w:qFormat/>
    <w:rsid w:val="001E1661"/>
    <w:pPr>
      <w:autoSpaceDE/>
      <w:autoSpaceDN/>
      <w:spacing w:after="240"/>
      <w:jc w:val="both"/>
    </w:pPr>
  </w:style>
  <w:style w:type="paragraph" w:styleId="ListBullet5">
    <w:name w:val="List Bullet 5"/>
    <w:aliases w:val="b5"/>
    <w:basedOn w:val="Normal"/>
    <w:rsid w:val="00184923"/>
    <w:pPr>
      <w:numPr>
        <w:numId w:val="6"/>
      </w:numPr>
      <w:autoSpaceDE/>
      <w:autoSpaceDN/>
      <w:spacing w:after="240"/>
      <w:jc w:val="both"/>
    </w:pPr>
    <w:rPr>
      <w:szCs w:val="20"/>
    </w:rPr>
  </w:style>
  <w:style w:type="paragraph" w:customStyle="1" w:styleId="BodyText2USDE">
    <w:name w:val="Body Text 2 USDE"/>
    <w:basedOn w:val="Normal"/>
    <w:uiPriority w:val="1"/>
    <w:qFormat/>
    <w:rsid w:val="002E5AAC"/>
    <w:pPr>
      <w:autoSpaceDE/>
      <w:autoSpaceDN/>
      <w:spacing w:after="240" w:line="480" w:lineRule="auto"/>
      <w:ind w:firstLine="720"/>
    </w:pPr>
    <w:rPr>
      <w:rFonts w:eastAsiaTheme="minorHAnsi" w:cstheme="minorBidi"/>
    </w:rPr>
  </w:style>
  <w:style w:type="paragraph" w:styleId="ListBullet2">
    <w:name w:val="List Bullet 2"/>
    <w:basedOn w:val="Normal"/>
    <w:rsid w:val="004B701A"/>
    <w:pPr>
      <w:numPr>
        <w:numId w:val="10"/>
      </w:numPr>
      <w:contextualSpacing/>
    </w:pPr>
  </w:style>
  <w:style w:type="paragraph" w:styleId="ListBullet4">
    <w:name w:val="List Bullet 4"/>
    <w:basedOn w:val="Normal"/>
    <w:rsid w:val="00566B3C"/>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14">
      <w:bodyDiv w:val="1"/>
      <w:marLeft w:val="0"/>
      <w:marRight w:val="0"/>
      <w:marTop w:val="0"/>
      <w:marBottom w:val="0"/>
      <w:divBdr>
        <w:top w:val="none" w:sz="0" w:space="0" w:color="auto"/>
        <w:left w:val="none" w:sz="0" w:space="0" w:color="auto"/>
        <w:bottom w:val="none" w:sz="0" w:space="0" w:color="auto"/>
        <w:right w:val="none" w:sz="0" w:space="0" w:color="auto"/>
      </w:divBdr>
    </w:div>
    <w:div w:id="4019432">
      <w:bodyDiv w:val="1"/>
      <w:marLeft w:val="0"/>
      <w:marRight w:val="0"/>
      <w:marTop w:val="0"/>
      <w:marBottom w:val="0"/>
      <w:divBdr>
        <w:top w:val="none" w:sz="0" w:space="0" w:color="auto"/>
        <w:left w:val="none" w:sz="0" w:space="0" w:color="auto"/>
        <w:bottom w:val="none" w:sz="0" w:space="0" w:color="auto"/>
        <w:right w:val="none" w:sz="0" w:space="0" w:color="auto"/>
      </w:divBdr>
    </w:div>
    <w:div w:id="18941223">
      <w:bodyDiv w:val="1"/>
      <w:marLeft w:val="0"/>
      <w:marRight w:val="0"/>
      <w:marTop w:val="0"/>
      <w:marBottom w:val="0"/>
      <w:divBdr>
        <w:top w:val="none" w:sz="0" w:space="0" w:color="auto"/>
        <w:left w:val="none" w:sz="0" w:space="0" w:color="auto"/>
        <w:bottom w:val="none" w:sz="0" w:space="0" w:color="auto"/>
        <w:right w:val="none" w:sz="0" w:space="0" w:color="auto"/>
      </w:divBdr>
    </w:div>
    <w:div w:id="32462679">
      <w:bodyDiv w:val="1"/>
      <w:marLeft w:val="0"/>
      <w:marRight w:val="0"/>
      <w:marTop w:val="0"/>
      <w:marBottom w:val="0"/>
      <w:divBdr>
        <w:top w:val="none" w:sz="0" w:space="0" w:color="auto"/>
        <w:left w:val="none" w:sz="0" w:space="0" w:color="auto"/>
        <w:bottom w:val="none" w:sz="0" w:space="0" w:color="auto"/>
        <w:right w:val="none" w:sz="0" w:space="0" w:color="auto"/>
      </w:divBdr>
    </w:div>
    <w:div w:id="36274082">
      <w:bodyDiv w:val="1"/>
      <w:marLeft w:val="0"/>
      <w:marRight w:val="0"/>
      <w:marTop w:val="0"/>
      <w:marBottom w:val="0"/>
      <w:divBdr>
        <w:top w:val="none" w:sz="0" w:space="0" w:color="auto"/>
        <w:left w:val="none" w:sz="0" w:space="0" w:color="auto"/>
        <w:bottom w:val="none" w:sz="0" w:space="0" w:color="auto"/>
        <w:right w:val="none" w:sz="0" w:space="0" w:color="auto"/>
      </w:divBdr>
    </w:div>
    <w:div w:id="38553348">
      <w:bodyDiv w:val="1"/>
      <w:marLeft w:val="0"/>
      <w:marRight w:val="0"/>
      <w:marTop w:val="0"/>
      <w:marBottom w:val="0"/>
      <w:divBdr>
        <w:top w:val="none" w:sz="0" w:space="0" w:color="auto"/>
        <w:left w:val="none" w:sz="0" w:space="0" w:color="auto"/>
        <w:bottom w:val="none" w:sz="0" w:space="0" w:color="auto"/>
        <w:right w:val="none" w:sz="0" w:space="0" w:color="auto"/>
      </w:divBdr>
    </w:div>
    <w:div w:id="53551236">
      <w:bodyDiv w:val="1"/>
      <w:marLeft w:val="0"/>
      <w:marRight w:val="0"/>
      <w:marTop w:val="0"/>
      <w:marBottom w:val="0"/>
      <w:divBdr>
        <w:top w:val="none" w:sz="0" w:space="0" w:color="auto"/>
        <w:left w:val="none" w:sz="0" w:space="0" w:color="auto"/>
        <w:bottom w:val="none" w:sz="0" w:space="0" w:color="auto"/>
        <w:right w:val="none" w:sz="0" w:space="0" w:color="auto"/>
      </w:divBdr>
    </w:div>
    <w:div w:id="101844638">
      <w:bodyDiv w:val="1"/>
      <w:marLeft w:val="0"/>
      <w:marRight w:val="0"/>
      <w:marTop w:val="0"/>
      <w:marBottom w:val="0"/>
      <w:divBdr>
        <w:top w:val="none" w:sz="0" w:space="0" w:color="auto"/>
        <w:left w:val="none" w:sz="0" w:space="0" w:color="auto"/>
        <w:bottom w:val="none" w:sz="0" w:space="0" w:color="auto"/>
        <w:right w:val="none" w:sz="0" w:space="0" w:color="auto"/>
      </w:divBdr>
    </w:div>
    <w:div w:id="104154846">
      <w:bodyDiv w:val="1"/>
      <w:marLeft w:val="0"/>
      <w:marRight w:val="0"/>
      <w:marTop w:val="0"/>
      <w:marBottom w:val="0"/>
      <w:divBdr>
        <w:top w:val="none" w:sz="0" w:space="0" w:color="auto"/>
        <w:left w:val="none" w:sz="0" w:space="0" w:color="auto"/>
        <w:bottom w:val="none" w:sz="0" w:space="0" w:color="auto"/>
        <w:right w:val="none" w:sz="0" w:space="0" w:color="auto"/>
      </w:divBdr>
    </w:div>
    <w:div w:id="107312951">
      <w:bodyDiv w:val="1"/>
      <w:marLeft w:val="0"/>
      <w:marRight w:val="0"/>
      <w:marTop w:val="0"/>
      <w:marBottom w:val="0"/>
      <w:divBdr>
        <w:top w:val="none" w:sz="0" w:space="0" w:color="auto"/>
        <w:left w:val="none" w:sz="0" w:space="0" w:color="auto"/>
        <w:bottom w:val="none" w:sz="0" w:space="0" w:color="auto"/>
        <w:right w:val="none" w:sz="0" w:space="0" w:color="auto"/>
      </w:divBdr>
    </w:div>
    <w:div w:id="127363914">
      <w:bodyDiv w:val="1"/>
      <w:marLeft w:val="0"/>
      <w:marRight w:val="0"/>
      <w:marTop w:val="0"/>
      <w:marBottom w:val="0"/>
      <w:divBdr>
        <w:top w:val="none" w:sz="0" w:space="0" w:color="auto"/>
        <w:left w:val="none" w:sz="0" w:space="0" w:color="auto"/>
        <w:bottom w:val="none" w:sz="0" w:space="0" w:color="auto"/>
        <w:right w:val="none" w:sz="0" w:space="0" w:color="auto"/>
      </w:divBdr>
    </w:div>
    <w:div w:id="127745273">
      <w:bodyDiv w:val="1"/>
      <w:marLeft w:val="0"/>
      <w:marRight w:val="0"/>
      <w:marTop w:val="0"/>
      <w:marBottom w:val="0"/>
      <w:divBdr>
        <w:top w:val="none" w:sz="0" w:space="0" w:color="auto"/>
        <w:left w:val="none" w:sz="0" w:space="0" w:color="auto"/>
        <w:bottom w:val="none" w:sz="0" w:space="0" w:color="auto"/>
        <w:right w:val="none" w:sz="0" w:space="0" w:color="auto"/>
      </w:divBdr>
    </w:div>
    <w:div w:id="131992659">
      <w:bodyDiv w:val="1"/>
      <w:marLeft w:val="0"/>
      <w:marRight w:val="0"/>
      <w:marTop w:val="0"/>
      <w:marBottom w:val="0"/>
      <w:divBdr>
        <w:top w:val="none" w:sz="0" w:space="0" w:color="auto"/>
        <w:left w:val="none" w:sz="0" w:space="0" w:color="auto"/>
        <w:bottom w:val="none" w:sz="0" w:space="0" w:color="auto"/>
        <w:right w:val="none" w:sz="0" w:space="0" w:color="auto"/>
      </w:divBdr>
    </w:div>
    <w:div w:id="146751668">
      <w:bodyDiv w:val="1"/>
      <w:marLeft w:val="0"/>
      <w:marRight w:val="0"/>
      <w:marTop w:val="0"/>
      <w:marBottom w:val="0"/>
      <w:divBdr>
        <w:top w:val="none" w:sz="0" w:space="0" w:color="auto"/>
        <w:left w:val="none" w:sz="0" w:space="0" w:color="auto"/>
        <w:bottom w:val="none" w:sz="0" w:space="0" w:color="auto"/>
        <w:right w:val="none" w:sz="0" w:space="0" w:color="auto"/>
      </w:divBdr>
    </w:div>
    <w:div w:id="148056221">
      <w:bodyDiv w:val="1"/>
      <w:marLeft w:val="0"/>
      <w:marRight w:val="0"/>
      <w:marTop w:val="0"/>
      <w:marBottom w:val="0"/>
      <w:divBdr>
        <w:top w:val="none" w:sz="0" w:space="0" w:color="auto"/>
        <w:left w:val="none" w:sz="0" w:space="0" w:color="auto"/>
        <w:bottom w:val="none" w:sz="0" w:space="0" w:color="auto"/>
        <w:right w:val="none" w:sz="0" w:space="0" w:color="auto"/>
      </w:divBdr>
    </w:div>
    <w:div w:id="170603178">
      <w:bodyDiv w:val="1"/>
      <w:marLeft w:val="0"/>
      <w:marRight w:val="0"/>
      <w:marTop w:val="0"/>
      <w:marBottom w:val="0"/>
      <w:divBdr>
        <w:top w:val="none" w:sz="0" w:space="0" w:color="auto"/>
        <w:left w:val="none" w:sz="0" w:space="0" w:color="auto"/>
        <w:bottom w:val="none" w:sz="0" w:space="0" w:color="auto"/>
        <w:right w:val="none" w:sz="0" w:space="0" w:color="auto"/>
      </w:divBdr>
    </w:div>
    <w:div w:id="191577284">
      <w:bodyDiv w:val="1"/>
      <w:marLeft w:val="0"/>
      <w:marRight w:val="0"/>
      <w:marTop w:val="0"/>
      <w:marBottom w:val="0"/>
      <w:divBdr>
        <w:top w:val="none" w:sz="0" w:space="0" w:color="auto"/>
        <w:left w:val="none" w:sz="0" w:space="0" w:color="auto"/>
        <w:bottom w:val="none" w:sz="0" w:space="0" w:color="auto"/>
        <w:right w:val="none" w:sz="0" w:space="0" w:color="auto"/>
      </w:divBdr>
    </w:div>
    <w:div w:id="201095880">
      <w:bodyDiv w:val="1"/>
      <w:marLeft w:val="0"/>
      <w:marRight w:val="0"/>
      <w:marTop w:val="0"/>
      <w:marBottom w:val="0"/>
      <w:divBdr>
        <w:top w:val="none" w:sz="0" w:space="0" w:color="auto"/>
        <w:left w:val="none" w:sz="0" w:space="0" w:color="auto"/>
        <w:bottom w:val="none" w:sz="0" w:space="0" w:color="auto"/>
        <w:right w:val="none" w:sz="0" w:space="0" w:color="auto"/>
      </w:divBdr>
    </w:div>
    <w:div w:id="208228695">
      <w:bodyDiv w:val="1"/>
      <w:marLeft w:val="0"/>
      <w:marRight w:val="0"/>
      <w:marTop w:val="0"/>
      <w:marBottom w:val="0"/>
      <w:divBdr>
        <w:top w:val="none" w:sz="0" w:space="0" w:color="auto"/>
        <w:left w:val="none" w:sz="0" w:space="0" w:color="auto"/>
        <w:bottom w:val="none" w:sz="0" w:space="0" w:color="auto"/>
        <w:right w:val="none" w:sz="0" w:space="0" w:color="auto"/>
      </w:divBdr>
    </w:div>
    <w:div w:id="214588241">
      <w:bodyDiv w:val="1"/>
      <w:marLeft w:val="0"/>
      <w:marRight w:val="0"/>
      <w:marTop w:val="0"/>
      <w:marBottom w:val="0"/>
      <w:divBdr>
        <w:top w:val="none" w:sz="0" w:space="0" w:color="auto"/>
        <w:left w:val="none" w:sz="0" w:space="0" w:color="auto"/>
        <w:bottom w:val="none" w:sz="0" w:space="0" w:color="auto"/>
        <w:right w:val="none" w:sz="0" w:space="0" w:color="auto"/>
      </w:divBdr>
    </w:div>
    <w:div w:id="223102034">
      <w:bodyDiv w:val="1"/>
      <w:marLeft w:val="0"/>
      <w:marRight w:val="0"/>
      <w:marTop w:val="0"/>
      <w:marBottom w:val="0"/>
      <w:divBdr>
        <w:top w:val="none" w:sz="0" w:space="0" w:color="auto"/>
        <w:left w:val="none" w:sz="0" w:space="0" w:color="auto"/>
        <w:bottom w:val="none" w:sz="0" w:space="0" w:color="auto"/>
        <w:right w:val="none" w:sz="0" w:space="0" w:color="auto"/>
      </w:divBdr>
    </w:div>
    <w:div w:id="231736797">
      <w:bodyDiv w:val="1"/>
      <w:marLeft w:val="0"/>
      <w:marRight w:val="0"/>
      <w:marTop w:val="0"/>
      <w:marBottom w:val="0"/>
      <w:divBdr>
        <w:top w:val="none" w:sz="0" w:space="0" w:color="auto"/>
        <w:left w:val="none" w:sz="0" w:space="0" w:color="auto"/>
        <w:bottom w:val="none" w:sz="0" w:space="0" w:color="auto"/>
        <w:right w:val="none" w:sz="0" w:space="0" w:color="auto"/>
      </w:divBdr>
    </w:div>
    <w:div w:id="257760639">
      <w:bodyDiv w:val="1"/>
      <w:marLeft w:val="0"/>
      <w:marRight w:val="0"/>
      <w:marTop w:val="0"/>
      <w:marBottom w:val="0"/>
      <w:divBdr>
        <w:top w:val="none" w:sz="0" w:space="0" w:color="auto"/>
        <w:left w:val="none" w:sz="0" w:space="0" w:color="auto"/>
        <w:bottom w:val="none" w:sz="0" w:space="0" w:color="auto"/>
        <w:right w:val="none" w:sz="0" w:space="0" w:color="auto"/>
      </w:divBdr>
    </w:div>
    <w:div w:id="284045204">
      <w:bodyDiv w:val="1"/>
      <w:marLeft w:val="0"/>
      <w:marRight w:val="0"/>
      <w:marTop w:val="0"/>
      <w:marBottom w:val="0"/>
      <w:divBdr>
        <w:top w:val="none" w:sz="0" w:space="0" w:color="auto"/>
        <w:left w:val="none" w:sz="0" w:space="0" w:color="auto"/>
        <w:bottom w:val="none" w:sz="0" w:space="0" w:color="auto"/>
        <w:right w:val="none" w:sz="0" w:space="0" w:color="auto"/>
      </w:divBdr>
    </w:div>
    <w:div w:id="292055899">
      <w:bodyDiv w:val="1"/>
      <w:marLeft w:val="0"/>
      <w:marRight w:val="0"/>
      <w:marTop w:val="0"/>
      <w:marBottom w:val="0"/>
      <w:divBdr>
        <w:top w:val="none" w:sz="0" w:space="0" w:color="auto"/>
        <w:left w:val="none" w:sz="0" w:space="0" w:color="auto"/>
        <w:bottom w:val="none" w:sz="0" w:space="0" w:color="auto"/>
        <w:right w:val="none" w:sz="0" w:space="0" w:color="auto"/>
      </w:divBdr>
    </w:div>
    <w:div w:id="301037476">
      <w:bodyDiv w:val="1"/>
      <w:marLeft w:val="0"/>
      <w:marRight w:val="0"/>
      <w:marTop w:val="0"/>
      <w:marBottom w:val="0"/>
      <w:divBdr>
        <w:top w:val="none" w:sz="0" w:space="0" w:color="auto"/>
        <w:left w:val="none" w:sz="0" w:space="0" w:color="auto"/>
        <w:bottom w:val="none" w:sz="0" w:space="0" w:color="auto"/>
        <w:right w:val="none" w:sz="0" w:space="0" w:color="auto"/>
      </w:divBdr>
    </w:div>
    <w:div w:id="343362218">
      <w:bodyDiv w:val="1"/>
      <w:marLeft w:val="0"/>
      <w:marRight w:val="0"/>
      <w:marTop w:val="0"/>
      <w:marBottom w:val="0"/>
      <w:divBdr>
        <w:top w:val="none" w:sz="0" w:space="0" w:color="auto"/>
        <w:left w:val="none" w:sz="0" w:space="0" w:color="auto"/>
        <w:bottom w:val="none" w:sz="0" w:space="0" w:color="auto"/>
        <w:right w:val="none" w:sz="0" w:space="0" w:color="auto"/>
      </w:divBdr>
    </w:div>
    <w:div w:id="350953938">
      <w:bodyDiv w:val="1"/>
      <w:marLeft w:val="0"/>
      <w:marRight w:val="0"/>
      <w:marTop w:val="0"/>
      <w:marBottom w:val="0"/>
      <w:divBdr>
        <w:top w:val="none" w:sz="0" w:space="0" w:color="auto"/>
        <w:left w:val="none" w:sz="0" w:space="0" w:color="auto"/>
        <w:bottom w:val="none" w:sz="0" w:space="0" w:color="auto"/>
        <w:right w:val="none" w:sz="0" w:space="0" w:color="auto"/>
      </w:divBdr>
    </w:div>
    <w:div w:id="370228246">
      <w:bodyDiv w:val="1"/>
      <w:marLeft w:val="0"/>
      <w:marRight w:val="0"/>
      <w:marTop w:val="0"/>
      <w:marBottom w:val="0"/>
      <w:divBdr>
        <w:top w:val="none" w:sz="0" w:space="0" w:color="auto"/>
        <w:left w:val="none" w:sz="0" w:space="0" w:color="auto"/>
        <w:bottom w:val="none" w:sz="0" w:space="0" w:color="auto"/>
        <w:right w:val="none" w:sz="0" w:space="0" w:color="auto"/>
      </w:divBdr>
    </w:div>
    <w:div w:id="392579528">
      <w:bodyDiv w:val="1"/>
      <w:marLeft w:val="0"/>
      <w:marRight w:val="0"/>
      <w:marTop w:val="0"/>
      <w:marBottom w:val="0"/>
      <w:divBdr>
        <w:top w:val="none" w:sz="0" w:space="0" w:color="auto"/>
        <w:left w:val="none" w:sz="0" w:space="0" w:color="auto"/>
        <w:bottom w:val="none" w:sz="0" w:space="0" w:color="auto"/>
        <w:right w:val="none" w:sz="0" w:space="0" w:color="auto"/>
      </w:divBdr>
    </w:div>
    <w:div w:id="405882162">
      <w:bodyDiv w:val="1"/>
      <w:marLeft w:val="0"/>
      <w:marRight w:val="0"/>
      <w:marTop w:val="0"/>
      <w:marBottom w:val="0"/>
      <w:divBdr>
        <w:top w:val="none" w:sz="0" w:space="0" w:color="auto"/>
        <w:left w:val="none" w:sz="0" w:space="0" w:color="auto"/>
        <w:bottom w:val="none" w:sz="0" w:space="0" w:color="auto"/>
        <w:right w:val="none" w:sz="0" w:space="0" w:color="auto"/>
      </w:divBdr>
    </w:div>
    <w:div w:id="418261233">
      <w:bodyDiv w:val="1"/>
      <w:marLeft w:val="0"/>
      <w:marRight w:val="0"/>
      <w:marTop w:val="0"/>
      <w:marBottom w:val="0"/>
      <w:divBdr>
        <w:top w:val="none" w:sz="0" w:space="0" w:color="auto"/>
        <w:left w:val="none" w:sz="0" w:space="0" w:color="auto"/>
        <w:bottom w:val="none" w:sz="0" w:space="0" w:color="auto"/>
        <w:right w:val="none" w:sz="0" w:space="0" w:color="auto"/>
      </w:divBdr>
    </w:div>
    <w:div w:id="440420351">
      <w:bodyDiv w:val="1"/>
      <w:marLeft w:val="0"/>
      <w:marRight w:val="0"/>
      <w:marTop w:val="0"/>
      <w:marBottom w:val="0"/>
      <w:divBdr>
        <w:top w:val="none" w:sz="0" w:space="0" w:color="auto"/>
        <w:left w:val="none" w:sz="0" w:space="0" w:color="auto"/>
        <w:bottom w:val="none" w:sz="0" w:space="0" w:color="auto"/>
        <w:right w:val="none" w:sz="0" w:space="0" w:color="auto"/>
      </w:divBdr>
    </w:div>
    <w:div w:id="453407323">
      <w:bodyDiv w:val="1"/>
      <w:marLeft w:val="0"/>
      <w:marRight w:val="0"/>
      <w:marTop w:val="0"/>
      <w:marBottom w:val="0"/>
      <w:divBdr>
        <w:top w:val="none" w:sz="0" w:space="0" w:color="auto"/>
        <w:left w:val="none" w:sz="0" w:space="0" w:color="auto"/>
        <w:bottom w:val="none" w:sz="0" w:space="0" w:color="auto"/>
        <w:right w:val="none" w:sz="0" w:space="0" w:color="auto"/>
      </w:divBdr>
    </w:div>
    <w:div w:id="461504519">
      <w:bodyDiv w:val="1"/>
      <w:marLeft w:val="0"/>
      <w:marRight w:val="0"/>
      <w:marTop w:val="0"/>
      <w:marBottom w:val="0"/>
      <w:divBdr>
        <w:top w:val="none" w:sz="0" w:space="0" w:color="auto"/>
        <w:left w:val="none" w:sz="0" w:space="0" w:color="auto"/>
        <w:bottom w:val="none" w:sz="0" w:space="0" w:color="auto"/>
        <w:right w:val="none" w:sz="0" w:space="0" w:color="auto"/>
      </w:divBdr>
    </w:div>
    <w:div w:id="470287999">
      <w:bodyDiv w:val="1"/>
      <w:marLeft w:val="0"/>
      <w:marRight w:val="0"/>
      <w:marTop w:val="0"/>
      <w:marBottom w:val="0"/>
      <w:divBdr>
        <w:top w:val="none" w:sz="0" w:space="0" w:color="auto"/>
        <w:left w:val="none" w:sz="0" w:space="0" w:color="auto"/>
        <w:bottom w:val="none" w:sz="0" w:space="0" w:color="auto"/>
        <w:right w:val="none" w:sz="0" w:space="0" w:color="auto"/>
      </w:divBdr>
    </w:div>
    <w:div w:id="485779359">
      <w:bodyDiv w:val="1"/>
      <w:marLeft w:val="0"/>
      <w:marRight w:val="0"/>
      <w:marTop w:val="0"/>
      <w:marBottom w:val="0"/>
      <w:divBdr>
        <w:top w:val="none" w:sz="0" w:space="0" w:color="auto"/>
        <w:left w:val="none" w:sz="0" w:space="0" w:color="auto"/>
        <w:bottom w:val="none" w:sz="0" w:space="0" w:color="auto"/>
        <w:right w:val="none" w:sz="0" w:space="0" w:color="auto"/>
      </w:divBdr>
    </w:div>
    <w:div w:id="494226154">
      <w:bodyDiv w:val="1"/>
      <w:marLeft w:val="0"/>
      <w:marRight w:val="0"/>
      <w:marTop w:val="0"/>
      <w:marBottom w:val="0"/>
      <w:divBdr>
        <w:top w:val="none" w:sz="0" w:space="0" w:color="auto"/>
        <w:left w:val="none" w:sz="0" w:space="0" w:color="auto"/>
        <w:bottom w:val="none" w:sz="0" w:space="0" w:color="auto"/>
        <w:right w:val="none" w:sz="0" w:space="0" w:color="auto"/>
      </w:divBdr>
    </w:div>
    <w:div w:id="530993807">
      <w:bodyDiv w:val="1"/>
      <w:marLeft w:val="0"/>
      <w:marRight w:val="0"/>
      <w:marTop w:val="0"/>
      <w:marBottom w:val="0"/>
      <w:divBdr>
        <w:top w:val="none" w:sz="0" w:space="0" w:color="auto"/>
        <w:left w:val="none" w:sz="0" w:space="0" w:color="auto"/>
        <w:bottom w:val="none" w:sz="0" w:space="0" w:color="auto"/>
        <w:right w:val="none" w:sz="0" w:space="0" w:color="auto"/>
      </w:divBdr>
    </w:div>
    <w:div w:id="537594424">
      <w:bodyDiv w:val="1"/>
      <w:marLeft w:val="0"/>
      <w:marRight w:val="0"/>
      <w:marTop w:val="0"/>
      <w:marBottom w:val="0"/>
      <w:divBdr>
        <w:top w:val="none" w:sz="0" w:space="0" w:color="auto"/>
        <w:left w:val="none" w:sz="0" w:space="0" w:color="auto"/>
        <w:bottom w:val="none" w:sz="0" w:space="0" w:color="auto"/>
        <w:right w:val="none" w:sz="0" w:space="0" w:color="auto"/>
      </w:divBdr>
    </w:div>
    <w:div w:id="540898778">
      <w:bodyDiv w:val="1"/>
      <w:marLeft w:val="0"/>
      <w:marRight w:val="0"/>
      <w:marTop w:val="0"/>
      <w:marBottom w:val="0"/>
      <w:divBdr>
        <w:top w:val="none" w:sz="0" w:space="0" w:color="auto"/>
        <w:left w:val="none" w:sz="0" w:space="0" w:color="auto"/>
        <w:bottom w:val="none" w:sz="0" w:space="0" w:color="auto"/>
        <w:right w:val="none" w:sz="0" w:space="0" w:color="auto"/>
      </w:divBdr>
    </w:div>
    <w:div w:id="543837281">
      <w:bodyDiv w:val="1"/>
      <w:marLeft w:val="0"/>
      <w:marRight w:val="0"/>
      <w:marTop w:val="0"/>
      <w:marBottom w:val="0"/>
      <w:divBdr>
        <w:top w:val="none" w:sz="0" w:space="0" w:color="auto"/>
        <w:left w:val="none" w:sz="0" w:space="0" w:color="auto"/>
        <w:bottom w:val="none" w:sz="0" w:space="0" w:color="auto"/>
        <w:right w:val="none" w:sz="0" w:space="0" w:color="auto"/>
      </w:divBdr>
    </w:div>
    <w:div w:id="571544474">
      <w:bodyDiv w:val="1"/>
      <w:marLeft w:val="0"/>
      <w:marRight w:val="0"/>
      <w:marTop w:val="0"/>
      <w:marBottom w:val="0"/>
      <w:divBdr>
        <w:top w:val="none" w:sz="0" w:space="0" w:color="auto"/>
        <w:left w:val="none" w:sz="0" w:space="0" w:color="auto"/>
        <w:bottom w:val="none" w:sz="0" w:space="0" w:color="auto"/>
        <w:right w:val="none" w:sz="0" w:space="0" w:color="auto"/>
      </w:divBdr>
    </w:div>
    <w:div w:id="577253110">
      <w:bodyDiv w:val="1"/>
      <w:marLeft w:val="0"/>
      <w:marRight w:val="0"/>
      <w:marTop w:val="0"/>
      <w:marBottom w:val="0"/>
      <w:divBdr>
        <w:top w:val="none" w:sz="0" w:space="0" w:color="auto"/>
        <w:left w:val="none" w:sz="0" w:space="0" w:color="auto"/>
        <w:bottom w:val="none" w:sz="0" w:space="0" w:color="auto"/>
        <w:right w:val="none" w:sz="0" w:space="0" w:color="auto"/>
      </w:divBdr>
    </w:div>
    <w:div w:id="590891503">
      <w:bodyDiv w:val="1"/>
      <w:marLeft w:val="0"/>
      <w:marRight w:val="0"/>
      <w:marTop w:val="0"/>
      <w:marBottom w:val="0"/>
      <w:divBdr>
        <w:top w:val="none" w:sz="0" w:space="0" w:color="auto"/>
        <w:left w:val="none" w:sz="0" w:space="0" w:color="auto"/>
        <w:bottom w:val="none" w:sz="0" w:space="0" w:color="auto"/>
        <w:right w:val="none" w:sz="0" w:space="0" w:color="auto"/>
      </w:divBdr>
    </w:div>
    <w:div w:id="605505235">
      <w:bodyDiv w:val="1"/>
      <w:marLeft w:val="0"/>
      <w:marRight w:val="0"/>
      <w:marTop w:val="0"/>
      <w:marBottom w:val="0"/>
      <w:divBdr>
        <w:top w:val="none" w:sz="0" w:space="0" w:color="auto"/>
        <w:left w:val="none" w:sz="0" w:space="0" w:color="auto"/>
        <w:bottom w:val="none" w:sz="0" w:space="0" w:color="auto"/>
        <w:right w:val="none" w:sz="0" w:space="0" w:color="auto"/>
      </w:divBdr>
    </w:div>
    <w:div w:id="616176042">
      <w:bodyDiv w:val="1"/>
      <w:marLeft w:val="0"/>
      <w:marRight w:val="0"/>
      <w:marTop w:val="0"/>
      <w:marBottom w:val="0"/>
      <w:divBdr>
        <w:top w:val="none" w:sz="0" w:space="0" w:color="auto"/>
        <w:left w:val="none" w:sz="0" w:space="0" w:color="auto"/>
        <w:bottom w:val="none" w:sz="0" w:space="0" w:color="auto"/>
        <w:right w:val="none" w:sz="0" w:space="0" w:color="auto"/>
      </w:divBdr>
    </w:div>
    <w:div w:id="633029415">
      <w:bodyDiv w:val="1"/>
      <w:marLeft w:val="0"/>
      <w:marRight w:val="0"/>
      <w:marTop w:val="0"/>
      <w:marBottom w:val="0"/>
      <w:divBdr>
        <w:top w:val="none" w:sz="0" w:space="0" w:color="auto"/>
        <w:left w:val="none" w:sz="0" w:space="0" w:color="auto"/>
        <w:bottom w:val="none" w:sz="0" w:space="0" w:color="auto"/>
        <w:right w:val="none" w:sz="0" w:space="0" w:color="auto"/>
      </w:divBdr>
    </w:div>
    <w:div w:id="663512217">
      <w:bodyDiv w:val="1"/>
      <w:marLeft w:val="0"/>
      <w:marRight w:val="0"/>
      <w:marTop w:val="0"/>
      <w:marBottom w:val="0"/>
      <w:divBdr>
        <w:top w:val="none" w:sz="0" w:space="0" w:color="auto"/>
        <w:left w:val="none" w:sz="0" w:space="0" w:color="auto"/>
        <w:bottom w:val="none" w:sz="0" w:space="0" w:color="auto"/>
        <w:right w:val="none" w:sz="0" w:space="0" w:color="auto"/>
      </w:divBdr>
    </w:div>
    <w:div w:id="673386770">
      <w:bodyDiv w:val="1"/>
      <w:marLeft w:val="0"/>
      <w:marRight w:val="0"/>
      <w:marTop w:val="0"/>
      <w:marBottom w:val="0"/>
      <w:divBdr>
        <w:top w:val="none" w:sz="0" w:space="0" w:color="auto"/>
        <w:left w:val="none" w:sz="0" w:space="0" w:color="auto"/>
        <w:bottom w:val="none" w:sz="0" w:space="0" w:color="auto"/>
        <w:right w:val="none" w:sz="0" w:space="0" w:color="auto"/>
      </w:divBdr>
    </w:div>
    <w:div w:id="675690209">
      <w:bodyDiv w:val="1"/>
      <w:marLeft w:val="0"/>
      <w:marRight w:val="0"/>
      <w:marTop w:val="0"/>
      <w:marBottom w:val="0"/>
      <w:divBdr>
        <w:top w:val="none" w:sz="0" w:space="0" w:color="auto"/>
        <w:left w:val="none" w:sz="0" w:space="0" w:color="auto"/>
        <w:bottom w:val="none" w:sz="0" w:space="0" w:color="auto"/>
        <w:right w:val="none" w:sz="0" w:space="0" w:color="auto"/>
      </w:divBdr>
    </w:div>
    <w:div w:id="682900246">
      <w:bodyDiv w:val="1"/>
      <w:marLeft w:val="0"/>
      <w:marRight w:val="0"/>
      <w:marTop w:val="0"/>
      <w:marBottom w:val="0"/>
      <w:divBdr>
        <w:top w:val="none" w:sz="0" w:space="0" w:color="auto"/>
        <w:left w:val="none" w:sz="0" w:space="0" w:color="auto"/>
        <w:bottom w:val="none" w:sz="0" w:space="0" w:color="auto"/>
        <w:right w:val="none" w:sz="0" w:space="0" w:color="auto"/>
      </w:divBdr>
    </w:div>
    <w:div w:id="711922302">
      <w:bodyDiv w:val="1"/>
      <w:marLeft w:val="0"/>
      <w:marRight w:val="0"/>
      <w:marTop w:val="0"/>
      <w:marBottom w:val="0"/>
      <w:divBdr>
        <w:top w:val="none" w:sz="0" w:space="0" w:color="auto"/>
        <w:left w:val="none" w:sz="0" w:space="0" w:color="auto"/>
        <w:bottom w:val="none" w:sz="0" w:space="0" w:color="auto"/>
        <w:right w:val="none" w:sz="0" w:space="0" w:color="auto"/>
      </w:divBdr>
    </w:div>
    <w:div w:id="721098609">
      <w:bodyDiv w:val="1"/>
      <w:marLeft w:val="0"/>
      <w:marRight w:val="0"/>
      <w:marTop w:val="0"/>
      <w:marBottom w:val="0"/>
      <w:divBdr>
        <w:top w:val="none" w:sz="0" w:space="0" w:color="auto"/>
        <w:left w:val="none" w:sz="0" w:space="0" w:color="auto"/>
        <w:bottom w:val="none" w:sz="0" w:space="0" w:color="auto"/>
        <w:right w:val="none" w:sz="0" w:space="0" w:color="auto"/>
      </w:divBdr>
    </w:div>
    <w:div w:id="735855094">
      <w:bodyDiv w:val="1"/>
      <w:marLeft w:val="0"/>
      <w:marRight w:val="0"/>
      <w:marTop w:val="0"/>
      <w:marBottom w:val="0"/>
      <w:divBdr>
        <w:top w:val="none" w:sz="0" w:space="0" w:color="auto"/>
        <w:left w:val="none" w:sz="0" w:space="0" w:color="auto"/>
        <w:bottom w:val="none" w:sz="0" w:space="0" w:color="auto"/>
        <w:right w:val="none" w:sz="0" w:space="0" w:color="auto"/>
      </w:divBdr>
    </w:div>
    <w:div w:id="736899687">
      <w:bodyDiv w:val="1"/>
      <w:marLeft w:val="0"/>
      <w:marRight w:val="0"/>
      <w:marTop w:val="0"/>
      <w:marBottom w:val="0"/>
      <w:divBdr>
        <w:top w:val="none" w:sz="0" w:space="0" w:color="auto"/>
        <w:left w:val="none" w:sz="0" w:space="0" w:color="auto"/>
        <w:bottom w:val="none" w:sz="0" w:space="0" w:color="auto"/>
        <w:right w:val="none" w:sz="0" w:space="0" w:color="auto"/>
      </w:divBdr>
    </w:div>
    <w:div w:id="747963198">
      <w:bodyDiv w:val="1"/>
      <w:marLeft w:val="0"/>
      <w:marRight w:val="0"/>
      <w:marTop w:val="0"/>
      <w:marBottom w:val="0"/>
      <w:divBdr>
        <w:top w:val="none" w:sz="0" w:space="0" w:color="auto"/>
        <w:left w:val="none" w:sz="0" w:space="0" w:color="auto"/>
        <w:bottom w:val="none" w:sz="0" w:space="0" w:color="auto"/>
        <w:right w:val="none" w:sz="0" w:space="0" w:color="auto"/>
      </w:divBdr>
    </w:div>
    <w:div w:id="768427838">
      <w:bodyDiv w:val="1"/>
      <w:marLeft w:val="0"/>
      <w:marRight w:val="0"/>
      <w:marTop w:val="0"/>
      <w:marBottom w:val="0"/>
      <w:divBdr>
        <w:top w:val="none" w:sz="0" w:space="0" w:color="auto"/>
        <w:left w:val="none" w:sz="0" w:space="0" w:color="auto"/>
        <w:bottom w:val="none" w:sz="0" w:space="0" w:color="auto"/>
        <w:right w:val="none" w:sz="0" w:space="0" w:color="auto"/>
      </w:divBdr>
    </w:div>
    <w:div w:id="768505036">
      <w:bodyDiv w:val="1"/>
      <w:marLeft w:val="0"/>
      <w:marRight w:val="0"/>
      <w:marTop w:val="0"/>
      <w:marBottom w:val="0"/>
      <w:divBdr>
        <w:top w:val="none" w:sz="0" w:space="0" w:color="auto"/>
        <w:left w:val="none" w:sz="0" w:space="0" w:color="auto"/>
        <w:bottom w:val="none" w:sz="0" w:space="0" w:color="auto"/>
        <w:right w:val="none" w:sz="0" w:space="0" w:color="auto"/>
      </w:divBdr>
    </w:div>
    <w:div w:id="792284015">
      <w:bodyDiv w:val="1"/>
      <w:marLeft w:val="0"/>
      <w:marRight w:val="0"/>
      <w:marTop w:val="0"/>
      <w:marBottom w:val="0"/>
      <w:divBdr>
        <w:top w:val="none" w:sz="0" w:space="0" w:color="auto"/>
        <w:left w:val="none" w:sz="0" w:space="0" w:color="auto"/>
        <w:bottom w:val="none" w:sz="0" w:space="0" w:color="auto"/>
        <w:right w:val="none" w:sz="0" w:space="0" w:color="auto"/>
      </w:divBdr>
    </w:div>
    <w:div w:id="792333127">
      <w:bodyDiv w:val="1"/>
      <w:marLeft w:val="0"/>
      <w:marRight w:val="0"/>
      <w:marTop w:val="0"/>
      <w:marBottom w:val="0"/>
      <w:divBdr>
        <w:top w:val="none" w:sz="0" w:space="0" w:color="auto"/>
        <w:left w:val="none" w:sz="0" w:space="0" w:color="auto"/>
        <w:bottom w:val="none" w:sz="0" w:space="0" w:color="auto"/>
        <w:right w:val="none" w:sz="0" w:space="0" w:color="auto"/>
      </w:divBdr>
    </w:div>
    <w:div w:id="798570649">
      <w:bodyDiv w:val="1"/>
      <w:marLeft w:val="0"/>
      <w:marRight w:val="0"/>
      <w:marTop w:val="0"/>
      <w:marBottom w:val="0"/>
      <w:divBdr>
        <w:top w:val="none" w:sz="0" w:space="0" w:color="auto"/>
        <w:left w:val="none" w:sz="0" w:space="0" w:color="auto"/>
        <w:bottom w:val="none" w:sz="0" w:space="0" w:color="auto"/>
        <w:right w:val="none" w:sz="0" w:space="0" w:color="auto"/>
      </w:divBdr>
    </w:div>
    <w:div w:id="804658367">
      <w:bodyDiv w:val="1"/>
      <w:marLeft w:val="0"/>
      <w:marRight w:val="0"/>
      <w:marTop w:val="0"/>
      <w:marBottom w:val="0"/>
      <w:divBdr>
        <w:top w:val="none" w:sz="0" w:space="0" w:color="auto"/>
        <w:left w:val="none" w:sz="0" w:space="0" w:color="auto"/>
        <w:bottom w:val="none" w:sz="0" w:space="0" w:color="auto"/>
        <w:right w:val="none" w:sz="0" w:space="0" w:color="auto"/>
      </w:divBdr>
    </w:div>
    <w:div w:id="806359949">
      <w:bodyDiv w:val="1"/>
      <w:marLeft w:val="0"/>
      <w:marRight w:val="0"/>
      <w:marTop w:val="0"/>
      <w:marBottom w:val="0"/>
      <w:divBdr>
        <w:top w:val="none" w:sz="0" w:space="0" w:color="auto"/>
        <w:left w:val="none" w:sz="0" w:space="0" w:color="auto"/>
        <w:bottom w:val="none" w:sz="0" w:space="0" w:color="auto"/>
        <w:right w:val="none" w:sz="0" w:space="0" w:color="auto"/>
      </w:divBdr>
    </w:div>
    <w:div w:id="812140589">
      <w:bodyDiv w:val="1"/>
      <w:marLeft w:val="0"/>
      <w:marRight w:val="0"/>
      <w:marTop w:val="0"/>
      <w:marBottom w:val="0"/>
      <w:divBdr>
        <w:top w:val="none" w:sz="0" w:space="0" w:color="auto"/>
        <w:left w:val="none" w:sz="0" w:space="0" w:color="auto"/>
        <w:bottom w:val="none" w:sz="0" w:space="0" w:color="auto"/>
        <w:right w:val="none" w:sz="0" w:space="0" w:color="auto"/>
      </w:divBdr>
    </w:div>
    <w:div w:id="812911288">
      <w:bodyDiv w:val="1"/>
      <w:marLeft w:val="0"/>
      <w:marRight w:val="0"/>
      <w:marTop w:val="0"/>
      <w:marBottom w:val="0"/>
      <w:divBdr>
        <w:top w:val="none" w:sz="0" w:space="0" w:color="auto"/>
        <w:left w:val="none" w:sz="0" w:space="0" w:color="auto"/>
        <w:bottom w:val="none" w:sz="0" w:space="0" w:color="auto"/>
        <w:right w:val="none" w:sz="0" w:space="0" w:color="auto"/>
      </w:divBdr>
    </w:div>
    <w:div w:id="827750147">
      <w:bodyDiv w:val="1"/>
      <w:marLeft w:val="0"/>
      <w:marRight w:val="0"/>
      <w:marTop w:val="0"/>
      <w:marBottom w:val="0"/>
      <w:divBdr>
        <w:top w:val="none" w:sz="0" w:space="0" w:color="auto"/>
        <w:left w:val="none" w:sz="0" w:space="0" w:color="auto"/>
        <w:bottom w:val="none" w:sz="0" w:space="0" w:color="auto"/>
        <w:right w:val="none" w:sz="0" w:space="0" w:color="auto"/>
      </w:divBdr>
    </w:div>
    <w:div w:id="830147368">
      <w:bodyDiv w:val="1"/>
      <w:marLeft w:val="0"/>
      <w:marRight w:val="0"/>
      <w:marTop w:val="0"/>
      <w:marBottom w:val="0"/>
      <w:divBdr>
        <w:top w:val="none" w:sz="0" w:space="0" w:color="auto"/>
        <w:left w:val="none" w:sz="0" w:space="0" w:color="auto"/>
        <w:bottom w:val="none" w:sz="0" w:space="0" w:color="auto"/>
        <w:right w:val="none" w:sz="0" w:space="0" w:color="auto"/>
      </w:divBdr>
    </w:div>
    <w:div w:id="839470693">
      <w:bodyDiv w:val="1"/>
      <w:marLeft w:val="0"/>
      <w:marRight w:val="0"/>
      <w:marTop w:val="0"/>
      <w:marBottom w:val="0"/>
      <w:divBdr>
        <w:top w:val="none" w:sz="0" w:space="0" w:color="auto"/>
        <w:left w:val="none" w:sz="0" w:space="0" w:color="auto"/>
        <w:bottom w:val="none" w:sz="0" w:space="0" w:color="auto"/>
        <w:right w:val="none" w:sz="0" w:space="0" w:color="auto"/>
      </w:divBdr>
    </w:div>
    <w:div w:id="870264735">
      <w:bodyDiv w:val="1"/>
      <w:marLeft w:val="0"/>
      <w:marRight w:val="0"/>
      <w:marTop w:val="0"/>
      <w:marBottom w:val="0"/>
      <w:divBdr>
        <w:top w:val="none" w:sz="0" w:space="0" w:color="auto"/>
        <w:left w:val="none" w:sz="0" w:space="0" w:color="auto"/>
        <w:bottom w:val="none" w:sz="0" w:space="0" w:color="auto"/>
        <w:right w:val="none" w:sz="0" w:space="0" w:color="auto"/>
      </w:divBdr>
    </w:div>
    <w:div w:id="876701219">
      <w:bodyDiv w:val="1"/>
      <w:marLeft w:val="0"/>
      <w:marRight w:val="0"/>
      <w:marTop w:val="0"/>
      <w:marBottom w:val="0"/>
      <w:divBdr>
        <w:top w:val="none" w:sz="0" w:space="0" w:color="auto"/>
        <w:left w:val="none" w:sz="0" w:space="0" w:color="auto"/>
        <w:bottom w:val="none" w:sz="0" w:space="0" w:color="auto"/>
        <w:right w:val="none" w:sz="0" w:space="0" w:color="auto"/>
      </w:divBdr>
    </w:div>
    <w:div w:id="878592365">
      <w:bodyDiv w:val="1"/>
      <w:marLeft w:val="0"/>
      <w:marRight w:val="0"/>
      <w:marTop w:val="0"/>
      <w:marBottom w:val="0"/>
      <w:divBdr>
        <w:top w:val="none" w:sz="0" w:space="0" w:color="auto"/>
        <w:left w:val="none" w:sz="0" w:space="0" w:color="auto"/>
        <w:bottom w:val="none" w:sz="0" w:space="0" w:color="auto"/>
        <w:right w:val="none" w:sz="0" w:space="0" w:color="auto"/>
      </w:divBdr>
    </w:div>
    <w:div w:id="917176858">
      <w:bodyDiv w:val="1"/>
      <w:marLeft w:val="0"/>
      <w:marRight w:val="0"/>
      <w:marTop w:val="0"/>
      <w:marBottom w:val="0"/>
      <w:divBdr>
        <w:top w:val="none" w:sz="0" w:space="0" w:color="auto"/>
        <w:left w:val="none" w:sz="0" w:space="0" w:color="auto"/>
        <w:bottom w:val="none" w:sz="0" w:space="0" w:color="auto"/>
        <w:right w:val="none" w:sz="0" w:space="0" w:color="auto"/>
      </w:divBdr>
    </w:div>
    <w:div w:id="925919996">
      <w:bodyDiv w:val="1"/>
      <w:marLeft w:val="0"/>
      <w:marRight w:val="0"/>
      <w:marTop w:val="0"/>
      <w:marBottom w:val="0"/>
      <w:divBdr>
        <w:top w:val="none" w:sz="0" w:space="0" w:color="auto"/>
        <w:left w:val="none" w:sz="0" w:space="0" w:color="auto"/>
        <w:bottom w:val="none" w:sz="0" w:space="0" w:color="auto"/>
        <w:right w:val="none" w:sz="0" w:space="0" w:color="auto"/>
      </w:divBdr>
    </w:div>
    <w:div w:id="928151330">
      <w:bodyDiv w:val="1"/>
      <w:marLeft w:val="0"/>
      <w:marRight w:val="0"/>
      <w:marTop w:val="0"/>
      <w:marBottom w:val="0"/>
      <w:divBdr>
        <w:top w:val="none" w:sz="0" w:space="0" w:color="auto"/>
        <w:left w:val="none" w:sz="0" w:space="0" w:color="auto"/>
        <w:bottom w:val="none" w:sz="0" w:space="0" w:color="auto"/>
        <w:right w:val="none" w:sz="0" w:space="0" w:color="auto"/>
      </w:divBdr>
    </w:div>
    <w:div w:id="934627962">
      <w:bodyDiv w:val="1"/>
      <w:marLeft w:val="0"/>
      <w:marRight w:val="0"/>
      <w:marTop w:val="0"/>
      <w:marBottom w:val="0"/>
      <w:divBdr>
        <w:top w:val="none" w:sz="0" w:space="0" w:color="auto"/>
        <w:left w:val="none" w:sz="0" w:space="0" w:color="auto"/>
        <w:bottom w:val="none" w:sz="0" w:space="0" w:color="auto"/>
        <w:right w:val="none" w:sz="0" w:space="0" w:color="auto"/>
      </w:divBdr>
    </w:div>
    <w:div w:id="938754096">
      <w:bodyDiv w:val="1"/>
      <w:marLeft w:val="0"/>
      <w:marRight w:val="0"/>
      <w:marTop w:val="0"/>
      <w:marBottom w:val="0"/>
      <w:divBdr>
        <w:top w:val="none" w:sz="0" w:space="0" w:color="auto"/>
        <w:left w:val="none" w:sz="0" w:space="0" w:color="auto"/>
        <w:bottom w:val="none" w:sz="0" w:space="0" w:color="auto"/>
        <w:right w:val="none" w:sz="0" w:space="0" w:color="auto"/>
      </w:divBdr>
    </w:div>
    <w:div w:id="942809522">
      <w:bodyDiv w:val="1"/>
      <w:marLeft w:val="0"/>
      <w:marRight w:val="0"/>
      <w:marTop w:val="0"/>
      <w:marBottom w:val="0"/>
      <w:divBdr>
        <w:top w:val="none" w:sz="0" w:space="0" w:color="auto"/>
        <w:left w:val="none" w:sz="0" w:space="0" w:color="auto"/>
        <w:bottom w:val="none" w:sz="0" w:space="0" w:color="auto"/>
        <w:right w:val="none" w:sz="0" w:space="0" w:color="auto"/>
      </w:divBdr>
    </w:div>
    <w:div w:id="945816235">
      <w:bodyDiv w:val="1"/>
      <w:marLeft w:val="0"/>
      <w:marRight w:val="0"/>
      <w:marTop w:val="0"/>
      <w:marBottom w:val="0"/>
      <w:divBdr>
        <w:top w:val="none" w:sz="0" w:space="0" w:color="auto"/>
        <w:left w:val="none" w:sz="0" w:space="0" w:color="auto"/>
        <w:bottom w:val="none" w:sz="0" w:space="0" w:color="auto"/>
        <w:right w:val="none" w:sz="0" w:space="0" w:color="auto"/>
      </w:divBdr>
    </w:div>
    <w:div w:id="954140678">
      <w:bodyDiv w:val="1"/>
      <w:marLeft w:val="0"/>
      <w:marRight w:val="0"/>
      <w:marTop w:val="0"/>
      <w:marBottom w:val="0"/>
      <w:divBdr>
        <w:top w:val="none" w:sz="0" w:space="0" w:color="auto"/>
        <w:left w:val="none" w:sz="0" w:space="0" w:color="auto"/>
        <w:bottom w:val="none" w:sz="0" w:space="0" w:color="auto"/>
        <w:right w:val="none" w:sz="0" w:space="0" w:color="auto"/>
      </w:divBdr>
    </w:div>
    <w:div w:id="977370947">
      <w:bodyDiv w:val="1"/>
      <w:marLeft w:val="0"/>
      <w:marRight w:val="0"/>
      <w:marTop w:val="0"/>
      <w:marBottom w:val="0"/>
      <w:divBdr>
        <w:top w:val="none" w:sz="0" w:space="0" w:color="auto"/>
        <w:left w:val="none" w:sz="0" w:space="0" w:color="auto"/>
        <w:bottom w:val="none" w:sz="0" w:space="0" w:color="auto"/>
        <w:right w:val="none" w:sz="0" w:space="0" w:color="auto"/>
      </w:divBdr>
    </w:div>
    <w:div w:id="1003699199">
      <w:bodyDiv w:val="1"/>
      <w:marLeft w:val="0"/>
      <w:marRight w:val="0"/>
      <w:marTop w:val="0"/>
      <w:marBottom w:val="0"/>
      <w:divBdr>
        <w:top w:val="none" w:sz="0" w:space="0" w:color="auto"/>
        <w:left w:val="none" w:sz="0" w:space="0" w:color="auto"/>
        <w:bottom w:val="none" w:sz="0" w:space="0" w:color="auto"/>
        <w:right w:val="none" w:sz="0" w:space="0" w:color="auto"/>
      </w:divBdr>
    </w:div>
    <w:div w:id="1005549698">
      <w:bodyDiv w:val="1"/>
      <w:marLeft w:val="0"/>
      <w:marRight w:val="0"/>
      <w:marTop w:val="0"/>
      <w:marBottom w:val="0"/>
      <w:divBdr>
        <w:top w:val="none" w:sz="0" w:space="0" w:color="auto"/>
        <w:left w:val="none" w:sz="0" w:space="0" w:color="auto"/>
        <w:bottom w:val="none" w:sz="0" w:space="0" w:color="auto"/>
        <w:right w:val="none" w:sz="0" w:space="0" w:color="auto"/>
      </w:divBdr>
    </w:div>
    <w:div w:id="1013652801">
      <w:bodyDiv w:val="1"/>
      <w:marLeft w:val="0"/>
      <w:marRight w:val="0"/>
      <w:marTop w:val="0"/>
      <w:marBottom w:val="0"/>
      <w:divBdr>
        <w:top w:val="none" w:sz="0" w:space="0" w:color="auto"/>
        <w:left w:val="none" w:sz="0" w:space="0" w:color="auto"/>
        <w:bottom w:val="none" w:sz="0" w:space="0" w:color="auto"/>
        <w:right w:val="none" w:sz="0" w:space="0" w:color="auto"/>
      </w:divBdr>
    </w:div>
    <w:div w:id="1019814724">
      <w:bodyDiv w:val="1"/>
      <w:marLeft w:val="0"/>
      <w:marRight w:val="0"/>
      <w:marTop w:val="0"/>
      <w:marBottom w:val="0"/>
      <w:divBdr>
        <w:top w:val="none" w:sz="0" w:space="0" w:color="auto"/>
        <w:left w:val="none" w:sz="0" w:space="0" w:color="auto"/>
        <w:bottom w:val="none" w:sz="0" w:space="0" w:color="auto"/>
        <w:right w:val="none" w:sz="0" w:space="0" w:color="auto"/>
      </w:divBdr>
    </w:div>
    <w:div w:id="1036806801">
      <w:bodyDiv w:val="1"/>
      <w:marLeft w:val="0"/>
      <w:marRight w:val="0"/>
      <w:marTop w:val="0"/>
      <w:marBottom w:val="0"/>
      <w:divBdr>
        <w:top w:val="none" w:sz="0" w:space="0" w:color="auto"/>
        <w:left w:val="none" w:sz="0" w:space="0" w:color="auto"/>
        <w:bottom w:val="none" w:sz="0" w:space="0" w:color="auto"/>
        <w:right w:val="none" w:sz="0" w:space="0" w:color="auto"/>
      </w:divBdr>
    </w:div>
    <w:div w:id="1060985263">
      <w:bodyDiv w:val="1"/>
      <w:marLeft w:val="0"/>
      <w:marRight w:val="0"/>
      <w:marTop w:val="0"/>
      <w:marBottom w:val="0"/>
      <w:divBdr>
        <w:top w:val="none" w:sz="0" w:space="0" w:color="auto"/>
        <w:left w:val="none" w:sz="0" w:space="0" w:color="auto"/>
        <w:bottom w:val="none" w:sz="0" w:space="0" w:color="auto"/>
        <w:right w:val="none" w:sz="0" w:space="0" w:color="auto"/>
      </w:divBdr>
    </w:div>
    <w:div w:id="1069573090">
      <w:bodyDiv w:val="1"/>
      <w:marLeft w:val="0"/>
      <w:marRight w:val="0"/>
      <w:marTop w:val="0"/>
      <w:marBottom w:val="0"/>
      <w:divBdr>
        <w:top w:val="none" w:sz="0" w:space="0" w:color="auto"/>
        <w:left w:val="none" w:sz="0" w:space="0" w:color="auto"/>
        <w:bottom w:val="none" w:sz="0" w:space="0" w:color="auto"/>
        <w:right w:val="none" w:sz="0" w:space="0" w:color="auto"/>
      </w:divBdr>
    </w:div>
    <w:div w:id="1077433998">
      <w:bodyDiv w:val="1"/>
      <w:marLeft w:val="0"/>
      <w:marRight w:val="0"/>
      <w:marTop w:val="0"/>
      <w:marBottom w:val="0"/>
      <w:divBdr>
        <w:top w:val="none" w:sz="0" w:space="0" w:color="auto"/>
        <w:left w:val="none" w:sz="0" w:space="0" w:color="auto"/>
        <w:bottom w:val="none" w:sz="0" w:space="0" w:color="auto"/>
        <w:right w:val="none" w:sz="0" w:space="0" w:color="auto"/>
      </w:divBdr>
    </w:div>
    <w:div w:id="1078944718">
      <w:bodyDiv w:val="1"/>
      <w:marLeft w:val="0"/>
      <w:marRight w:val="0"/>
      <w:marTop w:val="0"/>
      <w:marBottom w:val="0"/>
      <w:divBdr>
        <w:top w:val="none" w:sz="0" w:space="0" w:color="auto"/>
        <w:left w:val="none" w:sz="0" w:space="0" w:color="auto"/>
        <w:bottom w:val="none" w:sz="0" w:space="0" w:color="auto"/>
        <w:right w:val="none" w:sz="0" w:space="0" w:color="auto"/>
      </w:divBdr>
    </w:div>
    <w:div w:id="1079408108">
      <w:bodyDiv w:val="1"/>
      <w:marLeft w:val="0"/>
      <w:marRight w:val="0"/>
      <w:marTop w:val="0"/>
      <w:marBottom w:val="0"/>
      <w:divBdr>
        <w:top w:val="none" w:sz="0" w:space="0" w:color="auto"/>
        <w:left w:val="none" w:sz="0" w:space="0" w:color="auto"/>
        <w:bottom w:val="none" w:sz="0" w:space="0" w:color="auto"/>
        <w:right w:val="none" w:sz="0" w:space="0" w:color="auto"/>
      </w:divBdr>
    </w:div>
    <w:div w:id="1079525729">
      <w:bodyDiv w:val="1"/>
      <w:marLeft w:val="0"/>
      <w:marRight w:val="0"/>
      <w:marTop w:val="0"/>
      <w:marBottom w:val="0"/>
      <w:divBdr>
        <w:top w:val="none" w:sz="0" w:space="0" w:color="auto"/>
        <w:left w:val="none" w:sz="0" w:space="0" w:color="auto"/>
        <w:bottom w:val="none" w:sz="0" w:space="0" w:color="auto"/>
        <w:right w:val="none" w:sz="0" w:space="0" w:color="auto"/>
      </w:divBdr>
    </w:div>
    <w:div w:id="1108935581">
      <w:bodyDiv w:val="1"/>
      <w:marLeft w:val="0"/>
      <w:marRight w:val="0"/>
      <w:marTop w:val="0"/>
      <w:marBottom w:val="0"/>
      <w:divBdr>
        <w:top w:val="none" w:sz="0" w:space="0" w:color="auto"/>
        <w:left w:val="none" w:sz="0" w:space="0" w:color="auto"/>
        <w:bottom w:val="none" w:sz="0" w:space="0" w:color="auto"/>
        <w:right w:val="none" w:sz="0" w:space="0" w:color="auto"/>
      </w:divBdr>
    </w:div>
    <w:div w:id="1121261359">
      <w:bodyDiv w:val="1"/>
      <w:marLeft w:val="0"/>
      <w:marRight w:val="0"/>
      <w:marTop w:val="0"/>
      <w:marBottom w:val="0"/>
      <w:divBdr>
        <w:top w:val="none" w:sz="0" w:space="0" w:color="auto"/>
        <w:left w:val="none" w:sz="0" w:space="0" w:color="auto"/>
        <w:bottom w:val="none" w:sz="0" w:space="0" w:color="auto"/>
        <w:right w:val="none" w:sz="0" w:space="0" w:color="auto"/>
      </w:divBdr>
    </w:div>
    <w:div w:id="1158107820">
      <w:bodyDiv w:val="1"/>
      <w:marLeft w:val="0"/>
      <w:marRight w:val="0"/>
      <w:marTop w:val="0"/>
      <w:marBottom w:val="0"/>
      <w:divBdr>
        <w:top w:val="none" w:sz="0" w:space="0" w:color="auto"/>
        <w:left w:val="none" w:sz="0" w:space="0" w:color="auto"/>
        <w:bottom w:val="none" w:sz="0" w:space="0" w:color="auto"/>
        <w:right w:val="none" w:sz="0" w:space="0" w:color="auto"/>
      </w:divBdr>
    </w:div>
    <w:div w:id="1160535913">
      <w:bodyDiv w:val="1"/>
      <w:marLeft w:val="0"/>
      <w:marRight w:val="0"/>
      <w:marTop w:val="0"/>
      <w:marBottom w:val="0"/>
      <w:divBdr>
        <w:top w:val="none" w:sz="0" w:space="0" w:color="auto"/>
        <w:left w:val="none" w:sz="0" w:space="0" w:color="auto"/>
        <w:bottom w:val="none" w:sz="0" w:space="0" w:color="auto"/>
        <w:right w:val="none" w:sz="0" w:space="0" w:color="auto"/>
      </w:divBdr>
    </w:div>
    <w:div w:id="1190946609">
      <w:bodyDiv w:val="1"/>
      <w:marLeft w:val="0"/>
      <w:marRight w:val="0"/>
      <w:marTop w:val="0"/>
      <w:marBottom w:val="0"/>
      <w:divBdr>
        <w:top w:val="none" w:sz="0" w:space="0" w:color="auto"/>
        <w:left w:val="none" w:sz="0" w:space="0" w:color="auto"/>
        <w:bottom w:val="none" w:sz="0" w:space="0" w:color="auto"/>
        <w:right w:val="none" w:sz="0" w:space="0" w:color="auto"/>
      </w:divBdr>
    </w:div>
    <w:div w:id="1192035477">
      <w:bodyDiv w:val="1"/>
      <w:marLeft w:val="0"/>
      <w:marRight w:val="0"/>
      <w:marTop w:val="0"/>
      <w:marBottom w:val="0"/>
      <w:divBdr>
        <w:top w:val="none" w:sz="0" w:space="0" w:color="auto"/>
        <w:left w:val="none" w:sz="0" w:space="0" w:color="auto"/>
        <w:bottom w:val="none" w:sz="0" w:space="0" w:color="auto"/>
        <w:right w:val="none" w:sz="0" w:space="0" w:color="auto"/>
      </w:divBdr>
    </w:div>
    <w:div w:id="1196431530">
      <w:bodyDiv w:val="1"/>
      <w:marLeft w:val="0"/>
      <w:marRight w:val="0"/>
      <w:marTop w:val="0"/>
      <w:marBottom w:val="0"/>
      <w:divBdr>
        <w:top w:val="none" w:sz="0" w:space="0" w:color="auto"/>
        <w:left w:val="none" w:sz="0" w:space="0" w:color="auto"/>
        <w:bottom w:val="none" w:sz="0" w:space="0" w:color="auto"/>
        <w:right w:val="none" w:sz="0" w:space="0" w:color="auto"/>
      </w:divBdr>
    </w:div>
    <w:div w:id="1200044196">
      <w:bodyDiv w:val="1"/>
      <w:marLeft w:val="0"/>
      <w:marRight w:val="0"/>
      <w:marTop w:val="0"/>
      <w:marBottom w:val="0"/>
      <w:divBdr>
        <w:top w:val="none" w:sz="0" w:space="0" w:color="auto"/>
        <w:left w:val="none" w:sz="0" w:space="0" w:color="auto"/>
        <w:bottom w:val="none" w:sz="0" w:space="0" w:color="auto"/>
        <w:right w:val="none" w:sz="0" w:space="0" w:color="auto"/>
      </w:divBdr>
    </w:div>
    <w:div w:id="1221483874">
      <w:bodyDiv w:val="1"/>
      <w:marLeft w:val="0"/>
      <w:marRight w:val="0"/>
      <w:marTop w:val="0"/>
      <w:marBottom w:val="0"/>
      <w:divBdr>
        <w:top w:val="none" w:sz="0" w:space="0" w:color="auto"/>
        <w:left w:val="none" w:sz="0" w:space="0" w:color="auto"/>
        <w:bottom w:val="none" w:sz="0" w:space="0" w:color="auto"/>
        <w:right w:val="none" w:sz="0" w:space="0" w:color="auto"/>
      </w:divBdr>
    </w:div>
    <w:div w:id="1221744748">
      <w:bodyDiv w:val="1"/>
      <w:marLeft w:val="0"/>
      <w:marRight w:val="0"/>
      <w:marTop w:val="0"/>
      <w:marBottom w:val="0"/>
      <w:divBdr>
        <w:top w:val="none" w:sz="0" w:space="0" w:color="auto"/>
        <w:left w:val="none" w:sz="0" w:space="0" w:color="auto"/>
        <w:bottom w:val="none" w:sz="0" w:space="0" w:color="auto"/>
        <w:right w:val="none" w:sz="0" w:space="0" w:color="auto"/>
      </w:divBdr>
    </w:div>
    <w:div w:id="1240945124">
      <w:bodyDiv w:val="1"/>
      <w:marLeft w:val="0"/>
      <w:marRight w:val="0"/>
      <w:marTop w:val="0"/>
      <w:marBottom w:val="0"/>
      <w:divBdr>
        <w:top w:val="none" w:sz="0" w:space="0" w:color="auto"/>
        <w:left w:val="none" w:sz="0" w:space="0" w:color="auto"/>
        <w:bottom w:val="none" w:sz="0" w:space="0" w:color="auto"/>
        <w:right w:val="none" w:sz="0" w:space="0" w:color="auto"/>
      </w:divBdr>
    </w:div>
    <w:div w:id="1241716231">
      <w:bodyDiv w:val="1"/>
      <w:marLeft w:val="0"/>
      <w:marRight w:val="0"/>
      <w:marTop w:val="0"/>
      <w:marBottom w:val="0"/>
      <w:divBdr>
        <w:top w:val="none" w:sz="0" w:space="0" w:color="auto"/>
        <w:left w:val="none" w:sz="0" w:space="0" w:color="auto"/>
        <w:bottom w:val="none" w:sz="0" w:space="0" w:color="auto"/>
        <w:right w:val="none" w:sz="0" w:space="0" w:color="auto"/>
      </w:divBdr>
    </w:div>
    <w:div w:id="1248230347">
      <w:bodyDiv w:val="1"/>
      <w:marLeft w:val="0"/>
      <w:marRight w:val="0"/>
      <w:marTop w:val="0"/>
      <w:marBottom w:val="0"/>
      <w:divBdr>
        <w:top w:val="none" w:sz="0" w:space="0" w:color="auto"/>
        <w:left w:val="none" w:sz="0" w:space="0" w:color="auto"/>
        <w:bottom w:val="none" w:sz="0" w:space="0" w:color="auto"/>
        <w:right w:val="none" w:sz="0" w:space="0" w:color="auto"/>
      </w:divBdr>
    </w:div>
    <w:div w:id="1267617821">
      <w:bodyDiv w:val="1"/>
      <w:marLeft w:val="0"/>
      <w:marRight w:val="0"/>
      <w:marTop w:val="0"/>
      <w:marBottom w:val="0"/>
      <w:divBdr>
        <w:top w:val="none" w:sz="0" w:space="0" w:color="auto"/>
        <w:left w:val="none" w:sz="0" w:space="0" w:color="auto"/>
        <w:bottom w:val="none" w:sz="0" w:space="0" w:color="auto"/>
        <w:right w:val="none" w:sz="0" w:space="0" w:color="auto"/>
      </w:divBdr>
    </w:div>
    <w:div w:id="1291546758">
      <w:bodyDiv w:val="1"/>
      <w:marLeft w:val="0"/>
      <w:marRight w:val="0"/>
      <w:marTop w:val="0"/>
      <w:marBottom w:val="0"/>
      <w:divBdr>
        <w:top w:val="none" w:sz="0" w:space="0" w:color="auto"/>
        <w:left w:val="none" w:sz="0" w:space="0" w:color="auto"/>
        <w:bottom w:val="none" w:sz="0" w:space="0" w:color="auto"/>
        <w:right w:val="none" w:sz="0" w:space="0" w:color="auto"/>
      </w:divBdr>
    </w:div>
    <w:div w:id="1300768729">
      <w:bodyDiv w:val="1"/>
      <w:marLeft w:val="0"/>
      <w:marRight w:val="0"/>
      <w:marTop w:val="0"/>
      <w:marBottom w:val="0"/>
      <w:divBdr>
        <w:top w:val="none" w:sz="0" w:space="0" w:color="auto"/>
        <w:left w:val="none" w:sz="0" w:space="0" w:color="auto"/>
        <w:bottom w:val="none" w:sz="0" w:space="0" w:color="auto"/>
        <w:right w:val="none" w:sz="0" w:space="0" w:color="auto"/>
      </w:divBdr>
    </w:div>
    <w:div w:id="1319069668">
      <w:bodyDiv w:val="1"/>
      <w:marLeft w:val="0"/>
      <w:marRight w:val="0"/>
      <w:marTop w:val="0"/>
      <w:marBottom w:val="0"/>
      <w:divBdr>
        <w:top w:val="none" w:sz="0" w:space="0" w:color="auto"/>
        <w:left w:val="none" w:sz="0" w:space="0" w:color="auto"/>
        <w:bottom w:val="none" w:sz="0" w:space="0" w:color="auto"/>
        <w:right w:val="none" w:sz="0" w:space="0" w:color="auto"/>
      </w:divBdr>
    </w:div>
    <w:div w:id="1324897233">
      <w:bodyDiv w:val="1"/>
      <w:marLeft w:val="0"/>
      <w:marRight w:val="0"/>
      <w:marTop w:val="0"/>
      <w:marBottom w:val="0"/>
      <w:divBdr>
        <w:top w:val="none" w:sz="0" w:space="0" w:color="auto"/>
        <w:left w:val="none" w:sz="0" w:space="0" w:color="auto"/>
        <w:bottom w:val="none" w:sz="0" w:space="0" w:color="auto"/>
        <w:right w:val="none" w:sz="0" w:space="0" w:color="auto"/>
      </w:divBdr>
    </w:div>
    <w:div w:id="1327367963">
      <w:bodyDiv w:val="1"/>
      <w:marLeft w:val="0"/>
      <w:marRight w:val="0"/>
      <w:marTop w:val="0"/>
      <w:marBottom w:val="0"/>
      <w:divBdr>
        <w:top w:val="none" w:sz="0" w:space="0" w:color="auto"/>
        <w:left w:val="none" w:sz="0" w:space="0" w:color="auto"/>
        <w:bottom w:val="none" w:sz="0" w:space="0" w:color="auto"/>
        <w:right w:val="none" w:sz="0" w:space="0" w:color="auto"/>
      </w:divBdr>
    </w:div>
    <w:div w:id="1351953167">
      <w:bodyDiv w:val="1"/>
      <w:marLeft w:val="0"/>
      <w:marRight w:val="0"/>
      <w:marTop w:val="0"/>
      <w:marBottom w:val="0"/>
      <w:divBdr>
        <w:top w:val="none" w:sz="0" w:space="0" w:color="auto"/>
        <w:left w:val="none" w:sz="0" w:space="0" w:color="auto"/>
        <w:bottom w:val="none" w:sz="0" w:space="0" w:color="auto"/>
        <w:right w:val="none" w:sz="0" w:space="0" w:color="auto"/>
      </w:divBdr>
    </w:div>
    <w:div w:id="1355886858">
      <w:bodyDiv w:val="1"/>
      <w:marLeft w:val="0"/>
      <w:marRight w:val="0"/>
      <w:marTop w:val="0"/>
      <w:marBottom w:val="0"/>
      <w:divBdr>
        <w:top w:val="none" w:sz="0" w:space="0" w:color="auto"/>
        <w:left w:val="none" w:sz="0" w:space="0" w:color="auto"/>
        <w:bottom w:val="none" w:sz="0" w:space="0" w:color="auto"/>
        <w:right w:val="none" w:sz="0" w:space="0" w:color="auto"/>
      </w:divBdr>
    </w:div>
    <w:div w:id="1360083560">
      <w:bodyDiv w:val="1"/>
      <w:marLeft w:val="0"/>
      <w:marRight w:val="0"/>
      <w:marTop w:val="0"/>
      <w:marBottom w:val="0"/>
      <w:divBdr>
        <w:top w:val="none" w:sz="0" w:space="0" w:color="auto"/>
        <w:left w:val="none" w:sz="0" w:space="0" w:color="auto"/>
        <w:bottom w:val="none" w:sz="0" w:space="0" w:color="auto"/>
        <w:right w:val="none" w:sz="0" w:space="0" w:color="auto"/>
      </w:divBdr>
    </w:div>
    <w:div w:id="1369181338">
      <w:bodyDiv w:val="1"/>
      <w:marLeft w:val="0"/>
      <w:marRight w:val="0"/>
      <w:marTop w:val="0"/>
      <w:marBottom w:val="0"/>
      <w:divBdr>
        <w:top w:val="none" w:sz="0" w:space="0" w:color="auto"/>
        <w:left w:val="none" w:sz="0" w:space="0" w:color="auto"/>
        <w:bottom w:val="none" w:sz="0" w:space="0" w:color="auto"/>
        <w:right w:val="none" w:sz="0" w:space="0" w:color="auto"/>
      </w:divBdr>
    </w:div>
    <w:div w:id="1386104613">
      <w:bodyDiv w:val="1"/>
      <w:marLeft w:val="0"/>
      <w:marRight w:val="0"/>
      <w:marTop w:val="0"/>
      <w:marBottom w:val="0"/>
      <w:divBdr>
        <w:top w:val="none" w:sz="0" w:space="0" w:color="auto"/>
        <w:left w:val="none" w:sz="0" w:space="0" w:color="auto"/>
        <w:bottom w:val="none" w:sz="0" w:space="0" w:color="auto"/>
        <w:right w:val="none" w:sz="0" w:space="0" w:color="auto"/>
      </w:divBdr>
    </w:div>
    <w:div w:id="1393458220">
      <w:bodyDiv w:val="1"/>
      <w:marLeft w:val="0"/>
      <w:marRight w:val="0"/>
      <w:marTop w:val="0"/>
      <w:marBottom w:val="0"/>
      <w:divBdr>
        <w:top w:val="none" w:sz="0" w:space="0" w:color="auto"/>
        <w:left w:val="none" w:sz="0" w:space="0" w:color="auto"/>
        <w:bottom w:val="none" w:sz="0" w:space="0" w:color="auto"/>
        <w:right w:val="none" w:sz="0" w:space="0" w:color="auto"/>
      </w:divBdr>
    </w:div>
    <w:div w:id="1398170256">
      <w:bodyDiv w:val="1"/>
      <w:marLeft w:val="0"/>
      <w:marRight w:val="0"/>
      <w:marTop w:val="0"/>
      <w:marBottom w:val="0"/>
      <w:divBdr>
        <w:top w:val="none" w:sz="0" w:space="0" w:color="auto"/>
        <w:left w:val="none" w:sz="0" w:space="0" w:color="auto"/>
        <w:bottom w:val="none" w:sz="0" w:space="0" w:color="auto"/>
        <w:right w:val="none" w:sz="0" w:space="0" w:color="auto"/>
      </w:divBdr>
    </w:div>
    <w:div w:id="1401369939">
      <w:bodyDiv w:val="1"/>
      <w:marLeft w:val="0"/>
      <w:marRight w:val="0"/>
      <w:marTop w:val="0"/>
      <w:marBottom w:val="0"/>
      <w:divBdr>
        <w:top w:val="none" w:sz="0" w:space="0" w:color="auto"/>
        <w:left w:val="none" w:sz="0" w:space="0" w:color="auto"/>
        <w:bottom w:val="none" w:sz="0" w:space="0" w:color="auto"/>
        <w:right w:val="none" w:sz="0" w:space="0" w:color="auto"/>
      </w:divBdr>
    </w:div>
    <w:div w:id="1404257434">
      <w:bodyDiv w:val="1"/>
      <w:marLeft w:val="0"/>
      <w:marRight w:val="0"/>
      <w:marTop w:val="0"/>
      <w:marBottom w:val="0"/>
      <w:divBdr>
        <w:top w:val="none" w:sz="0" w:space="0" w:color="auto"/>
        <w:left w:val="none" w:sz="0" w:space="0" w:color="auto"/>
        <w:bottom w:val="none" w:sz="0" w:space="0" w:color="auto"/>
        <w:right w:val="none" w:sz="0" w:space="0" w:color="auto"/>
      </w:divBdr>
    </w:div>
    <w:div w:id="1406340114">
      <w:bodyDiv w:val="1"/>
      <w:marLeft w:val="0"/>
      <w:marRight w:val="0"/>
      <w:marTop w:val="0"/>
      <w:marBottom w:val="0"/>
      <w:divBdr>
        <w:top w:val="none" w:sz="0" w:space="0" w:color="auto"/>
        <w:left w:val="none" w:sz="0" w:space="0" w:color="auto"/>
        <w:bottom w:val="none" w:sz="0" w:space="0" w:color="auto"/>
        <w:right w:val="none" w:sz="0" w:space="0" w:color="auto"/>
      </w:divBdr>
    </w:div>
    <w:div w:id="1418942166">
      <w:bodyDiv w:val="1"/>
      <w:marLeft w:val="0"/>
      <w:marRight w:val="0"/>
      <w:marTop w:val="0"/>
      <w:marBottom w:val="0"/>
      <w:divBdr>
        <w:top w:val="none" w:sz="0" w:space="0" w:color="auto"/>
        <w:left w:val="none" w:sz="0" w:space="0" w:color="auto"/>
        <w:bottom w:val="none" w:sz="0" w:space="0" w:color="auto"/>
        <w:right w:val="none" w:sz="0" w:space="0" w:color="auto"/>
      </w:divBdr>
    </w:div>
    <w:div w:id="1437023644">
      <w:bodyDiv w:val="1"/>
      <w:marLeft w:val="0"/>
      <w:marRight w:val="0"/>
      <w:marTop w:val="0"/>
      <w:marBottom w:val="0"/>
      <w:divBdr>
        <w:top w:val="none" w:sz="0" w:space="0" w:color="auto"/>
        <w:left w:val="none" w:sz="0" w:space="0" w:color="auto"/>
        <w:bottom w:val="none" w:sz="0" w:space="0" w:color="auto"/>
        <w:right w:val="none" w:sz="0" w:space="0" w:color="auto"/>
      </w:divBdr>
    </w:div>
    <w:div w:id="1438911774">
      <w:bodyDiv w:val="1"/>
      <w:marLeft w:val="0"/>
      <w:marRight w:val="0"/>
      <w:marTop w:val="0"/>
      <w:marBottom w:val="0"/>
      <w:divBdr>
        <w:top w:val="none" w:sz="0" w:space="0" w:color="auto"/>
        <w:left w:val="none" w:sz="0" w:space="0" w:color="auto"/>
        <w:bottom w:val="none" w:sz="0" w:space="0" w:color="auto"/>
        <w:right w:val="none" w:sz="0" w:space="0" w:color="auto"/>
      </w:divBdr>
    </w:div>
    <w:div w:id="1457989844">
      <w:bodyDiv w:val="1"/>
      <w:marLeft w:val="0"/>
      <w:marRight w:val="0"/>
      <w:marTop w:val="0"/>
      <w:marBottom w:val="0"/>
      <w:divBdr>
        <w:top w:val="none" w:sz="0" w:space="0" w:color="auto"/>
        <w:left w:val="none" w:sz="0" w:space="0" w:color="auto"/>
        <w:bottom w:val="none" w:sz="0" w:space="0" w:color="auto"/>
        <w:right w:val="none" w:sz="0" w:space="0" w:color="auto"/>
      </w:divBdr>
    </w:div>
    <w:div w:id="1473674392">
      <w:bodyDiv w:val="1"/>
      <w:marLeft w:val="0"/>
      <w:marRight w:val="0"/>
      <w:marTop w:val="0"/>
      <w:marBottom w:val="0"/>
      <w:divBdr>
        <w:top w:val="none" w:sz="0" w:space="0" w:color="auto"/>
        <w:left w:val="none" w:sz="0" w:space="0" w:color="auto"/>
        <w:bottom w:val="none" w:sz="0" w:space="0" w:color="auto"/>
        <w:right w:val="none" w:sz="0" w:space="0" w:color="auto"/>
      </w:divBdr>
    </w:div>
    <w:div w:id="1482771648">
      <w:bodyDiv w:val="1"/>
      <w:marLeft w:val="0"/>
      <w:marRight w:val="0"/>
      <w:marTop w:val="0"/>
      <w:marBottom w:val="0"/>
      <w:divBdr>
        <w:top w:val="none" w:sz="0" w:space="0" w:color="auto"/>
        <w:left w:val="none" w:sz="0" w:space="0" w:color="auto"/>
        <w:bottom w:val="none" w:sz="0" w:space="0" w:color="auto"/>
        <w:right w:val="none" w:sz="0" w:space="0" w:color="auto"/>
      </w:divBdr>
    </w:div>
    <w:div w:id="1493986106">
      <w:bodyDiv w:val="1"/>
      <w:marLeft w:val="0"/>
      <w:marRight w:val="0"/>
      <w:marTop w:val="0"/>
      <w:marBottom w:val="0"/>
      <w:divBdr>
        <w:top w:val="none" w:sz="0" w:space="0" w:color="auto"/>
        <w:left w:val="none" w:sz="0" w:space="0" w:color="auto"/>
        <w:bottom w:val="none" w:sz="0" w:space="0" w:color="auto"/>
        <w:right w:val="none" w:sz="0" w:space="0" w:color="auto"/>
      </w:divBdr>
    </w:div>
    <w:div w:id="1502357461">
      <w:bodyDiv w:val="1"/>
      <w:marLeft w:val="0"/>
      <w:marRight w:val="0"/>
      <w:marTop w:val="0"/>
      <w:marBottom w:val="0"/>
      <w:divBdr>
        <w:top w:val="none" w:sz="0" w:space="0" w:color="auto"/>
        <w:left w:val="none" w:sz="0" w:space="0" w:color="auto"/>
        <w:bottom w:val="none" w:sz="0" w:space="0" w:color="auto"/>
        <w:right w:val="none" w:sz="0" w:space="0" w:color="auto"/>
      </w:divBdr>
    </w:div>
    <w:div w:id="1509518698">
      <w:bodyDiv w:val="1"/>
      <w:marLeft w:val="0"/>
      <w:marRight w:val="0"/>
      <w:marTop w:val="0"/>
      <w:marBottom w:val="0"/>
      <w:divBdr>
        <w:top w:val="none" w:sz="0" w:space="0" w:color="auto"/>
        <w:left w:val="none" w:sz="0" w:space="0" w:color="auto"/>
        <w:bottom w:val="none" w:sz="0" w:space="0" w:color="auto"/>
        <w:right w:val="none" w:sz="0" w:space="0" w:color="auto"/>
      </w:divBdr>
    </w:div>
    <w:div w:id="1509711186">
      <w:bodyDiv w:val="1"/>
      <w:marLeft w:val="0"/>
      <w:marRight w:val="0"/>
      <w:marTop w:val="0"/>
      <w:marBottom w:val="0"/>
      <w:divBdr>
        <w:top w:val="none" w:sz="0" w:space="0" w:color="auto"/>
        <w:left w:val="none" w:sz="0" w:space="0" w:color="auto"/>
        <w:bottom w:val="none" w:sz="0" w:space="0" w:color="auto"/>
        <w:right w:val="none" w:sz="0" w:space="0" w:color="auto"/>
      </w:divBdr>
    </w:div>
    <w:div w:id="1514151298">
      <w:bodyDiv w:val="1"/>
      <w:marLeft w:val="0"/>
      <w:marRight w:val="0"/>
      <w:marTop w:val="0"/>
      <w:marBottom w:val="0"/>
      <w:divBdr>
        <w:top w:val="none" w:sz="0" w:space="0" w:color="auto"/>
        <w:left w:val="none" w:sz="0" w:space="0" w:color="auto"/>
        <w:bottom w:val="none" w:sz="0" w:space="0" w:color="auto"/>
        <w:right w:val="none" w:sz="0" w:space="0" w:color="auto"/>
      </w:divBdr>
    </w:div>
    <w:div w:id="1536890611">
      <w:bodyDiv w:val="1"/>
      <w:marLeft w:val="0"/>
      <w:marRight w:val="0"/>
      <w:marTop w:val="0"/>
      <w:marBottom w:val="0"/>
      <w:divBdr>
        <w:top w:val="none" w:sz="0" w:space="0" w:color="auto"/>
        <w:left w:val="none" w:sz="0" w:space="0" w:color="auto"/>
        <w:bottom w:val="none" w:sz="0" w:space="0" w:color="auto"/>
        <w:right w:val="none" w:sz="0" w:space="0" w:color="auto"/>
      </w:divBdr>
    </w:div>
    <w:div w:id="1539657095">
      <w:bodyDiv w:val="1"/>
      <w:marLeft w:val="0"/>
      <w:marRight w:val="0"/>
      <w:marTop w:val="0"/>
      <w:marBottom w:val="0"/>
      <w:divBdr>
        <w:top w:val="none" w:sz="0" w:space="0" w:color="auto"/>
        <w:left w:val="none" w:sz="0" w:space="0" w:color="auto"/>
        <w:bottom w:val="none" w:sz="0" w:space="0" w:color="auto"/>
        <w:right w:val="none" w:sz="0" w:space="0" w:color="auto"/>
      </w:divBdr>
    </w:div>
    <w:div w:id="1544369435">
      <w:bodyDiv w:val="1"/>
      <w:marLeft w:val="0"/>
      <w:marRight w:val="0"/>
      <w:marTop w:val="0"/>
      <w:marBottom w:val="0"/>
      <w:divBdr>
        <w:top w:val="none" w:sz="0" w:space="0" w:color="auto"/>
        <w:left w:val="none" w:sz="0" w:space="0" w:color="auto"/>
        <w:bottom w:val="none" w:sz="0" w:space="0" w:color="auto"/>
        <w:right w:val="none" w:sz="0" w:space="0" w:color="auto"/>
      </w:divBdr>
    </w:div>
    <w:div w:id="1557618781">
      <w:bodyDiv w:val="1"/>
      <w:marLeft w:val="0"/>
      <w:marRight w:val="0"/>
      <w:marTop w:val="0"/>
      <w:marBottom w:val="0"/>
      <w:divBdr>
        <w:top w:val="none" w:sz="0" w:space="0" w:color="auto"/>
        <w:left w:val="none" w:sz="0" w:space="0" w:color="auto"/>
        <w:bottom w:val="none" w:sz="0" w:space="0" w:color="auto"/>
        <w:right w:val="none" w:sz="0" w:space="0" w:color="auto"/>
      </w:divBdr>
    </w:div>
    <w:div w:id="1564637555">
      <w:bodyDiv w:val="1"/>
      <w:marLeft w:val="0"/>
      <w:marRight w:val="0"/>
      <w:marTop w:val="0"/>
      <w:marBottom w:val="0"/>
      <w:divBdr>
        <w:top w:val="none" w:sz="0" w:space="0" w:color="auto"/>
        <w:left w:val="none" w:sz="0" w:space="0" w:color="auto"/>
        <w:bottom w:val="none" w:sz="0" w:space="0" w:color="auto"/>
        <w:right w:val="none" w:sz="0" w:space="0" w:color="auto"/>
      </w:divBdr>
    </w:div>
    <w:div w:id="1567569714">
      <w:bodyDiv w:val="1"/>
      <w:marLeft w:val="0"/>
      <w:marRight w:val="0"/>
      <w:marTop w:val="0"/>
      <w:marBottom w:val="0"/>
      <w:divBdr>
        <w:top w:val="none" w:sz="0" w:space="0" w:color="auto"/>
        <w:left w:val="none" w:sz="0" w:space="0" w:color="auto"/>
        <w:bottom w:val="none" w:sz="0" w:space="0" w:color="auto"/>
        <w:right w:val="none" w:sz="0" w:space="0" w:color="auto"/>
      </w:divBdr>
    </w:div>
    <w:div w:id="1568033334">
      <w:bodyDiv w:val="1"/>
      <w:marLeft w:val="0"/>
      <w:marRight w:val="0"/>
      <w:marTop w:val="0"/>
      <w:marBottom w:val="0"/>
      <w:divBdr>
        <w:top w:val="none" w:sz="0" w:space="0" w:color="auto"/>
        <w:left w:val="none" w:sz="0" w:space="0" w:color="auto"/>
        <w:bottom w:val="none" w:sz="0" w:space="0" w:color="auto"/>
        <w:right w:val="none" w:sz="0" w:space="0" w:color="auto"/>
      </w:divBdr>
    </w:div>
    <w:div w:id="1578250663">
      <w:bodyDiv w:val="1"/>
      <w:marLeft w:val="0"/>
      <w:marRight w:val="0"/>
      <w:marTop w:val="0"/>
      <w:marBottom w:val="0"/>
      <w:divBdr>
        <w:top w:val="none" w:sz="0" w:space="0" w:color="auto"/>
        <w:left w:val="none" w:sz="0" w:space="0" w:color="auto"/>
        <w:bottom w:val="none" w:sz="0" w:space="0" w:color="auto"/>
        <w:right w:val="none" w:sz="0" w:space="0" w:color="auto"/>
      </w:divBdr>
    </w:div>
    <w:div w:id="1579442908">
      <w:bodyDiv w:val="1"/>
      <w:marLeft w:val="0"/>
      <w:marRight w:val="0"/>
      <w:marTop w:val="0"/>
      <w:marBottom w:val="0"/>
      <w:divBdr>
        <w:top w:val="none" w:sz="0" w:space="0" w:color="auto"/>
        <w:left w:val="none" w:sz="0" w:space="0" w:color="auto"/>
        <w:bottom w:val="none" w:sz="0" w:space="0" w:color="auto"/>
        <w:right w:val="none" w:sz="0" w:space="0" w:color="auto"/>
      </w:divBdr>
    </w:div>
    <w:div w:id="1600605899">
      <w:bodyDiv w:val="1"/>
      <w:marLeft w:val="0"/>
      <w:marRight w:val="0"/>
      <w:marTop w:val="0"/>
      <w:marBottom w:val="0"/>
      <w:divBdr>
        <w:top w:val="none" w:sz="0" w:space="0" w:color="auto"/>
        <w:left w:val="none" w:sz="0" w:space="0" w:color="auto"/>
        <w:bottom w:val="none" w:sz="0" w:space="0" w:color="auto"/>
        <w:right w:val="none" w:sz="0" w:space="0" w:color="auto"/>
      </w:divBdr>
    </w:div>
    <w:div w:id="1606965037">
      <w:bodyDiv w:val="1"/>
      <w:marLeft w:val="0"/>
      <w:marRight w:val="0"/>
      <w:marTop w:val="0"/>
      <w:marBottom w:val="0"/>
      <w:divBdr>
        <w:top w:val="none" w:sz="0" w:space="0" w:color="auto"/>
        <w:left w:val="none" w:sz="0" w:space="0" w:color="auto"/>
        <w:bottom w:val="none" w:sz="0" w:space="0" w:color="auto"/>
        <w:right w:val="none" w:sz="0" w:space="0" w:color="auto"/>
      </w:divBdr>
    </w:div>
    <w:div w:id="1666350574">
      <w:bodyDiv w:val="1"/>
      <w:marLeft w:val="0"/>
      <w:marRight w:val="0"/>
      <w:marTop w:val="0"/>
      <w:marBottom w:val="0"/>
      <w:divBdr>
        <w:top w:val="none" w:sz="0" w:space="0" w:color="auto"/>
        <w:left w:val="none" w:sz="0" w:space="0" w:color="auto"/>
        <w:bottom w:val="none" w:sz="0" w:space="0" w:color="auto"/>
        <w:right w:val="none" w:sz="0" w:space="0" w:color="auto"/>
      </w:divBdr>
    </w:div>
    <w:div w:id="1671055893">
      <w:bodyDiv w:val="1"/>
      <w:marLeft w:val="0"/>
      <w:marRight w:val="0"/>
      <w:marTop w:val="0"/>
      <w:marBottom w:val="0"/>
      <w:divBdr>
        <w:top w:val="none" w:sz="0" w:space="0" w:color="auto"/>
        <w:left w:val="none" w:sz="0" w:space="0" w:color="auto"/>
        <w:bottom w:val="none" w:sz="0" w:space="0" w:color="auto"/>
        <w:right w:val="none" w:sz="0" w:space="0" w:color="auto"/>
      </w:divBdr>
    </w:div>
    <w:div w:id="1689603338">
      <w:bodyDiv w:val="1"/>
      <w:marLeft w:val="0"/>
      <w:marRight w:val="0"/>
      <w:marTop w:val="0"/>
      <w:marBottom w:val="0"/>
      <w:divBdr>
        <w:top w:val="none" w:sz="0" w:space="0" w:color="auto"/>
        <w:left w:val="none" w:sz="0" w:space="0" w:color="auto"/>
        <w:bottom w:val="none" w:sz="0" w:space="0" w:color="auto"/>
        <w:right w:val="none" w:sz="0" w:space="0" w:color="auto"/>
      </w:divBdr>
    </w:div>
    <w:div w:id="1700473654">
      <w:bodyDiv w:val="1"/>
      <w:marLeft w:val="0"/>
      <w:marRight w:val="0"/>
      <w:marTop w:val="0"/>
      <w:marBottom w:val="0"/>
      <w:divBdr>
        <w:top w:val="none" w:sz="0" w:space="0" w:color="auto"/>
        <w:left w:val="none" w:sz="0" w:space="0" w:color="auto"/>
        <w:bottom w:val="none" w:sz="0" w:space="0" w:color="auto"/>
        <w:right w:val="none" w:sz="0" w:space="0" w:color="auto"/>
      </w:divBdr>
    </w:div>
    <w:div w:id="1705903561">
      <w:bodyDiv w:val="1"/>
      <w:marLeft w:val="0"/>
      <w:marRight w:val="0"/>
      <w:marTop w:val="0"/>
      <w:marBottom w:val="0"/>
      <w:divBdr>
        <w:top w:val="none" w:sz="0" w:space="0" w:color="auto"/>
        <w:left w:val="none" w:sz="0" w:space="0" w:color="auto"/>
        <w:bottom w:val="none" w:sz="0" w:space="0" w:color="auto"/>
        <w:right w:val="none" w:sz="0" w:space="0" w:color="auto"/>
      </w:divBdr>
    </w:div>
    <w:div w:id="1729307507">
      <w:bodyDiv w:val="1"/>
      <w:marLeft w:val="0"/>
      <w:marRight w:val="0"/>
      <w:marTop w:val="0"/>
      <w:marBottom w:val="0"/>
      <w:divBdr>
        <w:top w:val="none" w:sz="0" w:space="0" w:color="auto"/>
        <w:left w:val="none" w:sz="0" w:space="0" w:color="auto"/>
        <w:bottom w:val="none" w:sz="0" w:space="0" w:color="auto"/>
        <w:right w:val="none" w:sz="0" w:space="0" w:color="auto"/>
      </w:divBdr>
    </w:div>
    <w:div w:id="1731416290">
      <w:bodyDiv w:val="1"/>
      <w:marLeft w:val="0"/>
      <w:marRight w:val="0"/>
      <w:marTop w:val="0"/>
      <w:marBottom w:val="0"/>
      <w:divBdr>
        <w:top w:val="none" w:sz="0" w:space="0" w:color="auto"/>
        <w:left w:val="none" w:sz="0" w:space="0" w:color="auto"/>
        <w:bottom w:val="none" w:sz="0" w:space="0" w:color="auto"/>
        <w:right w:val="none" w:sz="0" w:space="0" w:color="auto"/>
      </w:divBdr>
    </w:div>
    <w:div w:id="1740900255">
      <w:bodyDiv w:val="1"/>
      <w:marLeft w:val="0"/>
      <w:marRight w:val="0"/>
      <w:marTop w:val="0"/>
      <w:marBottom w:val="0"/>
      <w:divBdr>
        <w:top w:val="none" w:sz="0" w:space="0" w:color="auto"/>
        <w:left w:val="none" w:sz="0" w:space="0" w:color="auto"/>
        <w:bottom w:val="none" w:sz="0" w:space="0" w:color="auto"/>
        <w:right w:val="none" w:sz="0" w:space="0" w:color="auto"/>
      </w:divBdr>
    </w:div>
    <w:div w:id="1760829954">
      <w:bodyDiv w:val="1"/>
      <w:marLeft w:val="0"/>
      <w:marRight w:val="0"/>
      <w:marTop w:val="0"/>
      <w:marBottom w:val="0"/>
      <w:divBdr>
        <w:top w:val="none" w:sz="0" w:space="0" w:color="auto"/>
        <w:left w:val="none" w:sz="0" w:space="0" w:color="auto"/>
        <w:bottom w:val="none" w:sz="0" w:space="0" w:color="auto"/>
        <w:right w:val="none" w:sz="0" w:space="0" w:color="auto"/>
      </w:divBdr>
    </w:div>
    <w:div w:id="1772624987">
      <w:bodyDiv w:val="1"/>
      <w:marLeft w:val="0"/>
      <w:marRight w:val="0"/>
      <w:marTop w:val="0"/>
      <w:marBottom w:val="0"/>
      <w:divBdr>
        <w:top w:val="none" w:sz="0" w:space="0" w:color="auto"/>
        <w:left w:val="none" w:sz="0" w:space="0" w:color="auto"/>
        <w:bottom w:val="none" w:sz="0" w:space="0" w:color="auto"/>
        <w:right w:val="none" w:sz="0" w:space="0" w:color="auto"/>
      </w:divBdr>
    </w:div>
    <w:div w:id="1792436386">
      <w:bodyDiv w:val="1"/>
      <w:marLeft w:val="0"/>
      <w:marRight w:val="0"/>
      <w:marTop w:val="0"/>
      <w:marBottom w:val="0"/>
      <w:divBdr>
        <w:top w:val="none" w:sz="0" w:space="0" w:color="auto"/>
        <w:left w:val="none" w:sz="0" w:space="0" w:color="auto"/>
        <w:bottom w:val="none" w:sz="0" w:space="0" w:color="auto"/>
        <w:right w:val="none" w:sz="0" w:space="0" w:color="auto"/>
      </w:divBdr>
    </w:div>
    <w:div w:id="1826509242">
      <w:bodyDiv w:val="1"/>
      <w:marLeft w:val="0"/>
      <w:marRight w:val="0"/>
      <w:marTop w:val="0"/>
      <w:marBottom w:val="0"/>
      <w:divBdr>
        <w:top w:val="none" w:sz="0" w:space="0" w:color="auto"/>
        <w:left w:val="none" w:sz="0" w:space="0" w:color="auto"/>
        <w:bottom w:val="none" w:sz="0" w:space="0" w:color="auto"/>
        <w:right w:val="none" w:sz="0" w:space="0" w:color="auto"/>
      </w:divBdr>
    </w:div>
    <w:div w:id="1866871144">
      <w:bodyDiv w:val="1"/>
      <w:marLeft w:val="0"/>
      <w:marRight w:val="0"/>
      <w:marTop w:val="0"/>
      <w:marBottom w:val="0"/>
      <w:divBdr>
        <w:top w:val="none" w:sz="0" w:space="0" w:color="auto"/>
        <w:left w:val="none" w:sz="0" w:space="0" w:color="auto"/>
        <w:bottom w:val="none" w:sz="0" w:space="0" w:color="auto"/>
        <w:right w:val="none" w:sz="0" w:space="0" w:color="auto"/>
      </w:divBdr>
    </w:div>
    <w:div w:id="1875582224">
      <w:bodyDiv w:val="1"/>
      <w:marLeft w:val="0"/>
      <w:marRight w:val="0"/>
      <w:marTop w:val="0"/>
      <w:marBottom w:val="0"/>
      <w:divBdr>
        <w:top w:val="none" w:sz="0" w:space="0" w:color="auto"/>
        <w:left w:val="none" w:sz="0" w:space="0" w:color="auto"/>
        <w:bottom w:val="none" w:sz="0" w:space="0" w:color="auto"/>
        <w:right w:val="none" w:sz="0" w:space="0" w:color="auto"/>
      </w:divBdr>
    </w:div>
    <w:div w:id="1887831866">
      <w:bodyDiv w:val="1"/>
      <w:marLeft w:val="0"/>
      <w:marRight w:val="0"/>
      <w:marTop w:val="0"/>
      <w:marBottom w:val="0"/>
      <w:divBdr>
        <w:top w:val="none" w:sz="0" w:space="0" w:color="auto"/>
        <w:left w:val="none" w:sz="0" w:space="0" w:color="auto"/>
        <w:bottom w:val="none" w:sz="0" w:space="0" w:color="auto"/>
        <w:right w:val="none" w:sz="0" w:space="0" w:color="auto"/>
      </w:divBdr>
    </w:div>
    <w:div w:id="1915702635">
      <w:bodyDiv w:val="1"/>
      <w:marLeft w:val="0"/>
      <w:marRight w:val="0"/>
      <w:marTop w:val="0"/>
      <w:marBottom w:val="0"/>
      <w:divBdr>
        <w:top w:val="none" w:sz="0" w:space="0" w:color="auto"/>
        <w:left w:val="none" w:sz="0" w:space="0" w:color="auto"/>
        <w:bottom w:val="none" w:sz="0" w:space="0" w:color="auto"/>
        <w:right w:val="none" w:sz="0" w:space="0" w:color="auto"/>
      </w:divBdr>
    </w:div>
    <w:div w:id="1921401122">
      <w:bodyDiv w:val="1"/>
      <w:marLeft w:val="0"/>
      <w:marRight w:val="0"/>
      <w:marTop w:val="0"/>
      <w:marBottom w:val="0"/>
      <w:divBdr>
        <w:top w:val="none" w:sz="0" w:space="0" w:color="auto"/>
        <w:left w:val="none" w:sz="0" w:space="0" w:color="auto"/>
        <w:bottom w:val="none" w:sz="0" w:space="0" w:color="auto"/>
        <w:right w:val="none" w:sz="0" w:space="0" w:color="auto"/>
      </w:divBdr>
    </w:div>
    <w:div w:id="1922596111">
      <w:bodyDiv w:val="1"/>
      <w:marLeft w:val="0"/>
      <w:marRight w:val="0"/>
      <w:marTop w:val="0"/>
      <w:marBottom w:val="0"/>
      <w:divBdr>
        <w:top w:val="none" w:sz="0" w:space="0" w:color="auto"/>
        <w:left w:val="none" w:sz="0" w:space="0" w:color="auto"/>
        <w:bottom w:val="none" w:sz="0" w:space="0" w:color="auto"/>
        <w:right w:val="none" w:sz="0" w:space="0" w:color="auto"/>
      </w:divBdr>
    </w:div>
    <w:div w:id="1939871121">
      <w:bodyDiv w:val="1"/>
      <w:marLeft w:val="0"/>
      <w:marRight w:val="0"/>
      <w:marTop w:val="0"/>
      <w:marBottom w:val="0"/>
      <w:divBdr>
        <w:top w:val="none" w:sz="0" w:space="0" w:color="auto"/>
        <w:left w:val="none" w:sz="0" w:space="0" w:color="auto"/>
        <w:bottom w:val="none" w:sz="0" w:space="0" w:color="auto"/>
        <w:right w:val="none" w:sz="0" w:space="0" w:color="auto"/>
      </w:divBdr>
    </w:div>
    <w:div w:id="1947151820">
      <w:bodyDiv w:val="1"/>
      <w:marLeft w:val="0"/>
      <w:marRight w:val="0"/>
      <w:marTop w:val="0"/>
      <w:marBottom w:val="0"/>
      <w:divBdr>
        <w:top w:val="none" w:sz="0" w:space="0" w:color="auto"/>
        <w:left w:val="none" w:sz="0" w:space="0" w:color="auto"/>
        <w:bottom w:val="none" w:sz="0" w:space="0" w:color="auto"/>
        <w:right w:val="none" w:sz="0" w:space="0" w:color="auto"/>
      </w:divBdr>
    </w:div>
    <w:div w:id="1953705675">
      <w:bodyDiv w:val="1"/>
      <w:marLeft w:val="0"/>
      <w:marRight w:val="0"/>
      <w:marTop w:val="0"/>
      <w:marBottom w:val="0"/>
      <w:divBdr>
        <w:top w:val="none" w:sz="0" w:space="0" w:color="auto"/>
        <w:left w:val="none" w:sz="0" w:space="0" w:color="auto"/>
        <w:bottom w:val="none" w:sz="0" w:space="0" w:color="auto"/>
        <w:right w:val="none" w:sz="0" w:space="0" w:color="auto"/>
      </w:divBdr>
    </w:div>
    <w:div w:id="1955094642">
      <w:bodyDiv w:val="1"/>
      <w:marLeft w:val="0"/>
      <w:marRight w:val="0"/>
      <w:marTop w:val="0"/>
      <w:marBottom w:val="0"/>
      <w:divBdr>
        <w:top w:val="none" w:sz="0" w:space="0" w:color="auto"/>
        <w:left w:val="none" w:sz="0" w:space="0" w:color="auto"/>
        <w:bottom w:val="none" w:sz="0" w:space="0" w:color="auto"/>
        <w:right w:val="none" w:sz="0" w:space="0" w:color="auto"/>
      </w:divBdr>
    </w:div>
    <w:div w:id="1957516013">
      <w:bodyDiv w:val="1"/>
      <w:marLeft w:val="0"/>
      <w:marRight w:val="0"/>
      <w:marTop w:val="0"/>
      <w:marBottom w:val="0"/>
      <w:divBdr>
        <w:top w:val="none" w:sz="0" w:space="0" w:color="auto"/>
        <w:left w:val="none" w:sz="0" w:space="0" w:color="auto"/>
        <w:bottom w:val="none" w:sz="0" w:space="0" w:color="auto"/>
        <w:right w:val="none" w:sz="0" w:space="0" w:color="auto"/>
      </w:divBdr>
    </w:div>
    <w:div w:id="1958290099">
      <w:bodyDiv w:val="1"/>
      <w:marLeft w:val="0"/>
      <w:marRight w:val="0"/>
      <w:marTop w:val="0"/>
      <w:marBottom w:val="0"/>
      <w:divBdr>
        <w:top w:val="none" w:sz="0" w:space="0" w:color="auto"/>
        <w:left w:val="none" w:sz="0" w:space="0" w:color="auto"/>
        <w:bottom w:val="none" w:sz="0" w:space="0" w:color="auto"/>
        <w:right w:val="none" w:sz="0" w:space="0" w:color="auto"/>
      </w:divBdr>
    </w:div>
    <w:div w:id="1969507857">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6830790">
      <w:bodyDiv w:val="1"/>
      <w:marLeft w:val="0"/>
      <w:marRight w:val="0"/>
      <w:marTop w:val="0"/>
      <w:marBottom w:val="0"/>
      <w:divBdr>
        <w:top w:val="none" w:sz="0" w:space="0" w:color="auto"/>
        <w:left w:val="none" w:sz="0" w:space="0" w:color="auto"/>
        <w:bottom w:val="none" w:sz="0" w:space="0" w:color="auto"/>
        <w:right w:val="none" w:sz="0" w:space="0" w:color="auto"/>
      </w:divBdr>
    </w:div>
    <w:div w:id="1987780915">
      <w:bodyDiv w:val="1"/>
      <w:marLeft w:val="0"/>
      <w:marRight w:val="0"/>
      <w:marTop w:val="0"/>
      <w:marBottom w:val="0"/>
      <w:divBdr>
        <w:top w:val="none" w:sz="0" w:space="0" w:color="auto"/>
        <w:left w:val="none" w:sz="0" w:space="0" w:color="auto"/>
        <w:bottom w:val="none" w:sz="0" w:space="0" w:color="auto"/>
        <w:right w:val="none" w:sz="0" w:space="0" w:color="auto"/>
      </w:divBdr>
    </w:div>
    <w:div w:id="1991014569">
      <w:bodyDiv w:val="1"/>
      <w:marLeft w:val="0"/>
      <w:marRight w:val="0"/>
      <w:marTop w:val="0"/>
      <w:marBottom w:val="0"/>
      <w:divBdr>
        <w:top w:val="none" w:sz="0" w:space="0" w:color="auto"/>
        <w:left w:val="none" w:sz="0" w:space="0" w:color="auto"/>
        <w:bottom w:val="none" w:sz="0" w:space="0" w:color="auto"/>
        <w:right w:val="none" w:sz="0" w:space="0" w:color="auto"/>
      </w:divBdr>
    </w:div>
    <w:div w:id="1992368234">
      <w:bodyDiv w:val="1"/>
      <w:marLeft w:val="0"/>
      <w:marRight w:val="0"/>
      <w:marTop w:val="0"/>
      <w:marBottom w:val="0"/>
      <w:divBdr>
        <w:top w:val="none" w:sz="0" w:space="0" w:color="auto"/>
        <w:left w:val="none" w:sz="0" w:space="0" w:color="auto"/>
        <w:bottom w:val="none" w:sz="0" w:space="0" w:color="auto"/>
        <w:right w:val="none" w:sz="0" w:space="0" w:color="auto"/>
      </w:divBdr>
    </w:div>
    <w:div w:id="2044792240">
      <w:bodyDiv w:val="1"/>
      <w:marLeft w:val="0"/>
      <w:marRight w:val="0"/>
      <w:marTop w:val="0"/>
      <w:marBottom w:val="0"/>
      <w:divBdr>
        <w:top w:val="none" w:sz="0" w:space="0" w:color="auto"/>
        <w:left w:val="none" w:sz="0" w:space="0" w:color="auto"/>
        <w:bottom w:val="none" w:sz="0" w:space="0" w:color="auto"/>
        <w:right w:val="none" w:sz="0" w:space="0" w:color="auto"/>
      </w:divBdr>
    </w:div>
    <w:div w:id="2057658632">
      <w:bodyDiv w:val="1"/>
      <w:marLeft w:val="0"/>
      <w:marRight w:val="0"/>
      <w:marTop w:val="0"/>
      <w:marBottom w:val="0"/>
      <w:divBdr>
        <w:top w:val="none" w:sz="0" w:space="0" w:color="auto"/>
        <w:left w:val="none" w:sz="0" w:space="0" w:color="auto"/>
        <w:bottom w:val="none" w:sz="0" w:space="0" w:color="auto"/>
        <w:right w:val="none" w:sz="0" w:space="0" w:color="auto"/>
      </w:divBdr>
    </w:div>
    <w:div w:id="2057772749">
      <w:bodyDiv w:val="1"/>
      <w:marLeft w:val="0"/>
      <w:marRight w:val="0"/>
      <w:marTop w:val="0"/>
      <w:marBottom w:val="0"/>
      <w:divBdr>
        <w:top w:val="none" w:sz="0" w:space="0" w:color="auto"/>
        <w:left w:val="none" w:sz="0" w:space="0" w:color="auto"/>
        <w:bottom w:val="none" w:sz="0" w:space="0" w:color="auto"/>
        <w:right w:val="none" w:sz="0" w:space="0" w:color="auto"/>
      </w:divBdr>
    </w:div>
    <w:div w:id="2060321062">
      <w:bodyDiv w:val="1"/>
      <w:marLeft w:val="0"/>
      <w:marRight w:val="0"/>
      <w:marTop w:val="0"/>
      <w:marBottom w:val="0"/>
      <w:divBdr>
        <w:top w:val="none" w:sz="0" w:space="0" w:color="auto"/>
        <w:left w:val="none" w:sz="0" w:space="0" w:color="auto"/>
        <w:bottom w:val="none" w:sz="0" w:space="0" w:color="auto"/>
        <w:right w:val="none" w:sz="0" w:space="0" w:color="auto"/>
      </w:divBdr>
    </w:div>
    <w:div w:id="2078891969">
      <w:bodyDiv w:val="1"/>
      <w:marLeft w:val="0"/>
      <w:marRight w:val="0"/>
      <w:marTop w:val="0"/>
      <w:marBottom w:val="0"/>
      <w:divBdr>
        <w:top w:val="none" w:sz="0" w:space="0" w:color="auto"/>
        <w:left w:val="none" w:sz="0" w:space="0" w:color="auto"/>
        <w:bottom w:val="none" w:sz="0" w:space="0" w:color="auto"/>
        <w:right w:val="none" w:sz="0" w:space="0" w:color="auto"/>
      </w:divBdr>
    </w:div>
    <w:div w:id="2080977125">
      <w:bodyDiv w:val="1"/>
      <w:marLeft w:val="0"/>
      <w:marRight w:val="0"/>
      <w:marTop w:val="0"/>
      <w:marBottom w:val="0"/>
      <w:divBdr>
        <w:top w:val="none" w:sz="0" w:space="0" w:color="auto"/>
        <w:left w:val="none" w:sz="0" w:space="0" w:color="auto"/>
        <w:bottom w:val="none" w:sz="0" w:space="0" w:color="auto"/>
        <w:right w:val="none" w:sz="0" w:space="0" w:color="auto"/>
      </w:divBdr>
    </w:div>
    <w:div w:id="2100060089">
      <w:bodyDiv w:val="1"/>
      <w:marLeft w:val="0"/>
      <w:marRight w:val="0"/>
      <w:marTop w:val="0"/>
      <w:marBottom w:val="0"/>
      <w:divBdr>
        <w:top w:val="none" w:sz="0" w:space="0" w:color="auto"/>
        <w:left w:val="none" w:sz="0" w:space="0" w:color="auto"/>
        <w:bottom w:val="none" w:sz="0" w:space="0" w:color="auto"/>
        <w:right w:val="none" w:sz="0" w:space="0" w:color="auto"/>
      </w:divBdr>
    </w:div>
    <w:div w:id="2104063480">
      <w:bodyDiv w:val="1"/>
      <w:marLeft w:val="0"/>
      <w:marRight w:val="0"/>
      <w:marTop w:val="0"/>
      <w:marBottom w:val="0"/>
      <w:divBdr>
        <w:top w:val="none" w:sz="0" w:space="0" w:color="auto"/>
        <w:left w:val="none" w:sz="0" w:space="0" w:color="auto"/>
        <w:bottom w:val="none" w:sz="0" w:space="0" w:color="auto"/>
        <w:right w:val="none" w:sz="0" w:space="0" w:color="auto"/>
      </w:divBdr>
    </w:div>
    <w:div w:id="2105764571">
      <w:bodyDiv w:val="1"/>
      <w:marLeft w:val="0"/>
      <w:marRight w:val="0"/>
      <w:marTop w:val="0"/>
      <w:marBottom w:val="0"/>
      <w:divBdr>
        <w:top w:val="none" w:sz="0" w:space="0" w:color="auto"/>
        <w:left w:val="none" w:sz="0" w:space="0" w:color="auto"/>
        <w:bottom w:val="none" w:sz="0" w:space="0" w:color="auto"/>
        <w:right w:val="none" w:sz="0" w:space="0" w:color="auto"/>
      </w:divBdr>
    </w:div>
    <w:div w:id="212153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B715E-32A3-4F11-B3C1-5F6A3F33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48</Pages>
  <Words>12967</Words>
  <Characters>73918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86712</CharactersWithSpaces>
  <SharedDoc>false</SharedDoc>
  <HLinks>
    <vt:vector size="192" baseType="variant">
      <vt:variant>
        <vt:i4>1114166</vt:i4>
      </vt:variant>
      <vt:variant>
        <vt:i4>191</vt:i4>
      </vt:variant>
      <vt:variant>
        <vt:i4>0</vt:i4>
      </vt:variant>
      <vt:variant>
        <vt:i4>5</vt:i4>
      </vt:variant>
      <vt:variant>
        <vt:lpwstr/>
      </vt:variant>
      <vt:variant>
        <vt:lpwstr>_Toc327439190</vt:lpwstr>
      </vt:variant>
      <vt:variant>
        <vt:i4>1048630</vt:i4>
      </vt:variant>
      <vt:variant>
        <vt:i4>185</vt:i4>
      </vt:variant>
      <vt:variant>
        <vt:i4>0</vt:i4>
      </vt:variant>
      <vt:variant>
        <vt:i4>5</vt:i4>
      </vt:variant>
      <vt:variant>
        <vt:lpwstr/>
      </vt:variant>
      <vt:variant>
        <vt:lpwstr>_Toc327439189</vt:lpwstr>
      </vt:variant>
      <vt:variant>
        <vt:i4>1048630</vt:i4>
      </vt:variant>
      <vt:variant>
        <vt:i4>179</vt:i4>
      </vt:variant>
      <vt:variant>
        <vt:i4>0</vt:i4>
      </vt:variant>
      <vt:variant>
        <vt:i4>5</vt:i4>
      </vt:variant>
      <vt:variant>
        <vt:lpwstr/>
      </vt:variant>
      <vt:variant>
        <vt:lpwstr>_Toc327439188</vt:lpwstr>
      </vt:variant>
      <vt:variant>
        <vt:i4>1048630</vt:i4>
      </vt:variant>
      <vt:variant>
        <vt:i4>173</vt:i4>
      </vt:variant>
      <vt:variant>
        <vt:i4>0</vt:i4>
      </vt:variant>
      <vt:variant>
        <vt:i4>5</vt:i4>
      </vt:variant>
      <vt:variant>
        <vt:lpwstr/>
      </vt:variant>
      <vt:variant>
        <vt:lpwstr>_Toc327439187</vt:lpwstr>
      </vt:variant>
      <vt:variant>
        <vt:i4>1048630</vt:i4>
      </vt:variant>
      <vt:variant>
        <vt:i4>167</vt:i4>
      </vt:variant>
      <vt:variant>
        <vt:i4>0</vt:i4>
      </vt:variant>
      <vt:variant>
        <vt:i4>5</vt:i4>
      </vt:variant>
      <vt:variant>
        <vt:lpwstr/>
      </vt:variant>
      <vt:variant>
        <vt:lpwstr>_Toc327439186</vt:lpwstr>
      </vt:variant>
      <vt:variant>
        <vt:i4>1048630</vt:i4>
      </vt:variant>
      <vt:variant>
        <vt:i4>161</vt:i4>
      </vt:variant>
      <vt:variant>
        <vt:i4>0</vt:i4>
      </vt:variant>
      <vt:variant>
        <vt:i4>5</vt:i4>
      </vt:variant>
      <vt:variant>
        <vt:lpwstr/>
      </vt:variant>
      <vt:variant>
        <vt:lpwstr>_Toc327439185</vt:lpwstr>
      </vt:variant>
      <vt:variant>
        <vt:i4>1048630</vt:i4>
      </vt:variant>
      <vt:variant>
        <vt:i4>155</vt:i4>
      </vt:variant>
      <vt:variant>
        <vt:i4>0</vt:i4>
      </vt:variant>
      <vt:variant>
        <vt:i4>5</vt:i4>
      </vt:variant>
      <vt:variant>
        <vt:lpwstr/>
      </vt:variant>
      <vt:variant>
        <vt:lpwstr>_Toc327439184</vt:lpwstr>
      </vt:variant>
      <vt:variant>
        <vt:i4>1048630</vt:i4>
      </vt:variant>
      <vt:variant>
        <vt:i4>149</vt:i4>
      </vt:variant>
      <vt:variant>
        <vt:i4>0</vt:i4>
      </vt:variant>
      <vt:variant>
        <vt:i4>5</vt:i4>
      </vt:variant>
      <vt:variant>
        <vt:lpwstr/>
      </vt:variant>
      <vt:variant>
        <vt:lpwstr>_Toc327439183</vt:lpwstr>
      </vt:variant>
      <vt:variant>
        <vt:i4>1048630</vt:i4>
      </vt:variant>
      <vt:variant>
        <vt:i4>143</vt:i4>
      </vt:variant>
      <vt:variant>
        <vt:i4>0</vt:i4>
      </vt:variant>
      <vt:variant>
        <vt:i4>5</vt:i4>
      </vt:variant>
      <vt:variant>
        <vt:lpwstr/>
      </vt:variant>
      <vt:variant>
        <vt:lpwstr>_Toc327439182</vt:lpwstr>
      </vt:variant>
      <vt:variant>
        <vt:i4>1048630</vt:i4>
      </vt:variant>
      <vt:variant>
        <vt:i4>137</vt:i4>
      </vt:variant>
      <vt:variant>
        <vt:i4>0</vt:i4>
      </vt:variant>
      <vt:variant>
        <vt:i4>5</vt:i4>
      </vt:variant>
      <vt:variant>
        <vt:lpwstr/>
      </vt:variant>
      <vt:variant>
        <vt:lpwstr>_Toc327439181</vt:lpwstr>
      </vt:variant>
      <vt:variant>
        <vt:i4>1048630</vt:i4>
      </vt:variant>
      <vt:variant>
        <vt:i4>131</vt:i4>
      </vt:variant>
      <vt:variant>
        <vt:i4>0</vt:i4>
      </vt:variant>
      <vt:variant>
        <vt:i4>5</vt:i4>
      </vt:variant>
      <vt:variant>
        <vt:lpwstr/>
      </vt:variant>
      <vt:variant>
        <vt:lpwstr>_Toc327439180</vt:lpwstr>
      </vt:variant>
      <vt:variant>
        <vt:i4>2031670</vt:i4>
      </vt:variant>
      <vt:variant>
        <vt:i4>125</vt:i4>
      </vt:variant>
      <vt:variant>
        <vt:i4>0</vt:i4>
      </vt:variant>
      <vt:variant>
        <vt:i4>5</vt:i4>
      </vt:variant>
      <vt:variant>
        <vt:lpwstr/>
      </vt:variant>
      <vt:variant>
        <vt:lpwstr>_Toc327439179</vt:lpwstr>
      </vt:variant>
      <vt:variant>
        <vt:i4>2031670</vt:i4>
      </vt:variant>
      <vt:variant>
        <vt:i4>119</vt:i4>
      </vt:variant>
      <vt:variant>
        <vt:i4>0</vt:i4>
      </vt:variant>
      <vt:variant>
        <vt:i4>5</vt:i4>
      </vt:variant>
      <vt:variant>
        <vt:lpwstr/>
      </vt:variant>
      <vt:variant>
        <vt:lpwstr>_Toc327439178</vt:lpwstr>
      </vt:variant>
      <vt:variant>
        <vt:i4>2031670</vt:i4>
      </vt:variant>
      <vt:variant>
        <vt:i4>113</vt:i4>
      </vt:variant>
      <vt:variant>
        <vt:i4>0</vt:i4>
      </vt:variant>
      <vt:variant>
        <vt:i4>5</vt:i4>
      </vt:variant>
      <vt:variant>
        <vt:lpwstr/>
      </vt:variant>
      <vt:variant>
        <vt:lpwstr>_Toc327439177</vt:lpwstr>
      </vt:variant>
      <vt:variant>
        <vt:i4>2031670</vt:i4>
      </vt:variant>
      <vt:variant>
        <vt:i4>107</vt:i4>
      </vt:variant>
      <vt:variant>
        <vt:i4>0</vt:i4>
      </vt:variant>
      <vt:variant>
        <vt:i4>5</vt:i4>
      </vt:variant>
      <vt:variant>
        <vt:lpwstr/>
      </vt:variant>
      <vt:variant>
        <vt:lpwstr>_Toc327439176</vt:lpwstr>
      </vt:variant>
      <vt:variant>
        <vt:i4>2031670</vt:i4>
      </vt:variant>
      <vt:variant>
        <vt:i4>101</vt:i4>
      </vt:variant>
      <vt:variant>
        <vt:i4>0</vt:i4>
      </vt:variant>
      <vt:variant>
        <vt:i4>5</vt:i4>
      </vt:variant>
      <vt:variant>
        <vt:lpwstr/>
      </vt:variant>
      <vt:variant>
        <vt:lpwstr>_Toc327439175</vt:lpwstr>
      </vt:variant>
      <vt:variant>
        <vt:i4>2031670</vt:i4>
      </vt:variant>
      <vt:variant>
        <vt:i4>95</vt:i4>
      </vt:variant>
      <vt:variant>
        <vt:i4>0</vt:i4>
      </vt:variant>
      <vt:variant>
        <vt:i4>5</vt:i4>
      </vt:variant>
      <vt:variant>
        <vt:lpwstr/>
      </vt:variant>
      <vt:variant>
        <vt:lpwstr>_Toc327439174</vt:lpwstr>
      </vt:variant>
      <vt:variant>
        <vt:i4>2031670</vt:i4>
      </vt:variant>
      <vt:variant>
        <vt:i4>89</vt:i4>
      </vt:variant>
      <vt:variant>
        <vt:i4>0</vt:i4>
      </vt:variant>
      <vt:variant>
        <vt:i4>5</vt:i4>
      </vt:variant>
      <vt:variant>
        <vt:lpwstr/>
      </vt:variant>
      <vt:variant>
        <vt:lpwstr>_Toc327439173</vt:lpwstr>
      </vt:variant>
      <vt:variant>
        <vt:i4>2031670</vt:i4>
      </vt:variant>
      <vt:variant>
        <vt:i4>83</vt:i4>
      </vt:variant>
      <vt:variant>
        <vt:i4>0</vt:i4>
      </vt:variant>
      <vt:variant>
        <vt:i4>5</vt:i4>
      </vt:variant>
      <vt:variant>
        <vt:lpwstr/>
      </vt:variant>
      <vt:variant>
        <vt:lpwstr>_Toc327439172</vt:lpwstr>
      </vt:variant>
      <vt:variant>
        <vt:i4>2031670</vt:i4>
      </vt:variant>
      <vt:variant>
        <vt:i4>77</vt:i4>
      </vt:variant>
      <vt:variant>
        <vt:i4>0</vt:i4>
      </vt:variant>
      <vt:variant>
        <vt:i4>5</vt:i4>
      </vt:variant>
      <vt:variant>
        <vt:lpwstr/>
      </vt:variant>
      <vt:variant>
        <vt:lpwstr>_Toc327439171</vt:lpwstr>
      </vt:variant>
      <vt:variant>
        <vt:i4>2031670</vt:i4>
      </vt:variant>
      <vt:variant>
        <vt:i4>71</vt:i4>
      </vt:variant>
      <vt:variant>
        <vt:i4>0</vt:i4>
      </vt:variant>
      <vt:variant>
        <vt:i4>5</vt:i4>
      </vt:variant>
      <vt:variant>
        <vt:lpwstr/>
      </vt:variant>
      <vt:variant>
        <vt:lpwstr>_Toc327439170</vt:lpwstr>
      </vt:variant>
      <vt:variant>
        <vt:i4>1966134</vt:i4>
      </vt:variant>
      <vt:variant>
        <vt:i4>65</vt:i4>
      </vt:variant>
      <vt:variant>
        <vt:i4>0</vt:i4>
      </vt:variant>
      <vt:variant>
        <vt:i4>5</vt:i4>
      </vt:variant>
      <vt:variant>
        <vt:lpwstr/>
      </vt:variant>
      <vt:variant>
        <vt:lpwstr>_Toc327439169</vt:lpwstr>
      </vt:variant>
      <vt:variant>
        <vt:i4>1966134</vt:i4>
      </vt:variant>
      <vt:variant>
        <vt:i4>59</vt:i4>
      </vt:variant>
      <vt:variant>
        <vt:i4>0</vt:i4>
      </vt:variant>
      <vt:variant>
        <vt:i4>5</vt:i4>
      </vt:variant>
      <vt:variant>
        <vt:lpwstr/>
      </vt:variant>
      <vt:variant>
        <vt:lpwstr>_Toc327439168</vt:lpwstr>
      </vt:variant>
      <vt:variant>
        <vt:i4>1966134</vt:i4>
      </vt:variant>
      <vt:variant>
        <vt:i4>53</vt:i4>
      </vt:variant>
      <vt:variant>
        <vt:i4>0</vt:i4>
      </vt:variant>
      <vt:variant>
        <vt:i4>5</vt:i4>
      </vt:variant>
      <vt:variant>
        <vt:lpwstr/>
      </vt:variant>
      <vt:variant>
        <vt:lpwstr>_Toc327439167</vt:lpwstr>
      </vt:variant>
      <vt:variant>
        <vt:i4>1966134</vt:i4>
      </vt:variant>
      <vt:variant>
        <vt:i4>47</vt:i4>
      </vt:variant>
      <vt:variant>
        <vt:i4>0</vt:i4>
      </vt:variant>
      <vt:variant>
        <vt:i4>5</vt:i4>
      </vt:variant>
      <vt:variant>
        <vt:lpwstr/>
      </vt:variant>
      <vt:variant>
        <vt:lpwstr>_Toc327439166</vt:lpwstr>
      </vt:variant>
      <vt:variant>
        <vt:i4>1966134</vt:i4>
      </vt:variant>
      <vt:variant>
        <vt:i4>41</vt:i4>
      </vt:variant>
      <vt:variant>
        <vt:i4>0</vt:i4>
      </vt:variant>
      <vt:variant>
        <vt:i4>5</vt:i4>
      </vt:variant>
      <vt:variant>
        <vt:lpwstr/>
      </vt:variant>
      <vt:variant>
        <vt:lpwstr>_Toc327439165</vt:lpwstr>
      </vt:variant>
      <vt:variant>
        <vt:i4>1966134</vt:i4>
      </vt:variant>
      <vt:variant>
        <vt:i4>35</vt:i4>
      </vt:variant>
      <vt:variant>
        <vt:i4>0</vt:i4>
      </vt:variant>
      <vt:variant>
        <vt:i4>5</vt:i4>
      </vt:variant>
      <vt:variant>
        <vt:lpwstr/>
      </vt:variant>
      <vt:variant>
        <vt:lpwstr>_Toc327439164</vt:lpwstr>
      </vt:variant>
      <vt:variant>
        <vt:i4>1966134</vt:i4>
      </vt:variant>
      <vt:variant>
        <vt:i4>29</vt:i4>
      </vt:variant>
      <vt:variant>
        <vt:i4>0</vt:i4>
      </vt:variant>
      <vt:variant>
        <vt:i4>5</vt:i4>
      </vt:variant>
      <vt:variant>
        <vt:lpwstr/>
      </vt:variant>
      <vt:variant>
        <vt:lpwstr>_Toc327439163</vt:lpwstr>
      </vt:variant>
      <vt:variant>
        <vt:i4>1966134</vt:i4>
      </vt:variant>
      <vt:variant>
        <vt:i4>23</vt:i4>
      </vt:variant>
      <vt:variant>
        <vt:i4>0</vt:i4>
      </vt:variant>
      <vt:variant>
        <vt:i4>5</vt:i4>
      </vt:variant>
      <vt:variant>
        <vt:lpwstr/>
      </vt:variant>
      <vt:variant>
        <vt:lpwstr>_Toc327439162</vt:lpwstr>
      </vt:variant>
      <vt:variant>
        <vt:i4>1966134</vt:i4>
      </vt:variant>
      <vt:variant>
        <vt:i4>17</vt:i4>
      </vt:variant>
      <vt:variant>
        <vt:i4>0</vt:i4>
      </vt:variant>
      <vt:variant>
        <vt:i4>5</vt:i4>
      </vt:variant>
      <vt:variant>
        <vt:lpwstr/>
      </vt:variant>
      <vt:variant>
        <vt:lpwstr>_Toc327439161</vt:lpwstr>
      </vt:variant>
      <vt:variant>
        <vt:i4>1966134</vt:i4>
      </vt:variant>
      <vt:variant>
        <vt:i4>11</vt:i4>
      </vt:variant>
      <vt:variant>
        <vt:i4>0</vt:i4>
      </vt:variant>
      <vt:variant>
        <vt:i4>5</vt:i4>
      </vt:variant>
      <vt:variant>
        <vt:lpwstr/>
      </vt:variant>
      <vt:variant>
        <vt:lpwstr>_Toc327439160</vt:lpwstr>
      </vt:variant>
      <vt:variant>
        <vt:i4>1900598</vt:i4>
      </vt:variant>
      <vt:variant>
        <vt:i4>5</vt:i4>
      </vt:variant>
      <vt:variant>
        <vt:i4>0</vt:i4>
      </vt:variant>
      <vt:variant>
        <vt:i4>5</vt:i4>
      </vt:variant>
      <vt:variant>
        <vt:lpwstr/>
      </vt:variant>
      <vt:variant>
        <vt:lpwstr>_Toc327439159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422</cp:revision>
  <cp:lastPrinted>2014-10-31T14:32:00Z</cp:lastPrinted>
  <dcterms:created xsi:type="dcterms:W3CDTF">2014-10-09T19:03:00Z</dcterms:created>
  <dcterms:modified xsi:type="dcterms:W3CDTF">2014-10-31T14:34:00Z</dcterms:modified>
</cp:coreProperties>
</file>