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EB6BF9" w:rsidP="00FD1DAD">
      <w:pPr>
        <w:tabs>
          <w:tab w:val="center" w:pos="4680"/>
        </w:tabs>
        <w:suppressAutoHyphens/>
        <w:jc w:val="center"/>
        <w:rPr>
          <w:b/>
        </w:rPr>
      </w:pPr>
      <w:smartTag w:uri="urn:schemas-microsoft-com:office:smarttags" w:element="State">
        <w:smartTag w:uri="urn:schemas-microsoft-com:office:smarttags" w:element="place">
          <w:r>
            <w:rPr>
              <w:b/>
            </w:rPr>
            <w:t>PENNSYLVANIA</w:t>
          </w:r>
        </w:smartTag>
      </w:smartTag>
    </w:p>
    <w:p w:rsidR="00EB6BF9" w:rsidRDefault="00EB6BF9" w:rsidP="00FD1DAD">
      <w:pPr>
        <w:tabs>
          <w:tab w:val="center" w:pos="4680"/>
        </w:tabs>
        <w:suppressAutoHyphens/>
        <w:jc w:val="center"/>
      </w:pPr>
      <w:r>
        <w:rPr>
          <w:b/>
        </w:rPr>
        <w:t>PUBLIC UTILITY COMMISSION</w:t>
      </w:r>
    </w:p>
    <w:p w:rsidR="00EB6BF9" w:rsidRDefault="00EB6BF9" w:rsidP="00FD1DAD">
      <w:pPr>
        <w:tabs>
          <w:tab w:val="center" w:pos="4680"/>
        </w:tabs>
        <w:suppressAutoHyphens/>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country-region">
          <w:r>
            <w:rPr>
              <w:b/>
            </w:rPr>
            <w:t>17105-3265</w:t>
          </w:r>
        </w:smartTag>
      </w:smartTag>
    </w:p>
    <w:p w:rsidR="00EB6BF9" w:rsidRDefault="00EB6BF9" w:rsidP="00FD1DAD">
      <w:pPr>
        <w:tabs>
          <w:tab w:val="left" w:pos="-720"/>
        </w:tabs>
        <w:suppressAutoHyphens/>
      </w:pPr>
    </w:p>
    <w:p w:rsidR="00EB6BF9" w:rsidRDefault="00EB6BF9" w:rsidP="00FD1DAD"/>
    <w:tbl>
      <w:tblPr>
        <w:tblW w:w="0" w:type="auto"/>
        <w:tblLook w:val="04A0" w:firstRow="1" w:lastRow="0" w:firstColumn="1" w:lastColumn="0" w:noHBand="0" w:noVBand="1"/>
      </w:tblPr>
      <w:tblGrid>
        <w:gridCol w:w="5058"/>
        <w:gridCol w:w="4428"/>
      </w:tblGrid>
      <w:tr w:rsidR="00B310BA" w:rsidTr="00754576">
        <w:tc>
          <w:tcPr>
            <w:tcW w:w="5058" w:type="dxa"/>
            <w:shd w:val="clear" w:color="auto" w:fill="auto"/>
          </w:tcPr>
          <w:p w:rsidR="00B310BA" w:rsidRDefault="00B310BA" w:rsidP="00FD1DAD"/>
        </w:tc>
        <w:tc>
          <w:tcPr>
            <w:tcW w:w="4428" w:type="dxa"/>
            <w:shd w:val="clear" w:color="auto" w:fill="auto"/>
          </w:tcPr>
          <w:p w:rsidR="00B310BA" w:rsidRDefault="009F6E74" w:rsidP="009F2B4D">
            <w:pPr>
              <w:ind w:right="-90" w:hanging="108"/>
            </w:pPr>
            <w:r>
              <w:t xml:space="preserve">      </w:t>
            </w:r>
            <w:r w:rsidR="00B310BA">
              <w:t>Public Meeting held</w:t>
            </w:r>
            <w:r>
              <w:t xml:space="preserve"> </w:t>
            </w:r>
            <w:r w:rsidR="00A72E13">
              <w:t>October 23, 2014</w:t>
            </w:r>
          </w:p>
          <w:p w:rsidR="009F6E74" w:rsidRDefault="009F6E74" w:rsidP="009F6E74">
            <w:pPr>
              <w:ind w:right="-90"/>
            </w:pPr>
          </w:p>
          <w:p w:rsidR="009F6E74" w:rsidRDefault="009F6E74" w:rsidP="009F6E74">
            <w:pPr>
              <w:ind w:right="-90"/>
            </w:pPr>
          </w:p>
        </w:tc>
      </w:tr>
      <w:tr w:rsidR="00B310BA" w:rsidTr="00754576">
        <w:tc>
          <w:tcPr>
            <w:tcW w:w="5058" w:type="dxa"/>
            <w:shd w:val="clear" w:color="auto" w:fill="auto"/>
          </w:tcPr>
          <w:p w:rsidR="00B310BA" w:rsidRDefault="00B310BA" w:rsidP="00FD1DAD">
            <w:r>
              <w:t>Commissioners Present:</w:t>
            </w:r>
          </w:p>
          <w:p w:rsidR="00B310BA" w:rsidRDefault="00B310BA" w:rsidP="00FD1DAD"/>
          <w:p w:rsidR="00B310BA" w:rsidRDefault="00B310BA" w:rsidP="00754576">
            <w:pPr>
              <w:tabs>
                <w:tab w:val="left" w:pos="705"/>
              </w:tabs>
              <w:ind w:firstLine="720"/>
            </w:pPr>
            <w:r>
              <w:t xml:space="preserve">Robert F. </w:t>
            </w:r>
            <w:proofErr w:type="spellStart"/>
            <w:r>
              <w:t>Powelson</w:t>
            </w:r>
            <w:proofErr w:type="spellEnd"/>
            <w:r>
              <w:t>, Chairman</w:t>
            </w:r>
          </w:p>
          <w:p w:rsidR="00B310BA" w:rsidRDefault="00B310BA" w:rsidP="00754576">
            <w:pPr>
              <w:tabs>
                <w:tab w:val="left" w:pos="705"/>
              </w:tabs>
              <w:ind w:firstLine="720"/>
            </w:pPr>
            <w:r>
              <w:t>John F. Coleman, Jr., Vice Chairman</w:t>
            </w:r>
          </w:p>
          <w:p w:rsidR="00B310BA" w:rsidRDefault="00B310BA" w:rsidP="00754576">
            <w:pPr>
              <w:tabs>
                <w:tab w:val="left" w:pos="705"/>
              </w:tabs>
              <w:ind w:firstLine="720"/>
            </w:pPr>
            <w:r>
              <w:t>James H. Cawley</w:t>
            </w:r>
          </w:p>
          <w:p w:rsidR="00B310BA" w:rsidRDefault="00B310BA" w:rsidP="00754576">
            <w:pPr>
              <w:tabs>
                <w:tab w:val="left" w:pos="705"/>
              </w:tabs>
              <w:ind w:firstLine="720"/>
            </w:pPr>
            <w:r>
              <w:t>Pamela A. Witmer</w:t>
            </w:r>
          </w:p>
          <w:p w:rsidR="00A72E13" w:rsidRDefault="00A72E13" w:rsidP="00754576">
            <w:pPr>
              <w:tabs>
                <w:tab w:val="left" w:pos="705"/>
              </w:tabs>
              <w:ind w:firstLine="720"/>
            </w:pPr>
            <w:r>
              <w:t>Gladys M. Brown</w:t>
            </w:r>
          </w:p>
          <w:p w:rsidR="00B310BA" w:rsidRDefault="00B310BA" w:rsidP="00FD1DAD"/>
          <w:p w:rsidR="00B310BA" w:rsidRDefault="00B310BA" w:rsidP="00FD1DAD"/>
        </w:tc>
        <w:tc>
          <w:tcPr>
            <w:tcW w:w="4428" w:type="dxa"/>
            <w:shd w:val="clear" w:color="auto" w:fill="auto"/>
          </w:tcPr>
          <w:p w:rsidR="00B310BA" w:rsidRDefault="00B310BA" w:rsidP="00754576">
            <w:pPr>
              <w:jc w:val="right"/>
            </w:pPr>
          </w:p>
          <w:p w:rsidR="00B310BA" w:rsidRDefault="00B310BA" w:rsidP="00754576">
            <w:pPr>
              <w:jc w:val="right"/>
            </w:pPr>
          </w:p>
        </w:tc>
      </w:tr>
      <w:tr w:rsidR="00B310BA" w:rsidRPr="009F6E74" w:rsidTr="00754576">
        <w:tc>
          <w:tcPr>
            <w:tcW w:w="5058" w:type="dxa"/>
            <w:shd w:val="clear" w:color="auto" w:fill="auto"/>
          </w:tcPr>
          <w:p w:rsidR="00B310BA" w:rsidRPr="009F6E74" w:rsidRDefault="00A72E13" w:rsidP="00602ADB">
            <w:r>
              <w:t xml:space="preserve">Nathaniel </w:t>
            </w:r>
            <w:proofErr w:type="spellStart"/>
            <w:r>
              <w:t>Haynesworth</w:t>
            </w:r>
            <w:proofErr w:type="spellEnd"/>
          </w:p>
        </w:tc>
        <w:tc>
          <w:tcPr>
            <w:tcW w:w="4428" w:type="dxa"/>
            <w:shd w:val="clear" w:color="auto" w:fill="auto"/>
          </w:tcPr>
          <w:p w:rsidR="00B310BA" w:rsidRPr="009F6E74" w:rsidRDefault="00A72E13" w:rsidP="00A72E13">
            <w:pPr>
              <w:jc w:val="right"/>
            </w:pPr>
            <w:r>
              <w:t>C</w:t>
            </w:r>
            <w:r w:rsidR="009F6E74" w:rsidRPr="009F6E74">
              <w:t>-201</w:t>
            </w:r>
            <w:r>
              <w:t>3</w:t>
            </w:r>
            <w:r w:rsidR="009F6E74" w:rsidRPr="009F6E74">
              <w:t>-23</w:t>
            </w:r>
            <w:r>
              <w:t>88558</w:t>
            </w:r>
          </w:p>
        </w:tc>
      </w:tr>
      <w:tr w:rsidR="00B310BA" w:rsidRPr="009F6E74" w:rsidTr="00754576">
        <w:tc>
          <w:tcPr>
            <w:tcW w:w="5058" w:type="dxa"/>
            <w:shd w:val="clear" w:color="auto" w:fill="auto"/>
          </w:tcPr>
          <w:p w:rsidR="00190DCD" w:rsidRPr="009F6E74" w:rsidRDefault="00190DCD" w:rsidP="0008309E">
            <w:pPr>
              <w:ind w:firstLine="1440"/>
            </w:pPr>
          </w:p>
          <w:p w:rsidR="00B310BA" w:rsidRPr="009F6E74" w:rsidRDefault="009F6E74" w:rsidP="009F6E74">
            <w:r>
              <w:t xml:space="preserve">            </w:t>
            </w:r>
            <w:r w:rsidR="00B310BA" w:rsidRPr="009F6E74">
              <w:t>v.</w:t>
            </w:r>
          </w:p>
          <w:p w:rsidR="00190DCD" w:rsidRPr="009F6E74" w:rsidRDefault="00190DCD" w:rsidP="0008309E">
            <w:pPr>
              <w:ind w:firstLine="1440"/>
            </w:pPr>
          </w:p>
        </w:tc>
        <w:tc>
          <w:tcPr>
            <w:tcW w:w="4428" w:type="dxa"/>
            <w:shd w:val="clear" w:color="auto" w:fill="auto"/>
          </w:tcPr>
          <w:p w:rsidR="00B310BA" w:rsidRPr="009F6E74" w:rsidRDefault="00B310BA" w:rsidP="00FD1DAD"/>
        </w:tc>
      </w:tr>
      <w:tr w:rsidR="00B310BA" w:rsidRPr="009F6E74" w:rsidTr="00754576">
        <w:tc>
          <w:tcPr>
            <w:tcW w:w="5058" w:type="dxa"/>
            <w:shd w:val="clear" w:color="auto" w:fill="auto"/>
          </w:tcPr>
          <w:p w:rsidR="00190DCD" w:rsidRPr="009F6E74" w:rsidRDefault="009F6E74" w:rsidP="00190DCD">
            <w:r>
              <w:t>Philadelphia Gas Works</w:t>
            </w:r>
          </w:p>
        </w:tc>
        <w:tc>
          <w:tcPr>
            <w:tcW w:w="4428" w:type="dxa"/>
            <w:shd w:val="clear" w:color="auto" w:fill="auto"/>
          </w:tcPr>
          <w:p w:rsidR="00B310BA" w:rsidRPr="009F6E74" w:rsidRDefault="00B310BA" w:rsidP="00FD1DAD"/>
        </w:tc>
      </w:tr>
    </w:tbl>
    <w:p w:rsidR="00390EC5" w:rsidRPr="009F6E74" w:rsidRDefault="00390EC5" w:rsidP="00FD1DAD"/>
    <w:p w:rsidR="00B310BA" w:rsidRPr="009F6E74" w:rsidRDefault="00B310BA" w:rsidP="00FD1DAD"/>
    <w:p w:rsidR="00EB6BF9" w:rsidRPr="009F6E74" w:rsidRDefault="00EB6BF9" w:rsidP="00F62310">
      <w:pPr>
        <w:jc w:val="center"/>
        <w:rPr>
          <w:b/>
        </w:rPr>
      </w:pPr>
      <w:r w:rsidRPr="009F6E74">
        <w:rPr>
          <w:b/>
        </w:rPr>
        <w:t xml:space="preserve">OPINION </w:t>
      </w:r>
      <w:smartTag w:uri="urn:schemas-microsoft-com:office:smarttags" w:element="stockticker">
        <w:r w:rsidRPr="009F6E74">
          <w:rPr>
            <w:b/>
          </w:rPr>
          <w:t>AND</w:t>
        </w:r>
      </w:smartTag>
      <w:r w:rsidRPr="009F6E74">
        <w:rPr>
          <w:b/>
        </w:rPr>
        <w:t xml:space="preserve"> ORDER</w:t>
      </w:r>
    </w:p>
    <w:p w:rsidR="00EB6BF9" w:rsidRDefault="00EB6BF9" w:rsidP="00FD1DAD">
      <w:pPr>
        <w:jc w:val="center"/>
        <w:rPr>
          <w:b/>
        </w:rPr>
      </w:pPr>
    </w:p>
    <w:p w:rsidR="00EB6BF9" w:rsidRPr="00B71BBD" w:rsidRDefault="00EB6BF9" w:rsidP="00FD1DAD">
      <w:pPr>
        <w:jc w:val="center"/>
        <w:rPr>
          <w:b/>
        </w:rPr>
      </w:pPr>
    </w:p>
    <w:p w:rsidR="00EB6BF9" w:rsidRDefault="00EB6BF9" w:rsidP="00FD1DAD">
      <w:pPr>
        <w:rPr>
          <w:b/>
        </w:rPr>
      </w:pPr>
      <w:r>
        <w:rPr>
          <w:b/>
        </w:rPr>
        <w:t>BY THE COMMISSION:</w:t>
      </w:r>
    </w:p>
    <w:p w:rsidR="00EB6BF9" w:rsidRDefault="00EB6BF9" w:rsidP="00FD1DAD"/>
    <w:p w:rsidR="00EB6BF9" w:rsidRDefault="00EB6BF9" w:rsidP="00FD1DAD"/>
    <w:p w:rsidR="00EB6BF9" w:rsidRDefault="00EB6BF9" w:rsidP="00FB0607">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 xml:space="preserve">(ALJ) </w:t>
      </w:r>
      <w:proofErr w:type="spellStart"/>
      <w:r w:rsidR="00A72E13">
        <w:t>Eranda</w:t>
      </w:r>
      <w:proofErr w:type="spellEnd"/>
      <w:r w:rsidR="00A72E13">
        <w:t xml:space="preserve"> Vero</w:t>
      </w:r>
      <w:r w:rsidR="006F7173">
        <w:t xml:space="preserve">, </w:t>
      </w:r>
      <w:r w:rsidR="00A92279">
        <w:t xml:space="preserve">which was </w:t>
      </w:r>
      <w:r w:rsidR="006F7173">
        <w:t xml:space="preserve">issued on </w:t>
      </w:r>
      <w:r w:rsidR="009F2B4D">
        <w:t>August 6</w:t>
      </w:r>
      <w:r w:rsidR="009F6E74">
        <w:t>, 201</w:t>
      </w:r>
      <w:r w:rsidR="009F2B4D">
        <w:t>4</w:t>
      </w:r>
      <w:r>
        <w:t>, in t</w:t>
      </w:r>
      <w:r w:rsidR="00F62310">
        <w:t>he above-captioned proceeding.</w:t>
      </w:r>
      <w:r w:rsidR="002B09C9">
        <w:t xml:space="preserve">  The Initial Decision </w:t>
      </w:r>
      <w:r w:rsidR="009F2B4D">
        <w:t>denied in part and granted in part</w:t>
      </w:r>
      <w:r w:rsidR="009F6E74">
        <w:t xml:space="preserve"> the Formal Complaint filed on </w:t>
      </w:r>
      <w:r w:rsidR="009F2B4D">
        <w:t>October 3, 2013</w:t>
      </w:r>
      <w:r w:rsidR="009F6E74">
        <w:t xml:space="preserve">, by </w:t>
      </w:r>
      <w:r w:rsidR="009F2B4D">
        <w:t xml:space="preserve">Nathaniel </w:t>
      </w:r>
      <w:proofErr w:type="spellStart"/>
      <w:r w:rsidR="009F2B4D">
        <w:t>Haynesworth</w:t>
      </w:r>
      <w:proofErr w:type="spellEnd"/>
      <w:r w:rsidR="009F6E74">
        <w:t xml:space="preserve"> (Complainant</w:t>
      </w:r>
      <w:r w:rsidR="006751D6">
        <w:t xml:space="preserve"> or Mr. </w:t>
      </w:r>
      <w:proofErr w:type="spellStart"/>
      <w:r w:rsidR="006751D6">
        <w:t>Haynesworth</w:t>
      </w:r>
      <w:proofErr w:type="spellEnd"/>
      <w:r w:rsidR="009F6E74">
        <w:t>) against the Philadelphia Gas Works (PGW or the Company)</w:t>
      </w:r>
      <w:r w:rsidR="002B09C9">
        <w:t xml:space="preserve">.  </w:t>
      </w:r>
      <w:r w:rsidR="000421EA">
        <w:t>No Exceptions were filed.  However, w</w:t>
      </w:r>
      <w:r w:rsidR="002B09C9">
        <w:t>e exercised our right to review the Initial Decision pursuant to Section 332(h) of the Public Utility Code</w:t>
      </w:r>
      <w:r w:rsidR="00C860B6">
        <w:t xml:space="preserve"> (Code)</w:t>
      </w:r>
      <w:r w:rsidR="002B09C9">
        <w:t xml:space="preserve">, 66 Pa. C.S. § 332(h).  For the </w:t>
      </w:r>
      <w:r w:rsidR="009F6E74">
        <w:t xml:space="preserve">reasons set forth herein, we shall </w:t>
      </w:r>
      <w:r w:rsidR="00AC6197">
        <w:t xml:space="preserve">modify </w:t>
      </w:r>
      <w:r w:rsidR="009F6E74">
        <w:t>t</w:t>
      </w:r>
      <w:r w:rsidR="00937FF6">
        <w:t>he Initial Decision</w:t>
      </w:r>
      <w:r w:rsidR="002B09C9">
        <w:t>.</w:t>
      </w:r>
    </w:p>
    <w:p w:rsidR="00EB6BF9" w:rsidRDefault="00EB6BF9" w:rsidP="00FB0607">
      <w:pPr>
        <w:spacing w:line="360" w:lineRule="auto"/>
        <w:jc w:val="center"/>
        <w:rPr>
          <w:b/>
        </w:rPr>
      </w:pPr>
      <w:bookmarkStart w:id="0" w:name="OLE_LINK1"/>
      <w:bookmarkStart w:id="1" w:name="OLE_LINK2"/>
      <w:r w:rsidRPr="00117773">
        <w:rPr>
          <w:b/>
        </w:rPr>
        <w:lastRenderedPageBreak/>
        <w:t>History of the Proceeding</w:t>
      </w:r>
    </w:p>
    <w:p w:rsidR="00A92279" w:rsidRDefault="00A92279" w:rsidP="00FB0607">
      <w:pPr>
        <w:spacing w:line="360" w:lineRule="auto"/>
        <w:jc w:val="center"/>
        <w:rPr>
          <w:b/>
        </w:rPr>
      </w:pP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 xml:space="preserve">On </w:t>
      </w:r>
      <w:r w:rsidR="009F2B4D">
        <w:rPr>
          <w:rFonts w:ascii="Times New Roman" w:hAnsi="Times New Roman" w:cs="Times New Roman"/>
          <w:sz w:val="26"/>
          <w:szCs w:val="26"/>
        </w:rPr>
        <w:t xml:space="preserve">October 3, 2013, </w:t>
      </w:r>
      <w:r w:rsidR="009B5B1D">
        <w:rPr>
          <w:rFonts w:ascii="Times New Roman" w:hAnsi="Times New Roman" w:cs="Times New Roman"/>
          <w:sz w:val="26"/>
          <w:szCs w:val="26"/>
        </w:rPr>
        <w:t xml:space="preserve">Mr. </w:t>
      </w:r>
      <w:proofErr w:type="spellStart"/>
      <w:r w:rsidR="009B5B1D">
        <w:rPr>
          <w:rFonts w:ascii="Times New Roman" w:hAnsi="Times New Roman" w:cs="Times New Roman"/>
          <w:sz w:val="26"/>
          <w:szCs w:val="26"/>
        </w:rPr>
        <w:t>Haynesworth</w:t>
      </w:r>
      <w:proofErr w:type="spellEnd"/>
      <w:r w:rsidRPr="00A92279">
        <w:rPr>
          <w:rFonts w:ascii="Times New Roman" w:hAnsi="Times New Roman" w:cs="Times New Roman"/>
          <w:sz w:val="26"/>
          <w:szCs w:val="26"/>
        </w:rPr>
        <w:t xml:space="preserve"> file</w:t>
      </w:r>
      <w:r>
        <w:rPr>
          <w:rFonts w:ascii="Times New Roman" w:hAnsi="Times New Roman" w:cs="Times New Roman"/>
          <w:sz w:val="26"/>
          <w:szCs w:val="26"/>
        </w:rPr>
        <w:t xml:space="preserve">d the Complaint against PGW with the Commission, alleging that </w:t>
      </w:r>
      <w:r w:rsidR="009F2B4D">
        <w:rPr>
          <w:rFonts w:ascii="Times New Roman" w:hAnsi="Times New Roman" w:cs="Times New Roman"/>
          <w:sz w:val="26"/>
          <w:szCs w:val="26"/>
        </w:rPr>
        <w:t>the first bill he received f</w:t>
      </w:r>
      <w:r w:rsidR="009B5B1D">
        <w:rPr>
          <w:rFonts w:ascii="Times New Roman" w:hAnsi="Times New Roman" w:cs="Times New Roman"/>
          <w:sz w:val="26"/>
          <w:szCs w:val="26"/>
        </w:rPr>
        <w:t>r</w:t>
      </w:r>
      <w:r w:rsidR="009F2B4D">
        <w:rPr>
          <w:rFonts w:ascii="Times New Roman" w:hAnsi="Times New Roman" w:cs="Times New Roman"/>
          <w:sz w:val="26"/>
          <w:szCs w:val="26"/>
        </w:rPr>
        <w:t xml:space="preserve">om PGW was in </w:t>
      </w:r>
      <w:r w:rsidR="006751D6">
        <w:rPr>
          <w:rFonts w:ascii="Times New Roman" w:hAnsi="Times New Roman" w:cs="Times New Roman"/>
          <w:sz w:val="26"/>
          <w:szCs w:val="26"/>
        </w:rPr>
        <w:t>an</w:t>
      </w:r>
      <w:r w:rsidR="009F2B4D">
        <w:rPr>
          <w:rFonts w:ascii="Times New Roman" w:hAnsi="Times New Roman" w:cs="Times New Roman"/>
          <w:sz w:val="26"/>
          <w:szCs w:val="26"/>
        </w:rPr>
        <w:t xml:space="preserve"> amount </w:t>
      </w:r>
      <w:r w:rsidR="006751D6">
        <w:rPr>
          <w:rFonts w:ascii="Times New Roman" w:hAnsi="Times New Roman" w:cs="Times New Roman"/>
          <w:sz w:val="26"/>
          <w:szCs w:val="26"/>
        </w:rPr>
        <w:t xml:space="preserve">in excess </w:t>
      </w:r>
      <w:r w:rsidR="009F2B4D">
        <w:rPr>
          <w:rFonts w:ascii="Times New Roman" w:hAnsi="Times New Roman" w:cs="Times New Roman"/>
          <w:sz w:val="26"/>
          <w:szCs w:val="26"/>
        </w:rPr>
        <w:t xml:space="preserve">of $4,000.00 and that he was unable to verify the amount owed.  </w:t>
      </w:r>
      <w:r>
        <w:rPr>
          <w:rFonts w:ascii="Times New Roman" w:hAnsi="Times New Roman" w:cs="Times New Roman"/>
          <w:sz w:val="26"/>
          <w:szCs w:val="26"/>
        </w:rPr>
        <w:t xml:space="preserve">In </w:t>
      </w:r>
      <w:r w:rsidR="006751D6">
        <w:rPr>
          <w:rFonts w:ascii="Times New Roman" w:hAnsi="Times New Roman" w:cs="Times New Roman"/>
          <w:sz w:val="26"/>
          <w:szCs w:val="26"/>
        </w:rPr>
        <w:t>his</w:t>
      </w:r>
      <w:r>
        <w:rPr>
          <w:rFonts w:ascii="Times New Roman" w:hAnsi="Times New Roman" w:cs="Times New Roman"/>
          <w:sz w:val="26"/>
          <w:szCs w:val="26"/>
        </w:rPr>
        <w:t xml:space="preserve"> </w:t>
      </w:r>
      <w:r w:rsidRPr="00A92279">
        <w:rPr>
          <w:rFonts w:ascii="Times New Roman" w:hAnsi="Times New Roman" w:cs="Times New Roman"/>
          <w:sz w:val="26"/>
          <w:szCs w:val="26"/>
        </w:rPr>
        <w:t>Complaint, M</w:t>
      </w:r>
      <w:r w:rsidR="006751D6">
        <w:rPr>
          <w:rFonts w:ascii="Times New Roman" w:hAnsi="Times New Roman" w:cs="Times New Roman"/>
          <w:sz w:val="26"/>
          <w:szCs w:val="26"/>
        </w:rPr>
        <w:t>r</w:t>
      </w:r>
      <w:r w:rsidRPr="00A92279">
        <w:rPr>
          <w:rFonts w:ascii="Times New Roman" w:hAnsi="Times New Roman" w:cs="Times New Roman"/>
          <w:sz w:val="26"/>
          <w:szCs w:val="26"/>
        </w:rPr>
        <w:t xml:space="preserve">. </w:t>
      </w:r>
      <w:proofErr w:type="spellStart"/>
      <w:r w:rsidR="006751D6">
        <w:rPr>
          <w:rFonts w:ascii="Times New Roman" w:hAnsi="Times New Roman" w:cs="Times New Roman"/>
          <w:sz w:val="26"/>
          <w:szCs w:val="26"/>
        </w:rPr>
        <w:t>Haynesworth</w:t>
      </w:r>
      <w:proofErr w:type="spellEnd"/>
      <w:r w:rsidR="006751D6">
        <w:rPr>
          <w:rFonts w:ascii="Times New Roman" w:hAnsi="Times New Roman" w:cs="Times New Roman"/>
          <w:sz w:val="26"/>
          <w:szCs w:val="26"/>
        </w:rPr>
        <w:t xml:space="preserve"> </w:t>
      </w:r>
      <w:r w:rsidRPr="00A92279">
        <w:rPr>
          <w:rFonts w:ascii="Times New Roman" w:hAnsi="Times New Roman" w:cs="Times New Roman"/>
          <w:sz w:val="26"/>
          <w:szCs w:val="26"/>
        </w:rPr>
        <w:t xml:space="preserve">averred that </w:t>
      </w:r>
      <w:r w:rsidR="006751D6">
        <w:rPr>
          <w:rFonts w:ascii="Times New Roman" w:hAnsi="Times New Roman" w:cs="Times New Roman"/>
          <w:sz w:val="26"/>
          <w:szCs w:val="26"/>
        </w:rPr>
        <w:t xml:space="preserve">prior to this, he had never received any bill from PGW. In his request for relief, the Complainant requested that PGW provide him a complete history of his service use from the Company so that he could verify the usage and amounts owed.  </w:t>
      </w: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p>
    <w:p w:rsid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On November 6, 201</w:t>
      </w:r>
      <w:r w:rsidR="006751D6">
        <w:rPr>
          <w:rFonts w:ascii="Times New Roman" w:hAnsi="Times New Roman" w:cs="Times New Roman"/>
          <w:sz w:val="26"/>
          <w:szCs w:val="26"/>
        </w:rPr>
        <w:t>3</w:t>
      </w:r>
      <w:r w:rsidRPr="00A92279">
        <w:rPr>
          <w:rFonts w:ascii="Times New Roman" w:hAnsi="Times New Roman" w:cs="Times New Roman"/>
          <w:sz w:val="26"/>
          <w:szCs w:val="26"/>
        </w:rPr>
        <w:t>, PGW filed an</w:t>
      </w:r>
      <w:r w:rsidR="00FB0607">
        <w:rPr>
          <w:rFonts w:ascii="Times New Roman" w:hAnsi="Times New Roman" w:cs="Times New Roman"/>
          <w:sz w:val="26"/>
          <w:szCs w:val="26"/>
        </w:rPr>
        <w:t xml:space="preserve"> Answer</w:t>
      </w:r>
      <w:r w:rsidRPr="00A92279">
        <w:rPr>
          <w:rFonts w:ascii="Times New Roman" w:hAnsi="Times New Roman" w:cs="Times New Roman"/>
          <w:sz w:val="26"/>
          <w:szCs w:val="26"/>
        </w:rPr>
        <w:t xml:space="preserve"> </w:t>
      </w:r>
      <w:r w:rsidR="00FB0607">
        <w:rPr>
          <w:rFonts w:ascii="Times New Roman" w:hAnsi="Times New Roman" w:cs="Times New Roman"/>
          <w:sz w:val="26"/>
          <w:szCs w:val="26"/>
        </w:rPr>
        <w:t xml:space="preserve">in which </w:t>
      </w:r>
      <w:r w:rsidR="000B52DB">
        <w:rPr>
          <w:rFonts w:ascii="Times New Roman" w:hAnsi="Times New Roman" w:cs="Times New Roman"/>
          <w:sz w:val="26"/>
          <w:szCs w:val="26"/>
        </w:rPr>
        <w:t xml:space="preserve">the Company stated that beginning July 30, 2007, the Company placed the gas service at the subject service address under a placeholder account to be billed until a new customer of record applied for service.  </w:t>
      </w:r>
      <w:r w:rsidR="004A685C">
        <w:rPr>
          <w:rFonts w:ascii="Times New Roman" w:hAnsi="Times New Roman" w:cs="Times New Roman"/>
          <w:sz w:val="26"/>
          <w:szCs w:val="26"/>
        </w:rPr>
        <w:t xml:space="preserve">PGW </w:t>
      </w:r>
      <w:r w:rsidR="000B52DB">
        <w:rPr>
          <w:rFonts w:ascii="Times New Roman" w:hAnsi="Times New Roman" w:cs="Times New Roman"/>
          <w:sz w:val="26"/>
          <w:szCs w:val="26"/>
        </w:rPr>
        <w:t xml:space="preserve">also averred </w:t>
      </w:r>
      <w:r w:rsidR="007E319E">
        <w:rPr>
          <w:rFonts w:ascii="Times New Roman" w:hAnsi="Times New Roman" w:cs="Times New Roman"/>
          <w:sz w:val="26"/>
          <w:szCs w:val="26"/>
        </w:rPr>
        <w:t xml:space="preserve">in its Answer </w:t>
      </w:r>
      <w:r w:rsidR="000B52DB">
        <w:rPr>
          <w:rFonts w:ascii="Times New Roman" w:hAnsi="Times New Roman" w:cs="Times New Roman"/>
          <w:sz w:val="26"/>
          <w:szCs w:val="26"/>
        </w:rPr>
        <w:t>that it left seventy-two hour shut off notices at the subject address on August 18, 2008</w:t>
      </w:r>
      <w:r w:rsidR="003D586D">
        <w:rPr>
          <w:rFonts w:ascii="Times New Roman" w:hAnsi="Times New Roman" w:cs="Times New Roman"/>
          <w:sz w:val="26"/>
          <w:szCs w:val="26"/>
        </w:rPr>
        <w:t>,</w:t>
      </w:r>
      <w:r w:rsidR="000B52DB">
        <w:rPr>
          <w:rFonts w:ascii="Times New Roman" w:hAnsi="Times New Roman" w:cs="Times New Roman"/>
          <w:sz w:val="26"/>
          <w:szCs w:val="26"/>
        </w:rPr>
        <w:t xml:space="preserve"> and March 6, 2013,</w:t>
      </w:r>
      <w:r w:rsidR="007E319E">
        <w:rPr>
          <w:rStyle w:val="FootnoteReference"/>
          <w:rFonts w:ascii="Times New Roman" w:hAnsi="Times New Roman" w:cs="Times New Roman"/>
          <w:sz w:val="26"/>
          <w:szCs w:val="26"/>
        </w:rPr>
        <w:footnoteReference w:id="1"/>
      </w:r>
      <w:r w:rsidR="000B52DB">
        <w:rPr>
          <w:rFonts w:ascii="Times New Roman" w:hAnsi="Times New Roman" w:cs="Times New Roman"/>
          <w:sz w:val="26"/>
          <w:szCs w:val="26"/>
        </w:rPr>
        <w:t xml:space="preserve"> and that after the Complainant contacted the Company on March 8, 2013</w:t>
      </w:r>
      <w:r w:rsidR="00AC6197">
        <w:rPr>
          <w:rFonts w:ascii="Times New Roman" w:hAnsi="Times New Roman" w:cs="Times New Roman"/>
          <w:sz w:val="26"/>
          <w:szCs w:val="26"/>
        </w:rPr>
        <w:t>,</w:t>
      </w:r>
      <w:r w:rsidR="000B52DB">
        <w:rPr>
          <w:rFonts w:ascii="Times New Roman" w:hAnsi="Times New Roman" w:cs="Times New Roman"/>
          <w:sz w:val="26"/>
          <w:szCs w:val="26"/>
        </w:rPr>
        <w:t xml:space="preserve"> to establish service, PGW issued a bill in the amount of $4,089.59.  PGW further averred that after the Complainant initiated a high bill dispute against the bill, which had been issued for service from February 2 through February 21, 2009,</w:t>
      </w:r>
      <w:r w:rsidR="00FA0537">
        <w:rPr>
          <w:rStyle w:val="FootnoteReference"/>
          <w:rFonts w:ascii="Times New Roman" w:hAnsi="Times New Roman" w:cs="Times New Roman"/>
          <w:sz w:val="26"/>
          <w:szCs w:val="26"/>
        </w:rPr>
        <w:footnoteReference w:id="2"/>
      </w:r>
      <w:r w:rsidR="000B52DB">
        <w:rPr>
          <w:rFonts w:ascii="Times New Roman" w:hAnsi="Times New Roman" w:cs="Times New Roman"/>
          <w:sz w:val="26"/>
          <w:szCs w:val="26"/>
        </w:rPr>
        <w:t xml:space="preserve"> the Company resolved to bill the Complainant for service from February 2009, the date the Company linked the Complainant to the property, through February 2013.  PGW also averred that it </w:t>
      </w:r>
      <w:r w:rsidR="00816AEA">
        <w:rPr>
          <w:rFonts w:ascii="Times New Roman" w:hAnsi="Times New Roman" w:cs="Times New Roman"/>
          <w:sz w:val="26"/>
          <w:szCs w:val="26"/>
        </w:rPr>
        <w:t xml:space="preserve">again </w:t>
      </w:r>
      <w:r w:rsidR="00816AEA">
        <w:rPr>
          <w:rFonts w:ascii="Times New Roman" w:hAnsi="Times New Roman" w:cs="Times New Roman"/>
          <w:sz w:val="26"/>
          <w:szCs w:val="26"/>
        </w:rPr>
        <w:lastRenderedPageBreak/>
        <w:t xml:space="preserve">revised its bill to the Complainant following Complainant’s interaction with the Company’s Dispute Resolution Department, and on April 18, 2013, issued the Complainant a bill for month-to-month usage from February 2, 2009 to February 21, 2013, in the amount of $4,168.49. </w:t>
      </w:r>
      <w:r w:rsidR="00AC6197">
        <w:rPr>
          <w:rFonts w:ascii="Times New Roman" w:hAnsi="Times New Roman" w:cs="Times New Roman"/>
          <w:sz w:val="26"/>
          <w:szCs w:val="26"/>
        </w:rPr>
        <w:t>PGW also averred that o</w:t>
      </w:r>
      <w:r w:rsidR="00816AEA">
        <w:rPr>
          <w:rFonts w:ascii="Times New Roman" w:hAnsi="Times New Roman" w:cs="Times New Roman"/>
          <w:sz w:val="26"/>
          <w:szCs w:val="26"/>
        </w:rPr>
        <w:t xml:space="preserve">n August 6, 2013, the Company mailed the Complainant a Statement of Account for usage from February 2009 to the </w:t>
      </w:r>
      <w:r w:rsidR="00CB4F01">
        <w:rPr>
          <w:rFonts w:ascii="Times New Roman" w:hAnsi="Times New Roman" w:cs="Times New Roman"/>
          <w:sz w:val="26"/>
          <w:szCs w:val="26"/>
        </w:rPr>
        <w:t>date of the Company’s Answer.</w:t>
      </w:r>
    </w:p>
    <w:p w:rsidR="003D586D" w:rsidRPr="00A92279" w:rsidRDefault="003D586D" w:rsidP="00A92279">
      <w:pPr>
        <w:pStyle w:val="ParaTab1"/>
        <w:tabs>
          <w:tab w:val="left" w:pos="2070"/>
        </w:tabs>
        <w:spacing w:line="360" w:lineRule="auto"/>
        <w:rPr>
          <w:rFonts w:ascii="Times New Roman" w:hAnsi="Times New Roman" w:cs="Times New Roman"/>
          <w:sz w:val="26"/>
          <w:szCs w:val="26"/>
        </w:rPr>
      </w:pPr>
    </w:p>
    <w:p w:rsidR="00A92279" w:rsidRDefault="00444E49" w:rsidP="00A92279">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ALJ </w:t>
      </w:r>
      <w:r w:rsidR="00816AEA">
        <w:rPr>
          <w:rFonts w:ascii="Times New Roman" w:hAnsi="Times New Roman" w:cs="Times New Roman"/>
          <w:sz w:val="26"/>
          <w:szCs w:val="26"/>
        </w:rPr>
        <w:t xml:space="preserve">Vero </w:t>
      </w:r>
      <w:r>
        <w:rPr>
          <w:rFonts w:ascii="Times New Roman" w:hAnsi="Times New Roman" w:cs="Times New Roman"/>
          <w:sz w:val="26"/>
          <w:szCs w:val="26"/>
        </w:rPr>
        <w:t xml:space="preserve">conducted a hearing </w:t>
      </w:r>
      <w:r w:rsidR="00A92279" w:rsidRPr="00A92279">
        <w:rPr>
          <w:rFonts w:ascii="Times New Roman" w:hAnsi="Times New Roman" w:cs="Times New Roman"/>
          <w:sz w:val="26"/>
          <w:szCs w:val="26"/>
        </w:rPr>
        <w:t xml:space="preserve">on March </w:t>
      </w:r>
      <w:r w:rsidR="00816AEA">
        <w:rPr>
          <w:rFonts w:ascii="Times New Roman" w:hAnsi="Times New Roman" w:cs="Times New Roman"/>
          <w:sz w:val="26"/>
          <w:szCs w:val="26"/>
        </w:rPr>
        <w:t>24</w:t>
      </w:r>
      <w:r w:rsidR="00A92279" w:rsidRPr="00A92279">
        <w:rPr>
          <w:rFonts w:ascii="Times New Roman" w:hAnsi="Times New Roman" w:cs="Times New Roman"/>
          <w:sz w:val="26"/>
          <w:szCs w:val="26"/>
        </w:rPr>
        <w:t>, 201</w:t>
      </w:r>
      <w:r w:rsidR="00816AEA">
        <w:rPr>
          <w:rFonts w:ascii="Times New Roman" w:hAnsi="Times New Roman" w:cs="Times New Roman"/>
          <w:sz w:val="26"/>
          <w:szCs w:val="26"/>
        </w:rPr>
        <w:t>4</w:t>
      </w:r>
      <w:r w:rsidR="00A92279" w:rsidRPr="00A92279">
        <w:rPr>
          <w:rFonts w:ascii="Times New Roman" w:hAnsi="Times New Roman" w:cs="Times New Roman"/>
          <w:sz w:val="26"/>
          <w:szCs w:val="26"/>
        </w:rPr>
        <w:t xml:space="preserve">.  </w:t>
      </w:r>
      <w:r>
        <w:rPr>
          <w:rFonts w:ascii="Times New Roman" w:hAnsi="Times New Roman" w:cs="Times New Roman"/>
          <w:sz w:val="26"/>
          <w:szCs w:val="26"/>
        </w:rPr>
        <w:t xml:space="preserve">The Complainant </w:t>
      </w:r>
      <w:r w:rsidR="00A92279" w:rsidRPr="00A92279">
        <w:rPr>
          <w:rFonts w:ascii="Times New Roman" w:hAnsi="Times New Roman" w:cs="Times New Roman"/>
          <w:sz w:val="26"/>
          <w:szCs w:val="26"/>
        </w:rPr>
        <w:t xml:space="preserve">appeared </w:t>
      </w:r>
      <w:r w:rsidR="00A92279" w:rsidRPr="00A92279">
        <w:rPr>
          <w:rFonts w:ascii="Times New Roman" w:hAnsi="Times New Roman" w:cs="Times New Roman"/>
          <w:i/>
          <w:sz w:val="26"/>
          <w:szCs w:val="26"/>
        </w:rPr>
        <w:t>pro se</w:t>
      </w:r>
      <w:r w:rsidR="00A92279" w:rsidRPr="00A92279">
        <w:rPr>
          <w:rFonts w:ascii="Times New Roman" w:hAnsi="Times New Roman" w:cs="Times New Roman"/>
          <w:sz w:val="26"/>
          <w:szCs w:val="26"/>
        </w:rPr>
        <w:t xml:space="preserve">.  </w:t>
      </w:r>
      <w:r>
        <w:rPr>
          <w:rFonts w:ascii="Times New Roman" w:hAnsi="Times New Roman" w:cs="Times New Roman"/>
          <w:sz w:val="26"/>
          <w:szCs w:val="26"/>
        </w:rPr>
        <w:t xml:space="preserve">PGW was represented by counsel and </w:t>
      </w:r>
      <w:r w:rsidR="00A92279" w:rsidRPr="00A92279">
        <w:rPr>
          <w:rFonts w:ascii="Times New Roman" w:hAnsi="Times New Roman" w:cs="Times New Roman"/>
          <w:sz w:val="26"/>
          <w:szCs w:val="26"/>
        </w:rPr>
        <w:t>presented the testimony of one witnes</w:t>
      </w:r>
      <w:r>
        <w:rPr>
          <w:rFonts w:ascii="Times New Roman" w:hAnsi="Times New Roman" w:cs="Times New Roman"/>
          <w:sz w:val="26"/>
          <w:szCs w:val="26"/>
        </w:rPr>
        <w:t>s who sponsored f</w:t>
      </w:r>
      <w:r w:rsidR="00816AEA">
        <w:rPr>
          <w:rFonts w:ascii="Times New Roman" w:hAnsi="Times New Roman" w:cs="Times New Roman"/>
          <w:sz w:val="26"/>
          <w:szCs w:val="26"/>
        </w:rPr>
        <w:t>ive</w:t>
      </w:r>
      <w:r>
        <w:rPr>
          <w:rFonts w:ascii="Times New Roman" w:hAnsi="Times New Roman" w:cs="Times New Roman"/>
          <w:sz w:val="26"/>
          <w:szCs w:val="26"/>
        </w:rPr>
        <w:t xml:space="preserve"> exhibits.  </w:t>
      </w:r>
      <w:r w:rsidR="00816AEA">
        <w:rPr>
          <w:rFonts w:ascii="Times New Roman" w:hAnsi="Times New Roman" w:cs="Times New Roman"/>
          <w:sz w:val="26"/>
          <w:szCs w:val="26"/>
        </w:rPr>
        <w:t xml:space="preserve">A late-filed sixth exhibit, prepared at the request of the ALJ, was submitted </w:t>
      </w:r>
      <w:r w:rsidR="00EC35BC">
        <w:rPr>
          <w:rFonts w:ascii="Times New Roman" w:hAnsi="Times New Roman" w:cs="Times New Roman"/>
          <w:sz w:val="26"/>
          <w:szCs w:val="26"/>
        </w:rPr>
        <w:t xml:space="preserve">by PGW </w:t>
      </w:r>
      <w:r w:rsidR="00816AEA">
        <w:rPr>
          <w:rFonts w:ascii="Times New Roman" w:hAnsi="Times New Roman" w:cs="Times New Roman"/>
          <w:sz w:val="26"/>
          <w:szCs w:val="26"/>
        </w:rPr>
        <w:t xml:space="preserve">without objection from the Complainant, and admitted into the record by the ALJ in her Initial Decision. </w:t>
      </w:r>
      <w:r>
        <w:rPr>
          <w:rFonts w:ascii="Times New Roman" w:hAnsi="Times New Roman" w:cs="Times New Roman"/>
          <w:sz w:val="26"/>
          <w:szCs w:val="26"/>
        </w:rPr>
        <w:t xml:space="preserve">The record in this proceeding consists of a </w:t>
      </w:r>
      <w:r w:rsidR="00A92279" w:rsidRPr="00A92279">
        <w:rPr>
          <w:rFonts w:ascii="Times New Roman" w:hAnsi="Times New Roman" w:cs="Times New Roman"/>
          <w:sz w:val="26"/>
          <w:szCs w:val="26"/>
        </w:rPr>
        <w:t xml:space="preserve">transcript of </w:t>
      </w:r>
      <w:r w:rsidR="00816AEA">
        <w:rPr>
          <w:rFonts w:ascii="Times New Roman" w:hAnsi="Times New Roman" w:cs="Times New Roman"/>
          <w:sz w:val="26"/>
          <w:szCs w:val="26"/>
        </w:rPr>
        <w:t>eighty-six</w:t>
      </w:r>
      <w:r w:rsidR="00A92279" w:rsidRPr="00A92279">
        <w:rPr>
          <w:rFonts w:ascii="Times New Roman" w:hAnsi="Times New Roman" w:cs="Times New Roman"/>
          <w:sz w:val="26"/>
          <w:szCs w:val="26"/>
        </w:rPr>
        <w:t xml:space="preserve"> pages </w:t>
      </w:r>
      <w:r>
        <w:rPr>
          <w:rFonts w:ascii="Times New Roman" w:hAnsi="Times New Roman" w:cs="Times New Roman"/>
          <w:sz w:val="26"/>
          <w:szCs w:val="26"/>
        </w:rPr>
        <w:t xml:space="preserve">and </w:t>
      </w:r>
      <w:r w:rsidR="00816AEA">
        <w:rPr>
          <w:rFonts w:ascii="Times New Roman" w:hAnsi="Times New Roman" w:cs="Times New Roman"/>
          <w:sz w:val="26"/>
          <w:szCs w:val="26"/>
        </w:rPr>
        <w:t>six</w:t>
      </w:r>
      <w:r>
        <w:rPr>
          <w:rFonts w:ascii="Times New Roman" w:hAnsi="Times New Roman" w:cs="Times New Roman"/>
          <w:sz w:val="26"/>
          <w:szCs w:val="26"/>
        </w:rPr>
        <w:t xml:space="preserve"> exhibits</w:t>
      </w:r>
      <w:r w:rsidR="00A92279" w:rsidRPr="00A92279">
        <w:rPr>
          <w:rFonts w:ascii="Times New Roman" w:hAnsi="Times New Roman" w:cs="Times New Roman"/>
          <w:sz w:val="26"/>
          <w:szCs w:val="26"/>
        </w:rPr>
        <w:t xml:space="preserve">.  </w:t>
      </w:r>
      <w:r w:rsidR="00816AEA">
        <w:rPr>
          <w:rFonts w:ascii="Times New Roman" w:hAnsi="Times New Roman" w:cs="Times New Roman"/>
          <w:sz w:val="26"/>
          <w:szCs w:val="26"/>
        </w:rPr>
        <w:t>With the exception of the</w:t>
      </w:r>
      <w:r w:rsidR="003D586D">
        <w:rPr>
          <w:rFonts w:ascii="Times New Roman" w:hAnsi="Times New Roman" w:cs="Times New Roman"/>
          <w:sz w:val="26"/>
          <w:szCs w:val="26"/>
        </w:rPr>
        <w:t xml:space="preserve"> later admission of the</w:t>
      </w:r>
      <w:r w:rsidR="00816AEA">
        <w:rPr>
          <w:rFonts w:ascii="Times New Roman" w:hAnsi="Times New Roman" w:cs="Times New Roman"/>
          <w:sz w:val="26"/>
          <w:szCs w:val="26"/>
        </w:rPr>
        <w:t xml:space="preserve"> sixth exhibit, t</w:t>
      </w:r>
      <w:r w:rsidR="00A92279" w:rsidRPr="00A92279">
        <w:rPr>
          <w:rFonts w:ascii="Times New Roman" w:hAnsi="Times New Roman" w:cs="Times New Roman"/>
          <w:sz w:val="26"/>
          <w:szCs w:val="26"/>
        </w:rPr>
        <w:t xml:space="preserve">he record </w:t>
      </w:r>
      <w:r>
        <w:rPr>
          <w:rFonts w:ascii="Times New Roman" w:hAnsi="Times New Roman" w:cs="Times New Roman"/>
          <w:sz w:val="26"/>
          <w:szCs w:val="26"/>
        </w:rPr>
        <w:t xml:space="preserve">was </w:t>
      </w:r>
      <w:r w:rsidR="00A92279" w:rsidRPr="00A92279">
        <w:rPr>
          <w:rFonts w:ascii="Times New Roman" w:hAnsi="Times New Roman" w:cs="Times New Roman"/>
          <w:sz w:val="26"/>
          <w:szCs w:val="26"/>
        </w:rPr>
        <w:t xml:space="preserve">closed on April </w:t>
      </w:r>
      <w:r w:rsidR="00816AEA">
        <w:rPr>
          <w:rFonts w:ascii="Times New Roman" w:hAnsi="Times New Roman" w:cs="Times New Roman"/>
          <w:sz w:val="26"/>
          <w:szCs w:val="26"/>
        </w:rPr>
        <w:t>24</w:t>
      </w:r>
      <w:r w:rsidR="00A92279" w:rsidRPr="00A92279">
        <w:rPr>
          <w:rFonts w:ascii="Times New Roman" w:hAnsi="Times New Roman" w:cs="Times New Roman"/>
          <w:sz w:val="26"/>
          <w:szCs w:val="26"/>
        </w:rPr>
        <w:t>, 201</w:t>
      </w:r>
      <w:r w:rsidR="00816AEA">
        <w:rPr>
          <w:rFonts w:ascii="Times New Roman" w:hAnsi="Times New Roman" w:cs="Times New Roman"/>
          <w:sz w:val="26"/>
          <w:szCs w:val="26"/>
        </w:rPr>
        <w:t>4</w:t>
      </w:r>
      <w:r w:rsidR="00A92279" w:rsidRPr="00A92279">
        <w:rPr>
          <w:rFonts w:ascii="Times New Roman" w:hAnsi="Times New Roman" w:cs="Times New Roman"/>
          <w:sz w:val="26"/>
          <w:szCs w:val="26"/>
        </w:rPr>
        <w:t>.</w:t>
      </w:r>
    </w:p>
    <w:p w:rsidR="00853A24" w:rsidRDefault="00853A24" w:rsidP="00A92279">
      <w:pPr>
        <w:pStyle w:val="ParaTab1"/>
        <w:tabs>
          <w:tab w:val="left" w:pos="2070"/>
        </w:tabs>
        <w:spacing w:line="360" w:lineRule="auto"/>
        <w:rPr>
          <w:rFonts w:ascii="Times New Roman" w:hAnsi="Times New Roman" w:cs="Times New Roman"/>
          <w:sz w:val="26"/>
          <w:szCs w:val="26"/>
        </w:rPr>
      </w:pPr>
    </w:p>
    <w:p w:rsidR="00853A24" w:rsidRDefault="00853A24" w:rsidP="00A92279">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On </w:t>
      </w:r>
      <w:r w:rsidR="00816AEA">
        <w:rPr>
          <w:rFonts w:ascii="Times New Roman" w:hAnsi="Times New Roman" w:cs="Times New Roman"/>
          <w:sz w:val="26"/>
          <w:szCs w:val="26"/>
        </w:rPr>
        <w:t>August 6</w:t>
      </w:r>
      <w:r>
        <w:rPr>
          <w:rFonts w:ascii="Times New Roman" w:hAnsi="Times New Roman" w:cs="Times New Roman"/>
          <w:sz w:val="26"/>
          <w:szCs w:val="26"/>
        </w:rPr>
        <w:t>, 201</w:t>
      </w:r>
      <w:r w:rsidR="00816AEA">
        <w:rPr>
          <w:rFonts w:ascii="Times New Roman" w:hAnsi="Times New Roman" w:cs="Times New Roman"/>
          <w:sz w:val="26"/>
          <w:szCs w:val="26"/>
        </w:rPr>
        <w:t>4</w:t>
      </w:r>
      <w:r>
        <w:rPr>
          <w:rFonts w:ascii="Times New Roman" w:hAnsi="Times New Roman" w:cs="Times New Roman"/>
          <w:sz w:val="26"/>
          <w:szCs w:val="26"/>
        </w:rPr>
        <w:t xml:space="preserve">, the ALJ’s Initial Decision was issued.  The ALJ </w:t>
      </w:r>
      <w:r w:rsidR="00816AEA">
        <w:rPr>
          <w:rFonts w:ascii="Times New Roman" w:hAnsi="Times New Roman" w:cs="Times New Roman"/>
          <w:sz w:val="26"/>
          <w:szCs w:val="26"/>
        </w:rPr>
        <w:t xml:space="preserve">denied in part and granted in part </w:t>
      </w:r>
      <w:r>
        <w:rPr>
          <w:rFonts w:ascii="Times New Roman" w:hAnsi="Times New Roman" w:cs="Times New Roman"/>
          <w:sz w:val="26"/>
          <w:szCs w:val="26"/>
        </w:rPr>
        <w:t>the Complaint</w:t>
      </w:r>
      <w:r w:rsidR="00262398">
        <w:rPr>
          <w:rFonts w:ascii="Times New Roman" w:hAnsi="Times New Roman" w:cs="Times New Roman"/>
          <w:sz w:val="26"/>
          <w:szCs w:val="26"/>
        </w:rPr>
        <w:t xml:space="preserve">. The ALJ denied Mr. </w:t>
      </w:r>
      <w:proofErr w:type="spellStart"/>
      <w:r w:rsidR="00262398">
        <w:rPr>
          <w:rFonts w:ascii="Times New Roman" w:hAnsi="Times New Roman" w:cs="Times New Roman"/>
          <w:sz w:val="26"/>
          <w:szCs w:val="26"/>
        </w:rPr>
        <w:t>Haynesworth’s</w:t>
      </w:r>
      <w:proofErr w:type="spellEnd"/>
      <w:r w:rsidR="00262398">
        <w:rPr>
          <w:rFonts w:ascii="Times New Roman" w:hAnsi="Times New Roman" w:cs="Times New Roman"/>
          <w:sz w:val="26"/>
          <w:szCs w:val="26"/>
        </w:rPr>
        <w:t xml:space="preserve"> request for a payment arrangement, found that the bill as rendered was accurate, and found that PGW did not provide unreasonable service in failing to notify the Complainant of his responsibility to place gas service in his name.  The ALJ granted Mr.</w:t>
      </w:r>
      <w:r w:rsidR="005E4D41">
        <w:rPr>
          <w:rFonts w:ascii="Times New Roman" w:hAnsi="Times New Roman" w:cs="Times New Roman"/>
          <w:sz w:val="26"/>
          <w:szCs w:val="26"/>
        </w:rPr>
        <w:t> </w:t>
      </w:r>
      <w:proofErr w:type="spellStart"/>
      <w:r w:rsidR="00262398">
        <w:rPr>
          <w:rFonts w:ascii="Times New Roman" w:hAnsi="Times New Roman" w:cs="Times New Roman"/>
          <w:sz w:val="26"/>
          <w:szCs w:val="26"/>
        </w:rPr>
        <w:t>Haynesworth’s</w:t>
      </w:r>
      <w:proofErr w:type="spellEnd"/>
      <w:r w:rsidR="00262398">
        <w:rPr>
          <w:rFonts w:ascii="Times New Roman" w:hAnsi="Times New Roman" w:cs="Times New Roman"/>
          <w:sz w:val="26"/>
          <w:szCs w:val="26"/>
        </w:rPr>
        <w:t xml:space="preserve"> claim that PGW provided inadequate and unreasonable service when it failed to issue monthly bills for service after </w:t>
      </w:r>
      <w:r w:rsidR="00AC6197">
        <w:rPr>
          <w:rFonts w:ascii="Times New Roman" w:hAnsi="Times New Roman" w:cs="Times New Roman"/>
          <w:sz w:val="26"/>
          <w:szCs w:val="26"/>
        </w:rPr>
        <w:t xml:space="preserve">it was aware </w:t>
      </w:r>
      <w:r w:rsidR="00262398">
        <w:rPr>
          <w:rFonts w:ascii="Times New Roman" w:hAnsi="Times New Roman" w:cs="Times New Roman"/>
          <w:sz w:val="26"/>
          <w:szCs w:val="26"/>
        </w:rPr>
        <w:t xml:space="preserve">Mr. </w:t>
      </w:r>
      <w:proofErr w:type="spellStart"/>
      <w:r w:rsidR="00262398">
        <w:rPr>
          <w:rFonts w:ascii="Times New Roman" w:hAnsi="Times New Roman" w:cs="Times New Roman"/>
          <w:sz w:val="26"/>
          <w:szCs w:val="26"/>
        </w:rPr>
        <w:t>Haynesworth</w:t>
      </w:r>
      <w:proofErr w:type="spellEnd"/>
      <w:r w:rsidR="00262398">
        <w:rPr>
          <w:rFonts w:ascii="Times New Roman" w:hAnsi="Times New Roman" w:cs="Times New Roman"/>
          <w:sz w:val="26"/>
          <w:szCs w:val="26"/>
        </w:rPr>
        <w:t xml:space="preserve"> </w:t>
      </w:r>
      <w:r w:rsidR="00AC6197">
        <w:rPr>
          <w:rFonts w:ascii="Times New Roman" w:hAnsi="Times New Roman" w:cs="Times New Roman"/>
          <w:sz w:val="26"/>
          <w:szCs w:val="26"/>
        </w:rPr>
        <w:t>was</w:t>
      </w:r>
      <w:r w:rsidR="00262398">
        <w:rPr>
          <w:rFonts w:ascii="Times New Roman" w:hAnsi="Times New Roman" w:cs="Times New Roman"/>
          <w:sz w:val="26"/>
          <w:szCs w:val="26"/>
        </w:rPr>
        <w:t xml:space="preserve"> a customer. The ALJ also found that PGW should be assessed a civil penalty in the amount of $200.00 and should cease and desist from further violations of the Public Utility Code and the Commission’s Regulations. </w:t>
      </w:r>
      <w:r w:rsidR="009B5B1D">
        <w:rPr>
          <w:rFonts w:ascii="Times New Roman" w:hAnsi="Times New Roman" w:cs="Times New Roman"/>
          <w:sz w:val="26"/>
          <w:szCs w:val="26"/>
        </w:rPr>
        <w:t>No E</w:t>
      </w:r>
      <w:r>
        <w:rPr>
          <w:rFonts w:ascii="Times New Roman" w:hAnsi="Times New Roman" w:cs="Times New Roman"/>
          <w:sz w:val="26"/>
          <w:szCs w:val="26"/>
        </w:rPr>
        <w:t>xceptions were filed.</w:t>
      </w:r>
    </w:p>
    <w:p w:rsidR="00E066C3" w:rsidRDefault="00E066C3" w:rsidP="00A92279">
      <w:pPr>
        <w:pStyle w:val="ParaTab1"/>
        <w:tabs>
          <w:tab w:val="left" w:pos="2070"/>
        </w:tabs>
        <w:spacing w:line="360" w:lineRule="auto"/>
        <w:rPr>
          <w:rFonts w:ascii="Times New Roman" w:hAnsi="Times New Roman" w:cs="Times New Roman"/>
          <w:sz w:val="26"/>
          <w:szCs w:val="26"/>
        </w:rPr>
      </w:pPr>
    </w:p>
    <w:bookmarkEnd w:id="0"/>
    <w:bookmarkEnd w:id="1"/>
    <w:p w:rsidR="00DA335A" w:rsidRDefault="00B11F02" w:rsidP="00CD3D12">
      <w:pPr>
        <w:keepNext/>
        <w:spacing w:line="360" w:lineRule="auto"/>
        <w:jc w:val="center"/>
        <w:rPr>
          <w:b/>
        </w:rPr>
      </w:pPr>
      <w:r>
        <w:rPr>
          <w:b/>
        </w:rPr>
        <w:lastRenderedPageBreak/>
        <w:t>Background</w:t>
      </w:r>
    </w:p>
    <w:p w:rsidR="00361784" w:rsidRDefault="00361784" w:rsidP="00CD3D12">
      <w:pPr>
        <w:keepNext/>
        <w:spacing w:line="360" w:lineRule="auto"/>
        <w:jc w:val="center"/>
        <w:rPr>
          <w:b/>
        </w:rPr>
      </w:pPr>
    </w:p>
    <w:p w:rsidR="006324A2" w:rsidRDefault="00361784" w:rsidP="00CD3D12">
      <w:pPr>
        <w:keepNext/>
        <w:spacing w:line="360" w:lineRule="auto"/>
      </w:pPr>
      <w:r>
        <w:tab/>
      </w:r>
      <w:r>
        <w:tab/>
      </w:r>
      <w:r w:rsidR="006324A2">
        <w:t xml:space="preserve">Following </w:t>
      </w:r>
      <w:r w:rsidR="00AC6197">
        <w:t xml:space="preserve">the July 30, 2007 </w:t>
      </w:r>
      <w:r w:rsidR="006324A2">
        <w:t xml:space="preserve">contact from the </w:t>
      </w:r>
      <w:r w:rsidR="005E4D41">
        <w:t xml:space="preserve">prior tenant </w:t>
      </w:r>
      <w:r w:rsidR="009B5B1D">
        <w:t xml:space="preserve">at the service address </w:t>
      </w:r>
      <w:r w:rsidR="005E4D41">
        <w:t>to request discontinuance of service in her name, PGW performed a “soft off” of the account. A “soft off” allows the Company to transfer service to the address to a PGW account in lieu of conducting an actual physical shut off</w:t>
      </w:r>
      <w:r w:rsidR="00DD07CC">
        <w:t xml:space="preserve"> between tenancies</w:t>
      </w:r>
      <w:r w:rsidR="005E4D41">
        <w:t>.</w:t>
      </w:r>
      <w:r>
        <w:t xml:space="preserve">  Finding</w:t>
      </w:r>
      <w:r w:rsidR="00496849">
        <w:t>s</w:t>
      </w:r>
      <w:r>
        <w:t xml:space="preserve"> of Fact (FOF) Nos. 3</w:t>
      </w:r>
      <w:r w:rsidR="005E4D41">
        <w:t>-6</w:t>
      </w:r>
      <w:r>
        <w:t xml:space="preserve">.  </w:t>
      </w:r>
      <w:r w:rsidR="009B5B1D" w:rsidRPr="009B5B1D">
        <w:t xml:space="preserve">Mr. </w:t>
      </w:r>
      <w:proofErr w:type="spellStart"/>
      <w:r w:rsidR="009B5B1D" w:rsidRPr="009B5B1D">
        <w:t>Haynesworth</w:t>
      </w:r>
      <w:proofErr w:type="spellEnd"/>
      <w:r w:rsidR="009B5B1D" w:rsidRPr="009B5B1D">
        <w:t xml:space="preserve"> became a tenant at the service address in the fall of 2008, and took gas service there from PGW through November 30, 2013.  </w:t>
      </w:r>
    </w:p>
    <w:p w:rsidR="006324A2" w:rsidRDefault="006324A2" w:rsidP="00361784">
      <w:pPr>
        <w:spacing w:line="360" w:lineRule="auto"/>
      </w:pPr>
    </w:p>
    <w:p w:rsidR="009A5C98" w:rsidRDefault="006324A2" w:rsidP="006324A2">
      <w:pPr>
        <w:tabs>
          <w:tab w:val="left" w:pos="1440"/>
        </w:tabs>
        <w:spacing w:line="360" w:lineRule="auto"/>
        <w:ind w:firstLine="720"/>
      </w:pPr>
      <w:r>
        <w:tab/>
      </w:r>
      <w:r w:rsidR="005E4D41">
        <w:t xml:space="preserve">On August 18, 2008, PGW sent a “Dear Occupant” letter to the service address requesting that the current occupant apply for gas service under the occupant’s name. A PGW employee </w:t>
      </w:r>
      <w:r>
        <w:t>also visited</w:t>
      </w:r>
      <w:r w:rsidR="005E4D41">
        <w:t xml:space="preserve"> the premises </w:t>
      </w:r>
      <w:r>
        <w:t xml:space="preserve">on </w:t>
      </w:r>
      <w:r w:rsidR="009B5B1D">
        <w:t xml:space="preserve">the following </w:t>
      </w:r>
      <w:r>
        <w:t xml:space="preserve">six occasions to </w:t>
      </w:r>
      <w:r w:rsidRPr="006324A2">
        <w:t>leave a seventy-two hour termination notice</w:t>
      </w:r>
      <w:r>
        <w:t xml:space="preserve">: </w:t>
      </w:r>
      <w:r w:rsidR="005E4D41">
        <w:t>April 2</w:t>
      </w:r>
      <w:r w:rsidR="007E600D">
        <w:t>6</w:t>
      </w:r>
      <w:r w:rsidR="005E4D41">
        <w:t>, 2011</w:t>
      </w:r>
      <w:r w:rsidR="00CF54CC">
        <w:t>;</w:t>
      </w:r>
      <w:r w:rsidR="007E600D">
        <w:rPr>
          <w:rStyle w:val="FootnoteReference"/>
        </w:rPr>
        <w:footnoteReference w:id="3"/>
      </w:r>
      <w:r w:rsidR="005E4D41">
        <w:t xml:space="preserve"> July</w:t>
      </w:r>
      <w:r>
        <w:t> </w:t>
      </w:r>
      <w:r w:rsidR="005E4D41">
        <w:t>18, 2011</w:t>
      </w:r>
      <w:r w:rsidR="00CF54CC">
        <w:t>;</w:t>
      </w:r>
      <w:r w:rsidR="005E4D41">
        <w:t xml:space="preserve"> </w:t>
      </w:r>
      <w:r>
        <w:t>April 8, 2012</w:t>
      </w:r>
      <w:r w:rsidR="00CF54CC">
        <w:t>;</w:t>
      </w:r>
      <w:r>
        <w:t xml:space="preserve"> August 4, 2012</w:t>
      </w:r>
      <w:r w:rsidR="00CF54CC">
        <w:t>;</w:t>
      </w:r>
      <w:r>
        <w:t xml:space="preserve"> October 3, 2012</w:t>
      </w:r>
      <w:r w:rsidR="00CF54CC">
        <w:t>;</w:t>
      </w:r>
      <w:r>
        <w:t xml:space="preserve"> and finally on March 6, 2013. FOF Nos. 7-14. </w:t>
      </w:r>
    </w:p>
    <w:p w:rsidR="009A5C98" w:rsidRDefault="009A5C98" w:rsidP="006324A2">
      <w:pPr>
        <w:tabs>
          <w:tab w:val="left" w:pos="1440"/>
        </w:tabs>
        <w:spacing w:line="360" w:lineRule="auto"/>
        <w:ind w:firstLine="720"/>
      </w:pPr>
    </w:p>
    <w:p w:rsidR="003C1EA2" w:rsidRDefault="009A5C98" w:rsidP="006324A2">
      <w:pPr>
        <w:tabs>
          <w:tab w:val="left" w:pos="1440"/>
        </w:tabs>
        <w:spacing w:line="360" w:lineRule="auto"/>
        <w:ind w:firstLine="720"/>
      </w:pPr>
      <w:r>
        <w:tab/>
      </w:r>
      <w:r w:rsidR="009B5B1D">
        <w:t>On March 8, 201</w:t>
      </w:r>
      <w:r w:rsidR="00384096">
        <w:t>3</w:t>
      </w:r>
      <w:r w:rsidR="009B5B1D">
        <w:t>, f</w:t>
      </w:r>
      <w:r w:rsidR="006324A2">
        <w:t>ollowing PGW’s sixth termination notice</w:t>
      </w:r>
      <w:r w:rsidR="009B5B1D">
        <w:t xml:space="preserve"> on March 6, 201</w:t>
      </w:r>
      <w:r w:rsidR="00384096">
        <w:t>3</w:t>
      </w:r>
      <w:r w:rsidR="009B5B1D">
        <w:t>,</w:t>
      </w:r>
      <w:r w:rsidR="006324A2">
        <w:t xml:space="preserve"> t</w:t>
      </w:r>
      <w:r w:rsidR="003C1EA2">
        <w:t xml:space="preserve">he Complainant </w:t>
      </w:r>
      <w:r w:rsidR="006324A2">
        <w:t>contacted PGW</w:t>
      </w:r>
      <w:r>
        <w:t xml:space="preserve"> </w:t>
      </w:r>
      <w:r w:rsidR="009B5B1D">
        <w:t>t</w:t>
      </w:r>
      <w:r w:rsidR="006324A2">
        <w:t xml:space="preserve">o have service placed in his name. On </w:t>
      </w:r>
      <w:r>
        <w:t>that same date</w:t>
      </w:r>
      <w:r w:rsidR="006324A2">
        <w:t xml:space="preserve">, PGW issued a makeup bill for the service address, now in Mr. </w:t>
      </w:r>
      <w:proofErr w:type="spellStart"/>
      <w:r w:rsidR="006324A2">
        <w:t>Haynesworth’s</w:t>
      </w:r>
      <w:proofErr w:type="spellEnd"/>
      <w:r w:rsidR="006324A2">
        <w:t xml:space="preserve"> name, in the amount of $4,089.59, for service from February 2, 2009, through February 21, 2013.</w:t>
      </w:r>
      <w:r w:rsidR="003C1EA2">
        <w:t xml:space="preserve">  </w:t>
      </w:r>
      <w:r w:rsidR="006324A2">
        <w:t xml:space="preserve">After Mr. </w:t>
      </w:r>
      <w:proofErr w:type="spellStart"/>
      <w:r w:rsidR="006324A2">
        <w:t>Haynesworth</w:t>
      </w:r>
      <w:proofErr w:type="spellEnd"/>
      <w:r w:rsidR="006324A2">
        <w:t xml:space="preserve"> disputed the bill, the Company rebilled the Complainant on a month-to-month basis</w:t>
      </w:r>
      <w:r>
        <w:t>,</w:t>
      </w:r>
      <w:r w:rsidR="006324A2">
        <w:t xml:space="preserve"> from February 2009 to April 2013</w:t>
      </w:r>
      <w:r>
        <w:t>,</w:t>
      </w:r>
      <w:r w:rsidR="006324A2">
        <w:t xml:space="preserve"> based on actual meter readings. </w:t>
      </w:r>
      <w:r>
        <w:t xml:space="preserve">The Company also offered the Complainant a four-year payment arrangement. </w:t>
      </w:r>
      <w:r w:rsidR="006324A2">
        <w:t xml:space="preserve">In this time period, the Company also replaced and had tested the meter serving the account, which it found to be </w:t>
      </w:r>
      <w:r w:rsidR="00384096">
        <w:t xml:space="preserve">in </w:t>
      </w:r>
      <w:r>
        <w:t xml:space="preserve">proper working order. FOF Nos. 16-26; I.D. at 9-10. </w:t>
      </w:r>
    </w:p>
    <w:p w:rsidR="00E073EE" w:rsidRDefault="009A5C98" w:rsidP="006324A2">
      <w:pPr>
        <w:tabs>
          <w:tab w:val="left" w:pos="1440"/>
        </w:tabs>
        <w:spacing w:line="360" w:lineRule="auto"/>
        <w:ind w:firstLine="720"/>
      </w:pPr>
      <w:r>
        <w:lastRenderedPageBreak/>
        <w:tab/>
        <w:t xml:space="preserve">On April 18, 2013, the Company ordered that all bills to the Complainant be “intercepted,” meaning they were not delivered to the Complainant. Although an April 19, 2013 informal complaint to the Commission’s Bureau of Consumer Services was dismissed, as a result of a request from a BCS investigator, the Company on August 6, 2013 again sent a month-to-month breakdown of the Complainant’s statement of account based on actual meter readings. </w:t>
      </w:r>
      <w:r w:rsidR="00E073EE">
        <w:t>FOF Nos. 29-33.</w:t>
      </w:r>
    </w:p>
    <w:p w:rsidR="00E073EE" w:rsidRDefault="00E073EE" w:rsidP="006324A2">
      <w:pPr>
        <w:tabs>
          <w:tab w:val="left" w:pos="1440"/>
        </w:tabs>
        <w:spacing w:line="360" w:lineRule="auto"/>
        <w:ind w:firstLine="720"/>
      </w:pPr>
    </w:p>
    <w:p w:rsidR="009A5C98" w:rsidRDefault="00E073EE" w:rsidP="006324A2">
      <w:pPr>
        <w:tabs>
          <w:tab w:val="left" w:pos="1440"/>
        </w:tabs>
        <w:spacing w:line="360" w:lineRule="auto"/>
        <w:ind w:firstLine="720"/>
      </w:pPr>
      <w:r>
        <w:tab/>
        <w:t xml:space="preserve">On October 1, 2013, the Complainant advised the Company that he was no longer receiving bills for service to his premises. Around November 4, 2013, PGW discovered the “interception” order placed on the Complainant’s account, and sent the missing bills to the Complainant, with late payment charges waived. Mr. </w:t>
      </w:r>
      <w:proofErr w:type="spellStart"/>
      <w:r>
        <w:t>Haynesworth</w:t>
      </w:r>
      <w:proofErr w:type="spellEnd"/>
      <w:r>
        <w:t xml:space="preserve"> moved from the service address on November 30, 2013, and gas service to his address was terminated at his request on December 5, 2013. The Complainant’s final bill was issued on December 6, 2013, due January 3, 2014. Mr. </w:t>
      </w:r>
      <w:proofErr w:type="spellStart"/>
      <w:r>
        <w:t>Haynesworth’s</w:t>
      </w:r>
      <w:proofErr w:type="spellEnd"/>
      <w:r>
        <w:t xml:space="preserve"> outstanding bill from PGW is in the amount of $4,423.70. </w:t>
      </w:r>
    </w:p>
    <w:p w:rsidR="003C1EA2" w:rsidRDefault="003C1EA2" w:rsidP="00361784">
      <w:pPr>
        <w:spacing w:line="360" w:lineRule="auto"/>
      </w:pPr>
    </w:p>
    <w:p w:rsidR="00EB6BF9" w:rsidRPr="00117773" w:rsidRDefault="00EB6BF9" w:rsidP="00291E4F">
      <w:pPr>
        <w:keepNext/>
        <w:spacing w:line="360" w:lineRule="auto"/>
        <w:jc w:val="center"/>
      </w:pPr>
      <w:r w:rsidRPr="00117773">
        <w:rPr>
          <w:b/>
        </w:rPr>
        <w:t>Discussion</w:t>
      </w:r>
    </w:p>
    <w:p w:rsidR="008A7896" w:rsidRDefault="008A7896" w:rsidP="00FD1DAD">
      <w:pPr>
        <w:spacing w:line="360" w:lineRule="auto"/>
        <w:rPr>
          <w:szCs w:val="26"/>
        </w:rPr>
      </w:pPr>
    </w:p>
    <w:p w:rsidR="00414697" w:rsidRDefault="00414697" w:rsidP="00CF417A">
      <w:pPr>
        <w:spacing w:line="360" w:lineRule="auto"/>
        <w:ind w:firstLine="1440"/>
      </w:pPr>
      <w:r w:rsidRPr="008F0B41">
        <w:rPr>
          <w:szCs w:val="26"/>
        </w:rPr>
        <w:t>As the proponent of a rule or order, the Complainant</w:t>
      </w:r>
      <w:r>
        <w:rPr>
          <w:szCs w:val="26"/>
        </w:rPr>
        <w:t xml:space="preserve"> in this proceeding bears</w:t>
      </w:r>
      <w:r w:rsidRPr="008F0B41">
        <w:rPr>
          <w:szCs w:val="26"/>
        </w:rPr>
        <w:t xml:space="preserve"> the burden of </w:t>
      </w:r>
      <w:r>
        <w:rPr>
          <w:szCs w:val="26"/>
        </w:rPr>
        <w:t>p</w:t>
      </w:r>
      <w:r w:rsidRPr="008F0B41">
        <w:rPr>
          <w:szCs w:val="26"/>
        </w:rPr>
        <w:t>roof pursuant to Section 332(a) of</w:t>
      </w:r>
      <w:r>
        <w:rPr>
          <w:szCs w:val="26"/>
        </w:rPr>
        <w:t xml:space="preserve"> the Code. </w:t>
      </w:r>
      <w:r w:rsidRPr="008F0B41">
        <w:rPr>
          <w:szCs w:val="26"/>
        </w:rPr>
        <w:t xml:space="preserve"> 66 Pa. C.S. § 332(a).  </w:t>
      </w:r>
      <w:r>
        <w:rPr>
          <w:szCs w:val="26"/>
        </w:rPr>
        <w:t>To establish a sufficient case and satisfy the b</w:t>
      </w:r>
      <w:r w:rsidR="0010246C">
        <w:rPr>
          <w:szCs w:val="26"/>
        </w:rPr>
        <w:t>urden of proof, the Complainant</w:t>
      </w:r>
      <w:r>
        <w:rPr>
          <w:szCs w:val="26"/>
        </w:rPr>
        <w:t xml:space="preserve"> must show that the Company is responsible or accountable for the problem described in the Complaint.  </w:t>
      </w:r>
      <w:r w:rsidRPr="00122405">
        <w:rPr>
          <w:i/>
          <w:szCs w:val="26"/>
        </w:rPr>
        <w:t xml:space="preserve">Patterson v. </w:t>
      </w:r>
      <w:r w:rsidR="005C07D8">
        <w:rPr>
          <w:i/>
          <w:szCs w:val="26"/>
        </w:rPr>
        <w:t xml:space="preserve">The </w:t>
      </w:r>
      <w:r w:rsidRPr="00122405">
        <w:rPr>
          <w:i/>
          <w:szCs w:val="26"/>
        </w:rPr>
        <w:t>Bell Telephone Company of Pennsylvania</w:t>
      </w:r>
      <w:r>
        <w:rPr>
          <w:szCs w:val="26"/>
        </w:rPr>
        <w:t xml:space="preserve">, 72 Pa. P.U.C. 196 (1990).  Such a showing must be by a preponderance of the evidence.  </w:t>
      </w:r>
      <w:r w:rsidRPr="008F0B41">
        <w:rPr>
          <w:i/>
          <w:iCs/>
          <w:szCs w:val="26"/>
        </w:rPr>
        <w:t xml:space="preserve">Samuel J. </w:t>
      </w:r>
      <w:proofErr w:type="spellStart"/>
      <w:r w:rsidRPr="008F0B41">
        <w:rPr>
          <w:i/>
          <w:iCs/>
          <w:szCs w:val="26"/>
        </w:rPr>
        <w:t>Lansberry</w:t>
      </w:r>
      <w:proofErr w:type="spellEnd"/>
      <w:r w:rsidRPr="008F0B41">
        <w:rPr>
          <w:i/>
          <w:iCs/>
          <w:szCs w:val="26"/>
        </w:rPr>
        <w:t>, Inc. v. P</w:t>
      </w:r>
      <w:r>
        <w:rPr>
          <w:i/>
          <w:iCs/>
          <w:szCs w:val="26"/>
        </w:rPr>
        <w:t>a. PUC</w:t>
      </w:r>
      <w:r w:rsidRPr="008F0B41">
        <w:rPr>
          <w:szCs w:val="26"/>
        </w:rPr>
        <w:t xml:space="preserve">, 578 A.2d 600 (Pa. </w:t>
      </w:r>
      <w:proofErr w:type="spellStart"/>
      <w:r w:rsidRPr="008F0B41">
        <w:rPr>
          <w:szCs w:val="26"/>
        </w:rPr>
        <w:t>C</w:t>
      </w:r>
      <w:r>
        <w:rPr>
          <w:szCs w:val="26"/>
        </w:rPr>
        <w:t>m</w:t>
      </w:r>
      <w:r w:rsidRPr="008F0B41">
        <w:rPr>
          <w:szCs w:val="26"/>
        </w:rPr>
        <w:t>w</w:t>
      </w:r>
      <w:r>
        <w:rPr>
          <w:szCs w:val="26"/>
        </w:rPr>
        <w:t>lth</w:t>
      </w:r>
      <w:proofErr w:type="spellEnd"/>
      <w:r w:rsidRPr="008F0B41">
        <w:rPr>
          <w:szCs w:val="26"/>
        </w:rPr>
        <w:t>. 1990)</w:t>
      </w:r>
      <w:r w:rsidR="005B6109">
        <w:rPr>
          <w:szCs w:val="26"/>
        </w:rPr>
        <w:t xml:space="preserve">, </w:t>
      </w:r>
      <w:proofErr w:type="spellStart"/>
      <w:r w:rsidR="005B6109" w:rsidRPr="005B6109">
        <w:rPr>
          <w:i/>
          <w:szCs w:val="26"/>
        </w:rPr>
        <w:t>alloc</w:t>
      </w:r>
      <w:proofErr w:type="spellEnd"/>
      <w:r w:rsidR="005B6109" w:rsidRPr="005B6109">
        <w:rPr>
          <w:i/>
          <w:szCs w:val="26"/>
        </w:rPr>
        <w:t>. denied</w:t>
      </w:r>
      <w:r w:rsidR="005B6109">
        <w:rPr>
          <w:i/>
          <w:szCs w:val="26"/>
        </w:rPr>
        <w:t>,</w:t>
      </w:r>
      <w:r w:rsidR="005B6109">
        <w:rPr>
          <w:szCs w:val="26"/>
        </w:rPr>
        <w:t xml:space="preserve"> 529 Pa. 654, 602 A.2d 863 (1992)</w:t>
      </w:r>
      <w:r w:rsidRPr="008F0B41">
        <w:rPr>
          <w:szCs w:val="26"/>
        </w:rPr>
        <w:t xml:space="preserve">.  </w:t>
      </w:r>
      <w:r>
        <w:rPr>
          <w:szCs w:val="26"/>
        </w:rPr>
        <w:t>That is, the Complainant’</w:t>
      </w:r>
      <w:r w:rsidR="0010246C">
        <w:rPr>
          <w:szCs w:val="26"/>
        </w:rPr>
        <w:t>s</w:t>
      </w:r>
      <w:r>
        <w:rPr>
          <w:szCs w:val="26"/>
        </w:rPr>
        <w:t xml:space="preserve"> evidence must be more convincing, by even the smallest amount, than that presented by the Company.  </w:t>
      </w:r>
      <w:r>
        <w:rPr>
          <w:i/>
          <w:szCs w:val="26"/>
        </w:rPr>
        <w:t>Se-Ling Hosiery</w:t>
      </w:r>
      <w:r w:rsidR="005C07D8">
        <w:rPr>
          <w:i/>
          <w:szCs w:val="26"/>
        </w:rPr>
        <w:t>, Inc.</w:t>
      </w:r>
      <w:r>
        <w:rPr>
          <w:i/>
          <w:szCs w:val="26"/>
        </w:rPr>
        <w:t xml:space="preserve"> v. </w:t>
      </w:r>
      <w:r w:rsidRPr="00122405">
        <w:rPr>
          <w:i/>
          <w:szCs w:val="26"/>
        </w:rPr>
        <w:t>Mar</w:t>
      </w:r>
      <w:r w:rsidR="00AC6D43">
        <w:rPr>
          <w:i/>
          <w:szCs w:val="26"/>
        </w:rPr>
        <w:t>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 xml:space="preserve">More </w:t>
      </w:r>
      <w:r w:rsidRPr="008F0B41">
        <w:lastRenderedPageBreak/>
        <w:t>is required than a mere trace of evidence or a suspicion of the existence of a fact sought to be established.</w:t>
      </w:r>
      <w:r>
        <w:t xml:space="preserve">  </w:t>
      </w:r>
      <w:r>
        <w:rPr>
          <w:i/>
        </w:rPr>
        <w:t>Norfolk &amp; Western Ry. Co. v. P</w:t>
      </w:r>
      <w:r w:rsidR="00F15BBC">
        <w:rPr>
          <w:i/>
        </w:rPr>
        <w:t>a. PUC</w:t>
      </w:r>
      <w:r>
        <w:rPr>
          <w:i/>
        </w:rPr>
        <w:t xml:space="preserve">, </w:t>
      </w:r>
      <w:r>
        <w:t>489 Pa. 109, 413 A.2d 1037 (1980).</w:t>
      </w:r>
    </w:p>
    <w:p w:rsidR="000F7FC8" w:rsidRDefault="000F7FC8" w:rsidP="00CF417A">
      <w:pPr>
        <w:spacing w:line="360" w:lineRule="auto"/>
        <w:ind w:firstLine="1440"/>
      </w:pPr>
    </w:p>
    <w:p w:rsidR="00676F7D" w:rsidRDefault="00676F7D" w:rsidP="00676F7D">
      <w:pPr>
        <w:spacing w:line="360" w:lineRule="auto"/>
        <w:ind w:firstLine="1440"/>
      </w:pPr>
      <w:r>
        <w:t xml:space="preserve">Upon the presentation by the Complainant of evidence sufficient to initially satisfy the burden of proof, the burden of going forward with the evidence to rebut the evidence of the customer shifts to the Company. If the evidence presented by the Company is of co-equal value or “weight,” the burden of proof has not been satisfied. The Complainant now has to provide some additional evidence to rebut that of the Company. </w:t>
      </w:r>
      <w:r w:rsidRPr="00676F7D">
        <w:rPr>
          <w:i/>
        </w:rPr>
        <w:t>Burleson v. Pa. PUC</w:t>
      </w:r>
      <w:r>
        <w:t xml:space="preserve">, 443 A.2d 1373 (Pa. </w:t>
      </w:r>
      <w:proofErr w:type="spellStart"/>
      <w:r>
        <w:t>Cmwlth</w:t>
      </w:r>
      <w:proofErr w:type="spellEnd"/>
      <w:r>
        <w:t xml:space="preserve">. 1982), </w:t>
      </w:r>
      <w:proofErr w:type="spellStart"/>
      <w:r w:rsidRPr="00676F7D">
        <w:rPr>
          <w:i/>
        </w:rPr>
        <w:t>aff’d</w:t>
      </w:r>
      <w:proofErr w:type="spellEnd"/>
      <w:r>
        <w:t xml:space="preserve">, 501 Pa. 433, 461 A.2d 1234 (1983). </w:t>
      </w:r>
    </w:p>
    <w:p w:rsidR="00676F7D" w:rsidRDefault="00676F7D" w:rsidP="00676F7D">
      <w:pPr>
        <w:spacing w:line="360" w:lineRule="auto"/>
        <w:ind w:firstLine="1440"/>
      </w:pPr>
    </w:p>
    <w:p w:rsidR="00676F7D" w:rsidRDefault="00676F7D" w:rsidP="00676F7D">
      <w:pPr>
        <w:spacing w:line="360" w:lineRule="auto"/>
        <w:ind w:firstLine="1440"/>
      </w:pPr>
      <w:r>
        <w:t xml:space="preserve">While the burden of going forward with the evidence may shift back and forth during a proceeding, the burden of proof never shifts. The burden of proof always remains on the party seeking affirmative relief from the Commission. </w:t>
      </w:r>
      <w:proofErr w:type="spellStart"/>
      <w:r w:rsidRPr="00676F7D">
        <w:rPr>
          <w:i/>
        </w:rPr>
        <w:t>Milkie</w:t>
      </w:r>
      <w:proofErr w:type="spellEnd"/>
      <w:r w:rsidRPr="00676F7D">
        <w:rPr>
          <w:i/>
        </w:rPr>
        <w:t xml:space="preserve"> v. Pa. PUC</w:t>
      </w:r>
      <w:r>
        <w:t xml:space="preserve">, 768 A.2d 1217 (Pa. </w:t>
      </w:r>
      <w:proofErr w:type="spellStart"/>
      <w:r>
        <w:t>Cmwlth</w:t>
      </w:r>
      <w:proofErr w:type="spellEnd"/>
      <w:r>
        <w:t xml:space="preserve">. 2001). Having filed the Complaint against the service provided by PGW, the Complainant in this case is obliged to carry the burden of proving that the Company has violated the Code, a Commission Regulation, or Order. </w:t>
      </w:r>
    </w:p>
    <w:p w:rsidR="000F7FC8" w:rsidRPr="00222EA7" w:rsidRDefault="000F7FC8" w:rsidP="00222EA7">
      <w:pPr>
        <w:spacing w:line="360" w:lineRule="auto"/>
        <w:ind w:firstLine="1440"/>
      </w:pPr>
    </w:p>
    <w:p w:rsidR="000C0224" w:rsidRDefault="000F7FC8" w:rsidP="00CF417A">
      <w:pPr>
        <w:spacing w:line="360" w:lineRule="auto"/>
        <w:ind w:firstLine="1440"/>
      </w:pPr>
      <w:r>
        <w:t xml:space="preserve">ALJ </w:t>
      </w:r>
      <w:r w:rsidR="00676F7D">
        <w:t>Vero</w:t>
      </w:r>
      <w:r w:rsidR="00822259">
        <w:t xml:space="preserve"> </w:t>
      </w:r>
      <w:r w:rsidR="003A382D" w:rsidRPr="009E02C1">
        <w:t xml:space="preserve">made </w:t>
      </w:r>
      <w:r w:rsidR="00E073EE">
        <w:t>forty-one</w:t>
      </w:r>
      <w:r w:rsidR="00EB6BF9" w:rsidRPr="009E02C1">
        <w:t xml:space="preserve"> F</w:t>
      </w:r>
      <w:r w:rsidR="00FB7793" w:rsidRPr="009E02C1">
        <w:t>i</w:t>
      </w:r>
      <w:r w:rsidR="00137CC5" w:rsidRPr="009E02C1">
        <w:t xml:space="preserve">ndings of Fact </w:t>
      </w:r>
      <w:r w:rsidR="00AC6D43">
        <w:t xml:space="preserve">and </w:t>
      </w:r>
      <w:r w:rsidR="00137CC5" w:rsidRPr="009E02C1">
        <w:t xml:space="preserve">reached </w:t>
      </w:r>
      <w:r w:rsidR="00E073EE">
        <w:t>eight</w:t>
      </w:r>
      <w:r w:rsidR="00822259">
        <w:t xml:space="preserve"> </w:t>
      </w:r>
      <w:r w:rsidR="00EB6BF9" w:rsidRPr="009E02C1">
        <w:t xml:space="preserve">Conclusions of Law. </w:t>
      </w:r>
      <w:r>
        <w:t xml:space="preserve"> I.D. at 2-</w:t>
      </w:r>
      <w:r w:rsidR="00E073EE">
        <w:t>7</w:t>
      </w:r>
      <w:r>
        <w:t xml:space="preserve">, </w:t>
      </w:r>
      <w:r w:rsidR="00E073EE">
        <w:t>20</w:t>
      </w:r>
      <w:r>
        <w:t xml:space="preserve">. </w:t>
      </w:r>
      <w:r w:rsidR="00EB6BF9" w:rsidRPr="009E02C1">
        <w:t xml:space="preserve"> The </w:t>
      </w:r>
      <w:r w:rsidR="00AC6D43">
        <w:t xml:space="preserve">Findings of Fact and </w:t>
      </w:r>
      <w:r w:rsidR="00EB6BF9" w:rsidRPr="009E02C1">
        <w:t>Conclusions of Law are incorporated herein by reference and are adopted without comment unless they are either expressly or by necessary implication rejected or mod</w:t>
      </w:r>
      <w:r w:rsidR="0099537F" w:rsidRPr="009E02C1">
        <w:t>ified by this Opinion and Order.</w:t>
      </w:r>
    </w:p>
    <w:p w:rsidR="008A0B72" w:rsidRDefault="008A0B72" w:rsidP="00FD1DAD">
      <w:pPr>
        <w:spacing w:line="360" w:lineRule="auto"/>
      </w:pPr>
    </w:p>
    <w:p w:rsidR="00B15ABC" w:rsidRDefault="00B15ABC" w:rsidP="00B15ABC">
      <w:pPr>
        <w:tabs>
          <w:tab w:val="left" w:pos="-720"/>
        </w:tabs>
        <w:suppressAutoHyphens/>
        <w:spacing w:line="360" w:lineRule="auto"/>
        <w:ind w:firstLine="1440"/>
        <w:rPr>
          <w:rStyle w:val="Hyperlink"/>
          <w:color w:val="000000"/>
          <w:szCs w:val="26"/>
          <w:u w:val="none"/>
        </w:rPr>
      </w:pPr>
      <w:r w:rsidRPr="00815E97">
        <w:t xml:space="preserve">Initially, we are 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r w:rsidR="00815E97" w:rsidRPr="00815E97">
        <w:t xml:space="preserve"> </w:t>
      </w:r>
      <w:hyperlink r:id="rId9" w:history="1">
        <w:r w:rsidR="0057613E">
          <w:rPr>
            <w:rStyle w:val="Emphasis"/>
            <w:color w:val="000000"/>
            <w:szCs w:val="26"/>
          </w:rPr>
          <w:t>Consolidated Rail Corp.</w:t>
        </w:r>
        <w:r w:rsidR="00815E97" w:rsidRPr="00815E97">
          <w:rPr>
            <w:rStyle w:val="Emphasis"/>
            <w:color w:val="000000"/>
            <w:szCs w:val="26"/>
          </w:rPr>
          <w:t xml:space="preserve"> v. Pa. PUC, </w:t>
        </w:r>
        <w:r w:rsidR="00815E97" w:rsidRPr="00815E97">
          <w:rPr>
            <w:rStyle w:val="Hyperlink"/>
            <w:color w:val="000000"/>
            <w:szCs w:val="26"/>
            <w:u w:val="none"/>
          </w:rPr>
          <w:lastRenderedPageBreak/>
          <w:t xml:space="preserve">625 A.2d 741 (Pa. </w:t>
        </w:r>
        <w:proofErr w:type="spellStart"/>
        <w:r w:rsidR="00815E97" w:rsidRPr="00815E97">
          <w:rPr>
            <w:rStyle w:val="Hyperlink"/>
            <w:color w:val="000000"/>
            <w:szCs w:val="26"/>
            <w:u w:val="none"/>
          </w:rPr>
          <w:t>Cmwlth</w:t>
        </w:r>
        <w:proofErr w:type="spellEnd"/>
        <w:r w:rsidR="00815E97" w:rsidRPr="00815E97">
          <w:rPr>
            <w:rStyle w:val="Hyperlink"/>
            <w:color w:val="000000"/>
            <w:szCs w:val="26"/>
            <w:u w:val="none"/>
          </w:rPr>
          <w:t>. 1993);</w:t>
        </w:r>
      </w:hyperlink>
      <w:r w:rsidR="00815E97" w:rsidRPr="00815E97">
        <w:rPr>
          <w:color w:val="000000"/>
          <w:szCs w:val="26"/>
        </w:rPr>
        <w:t xml:space="preserve"> </w:t>
      </w:r>
      <w:r w:rsidR="00815E97" w:rsidRPr="00815E97">
        <w:rPr>
          <w:i/>
          <w:color w:val="000000"/>
          <w:szCs w:val="26"/>
        </w:rPr>
        <w:t xml:space="preserve">also </w:t>
      </w:r>
      <w:r w:rsidR="00815E97" w:rsidRPr="00815E97">
        <w:rPr>
          <w:rStyle w:val="Emphasis"/>
          <w:color w:val="000000"/>
          <w:szCs w:val="26"/>
        </w:rPr>
        <w:t xml:space="preserve">see, generally, </w:t>
      </w:r>
      <w:hyperlink r:id="rId10" w:history="1">
        <w:r w:rsidR="0057613E">
          <w:rPr>
            <w:rStyle w:val="Emphasis"/>
            <w:color w:val="000000"/>
            <w:szCs w:val="26"/>
          </w:rPr>
          <w:t>University of Pennsyl</w:t>
        </w:r>
        <w:r w:rsidR="00815E97" w:rsidRPr="00815E97">
          <w:rPr>
            <w:rStyle w:val="Emphasis"/>
            <w:color w:val="000000"/>
            <w:szCs w:val="26"/>
          </w:rPr>
          <w:t>vania v. Pa. PUC</w:t>
        </w:r>
        <w:r w:rsidR="00815E97" w:rsidRPr="00815E97">
          <w:rPr>
            <w:rStyle w:val="Hyperlink"/>
            <w:color w:val="000000"/>
            <w:szCs w:val="26"/>
            <w:u w:val="none"/>
          </w:rPr>
          <w:t xml:space="preserve">, 485 A.2d 1217 (Pa. </w:t>
        </w:r>
        <w:proofErr w:type="spellStart"/>
        <w:r w:rsidR="00815E97" w:rsidRPr="00815E97">
          <w:rPr>
            <w:rStyle w:val="Hyperlink"/>
            <w:color w:val="000000"/>
            <w:szCs w:val="26"/>
            <w:u w:val="none"/>
          </w:rPr>
          <w:t>Cmwlth</w:t>
        </w:r>
        <w:proofErr w:type="spellEnd"/>
        <w:r w:rsidR="00815E97" w:rsidRPr="00815E97">
          <w:rPr>
            <w:rStyle w:val="Hyperlink"/>
            <w:color w:val="000000"/>
            <w:szCs w:val="26"/>
            <w:u w:val="none"/>
          </w:rPr>
          <w:t>. 1984).</w:t>
        </w:r>
      </w:hyperlink>
    </w:p>
    <w:p w:rsidR="001F0898" w:rsidRDefault="001F0898" w:rsidP="00B15ABC">
      <w:pPr>
        <w:tabs>
          <w:tab w:val="left" w:pos="-720"/>
        </w:tabs>
        <w:suppressAutoHyphens/>
        <w:spacing w:line="360" w:lineRule="auto"/>
        <w:ind w:firstLine="1440"/>
        <w:rPr>
          <w:rStyle w:val="Hyperlink"/>
          <w:color w:val="000000"/>
          <w:szCs w:val="26"/>
          <w:u w:val="none"/>
        </w:rPr>
      </w:pP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t xml:space="preserve">ALJ’s </w:t>
      </w:r>
      <w:r w:rsidR="000152EC">
        <w:rPr>
          <w:rStyle w:val="Hyperlink"/>
          <w:b/>
          <w:color w:val="000000"/>
          <w:szCs w:val="26"/>
          <w:u w:val="none"/>
        </w:rPr>
        <w:t xml:space="preserve">Initial </w:t>
      </w:r>
      <w:r>
        <w:rPr>
          <w:rStyle w:val="Hyperlink"/>
          <w:b/>
          <w:color w:val="000000"/>
          <w:szCs w:val="26"/>
          <w:u w:val="none"/>
        </w:rPr>
        <w:t>Decision</w:t>
      </w:r>
    </w:p>
    <w:p w:rsidR="00853A24" w:rsidRDefault="00853A24" w:rsidP="00B15ABC">
      <w:pPr>
        <w:tabs>
          <w:tab w:val="left" w:pos="-720"/>
        </w:tabs>
        <w:suppressAutoHyphens/>
        <w:spacing w:line="360" w:lineRule="auto"/>
        <w:ind w:firstLine="1440"/>
        <w:rPr>
          <w:rStyle w:val="Hyperlink"/>
          <w:b/>
          <w:color w:val="000000"/>
          <w:szCs w:val="26"/>
          <w:u w:val="none"/>
        </w:rPr>
      </w:pPr>
    </w:p>
    <w:p w:rsidR="006A2355" w:rsidRDefault="006A2355" w:rsidP="008F7FC1">
      <w:pPr>
        <w:pStyle w:val="ParaTab1"/>
        <w:tabs>
          <w:tab w:val="left" w:pos="2070"/>
        </w:tabs>
        <w:spacing w:line="360" w:lineRule="auto"/>
        <w:rPr>
          <w:rFonts w:ascii="Times New Roman" w:hAnsi="Times New Roman" w:cs="Times New Roman"/>
          <w:sz w:val="26"/>
          <w:szCs w:val="26"/>
        </w:rPr>
      </w:pPr>
      <w:r w:rsidRPr="006A2355">
        <w:rPr>
          <w:rFonts w:ascii="Times New Roman" w:hAnsi="Times New Roman" w:cs="Times New Roman"/>
          <w:sz w:val="26"/>
          <w:szCs w:val="26"/>
        </w:rPr>
        <w:t>Re</w:t>
      </w:r>
      <w:r w:rsidR="00AC6197">
        <w:rPr>
          <w:rFonts w:ascii="Times New Roman" w:hAnsi="Times New Roman" w:cs="Times New Roman"/>
          <w:sz w:val="26"/>
          <w:szCs w:val="26"/>
        </w:rPr>
        <w:t>ferring to</w:t>
      </w:r>
      <w:r w:rsidRPr="006A2355">
        <w:rPr>
          <w:rFonts w:ascii="Times New Roman" w:hAnsi="Times New Roman" w:cs="Times New Roman"/>
          <w:sz w:val="26"/>
          <w:szCs w:val="26"/>
        </w:rPr>
        <w:t xml:space="preserve"> Section 1501 of the Code, 66 Pa. C.S. § 1501, the ALJ stated that the Complainant bore the burden of proving that PGW failed to provide adequate and reasonable service.  In her Initial Decision, the ALJ denied in part and granted in part the Complaint.  </w:t>
      </w:r>
      <w:r w:rsidR="00DF2A3A">
        <w:rPr>
          <w:rFonts w:ascii="Times New Roman" w:hAnsi="Times New Roman" w:cs="Times New Roman"/>
          <w:sz w:val="26"/>
          <w:szCs w:val="26"/>
        </w:rPr>
        <w:t xml:space="preserve">With respect to the Complainant’s </w:t>
      </w:r>
      <w:r w:rsidR="006A6F94">
        <w:rPr>
          <w:rFonts w:ascii="Times New Roman" w:hAnsi="Times New Roman" w:cs="Times New Roman"/>
          <w:sz w:val="26"/>
          <w:szCs w:val="26"/>
        </w:rPr>
        <w:t>challenge to the accuracy of PGW’s initial bill, the Company offered testimony that the bill was based on actual monthly meter readings from the service address. Further, the bill covered only the most recent four-year period through February 2013, in accordance with Section 56.14 of our Regulations, 52 Pa. Code § 56.14, even though the Complainant had resided at the premises since the fall of 2008.  As to this challenge, the ALJ found the Complainant did not carry his burden of proving the bill was inaccurate</w:t>
      </w:r>
      <w:r w:rsidR="00257A3B">
        <w:rPr>
          <w:rFonts w:ascii="Times New Roman" w:hAnsi="Times New Roman" w:cs="Times New Roman"/>
          <w:sz w:val="26"/>
          <w:szCs w:val="26"/>
        </w:rPr>
        <w:t>, and denied this part of Mr.</w:t>
      </w:r>
      <w:r w:rsidR="00AC6197">
        <w:rPr>
          <w:rFonts w:ascii="Times New Roman" w:hAnsi="Times New Roman" w:cs="Times New Roman"/>
          <w:sz w:val="26"/>
          <w:szCs w:val="26"/>
        </w:rPr>
        <w:t> </w:t>
      </w:r>
      <w:proofErr w:type="spellStart"/>
      <w:r w:rsidR="00AC6197">
        <w:rPr>
          <w:rFonts w:ascii="Times New Roman" w:hAnsi="Times New Roman" w:cs="Times New Roman"/>
          <w:sz w:val="26"/>
          <w:szCs w:val="26"/>
        </w:rPr>
        <w:t>H</w:t>
      </w:r>
      <w:r w:rsidR="00257A3B">
        <w:rPr>
          <w:rFonts w:ascii="Times New Roman" w:hAnsi="Times New Roman" w:cs="Times New Roman"/>
          <w:sz w:val="26"/>
          <w:szCs w:val="26"/>
        </w:rPr>
        <w:t>aynesworth’s</w:t>
      </w:r>
      <w:proofErr w:type="spellEnd"/>
      <w:r w:rsidR="00257A3B">
        <w:rPr>
          <w:rFonts w:ascii="Times New Roman" w:hAnsi="Times New Roman" w:cs="Times New Roman"/>
          <w:sz w:val="26"/>
          <w:szCs w:val="26"/>
        </w:rPr>
        <w:t xml:space="preserve"> Complaint</w:t>
      </w:r>
      <w:r w:rsidR="006A6F94">
        <w:rPr>
          <w:rFonts w:ascii="Times New Roman" w:hAnsi="Times New Roman" w:cs="Times New Roman"/>
          <w:sz w:val="26"/>
          <w:szCs w:val="26"/>
        </w:rPr>
        <w:t xml:space="preserve">. </w:t>
      </w:r>
      <w:r w:rsidR="00257A3B">
        <w:rPr>
          <w:rFonts w:ascii="Times New Roman" w:hAnsi="Times New Roman" w:cs="Times New Roman"/>
          <w:sz w:val="26"/>
          <w:szCs w:val="26"/>
        </w:rPr>
        <w:t xml:space="preserve"> </w:t>
      </w:r>
      <w:r w:rsidR="006A6F94">
        <w:rPr>
          <w:rFonts w:ascii="Times New Roman" w:hAnsi="Times New Roman" w:cs="Times New Roman"/>
          <w:sz w:val="26"/>
          <w:szCs w:val="26"/>
        </w:rPr>
        <w:t xml:space="preserve">I.D. at 13-14. </w:t>
      </w:r>
      <w:r w:rsidR="00257A3B">
        <w:rPr>
          <w:rFonts w:ascii="Times New Roman" w:hAnsi="Times New Roman" w:cs="Times New Roman"/>
          <w:sz w:val="26"/>
          <w:szCs w:val="26"/>
        </w:rPr>
        <w:t>With respect to the Complainant’s request for a payment arrangement, a</w:t>
      </w:r>
      <w:r w:rsidR="00546477">
        <w:rPr>
          <w:rFonts w:ascii="Times New Roman" w:hAnsi="Times New Roman" w:cs="Times New Roman"/>
          <w:sz w:val="26"/>
          <w:szCs w:val="26"/>
        </w:rPr>
        <w:t>gain relying on Section 56.14 of our Regulations, t</w:t>
      </w:r>
      <w:r w:rsidR="006A6F94">
        <w:rPr>
          <w:rFonts w:ascii="Times New Roman" w:hAnsi="Times New Roman" w:cs="Times New Roman"/>
          <w:sz w:val="26"/>
          <w:szCs w:val="26"/>
        </w:rPr>
        <w:t>he ALJ denied the Complainant’s request because he was no longer a customer of PGW and in fact no longer resided in Pennsylvania</w:t>
      </w:r>
      <w:r w:rsidR="00257A3B">
        <w:rPr>
          <w:rFonts w:ascii="Times New Roman" w:hAnsi="Times New Roman" w:cs="Times New Roman"/>
          <w:sz w:val="26"/>
          <w:szCs w:val="26"/>
        </w:rPr>
        <w:t>, and denied this part of the Complaint</w:t>
      </w:r>
      <w:r w:rsidR="006A6F94">
        <w:rPr>
          <w:rFonts w:ascii="Times New Roman" w:hAnsi="Times New Roman" w:cs="Times New Roman"/>
          <w:sz w:val="26"/>
          <w:szCs w:val="26"/>
        </w:rPr>
        <w:t xml:space="preserve">.  I.D. at 14-15.  </w:t>
      </w:r>
    </w:p>
    <w:p w:rsidR="009361E2" w:rsidRDefault="009361E2" w:rsidP="008F7FC1">
      <w:pPr>
        <w:pStyle w:val="ParaTab1"/>
        <w:tabs>
          <w:tab w:val="left" w:pos="2070"/>
        </w:tabs>
        <w:spacing w:line="360" w:lineRule="auto"/>
        <w:rPr>
          <w:rFonts w:ascii="Times New Roman" w:hAnsi="Times New Roman" w:cs="Times New Roman"/>
          <w:sz w:val="26"/>
          <w:szCs w:val="26"/>
        </w:rPr>
      </w:pPr>
    </w:p>
    <w:p w:rsidR="00382725" w:rsidRDefault="00DF2A3A" w:rsidP="008F7FC1">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With respect to the Complainant’s claim </w:t>
      </w:r>
      <w:r w:rsidR="006A6F94">
        <w:rPr>
          <w:rFonts w:ascii="Times New Roman" w:hAnsi="Times New Roman" w:cs="Times New Roman"/>
          <w:sz w:val="26"/>
          <w:szCs w:val="26"/>
        </w:rPr>
        <w:t xml:space="preserve">that </w:t>
      </w:r>
      <w:r w:rsidR="006A6F94" w:rsidRPr="006A6F94">
        <w:rPr>
          <w:rFonts w:ascii="Times New Roman" w:hAnsi="Times New Roman" w:cs="Times New Roman"/>
          <w:sz w:val="26"/>
          <w:szCs w:val="26"/>
        </w:rPr>
        <w:t>PGW provided unreasonable service by failing to notify him of his responsibility to pay for service at the service address</w:t>
      </w:r>
      <w:r w:rsidR="006A6F94">
        <w:rPr>
          <w:rFonts w:ascii="Times New Roman" w:hAnsi="Times New Roman" w:cs="Times New Roman"/>
          <w:sz w:val="26"/>
          <w:szCs w:val="26"/>
        </w:rPr>
        <w:t>,</w:t>
      </w:r>
      <w:r w:rsidR="006A6F94" w:rsidRPr="006A6F94">
        <w:rPr>
          <w:rFonts w:ascii="Times New Roman" w:hAnsi="Times New Roman" w:cs="Times New Roman"/>
          <w:sz w:val="26"/>
          <w:szCs w:val="26"/>
        </w:rPr>
        <w:t xml:space="preserve"> </w:t>
      </w:r>
      <w:r w:rsidR="006A6F94">
        <w:rPr>
          <w:rFonts w:ascii="Times New Roman" w:hAnsi="Times New Roman" w:cs="Times New Roman"/>
          <w:sz w:val="26"/>
          <w:szCs w:val="26"/>
        </w:rPr>
        <w:t>t</w:t>
      </w:r>
      <w:r w:rsidR="00E63A4E">
        <w:rPr>
          <w:rFonts w:ascii="Times New Roman" w:hAnsi="Times New Roman" w:cs="Times New Roman"/>
          <w:sz w:val="26"/>
          <w:szCs w:val="26"/>
        </w:rPr>
        <w:t xml:space="preserve">he ALJ </w:t>
      </w:r>
      <w:r w:rsidR="00257A3B">
        <w:rPr>
          <w:rFonts w:ascii="Times New Roman" w:hAnsi="Times New Roman" w:cs="Times New Roman"/>
          <w:sz w:val="26"/>
          <w:szCs w:val="26"/>
        </w:rPr>
        <w:t xml:space="preserve">also </w:t>
      </w:r>
      <w:r w:rsidR="00E63A4E">
        <w:rPr>
          <w:rFonts w:ascii="Times New Roman" w:hAnsi="Times New Roman" w:cs="Times New Roman"/>
          <w:sz w:val="26"/>
          <w:szCs w:val="26"/>
        </w:rPr>
        <w:t xml:space="preserve">denied this </w:t>
      </w:r>
      <w:r w:rsidR="006A2355">
        <w:rPr>
          <w:rFonts w:ascii="Times New Roman" w:hAnsi="Times New Roman" w:cs="Times New Roman"/>
          <w:sz w:val="26"/>
          <w:szCs w:val="26"/>
        </w:rPr>
        <w:t>part of the Complaint</w:t>
      </w:r>
      <w:r w:rsidR="006A6F94">
        <w:rPr>
          <w:rFonts w:ascii="Times New Roman" w:hAnsi="Times New Roman" w:cs="Times New Roman"/>
          <w:sz w:val="26"/>
          <w:szCs w:val="26"/>
        </w:rPr>
        <w:t xml:space="preserve">. The ALJ found </w:t>
      </w:r>
      <w:r w:rsidR="006A2355">
        <w:rPr>
          <w:rFonts w:ascii="Times New Roman" w:hAnsi="Times New Roman" w:cs="Times New Roman"/>
          <w:sz w:val="26"/>
          <w:szCs w:val="26"/>
        </w:rPr>
        <w:t xml:space="preserve">that it was the Complainant who failed to read and comport with the terms of his lease, which placed responsibility for electric and gas utility service on him. </w:t>
      </w:r>
    </w:p>
    <w:p w:rsidR="00382725" w:rsidRDefault="00382725" w:rsidP="008F7FC1">
      <w:pPr>
        <w:pStyle w:val="ParaTab1"/>
        <w:tabs>
          <w:tab w:val="left" w:pos="2070"/>
        </w:tabs>
        <w:spacing w:line="360" w:lineRule="auto"/>
        <w:rPr>
          <w:rFonts w:ascii="Times New Roman" w:hAnsi="Times New Roman" w:cs="Times New Roman"/>
          <w:sz w:val="26"/>
          <w:szCs w:val="26"/>
        </w:rPr>
      </w:pPr>
    </w:p>
    <w:p w:rsidR="00382725" w:rsidRDefault="006A2355" w:rsidP="008F7FC1">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The ALJ </w:t>
      </w:r>
      <w:r w:rsidR="00053335">
        <w:rPr>
          <w:rFonts w:ascii="Times New Roman" w:hAnsi="Times New Roman" w:cs="Times New Roman"/>
          <w:sz w:val="26"/>
          <w:szCs w:val="26"/>
        </w:rPr>
        <w:t>distinguished our</w:t>
      </w:r>
      <w:r w:rsidR="00DF2A3A">
        <w:rPr>
          <w:rFonts w:ascii="Times New Roman" w:hAnsi="Times New Roman" w:cs="Times New Roman"/>
          <w:sz w:val="26"/>
          <w:szCs w:val="26"/>
        </w:rPr>
        <w:t xml:space="preserve"> prio</w:t>
      </w:r>
      <w:r>
        <w:rPr>
          <w:rFonts w:ascii="Times New Roman" w:hAnsi="Times New Roman" w:cs="Times New Roman"/>
          <w:sz w:val="26"/>
          <w:szCs w:val="26"/>
        </w:rPr>
        <w:t xml:space="preserve">r cases </w:t>
      </w:r>
      <w:r w:rsidR="00DF2A3A">
        <w:rPr>
          <w:rFonts w:ascii="Times New Roman" w:hAnsi="Times New Roman" w:cs="Times New Roman"/>
          <w:sz w:val="26"/>
          <w:szCs w:val="26"/>
        </w:rPr>
        <w:t xml:space="preserve">of </w:t>
      </w:r>
      <w:r w:rsidR="00DF2A3A">
        <w:rPr>
          <w:rFonts w:ascii="Times New Roman" w:hAnsi="Times New Roman" w:cs="Times New Roman"/>
          <w:i/>
          <w:sz w:val="26"/>
          <w:szCs w:val="26"/>
        </w:rPr>
        <w:t xml:space="preserve">Margarita </w:t>
      </w:r>
      <w:proofErr w:type="spellStart"/>
      <w:r w:rsidR="00DF2A3A">
        <w:rPr>
          <w:rFonts w:ascii="Times New Roman" w:hAnsi="Times New Roman" w:cs="Times New Roman"/>
          <w:i/>
          <w:sz w:val="26"/>
          <w:szCs w:val="26"/>
        </w:rPr>
        <w:t>Kron</w:t>
      </w:r>
      <w:proofErr w:type="spellEnd"/>
      <w:r w:rsidR="00DF2A3A">
        <w:rPr>
          <w:rFonts w:ascii="Times New Roman" w:hAnsi="Times New Roman" w:cs="Times New Roman"/>
          <w:i/>
          <w:sz w:val="26"/>
          <w:szCs w:val="26"/>
        </w:rPr>
        <w:t xml:space="preserve"> v. Philadelphia Gas </w:t>
      </w:r>
      <w:r w:rsidR="00DF2A3A" w:rsidRPr="00DF2A3A">
        <w:rPr>
          <w:rFonts w:ascii="Times New Roman" w:hAnsi="Times New Roman" w:cs="Times New Roman"/>
          <w:i/>
          <w:sz w:val="26"/>
          <w:szCs w:val="26"/>
        </w:rPr>
        <w:t>Works</w:t>
      </w:r>
      <w:r w:rsidR="00DF2A3A">
        <w:rPr>
          <w:rFonts w:ascii="Times New Roman" w:hAnsi="Times New Roman" w:cs="Times New Roman"/>
          <w:sz w:val="26"/>
          <w:szCs w:val="26"/>
        </w:rPr>
        <w:t>, Docket No. F-2012-2332152 (Order entered October 3, 2013) (</w:t>
      </w:r>
      <w:proofErr w:type="spellStart"/>
      <w:r w:rsidR="00DF2A3A" w:rsidRPr="00DF2A3A">
        <w:rPr>
          <w:rFonts w:ascii="Times New Roman" w:hAnsi="Times New Roman" w:cs="Times New Roman"/>
          <w:i/>
          <w:sz w:val="26"/>
          <w:szCs w:val="26"/>
        </w:rPr>
        <w:t>Kron</w:t>
      </w:r>
      <w:proofErr w:type="spellEnd"/>
      <w:r w:rsidR="00DF2A3A">
        <w:rPr>
          <w:rFonts w:ascii="Times New Roman" w:hAnsi="Times New Roman" w:cs="Times New Roman"/>
          <w:sz w:val="26"/>
          <w:szCs w:val="26"/>
        </w:rPr>
        <w:t xml:space="preserve">) and </w:t>
      </w:r>
      <w:r w:rsidR="00DF2A3A">
        <w:rPr>
          <w:rFonts w:ascii="Times New Roman" w:hAnsi="Times New Roman" w:cs="Times New Roman"/>
          <w:i/>
          <w:sz w:val="26"/>
          <w:szCs w:val="26"/>
        </w:rPr>
        <w:lastRenderedPageBreak/>
        <w:t xml:space="preserve">Michael John </w:t>
      </w:r>
      <w:proofErr w:type="spellStart"/>
      <w:r w:rsidR="00DF2A3A">
        <w:rPr>
          <w:rFonts w:ascii="Times New Roman" w:hAnsi="Times New Roman" w:cs="Times New Roman"/>
          <w:i/>
          <w:sz w:val="26"/>
          <w:szCs w:val="26"/>
        </w:rPr>
        <w:t>Sottile</w:t>
      </w:r>
      <w:proofErr w:type="spellEnd"/>
      <w:r w:rsidR="00DF2A3A">
        <w:rPr>
          <w:rFonts w:ascii="Times New Roman" w:hAnsi="Times New Roman" w:cs="Times New Roman"/>
          <w:i/>
          <w:sz w:val="26"/>
          <w:szCs w:val="26"/>
        </w:rPr>
        <w:t xml:space="preserve"> v. Philadelphia Gas Works</w:t>
      </w:r>
      <w:r w:rsidR="00DF2A3A">
        <w:rPr>
          <w:rFonts w:ascii="Times New Roman" w:hAnsi="Times New Roman" w:cs="Times New Roman"/>
          <w:sz w:val="26"/>
          <w:szCs w:val="26"/>
        </w:rPr>
        <w:t>, Docket No. C-2013-2352676 (</w:t>
      </w:r>
      <w:proofErr w:type="spellStart"/>
      <w:r w:rsidR="00DF2A3A" w:rsidRPr="00DF2A3A">
        <w:rPr>
          <w:rFonts w:ascii="Times New Roman" w:hAnsi="Times New Roman" w:cs="Times New Roman"/>
          <w:i/>
          <w:sz w:val="26"/>
          <w:szCs w:val="26"/>
        </w:rPr>
        <w:t>Sottile</w:t>
      </w:r>
      <w:proofErr w:type="spellEnd"/>
      <w:r w:rsidR="00DF2A3A">
        <w:rPr>
          <w:rFonts w:ascii="Times New Roman" w:hAnsi="Times New Roman" w:cs="Times New Roman"/>
          <w:sz w:val="26"/>
          <w:szCs w:val="26"/>
        </w:rPr>
        <w:t>)</w:t>
      </w:r>
      <w:r w:rsidR="00CB4F01">
        <w:rPr>
          <w:rFonts w:ascii="Times New Roman" w:hAnsi="Times New Roman" w:cs="Times New Roman"/>
          <w:sz w:val="26"/>
          <w:szCs w:val="26"/>
        </w:rPr>
        <w:t xml:space="preserve">. </w:t>
      </w:r>
      <w:r w:rsidR="00DF2A3A">
        <w:rPr>
          <w:rFonts w:ascii="Times New Roman" w:hAnsi="Times New Roman" w:cs="Times New Roman"/>
          <w:sz w:val="26"/>
          <w:szCs w:val="26"/>
        </w:rPr>
        <w:t xml:space="preserve"> </w:t>
      </w:r>
      <w:r w:rsidR="00CB4F01">
        <w:rPr>
          <w:rFonts w:ascii="Times New Roman" w:hAnsi="Times New Roman" w:cs="Times New Roman"/>
          <w:sz w:val="26"/>
          <w:szCs w:val="26"/>
        </w:rPr>
        <w:t>I</w:t>
      </w:r>
      <w:r w:rsidR="00DF2A3A" w:rsidRPr="00DF2A3A">
        <w:rPr>
          <w:rFonts w:ascii="Times New Roman" w:hAnsi="Times New Roman" w:cs="Times New Roman"/>
          <w:sz w:val="26"/>
          <w:szCs w:val="26"/>
        </w:rPr>
        <w:t>n</w:t>
      </w:r>
      <w:r w:rsidR="00DF2A3A">
        <w:rPr>
          <w:rFonts w:ascii="Times New Roman" w:hAnsi="Times New Roman" w:cs="Times New Roman"/>
          <w:sz w:val="26"/>
          <w:szCs w:val="26"/>
        </w:rPr>
        <w:t xml:space="preserve"> </w:t>
      </w:r>
      <w:r w:rsidR="00CB4F01">
        <w:rPr>
          <w:rFonts w:ascii="Times New Roman" w:hAnsi="Times New Roman" w:cs="Times New Roman"/>
          <w:sz w:val="26"/>
          <w:szCs w:val="26"/>
        </w:rPr>
        <w:t xml:space="preserve">those cases </w:t>
      </w:r>
      <w:r>
        <w:rPr>
          <w:rFonts w:ascii="Times New Roman" w:hAnsi="Times New Roman" w:cs="Times New Roman"/>
          <w:sz w:val="26"/>
          <w:szCs w:val="26"/>
        </w:rPr>
        <w:t>we sustained the compl</w:t>
      </w:r>
      <w:r w:rsidR="00DF2A3A">
        <w:rPr>
          <w:rFonts w:ascii="Times New Roman" w:hAnsi="Times New Roman" w:cs="Times New Roman"/>
          <w:sz w:val="26"/>
          <w:szCs w:val="26"/>
        </w:rPr>
        <w:t>a</w:t>
      </w:r>
      <w:r>
        <w:rPr>
          <w:rFonts w:ascii="Times New Roman" w:hAnsi="Times New Roman" w:cs="Times New Roman"/>
          <w:sz w:val="26"/>
          <w:szCs w:val="26"/>
        </w:rPr>
        <w:t xml:space="preserve">ints of customers presented with large </w:t>
      </w:r>
      <w:r w:rsidR="00053335">
        <w:rPr>
          <w:rFonts w:ascii="Times New Roman" w:hAnsi="Times New Roman" w:cs="Times New Roman"/>
          <w:sz w:val="26"/>
          <w:szCs w:val="26"/>
        </w:rPr>
        <w:t xml:space="preserve">makeup </w:t>
      </w:r>
      <w:r>
        <w:rPr>
          <w:rFonts w:ascii="Times New Roman" w:hAnsi="Times New Roman" w:cs="Times New Roman"/>
          <w:sz w:val="26"/>
          <w:szCs w:val="26"/>
        </w:rPr>
        <w:t>bills</w:t>
      </w:r>
      <w:r w:rsidR="00257A3B">
        <w:rPr>
          <w:rFonts w:ascii="Times New Roman" w:hAnsi="Times New Roman" w:cs="Times New Roman"/>
          <w:sz w:val="26"/>
          <w:szCs w:val="26"/>
        </w:rPr>
        <w:t xml:space="preserve"> on the basis that</w:t>
      </w:r>
      <w:r w:rsidR="00CB4F01">
        <w:rPr>
          <w:rFonts w:ascii="Times New Roman" w:hAnsi="Times New Roman" w:cs="Times New Roman"/>
          <w:sz w:val="26"/>
          <w:szCs w:val="26"/>
        </w:rPr>
        <w:t>,</w:t>
      </w:r>
      <w:r w:rsidR="00257A3B">
        <w:rPr>
          <w:rFonts w:ascii="Times New Roman" w:hAnsi="Times New Roman" w:cs="Times New Roman"/>
          <w:sz w:val="26"/>
          <w:szCs w:val="26"/>
        </w:rPr>
        <w:t xml:space="preserve"> i</w:t>
      </w:r>
      <w:r w:rsidR="00053335">
        <w:rPr>
          <w:rFonts w:ascii="Times New Roman" w:hAnsi="Times New Roman" w:cs="Times New Roman"/>
          <w:sz w:val="26"/>
          <w:szCs w:val="26"/>
        </w:rPr>
        <w:t xml:space="preserve">n those cases, the customers </w:t>
      </w:r>
      <w:r w:rsidR="00CB4F01">
        <w:rPr>
          <w:rFonts w:ascii="Times New Roman" w:hAnsi="Times New Roman" w:cs="Times New Roman"/>
          <w:sz w:val="26"/>
          <w:szCs w:val="26"/>
        </w:rPr>
        <w:t xml:space="preserve">directly </w:t>
      </w:r>
      <w:r w:rsidR="00DF2A3A">
        <w:rPr>
          <w:rFonts w:ascii="Times New Roman" w:hAnsi="Times New Roman" w:cs="Times New Roman"/>
          <w:sz w:val="26"/>
          <w:szCs w:val="26"/>
        </w:rPr>
        <w:t xml:space="preserve">had </w:t>
      </w:r>
      <w:r>
        <w:rPr>
          <w:rFonts w:ascii="Times New Roman" w:hAnsi="Times New Roman" w:cs="Times New Roman"/>
          <w:sz w:val="26"/>
          <w:szCs w:val="26"/>
        </w:rPr>
        <w:t xml:space="preserve">taken steps with the utility either </w:t>
      </w:r>
      <w:r w:rsidR="00DF2A3A">
        <w:rPr>
          <w:rFonts w:ascii="Times New Roman" w:hAnsi="Times New Roman" w:cs="Times New Roman"/>
          <w:sz w:val="26"/>
          <w:szCs w:val="26"/>
        </w:rPr>
        <w:t xml:space="preserve">to </w:t>
      </w:r>
      <w:r>
        <w:rPr>
          <w:rFonts w:ascii="Times New Roman" w:hAnsi="Times New Roman" w:cs="Times New Roman"/>
          <w:sz w:val="26"/>
          <w:szCs w:val="26"/>
        </w:rPr>
        <w:t xml:space="preserve">request </w:t>
      </w:r>
      <w:r w:rsidR="00053335">
        <w:rPr>
          <w:rFonts w:ascii="Times New Roman" w:hAnsi="Times New Roman" w:cs="Times New Roman"/>
          <w:sz w:val="26"/>
          <w:szCs w:val="26"/>
        </w:rPr>
        <w:t xml:space="preserve">initiation or termination of </w:t>
      </w:r>
      <w:r>
        <w:rPr>
          <w:rFonts w:ascii="Times New Roman" w:hAnsi="Times New Roman" w:cs="Times New Roman"/>
          <w:sz w:val="26"/>
          <w:szCs w:val="26"/>
        </w:rPr>
        <w:t>service</w:t>
      </w:r>
      <w:r w:rsidR="00CB4F01">
        <w:rPr>
          <w:rFonts w:ascii="Times New Roman" w:hAnsi="Times New Roman" w:cs="Times New Roman"/>
          <w:sz w:val="26"/>
          <w:szCs w:val="26"/>
        </w:rPr>
        <w:t>.  In contrast,</w:t>
      </w:r>
      <w:r>
        <w:rPr>
          <w:rFonts w:ascii="Times New Roman" w:hAnsi="Times New Roman" w:cs="Times New Roman"/>
          <w:sz w:val="26"/>
          <w:szCs w:val="26"/>
        </w:rPr>
        <w:t xml:space="preserve"> </w:t>
      </w:r>
      <w:r w:rsidR="00CB4F01">
        <w:rPr>
          <w:rFonts w:ascii="Times New Roman" w:hAnsi="Times New Roman" w:cs="Times New Roman"/>
          <w:sz w:val="26"/>
          <w:szCs w:val="26"/>
        </w:rPr>
        <w:t xml:space="preserve">in </w:t>
      </w:r>
      <w:r>
        <w:rPr>
          <w:rFonts w:ascii="Times New Roman" w:hAnsi="Times New Roman" w:cs="Times New Roman"/>
          <w:sz w:val="26"/>
          <w:szCs w:val="26"/>
        </w:rPr>
        <w:t xml:space="preserve">this </w:t>
      </w:r>
      <w:r w:rsidR="00053335">
        <w:rPr>
          <w:rFonts w:ascii="Times New Roman" w:hAnsi="Times New Roman" w:cs="Times New Roman"/>
          <w:sz w:val="26"/>
          <w:szCs w:val="26"/>
        </w:rPr>
        <w:t>case</w:t>
      </w:r>
      <w:r>
        <w:rPr>
          <w:rFonts w:ascii="Times New Roman" w:hAnsi="Times New Roman" w:cs="Times New Roman"/>
          <w:sz w:val="26"/>
          <w:szCs w:val="26"/>
        </w:rPr>
        <w:t xml:space="preserve"> the accumulat</w:t>
      </w:r>
      <w:r w:rsidR="00DF2A3A">
        <w:rPr>
          <w:rFonts w:ascii="Times New Roman" w:hAnsi="Times New Roman" w:cs="Times New Roman"/>
          <w:sz w:val="26"/>
          <w:szCs w:val="26"/>
        </w:rPr>
        <w:t xml:space="preserve">ion of </w:t>
      </w:r>
      <w:r>
        <w:rPr>
          <w:rFonts w:ascii="Times New Roman" w:hAnsi="Times New Roman" w:cs="Times New Roman"/>
          <w:sz w:val="26"/>
          <w:szCs w:val="26"/>
        </w:rPr>
        <w:t xml:space="preserve">four years of unbilled service were the direct result </w:t>
      </w:r>
      <w:r w:rsidR="006A6F94">
        <w:rPr>
          <w:rFonts w:ascii="Times New Roman" w:hAnsi="Times New Roman" w:cs="Times New Roman"/>
          <w:sz w:val="26"/>
          <w:szCs w:val="26"/>
        </w:rPr>
        <w:t>of the Complainant’s complacency</w:t>
      </w:r>
      <w:r>
        <w:rPr>
          <w:rFonts w:ascii="Times New Roman" w:hAnsi="Times New Roman" w:cs="Times New Roman"/>
          <w:sz w:val="26"/>
          <w:szCs w:val="26"/>
        </w:rPr>
        <w:t xml:space="preserve"> in receiving service </w:t>
      </w:r>
      <w:r w:rsidR="00053335">
        <w:rPr>
          <w:rFonts w:ascii="Times New Roman" w:hAnsi="Times New Roman" w:cs="Times New Roman"/>
          <w:sz w:val="26"/>
          <w:szCs w:val="26"/>
        </w:rPr>
        <w:t>without taking any</w:t>
      </w:r>
      <w:r>
        <w:rPr>
          <w:rFonts w:ascii="Times New Roman" w:hAnsi="Times New Roman" w:cs="Times New Roman"/>
          <w:sz w:val="26"/>
          <w:szCs w:val="26"/>
        </w:rPr>
        <w:t xml:space="preserve"> step to determine </w:t>
      </w:r>
      <w:r w:rsidR="00DF2A3A">
        <w:rPr>
          <w:rFonts w:ascii="Times New Roman" w:hAnsi="Times New Roman" w:cs="Times New Roman"/>
          <w:sz w:val="26"/>
          <w:szCs w:val="26"/>
        </w:rPr>
        <w:t xml:space="preserve">the proper </w:t>
      </w:r>
      <w:r>
        <w:rPr>
          <w:rFonts w:ascii="Times New Roman" w:hAnsi="Times New Roman" w:cs="Times New Roman"/>
          <w:sz w:val="26"/>
          <w:szCs w:val="26"/>
        </w:rPr>
        <w:t xml:space="preserve">responsibility for </w:t>
      </w:r>
      <w:r w:rsidR="00DF2A3A">
        <w:rPr>
          <w:rFonts w:ascii="Times New Roman" w:hAnsi="Times New Roman" w:cs="Times New Roman"/>
          <w:sz w:val="26"/>
          <w:szCs w:val="26"/>
        </w:rPr>
        <w:t>payment</w:t>
      </w:r>
      <w:r>
        <w:rPr>
          <w:rFonts w:ascii="Times New Roman" w:hAnsi="Times New Roman" w:cs="Times New Roman"/>
          <w:sz w:val="26"/>
          <w:szCs w:val="26"/>
        </w:rPr>
        <w:t>.</w:t>
      </w:r>
    </w:p>
    <w:p w:rsidR="00382725" w:rsidRDefault="00382725" w:rsidP="008F7FC1">
      <w:pPr>
        <w:pStyle w:val="ParaTab1"/>
        <w:tabs>
          <w:tab w:val="left" w:pos="2070"/>
        </w:tabs>
        <w:spacing w:line="360" w:lineRule="auto"/>
        <w:rPr>
          <w:rFonts w:ascii="Times New Roman" w:hAnsi="Times New Roman" w:cs="Times New Roman"/>
          <w:sz w:val="26"/>
          <w:szCs w:val="26"/>
        </w:rPr>
      </w:pPr>
    </w:p>
    <w:p w:rsidR="00DF2A3A" w:rsidRDefault="00DF2A3A" w:rsidP="008F7FC1">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The ALJ also found that PGW acted diligently in its efforts to identify the party responsible for service at the address, again distinguishing </w:t>
      </w:r>
      <w:proofErr w:type="spellStart"/>
      <w:r>
        <w:rPr>
          <w:rFonts w:ascii="Times New Roman" w:hAnsi="Times New Roman" w:cs="Times New Roman"/>
          <w:i/>
          <w:sz w:val="26"/>
          <w:szCs w:val="26"/>
        </w:rPr>
        <w:t>Kron</w:t>
      </w:r>
      <w:proofErr w:type="spellEnd"/>
      <w:r>
        <w:rPr>
          <w:rFonts w:ascii="Times New Roman" w:hAnsi="Times New Roman" w:cs="Times New Roman"/>
          <w:i/>
          <w:sz w:val="26"/>
          <w:szCs w:val="26"/>
        </w:rPr>
        <w:t xml:space="preserve"> </w:t>
      </w:r>
      <w:r>
        <w:rPr>
          <w:rFonts w:ascii="Times New Roman" w:hAnsi="Times New Roman" w:cs="Times New Roman"/>
          <w:sz w:val="26"/>
          <w:szCs w:val="26"/>
        </w:rPr>
        <w:t xml:space="preserve">and </w:t>
      </w:r>
      <w:proofErr w:type="spellStart"/>
      <w:r>
        <w:rPr>
          <w:rFonts w:ascii="Times New Roman" w:hAnsi="Times New Roman" w:cs="Times New Roman"/>
          <w:i/>
          <w:sz w:val="26"/>
          <w:szCs w:val="26"/>
        </w:rPr>
        <w:t>Sottile</w:t>
      </w:r>
      <w:proofErr w:type="spellEnd"/>
      <w:r w:rsidR="00257A3B">
        <w:rPr>
          <w:rFonts w:ascii="Times New Roman" w:hAnsi="Times New Roman" w:cs="Times New Roman"/>
          <w:sz w:val="26"/>
          <w:szCs w:val="26"/>
        </w:rPr>
        <w:t>,</w:t>
      </w:r>
      <w:r>
        <w:rPr>
          <w:rFonts w:ascii="Times New Roman" w:hAnsi="Times New Roman" w:cs="Times New Roman"/>
          <w:sz w:val="26"/>
          <w:szCs w:val="26"/>
        </w:rPr>
        <w:t xml:space="preserve"> because in those cases the responsible parties were easily identifiable (one being a landlord and the other </w:t>
      </w:r>
      <w:r w:rsidR="00382725">
        <w:rPr>
          <w:rFonts w:ascii="Times New Roman" w:hAnsi="Times New Roman" w:cs="Times New Roman"/>
          <w:sz w:val="26"/>
          <w:szCs w:val="26"/>
        </w:rPr>
        <w:t>involving</w:t>
      </w:r>
      <w:r>
        <w:rPr>
          <w:rFonts w:ascii="Times New Roman" w:hAnsi="Times New Roman" w:cs="Times New Roman"/>
          <w:sz w:val="26"/>
          <w:szCs w:val="26"/>
        </w:rPr>
        <w:t xml:space="preserve"> a single family dwelling), whereas the Complainant here was a tenant in an apartment building with other tenants.  </w:t>
      </w:r>
      <w:r w:rsidR="006A2355">
        <w:rPr>
          <w:rFonts w:ascii="Times New Roman" w:hAnsi="Times New Roman" w:cs="Times New Roman"/>
          <w:sz w:val="26"/>
          <w:szCs w:val="26"/>
        </w:rPr>
        <w:t>I.D. at 11-1</w:t>
      </w:r>
      <w:r>
        <w:rPr>
          <w:rFonts w:ascii="Times New Roman" w:hAnsi="Times New Roman" w:cs="Times New Roman"/>
          <w:sz w:val="26"/>
          <w:szCs w:val="26"/>
        </w:rPr>
        <w:t>3</w:t>
      </w:r>
      <w:r w:rsidR="006A2355">
        <w:rPr>
          <w:rFonts w:ascii="Times New Roman" w:hAnsi="Times New Roman" w:cs="Times New Roman"/>
          <w:sz w:val="26"/>
          <w:szCs w:val="26"/>
        </w:rPr>
        <w:t xml:space="preserve">. </w:t>
      </w:r>
      <w:r>
        <w:rPr>
          <w:rFonts w:ascii="Times New Roman" w:hAnsi="Times New Roman" w:cs="Times New Roman"/>
          <w:sz w:val="26"/>
          <w:szCs w:val="26"/>
        </w:rPr>
        <w:t xml:space="preserve"> Accordingly, the ALJ denied the Complainant’s claim that the provision of unbilled service from the fall of 2008 through March 2013 constitute</w:t>
      </w:r>
      <w:r w:rsidR="007E319E">
        <w:rPr>
          <w:rFonts w:ascii="Times New Roman" w:hAnsi="Times New Roman" w:cs="Times New Roman"/>
          <w:sz w:val="26"/>
          <w:szCs w:val="26"/>
        </w:rPr>
        <w:t>d</w:t>
      </w:r>
      <w:r>
        <w:rPr>
          <w:rFonts w:ascii="Times New Roman" w:hAnsi="Times New Roman" w:cs="Times New Roman"/>
          <w:sz w:val="26"/>
          <w:szCs w:val="26"/>
        </w:rPr>
        <w:t xml:space="preserve"> unreasonable service by PGW. I.D. at 13. </w:t>
      </w:r>
    </w:p>
    <w:p w:rsidR="00DF2A3A" w:rsidRDefault="00DF2A3A" w:rsidP="008F7FC1">
      <w:pPr>
        <w:pStyle w:val="ParaTab1"/>
        <w:tabs>
          <w:tab w:val="left" w:pos="2070"/>
        </w:tabs>
        <w:spacing w:line="360" w:lineRule="auto"/>
        <w:rPr>
          <w:rFonts w:ascii="Times New Roman" w:hAnsi="Times New Roman" w:cs="Times New Roman"/>
          <w:sz w:val="26"/>
          <w:szCs w:val="26"/>
        </w:rPr>
      </w:pPr>
    </w:p>
    <w:p w:rsidR="00257A3B" w:rsidRDefault="00546477" w:rsidP="008F7FC1">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Finally, w</w:t>
      </w:r>
      <w:r w:rsidR="009361E2">
        <w:rPr>
          <w:rFonts w:ascii="Times New Roman" w:hAnsi="Times New Roman" w:cs="Times New Roman"/>
          <w:sz w:val="26"/>
          <w:szCs w:val="26"/>
        </w:rPr>
        <w:t xml:space="preserve">ith respect to PGW’s having intercepted the Complainant’s bills </w:t>
      </w:r>
      <w:r w:rsidR="00D11AB9">
        <w:rPr>
          <w:rFonts w:ascii="Times New Roman" w:hAnsi="Times New Roman" w:cs="Times New Roman"/>
          <w:sz w:val="26"/>
          <w:szCs w:val="26"/>
        </w:rPr>
        <w:t xml:space="preserve">from April through November 2013, the ALJ found </w:t>
      </w:r>
      <w:r w:rsidR="00257A3B">
        <w:rPr>
          <w:rFonts w:ascii="Times New Roman" w:hAnsi="Times New Roman" w:cs="Times New Roman"/>
          <w:sz w:val="26"/>
          <w:szCs w:val="26"/>
        </w:rPr>
        <w:t xml:space="preserve">that the Complainant carried his burden of proving that </w:t>
      </w:r>
      <w:r w:rsidR="00D11AB9">
        <w:rPr>
          <w:rFonts w:ascii="Times New Roman" w:hAnsi="Times New Roman" w:cs="Times New Roman"/>
          <w:sz w:val="26"/>
          <w:szCs w:val="26"/>
        </w:rPr>
        <w:t>PGW provided unreasonable service</w:t>
      </w:r>
      <w:r w:rsidR="00257A3B">
        <w:rPr>
          <w:rFonts w:ascii="Times New Roman" w:hAnsi="Times New Roman" w:cs="Times New Roman"/>
          <w:sz w:val="26"/>
          <w:szCs w:val="26"/>
        </w:rPr>
        <w:t xml:space="preserve"> in failing to send him bills in that time period</w:t>
      </w:r>
      <w:r w:rsidR="00D11AB9">
        <w:rPr>
          <w:rFonts w:ascii="Times New Roman" w:hAnsi="Times New Roman" w:cs="Times New Roman"/>
          <w:sz w:val="26"/>
          <w:szCs w:val="26"/>
        </w:rPr>
        <w:t>.  The Company explained that after the initial makeup bill was issued and Mr.</w:t>
      </w:r>
      <w:r>
        <w:rPr>
          <w:rFonts w:ascii="Times New Roman" w:hAnsi="Times New Roman" w:cs="Times New Roman"/>
          <w:sz w:val="26"/>
          <w:szCs w:val="26"/>
        </w:rPr>
        <w:t> </w:t>
      </w:r>
      <w:proofErr w:type="spellStart"/>
      <w:r w:rsidR="00D11AB9">
        <w:rPr>
          <w:rFonts w:ascii="Times New Roman" w:hAnsi="Times New Roman" w:cs="Times New Roman"/>
          <w:sz w:val="26"/>
          <w:szCs w:val="26"/>
        </w:rPr>
        <w:t>Haynesworth</w:t>
      </w:r>
      <w:proofErr w:type="spellEnd"/>
      <w:r w:rsidR="00D11AB9">
        <w:rPr>
          <w:rFonts w:ascii="Times New Roman" w:hAnsi="Times New Roman" w:cs="Times New Roman"/>
          <w:sz w:val="26"/>
          <w:szCs w:val="26"/>
        </w:rPr>
        <w:t xml:space="preserve"> requested a month-to-month breakdown of the bill, the Company rebilled the Complainant, but also ordered that all bills to the Complainant be “intercepted” </w:t>
      </w:r>
      <w:r w:rsidR="00382725">
        <w:rPr>
          <w:rFonts w:ascii="Times New Roman" w:hAnsi="Times New Roman" w:cs="Times New Roman"/>
          <w:sz w:val="26"/>
          <w:szCs w:val="26"/>
        </w:rPr>
        <w:t>while</w:t>
      </w:r>
      <w:r w:rsidR="00D11AB9">
        <w:rPr>
          <w:rFonts w:ascii="Times New Roman" w:hAnsi="Times New Roman" w:cs="Times New Roman"/>
          <w:sz w:val="26"/>
          <w:szCs w:val="26"/>
        </w:rPr>
        <w:t xml:space="preserve"> the review process</w:t>
      </w:r>
      <w:r w:rsidR="00382725">
        <w:rPr>
          <w:rFonts w:ascii="Times New Roman" w:hAnsi="Times New Roman" w:cs="Times New Roman"/>
          <w:sz w:val="26"/>
          <w:szCs w:val="26"/>
        </w:rPr>
        <w:t xml:space="preserve"> was pending</w:t>
      </w:r>
      <w:r>
        <w:rPr>
          <w:rFonts w:ascii="Times New Roman" w:hAnsi="Times New Roman" w:cs="Times New Roman"/>
          <w:sz w:val="26"/>
          <w:szCs w:val="26"/>
        </w:rPr>
        <w:t>, meaning that the bills would not be sent to the Complainant</w:t>
      </w:r>
      <w:r w:rsidR="00D11AB9">
        <w:rPr>
          <w:rFonts w:ascii="Times New Roman" w:hAnsi="Times New Roman" w:cs="Times New Roman"/>
          <w:sz w:val="26"/>
          <w:szCs w:val="26"/>
        </w:rPr>
        <w:t>.  As the ALJ found, “[w]</w:t>
      </w:r>
      <w:proofErr w:type="spellStart"/>
      <w:r w:rsidR="00D11AB9">
        <w:rPr>
          <w:rFonts w:ascii="Times New Roman" w:hAnsi="Times New Roman" w:cs="Times New Roman"/>
          <w:sz w:val="26"/>
          <w:szCs w:val="26"/>
        </w:rPr>
        <w:t>hether</w:t>
      </w:r>
      <w:proofErr w:type="spellEnd"/>
      <w:r w:rsidR="00D11AB9">
        <w:rPr>
          <w:rFonts w:ascii="Times New Roman" w:hAnsi="Times New Roman" w:cs="Times New Roman"/>
          <w:sz w:val="26"/>
          <w:szCs w:val="26"/>
        </w:rPr>
        <w:t xml:space="preserve"> by oversight or negligence[,]” the interception continued for approximately seven months during which Mr. </w:t>
      </w:r>
      <w:proofErr w:type="spellStart"/>
      <w:r w:rsidR="00D11AB9">
        <w:rPr>
          <w:rFonts w:ascii="Times New Roman" w:hAnsi="Times New Roman" w:cs="Times New Roman"/>
          <w:sz w:val="26"/>
          <w:szCs w:val="26"/>
        </w:rPr>
        <w:t>Haynesworth</w:t>
      </w:r>
      <w:proofErr w:type="spellEnd"/>
      <w:r w:rsidR="00D11AB9">
        <w:rPr>
          <w:rFonts w:ascii="Times New Roman" w:hAnsi="Times New Roman" w:cs="Times New Roman"/>
          <w:sz w:val="26"/>
          <w:szCs w:val="26"/>
        </w:rPr>
        <w:t xml:space="preserve"> received no bills.  This, the ALJ concluded, constituted unreasonable service.</w:t>
      </w:r>
      <w:r w:rsidR="00257A3B">
        <w:rPr>
          <w:rFonts w:ascii="Times New Roman" w:hAnsi="Times New Roman" w:cs="Times New Roman"/>
          <w:sz w:val="26"/>
          <w:szCs w:val="26"/>
        </w:rPr>
        <w:t xml:space="preserve">  I.D. at 16.</w:t>
      </w:r>
      <w:r w:rsidR="00D11AB9">
        <w:rPr>
          <w:rFonts w:ascii="Times New Roman" w:hAnsi="Times New Roman" w:cs="Times New Roman"/>
          <w:sz w:val="26"/>
          <w:szCs w:val="26"/>
        </w:rPr>
        <w:t xml:space="preserve"> </w:t>
      </w:r>
    </w:p>
    <w:p w:rsidR="00257A3B" w:rsidRDefault="00257A3B" w:rsidP="008F7FC1">
      <w:pPr>
        <w:pStyle w:val="ParaTab1"/>
        <w:tabs>
          <w:tab w:val="left" w:pos="2070"/>
        </w:tabs>
        <w:spacing w:line="360" w:lineRule="auto"/>
        <w:rPr>
          <w:rFonts w:ascii="Times New Roman" w:hAnsi="Times New Roman" w:cs="Times New Roman"/>
          <w:sz w:val="26"/>
          <w:szCs w:val="26"/>
        </w:rPr>
      </w:pPr>
    </w:p>
    <w:p w:rsidR="00853A24" w:rsidRPr="00853A24" w:rsidRDefault="00D11AB9" w:rsidP="008F7FC1">
      <w:pPr>
        <w:pStyle w:val="ParaTab1"/>
        <w:tabs>
          <w:tab w:val="left" w:pos="2070"/>
        </w:tabs>
        <w:spacing w:line="360" w:lineRule="auto"/>
        <w:rPr>
          <w:rStyle w:val="Hyperlink"/>
          <w:color w:val="000000"/>
          <w:szCs w:val="26"/>
          <w:u w:val="none"/>
        </w:rPr>
      </w:pPr>
      <w:r>
        <w:rPr>
          <w:rFonts w:ascii="Times New Roman" w:hAnsi="Times New Roman" w:cs="Times New Roman"/>
          <w:sz w:val="26"/>
          <w:szCs w:val="26"/>
        </w:rPr>
        <w:lastRenderedPageBreak/>
        <w:t xml:space="preserve">Upon consideration of the factors for imposition of a civil penalty under our </w:t>
      </w:r>
      <w:r w:rsidR="00382725">
        <w:rPr>
          <w:rFonts w:ascii="Times New Roman" w:hAnsi="Times New Roman" w:cs="Times New Roman"/>
          <w:sz w:val="26"/>
          <w:szCs w:val="26"/>
        </w:rPr>
        <w:t>P</w:t>
      </w:r>
      <w:r>
        <w:rPr>
          <w:rFonts w:ascii="Times New Roman" w:hAnsi="Times New Roman" w:cs="Times New Roman"/>
          <w:sz w:val="26"/>
          <w:szCs w:val="26"/>
        </w:rPr>
        <w:t xml:space="preserve">olicy </w:t>
      </w:r>
      <w:r w:rsidR="00382725">
        <w:rPr>
          <w:rFonts w:ascii="Times New Roman" w:hAnsi="Times New Roman" w:cs="Times New Roman"/>
          <w:sz w:val="26"/>
          <w:szCs w:val="26"/>
        </w:rPr>
        <w:t>S</w:t>
      </w:r>
      <w:r>
        <w:rPr>
          <w:rFonts w:ascii="Times New Roman" w:hAnsi="Times New Roman" w:cs="Times New Roman"/>
          <w:sz w:val="26"/>
          <w:szCs w:val="26"/>
        </w:rPr>
        <w:t xml:space="preserve">tatement at 52 Pa. Code § 69.1201(c), the ALJ determined that </w:t>
      </w:r>
      <w:r w:rsidR="00382725">
        <w:rPr>
          <w:rFonts w:ascii="Times New Roman" w:hAnsi="Times New Roman" w:cs="Times New Roman"/>
          <w:sz w:val="26"/>
          <w:szCs w:val="26"/>
        </w:rPr>
        <w:t>PGW’s</w:t>
      </w:r>
      <w:r>
        <w:rPr>
          <w:rFonts w:ascii="Times New Roman" w:hAnsi="Times New Roman" w:cs="Times New Roman"/>
          <w:sz w:val="26"/>
          <w:szCs w:val="26"/>
        </w:rPr>
        <w:t xml:space="preserve"> behavior was neither willful nor injurious to person or property</w:t>
      </w:r>
      <w:r w:rsidR="00546477">
        <w:rPr>
          <w:rFonts w:ascii="Times New Roman" w:hAnsi="Times New Roman" w:cs="Times New Roman"/>
          <w:sz w:val="26"/>
          <w:szCs w:val="26"/>
        </w:rPr>
        <w:t xml:space="preserve">.  </w:t>
      </w:r>
      <w:r w:rsidR="00132B05">
        <w:rPr>
          <w:rFonts w:ascii="Times New Roman" w:hAnsi="Times New Roman" w:cs="Times New Roman"/>
          <w:sz w:val="26"/>
          <w:szCs w:val="26"/>
        </w:rPr>
        <w:t xml:space="preserve">I.D. at 17-18.  </w:t>
      </w:r>
      <w:r w:rsidR="00546477">
        <w:rPr>
          <w:rFonts w:ascii="Times New Roman" w:hAnsi="Times New Roman" w:cs="Times New Roman"/>
          <w:sz w:val="26"/>
          <w:szCs w:val="26"/>
        </w:rPr>
        <w:t xml:space="preserve">The behavior was, the ALJ found, due to human error or negligence, a </w:t>
      </w:r>
      <w:r w:rsidR="00546477" w:rsidRPr="00546477">
        <w:rPr>
          <w:rFonts w:ascii="Times New Roman" w:hAnsi="Times New Roman" w:cs="Times New Roman"/>
          <w:sz w:val="26"/>
          <w:szCs w:val="26"/>
        </w:rPr>
        <w:t xml:space="preserve">“well-intentioned effort to review [the Complainant’s] makeup bill in April of 2013” </w:t>
      </w:r>
      <w:r w:rsidR="00546477">
        <w:rPr>
          <w:rFonts w:ascii="Times New Roman" w:hAnsi="Times New Roman" w:cs="Times New Roman"/>
          <w:sz w:val="26"/>
          <w:szCs w:val="26"/>
        </w:rPr>
        <w:t xml:space="preserve">that </w:t>
      </w:r>
      <w:r w:rsidR="00546477" w:rsidRPr="00546477">
        <w:rPr>
          <w:rFonts w:ascii="Times New Roman" w:hAnsi="Times New Roman" w:cs="Times New Roman"/>
          <w:sz w:val="26"/>
          <w:szCs w:val="26"/>
        </w:rPr>
        <w:t>extended for seven months</w:t>
      </w:r>
      <w:r w:rsidR="00546477">
        <w:rPr>
          <w:rFonts w:ascii="Times New Roman" w:hAnsi="Times New Roman" w:cs="Times New Roman"/>
          <w:sz w:val="26"/>
          <w:szCs w:val="26"/>
        </w:rPr>
        <w:t>, and was limited to Mr. </w:t>
      </w:r>
      <w:proofErr w:type="spellStart"/>
      <w:r w:rsidR="00546477">
        <w:rPr>
          <w:rFonts w:ascii="Times New Roman" w:hAnsi="Times New Roman" w:cs="Times New Roman"/>
          <w:sz w:val="26"/>
          <w:szCs w:val="26"/>
        </w:rPr>
        <w:t>Haynesworth’s</w:t>
      </w:r>
      <w:proofErr w:type="spellEnd"/>
      <w:r w:rsidR="00546477">
        <w:rPr>
          <w:rFonts w:ascii="Times New Roman" w:hAnsi="Times New Roman" w:cs="Times New Roman"/>
          <w:sz w:val="26"/>
          <w:szCs w:val="26"/>
        </w:rPr>
        <w:t xml:space="preserve"> account.  I.D. at </w:t>
      </w:r>
      <w:r w:rsidR="00132B05">
        <w:rPr>
          <w:rFonts w:ascii="Times New Roman" w:hAnsi="Times New Roman" w:cs="Times New Roman"/>
          <w:sz w:val="26"/>
          <w:szCs w:val="26"/>
        </w:rPr>
        <w:t>18-</w:t>
      </w:r>
      <w:r w:rsidR="00546477">
        <w:rPr>
          <w:rFonts w:ascii="Times New Roman" w:hAnsi="Times New Roman" w:cs="Times New Roman"/>
          <w:sz w:val="26"/>
          <w:szCs w:val="26"/>
        </w:rPr>
        <w:t xml:space="preserve">19.  Likening these circumstances to prior cases in which we imposed a civil penalty of $250.00 on PGW for each year the Company back-billed customers’ accounts as a result of failure to read the gas meters, the ALJ </w:t>
      </w:r>
      <w:r w:rsidR="004F7403">
        <w:rPr>
          <w:rFonts w:ascii="Times New Roman" w:hAnsi="Times New Roman" w:cs="Times New Roman"/>
          <w:sz w:val="26"/>
          <w:szCs w:val="26"/>
        </w:rPr>
        <w:t xml:space="preserve">determined that a civil </w:t>
      </w:r>
      <w:r>
        <w:rPr>
          <w:rFonts w:ascii="Times New Roman" w:hAnsi="Times New Roman" w:cs="Times New Roman"/>
          <w:sz w:val="26"/>
          <w:szCs w:val="26"/>
        </w:rPr>
        <w:t xml:space="preserve">penalty </w:t>
      </w:r>
      <w:r w:rsidR="004F7403">
        <w:rPr>
          <w:rFonts w:ascii="Times New Roman" w:hAnsi="Times New Roman" w:cs="Times New Roman"/>
          <w:sz w:val="26"/>
          <w:szCs w:val="26"/>
        </w:rPr>
        <w:t xml:space="preserve">in the amount </w:t>
      </w:r>
      <w:r>
        <w:rPr>
          <w:rFonts w:ascii="Times New Roman" w:hAnsi="Times New Roman" w:cs="Times New Roman"/>
          <w:sz w:val="26"/>
          <w:szCs w:val="26"/>
        </w:rPr>
        <w:t>of $200.00</w:t>
      </w:r>
      <w:r w:rsidR="004F7403">
        <w:rPr>
          <w:rFonts w:ascii="Times New Roman" w:hAnsi="Times New Roman" w:cs="Times New Roman"/>
          <w:sz w:val="26"/>
          <w:szCs w:val="26"/>
        </w:rPr>
        <w:t xml:space="preserve"> would deter future violations while drawing the Company’s attention “to the need for accuracy and attention to details.”  I.D. at 19.</w:t>
      </w:r>
      <w:r>
        <w:rPr>
          <w:rFonts w:ascii="Times New Roman" w:hAnsi="Times New Roman" w:cs="Times New Roman"/>
          <w:sz w:val="26"/>
          <w:szCs w:val="26"/>
        </w:rPr>
        <w:t xml:space="preserve">  </w:t>
      </w:r>
    </w:p>
    <w:p w:rsidR="001F0898" w:rsidRDefault="001F0898" w:rsidP="00B15ABC">
      <w:pPr>
        <w:tabs>
          <w:tab w:val="left" w:pos="-720"/>
        </w:tabs>
        <w:suppressAutoHyphens/>
        <w:spacing w:line="360" w:lineRule="auto"/>
        <w:ind w:firstLine="1440"/>
        <w:rPr>
          <w:rStyle w:val="Hyperlink"/>
          <w:b/>
          <w:color w:val="000000"/>
          <w:szCs w:val="26"/>
          <w:u w:val="none"/>
        </w:rPr>
      </w:pP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t>Disposition</w:t>
      </w:r>
    </w:p>
    <w:p w:rsidR="00FB6B2F" w:rsidRDefault="00FB6B2F" w:rsidP="00B15ABC">
      <w:pPr>
        <w:tabs>
          <w:tab w:val="left" w:pos="-720"/>
        </w:tabs>
        <w:suppressAutoHyphens/>
        <w:spacing w:line="360" w:lineRule="auto"/>
        <w:ind w:firstLine="1440"/>
        <w:rPr>
          <w:rStyle w:val="Hyperlink"/>
          <w:b/>
          <w:color w:val="000000"/>
          <w:szCs w:val="26"/>
          <w:u w:val="none"/>
        </w:rPr>
      </w:pPr>
    </w:p>
    <w:p w:rsidR="00AF0972" w:rsidRDefault="00546477"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We agree with the ALJ’s disposition of the Complainant’s challenges to the accuracy of the Company’s makeup bill and failure to notify the Complainant of his responsibility to pay for the gas service upon his assumption of the tenancy at the service address and adopt the ALJ’s findings </w:t>
      </w:r>
      <w:r w:rsidR="003F685C">
        <w:rPr>
          <w:rStyle w:val="Hyperlink"/>
          <w:color w:val="000000"/>
          <w:szCs w:val="26"/>
          <w:u w:val="none"/>
        </w:rPr>
        <w:t xml:space="preserve">without modification </w:t>
      </w:r>
      <w:r>
        <w:rPr>
          <w:rStyle w:val="Hyperlink"/>
          <w:color w:val="000000"/>
          <w:szCs w:val="26"/>
          <w:u w:val="none"/>
        </w:rPr>
        <w:t xml:space="preserve">on both </w:t>
      </w:r>
      <w:r w:rsidR="003F685C">
        <w:rPr>
          <w:rStyle w:val="Hyperlink"/>
          <w:color w:val="000000"/>
          <w:szCs w:val="26"/>
          <w:u w:val="none"/>
        </w:rPr>
        <w:t xml:space="preserve">of </w:t>
      </w:r>
      <w:r>
        <w:rPr>
          <w:rStyle w:val="Hyperlink"/>
          <w:color w:val="000000"/>
          <w:szCs w:val="26"/>
          <w:u w:val="none"/>
        </w:rPr>
        <w:t>those accounts.</w:t>
      </w:r>
      <w:r w:rsidR="004F7403">
        <w:rPr>
          <w:rStyle w:val="Hyperlink"/>
          <w:color w:val="000000"/>
          <w:szCs w:val="26"/>
          <w:u w:val="none"/>
        </w:rPr>
        <w:t xml:space="preserve">  While we agree with the ALJ’s determination that PGW’s failure to issue monthly bills for seven months after the Complainant became a customer constituted unreasonable service, we disagree with the ALJ’s conclusion that PGW acted reasonably in its use of what is commonly known as the “user without contract”</w:t>
      </w:r>
      <w:r w:rsidR="00132B05">
        <w:rPr>
          <w:rStyle w:val="Hyperlink"/>
          <w:color w:val="000000"/>
          <w:szCs w:val="26"/>
          <w:u w:val="none"/>
        </w:rPr>
        <w:t xml:space="preserve"> mechanism </w:t>
      </w:r>
      <w:r w:rsidR="00382725">
        <w:rPr>
          <w:rStyle w:val="Hyperlink"/>
          <w:color w:val="000000"/>
          <w:szCs w:val="26"/>
          <w:u w:val="none"/>
        </w:rPr>
        <w:t xml:space="preserve">in the four years prior to that </w:t>
      </w:r>
      <w:r w:rsidR="00132B05">
        <w:rPr>
          <w:rStyle w:val="Hyperlink"/>
          <w:color w:val="000000"/>
          <w:szCs w:val="26"/>
          <w:u w:val="none"/>
        </w:rPr>
        <w:t>and therefore reverse the ALJ’s disposition of this part of the Complaint.</w:t>
      </w:r>
    </w:p>
    <w:p w:rsidR="00546477" w:rsidRDefault="00546477" w:rsidP="00B15ABC">
      <w:pPr>
        <w:tabs>
          <w:tab w:val="left" w:pos="-720"/>
        </w:tabs>
        <w:suppressAutoHyphens/>
        <w:spacing w:line="360" w:lineRule="auto"/>
        <w:ind w:firstLine="1440"/>
        <w:rPr>
          <w:rStyle w:val="Hyperlink"/>
          <w:color w:val="000000"/>
          <w:szCs w:val="26"/>
          <w:u w:val="none"/>
        </w:rPr>
      </w:pPr>
    </w:p>
    <w:p w:rsidR="00081465" w:rsidRDefault="003F685C"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The term</w:t>
      </w:r>
      <w:r w:rsidRPr="003F685C">
        <w:rPr>
          <w:rStyle w:val="Hyperlink"/>
          <w:color w:val="000000"/>
          <w:szCs w:val="26"/>
          <w:u w:val="none"/>
        </w:rPr>
        <w:t xml:space="preserve"> “user without contract” </w:t>
      </w:r>
      <w:r>
        <w:rPr>
          <w:rStyle w:val="Hyperlink"/>
          <w:color w:val="000000"/>
          <w:szCs w:val="26"/>
          <w:u w:val="none"/>
        </w:rPr>
        <w:t xml:space="preserve">refers to </w:t>
      </w:r>
      <w:r w:rsidRPr="003F685C">
        <w:rPr>
          <w:rStyle w:val="Hyperlink"/>
          <w:color w:val="000000"/>
          <w:szCs w:val="26"/>
          <w:u w:val="none"/>
        </w:rPr>
        <w:t xml:space="preserve">a residential occupant </w:t>
      </w:r>
      <w:r>
        <w:rPr>
          <w:rStyle w:val="Hyperlink"/>
          <w:color w:val="000000"/>
          <w:szCs w:val="26"/>
          <w:u w:val="none"/>
        </w:rPr>
        <w:t xml:space="preserve">of a dwelling </w:t>
      </w:r>
      <w:r w:rsidRPr="003F685C">
        <w:rPr>
          <w:rStyle w:val="Hyperlink"/>
          <w:color w:val="000000"/>
          <w:szCs w:val="26"/>
          <w:u w:val="none"/>
        </w:rPr>
        <w:t>who has not engaged in self-turn-on, meter tampering</w:t>
      </w:r>
      <w:r>
        <w:rPr>
          <w:rStyle w:val="Hyperlink"/>
          <w:color w:val="000000"/>
          <w:szCs w:val="26"/>
          <w:u w:val="none"/>
        </w:rPr>
        <w:t>,</w:t>
      </w:r>
      <w:r w:rsidRPr="003F685C">
        <w:rPr>
          <w:rStyle w:val="Hyperlink"/>
          <w:color w:val="000000"/>
          <w:szCs w:val="26"/>
          <w:u w:val="none"/>
        </w:rPr>
        <w:t xml:space="preserve"> m</w:t>
      </w:r>
      <w:r>
        <w:rPr>
          <w:rStyle w:val="Hyperlink"/>
          <w:color w:val="000000"/>
          <w:szCs w:val="26"/>
          <w:u w:val="none"/>
        </w:rPr>
        <w:t>e</w:t>
      </w:r>
      <w:r w:rsidRPr="003F685C">
        <w:rPr>
          <w:rStyle w:val="Hyperlink"/>
          <w:color w:val="000000"/>
          <w:szCs w:val="26"/>
          <w:u w:val="none"/>
        </w:rPr>
        <w:t xml:space="preserve">ter-by-pass, </w:t>
      </w:r>
      <w:r w:rsidR="00D77184">
        <w:rPr>
          <w:rStyle w:val="Hyperlink"/>
          <w:color w:val="000000"/>
          <w:szCs w:val="26"/>
          <w:u w:val="none"/>
        </w:rPr>
        <w:t xml:space="preserve">or other activity tinged with </w:t>
      </w:r>
      <w:r w:rsidR="00132B05">
        <w:rPr>
          <w:rStyle w:val="Hyperlink"/>
          <w:color w:val="000000"/>
          <w:szCs w:val="26"/>
          <w:u w:val="none"/>
        </w:rPr>
        <w:t>intent</w:t>
      </w:r>
      <w:r w:rsidR="00D77184">
        <w:rPr>
          <w:rStyle w:val="Hyperlink"/>
          <w:color w:val="000000"/>
          <w:szCs w:val="26"/>
          <w:u w:val="none"/>
        </w:rPr>
        <w:t xml:space="preserve"> to deceive, </w:t>
      </w:r>
      <w:r w:rsidRPr="003F685C">
        <w:rPr>
          <w:rStyle w:val="Hyperlink"/>
          <w:color w:val="000000"/>
          <w:szCs w:val="26"/>
          <w:u w:val="none"/>
        </w:rPr>
        <w:t>but who n</w:t>
      </w:r>
      <w:r>
        <w:rPr>
          <w:rStyle w:val="Hyperlink"/>
          <w:color w:val="000000"/>
          <w:szCs w:val="26"/>
          <w:u w:val="none"/>
        </w:rPr>
        <w:t>everthe</w:t>
      </w:r>
      <w:r w:rsidRPr="003F685C">
        <w:rPr>
          <w:rStyle w:val="Hyperlink"/>
          <w:color w:val="000000"/>
          <w:szCs w:val="26"/>
          <w:u w:val="none"/>
        </w:rPr>
        <w:t xml:space="preserve">less is </w:t>
      </w:r>
      <w:r>
        <w:rPr>
          <w:rStyle w:val="Hyperlink"/>
          <w:color w:val="000000"/>
          <w:szCs w:val="26"/>
          <w:u w:val="none"/>
        </w:rPr>
        <w:t xml:space="preserve">consuming </w:t>
      </w:r>
      <w:r w:rsidRPr="003F685C">
        <w:rPr>
          <w:rStyle w:val="Hyperlink"/>
          <w:color w:val="000000"/>
          <w:szCs w:val="26"/>
          <w:u w:val="none"/>
        </w:rPr>
        <w:t xml:space="preserve">gas service </w:t>
      </w:r>
      <w:r>
        <w:rPr>
          <w:rStyle w:val="Hyperlink"/>
          <w:color w:val="000000"/>
          <w:szCs w:val="26"/>
          <w:u w:val="none"/>
        </w:rPr>
        <w:t xml:space="preserve">at a premises </w:t>
      </w:r>
      <w:r w:rsidRPr="003F685C">
        <w:rPr>
          <w:rStyle w:val="Hyperlink"/>
          <w:color w:val="000000"/>
          <w:szCs w:val="26"/>
          <w:u w:val="none"/>
        </w:rPr>
        <w:t>without the knowledge of the utility.</w:t>
      </w:r>
      <w:r>
        <w:rPr>
          <w:rStyle w:val="Hyperlink"/>
          <w:color w:val="000000"/>
          <w:szCs w:val="26"/>
          <w:u w:val="none"/>
        </w:rPr>
        <w:t xml:space="preserve">  </w:t>
      </w:r>
      <w:r w:rsidR="00D77184">
        <w:rPr>
          <w:rStyle w:val="Hyperlink"/>
          <w:i/>
          <w:color w:val="000000"/>
          <w:szCs w:val="26"/>
          <w:u w:val="none"/>
        </w:rPr>
        <w:t xml:space="preserve">See </w:t>
      </w:r>
      <w:r w:rsidR="00D77184">
        <w:rPr>
          <w:rStyle w:val="Hyperlink"/>
          <w:color w:val="000000"/>
          <w:szCs w:val="26"/>
          <w:u w:val="none"/>
        </w:rPr>
        <w:t>52 Pa. Code § 56.2 (</w:t>
      </w:r>
      <w:r w:rsidR="00382725">
        <w:rPr>
          <w:rStyle w:val="Hyperlink"/>
          <w:color w:val="000000"/>
          <w:szCs w:val="26"/>
          <w:u w:val="none"/>
        </w:rPr>
        <w:t xml:space="preserve">definition of “user without contract” as </w:t>
      </w:r>
      <w:r w:rsidR="00D77184">
        <w:rPr>
          <w:rStyle w:val="Hyperlink"/>
          <w:color w:val="000000"/>
          <w:szCs w:val="26"/>
          <w:u w:val="none"/>
        </w:rPr>
        <w:t xml:space="preserve">a person </w:t>
      </w:r>
      <w:r w:rsidR="00382725">
        <w:rPr>
          <w:rStyle w:val="Hyperlink"/>
          <w:color w:val="000000"/>
          <w:szCs w:val="26"/>
          <w:u w:val="none"/>
        </w:rPr>
        <w:t>who</w:t>
      </w:r>
      <w:r w:rsidR="00D77184">
        <w:rPr>
          <w:rStyle w:val="Hyperlink"/>
          <w:color w:val="000000"/>
          <w:szCs w:val="26"/>
          <w:u w:val="none"/>
        </w:rPr>
        <w:t xml:space="preserve"> takes or accepts service without the utility’s </w:t>
      </w:r>
      <w:r w:rsidR="00D77184">
        <w:rPr>
          <w:rStyle w:val="Hyperlink"/>
          <w:color w:val="000000"/>
          <w:szCs w:val="26"/>
          <w:u w:val="none"/>
        </w:rPr>
        <w:lastRenderedPageBreak/>
        <w:t xml:space="preserve">knowledge or approval, other than unauthorized use of service); </w:t>
      </w:r>
      <w:r w:rsidR="00081465" w:rsidRPr="00081465">
        <w:rPr>
          <w:i/>
          <w:color w:val="000000"/>
          <w:szCs w:val="26"/>
        </w:rPr>
        <w:t>Gregory Berry v. Philadelphia Gas Works</w:t>
      </w:r>
      <w:r w:rsidR="00081465" w:rsidRPr="00081465">
        <w:rPr>
          <w:color w:val="000000"/>
          <w:szCs w:val="26"/>
        </w:rPr>
        <w:t>, Docket No. F-2010-2163390 (Order entered December 1, 2011)</w:t>
      </w:r>
      <w:r w:rsidR="00081465">
        <w:rPr>
          <w:color w:val="000000"/>
          <w:szCs w:val="26"/>
        </w:rPr>
        <w:t xml:space="preserve">; </w:t>
      </w:r>
      <w:r w:rsidR="00081465" w:rsidRPr="00081465">
        <w:rPr>
          <w:rStyle w:val="Hyperlink"/>
          <w:i/>
          <w:color w:val="000000"/>
          <w:szCs w:val="26"/>
          <w:u w:val="none"/>
        </w:rPr>
        <w:t>Re Provisions of 52 Pa. Code, Chapter 56 to Comply with the Provisions of 66 Pa.</w:t>
      </w:r>
      <w:r w:rsidR="00081465">
        <w:rPr>
          <w:rStyle w:val="Hyperlink"/>
          <w:i/>
          <w:color w:val="000000"/>
          <w:szCs w:val="26"/>
          <w:u w:val="none"/>
        </w:rPr>
        <w:t xml:space="preserve"> </w:t>
      </w:r>
      <w:r w:rsidR="00081465" w:rsidRPr="00081465">
        <w:rPr>
          <w:rStyle w:val="Hyperlink"/>
          <w:i/>
          <w:color w:val="000000"/>
          <w:szCs w:val="26"/>
          <w:u w:val="none"/>
        </w:rPr>
        <w:t>C.S., Chapter 14</w:t>
      </w:r>
      <w:r w:rsidR="00081465" w:rsidRPr="00081465">
        <w:rPr>
          <w:rStyle w:val="Hyperlink"/>
          <w:color w:val="000000"/>
          <w:szCs w:val="26"/>
          <w:u w:val="none"/>
        </w:rPr>
        <w:t>, 2011 WL 3001641 (</w:t>
      </w:r>
      <w:proofErr w:type="spellStart"/>
      <w:r w:rsidR="00081465" w:rsidRPr="00081465">
        <w:rPr>
          <w:rStyle w:val="Hyperlink"/>
          <w:color w:val="000000"/>
          <w:szCs w:val="26"/>
          <w:u w:val="none"/>
        </w:rPr>
        <w:t>Pa.P.U.C</w:t>
      </w:r>
      <w:proofErr w:type="spellEnd"/>
      <w:r w:rsidR="00081465" w:rsidRPr="00081465">
        <w:rPr>
          <w:rStyle w:val="Hyperlink"/>
          <w:color w:val="000000"/>
          <w:szCs w:val="26"/>
          <w:u w:val="none"/>
        </w:rPr>
        <w:t>., Jun</w:t>
      </w:r>
      <w:r w:rsidR="00081465">
        <w:rPr>
          <w:rStyle w:val="Hyperlink"/>
          <w:color w:val="000000"/>
          <w:szCs w:val="26"/>
          <w:u w:val="none"/>
        </w:rPr>
        <w:t>e</w:t>
      </w:r>
      <w:r w:rsidR="00081465" w:rsidRPr="00081465">
        <w:rPr>
          <w:rStyle w:val="Hyperlink"/>
          <w:color w:val="000000"/>
          <w:szCs w:val="26"/>
          <w:u w:val="none"/>
        </w:rPr>
        <w:t xml:space="preserve"> 9, 2011)</w:t>
      </w:r>
      <w:r>
        <w:rPr>
          <w:rStyle w:val="Hyperlink"/>
          <w:color w:val="000000"/>
          <w:szCs w:val="26"/>
          <w:u w:val="none"/>
        </w:rPr>
        <w:t xml:space="preserve">.  </w:t>
      </w:r>
    </w:p>
    <w:p w:rsidR="00081465" w:rsidRDefault="00081465" w:rsidP="00B15ABC">
      <w:pPr>
        <w:tabs>
          <w:tab w:val="left" w:pos="-720"/>
        </w:tabs>
        <w:suppressAutoHyphens/>
        <w:spacing w:line="360" w:lineRule="auto"/>
        <w:ind w:firstLine="1440"/>
        <w:rPr>
          <w:rStyle w:val="Hyperlink"/>
          <w:color w:val="000000"/>
          <w:szCs w:val="26"/>
          <w:u w:val="none"/>
        </w:rPr>
      </w:pPr>
    </w:p>
    <w:p w:rsidR="00AF0972" w:rsidRDefault="00081465"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As we have previously noted, wh</w:t>
      </w:r>
      <w:r w:rsidR="00AF0972">
        <w:rPr>
          <w:rStyle w:val="Hyperlink"/>
          <w:color w:val="000000"/>
          <w:szCs w:val="26"/>
          <w:u w:val="none"/>
        </w:rPr>
        <w:t xml:space="preserve">en properly utilized, a “user without contract” mechanism allows a utility to save money by avoiding repeated trips to a service address to physically disconnect and reconnect customers, usually in rental properties.  </w:t>
      </w:r>
      <w:r w:rsidRPr="00081465">
        <w:rPr>
          <w:rStyle w:val="Hyperlink"/>
          <w:i/>
          <w:color w:val="000000"/>
          <w:szCs w:val="26"/>
          <w:u w:val="none"/>
        </w:rPr>
        <w:t xml:space="preserve">See </w:t>
      </w:r>
      <w:proofErr w:type="spellStart"/>
      <w:r w:rsidRPr="00081465">
        <w:rPr>
          <w:rStyle w:val="Hyperlink"/>
          <w:i/>
          <w:color w:val="000000"/>
          <w:szCs w:val="26"/>
          <w:u w:val="none"/>
        </w:rPr>
        <w:t>Kron</w:t>
      </w:r>
      <w:proofErr w:type="spellEnd"/>
      <w:r>
        <w:rPr>
          <w:rStyle w:val="Hyperlink"/>
          <w:color w:val="000000"/>
          <w:szCs w:val="26"/>
          <w:u w:val="none"/>
        </w:rPr>
        <w:t xml:space="preserve">, </w:t>
      </w:r>
      <w:r w:rsidRPr="00081465">
        <w:rPr>
          <w:rStyle w:val="Hyperlink"/>
          <w:i/>
          <w:color w:val="000000"/>
          <w:szCs w:val="26"/>
          <w:u w:val="none"/>
        </w:rPr>
        <w:t>supra</w:t>
      </w:r>
      <w:r>
        <w:rPr>
          <w:rStyle w:val="Hyperlink"/>
          <w:color w:val="000000"/>
          <w:szCs w:val="26"/>
          <w:u w:val="none"/>
        </w:rPr>
        <w:t xml:space="preserve">.  </w:t>
      </w:r>
      <w:r w:rsidR="00AF0972" w:rsidRPr="00081465">
        <w:rPr>
          <w:rStyle w:val="Hyperlink"/>
          <w:color w:val="000000"/>
          <w:szCs w:val="26"/>
          <w:u w:val="none"/>
        </w:rPr>
        <w:t>When</w:t>
      </w:r>
      <w:r w:rsidR="00AF0972">
        <w:rPr>
          <w:rStyle w:val="Hyperlink"/>
          <w:color w:val="000000"/>
          <w:szCs w:val="26"/>
          <w:u w:val="none"/>
        </w:rPr>
        <w:t xml:space="preserve"> utilizing this mechanism, however, utilities need to </w:t>
      </w:r>
      <w:r>
        <w:rPr>
          <w:rStyle w:val="Hyperlink"/>
          <w:color w:val="000000"/>
          <w:szCs w:val="26"/>
          <w:u w:val="none"/>
        </w:rPr>
        <w:t xml:space="preserve">be diligent in quickly determining the correct party to bill, rather than allowing a sizable balance to accrue over a number of years in a “placeholder” account.  </w:t>
      </w:r>
      <w:r w:rsidR="009D1BF1" w:rsidRPr="009D1BF1">
        <w:rPr>
          <w:color w:val="000000"/>
          <w:szCs w:val="26"/>
        </w:rPr>
        <w:t xml:space="preserve">We find that PGW did not satisfy this standard in this proceeding.  </w:t>
      </w:r>
      <w:r>
        <w:rPr>
          <w:rStyle w:val="Hyperlink"/>
          <w:color w:val="000000"/>
          <w:szCs w:val="26"/>
          <w:u w:val="none"/>
        </w:rPr>
        <w:t xml:space="preserve">The facts of this case indicate that PGW failed to determine the correct party to bill in a timely manner, allowing a balance of over $4,000.00 to accrue to an unascertained user over a period totaling more than four years.  </w:t>
      </w:r>
    </w:p>
    <w:p w:rsidR="007C04F7" w:rsidRDefault="007C04F7" w:rsidP="00B15ABC">
      <w:pPr>
        <w:tabs>
          <w:tab w:val="left" w:pos="-720"/>
        </w:tabs>
        <w:suppressAutoHyphens/>
        <w:spacing w:line="360" w:lineRule="auto"/>
        <w:ind w:firstLine="1440"/>
        <w:rPr>
          <w:rStyle w:val="Hyperlink"/>
          <w:color w:val="000000"/>
          <w:szCs w:val="26"/>
          <w:u w:val="none"/>
        </w:rPr>
      </w:pPr>
    </w:p>
    <w:p w:rsidR="009D1BF1" w:rsidRDefault="00081465"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In July 2007, the previous occupant of the service address contacted PGW to have service taken out of her name.  As stated above, PGW did not perform a physical shut off; instead, PGW performed a “soft off,” leaving service on under a PGW placeholder account.  Mr. </w:t>
      </w:r>
      <w:proofErr w:type="spellStart"/>
      <w:r>
        <w:rPr>
          <w:rStyle w:val="Hyperlink"/>
          <w:color w:val="000000"/>
          <w:szCs w:val="26"/>
          <w:u w:val="none"/>
        </w:rPr>
        <w:t>Haynesworth</w:t>
      </w:r>
      <w:proofErr w:type="spellEnd"/>
      <w:r>
        <w:rPr>
          <w:rStyle w:val="Hyperlink"/>
          <w:color w:val="000000"/>
          <w:szCs w:val="26"/>
          <w:u w:val="none"/>
        </w:rPr>
        <w:t xml:space="preserve"> testified that he moved into the service address in the fall of 2008.  While PGW did send a “Dear Occupant</w:t>
      </w:r>
      <w:r w:rsidR="009D1BF1">
        <w:rPr>
          <w:rStyle w:val="Hyperlink"/>
          <w:color w:val="000000"/>
          <w:szCs w:val="26"/>
          <w:u w:val="none"/>
        </w:rPr>
        <w:t>” letter requesting that the current occupant apply for gas service in August of 2008, it appears from the record that PGW’s mailing of this letter preceded the date Mr. </w:t>
      </w:r>
      <w:proofErr w:type="spellStart"/>
      <w:r w:rsidR="009D1BF1">
        <w:rPr>
          <w:rStyle w:val="Hyperlink"/>
          <w:color w:val="000000"/>
          <w:szCs w:val="26"/>
          <w:u w:val="none"/>
        </w:rPr>
        <w:t>Haynesworth</w:t>
      </w:r>
      <w:proofErr w:type="spellEnd"/>
      <w:r w:rsidR="009D1BF1">
        <w:rPr>
          <w:rStyle w:val="Hyperlink"/>
          <w:color w:val="000000"/>
          <w:szCs w:val="26"/>
          <w:u w:val="none"/>
        </w:rPr>
        <w:t xml:space="preserve"> occupied the apartment.  Further, it appears that the Company took no further action to identify the user of this account until April 2011 (approximately three years later), when it issued the first of six seventy-two hour termination notices.  </w:t>
      </w:r>
      <w:r w:rsidR="00A9536D">
        <w:rPr>
          <w:rStyle w:val="Hyperlink"/>
          <w:color w:val="000000"/>
          <w:szCs w:val="26"/>
          <w:u w:val="none"/>
        </w:rPr>
        <w:t xml:space="preserve">FOF Nos. 3, 5-9. </w:t>
      </w:r>
    </w:p>
    <w:p w:rsidR="009D1BF1" w:rsidRDefault="009D1BF1" w:rsidP="00B15ABC">
      <w:pPr>
        <w:tabs>
          <w:tab w:val="left" w:pos="-720"/>
        </w:tabs>
        <w:suppressAutoHyphens/>
        <w:spacing w:line="360" w:lineRule="auto"/>
        <w:ind w:firstLine="1440"/>
        <w:rPr>
          <w:rStyle w:val="Hyperlink"/>
          <w:color w:val="000000"/>
          <w:szCs w:val="26"/>
          <w:u w:val="none"/>
        </w:rPr>
      </w:pPr>
    </w:p>
    <w:p w:rsidR="00A9536D" w:rsidRDefault="009D1BF1"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We would be remiss if we did not point out that the record indicates that Mr. </w:t>
      </w:r>
      <w:proofErr w:type="spellStart"/>
      <w:r>
        <w:rPr>
          <w:rStyle w:val="Hyperlink"/>
          <w:color w:val="000000"/>
          <w:szCs w:val="26"/>
          <w:u w:val="none"/>
        </w:rPr>
        <w:t>Haynesworth</w:t>
      </w:r>
      <w:proofErr w:type="spellEnd"/>
      <w:r>
        <w:rPr>
          <w:rStyle w:val="Hyperlink"/>
          <w:color w:val="000000"/>
          <w:szCs w:val="26"/>
          <w:u w:val="none"/>
        </w:rPr>
        <w:t xml:space="preserve"> knew he was using gas and not being billed for an approximate five-</w:t>
      </w:r>
      <w:r>
        <w:rPr>
          <w:rStyle w:val="Hyperlink"/>
          <w:color w:val="000000"/>
          <w:szCs w:val="26"/>
          <w:u w:val="none"/>
        </w:rPr>
        <w:lastRenderedPageBreak/>
        <w:t xml:space="preserve">year period. </w:t>
      </w:r>
      <w:r w:rsidR="00A9536D">
        <w:rPr>
          <w:rStyle w:val="Hyperlink"/>
          <w:color w:val="000000"/>
          <w:szCs w:val="26"/>
          <w:u w:val="none"/>
        </w:rPr>
        <w:t xml:space="preserve">FOF No. 4; Tr. at 13-19.  </w:t>
      </w:r>
      <w:r>
        <w:rPr>
          <w:rStyle w:val="Hyperlink"/>
          <w:color w:val="000000"/>
          <w:szCs w:val="26"/>
          <w:u w:val="none"/>
        </w:rPr>
        <w:t xml:space="preserve">Also the facts in this case demonstrate that PGW, by its own admission, continued to issue termination notices when it knew it had little likelihood of actually being able to effectuate a termination because it lacked an identifiable tenant-customer.  I.D. at 12.  </w:t>
      </w:r>
    </w:p>
    <w:p w:rsidR="00A9536D" w:rsidRDefault="00A9536D" w:rsidP="00B15ABC">
      <w:pPr>
        <w:tabs>
          <w:tab w:val="left" w:pos="-720"/>
        </w:tabs>
        <w:suppressAutoHyphens/>
        <w:spacing w:line="360" w:lineRule="auto"/>
        <w:ind w:firstLine="1440"/>
        <w:rPr>
          <w:rStyle w:val="Hyperlink"/>
          <w:color w:val="000000"/>
          <w:szCs w:val="26"/>
          <w:u w:val="none"/>
        </w:rPr>
      </w:pPr>
    </w:p>
    <w:p w:rsidR="00A9536D" w:rsidRDefault="00A9536D"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To be clear, the Complainant is also responsible for the situation presented in this case.  His lease stated that he was responsible for his gas bill and he did not respond to all but the final termination notice issued in March 2013.  Mr. </w:t>
      </w:r>
      <w:proofErr w:type="spellStart"/>
      <w:r>
        <w:rPr>
          <w:rStyle w:val="Hyperlink"/>
          <w:color w:val="000000"/>
          <w:szCs w:val="26"/>
          <w:u w:val="none"/>
        </w:rPr>
        <w:t>Haynesworth</w:t>
      </w:r>
      <w:proofErr w:type="spellEnd"/>
      <w:r>
        <w:rPr>
          <w:rStyle w:val="Hyperlink"/>
          <w:color w:val="000000"/>
          <w:szCs w:val="26"/>
          <w:u w:val="none"/>
        </w:rPr>
        <w:t xml:space="preserve"> clearly used and benefitted from the gas service provided without concern that other PGW ratepayers may be subsidizing his use.  To that end, the ALJ correctly determined that Mr. </w:t>
      </w:r>
      <w:proofErr w:type="spellStart"/>
      <w:r>
        <w:rPr>
          <w:rStyle w:val="Hyperlink"/>
          <w:color w:val="000000"/>
          <w:szCs w:val="26"/>
          <w:u w:val="none"/>
        </w:rPr>
        <w:t>Haynesworth</w:t>
      </w:r>
      <w:proofErr w:type="spellEnd"/>
      <w:r>
        <w:rPr>
          <w:rStyle w:val="Hyperlink"/>
          <w:color w:val="000000"/>
          <w:szCs w:val="26"/>
          <w:u w:val="none"/>
        </w:rPr>
        <w:t xml:space="preserve">, the party enjoying the benefit of unbilled gas service at the service address, had an obligation to apply for service and must pay for the service that he used since February 2009. </w:t>
      </w:r>
    </w:p>
    <w:p w:rsidR="00A9536D" w:rsidRDefault="00A9536D" w:rsidP="00B15ABC">
      <w:pPr>
        <w:tabs>
          <w:tab w:val="left" w:pos="-720"/>
        </w:tabs>
        <w:suppressAutoHyphens/>
        <w:spacing w:line="360" w:lineRule="auto"/>
        <w:ind w:firstLine="1440"/>
        <w:rPr>
          <w:rStyle w:val="Hyperlink"/>
          <w:color w:val="000000"/>
          <w:szCs w:val="26"/>
          <w:u w:val="none"/>
        </w:rPr>
      </w:pPr>
    </w:p>
    <w:p w:rsidR="008C4988" w:rsidRDefault="00A9536D"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We disagree, however, with the determination that PGW acted diligently in its efforts to timely identify the party responsible for gas usage.  Just as it is inappropriate for PGW ratepayers </w:t>
      </w:r>
      <w:r w:rsidR="009C77B2">
        <w:rPr>
          <w:rStyle w:val="Hyperlink"/>
          <w:color w:val="000000"/>
          <w:szCs w:val="26"/>
          <w:u w:val="none"/>
        </w:rPr>
        <w:t>t</w:t>
      </w:r>
      <w:r>
        <w:rPr>
          <w:rStyle w:val="Hyperlink"/>
          <w:color w:val="000000"/>
          <w:szCs w:val="26"/>
          <w:u w:val="none"/>
        </w:rPr>
        <w:t xml:space="preserve">o subsidize other customers, it is also clearly inappropriate for PGW to use a placeholder account to continue to provide service for more than four years from the date of the letter requesting the occupant to apply for service in August of 2008. Had PGW not misused the placeholder account and more diligently sought to identify the occupant, Mr. </w:t>
      </w:r>
      <w:proofErr w:type="spellStart"/>
      <w:r>
        <w:rPr>
          <w:rStyle w:val="Hyperlink"/>
          <w:color w:val="000000"/>
          <w:szCs w:val="26"/>
          <w:u w:val="none"/>
        </w:rPr>
        <w:t>Haynes</w:t>
      </w:r>
      <w:r w:rsidR="00132B05">
        <w:rPr>
          <w:rStyle w:val="Hyperlink"/>
          <w:color w:val="000000"/>
          <w:szCs w:val="26"/>
          <w:u w:val="none"/>
        </w:rPr>
        <w:t>w</w:t>
      </w:r>
      <w:r>
        <w:rPr>
          <w:rStyle w:val="Hyperlink"/>
          <w:color w:val="000000"/>
          <w:szCs w:val="26"/>
          <w:u w:val="none"/>
        </w:rPr>
        <w:t>orth</w:t>
      </w:r>
      <w:proofErr w:type="spellEnd"/>
      <w:r>
        <w:rPr>
          <w:rStyle w:val="Hyperlink"/>
          <w:color w:val="000000"/>
          <w:szCs w:val="26"/>
          <w:u w:val="none"/>
        </w:rPr>
        <w:t xml:space="preserve"> is unlikely to have accrued such a high balance. This constitutes a clear violation of Section 1501 of the Code</w:t>
      </w:r>
      <w:r w:rsidR="00382725">
        <w:rPr>
          <w:rStyle w:val="Hyperlink"/>
          <w:color w:val="000000"/>
          <w:szCs w:val="26"/>
          <w:u w:val="none"/>
        </w:rPr>
        <w:t xml:space="preserve">. </w:t>
      </w:r>
      <w:r>
        <w:rPr>
          <w:rStyle w:val="Hyperlink"/>
          <w:color w:val="000000"/>
          <w:szCs w:val="26"/>
          <w:u w:val="none"/>
        </w:rPr>
        <w:t xml:space="preserve"> 66 Pa. C.S. § 1501</w:t>
      </w:r>
      <w:r w:rsidR="008C4988">
        <w:rPr>
          <w:rStyle w:val="Hyperlink"/>
          <w:color w:val="000000"/>
          <w:szCs w:val="26"/>
          <w:u w:val="none"/>
        </w:rPr>
        <w:t xml:space="preserve">. </w:t>
      </w:r>
      <w:r>
        <w:rPr>
          <w:rStyle w:val="Hyperlink"/>
          <w:color w:val="000000"/>
          <w:szCs w:val="26"/>
          <w:u w:val="none"/>
        </w:rPr>
        <w:t xml:space="preserve"> </w:t>
      </w:r>
      <w:r w:rsidR="007C04F7">
        <w:rPr>
          <w:rStyle w:val="Hyperlink"/>
          <w:color w:val="000000"/>
          <w:szCs w:val="26"/>
          <w:u w:val="none"/>
        </w:rPr>
        <w:t xml:space="preserve">Therefore, we shall </w:t>
      </w:r>
      <w:r w:rsidR="002F5ADD">
        <w:rPr>
          <w:rStyle w:val="Hyperlink"/>
          <w:color w:val="000000"/>
          <w:szCs w:val="26"/>
          <w:u w:val="none"/>
        </w:rPr>
        <w:t>reverse</w:t>
      </w:r>
      <w:r>
        <w:rPr>
          <w:rStyle w:val="Hyperlink"/>
          <w:color w:val="000000"/>
          <w:szCs w:val="26"/>
          <w:u w:val="none"/>
        </w:rPr>
        <w:t xml:space="preserve"> </w:t>
      </w:r>
      <w:r w:rsidR="007C04F7">
        <w:rPr>
          <w:rStyle w:val="Hyperlink"/>
          <w:color w:val="000000"/>
          <w:szCs w:val="26"/>
          <w:u w:val="none"/>
        </w:rPr>
        <w:t xml:space="preserve">that portion of the Initial Decision that </w:t>
      </w:r>
      <w:r w:rsidR="002F5ADD">
        <w:rPr>
          <w:rStyle w:val="Hyperlink"/>
          <w:color w:val="000000"/>
          <w:szCs w:val="26"/>
          <w:u w:val="none"/>
        </w:rPr>
        <w:t>found</w:t>
      </w:r>
      <w:r w:rsidR="008C4988">
        <w:rPr>
          <w:rStyle w:val="Hyperlink"/>
          <w:color w:val="000000"/>
          <w:szCs w:val="26"/>
          <w:u w:val="none"/>
        </w:rPr>
        <w:t xml:space="preserve"> that PGW acted reasonably in its use of the “user without contract” mechanism and find</w:t>
      </w:r>
      <w:r w:rsidR="002F5ADD">
        <w:rPr>
          <w:rStyle w:val="Hyperlink"/>
          <w:color w:val="000000"/>
          <w:szCs w:val="26"/>
          <w:u w:val="none"/>
        </w:rPr>
        <w:t>,</w:t>
      </w:r>
      <w:r w:rsidR="008C4988">
        <w:rPr>
          <w:rStyle w:val="Hyperlink"/>
          <w:color w:val="000000"/>
          <w:szCs w:val="26"/>
          <w:u w:val="none"/>
        </w:rPr>
        <w:t xml:space="preserve"> on the basis discussed above</w:t>
      </w:r>
      <w:r w:rsidR="002F5ADD">
        <w:rPr>
          <w:rStyle w:val="Hyperlink"/>
          <w:color w:val="000000"/>
          <w:szCs w:val="26"/>
          <w:u w:val="none"/>
        </w:rPr>
        <w:t>,</w:t>
      </w:r>
      <w:r w:rsidR="008C4988">
        <w:rPr>
          <w:rStyle w:val="Hyperlink"/>
          <w:color w:val="000000"/>
          <w:szCs w:val="26"/>
          <w:u w:val="none"/>
        </w:rPr>
        <w:t xml:space="preserve"> that such service from PGW was unreasonable.  We </w:t>
      </w:r>
      <w:r w:rsidR="00E04B32">
        <w:rPr>
          <w:rStyle w:val="Hyperlink"/>
          <w:color w:val="000000"/>
          <w:szCs w:val="26"/>
          <w:u w:val="none"/>
        </w:rPr>
        <w:t xml:space="preserve">agree with, however, and therefore </w:t>
      </w:r>
      <w:r w:rsidR="008C4988">
        <w:rPr>
          <w:rStyle w:val="Hyperlink"/>
          <w:color w:val="000000"/>
          <w:szCs w:val="26"/>
          <w:u w:val="none"/>
        </w:rPr>
        <w:t xml:space="preserve">adopt the ALJ’s finding that PGW acted unreasonably in failing to issue monthly bills to Complainant for seven months after determining that the Complainant was the customer at the service address.  </w:t>
      </w:r>
    </w:p>
    <w:p w:rsidR="008C4988" w:rsidRDefault="008C4988" w:rsidP="00B15ABC">
      <w:pPr>
        <w:tabs>
          <w:tab w:val="left" w:pos="-720"/>
        </w:tabs>
        <w:suppressAutoHyphens/>
        <w:spacing w:line="360" w:lineRule="auto"/>
        <w:ind w:firstLine="1440"/>
        <w:rPr>
          <w:rStyle w:val="Hyperlink"/>
          <w:color w:val="000000"/>
          <w:szCs w:val="26"/>
          <w:u w:val="none"/>
        </w:rPr>
      </w:pPr>
    </w:p>
    <w:p w:rsidR="00F76184" w:rsidRDefault="008C4988" w:rsidP="008C4988">
      <w:pPr>
        <w:tabs>
          <w:tab w:val="left" w:pos="-720"/>
        </w:tabs>
        <w:suppressAutoHyphens/>
        <w:spacing w:line="360" w:lineRule="auto"/>
        <w:ind w:firstLine="1440"/>
        <w:rPr>
          <w:szCs w:val="26"/>
        </w:rPr>
      </w:pPr>
      <w:r>
        <w:rPr>
          <w:rStyle w:val="Hyperlink"/>
          <w:color w:val="000000"/>
          <w:szCs w:val="26"/>
          <w:u w:val="none"/>
        </w:rPr>
        <w:lastRenderedPageBreak/>
        <w:t xml:space="preserve">Accordingly, we </w:t>
      </w:r>
      <w:r w:rsidR="002F5ADD">
        <w:rPr>
          <w:rStyle w:val="Hyperlink"/>
          <w:color w:val="000000"/>
          <w:szCs w:val="26"/>
          <w:u w:val="none"/>
        </w:rPr>
        <w:t xml:space="preserve">believe </w:t>
      </w:r>
      <w:r w:rsidRPr="008C4988">
        <w:rPr>
          <w:color w:val="000000"/>
          <w:szCs w:val="26"/>
        </w:rPr>
        <w:t xml:space="preserve">that </w:t>
      </w:r>
      <w:r>
        <w:rPr>
          <w:color w:val="000000"/>
          <w:szCs w:val="26"/>
        </w:rPr>
        <w:t xml:space="preserve">PGW’s conduct </w:t>
      </w:r>
      <w:r w:rsidRPr="008C4988">
        <w:rPr>
          <w:color w:val="000000"/>
          <w:szCs w:val="26"/>
        </w:rPr>
        <w:t xml:space="preserve">warrants a higher civil penalty than </w:t>
      </w:r>
      <w:r>
        <w:rPr>
          <w:color w:val="000000"/>
          <w:szCs w:val="26"/>
        </w:rPr>
        <w:t>the $2</w:t>
      </w:r>
      <w:r w:rsidR="00382725">
        <w:rPr>
          <w:color w:val="000000"/>
          <w:szCs w:val="26"/>
        </w:rPr>
        <w:t>0</w:t>
      </w:r>
      <w:r>
        <w:rPr>
          <w:color w:val="000000"/>
          <w:szCs w:val="26"/>
        </w:rPr>
        <w:t xml:space="preserve">0.00 </w:t>
      </w:r>
      <w:r w:rsidRPr="008C4988">
        <w:rPr>
          <w:color w:val="000000"/>
          <w:szCs w:val="26"/>
        </w:rPr>
        <w:t>imposed by the ALJ</w:t>
      </w:r>
      <w:r w:rsidR="00B11300">
        <w:t>.</w:t>
      </w:r>
      <w:r>
        <w:t xml:space="preserve">  </w:t>
      </w:r>
      <w:r w:rsidR="00F76184" w:rsidRPr="00D37D90">
        <w:rPr>
          <w:szCs w:val="26"/>
        </w:rPr>
        <w:t>The Commission has promulgated a Po</w:t>
      </w:r>
      <w:r w:rsidR="00291E4F">
        <w:rPr>
          <w:szCs w:val="26"/>
        </w:rPr>
        <w:t>licy Statement at 52 Pa. Code § </w:t>
      </w:r>
      <w:r w:rsidR="00F76184" w:rsidRPr="00D37D90">
        <w:rPr>
          <w:szCs w:val="26"/>
        </w:rPr>
        <w:t xml:space="preserve">69.1201 that sets forth ten factors that we may consider in evaluating whether a civil penalty for violating a Commission </w:t>
      </w:r>
      <w:r>
        <w:rPr>
          <w:szCs w:val="26"/>
        </w:rPr>
        <w:t>O</w:t>
      </w:r>
      <w:r w:rsidR="00F76184" w:rsidRPr="00D37D90">
        <w:rPr>
          <w:szCs w:val="26"/>
        </w:rPr>
        <w:t xml:space="preserve">rder, </w:t>
      </w:r>
      <w:r>
        <w:rPr>
          <w:szCs w:val="26"/>
        </w:rPr>
        <w:t>R</w:t>
      </w:r>
      <w:r w:rsidR="00F76184" w:rsidRPr="00D37D90">
        <w:rPr>
          <w:szCs w:val="26"/>
        </w:rPr>
        <w:t>egulation</w:t>
      </w:r>
      <w:r>
        <w:rPr>
          <w:szCs w:val="26"/>
        </w:rPr>
        <w:t>,</w:t>
      </w:r>
      <w:r w:rsidR="00F76184" w:rsidRPr="00D37D90">
        <w:rPr>
          <w:szCs w:val="26"/>
        </w:rPr>
        <w:t xml:space="preserve"> or </w:t>
      </w:r>
      <w:r>
        <w:rPr>
          <w:szCs w:val="26"/>
        </w:rPr>
        <w:t>S</w:t>
      </w:r>
      <w:r w:rsidR="00F76184" w:rsidRPr="00D37D90">
        <w:rPr>
          <w:szCs w:val="26"/>
        </w:rPr>
        <w:t>tatute is appropriate.  The Policy Statement sets forth the guidelines we use when determining whether, and to what extent, a civil penalty is warranted</w:t>
      </w:r>
      <w:r w:rsidR="00E8774E">
        <w:rPr>
          <w:szCs w:val="26"/>
        </w:rPr>
        <w:t>.</w:t>
      </w:r>
    </w:p>
    <w:p w:rsidR="00510693" w:rsidRPr="00D37D90" w:rsidRDefault="00510693" w:rsidP="00F76184">
      <w:pPr>
        <w:spacing w:line="360" w:lineRule="auto"/>
        <w:ind w:firstLine="1440"/>
        <w:rPr>
          <w:szCs w:val="26"/>
          <w:u w:color="000000"/>
        </w:rPr>
      </w:pPr>
    </w:p>
    <w:p w:rsidR="00F76184" w:rsidRPr="00D37D90" w:rsidRDefault="00E8774E" w:rsidP="00E8774E">
      <w:pPr>
        <w:spacing w:line="360" w:lineRule="auto"/>
        <w:ind w:firstLine="1440"/>
        <w:rPr>
          <w:szCs w:val="26"/>
        </w:rPr>
      </w:pPr>
      <w:r>
        <w:rPr>
          <w:color w:val="000000"/>
          <w:szCs w:val="26"/>
          <w:u w:color="000000"/>
        </w:rPr>
        <w:t xml:space="preserve">The first factor to </w:t>
      </w:r>
      <w:r w:rsidR="00F76184" w:rsidRPr="00D37D90">
        <w:rPr>
          <w:color w:val="000000"/>
          <w:szCs w:val="26"/>
          <w:u w:color="000000"/>
        </w:rPr>
        <w:t xml:space="preserve">consider is </w:t>
      </w:r>
      <w:r w:rsidR="0059119E">
        <w:rPr>
          <w:szCs w:val="26"/>
        </w:rPr>
        <w:t>whether the conduct at issue wa</w:t>
      </w:r>
      <w:r w:rsidR="00F76184" w:rsidRPr="00D37D90">
        <w:rPr>
          <w:szCs w:val="26"/>
        </w:rPr>
        <w:t xml:space="preserve">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00F76184" w:rsidRPr="00D37D90">
        <w:rPr>
          <w:i/>
          <w:szCs w:val="26"/>
        </w:rPr>
        <w:t>Id</w:t>
      </w:r>
      <w:r w:rsidR="00F76184" w:rsidRPr="00D37D90">
        <w:rPr>
          <w:szCs w:val="26"/>
        </w:rPr>
        <w:t xml:space="preserve">.   </w:t>
      </w:r>
      <w:r w:rsidR="00A855AB">
        <w:rPr>
          <w:szCs w:val="26"/>
        </w:rPr>
        <w:t>While t</w:t>
      </w:r>
      <w:r w:rsidR="00F76184" w:rsidRPr="00D37D90">
        <w:rPr>
          <w:szCs w:val="26"/>
        </w:rPr>
        <w:t xml:space="preserve">his </w:t>
      </w:r>
      <w:r w:rsidR="008C4988">
        <w:rPr>
          <w:szCs w:val="26"/>
        </w:rPr>
        <w:t>proceeding</w:t>
      </w:r>
      <w:r w:rsidR="00F76184" w:rsidRPr="00D37D90">
        <w:rPr>
          <w:szCs w:val="26"/>
        </w:rPr>
        <w:t xml:space="preserve"> involved</w:t>
      </w:r>
      <w:r>
        <w:rPr>
          <w:szCs w:val="26"/>
        </w:rPr>
        <w:t xml:space="preserve"> the </w:t>
      </w:r>
      <w:r w:rsidR="008C4988">
        <w:rPr>
          <w:szCs w:val="26"/>
        </w:rPr>
        <w:t xml:space="preserve">initial proper </w:t>
      </w:r>
      <w:r>
        <w:rPr>
          <w:szCs w:val="26"/>
        </w:rPr>
        <w:t>placement of the Complainant’s account into a “user without contract” status</w:t>
      </w:r>
      <w:r w:rsidR="00A855AB">
        <w:rPr>
          <w:szCs w:val="26"/>
        </w:rPr>
        <w:t xml:space="preserve">, the Company failed to exercise diligence afterwards in determining the proper account holder despite the continued use of gas at the premises.  While this conduct does not rise to willful fraud or misrepresentation, </w:t>
      </w:r>
      <w:r w:rsidR="002F5ADD">
        <w:rPr>
          <w:szCs w:val="26"/>
        </w:rPr>
        <w:t xml:space="preserve">neither </w:t>
      </w:r>
      <w:r w:rsidR="00A855AB">
        <w:rPr>
          <w:szCs w:val="26"/>
        </w:rPr>
        <w:t>do</w:t>
      </w:r>
      <w:r w:rsidR="00880597">
        <w:rPr>
          <w:szCs w:val="26"/>
        </w:rPr>
        <w:t xml:space="preserve"> we find, given our prior holdings with respect to PGW’s use of this procedure, that </w:t>
      </w:r>
      <w:r w:rsidR="00A855AB">
        <w:rPr>
          <w:szCs w:val="26"/>
        </w:rPr>
        <w:t>it reflect</w:t>
      </w:r>
      <w:r w:rsidR="00880597">
        <w:rPr>
          <w:szCs w:val="26"/>
        </w:rPr>
        <w:t>s</w:t>
      </w:r>
      <w:r w:rsidR="00A855AB">
        <w:rPr>
          <w:szCs w:val="26"/>
        </w:rPr>
        <w:t xml:space="preserve"> merely a minor</w:t>
      </w:r>
      <w:r>
        <w:rPr>
          <w:szCs w:val="26"/>
        </w:rPr>
        <w:t xml:space="preserve"> administrative error.  </w:t>
      </w:r>
      <w:r w:rsidR="00880597">
        <w:rPr>
          <w:szCs w:val="26"/>
        </w:rPr>
        <w:t>I</w:t>
      </w:r>
      <w:r w:rsidR="00A855AB">
        <w:rPr>
          <w:szCs w:val="26"/>
        </w:rPr>
        <w:t>n light of our prior warning</w:t>
      </w:r>
      <w:r w:rsidR="00880597">
        <w:rPr>
          <w:szCs w:val="26"/>
        </w:rPr>
        <w:t>s</w:t>
      </w:r>
      <w:r w:rsidR="00A855AB">
        <w:rPr>
          <w:szCs w:val="26"/>
        </w:rPr>
        <w:t xml:space="preserve"> </w:t>
      </w:r>
      <w:r w:rsidR="002F5ADD">
        <w:rPr>
          <w:szCs w:val="26"/>
        </w:rPr>
        <w:t xml:space="preserve">to PGW </w:t>
      </w:r>
      <w:r w:rsidR="00A855AB">
        <w:rPr>
          <w:szCs w:val="26"/>
        </w:rPr>
        <w:t xml:space="preserve">in </w:t>
      </w:r>
      <w:proofErr w:type="spellStart"/>
      <w:r w:rsidR="00A855AB">
        <w:rPr>
          <w:i/>
          <w:szCs w:val="26"/>
        </w:rPr>
        <w:t>Kron</w:t>
      </w:r>
      <w:proofErr w:type="spellEnd"/>
      <w:r w:rsidR="002F5ADD">
        <w:rPr>
          <w:szCs w:val="26"/>
        </w:rPr>
        <w:t>,</w:t>
      </w:r>
      <w:r w:rsidR="00382725">
        <w:rPr>
          <w:rStyle w:val="FootnoteReference"/>
          <w:szCs w:val="26"/>
        </w:rPr>
        <w:footnoteReference w:id="4"/>
      </w:r>
      <w:r w:rsidR="002F5ADD">
        <w:rPr>
          <w:szCs w:val="26"/>
        </w:rPr>
        <w:t xml:space="preserve"> and prior to that in </w:t>
      </w:r>
      <w:r w:rsidR="002F5ADD">
        <w:rPr>
          <w:i/>
          <w:szCs w:val="26"/>
        </w:rPr>
        <w:t>Larry and Gail Newman v. Philadelphia Gas Works</w:t>
      </w:r>
      <w:r w:rsidR="002F5ADD">
        <w:rPr>
          <w:szCs w:val="26"/>
        </w:rPr>
        <w:t>, Docket No. C-20</w:t>
      </w:r>
      <w:r w:rsidR="0011196C">
        <w:rPr>
          <w:szCs w:val="26"/>
        </w:rPr>
        <w:t>11</w:t>
      </w:r>
      <w:r w:rsidR="002F5ADD">
        <w:rPr>
          <w:szCs w:val="26"/>
        </w:rPr>
        <w:t>-2273565 (Order entered March 29, 2012) (</w:t>
      </w:r>
      <w:r w:rsidR="002F5ADD">
        <w:rPr>
          <w:i/>
          <w:szCs w:val="26"/>
        </w:rPr>
        <w:t>Newman</w:t>
      </w:r>
      <w:r w:rsidR="002F5ADD">
        <w:rPr>
          <w:szCs w:val="26"/>
        </w:rPr>
        <w:t>)</w:t>
      </w:r>
      <w:r w:rsidR="002F5ADD">
        <w:rPr>
          <w:rStyle w:val="FootnoteReference"/>
          <w:szCs w:val="26"/>
        </w:rPr>
        <w:footnoteReference w:id="5"/>
      </w:r>
      <w:r w:rsidR="00A855AB">
        <w:rPr>
          <w:i/>
          <w:szCs w:val="26"/>
        </w:rPr>
        <w:t xml:space="preserve"> </w:t>
      </w:r>
      <w:r w:rsidR="002F5ADD">
        <w:rPr>
          <w:szCs w:val="26"/>
        </w:rPr>
        <w:t>t</w:t>
      </w:r>
      <w:r w:rsidR="00A855AB">
        <w:rPr>
          <w:szCs w:val="26"/>
        </w:rPr>
        <w:t xml:space="preserve">o </w:t>
      </w:r>
      <w:r w:rsidR="00880597">
        <w:rPr>
          <w:szCs w:val="26"/>
        </w:rPr>
        <w:t xml:space="preserve">be more </w:t>
      </w:r>
      <w:r w:rsidR="00A855AB">
        <w:rPr>
          <w:szCs w:val="26"/>
        </w:rPr>
        <w:t>diligent</w:t>
      </w:r>
      <w:r w:rsidR="00880597">
        <w:rPr>
          <w:szCs w:val="26"/>
        </w:rPr>
        <w:t xml:space="preserve"> in identifying the proper customer of account, </w:t>
      </w:r>
      <w:r w:rsidR="00A855AB">
        <w:rPr>
          <w:szCs w:val="26"/>
        </w:rPr>
        <w:t xml:space="preserve">we believe a higher penalty than that imposed by the ALJ is warranted. </w:t>
      </w:r>
      <w:r w:rsidR="00F76184" w:rsidRPr="00D37D90">
        <w:rPr>
          <w:szCs w:val="26"/>
        </w:rPr>
        <w:t xml:space="preserve">        </w:t>
      </w:r>
    </w:p>
    <w:p w:rsidR="00F76184" w:rsidRPr="00D37D90" w:rsidRDefault="00F76184" w:rsidP="00F76184">
      <w:pPr>
        <w:suppressAutoHyphens/>
        <w:spacing w:line="360" w:lineRule="auto"/>
        <w:ind w:firstLine="1440"/>
        <w:rPr>
          <w:szCs w:val="26"/>
        </w:rPr>
      </w:pPr>
      <w:r w:rsidRPr="00D37D90">
        <w:rPr>
          <w:szCs w:val="26"/>
        </w:rPr>
        <w:lastRenderedPageBreak/>
        <w:t>The second factor is whether the resulti</w:t>
      </w:r>
      <w:r w:rsidR="0059119E">
        <w:rPr>
          <w:szCs w:val="26"/>
        </w:rPr>
        <w:t>ng consequences of the conduct we</w:t>
      </w:r>
      <w:r w:rsidRPr="00D37D90">
        <w:rPr>
          <w:szCs w:val="26"/>
        </w:rPr>
        <w:t xml:space="preserve">re of a serious nature.  52 Pa. Code § 69.1201(c)(2).  “When consequences of a serious nature are involved, such as personal injury or property damage, the consequences may warrant a higher penalty.”  </w:t>
      </w:r>
      <w:r w:rsidRPr="00D37D90">
        <w:rPr>
          <w:i/>
          <w:szCs w:val="26"/>
        </w:rPr>
        <w:t xml:space="preserve">Id.  </w:t>
      </w:r>
      <w:r w:rsidR="00A855AB">
        <w:rPr>
          <w:szCs w:val="26"/>
        </w:rPr>
        <w:t xml:space="preserve">We agree with the ALJ that in consideration of this factor, there was no injury to property or person, and </w:t>
      </w:r>
      <w:r w:rsidRPr="00D37D90">
        <w:rPr>
          <w:szCs w:val="26"/>
        </w:rPr>
        <w:t xml:space="preserve">the Company’s actions did not result in consequences of a serious nature which would warrant a higher penalty under this factor. </w:t>
      </w:r>
    </w:p>
    <w:p w:rsidR="00F76184" w:rsidRPr="00D37D90" w:rsidRDefault="00F76184" w:rsidP="00F76184">
      <w:pPr>
        <w:suppressAutoHyphens/>
        <w:spacing w:line="360" w:lineRule="auto"/>
        <w:ind w:firstLine="1440"/>
        <w:rPr>
          <w:szCs w:val="26"/>
        </w:rPr>
      </w:pPr>
    </w:p>
    <w:p w:rsidR="00F76184" w:rsidRPr="00D37D90" w:rsidRDefault="00F76184" w:rsidP="00F76184">
      <w:pPr>
        <w:suppressAutoHyphens/>
        <w:spacing w:line="360" w:lineRule="auto"/>
        <w:ind w:firstLine="1440"/>
        <w:rPr>
          <w:szCs w:val="26"/>
        </w:rPr>
      </w:pPr>
      <w:r w:rsidRPr="00D37D90">
        <w:rPr>
          <w:szCs w:val="26"/>
        </w:rPr>
        <w:t xml:space="preserve">The third factor </w:t>
      </w:r>
      <w:r w:rsidR="0059119E">
        <w:rPr>
          <w:szCs w:val="26"/>
        </w:rPr>
        <w:t>is whether the conduct at issue was deemed intentional or negligent</w:t>
      </w:r>
      <w:r w:rsidRPr="00D37D90">
        <w:rPr>
          <w:szCs w:val="26"/>
        </w:rPr>
        <w:t>.  52 Pa. Code</w:t>
      </w:r>
      <w:r w:rsidR="0059119E">
        <w:rPr>
          <w:szCs w:val="26"/>
        </w:rPr>
        <w:t xml:space="preserve"> </w:t>
      </w:r>
      <w:r w:rsidRPr="00D37D90">
        <w:rPr>
          <w:szCs w:val="26"/>
        </w:rPr>
        <w:t>§ 69.120</w:t>
      </w:r>
      <w:r w:rsidR="0059119E">
        <w:rPr>
          <w:szCs w:val="26"/>
        </w:rPr>
        <w:t xml:space="preserve">1(c)(3).  “When conduct has been deemed intentional, the conduct may result in a higher penalty.”  </w:t>
      </w:r>
      <w:r w:rsidR="0059119E">
        <w:rPr>
          <w:i/>
          <w:szCs w:val="26"/>
        </w:rPr>
        <w:t>Id.</w:t>
      </w:r>
      <w:r w:rsidR="0059119E">
        <w:rPr>
          <w:szCs w:val="26"/>
        </w:rPr>
        <w:t xml:space="preserve">  The </w:t>
      </w:r>
      <w:r w:rsidR="00A855AB">
        <w:rPr>
          <w:szCs w:val="26"/>
        </w:rPr>
        <w:t xml:space="preserve">ALJ found that, with respect to the Company’s seven-month long failure to bill the Complainant after imposition of the “intercept” on the Complainant’s bills in April 2013, the Company’s </w:t>
      </w:r>
      <w:r w:rsidR="0059119E">
        <w:rPr>
          <w:szCs w:val="26"/>
        </w:rPr>
        <w:t xml:space="preserve">action reflected negligence </w:t>
      </w:r>
      <w:r w:rsidR="00A855AB">
        <w:rPr>
          <w:szCs w:val="26"/>
        </w:rPr>
        <w:t xml:space="preserve">or “human error” </w:t>
      </w:r>
      <w:r w:rsidR="0059119E">
        <w:rPr>
          <w:szCs w:val="26"/>
        </w:rPr>
        <w:t>on the part of the Company</w:t>
      </w:r>
      <w:r w:rsidR="00B6480F">
        <w:rPr>
          <w:szCs w:val="26"/>
        </w:rPr>
        <w:t xml:space="preserve"> rather than intentional conduct</w:t>
      </w:r>
      <w:r w:rsidR="005228A5">
        <w:rPr>
          <w:szCs w:val="26"/>
        </w:rPr>
        <w:t xml:space="preserve">.  I.D. at 18.  </w:t>
      </w:r>
      <w:r w:rsidR="00A855AB">
        <w:rPr>
          <w:szCs w:val="26"/>
        </w:rPr>
        <w:t xml:space="preserve">We also </w:t>
      </w:r>
      <w:r w:rsidR="005228A5">
        <w:rPr>
          <w:szCs w:val="26"/>
        </w:rPr>
        <w:t>believe that</w:t>
      </w:r>
      <w:r w:rsidR="007A5DD0">
        <w:rPr>
          <w:szCs w:val="26"/>
        </w:rPr>
        <w:t>,</w:t>
      </w:r>
      <w:r w:rsidR="005228A5">
        <w:rPr>
          <w:szCs w:val="26"/>
        </w:rPr>
        <w:t xml:space="preserve"> while unreasonable, </w:t>
      </w:r>
      <w:r w:rsidR="00A855AB">
        <w:rPr>
          <w:szCs w:val="26"/>
        </w:rPr>
        <w:t>the Company’s failure to properly monitor the account during its more than four-year long</w:t>
      </w:r>
      <w:r w:rsidR="005228A5">
        <w:rPr>
          <w:szCs w:val="26"/>
        </w:rPr>
        <w:t xml:space="preserve"> “user without contract” status likewise was not intentional</w:t>
      </w:r>
      <w:r w:rsidR="00FA03CB">
        <w:rPr>
          <w:szCs w:val="26"/>
        </w:rPr>
        <w:t xml:space="preserve">.  Consequently, we </w:t>
      </w:r>
      <w:r w:rsidR="005228A5">
        <w:rPr>
          <w:szCs w:val="26"/>
        </w:rPr>
        <w:t xml:space="preserve">do not raise the civil penalty on consideration of this factor.  In light of our prior </w:t>
      </w:r>
      <w:r w:rsidR="007A5DD0">
        <w:rPr>
          <w:szCs w:val="26"/>
        </w:rPr>
        <w:t xml:space="preserve">statements </w:t>
      </w:r>
      <w:r w:rsidR="005228A5">
        <w:rPr>
          <w:szCs w:val="26"/>
        </w:rPr>
        <w:t xml:space="preserve">in </w:t>
      </w:r>
      <w:proofErr w:type="spellStart"/>
      <w:r w:rsidR="005228A5" w:rsidRPr="005228A5">
        <w:rPr>
          <w:i/>
          <w:szCs w:val="26"/>
        </w:rPr>
        <w:t>Kron</w:t>
      </w:r>
      <w:proofErr w:type="spellEnd"/>
      <w:r w:rsidR="007A5DD0">
        <w:rPr>
          <w:szCs w:val="26"/>
        </w:rPr>
        <w:t xml:space="preserve"> and </w:t>
      </w:r>
      <w:r w:rsidR="007A5DD0">
        <w:rPr>
          <w:i/>
          <w:szCs w:val="26"/>
        </w:rPr>
        <w:t>Newman</w:t>
      </w:r>
      <w:r w:rsidR="005228A5">
        <w:rPr>
          <w:szCs w:val="26"/>
        </w:rPr>
        <w:t>, however, w</w:t>
      </w:r>
      <w:r w:rsidR="005228A5" w:rsidRPr="005228A5">
        <w:rPr>
          <w:szCs w:val="26"/>
        </w:rPr>
        <w:t>e</w:t>
      </w:r>
      <w:r w:rsidR="005228A5">
        <w:rPr>
          <w:szCs w:val="26"/>
        </w:rPr>
        <w:t xml:space="preserve"> consider this disposition to </w:t>
      </w:r>
      <w:r w:rsidR="007A5DD0">
        <w:rPr>
          <w:szCs w:val="26"/>
        </w:rPr>
        <w:t>constitute</w:t>
      </w:r>
      <w:r w:rsidR="005228A5">
        <w:rPr>
          <w:szCs w:val="26"/>
        </w:rPr>
        <w:t xml:space="preserve"> further notice to PGW that continued lack of diligence in monitoring its use of the “user without contract” mechanism may be considered intentional conduct prospectively</w:t>
      </w:r>
      <w:r w:rsidR="007A5DD0">
        <w:rPr>
          <w:szCs w:val="26"/>
        </w:rPr>
        <w:t>, providing grounds for a higher penalty</w:t>
      </w:r>
      <w:r w:rsidR="005228A5">
        <w:rPr>
          <w:szCs w:val="26"/>
        </w:rPr>
        <w:t>.</w:t>
      </w:r>
      <w:r w:rsidR="0059119E">
        <w:rPr>
          <w:szCs w:val="26"/>
        </w:rPr>
        <w:t xml:space="preserve"> </w:t>
      </w:r>
    </w:p>
    <w:p w:rsidR="00F76184" w:rsidRPr="00D37D90" w:rsidRDefault="00F76184" w:rsidP="00F76184">
      <w:pPr>
        <w:suppressAutoHyphens/>
        <w:spacing w:line="360" w:lineRule="auto"/>
        <w:ind w:firstLine="1440"/>
        <w:rPr>
          <w:szCs w:val="26"/>
        </w:rPr>
      </w:pPr>
    </w:p>
    <w:p w:rsidR="00291E4F" w:rsidRDefault="00F76184" w:rsidP="00291E4F">
      <w:pPr>
        <w:suppressAutoHyphens/>
        <w:spacing w:line="360" w:lineRule="auto"/>
        <w:ind w:firstLine="1440"/>
        <w:rPr>
          <w:szCs w:val="26"/>
        </w:rPr>
      </w:pPr>
      <w:r w:rsidRPr="00D37D90">
        <w:rPr>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w:t>
      </w:r>
      <w:r w:rsidR="007A5DD0">
        <w:rPr>
          <w:szCs w:val="26"/>
        </w:rPr>
        <w:t xml:space="preserve">the ALJ found that </w:t>
      </w:r>
      <w:r w:rsidR="005228A5">
        <w:rPr>
          <w:szCs w:val="26"/>
        </w:rPr>
        <w:t xml:space="preserve">PGW provided no evidence of its internal practices and procedures addressing the use of “intercept” orders on customer accounts (I.D. at 18) and the ALJ did not address </w:t>
      </w:r>
      <w:r w:rsidR="005228A5">
        <w:rPr>
          <w:szCs w:val="26"/>
        </w:rPr>
        <w:lastRenderedPageBreak/>
        <w:t xml:space="preserve">the Company’s procedures regarding use of the “user without contract” mechanism. Similar to our discussion of the third factor, above, we consider our disposition here to </w:t>
      </w:r>
      <w:r w:rsidR="007A5DD0">
        <w:rPr>
          <w:szCs w:val="26"/>
        </w:rPr>
        <w:t xml:space="preserve">constitute notice to </w:t>
      </w:r>
      <w:r w:rsidR="005228A5">
        <w:rPr>
          <w:szCs w:val="26"/>
        </w:rPr>
        <w:t xml:space="preserve">PGW that failure to review its internal procedures relative to </w:t>
      </w:r>
      <w:r w:rsidR="007A5DD0">
        <w:rPr>
          <w:szCs w:val="26"/>
        </w:rPr>
        <w:t xml:space="preserve">the prolonged </w:t>
      </w:r>
      <w:r w:rsidR="00005997">
        <w:rPr>
          <w:szCs w:val="26"/>
        </w:rPr>
        <w:t>use of this</w:t>
      </w:r>
      <w:r w:rsidR="005228A5">
        <w:rPr>
          <w:szCs w:val="26"/>
        </w:rPr>
        <w:t xml:space="preserve"> mechanism may constitute grounds for a higher penalty prospectively.</w:t>
      </w:r>
    </w:p>
    <w:p w:rsidR="00291E4F" w:rsidRDefault="00291E4F" w:rsidP="00291E4F">
      <w:pPr>
        <w:suppressAutoHyphens/>
        <w:spacing w:line="360" w:lineRule="auto"/>
        <w:ind w:firstLine="1440"/>
        <w:rPr>
          <w:szCs w:val="26"/>
        </w:rPr>
      </w:pPr>
    </w:p>
    <w:p w:rsidR="00F76184" w:rsidRPr="00D37D90" w:rsidRDefault="00F76184" w:rsidP="00F76184">
      <w:pPr>
        <w:suppressAutoHyphens/>
        <w:spacing w:line="360" w:lineRule="auto"/>
        <w:ind w:firstLine="1440"/>
        <w:rPr>
          <w:szCs w:val="26"/>
        </w:rPr>
      </w:pPr>
      <w:r w:rsidRPr="00D37D90">
        <w:rPr>
          <w:color w:val="000000"/>
          <w:szCs w:val="26"/>
          <w:u w:color="000000"/>
        </w:rPr>
        <w:t xml:space="preserve">The fifth factor </w:t>
      </w:r>
      <w:r>
        <w:rPr>
          <w:color w:val="000000"/>
          <w:szCs w:val="26"/>
          <w:u w:color="000000"/>
        </w:rPr>
        <w:t>is</w:t>
      </w:r>
      <w:r w:rsidRPr="00D37D90">
        <w:rPr>
          <w:color w:val="000000"/>
          <w:szCs w:val="26"/>
          <w:u w:color="000000"/>
        </w:rPr>
        <w:t xml:space="preserve"> the number of customers affected and the duration of the violation</w:t>
      </w:r>
      <w:r>
        <w:rPr>
          <w:color w:val="000000"/>
          <w:szCs w:val="26"/>
          <w:u w:color="000000"/>
        </w:rPr>
        <w:t>s</w:t>
      </w:r>
      <w:r w:rsidRPr="00D37D90">
        <w:rPr>
          <w:color w:val="000000"/>
          <w:szCs w:val="26"/>
          <w:u w:color="000000"/>
        </w:rPr>
        <w:t xml:space="preserve">.  </w:t>
      </w:r>
      <w:r w:rsidRPr="00D37D90">
        <w:rPr>
          <w:szCs w:val="26"/>
        </w:rPr>
        <w:t xml:space="preserve">52 Pa. Code § </w:t>
      </w:r>
      <w:r w:rsidR="00E064D7">
        <w:rPr>
          <w:szCs w:val="26"/>
        </w:rPr>
        <w:t xml:space="preserve">69.1201(c)(5).  In this instance, </w:t>
      </w:r>
      <w:r w:rsidR="007A48D1">
        <w:rPr>
          <w:szCs w:val="26"/>
        </w:rPr>
        <w:t>as the ALJ found</w:t>
      </w:r>
      <w:r w:rsidR="007A5DD0">
        <w:rPr>
          <w:szCs w:val="26"/>
        </w:rPr>
        <w:t xml:space="preserve"> and which we do not dispute</w:t>
      </w:r>
      <w:r w:rsidR="007A48D1">
        <w:rPr>
          <w:szCs w:val="26"/>
        </w:rPr>
        <w:t xml:space="preserve">, </w:t>
      </w:r>
      <w:r w:rsidR="00E064D7">
        <w:rPr>
          <w:szCs w:val="26"/>
        </w:rPr>
        <w:t>only the Complainant was impacted by the Company’s actions.</w:t>
      </w:r>
      <w:r>
        <w:rPr>
          <w:i/>
          <w:szCs w:val="26"/>
        </w:rPr>
        <w:t xml:space="preserve"> </w:t>
      </w:r>
      <w:r w:rsidR="007A5DD0">
        <w:rPr>
          <w:szCs w:val="26"/>
        </w:rPr>
        <w:t xml:space="preserve">We note, however, that to the extent the prolonged use of the “user without contract” mechanism occurs, there is the potential for other PGW ratepayers to be impacted negatively by PGW’s inability to collect. </w:t>
      </w:r>
      <w:r w:rsidRPr="00D37D90">
        <w:rPr>
          <w:szCs w:val="26"/>
        </w:rPr>
        <w:t xml:space="preserve">     </w:t>
      </w:r>
    </w:p>
    <w:p w:rsidR="00F76184" w:rsidRPr="00D37D90" w:rsidRDefault="00F76184" w:rsidP="00F76184">
      <w:pPr>
        <w:suppressAutoHyphens/>
        <w:spacing w:line="360" w:lineRule="auto"/>
        <w:ind w:firstLine="1440"/>
        <w:rPr>
          <w:szCs w:val="26"/>
        </w:rPr>
      </w:pPr>
    </w:p>
    <w:p w:rsidR="00F76184" w:rsidRDefault="00E064D7" w:rsidP="00F76184">
      <w:pPr>
        <w:spacing w:line="360" w:lineRule="auto"/>
        <w:ind w:firstLine="1440"/>
        <w:rPr>
          <w:szCs w:val="26"/>
        </w:rPr>
      </w:pPr>
      <w:r>
        <w:rPr>
          <w:szCs w:val="26"/>
        </w:rPr>
        <w:t xml:space="preserve">The sixth factor is the compliance history of the </w:t>
      </w:r>
      <w:r w:rsidR="00F76184" w:rsidRPr="00D37D90">
        <w:rPr>
          <w:szCs w:val="26"/>
        </w:rPr>
        <w:t xml:space="preserve">regulated entity which committed the violation.  52 Pa. Code § 69.1201(c)(6).  </w:t>
      </w:r>
      <w:r w:rsidR="003B597D">
        <w:rPr>
          <w:szCs w:val="26"/>
        </w:rPr>
        <w:t xml:space="preserve">“An isolated incident from an otherwise compliant utility may result in a lower penalty, whereas frequent, recurrent violations by a utility may result in a higher penalty.”  </w:t>
      </w:r>
      <w:r w:rsidR="003B597D">
        <w:rPr>
          <w:i/>
          <w:szCs w:val="26"/>
        </w:rPr>
        <w:t>Id</w:t>
      </w:r>
      <w:r w:rsidR="003B597D" w:rsidRPr="007A48D1">
        <w:rPr>
          <w:szCs w:val="26"/>
        </w:rPr>
        <w:t xml:space="preserve">.  </w:t>
      </w:r>
      <w:r w:rsidR="007A48D1" w:rsidRPr="007A48D1">
        <w:rPr>
          <w:szCs w:val="26"/>
        </w:rPr>
        <w:t xml:space="preserve">Similar to our discussion of the third </w:t>
      </w:r>
      <w:r w:rsidR="007A48D1">
        <w:rPr>
          <w:szCs w:val="26"/>
        </w:rPr>
        <w:t xml:space="preserve">and fourth </w:t>
      </w:r>
      <w:r w:rsidR="007A48D1" w:rsidRPr="007A48D1">
        <w:rPr>
          <w:szCs w:val="26"/>
        </w:rPr>
        <w:t>factor</w:t>
      </w:r>
      <w:r w:rsidR="007A48D1">
        <w:rPr>
          <w:szCs w:val="26"/>
        </w:rPr>
        <w:t>s</w:t>
      </w:r>
      <w:r w:rsidR="007A48D1" w:rsidRPr="007A48D1">
        <w:rPr>
          <w:szCs w:val="26"/>
        </w:rPr>
        <w:t>, above, we consider our disposition here</w:t>
      </w:r>
      <w:r w:rsidR="007A48D1" w:rsidRPr="007A48D1">
        <w:rPr>
          <w:i/>
          <w:szCs w:val="26"/>
        </w:rPr>
        <w:t xml:space="preserve"> </w:t>
      </w:r>
      <w:r w:rsidR="007A48D1" w:rsidRPr="007A48D1">
        <w:rPr>
          <w:szCs w:val="26"/>
        </w:rPr>
        <w:t xml:space="preserve">to </w:t>
      </w:r>
      <w:r w:rsidR="007A5DD0">
        <w:rPr>
          <w:szCs w:val="26"/>
        </w:rPr>
        <w:t>constitute</w:t>
      </w:r>
      <w:r w:rsidR="007A48D1" w:rsidRPr="007A48D1">
        <w:rPr>
          <w:szCs w:val="26"/>
        </w:rPr>
        <w:t xml:space="preserve"> further notice to PGW that continued lack of diligence in monitoring its use of the “user without contract” mechanism </w:t>
      </w:r>
      <w:r w:rsidR="007A48D1">
        <w:rPr>
          <w:szCs w:val="26"/>
        </w:rPr>
        <w:t>will be regarded as</w:t>
      </w:r>
      <w:r w:rsidR="007A5DD0">
        <w:rPr>
          <w:szCs w:val="26"/>
        </w:rPr>
        <w:t xml:space="preserve"> a</w:t>
      </w:r>
      <w:r w:rsidR="007A48D1">
        <w:rPr>
          <w:szCs w:val="26"/>
        </w:rPr>
        <w:t xml:space="preserve"> recurrent viol</w:t>
      </w:r>
      <w:r w:rsidR="007A5DD0">
        <w:rPr>
          <w:szCs w:val="26"/>
        </w:rPr>
        <w:t>ation</w:t>
      </w:r>
      <w:r w:rsidR="007A48D1">
        <w:rPr>
          <w:szCs w:val="26"/>
        </w:rPr>
        <w:t xml:space="preserve"> by the utility that may result in </w:t>
      </w:r>
      <w:r w:rsidR="003B597D">
        <w:rPr>
          <w:szCs w:val="26"/>
        </w:rPr>
        <w:t>the imposition of a higher penalty</w:t>
      </w:r>
      <w:r w:rsidR="007A48D1">
        <w:rPr>
          <w:szCs w:val="26"/>
        </w:rPr>
        <w:t xml:space="preserve"> prospectively</w:t>
      </w:r>
      <w:r w:rsidR="003B597D">
        <w:rPr>
          <w:szCs w:val="26"/>
        </w:rPr>
        <w:t>.</w:t>
      </w:r>
      <w:r w:rsidR="00F76184" w:rsidRPr="00D37D90">
        <w:rPr>
          <w:szCs w:val="26"/>
        </w:rPr>
        <w:t xml:space="preserve">    </w:t>
      </w:r>
    </w:p>
    <w:p w:rsidR="00F76184" w:rsidRDefault="00F76184" w:rsidP="00F76184">
      <w:pPr>
        <w:spacing w:line="360" w:lineRule="auto"/>
        <w:ind w:firstLine="1440"/>
        <w:rPr>
          <w:szCs w:val="26"/>
        </w:rPr>
      </w:pPr>
    </w:p>
    <w:p w:rsidR="000D0CFF" w:rsidRDefault="003B597D" w:rsidP="00F76184">
      <w:pPr>
        <w:suppressAutoHyphens/>
        <w:spacing w:line="360" w:lineRule="auto"/>
        <w:ind w:firstLine="1440"/>
        <w:rPr>
          <w:szCs w:val="26"/>
        </w:rPr>
      </w:pPr>
      <w:r>
        <w:rPr>
          <w:szCs w:val="26"/>
        </w:rPr>
        <w:t xml:space="preserve">The seventh </w:t>
      </w:r>
      <w:r w:rsidR="00F76184" w:rsidRPr="00D37D90">
        <w:rPr>
          <w:szCs w:val="26"/>
        </w:rPr>
        <w:t xml:space="preserve">factor we may consider is whether the regulated entity cooperated with the Commission’s investigation.  52 Pa. Code § 69.1201(c)(7).  </w:t>
      </w:r>
      <w:r>
        <w:rPr>
          <w:szCs w:val="26"/>
        </w:rPr>
        <w:t xml:space="preserve">“Facts establishing bad faith, active concealment of violations, or attempts to interfere with Commission investigations may result in a higher penalty.”  </w:t>
      </w:r>
      <w:r>
        <w:rPr>
          <w:i/>
          <w:szCs w:val="26"/>
        </w:rPr>
        <w:t>Id.</w:t>
      </w:r>
      <w:r>
        <w:rPr>
          <w:szCs w:val="26"/>
        </w:rPr>
        <w:t xml:space="preserve">  As there was no Commission investigation within the context of this proceeding</w:t>
      </w:r>
      <w:r w:rsidR="00B6480F">
        <w:rPr>
          <w:szCs w:val="26"/>
        </w:rPr>
        <w:t xml:space="preserve"> to establish bad faith</w:t>
      </w:r>
      <w:r>
        <w:rPr>
          <w:szCs w:val="26"/>
        </w:rPr>
        <w:t>, we conclude</w:t>
      </w:r>
      <w:r w:rsidR="007A48D1">
        <w:rPr>
          <w:szCs w:val="26"/>
        </w:rPr>
        <w:t>, as did the ALJ, that</w:t>
      </w:r>
      <w:r>
        <w:rPr>
          <w:szCs w:val="26"/>
        </w:rPr>
        <w:t xml:space="preserve"> this factor is inapplicable.</w:t>
      </w:r>
    </w:p>
    <w:p w:rsidR="000D0CFF" w:rsidRDefault="000D0CFF" w:rsidP="00F76184">
      <w:pPr>
        <w:suppressAutoHyphens/>
        <w:spacing w:line="360" w:lineRule="auto"/>
        <w:ind w:firstLine="1440"/>
        <w:rPr>
          <w:szCs w:val="26"/>
        </w:rPr>
      </w:pPr>
    </w:p>
    <w:p w:rsidR="000D4AF4" w:rsidRPr="000D4AF4" w:rsidRDefault="000D4AF4" w:rsidP="000D4AF4">
      <w:pPr>
        <w:suppressAutoHyphens/>
        <w:spacing w:line="360" w:lineRule="auto"/>
        <w:ind w:firstLine="1440"/>
        <w:rPr>
          <w:szCs w:val="26"/>
        </w:rPr>
      </w:pPr>
      <w:r>
        <w:rPr>
          <w:szCs w:val="26"/>
        </w:rPr>
        <w:lastRenderedPageBreak/>
        <w:t xml:space="preserve">The eighth factor is the </w:t>
      </w:r>
      <w:r w:rsidR="00F76184" w:rsidRPr="00D37D90">
        <w:rPr>
          <w:szCs w:val="26"/>
        </w:rPr>
        <w:t xml:space="preserve">amount of the civil penalty </w:t>
      </w:r>
      <w:r>
        <w:rPr>
          <w:szCs w:val="26"/>
        </w:rPr>
        <w:t xml:space="preserve">or fine </w:t>
      </w:r>
      <w:r w:rsidR="00F76184" w:rsidRPr="00D37D90">
        <w:rPr>
          <w:szCs w:val="26"/>
        </w:rPr>
        <w:t>necessary to deter future violations</w:t>
      </w:r>
      <w:r>
        <w:rPr>
          <w:szCs w:val="26"/>
        </w:rPr>
        <w:t xml:space="preserve">.  </w:t>
      </w:r>
      <w:r w:rsidRPr="00D37D90">
        <w:rPr>
          <w:szCs w:val="26"/>
        </w:rPr>
        <w:t>52 Pa. Code § 69.1201(c)(8)</w:t>
      </w:r>
      <w:r>
        <w:rPr>
          <w:szCs w:val="26"/>
        </w:rPr>
        <w:t>.</w:t>
      </w:r>
      <w:r w:rsidRPr="00D37D90">
        <w:rPr>
          <w:szCs w:val="26"/>
        </w:rPr>
        <w:t xml:space="preserve"> </w:t>
      </w:r>
      <w:r>
        <w:rPr>
          <w:szCs w:val="26"/>
        </w:rPr>
        <w:t xml:space="preserve"> “The size of the utility may be considered to determine an appropriate penalty amount.”  </w:t>
      </w:r>
      <w:r>
        <w:rPr>
          <w:i/>
          <w:szCs w:val="26"/>
        </w:rPr>
        <w:t>Id.</w:t>
      </w:r>
      <w:r>
        <w:rPr>
          <w:szCs w:val="26"/>
        </w:rPr>
        <w:t xml:space="preserve">  PGW is a large natural gas utility with a territory consisting of the City of Philadelphia.  The ninth factor is past Commission decisions in similar situations, 52 Pa. Code § 69.1201(c)(9</w:t>
      </w:r>
      <w:r w:rsidRPr="00D37D90">
        <w:rPr>
          <w:szCs w:val="26"/>
        </w:rPr>
        <w:t>)</w:t>
      </w:r>
      <w:r>
        <w:rPr>
          <w:szCs w:val="26"/>
        </w:rPr>
        <w:t>, and the tenth factor is other relevant factors.  52 Pa. Code § 69.1201(c)(10</w:t>
      </w:r>
      <w:r w:rsidRPr="00D37D90">
        <w:rPr>
          <w:szCs w:val="26"/>
        </w:rPr>
        <w:t>)</w:t>
      </w:r>
      <w:r>
        <w:rPr>
          <w:szCs w:val="26"/>
        </w:rPr>
        <w:t>.</w:t>
      </w:r>
    </w:p>
    <w:p w:rsidR="000D4AF4" w:rsidRDefault="000D4AF4" w:rsidP="000D4AF4">
      <w:pPr>
        <w:suppressAutoHyphens/>
        <w:spacing w:line="360" w:lineRule="auto"/>
        <w:ind w:firstLine="1440"/>
        <w:rPr>
          <w:szCs w:val="26"/>
        </w:rPr>
      </w:pPr>
    </w:p>
    <w:p w:rsidR="008A7896" w:rsidRDefault="001D58F0" w:rsidP="00733306">
      <w:pPr>
        <w:suppressAutoHyphens/>
        <w:spacing w:line="360" w:lineRule="auto"/>
        <w:ind w:firstLine="1440"/>
        <w:rPr>
          <w:szCs w:val="26"/>
        </w:rPr>
      </w:pPr>
      <w:r>
        <w:rPr>
          <w:szCs w:val="26"/>
        </w:rPr>
        <w:t xml:space="preserve">As noted, in both </w:t>
      </w:r>
      <w:proofErr w:type="spellStart"/>
      <w:r>
        <w:rPr>
          <w:i/>
          <w:szCs w:val="26"/>
        </w:rPr>
        <w:t>Kron</w:t>
      </w:r>
      <w:proofErr w:type="spellEnd"/>
      <w:r>
        <w:rPr>
          <w:i/>
          <w:szCs w:val="26"/>
        </w:rPr>
        <w:t xml:space="preserve"> </w:t>
      </w:r>
      <w:r>
        <w:rPr>
          <w:szCs w:val="26"/>
        </w:rPr>
        <w:t xml:space="preserve">and </w:t>
      </w:r>
      <w:r w:rsidRPr="001D58F0">
        <w:rPr>
          <w:i/>
          <w:szCs w:val="26"/>
        </w:rPr>
        <w:t>Newman</w:t>
      </w:r>
      <w:r>
        <w:rPr>
          <w:szCs w:val="26"/>
        </w:rPr>
        <w:t xml:space="preserve">, PGW was advised that we were concerned with its prolonged use of the “user without contract” mechanism as a placeholder, and in </w:t>
      </w:r>
      <w:proofErr w:type="spellStart"/>
      <w:r w:rsidRPr="001D58F0">
        <w:rPr>
          <w:i/>
        </w:rPr>
        <w:t>Kron</w:t>
      </w:r>
      <w:proofErr w:type="spellEnd"/>
      <w:r>
        <w:t xml:space="preserve">, we imposed a civil penalty of $500.00.  In </w:t>
      </w:r>
      <w:r w:rsidR="00222EA7">
        <w:rPr>
          <w:szCs w:val="26"/>
        </w:rPr>
        <w:t xml:space="preserve">consideration </w:t>
      </w:r>
      <w:r>
        <w:rPr>
          <w:szCs w:val="26"/>
        </w:rPr>
        <w:t xml:space="preserve">of this and </w:t>
      </w:r>
      <w:r w:rsidR="00733306">
        <w:rPr>
          <w:szCs w:val="26"/>
        </w:rPr>
        <w:t>all of the above factors</w:t>
      </w:r>
      <w:r w:rsidR="00B6480F">
        <w:rPr>
          <w:szCs w:val="26"/>
        </w:rPr>
        <w:t xml:space="preserve"> collectively</w:t>
      </w:r>
      <w:r w:rsidR="00733306">
        <w:rPr>
          <w:szCs w:val="26"/>
        </w:rPr>
        <w:t xml:space="preserve">, </w:t>
      </w:r>
      <w:r w:rsidR="000D4AF4">
        <w:rPr>
          <w:szCs w:val="26"/>
        </w:rPr>
        <w:t>we find that a civil penalty of</w:t>
      </w:r>
      <w:r w:rsidR="00F76184">
        <w:rPr>
          <w:szCs w:val="26"/>
        </w:rPr>
        <w:t xml:space="preserve"> $</w:t>
      </w:r>
      <w:r w:rsidR="000D4AF4">
        <w:rPr>
          <w:szCs w:val="26"/>
        </w:rPr>
        <w:t>5</w:t>
      </w:r>
      <w:r w:rsidR="00F76184">
        <w:rPr>
          <w:szCs w:val="26"/>
        </w:rPr>
        <w:t>00</w:t>
      </w:r>
      <w:r w:rsidR="00F648E7">
        <w:rPr>
          <w:szCs w:val="26"/>
        </w:rPr>
        <w:t>.00</w:t>
      </w:r>
      <w:r w:rsidR="00F76184">
        <w:rPr>
          <w:szCs w:val="26"/>
        </w:rPr>
        <w:t xml:space="preserve"> is </w:t>
      </w:r>
      <w:r w:rsidR="00733306">
        <w:rPr>
          <w:szCs w:val="26"/>
        </w:rPr>
        <w:t xml:space="preserve">warranted and </w:t>
      </w:r>
      <w:r w:rsidR="00F76184">
        <w:rPr>
          <w:szCs w:val="26"/>
        </w:rPr>
        <w:t>appropriate</w:t>
      </w:r>
      <w:r>
        <w:rPr>
          <w:szCs w:val="26"/>
        </w:rPr>
        <w:t>, and so modify the ALJ’s Initial Decision</w:t>
      </w:r>
      <w:r w:rsidR="00F76184">
        <w:rPr>
          <w:szCs w:val="26"/>
        </w:rPr>
        <w:t xml:space="preserve">.  </w:t>
      </w:r>
      <w:r w:rsidR="00F76184" w:rsidRPr="00D37D90">
        <w:rPr>
          <w:szCs w:val="26"/>
        </w:rPr>
        <w:t xml:space="preserve">We </w:t>
      </w:r>
      <w:r w:rsidR="007A48D1">
        <w:rPr>
          <w:szCs w:val="26"/>
        </w:rPr>
        <w:t xml:space="preserve">impose this amount </w:t>
      </w:r>
      <w:r>
        <w:rPr>
          <w:szCs w:val="26"/>
        </w:rPr>
        <w:t xml:space="preserve">as a deterrent to </w:t>
      </w:r>
      <w:r w:rsidR="00F76184" w:rsidRPr="00D37D90">
        <w:rPr>
          <w:szCs w:val="26"/>
        </w:rPr>
        <w:t xml:space="preserve">future violations and </w:t>
      </w:r>
      <w:r w:rsidR="007A48D1">
        <w:rPr>
          <w:szCs w:val="26"/>
        </w:rPr>
        <w:t xml:space="preserve">because it is </w:t>
      </w:r>
      <w:r w:rsidR="00F76184" w:rsidRPr="00D37D90">
        <w:rPr>
          <w:szCs w:val="26"/>
        </w:rPr>
        <w:t>consistent with our prior decisions as well as the Code.</w:t>
      </w:r>
      <w:r w:rsidR="00F76184">
        <w:rPr>
          <w:szCs w:val="26"/>
        </w:rPr>
        <w:t xml:space="preserve"> </w:t>
      </w:r>
    </w:p>
    <w:p w:rsidR="00733306" w:rsidRDefault="00733306" w:rsidP="00733306">
      <w:pPr>
        <w:suppressAutoHyphens/>
        <w:spacing w:line="360" w:lineRule="auto"/>
        <w:ind w:firstLine="1440"/>
      </w:pPr>
    </w:p>
    <w:p w:rsidR="00EB6BF9" w:rsidRPr="00117773" w:rsidRDefault="00EB6BF9" w:rsidP="00FD1DAD">
      <w:pPr>
        <w:spacing w:line="360" w:lineRule="auto"/>
        <w:jc w:val="center"/>
        <w:rPr>
          <w:b/>
        </w:rPr>
      </w:pPr>
      <w:r w:rsidRPr="00117773">
        <w:rPr>
          <w:b/>
        </w:rPr>
        <w:t>Conclusion</w:t>
      </w:r>
    </w:p>
    <w:p w:rsidR="00A4385E" w:rsidRDefault="00A4385E" w:rsidP="00A4385E">
      <w:pPr>
        <w:spacing w:line="360" w:lineRule="auto"/>
        <w:ind w:firstLine="1440"/>
        <w:rPr>
          <w:szCs w:val="26"/>
        </w:rPr>
      </w:pPr>
    </w:p>
    <w:p w:rsidR="00A4385E" w:rsidRDefault="00A4385E" w:rsidP="00A4385E">
      <w:pPr>
        <w:spacing w:line="360" w:lineRule="auto"/>
        <w:ind w:firstLine="1440"/>
        <w:rPr>
          <w:szCs w:val="26"/>
        </w:rPr>
      </w:pPr>
      <w:r>
        <w:rPr>
          <w:szCs w:val="26"/>
        </w:rPr>
        <w:t xml:space="preserve">Based upon the foregoing discussion, we shall </w:t>
      </w:r>
      <w:r w:rsidR="001F0898">
        <w:rPr>
          <w:szCs w:val="26"/>
        </w:rPr>
        <w:t>modif</w:t>
      </w:r>
      <w:r w:rsidR="003B4E53">
        <w:rPr>
          <w:szCs w:val="26"/>
        </w:rPr>
        <w:t>y</w:t>
      </w:r>
      <w:r w:rsidR="001F0898">
        <w:rPr>
          <w:szCs w:val="26"/>
        </w:rPr>
        <w:t xml:space="preserve"> the Initial Decision of Administrative Law Judge </w:t>
      </w:r>
      <w:proofErr w:type="spellStart"/>
      <w:r w:rsidR="007A48D1">
        <w:rPr>
          <w:szCs w:val="26"/>
        </w:rPr>
        <w:t>Eranda</w:t>
      </w:r>
      <w:proofErr w:type="spellEnd"/>
      <w:r w:rsidR="007A48D1">
        <w:rPr>
          <w:szCs w:val="26"/>
        </w:rPr>
        <w:t xml:space="preserve"> Vero</w:t>
      </w:r>
      <w:r w:rsidR="00007068">
        <w:rPr>
          <w:szCs w:val="26"/>
        </w:rPr>
        <w:t>,</w:t>
      </w:r>
      <w:r>
        <w:rPr>
          <w:szCs w:val="26"/>
        </w:rPr>
        <w:t xml:space="preserve"> consistent with the foregoing discussion</w:t>
      </w:r>
      <w:r>
        <w:t xml:space="preserve">; </w:t>
      </w:r>
      <w:r>
        <w:rPr>
          <w:b/>
        </w:rPr>
        <w:t>THEREFORE,</w:t>
      </w:r>
      <w:r>
        <w:t xml:space="preserve"> </w:t>
      </w:r>
    </w:p>
    <w:p w:rsidR="00A4385E" w:rsidRDefault="00A4385E" w:rsidP="00A4385E">
      <w:pPr>
        <w:rPr>
          <w:szCs w:val="26"/>
        </w:rPr>
      </w:pPr>
    </w:p>
    <w:p w:rsidR="00A4385E" w:rsidRPr="00CE7F23" w:rsidRDefault="00A4385E" w:rsidP="00A4385E">
      <w:pPr>
        <w:ind w:firstLine="1440"/>
        <w:rPr>
          <w:b/>
          <w:szCs w:val="26"/>
        </w:rPr>
      </w:pPr>
      <w:r>
        <w:rPr>
          <w:b/>
          <w:szCs w:val="26"/>
        </w:rPr>
        <w:t>IT IS ORDERED:</w:t>
      </w:r>
    </w:p>
    <w:p w:rsidR="00A4385E" w:rsidRDefault="00A4385E" w:rsidP="00291E4F">
      <w:pPr>
        <w:spacing w:line="360" w:lineRule="auto"/>
        <w:rPr>
          <w:szCs w:val="26"/>
        </w:rPr>
      </w:pPr>
    </w:p>
    <w:p w:rsidR="00A4385E" w:rsidRPr="004240E7" w:rsidRDefault="00007068" w:rsidP="00007068">
      <w:pPr>
        <w:widowControl w:val="0"/>
        <w:numPr>
          <w:ilvl w:val="0"/>
          <w:numId w:val="5"/>
        </w:numPr>
        <w:tabs>
          <w:tab w:val="clear" w:pos="2160"/>
          <w:tab w:val="num" w:pos="0"/>
        </w:tabs>
        <w:overflowPunct/>
        <w:autoSpaceDE/>
        <w:autoSpaceDN/>
        <w:adjustRightInd/>
        <w:spacing w:line="360" w:lineRule="auto"/>
        <w:ind w:left="0" w:firstLine="1440"/>
        <w:textAlignment w:val="auto"/>
        <w:rPr>
          <w:szCs w:val="26"/>
        </w:rPr>
      </w:pPr>
      <w:r w:rsidRPr="004240E7">
        <w:rPr>
          <w:szCs w:val="26"/>
        </w:rPr>
        <w:t>That the</w:t>
      </w:r>
      <w:r w:rsidR="00A4385E" w:rsidRPr="004240E7">
        <w:rPr>
          <w:szCs w:val="26"/>
        </w:rPr>
        <w:t xml:space="preserve"> Initial Decision of Administrative Law Judge</w:t>
      </w:r>
      <w:r w:rsidR="001F0898" w:rsidRPr="004240E7">
        <w:rPr>
          <w:szCs w:val="26"/>
        </w:rPr>
        <w:t xml:space="preserve"> </w:t>
      </w:r>
      <w:proofErr w:type="spellStart"/>
      <w:r w:rsidR="007A48D1">
        <w:rPr>
          <w:szCs w:val="26"/>
        </w:rPr>
        <w:t>Eranda</w:t>
      </w:r>
      <w:proofErr w:type="spellEnd"/>
      <w:r w:rsidR="007A48D1">
        <w:rPr>
          <w:szCs w:val="26"/>
        </w:rPr>
        <w:t xml:space="preserve"> Vero </w:t>
      </w:r>
      <w:r w:rsidR="00496849">
        <w:rPr>
          <w:szCs w:val="26"/>
        </w:rPr>
        <w:t xml:space="preserve">issued </w:t>
      </w:r>
      <w:r w:rsidR="00F648E7" w:rsidRPr="00F648E7">
        <w:rPr>
          <w:szCs w:val="26"/>
        </w:rPr>
        <w:t>August 6, 2014</w:t>
      </w:r>
      <w:r w:rsidR="00496849">
        <w:rPr>
          <w:szCs w:val="26"/>
        </w:rPr>
        <w:t>,</w:t>
      </w:r>
      <w:r w:rsidR="001F0898" w:rsidRPr="004240E7">
        <w:rPr>
          <w:szCs w:val="26"/>
        </w:rPr>
        <w:t xml:space="preserve"> </w:t>
      </w:r>
      <w:r w:rsidR="00A4385E" w:rsidRPr="004240E7">
        <w:rPr>
          <w:szCs w:val="26"/>
        </w:rPr>
        <w:t xml:space="preserve">is </w:t>
      </w:r>
      <w:r w:rsidR="00132B05">
        <w:rPr>
          <w:szCs w:val="26"/>
        </w:rPr>
        <w:t xml:space="preserve">modified, </w:t>
      </w:r>
      <w:r w:rsidR="00A4385E" w:rsidRPr="004240E7">
        <w:rPr>
          <w:szCs w:val="26"/>
        </w:rPr>
        <w:t>consistent with this Opinion and Order.</w:t>
      </w:r>
    </w:p>
    <w:p w:rsidR="00007068" w:rsidRPr="004240E7" w:rsidRDefault="00007068" w:rsidP="00A4385E">
      <w:pPr>
        <w:spacing w:line="360" w:lineRule="auto"/>
        <w:ind w:firstLine="1440"/>
        <w:rPr>
          <w:szCs w:val="26"/>
        </w:rPr>
      </w:pPr>
    </w:p>
    <w:p w:rsidR="004240E7" w:rsidRDefault="00A4385E" w:rsidP="004240E7">
      <w:pPr>
        <w:pStyle w:val="PlainText"/>
        <w:spacing w:line="360" w:lineRule="auto"/>
        <w:rPr>
          <w:rFonts w:ascii="Times New Roman" w:hAnsi="Times New Roman" w:cs="Times New Roman"/>
          <w:sz w:val="26"/>
          <w:szCs w:val="26"/>
        </w:rPr>
      </w:pPr>
      <w:r w:rsidRPr="004240E7">
        <w:rPr>
          <w:sz w:val="26"/>
          <w:szCs w:val="26"/>
        </w:rPr>
        <w:tab/>
      </w:r>
      <w:r w:rsidR="004240E7">
        <w:rPr>
          <w:sz w:val="26"/>
          <w:szCs w:val="26"/>
        </w:rPr>
        <w:tab/>
      </w:r>
      <w:r w:rsidR="004240E7" w:rsidRPr="004240E7">
        <w:rPr>
          <w:rFonts w:ascii="Times New Roman" w:hAnsi="Times New Roman" w:cs="Times New Roman"/>
          <w:sz w:val="26"/>
          <w:szCs w:val="26"/>
        </w:rPr>
        <w:t>2.</w:t>
      </w:r>
      <w:r w:rsidR="004240E7" w:rsidRPr="004240E7">
        <w:rPr>
          <w:rFonts w:ascii="Times New Roman" w:hAnsi="Times New Roman" w:cs="Times New Roman"/>
          <w:sz w:val="26"/>
          <w:szCs w:val="26"/>
        </w:rPr>
        <w:tab/>
        <w:t>That</w:t>
      </w:r>
      <w:r w:rsidR="00496849">
        <w:rPr>
          <w:rFonts w:ascii="Times New Roman" w:hAnsi="Times New Roman" w:cs="Times New Roman"/>
          <w:sz w:val="26"/>
          <w:szCs w:val="26"/>
        </w:rPr>
        <w:t>, in accordance with Section 3301 of the Public Utility Code, 66 Pa. C.S. § 3301, within thirty (30) days of receipt of the Commission’s final Opinion and Order,</w:t>
      </w:r>
      <w:r w:rsidR="004240E7" w:rsidRPr="004240E7">
        <w:rPr>
          <w:rFonts w:ascii="Times New Roman" w:hAnsi="Times New Roman" w:cs="Times New Roman"/>
          <w:sz w:val="26"/>
          <w:szCs w:val="26"/>
        </w:rPr>
        <w:t xml:space="preserve"> </w:t>
      </w:r>
      <w:r w:rsidR="004240E7">
        <w:rPr>
          <w:rFonts w:ascii="Times New Roman" w:hAnsi="Times New Roman" w:cs="Times New Roman"/>
          <w:sz w:val="26"/>
          <w:szCs w:val="26"/>
        </w:rPr>
        <w:t>Philadelphia Gas Works</w:t>
      </w:r>
      <w:r w:rsidR="004240E7" w:rsidRPr="004240E7">
        <w:rPr>
          <w:rFonts w:ascii="Times New Roman" w:hAnsi="Times New Roman" w:cs="Times New Roman"/>
          <w:sz w:val="26"/>
          <w:szCs w:val="26"/>
        </w:rPr>
        <w:t xml:space="preserve"> shall pay a </w:t>
      </w:r>
      <w:r w:rsidR="004240E7">
        <w:rPr>
          <w:rFonts w:ascii="Times New Roman" w:hAnsi="Times New Roman" w:cs="Times New Roman"/>
          <w:sz w:val="26"/>
          <w:szCs w:val="26"/>
        </w:rPr>
        <w:t xml:space="preserve">civil penalty </w:t>
      </w:r>
      <w:r w:rsidR="00496849">
        <w:rPr>
          <w:rFonts w:ascii="Times New Roman" w:hAnsi="Times New Roman" w:cs="Times New Roman"/>
          <w:sz w:val="26"/>
          <w:szCs w:val="26"/>
        </w:rPr>
        <w:t xml:space="preserve">in the amount </w:t>
      </w:r>
      <w:r w:rsidR="004240E7">
        <w:rPr>
          <w:rFonts w:ascii="Times New Roman" w:hAnsi="Times New Roman" w:cs="Times New Roman"/>
          <w:sz w:val="26"/>
          <w:szCs w:val="26"/>
        </w:rPr>
        <w:t xml:space="preserve">of Five </w:t>
      </w:r>
      <w:r w:rsidR="004240E7">
        <w:rPr>
          <w:rFonts w:ascii="Times New Roman" w:hAnsi="Times New Roman" w:cs="Times New Roman"/>
          <w:sz w:val="26"/>
          <w:szCs w:val="26"/>
        </w:rPr>
        <w:lastRenderedPageBreak/>
        <w:t>Hundred Dollars ($5</w:t>
      </w:r>
      <w:r w:rsidR="004240E7" w:rsidRPr="004240E7">
        <w:rPr>
          <w:rFonts w:ascii="Times New Roman" w:hAnsi="Times New Roman" w:cs="Times New Roman"/>
          <w:sz w:val="26"/>
          <w:szCs w:val="26"/>
        </w:rPr>
        <w:t>00</w:t>
      </w:r>
      <w:r w:rsidR="00132B05">
        <w:rPr>
          <w:rFonts w:ascii="Times New Roman" w:hAnsi="Times New Roman" w:cs="Times New Roman"/>
          <w:sz w:val="26"/>
          <w:szCs w:val="26"/>
        </w:rPr>
        <w:t>.00</w:t>
      </w:r>
      <w:r w:rsidR="004240E7" w:rsidRPr="004240E7">
        <w:rPr>
          <w:rFonts w:ascii="Times New Roman" w:hAnsi="Times New Roman" w:cs="Times New Roman"/>
          <w:sz w:val="26"/>
          <w:szCs w:val="26"/>
        </w:rPr>
        <w:t>) for the vi</w:t>
      </w:r>
      <w:r w:rsidR="004240E7">
        <w:rPr>
          <w:rFonts w:ascii="Times New Roman" w:hAnsi="Times New Roman" w:cs="Times New Roman"/>
          <w:sz w:val="26"/>
          <w:szCs w:val="26"/>
        </w:rPr>
        <w:t>olation of 66 Pa. C.S. §1501</w:t>
      </w:r>
      <w:r w:rsidR="001C1A17">
        <w:rPr>
          <w:rFonts w:ascii="Times New Roman" w:hAnsi="Times New Roman" w:cs="Times New Roman"/>
          <w:sz w:val="26"/>
          <w:szCs w:val="26"/>
        </w:rPr>
        <w:t xml:space="preserve">.  </w:t>
      </w:r>
      <w:r w:rsidR="00F648E7">
        <w:rPr>
          <w:rFonts w:ascii="Times New Roman" w:hAnsi="Times New Roman" w:cs="Times New Roman"/>
          <w:sz w:val="26"/>
          <w:szCs w:val="26"/>
        </w:rPr>
        <w:t>C</w:t>
      </w:r>
      <w:r w:rsidR="004240E7" w:rsidRPr="004240E7">
        <w:rPr>
          <w:rFonts w:ascii="Times New Roman" w:hAnsi="Times New Roman" w:cs="Times New Roman"/>
          <w:sz w:val="26"/>
          <w:szCs w:val="26"/>
        </w:rPr>
        <w:t>ertified check or money order</w:t>
      </w:r>
      <w:r w:rsidR="001C1A17">
        <w:rPr>
          <w:rFonts w:ascii="Times New Roman" w:hAnsi="Times New Roman" w:cs="Times New Roman"/>
          <w:sz w:val="26"/>
          <w:szCs w:val="26"/>
        </w:rPr>
        <w:t xml:space="preserve"> </w:t>
      </w:r>
      <w:r w:rsidR="00257A3B">
        <w:rPr>
          <w:rFonts w:ascii="Times New Roman" w:hAnsi="Times New Roman" w:cs="Times New Roman"/>
          <w:sz w:val="26"/>
          <w:szCs w:val="26"/>
        </w:rPr>
        <w:t xml:space="preserve">in that amount </w:t>
      </w:r>
      <w:r w:rsidR="001C1A17">
        <w:rPr>
          <w:rFonts w:ascii="Times New Roman" w:hAnsi="Times New Roman" w:cs="Times New Roman"/>
          <w:sz w:val="26"/>
          <w:szCs w:val="26"/>
        </w:rPr>
        <w:t xml:space="preserve">shall be made payable to “Commonwealth of Pennsylvania” </w:t>
      </w:r>
      <w:r w:rsidR="004240E7" w:rsidRPr="004240E7">
        <w:rPr>
          <w:rFonts w:ascii="Times New Roman" w:hAnsi="Times New Roman" w:cs="Times New Roman"/>
          <w:sz w:val="26"/>
          <w:szCs w:val="26"/>
        </w:rPr>
        <w:t xml:space="preserve">and </w:t>
      </w:r>
      <w:r w:rsidR="001C1A17">
        <w:rPr>
          <w:rFonts w:ascii="Times New Roman" w:hAnsi="Times New Roman" w:cs="Times New Roman"/>
          <w:sz w:val="26"/>
          <w:szCs w:val="26"/>
        </w:rPr>
        <w:t xml:space="preserve">sent </w:t>
      </w:r>
      <w:r w:rsidR="00F648E7">
        <w:rPr>
          <w:rFonts w:ascii="Times New Roman" w:hAnsi="Times New Roman" w:cs="Times New Roman"/>
          <w:sz w:val="26"/>
          <w:szCs w:val="26"/>
        </w:rPr>
        <w:t>addressed as follows</w:t>
      </w:r>
      <w:r w:rsidR="004240E7" w:rsidRPr="004240E7">
        <w:rPr>
          <w:rFonts w:ascii="Times New Roman" w:hAnsi="Times New Roman" w:cs="Times New Roman"/>
          <w:sz w:val="26"/>
          <w:szCs w:val="26"/>
        </w:rPr>
        <w:t>:</w:t>
      </w:r>
    </w:p>
    <w:p w:rsidR="001C1A17" w:rsidRPr="004240E7" w:rsidRDefault="001C1A17" w:rsidP="001C1A17">
      <w:pPr>
        <w:pStyle w:val="PlainText"/>
        <w:rPr>
          <w:rFonts w:ascii="Times New Roman" w:hAnsi="Times New Roman" w:cs="Times New Roman"/>
          <w:sz w:val="26"/>
          <w:szCs w:val="26"/>
        </w:rPr>
      </w:pPr>
    </w:p>
    <w:p w:rsidR="004240E7" w:rsidRPr="004240E7" w:rsidRDefault="004240E7" w:rsidP="00132B05">
      <w:pPr>
        <w:keepNext/>
        <w:suppressAutoHyphens/>
        <w:rPr>
          <w:szCs w:val="26"/>
        </w:rPr>
      </w:pPr>
      <w:r w:rsidRPr="004240E7">
        <w:rPr>
          <w:szCs w:val="26"/>
        </w:rPr>
        <w:tab/>
      </w:r>
      <w:r w:rsidRPr="004240E7">
        <w:rPr>
          <w:szCs w:val="26"/>
        </w:rPr>
        <w:tab/>
      </w:r>
      <w:r w:rsidRPr="004240E7">
        <w:rPr>
          <w:szCs w:val="26"/>
        </w:rPr>
        <w:tab/>
      </w:r>
      <w:r w:rsidRPr="004240E7">
        <w:rPr>
          <w:szCs w:val="26"/>
        </w:rPr>
        <w:tab/>
        <w:t>Secretary</w:t>
      </w:r>
    </w:p>
    <w:p w:rsidR="004240E7" w:rsidRPr="004240E7" w:rsidRDefault="004240E7" w:rsidP="00132B05">
      <w:pPr>
        <w:keepNext/>
        <w:suppressAutoHyphens/>
        <w:rPr>
          <w:szCs w:val="26"/>
        </w:rPr>
      </w:pPr>
      <w:r w:rsidRPr="004240E7">
        <w:rPr>
          <w:szCs w:val="26"/>
        </w:rPr>
        <w:tab/>
      </w:r>
      <w:r w:rsidRPr="004240E7">
        <w:rPr>
          <w:szCs w:val="26"/>
        </w:rPr>
        <w:tab/>
      </w:r>
      <w:r w:rsidRPr="004240E7">
        <w:rPr>
          <w:szCs w:val="26"/>
        </w:rPr>
        <w:tab/>
      </w:r>
      <w:r w:rsidRPr="004240E7">
        <w:rPr>
          <w:szCs w:val="26"/>
        </w:rPr>
        <w:tab/>
        <w:t>Pennsylvania Public Utility Commission</w:t>
      </w: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P.O. Box 3265</w:t>
      </w: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Harrisburg, PA  17105-3265</w:t>
      </w:r>
    </w:p>
    <w:p w:rsidR="004240E7" w:rsidRPr="004240E7" w:rsidRDefault="004240E7" w:rsidP="004240E7">
      <w:pPr>
        <w:suppressAutoHyphens/>
        <w:rPr>
          <w:szCs w:val="26"/>
        </w:rPr>
      </w:pPr>
    </w:p>
    <w:p w:rsidR="004240E7" w:rsidRPr="004240E7" w:rsidRDefault="004240E7" w:rsidP="00222EA7">
      <w:pPr>
        <w:pStyle w:val="PlainText"/>
        <w:spacing w:line="360" w:lineRule="auto"/>
        <w:rPr>
          <w:rFonts w:ascii="Times New Roman" w:hAnsi="Times New Roman" w:cs="Times New Roman"/>
          <w:sz w:val="26"/>
          <w:szCs w:val="26"/>
        </w:rPr>
      </w:pPr>
      <w:r w:rsidRPr="004240E7">
        <w:rPr>
          <w:sz w:val="26"/>
          <w:szCs w:val="26"/>
        </w:rPr>
        <w:tab/>
      </w:r>
      <w:r w:rsidRPr="004240E7">
        <w:rPr>
          <w:sz w:val="26"/>
          <w:szCs w:val="26"/>
        </w:rPr>
        <w:tab/>
      </w:r>
      <w:r w:rsidRPr="004240E7">
        <w:rPr>
          <w:rFonts w:ascii="Times New Roman" w:hAnsi="Times New Roman" w:cs="Times New Roman"/>
          <w:sz w:val="26"/>
          <w:szCs w:val="26"/>
        </w:rPr>
        <w:t xml:space="preserve">3. </w:t>
      </w:r>
      <w:r w:rsidRPr="004240E7">
        <w:rPr>
          <w:rFonts w:ascii="Times New Roman" w:hAnsi="Times New Roman" w:cs="Times New Roman"/>
          <w:sz w:val="26"/>
          <w:szCs w:val="26"/>
        </w:rPr>
        <w:tab/>
        <w:t>Th</w:t>
      </w:r>
      <w:r>
        <w:rPr>
          <w:rFonts w:ascii="Times New Roman" w:hAnsi="Times New Roman" w:cs="Times New Roman"/>
          <w:sz w:val="26"/>
          <w:szCs w:val="26"/>
        </w:rPr>
        <w:t>at Philadelphia Gas Works</w:t>
      </w:r>
      <w:r w:rsidRPr="004240E7">
        <w:rPr>
          <w:rFonts w:ascii="Times New Roman" w:hAnsi="Times New Roman" w:cs="Times New Roman"/>
          <w:sz w:val="26"/>
          <w:szCs w:val="26"/>
        </w:rPr>
        <w:t xml:space="preserve"> cease and desist from further violations of the Public Utility Code and t</w:t>
      </w:r>
      <w:r w:rsidR="00F648E7">
        <w:rPr>
          <w:rFonts w:ascii="Times New Roman" w:hAnsi="Times New Roman" w:cs="Times New Roman"/>
          <w:sz w:val="26"/>
          <w:szCs w:val="26"/>
        </w:rPr>
        <w:t>he Public Utility Commission’s R</w:t>
      </w:r>
      <w:r w:rsidRPr="004240E7">
        <w:rPr>
          <w:rFonts w:ascii="Times New Roman" w:hAnsi="Times New Roman" w:cs="Times New Roman"/>
          <w:sz w:val="26"/>
          <w:szCs w:val="26"/>
        </w:rPr>
        <w:t>egulations.</w:t>
      </w:r>
    </w:p>
    <w:p w:rsidR="004240E7" w:rsidRPr="004240E7" w:rsidRDefault="004240E7" w:rsidP="004240E7">
      <w:pPr>
        <w:suppressAutoHyphens/>
        <w:rPr>
          <w:szCs w:val="26"/>
        </w:rPr>
      </w:pPr>
      <w:r w:rsidRPr="004240E7">
        <w:rPr>
          <w:szCs w:val="26"/>
        </w:rPr>
        <w:tab/>
      </w:r>
    </w:p>
    <w:p w:rsidR="00F648E7" w:rsidRDefault="004240E7" w:rsidP="00F648E7">
      <w:pPr>
        <w:suppressAutoHyphens/>
        <w:spacing w:line="360" w:lineRule="auto"/>
        <w:ind w:firstLine="1440"/>
        <w:rPr>
          <w:szCs w:val="26"/>
        </w:rPr>
      </w:pPr>
      <w:r w:rsidRPr="004240E7">
        <w:rPr>
          <w:szCs w:val="26"/>
        </w:rPr>
        <w:t>4.</w:t>
      </w:r>
      <w:r w:rsidRPr="004240E7">
        <w:rPr>
          <w:szCs w:val="26"/>
        </w:rPr>
        <w:tab/>
        <w:t xml:space="preserve">That the Formal Complaint filed by </w:t>
      </w:r>
      <w:r w:rsidR="007A48D1">
        <w:rPr>
          <w:szCs w:val="26"/>
        </w:rPr>
        <w:t xml:space="preserve">Nathaniel </w:t>
      </w:r>
      <w:proofErr w:type="spellStart"/>
      <w:r w:rsidR="007A48D1">
        <w:rPr>
          <w:szCs w:val="26"/>
        </w:rPr>
        <w:t>Haynesworth</w:t>
      </w:r>
      <w:proofErr w:type="spellEnd"/>
      <w:r w:rsidRPr="004240E7">
        <w:rPr>
          <w:szCs w:val="26"/>
        </w:rPr>
        <w:t xml:space="preserve"> </w:t>
      </w:r>
      <w:r>
        <w:rPr>
          <w:szCs w:val="26"/>
        </w:rPr>
        <w:t xml:space="preserve">against Philadelphia Gas Works </w:t>
      </w:r>
      <w:r w:rsidRPr="004240E7">
        <w:rPr>
          <w:szCs w:val="26"/>
        </w:rPr>
        <w:t xml:space="preserve">at Docket No. </w:t>
      </w:r>
      <w:r w:rsidR="00F648E7">
        <w:rPr>
          <w:szCs w:val="26"/>
        </w:rPr>
        <w:t>C</w:t>
      </w:r>
      <w:r w:rsidRPr="004240E7">
        <w:rPr>
          <w:szCs w:val="26"/>
        </w:rPr>
        <w:noBreakHyphen/>
      </w:r>
      <w:r>
        <w:rPr>
          <w:szCs w:val="26"/>
        </w:rPr>
        <w:t>201</w:t>
      </w:r>
      <w:r w:rsidR="00F648E7">
        <w:rPr>
          <w:szCs w:val="26"/>
        </w:rPr>
        <w:t>3</w:t>
      </w:r>
      <w:r w:rsidRPr="004240E7">
        <w:rPr>
          <w:szCs w:val="26"/>
        </w:rPr>
        <w:t>-2</w:t>
      </w:r>
      <w:r>
        <w:rPr>
          <w:szCs w:val="26"/>
        </w:rPr>
        <w:t>3</w:t>
      </w:r>
      <w:r w:rsidR="00F648E7">
        <w:rPr>
          <w:szCs w:val="26"/>
        </w:rPr>
        <w:t>88558</w:t>
      </w:r>
      <w:r w:rsidRPr="004240E7">
        <w:rPr>
          <w:szCs w:val="26"/>
        </w:rPr>
        <w:t xml:space="preserve"> </w:t>
      </w:r>
      <w:r w:rsidR="00F648E7">
        <w:rPr>
          <w:szCs w:val="26"/>
        </w:rPr>
        <w:t>is denied in part and granted in part</w:t>
      </w:r>
      <w:r w:rsidRPr="004240E7">
        <w:rPr>
          <w:szCs w:val="26"/>
        </w:rPr>
        <w:t>.</w:t>
      </w:r>
    </w:p>
    <w:p w:rsidR="001C1A17" w:rsidRDefault="001C1A17" w:rsidP="00F648E7">
      <w:pPr>
        <w:suppressAutoHyphens/>
        <w:spacing w:line="360" w:lineRule="auto"/>
        <w:ind w:firstLine="1440"/>
        <w:rPr>
          <w:szCs w:val="26"/>
        </w:rPr>
      </w:pPr>
    </w:p>
    <w:p w:rsidR="001C1A17" w:rsidRDefault="00F648E7" w:rsidP="00F648E7">
      <w:pPr>
        <w:suppressAutoHyphens/>
        <w:spacing w:line="360" w:lineRule="auto"/>
        <w:ind w:firstLine="1440"/>
        <w:rPr>
          <w:szCs w:val="26"/>
        </w:rPr>
      </w:pPr>
      <w:r>
        <w:rPr>
          <w:szCs w:val="26"/>
        </w:rPr>
        <w:t>5</w:t>
      </w:r>
      <w:r w:rsidR="001C1A17">
        <w:rPr>
          <w:szCs w:val="26"/>
        </w:rPr>
        <w:t>.</w:t>
      </w:r>
      <w:r w:rsidR="001C1A17">
        <w:rPr>
          <w:szCs w:val="26"/>
        </w:rPr>
        <w:tab/>
        <w:t>That a copy of this Opinion and Order be served upon the Financial and Assessment Chief, Office of Administrative Services.</w:t>
      </w:r>
    </w:p>
    <w:p w:rsidR="003D3DD9" w:rsidRDefault="003D3DD9" w:rsidP="00F648E7">
      <w:pPr>
        <w:suppressAutoHyphens/>
        <w:spacing w:line="360" w:lineRule="auto"/>
        <w:ind w:firstLine="1440"/>
        <w:rPr>
          <w:szCs w:val="26"/>
        </w:rPr>
      </w:pPr>
    </w:p>
    <w:p w:rsidR="003D3DD9" w:rsidRPr="004240E7" w:rsidRDefault="00F648E7" w:rsidP="00132B05">
      <w:pPr>
        <w:suppressAutoHyphens/>
        <w:spacing w:line="360" w:lineRule="auto"/>
        <w:ind w:firstLine="1440"/>
        <w:rPr>
          <w:szCs w:val="26"/>
        </w:rPr>
      </w:pPr>
      <w:r>
        <w:rPr>
          <w:szCs w:val="26"/>
        </w:rPr>
        <w:t>6</w:t>
      </w:r>
      <w:r w:rsidR="003D3DD9">
        <w:rPr>
          <w:szCs w:val="26"/>
        </w:rPr>
        <w:t>.</w:t>
      </w:r>
      <w:r w:rsidR="003D3DD9">
        <w:rPr>
          <w:szCs w:val="26"/>
        </w:rPr>
        <w:tab/>
        <w:t xml:space="preserve">That </w:t>
      </w:r>
      <w:r w:rsidR="00132B05" w:rsidRPr="00132B05">
        <w:rPr>
          <w:szCs w:val="26"/>
        </w:rPr>
        <w:t>the proceeding docketed at C-201</w:t>
      </w:r>
      <w:r w:rsidR="00132B05">
        <w:rPr>
          <w:szCs w:val="26"/>
        </w:rPr>
        <w:t>3</w:t>
      </w:r>
      <w:r w:rsidR="00132B05" w:rsidRPr="00132B05">
        <w:rPr>
          <w:szCs w:val="26"/>
        </w:rPr>
        <w:t>-2</w:t>
      </w:r>
      <w:r w:rsidR="00132B05">
        <w:rPr>
          <w:szCs w:val="26"/>
        </w:rPr>
        <w:t>388558</w:t>
      </w:r>
      <w:r w:rsidR="00132B05" w:rsidRPr="00132B05">
        <w:rPr>
          <w:szCs w:val="26"/>
        </w:rPr>
        <w:t xml:space="preserve"> </w:t>
      </w:r>
      <w:r w:rsidR="003D3DD9">
        <w:rPr>
          <w:szCs w:val="26"/>
        </w:rPr>
        <w:t>be marked closed</w:t>
      </w:r>
      <w:r w:rsidR="001C1A17">
        <w:rPr>
          <w:szCs w:val="26"/>
        </w:rPr>
        <w:t xml:space="preserve"> upon payment of the penalty</w:t>
      </w:r>
      <w:r w:rsidR="001945EF">
        <w:rPr>
          <w:szCs w:val="26"/>
        </w:rPr>
        <w:t xml:space="preserve"> described in Ordering Paragraph No. 2</w:t>
      </w:r>
      <w:r w:rsidR="003D3DD9">
        <w:rPr>
          <w:szCs w:val="26"/>
        </w:rPr>
        <w:t>.</w:t>
      </w:r>
    </w:p>
    <w:p w:rsidR="00A4385E" w:rsidRPr="004240E7" w:rsidRDefault="00A4385E" w:rsidP="004240E7">
      <w:pPr>
        <w:spacing w:line="360" w:lineRule="auto"/>
        <w:ind w:firstLine="1440"/>
        <w:rPr>
          <w:szCs w:val="26"/>
        </w:rPr>
      </w:pPr>
    </w:p>
    <w:p w:rsidR="00EB6BF9" w:rsidRPr="004240E7" w:rsidRDefault="002F38D7" w:rsidP="00AB2393">
      <w:pPr>
        <w:tabs>
          <w:tab w:val="left" w:pos="-720"/>
        </w:tabs>
        <w:ind w:firstLine="5040"/>
        <w:rPr>
          <w:szCs w:val="26"/>
        </w:rPr>
      </w:pPr>
      <w:r>
        <w:rPr>
          <w:noProof/>
        </w:rPr>
        <w:drawing>
          <wp:anchor distT="0" distB="0" distL="114300" distR="114300" simplePos="0" relativeHeight="251658240" behindDoc="1" locked="0" layoutInCell="1" allowOverlap="1" wp14:anchorId="0E4AAE81" wp14:editId="62154920">
            <wp:simplePos x="0" y="0"/>
            <wp:positionH relativeFrom="column">
              <wp:posOffset>2844800</wp:posOffset>
            </wp:positionH>
            <wp:positionV relativeFrom="paragraph">
              <wp:posOffset>57150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B6BF9" w:rsidRPr="004240E7">
        <w:rPr>
          <w:b/>
          <w:szCs w:val="26"/>
        </w:rPr>
        <w:t>BY THE COMMISSION,</w:t>
      </w:r>
    </w:p>
    <w:p w:rsidR="00EB6BF9" w:rsidRPr="004240E7" w:rsidRDefault="00EB6BF9" w:rsidP="00FD1DAD">
      <w:pPr>
        <w:tabs>
          <w:tab w:val="left" w:pos="-720"/>
        </w:tabs>
        <w:rPr>
          <w:szCs w:val="26"/>
        </w:rPr>
      </w:pPr>
    </w:p>
    <w:p w:rsidR="00EB6BF9" w:rsidRPr="004240E7" w:rsidRDefault="00EB6BF9" w:rsidP="00F648E7">
      <w:pPr>
        <w:tabs>
          <w:tab w:val="left" w:pos="-720"/>
        </w:tabs>
        <w:jc w:val="center"/>
        <w:rPr>
          <w:szCs w:val="26"/>
        </w:rPr>
      </w:pPr>
    </w:p>
    <w:p w:rsidR="00EB6BF9" w:rsidRPr="004240E7" w:rsidRDefault="00EB6BF9" w:rsidP="00FD1DAD">
      <w:pPr>
        <w:tabs>
          <w:tab w:val="left" w:pos="-720"/>
        </w:tabs>
        <w:rPr>
          <w:szCs w:val="26"/>
        </w:rPr>
      </w:pPr>
    </w:p>
    <w:p w:rsidR="00EB6BF9" w:rsidRPr="004240E7" w:rsidRDefault="0091054F" w:rsidP="00AB2393">
      <w:pPr>
        <w:tabs>
          <w:tab w:val="left" w:pos="-720"/>
        </w:tabs>
        <w:ind w:firstLine="5040"/>
        <w:rPr>
          <w:b/>
          <w:szCs w:val="26"/>
        </w:rPr>
      </w:pPr>
      <w:r w:rsidRPr="004240E7">
        <w:rPr>
          <w:szCs w:val="26"/>
        </w:rPr>
        <w:t>Rosemary Chiavetta</w:t>
      </w:r>
    </w:p>
    <w:p w:rsidR="00EB6BF9" w:rsidRPr="004240E7" w:rsidRDefault="00EB6BF9" w:rsidP="00AB2393">
      <w:pPr>
        <w:tabs>
          <w:tab w:val="left" w:pos="-720"/>
        </w:tabs>
        <w:ind w:firstLine="5040"/>
        <w:rPr>
          <w:szCs w:val="26"/>
        </w:rPr>
      </w:pPr>
      <w:r w:rsidRPr="004240E7">
        <w:rPr>
          <w:szCs w:val="26"/>
        </w:rPr>
        <w:t>Secretary</w:t>
      </w:r>
    </w:p>
    <w:p w:rsidR="00EB6BF9" w:rsidRPr="004240E7" w:rsidRDefault="00EB6BF9" w:rsidP="00FD1DAD">
      <w:pPr>
        <w:tabs>
          <w:tab w:val="left" w:pos="-720"/>
        </w:tabs>
        <w:rPr>
          <w:szCs w:val="26"/>
        </w:rPr>
      </w:pPr>
    </w:p>
    <w:p w:rsidR="00EB6BF9" w:rsidRPr="004240E7" w:rsidRDefault="00EB6BF9" w:rsidP="00FD1DAD">
      <w:pPr>
        <w:tabs>
          <w:tab w:val="left" w:pos="-720"/>
        </w:tabs>
        <w:rPr>
          <w:szCs w:val="26"/>
        </w:rPr>
      </w:pPr>
      <w:r w:rsidRPr="004240E7">
        <w:rPr>
          <w:szCs w:val="26"/>
        </w:rPr>
        <w:t>(SEAL)</w:t>
      </w:r>
    </w:p>
    <w:p w:rsidR="00EB6BF9" w:rsidRPr="004240E7" w:rsidRDefault="00EB6BF9" w:rsidP="00FD1DAD">
      <w:pPr>
        <w:tabs>
          <w:tab w:val="left" w:pos="-720"/>
        </w:tabs>
        <w:rPr>
          <w:szCs w:val="26"/>
        </w:rPr>
      </w:pPr>
    </w:p>
    <w:p w:rsidR="00EB6BF9" w:rsidRPr="004240E7" w:rsidRDefault="00194634" w:rsidP="00FD1DAD">
      <w:pPr>
        <w:tabs>
          <w:tab w:val="left" w:pos="-720"/>
        </w:tabs>
        <w:rPr>
          <w:szCs w:val="26"/>
        </w:rPr>
      </w:pPr>
      <w:r w:rsidRPr="004240E7">
        <w:rPr>
          <w:szCs w:val="26"/>
        </w:rPr>
        <w:t xml:space="preserve">ORDER </w:t>
      </w:r>
      <w:r w:rsidR="00033EF0" w:rsidRPr="004240E7">
        <w:rPr>
          <w:szCs w:val="26"/>
        </w:rPr>
        <w:t xml:space="preserve">ADOPTED: </w:t>
      </w:r>
      <w:r w:rsidR="00F648E7">
        <w:rPr>
          <w:szCs w:val="26"/>
        </w:rPr>
        <w:t xml:space="preserve"> </w:t>
      </w:r>
      <w:r w:rsidR="00564149">
        <w:rPr>
          <w:szCs w:val="26"/>
        </w:rPr>
        <w:t>October 2</w:t>
      </w:r>
      <w:r w:rsidR="00F648E7">
        <w:rPr>
          <w:szCs w:val="26"/>
        </w:rPr>
        <w:t>3</w:t>
      </w:r>
      <w:r w:rsidR="001F0898" w:rsidRPr="004240E7">
        <w:rPr>
          <w:szCs w:val="26"/>
        </w:rPr>
        <w:t>, 201</w:t>
      </w:r>
      <w:r w:rsidR="00F648E7">
        <w:rPr>
          <w:szCs w:val="26"/>
        </w:rPr>
        <w:t>4</w:t>
      </w:r>
    </w:p>
    <w:p w:rsidR="00AB2393" w:rsidRPr="004240E7" w:rsidRDefault="00AB2393" w:rsidP="00FD1DAD">
      <w:pPr>
        <w:tabs>
          <w:tab w:val="left" w:pos="-720"/>
        </w:tabs>
        <w:rPr>
          <w:szCs w:val="26"/>
        </w:rPr>
      </w:pPr>
    </w:p>
    <w:p w:rsidR="001D5895" w:rsidRPr="004240E7" w:rsidRDefault="00C349D3" w:rsidP="00FD1DAD">
      <w:pPr>
        <w:tabs>
          <w:tab w:val="left" w:pos="-720"/>
        </w:tabs>
        <w:rPr>
          <w:szCs w:val="26"/>
        </w:rPr>
      </w:pPr>
      <w:r w:rsidRPr="004240E7">
        <w:rPr>
          <w:szCs w:val="26"/>
        </w:rPr>
        <w:t>ORDER ENTERED:</w:t>
      </w:r>
      <w:r w:rsidR="008F2810" w:rsidRPr="004240E7">
        <w:rPr>
          <w:szCs w:val="26"/>
        </w:rPr>
        <w:t xml:space="preserve">  </w:t>
      </w:r>
      <w:r w:rsidR="002F38D7">
        <w:rPr>
          <w:szCs w:val="26"/>
        </w:rPr>
        <w:t>November 4, 2014</w:t>
      </w:r>
      <w:bookmarkStart w:id="2" w:name="_GoBack"/>
      <w:bookmarkEnd w:id="2"/>
    </w:p>
    <w:sectPr w:rsidR="001D5895" w:rsidRPr="004240E7" w:rsidSect="00537FE4">
      <w:footerReference w:type="even" r:id="rId12"/>
      <w:footerReference w:type="default" r:id="rId13"/>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4" w:rsidRDefault="00A23554">
      <w:r>
        <w:separator/>
      </w:r>
    </w:p>
  </w:endnote>
  <w:endnote w:type="continuationSeparator" w:id="0">
    <w:p w:rsidR="00A23554" w:rsidRDefault="00A2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05" w:rsidRDefault="00132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32B05" w:rsidRDefault="00132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05" w:rsidRPr="006618C4" w:rsidRDefault="00132B05">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2F38D7">
      <w:rPr>
        <w:rStyle w:val="PageNumber"/>
        <w:noProof/>
        <w:sz w:val="24"/>
        <w:szCs w:val="24"/>
      </w:rPr>
      <w:t>16</w:t>
    </w:r>
    <w:r w:rsidRPr="006618C4">
      <w:rPr>
        <w:rStyle w:val="PageNumber"/>
        <w:sz w:val="24"/>
        <w:szCs w:val="24"/>
      </w:rPr>
      <w:fldChar w:fldCharType="end"/>
    </w:r>
  </w:p>
  <w:p w:rsidR="00132B05" w:rsidRPr="00D379CF" w:rsidRDefault="00132B05"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4" w:rsidRDefault="00A23554">
      <w:r>
        <w:separator/>
      </w:r>
    </w:p>
  </w:footnote>
  <w:footnote w:type="continuationSeparator" w:id="0">
    <w:p w:rsidR="00A23554" w:rsidRDefault="00A23554">
      <w:r>
        <w:continuationSeparator/>
      </w:r>
    </w:p>
  </w:footnote>
  <w:footnote w:id="1">
    <w:p w:rsidR="007E319E" w:rsidRPr="000D29CD" w:rsidRDefault="007E319E" w:rsidP="000D29CD">
      <w:pPr>
        <w:pStyle w:val="FootnoteText"/>
        <w:ind w:firstLine="720"/>
        <w:rPr>
          <w:sz w:val="26"/>
          <w:szCs w:val="26"/>
        </w:rPr>
      </w:pPr>
      <w:r>
        <w:rPr>
          <w:rStyle w:val="FootnoteReference"/>
        </w:rPr>
        <w:footnoteRef/>
      </w:r>
      <w:r>
        <w:t xml:space="preserve"> </w:t>
      </w:r>
      <w:r>
        <w:tab/>
      </w:r>
      <w:r>
        <w:rPr>
          <w:sz w:val="26"/>
          <w:szCs w:val="26"/>
        </w:rPr>
        <w:t xml:space="preserve">While so averred in PGW’s Answer, as </w:t>
      </w:r>
      <w:r w:rsidR="00E070D7">
        <w:rPr>
          <w:sz w:val="26"/>
          <w:szCs w:val="26"/>
        </w:rPr>
        <w:t xml:space="preserve">discussed </w:t>
      </w:r>
      <w:r>
        <w:rPr>
          <w:sz w:val="26"/>
          <w:szCs w:val="26"/>
        </w:rPr>
        <w:t xml:space="preserve">further below, the August 18, 2008 correspondence was </w:t>
      </w:r>
      <w:r w:rsidR="00E070D7">
        <w:rPr>
          <w:sz w:val="26"/>
          <w:szCs w:val="26"/>
        </w:rPr>
        <w:t>a</w:t>
      </w:r>
      <w:r>
        <w:rPr>
          <w:sz w:val="26"/>
          <w:szCs w:val="26"/>
        </w:rPr>
        <w:t xml:space="preserve"> “Dear Occupant” letter</w:t>
      </w:r>
      <w:r w:rsidR="00E070D7">
        <w:rPr>
          <w:sz w:val="26"/>
          <w:szCs w:val="26"/>
        </w:rPr>
        <w:t xml:space="preserve"> provided by PGW before Mr. </w:t>
      </w:r>
      <w:proofErr w:type="spellStart"/>
      <w:r w:rsidR="00E070D7">
        <w:rPr>
          <w:sz w:val="26"/>
          <w:szCs w:val="26"/>
        </w:rPr>
        <w:t>Haynesworth</w:t>
      </w:r>
      <w:proofErr w:type="spellEnd"/>
      <w:r w:rsidR="00FA0537">
        <w:rPr>
          <w:sz w:val="26"/>
          <w:szCs w:val="26"/>
        </w:rPr>
        <w:t xml:space="preserve"> began his</w:t>
      </w:r>
      <w:r w:rsidR="00E070D7">
        <w:rPr>
          <w:sz w:val="26"/>
          <w:szCs w:val="26"/>
        </w:rPr>
        <w:t xml:space="preserve"> occupancy</w:t>
      </w:r>
      <w:r>
        <w:rPr>
          <w:sz w:val="26"/>
          <w:szCs w:val="26"/>
        </w:rPr>
        <w:t xml:space="preserve">, not a seventy-two hour notice. Moreover, </w:t>
      </w:r>
      <w:r w:rsidR="00E070D7">
        <w:rPr>
          <w:sz w:val="26"/>
          <w:szCs w:val="26"/>
        </w:rPr>
        <w:t xml:space="preserve">contrary to the Company’s pleading, </w:t>
      </w:r>
      <w:r>
        <w:rPr>
          <w:sz w:val="26"/>
          <w:szCs w:val="26"/>
        </w:rPr>
        <w:t xml:space="preserve">a total of six termination notices, </w:t>
      </w:r>
      <w:r w:rsidR="00E070D7">
        <w:rPr>
          <w:sz w:val="26"/>
          <w:szCs w:val="26"/>
        </w:rPr>
        <w:t xml:space="preserve">commencing April </w:t>
      </w:r>
      <w:r w:rsidR="00FA0537">
        <w:rPr>
          <w:sz w:val="26"/>
          <w:szCs w:val="26"/>
        </w:rPr>
        <w:t xml:space="preserve">26, 2011, </w:t>
      </w:r>
      <w:r w:rsidR="00E070D7">
        <w:rPr>
          <w:sz w:val="26"/>
          <w:szCs w:val="26"/>
        </w:rPr>
        <w:t xml:space="preserve">were provided, </w:t>
      </w:r>
      <w:r>
        <w:rPr>
          <w:sz w:val="26"/>
          <w:szCs w:val="26"/>
        </w:rPr>
        <w:t>not two as averred in the Answer.</w:t>
      </w:r>
    </w:p>
  </w:footnote>
  <w:footnote w:id="2">
    <w:p w:rsidR="00FA0537" w:rsidRPr="000D29CD" w:rsidRDefault="00FA0537" w:rsidP="000D29CD">
      <w:pPr>
        <w:pStyle w:val="FootnoteText"/>
        <w:ind w:firstLine="720"/>
        <w:rPr>
          <w:sz w:val="26"/>
          <w:szCs w:val="26"/>
        </w:rPr>
      </w:pPr>
      <w:r>
        <w:rPr>
          <w:rStyle w:val="FootnoteReference"/>
        </w:rPr>
        <w:footnoteRef/>
      </w:r>
      <w:r>
        <w:t xml:space="preserve"> </w:t>
      </w:r>
      <w:r>
        <w:tab/>
      </w:r>
      <w:r w:rsidR="007E600D">
        <w:rPr>
          <w:sz w:val="26"/>
          <w:szCs w:val="26"/>
        </w:rPr>
        <w:t>D</w:t>
      </w:r>
      <w:r w:rsidR="00B424CB">
        <w:rPr>
          <w:sz w:val="26"/>
          <w:szCs w:val="26"/>
        </w:rPr>
        <w:t xml:space="preserve">espite its presentation as a February 2009 monthly bill, </w:t>
      </w:r>
      <w:r w:rsidR="002F4B80">
        <w:rPr>
          <w:sz w:val="26"/>
          <w:szCs w:val="26"/>
        </w:rPr>
        <w:t>as averred by PGW it appears that the</w:t>
      </w:r>
      <w:r w:rsidR="00B424CB">
        <w:rPr>
          <w:sz w:val="26"/>
          <w:szCs w:val="26"/>
        </w:rPr>
        <w:t xml:space="preserve"> first bill sent to Mr. </w:t>
      </w:r>
      <w:proofErr w:type="spellStart"/>
      <w:r w:rsidR="00B424CB">
        <w:rPr>
          <w:sz w:val="26"/>
          <w:szCs w:val="26"/>
        </w:rPr>
        <w:t>Haynesworth</w:t>
      </w:r>
      <w:proofErr w:type="spellEnd"/>
      <w:r w:rsidR="00B424CB">
        <w:rPr>
          <w:sz w:val="26"/>
          <w:szCs w:val="26"/>
        </w:rPr>
        <w:t xml:space="preserve">, after he identified himself as the occupant of the premises in March 2013, was for all usage accumulated under PGW’s placeholder account </w:t>
      </w:r>
      <w:r w:rsidR="002F4B80">
        <w:rPr>
          <w:sz w:val="26"/>
          <w:szCs w:val="26"/>
        </w:rPr>
        <w:t xml:space="preserve">after the departure of the prior tenant, </w:t>
      </w:r>
      <w:r w:rsidR="00B424CB">
        <w:rPr>
          <w:sz w:val="26"/>
          <w:szCs w:val="26"/>
        </w:rPr>
        <w:t xml:space="preserve">and not just for usage for the month of February 2009. </w:t>
      </w:r>
    </w:p>
  </w:footnote>
  <w:footnote w:id="3">
    <w:p w:rsidR="007E600D" w:rsidRPr="000D29CD" w:rsidRDefault="007E600D" w:rsidP="000D29CD">
      <w:pPr>
        <w:pStyle w:val="FootnoteText"/>
        <w:ind w:firstLine="720"/>
        <w:rPr>
          <w:i/>
          <w:sz w:val="26"/>
          <w:szCs w:val="26"/>
        </w:rPr>
      </w:pPr>
      <w:r>
        <w:rPr>
          <w:rStyle w:val="FootnoteReference"/>
        </w:rPr>
        <w:footnoteRef/>
      </w:r>
      <w:r>
        <w:t xml:space="preserve"> </w:t>
      </w:r>
      <w:r>
        <w:tab/>
      </w:r>
      <w:r>
        <w:rPr>
          <w:sz w:val="26"/>
          <w:szCs w:val="26"/>
        </w:rPr>
        <w:t xml:space="preserve">FOF No. 9 erroneously refers to the date of the initial seventy-two hour notice as April 29, 2011 (I.D. at 3), instead of April 26, 2011, as </w:t>
      </w:r>
      <w:r w:rsidR="002F4B80">
        <w:rPr>
          <w:sz w:val="26"/>
          <w:szCs w:val="26"/>
        </w:rPr>
        <w:t>demonstrated</w:t>
      </w:r>
      <w:r>
        <w:rPr>
          <w:sz w:val="26"/>
          <w:szCs w:val="26"/>
        </w:rPr>
        <w:t xml:space="preserve"> in the evidence of record.  </w:t>
      </w:r>
      <w:r>
        <w:rPr>
          <w:i/>
          <w:sz w:val="26"/>
          <w:szCs w:val="26"/>
        </w:rPr>
        <w:t>See,</w:t>
      </w:r>
      <w:r w:rsidRPr="007E600D">
        <w:rPr>
          <w:i/>
          <w:sz w:val="26"/>
          <w:szCs w:val="26"/>
        </w:rPr>
        <w:t xml:space="preserve"> </w:t>
      </w:r>
      <w:r w:rsidRPr="000D29CD">
        <w:rPr>
          <w:sz w:val="26"/>
          <w:szCs w:val="26"/>
        </w:rPr>
        <w:t>Tr. at 26; PGW Exhibit No. 1, p. 7 of 8</w:t>
      </w:r>
      <w:r>
        <w:rPr>
          <w:i/>
          <w:sz w:val="26"/>
          <w:szCs w:val="26"/>
        </w:rPr>
        <w:t>.</w:t>
      </w:r>
    </w:p>
  </w:footnote>
  <w:footnote w:id="4">
    <w:p w:rsidR="00382725" w:rsidRPr="00382725" w:rsidRDefault="00382725" w:rsidP="00382725">
      <w:pPr>
        <w:pStyle w:val="FootnoteText"/>
        <w:ind w:firstLine="720"/>
        <w:rPr>
          <w:sz w:val="26"/>
          <w:szCs w:val="26"/>
        </w:rPr>
      </w:pPr>
      <w:r>
        <w:rPr>
          <w:rStyle w:val="FootnoteReference"/>
        </w:rPr>
        <w:footnoteRef/>
      </w:r>
      <w:r>
        <w:t xml:space="preserve"> </w:t>
      </w:r>
      <w:r>
        <w:tab/>
      </w:r>
      <w:r>
        <w:rPr>
          <w:sz w:val="26"/>
          <w:szCs w:val="26"/>
        </w:rPr>
        <w:t xml:space="preserve">In </w:t>
      </w:r>
      <w:proofErr w:type="spellStart"/>
      <w:r>
        <w:rPr>
          <w:i/>
          <w:sz w:val="26"/>
          <w:szCs w:val="26"/>
        </w:rPr>
        <w:t>Kron</w:t>
      </w:r>
      <w:proofErr w:type="spellEnd"/>
      <w:r>
        <w:rPr>
          <w:sz w:val="26"/>
          <w:szCs w:val="26"/>
        </w:rPr>
        <w:t xml:space="preserve"> we imposed a civil penalty of $500.00.</w:t>
      </w:r>
    </w:p>
  </w:footnote>
  <w:footnote w:id="5">
    <w:p w:rsidR="002F5ADD" w:rsidRPr="002F5ADD" w:rsidRDefault="002F5ADD" w:rsidP="002F5ADD">
      <w:pPr>
        <w:pStyle w:val="FootnoteText"/>
        <w:ind w:firstLine="720"/>
        <w:rPr>
          <w:sz w:val="26"/>
          <w:szCs w:val="26"/>
        </w:rPr>
      </w:pPr>
      <w:r>
        <w:rPr>
          <w:rStyle w:val="FootnoteReference"/>
        </w:rPr>
        <w:footnoteRef/>
      </w:r>
      <w:r>
        <w:t xml:space="preserve"> </w:t>
      </w:r>
      <w:r>
        <w:tab/>
      </w:r>
      <w:r>
        <w:rPr>
          <w:sz w:val="26"/>
          <w:szCs w:val="26"/>
        </w:rPr>
        <w:t xml:space="preserve">In </w:t>
      </w:r>
      <w:r>
        <w:rPr>
          <w:i/>
          <w:sz w:val="26"/>
          <w:szCs w:val="26"/>
        </w:rPr>
        <w:t>Newman</w:t>
      </w:r>
      <w:r>
        <w:rPr>
          <w:sz w:val="26"/>
          <w:szCs w:val="26"/>
        </w:rPr>
        <w:t xml:space="preserve"> we did not impose a civil penalty on PGW because the complaint was dismissed on preliminary objections </w:t>
      </w:r>
      <w:r w:rsidR="00880597">
        <w:rPr>
          <w:sz w:val="26"/>
          <w:szCs w:val="26"/>
        </w:rPr>
        <w:t xml:space="preserve">to </w:t>
      </w:r>
      <w:r>
        <w:rPr>
          <w:sz w:val="26"/>
          <w:szCs w:val="26"/>
        </w:rPr>
        <w:t xml:space="preserve">our </w:t>
      </w:r>
      <w:r w:rsidR="00093C35">
        <w:rPr>
          <w:sz w:val="26"/>
          <w:szCs w:val="26"/>
        </w:rPr>
        <w:t xml:space="preserve">exercise of </w:t>
      </w:r>
      <w:r>
        <w:rPr>
          <w:sz w:val="26"/>
          <w:szCs w:val="26"/>
        </w:rPr>
        <w:t xml:space="preserve">jurisdiction </w:t>
      </w:r>
      <w:r w:rsidR="00880597">
        <w:rPr>
          <w:sz w:val="26"/>
          <w:szCs w:val="26"/>
        </w:rPr>
        <w:t xml:space="preserve">over municipal </w:t>
      </w:r>
      <w:r>
        <w:rPr>
          <w:sz w:val="26"/>
          <w:szCs w:val="26"/>
        </w:rPr>
        <w:t>lien</w:t>
      </w:r>
      <w:r w:rsidR="00880597">
        <w:rPr>
          <w:sz w:val="26"/>
          <w:szCs w:val="26"/>
        </w:rPr>
        <w:t>s.  W</w:t>
      </w:r>
      <w:r>
        <w:rPr>
          <w:sz w:val="26"/>
          <w:szCs w:val="26"/>
        </w:rPr>
        <w:t xml:space="preserve">e </w:t>
      </w:r>
      <w:r w:rsidR="00880597">
        <w:rPr>
          <w:sz w:val="26"/>
          <w:szCs w:val="26"/>
        </w:rPr>
        <w:t>note</w:t>
      </w:r>
      <w:r w:rsidR="00093C35">
        <w:rPr>
          <w:sz w:val="26"/>
          <w:szCs w:val="26"/>
        </w:rPr>
        <w:t xml:space="preserve">, however, that we </w:t>
      </w:r>
      <w:r>
        <w:rPr>
          <w:sz w:val="26"/>
          <w:szCs w:val="26"/>
        </w:rPr>
        <w:t>cautioned PGW</w:t>
      </w:r>
      <w:r w:rsidR="00093C35">
        <w:rPr>
          <w:sz w:val="26"/>
          <w:szCs w:val="26"/>
        </w:rPr>
        <w:t xml:space="preserve"> in that case that even though we sustained the preliminary objections, we were </w:t>
      </w:r>
      <w:r>
        <w:rPr>
          <w:sz w:val="26"/>
          <w:szCs w:val="26"/>
        </w:rPr>
        <w:t xml:space="preserve">“troubled that PGW appears to have continued to provide service to the relevant property in question in a ‘placeholder’ account for an extended period of time without identifying its customer and without receiving payment for its service.” </w:t>
      </w:r>
      <w:r>
        <w:rPr>
          <w:i/>
          <w:sz w:val="26"/>
          <w:szCs w:val="26"/>
        </w:rPr>
        <w:t>Newman</w:t>
      </w:r>
      <w:r w:rsidR="0011196C">
        <w:rPr>
          <w:sz w:val="26"/>
          <w:szCs w:val="26"/>
        </w:rPr>
        <w:t xml:space="preserve"> at</w:t>
      </w:r>
      <w:r w:rsidR="00880597">
        <w:rPr>
          <w:sz w:val="26"/>
          <w:szCs w:val="26"/>
        </w:rPr>
        <w:t xml:space="preserve"> </w:t>
      </w:r>
      <w:r w:rsidR="00B223E8">
        <w:rPr>
          <w:sz w:val="26"/>
          <w:szCs w:val="26"/>
        </w:rPr>
        <w:t>9</w:t>
      </w:r>
      <w:r w:rsidR="00880597">
        <w:rPr>
          <w:sz w:val="26"/>
          <w:szCs w:val="26"/>
        </w:rPr>
        <w:t xml:space="preserve">. PGW </w:t>
      </w:r>
      <w:r w:rsidR="007A5DD0">
        <w:rPr>
          <w:sz w:val="26"/>
          <w:szCs w:val="26"/>
        </w:rPr>
        <w:t>was</w:t>
      </w:r>
      <w:r w:rsidR="00880597">
        <w:rPr>
          <w:sz w:val="26"/>
          <w:szCs w:val="26"/>
        </w:rPr>
        <w:t xml:space="preserve"> clearly </w:t>
      </w:r>
      <w:r w:rsidR="007A5DD0">
        <w:rPr>
          <w:sz w:val="26"/>
          <w:szCs w:val="26"/>
        </w:rPr>
        <w:t xml:space="preserve">put </w:t>
      </w:r>
      <w:r w:rsidR="00093C35">
        <w:rPr>
          <w:sz w:val="26"/>
          <w:szCs w:val="26"/>
        </w:rPr>
        <w:t xml:space="preserve">on notice that </w:t>
      </w:r>
      <w:r w:rsidR="00880597">
        <w:rPr>
          <w:sz w:val="26"/>
          <w:szCs w:val="26"/>
        </w:rPr>
        <w:t xml:space="preserve">we </w:t>
      </w:r>
      <w:r w:rsidR="007A5DD0">
        <w:rPr>
          <w:sz w:val="26"/>
          <w:szCs w:val="26"/>
        </w:rPr>
        <w:t>were</w:t>
      </w:r>
      <w:r w:rsidR="00880597">
        <w:rPr>
          <w:sz w:val="26"/>
          <w:szCs w:val="26"/>
        </w:rPr>
        <w:t xml:space="preserve"> concerned with its use of th</w:t>
      </w:r>
      <w:r w:rsidR="00093C35">
        <w:rPr>
          <w:sz w:val="26"/>
          <w:szCs w:val="26"/>
        </w:rPr>
        <w:t>e</w:t>
      </w:r>
      <w:r w:rsidR="00880597">
        <w:rPr>
          <w:sz w:val="26"/>
          <w:szCs w:val="26"/>
        </w:rPr>
        <w:t xml:space="preserve"> placeholder </w:t>
      </w:r>
      <w:r w:rsidR="00093C35">
        <w:rPr>
          <w:sz w:val="26"/>
          <w:szCs w:val="26"/>
        </w:rPr>
        <w:t xml:space="preserve">“user without contract” </w:t>
      </w:r>
      <w:r w:rsidR="00880597">
        <w:rPr>
          <w:sz w:val="26"/>
          <w:szCs w:val="26"/>
        </w:rPr>
        <w:t>mechanism on a prolonged basis.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0C16"/>
    <w:rsid w:val="00001598"/>
    <w:rsid w:val="0000396B"/>
    <w:rsid w:val="0000448C"/>
    <w:rsid w:val="00004F83"/>
    <w:rsid w:val="00005997"/>
    <w:rsid w:val="00007068"/>
    <w:rsid w:val="00010930"/>
    <w:rsid w:val="00012277"/>
    <w:rsid w:val="0001513D"/>
    <w:rsid w:val="000152EC"/>
    <w:rsid w:val="00016B0B"/>
    <w:rsid w:val="000171B7"/>
    <w:rsid w:val="000212DD"/>
    <w:rsid w:val="0002455E"/>
    <w:rsid w:val="00027455"/>
    <w:rsid w:val="00031927"/>
    <w:rsid w:val="0003280C"/>
    <w:rsid w:val="00033C37"/>
    <w:rsid w:val="00033EF0"/>
    <w:rsid w:val="000346DD"/>
    <w:rsid w:val="000356D0"/>
    <w:rsid w:val="000421EA"/>
    <w:rsid w:val="00044EF7"/>
    <w:rsid w:val="00046DC5"/>
    <w:rsid w:val="000478C8"/>
    <w:rsid w:val="00053335"/>
    <w:rsid w:val="00054A37"/>
    <w:rsid w:val="0005503E"/>
    <w:rsid w:val="00060AC4"/>
    <w:rsid w:val="00061A7C"/>
    <w:rsid w:val="0006256E"/>
    <w:rsid w:val="00062B8A"/>
    <w:rsid w:val="0006310D"/>
    <w:rsid w:val="0006431F"/>
    <w:rsid w:val="000643FB"/>
    <w:rsid w:val="00064413"/>
    <w:rsid w:val="0006575D"/>
    <w:rsid w:val="00066856"/>
    <w:rsid w:val="00066954"/>
    <w:rsid w:val="00070288"/>
    <w:rsid w:val="000724B7"/>
    <w:rsid w:val="00073402"/>
    <w:rsid w:val="000764ED"/>
    <w:rsid w:val="00077260"/>
    <w:rsid w:val="000776C0"/>
    <w:rsid w:val="00081465"/>
    <w:rsid w:val="000827CA"/>
    <w:rsid w:val="0008309E"/>
    <w:rsid w:val="000834B4"/>
    <w:rsid w:val="00084260"/>
    <w:rsid w:val="0008431D"/>
    <w:rsid w:val="00084A9B"/>
    <w:rsid w:val="00085C14"/>
    <w:rsid w:val="00087139"/>
    <w:rsid w:val="00091894"/>
    <w:rsid w:val="00091C04"/>
    <w:rsid w:val="00093A10"/>
    <w:rsid w:val="00093C35"/>
    <w:rsid w:val="00094FD3"/>
    <w:rsid w:val="00095467"/>
    <w:rsid w:val="000A03EF"/>
    <w:rsid w:val="000A1477"/>
    <w:rsid w:val="000A3527"/>
    <w:rsid w:val="000A3659"/>
    <w:rsid w:val="000A3F60"/>
    <w:rsid w:val="000A47BF"/>
    <w:rsid w:val="000A4A94"/>
    <w:rsid w:val="000A628D"/>
    <w:rsid w:val="000A7484"/>
    <w:rsid w:val="000B1929"/>
    <w:rsid w:val="000B1F1C"/>
    <w:rsid w:val="000B36DD"/>
    <w:rsid w:val="000B3839"/>
    <w:rsid w:val="000B52DB"/>
    <w:rsid w:val="000B5AD1"/>
    <w:rsid w:val="000C0224"/>
    <w:rsid w:val="000C1CEE"/>
    <w:rsid w:val="000C4098"/>
    <w:rsid w:val="000C5F16"/>
    <w:rsid w:val="000C6436"/>
    <w:rsid w:val="000D03DA"/>
    <w:rsid w:val="000D0CFF"/>
    <w:rsid w:val="000D1242"/>
    <w:rsid w:val="000D1F8D"/>
    <w:rsid w:val="000D29CD"/>
    <w:rsid w:val="000D2FAA"/>
    <w:rsid w:val="000D42F0"/>
    <w:rsid w:val="000D4AD4"/>
    <w:rsid w:val="000D4AF4"/>
    <w:rsid w:val="000D62A3"/>
    <w:rsid w:val="000D74FD"/>
    <w:rsid w:val="000D7869"/>
    <w:rsid w:val="000E0D9A"/>
    <w:rsid w:val="000E36A5"/>
    <w:rsid w:val="000E6117"/>
    <w:rsid w:val="000E6728"/>
    <w:rsid w:val="000E755D"/>
    <w:rsid w:val="000F006B"/>
    <w:rsid w:val="000F0DA7"/>
    <w:rsid w:val="000F2DDA"/>
    <w:rsid w:val="000F3C8C"/>
    <w:rsid w:val="000F5595"/>
    <w:rsid w:val="000F73FC"/>
    <w:rsid w:val="000F7FC8"/>
    <w:rsid w:val="00101A97"/>
    <w:rsid w:val="0010246C"/>
    <w:rsid w:val="0010370E"/>
    <w:rsid w:val="00103BD1"/>
    <w:rsid w:val="00103D52"/>
    <w:rsid w:val="001049BE"/>
    <w:rsid w:val="00106962"/>
    <w:rsid w:val="00107F51"/>
    <w:rsid w:val="00110694"/>
    <w:rsid w:val="0011196C"/>
    <w:rsid w:val="001121BC"/>
    <w:rsid w:val="00112C34"/>
    <w:rsid w:val="00113721"/>
    <w:rsid w:val="001150A1"/>
    <w:rsid w:val="0011756F"/>
    <w:rsid w:val="00117773"/>
    <w:rsid w:val="00124AEA"/>
    <w:rsid w:val="0012549B"/>
    <w:rsid w:val="00132B05"/>
    <w:rsid w:val="00133861"/>
    <w:rsid w:val="00133878"/>
    <w:rsid w:val="00135770"/>
    <w:rsid w:val="00135D68"/>
    <w:rsid w:val="00135D77"/>
    <w:rsid w:val="00136208"/>
    <w:rsid w:val="00137CC5"/>
    <w:rsid w:val="00141AB9"/>
    <w:rsid w:val="00142726"/>
    <w:rsid w:val="0014333F"/>
    <w:rsid w:val="00144609"/>
    <w:rsid w:val="00145AC2"/>
    <w:rsid w:val="00150D08"/>
    <w:rsid w:val="00151623"/>
    <w:rsid w:val="0015190E"/>
    <w:rsid w:val="00152B89"/>
    <w:rsid w:val="00152E1B"/>
    <w:rsid w:val="00155E13"/>
    <w:rsid w:val="001561DB"/>
    <w:rsid w:val="00156282"/>
    <w:rsid w:val="00156BAE"/>
    <w:rsid w:val="0016453B"/>
    <w:rsid w:val="00164AC8"/>
    <w:rsid w:val="00164CAD"/>
    <w:rsid w:val="00165639"/>
    <w:rsid w:val="0016682F"/>
    <w:rsid w:val="00166FF6"/>
    <w:rsid w:val="00170FA1"/>
    <w:rsid w:val="00171155"/>
    <w:rsid w:val="00171DEF"/>
    <w:rsid w:val="001732CB"/>
    <w:rsid w:val="0017376D"/>
    <w:rsid w:val="00175563"/>
    <w:rsid w:val="00175F7D"/>
    <w:rsid w:val="00176BC1"/>
    <w:rsid w:val="00177638"/>
    <w:rsid w:val="00180D35"/>
    <w:rsid w:val="001822F2"/>
    <w:rsid w:val="00183ED3"/>
    <w:rsid w:val="001860A4"/>
    <w:rsid w:val="00186BCD"/>
    <w:rsid w:val="00187193"/>
    <w:rsid w:val="00187ABA"/>
    <w:rsid w:val="00190DCD"/>
    <w:rsid w:val="0019300F"/>
    <w:rsid w:val="00193C2D"/>
    <w:rsid w:val="001945EF"/>
    <w:rsid w:val="00194634"/>
    <w:rsid w:val="00194832"/>
    <w:rsid w:val="00195BC2"/>
    <w:rsid w:val="0019620D"/>
    <w:rsid w:val="00196CB1"/>
    <w:rsid w:val="00196F1E"/>
    <w:rsid w:val="001A013B"/>
    <w:rsid w:val="001A04AC"/>
    <w:rsid w:val="001A0D34"/>
    <w:rsid w:val="001A0E3F"/>
    <w:rsid w:val="001A2524"/>
    <w:rsid w:val="001A3845"/>
    <w:rsid w:val="001A47A9"/>
    <w:rsid w:val="001B3387"/>
    <w:rsid w:val="001B3B69"/>
    <w:rsid w:val="001B4734"/>
    <w:rsid w:val="001B5943"/>
    <w:rsid w:val="001C13F2"/>
    <w:rsid w:val="001C1A17"/>
    <w:rsid w:val="001C2894"/>
    <w:rsid w:val="001C42D5"/>
    <w:rsid w:val="001C436B"/>
    <w:rsid w:val="001C4490"/>
    <w:rsid w:val="001C6A14"/>
    <w:rsid w:val="001C756F"/>
    <w:rsid w:val="001D19F7"/>
    <w:rsid w:val="001D1BF7"/>
    <w:rsid w:val="001D1DED"/>
    <w:rsid w:val="001D1FA9"/>
    <w:rsid w:val="001D21D1"/>
    <w:rsid w:val="001D4C63"/>
    <w:rsid w:val="001D5895"/>
    <w:rsid w:val="001D58F0"/>
    <w:rsid w:val="001D6408"/>
    <w:rsid w:val="001D77B5"/>
    <w:rsid w:val="001E092E"/>
    <w:rsid w:val="001E1014"/>
    <w:rsid w:val="001E6C88"/>
    <w:rsid w:val="001E74E1"/>
    <w:rsid w:val="001E77ED"/>
    <w:rsid w:val="001F03FC"/>
    <w:rsid w:val="001F0898"/>
    <w:rsid w:val="001F1CA1"/>
    <w:rsid w:val="001F2B4E"/>
    <w:rsid w:val="00201435"/>
    <w:rsid w:val="00201FBB"/>
    <w:rsid w:val="00207229"/>
    <w:rsid w:val="00212855"/>
    <w:rsid w:val="00215D11"/>
    <w:rsid w:val="0021679E"/>
    <w:rsid w:val="00220059"/>
    <w:rsid w:val="00221165"/>
    <w:rsid w:val="00222656"/>
    <w:rsid w:val="00222EA7"/>
    <w:rsid w:val="00224052"/>
    <w:rsid w:val="00230A68"/>
    <w:rsid w:val="002346B7"/>
    <w:rsid w:val="00234F6D"/>
    <w:rsid w:val="00237891"/>
    <w:rsid w:val="00237C85"/>
    <w:rsid w:val="00237D75"/>
    <w:rsid w:val="002425E0"/>
    <w:rsid w:val="002431EB"/>
    <w:rsid w:val="002437DF"/>
    <w:rsid w:val="00243814"/>
    <w:rsid w:val="0024638C"/>
    <w:rsid w:val="0024644A"/>
    <w:rsid w:val="00247258"/>
    <w:rsid w:val="00251F27"/>
    <w:rsid w:val="00252D08"/>
    <w:rsid w:val="00253152"/>
    <w:rsid w:val="0025316E"/>
    <w:rsid w:val="0025361E"/>
    <w:rsid w:val="00254470"/>
    <w:rsid w:val="00256151"/>
    <w:rsid w:val="00256334"/>
    <w:rsid w:val="00257A3B"/>
    <w:rsid w:val="002608DA"/>
    <w:rsid w:val="002608E3"/>
    <w:rsid w:val="00260DCA"/>
    <w:rsid w:val="00261C13"/>
    <w:rsid w:val="00261F12"/>
    <w:rsid w:val="00262398"/>
    <w:rsid w:val="00263201"/>
    <w:rsid w:val="00263890"/>
    <w:rsid w:val="002655FC"/>
    <w:rsid w:val="00266815"/>
    <w:rsid w:val="002706F1"/>
    <w:rsid w:val="00270F7E"/>
    <w:rsid w:val="00272254"/>
    <w:rsid w:val="0027336F"/>
    <w:rsid w:val="00273E10"/>
    <w:rsid w:val="0027490F"/>
    <w:rsid w:val="00274C62"/>
    <w:rsid w:val="00275ADC"/>
    <w:rsid w:val="0027610D"/>
    <w:rsid w:val="002761C1"/>
    <w:rsid w:val="00276375"/>
    <w:rsid w:val="00276830"/>
    <w:rsid w:val="002779E8"/>
    <w:rsid w:val="00277A3F"/>
    <w:rsid w:val="00282440"/>
    <w:rsid w:val="002831D6"/>
    <w:rsid w:val="00283705"/>
    <w:rsid w:val="00286D71"/>
    <w:rsid w:val="002871A9"/>
    <w:rsid w:val="00287574"/>
    <w:rsid w:val="00290846"/>
    <w:rsid w:val="00291E4F"/>
    <w:rsid w:val="0029442D"/>
    <w:rsid w:val="00296039"/>
    <w:rsid w:val="00297F6A"/>
    <w:rsid w:val="002A05AC"/>
    <w:rsid w:val="002A1364"/>
    <w:rsid w:val="002A1B1F"/>
    <w:rsid w:val="002A25AA"/>
    <w:rsid w:val="002A46B7"/>
    <w:rsid w:val="002B01DF"/>
    <w:rsid w:val="002B09C9"/>
    <w:rsid w:val="002B0F4E"/>
    <w:rsid w:val="002B0FA3"/>
    <w:rsid w:val="002B27A6"/>
    <w:rsid w:val="002B3591"/>
    <w:rsid w:val="002B3C64"/>
    <w:rsid w:val="002B6058"/>
    <w:rsid w:val="002B7FCE"/>
    <w:rsid w:val="002C1D11"/>
    <w:rsid w:val="002C1FA1"/>
    <w:rsid w:val="002C4DC2"/>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8D7"/>
    <w:rsid w:val="002F3F0C"/>
    <w:rsid w:val="002F4B80"/>
    <w:rsid w:val="002F4EBC"/>
    <w:rsid w:val="002F5ADD"/>
    <w:rsid w:val="002F67FF"/>
    <w:rsid w:val="0030125B"/>
    <w:rsid w:val="00301316"/>
    <w:rsid w:val="00301B73"/>
    <w:rsid w:val="00302035"/>
    <w:rsid w:val="003046B2"/>
    <w:rsid w:val="00307B3B"/>
    <w:rsid w:val="00310355"/>
    <w:rsid w:val="00312382"/>
    <w:rsid w:val="003130C1"/>
    <w:rsid w:val="003130D3"/>
    <w:rsid w:val="003131FF"/>
    <w:rsid w:val="00313B04"/>
    <w:rsid w:val="003148F5"/>
    <w:rsid w:val="0031570E"/>
    <w:rsid w:val="00316FF1"/>
    <w:rsid w:val="003170CC"/>
    <w:rsid w:val="00320409"/>
    <w:rsid w:val="00320DD5"/>
    <w:rsid w:val="00321363"/>
    <w:rsid w:val="00321E6D"/>
    <w:rsid w:val="00322AA5"/>
    <w:rsid w:val="00322CD9"/>
    <w:rsid w:val="003244AC"/>
    <w:rsid w:val="00324B27"/>
    <w:rsid w:val="00324C58"/>
    <w:rsid w:val="00327077"/>
    <w:rsid w:val="0032782D"/>
    <w:rsid w:val="0033054C"/>
    <w:rsid w:val="003307E4"/>
    <w:rsid w:val="0033192B"/>
    <w:rsid w:val="003364D1"/>
    <w:rsid w:val="003372AB"/>
    <w:rsid w:val="003402C6"/>
    <w:rsid w:val="003416D8"/>
    <w:rsid w:val="00342F7C"/>
    <w:rsid w:val="003441BD"/>
    <w:rsid w:val="00352A30"/>
    <w:rsid w:val="00352E14"/>
    <w:rsid w:val="00353435"/>
    <w:rsid w:val="00354095"/>
    <w:rsid w:val="00355991"/>
    <w:rsid w:val="00355C87"/>
    <w:rsid w:val="0035639B"/>
    <w:rsid w:val="00357B4F"/>
    <w:rsid w:val="00361351"/>
    <w:rsid w:val="00361784"/>
    <w:rsid w:val="00361CD9"/>
    <w:rsid w:val="003634D4"/>
    <w:rsid w:val="00363D88"/>
    <w:rsid w:val="00366563"/>
    <w:rsid w:val="00366BCE"/>
    <w:rsid w:val="00367487"/>
    <w:rsid w:val="00367D20"/>
    <w:rsid w:val="00372C47"/>
    <w:rsid w:val="00374741"/>
    <w:rsid w:val="003755FF"/>
    <w:rsid w:val="00377EE0"/>
    <w:rsid w:val="00380259"/>
    <w:rsid w:val="00380B82"/>
    <w:rsid w:val="00380DCA"/>
    <w:rsid w:val="003824A2"/>
    <w:rsid w:val="00382725"/>
    <w:rsid w:val="00383A58"/>
    <w:rsid w:val="00384096"/>
    <w:rsid w:val="003851C9"/>
    <w:rsid w:val="003876B0"/>
    <w:rsid w:val="00390EC5"/>
    <w:rsid w:val="00393F07"/>
    <w:rsid w:val="00394B3E"/>
    <w:rsid w:val="0039585D"/>
    <w:rsid w:val="00396689"/>
    <w:rsid w:val="003974D0"/>
    <w:rsid w:val="003A1EEF"/>
    <w:rsid w:val="003A382D"/>
    <w:rsid w:val="003A7A08"/>
    <w:rsid w:val="003B165D"/>
    <w:rsid w:val="003B4146"/>
    <w:rsid w:val="003B4E53"/>
    <w:rsid w:val="003B597D"/>
    <w:rsid w:val="003B736A"/>
    <w:rsid w:val="003C01A3"/>
    <w:rsid w:val="003C0EBE"/>
    <w:rsid w:val="003C1EA2"/>
    <w:rsid w:val="003C28B4"/>
    <w:rsid w:val="003C394F"/>
    <w:rsid w:val="003C48C3"/>
    <w:rsid w:val="003C4E1F"/>
    <w:rsid w:val="003C4E35"/>
    <w:rsid w:val="003C536B"/>
    <w:rsid w:val="003C7488"/>
    <w:rsid w:val="003C799F"/>
    <w:rsid w:val="003D05D8"/>
    <w:rsid w:val="003D25EC"/>
    <w:rsid w:val="003D26A2"/>
    <w:rsid w:val="003D2A51"/>
    <w:rsid w:val="003D330F"/>
    <w:rsid w:val="003D3DD9"/>
    <w:rsid w:val="003D4080"/>
    <w:rsid w:val="003D586D"/>
    <w:rsid w:val="003D601B"/>
    <w:rsid w:val="003D680F"/>
    <w:rsid w:val="003D78C6"/>
    <w:rsid w:val="003E0D11"/>
    <w:rsid w:val="003E50C5"/>
    <w:rsid w:val="003E50D4"/>
    <w:rsid w:val="003E53AB"/>
    <w:rsid w:val="003E71E6"/>
    <w:rsid w:val="003E7424"/>
    <w:rsid w:val="003E76ED"/>
    <w:rsid w:val="003E7B98"/>
    <w:rsid w:val="003F1B3F"/>
    <w:rsid w:val="003F25FF"/>
    <w:rsid w:val="003F300D"/>
    <w:rsid w:val="003F3B10"/>
    <w:rsid w:val="003F44CF"/>
    <w:rsid w:val="003F4A5F"/>
    <w:rsid w:val="003F5049"/>
    <w:rsid w:val="003F5C1E"/>
    <w:rsid w:val="003F6200"/>
    <w:rsid w:val="003F685C"/>
    <w:rsid w:val="003F6B83"/>
    <w:rsid w:val="003F6BEE"/>
    <w:rsid w:val="003F6CB8"/>
    <w:rsid w:val="003F7366"/>
    <w:rsid w:val="003F7CC0"/>
    <w:rsid w:val="0040036A"/>
    <w:rsid w:val="0040303F"/>
    <w:rsid w:val="00403452"/>
    <w:rsid w:val="00403520"/>
    <w:rsid w:val="00404F7C"/>
    <w:rsid w:val="00406392"/>
    <w:rsid w:val="00406B87"/>
    <w:rsid w:val="00413680"/>
    <w:rsid w:val="004140B5"/>
    <w:rsid w:val="00414436"/>
    <w:rsid w:val="00414697"/>
    <w:rsid w:val="00417F99"/>
    <w:rsid w:val="004232D3"/>
    <w:rsid w:val="0042382F"/>
    <w:rsid w:val="004240E7"/>
    <w:rsid w:val="004255A5"/>
    <w:rsid w:val="00426FF9"/>
    <w:rsid w:val="00430CBA"/>
    <w:rsid w:val="00432E86"/>
    <w:rsid w:val="00435D03"/>
    <w:rsid w:val="0043726B"/>
    <w:rsid w:val="00437569"/>
    <w:rsid w:val="00444E49"/>
    <w:rsid w:val="0044651B"/>
    <w:rsid w:val="00450BEE"/>
    <w:rsid w:val="00450C02"/>
    <w:rsid w:val="004511E5"/>
    <w:rsid w:val="004511FD"/>
    <w:rsid w:val="00451DD0"/>
    <w:rsid w:val="00452A75"/>
    <w:rsid w:val="00453053"/>
    <w:rsid w:val="004546FD"/>
    <w:rsid w:val="00455153"/>
    <w:rsid w:val="00455892"/>
    <w:rsid w:val="00456DFB"/>
    <w:rsid w:val="00457490"/>
    <w:rsid w:val="00460329"/>
    <w:rsid w:val="00461815"/>
    <w:rsid w:val="00461E1B"/>
    <w:rsid w:val="00462615"/>
    <w:rsid w:val="00465FAC"/>
    <w:rsid w:val="004670A8"/>
    <w:rsid w:val="00467C59"/>
    <w:rsid w:val="004711CE"/>
    <w:rsid w:val="00471F51"/>
    <w:rsid w:val="00475BC7"/>
    <w:rsid w:val="00477945"/>
    <w:rsid w:val="004816B9"/>
    <w:rsid w:val="00482668"/>
    <w:rsid w:val="004829FB"/>
    <w:rsid w:val="00483380"/>
    <w:rsid w:val="00483502"/>
    <w:rsid w:val="00484D41"/>
    <w:rsid w:val="0048540B"/>
    <w:rsid w:val="004856AA"/>
    <w:rsid w:val="00487C4E"/>
    <w:rsid w:val="00491328"/>
    <w:rsid w:val="00491900"/>
    <w:rsid w:val="00494C95"/>
    <w:rsid w:val="0049500C"/>
    <w:rsid w:val="004965CE"/>
    <w:rsid w:val="00496849"/>
    <w:rsid w:val="004A5066"/>
    <w:rsid w:val="004A685C"/>
    <w:rsid w:val="004A6D5D"/>
    <w:rsid w:val="004A736F"/>
    <w:rsid w:val="004A75A4"/>
    <w:rsid w:val="004B2BC4"/>
    <w:rsid w:val="004B30FD"/>
    <w:rsid w:val="004B322B"/>
    <w:rsid w:val="004B4369"/>
    <w:rsid w:val="004B46AD"/>
    <w:rsid w:val="004B4B05"/>
    <w:rsid w:val="004B57B4"/>
    <w:rsid w:val="004B5BA9"/>
    <w:rsid w:val="004B61AB"/>
    <w:rsid w:val="004B6662"/>
    <w:rsid w:val="004C1725"/>
    <w:rsid w:val="004C1A4E"/>
    <w:rsid w:val="004C1EB7"/>
    <w:rsid w:val="004C6701"/>
    <w:rsid w:val="004C7ED8"/>
    <w:rsid w:val="004D15B7"/>
    <w:rsid w:val="004D3065"/>
    <w:rsid w:val="004D3D1E"/>
    <w:rsid w:val="004D4521"/>
    <w:rsid w:val="004D4D2F"/>
    <w:rsid w:val="004D5080"/>
    <w:rsid w:val="004E281A"/>
    <w:rsid w:val="004E3E15"/>
    <w:rsid w:val="004E5CAC"/>
    <w:rsid w:val="004E69E8"/>
    <w:rsid w:val="004F0428"/>
    <w:rsid w:val="004F2857"/>
    <w:rsid w:val="004F4F44"/>
    <w:rsid w:val="004F510C"/>
    <w:rsid w:val="004F6EF8"/>
    <w:rsid w:val="004F706A"/>
    <w:rsid w:val="004F7403"/>
    <w:rsid w:val="004F7841"/>
    <w:rsid w:val="0050386D"/>
    <w:rsid w:val="00506106"/>
    <w:rsid w:val="005100FA"/>
    <w:rsid w:val="00510693"/>
    <w:rsid w:val="00512565"/>
    <w:rsid w:val="00513175"/>
    <w:rsid w:val="00514214"/>
    <w:rsid w:val="005228A5"/>
    <w:rsid w:val="0052290F"/>
    <w:rsid w:val="00524B65"/>
    <w:rsid w:val="00526259"/>
    <w:rsid w:val="00526D27"/>
    <w:rsid w:val="00530609"/>
    <w:rsid w:val="00530EC1"/>
    <w:rsid w:val="005321A0"/>
    <w:rsid w:val="00532B80"/>
    <w:rsid w:val="00536B1F"/>
    <w:rsid w:val="0053760A"/>
    <w:rsid w:val="00537FE4"/>
    <w:rsid w:val="005425FA"/>
    <w:rsid w:val="005449FE"/>
    <w:rsid w:val="00545677"/>
    <w:rsid w:val="00546477"/>
    <w:rsid w:val="0055172E"/>
    <w:rsid w:val="005526B7"/>
    <w:rsid w:val="00552BB8"/>
    <w:rsid w:val="00553501"/>
    <w:rsid w:val="005564A1"/>
    <w:rsid w:val="005568A3"/>
    <w:rsid w:val="00556A16"/>
    <w:rsid w:val="00560354"/>
    <w:rsid w:val="0056098B"/>
    <w:rsid w:val="00562283"/>
    <w:rsid w:val="0056240E"/>
    <w:rsid w:val="00564149"/>
    <w:rsid w:val="005643B9"/>
    <w:rsid w:val="00564813"/>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D46"/>
    <w:rsid w:val="005844F9"/>
    <w:rsid w:val="0058543F"/>
    <w:rsid w:val="005872C8"/>
    <w:rsid w:val="00587AF7"/>
    <w:rsid w:val="0059119E"/>
    <w:rsid w:val="00593F4C"/>
    <w:rsid w:val="00594716"/>
    <w:rsid w:val="00594F53"/>
    <w:rsid w:val="005954F4"/>
    <w:rsid w:val="00595614"/>
    <w:rsid w:val="005977A1"/>
    <w:rsid w:val="005A037F"/>
    <w:rsid w:val="005A0CF4"/>
    <w:rsid w:val="005A2180"/>
    <w:rsid w:val="005A53D2"/>
    <w:rsid w:val="005A71FA"/>
    <w:rsid w:val="005B1EF7"/>
    <w:rsid w:val="005B5AD1"/>
    <w:rsid w:val="005B6109"/>
    <w:rsid w:val="005B6947"/>
    <w:rsid w:val="005B7A41"/>
    <w:rsid w:val="005B7C74"/>
    <w:rsid w:val="005C07D8"/>
    <w:rsid w:val="005C089F"/>
    <w:rsid w:val="005C2092"/>
    <w:rsid w:val="005C76B5"/>
    <w:rsid w:val="005C77E4"/>
    <w:rsid w:val="005C78AA"/>
    <w:rsid w:val="005C7955"/>
    <w:rsid w:val="005C7B58"/>
    <w:rsid w:val="005D3CE4"/>
    <w:rsid w:val="005D43EC"/>
    <w:rsid w:val="005D47D8"/>
    <w:rsid w:val="005D4CF7"/>
    <w:rsid w:val="005D726C"/>
    <w:rsid w:val="005E00C6"/>
    <w:rsid w:val="005E0283"/>
    <w:rsid w:val="005E35E7"/>
    <w:rsid w:val="005E3CCB"/>
    <w:rsid w:val="005E495D"/>
    <w:rsid w:val="005E4D41"/>
    <w:rsid w:val="005E5CEF"/>
    <w:rsid w:val="005E6C63"/>
    <w:rsid w:val="005E6D9F"/>
    <w:rsid w:val="005F12F5"/>
    <w:rsid w:val="005F367E"/>
    <w:rsid w:val="005F3F17"/>
    <w:rsid w:val="005F52EF"/>
    <w:rsid w:val="005F5948"/>
    <w:rsid w:val="00600645"/>
    <w:rsid w:val="00600FF4"/>
    <w:rsid w:val="00602ADB"/>
    <w:rsid w:val="006050E5"/>
    <w:rsid w:val="0060550F"/>
    <w:rsid w:val="006056E5"/>
    <w:rsid w:val="00607CDD"/>
    <w:rsid w:val="00611AB1"/>
    <w:rsid w:val="00611F7B"/>
    <w:rsid w:val="00612B5F"/>
    <w:rsid w:val="00614B62"/>
    <w:rsid w:val="00621488"/>
    <w:rsid w:val="0062150F"/>
    <w:rsid w:val="006218B4"/>
    <w:rsid w:val="00621D58"/>
    <w:rsid w:val="006249F8"/>
    <w:rsid w:val="00624F97"/>
    <w:rsid w:val="0062546F"/>
    <w:rsid w:val="00625CCC"/>
    <w:rsid w:val="006261ED"/>
    <w:rsid w:val="00626AFC"/>
    <w:rsid w:val="006271B5"/>
    <w:rsid w:val="00630242"/>
    <w:rsid w:val="006304EC"/>
    <w:rsid w:val="00630896"/>
    <w:rsid w:val="0063129E"/>
    <w:rsid w:val="006324A2"/>
    <w:rsid w:val="006357D8"/>
    <w:rsid w:val="006365AF"/>
    <w:rsid w:val="00636E3D"/>
    <w:rsid w:val="00637265"/>
    <w:rsid w:val="00637DB2"/>
    <w:rsid w:val="00641952"/>
    <w:rsid w:val="00641EC2"/>
    <w:rsid w:val="00642FDA"/>
    <w:rsid w:val="00643011"/>
    <w:rsid w:val="006531C1"/>
    <w:rsid w:val="00654CF8"/>
    <w:rsid w:val="006618C4"/>
    <w:rsid w:val="00661E71"/>
    <w:rsid w:val="00662106"/>
    <w:rsid w:val="0066324B"/>
    <w:rsid w:val="00664E0E"/>
    <w:rsid w:val="00666106"/>
    <w:rsid w:val="006701F6"/>
    <w:rsid w:val="006714D5"/>
    <w:rsid w:val="00673A4E"/>
    <w:rsid w:val="006751D6"/>
    <w:rsid w:val="0067540F"/>
    <w:rsid w:val="00676F7D"/>
    <w:rsid w:val="006803DA"/>
    <w:rsid w:val="00680AE4"/>
    <w:rsid w:val="006828CD"/>
    <w:rsid w:val="00683E78"/>
    <w:rsid w:val="00683F75"/>
    <w:rsid w:val="00684CE3"/>
    <w:rsid w:val="00687F1E"/>
    <w:rsid w:val="00690622"/>
    <w:rsid w:val="0069290A"/>
    <w:rsid w:val="00693294"/>
    <w:rsid w:val="00694CA8"/>
    <w:rsid w:val="006A16AB"/>
    <w:rsid w:val="006A2355"/>
    <w:rsid w:val="006A4EE6"/>
    <w:rsid w:val="006A6618"/>
    <w:rsid w:val="006A6F94"/>
    <w:rsid w:val="006A7D55"/>
    <w:rsid w:val="006B2FB4"/>
    <w:rsid w:val="006B4527"/>
    <w:rsid w:val="006B481E"/>
    <w:rsid w:val="006B6D26"/>
    <w:rsid w:val="006B7637"/>
    <w:rsid w:val="006C0B54"/>
    <w:rsid w:val="006C21C2"/>
    <w:rsid w:val="006C2E4F"/>
    <w:rsid w:val="006C4CB3"/>
    <w:rsid w:val="006C5641"/>
    <w:rsid w:val="006C5C25"/>
    <w:rsid w:val="006C76D0"/>
    <w:rsid w:val="006D0711"/>
    <w:rsid w:val="006D3D7F"/>
    <w:rsid w:val="006D4974"/>
    <w:rsid w:val="006D6134"/>
    <w:rsid w:val="006D6A89"/>
    <w:rsid w:val="006E012A"/>
    <w:rsid w:val="006E0445"/>
    <w:rsid w:val="006E0678"/>
    <w:rsid w:val="006E0DC8"/>
    <w:rsid w:val="006E2AB2"/>
    <w:rsid w:val="006E3811"/>
    <w:rsid w:val="006E4AD2"/>
    <w:rsid w:val="006E52AF"/>
    <w:rsid w:val="006E65C7"/>
    <w:rsid w:val="006E69DB"/>
    <w:rsid w:val="006E6D1F"/>
    <w:rsid w:val="006F03B7"/>
    <w:rsid w:val="006F1825"/>
    <w:rsid w:val="006F46A2"/>
    <w:rsid w:val="006F49BE"/>
    <w:rsid w:val="006F4D9F"/>
    <w:rsid w:val="006F5BF3"/>
    <w:rsid w:val="006F5D39"/>
    <w:rsid w:val="006F7173"/>
    <w:rsid w:val="006F74AE"/>
    <w:rsid w:val="006F7A22"/>
    <w:rsid w:val="00701AED"/>
    <w:rsid w:val="00703A44"/>
    <w:rsid w:val="007040FA"/>
    <w:rsid w:val="00704C3A"/>
    <w:rsid w:val="00706469"/>
    <w:rsid w:val="007074AD"/>
    <w:rsid w:val="00710159"/>
    <w:rsid w:val="0071186B"/>
    <w:rsid w:val="00712418"/>
    <w:rsid w:val="00712C4B"/>
    <w:rsid w:val="007147DC"/>
    <w:rsid w:val="00715B15"/>
    <w:rsid w:val="0072179F"/>
    <w:rsid w:val="00721CC1"/>
    <w:rsid w:val="007238DA"/>
    <w:rsid w:val="00724AD7"/>
    <w:rsid w:val="00724BBE"/>
    <w:rsid w:val="00724D4F"/>
    <w:rsid w:val="0072506E"/>
    <w:rsid w:val="00725D38"/>
    <w:rsid w:val="007264E9"/>
    <w:rsid w:val="00726AD6"/>
    <w:rsid w:val="0072703C"/>
    <w:rsid w:val="00727C66"/>
    <w:rsid w:val="00731138"/>
    <w:rsid w:val="0073173B"/>
    <w:rsid w:val="00732A4E"/>
    <w:rsid w:val="00732C4D"/>
    <w:rsid w:val="00733306"/>
    <w:rsid w:val="00734004"/>
    <w:rsid w:val="00734FDA"/>
    <w:rsid w:val="00735A7B"/>
    <w:rsid w:val="00737C5D"/>
    <w:rsid w:val="007409CF"/>
    <w:rsid w:val="00741AA3"/>
    <w:rsid w:val="0074218F"/>
    <w:rsid w:val="007458D2"/>
    <w:rsid w:val="00746326"/>
    <w:rsid w:val="00746E4E"/>
    <w:rsid w:val="00747CC2"/>
    <w:rsid w:val="00750B57"/>
    <w:rsid w:val="007527A4"/>
    <w:rsid w:val="00754576"/>
    <w:rsid w:val="00755148"/>
    <w:rsid w:val="007553BE"/>
    <w:rsid w:val="007561D4"/>
    <w:rsid w:val="007606D3"/>
    <w:rsid w:val="00762882"/>
    <w:rsid w:val="00763BF0"/>
    <w:rsid w:val="007644D0"/>
    <w:rsid w:val="00765E36"/>
    <w:rsid w:val="00766AF3"/>
    <w:rsid w:val="00770036"/>
    <w:rsid w:val="007705C8"/>
    <w:rsid w:val="00771566"/>
    <w:rsid w:val="00773F91"/>
    <w:rsid w:val="00774B01"/>
    <w:rsid w:val="00775704"/>
    <w:rsid w:val="007762C7"/>
    <w:rsid w:val="0077655F"/>
    <w:rsid w:val="00776A58"/>
    <w:rsid w:val="00777A50"/>
    <w:rsid w:val="007823DE"/>
    <w:rsid w:val="00782702"/>
    <w:rsid w:val="00783851"/>
    <w:rsid w:val="00783B93"/>
    <w:rsid w:val="007851D9"/>
    <w:rsid w:val="00785DD5"/>
    <w:rsid w:val="00787EF2"/>
    <w:rsid w:val="0079131B"/>
    <w:rsid w:val="007917C1"/>
    <w:rsid w:val="00792CB5"/>
    <w:rsid w:val="0079381F"/>
    <w:rsid w:val="00793EDA"/>
    <w:rsid w:val="00795BA3"/>
    <w:rsid w:val="00795F21"/>
    <w:rsid w:val="0079615D"/>
    <w:rsid w:val="00796290"/>
    <w:rsid w:val="00797A7F"/>
    <w:rsid w:val="007A166F"/>
    <w:rsid w:val="007A3526"/>
    <w:rsid w:val="007A45C3"/>
    <w:rsid w:val="007A48D1"/>
    <w:rsid w:val="007A5DD0"/>
    <w:rsid w:val="007A795D"/>
    <w:rsid w:val="007B0F4F"/>
    <w:rsid w:val="007B3262"/>
    <w:rsid w:val="007B3F98"/>
    <w:rsid w:val="007B41FD"/>
    <w:rsid w:val="007B678D"/>
    <w:rsid w:val="007B715A"/>
    <w:rsid w:val="007C04F7"/>
    <w:rsid w:val="007C0BD2"/>
    <w:rsid w:val="007C383E"/>
    <w:rsid w:val="007C7F45"/>
    <w:rsid w:val="007D05FE"/>
    <w:rsid w:val="007D1B5E"/>
    <w:rsid w:val="007D1CA6"/>
    <w:rsid w:val="007D204A"/>
    <w:rsid w:val="007D356D"/>
    <w:rsid w:val="007D48F1"/>
    <w:rsid w:val="007D4C01"/>
    <w:rsid w:val="007D5399"/>
    <w:rsid w:val="007D5576"/>
    <w:rsid w:val="007D65FF"/>
    <w:rsid w:val="007D6E82"/>
    <w:rsid w:val="007D757A"/>
    <w:rsid w:val="007E319E"/>
    <w:rsid w:val="007E35F1"/>
    <w:rsid w:val="007E600D"/>
    <w:rsid w:val="007E625F"/>
    <w:rsid w:val="007E633D"/>
    <w:rsid w:val="007E6C6A"/>
    <w:rsid w:val="007F0D4A"/>
    <w:rsid w:val="00800717"/>
    <w:rsid w:val="00801A6E"/>
    <w:rsid w:val="0080437E"/>
    <w:rsid w:val="00804B35"/>
    <w:rsid w:val="00810CE7"/>
    <w:rsid w:val="00811B0F"/>
    <w:rsid w:val="00812020"/>
    <w:rsid w:val="00812E7D"/>
    <w:rsid w:val="00813003"/>
    <w:rsid w:val="00814318"/>
    <w:rsid w:val="00814402"/>
    <w:rsid w:val="00815E97"/>
    <w:rsid w:val="00816AEA"/>
    <w:rsid w:val="00816B65"/>
    <w:rsid w:val="00821212"/>
    <w:rsid w:val="00821416"/>
    <w:rsid w:val="00822187"/>
    <w:rsid w:val="00822259"/>
    <w:rsid w:val="00823E07"/>
    <w:rsid w:val="00824005"/>
    <w:rsid w:val="008263D8"/>
    <w:rsid w:val="00826580"/>
    <w:rsid w:val="00827BCD"/>
    <w:rsid w:val="0083068A"/>
    <w:rsid w:val="008310A7"/>
    <w:rsid w:val="0083150E"/>
    <w:rsid w:val="00831DB6"/>
    <w:rsid w:val="00833611"/>
    <w:rsid w:val="00834BD5"/>
    <w:rsid w:val="00835281"/>
    <w:rsid w:val="00835482"/>
    <w:rsid w:val="008373B8"/>
    <w:rsid w:val="008416B7"/>
    <w:rsid w:val="00844632"/>
    <w:rsid w:val="00845EE6"/>
    <w:rsid w:val="00846080"/>
    <w:rsid w:val="00851517"/>
    <w:rsid w:val="0085391D"/>
    <w:rsid w:val="00853A24"/>
    <w:rsid w:val="00855B23"/>
    <w:rsid w:val="0085774B"/>
    <w:rsid w:val="00862735"/>
    <w:rsid w:val="00863657"/>
    <w:rsid w:val="00863E43"/>
    <w:rsid w:val="00864022"/>
    <w:rsid w:val="00864322"/>
    <w:rsid w:val="008656BE"/>
    <w:rsid w:val="00865FE5"/>
    <w:rsid w:val="00866D4A"/>
    <w:rsid w:val="00870190"/>
    <w:rsid w:val="0087151C"/>
    <w:rsid w:val="008715C8"/>
    <w:rsid w:val="008722F1"/>
    <w:rsid w:val="00872F85"/>
    <w:rsid w:val="008733E3"/>
    <w:rsid w:val="00873530"/>
    <w:rsid w:val="00873AAE"/>
    <w:rsid w:val="008746F1"/>
    <w:rsid w:val="00874AE4"/>
    <w:rsid w:val="00874FC3"/>
    <w:rsid w:val="00880597"/>
    <w:rsid w:val="00882736"/>
    <w:rsid w:val="00884AB0"/>
    <w:rsid w:val="00885875"/>
    <w:rsid w:val="0088682E"/>
    <w:rsid w:val="00890261"/>
    <w:rsid w:val="00890A54"/>
    <w:rsid w:val="00891E10"/>
    <w:rsid w:val="008971F7"/>
    <w:rsid w:val="008978DF"/>
    <w:rsid w:val="008A0B72"/>
    <w:rsid w:val="008A21B9"/>
    <w:rsid w:val="008A27C7"/>
    <w:rsid w:val="008A7896"/>
    <w:rsid w:val="008B0AD8"/>
    <w:rsid w:val="008B1201"/>
    <w:rsid w:val="008B1215"/>
    <w:rsid w:val="008B63CB"/>
    <w:rsid w:val="008B704C"/>
    <w:rsid w:val="008B7233"/>
    <w:rsid w:val="008C08CE"/>
    <w:rsid w:val="008C115F"/>
    <w:rsid w:val="008C4988"/>
    <w:rsid w:val="008C52C4"/>
    <w:rsid w:val="008C6616"/>
    <w:rsid w:val="008C6C60"/>
    <w:rsid w:val="008C7771"/>
    <w:rsid w:val="008D1478"/>
    <w:rsid w:val="008D1C4E"/>
    <w:rsid w:val="008D27AF"/>
    <w:rsid w:val="008D6031"/>
    <w:rsid w:val="008E133C"/>
    <w:rsid w:val="008E195F"/>
    <w:rsid w:val="008E19A4"/>
    <w:rsid w:val="008E1F6C"/>
    <w:rsid w:val="008E235D"/>
    <w:rsid w:val="008E3109"/>
    <w:rsid w:val="008E6ED8"/>
    <w:rsid w:val="008E7529"/>
    <w:rsid w:val="008F06D9"/>
    <w:rsid w:val="008F1CC7"/>
    <w:rsid w:val="008F2810"/>
    <w:rsid w:val="008F3282"/>
    <w:rsid w:val="008F6310"/>
    <w:rsid w:val="008F68DE"/>
    <w:rsid w:val="008F6FAA"/>
    <w:rsid w:val="008F7FC1"/>
    <w:rsid w:val="00900A37"/>
    <w:rsid w:val="00902394"/>
    <w:rsid w:val="00902503"/>
    <w:rsid w:val="00902938"/>
    <w:rsid w:val="00903961"/>
    <w:rsid w:val="00906297"/>
    <w:rsid w:val="0090678C"/>
    <w:rsid w:val="00907F25"/>
    <w:rsid w:val="0091054F"/>
    <w:rsid w:val="00911B87"/>
    <w:rsid w:val="0091459E"/>
    <w:rsid w:val="009153A4"/>
    <w:rsid w:val="00915CB0"/>
    <w:rsid w:val="0091758A"/>
    <w:rsid w:val="00920B99"/>
    <w:rsid w:val="00921008"/>
    <w:rsid w:val="00922710"/>
    <w:rsid w:val="0092629A"/>
    <w:rsid w:val="00926688"/>
    <w:rsid w:val="00927DA4"/>
    <w:rsid w:val="009308B6"/>
    <w:rsid w:val="009310BD"/>
    <w:rsid w:val="0093119E"/>
    <w:rsid w:val="0093206D"/>
    <w:rsid w:val="0093207E"/>
    <w:rsid w:val="00932A65"/>
    <w:rsid w:val="009346ED"/>
    <w:rsid w:val="0093519A"/>
    <w:rsid w:val="00935D12"/>
    <w:rsid w:val="009361E2"/>
    <w:rsid w:val="00937FF6"/>
    <w:rsid w:val="00940334"/>
    <w:rsid w:val="009419B6"/>
    <w:rsid w:val="0094268B"/>
    <w:rsid w:val="009445B8"/>
    <w:rsid w:val="0094485A"/>
    <w:rsid w:val="009478B7"/>
    <w:rsid w:val="00950727"/>
    <w:rsid w:val="00952E54"/>
    <w:rsid w:val="009565ED"/>
    <w:rsid w:val="00956607"/>
    <w:rsid w:val="009566BC"/>
    <w:rsid w:val="0096037D"/>
    <w:rsid w:val="0096150B"/>
    <w:rsid w:val="00964490"/>
    <w:rsid w:val="009651A9"/>
    <w:rsid w:val="00967290"/>
    <w:rsid w:val="00967504"/>
    <w:rsid w:val="009710BD"/>
    <w:rsid w:val="0097246A"/>
    <w:rsid w:val="0097266F"/>
    <w:rsid w:val="00975C4B"/>
    <w:rsid w:val="00976D53"/>
    <w:rsid w:val="00977173"/>
    <w:rsid w:val="00984458"/>
    <w:rsid w:val="00986EFA"/>
    <w:rsid w:val="00987107"/>
    <w:rsid w:val="0099051E"/>
    <w:rsid w:val="0099152A"/>
    <w:rsid w:val="00993093"/>
    <w:rsid w:val="009931D4"/>
    <w:rsid w:val="00994C60"/>
    <w:rsid w:val="00994F0C"/>
    <w:rsid w:val="00994FD1"/>
    <w:rsid w:val="0099537F"/>
    <w:rsid w:val="00996D6E"/>
    <w:rsid w:val="009A0EC0"/>
    <w:rsid w:val="009A2249"/>
    <w:rsid w:val="009A2CAD"/>
    <w:rsid w:val="009A2F5D"/>
    <w:rsid w:val="009A307E"/>
    <w:rsid w:val="009A369D"/>
    <w:rsid w:val="009A3EE4"/>
    <w:rsid w:val="009A4445"/>
    <w:rsid w:val="009A5C98"/>
    <w:rsid w:val="009A6464"/>
    <w:rsid w:val="009A7453"/>
    <w:rsid w:val="009B04BA"/>
    <w:rsid w:val="009B390F"/>
    <w:rsid w:val="009B4E5B"/>
    <w:rsid w:val="009B55A9"/>
    <w:rsid w:val="009B5B1D"/>
    <w:rsid w:val="009C0B1D"/>
    <w:rsid w:val="009C15C7"/>
    <w:rsid w:val="009C4292"/>
    <w:rsid w:val="009C6665"/>
    <w:rsid w:val="009C7013"/>
    <w:rsid w:val="009C77B2"/>
    <w:rsid w:val="009D1BF1"/>
    <w:rsid w:val="009D2637"/>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2B4D"/>
    <w:rsid w:val="009F36FA"/>
    <w:rsid w:val="009F3B9B"/>
    <w:rsid w:val="009F4F65"/>
    <w:rsid w:val="009F607D"/>
    <w:rsid w:val="009F6CCE"/>
    <w:rsid w:val="009F6E74"/>
    <w:rsid w:val="00A01E63"/>
    <w:rsid w:val="00A03D93"/>
    <w:rsid w:val="00A06F6D"/>
    <w:rsid w:val="00A07317"/>
    <w:rsid w:val="00A10CE7"/>
    <w:rsid w:val="00A1453B"/>
    <w:rsid w:val="00A16DFE"/>
    <w:rsid w:val="00A23238"/>
    <w:rsid w:val="00A23554"/>
    <w:rsid w:val="00A2413E"/>
    <w:rsid w:val="00A258A7"/>
    <w:rsid w:val="00A26740"/>
    <w:rsid w:val="00A30C5D"/>
    <w:rsid w:val="00A31F28"/>
    <w:rsid w:val="00A327D4"/>
    <w:rsid w:val="00A36248"/>
    <w:rsid w:val="00A36CEA"/>
    <w:rsid w:val="00A41D02"/>
    <w:rsid w:val="00A420BD"/>
    <w:rsid w:val="00A4238C"/>
    <w:rsid w:val="00A4241E"/>
    <w:rsid w:val="00A4385E"/>
    <w:rsid w:val="00A44F27"/>
    <w:rsid w:val="00A464BD"/>
    <w:rsid w:val="00A46FBD"/>
    <w:rsid w:val="00A4716F"/>
    <w:rsid w:val="00A50051"/>
    <w:rsid w:val="00A506C3"/>
    <w:rsid w:val="00A51584"/>
    <w:rsid w:val="00A529DF"/>
    <w:rsid w:val="00A53AA1"/>
    <w:rsid w:val="00A53C96"/>
    <w:rsid w:val="00A55C1B"/>
    <w:rsid w:val="00A5788F"/>
    <w:rsid w:val="00A57D87"/>
    <w:rsid w:val="00A6160D"/>
    <w:rsid w:val="00A616F6"/>
    <w:rsid w:val="00A64226"/>
    <w:rsid w:val="00A6470E"/>
    <w:rsid w:val="00A6486C"/>
    <w:rsid w:val="00A65DCC"/>
    <w:rsid w:val="00A72E13"/>
    <w:rsid w:val="00A72F5C"/>
    <w:rsid w:val="00A75033"/>
    <w:rsid w:val="00A76D10"/>
    <w:rsid w:val="00A7795A"/>
    <w:rsid w:val="00A81A65"/>
    <w:rsid w:val="00A820C9"/>
    <w:rsid w:val="00A855AB"/>
    <w:rsid w:val="00A86514"/>
    <w:rsid w:val="00A907D5"/>
    <w:rsid w:val="00A919AE"/>
    <w:rsid w:val="00A92279"/>
    <w:rsid w:val="00A942C1"/>
    <w:rsid w:val="00A9536D"/>
    <w:rsid w:val="00A95D7D"/>
    <w:rsid w:val="00A95DAA"/>
    <w:rsid w:val="00A9638E"/>
    <w:rsid w:val="00A966A7"/>
    <w:rsid w:val="00A97BD2"/>
    <w:rsid w:val="00AA0ED1"/>
    <w:rsid w:val="00AA0F71"/>
    <w:rsid w:val="00AA32E9"/>
    <w:rsid w:val="00AA4160"/>
    <w:rsid w:val="00AA4773"/>
    <w:rsid w:val="00AA4DE4"/>
    <w:rsid w:val="00AA62F4"/>
    <w:rsid w:val="00AA7D3B"/>
    <w:rsid w:val="00AB0867"/>
    <w:rsid w:val="00AB0B0B"/>
    <w:rsid w:val="00AB0CF5"/>
    <w:rsid w:val="00AB1196"/>
    <w:rsid w:val="00AB2393"/>
    <w:rsid w:val="00AB54BD"/>
    <w:rsid w:val="00AB5D04"/>
    <w:rsid w:val="00AC1647"/>
    <w:rsid w:val="00AC16C7"/>
    <w:rsid w:val="00AC255D"/>
    <w:rsid w:val="00AC30D3"/>
    <w:rsid w:val="00AC3908"/>
    <w:rsid w:val="00AC3DF2"/>
    <w:rsid w:val="00AC6197"/>
    <w:rsid w:val="00AC6D43"/>
    <w:rsid w:val="00AC7D43"/>
    <w:rsid w:val="00AD0181"/>
    <w:rsid w:val="00AD06BE"/>
    <w:rsid w:val="00AD1E37"/>
    <w:rsid w:val="00AD2E5C"/>
    <w:rsid w:val="00AD34CE"/>
    <w:rsid w:val="00AD5531"/>
    <w:rsid w:val="00AD58B1"/>
    <w:rsid w:val="00AD69BB"/>
    <w:rsid w:val="00AE67DF"/>
    <w:rsid w:val="00AF0972"/>
    <w:rsid w:val="00AF2D94"/>
    <w:rsid w:val="00AF3CFA"/>
    <w:rsid w:val="00AF56DF"/>
    <w:rsid w:val="00B00B4C"/>
    <w:rsid w:val="00B06024"/>
    <w:rsid w:val="00B0629F"/>
    <w:rsid w:val="00B066AA"/>
    <w:rsid w:val="00B06F47"/>
    <w:rsid w:val="00B07038"/>
    <w:rsid w:val="00B07644"/>
    <w:rsid w:val="00B07795"/>
    <w:rsid w:val="00B11300"/>
    <w:rsid w:val="00B11F02"/>
    <w:rsid w:val="00B14A84"/>
    <w:rsid w:val="00B15ABC"/>
    <w:rsid w:val="00B16F69"/>
    <w:rsid w:val="00B20B0E"/>
    <w:rsid w:val="00B223E8"/>
    <w:rsid w:val="00B23209"/>
    <w:rsid w:val="00B25443"/>
    <w:rsid w:val="00B25F3A"/>
    <w:rsid w:val="00B261D9"/>
    <w:rsid w:val="00B30563"/>
    <w:rsid w:val="00B310BA"/>
    <w:rsid w:val="00B311AF"/>
    <w:rsid w:val="00B3228D"/>
    <w:rsid w:val="00B332F4"/>
    <w:rsid w:val="00B337CE"/>
    <w:rsid w:val="00B33DC5"/>
    <w:rsid w:val="00B33FE8"/>
    <w:rsid w:val="00B3434A"/>
    <w:rsid w:val="00B36DA8"/>
    <w:rsid w:val="00B36E7B"/>
    <w:rsid w:val="00B4100A"/>
    <w:rsid w:val="00B413A1"/>
    <w:rsid w:val="00B419AE"/>
    <w:rsid w:val="00B41F6E"/>
    <w:rsid w:val="00B424CB"/>
    <w:rsid w:val="00B43EF7"/>
    <w:rsid w:val="00B44620"/>
    <w:rsid w:val="00B455A2"/>
    <w:rsid w:val="00B46CA6"/>
    <w:rsid w:val="00B475CF"/>
    <w:rsid w:val="00B47B73"/>
    <w:rsid w:val="00B502EC"/>
    <w:rsid w:val="00B503E1"/>
    <w:rsid w:val="00B50B71"/>
    <w:rsid w:val="00B5223C"/>
    <w:rsid w:val="00B52637"/>
    <w:rsid w:val="00B52CF3"/>
    <w:rsid w:val="00B536FD"/>
    <w:rsid w:val="00B53AEF"/>
    <w:rsid w:val="00B55A95"/>
    <w:rsid w:val="00B563A1"/>
    <w:rsid w:val="00B574D0"/>
    <w:rsid w:val="00B57966"/>
    <w:rsid w:val="00B6039B"/>
    <w:rsid w:val="00B60BFF"/>
    <w:rsid w:val="00B6251C"/>
    <w:rsid w:val="00B632E7"/>
    <w:rsid w:val="00B63B1F"/>
    <w:rsid w:val="00B63BA6"/>
    <w:rsid w:val="00B6480F"/>
    <w:rsid w:val="00B64ED7"/>
    <w:rsid w:val="00B66AB8"/>
    <w:rsid w:val="00B67FC8"/>
    <w:rsid w:val="00B71BBD"/>
    <w:rsid w:val="00B73117"/>
    <w:rsid w:val="00B74327"/>
    <w:rsid w:val="00B75512"/>
    <w:rsid w:val="00B80810"/>
    <w:rsid w:val="00B814F3"/>
    <w:rsid w:val="00B81D01"/>
    <w:rsid w:val="00B83CBF"/>
    <w:rsid w:val="00B85B5D"/>
    <w:rsid w:val="00B86BA1"/>
    <w:rsid w:val="00B87A0F"/>
    <w:rsid w:val="00B87FA0"/>
    <w:rsid w:val="00B90898"/>
    <w:rsid w:val="00B92826"/>
    <w:rsid w:val="00B93E7C"/>
    <w:rsid w:val="00B94B02"/>
    <w:rsid w:val="00B97910"/>
    <w:rsid w:val="00BA1E07"/>
    <w:rsid w:val="00BA216F"/>
    <w:rsid w:val="00BA22BE"/>
    <w:rsid w:val="00BA26B2"/>
    <w:rsid w:val="00BA3259"/>
    <w:rsid w:val="00BA5374"/>
    <w:rsid w:val="00BA5ABD"/>
    <w:rsid w:val="00BA5F83"/>
    <w:rsid w:val="00BA65B6"/>
    <w:rsid w:val="00BA6B58"/>
    <w:rsid w:val="00BA6D4E"/>
    <w:rsid w:val="00BA7263"/>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2B48"/>
    <w:rsid w:val="00BE4BFD"/>
    <w:rsid w:val="00BE7B10"/>
    <w:rsid w:val="00C00EA6"/>
    <w:rsid w:val="00C013F8"/>
    <w:rsid w:val="00C02525"/>
    <w:rsid w:val="00C034EA"/>
    <w:rsid w:val="00C044AD"/>
    <w:rsid w:val="00C0579E"/>
    <w:rsid w:val="00C102DB"/>
    <w:rsid w:val="00C10830"/>
    <w:rsid w:val="00C15039"/>
    <w:rsid w:val="00C1505F"/>
    <w:rsid w:val="00C158C4"/>
    <w:rsid w:val="00C17086"/>
    <w:rsid w:val="00C1763B"/>
    <w:rsid w:val="00C201B2"/>
    <w:rsid w:val="00C220F6"/>
    <w:rsid w:val="00C234FD"/>
    <w:rsid w:val="00C23B89"/>
    <w:rsid w:val="00C2664E"/>
    <w:rsid w:val="00C26B7D"/>
    <w:rsid w:val="00C271B2"/>
    <w:rsid w:val="00C324A8"/>
    <w:rsid w:val="00C33A7A"/>
    <w:rsid w:val="00C33F62"/>
    <w:rsid w:val="00C349D3"/>
    <w:rsid w:val="00C35200"/>
    <w:rsid w:val="00C35779"/>
    <w:rsid w:val="00C35B91"/>
    <w:rsid w:val="00C37B6F"/>
    <w:rsid w:val="00C41410"/>
    <w:rsid w:val="00C41DB3"/>
    <w:rsid w:val="00C42C20"/>
    <w:rsid w:val="00C442D5"/>
    <w:rsid w:val="00C45875"/>
    <w:rsid w:val="00C45F48"/>
    <w:rsid w:val="00C462FF"/>
    <w:rsid w:val="00C46CD6"/>
    <w:rsid w:val="00C47ABE"/>
    <w:rsid w:val="00C50313"/>
    <w:rsid w:val="00C52A05"/>
    <w:rsid w:val="00C5373B"/>
    <w:rsid w:val="00C54A06"/>
    <w:rsid w:val="00C54F37"/>
    <w:rsid w:val="00C552D1"/>
    <w:rsid w:val="00C557F1"/>
    <w:rsid w:val="00C561BA"/>
    <w:rsid w:val="00C60BBD"/>
    <w:rsid w:val="00C62F90"/>
    <w:rsid w:val="00C638A0"/>
    <w:rsid w:val="00C63AD4"/>
    <w:rsid w:val="00C64839"/>
    <w:rsid w:val="00C64891"/>
    <w:rsid w:val="00C64F0C"/>
    <w:rsid w:val="00C65AC9"/>
    <w:rsid w:val="00C71047"/>
    <w:rsid w:val="00C71289"/>
    <w:rsid w:val="00C7212B"/>
    <w:rsid w:val="00C72F29"/>
    <w:rsid w:val="00C7403D"/>
    <w:rsid w:val="00C7481E"/>
    <w:rsid w:val="00C7578B"/>
    <w:rsid w:val="00C75946"/>
    <w:rsid w:val="00C75BA1"/>
    <w:rsid w:val="00C7678B"/>
    <w:rsid w:val="00C76799"/>
    <w:rsid w:val="00C76EB8"/>
    <w:rsid w:val="00C7761F"/>
    <w:rsid w:val="00C80038"/>
    <w:rsid w:val="00C80DDD"/>
    <w:rsid w:val="00C81148"/>
    <w:rsid w:val="00C82196"/>
    <w:rsid w:val="00C84F81"/>
    <w:rsid w:val="00C85861"/>
    <w:rsid w:val="00C860B6"/>
    <w:rsid w:val="00C91098"/>
    <w:rsid w:val="00C92441"/>
    <w:rsid w:val="00C95606"/>
    <w:rsid w:val="00C968C0"/>
    <w:rsid w:val="00C96939"/>
    <w:rsid w:val="00C97B8E"/>
    <w:rsid w:val="00CA0DCD"/>
    <w:rsid w:val="00CA1556"/>
    <w:rsid w:val="00CA2301"/>
    <w:rsid w:val="00CA500D"/>
    <w:rsid w:val="00CA7695"/>
    <w:rsid w:val="00CB15C0"/>
    <w:rsid w:val="00CB22F2"/>
    <w:rsid w:val="00CB3491"/>
    <w:rsid w:val="00CB3F1C"/>
    <w:rsid w:val="00CB444E"/>
    <w:rsid w:val="00CB4839"/>
    <w:rsid w:val="00CB4F01"/>
    <w:rsid w:val="00CB5643"/>
    <w:rsid w:val="00CB6E37"/>
    <w:rsid w:val="00CB7C9D"/>
    <w:rsid w:val="00CC0A49"/>
    <w:rsid w:val="00CC1715"/>
    <w:rsid w:val="00CC1DD6"/>
    <w:rsid w:val="00CC3623"/>
    <w:rsid w:val="00CC36B5"/>
    <w:rsid w:val="00CC3FFF"/>
    <w:rsid w:val="00CC40D9"/>
    <w:rsid w:val="00CC508D"/>
    <w:rsid w:val="00CC7852"/>
    <w:rsid w:val="00CD28A5"/>
    <w:rsid w:val="00CD2D55"/>
    <w:rsid w:val="00CD36FF"/>
    <w:rsid w:val="00CD3D12"/>
    <w:rsid w:val="00CD433B"/>
    <w:rsid w:val="00CD5879"/>
    <w:rsid w:val="00CD6778"/>
    <w:rsid w:val="00CD7EC4"/>
    <w:rsid w:val="00CE05E6"/>
    <w:rsid w:val="00CE0793"/>
    <w:rsid w:val="00CE2907"/>
    <w:rsid w:val="00CE66F9"/>
    <w:rsid w:val="00CF014F"/>
    <w:rsid w:val="00CF1017"/>
    <w:rsid w:val="00CF2745"/>
    <w:rsid w:val="00CF3EFE"/>
    <w:rsid w:val="00CF417A"/>
    <w:rsid w:val="00CF4DF3"/>
    <w:rsid w:val="00CF4FB7"/>
    <w:rsid w:val="00CF54CC"/>
    <w:rsid w:val="00CF6915"/>
    <w:rsid w:val="00CF75C5"/>
    <w:rsid w:val="00CF7DD6"/>
    <w:rsid w:val="00D035CE"/>
    <w:rsid w:val="00D03723"/>
    <w:rsid w:val="00D04946"/>
    <w:rsid w:val="00D0629D"/>
    <w:rsid w:val="00D07FAA"/>
    <w:rsid w:val="00D10E02"/>
    <w:rsid w:val="00D118CA"/>
    <w:rsid w:val="00D11AB9"/>
    <w:rsid w:val="00D12DBD"/>
    <w:rsid w:val="00D1360D"/>
    <w:rsid w:val="00D145E5"/>
    <w:rsid w:val="00D14F6A"/>
    <w:rsid w:val="00D20A09"/>
    <w:rsid w:val="00D241FF"/>
    <w:rsid w:val="00D25758"/>
    <w:rsid w:val="00D262E7"/>
    <w:rsid w:val="00D26E3E"/>
    <w:rsid w:val="00D3016C"/>
    <w:rsid w:val="00D307E4"/>
    <w:rsid w:val="00D309FC"/>
    <w:rsid w:val="00D320AF"/>
    <w:rsid w:val="00D328D2"/>
    <w:rsid w:val="00D32D12"/>
    <w:rsid w:val="00D32F7F"/>
    <w:rsid w:val="00D33351"/>
    <w:rsid w:val="00D37009"/>
    <w:rsid w:val="00D379CF"/>
    <w:rsid w:val="00D4225A"/>
    <w:rsid w:val="00D43FF7"/>
    <w:rsid w:val="00D44139"/>
    <w:rsid w:val="00D4413C"/>
    <w:rsid w:val="00D44CAF"/>
    <w:rsid w:val="00D452CA"/>
    <w:rsid w:val="00D4557F"/>
    <w:rsid w:val="00D4650B"/>
    <w:rsid w:val="00D4693A"/>
    <w:rsid w:val="00D46F3B"/>
    <w:rsid w:val="00D4786A"/>
    <w:rsid w:val="00D506F4"/>
    <w:rsid w:val="00D51DC8"/>
    <w:rsid w:val="00D52396"/>
    <w:rsid w:val="00D52C09"/>
    <w:rsid w:val="00D53D4F"/>
    <w:rsid w:val="00D55393"/>
    <w:rsid w:val="00D55D3F"/>
    <w:rsid w:val="00D60E13"/>
    <w:rsid w:val="00D6359F"/>
    <w:rsid w:val="00D64B7E"/>
    <w:rsid w:val="00D65F48"/>
    <w:rsid w:val="00D66427"/>
    <w:rsid w:val="00D66470"/>
    <w:rsid w:val="00D70841"/>
    <w:rsid w:val="00D7170A"/>
    <w:rsid w:val="00D71918"/>
    <w:rsid w:val="00D72931"/>
    <w:rsid w:val="00D72B5B"/>
    <w:rsid w:val="00D73457"/>
    <w:rsid w:val="00D74B33"/>
    <w:rsid w:val="00D75992"/>
    <w:rsid w:val="00D77184"/>
    <w:rsid w:val="00D7728E"/>
    <w:rsid w:val="00D77B48"/>
    <w:rsid w:val="00D82B68"/>
    <w:rsid w:val="00D83CDC"/>
    <w:rsid w:val="00D8435D"/>
    <w:rsid w:val="00D84AEA"/>
    <w:rsid w:val="00D8640B"/>
    <w:rsid w:val="00D9148E"/>
    <w:rsid w:val="00D92342"/>
    <w:rsid w:val="00D94934"/>
    <w:rsid w:val="00D95D00"/>
    <w:rsid w:val="00D96329"/>
    <w:rsid w:val="00D9785B"/>
    <w:rsid w:val="00D97EE6"/>
    <w:rsid w:val="00DA0CD9"/>
    <w:rsid w:val="00DA157E"/>
    <w:rsid w:val="00DA1DFF"/>
    <w:rsid w:val="00DA2A2D"/>
    <w:rsid w:val="00DA2BD4"/>
    <w:rsid w:val="00DA2F6E"/>
    <w:rsid w:val="00DA335A"/>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0701"/>
    <w:rsid w:val="00DD07CC"/>
    <w:rsid w:val="00DD1FA2"/>
    <w:rsid w:val="00DD4B39"/>
    <w:rsid w:val="00DD554B"/>
    <w:rsid w:val="00DD5D6C"/>
    <w:rsid w:val="00DE3907"/>
    <w:rsid w:val="00DE4CCA"/>
    <w:rsid w:val="00DE51A4"/>
    <w:rsid w:val="00DE5858"/>
    <w:rsid w:val="00DE6942"/>
    <w:rsid w:val="00DE6A62"/>
    <w:rsid w:val="00DE7628"/>
    <w:rsid w:val="00DF1443"/>
    <w:rsid w:val="00DF294A"/>
    <w:rsid w:val="00DF2A3A"/>
    <w:rsid w:val="00DF2C2F"/>
    <w:rsid w:val="00DF529C"/>
    <w:rsid w:val="00DF5E52"/>
    <w:rsid w:val="00DF609D"/>
    <w:rsid w:val="00DF6D7E"/>
    <w:rsid w:val="00DF76A4"/>
    <w:rsid w:val="00DF7971"/>
    <w:rsid w:val="00E030C3"/>
    <w:rsid w:val="00E04B32"/>
    <w:rsid w:val="00E04B5B"/>
    <w:rsid w:val="00E0528B"/>
    <w:rsid w:val="00E05D05"/>
    <w:rsid w:val="00E05F30"/>
    <w:rsid w:val="00E064D7"/>
    <w:rsid w:val="00E065BD"/>
    <w:rsid w:val="00E066C3"/>
    <w:rsid w:val="00E070D7"/>
    <w:rsid w:val="00E073EE"/>
    <w:rsid w:val="00E07488"/>
    <w:rsid w:val="00E07B8B"/>
    <w:rsid w:val="00E1008E"/>
    <w:rsid w:val="00E124BE"/>
    <w:rsid w:val="00E1388F"/>
    <w:rsid w:val="00E13A17"/>
    <w:rsid w:val="00E13F49"/>
    <w:rsid w:val="00E13F92"/>
    <w:rsid w:val="00E16952"/>
    <w:rsid w:val="00E16B02"/>
    <w:rsid w:val="00E203C4"/>
    <w:rsid w:val="00E20485"/>
    <w:rsid w:val="00E205FD"/>
    <w:rsid w:val="00E22339"/>
    <w:rsid w:val="00E256D4"/>
    <w:rsid w:val="00E25CB4"/>
    <w:rsid w:val="00E27733"/>
    <w:rsid w:val="00E30AF8"/>
    <w:rsid w:val="00E32931"/>
    <w:rsid w:val="00E330CE"/>
    <w:rsid w:val="00E33265"/>
    <w:rsid w:val="00E3470D"/>
    <w:rsid w:val="00E34C3B"/>
    <w:rsid w:val="00E36025"/>
    <w:rsid w:val="00E400F1"/>
    <w:rsid w:val="00E40823"/>
    <w:rsid w:val="00E413E2"/>
    <w:rsid w:val="00E41A8F"/>
    <w:rsid w:val="00E427FC"/>
    <w:rsid w:val="00E4459C"/>
    <w:rsid w:val="00E46909"/>
    <w:rsid w:val="00E46A28"/>
    <w:rsid w:val="00E511C0"/>
    <w:rsid w:val="00E5382A"/>
    <w:rsid w:val="00E55D73"/>
    <w:rsid w:val="00E602CD"/>
    <w:rsid w:val="00E6070F"/>
    <w:rsid w:val="00E6279A"/>
    <w:rsid w:val="00E6361E"/>
    <w:rsid w:val="00E63A4E"/>
    <w:rsid w:val="00E6409B"/>
    <w:rsid w:val="00E644BA"/>
    <w:rsid w:val="00E64988"/>
    <w:rsid w:val="00E67A56"/>
    <w:rsid w:val="00E67FCA"/>
    <w:rsid w:val="00E71791"/>
    <w:rsid w:val="00E74100"/>
    <w:rsid w:val="00E74C0B"/>
    <w:rsid w:val="00E75253"/>
    <w:rsid w:val="00E77147"/>
    <w:rsid w:val="00E800AD"/>
    <w:rsid w:val="00E81525"/>
    <w:rsid w:val="00E817B5"/>
    <w:rsid w:val="00E819D1"/>
    <w:rsid w:val="00E81BE1"/>
    <w:rsid w:val="00E82219"/>
    <w:rsid w:val="00E82942"/>
    <w:rsid w:val="00E84574"/>
    <w:rsid w:val="00E8774E"/>
    <w:rsid w:val="00E974DA"/>
    <w:rsid w:val="00E97C12"/>
    <w:rsid w:val="00EA1476"/>
    <w:rsid w:val="00EA1801"/>
    <w:rsid w:val="00EA237E"/>
    <w:rsid w:val="00EA2495"/>
    <w:rsid w:val="00EA3200"/>
    <w:rsid w:val="00EA4E11"/>
    <w:rsid w:val="00EA58CF"/>
    <w:rsid w:val="00EA65D7"/>
    <w:rsid w:val="00EA78C2"/>
    <w:rsid w:val="00EB0927"/>
    <w:rsid w:val="00EB3049"/>
    <w:rsid w:val="00EB37FC"/>
    <w:rsid w:val="00EB40B9"/>
    <w:rsid w:val="00EB6BF9"/>
    <w:rsid w:val="00EB73E1"/>
    <w:rsid w:val="00EB77E0"/>
    <w:rsid w:val="00EB7DF8"/>
    <w:rsid w:val="00EB7E8C"/>
    <w:rsid w:val="00EC2B9F"/>
    <w:rsid w:val="00EC2D78"/>
    <w:rsid w:val="00EC35BC"/>
    <w:rsid w:val="00EC3B34"/>
    <w:rsid w:val="00EC7455"/>
    <w:rsid w:val="00EC781D"/>
    <w:rsid w:val="00ED27EE"/>
    <w:rsid w:val="00ED37B7"/>
    <w:rsid w:val="00ED6CFF"/>
    <w:rsid w:val="00ED77D2"/>
    <w:rsid w:val="00EE00AE"/>
    <w:rsid w:val="00EE1899"/>
    <w:rsid w:val="00EE4497"/>
    <w:rsid w:val="00EE524E"/>
    <w:rsid w:val="00EE52F7"/>
    <w:rsid w:val="00EE62E5"/>
    <w:rsid w:val="00EE63A7"/>
    <w:rsid w:val="00EE64DE"/>
    <w:rsid w:val="00EE7E64"/>
    <w:rsid w:val="00EE7F3E"/>
    <w:rsid w:val="00EF0FA5"/>
    <w:rsid w:val="00EF1D0A"/>
    <w:rsid w:val="00EF341F"/>
    <w:rsid w:val="00EF4A3E"/>
    <w:rsid w:val="00EF653F"/>
    <w:rsid w:val="00F00555"/>
    <w:rsid w:val="00F03A2C"/>
    <w:rsid w:val="00F10323"/>
    <w:rsid w:val="00F11C05"/>
    <w:rsid w:val="00F146BD"/>
    <w:rsid w:val="00F15BBC"/>
    <w:rsid w:val="00F15DFF"/>
    <w:rsid w:val="00F16E9B"/>
    <w:rsid w:val="00F171BC"/>
    <w:rsid w:val="00F212F8"/>
    <w:rsid w:val="00F218B7"/>
    <w:rsid w:val="00F248A2"/>
    <w:rsid w:val="00F25F40"/>
    <w:rsid w:val="00F2613F"/>
    <w:rsid w:val="00F26886"/>
    <w:rsid w:val="00F33E65"/>
    <w:rsid w:val="00F3507F"/>
    <w:rsid w:val="00F3514E"/>
    <w:rsid w:val="00F36639"/>
    <w:rsid w:val="00F3678D"/>
    <w:rsid w:val="00F369DE"/>
    <w:rsid w:val="00F443B7"/>
    <w:rsid w:val="00F44756"/>
    <w:rsid w:val="00F4482C"/>
    <w:rsid w:val="00F4538C"/>
    <w:rsid w:val="00F45E7E"/>
    <w:rsid w:val="00F46E1B"/>
    <w:rsid w:val="00F5022F"/>
    <w:rsid w:val="00F52BDB"/>
    <w:rsid w:val="00F5395D"/>
    <w:rsid w:val="00F54A47"/>
    <w:rsid w:val="00F572CA"/>
    <w:rsid w:val="00F61498"/>
    <w:rsid w:val="00F6149A"/>
    <w:rsid w:val="00F615F1"/>
    <w:rsid w:val="00F61D0C"/>
    <w:rsid w:val="00F62310"/>
    <w:rsid w:val="00F644B6"/>
    <w:rsid w:val="00F648E7"/>
    <w:rsid w:val="00F65076"/>
    <w:rsid w:val="00F66D7D"/>
    <w:rsid w:val="00F67A86"/>
    <w:rsid w:val="00F67E62"/>
    <w:rsid w:val="00F71748"/>
    <w:rsid w:val="00F7360D"/>
    <w:rsid w:val="00F73A53"/>
    <w:rsid w:val="00F73ECB"/>
    <w:rsid w:val="00F76184"/>
    <w:rsid w:val="00F762DC"/>
    <w:rsid w:val="00F77386"/>
    <w:rsid w:val="00F7742F"/>
    <w:rsid w:val="00F77E7F"/>
    <w:rsid w:val="00F831B2"/>
    <w:rsid w:val="00F83927"/>
    <w:rsid w:val="00F83CF9"/>
    <w:rsid w:val="00F86B99"/>
    <w:rsid w:val="00F86E6A"/>
    <w:rsid w:val="00F87A19"/>
    <w:rsid w:val="00F9002F"/>
    <w:rsid w:val="00F9192E"/>
    <w:rsid w:val="00F93524"/>
    <w:rsid w:val="00F93D8A"/>
    <w:rsid w:val="00F93ED0"/>
    <w:rsid w:val="00F93F74"/>
    <w:rsid w:val="00F9492B"/>
    <w:rsid w:val="00F954B1"/>
    <w:rsid w:val="00F9737E"/>
    <w:rsid w:val="00F97600"/>
    <w:rsid w:val="00FA03CB"/>
    <w:rsid w:val="00FA0537"/>
    <w:rsid w:val="00FA1047"/>
    <w:rsid w:val="00FA10D1"/>
    <w:rsid w:val="00FA13AC"/>
    <w:rsid w:val="00FA1C15"/>
    <w:rsid w:val="00FA2F2C"/>
    <w:rsid w:val="00FA4EC6"/>
    <w:rsid w:val="00FA5327"/>
    <w:rsid w:val="00FA7358"/>
    <w:rsid w:val="00FA7BED"/>
    <w:rsid w:val="00FB0607"/>
    <w:rsid w:val="00FB06AD"/>
    <w:rsid w:val="00FB0A4B"/>
    <w:rsid w:val="00FB0EDE"/>
    <w:rsid w:val="00FB23EA"/>
    <w:rsid w:val="00FB2559"/>
    <w:rsid w:val="00FB2D6F"/>
    <w:rsid w:val="00FB39DF"/>
    <w:rsid w:val="00FB3C28"/>
    <w:rsid w:val="00FB4AC6"/>
    <w:rsid w:val="00FB6B2F"/>
    <w:rsid w:val="00FB6CE4"/>
    <w:rsid w:val="00FB7793"/>
    <w:rsid w:val="00FB7AB4"/>
    <w:rsid w:val="00FC0ADD"/>
    <w:rsid w:val="00FC16C5"/>
    <w:rsid w:val="00FC1A5E"/>
    <w:rsid w:val="00FC1C70"/>
    <w:rsid w:val="00FC341D"/>
    <w:rsid w:val="00FC3FDE"/>
    <w:rsid w:val="00FC69D7"/>
    <w:rsid w:val="00FC76A4"/>
    <w:rsid w:val="00FC77FF"/>
    <w:rsid w:val="00FC7F0B"/>
    <w:rsid w:val="00FD1DAD"/>
    <w:rsid w:val="00FD26C4"/>
    <w:rsid w:val="00FD2740"/>
    <w:rsid w:val="00FD5CC2"/>
    <w:rsid w:val="00FD7AE4"/>
    <w:rsid w:val="00FD7C10"/>
    <w:rsid w:val="00FE06C1"/>
    <w:rsid w:val="00FE0B0C"/>
    <w:rsid w:val="00FE2F1D"/>
    <w:rsid w:val="00FE35CE"/>
    <w:rsid w:val="00FE432F"/>
    <w:rsid w:val="00FE4FB8"/>
    <w:rsid w:val="00FE5407"/>
    <w:rsid w:val="00FE63D5"/>
    <w:rsid w:val="00FE7131"/>
    <w:rsid w:val="00FF016A"/>
    <w:rsid w:val="00FF02B2"/>
    <w:rsid w:val="00FF21FA"/>
    <w:rsid w:val="00FF2213"/>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 w:type="character" w:styleId="CommentReference">
    <w:name w:val="annotation reference"/>
    <w:basedOn w:val="DefaultParagraphFont"/>
    <w:rsid w:val="00A1453B"/>
    <w:rPr>
      <w:sz w:val="16"/>
      <w:szCs w:val="16"/>
    </w:rPr>
  </w:style>
  <w:style w:type="paragraph" w:styleId="CommentText">
    <w:name w:val="annotation text"/>
    <w:basedOn w:val="Normal"/>
    <w:link w:val="CommentTextChar"/>
    <w:rsid w:val="00A1453B"/>
    <w:rPr>
      <w:sz w:val="20"/>
    </w:rPr>
  </w:style>
  <w:style w:type="character" w:customStyle="1" w:styleId="CommentTextChar">
    <w:name w:val="Comment Text Char"/>
    <w:basedOn w:val="DefaultParagraphFont"/>
    <w:link w:val="CommentText"/>
    <w:rsid w:val="00A1453B"/>
  </w:style>
  <w:style w:type="paragraph" w:styleId="CommentSubject">
    <w:name w:val="annotation subject"/>
    <w:basedOn w:val="CommentText"/>
    <w:next w:val="CommentText"/>
    <w:link w:val="CommentSubjectChar"/>
    <w:rsid w:val="00A1453B"/>
    <w:rPr>
      <w:b/>
      <w:bCs/>
    </w:rPr>
  </w:style>
  <w:style w:type="character" w:customStyle="1" w:styleId="CommentSubjectChar">
    <w:name w:val="Comment Subject Char"/>
    <w:basedOn w:val="CommentTextChar"/>
    <w:link w:val="CommentSubject"/>
    <w:rsid w:val="00A145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 w:type="character" w:styleId="CommentReference">
    <w:name w:val="annotation reference"/>
    <w:basedOn w:val="DefaultParagraphFont"/>
    <w:rsid w:val="00A1453B"/>
    <w:rPr>
      <w:sz w:val="16"/>
      <w:szCs w:val="16"/>
    </w:rPr>
  </w:style>
  <w:style w:type="paragraph" w:styleId="CommentText">
    <w:name w:val="annotation text"/>
    <w:basedOn w:val="Normal"/>
    <w:link w:val="CommentTextChar"/>
    <w:rsid w:val="00A1453B"/>
    <w:rPr>
      <w:sz w:val="20"/>
    </w:rPr>
  </w:style>
  <w:style w:type="character" w:customStyle="1" w:styleId="CommentTextChar">
    <w:name w:val="Comment Text Char"/>
    <w:basedOn w:val="DefaultParagraphFont"/>
    <w:link w:val="CommentText"/>
    <w:rsid w:val="00A1453B"/>
  </w:style>
  <w:style w:type="paragraph" w:styleId="CommentSubject">
    <w:name w:val="annotation subject"/>
    <w:basedOn w:val="CommentText"/>
    <w:next w:val="CommentText"/>
    <w:link w:val="CommentSubjectChar"/>
    <w:rsid w:val="00A1453B"/>
    <w:rPr>
      <w:b/>
      <w:bCs/>
    </w:rPr>
  </w:style>
  <w:style w:type="character" w:customStyle="1" w:styleId="CommentSubjectChar">
    <w:name w:val="Comment Subject Char"/>
    <w:basedOn w:val="CommentTextChar"/>
    <w:link w:val="CommentSubject"/>
    <w:rsid w:val="00A14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5D4D-8257-4C0C-ACDA-9D742DC7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4385</Words>
  <Characters>24997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29324</CharactersWithSpaces>
  <SharedDoc>false</SharedDoc>
  <HLinks>
    <vt:vector size="12" baseType="variant">
      <vt:variant>
        <vt:i4>786442</vt:i4>
      </vt:variant>
      <vt:variant>
        <vt:i4>3</vt:i4>
      </vt:variant>
      <vt:variant>
        <vt:i4>0</vt:i4>
      </vt:variant>
      <vt:variant>
        <vt:i4>5</vt:i4>
      </vt:variant>
      <vt:variant>
        <vt:lpwstr>file://C:\research\buttonTFLink?_m=69761b6202cb4178e2a6e6fe02f5751b&amp;_xfercite=&lt;cite cc="USA"&gt;&lt;![CDATA[2000 Pa. PUC LEXIS 67 ]]&gt;&lt;\cite&gt;&amp;_butType=3&amp;_butStat=242&amp;_butNum=6&amp;_butInline=1&amp;_butinfo=&lt;cite cc="USA"&gt;&lt;![CDATA[485 A.2d 1217]]&gt;&lt;\cite&gt;&amp;_fmtstr=FULL&amp;docnum=5&amp;_startdoc=1&amp;_startchk=1&amp;wchp=dGLSzS-lSlbz&amp;_md5=9b1cc8319afd12440738bb82d74455ef</vt:lpwstr>
      </vt:variant>
      <vt:variant>
        <vt:lpwstr/>
      </vt:variant>
      <vt:variant>
        <vt:i4>5505037</vt:i4>
      </vt:variant>
      <vt:variant>
        <vt:i4>0</vt:i4>
      </vt:variant>
      <vt:variant>
        <vt:i4>0</vt:i4>
      </vt:variant>
      <vt:variant>
        <vt:i4>5</vt:i4>
      </vt:variant>
      <vt:variant>
        <vt:lpwstr>file://C:\research\buttonTFLink?_m=69761b6202cb4178e2a6e6fe02f5751b&amp;_xfercite=&lt;cite cc="USA"&gt;&lt;![CDATA[2000 Pa. PUC LEXIS 67 ]]&gt;&lt;\cite&gt;&amp;_butType=3&amp;_butStat=242&amp;_butNum=5&amp;_butInline=1&amp;_butinfo=&lt;cite cc="USA"&gt;&lt;![CDATA[625 A.2d 741]]&gt;&lt;\cite&gt;&amp;_fmtstr=FULL&amp;docnum=5&amp;_startdoc=1&amp;_startchk=1&amp;wchp=dGLSzS-lSlbz&amp;_md5=ad2b02d95c2a9216e83b92a3570d4785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2014-11-03T18:11:00Z</dcterms:created>
  <dcterms:modified xsi:type="dcterms:W3CDTF">2014-11-04T13:20:00Z</dcterms:modified>
</cp:coreProperties>
</file>