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F86C9A" w:rsidRDefault="006D33B5" w:rsidP="006943A8">
      <w:pPr>
        <w:jc w:val="center"/>
        <w:rPr>
          <w:b/>
          <w:bCs/>
        </w:rPr>
      </w:pPr>
      <w:bookmarkStart w:id="0" w:name="_GoBack"/>
      <w:bookmarkEnd w:id="0"/>
      <w:r w:rsidRPr="00F86C9A">
        <w:rPr>
          <w:b/>
          <w:bCs/>
        </w:rPr>
        <w:t>BEFORE THE</w:t>
      </w:r>
    </w:p>
    <w:p w:rsidR="006D33B5" w:rsidRPr="00F86C9A" w:rsidRDefault="006D33B5" w:rsidP="006943A8">
      <w:pPr>
        <w:jc w:val="center"/>
        <w:rPr>
          <w:b/>
          <w:bCs/>
        </w:rPr>
      </w:pPr>
      <w:r w:rsidRPr="00F86C9A">
        <w:rPr>
          <w:b/>
          <w:bCs/>
        </w:rPr>
        <w:t>PENNSYLVANIA PUBLIC UTILITY COMMISSION</w:t>
      </w:r>
    </w:p>
    <w:p w:rsidR="00E22703" w:rsidRPr="00F86C9A" w:rsidRDefault="00E22703" w:rsidP="006943A8">
      <w:pPr>
        <w:rPr>
          <w:bCs/>
        </w:rPr>
      </w:pPr>
    </w:p>
    <w:p w:rsidR="00E22703" w:rsidRPr="00F86C9A" w:rsidRDefault="00E22703" w:rsidP="006943A8">
      <w:pPr>
        <w:rPr>
          <w:bCs/>
        </w:rPr>
      </w:pPr>
    </w:p>
    <w:p w:rsidR="00E22703" w:rsidRPr="00F86C9A" w:rsidRDefault="00E22703" w:rsidP="006943A8">
      <w:pPr>
        <w:rPr>
          <w:bCs/>
        </w:rPr>
      </w:pPr>
    </w:p>
    <w:p w:rsidR="00EF0C86" w:rsidRPr="00F86C9A" w:rsidRDefault="00EF0C86" w:rsidP="00EF0C86">
      <w:pPr>
        <w:suppressLineNumbers/>
        <w:tabs>
          <w:tab w:val="left" w:pos="4860"/>
        </w:tabs>
      </w:pPr>
      <w:r w:rsidRPr="00F86C9A">
        <w:t>Joint Petition of Citizens' Electric Company</w:t>
      </w:r>
      <w:r w:rsidRPr="00F86C9A">
        <w:tab/>
        <w:t>:</w:t>
      </w:r>
      <w:r w:rsidRPr="00F86C9A">
        <w:tab/>
      </w:r>
    </w:p>
    <w:p w:rsidR="00EF0C86" w:rsidRPr="00F86C9A" w:rsidRDefault="00EF0C86" w:rsidP="00EF0C86">
      <w:pPr>
        <w:suppressLineNumbers/>
        <w:tabs>
          <w:tab w:val="left" w:pos="4860"/>
        </w:tabs>
      </w:pPr>
      <w:proofErr w:type="gramStart"/>
      <w:r w:rsidRPr="00F86C9A">
        <w:t>of</w:t>
      </w:r>
      <w:proofErr w:type="gramEnd"/>
      <w:r w:rsidRPr="00F86C9A">
        <w:t xml:space="preserve"> Lewisburg, PA and Wellsboro Electric</w:t>
      </w:r>
      <w:r w:rsidRPr="00F86C9A">
        <w:tab/>
        <w:t>:</w:t>
      </w:r>
      <w:r w:rsidRPr="00F86C9A">
        <w:tab/>
      </w:r>
      <w:r w:rsidRPr="00F86C9A">
        <w:tab/>
      </w:r>
      <w:r w:rsidR="00F86C9A">
        <w:tab/>
      </w:r>
      <w:r w:rsidRPr="00F86C9A">
        <w:t>P-2014-2425024</w:t>
      </w:r>
    </w:p>
    <w:p w:rsidR="00EF0C86" w:rsidRPr="00F86C9A" w:rsidRDefault="00EF0C86" w:rsidP="00EF0C86">
      <w:pPr>
        <w:suppressLineNumbers/>
        <w:tabs>
          <w:tab w:val="left" w:pos="4860"/>
        </w:tabs>
      </w:pPr>
      <w:r w:rsidRPr="00F86C9A">
        <w:t xml:space="preserve">Company for their Default Service Program </w:t>
      </w:r>
      <w:r w:rsidRPr="00F86C9A">
        <w:tab/>
        <w:t>:</w:t>
      </w:r>
      <w:r w:rsidRPr="00F86C9A">
        <w:tab/>
      </w:r>
      <w:r w:rsidRPr="00F86C9A">
        <w:tab/>
      </w:r>
      <w:r w:rsidR="00F86C9A">
        <w:tab/>
      </w:r>
      <w:r w:rsidRPr="00F86C9A">
        <w:t>P-2014-2425245</w:t>
      </w:r>
    </w:p>
    <w:p w:rsidR="00EF0C86" w:rsidRPr="00F86C9A" w:rsidRDefault="00EF0C86" w:rsidP="00EF0C86">
      <w:pPr>
        <w:suppressLineNumbers/>
        <w:tabs>
          <w:tab w:val="left" w:pos="4860"/>
        </w:tabs>
      </w:pPr>
      <w:r w:rsidRPr="00F86C9A">
        <w:t>For the Period June 1, 2015 Through</w:t>
      </w:r>
      <w:r w:rsidRPr="00F86C9A">
        <w:tab/>
        <w:t>:</w:t>
      </w:r>
    </w:p>
    <w:p w:rsidR="00EF0C86" w:rsidRPr="00F86C9A" w:rsidRDefault="00EF0C86" w:rsidP="00EF0C86">
      <w:pPr>
        <w:suppressLineNumbers/>
        <w:tabs>
          <w:tab w:val="left" w:pos="4860"/>
        </w:tabs>
      </w:pPr>
      <w:r w:rsidRPr="00F86C9A">
        <w:t>May 31, 2018</w:t>
      </w:r>
      <w:r w:rsidRPr="00F86C9A">
        <w:tab/>
        <w:t>:</w:t>
      </w:r>
    </w:p>
    <w:p w:rsidR="0062545F" w:rsidRPr="00F86C9A" w:rsidRDefault="0062545F" w:rsidP="006943A8">
      <w:pPr>
        <w:tabs>
          <w:tab w:val="left" w:pos="-720"/>
        </w:tabs>
        <w:suppressAutoHyphens/>
        <w:rPr>
          <w:spacing w:val="-3"/>
        </w:rPr>
      </w:pPr>
    </w:p>
    <w:p w:rsidR="00A125C9" w:rsidRPr="00F86C9A" w:rsidRDefault="00A125C9" w:rsidP="006943A8">
      <w:pPr>
        <w:tabs>
          <w:tab w:val="left" w:pos="-720"/>
        </w:tabs>
        <w:suppressAutoHyphens/>
        <w:rPr>
          <w:spacing w:val="-3"/>
        </w:rPr>
      </w:pPr>
    </w:p>
    <w:p w:rsidR="0062545F" w:rsidRPr="00F86C9A" w:rsidRDefault="0062545F" w:rsidP="006943A8">
      <w:pPr>
        <w:tabs>
          <w:tab w:val="left" w:pos="-720"/>
        </w:tabs>
        <w:suppressAutoHyphens/>
        <w:rPr>
          <w:spacing w:val="-3"/>
        </w:rPr>
      </w:pPr>
    </w:p>
    <w:p w:rsidR="0047381C" w:rsidRPr="00F86C9A" w:rsidRDefault="0047381C" w:rsidP="006943A8">
      <w:pPr>
        <w:tabs>
          <w:tab w:val="center" w:pos="4680"/>
        </w:tabs>
        <w:suppressAutoHyphens/>
        <w:jc w:val="center"/>
        <w:rPr>
          <w:b/>
          <w:spacing w:val="-3"/>
          <w:u w:val="single"/>
        </w:rPr>
      </w:pPr>
      <w:r w:rsidRPr="00F86C9A">
        <w:rPr>
          <w:b/>
          <w:spacing w:val="-3"/>
          <w:u w:val="single"/>
        </w:rPr>
        <w:t>RECOMMENDED DECISION</w:t>
      </w:r>
    </w:p>
    <w:p w:rsidR="0047381C" w:rsidRPr="00F86C9A" w:rsidRDefault="0047381C" w:rsidP="006943A8">
      <w:pPr>
        <w:autoSpaceDE/>
        <w:autoSpaceDN/>
        <w:jc w:val="center"/>
        <w:rPr>
          <w:rFonts w:eastAsiaTheme="minorHAnsi"/>
        </w:rPr>
      </w:pPr>
    </w:p>
    <w:p w:rsidR="0047381C" w:rsidRPr="00F86C9A" w:rsidRDefault="0047381C" w:rsidP="006943A8">
      <w:pPr>
        <w:autoSpaceDE/>
        <w:autoSpaceDN/>
        <w:jc w:val="center"/>
        <w:rPr>
          <w:rFonts w:eastAsiaTheme="minorHAnsi"/>
        </w:rPr>
      </w:pPr>
    </w:p>
    <w:p w:rsidR="0047381C" w:rsidRPr="00F86C9A" w:rsidRDefault="0047381C" w:rsidP="006943A8">
      <w:pPr>
        <w:autoSpaceDE/>
        <w:autoSpaceDN/>
        <w:jc w:val="center"/>
        <w:rPr>
          <w:rFonts w:eastAsiaTheme="minorHAnsi"/>
        </w:rPr>
      </w:pPr>
      <w:r w:rsidRPr="00F86C9A">
        <w:rPr>
          <w:rFonts w:eastAsiaTheme="minorHAnsi"/>
        </w:rPr>
        <w:t>Before</w:t>
      </w:r>
    </w:p>
    <w:p w:rsidR="0047381C" w:rsidRPr="00F86C9A" w:rsidRDefault="0047381C" w:rsidP="006943A8">
      <w:pPr>
        <w:autoSpaceDE/>
        <w:autoSpaceDN/>
        <w:jc w:val="center"/>
        <w:rPr>
          <w:rFonts w:eastAsiaTheme="minorHAnsi"/>
        </w:rPr>
      </w:pPr>
      <w:r w:rsidRPr="00F86C9A">
        <w:rPr>
          <w:rFonts w:eastAsiaTheme="minorHAnsi"/>
        </w:rPr>
        <w:t>Joel H. Cheskis</w:t>
      </w:r>
    </w:p>
    <w:p w:rsidR="0047381C" w:rsidRPr="00F86C9A" w:rsidRDefault="0047381C" w:rsidP="006943A8">
      <w:pPr>
        <w:autoSpaceDE/>
        <w:autoSpaceDN/>
        <w:jc w:val="center"/>
        <w:rPr>
          <w:rFonts w:eastAsiaTheme="minorHAnsi"/>
        </w:rPr>
      </w:pPr>
      <w:r w:rsidRPr="00F86C9A">
        <w:rPr>
          <w:rFonts w:eastAsiaTheme="minorHAnsi"/>
        </w:rPr>
        <w:t>Administrative Law Judge</w:t>
      </w:r>
    </w:p>
    <w:p w:rsidR="00EF0C86" w:rsidRPr="00F86C9A" w:rsidRDefault="00EF0C86" w:rsidP="00F86C9A">
      <w:pPr>
        <w:jc w:val="center"/>
        <w:rPr>
          <w:rFonts w:eastAsiaTheme="minorHAnsi"/>
        </w:rPr>
      </w:pPr>
    </w:p>
    <w:p w:rsidR="00EF0C86" w:rsidRPr="00F86C9A" w:rsidRDefault="00EF0C86" w:rsidP="00F86C9A">
      <w:pPr>
        <w:jc w:val="center"/>
        <w:rPr>
          <w:rFonts w:eastAsiaTheme="minorHAnsi"/>
        </w:rPr>
      </w:pPr>
    </w:p>
    <w:p w:rsidR="0047381C" w:rsidRPr="00F86C9A" w:rsidRDefault="00597B62" w:rsidP="00D56DA2">
      <w:pPr>
        <w:spacing w:line="360" w:lineRule="auto"/>
        <w:jc w:val="center"/>
        <w:rPr>
          <w:rFonts w:eastAsiaTheme="minorHAnsi"/>
        </w:rPr>
      </w:pPr>
      <w:r w:rsidRPr="00F86C9A">
        <w:rPr>
          <w:rFonts w:eastAsiaTheme="minorHAnsi"/>
        </w:rPr>
        <w:t>I.</w:t>
      </w:r>
      <w:r w:rsidRPr="00F86C9A">
        <w:rPr>
          <w:rFonts w:eastAsiaTheme="minorHAnsi"/>
        </w:rPr>
        <w:tab/>
      </w:r>
      <w:r w:rsidR="0047381C" w:rsidRPr="00F86C9A">
        <w:rPr>
          <w:rFonts w:eastAsiaTheme="minorHAnsi"/>
          <w:u w:val="single"/>
        </w:rPr>
        <w:t>INTRODUCTION</w:t>
      </w:r>
    </w:p>
    <w:p w:rsidR="00A125C9" w:rsidRDefault="00A125C9" w:rsidP="00D56DA2">
      <w:pPr>
        <w:suppressAutoHyphens/>
        <w:spacing w:line="360" w:lineRule="auto"/>
        <w:rPr>
          <w:rFonts w:eastAsiaTheme="minorHAnsi"/>
        </w:rPr>
      </w:pPr>
    </w:p>
    <w:p w:rsidR="00014CE7" w:rsidRPr="00F86C9A" w:rsidRDefault="00E629C9" w:rsidP="00D56DA2">
      <w:pPr>
        <w:suppressAutoHyphens/>
        <w:spacing w:line="360" w:lineRule="auto"/>
        <w:rPr>
          <w:rFonts w:eastAsiaTheme="minorHAnsi"/>
        </w:rPr>
      </w:pPr>
      <w:r w:rsidRPr="00F86C9A">
        <w:rPr>
          <w:rFonts w:eastAsiaTheme="minorHAnsi"/>
        </w:rPr>
        <w:tab/>
      </w:r>
      <w:r w:rsidRPr="00F86C9A">
        <w:rPr>
          <w:rFonts w:eastAsiaTheme="minorHAnsi"/>
        </w:rPr>
        <w:tab/>
        <w:t>This Decision</w:t>
      </w:r>
      <w:r w:rsidR="00846795" w:rsidRPr="00F86C9A">
        <w:rPr>
          <w:rFonts w:eastAsiaTheme="minorHAnsi"/>
        </w:rPr>
        <w:t xml:space="preserve"> </w:t>
      </w:r>
      <w:r w:rsidR="00014CE7" w:rsidRPr="00F86C9A">
        <w:rPr>
          <w:rFonts w:eastAsiaTheme="minorHAnsi"/>
        </w:rPr>
        <w:t xml:space="preserve">recommends the Commission adopt a Petition for a Joint Default Service Program, </w:t>
      </w:r>
      <w:r w:rsidR="00B7425C" w:rsidRPr="00F86C9A">
        <w:rPr>
          <w:rFonts w:eastAsiaTheme="minorHAnsi"/>
        </w:rPr>
        <w:t>as modified below</w:t>
      </w:r>
      <w:r w:rsidR="00014CE7" w:rsidRPr="00F86C9A">
        <w:rPr>
          <w:rFonts w:eastAsiaTheme="minorHAnsi"/>
        </w:rPr>
        <w:t>, filed by two Electric Distribution Companies pursuant to the Electric</w:t>
      </w:r>
      <w:r w:rsidR="00EF59A2">
        <w:rPr>
          <w:rFonts w:eastAsiaTheme="minorHAnsi"/>
        </w:rPr>
        <w:t>ity</w:t>
      </w:r>
      <w:r w:rsidR="00014CE7" w:rsidRPr="00F86C9A">
        <w:rPr>
          <w:rFonts w:eastAsiaTheme="minorHAnsi"/>
        </w:rPr>
        <w:t xml:space="preserve"> Generation Customer Choice and Competition Act</w:t>
      </w:r>
      <w:r w:rsidR="00B7425C" w:rsidRPr="00F86C9A">
        <w:rPr>
          <w:rFonts w:eastAsiaTheme="minorHAnsi"/>
        </w:rPr>
        <w:t xml:space="preserve">.  </w:t>
      </w:r>
      <w:r w:rsidR="00F14BAC">
        <w:rPr>
          <w:rFonts w:eastAsiaTheme="minorHAnsi"/>
        </w:rPr>
        <w:t xml:space="preserve">The </w:t>
      </w:r>
      <w:r w:rsidR="002B1CF9">
        <w:rPr>
          <w:rFonts w:eastAsiaTheme="minorHAnsi"/>
        </w:rPr>
        <w:t>modification will allow</w:t>
      </w:r>
      <w:r w:rsidR="00F14BAC">
        <w:rPr>
          <w:rFonts w:eastAsiaTheme="minorHAnsi"/>
        </w:rPr>
        <w:t xml:space="preserve"> the Companies flexibility in selecting a procurement trigger date if market conditions appear to be turning unfavorable, as discussed further below.  </w:t>
      </w:r>
      <w:r w:rsidR="00B7425C" w:rsidRPr="00F86C9A">
        <w:rPr>
          <w:rFonts w:eastAsiaTheme="minorHAnsi"/>
        </w:rPr>
        <w:t>The Decision finds tha</w:t>
      </w:r>
      <w:r w:rsidR="002B1CF9">
        <w:rPr>
          <w:rFonts w:eastAsiaTheme="minorHAnsi"/>
        </w:rPr>
        <w:t xml:space="preserve">t the proposed procurement plan, </w:t>
      </w:r>
      <w:r w:rsidR="002B1CF9" w:rsidRPr="00F86C9A">
        <w:rPr>
          <w:rFonts w:eastAsiaTheme="minorHAnsi"/>
        </w:rPr>
        <w:t xml:space="preserve">with </w:t>
      </w:r>
      <w:r w:rsidR="002B1CF9">
        <w:rPr>
          <w:rFonts w:eastAsiaTheme="minorHAnsi"/>
        </w:rPr>
        <w:t xml:space="preserve">the </w:t>
      </w:r>
      <w:r w:rsidR="002B1CF9" w:rsidRPr="00F86C9A">
        <w:rPr>
          <w:rFonts w:eastAsiaTheme="minorHAnsi"/>
        </w:rPr>
        <w:t>one modification</w:t>
      </w:r>
      <w:r w:rsidR="002B1CF9">
        <w:rPr>
          <w:rFonts w:eastAsiaTheme="minorHAnsi"/>
        </w:rPr>
        <w:t>,</w:t>
      </w:r>
      <w:r w:rsidR="002B1CF9" w:rsidRPr="00F86C9A">
        <w:rPr>
          <w:rFonts w:eastAsiaTheme="minorHAnsi"/>
        </w:rPr>
        <w:t xml:space="preserve"> </w:t>
      </w:r>
      <w:r w:rsidR="00B7425C" w:rsidRPr="00F86C9A">
        <w:rPr>
          <w:rFonts w:eastAsiaTheme="minorHAnsi"/>
        </w:rPr>
        <w:t xml:space="preserve">satisfies all </w:t>
      </w:r>
      <w:r w:rsidR="00014CE7" w:rsidRPr="00F86C9A">
        <w:rPr>
          <w:rFonts w:eastAsiaTheme="minorHAnsi"/>
        </w:rPr>
        <w:t>applicable statutes and Commission regulations.</w:t>
      </w:r>
    </w:p>
    <w:p w:rsidR="00F86C9A" w:rsidRPr="00F86C9A" w:rsidRDefault="00F86C9A" w:rsidP="00D56DA2">
      <w:pPr>
        <w:suppressAutoHyphens/>
        <w:spacing w:line="360" w:lineRule="auto"/>
        <w:rPr>
          <w:rFonts w:eastAsiaTheme="minorHAnsi"/>
          <w:strike/>
        </w:rPr>
      </w:pPr>
    </w:p>
    <w:p w:rsidR="0062545F" w:rsidRPr="00F86C9A" w:rsidRDefault="002967D0" w:rsidP="00D56DA2">
      <w:pPr>
        <w:suppressAutoHyphens/>
        <w:spacing w:line="360" w:lineRule="auto"/>
        <w:jc w:val="center"/>
        <w:rPr>
          <w:b/>
          <w:bCs/>
          <w:spacing w:val="-3"/>
          <w:u w:val="single"/>
        </w:rPr>
      </w:pPr>
      <w:r w:rsidRPr="00F86C9A">
        <w:rPr>
          <w:rFonts w:eastAsiaTheme="minorHAnsi"/>
        </w:rPr>
        <w:t>II.</w:t>
      </w:r>
      <w:r w:rsidRPr="00F86C9A">
        <w:rPr>
          <w:rFonts w:eastAsiaTheme="minorHAnsi"/>
        </w:rPr>
        <w:tab/>
      </w:r>
      <w:r w:rsidR="0047381C" w:rsidRPr="00F86C9A">
        <w:rPr>
          <w:rFonts w:eastAsiaTheme="minorHAnsi"/>
          <w:u w:val="single"/>
        </w:rPr>
        <w:t>HISTORY OF THE PROCEEDING</w:t>
      </w:r>
    </w:p>
    <w:p w:rsidR="00F86C9A" w:rsidRPr="00F86C9A" w:rsidRDefault="00F86C9A" w:rsidP="00D56DA2">
      <w:pPr>
        <w:tabs>
          <w:tab w:val="center" w:pos="4680"/>
        </w:tabs>
        <w:suppressAutoHyphens/>
        <w:spacing w:line="360" w:lineRule="auto"/>
        <w:jc w:val="center"/>
        <w:rPr>
          <w:b/>
          <w:bCs/>
          <w:spacing w:val="-3"/>
        </w:rPr>
      </w:pPr>
    </w:p>
    <w:p w:rsidR="00EF0C86" w:rsidRPr="00F86C9A" w:rsidRDefault="00EF0C86" w:rsidP="00D56DA2">
      <w:pPr>
        <w:pStyle w:val="BodyTextIndent"/>
        <w:spacing w:line="360" w:lineRule="auto"/>
        <w:ind w:left="0" w:firstLine="1440"/>
        <w:jc w:val="left"/>
        <w:rPr>
          <w:sz w:val="24"/>
          <w:szCs w:val="24"/>
        </w:rPr>
      </w:pPr>
      <w:r w:rsidRPr="00F86C9A">
        <w:rPr>
          <w:sz w:val="24"/>
          <w:szCs w:val="24"/>
        </w:rPr>
        <w:t>On May 30, 2014, Citizens’ Electric Company of Lewisburg, PA (Citizens</w:t>
      </w:r>
      <w:r w:rsidR="008D1351">
        <w:rPr>
          <w:sz w:val="24"/>
          <w:szCs w:val="24"/>
        </w:rPr>
        <w:t>’</w:t>
      </w:r>
      <w:r w:rsidRPr="00F86C9A">
        <w:rPr>
          <w:sz w:val="24"/>
          <w:szCs w:val="24"/>
        </w:rPr>
        <w:t xml:space="preserve">) and Wellsboro Electric Company (Wellsboro) </w:t>
      </w:r>
      <w:r w:rsidR="00014CE7" w:rsidRPr="00F86C9A">
        <w:rPr>
          <w:sz w:val="24"/>
          <w:szCs w:val="24"/>
        </w:rPr>
        <w:t xml:space="preserve">(collectively referred to as “the Companies” or CEW) </w:t>
      </w:r>
      <w:r w:rsidRPr="00F86C9A">
        <w:rPr>
          <w:sz w:val="24"/>
          <w:szCs w:val="24"/>
        </w:rPr>
        <w:t>filed with the Pennsylvania Public Utility Commission (Commission) a Petition for a Joi</w:t>
      </w:r>
      <w:r w:rsidR="00790638" w:rsidRPr="00F86C9A">
        <w:rPr>
          <w:sz w:val="24"/>
          <w:szCs w:val="24"/>
        </w:rPr>
        <w:t>nt Default Service Program for the Period June 1, 2015 Through May 31, 2018</w:t>
      </w:r>
      <w:r w:rsidRPr="00F86C9A">
        <w:rPr>
          <w:sz w:val="24"/>
          <w:szCs w:val="24"/>
        </w:rPr>
        <w:t xml:space="preserve">.  At the direction of Commission staff, the Companies filed a duplicate copy of the Petition on June 5, 2014 to assign </w:t>
      </w:r>
      <w:r w:rsidRPr="00F86C9A">
        <w:rPr>
          <w:sz w:val="24"/>
          <w:szCs w:val="24"/>
        </w:rPr>
        <w:lastRenderedPageBreak/>
        <w:t>a second docket number to the filing distinguishing the two companies involved.  The Petitions were docketed by the Commission at Docket Numbers P-2014-2425024 and P-2014-2425245.  The Petitions were filed pursuant to the Electric</w:t>
      </w:r>
      <w:r w:rsidR="008D1351">
        <w:rPr>
          <w:sz w:val="24"/>
          <w:szCs w:val="24"/>
        </w:rPr>
        <w:t>ity</w:t>
      </w:r>
      <w:r w:rsidRPr="00F86C9A">
        <w:rPr>
          <w:sz w:val="24"/>
          <w:szCs w:val="24"/>
        </w:rPr>
        <w:t xml:space="preserve"> Generation Customer Choice and Competition Act, 66 Pa.C.S. § 2801, </w:t>
      </w:r>
      <w:r w:rsidRPr="00F86C9A">
        <w:rPr>
          <w:i/>
          <w:sz w:val="24"/>
          <w:szCs w:val="24"/>
        </w:rPr>
        <w:t>et seq.</w:t>
      </w:r>
      <w:r w:rsidRPr="00F86C9A">
        <w:rPr>
          <w:sz w:val="24"/>
          <w:szCs w:val="24"/>
        </w:rPr>
        <w:t>, as amended by Act 129 of 2008, the Commission’s Default Service Regulations, 52 Pa.Code §§ 54.181-54.189, and the Commission’s Policy Statement on Default Service, 52 Pa.Code §§ 69.1801-69.1817.</w:t>
      </w:r>
    </w:p>
    <w:p w:rsidR="00EF0C86" w:rsidRPr="00F86C9A" w:rsidRDefault="00EF0C86" w:rsidP="00EF0C86">
      <w:pPr>
        <w:pStyle w:val="BodyTextIndent"/>
        <w:spacing w:line="360" w:lineRule="auto"/>
        <w:ind w:left="0" w:firstLine="1440"/>
        <w:jc w:val="left"/>
        <w:rPr>
          <w:sz w:val="24"/>
          <w:szCs w:val="24"/>
        </w:rPr>
      </w:pPr>
    </w:p>
    <w:p w:rsidR="00EF0C86" w:rsidRPr="00F86C9A" w:rsidRDefault="00EF0C86" w:rsidP="00EF0C86">
      <w:pPr>
        <w:pStyle w:val="BodyTextIndent"/>
        <w:spacing w:line="360" w:lineRule="auto"/>
        <w:ind w:left="0" w:firstLine="1440"/>
        <w:jc w:val="left"/>
        <w:rPr>
          <w:sz w:val="24"/>
          <w:szCs w:val="24"/>
        </w:rPr>
      </w:pPr>
      <w:r w:rsidRPr="00F86C9A">
        <w:rPr>
          <w:sz w:val="24"/>
          <w:szCs w:val="24"/>
        </w:rPr>
        <w:t>On June 10, 2014, the Commission issued a Notice establishing an Initial Prehearing Conference for this matter for Wednesday, July 9, 2014 beginning at 2:00 p.m. in Hearing Room 3 of the Commonwealth Keystone Building in Harrisburg and assigning me as the Presiding Officer.  A Prehearing Conference Order dated June 12, 2014 was issued</w:t>
      </w:r>
      <w:r w:rsidR="001E47AD" w:rsidRPr="00F86C9A">
        <w:rPr>
          <w:sz w:val="24"/>
          <w:szCs w:val="24"/>
        </w:rPr>
        <w:t xml:space="preserve"> setting forth various procedural issues that would govern the Initial Prehearing Conference</w:t>
      </w:r>
      <w:r w:rsidRPr="00F86C9A">
        <w:rPr>
          <w:sz w:val="24"/>
          <w:szCs w:val="24"/>
        </w:rPr>
        <w:t>.</w:t>
      </w:r>
    </w:p>
    <w:p w:rsidR="00EF0C86" w:rsidRPr="00F86C9A" w:rsidRDefault="00EF0C86" w:rsidP="00EF0C86">
      <w:pPr>
        <w:pStyle w:val="BodyTextIndent"/>
        <w:spacing w:line="360" w:lineRule="auto"/>
        <w:ind w:left="0" w:firstLine="1440"/>
        <w:jc w:val="left"/>
        <w:rPr>
          <w:sz w:val="24"/>
          <w:szCs w:val="24"/>
        </w:rPr>
      </w:pPr>
    </w:p>
    <w:p w:rsidR="00EF0C86" w:rsidRPr="00F86C9A" w:rsidRDefault="00EF0C86" w:rsidP="00EF0C86">
      <w:pPr>
        <w:pStyle w:val="BodyTextIndent"/>
        <w:spacing w:line="360" w:lineRule="auto"/>
        <w:ind w:left="0" w:firstLine="1440"/>
        <w:jc w:val="left"/>
        <w:rPr>
          <w:sz w:val="24"/>
          <w:szCs w:val="24"/>
        </w:rPr>
      </w:pPr>
      <w:r w:rsidRPr="00F86C9A">
        <w:rPr>
          <w:sz w:val="24"/>
          <w:szCs w:val="24"/>
        </w:rPr>
        <w:t xml:space="preserve">On June 20, 2014, the Office of Small Business Advocate (OSBA) filed a Complaint and Public Statement.  The Joint Petition was published in the </w:t>
      </w:r>
      <w:r w:rsidRPr="00F86C9A">
        <w:rPr>
          <w:sz w:val="24"/>
          <w:szCs w:val="24"/>
          <w:u w:val="single"/>
        </w:rPr>
        <w:t>Pennsylvania Bulletin</w:t>
      </w:r>
      <w:r w:rsidRPr="00F86C9A">
        <w:rPr>
          <w:sz w:val="24"/>
          <w:szCs w:val="24"/>
        </w:rPr>
        <w:t xml:space="preserve"> on June 21, 2014, with a deadline to file an Answer or Pr</w:t>
      </w:r>
      <w:r w:rsidR="00B65D73">
        <w:rPr>
          <w:sz w:val="24"/>
          <w:szCs w:val="24"/>
        </w:rPr>
        <w:t xml:space="preserve">otest </w:t>
      </w:r>
      <w:r w:rsidR="008D1351">
        <w:rPr>
          <w:sz w:val="24"/>
          <w:szCs w:val="24"/>
        </w:rPr>
        <w:t>by</w:t>
      </w:r>
      <w:r w:rsidR="00B65D73">
        <w:rPr>
          <w:sz w:val="24"/>
          <w:szCs w:val="24"/>
        </w:rPr>
        <w:t xml:space="preserve"> July 7, 2014.  On June 30, </w:t>
      </w:r>
      <w:r w:rsidRPr="00F86C9A">
        <w:rPr>
          <w:sz w:val="24"/>
          <w:szCs w:val="24"/>
        </w:rPr>
        <w:t>2014, the OSBA filed a Protest.  Similarly, on July 2, 2014, the Office of Consumer Advocate (OCA) filed an Answer, Notice of Intervention and Public Statement.</w:t>
      </w:r>
    </w:p>
    <w:p w:rsidR="00EF0C86" w:rsidRPr="00F86C9A" w:rsidRDefault="00EF0C86" w:rsidP="00EF0C86">
      <w:pPr>
        <w:pStyle w:val="BodyTextIndent"/>
        <w:spacing w:line="360" w:lineRule="auto"/>
        <w:ind w:left="0" w:firstLine="1440"/>
        <w:jc w:val="left"/>
        <w:rPr>
          <w:sz w:val="24"/>
          <w:szCs w:val="24"/>
        </w:rPr>
      </w:pPr>
    </w:p>
    <w:p w:rsidR="00EF0C86" w:rsidRPr="00F86C9A" w:rsidRDefault="00EF0C86" w:rsidP="00EF0C86">
      <w:pPr>
        <w:pStyle w:val="BodyTextIndent"/>
        <w:spacing w:line="360" w:lineRule="auto"/>
        <w:ind w:left="0" w:firstLine="1440"/>
        <w:jc w:val="left"/>
        <w:rPr>
          <w:sz w:val="24"/>
          <w:szCs w:val="24"/>
        </w:rPr>
      </w:pPr>
      <w:r w:rsidRPr="00F86C9A">
        <w:rPr>
          <w:sz w:val="24"/>
          <w:szCs w:val="24"/>
        </w:rPr>
        <w:t xml:space="preserve">In response to the Prehearing Conference Order, Prehearing Memoranda were received by the Companies, OCA and OSBA.  The Initial Prehearing Conference convened on Wednesday, July 9, 2014, as scheduled.  </w:t>
      </w:r>
      <w:r w:rsidR="001E47AD" w:rsidRPr="00F86C9A">
        <w:rPr>
          <w:sz w:val="24"/>
          <w:szCs w:val="24"/>
        </w:rPr>
        <w:t xml:space="preserve">The following counsel entered their appearance for the </w:t>
      </w:r>
      <w:r w:rsidR="00AE6E4A">
        <w:rPr>
          <w:sz w:val="24"/>
          <w:szCs w:val="24"/>
        </w:rPr>
        <w:t xml:space="preserve">Initial Prehearing Conference: </w:t>
      </w:r>
      <w:r w:rsidR="001E47AD" w:rsidRPr="00F86C9A">
        <w:rPr>
          <w:sz w:val="24"/>
          <w:szCs w:val="24"/>
        </w:rPr>
        <w:t xml:space="preserve">Adeolu Bakare, Esquire, on behalf of the Companies; Aron Beatty, Esquire and Brandon Pierce, Esquire, on behalf of the OCA; and Sharon Webb, Esquire, on behalf of OSBA.  </w:t>
      </w:r>
      <w:r w:rsidRPr="00F86C9A">
        <w:rPr>
          <w:sz w:val="24"/>
          <w:szCs w:val="24"/>
        </w:rPr>
        <w:t xml:space="preserve">During the Initial Prehearing Conference, various procedural matters were discussed.  A Scheduling Order dated July 10, 2014 was issued memorializing the issues that were agreed to during the </w:t>
      </w:r>
      <w:r w:rsidR="001E47AD" w:rsidRPr="00F86C9A">
        <w:rPr>
          <w:sz w:val="24"/>
          <w:szCs w:val="24"/>
        </w:rPr>
        <w:t xml:space="preserve">Initial </w:t>
      </w:r>
      <w:r w:rsidRPr="00F86C9A">
        <w:rPr>
          <w:sz w:val="24"/>
          <w:szCs w:val="24"/>
        </w:rPr>
        <w:t xml:space="preserve">Prehearing Conference.  The parties were reminded that Commission policy promotes settlements.  </w:t>
      </w:r>
      <w:proofErr w:type="gramStart"/>
      <w:r w:rsidRPr="00F86C9A">
        <w:rPr>
          <w:sz w:val="24"/>
          <w:szCs w:val="24"/>
        </w:rPr>
        <w:t>52 Pa.Code § 5.231(a).</w:t>
      </w:r>
      <w:proofErr w:type="gramEnd"/>
      <w:r w:rsidRPr="00F86C9A">
        <w:rPr>
          <w:sz w:val="24"/>
          <w:szCs w:val="24"/>
        </w:rPr>
        <w:t xml:space="preserve">  The parties were encouraged to commence settlement discussions as early as possible.</w:t>
      </w:r>
    </w:p>
    <w:p w:rsidR="00EF0C86" w:rsidRPr="00F86C9A" w:rsidRDefault="00EF0C86" w:rsidP="00EF0C86">
      <w:pPr>
        <w:widowControl w:val="0"/>
        <w:spacing w:line="360" w:lineRule="auto"/>
        <w:ind w:firstLine="1440"/>
      </w:pPr>
    </w:p>
    <w:p w:rsidR="00D9123E" w:rsidRDefault="00D9123E" w:rsidP="00EF0C86">
      <w:pPr>
        <w:widowControl w:val="0"/>
        <w:spacing w:line="360" w:lineRule="auto"/>
        <w:ind w:firstLine="1440"/>
      </w:pPr>
      <w:r>
        <w:br w:type="page"/>
      </w:r>
    </w:p>
    <w:p w:rsidR="001E47AD" w:rsidRPr="00F86C9A" w:rsidRDefault="00565C7B" w:rsidP="00EF0C86">
      <w:pPr>
        <w:widowControl w:val="0"/>
        <w:spacing w:line="360" w:lineRule="auto"/>
        <w:ind w:firstLine="1440"/>
      </w:pPr>
      <w:r w:rsidRPr="00F86C9A">
        <w:t xml:space="preserve">The following </w:t>
      </w:r>
      <w:r w:rsidR="001E47AD" w:rsidRPr="00F86C9A">
        <w:t xml:space="preserve">pre-served testimony </w:t>
      </w:r>
      <w:r w:rsidRPr="00F86C9A">
        <w:t xml:space="preserve">was </w:t>
      </w:r>
      <w:r w:rsidR="001E47AD" w:rsidRPr="00F86C9A">
        <w:t>distributed by the parties in accordance with the pro</w:t>
      </w:r>
      <w:r w:rsidR="001A016C" w:rsidRPr="00F86C9A">
        <w:t>cedural schedule</w:t>
      </w:r>
      <w:r w:rsidR="001E47AD" w:rsidRPr="00F86C9A">
        <w:t>:</w:t>
      </w:r>
    </w:p>
    <w:p w:rsidR="001E47AD" w:rsidRPr="00F86C9A" w:rsidRDefault="001E47AD" w:rsidP="001E47AD">
      <w:pPr>
        <w:widowControl w:val="0"/>
        <w:spacing w:line="360" w:lineRule="auto"/>
      </w:pPr>
    </w:p>
    <w:p w:rsidR="001E47AD" w:rsidRPr="00F86C9A" w:rsidRDefault="001E47AD" w:rsidP="001E47AD">
      <w:pPr>
        <w:widowControl w:val="0"/>
        <w:spacing w:line="360" w:lineRule="auto"/>
      </w:pPr>
      <w:r w:rsidRPr="00F86C9A">
        <w:rPr>
          <w:b/>
          <w:u w:val="single"/>
        </w:rPr>
        <w:t>Citizens’ and Wellsboro</w:t>
      </w:r>
    </w:p>
    <w:p w:rsidR="001E47AD" w:rsidRPr="00F86C9A" w:rsidRDefault="001E47AD" w:rsidP="001E47AD">
      <w:pPr>
        <w:widowControl w:val="0"/>
        <w:spacing w:line="360" w:lineRule="auto"/>
      </w:pPr>
    </w:p>
    <w:p w:rsidR="001E47AD" w:rsidRPr="00F86C9A" w:rsidRDefault="001E47AD" w:rsidP="001E47AD">
      <w:pPr>
        <w:widowControl w:val="0"/>
        <w:spacing w:line="360" w:lineRule="auto"/>
        <w:ind w:firstLine="720"/>
      </w:pPr>
      <w:r w:rsidRPr="00F86C9A">
        <w:t xml:space="preserve">Statement No. 1 (Direct Testimony of Craig </w:t>
      </w:r>
      <w:proofErr w:type="spellStart"/>
      <w:r w:rsidRPr="00F86C9A">
        <w:t>Eccher</w:t>
      </w:r>
      <w:proofErr w:type="spellEnd"/>
      <w:r w:rsidRPr="00F86C9A">
        <w:t>)</w:t>
      </w:r>
    </w:p>
    <w:p w:rsidR="001E47AD" w:rsidRPr="00F86C9A" w:rsidRDefault="001E47AD" w:rsidP="001E47AD">
      <w:pPr>
        <w:widowControl w:val="0"/>
        <w:spacing w:line="360" w:lineRule="auto"/>
        <w:ind w:firstLine="720"/>
      </w:pPr>
      <w:r w:rsidRPr="00F86C9A">
        <w:t xml:space="preserve">Statement No. 1-R (Rebuttal Testimony of Craig </w:t>
      </w:r>
      <w:proofErr w:type="spellStart"/>
      <w:r w:rsidRPr="00F86C9A">
        <w:t>Eccher</w:t>
      </w:r>
      <w:proofErr w:type="spellEnd"/>
      <w:r w:rsidRPr="00F86C9A">
        <w:t>)</w:t>
      </w:r>
    </w:p>
    <w:p w:rsidR="001E47AD" w:rsidRPr="00F86C9A" w:rsidRDefault="001E47AD" w:rsidP="001E47AD">
      <w:pPr>
        <w:widowControl w:val="0"/>
        <w:spacing w:line="360" w:lineRule="auto"/>
        <w:ind w:firstLine="720"/>
      </w:pPr>
      <w:r w:rsidRPr="00F86C9A">
        <w:t>Statement No. 2 (Direct Testimony of Eric Winslow)</w:t>
      </w:r>
    </w:p>
    <w:p w:rsidR="001E47AD" w:rsidRPr="00F86C9A" w:rsidRDefault="001E47AD" w:rsidP="001E47AD">
      <w:pPr>
        <w:widowControl w:val="0"/>
        <w:spacing w:line="360" w:lineRule="auto"/>
        <w:ind w:firstLine="720"/>
      </w:pPr>
      <w:r w:rsidRPr="00F86C9A">
        <w:t>Statement No. 2-R (Rebuttal Testimony of Eric Winslow)</w:t>
      </w:r>
    </w:p>
    <w:p w:rsidR="001E47AD" w:rsidRPr="00F86C9A" w:rsidRDefault="001E47AD" w:rsidP="001E47AD">
      <w:pPr>
        <w:widowControl w:val="0"/>
        <w:spacing w:line="360" w:lineRule="auto"/>
        <w:ind w:firstLine="720"/>
      </w:pPr>
      <w:r w:rsidRPr="00F86C9A">
        <w:t>Statement No. 3 (Direct Testimony of Charles Barnes)</w:t>
      </w:r>
    </w:p>
    <w:p w:rsidR="001E47AD" w:rsidRPr="00F86C9A" w:rsidRDefault="001E47AD" w:rsidP="001E47AD">
      <w:pPr>
        <w:widowControl w:val="0"/>
        <w:spacing w:line="360" w:lineRule="auto"/>
        <w:ind w:firstLine="720"/>
      </w:pPr>
      <w:r w:rsidRPr="00F86C9A">
        <w:t>Statement No. 3-R (Rebuttal Testimony of Charles Barnes)</w:t>
      </w:r>
    </w:p>
    <w:p w:rsidR="001E47AD" w:rsidRPr="00F86C9A" w:rsidRDefault="001E47AD" w:rsidP="001E47AD">
      <w:pPr>
        <w:widowControl w:val="0"/>
        <w:spacing w:line="360" w:lineRule="auto"/>
      </w:pPr>
    </w:p>
    <w:p w:rsidR="001E47AD" w:rsidRPr="00F86C9A" w:rsidRDefault="001E47AD" w:rsidP="001E47AD">
      <w:pPr>
        <w:widowControl w:val="0"/>
        <w:spacing w:line="360" w:lineRule="auto"/>
      </w:pPr>
      <w:r w:rsidRPr="00F86C9A">
        <w:rPr>
          <w:b/>
          <w:u w:val="single"/>
        </w:rPr>
        <w:t>OCA</w:t>
      </w:r>
    </w:p>
    <w:p w:rsidR="001E47AD" w:rsidRPr="00F86C9A" w:rsidRDefault="001E47AD" w:rsidP="001E47AD">
      <w:pPr>
        <w:widowControl w:val="0"/>
        <w:spacing w:line="360" w:lineRule="auto"/>
      </w:pPr>
    </w:p>
    <w:p w:rsidR="001E47AD" w:rsidRPr="00F86C9A" w:rsidRDefault="001E47AD" w:rsidP="001E47AD">
      <w:pPr>
        <w:widowControl w:val="0"/>
        <w:spacing w:line="360" w:lineRule="auto"/>
      </w:pPr>
      <w:r w:rsidRPr="00F86C9A">
        <w:tab/>
        <w:t>Statement No. 1 (Direct Testimony of Alvaro E. Pereira)</w:t>
      </w:r>
    </w:p>
    <w:p w:rsidR="001E47AD" w:rsidRPr="00F86C9A" w:rsidRDefault="001E47AD" w:rsidP="001E47AD">
      <w:pPr>
        <w:widowControl w:val="0"/>
        <w:spacing w:line="360" w:lineRule="auto"/>
      </w:pPr>
      <w:r w:rsidRPr="00F86C9A">
        <w:tab/>
        <w:t>Statement No. 1-S (Surrebuttal Testimony of Alvaro E. Pereira)</w:t>
      </w:r>
    </w:p>
    <w:p w:rsidR="001E47AD" w:rsidRPr="00F86C9A" w:rsidRDefault="001E47AD" w:rsidP="001E47AD">
      <w:pPr>
        <w:widowControl w:val="0"/>
        <w:spacing w:line="360" w:lineRule="auto"/>
      </w:pPr>
    </w:p>
    <w:p w:rsidR="001E47AD" w:rsidRPr="00F86C9A" w:rsidRDefault="001E47AD" w:rsidP="001E47AD">
      <w:pPr>
        <w:widowControl w:val="0"/>
        <w:spacing w:line="360" w:lineRule="auto"/>
      </w:pPr>
      <w:r w:rsidRPr="00F86C9A">
        <w:rPr>
          <w:b/>
          <w:u w:val="single"/>
        </w:rPr>
        <w:t>OSBA</w:t>
      </w:r>
    </w:p>
    <w:p w:rsidR="001E47AD" w:rsidRPr="00F86C9A" w:rsidRDefault="001E47AD" w:rsidP="001E47AD">
      <w:pPr>
        <w:widowControl w:val="0"/>
        <w:spacing w:line="360" w:lineRule="auto"/>
      </w:pPr>
    </w:p>
    <w:p w:rsidR="001E47AD" w:rsidRPr="00F86C9A" w:rsidRDefault="001E47AD" w:rsidP="001E47AD">
      <w:pPr>
        <w:widowControl w:val="0"/>
        <w:spacing w:line="360" w:lineRule="auto"/>
      </w:pPr>
      <w:r w:rsidRPr="00F86C9A">
        <w:tab/>
        <w:t>Statement No. 1 (Direct Testimony of Brian Kalcic)</w:t>
      </w:r>
    </w:p>
    <w:p w:rsidR="001E47AD" w:rsidRPr="00F86C9A" w:rsidRDefault="001E47AD" w:rsidP="001E47AD">
      <w:pPr>
        <w:widowControl w:val="0"/>
        <w:spacing w:line="360" w:lineRule="auto"/>
      </w:pPr>
      <w:r w:rsidRPr="00F86C9A">
        <w:tab/>
        <w:t>Statement No. 2 (Rebuttal Testimony of Brian Kalcic)</w:t>
      </w:r>
    </w:p>
    <w:p w:rsidR="00607FC2" w:rsidRPr="00F86C9A" w:rsidRDefault="00607FC2" w:rsidP="001E47AD">
      <w:pPr>
        <w:widowControl w:val="0"/>
        <w:spacing w:line="360" w:lineRule="auto"/>
      </w:pPr>
    </w:p>
    <w:p w:rsidR="00EF0C86" w:rsidRPr="00F86C9A" w:rsidRDefault="00EF0C86" w:rsidP="00EF0C86">
      <w:pPr>
        <w:widowControl w:val="0"/>
        <w:spacing w:line="360" w:lineRule="auto"/>
        <w:ind w:firstLine="1440"/>
      </w:pPr>
      <w:r w:rsidRPr="00F86C9A">
        <w:t xml:space="preserve">Pursuant to the Scheduling Order, the evidentiary hearing was held in this matter on September 11, 2014.  </w:t>
      </w:r>
      <w:r w:rsidR="00607FC2" w:rsidRPr="00F86C9A">
        <w:t xml:space="preserve">During the Hearing, the pre-served testimony was admitted into the record subject to timely objections, motions or cross-examination.  </w:t>
      </w:r>
      <w:r w:rsidRPr="00F86C9A">
        <w:t>A Briefing Order was issued on September 11, 2014</w:t>
      </w:r>
      <w:r w:rsidR="00607FC2" w:rsidRPr="00F86C9A">
        <w:t xml:space="preserve"> providing instructions to the parties regarding the briefs to be filed including the dates the briefs </w:t>
      </w:r>
      <w:r w:rsidR="008D1351">
        <w:t>we</w:t>
      </w:r>
      <w:r w:rsidR="00607FC2" w:rsidRPr="00F86C9A">
        <w:t>re due</w:t>
      </w:r>
      <w:r w:rsidRPr="00F86C9A">
        <w:t>.</w:t>
      </w:r>
    </w:p>
    <w:p w:rsidR="00EF0C86" w:rsidRPr="00F86C9A" w:rsidRDefault="00EF0C86" w:rsidP="00EF0C86">
      <w:pPr>
        <w:widowControl w:val="0"/>
        <w:spacing w:line="360" w:lineRule="auto"/>
        <w:ind w:firstLine="1440"/>
      </w:pPr>
    </w:p>
    <w:p w:rsidR="00EF0C86" w:rsidRPr="00F86C9A" w:rsidRDefault="00EF0C86" w:rsidP="00E9629F">
      <w:pPr>
        <w:widowControl w:val="0"/>
        <w:spacing w:line="360" w:lineRule="auto"/>
        <w:ind w:firstLine="1440"/>
      </w:pPr>
      <w:r w:rsidRPr="00F86C9A">
        <w:t>On September 16, 2014, the Companies filed a Motion for Issuance of a Protective Order.  No Answers were received in response to the Motion.</w:t>
      </w:r>
      <w:r w:rsidR="003406B5" w:rsidRPr="00F86C9A">
        <w:t xml:space="preserve">  As a result, the Motion was granted via Order dated September </w:t>
      </w:r>
      <w:r w:rsidR="002F0F94" w:rsidRPr="00F86C9A">
        <w:t>29</w:t>
      </w:r>
      <w:r w:rsidR="003406B5" w:rsidRPr="00F86C9A">
        <w:t>, 2014.</w:t>
      </w:r>
    </w:p>
    <w:p w:rsidR="00EF0C86" w:rsidRPr="00F86C9A" w:rsidRDefault="002F0F94" w:rsidP="00D56DA2">
      <w:pPr>
        <w:widowControl w:val="0"/>
        <w:spacing w:line="360" w:lineRule="auto"/>
        <w:ind w:firstLine="1440"/>
      </w:pPr>
      <w:r w:rsidRPr="00F86C9A">
        <w:t>Pursuant to the Briefing Order, Main Briefs were filed by the Companies, the OCA and OSBA on October 1, 2014 and Reply Briefs were filed</w:t>
      </w:r>
      <w:r w:rsidR="00C5600F">
        <w:t xml:space="preserve"> by the same parties on October 10, </w:t>
      </w:r>
      <w:r w:rsidRPr="00F86C9A">
        <w:t>2014.  The record in this case closed on October 10, 2014 when the Reply Briefs were submitted.</w:t>
      </w:r>
    </w:p>
    <w:p w:rsidR="00C5600F" w:rsidRPr="00F86C9A" w:rsidRDefault="00C5600F" w:rsidP="00D56DA2">
      <w:pPr>
        <w:widowControl w:val="0"/>
        <w:spacing w:line="360" w:lineRule="auto"/>
        <w:ind w:firstLine="1440"/>
      </w:pPr>
    </w:p>
    <w:p w:rsidR="00F219C4" w:rsidRPr="00F86C9A" w:rsidRDefault="00F219C4" w:rsidP="00D56DA2">
      <w:pPr>
        <w:widowControl w:val="0"/>
        <w:spacing w:line="360" w:lineRule="auto"/>
        <w:jc w:val="center"/>
        <w:rPr>
          <w:u w:val="single"/>
        </w:rPr>
      </w:pPr>
      <w:r w:rsidRPr="00F86C9A">
        <w:t>III.</w:t>
      </w:r>
      <w:r w:rsidRPr="00F86C9A">
        <w:tab/>
      </w:r>
      <w:r w:rsidRPr="00F86C9A">
        <w:rPr>
          <w:u w:val="single"/>
        </w:rPr>
        <w:t>DESCRIPTION OF THE COMPANIES</w:t>
      </w:r>
    </w:p>
    <w:p w:rsidR="00486E6F" w:rsidRDefault="00486E6F" w:rsidP="00D56DA2">
      <w:pPr>
        <w:widowControl w:val="0"/>
        <w:spacing w:line="360" w:lineRule="auto"/>
      </w:pPr>
    </w:p>
    <w:p w:rsidR="00F219C4" w:rsidRPr="00F86C9A" w:rsidRDefault="00F219C4" w:rsidP="00D56DA2">
      <w:pPr>
        <w:widowControl w:val="0"/>
        <w:spacing w:line="360" w:lineRule="auto"/>
      </w:pPr>
      <w:r w:rsidRPr="00F86C9A">
        <w:tab/>
      </w:r>
      <w:r w:rsidRPr="00F86C9A">
        <w:tab/>
      </w:r>
      <w:r w:rsidR="001D148F" w:rsidRPr="00F86C9A">
        <w:t xml:space="preserve">Wellsboro is a small Electric Distribution Company (EDC) providing service in the Borough of Wellsboro, Tioga County.  CEW St. No. 1 at 3.  As of January, 2013, Wellsboro served 6,255 customers, of which 5,070 were Residential customers and 1,185 were Commercial and Industrial </w:t>
      </w:r>
      <w:r w:rsidR="001A016C" w:rsidRPr="00F86C9A">
        <w:t xml:space="preserve">(C&amp;I) </w:t>
      </w:r>
      <w:r w:rsidR="001D148F" w:rsidRPr="00F86C9A">
        <w:t xml:space="preserve">customers.  </w:t>
      </w:r>
      <w:r w:rsidR="001D148F" w:rsidRPr="00F86C9A">
        <w:rPr>
          <w:u w:val="single"/>
        </w:rPr>
        <w:t>Id.</w:t>
      </w:r>
      <w:r w:rsidR="001D148F" w:rsidRPr="00F86C9A">
        <w:t xml:space="preserve">  Wellsboro’s service territory is surrounded by the service territory of Pennsylvania Electric Company </w:t>
      </w:r>
      <w:r w:rsidR="008D1351">
        <w:t xml:space="preserve">(Penelec) </w:t>
      </w:r>
      <w:r w:rsidR="001D148F" w:rsidRPr="00F86C9A">
        <w:t xml:space="preserve">and various rural electric cooperatives and </w:t>
      </w:r>
      <w:r w:rsidR="001A016C" w:rsidRPr="00F86C9A">
        <w:t xml:space="preserve">the Company </w:t>
      </w:r>
      <w:r w:rsidR="001D148F" w:rsidRPr="00F86C9A">
        <w:t xml:space="preserve">does not own any high-voltage transmission facilities or generation resources.  </w:t>
      </w:r>
      <w:r w:rsidR="001D148F" w:rsidRPr="00F86C9A">
        <w:rPr>
          <w:u w:val="single"/>
        </w:rPr>
        <w:t>Id.</w:t>
      </w:r>
      <w:r w:rsidR="001D148F" w:rsidRPr="00F86C9A">
        <w:t xml:space="preserve"> at 3-4.  Wellsbor</w:t>
      </w:r>
      <w:r w:rsidR="005F1FEB" w:rsidRPr="00F86C9A">
        <w:t xml:space="preserve">o is a summer-peaking utility.  </w:t>
      </w:r>
      <w:proofErr w:type="gramStart"/>
      <w:r w:rsidR="005F1FEB" w:rsidRPr="00F86C9A">
        <w:rPr>
          <w:u w:val="single"/>
        </w:rPr>
        <w:t>Id.</w:t>
      </w:r>
      <w:r w:rsidR="005F1FEB" w:rsidRPr="00F86C9A">
        <w:t xml:space="preserve"> at 4.</w:t>
      </w:r>
      <w:proofErr w:type="gramEnd"/>
      <w:r w:rsidR="005F1FEB" w:rsidRPr="00F86C9A">
        <w:t xml:space="preserve">  </w:t>
      </w:r>
      <w:r w:rsidR="00565C7B" w:rsidRPr="00F86C9A">
        <w:t>S</w:t>
      </w:r>
      <w:r w:rsidR="005F1FEB" w:rsidRPr="00F86C9A">
        <w:t xml:space="preserve">ome light manufacturing customers </w:t>
      </w:r>
      <w:r w:rsidR="00565C7B" w:rsidRPr="00F86C9A">
        <w:t xml:space="preserve">are </w:t>
      </w:r>
      <w:r w:rsidR="005F1FEB" w:rsidRPr="00F86C9A">
        <w:t xml:space="preserve">also present in the service territory.  </w:t>
      </w:r>
      <w:r w:rsidR="005F1FEB" w:rsidRPr="00F86C9A">
        <w:rPr>
          <w:u w:val="single"/>
        </w:rPr>
        <w:t>Id.</w:t>
      </w:r>
      <w:r w:rsidR="005F1FEB" w:rsidRPr="00F86C9A">
        <w:t xml:space="preserve">  With limited exceptions, most of the customers in the Wellsboro territory exhibit fairly consistent load profiles, with consistent peaks, except for some </w:t>
      </w:r>
      <w:r w:rsidR="00565C7B" w:rsidRPr="00F86C9A">
        <w:t>L</w:t>
      </w:r>
      <w:r w:rsidR="005F1FEB" w:rsidRPr="00F86C9A">
        <w:t xml:space="preserve">arge C&amp;I customers.  </w:t>
      </w:r>
      <w:r w:rsidR="005F1FEB" w:rsidRPr="00F86C9A">
        <w:rPr>
          <w:u w:val="single"/>
        </w:rPr>
        <w:t>Id.</w:t>
      </w:r>
      <w:r w:rsidR="005F1FEB" w:rsidRPr="00F86C9A">
        <w:t xml:space="preserve">  No Wellsboro customer has purchased electric supply from a third-party Electric Generation Supplier (EGS)</w:t>
      </w:r>
      <w:r w:rsidR="00E210E9" w:rsidRPr="00F86C9A">
        <w:t xml:space="preserve">, although one larger customer indicated it was exploring competitive alternatives.  </w:t>
      </w:r>
      <w:proofErr w:type="gramStart"/>
      <w:r w:rsidR="00E210E9" w:rsidRPr="00F86C9A">
        <w:rPr>
          <w:u w:val="single"/>
        </w:rPr>
        <w:t>Id.</w:t>
      </w:r>
      <w:r w:rsidR="00E210E9" w:rsidRPr="00F86C9A">
        <w:t xml:space="preserve"> at 5.</w:t>
      </w:r>
      <w:proofErr w:type="gramEnd"/>
    </w:p>
    <w:p w:rsidR="00E210E9" w:rsidRPr="00F86C9A" w:rsidRDefault="00E210E9" w:rsidP="006943A8">
      <w:pPr>
        <w:widowControl w:val="0"/>
        <w:spacing w:line="360" w:lineRule="auto"/>
      </w:pPr>
    </w:p>
    <w:p w:rsidR="00D56DA2" w:rsidRDefault="00E210E9" w:rsidP="00D56DA2">
      <w:pPr>
        <w:widowControl w:val="0"/>
        <w:spacing w:line="360" w:lineRule="auto"/>
      </w:pPr>
      <w:r w:rsidRPr="00F86C9A">
        <w:tab/>
      </w:r>
      <w:r w:rsidRPr="00F86C9A">
        <w:tab/>
        <w:t xml:space="preserve">Citizens’ is an investor-owned EDC under the jurisdiction of the Commission operating in Lewisburg Borough, Buffalo, East Buffalo and Kelly Townships in Union County and West </w:t>
      </w:r>
      <w:proofErr w:type="spellStart"/>
      <w:r w:rsidRPr="00F86C9A">
        <w:t>Chillisquaque</w:t>
      </w:r>
      <w:proofErr w:type="spellEnd"/>
      <w:r w:rsidRPr="00F86C9A">
        <w:t xml:space="preserve"> Townshi</w:t>
      </w:r>
      <w:r w:rsidR="00014CE7" w:rsidRPr="00F86C9A">
        <w:t>p in Northumberland County.  CE</w:t>
      </w:r>
      <w:r w:rsidRPr="00F86C9A">
        <w:t xml:space="preserve">W St. No. 2 at 3-4.  </w:t>
      </w:r>
      <w:r w:rsidR="00211B15" w:rsidRPr="00F86C9A">
        <w:t>Citizens’ service territory is surround</w:t>
      </w:r>
      <w:r w:rsidR="00347D9C">
        <w:t>ed</w:t>
      </w:r>
      <w:r w:rsidR="00211B15" w:rsidRPr="00F86C9A">
        <w:t xml:space="preserve"> by </w:t>
      </w:r>
      <w:r w:rsidR="008D1351">
        <w:t xml:space="preserve">the service territory of </w:t>
      </w:r>
      <w:r w:rsidR="00211B15" w:rsidRPr="00F86C9A">
        <w:t>PPL Electric Utilities Corporation</w:t>
      </w:r>
      <w:r w:rsidR="00EF59A2">
        <w:t xml:space="preserve"> (PPL)</w:t>
      </w:r>
      <w:r w:rsidR="00211B15" w:rsidRPr="00F86C9A">
        <w:t xml:space="preserve">.  </w:t>
      </w:r>
      <w:proofErr w:type="gramStart"/>
      <w:r w:rsidR="00211B15" w:rsidRPr="00F86C9A">
        <w:rPr>
          <w:u w:val="single"/>
        </w:rPr>
        <w:t>Id.</w:t>
      </w:r>
      <w:r w:rsidR="00211B15" w:rsidRPr="00F86C9A">
        <w:t xml:space="preserve"> at 4.</w:t>
      </w:r>
      <w:proofErr w:type="gramEnd"/>
      <w:r w:rsidR="00211B15" w:rsidRPr="00F86C9A">
        <w:t xml:space="preserve">  Citizens’ owns no high-voltage transmission facilities or generation resources.  </w:t>
      </w:r>
      <w:r w:rsidR="00211B15" w:rsidRPr="00F86C9A">
        <w:rPr>
          <w:u w:val="single"/>
        </w:rPr>
        <w:t>Id.</w:t>
      </w:r>
      <w:r w:rsidR="00211B15" w:rsidRPr="00F86C9A">
        <w:t xml:space="preserve">  As of January, 2014, Citizens’ served approximately 5,736 residential customers and 1,151 commercial, industrial and lighting customers</w:t>
      </w:r>
      <w:r w:rsidR="00565C7B" w:rsidRPr="00F86C9A">
        <w:t xml:space="preserve"> with similar usage characteristics</w:t>
      </w:r>
      <w:r w:rsidR="00211B15" w:rsidRPr="00F86C9A">
        <w:t xml:space="preserve">.  </w:t>
      </w:r>
      <w:r w:rsidR="00211B15" w:rsidRPr="00F86C9A">
        <w:rPr>
          <w:u w:val="single"/>
        </w:rPr>
        <w:t>Id.</w:t>
      </w:r>
      <w:r w:rsidR="00211B15" w:rsidRPr="00F86C9A">
        <w:t xml:space="preserve">  Citizens’ is a winter-peaking utility and its historic one-hour electrical load peaked at approximately 46.0 MW in February</w:t>
      </w:r>
      <w:r w:rsidR="00C5600F">
        <w:t>,</w:t>
      </w:r>
      <w:r w:rsidR="00211B15" w:rsidRPr="00F86C9A">
        <w:t xml:space="preserve"> 2007.  </w:t>
      </w:r>
      <w:r w:rsidR="00211B15" w:rsidRPr="00F86C9A">
        <w:rPr>
          <w:u w:val="single"/>
        </w:rPr>
        <w:t>Id.</w:t>
      </w:r>
      <w:r w:rsidR="00211B15" w:rsidRPr="00F86C9A">
        <w:t xml:space="preserve">  The larger accounts generally operate only during the daytime peak periods and, as a result, also tend to show higher usage during on-peak periods when heating and </w:t>
      </w:r>
    </w:p>
    <w:p w:rsidR="00D56DA2" w:rsidRDefault="00D56DA2">
      <w:pPr>
        <w:autoSpaceDE/>
        <w:autoSpaceDN/>
      </w:pPr>
      <w:r>
        <w:br w:type="page"/>
      </w:r>
    </w:p>
    <w:p w:rsidR="00E210E9" w:rsidRPr="00F86C9A" w:rsidRDefault="00211B15" w:rsidP="00D56DA2">
      <w:pPr>
        <w:widowControl w:val="0"/>
        <w:spacing w:line="360" w:lineRule="auto"/>
      </w:pPr>
      <w:proofErr w:type="gramStart"/>
      <w:r w:rsidRPr="00F86C9A">
        <w:t>cooling</w:t>
      </w:r>
      <w:proofErr w:type="gramEnd"/>
      <w:r w:rsidRPr="00F86C9A">
        <w:t xml:space="preserve"> is required.  </w:t>
      </w:r>
      <w:r w:rsidRPr="00F86C9A">
        <w:rPr>
          <w:u w:val="single"/>
        </w:rPr>
        <w:t>Id.</w:t>
      </w:r>
      <w:r w:rsidRPr="00F86C9A">
        <w:t xml:space="preserve"> at 4-5.  Between 1999 and spring 2014, Citizens’ had only a total of </w:t>
      </w:r>
      <w:r w:rsidR="00565C7B" w:rsidRPr="00F86C9A">
        <w:t>three</w:t>
      </w:r>
      <w:r w:rsidRPr="00F86C9A">
        <w:t xml:space="preserve"> Residential a</w:t>
      </w:r>
      <w:r w:rsidR="00565C7B" w:rsidRPr="00F86C9A">
        <w:t xml:space="preserve">nd two </w:t>
      </w:r>
      <w:r w:rsidRPr="00F86C9A">
        <w:t xml:space="preserve">Non-Residential customers shop for electric supply from alternatives EGSs, with the latest occurring in 2001.  </w:t>
      </w:r>
      <w:proofErr w:type="gramStart"/>
      <w:r w:rsidRPr="00F86C9A">
        <w:rPr>
          <w:u w:val="single"/>
        </w:rPr>
        <w:t>Id.</w:t>
      </w:r>
      <w:r w:rsidRPr="00F86C9A">
        <w:t xml:space="preserve"> at 5.</w:t>
      </w:r>
      <w:proofErr w:type="gramEnd"/>
      <w:r w:rsidRPr="00F86C9A">
        <w:t xml:space="preserve">  However, one EGS recently executed a Coordination Agreement for Citizens’ service territory and actively solicited Large C&amp;I accounts in Citizens’ service territory.  </w:t>
      </w:r>
      <w:r w:rsidRPr="00F86C9A">
        <w:rPr>
          <w:u w:val="single"/>
        </w:rPr>
        <w:t>Id.</w:t>
      </w:r>
      <w:r w:rsidRPr="00F86C9A">
        <w:t xml:space="preserve">  As of June 1, 2014, Large C&amp;I accounts had switched to the EGS representing 17.5% of Citizens’ total annual sales.  </w:t>
      </w:r>
      <w:r w:rsidRPr="00F86C9A">
        <w:rPr>
          <w:u w:val="single"/>
        </w:rPr>
        <w:t>Id.</w:t>
      </w:r>
    </w:p>
    <w:p w:rsidR="00581F94" w:rsidRPr="00F86C9A" w:rsidRDefault="00581F94" w:rsidP="00D56DA2">
      <w:pPr>
        <w:spacing w:line="360" w:lineRule="auto"/>
        <w:jc w:val="center"/>
        <w:rPr>
          <w:u w:val="single"/>
        </w:rPr>
      </w:pPr>
    </w:p>
    <w:p w:rsidR="00D206F6" w:rsidRPr="00F86C9A" w:rsidRDefault="002967D0" w:rsidP="00D56DA2">
      <w:pPr>
        <w:pStyle w:val="ListParagraph"/>
        <w:spacing w:line="360" w:lineRule="auto"/>
        <w:ind w:left="0"/>
        <w:jc w:val="center"/>
        <w:rPr>
          <w:u w:val="single"/>
        </w:rPr>
      </w:pPr>
      <w:r w:rsidRPr="00F86C9A">
        <w:t>III.</w:t>
      </w:r>
      <w:r w:rsidRPr="00F86C9A">
        <w:tab/>
      </w:r>
      <w:r w:rsidR="00D206F6" w:rsidRPr="00F86C9A">
        <w:rPr>
          <w:u w:val="single"/>
        </w:rPr>
        <w:t>FINDINGS OF FACT</w:t>
      </w:r>
    </w:p>
    <w:p w:rsidR="003F03EE" w:rsidRPr="00F86C9A" w:rsidRDefault="003F03EE" w:rsidP="00D56DA2">
      <w:pPr>
        <w:spacing w:line="360" w:lineRule="auto"/>
        <w:jc w:val="center"/>
      </w:pPr>
    </w:p>
    <w:p w:rsidR="000A6815" w:rsidRPr="00F86C9A" w:rsidRDefault="000A6815" w:rsidP="00D56DA2">
      <w:pPr>
        <w:pStyle w:val="BodyTextIndent"/>
        <w:numPr>
          <w:ilvl w:val="0"/>
          <w:numId w:val="19"/>
        </w:numPr>
        <w:spacing w:line="360" w:lineRule="auto"/>
        <w:ind w:left="0" w:firstLine="1440"/>
        <w:jc w:val="left"/>
        <w:rPr>
          <w:sz w:val="24"/>
          <w:szCs w:val="24"/>
        </w:rPr>
      </w:pPr>
      <w:r w:rsidRPr="00F86C9A">
        <w:rPr>
          <w:sz w:val="24"/>
          <w:szCs w:val="24"/>
        </w:rPr>
        <w:t>On May 30, 2014, Citizens’ Electric Company of Lewisburg, PA (Citizens</w:t>
      </w:r>
      <w:r w:rsidR="008D1351">
        <w:rPr>
          <w:sz w:val="24"/>
          <w:szCs w:val="24"/>
        </w:rPr>
        <w:t>’</w:t>
      </w:r>
      <w:r w:rsidRPr="00F86C9A">
        <w:rPr>
          <w:sz w:val="24"/>
          <w:szCs w:val="24"/>
        </w:rPr>
        <w:t>) and Wellsboro Electric Company (Wellsboro) (collectively referred to as “the Companies” or CEW) filed with the Pennsylvania Public Utility Commission (Commission) a Petition for a Joint Default Service Program for the Period June 1, 2015 Through May 31, 2018.</w:t>
      </w:r>
    </w:p>
    <w:p w:rsidR="000A6815" w:rsidRPr="00F86C9A" w:rsidRDefault="000A6815" w:rsidP="000A6815">
      <w:pPr>
        <w:pStyle w:val="BodyTextIndent"/>
        <w:spacing w:line="360" w:lineRule="auto"/>
        <w:ind w:left="720" w:firstLine="0"/>
        <w:jc w:val="left"/>
        <w:rPr>
          <w:sz w:val="24"/>
          <w:szCs w:val="24"/>
        </w:rPr>
      </w:pPr>
    </w:p>
    <w:p w:rsidR="000A6815" w:rsidRPr="00F86C9A" w:rsidRDefault="000A6815" w:rsidP="000A6815">
      <w:pPr>
        <w:pStyle w:val="BodyTextIndent"/>
        <w:numPr>
          <w:ilvl w:val="0"/>
          <w:numId w:val="19"/>
        </w:numPr>
        <w:spacing w:line="360" w:lineRule="auto"/>
        <w:ind w:left="0" w:firstLine="1440"/>
        <w:jc w:val="left"/>
        <w:rPr>
          <w:sz w:val="24"/>
          <w:szCs w:val="24"/>
        </w:rPr>
      </w:pPr>
      <w:r w:rsidRPr="00F86C9A">
        <w:rPr>
          <w:sz w:val="24"/>
          <w:szCs w:val="24"/>
        </w:rPr>
        <w:t>On June 20, 2014, the Office of Small Business Advocate (OSBA) filed a Complaint and Public Statement.</w:t>
      </w:r>
    </w:p>
    <w:p w:rsidR="000A6815" w:rsidRPr="00F86C9A" w:rsidRDefault="000A6815" w:rsidP="008E18AD">
      <w:pPr>
        <w:pStyle w:val="ListParagraph"/>
        <w:spacing w:line="360" w:lineRule="auto"/>
      </w:pPr>
    </w:p>
    <w:p w:rsidR="000A6815" w:rsidRPr="00F86C9A" w:rsidRDefault="000A6815" w:rsidP="000A6815">
      <w:pPr>
        <w:pStyle w:val="BodyTextIndent"/>
        <w:numPr>
          <w:ilvl w:val="0"/>
          <w:numId w:val="19"/>
        </w:numPr>
        <w:spacing w:line="360" w:lineRule="auto"/>
        <w:ind w:left="0" w:firstLine="1440"/>
        <w:jc w:val="left"/>
        <w:rPr>
          <w:sz w:val="24"/>
          <w:szCs w:val="24"/>
        </w:rPr>
      </w:pPr>
      <w:r w:rsidRPr="00F86C9A">
        <w:rPr>
          <w:sz w:val="24"/>
          <w:szCs w:val="24"/>
        </w:rPr>
        <w:t xml:space="preserve">The Joint Petition was published in the </w:t>
      </w:r>
      <w:r w:rsidRPr="00F86C9A">
        <w:rPr>
          <w:sz w:val="24"/>
          <w:szCs w:val="24"/>
          <w:u w:val="single"/>
        </w:rPr>
        <w:t>Pennsylvania Bulletin</w:t>
      </w:r>
      <w:r w:rsidR="003566A8">
        <w:rPr>
          <w:sz w:val="24"/>
          <w:szCs w:val="24"/>
        </w:rPr>
        <w:t xml:space="preserve"> on June 21, </w:t>
      </w:r>
      <w:r w:rsidRPr="00F86C9A">
        <w:rPr>
          <w:sz w:val="24"/>
          <w:szCs w:val="24"/>
        </w:rPr>
        <w:t>2014, with a deadline to file an Answ</w:t>
      </w:r>
      <w:r w:rsidR="001A016C" w:rsidRPr="00F86C9A">
        <w:rPr>
          <w:sz w:val="24"/>
          <w:szCs w:val="24"/>
        </w:rPr>
        <w:t xml:space="preserve">er or Protest </w:t>
      </w:r>
      <w:r w:rsidR="008D1351">
        <w:rPr>
          <w:sz w:val="24"/>
          <w:szCs w:val="24"/>
        </w:rPr>
        <w:t>by</w:t>
      </w:r>
      <w:r w:rsidR="001A016C" w:rsidRPr="00F86C9A">
        <w:rPr>
          <w:sz w:val="24"/>
          <w:szCs w:val="24"/>
        </w:rPr>
        <w:t xml:space="preserve"> July 7, 2014.</w:t>
      </w:r>
    </w:p>
    <w:p w:rsidR="000A6815" w:rsidRPr="00F86C9A" w:rsidRDefault="000A6815" w:rsidP="008E18AD">
      <w:pPr>
        <w:pStyle w:val="ListParagraph"/>
        <w:spacing w:line="360" w:lineRule="auto"/>
      </w:pPr>
    </w:p>
    <w:p w:rsidR="000A6815" w:rsidRPr="00F86C9A" w:rsidRDefault="000A6815" w:rsidP="000A6815">
      <w:pPr>
        <w:pStyle w:val="BodyTextIndent"/>
        <w:numPr>
          <w:ilvl w:val="0"/>
          <w:numId w:val="19"/>
        </w:numPr>
        <w:spacing w:line="360" w:lineRule="auto"/>
        <w:ind w:left="0" w:firstLine="1440"/>
        <w:jc w:val="left"/>
        <w:rPr>
          <w:sz w:val="24"/>
          <w:szCs w:val="24"/>
        </w:rPr>
      </w:pPr>
      <w:r w:rsidRPr="00F86C9A">
        <w:rPr>
          <w:sz w:val="24"/>
          <w:szCs w:val="24"/>
        </w:rPr>
        <w:t>On June 30, 2014, the OSBA filed a Protest.</w:t>
      </w:r>
    </w:p>
    <w:p w:rsidR="000A6815" w:rsidRPr="00F86C9A" w:rsidRDefault="000A6815" w:rsidP="008E18AD">
      <w:pPr>
        <w:pStyle w:val="ListParagraph"/>
        <w:spacing w:line="360" w:lineRule="auto"/>
      </w:pPr>
    </w:p>
    <w:p w:rsidR="000A6815" w:rsidRPr="00F86C9A" w:rsidRDefault="000A6815" w:rsidP="000A6815">
      <w:pPr>
        <w:pStyle w:val="BodyTextIndent"/>
        <w:numPr>
          <w:ilvl w:val="0"/>
          <w:numId w:val="19"/>
        </w:numPr>
        <w:spacing w:line="360" w:lineRule="auto"/>
        <w:ind w:left="0" w:firstLine="1440"/>
        <w:jc w:val="left"/>
        <w:rPr>
          <w:sz w:val="24"/>
          <w:szCs w:val="24"/>
        </w:rPr>
      </w:pPr>
      <w:r w:rsidRPr="00F86C9A">
        <w:rPr>
          <w:sz w:val="24"/>
          <w:szCs w:val="24"/>
        </w:rPr>
        <w:t>On July 2, 2014, the Office of Consumer Advocate (OCA) filed an Answer, Notice of Intervention and Public Statement.</w:t>
      </w:r>
    </w:p>
    <w:p w:rsidR="000A6815" w:rsidRPr="00F86C9A" w:rsidRDefault="000A6815" w:rsidP="008E18AD">
      <w:pPr>
        <w:pStyle w:val="ListParagraph"/>
        <w:spacing w:line="360" w:lineRule="auto"/>
      </w:pPr>
    </w:p>
    <w:p w:rsidR="000A6815" w:rsidRPr="00F86C9A" w:rsidRDefault="000A6815" w:rsidP="000A6815">
      <w:pPr>
        <w:pStyle w:val="BodyTextIndent"/>
        <w:numPr>
          <w:ilvl w:val="0"/>
          <w:numId w:val="19"/>
        </w:numPr>
        <w:spacing w:line="360" w:lineRule="auto"/>
        <w:ind w:left="0" w:firstLine="1440"/>
        <w:jc w:val="left"/>
        <w:rPr>
          <w:sz w:val="24"/>
          <w:szCs w:val="24"/>
        </w:rPr>
      </w:pPr>
      <w:r w:rsidRPr="00F86C9A">
        <w:rPr>
          <w:sz w:val="24"/>
          <w:szCs w:val="24"/>
        </w:rPr>
        <w:t xml:space="preserve">CEW submitted the testimony of Craig </w:t>
      </w:r>
      <w:proofErr w:type="spellStart"/>
      <w:r w:rsidRPr="00F86C9A">
        <w:rPr>
          <w:sz w:val="24"/>
          <w:szCs w:val="24"/>
        </w:rPr>
        <w:t>Eccher</w:t>
      </w:r>
      <w:proofErr w:type="spellEnd"/>
      <w:r w:rsidRPr="00F86C9A">
        <w:rPr>
          <w:sz w:val="24"/>
          <w:szCs w:val="24"/>
        </w:rPr>
        <w:t xml:space="preserve"> (Statement Nos. 1 and 1-R), Eric Winslow (Statement Nos. 2 and 2-R) and Charles Barnes (Statement Nos. 3 and 3-R).</w:t>
      </w:r>
    </w:p>
    <w:p w:rsidR="000A6815" w:rsidRPr="00F86C9A" w:rsidRDefault="000A6815" w:rsidP="008E18AD">
      <w:pPr>
        <w:pStyle w:val="ListParagraph"/>
        <w:spacing w:line="360" w:lineRule="auto"/>
      </w:pPr>
    </w:p>
    <w:p w:rsidR="000A6815" w:rsidRPr="00F86C9A" w:rsidRDefault="000A6815" w:rsidP="000A6815">
      <w:pPr>
        <w:pStyle w:val="BodyTextIndent"/>
        <w:numPr>
          <w:ilvl w:val="0"/>
          <w:numId w:val="19"/>
        </w:numPr>
        <w:spacing w:line="360" w:lineRule="auto"/>
        <w:ind w:left="0" w:firstLine="1440"/>
        <w:jc w:val="left"/>
        <w:rPr>
          <w:sz w:val="24"/>
          <w:szCs w:val="24"/>
        </w:rPr>
      </w:pPr>
      <w:r w:rsidRPr="00F86C9A">
        <w:rPr>
          <w:sz w:val="24"/>
          <w:szCs w:val="24"/>
        </w:rPr>
        <w:t>The OCA submitted the testimony Alvar</w:t>
      </w:r>
      <w:r w:rsidR="008E18AD">
        <w:rPr>
          <w:sz w:val="24"/>
          <w:szCs w:val="24"/>
        </w:rPr>
        <w:t>o Pereira (Statement Nos. 1 and </w:t>
      </w:r>
      <w:r w:rsidRPr="00F86C9A">
        <w:rPr>
          <w:sz w:val="24"/>
          <w:szCs w:val="24"/>
        </w:rPr>
        <w:t>1-S).</w:t>
      </w:r>
    </w:p>
    <w:p w:rsidR="000A6815" w:rsidRPr="00F86C9A" w:rsidRDefault="000A6815" w:rsidP="008E18AD">
      <w:pPr>
        <w:pStyle w:val="ListParagraph"/>
        <w:spacing w:line="360" w:lineRule="auto"/>
      </w:pPr>
    </w:p>
    <w:p w:rsidR="000A6815" w:rsidRPr="00F86C9A" w:rsidRDefault="000A6815" w:rsidP="000A6815">
      <w:pPr>
        <w:pStyle w:val="BodyTextIndent"/>
        <w:numPr>
          <w:ilvl w:val="0"/>
          <w:numId w:val="19"/>
        </w:numPr>
        <w:spacing w:line="360" w:lineRule="auto"/>
        <w:ind w:left="0" w:firstLine="1440"/>
        <w:jc w:val="left"/>
        <w:rPr>
          <w:sz w:val="24"/>
          <w:szCs w:val="24"/>
        </w:rPr>
      </w:pPr>
      <w:r w:rsidRPr="00F86C9A">
        <w:rPr>
          <w:sz w:val="24"/>
          <w:szCs w:val="24"/>
        </w:rPr>
        <w:t>The OSBA submitted the testimony of Bri</w:t>
      </w:r>
      <w:r w:rsidR="008E18AD">
        <w:rPr>
          <w:sz w:val="24"/>
          <w:szCs w:val="24"/>
        </w:rPr>
        <w:t>an Kalcic (Statement Nos. 1 and </w:t>
      </w:r>
      <w:r w:rsidRPr="00F86C9A">
        <w:rPr>
          <w:sz w:val="24"/>
          <w:szCs w:val="24"/>
        </w:rPr>
        <w:t>2).</w:t>
      </w:r>
    </w:p>
    <w:p w:rsidR="000A6815" w:rsidRPr="00F86C9A" w:rsidRDefault="000A6815" w:rsidP="008E18AD">
      <w:pPr>
        <w:pStyle w:val="ListParagraph"/>
        <w:spacing w:line="360" w:lineRule="auto"/>
      </w:pPr>
    </w:p>
    <w:p w:rsidR="000A6815" w:rsidRPr="00F86C9A" w:rsidRDefault="000A6815" w:rsidP="000A6815">
      <w:pPr>
        <w:pStyle w:val="BodyTextIndent"/>
        <w:numPr>
          <w:ilvl w:val="0"/>
          <w:numId w:val="19"/>
        </w:numPr>
        <w:spacing w:line="360" w:lineRule="auto"/>
        <w:ind w:left="0" w:firstLine="1440"/>
        <w:jc w:val="left"/>
        <w:rPr>
          <w:sz w:val="24"/>
          <w:szCs w:val="24"/>
        </w:rPr>
      </w:pPr>
      <w:r w:rsidRPr="00F86C9A">
        <w:rPr>
          <w:sz w:val="24"/>
          <w:szCs w:val="24"/>
        </w:rPr>
        <w:t>Since January 1, 2008, Citizens’ and Wellsboro have been operating a Default Service Plan (DSP) referred to as the Stratified Procurement Plan that combines a variety of products, procured at varying times, into a single portfolio encompassing the entire default service needs for both Companies.  CEW M.B. at 1.</w:t>
      </w:r>
    </w:p>
    <w:p w:rsidR="000A6815" w:rsidRPr="00F86C9A" w:rsidRDefault="000A6815" w:rsidP="008E18AD">
      <w:pPr>
        <w:pStyle w:val="ListParagraph"/>
        <w:spacing w:line="360" w:lineRule="auto"/>
      </w:pPr>
    </w:p>
    <w:p w:rsidR="000A6815" w:rsidRPr="00F86C9A" w:rsidRDefault="000A6815" w:rsidP="000A6815">
      <w:pPr>
        <w:pStyle w:val="BodyTextIndent"/>
        <w:numPr>
          <w:ilvl w:val="0"/>
          <w:numId w:val="19"/>
        </w:numPr>
        <w:spacing w:line="360" w:lineRule="auto"/>
        <w:ind w:left="0" w:firstLine="1440"/>
        <w:jc w:val="left"/>
        <w:rPr>
          <w:sz w:val="24"/>
          <w:szCs w:val="24"/>
        </w:rPr>
      </w:pPr>
      <w:r w:rsidRPr="00F86C9A">
        <w:rPr>
          <w:sz w:val="24"/>
          <w:szCs w:val="24"/>
        </w:rPr>
        <w:t>As part of the Stratified Plan, the Companies employ a single portfolio manager, currently ACES Power Marketing (APM), to administer th</w:t>
      </w:r>
      <w:r w:rsidR="00565C7B" w:rsidRPr="00F86C9A">
        <w:rPr>
          <w:sz w:val="24"/>
          <w:szCs w:val="24"/>
        </w:rPr>
        <w:t>e</w:t>
      </w:r>
      <w:r w:rsidRPr="00F86C9A">
        <w:rPr>
          <w:sz w:val="24"/>
          <w:szCs w:val="24"/>
        </w:rPr>
        <w:t xml:space="preserve"> energy procurement portfolio on their behalf.  CEW M.B. at 1.</w:t>
      </w:r>
    </w:p>
    <w:p w:rsidR="000A6815" w:rsidRPr="00F86C9A" w:rsidRDefault="000A6815" w:rsidP="007D5249">
      <w:pPr>
        <w:pStyle w:val="ListParagraph"/>
        <w:spacing w:line="360" w:lineRule="auto"/>
      </w:pPr>
    </w:p>
    <w:p w:rsidR="000A6815" w:rsidRPr="00F86C9A" w:rsidRDefault="000A6815" w:rsidP="000A6815">
      <w:pPr>
        <w:pStyle w:val="BodyTextIndent"/>
        <w:numPr>
          <w:ilvl w:val="0"/>
          <w:numId w:val="19"/>
        </w:numPr>
        <w:spacing w:line="360" w:lineRule="auto"/>
        <w:ind w:left="0" w:firstLine="1440"/>
        <w:jc w:val="left"/>
        <w:rPr>
          <w:sz w:val="24"/>
          <w:szCs w:val="24"/>
        </w:rPr>
      </w:pPr>
      <w:r w:rsidRPr="00F86C9A">
        <w:rPr>
          <w:sz w:val="24"/>
          <w:szCs w:val="24"/>
        </w:rPr>
        <w:t xml:space="preserve">During the time the Stratified Plan was in place, revisions to the </w:t>
      </w:r>
      <w:r w:rsidR="00347D9C">
        <w:rPr>
          <w:sz w:val="24"/>
          <w:szCs w:val="24"/>
        </w:rPr>
        <w:t>Electricity Generation</w:t>
      </w:r>
      <w:r w:rsidR="008D1351">
        <w:rPr>
          <w:sz w:val="24"/>
          <w:szCs w:val="24"/>
        </w:rPr>
        <w:t xml:space="preserve"> Customer</w:t>
      </w:r>
      <w:r w:rsidR="00347D9C">
        <w:rPr>
          <w:sz w:val="24"/>
          <w:szCs w:val="24"/>
        </w:rPr>
        <w:t xml:space="preserve"> Choice and </w:t>
      </w:r>
      <w:r w:rsidRPr="00F86C9A">
        <w:rPr>
          <w:sz w:val="24"/>
          <w:szCs w:val="24"/>
        </w:rPr>
        <w:t xml:space="preserve">Competition Act </w:t>
      </w:r>
      <w:r w:rsidR="00347D9C">
        <w:rPr>
          <w:sz w:val="24"/>
          <w:szCs w:val="24"/>
        </w:rPr>
        <w:t xml:space="preserve">(Competition Act) </w:t>
      </w:r>
      <w:r w:rsidRPr="00F86C9A">
        <w:rPr>
          <w:sz w:val="24"/>
          <w:szCs w:val="24"/>
        </w:rPr>
        <w:t>and the Commission’s regulations, among other things, have occurred.  CEW M.B. at 2.</w:t>
      </w:r>
    </w:p>
    <w:p w:rsidR="000A6815" w:rsidRPr="00F86C9A" w:rsidRDefault="000A6815" w:rsidP="00195690">
      <w:pPr>
        <w:pStyle w:val="ListParagraph"/>
        <w:spacing w:line="360" w:lineRule="auto"/>
      </w:pPr>
    </w:p>
    <w:p w:rsidR="000A6815" w:rsidRPr="00F86C9A" w:rsidRDefault="000A6815" w:rsidP="000A6815">
      <w:pPr>
        <w:pStyle w:val="BodyTextIndent"/>
        <w:numPr>
          <w:ilvl w:val="0"/>
          <w:numId w:val="19"/>
        </w:numPr>
        <w:spacing w:line="360" w:lineRule="auto"/>
        <w:ind w:left="0" w:firstLine="1440"/>
        <w:jc w:val="left"/>
        <w:rPr>
          <w:sz w:val="24"/>
          <w:szCs w:val="24"/>
        </w:rPr>
      </w:pPr>
      <w:r w:rsidRPr="00F86C9A">
        <w:rPr>
          <w:sz w:val="24"/>
          <w:szCs w:val="24"/>
        </w:rPr>
        <w:t xml:space="preserve">The Companies anticipate increases in customer migration due to EGS </w:t>
      </w:r>
      <w:r w:rsidR="00762062" w:rsidRPr="00F86C9A">
        <w:rPr>
          <w:sz w:val="24"/>
          <w:szCs w:val="24"/>
        </w:rPr>
        <w:t>activity</w:t>
      </w:r>
      <w:r w:rsidRPr="00F86C9A">
        <w:rPr>
          <w:sz w:val="24"/>
          <w:szCs w:val="24"/>
        </w:rPr>
        <w:t xml:space="preserve"> and the continued expansion of competitive retail in their respective service territories.  CEW M.B. at 5.</w:t>
      </w:r>
    </w:p>
    <w:p w:rsidR="000A6815" w:rsidRPr="00F86C9A" w:rsidRDefault="000A6815" w:rsidP="00C97CE0">
      <w:pPr>
        <w:pStyle w:val="ListParagraph"/>
        <w:spacing w:line="360" w:lineRule="auto"/>
      </w:pPr>
    </w:p>
    <w:p w:rsidR="000A6815" w:rsidRPr="00F86C9A" w:rsidRDefault="000A6815" w:rsidP="000A6815">
      <w:pPr>
        <w:pStyle w:val="BodyTextIndent"/>
        <w:numPr>
          <w:ilvl w:val="0"/>
          <w:numId w:val="19"/>
        </w:numPr>
        <w:spacing w:line="360" w:lineRule="auto"/>
        <w:ind w:left="0" w:firstLine="1440"/>
        <w:jc w:val="left"/>
        <w:rPr>
          <w:sz w:val="24"/>
          <w:szCs w:val="24"/>
        </w:rPr>
      </w:pPr>
      <w:r w:rsidRPr="00F86C9A">
        <w:rPr>
          <w:sz w:val="24"/>
          <w:szCs w:val="24"/>
        </w:rPr>
        <w:t xml:space="preserve">As a result of anticipated increases in customer migration, the Companies proposed a revised procurement </w:t>
      </w:r>
      <w:r w:rsidR="00762062" w:rsidRPr="00F86C9A">
        <w:rPr>
          <w:sz w:val="24"/>
          <w:szCs w:val="24"/>
        </w:rPr>
        <w:t xml:space="preserve">methodology that, the Companies contend, </w:t>
      </w:r>
      <w:r w:rsidRPr="00F86C9A">
        <w:rPr>
          <w:sz w:val="24"/>
          <w:szCs w:val="24"/>
        </w:rPr>
        <w:t>recognizes these changes in a manner that</w:t>
      </w:r>
      <w:r w:rsidR="00762062" w:rsidRPr="00F86C9A">
        <w:rPr>
          <w:sz w:val="24"/>
          <w:szCs w:val="24"/>
        </w:rPr>
        <w:t xml:space="preserve"> </w:t>
      </w:r>
      <w:r w:rsidRPr="00F86C9A">
        <w:rPr>
          <w:sz w:val="24"/>
          <w:szCs w:val="24"/>
        </w:rPr>
        <w:t>is more feasible and cost-effective for smaller EDCs.  CEW M.B. at 5.</w:t>
      </w:r>
    </w:p>
    <w:p w:rsidR="000A6815" w:rsidRPr="00F86C9A" w:rsidRDefault="000A6815" w:rsidP="00C97CE0">
      <w:pPr>
        <w:pStyle w:val="ListParagraph"/>
        <w:spacing w:line="360" w:lineRule="auto"/>
      </w:pPr>
    </w:p>
    <w:p w:rsidR="000A6815" w:rsidRPr="00F86C9A" w:rsidRDefault="000A6815" w:rsidP="000A6815">
      <w:pPr>
        <w:pStyle w:val="BodyTextIndent"/>
        <w:numPr>
          <w:ilvl w:val="0"/>
          <w:numId w:val="19"/>
        </w:numPr>
        <w:spacing w:line="360" w:lineRule="auto"/>
        <w:ind w:left="0" w:firstLine="1440"/>
        <w:jc w:val="left"/>
        <w:rPr>
          <w:sz w:val="24"/>
          <w:szCs w:val="24"/>
        </w:rPr>
      </w:pPr>
      <w:r w:rsidRPr="00F86C9A">
        <w:rPr>
          <w:sz w:val="24"/>
          <w:szCs w:val="24"/>
        </w:rPr>
        <w:t>The Companies propose to terminate the Stratified Plan and meet their DSP obligations with a plan contai</w:t>
      </w:r>
      <w:r w:rsidR="00C97CE0">
        <w:rPr>
          <w:sz w:val="24"/>
          <w:szCs w:val="24"/>
        </w:rPr>
        <w:t xml:space="preserve">ning the following components: </w:t>
      </w:r>
      <w:r w:rsidRPr="00F86C9A">
        <w:rPr>
          <w:sz w:val="24"/>
          <w:szCs w:val="24"/>
        </w:rPr>
        <w:t xml:space="preserve">1) </w:t>
      </w:r>
      <w:r w:rsidR="00762062" w:rsidRPr="00F86C9A">
        <w:rPr>
          <w:sz w:val="24"/>
          <w:szCs w:val="24"/>
        </w:rPr>
        <w:t xml:space="preserve">an </w:t>
      </w:r>
      <w:r w:rsidRPr="00F86C9A">
        <w:rPr>
          <w:sz w:val="24"/>
          <w:szCs w:val="24"/>
        </w:rPr>
        <w:t>implementation plan, including a</w:t>
      </w:r>
      <w:r w:rsidR="00FB1426" w:rsidRPr="00F86C9A">
        <w:rPr>
          <w:sz w:val="24"/>
          <w:szCs w:val="24"/>
        </w:rPr>
        <w:t xml:space="preserve"> Request for Proposal (</w:t>
      </w:r>
      <w:r w:rsidRPr="00F86C9A">
        <w:rPr>
          <w:sz w:val="24"/>
          <w:szCs w:val="24"/>
        </w:rPr>
        <w:t>RFP</w:t>
      </w:r>
      <w:r w:rsidR="00FB1426" w:rsidRPr="00F86C9A">
        <w:rPr>
          <w:sz w:val="24"/>
          <w:szCs w:val="24"/>
        </w:rPr>
        <w:t>) p</w:t>
      </w:r>
      <w:r w:rsidRPr="00F86C9A">
        <w:rPr>
          <w:sz w:val="24"/>
          <w:szCs w:val="24"/>
        </w:rPr>
        <w:t xml:space="preserve">rocess and Supplier Master Agreement (SMA); 2) </w:t>
      </w:r>
      <w:r w:rsidR="00762062" w:rsidRPr="00F86C9A">
        <w:rPr>
          <w:sz w:val="24"/>
          <w:szCs w:val="24"/>
        </w:rPr>
        <w:t xml:space="preserve">a </w:t>
      </w:r>
      <w:r w:rsidRPr="00F86C9A">
        <w:rPr>
          <w:sz w:val="24"/>
          <w:szCs w:val="24"/>
        </w:rPr>
        <w:t xml:space="preserve">procurement plan; 3) </w:t>
      </w:r>
      <w:r w:rsidR="00762062" w:rsidRPr="00F86C9A">
        <w:rPr>
          <w:sz w:val="24"/>
          <w:szCs w:val="24"/>
        </w:rPr>
        <w:t xml:space="preserve">a </w:t>
      </w:r>
      <w:r w:rsidRPr="00F86C9A">
        <w:rPr>
          <w:sz w:val="24"/>
          <w:szCs w:val="24"/>
        </w:rPr>
        <w:t xml:space="preserve">rate design plan; 4) </w:t>
      </w:r>
      <w:r w:rsidR="00762062" w:rsidRPr="00F86C9A">
        <w:rPr>
          <w:sz w:val="24"/>
          <w:szCs w:val="24"/>
        </w:rPr>
        <w:t xml:space="preserve">a </w:t>
      </w:r>
      <w:r w:rsidRPr="00F86C9A">
        <w:rPr>
          <w:sz w:val="24"/>
          <w:szCs w:val="24"/>
        </w:rPr>
        <w:t>contingency plan; and 5) Retail Market Enhancement (RME) programs.  CEW M.B. at 9.</w:t>
      </w:r>
    </w:p>
    <w:p w:rsidR="000A6815" w:rsidRPr="00F86C9A" w:rsidRDefault="000A6815" w:rsidP="00411F71">
      <w:pPr>
        <w:pStyle w:val="ListParagraph"/>
        <w:spacing w:line="360" w:lineRule="auto"/>
      </w:pPr>
    </w:p>
    <w:p w:rsidR="00D56DA2" w:rsidRDefault="00D56DA2">
      <w:pPr>
        <w:autoSpaceDE/>
        <w:autoSpaceDN/>
      </w:pPr>
      <w:r>
        <w:br w:type="page"/>
      </w:r>
    </w:p>
    <w:p w:rsidR="000A6815" w:rsidRPr="00F86C9A" w:rsidRDefault="000A6815" w:rsidP="000A6815">
      <w:pPr>
        <w:pStyle w:val="BodyTextIndent"/>
        <w:numPr>
          <w:ilvl w:val="0"/>
          <w:numId w:val="19"/>
        </w:numPr>
        <w:spacing w:line="360" w:lineRule="auto"/>
        <w:ind w:left="0" w:firstLine="1440"/>
        <w:jc w:val="left"/>
        <w:rPr>
          <w:sz w:val="24"/>
          <w:szCs w:val="24"/>
        </w:rPr>
      </w:pPr>
      <w:r w:rsidRPr="00F86C9A">
        <w:rPr>
          <w:sz w:val="24"/>
          <w:szCs w:val="24"/>
        </w:rPr>
        <w:t>To implement the proposed DSP, the Companies have developed an RFP to select wholesale suppliers and an SMA to establish additional</w:t>
      </w:r>
      <w:r w:rsidR="00411F71">
        <w:rPr>
          <w:sz w:val="24"/>
          <w:szCs w:val="24"/>
        </w:rPr>
        <w:t xml:space="preserve"> terms of service.  CEW M.B. at </w:t>
      </w:r>
      <w:r w:rsidRPr="00F86C9A">
        <w:rPr>
          <w:sz w:val="24"/>
          <w:szCs w:val="24"/>
        </w:rPr>
        <w:t>9.</w:t>
      </w:r>
    </w:p>
    <w:p w:rsidR="000A6815" w:rsidRPr="00F86C9A" w:rsidRDefault="000A6815" w:rsidP="00411F71">
      <w:pPr>
        <w:pStyle w:val="ListParagraph"/>
        <w:spacing w:line="360" w:lineRule="auto"/>
      </w:pPr>
    </w:p>
    <w:p w:rsidR="000A6815" w:rsidRPr="00F86C9A" w:rsidRDefault="000A6815" w:rsidP="000A6815">
      <w:pPr>
        <w:pStyle w:val="BodyTextIndent"/>
        <w:numPr>
          <w:ilvl w:val="0"/>
          <w:numId w:val="19"/>
        </w:numPr>
        <w:spacing w:line="360" w:lineRule="auto"/>
        <w:ind w:left="0" w:firstLine="1440"/>
        <w:jc w:val="left"/>
        <w:rPr>
          <w:sz w:val="24"/>
          <w:szCs w:val="24"/>
        </w:rPr>
      </w:pPr>
      <w:r w:rsidRPr="00F86C9A">
        <w:rPr>
          <w:sz w:val="24"/>
          <w:szCs w:val="24"/>
        </w:rPr>
        <w:t>While the Companies have historically relied on bilateral agreements throughout the Stratified Plan, the Companies proposed in their DSP to implement a competitive bid process and submitted an RFP as part of this proceeding.  CEW M.B. at 10.</w:t>
      </w:r>
    </w:p>
    <w:p w:rsidR="000A6815" w:rsidRPr="00F86C9A" w:rsidRDefault="000A6815" w:rsidP="001A2DC6">
      <w:pPr>
        <w:pStyle w:val="ListParagraph"/>
        <w:spacing w:line="360" w:lineRule="auto"/>
      </w:pPr>
    </w:p>
    <w:p w:rsidR="000A6815" w:rsidRPr="00F86C9A" w:rsidRDefault="000A6815" w:rsidP="000A6815">
      <w:pPr>
        <w:pStyle w:val="BodyTextIndent"/>
        <w:numPr>
          <w:ilvl w:val="0"/>
          <w:numId w:val="19"/>
        </w:numPr>
        <w:spacing w:line="360" w:lineRule="auto"/>
        <w:ind w:left="0" w:firstLine="1440"/>
        <w:jc w:val="left"/>
        <w:rPr>
          <w:sz w:val="24"/>
          <w:szCs w:val="24"/>
        </w:rPr>
      </w:pPr>
      <w:r w:rsidRPr="00F86C9A">
        <w:rPr>
          <w:sz w:val="24"/>
          <w:szCs w:val="24"/>
        </w:rPr>
        <w:t xml:space="preserve">The Companies do not intend to retain a third party agency to conduct the RFPs or review submitted bids but propose to conduct separate sealed bids for each service territory.  CEW M.B. </w:t>
      </w:r>
      <w:r w:rsidR="00762062" w:rsidRPr="00F86C9A">
        <w:rPr>
          <w:sz w:val="24"/>
          <w:szCs w:val="24"/>
        </w:rPr>
        <w:t xml:space="preserve">at 10, </w:t>
      </w:r>
      <w:r w:rsidRPr="00F86C9A">
        <w:rPr>
          <w:i/>
          <w:sz w:val="24"/>
          <w:szCs w:val="24"/>
        </w:rPr>
        <w:t>citing</w:t>
      </w:r>
      <w:r w:rsidRPr="00F86C9A">
        <w:rPr>
          <w:sz w:val="24"/>
          <w:szCs w:val="24"/>
        </w:rPr>
        <w:t>, CEW St. No. 2 at 9-10.</w:t>
      </w:r>
    </w:p>
    <w:p w:rsidR="000A6815" w:rsidRPr="00F86C9A" w:rsidRDefault="000A6815" w:rsidP="00E00857">
      <w:pPr>
        <w:pStyle w:val="ListParagraph"/>
        <w:spacing w:line="360" w:lineRule="auto"/>
      </w:pPr>
    </w:p>
    <w:p w:rsidR="000A6815" w:rsidRPr="00F86C9A" w:rsidRDefault="000A6815" w:rsidP="000A6815">
      <w:pPr>
        <w:pStyle w:val="BodyTextIndent"/>
        <w:numPr>
          <w:ilvl w:val="0"/>
          <w:numId w:val="19"/>
        </w:numPr>
        <w:spacing w:line="360" w:lineRule="auto"/>
        <w:ind w:left="0" w:firstLine="1440"/>
        <w:jc w:val="left"/>
        <w:rPr>
          <w:sz w:val="24"/>
          <w:szCs w:val="24"/>
        </w:rPr>
      </w:pPr>
      <w:r w:rsidRPr="00F86C9A">
        <w:rPr>
          <w:sz w:val="24"/>
          <w:szCs w:val="24"/>
        </w:rPr>
        <w:t>The Companies will develop a prequalification process for evaluation of wholesale suppliers’ credit and technical qualifications and described the proposed key deadlines for the process.  CEW M.B. at 9-10.</w:t>
      </w:r>
    </w:p>
    <w:p w:rsidR="000A6815" w:rsidRPr="00F86C9A" w:rsidRDefault="000A6815" w:rsidP="00E00857">
      <w:pPr>
        <w:pStyle w:val="ListParagraph"/>
        <w:spacing w:line="360" w:lineRule="auto"/>
      </w:pPr>
    </w:p>
    <w:p w:rsidR="000A6815" w:rsidRPr="00F86C9A" w:rsidRDefault="000A6815" w:rsidP="000A6815">
      <w:pPr>
        <w:pStyle w:val="BodyTextIndent"/>
        <w:numPr>
          <w:ilvl w:val="0"/>
          <w:numId w:val="19"/>
        </w:numPr>
        <w:spacing w:line="360" w:lineRule="auto"/>
        <w:ind w:left="0" w:firstLine="1440"/>
        <w:jc w:val="left"/>
        <w:rPr>
          <w:sz w:val="24"/>
          <w:szCs w:val="24"/>
        </w:rPr>
      </w:pPr>
      <w:r w:rsidRPr="00F86C9A">
        <w:rPr>
          <w:sz w:val="24"/>
          <w:szCs w:val="24"/>
        </w:rPr>
        <w:t xml:space="preserve">The Companies will not proceed with the bid selection process unless a minimum of </w:t>
      </w:r>
      <w:r w:rsidR="00FB1426" w:rsidRPr="00F86C9A">
        <w:rPr>
          <w:sz w:val="24"/>
          <w:szCs w:val="24"/>
        </w:rPr>
        <w:t xml:space="preserve">three </w:t>
      </w:r>
      <w:r w:rsidRPr="00F86C9A">
        <w:rPr>
          <w:sz w:val="24"/>
          <w:szCs w:val="24"/>
        </w:rPr>
        <w:t>bids qualify for consideration by meeting the requirements of the RFP.</w:t>
      </w:r>
      <w:r w:rsidR="00FB1426" w:rsidRPr="00F86C9A">
        <w:rPr>
          <w:sz w:val="24"/>
          <w:szCs w:val="24"/>
        </w:rPr>
        <w:t xml:space="preserve"> </w:t>
      </w:r>
      <w:r w:rsidRPr="00F86C9A">
        <w:rPr>
          <w:sz w:val="24"/>
          <w:szCs w:val="24"/>
        </w:rPr>
        <w:t xml:space="preserve"> CEW M.B. at 10, </w:t>
      </w:r>
      <w:r w:rsidRPr="00F86C9A">
        <w:rPr>
          <w:i/>
          <w:sz w:val="24"/>
          <w:szCs w:val="24"/>
        </w:rPr>
        <w:t>citing</w:t>
      </w:r>
      <w:r w:rsidRPr="00F86C9A">
        <w:rPr>
          <w:sz w:val="24"/>
          <w:szCs w:val="24"/>
        </w:rPr>
        <w:t>, CEW St. No. 2-R at 2.</w:t>
      </w:r>
    </w:p>
    <w:p w:rsidR="000A6815" w:rsidRPr="00F86C9A" w:rsidRDefault="000A6815" w:rsidP="00632ACB">
      <w:pPr>
        <w:pStyle w:val="ListParagraph"/>
        <w:spacing w:line="360" w:lineRule="auto"/>
      </w:pPr>
    </w:p>
    <w:p w:rsidR="000A6815" w:rsidRPr="00F86C9A" w:rsidRDefault="000A6815" w:rsidP="000A6815">
      <w:pPr>
        <w:pStyle w:val="BodyTextIndent"/>
        <w:numPr>
          <w:ilvl w:val="0"/>
          <w:numId w:val="19"/>
        </w:numPr>
        <w:spacing w:line="360" w:lineRule="auto"/>
        <w:ind w:left="0" w:firstLine="1440"/>
        <w:jc w:val="left"/>
        <w:rPr>
          <w:sz w:val="24"/>
          <w:szCs w:val="24"/>
        </w:rPr>
      </w:pPr>
      <w:r w:rsidRPr="00F86C9A">
        <w:rPr>
          <w:sz w:val="24"/>
          <w:szCs w:val="24"/>
        </w:rPr>
        <w:t>In addition to the RFP, the Companies proposed an SMA that closely tracks the Pennsylvania Universal Master Agreement developed by the Commission</w:t>
      </w:r>
      <w:r w:rsidR="00EF59A2" w:rsidRPr="00EF59A2">
        <w:rPr>
          <w:sz w:val="24"/>
          <w:szCs w:val="24"/>
        </w:rPr>
        <w:t xml:space="preserve"> </w:t>
      </w:r>
      <w:r w:rsidR="00EF59A2" w:rsidRPr="00F86C9A">
        <w:rPr>
          <w:sz w:val="24"/>
          <w:szCs w:val="24"/>
        </w:rPr>
        <w:t>to further define the terms and conditions applicable to each selected wholesale supplier</w:t>
      </w:r>
      <w:r w:rsidRPr="00F86C9A">
        <w:rPr>
          <w:sz w:val="24"/>
          <w:szCs w:val="24"/>
        </w:rPr>
        <w:t xml:space="preserve">.  CEW M.B. at 12, </w:t>
      </w:r>
      <w:r w:rsidRPr="00F86C9A">
        <w:rPr>
          <w:i/>
          <w:sz w:val="24"/>
          <w:szCs w:val="24"/>
        </w:rPr>
        <w:t>citing</w:t>
      </w:r>
      <w:r w:rsidRPr="00F86C9A">
        <w:rPr>
          <w:sz w:val="24"/>
          <w:szCs w:val="24"/>
        </w:rPr>
        <w:t>, CEW St. No. 2 at 11-12.</w:t>
      </w:r>
    </w:p>
    <w:p w:rsidR="000A6815" w:rsidRPr="00F86C9A" w:rsidRDefault="000A6815" w:rsidP="00632ACB">
      <w:pPr>
        <w:pStyle w:val="ListParagraph"/>
        <w:spacing w:line="360" w:lineRule="auto"/>
      </w:pPr>
    </w:p>
    <w:p w:rsidR="000A6815" w:rsidRPr="00F86C9A" w:rsidRDefault="000A6815" w:rsidP="000A6815">
      <w:pPr>
        <w:pStyle w:val="BodyTextIndent"/>
        <w:numPr>
          <w:ilvl w:val="0"/>
          <w:numId w:val="19"/>
        </w:numPr>
        <w:spacing w:line="360" w:lineRule="auto"/>
        <w:ind w:left="0" w:firstLine="1440"/>
        <w:jc w:val="left"/>
        <w:rPr>
          <w:sz w:val="24"/>
          <w:szCs w:val="24"/>
        </w:rPr>
      </w:pPr>
      <w:r w:rsidRPr="00F86C9A">
        <w:rPr>
          <w:sz w:val="24"/>
          <w:szCs w:val="24"/>
        </w:rPr>
        <w:t>Changed circumstances merit a transition from the Stratified Plan to the Companies’ proposal to procure default service supply through load-following full requirements (FR) contracts with wholesale suppliers.  CEW M.B. at 13-28.</w:t>
      </w:r>
    </w:p>
    <w:p w:rsidR="000A6815" w:rsidRPr="00F86C9A" w:rsidRDefault="000A6815" w:rsidP="00632ACB">
      <w:pPr>
        <w:pStyle w:val="ListParagraph"/>
        <w:spacing w:line="360" w:lineRule="auto"/>
      </w:pPr>
    </w:p>
    <w:p w:rsidR="00D56DA2" w:rsidRDefault="00D56DA2">
      <w:pPr>
        <w:autoSpaceDE/>
        <w:autoSpaceDN/>
      </w:pPr>
      <w:r>
        <w:br w:type="page"/>
      </w:r>
    </w:p>
    <w:p w:rsidR="000A6815" w:rsidRPr="00F86C9A" w:rsidRDefault="000A6815" w:rsidP="000A6815">
      <w:pPr>
        <w:pStyle w:val="BodyTextIndent"/>
        <w:numPr>
          <w:ilvl w:val="0"/>
          <w:numId w:val="19"/>
        </w:numPr>
        <w:spacing w:line="360" w:lineRule="auto"/>
        <w:ind w:left="0" w:firstLine="1440"/>
        <w:jc w:val="left"/>
        <w:rPr>
          <w:sz w:val="24"/>
          <w:szCs w:val="24"/>
        </w:rPr>
      </w:pPr>
      <w:r w:rsidRPr="00F86C9A">
        <w:rPr>
          <w:sz w:val="24"/>
          <w:szCs w:val="24"/>
        </w:rPr>
        <w:t>The continued expansion of competitive retail in the Companies’ service territories will significantly reduce default service load and erode the effectiveness of the Stratified Plan.  CEW M.B. at 14-18.</w:t>
      </w:r>
    </w:p>
    <w:p w:rsidR="000A6815" w:rsidRPr="00F86C9A" w:rsidRDefault="000A6815" w:rsidP="00632ACB">
      <w:pPr>
        <w:pStyle w:val="ListParagraph"/>
        <w:spacing w:line="360" w:lineRule="auto"/>
      </w:pPr>
    </w:p>
    <w:p w:rsidR="000A6815" w:rsidRPr="00F86C9A" w:rsidRDefault="000A6815" w:rsidP="000A6815">
      <w:pPr>
        <w:pStyle w:val="BodyTextIndent"/>
        <w:numPr>
          <w:ilvl w:val="0"/>
          <w:numId w:val="19"/>
        </w:numPr>
        <w:spacing w:line="360" w:lineRule="auto"/>
        <w:ind w:left="0" w:firstLine="1440"/>
        <w:jc w:val="left"/>
        <w:rPr>
          <w:sz w:val="24"/>
          <w:szCs w:val="24"/>
        </w:rPr>
      </w:pPr>
      <w:r w:rsidRPr="00F86C9A">
        <w:rPr>
          <w:sz w:val="24"/>
          <w:szCs w:val="24"/>
        </w:rPr>
        <w:t xml:space="preserve">The Companies proposed a 3-year default service plan offering an index price energy product to Residential and Small C&amp;I customers and </w:t>
      </w:r>
      <w:r w:rsidR="00FB1426" w:rsidRPr="00F86C9A">
        <w:rPr>
          <w:sz w:val="24"/>
          <w:szCs w:val="24"/>
        </w:rPr>
        <w:t xml:space="preserve">an </w:t>
      </w:r>
      <w:r w:rsidRPr="00F86C9A">
        <w:rPr>
          <w:sz w:val="24"/>
          <w:szCs w:val="24"/>
        </w:rPr>
        <w:t xml:space="preserve">hourly-priced service for Large C&amp;I customers with a registered peak demand above 400 </w:t>
      </w:r>
      <w:proofErr w:type="gramStart"/>
      <w:r w:rsidRPr="00F86C9A">
        <w:rPr>
          <w:sz w:val="24"/>
          <w:szCs w:val="24"/>
        </w:rPr>
        <w:t>kw</w:t>
      </w:r>
      <w:proofErr w:type="gramEnd"/>
      <w:r w:rsidRPr="00F86C9A">
        <w:rPr>
          <w:sz w:val="24"/>
          <w:szCs w:val="24"/>
        </w:rPr>
        <w:t>.  CEW M.B. at 20-21.</w:t>
      </w:r>
    </w:p>
    <w:p w:rsidR="000A6815" w:rsidRPr="00F86C9A" w:rsidRDefault="000A6815" w:rsidP="00632ACB">
      <w:pPr>
        <w:pStyle w:val="ListParagraph"/>
        <w:spacing w:line="360" w:lineRule="auto"/>
      </w:pPr>
    </w:p>
    <w:p w:rsidR="000A6815" w:rsidRPr="00F86C9A" w:rsidRDefault="000A6815" w:rsidP="000A6815">
      <w:pPr>
        <w:pStyle w:val="BodyTextIndent"/>
        <w:numPr>
          <w:ilvl w:val="0"/>
          <w:numId w:val="19"/>
        </w:numPr>
        <w:spacing w:line="360" w:lineRule="auto"/>
        <w:ind w:left="0" w:firstLine="1440"/>
        <w:jc w:val="left"/>
        <w:rPr>
          <w:sz w:val="24"/>
          <w:szCs w:val="24"/>
        </w:rPr>
      </w:pPr>
      <w:r w:rsidRPr="00F86C9A">
        <w:rPr>
          <w:sz w:val="24"/>
          <w:szCs w:val="24"/>
        </w:rPr>
        <w:t>For all customers, the Companies’ proposed default service product would pass-through transmission and capacity costs, but fix all remaining costs through a Supplier Adder which will necessitate approval of limited waivers.  CEW M.B. at 21.</w:t>
      </w:r>
    </w:p>
    <w:p w:rsidR="000A6815" w:rsidRPr="00F86C9A" w:rsidRDefault="000A6815" w:rsidP="00632ACB">
      <w:pPr>
        <w:pStyle w:val="ListParagraph"/>
        <w:spacing w:line="360" w:lineRule="auto"/>
      </w:pPr>
    </w:p>
    <w:p w:rsidR="000A6815" w:rsidRPr="00F86C9A" w:rsidRDefault="000A6815" w:rsidP="000A6815">
      <w:pPr>
        <w:pStyle w:val="BodyTextIndent"/>
        <w:numPr>
          <w:ilvl w:val="0"/>
          <w:numId w:val="19"/>
        </w:numPr>
        <w:spacing w:line="360" w:lineRule="auto"/>
        <w:ind w:left="0" w:firstLine="1440"/>
        <w:jc w:val="left"/>
        <w:rPr>
          <w:sz w:val="24"/>
          <w:szCs w:val="24"/>
        </w:rPr>
      </w:pPr>
      <w:r w:rsidRPr="00F86C9A">
        <w:rPr>
          <w:sz w:val="24"/>
          <w:szCs w:val="24"/>
        </w:rPr>
        <w:t xml:space="preserve">The energy component of the wholesale contract for Residential and Small C&amp;I Default Service will be adjusted every </w:t>
      </w:r>
      <w:r w:rsidR="00D324EE" w:rsidRPr="00F86C9A">
        <w:rPr>
          <w:sz w:val="24"/>
          <w:szCs w:val="24"/>
        </w:rPr>
        <w:t xml:space="preserve">six </w:t>
      </w:r>
      <w:r w:rsidRPr="00F86C9A">
        <w:rPr>
          <w:sz w:val="24"/>
          <w:szCs w:val="24"/>
        </w:rPr>
        <w:t xml:space="preserve">months based on PJM West Hub on-peak monthly forward pricing on predetermined Trigger Dates; the wholesale rate formula will assume a straight </w:t>
      </w:r>
      <w:proofErr w:type="spellStart"/>
      <w:r w:rsidRPr="00F86C9A">
        <w:rPr>
          <w:sz w:val="24"/>
          <w:szCs w:val="24"/>
        </w:rPr>
        <w:t>passthrough</w:t>
      </w:r>
      <w:proofErr w:type="spellEnd"/>
      <w:r w:rsidRPr="00F86C9A">
        <w:rPr>
          <w:sz w:val="24"/>
          <w:szCs w:val="24"/>
        </w:rPr>
        <w:t xml:space="preserve"> of the mathematical average of the monthly on-peak per </w:t>
      </w:r>
      <w:proofErr w:type="spellStart"/>
      <w:r w:rsidRPr="00F86C9A">
        <w:rPr>
          <w:sz w:val="24"/>
          <w:szCs w:val="24"/>
        </w:rPr>
        <w:t>MWh</w:t>
      </w:r>
      <w:proofErr w:type="spellEnd"/>
      <w:r w:rsidRPr="00F86C9A">
        <w:rPr>
          <w:sz w:val="24"/>
          <w:szCs w:val="24"/>
        </w:rPr>
        <w:t xml:space="preserve"> strip pricing for all </w:t>
      </w:r>
      <w:proofErr w:type="spellStart"/>
      <w:r w:rsidRPr="00F86C9A">
        <w:rPr>
          <w:sz w:val="24"/>
          <w:szCs w:val="24"/>
        </w:rPr>
        <w:t>MWh</w:t>
      </w:r>
      <w:proofErr w:type="spellEnd"/>
      <w:r w:rsidRPr="00F86C9A">
        <w:rPr>
          <w:sz w:val="24"/>
          <w:szCs w:val="24"/>
        </w:rPr>
        <w:t xml:space="preserve"> sold to customers during the 6-mon</w:t>
      </w:r>
      <w:r w:rsidR="00632ACB">
        <w:rPr>
          <w:sz w:val="24"/>
          <w:szCs w:val="24"/>
        </w:rPr>
        <w:t>th pricing period.  CEW M.B. at </w:t>
      </w:r>
      <w:r w:rsidRPr="00F86C9A">
        <w:rPr>
          <w:sz w:val="24"/>
          <w:szCs w:val="24"/>
        </w:rPr>
        <w:t>22-23.</w:t>
      </w:r>
    </w:p>
    <w:p w:rsidR="000A6815" w:rsidRPr="00F86C9A" w:rsidRDefault="000A6815" w:rsidP="00B424F1">
      <w:pPr>
        <w:pStyle w:val="ListParagraph"/>
        <w:spacing w:line="360" w:lineRule="auto"/>
      </w:pPr>
    </w:p>
    <w:p w:rsidR="000A6815" w:rsidRPr="00F86C9A" w:rsidRDefault="000A6815" w:rsidP="000A6815">
      <w:pPr>
        <w:pStyle w:val="BodyTextIndent"/>
        <w:numPr>
          <w:ilvl w:val="0"/>
          <w:numId w:val="19"/>
        </w:numPr>
        <w:spacing w:line="360" w:lineRule="auto"/>
        <w:ind w:left="0" w:firstLine="1440"/>
        <w:jc w:val="left"/>
        <w:rPr>
          <w:sz w:val="24"/>
          <w:szCs w:val="24"/>
        </w:rPr>
      </w:pPr>
      <w:r w:rsidRPr="00F86C9A">
        <w:rPr>
          <w:sz w:val="24"/>
          <w:szCs w:val="24"/>
        </w:rPr>
        <w:t>The energy compo</w:t>
      </w:r>
      <w:r w:rsidR="00165034" w:rsidRPr="00F86C9A">
        <w:rPr>
          <w:sz w:val="24"/>
          <w:szCs w:val="24"/>
        </w:rPr>
        <w:t>nent of Hourly Priced Service (</w:t>
      </w:r>
      <w:r w:rsidRPr="00F86C9A">
        <w:rPr>
          <w:sz w:val="24"/>
          <w:szCs w:val="24"/>
        </w:rPr>
        <w:t>HPS) for Large C&amp;I Hourly Default Service will be the real-time hourly PJM Locational Marginal Price (LMP) for the PJM West Hub.  CEW M.B. at 22-23.</w:t>
      </w:r>
    </w:p>
    <w:p w:rsidR="000A6815" w:rsidRPr="00F86C9A" w:rsidRDefault="000A6815" w:rsidP="00490590">
      <w:pPr>
        <w:pStyle w:val="ListParagraph"/>
        <w:spacing w:line="360" w:lineRule="auto"/>
      </w:pPr>
    </w:p>
    <w:p w:rsidR="000A6815" w:rsidRPr="00F86C9A" w:rsidRDefault="000A6815" w:rsidP="000A6815">
      <w:pPr>
        <w:pStyle w:val="BodyTextIndent"/>
        <w:numPr>
          <w:ilvl w:val="0"/>
          <w:numId w:val="19"/>
        </w:numPr>
        <w:spacing w:line="360" w:lineRule="auto"/>
        <w:ind w:left="0" w:firstLine="1440"/>
        <w:jc w:val="left"/>
        <w:rPr>
          <w:sz w:val="24"/>
          <w:szCs w:val="24"/>
        </w:rPr>
      </w:pPr>
      <w:r w:rsidRPr="00F86C9A">
        <w:rPr>
          <w:sz w:val="24"/>
          <w:szCs w:val="24"/>
        </w:rPr>
        <w:t>The proposed procurement plan will include a Reli</w:t>
      </w:r>
      <w:r w:rsidR="00165034" w:rsidRPr="00F86C9A">
        <w:rPr>
          <w:sz w:val="24"/>
          <w:szCs w:val="24"/>
        </w:rPr>
        <w:t>ability Pricing Model Auction (</w:t>
      </w:r>
      <w:r w:rsidRPr="00F86C9A">
        <w:rPr>
          <w:sz w:val="24"/>
          <w:szCs w:val="24"/>
        </w:rPr>
        <w:t>Capacity)—</w:t>
      </w:r>
      <w:proofErr w:type="spellStart"/>
      <w:r w:rsidRPr="00F86C9A">
        <w:rPr>
          <w:sz w:val="24"/>
          <w:szCs w:val="24"/>
        </w:rPr>
        <w:t>passthrough</w:t>
      </w:r>
      <w:proofErr w:type="spellEnd"/>
      <w:r w:rsidRPr="00F86C9A">
        <w:rPr>
          <w:sz w:val="24"/>
          <w:szCs w:val="24"/>
        </w:rPr>
        <w:t xml:space="preserve"> of actual monthly costs for the default service load, without markup.  CEW M.B. at 22-23.</w:t>
      </w:r>
    </w:p>
    <w:p w:rsidR="000A6815" w:rsidRPr="00F86C9A" w:rsidRDefault="000A6815" w:rsidP="00490590">
      <w:pPr>
        <w:pStyle w:val="ListParagraph"/>
        <w:spacing w:line="360" w:lineRule="auto"/>
      </w:pPr>
    </w:p>
    <w:p w:rsidR="000A6815" w:rsidRPr="00F86C9A" w:rsidRDefault="000A6815" w:rsidP="000A6815">
      <w:pPr>
        <w:pStyle w:val="BodyTextIndent"/>
        <w:numPr>
          <w:ilvl w:val="0"/>
          <w:numId w:val="19"/>
        </w:numPr>
        <w:spacing w:line="360" w:lineRule="auto"/>
        <w:ind w:left="0" w:firstLine="1440"/>
        <w:jc w:val="left"/>
        <w:rPr>
          <w:sz w:val="24"/>
          <w:szCs w:val="24"/>
        </w:rPr>
      </w:pPr>
      <w:r w:rsidRPr="00F86C9A">
        <w:rPr>
          <w:sz w:val="24"/>
          <w:szCs w:val="24"/>
        </w:rPr>
        <w:t>The proposed procurement plan will include a Network In</w:t>
      </w:r>
      <w:r w:rsidR="00165034" w:rsidRPr="00F86C9A">
        <w:rPr>
          <w:sz w:val="24"/>
          <w:szCs w:val="24"/>
        </w:rPr>
        <w:t>tegrated Transmission Service (</w:t>
      </w:r>
      <w:r w:rsidRPr="00F86C9A">
        <w:rPr>
          <w:sz w:val="24"/>
          <w:szCs w:val="24"/>
        </w:rPr>
        <w:t>NITS)—</w:t>
      </w:r>
      <w:proofErr w:type="spellStart"/>
      <w:r w:rsidRPr="00F86C9A">
        <w:rPr>
          <w:sz w:val="24"/>
          <w:szCs w:val="24"/>
        </w:rPr>
        <w:t>passthrough</w:t>
      </w:r>
      <w:proofErr w:type="spellEnd"/>
      <w:r w:rsidRPr="00F86C9A">
        <w:rPr>
          <w:sz w:val="24"/>
          <w:szCs w:val="24"/>
        </w:rPr>
        <w:t xml:space="preserve"> of actual monthly costs for the default service load, without markup.  CEW M.B. at 22-23.</w:t>
      </w:r>
    </w:p>
    <w:p w:rsidR="000A6815" w:rsidRPr="00F86C9A" w:rsidRDefault="000A6815" w:rsidP="00490590">
      <w:pPr>
        <w:pStyle w:val="ListParagraph"/>
        <w:spacing w:line="360" w:lineRule="auto"/>
      </w:pPr>
    </w:p>
    <w:p w:rsidR="000A6815" w:rsidRPr="00F86C9A" w:rsidRDefault="000A6815" w:rsidP="000A6815">
      <w:pPr>
        <w:pStyle w:val="BodyTextIndent"/>
        <w:numPr>
          <w:ilvl w:val="0"/>
          <w:numId w:val="19"/>
        </w:numPr>
        <w:spacing w:line="360" w:lineRule="auto"/>
        <w:ind w:left="0" w:firstLine="1440"/>
        <w:jc w:val="left"/>
        <w:rPr>
          <w:sz w:val="24"/>
          <w:szCs w:val="24"/>
        </w:rPr>
      </w:pPr>
      <w:r w:rsidRPr="00F86C9A">
        <w:rPr>
          <w:sz w:val="24"/>
          <w:szCs w:val="24"/>
        </w:rPr>
        <w:t xml:space="preserve">The proposed procurement plan will include a Supplier Adder—per-kWh charge applicable to both fixed and hourly energy supply that covers all other costs to deliver default service power to the Citizens' or Wellsboro Aggregate Bus, including congestion, marginal losses, Alternative Energy Portfolio Standards </w:t>
      </w:r>
      <w:r w:rsidR="00165034" w:rsidRPr="00F86C9A">
        <w:rPr>
          <w:sz w:val="24"/>
          <w:szCs w:val="24"/>
        </w:rPr>
        <w:t>(</w:t>
      </w:r>
      <w:r w:rsidRPr="00F86C9A">
        <w:rPr>
          <w:sz w:val="24"/>
          <w:szCs w:val="24"/>
        </w:rPr>
        <w:t xml:space="preserve">AEPS) Act compliance, and transmission losses, as well as all risks associated with default service customer usage variability, customer migration (switching to an EGS for supply service or returning to default service as permitted under the Companies' tariffs and Pennsylvania law) and deviations between the forward pricing and actual costs.  The Supplier Adder may be different for each territory, but will remain fixed for the 3-year contract term. </w:t>
      </w:r>
      <w:r w:rsidR="00490590">
        <w:rPr>
          <w:sz w:val="24"/>
          <w:szCs w:val="24"/>
        </w:rPr>
        <w:t xml:space="preserve"> </w:t>
      </w:r>
      <w:r w:rsidRPr="00F86C9A">
        <w:rPr>
          <w:sz w:val="24"/>
          <w:szCs w:val="24"/>
        </w:rPr>
        <w:t>CEW M.B. at 22-23.</w:t>
      </w:r>
    </w:p>
    <w:p w:rsidR="000A6815" w:rsidRPr="00F86C9A" w:rsidRDefault="000A6815" w:rsidP="00490590">
      <w:pPr>
        <w:pStyle w:val="ListParagraph"/>
        <w:spacing w:line="360" w:lineRule="auto"/>
      </w:pPr>
    </w:p>
    <w:p w:rsidR="00165034" w:rsidRPr="00F86C9A" w:rsidRDefault="000A6815" w:rsidP="000A6815">
      <w:pPr>
        <w:pStyle w:val="BodyTextIndent"/>
        <w:numPr>
          <w:ilvl w:val="0"/>
          <w:numId w:val="19"/>
        </w:numPr>
        <w:spacing w:line="360" w:lineRule="auto"/>
        <w:ind w:left="0" w:firstLine="1440"/>
        <w:jc w:val="left"/>
        <w:rPr>
          <w:sz w:val="24"/>
          <w:szCs w:val="24"/>
        </w:rPr>
      </w:pPr>
      <w:r w:rsidRPr="00F86C9A">
        <w:rPr>
          <w:sz w:val="24"/>
          <w:szCs w:val="24"/>
        </w:rPr>
        <w:t>The wholesale supplier serving each Company will adjust the energy cost component on semi-annual “Trigger Dates” with the energy component remaining fixed for six months following each adjustment</w:t>
      </w:r>
      <w:r w:rsidR="00165034" w:rsidRPr="00F86C9A">
        <w:rPr>
          <w:sz w:val="24"/>
          <w:szCs w:val="24"/>
        </w:rPr>
        <w:t>.  CEW M.B. at 22-23.</w:t>
      </w:r>
    </w:p>
    <w:p w:rsidR="00165034" w:rsidRPr="00F86C9A" w:rsidRDefault="00165034" w:rsidP="00490590">
      <w:pPr>
        <w:pStyle w:val="ListParagraph"/>
        <w:spacing w:line="360" w:lineRule="auto"/>
      </w:pPr>
    </w:p>
    <w:p w:rsidR="000A6815" w:rsidRPr="00F86C9A" w:rsidRDefault="000A6815" w:rsidP="000A6815">
      <w:pPr>
        <w:pStyle w:val="BodyTextIndent"/>
        <w:numPr>
          <w:ilvl w:val="0"/>
          <w:numId w:val="19"/>
        </w:numPr>
        <w:spacing w:line="360" w:lineRule="auto"/>
        <w:ind w:left="0" w:firstLine="1440"/>
        <w:jc w:val="left"/>
        <w:rPr>
          <w:sz w:val="24"/>
          <w:szCs w:val="24"/>
        </w:rPr>
      </w:pPr>
      <w:r w:rsidRPr="00F86C9A">
        <w:rPr>
          <w:sz w:val="24"/>
          <w:szCs w:val="24"/>
        </w:rPr>
        <w:t>Large C&amp;I customers’ rates would track real-time market conditions.  CEW M.B. at 22-23.</w:t>
      </w:r>
    </w:p>
    <w:p w:rsidR="000A6815" w:rsidRPr="00F86C9A" w:rsidRDefault="000A6815" w:rsidP="00490590">
      <w:pPr>
        <w:pStyle w:val="ListParagraph"/>
        <w:spacing w:line="360" w:lineRule="auto"/>
      </w:pPr>
    </w:p>
    <w:p w:rsidR="000A6815" w:rsidRPr="00F86C9A" w:rsidRDefault="000A6815" w:rsidP="000A6815">
      <w:pPr>
        <w:pStyle w:val="BodyTextIndent"/>
        <w:numPr>
          <w:ilvl w:val="0"/>
          <w:numId w:val="19"/>
        </w:numPr>
        <w:spacing w:line="360" w:lineRule="auto"/>
        <w:ind w:left="0" w:firstLine="1440"/>
        <w:jc w:val="left"/>
        <w:rPr>
          <w:sz w:val="24"/>
          <w:szCs w:val="24"/>
        </w:rPr>
      </w:pPr>
      <w:r w:rsidRPr="00F86C9A">
        <w:rPr>
          <w:sz w:val="24"/>
          <w:szCs w:val="24"/>
        </w:rPr>
        <w:t>The Companies currently recover default service costs through a Generation Supply Service Rate (GSSR) which they propose to continue to recover default service costs in the proposed procurement plan, although the proposal to index energy costs for Residential and Small C&amp;I customers while offering hourly-priced service for Large C&amp;I customers requires a bifurcation of the existing GSSR.  CEW M.B. at 28.</w:t>
      </w:r>
    </w:p>
    <w:p w:rsidR="000A6815" w:rsidRPr="00F86C9A" w:rsidRDefault="000A6815" w:rsidP="003F653D">
      <w:pPr>
        <w:pStyle w:val="ListParagraph"/>
        <w:spacing w:line="360" w:lineRule="auto"/>
      </w:pPr>
    </w:p>
    <w:p w:rsidR="000A6815" w:rsidRPr="00F86C9A" w:rsidRDefault="000A6815" w:rsidP="000A6815">
      <w:pPr>
        <w:pStyle w:val="BodyTextIndent"/>
        <w:numPr>
          <w:ilvl w:val="0"/>
          <w:numId w:val="19"/>
        </w:numPr>
        <w:spacing w:line="360" w:lineRule="auto"/>
        <w:ind w:left="0" w:firstLine="1440"/>
        <w:jc w:val="left"/>
        <w:rPr>
          <w:sz w:val="24"/>
          <w:szCs w:val="24"/>
        </w:rPr>
      </w:pPr>
      <w:r w:rsidRPr="00F86C9A">
        <w:rPr>
          <w:sz w:val="24"/>
          <w:szCs w:val="24"/>
        </w:rPr>
        <w:t>The Companies propose to modify the collection and reconciliation provisions to accommodate the six-month pricing periods applicable to Residential and Small C&amp;I customers and modify the GSSR by transferring recovery of certain Wellsboro-specific costs from the Companies’ GSSR to the Wellsboro Customer Choice Support Charge (CCSC) Rider.  CEW M.B. at 28.</w:t>
      </w:r>
    </w:p>
    <w:p w:rsidR="000A6815" w:rsidRPr="00F86C9A" w:rsidRDefault="000A6815" w:rsidP="004A7989">
      <w:pPr>
        <w:pStyle w:val="ListParagraph"/>
        <w:spacing w:line="360" w:lineRule="auto"/>
      </w:pPr>
    </w:p>
    <w:p w:rsidR="000A6815" w:rsidRPr="00F86C9A" w:rsidRDefault="004A7989" w:rsidP="000A6815">
      <w:pPr>
        <w:pStyle w:val="BodyTextIndent"/>
        <w:numPr>
          <w:ilvl w:val="0"/>
          <w:numId w:val="19"/>
        </w:numPr>
        <w:spacing w:line="360" w:lineRule="auto"/>
        <w:ind w:left="0" w:firstLine="1440"/>
        <w:jc w:val="left"/>
        <w:rPr>
          <w:sz w:val="24"/>
          <w:szCs w:val="24"/>
        </w:rPr>
      </w:pPr>
      <w:r>
        <w:rPr>
          <w:sz w:val="24"/>
          <w:szCs w:val="24"/>
        </w:rPr>
        <w:t xml:space="preserve">The GSSR-1 will consist of: (1) </w:t>
      </w:r>
      <w:r w:rsidR="000A6815" w:rsidRPr="00F86C9A">
        <w:rPr>
          <w:sz w:val="24"/>
          <w:szCs w:val="24"/>
        </w:rPr>
        <w:t xml:space="preserve">projected Purchased Power Costs (the fixed energy rate + the Supplier Adder + Projected NITS costs for the GSSR-1 class + Projected Capacity Costs for the GSSR-1 Class + Company Administrative Costs); </w:t>
      </w:r>
      <w:r w:rsidR="000A6815" w:rsidRPr="00F86C9A">
        <w:rPr>
          <w:b/>
          <w:sz w:val="24"/>
          <w:szCs w:val="24"/>
        </w:rPr>
        <w:t>plus or minus</w:t>
      </w:r>
      <w:r w:rsidR="000A6815" w:rsidRPr="00F86C9A">
        <w:rPr>
          <w:i/>
          <w:sz w:val="24"/>
          <w:szCs w:val="24"/>
        </w:rPr>
        <w:t xml:space="preserve"> </w:t>
      </w:r>
      <w:r>
        <w:rPr>
          <w:sz w:val="24"/>
          <w:szCs w:val="24"/>
        </w:rPr>
        <w:t xml:space="preserve">(2) </w:t>
      </w:r>
      <w:r w:rsidR="000A6815" w:rsidRPr="00F86C9A">
        <w:rPr>
          <w:sz w:val="24"/>
          <w:szCs w:val="24"/>
        </w:rPr>
        <w:t xml:space="preserve">the Reconciliation Period E-factor; </w:t>
      </w:r>
      <w:r w:rsidR="000A6815" w:rsidRPr="00F86C9A">
        <w:rPr>
          <w:b/>
          <w:sz w:val="24"/>
          <w:szCs w:val="24"/>
        </w:rPr>
        <w:t>divided by</w:t>
      </w:r>
      <w:r>
        <w:rPr>
          <w:sz w:val="24"/>
          <w:szCs w:val="24"/>
        </w:rPr>
        <w:t xml:space="preserve"> (3) </w:t>
      </w:r>
      <w:r w:rsidR="000A6815" w:rsidRPr="00F86C9A">
        <w:rPr>
          <w:sz w:val="24"/>
          <w:szCs w:val="24"/>
        </w:rPr>
        <w:t xml:space="preserve">projected metered sales to GSSR-1 default service customers; </w:t>
      </w:r>
      <w:r w:rsidR="000A6815" w:rsidRPr="00F86C9A">
        <w:rPr>
          <w:b/>
          <w:sz w:val="24"/>
          <w:szCs w:val="24"/>
        </w:rPr>
        <w:t xml:space="preserve">times </w:t>
      </w:r>
      <w:r>
        <w:rPr>
          <w:sz w:val="24"/>
          <w:szCs w:val="24"/>
        </w:rPr>
        <w:t xml:space="preserve">(4) </w:t>
      </w:r>
      <w:r w:rsidR="000A6815" w:rsidRPr="00F86C9A">
        <w:rPr>
          <w:sz w:val="24"/>
          <w:szCs w:val="24"/>
        </w:rPr>
        <w:t xml:space="preserve">a GRT gross-up.  CEW M.B. at 30, </w:t>
      </w:r>
      <w:r w:rsidR="000A6815" w:rsidRPr="00F86C9A">
        <w:rPr>
          <w:i/>
          <w:sz w:val="24"/>
          <w:szCs w:val="24"/>
        </w:rPr>
        <w:t>citing</w:t>
      </w:r>
      <w:r w:rsidR="000A6815" w:rsidRPr="00F86C9A">
        <w:rPr>
          <w:sz w:val="24"/>
          <w:szCs w:val="24"/>
        </w:rPr>
        <w:t>, CEW St. No. 3 at 5.</w:t>
      </w:r>
    </w:p>
    <w:p w:rsidR="000A6815" w:rsidRPr="00F86C9A" w:rsidRDefault="000A6815" w:rsidP="004A7989">
      <w:pPr>
        <w:pStyle w:val="ListParagraph"/>
        <w:spacing w:line="360" w:lineRule="auto"/>
      </w:pPr>
    </w:p>
    <w:p w:rsidR="000A6815" w:rsidRPr="00F86C9A" w:rsidRDefault="000A6815" w:rsidP="000A6815">
      <w:pPr>
        <w:pStyle w:val="BodyTextIndent"/>
        <w:numPr>
          <w:ilvl w:val="0"/>
          <w:numId w:val="19"/>
        </w:numPr>
        <w:spacing w:line="360" w:lineRule="auto"/>
        <w:ind w:left="0" w:firstLine="1440"/>
        <w:jc w:val="left"/>
        <w:rPr>
          <w:sz w:val="24"/>
          <w:szCs w:val="24"/>
        </w:rPr>
      </w:pPr>
      <w:r w:rsidRPr="00F86C9A">
        <w:rPr>
          <w:sz w:val="24"/>
          <w:szCs w:val="24"/>
        </w:rPr>
        <w:t>The transmission and capacity cost components will also be charged on a fixed per-kwh basis for each 6-month pricing period and all remaining costs to deliver default service power will be assigned to the wholesale suppliers and recovered through the fixed-price Supplier Adder.  CEW M.B. at 31.</w:t>
      </w:r>
    </w:p>
    <w:p w:rsidR="000A6815" w:rsidRPr="00F86C9A" w:rsidRDefault="000A6815" w:rsidP="00C10F8E">
      <w:pPr>
        <w:pStyle w:val="ListParagraph"/>
        <w:spacing w:line="360" w:lineRule="auto"/>
      </w:pPr>
    </w:p>
    <w:p w:rsidR="000A6815" w:rsidRPr="00F86C9A" w:rsidRDefault="000A6815" w:rsidP="000A6815">
      <w:pPr>
        <w:pStyle w:val="BodyTextIndent"/>
        <w:numPr>
          <w:ilvl w:val="0"/>
          <w:numId w:val="19"/>
        </w:numPr>
        <w:spacing w:line="360" w:lineRule="auto"/>
        <w:ind w:left="0" w:firstLine="1440"/>
        <w:jc w:val="left"/>
        <w:rPr>
          <w:sz w:val="24"/>
          <w:szCs w:val="24"/>
        </w:rPr>
      </w:pPr>
      <w:r w:rsidRPr="00F86C9A">
        <w:rPr>
          <w:sz w:val="24"/>
          <w:szCs w:val="24"/>
        </w:rPr>
        <w:t xml:space="preserve">The GSSR-2 for the Large C&amp;I customers duplicates the structure of the GSSR-1, except that the GSSR-2 price components reflect real-time market conditions and replace the fixed energy cost component with the hourly-priced service and substitute the projected per –kwh capacity and transmission costs with real-time demand-based capacity and transmission cost allocators.  CEW M.B. at 32, </w:t>
      </w:r>
      <w:r w:rsidRPr="00F86C9A">
        <w:rPr>
          <w:i/>
          <w:sz w:val="24"/>
          <w:szCs w:val="24"/>
        </w:rPr>
        <w:t>citing</w:t>
      </w:r>
      <w:r w:rsidRPr="00F86C9A">
        <w:rPr>
          <w:sz w:val="24"/>
          <w:szCs w:val="24"/>
        </w:rPr>
        <w:t>, CEW St. No. 3 at 6.</w:t>
      </w:r>
    </w:p>
    <w:p w:rsidR="000A6815" w:rsidRPr="00F86C9A" w:rsidRDefault="000A6815" w:rsidP="00C10F8E">
      <w:pPr>
        <w:pStyle w:val="ListParagraph"/>
        <w:spacing w:line="360" w:lineRule="auto"/>
      </w:pPr>
    </w:p>
    <w:p w:rsidR="000A6815" w:rsidRPr="00F86C9A" w:rsidRDefault="000A6815" w:rsidP="000A6815">
      <w:pPr>
        <w:pStyle w:val="BodyTextIndent"/>
        <w:numPr>
          <w:ilvl w:val="0"/>
          <w:numId w:val="19"/>
        </w:numPr>
        <w:spacing w:line="360" w:lineRule="auto"/>
        <w:ind w:left="0" w:firstLine="1440"/>
        <w:jc w:val="left"/>
        <w:rPr>
          <w:sz w:val="24"/>
          <w:szCs w:val="24"/>
        </w:rPr>
      </w:pPr>
      <w:r w:rsidRPr="00F86C9A">
        <w:rPr>
          <w:sz w:val="24"/>
          <w:szCs w:val="24"/>
        </w:rPr>
        <w:t>Both the GSSR-1 and the GSSR-2 would represent the Companies’ Price to Compare (PTC) for the respective customer classes.  CEW M.B. at 33.</w:t>
      </w:r>
    </w:p>
    <w:p w:rsidR="000A6815" w:rsidRPr="00F86C9A" w:rsidRDefault="000A6815" w:rsidP="00C10F8E">
      <w:pPr>
        <w:pStyle w:val="ListParagraph"/>
        <w:spacing w:line="360" w:lineRule="auto"/>
      </w:pPr>
    </w:p>
    <w:p w:rsidR="000A6815" w:rsidRPr="00F86C9A" w:rsidRDefault="000A6815" w:rsidP="000A6815">
      <w:pPr>
        <w:pStyle w:val="BodyTextIndent"/>
        <w:numPr>
          <w:ilvl w:val="0"/>
          <w:numId w:val="19"/>
        </w:numPr>
        <w:spacing w:line="360" w:lineRule="auto"/>
        <w:ind w:left="0" w:firstLine="1440"/>
        <w:jc w:val="left"/>
        <w:rPr>
          <w:sz w:val="24"/>
          <w:szCs w:val="24"/>
        </w:rPr>
      </w:pPr>
      <w:r w:rsidRPr="00F86C9A">
        <w:rPr>
          <w:sz w:val="24"/>
          <w:szCs w:val="24"/>
        </w:rPr>
        <w:t>Certain additional costs associated with the Companies’ default service obligations, including costs incurred by Wellsboro for use of certain sub-transmission lines owned by Penelec, will be recovered through the CCSC Rider currently pending before the Commission instead of recovering such costs through Wellsboro’s GSSR.  CEW M.B. at 33.</w:t>
      </w:r>
    </w:p>
    <w:p w:rsidR="000A6815" w:rsidRPr="00F86C9A" w:rsidRDefault="000A6815" w:rsidP="00C10F8E">
      <w:pPr>
        <w:pStyle w:val="ListParagraph"/>
        <w:spacing w:line="360" w:lineRule="auto"/>
      </w:pPr>
    </w:p>
    <w:p w:rsidR="000A6815" w:rsidRPr="00F86C9A" w:rsidRDefault="000A6815" w:rsidP="000A6815">
      <w:pPr>
        <w:pStyle w:val="BodyTextIndent"/>
        <w:numPr>
          <w:ilvl w:val="0"/>
          <w:numId w:val="19"/>
        </w:numPr>
        <w:spacing w:line="360" w:lineRule="auto"/>
        <w:ind w:left="0" w:firstLine="1440"/>
        <w:jc w:val="left"/>
        <w:rPr>
          <w:sz w:val="24"/>
          <w:szCs w:val="24"/>
        </w:rPr>
      </w:pPr>
      <w:r w:rsidRPr="00F86C9A">
        <w:rPr>
          <w:sz w:val="24"/>
          <w:szCs w:val="24"/>
        </w:rPr>
        <w:t xml:space="preserve">The Companies procurement plan also includes a contingency plan to ensure the reliable provision of default service when a wholesale generation supplier fails to meet its contractual obligations.  CEW M.B. at 35, </w:t>
      </w:r>
      <w:r w:rsidRPr="00F86C9A">
        <w:rPr>
          <w:i/>
          <w:sz w:val="24"/>
          <w:szCs w:val="24"/>
        </w:rPr>
        <w:t>citing</w:t>
      </w:r>
      <w:r w:rsidRPr="00F86C9A">
        <w:rPr>
          <w:sz w:val="24"/>
          <w:szCs w:val="24"/>
        </w:rPr>
        <w:t>, CEW St. No. 2 at 19-20.</w:t>
      </w:r>
    </w:p>
    <w:p w:rsidR="000A6815" w:rsidRPr="00F86C9A" w:rsidRDefault="000A6815" w:rsidP="00C10F8E">
      <w:pPr>
        <w:pStyle w:val="ListParagraph"/>
        <w:spacing w:line="360" w:lineRule="auto"/>
      </w:pPr>
    </w:p>
    <w:p w:rsidR="000A6815" w:rsidRPr="00F86C9A" w:rsidRDefault="000A6815" w:rsidP="000A6815">
      <w:pPr>
        <w:pStyle w:val="BodyTextIndent"/>
        <w:numPr>
          <w:ilvl w:val="0"/>
          <w:numId w:val="19"/>
        </w:numPr>
        <w:spacing w:line="360" w:lineRule="auto"/>
        <w:ind w:left="0" w:firstLine="1440"/>
        <w:jc w:val="left"/>
        <w:rPr>
          <w:sz w:val="24"/>
          <w:szCs w:val="24"/>
        </w:rPr>
      </w:pPr>
      <w:r w:rsidRPr="00F86C9A">
        <w:rPr>
          <w:sz w:val="24"/>
          <w:szCs w:val="24"/>
        </w:rPr>
        <w:t>The Companies’ proposed procurement plan proposes to continue the RME programs adopted through the prior DSP but requests a waiver of any requirement to implement Instant Connects or Seamless Moves pending implementation of</w:t>
      </w:r>
      <w:r w:rsidR="00165034" w:rsidRPr="00F86C9A">
        <w:rPr>
          <w:sz w:val="24"/>
          <w:szCs w:val="24"/>
        </w:rPr>
        <w:t xml:space="preserve"> Electric Data Interchange (</w:t>
      </w:r>
      <w:r w:rsidRPr="00F86C9A">
        <w:rPr>
          <w:sz w:val="24"/>
          <w:szCs w:val="24"/>
        </w:rPr>
        <w:t>EDI</w:t>
      </w:r>
      <w:r w:rsidR="00165034" w:rsidRPr="00F86C9A">
        <w:rPr>
          <w:sz w:val="24"/>
          <w:szCs w:val="24"/>
        </w:rPr>
        <w:t>)</w:t>
      </w:r>
      <w:r w:rsidRPr="00F86C9A">
        <w:rPr>
          <w:sz w:val="24"/>
          <w:szCs w:val="24"/>
        </w:rPr>
        <w:t xml:space="preserve"> software in the service territories.  CEW M.B. at 36.</w:t>
      </w:r>
    </w:p>
    <w:p w:rsidR="000A6815" w:rsidRPr="00F86C9A" w:rsidRDefault="000A6815" w:rsidP="000A6815">
      <w:pPr>
        <w:pStyle w:val="BodyTextIndent"/>
        <w:numPr>
          <w:ilvl w:val="0"/>
          <w:numId w:val="19"/>
        </w:numPr>
        <w:spacing w:line="360" w:lineRule="auto"/>
        <w:ind w:left="0" w:firstLine="1440"/>
        <w:jc w:val="left"/>
        <w:rPr>
          <w:sz w:val="24"/>
          <w:szCs w:val="24"/>
        </w:rPr>
      </w:pPr>
      <w:r w:rsidRPr="00F86C9A">
        <w:rPr>
          <w:sz w:val="24"/>
          <w:szCs w:val="24"/>
        </w:rPr>
        <w:t xml:space="preserve">Both Seamless Moves and Instant Connects are predicated on operational EDI software.  CEW M.B. at 37, </w:t>
      </w:r>
      <w:r w:rsidRPr="00F86C9A">
        <w:rPr>
          <w:i/>
          <w:sz w:val="24"/>
          <w:szCs w:val="24"/>
        </w:rPr>
        <w:t>citing</w:t>
      </w:r>
      <w:r w:rsidRPr="00F86C9A">
        <w:rPr>
          <w:sz w:val="24"/>
          <w:szCs w:val="24"/>
        </w:rPr>
        <w:t>, CEW St. No. 1 at 11.</w:t>
      </w:r>
    </w:p>
    <w:p w:rsidR="000A6815" w:rsidRPr="00F86C9A" w:rsidRDefault="000A6815" w:rsidP="007011A4">
      <w:pPr>
        <w:pStyle w:val="ListParagraph"/>
        <w:spacing w:line="360" w:lineRule="auto"/>
      </w:pPr>
    </w:p>
    <w:p w:rsidR="000A6815" w:rsidRPr="00F86C9A" w:rsidRDefault="000A6815" w:rsidP="000A6815">
      <w:pPr>
        <w:pStyle w:val="BodyTextIndent"/>
        <w:numPr>
          <w:ilvl w:val="0"/>
          <w:numId w:val="19"/>
        </w:numPr>
        <w:spacing w:line="360" w:lineRule="auto"/>
        <w:ind w:left="0" w:firstLine="1440"/>
        <w:jc w:val="left"/>
        <w:rPr>
          <w:sz w:val="24"/>
          <w:szCs w:val="24"/>
        </w:rPr>
      </w:pPr>
      <w:r w:rsidRPr="00F86C9A">
        <w:rPr>
          <w:sz w:val="24"/>
          <w:szCs w:val="24"/>
        </w:rPr>
        <w:t>The Companies expect to complete implementation of EDI software by May 31, 2015.  CEW M.B. at 37.</w:t>
      </w:r>
    </w:p>
    <w:p w:rsidR="000A6815" w:rsidRPr="00F86C9A" w:rsidRDefault="000A6815" w:rsidP="001624C0">
      <w:pPr>
        <w:pStyle w:val="ListParagraph"/>
        <w:spacing w:line="360" w:lineRule="auto"/>
      </w:pPr>
    </w:p>
    <w:p w:rsidR="000A6815" w:rsidRPr="00F86C9A" w:rsidRDefault="000A6815" w:rsidP="000A6815">
      <w:pPr>
        <w:pStyle w:val="BodyTextIndent"/>
        <w:numPr>
          <w:ilvl w:val="0"/>
          <w:numId w:val="19"/>
        </w:numPr>
        <w:spacing w:line="360" w:lineRule="auto"/>
        <w:ind w:left="0" w:firstLine="1440"/>
        <w:jc w:val="left"/>
        <w:rPr>
          <w:sz w:val="24"/>
          <w:szCs w:val="24"/>
        </w:rPr>
      </w:pPr>
      <w:r w:rsidRPr="00F86C9A">
        <w:rPr>
          <w:sz w:val="24"/>
          <w:szCs w:val="24"/>
        </w:rPr>
        <w:t xml:space="preserve">The Companies agreed to increase the minimum number of qualified bids to three.  OSBA M.B. at 8, </w:t>
      </w:r>
      <w:r w:rsidRPr="00F86C9A">
        <w:rPr>
          <w:i/>
          <w:sz w:val="24"/>
          <w:szCs w:val="24"/>
        </w:rPr>
        <w:t>citing</w:t>
      </w:r>
      <w:r w:rsidR="001624C0">
        <w:rPr>
          <w:sz w:val="24"/>
          <w:szCs w:val="24"/>
        </w:rPr>
        <w:t>, CEW St. No. 2-R at 2.</w:t>
      </w:r>
    </w:p>
    <w:p w:rsidR="000A6815" w:rsidRPr="00F86C9A" w:rsidRDefault="000A6815" w:rsidP="001624C0">
      <w:pPr>
        <w:pStyle w:val="ListParagraph"/>
        <w:spacing w:line="360" w:lineRule="auto"/>
      </w:pPr>
    </w:p>
    <w:p w:rsidR="000A6815" w:rsidRPr="00F86C9A" w:rsidRDefault="000A6815" w:rsidP="000A6815">
      <w:pPr>
        <w:pStyle w:val="BodyTextIndent"/>
        <w:numPr>
          <w:ilvl w:val="0"/>
          <w:numId w:val="19"/>
        </w:numPr>
        <w:spacing w:line="360" w:lineRule="auto"/>
        <w:ind w:left="0" w:firstLine="1440"/>
        <w:jc w:val="left"/>
        <w:rPr>
          <w:sz w:val="24"/>
          <w:szCs w:val="24"/>
        </w:rPr>
      </w:pPr>
      <w:r w:rsidRPr="00F86C9A">
        <w:rPr>
          <w:sz w:val="24"/>
          <w:szCs w:val="24"/>
        </w:rPr>
        <w:t xml:space="preserve">The Companies offer two energy products:  </w:t>
      </w:r>
      <w:r w:rsidR="00D324EE" w:rsidRPr="00F86C9A">
        <w:rPr>
          <w:sz w:val="24"/>
          <w:szCs w:val="24"/>
        </w:rPr>
        <w:t xml:space="preserve">an </w:t>
      </w:r>
      <w:r w:rsidRPr="00F86C9A">
        <w:rPr>
          <w:sz w:val="24"/>
          <w:szCs w:val="24"/>
        </w:rPr>
        <w:t xml:space="preserve">indexed energy supply for Residential and Small C&amp;I customers and </w:t>
      </w:r>
      <w:r w:rsidR="00D324EE" w:rsidRPr="00F86C9A">
        <w:rPr>
          <w:sz w:val="24"/>
          <w:szCs w:val="24"/>
        </w:rPr>
        <w:t xml:space="preserve">an </w:t>
      </w:r>
      <w:r w:rsidRPr="00F86C9A">
        <w:rPr>
          <w:sz w:val="24"/>
          <w:szCs w:val="24"/>
        </w:rPr>
        <w:t>hourly-priced service for Large C&amp;I customers.  CEW R.B. at 6.</w:t>
      </w:r>
    </w:p>
    <w:p w:rsidR="000A6815" w:rsidRPr="00F86C9A" w:rsidRDefault="000A6815" w:rsidP="001624C0">
      <w:pPr>
        <w:pStyle w:val="ListParagraph"/>
        <w:spacing w:line="360" w:lineRule="auto"/>
      </w:pPr>
    </w:p>
    <w:p w:rsidR="000A6815" w:rsidRPr="00F86C9A" w:rsidRDefault="000A6815" w:rsidP="000A6815">
      <w:pPr>
        <w:pStyle w:val="BodyTextIndent"/>
        <w:numPr>
          <w:ilvl w:val="0"/>
          <w:numId w:val="19"/>
        </w:numPr>
        <w:spacing w:line="360" w:lineRule="auto"/>
        <w:ind w:left="0" w:firstLine="1440"/>
        <w:jc w:val="left"/>
        <w:rPr>
          <w:sz w:val="24"/>
          <w:szCs w:val="24"/>
        </w:rPr>
      </w:pPr>
      <w:r w:rsidRPr="00F86C9A">
        <w:rPr>
          <w:sz w:val="24"/>
          <w:szCs w:val="24"/>
        </w:rPr>
        <w:t>The proposed procurement plan is not a single product</w:t>
      </w:r>
      <w:r w:rsidR="00165034" w:rsidRPr="00F86C9A">
        <w:rPr>
          <w:sz w:val="24"/>
          <w:szCs w:val="24"/>
        </w:rPr>
        <w:t xml:space="preserve"> plan</w:t>
      </w:r>
      <w:r w:rsidRPr="00F86C9A">
        <w:rPr>
          <w:sz w:val="24"/>
          <w:szCs w:val="24"/>
        </w:rPr>
        <w:t>.</w:t>
      </w:r>
    </w:p>
    <w:p w:rsidR="000A6815" w:rsidRPr="00F86C9A" w:rsidRDefault="000A6815" w:rsidP="001624C0">
      <w:pPr>
        <w:pStyle w:val="ListParagraph"/>
        <w:spacing w:line="360" w:lineRule="auto"/>
      </w:pPr>
    </w:p>
    <w:p w:rsidR="000A6815" w:rsidRPr="00F86C9A" w:rsidRDefault="000A6815" w:rsidP="000A6815">
      <w:pPr>
        <w:pStyle w:val="BodyTextIndent"/>
        <w:numPr>
          <w:ilvl w:val="0"/>
          <w:numId w:val="19"/>
        </w:numPr>
        <w:spacing w:line="360" w:lineRule="auto"/>
        <w:ind w:left="0" w:firstLine="1440"/>
        <w:jc w:val="left"/>
        <w:rPr>
          <w:sz w:val="24"/>
          <w:szCs w:val="24"/>
        </w:rPr>
      </w:pPr>
      <w:r w:rsidRPr="00F86C9A">
        <w:rPr>
          <w:sz w:val="24"/>
          <w:szCs w:val="24"/>
        </w:rPr>
        <w:t>The Companies’ proposed procurement plan constitutes a prudent mix of supply consistent with the applicable statutory requirements.</w:t>
      </w:r>
    </w:p>
    <w:p w:rsidR="000A6815" w:rsidRPr="00F86C9A" w:rsidRDefault="000A6815" w:rsidP="001624C0">
      <w:pPr>
        <w:pStyle w:val="ListParagraph"/>
        <w:spacing w:line="360" w:lineRule="auto"/>
        <w:ind w:left="0" w:firstLine="1440"/>
      </w:pPr>
    </w:p>
    <w:p w:rsidR="000A6815" w:rsidRPr="00F86C9A" w:rsidRDefault="000A6815" w:rsidP="000A6815">
      <w:pPr>
        <w:pStyle w:val="BodyTextIndent"/>
        <w:numPr>
          <w:ilvl w:val="0"/>
          <w:numId w:val="19"/>
        </w:numPr>
        <w:spacing w:line="360" w:lineRule="auto"/>
        <w:ind w:left="0" w:firstLine="1440"/>
        <w:jc w:val="left"/>
        <w:rPr>
          <w:sz w:val="24"/>
          <w:szCs w:val="24"/>
        </w:rPr>
      </w:pPr>
      <w:r w:rsidRPr="00F86C9A">
        <w:rPr>
          <w:sz w:val="24"/>
          <w:szCs w:val="24"/>
        </w:rPr>
        <w:t>As the Companies expect EGSs to rapidly attract much of the Large C&amp;I load and eventually penetrate the Residential and Small C&amp;I markets, the Companies are concerned that continuation of the Stratified Plan would force remaining default service customers to pay increasingly high administrative costs and face reconciliation variability due to the decrease in default service load.  CEW M.B. at 16-17.</w:t>
      </w:r>
    </w:p>
    <w:p w:rsidR="000A6815" w:rsidRPr="00F86C9A" w:rsidRDefault="000A6815" w:rsidP="001624C0">
      <w:pPr>
        <w:pStyle w:val="ListParagraph"/>
        <w:spacing w:line="360" w:lineRule="auto"/>
        <w:ind w:left="0" w:firstLine="1440"/>
      </w:pPr>
    </w:p>
    <w:p w:rsidR="000A6815" w:rsidRPr="00F86C9A" w:rsidRDefault="000A6815" w:rsidP="000A6815">
      <w:pPr>
        <w:pStyle w:val="BodyTextIndent"/>
        <w:numPr>
          <w:ilvl w:val="0"/>
          <w:numId w:val="19"/>
        </w:numPr>
        <w:spacing w:line="360" w:lineRule="auto"/>
        <w:ind w:left="0" w:firstLine="1440"/>
        <w:jc w:val="left"/>
        <w:rPr>
          <w:sz w:val="24"/>
          <w:szCs w:val="24"/>
        </w:rPr>
      </w:pPr>
      <w:r w:rsidRPr="00F86C9A">
        <w:rPr>
          <w:sz w:val="24"/>
          <w:szCs w:val="24"/>
        </w:rPr>
        <w:t>Until recently, competitive shopping was virtually non-existent in the Companies service territory but two suppliers have become active during the current DSP period.  CEW M.B. at 17.</w:t>
      </w:r>
    </w:p>
    <w:p w:rsidR="000A6815" w:rsidRPr="00F86C9A" w:rsidRDefault="000A6815" w:rsidP="00B22093">
      <w:pPr>
        <w:pStyle w:val="ListParagraph"/>
        <w:spacing w:line="360" w:lineRule="auto"/>
        <w:ind w:left="0" w:firstLine="1440"/>
      </w:pPr>
    </w:p>
    <w:p w:rsidR="00D56DA2" w:rsidRDefault="000A6815" w:rsidP="000A6815">
      <w:pPr>
        <w:pStyle w:val="BodyTextIndent"/>
        <w:numPr>
          <w:ilvl w:val="0"/>
          <w:numId w:val="19"/>
        </w:numPr>
        <w:spacing w:line="360" w:lineRule="auto"/>
        <w:ind w:left="0" w:firstLine="1440"/>
        <w:jc w:val="left"/>
        <w:rPr>
          <w:sz w:val="24"/>
          <w:szCs w:val="24"/>
        </w:rPr>
      </w:pPr>
      <w:r w:rsidRPr="00F86C9A">
        <w:rPr>
          <w:sz w:val="24"/>
          <w:szCs w:val="24"/>
        </w:rPr>
        <w:t xml:space="preserve">Expanded EGS activity within the Companies’ service territories will erode the effectiveness of the Stratified Plan because the default load will become unpredictable </w:t>
      </w:r>
    </w:p>
    <w:p w:rsidR="00D56DA2" w:rsidRDefault="00D56DA2">
      <w:pPr>
        <w:autoSpaceDE/>
        <w:autoSpaceDN/>
      </w:pPr>
      <w:r>
        <w:br w:type="page"/>
      </w:r>
    </w:p>
    <w:p w:rsidR="000A6815" w:rsidRPr="00F86C9A" w:rsidRDefault="000A6815" w:rsidP="00D56DA2">
      <w:pPr>
        <w:pStyle w:val="BodyTextIndent"/>
        <w:spacing w:line="360" w:lineRule="auto"/>
        <w:ind w:left="0" w:firstLine="0"/>
        <w:jc w:val="left"/>
        <w:rPr>
          <w:sz w:val="24"/>
          <w:szCs w:val="24"/>
        </w:rPr>
      </w:pPr>
      <w:proofErr w:type="gramStart"/>
      <w:r w:rsidRPr="00F86C9A">
        <w:rPr>
          <w:sz w:val="24"/>
          <w:szCs w:val="24"/>
        </w:rPr>
        <w:t>and</w:t>
      </w:r>
      <w:proofErr w:type="gramEnd"/>
      <w:r w:rsidRPr="00F86C9A">
        <w:rPr>
          <w:sz w:val="24"/>
          <w:szCs w:val="24"/>
        </w:rPr>
        <w:t xml:space="preserve"> more difficult to accurately project block purchases that will be needed for the default service load.  </w:t>
      </w:r>
      <w:proofErr w:type="gramStart"/>
      <w:r w:rsidRPr="00F86C9A">
        <w:rPr>
          <w:sz w:val="24"/>
          <w:szCs w:val="24"/>
        </w:rPr>
        <w:t>CEW M.B. at 17</w:t>
      </w:r>
      <w:r w:rsidR="00D324EE" w:rsidRPr="00F86C9A">
        <w:rPr>
          <w:sz w:val="24"/>
          <w:szCs w:val="24"/>
        </w:rPr>
        <w:t>;</w:t>
      </w:r>
      <w:r w:rsidRPr="00F86C9A">
        <w:rPr>
          <w:sz w:val="24"/>
          <w:szCs w:val="24"/>
        </w:rPr>
        <w:t xml:space="preserve"> CEW St. No. 1 at 8.</w:t>
      </w:r>
      <w:proofErr w:type="gramEnd"/>
    </w:p>
    <w:p w:rsidR="000A6815" w:rsidRPr="00F86C9A" w:rsidRDefault="000A6815" w:rsidP="00B22093">
      <w:pPr>
        <w:pStyle w:val="ListParagraph"/>
        <w:spacing w:line="360" w:lineRule="auto"/>
        <w:ind w:left="0" w:firstLine="1440"/>
      </w:pPr>
    </w:p>
    <w:p w:rsidR="00E557B0" w:rsidRPr="00F86C9A" w:rsidRDefault="000A6815" w:rsidP="000A6815">
      <w:pPr>
        <w:pStyle w:val="BodyTextIndent"/>
        <w:numPr>
          <w:ilvl w:val="0"/>
          <w:numId w:val="19"/>
        </w:numPr>
        <w:spacing w:line="360" w:lineRule="auto"/>
        <w:ind w:left="0" w:firstLine="1440"/>
        <w:jc w:val="left"/>
        <w:rPr>
          <w:sz w:val="24"/>
          <w:szCs w:val="24"/>
        </w:rPr>
      </w:pPr>
      <w:r w:rsidRPr="00F86C9A">
        <w:rPr>
          <w:sz w:val="24"/>
          <w:szCs w:val="24"/>
        </w:rPr>
        <w:t xml:space="preserve">The onset of competitive shopping in CEW’s service territory exposes the Companies’ default service customers to the risk of settling overbought or </w:t>
      </w:r>
      <w:proofErr w:type="spellStart"/>
      <w:r w:rsidRPr="00F86C9A">
        <w:rPr>
          <w:sz w:val="24"/>
          <w:szCs w:val="24"/>
        </w:rPr>
        <w:t>underbou</w:t>
      </w:r>
      <w:r w:rsidR="00165034" w:rsidRPr="00F86C9A">
        <w:rPr>
          <w:sz w:val="24"/>
          <w:szCs w:val="24"/>
        </w:rPr>
        <w:t>ght</w:t>
      </w:r>
      <w:proofErr w:type="spellEnd"/>
      <w:r w:rsidR="00165034" w:rsidRPr="00F86C9A">
        <w:rPr>
          <w:sz w:val="24"/>
          <w:szCs w:val="24"/>
        </w:rPr>
        <w:t xml:space="preserve"> block purchases.</w:t>
      </w:r>
      <w:r w:rsidRPr="00F86C9A">
        <w:rPr>
          <w:sz w:val="24"/>
          <w:szCs w:val="24"/>
        </w:rPr>
        <w:t xml:space="preserve">  CEW M.B.</w:t>
      </w:r>
      <w:r w:rsidR="00E557B0" w:rsidRPr="00F86C9A">
        <w:rPr>
          <w:sz w:val="24"/>
          <w:szCs w:val="24"/>
        </w:rPr>
        <w:t xml:space="preserve"> </w:t>
      </w:r>
      <w:r w:rsidRPr="00F86C9A">
        <w:rPr>
          <w:sz w:val="24"/>
          <w:szCs w:val="24"/>
        </w:rPr>
        <w:t>at 18.</w:t>
      </w:r>
    </w:p>
    <w:p w:rsidR="00E557B0" w:rsidRPr="00F86C9A" w:rsidRDefault="00E557B0" w:rsidP="00901770">
      <w:pPr>
        <w:pStyle w:val="ListParagraph"/>
        <w:spacing w:line="360" w:lineRule="auto"/>
      </w:pPr>
    </w:p>
    <w:p w:rsidR="000A6815" w:rsidRPr="00F86C9A" w:rsidRDefault="00E557B0" w:rsidP="000A6815">
      <w:pPr>
        <w:pStyle w:val="BodyTextIndent"/>
        <w:numPr>
          <w:ilvl w:val="0"/>
          <w:numId w:val="19"/>
        </w:numPr>
        <w:spacing w:line="360" w:lineRule="auto"/>
        <w:ind w:left="0" w:firstLine="1440"/>
        <w:jc w:val="left"/>
        <w:rPr>
          <w:sz w:val="24"/>
          <w:szCs w:val="24"/>
        </w:rPr>
      </w:pPr>
      <w:r w:rsidRPr="00F86C9A">
        <w:rPr>
          <w:sz w:val="24"/>
          <w:szCs w:val="24"/>
        </w:rPr>
        <w:t>The Companies should monitor market conditions near the trigger dates and be flexible in selecting a trigger date if market conditions appear to be turning unfavorable to minimize the chances for increased costs.  OCA M.B. at 28-29; OCA St. No. 1 at 17-18.</w:t>
      </w:r>
    </w:p>
    <w:p w:rsidR="000A6815" w:rsidRPr="00F86C9A" w:rsidRDefault="000A6815" w:rsidP="00901770">
      <w:pPr>
        <w:pStyle w:val="ListParagraph"/>
        <w:spacing w:line="360" w:lineRule="auto"/>
        <w:ind w:left="0" w:firstLine="1440"/>
      </w:pPr>
    </w:p>
    <w:p w:rsidR="000A6815" w:rsidRPr="00F86C9A" w:rsidRDefault="000A6815" w:rsidP="000A6815">
      <w:pPr>
        <w:pStyle w:val="BodyTextIndent"/>
        <w:numPr>
          <w:ilvl w:val="0"/>
          <w:numId w:val="19"/>
        </w:numPr>
        <w:spacing w:line="360" w:lineRule="auto"/>
        <w:ind w:left="0" w:firstLine="1440"/>
        <w:jc w:val="left"/>
        <w:rPr>
          <w:sz w:val="24"/>
          <w:szCs w:val="24"/>
        </w:rPr>
      </w:pPr>
      <w:r w:rsidRPr="00F86C9A">
        <w:rPr>
          <w:sz w:val="24"/>
          <w:szCs w:val="24"/>
        </w:rPr>
        <w:t>The Stratified Plan may not adequately satisfy the Commission’s expectations</w:t>
      </w:r>
      <w:r w:rsidR="00165034" w:rsidRPr="00F86C9A">
        <w:rPr>
          <w:sz w:val="24"/>
          <w:szCs w:val="24"/>
        </w:rPr>
        <w:t xml:space="preserve"> </w:t>
      </w:r>
      <w:r w:rsidRPr="00F86C9A">
        <w:rPr>
          <w:sz w:val="24"/>
          <w:szCs w:val="24"/>
        </w:rPr>
        <w:t>for market-reflective DSPs.  CEW M.B. at 18-19.</w:t>
      </w:r>
    </w:p>
    <w:p w:rsidR="000A6815" w:rsidRPr="00F86C9A" w:rsidRDefault="000A6815" w:rsidP="00901770">
      <w:pPr>
        <w:pStyle w:val="ListParagraph"/>
        <w:spacing w:line="360" w:lineRule="auto"/>
      </w:pPr>
    </w:p>
    <w:p w:rsidR="000A6815" w:rsidRPr="00F86C9A" w:rsidRDefault="000A6815" w:rsidP="000A6815">
      <w:pPr>
        <w:pStyle w:val="BodyTextIndent"/>
        <w:numPr>
          <w:ilvl w:val="0"/>
          <w:numId w:val="19"/>
        </w:numPr>
        <w:spacing w:line="360" w:lineRule="auto"/>
        <w:ind w:left="0" w:firstLine="1440"/>
        <w:jc w:val="left"/>
        <w:rPr>
          <w:sz w:val="24"/>
          <w:szCs w:val="24"/>
        </w:rPr>
      </w:pPr>
      <w:r w:rsidRPr="00F86C9A">
        <w:rPr>
          <w:sz w:val="24"/>
          <w:szCs w:val="24"/>
        </w:rPr>
        <w:t xml:space="preserve">New RME directives from the </w:t>
      </w:r>
      <w:r w:rsidRPr="00F86C9A">
        <w:rPr>
          <w:sz w:val="24"/>
          <w:szCs w:val="24"/>
          <w:u w:val="single"/>
        </w:rPr>
        <w:t>End State Order</w:t>
      </w:r>
      <w:r w:rsidRPr="00F86C9A">
        <w:rPr>
          <w:sz w:val="24"/>
          <w:szCs w:val="24"/>
        </w:rPr>
        <w:t xml:space="preserve"> conflict with prior Orders waiving the Companies’ obligation to install EDI software in the service territories until competitive shopping became prevalent in each service territory.  CEW M.B. at 36-37.</w:t>
      </w:r>
    </w:p>
    <w:p w:rsidR="000A6815" w:rsidRPr="00F86C9A" w:rsidRDefault="000A6815" w:rsidP="00901770">
      <w:pPr>
        <w:pStyle w:val="ListParagraph"/>
        <w:spacing w:line="360" w:lineRule="auto"/>
      </w:pPr>
    </w:p>
    <w:p w:rsidR="000A6815" w:rsidRPr="00F86C9A" w:rsidRDefault="000A6815" w:rsidP="000A6815">
      <w:pPr>
        <w:pStyle w:val="BodyTextIndent"/>
        <w:numPr>
          <w:ilvl w:val="0"/>
          <w:numId w:val="19"/>
        </w:numPr>
        <w:spacing w:line="360" w:lineRule="auto"/>
        <w:ind w:left="0" w:firstLine="1440"/>
        <w:jc w:val="left"/>
        <w:rPr>
          <w:sz w:val="24"/>
          <w:szCs w:val="24"/>
        </w:rPr>
      </w:pPr>
      <w:r w:rsidRPr="00F86C9A">
        <w:rPr>
          <w:sz w:val="24"/>
          <w:szCs w:val="24"/>
        </w:rPr>
        <w:t>Both Seamless Moves and Instant Connects are predicated on operational EDI software and the Companies should be exempt from such programs until the EDI software has been implemented.  CEW M.B. at 36-37.</w:t>
      </w:r>
    </w:p>
    <w:p w:rsidR="000A6815" w:rsidRPr="00F86C9A" w:rsidRDefault="000A6815" w:rsidP="00901770">
      <w:pPr>
        <w:pStyle w:val="ListParagraph"/>
        <w:spacing w:line="360" w:lineRule="auto"/>
      </w:pPr>
    </w:p>
    <w:p w:rsidR="000A6815" w:rsidRPr="00F86C9A" w:rsidRDefault="000A6815" w:rsidP="000A6815">
      <w:pPr>
        <w:pStyle w:val="BodyTextIndent"/>
        <w:numPr>
          <w:ilvl w:val="0"/>
          <w:numId w:val="19"/>
        </w:numPr>
        <w:spacing w:line="360" w:lineRule="auto"/>
        <w:ind w:left="0" w:firstLine="1440"/>
        <w:jc w:val="left"/>
        <w:rPr>
          <w:sz w:val="24"/>
          <w:szCs w:val="24"/>
        </w:rPr>
      </w:pPr>
      <w:r w:rsidRPr="00F86C9A">
        <w:rPr>
          <w:sz w:val="24"/>
          <w:szCs w:val="24"/>
        </w:rPr>
        <w:t>No party opposed the requested waivers beyond the opposition to the implementation of the proposed procurement plan, to the extent relevant.</w:t>
      </w:r>
    </w:p>
    <w:p w:rsidR="00720629" w:rsidRPr="00F86C9A" w:rsidRDefault="00720629" w:rsidP="00720629">
      <w:pPr>
        <w:pStyle w:val="ListParagraph"/>
        <w:spacing w:line="360" w:lineRule="auto"/>
        <w:ind w:left="0"/>
      </w:pPr>
    </w:p>
    <w:p w:rsidR="00D206F6" w:rsidRPr="00F86C9A" w:rsidRDefault="002967D0" w:rsidP="002967D0">
      <w:pPr>
        <w:pStyle w:val="ListParagraph"/>
        <w:spacing w:line="360" w:lineRule="auto"/>
        <w:ind w:left="0"/>
        <w:jc w:val="center"/>
        <w:rPr>
          <w:u w:val="single"/>
        </w:rPr>
      </w:pPr>
      <w:r w:rsidRPr="00F86C9A">
        <w:t>IV.</w:t>
      </w:r>
      <w:r w:rsidRPr="00F86C9A">
        <w:tab/>
      </w:r>
      <w:r w:rsidR="00D206F6" w:rsidRPr="00F86C9A">
        <w:rPr>
          <w:u w:val="single"/>
        </w:rPr>
        <w:t>DISCUSSION</w:t>
      </w:r>
    </w:p>
    <w:p w:rsidR="00670E16" w:rsidRPr="00F86C9A" w:rsidRDefault="00670E16" w:rsidP="00C37788">
      <w:pPr>
        <w:spacing w:line="360" w:lineRule="auto"/>
      </w:pPr>
    </w:p>
    <w:p w:rsidR="0070025C" w:rsidRPr="00F86C9A" w:rsidRDefault="00014CE7" w:rsidP="00CE5A64">
      <w:pPr>
        <w:pStyle w:val="Heading2"/>
        <w:numPr>
          <w:ilvl w:val="0"/>
          <w:numId w:val="10"/>
        </w:numPr>
        <w:spacing w:before="0" w:line="360" w:lineRule="auto"/>
        <w:rPr>
          <w:rFonts w:ascii="Times New Roman" w:hAnsi="Times New Roman" w:cs="Times New Roman"/>
          <w:color w:val="auto"/>
          <w:sz w:val="24"/>
          <w:szCs w:val="24"/>
        </w:rPr>
      </w:pPr>
      <w:r w:rsidRPr="00F86C9A">
        <w:rPr>
          <w:rFonts w:ascii="Times New Roman" w:hAnsi="Times New Roman" w:cs="Times New Roman"/>
          <w:color w:val="auto"/>
          <w:sz w:val="24"/>
          <w:szCs w:val="24"/>
        </w:rPr>
        <w:t>Burden of Proof</w:t>
      </w:r>
    </w:p>
    <w:p w:rsidR="0070025C" w:rsidRPr="00F86C9A" w:rsidRDefault="0070025C" w:rsidP="0070025C">
      <w:pPr>
        <w:pStyle w:val="Heading2"/>
        <w:numPr>
          <w:ilvl w:val="0"/>
          <w:numId w:val="0"/>
        </w:numPr>
        <w:spacing w:before="0" w:line="360" w:lineRule="auto"/>
        <w:ind w:left="720"/>
        <w:rPr>
          <w:rFonts w:ascii="Times New Roman" w:hAnsi="Times New Roman" w:cs="Times New Roman"/>
          <w:color w:val="auto"/>
          <w:sz w:val="24"/>
          <w:szCs w:val="24"/>
        </w:rPr>
      </w:pPr>
    </w:p>
    <w:p w:rsidR="00815FA2" w:rsidRPr="00F86C9A" w:rsidRDefault="0070025C" w:rsidP="0070025C">
      <w:pPr>
        <w:spacing w:line="360" w:lineRule="auto"/>
        <w:ind w:firstLine="1440"/>
        <w:rPr>
          <w:rFonts w:eastAsiaTheme="minorHAnsi"/>
        </w:rPr>
      </w:pPr>
      <w:r w:rsidRPr="00F86C9A">
        <w:rPr>
          <w:color w:val="000000"/>
        </w:rPr>
        <w:t xml:space="preserve">The Companies have the burden of proof in this proceeding to establish that they are entitled to the relief they are seeking.  </w:t>
      </w:r>
      <w:proofErr w:type="gramStart"/>
      <w:r w:rsidRPr="00F86C9A">
        <w:rPr>
          <w:color w:val="000000"/>
        </w:rPr>
        <w:t>66 Pa.C.S.</w:t>
      </w:r>
      <w:proofErr w:type="gramEnd"/>
      <w:r w:rsidRPr="00F86C9A">
        <w:rPr>
          <w:color w:val="000000"/>
        </w:rPr>
        <w:t xml:space="preserve"> § 332(a).  The Companies must establish their cases by a preponderance of the evidence.  </w:t>
      </w:r>
      <w:proofErr w:type="gramStart"/>
      <w:r w:rsidRPr="00F86C9A">
        <w:rPr>
          <w:color w:val="000000"/>
          <w:u w:val="single"/>
        </w:rPr>
        <w:t xml:space="preserve">Samuel J. Lansberry, Inc. v. </w:t>
      </w:r>
      <w:r w:rsidR="00D324EE" w:rsidRPr="00F86C9A">
        <w:rPr>
          <w:color w:val="000000"/>
          <w:u w:val="single"/>
        </w:rPr>
        <w:t xml:space="preserve">Pa. </w:t>
      </w:r>
      <w:r w:rsidRPr="00F86C9A">
        <w:rPr>
          <w:color w:val="000000"/>
          <w:u w:val="single"/>
        </w:rPr>
        <w:t>Pub.</w:t>
      </w:r>
      <w:proofErr w:type="gramEnd"/>
      <w:r w:rsidRPr="00F86C9A">
        <w:rPr>
          <w:color w:val="000000"/>
          <w:u w:val="single"/>
        </w:rPr>
        <w:t xml:space="preserve"> </w:t>
      </w:r>
      <w:proofErr w:type="gramStart"/>
      <w:r w:rsidRPr="00F86C9A">
        <w:rPr>
          <w:color w:val="000000"/>
          <w:u w:val="single"/>
        </w:rPr>
        <w:t>Util. Comm’n</w:t>
      </w:r>
      <w:r w:rsidRPr="00F86C9A">
        <w:rPr>
          <w:color w:val="000000"/>
        </w:rPr>
        <w:t xml:space="preserve">, 578 A.2d 600 (Pa. Cmwlth. 1990), </w:t>
      </w:r>
      <w:r w:rsidRPr="00F86C9A">
        <w:rPr>
          <w:i/>
          <w:color w:val="000000"/>
        </w:rPr>
        <w:t>alloc.</w:t>
      </w:r>
      <w:proofErr w:type="gramEnd"/>
      <w:r w:rsidRPr="00F86C9A">
        <w:rPr>
          <w:i/>
          <w:color w:val="000000"/>
        </w:rPr>
        <w:t xml:space="preserve"> </w:t>
      </w:r>
      <w:proofErr w:type="gramStart"/>
      <w:r w:rsidRPr="00F86C9A">
        <w:rPr>
          <w:i/>
          <w:color w:val="000000"/>
        </w:rPr>
        <w:t>den.</w:t>
      </w:r>
      <w:r w:rsidRPr="00F86C9A">
        <w:rPr>
          <w:color w:val="000000"/>
        </w:rPr>
        <w:t>, 602 A.2d 863 (Pa. 1992)</w:t>
      </w:r>
      <w:r w:rsidR="00EA313E" w:rsidRPr="00F86C9A">
        <w:rPr>
          <w:color w:val="000000"/>
        </w:rPr>
        <w:t>.</w:t>
      </w:r>
      <w:proofErr w:type="gramEnd"/>
      <w:r w:rsidRPr="00F86C9A">
        <w:rPr>
          <w:color w:val="000000"/>
        </w:rPr>
        <w:t xml:space="preserve">  To meet their burden of proof, the Companies must present evidence more convincing, by even the smallest amount, than that presented by any opposing party.  </w:t>
      </w:r>
      <w:proofErr w:type="gramStart"/>
      <w:r w:rsidRPr="00F86C9A">
        <w:rPr>
          <w:color w:val="000000"/>
          <w:u w:val="single"/>
        </w:rPr>
        <w:t>Se-Ling Hosiery v. Margulies</w:t>
      </w:r>
      <w:r w:rsidRPr="00F86C9A">
        <w:rPr>
          <w:color w:val="000000"/>
        </w:rPr>
        <w:t>, 70 A.2d 854 (Pa. 1950)</w:t>
      </w:r>
      <w:r w:rsidR="0000152C" w:rsidRPr="00F86C9A">
        <w:rPr>
          <w:color w:val="000000"/>
        </w:rPr>
        <w:t xml:space="preserve"> </w:t>
      </w:r>
      <w:r w:rsidR="0000152C" w:rsidRPr="00F86C9A">
        <w:t>(</w:t>
      </w:r>
      <w:r w:rsidR="0000152C" w:rsidRPr="00F86C9A">
        <w:rPr>
          <w:u w:val="single"/>
        </w:rPr>
        <w:t>Se-Ling Hosiery</w:t>
      </w:r>
      <w:r w:rsidR="0000152C" w:rsidRPr="00F86C9A">
        <w:t>).</w:t>
      </w:r>
      <w:proofErr w:type="gramEnd"/>
      <w:r w:rsidRPr="00F86C9A">
        <w:rPr>
          <w:color w:val="000000"/>
        </w:rPr>
        <w:t xml:space="preserve">  </w:t>
      </w:r>
      <w:r w:rsidR="00AB4E64" w:rsidRPr="00F86C9A">
        <w:rPr>
          <w:color w:val="000000"/>
        </w:rPr>
        <w:t>Similarly, a</w:t>
      </w:r>
      <w:r w:rsidR="00AB4E64" w:rsidRPr="00F86C9A">
        <w:rPr>
          <w:rFonts w:eastAsiaTheme="minorHAnsi"/>
        </w:rPr>
        <w:t xml:space="preserve"> party that offers a proposal not included in the original filing bears the burden of proof for such proposal.  </w:t>
      </w:r>
      <w:r w:rsidR="00AB4E64" w:rsidRPr="00F86C9A">
        <w:rPr>
          <w:rFonts w:eastAsiaTheme="minorHAnsi"/>
          <w:u w:val="single"/>
        </w:rPr>
        <w:t>Pa. Pub. Util. Comm’n v. Metropolitan Edison Co.</w:t>
      </w:r>
      <w:r w:rsidR="00AB4E64" w:rsidRPr="00F86C9A">
        <w:rPr>
          <w:rFonts w:eastAsiaTheme="minorHAnsi"/>
        </w:rPr>
        <w:t>, Docket No. R-00061366, Opinion an</w:t>
      </w:r>
      <w:r w:rsidR="00237E0A">
        <w:rPr>
          <w:rFonts w:eastAsiaTheme="minorHAnsi"/>
        </w:rPr>
        <w:t>d Order (entered January 11, </w:t>
      </w:r>
      <w:r w:rsidR="00901770">
        <w:rPr>
          <w:rFonts w:eastAsiaTheme="minorHAnsi"/>
        </w:rPr>
        <w:t>2007).</w:t>
      </w:r>
    </w:p>
    <w:p w:rsidR="00815FA2" w:rsidRPr="00F86C9A" w:rsidRDefault="00815FA2" w:rsidP="0070025C">
      <w:pPr>
        <w:spacing w:line="360" w:lineRule="auto"/>
        <w:ind w:firstLine="1440"/>
        <w:rPr>
          <w:rFonts w:eastAsiaTheme="minorHAnsi"/>
        </w:rPr>
      </w:pPr>
    </w:p>
    <w:p w:rsidR="0009367E" w:rsidRPr="00F86C9A" w:rsidRDefault="0009367E" w:rsidP="0009367E">
      <w:pPr>
        <w:tabs>
          <w:tab w:val="left" w:pos="-720"/>
        </w:tabs>
        <w:suppressAutoHyphens/>
        <w:spacing w:line="360" w:lineRule="auto"/>
        <w:rPr>
          <w:rFonts w:eastAsiaTheme="minorEastAsia"/>
        </w:rPr>
      </w:pPr>
      <w:r w:rsidRPr="00F86C9A">
        <w:tab/>
      </w:r>
      <w:r w:rsidRPr="00F86C9A">
        <w:tab/>
      </w:r>
      <w:r w:rsidRPr="00F86C9A">
        <w:rPr>
          <w:rFonts w:eastAsiaTheme="minorEastAsia"/>
        </w:rPr>
        <w:t xml:space="preserve">If a party with the burden of proof establishes a </w:t>
      </w:r>
      <w:r w:rsidRPr="00F86C9A">
        <w:rPr>
          <w:rFonts w:eastAsiaTheme="minorEastAsia"/>
          <w:i/>
        </w:rPr>
        <w:t xml:space="preserve">prima facie </w:t>
      </w:r>
      <w:r w:rsidRPr="00F86C9A">
        <w:rPr>
          <w:rFonts w:eastAsiaTheme="minorEastAsia"/>
        </w:rPr>
        <w:t xml:space="preserve">case, the burden of going forward with the evidence shifts to the other party.  If the other party does not rebut that evidence, the original party will prevail.  If the other party rebuts the original party’s evidence, the burden of going forward with the evidence shifts back to the original party, who must rebut the other party’s evidence by a preponderance of the evidence.  The burden of going forward with the evidence may shift from one party to another, but the burden of proof never shifts; it always remains on the original party.  </w:t>
      </w:r>
      <w:proofErr w:type="spellStart"/>
      <w:proofErr w:type="gramStart"/>
      <w:r w:rsidRPr="00F86C9A">
        <w:rPr>
          <w:rFonts w:eastAsiaTheme="minorEastAsia"/>
          <w:u w:val="single"/>
        </w:rPr>
        <w:t>Replogle</w:t>
      </w:r>
      <w:proofErr w:type="spellEnd"/>
      <w:r w:rsidRPr="00F86C9A">
        <w:rPr>
          <w:rFonts w:eastAsiaTheme="minorEastAsia"/>
          <w:u w:val="single"/>
        </w:rPr>
        <w:t xml:space="preserve"> v. Pennsylvania Electric Company</w:t>
      </w:r>
      <w:r w:rsidRPr="00F86C9A">
        <w:rPr>
          <w:rFonts w:eastAsiaTheme="minorEastAsia"/>
        </w:rPr>
        <w:t>, 54 Pa. PUC 528 (1980).</w:t>
      </w:r>
      <w:proofErr w:type="gramEnd"/>
    </w:p>
    <w:p w:rsidR="00815FA2" w:rsidRPr="00F86C9A" w:rsidRDefault="00815FA2" w:rsidP="0070025C">
      <w:pPr>
        <w:spacing w:line="360" w:lineRule="auto"/>
        <w:ind w:firstLine="1440"/>
        <w:rPr>
          <w:color w:val="000000"/>
        </w:rPr>
      </w:pPr>
    </w:p>
    <w:p w:rsidR="0070025C" w:rsidRPr="00F86C9A" w:rsidRDefault="0070025C" w:rsidP="0070025C">
      <w:pPr>
        <w:spacing w:line="360" w:lineRule="auto"/>
        <w:ind w:firstLine="1440"/>
      </w:pPr>
      <w:r w:rsidRPr="00F86C9A">
        <w:rPr>
          <w:color w:val="000000"/>
        </w:rPr>
        <w:t xml:space="preserve">In this case, the Companies </w:t>
      </w:r>
      <w:r w:rsidRPr="00F86C9A">
        <w:t>request that the Commission approve the joint filing establishing the proposed DSPs</w:t>
      </w:r>
      <w:r w:rsidR="00014CE7" w:rsidRPr="00F86C9A">
        <w:t xml:space="preserve"> and, therefore, have the burden of proving </w:t>
      </w:r>
      <w:r w:rsidR="0000152C" w:rsidRPr="00F86C9A">
        <w:t xml:space="preserve">that </w:t>
      </w:r>
      <w:r w:rsidR="00014CE7" w:rsidRPr="00F86C9A">
        <w:t>the plan satisfies all applicable legal requirements for it to be approved</w:t>
      </w:r>
      <w:r w:rsidRPr="00F86C9A">
        <w:t>.</w:t>
      </w:r>
      <w:r w:rsidR="00014CE7" w:rsidRPr="00F86C9A">
        <w:t xml:space="preserve">  The OCA has proposed an alternative plan and, therefore, has the burden of proving that the alternative plan should be adopted.</w:t>
      </w:r>
    </w:p>
    <w:p w:rsidR="0009367E" w:rsidRPr="00F86C9A" w:rsidRDefault="0009367E" w:rsidP="0070025C">
      <w:pPr>
        <w:spacing w:line="360" w:lineRule="auto"/>
        <w:ind w:firstLine="1440"/>
      </w:pPr>
    </w:p>
    <w:p w:rsidR="0009367E" w:rsidRPr="00F86C9A" w:rsidRDefault="0009367E" w:rsidP="0009367E">
      <w:pPr>
        <w:autoSpaceDE/>
        <w:autoSpaceDN/>
        <w:spacing w:line="360" w:lineRule="auto"/>
        <w:ind w:firstLine="1440"/>
        <w:rPr>
          <w:rFonts w:eastAsiaTheme="minorEastAsia"/>
        </w:rPr>
      </w:pPr>
      <w:r w:rsidRPr="00F86C9A">
        <w:rPr>
          <w:rFonts w:eastAsiaTheme="minorEastAsia"/>
        </w:rPr>
        <w:t>Additional</w:t>
      </w:r>
      <w:r w:rsidR="0000152C" w:rsidRPr="00F86C9A">
        <w:rPr>
          <w:rFonts w:eastAsiaTheme="minorEastAsia"/>
        </w:rPr>
        <w:t>ly</w:t>
      </w:r>
      <w:r w:rsidRPr="00F86C9A">
        <w:rPr>
          <w:rFonts w:eastAsiaTheme="minorEastAsia"/>
        </w:rPr>
        <w:t xml:space="preserve">, all decisions of the Commission must be supported by substantial evidence.  </w:t>
      </w:r>
      <w:proofErr w:type="gramStart"/>
      <w:r w:rsidRPr="00F86C9A">
        <w:rPr>
          <w:rFonts w:eastAsiaTheme="minorEastAsia"/>
        </w:rPr>
        <w:t>2 Pa.C.S.</w:t>
      </w:r>
      <w:proofErr w:type="gramEnd"/>
      <w:r w:rsidRPr="00F86C9A">
        <w:rPr>
          <w:rFonts w:eastAsiaTheme="minorEastAsia"/>
        </w:rPr>
        <w:t xml:space="preserve"> § 704.  "Substantial evidence" is such relevant evidence that a reasonable mind might accept as adequate to support a conclusion.  More is required than a mere trace of evidence or a suspicion of the existence of a fact sought to be established.  </w:t>
      </w:r>
      <w:proofErr w:type="gramStart"/>
      <w:r w:rsidRPr="00F86C9A">
        <w:rPr>
          <w:rFonts w:eastAsiaTheme="minorEastAsia"/>
          <w:u w:val="single"/>
        </w:rPr>
        <w:t>Norfolk &amp; Western Ry. Co. v. Pa. Pub.</w:t>
      </w:r>
      <w:proofErr w:type="gramEnd"/>
      <w:r w:rsidRPr="00F86C9A">
        <w:rPr>
          <w:rFonts w:eastAsiaTheme="minorEastAsia"/>
          <w:u w:val="single"/>
        </w:rPr>
        <w:t xml:space="preserve"> Util. Comm’n</w:t>
      </w:r>
      <w:r w:rsidRPr="00F86C9A">
        <w:rPr>
          <w:rFonts w:eastAsiaTheme="minorEastAsia"/>
        </w:rPr>
        <w:t xml:space="preserve">, 489 Pa. 109, 413 A.2d 1037 (1980); </w:t>
      </w:r>
      <w:r w:rsidRPr="00F86C9A">
        <w:rPr>
          <w:rFonts w:eastAsiaTheme="minorEastAsia"/>
          <w:u w:val="single"/>
        </w:rPr>
        <w:t>Erie Resistor Corp. v. Unemployment Comp. Bd. of Review</w:t>
      </w:r>
      <w:r w:rsidRPr="00F86C9A">
        <w:rPr>
          <w:rFonts w:eastAsiaTheme="minorEastAsia"/>
        </w:rPr>
        <w:t xml:space="preserve">, 194 Pa. Superior Ct. 278, 166 A.2d 96 (1961); and </w:t>
      </w:r>
      <w:r w:rsidRPr="00F86C9A">
        <w:rPr>
          <w:rFonts w:eastAsiaTheme="minorEastAsia"/>
          <w:u w:val="single"/>
        </w:rPr>
        <w:t>Murphy v. Comm., Dept. of Public Welfare, White Haven Center</w:t>
      </w:r>
      <w:r w:rsidRPr="00F86C9A">
        <w:rPr>
          <w:rFonts w:eastAsiaTheme="minorEastAsia"/>
        </w:rPr>
        <w:t>, 85 Pa. Cmwlth Ct. 23, 480 A.2d 382 (1984).</w:t>
      </w:r>
    </w:p>
    <w:p w:rsidR="00CC5B0F" w:rsidRPr="00F86C9A" w:rsidRDefault="00815FA2" w:rsidP="00815FA2">
      <w:pPr>
        <w:pStyle w:val="ListParagraph"/>
        <w:numPr>
          <w:ilvl w:val="0"/>
          <w:numId w:val="10"/>
        </w:numPr>
        <w:spacing w:line="360" w:lineRule="auto"/>
        <w:rPr>
          <w:b/>
        </w:rPr>
      </w:pPr>
      <w:r w:rsidRPr="00F86C9A">
        <w:rPr>
          <w:b/>
        </w:rPr>
        <w:t>Legal Standard</w:t>
      </w:r>
    </w:p>
    <w:p w:rsidR="00014CE7" w:rsidRPr="00F86C9A" w:rsidRDefault="00014CE7" w:rsidP="0070025C">
      <w:pPr>
        <w:spacing w:line="360" w:lineRule="auto"/>
        <w:ind w:firstLine="1440"/>
      </w:pPr>
    </w:p>
    <w:p w:rsidR="007254D3" w:rsidRPr="00F86C9A" w:rsidRDefault="0009367E" w:rsidP="007254D3">
      <w:pPr>
        <w:spacing w:line="360" w:lineRule="auto"/>
        <w:ind w:firstLine="1440"/>
        <w:contextualSpacing/>
        <w:rPr>
          <w:rFonts w:eastAsiaTheme="minorHAnsi"/>
        </w:rPr>
      </w:pPr>
      <w:r w:rsidRPr="00F86C9A">
        <w:rPr>
          <w:rFonts w:eastAsiaTheme="minorEastAsia"/>
        </w:rPr>
        <w:t>D</w:t>
      </w:r>
      <w:r w:rsidR="00CB0ADF" w:rsidRPr="00F86C9A">
        <w:rPr>
          <w:rFonts w:eastAsiaTheme="minorEastAsia"/>
        </w:rPr>
        <w:t>efault service is the basic service that Pennsylvania’s electric customers are entitled by law to receive if they do not switch to an alternative retail electric generation supplier (EGS), or if their alternative EGS fails to provide them with service.  CEW are</w:t>
      </w:r>
      <w:r w:rsidR="00EF59A2">
        <w:rPr>
          <w:rFonts w:eastAsiaTheme="minorEastAsia"/>
        </w:rPr>
        <w:t xml:space="preserve"> the default service providers</w:t>
      </w:r>
      <w:r w:rsidR="00CB0ADF" w:rsidRPr="00F86C9A">
        <w:rPr>
          <w:rFonts w:eastAsiaTheme="minorEastAsia"/>
        </w:rPr>
        <w:t xml:space="preserve"> in their respective service territories and, therefore, must offer default service that meets specific legal requirements.  </w:t>
      </w:r>
      <w:r w:rsidR="00C83E30" w:rsidRPr="00F86C9A">
        <w:rPr>
          <w:rFonts w:eastAsiaTheme="minorHAnsi"/>
        </w:rPr>
        <w:t xml:space="preserve">The requirements include that the default service provider follow a Commission-approved competitive procurement plan, that the competitive procurement plan include auctions, requests for proposal, and/or bilateral agreements, that the plan include a prudent mix of spot market purchases, short-term contracts, and long-term purchase contracts designed to ensure adequate and reliable service at the least cost to customers over time, and shall offer a time-of-use program for customers who have smart meter technology.  </w:t>
      </w:r>
      <w:proofErr w:type="gramStart"/>
      <w:r w:rsidR="00C83E30" w:rsidRPr="00F86C9A">
        <w:rPr>
          <w:rFonts w:eastAsiaTheme="minorHAnsi"/>
        </w:rPr>
        <w:t>66 Pa.Code § 2807(e).</w:t>
      </w:r>
      <w:proofErr w:type="gramEnd"/>
    </w:p>
    <w:p w:rsidR="007254D3" w:rsidRPr="00F86C9A" w:rsidRDefault="007254D3" w:rsidP="007254D3">
      <w:pPr>
        <w:spacing w:line="360" w:lineRule="auto"/>
        <w:ind w:firstLine="1440"/>
        <w:contextualSpacing/>
        <w:rPr>
          <w:rFonts w:eastAsiaTheme="minorHAnsi"/>
        </w:rPr>
      </w:pPr>
    </w:p>
    <w:p w:rsidR="00251E09" w:rsidRPr="00F86C9A" w:rsidRDefault="00C83E30" w:rsidP="007254D3">
      <w:pPr>
        <w:spacing w:line="360" w:lineRule="auto"/>
        <w:ind w:firstLine="1440"/>
        <w:contextualSpacing/>
        <w:rPr>
          <w:rFonts w:eastAsiaTheme="minorHAnsi"/>
        </w:rPr>
      </w:pPr>
      <w:r w:rsidRPr="00F86C9A">
        <w:rPr>
          <w:rFonts w:eastAsiaTheme="minorHAnsi"/>
        </w:rPr>
        <w:t xml:space="preserve">The </w:t>
      </w:r>
      <w:r w:rsidR="00347D9C">
        <w:rPr>
          <w:rFonts w:eastAsiaTheme="minorHAnsi"/>
        </w:rPr>
        <w:t xml:space="preserve">Electricity Generation </w:t>
      </w:r>
      <w:r w:rsidR="008D1351">
        <w:rPr>
          <w:rFonts w:eastAsiaTheme="minorHAnsi"/>
        </w:rPr>
        <w:t xml:space="preserve">Customer </w:t>
      </w:r>
      <w:r w:rsidR="00347D9C">
        <w:rPr>
          <w:rFonts w:eastAsiaTheme="minorHAnsi"/>
        </w:rPr>
        <w:t xml:space="preserve">Choice and </w:t>
      </w:r>
      <w:r w:rsidRPr="00F86C9A">
        <w:rPr>
          <w:rFonts w:eastAsiaTheme="minorHAnsi"/>
        </w:rPr>
        <w:t xml:space="preserve">Competition Act </w:t>
      </w:r>
      <w:r w:rsidR="00347D9C">
        <w:rPr>
          <w:rFonts w:eastAsiaTheme="minorHAnsi"/>
        </w:rPr>
        <w:t xml:space="preserve">(Competition Act) </w:t>
      </w:r>
      <w:r w:rsidRPr="00F86C9A">
        <w:rPr>
          <w:rFonts w:eastAsiaTheme="minorHAnsi"/>
        </w:rPr>
        <w:t xml:space="preserve">also mandates that customers have direct access to a competitive retail generation market.  </w:t>
      </w:r>
      <w:proofErr w:type="gramStart"/>
      <w:r w:rsidRPr="00F86C9A">
        <w:rPr>
          <w:rFonts w:eastAsiaTheme="minorHAnsi"/>
        </w:rPr>
        <w:t>66 Pa.C.S.</w:t>
      </w:r>
      <w:proofErr w:type="gramEnd"/>
      <w:r w:rsidR="00C7678E" w:rsidRPr="00F86C9A">
        <w:rPr>
          <w:rFonts w:eastAsiaTheme="minorHAnsi"/>
        </w:rPr>
        <w:t xml:space="preserve"> § 2802</w:t>
      </w:r>
      <w:r w:rsidRPr="00F86C9A">
        <w:rPr>
          <w:rFonts w:eastAsiaTheme="minorHAnsi"/>
        </w:rPr>
        <w:t xml:space="preserve">(3).  This mandate is based on the legislative finding that "competitive market forces are more effective than economic regulation in controlling the cost of generating electricity."  </w:t>
      </w:r>
      <w:proofErr w:type="gramStart"/>
      <w:r w:rsidR="00FA19A5" w:rsidRPr="00F86C9A">
        <w:rPr>
          <w:rFonts w:eastAsiaTheme="minorHAnsi"/>
        </w:rPr>
        <w:t>66 Pa.C.S.</w:t>
      </w:r>
      <w:proofErr w:type="gramEnd"/>
      <w:r w:rsidR="00FA19A5" w:rsidRPr="00F86C9A">
        <w:rPr>
          <w:rFonts w:eastAsiaTheme="minorHAnsi"/>
        </w:rPr>
        <w:t xml:space="preserve"> § 280</w:t>
      </w:r>
      <w:r w:rsidR="00C7678E" w:rsidRPr="00F86C9A">
        <w:rPr>
          <w:rFonts w:eastAsiaTheme="minorHAnsi"/>
        </w:rPr>
        <w:t>2</w:t>
      </w:r>
      <w:r w:rsidR="00FA19A5" w:rsidRPr="00F86C9A">
        <w:rPr>
          <w:rFonts w:eastAsiaTheme="minorHAnsi"/>
        </w:rPr>
        <w:t xml:space="preserve">(5); </w:t>
      </w:r>
      <w:r w:rsidR="00FA19A5" w:rsidRPr="00F86C9A">
        <w:rPr>
          <w:rFonts w:eastAsiaTheme="minorHAnsi"/>
          <w:i/>
        </w:rPr>
        <w:t>s</w:t>
      </w:r>
      <w:r w:rsidRPr="00F86C9A">
        <w:rPr>
          <w:rFonts w:eastAsiaTheme="minorHAnsi"/>
          <w:i/>
        </w:rPr>
        <w:t xml:space="preserve">ee, </w:t>
      </w:r>
      <w:r w:rsidRPr="00F86C9A">
        <w:rPr>
          <w:rFonts w:eastAsiaTheme="minorHAnsi"/>
          <w:u w:val="single"/>
        </w:rPr>
        <w:t xml:space="preserve">Green Mountain Energy Company v. Pa. Pub. </w:t>
      </w:r>
      <w:proofErr w:type="gramStart"/>
      <w:r w:rsidRPr="00F86C9A">
        <w:rPr>
          <w:rFonts w:eastAsiaTheme="minorHAnsi"/>
          <w:u w:val="single"/>
        </w:rPr>
        <w:t>Util. Comm’n.</w:t>
      </w:r>
      <w:r w:rsidRPr="00F86C9A">
        <w:rPr>
          <w:rFonts w:eastAsiaTheme="minorHAnsi"/>
          <w:i/>
        </w:rPr>
        <w:t xml:space="preserve">, </w:t>
      </w:r>
      <w:r w:rsidRPr="00F86C9A">
        <w:rPr>
          <w:rFonts w:eastAsiaTheme="minorHAnsi"/>
        </w:rPr>
        <w:t>812 A.2d 740, 742 (</w:t>
      </w:r>
      <w:proofErr w:type="spellStart"/>
      <w:r w:rsidRPr="00F86C9A">
        <w:rPr>
          <w:rFonts w:eastAsiaTheme="minorHAnsi"/>
        </w:rPr>
        <w:t>Pa.Cmwlth</w:t>
      </w:r>
      <w:proofErr w:type="spellEnd"/>
      <w:r w:rsidRPr="00F86C9A">
        <w:rPr>
          <w:rFonts w:eastAsiaTheme="minorHAnsi"/>
        </w:rPr>
        <w:t>. 2002).</w:t>
      </w:r>
      <w:proofErr w:type="gramEnd"/>
      <w:r w:rsidRPr="00F86C9A">
        <w:rPr>
          <w:rFonts w:eastAsiaTheme="minorHAnsi"/>
        </w:rPr>
        <w:t xml:space="preserve">  Also applicable are the Commission's default service regulations, 52 Pa.Code §§ 54.181-54.189, and policy statement, 52 Pa.Code §§ 69.1802-69.1816.  The Commission has directed that EDCs consider the incorporation of certain market enhancement programs into their DSPs in order to foster a more robust retail competitive market.  </w:t>
      </w:r>
      <w:r w:rsidR="00251E09" w:rsidRPr="00F86C9A">
        <w:rPr>
          <w:u w:val="single"/>
        </w:rPr>
        <w:t>Investigation of Pennsylvania’s Retail Electricity Market: End State Default Service</w:t>
      </w:r>
      <w:r w:rsidR="00251E09" w:rsidRPr="00F86C9A">
        <w:t>, Docket Number I-20</w:t>
      </w:r>
      <w:r w:rsidR="00237E0A">
        <w:t>11-2237952, Order (entered February 15, </w:t>
      </w:r>
      <w:r w:rsidR="00251E09" w:rsidRPr="00F86C9A">
        <w:t>2013) (</w:t>
      </w:r>
      <w:r w:rsidR="00251E09" w:rsidRPr="00F86C9A">
        <w:rPr>
          <w:u w:val="single"/>
        </w:rPr>
        <w:t>End State Order</w:t>
      </w:r>
      <w:r w:rsidR="00251E09" w:rsidRPr="00F86C9A">
        <w:t>).</w:t>
      </w:r>
    </w:p>
    <w:p w:rsidR="00C83E30" w:rsidRPr="00F86C9A" w:rsidRDefault="00C83E30" w:rsidP="00C83E30">
      <w:pPr>
        <w:spacing w:line="360" w:lineRule="auto"/>
        <w:ind w:firstLine="1440"/>
        <w:contextualSpacing/>
        <w:rPr>
          <w:rFonts w:eastAsiaTheme="minorHAnsi"/>
        </w:rPr>
      </w:pPr>
    </w:p>
    <w:p w:rsidR="00043AA0" w:rsidRPr="00F86C9A" w:rsidRDefault="00043AA0" w:rsidP="00CE5A64">
      <w:pPr>
        <w:pStyle w:val="ListParagraph"/>
        <w:numPr>
          <w:ilvl w:val="0"/>
          <w:numId w:val="10"/>
        </w:numPr>
        <w:spacing w:line="360" w:lineRule="auto"/>
        <w:rPr>
          <w:b/>
        </w:rPr>
      </w:pPr>
      <w:r w:rsidRPr="00F86C9A">
        <w:rPr>
          <w:b/>
        </w:rPr>
        <w:t>Summary of the filing</w:t>
      </w:r>
    </w:p>
    <w:p w:rsidR="005E54FD" w:rsidRPr="00F86C9A" w:rsidRDefault="005E54FD" w:rsidP="00043AA0">
      <w:pPr>
        <w:spacing w:line="360" w:lineRule="auto"/>
        <w:ind w:left="720"/>
      </w:pPr>
    </w:p>
    <w:p w:rsidR="00BA78B0" w:rsidRPr="00F86C9A" w:rsidRDefault="005E54FD" w:rsidP="005E54FD">
      <w:pPr>
        <w:spacing w:line="360" w:lineRule="auto"/>
        <w:ind w:firstLine="1440"/>
      </w:pPr>
      <w:r w:rsidRPr="00F86C9A">
        <w:t xml:space="preserve">Since January 1, 2008, Citizens’ and Wellsboro </w:t>
      </w:r>
      <w:r w:rsidR="000675B6" w:rsidRPr="00F86C9A">
        <w:t>have been operating a Default Service Plan (DSP) referred to as the Stratified Procurement Plan that combines a variety of products, procured at varying times, into a single portfolio encompassing the entire default ser</w:t>
      </w:r>
      <w:r w:rsidR="00A83B03" w:rsidRPr="00F86C9A">
        <w:t xml:space="preserve">vice needs for both Companies.  </w:t>
      </w:r>
      <w:proofErr w:type="gramStart"/>
      <w:r w:rsidR="00A83B03" w:rsidRPr="00F86C9A">
        <w:t>CEW M.B. at 1.</w:t>
      </w:r>
      <w:proofErr w:type="gramEnd"/>
      <w:r w:rsidR="00A83B03" w:rsidRPr="00F86C9A">
        <w:t xml:space="preserve">  As part of that plan</w:t>
      </w:r>
      <w:r w:rsidR="00BA78B0" w:rsidRPr="00F86C9A">
        <w:t xml:space="preserve">, the Companies employ a single portfolio manager, currently ACES Power Marketing (APM), to administer this energy procurement portfolio on their behalf.  </w:t>
      </w:r>
      <w:r w:rsidR="00BA78B0" w:rsidRPr="00F86C9A">
        <w:rPr>
          <w:u w:val="single"/>
        </w:rPr>
        <w:t>Id.</w:t>
      </w:r>
      <w:r w:rsidR="00BA78B0" w:rsidRPr="00F86C9A">
        <w:t xml:space="preserve">  During th</w:t>
      </w:r>
      <w:r w:rsidR="00205137" w:rsidRPr="00F86C9A">
        <w:t>e</w:t>
      </w:r>
      <w:r w:rsidR="00BA78B0" w:rsidRPr="00F86C9A">
        <w:t xml:space="preserve"> time the Stratified Plan was in place, revisions to the Competition Act and the Commission’s regulations, among other things, have occurred.  </w:t>
      </w:r>
      <w:proofErr w:type="gramStart"/>
      <w:r w:rsidR="00BA78B0" w:rsidRPr="00F86C9A">
        <w:rPr>
          <w:u w:val="single"/>
        </w:rPr>
        <w:t>Id.</w:t>
      </w:r>
      <w:r w:rsidR="00BA78B0" w:rsidRPr="00F86C9A">
        <w:t xml:space="preserve"> at 2 (citations omitted).</w:t>
      </w:r>
      <w:proofErr w:type="gramEnd"/>
      <w:r w:rsidR="00BA78B0" w:rsidRPr="00F86C9A">
        <w:t xml:space="preserve">  In particular, the Companies anticipate increases in customer migration due to EGS </w:t>
      </w:r>
      <w:r w:rsidR="0000152C" w:rsidRPr="00F86C9A">
        <w:t xml:space="preserve">activity </w:t>
      </w:r>
      <w:r w:rsidR="00BA78B0" w:rsidRPr="00F86C9A">
        <w:t xml:space="preserve">and the continued expansion of competitive retail in their respective service territories.  </w:t>
      </w:r>
      <w:proofErr w:type="gramStart"/>
      <w:r w:rsidR="00BA78B0" w:rsidRPr="00F86C9A">
        <w:rPr>
          <w:u w:val="single"/>
        </w:rPr>
        <w:t>Id.</w:t>
      </w:r>
      <w:r w:rsidR="00BA78B0" w:rsidRPr="00F86C9A">
        <w:t xml:space="preserve"> at 5.</w:t>
      </w:r>
      <w:proofErr w:type="gramEnd"/>
      <w:r w:rsidR="00BA78B0" w:rsidRPr="00F86C9A">
        <w:t xml:space="preserve">  As a result, i</w:t>
      </w:r>
      <w:r w:rsidR="00043AA0" w:rsidRPr="00F86C9A">
        <w:t xml:space="preserve">n </w:t>
      </w:r>
      <w:r w:rsidRPr="00F86C9A">
        <w:t>their respective filings initiating this proceeding</w:t>
      </w:r>
      <w:r w:rsidR="00043AA0" w:rsidRPr="00F86C9A">
        <w:t xml:space="preserve">, the Companies </w:t>
      </w:r>
      <w:r w:rsidRPr="00F86C9A">
        <w:t xml:space="preserve">proposed </w:t>
      </w:r>
      <w:r w:rsidR="00BA78B0" w:rsidRPr="00F86C9A">
        <w:t xml:space="preserve">a revised procurement methodology that recognizes these changes and in a manner that, the Companies contend, is more feasible and cost-effective for smaller EDCs.  </w:t>
      </w:r>
      <w:r w:rsidR="00BA78B0" w:rsidRPr="00F86C9A">
        <w:rPr>
          <w:u w:val="single"/>
        </w:rPr>
        <w:t>Id.</w:t>
      </w:r>
    </w:p>
    <w:p w:rsidR="00BA78B0" w:rsidRPr="00F86C9A" w:rsidRDefault="00BA78B0" w:rsidP="005E54FD">
      <w:pPr>
        <w:spacing w:line="360" w:lineRule="auto"/>
        <w:ind w:firstLine="1440"/>
      </w:pPr>
    </w:p>
    <w:p w:rsidR="002A0BF9" w:rsidRPr="00F86C9A" w:rsidRDefault="00BA78B0" w:rsidP="00052CE3">
      <w:pPr>
        <w:spacing w:line="360" w:lineRule="auto"/>
        <w:ind w:firstLine="1440"/>
      </w:pPr>
      <w:r w:rsidRPr="00F86C9A">
        <w:t xml:space="preserve">As noted in their Main Brief, the Companies propose to terminate the Stratified Plan and meet their DSP obligations </w:t>
      </w:r>
      <w:r w:rsidR="002A0BF9" w:rsidRPr="00F86C9A">
        <w:t>with a plan contai</w:t>
      </w:r>
      <w:r w:rsidR="00237E0A">
        <w:t xml:space="preserve">ning the following components: </w:t>
      </w:r>
      <w:r w:rsidR="002A0BF9" w:rsidRPr="00F86C9A">
        <w:t xml:space="preserve">1) </w:t>
      </w:r>
      <w:r w:rsidR="00D324EE" w:rsidRPr="00F86C9A">
        <w:t xml:space="preserve">an </w:t>
      </w:r>
      <w:r w:rsidR="002A0BF9" w:rsidRPr="00F86C9A">
        <w:t>implementation plan, including an RFP Process and Supplier Master Agreement (SMA); 2)</w:t>
      </w:r>
      <w:r w:rsidR="0000152C" w:rsidRPr="00F86C9A">
        <w:t xml:space="preserve"> a</w:t>
      </w:r>
      <w:r w:rsidR="002A0BF9" w:rsidRPr="00F86C9A">
        <w:t xml:space="preserve"> procurement plan; 3) </w:t>
      </w:r>
      <w:r w:rsidR="0000152C" w:rsidRPr="00F86C9A">
        <w:t xml:space="preserve">a </w:t>
      </w:r>
      <w:r w:rsidR="002A0BF9" w:rsidRPr="00F86C9A">
        <w:t xml:space="preserve">rate design plan; 4) </w:t>
      </w:r>
      <w:r w:rsidR="0000152C" w:rsidRPr="00F86C9A">
        <w:t xml:space="preserve">a </w:t>
      </w:r>
      <w:r w:rsidR="002A0BF9" w:rsidRPr="00F86C9A">
        <w:t xml:space="preserve">contingency plan; and 5) </w:t>
      </w:r>
      <w:r w:rsidR="00E432A1" w:rsidRPr="00F86C9A">
        <w:t xml:space="preserve">Retail Market Enhancement </w:t>
      </w:r>
      <w:r w:rsidR="002A0BF9" w:rsidRPr="00F86C9A">
        <w:t xml:space="preserve">(RME) programs.  </w:t>
      </w:r>
      <w:proofErr w:type="gramStart"/>
      <w:r w:rsidR="00052CE3" w:rsidRPr="00F86C9A">
        <w:rPr>
          <w:u w:val="single"/>
        </w:rPr>
        <w:t>Id.</w:t>
      </w:r>
      <w:r w:rsidR="00052CE3" w:rsidRPr="00F86C9A">
        <w:t xml:space="preserve"> at 9.</w:t>
      </w:r>
      <w:proofErr w:type="gramEnd"/>
    </w:p>
    <w:p w:rsidR="00052CE3" w:rsidRPr="00F86C9A" w:rsidRDefault="00052CE3" w:rsidP="00052CE3">
      <w:pPr>
        <w:spacing w:line="360" w:lineRule="auto"/>
        <w:ind w:firstLine="1440"/>
      </w:pPr>
    </w:p>
    <w:p w:rsidR="00FF6616" w:rsidRPr="00F86C9A" w:rsidRDefault="00FF6616" w:rsidP="00590452">
      <w:pPr>
        <w:pStyle w:val="ListParagraph"/>
        <w:numPr>
          <w:ilvl w:val="0"/>
          <w:numId w:val="21"/>
        </w:numPr>
        <w:spacing w:line="360" w:lineRule="auto"/>
        <w:rPr>
          <w:u w:val="single"/>
        </w:rPr>
      </w:pPr>
      <w:r w:rsidRPr="00F86C9A">
        <w:rPr>
          <w:u w:val="single"/>
        </w:rPr>
        <w:t>Implementation Plan</w:t>
      </w:r>
    </w:p>
    <w:p w:rsidR="00FF6616" w:rsidRPr="00F86C9A" w:rsidRDefault="00FF6616" w:rsidP="00FF6616">
      <w:pPr>
        <w:spacing w:line="360" w:lineRule="auto"/>
      </w:pPr>
    </w:p>
    <w:p w:rsidR="00D56DA2" w:rsidRDefault="008A211D" w:rsidP="00B01F6B">
      <w:pPr>
        <w:spacing w:line="360" w:lineRule="auto"/>
        <w:ind w:firstLine="1440"/>
      </w:pPr>
      <w:r w:rsidRPr="00F86C9A">
        <w:t xml:space="preserve">To implement the proposed DSP, the Companies </w:t>
      </w:r>
      <w:r w:rsidR="00052CE3" w:rsidRPr="00F86C9A">
        <w:t xml:space="preserve">stated that they </w:t>
      </w:r>
      <w:r w:rsidRPr="00F86C9A">
        <w:t xml:space="preserve">have developed an RFP to select wholesale suppliers and an SMA to establish additional terms of service.  </w:t>
      </w:r>
      <w:proofErr w:type="gramStart"/>
      <w:r w:rsidRPr="00F86C9A">
        <w:t>CEW M.B. at 9.</w:t>
      </w:r>
      <w:proofErr w:type="gramEnd"/>
      <w:r w:rsidRPr="00F86C9A">
        <w:t xml:space="preserve">  </w:t>
      </w:r>
      <w:r w:rsidR="00C334BE" w:rsidRPr="00F86C9A">
        <w:t xml:space="preserve">While the Companies have historically relied on bilateral agreements throughout the Stratified Plan, the Companies proposed in their DSP to implement a competitive bid process and submitted an RFP as part of this proceeding.  </w:t>
      </w:r>
      <w:proofErr w:type="gramStart"/>
      <w:r w:rsidR="00C334BE" w:rsidRPr="00F86C9A">
        <w:rPr>
          <w:u w:val="single"/>
        </w:rPr>
        <w:t>Id.</w:t>
      </w:r>
      <w:r w:rsidR="00C334BE" w:rsidRPr="00F86C9A">
        <w:t xml:space="preserve"> at 10.</w:t>
      </w:r>
      <w:proofErr w:type="gramEnd"/>
      <w:r w:rsidR="00C334BE" w:rsidRPr="00F86C9A">
        <w:t xml:space="preserve">  CEW witness Eric Winslow testified that the Companies do not intend to retain a third party agency to conduct the RFPs or review submitted bids but propose to conduct separate sealed bids for each service territory.  </w:t>
      </w:r>
      <w:proofErr w:type="gramStart"/>
      <w:r w:rsidR="00C334BE" w:rsidRPr="00F86C9A">
        <w:rPr>
          <w:u w:val="single"/>
        </w:rPr>
        <w:t>Id.</w:t>
      </w:r>
      <w:r w:rsidR="00C334BE" w:rsidRPr="00F86C9A">
        <w:t xml:space="preserve">, </w:t>
      </w:r>
      <w:r w:rsidR="00C334BE" w:rsidRPr="00F86C9A">
        <w:rPr>
          <w:i/>
        </w:rPr>
        <w:t>citing</w:t>
      </w:r>
      <w:r w:rsidR="00C334BE" w:rsidRPr="00F86C9A">
        <w:t>, CEW St. No. 2 at 9-10.</w:t>
      </w:r>
      <w:proofErr w:type="gramEnd"/>
      <w:r w:rsidR="00C334BE" w:rsidRPr="00F86C9A">
        <w:t xml:space="preserve">  Mr. Winslow further noted that the Companies will develop a prequalification process for evaluation of wholesale suppliers’ credit and technical qualifications and described the proposed key deadlines for the process.  </w:t>
      </w:r>
      <w:r w:rsidR="00C334BE" w:rsidRPr="00F86C9A">
        <w:rPr>
          <w:u w:val="single"/>
        </w:rPr>
        <w:t>Id.</w:t>
      </w:r>
      <w:r w:rsidR="00C334BE" w:rsidRPr="00F86C9A">
        <w:t xml:space="preserve">  </w:t>
      </w:r>
      <w:r w:rsidR="00B01F6B" w:rsidRPr="00F86C9A">
        <w:t xml:space="preserve">In particular, the process includes a Preliminary Supplier Response to offer each wholesale supplier an opportunity to submit </w:t>
      </w:r>
    </w:p>
    <w:p w:rsidR="00D56DA2" w:rsidRDefault="00D56DA2">
      <w:pPr>
        <w:autoSpaceDE/>
        <w:autoSpaceDN/>
      </w:pPr>
      <w:r>
        <w:br w:type="page"/>
      </w:r>
    </w:p>
    <w:p w:rsidR="00FF6616" w:rsidRPr="00F86C9A" w:rsidRDefault="00B01F6B" w:rsidP="00D56DA2">
      <w:pPr>
        <w:spacing w:line="360" w:lineRule="auto"/>
      </w:pPr>
      <w:proofErr w:type="gramStart"/>
      <w:r w:rsidRPr="00F86C9A">
        <w:t>supplier-specific</w:t>
      </w:r>
      <w:proofErr w:type="gramEnd"/>
      <w:r w:rsidRPr="00F86C9A">
        <w:t xml:space="preserve"> modifications to </w:t>
      </w:r>
      <w:r w:rsidR="0000152C" w:rsidRPr="00F86C9A">
        <w:t xml:space="preserve">the </w:t>
      </w:r>
      <w:r w:rsidRPr="00F86C9A">
        <w:t xml:space="preserve">SMA, providing that the Companies will not consider any requests that are inconsistent with the terms or conditions approved by the Commission.  </w:t>
      </w:r>
      <w:proofErr w:type="gramStart"/>
      <w:r w:rsidRPr="00F86C9A">
        <w:rPr>
          <w:u w:val="single"/>
        </w:rPr>
        <w:t>Id.</w:t>
      </w:r>
      <w:r w:rsidR="00237E0A">
        <w:t xml:space="preserve"> at </w:t>
      </w:r>
      <w:r w:rsidRPr="00F86C9A">
        <w:t>11.</w:t>
      </w:r>
      <w:proofErr w:type="gramEnd"/>
    </w:p>
    <w:p w:rsidR="00FF6616" w:rsidRPr="00F86C9A" w:rsidRDefault="00FF6616" w:rsidP="00B01F6B">
      <w:pPr>
        <w:spacing w:line="360" w:lineRule="auto"/>
        <w:ind w:firstLine="1440"/>
      </w:pPr>
    </w:p>
    <w:p w:rsidR="00B01F6B" w:rsidRPr="00F86C9A" w:rsidRDefault="00B01F6B" w:rsidP="00B01F6B">
      <w:pPr>
        <w:spacing w:line="360" w:lineRule="auto"/>
        <w:ind w:firstLine="1440"/>
      </w:pPr>
      <w:r w:rsidRPr="00F86C9A">
        <w:t xml:space="preserve">Additionally, in response to a request by the OSBA, the Companies will not proceed with the bid selection process unless a minimum of </w:t>
      </w:r>
      <w:r w:rsidR="00D324EE" w:rsidRPr="00F86C9A">
        <w:t xml:space="preserve">three </w:t>
      </w:r>
      <w:r w:rsidRPr="00F86C9A">
        <w:t xml:space="preserve">bids qualify for consideration by meeting the requirements of the RFP. </w:t>
      </w:r>
      <w:r w:rsidR="0017241E">
        <w:t xml:space="preserve"> </w:t>
      </w:r>
      <w:proofErr w:type="gramStart"/>
      <w:r w:rsidRPr="00F86C9A">
        <w:rPr>
          <w:u w:val="single"/>
        </w:rPr>
        <w:t>Id.</w:t>
      </w:r>
      <w:r w:rsidRPr="00F86C9A">
        <w:t xml:space="preserve">, </w:t>
      </w:r>
      <w:r w:rsidRPr="00F86C9A">
        <w:rPr>
          <w:i/>
        </w:rPr>
        <w:t>citing</w:t>
      </w:r>
      <w:r w:rsidRPr="00F86C9A">
        <w:t>, CEW St. No. 2-R at 2.</w:t>
      </w:r>
      <w:proofErr w:type="gramEnd"/>
      <w:r w:rsidRPr="00F86C9A">
        <w:t xml:space="preserve">  In addition to the RFP, Mr. Winslow also proposed an SMA </w:t>
      </w:r>
      <w:r w:rsidR="00052CE3" w:rsidRPr="00F86C9A">
        <w:t xml:space="preserve">to </w:t>
      </w:r>
      <w:r w:rsidRPr="00F86C9A">
        <w:t>further define the terms and conditions applicable to each selected wholesale supplier that closely tracks the Pennsylvania Universal Mast</w:t>
      </w:r>
      <w:r w:rsidR="00052CE3" w:rsidRPr="00F86C9A">
        <w:t>er</w:t>
      </w:r>
      <w:r w:rsidRPr="00F86C9A">
        <w:t xml:space="preserve"> Agreement developed by the Commission.  </w:t>
      </w:r>
      <w:r w:rsidRPr="00F86C9A">
        <w:rPr>
          <w:u w:val="single"/>
        </w:rPr>
        <w:t>Id.</w:t>
      </w:r>
      <w:r w:rsidRPr="00F86C9A">
        <w:t xml:space="preserve"> at 12, </w:t>
      </w:r>
      <w:r w:rsidRPr="00F86C9A">
        <w:rPr>
          <w:i/>
        </w:rPr>
        <w:t>citing</w:t>
      </w:r>
      <w:r w:rsidRPr="00F86C9A">
        <w:t>, CEW St. No. 2 at 11-12</w:t>
      </w:r>
      <w:r w:rsidR="00052CE3" w:rsidRPr="00F86C9A">
        <w:t>;</w:t>
      </w:r>
      <w:r w:rsidRPr="00F86C9A">
        <w:t xml:space="preserve"> </w:t>
      </w:r>
      <w:r w:rsidRPr="00F86C9A">
        <w:rPr>
          <w:i/>
        </w:rPr>
        <w:t>see also</w:t>
      </w:r>
      <w:r w:rsidRPr="00F86C9A">
        <w:t>, 52 Pa.Code § 24.185(e</w:t>
      </w:r>
      <w:proofErr w:type="gramStart"/>
      <w:r w:rsidRPr="00F86C9A">
        <w:t>)(</w:t>
      </w:r>
      <w:proofErr w:type="gramEnd"/>
      <w:r w:rsidRPr="00F86C9A">
        <w:t>6).</w:t>
      </w:r>
    </w:p>
    <w:p w:rsidR="00B01F6B" w:rsidRPr="00F86C9A" w:rsidRDefault="00B01F6B" w:rsidP="00FF6616">
      <w:pPr>
        <w:spacing w:line="360" w:lineRule="auto"/>
      </w:pPr>
    </w:p>
    <w:p w:rsidR="00FF6616" w:rsidRPr="00F86C9A" w:rsidRDefault="00FF6616" w:rsidP="00590452">
      <w:pPr>
        <w:pStyle w:val="ListParagraph"/>
        <w:numPr>
          <w:ilvl w:val="0"/>
          <w:numId w:val="21"/>
        </w:numPr>
        <w:spacing w:line="360" w:lineRule="auto"/>
        <w:rPr>
          <w:u w:val="single"/>
        </w:rPr>
      </w:pPr>
      <w:r w:rsidRPr="00F86C9A">
        <w:rPr>
          <w:u w:val="single"/>
        </w:rPr>
        <w:t>The Procurement Plan</w:t>
      </w:r>
    </w:p>
    <w:p w:rsidR="00FF6616" w:rsidRPr="00F86C9A" w:rsidRDefault="00FF6616" w:rsidP="00FF6616">
      <w:pPr>
        <w:spacing w:line="360" w:lineRule="auto"/>
      </w:pPr>
    </w:p>
    <w:p w:rsidR="00CF12EA" w:rsidRDefault="00E3676B" w:rsidP="00E432A1">
      <w:pPr>
        <w:spacing w:line="360" w:lineRule="auto"/>
        <w:ind w:firstLine="1440"/>
      </w:pPr>
      <w:r w:rsidRPr="00F86C9A">
        <w:t xml:space="preserve">In their </w:t>
      </w:r>
      <w:r w:rsidR="00052CE3" w:rsidRPr="00F86C9A">
        <w:t xml:space="preserve">Main </w:t>
      </w:r>
      <w:r w:rsidRPr="00F86C9A">
        <w:t>Brief, the Companies argued that changed circumstances merit a transition from the Stratified Plan to the Companies’ proposal to procure default service supply through load-following full requirements (FR) contracts with wh</w:t>
      </w:r>
      <w:r w:rsidR="0017241E">
        <w:t>olesale suppliers.  CEW M.B. at </w:t>
      </w:r>
      <w:r w:rsidRPr="00F86C9A">
        <w:t xml:space="preserve">13-28.  The Companies noted that the Stratified Plan has historically satisfied the Companies’ default service obligations but that “the continued expansion of competitive retail in the Companies’ service territories will significantly reduce default service load and erode the effectiveness of the Stratified Plan.”  </w:t>
      </w:r>
      <w:r w:rsidRPr="00F86C9A">
        <w:rPr>
          <w:u w:val="single"/>
        </w:rPr>
        <w:t>Id.</w:t>
      </w:r>
      <w:r w:rsidRPr="00F86C9A">
        <w:t xml:space="preserve"> at 14-18.  The Companies further noted that the Commission’s </w:t>
      </w:r>
      <w:r w:rsidRPr="00F86C9A">
        <w:rPr>
          <w:u w:val="single"/>
        </w:rPr>
        <w:t>End State Order</w:t>
      </w:r>
      <w:r w:rsidR="0000152C" w:rsidRPr="00F86C9A">
        <w:t xml:space="preserve">, </w:t>
      </w:r>
      <w:r w:rsidR="0000152C" w:rsidRPr="00F86C9A">
        <w:rPr>
          <w:i/>
        </w:rPr>
        <w:t>supra</w:t>
      </w:r>
      <w:r w:rsidR="0000152C" w:rsidRPr="00F86C9A">
        <w:t>,</w:t>
      </w:r>
      <w:r w:rsidRPr="00F86C9A">
        <w:t xml:space="preserve"> “establishes policy goals that further diminish the efficacy of the Stratified Plan.”  </w:t>
      </w:r>
      <w:r w:rsidRPr="00F86C9A">
        <w:rPr>
          <w:u w:val="single"/>
        </w:rPr>
        <w:t>Id.</w:t>
      </w:r>
      <w:r w:rsidRPr="00F86C9A">
        <w:t xml:space="preserve"> at 18-20.  As a result, the Companies proposed a new procurement plan to address these issues “while reflecting the smaller load and administrative resources” of the Companies.</w:t>
      </w:r>
    </w:p>
    <w:p w:rsidR="00D56DA2" w:rsidRDefault="00D56DA2" w:rsidP="00E432A1">
      <w:pPr>
        <w:spacing w:line="360" w:lineRule="auto"/>
        <w:ind w:firstLine="1440"/>
      </w:pPr>
    </w:p>
    <w:p w:rsidR="00137E7D" w:rsidRPr="00F86C9A" w:rsidRDefault="00700A9A" w:rsidP="00E432A1">
      <w:pPr>
        <w:spacing w:line="360" w:lineRule="auto"/>
        <w:ind w:firstLine="1440"/>
      </w:pPr>
      <w:r w:rsidRPr="00F86C9A">
        <w:t>The Companies proposed a 3-year default service plan offering an index price energy product to Residential and Small C&amp;I customers and hourly-priced service for Large C&amp;I customers with a registered</w:t>
      </w:r>
      <w:r w:rsidR="00E432A1" w:rsidRPr="00F86C9A">
        <w:t xml:space="preserve"> </w:t>
      </w:r>
      <w:r w:rsidR="00272746" w:rsidRPr="00F86C9A">
        <w:t xml:space="preserve">peak demand above 400 </w:t>
      </w:r>
      <w:proofErr w:type="gramStart"/>
      <w:r w:rsidR="00272746" w:rsidRPr="00F86C9A">
        <w:t>kw</w:t>
      </w:r>
      <w:proofErr w:type="gramEnd"/>
      <w:r w:rsidR="00272746" w:rsidRPr="00F86C9A">
        <w:t xml:space="preserve">.  </w:t>
      </w:r>
      <w:r w:rsidR="00272746" w:rsidRPr="00F86C9A">
        <w:rPr>
          <w:u w:val="single"/>
        </w:rPr>
        <w:t>Id.</w:t>
      </w:r>
      <w:r w:rsidR="00272746" w:rsidRPr="00F86C9A">
        <w:t xml:space="preserve"> at 20-21.  </w:t>
      </w:r>
      <w:r w:rsidR="00137E7D" w:rsidRPr="00F86C9A">
        <w:t xml:space="preserve">For all customers, the Companies’ proposed default service product would pass-through transmission and capacity costs, but fix all remaining costs through a Supplier Adder which will necessitate approval of limited waivers.  </w:t>
      </w:r>
      <w:proofErr w:type="gramStart"/>
      <w:r w:rsidR="00137E7D" w:rsidRPr="00F86C9A">
        <w:rPr>
          <w:u w:val="single"/>
        </w:rPr>
        <w:t>Id.</w:t>
      </w:r>
      <w:r w:rsidR="00137E7D" w:rsidRPr="00F86C9A">
        <w:t xml:space="preserve"> at 21.</w:t>
      </w:r>
      <w:proofErr w:type="gramEnd"/>
      <w:r w:rsidR="00137E7D" w:rsidRPr="00F86C9A">
        <w:t xml:space="preserve">  The detailed components of the Companies’ proposed procurement plan area as follows:</w:t>
      </w:r>
    </w:p>
    <w:p w:rsidR="00137E7D" w:rsidRPr="00F86C9A" w:rsidRDefault="00137E7D" w:rsidP="00137E7D">
      <w:pPr>
        <w:spacing w:line="360" w:lineRule="auto"/>
      </w:pPr>
    </w:p>
    <w:p w:rsidR="006702B6" w:rsidRPr="00F86C9A" w:rsidRDefault="006702B6" w:rsidP="00CE5A64">
      <w:pPr>
        <w:numPr>
          <w:ilvl w:val="0"/>
          <w:numId w:val="14"/>
        </w:numPr>
        <w:autoSpaceDE/>
        <w:autoSpaceDN/>
        <w:spacing w:after="120"/>
        <w:ind w:right="734" w:hanging="720"/>
        <w:jc w:val="both"/>
      </w:pPr>
      <w:r w:rsidRPr="00F86C9A">
        <w:t>Energy (as measured at the wholesale meter for the Citizens' or Wellsboro Aggregate Bus, less kWh for customers supplied by EGSs):</w:t>
      </w:r>
    </w:p>
    <w:p w:rsidR="006702B6" w:rsidRPr="00F86C9A" w:rsidRDefault="006702B6" w:rsidP="00CE5A64">
      <w:pPr>
        <w:numPr>
          <w:ilvl w:val="1"/>
          <w:numId w:val="14"/>
        </w:numPr>
        <w:autoSpaceDE/>
        <w:autoSpaceDN/>
        <w:spacing w:after="120"/>
        <w:ind w:right="734" w:hanging="720"/>
        <w:jc w:val="both"/>
      </w:pPr>
      <w:r w:rsidRPr="00F86C9A">
        <w:t xml:space="preserve">Residential </w:t>
      </w:r>
      <w:r w:rsidR="00CF12EA">
        <w:t xml:space="preserve">and Small C&amp;I Default Service: </w:t>
      </w:r>
      <w:r w:rsidRPr="00F86C9A">
        <w:t xml:space="preserve">The energy component of the wholesale contract will be adjusted every 6 months based on PJM West Hub on-peak monthly forward pricing on predetermined Trigger Dates; the wholesale rate formula will assume a straight </w:t>
      </w:r>
      <w:proofErr w:type="spellStart"/>
      <w:r w:rsidRPr="00F86C9A">
        <w:t>passthrough</w:t>
      </w:r>
      <w:proofErr w:type="spellEnd"/>
      <w:r w:rsidRPr="00F86C9A">
        <w:t xml:space="preserve"> of the mathematical average of the monthly on-peak per </w:t>
      </w:r>
      <w:proofErr w:type="spellStart"/>
      <w:r w:rsidRPr="00F86C9A">
        <w:t>MWh</w:t>
      </w:r>
      <w:proofErr w:type="spellEnd"/>
      <w:r w:rsidRPr="00F86C9A">
        <w:t xml:space="preserve"> strip pricing for all </w:t>
      </w:r>
      <w:proofErr w:type="spellStart"/>
      <w:r w:rsidRPr="00F86C9A">
        <w:t>MWh</w:t>
      </w:r>
      <w:proofErr w:type="spellEnd"/>
      <w:r w:rsidRPr="00F86C9A">
        <w:t xml:space="preserve"> sold to customers duri</w:t>
      </w:r>
      <w:r w:rsidR="00162D32">
        <w:t>ng the 6-month pricing period.</w:t>
      </w:r>
    </w:p>
    <w:p w:rsidR="006702B6" w:rsidRPr="00F86C9A" w:rsidRDefault="006702B6" w:rsidP="00CE5A64">
      <w:pPr>
        <w:numPr>
          <w:ilvl w:val="1"/>
          <w:numId w:val="14"/>
        </w:numPr>
        <w:autoSpaceDE/>
        <w:autoSpaceDN/>
        <w:spacing w:after="120"/>
        <w:ind w:right="734" w:hanging="720"/>
        <w:jc w:val="both"/>
      </w:pPr>
      <w:r w:rsidRPr="00F86C9A">
        <w:t>Large C&amp;I H</w:t>
      </w:r>
      <w:r w:rsidR="005E013D">
        <w:t xml:space="preserve">ourly Default Service: </w:t>
      </w:r>
      <w:r w:rsidRPr="00F86C9A">
        <w:t>The energy component of Hourly Priced Service ("HPS") will be the real-time hourly PJM Locational Marginal Price ("LMP") for the PJM West Hub.</w:t>
      </w:r>
    </w:p>
    <w:p w:rsidR="006702B6" w:rsidRPr="00F86C9A" w:rsidRDefault="006702B6" w:rsidP="00CE5A64">
      <w:pPr>
        <w:numPr>
          <w:ilvl w:val="0"/>
          <w:numId w:val="14"/>
        </w:numPr>
        <w:autoSpaceDE/>
        <w:autoSpaceDN/>
        <w:spacing w:after="120"/>
        <w:ind w:right="734" w:hanging="720"/>
        <w:jc w:val="both"/>
      </w:pPr>
      <w:r w:rsidRPr="00F86C9A">
        <w:t>Reliability Pricing Model Auction ("Capacity")—</w:t>
      </w:r>
      <w:proofErr w:type="spellStart"/>
      <w:r w:rsidRPr="00F86C9A">
        <w:t>passthrough</w:t>
      </w:r>
      <w:proofErr w:type="spellEnd"/>
      <w:r w:rsidRPr="00F86C9A">
        <w:t xml:space="preserve"> of actual monthly costs for the default service load, without markup.</w:t>
      </w:r>
    </w:p>
    <w:p w:rsidR="006702B6" w:rsidRPr="00F86C9A" w:rsidRDefault="006702B6" w:rsidP="00CE5A64">
      <w:pPr>
        <w:numPr>
          <w:ilvl w:val="0"/>
          <w:numId w:val="14"/>
        </w:numPr>
        <w:autoSpaceDE/>
        <w:autoSpaceDN/>
        <w:spacing w:after="120"/>
        <w:ind w:right="734" w:hanging="720"/>
        <w:jc w:val="both"/>
      </w:pPr>
      <w:r w:rsidRPr="00F86C9A">
        <w:t>Network Integrated Transmission Service ("NITS")—</w:t>
      </w:r>
      <w:proofErr w:type="spellStart"/>
      <w:r w:rsidRPr="00F86C9A">
        <w:t>passthrough</w:t>
      </w:r>
      <w:proofErr w:type="spellEnd"/>
      <w:r w:rsidRPr="00F86C9A">
        <w:t xml:space="preserve"> of actual monthly costs for the default service load, without markup.</w:t>
      </w:r>
    </w:p>
    <w:p w:rsidR="006702B6" w:rsidRDefault="006702B6" w:rsidP="00CE5A64">
      <w:pPr>
        <w:numPr>
          <w:ilvl w:val="0"/>
          <w:numId w:val="14"/>
        </w:numPr>
        <w:autoSpaceDE/>
        <w:autoSpaceDN/>
        <w:spacing w:after="120"/>
        <w:ind w:right="734" w:hanging="720"/>
        <w:jc w:val="both"/>
      </w:pPr>
      <w:r w:rsidRPr="00F86C9A">
        <w:t>Supplier Adder—per-kWh charge applicable to both fixed and hourly energy supply that covers all other costs to deliver default service power to the Citizens' or Wellsboro Aggregate Bus, including congestion, marginal losses, Alternative Energy Portfolio Standards ("AEPS") Act compliance, and transmission losses, as well as all risks associated with default service customer usage variability, customer migration (switching to an EGS for supply service or returning to default service as permitted under the Companies' tariffs and Pennsylvania law) and deviations between the forward pricing and actual costs.  The Supplier Adder may be different for each territory, but will remain fixed for the 3-year contract term.</w:t>
      </w:r>
    </w:p>
    <w:p w:rsidR="005E013D" w:rsidRPr="00F86C9A" w:rsidRDefault="005E013D" w:rsidP="005E013D">
      <w:pPr>
        <w:autoSpaceDE/>
        <w:autoSpaceDN/>
        <w:ind w:left="1440" w:right="734"/>
        <w:jc w:val="both"/>
      </w:pPr>
    </w:p>
    <w:p w:rsidR="00F9422E" w:rsidRPr="00F86C9A" w:rsidRDefault="00137E7D" w:rsidP="00137E7D">
      <w:pPr>
        <w:spacing w:line="360" w:lineRule="auto"/>
      </w:pPr>
      <w:proofErr w:type="gramStart"/>
      <w:r w:rsidRPr="00F86C9A">
        <w:rPr>
          <w:u w:val="single"/>
        </w:rPr>
        <w:t>Id.</w:t>
      </w:r>
      <w:r w:rsidRPr="00F86C9A">
        <w:t xml:space="preserve"> at 22-23, </w:t>
      </w:r>
      <w:r w:rsidRPr="00F86C9A">
        <w:rPr>
          <w:i/>
        </w:rPr>
        <w:t>citing</w:t>
      </w:r>
      <w:r w:rsidRPr="00F86C9A">
        <w:t>, CEW St. No. 2 at 8.</w:t>
      </w:r>
      <w:proofErr w:type="gramEnd"/>
      <w:r w:rsidRPr="00F86C9A">
        <w:t xml:space="preserve">  </w:t>
      </w:r>
      <w:r w:rsidR="00F9422E" w:rsidRPr="00F86C9A">
        <w:t xml:space="preserve">The plan offers different energy products for the Companies’ customer classes with Residential and Small C&amp;I customers served by an energy product indexed to the PJM on-peak LMP as measured at the PJM West Hub.  </w:t>
      </w:r>
      <w:proofErr w:type="gramStart"/>
      <w:r w:rsidR="00F9422E" w:rsidRPr="00F86C9A">
        <w:rPr>
          <w:u w:val="single"/>
        </w:rPr>
        <w:t>Id.</w:t>
      </w:r>
      <w:r w:rsidR="00F9422E" w:rsidRPr="00F86C9A">
        <w:t xml:space="preserve"> at 23.</w:t>
      </w:r>
      <w:proofErr w:type="gramEnd"/>
      <w:r w:rsidR="00F9422E" w:rsidRPr="00F86C9A">
        <w:t xml:space="preserve">  The wholesale supplier serving each Company will adjust the energy cost component on semi-annual “Trigger Dates” with the energy component remaining fixed for six months following each adjustment.  </w:t>
      </w:r>
      <w:r w:rsidR="00F9422E" w:rsidRPr="00F86C9A">
        <w:rPr>
          <w:u w:val="single"/>
        </w:rPr>
        <w:t>Id.</w:t>
      </w:r>
      <w:r w:rsidR="00F9422E" w:rsidRPr="00F86C9A">
        <w:t xml:space="preserve">  Large C&amp;I customers’ rates would track real-time market conditions.  </w:t>
      </w:r>
      <w:r w:rsidR="00F9422E" w:rsidRPr="00F86C9A">
        <w:rPr>
          <w:u w:val="single"/>
        </w:rPr>
        <w:t>Id.</w:t>
      </w:r>
    </w:p>
    <w:p w:rsidR="00F9422E" w:rsidRPr="00F86C9A" w:rsidRDefault="00F9422E" w:rsidP="00137E7D">
      <w:pPr>
        <w:spacing w:line="360" w:lineRule="auto"/>
      </w:pPr>
    </w:p>
    <w:p w:rsidR="00923A41" w:rsidRPr="00F86C9A" w:rsidRDefault="004B3FA4" w:rsidP="004B3FA4">
      <w:pPr>
        <w:spacing w:line="360" w:lineRule="auto"/>
        <w:ind w:firstLine="1440"/>
      </w:pPr>
      <w:r w:rsidRPr="00F86C9A">
        <w:t>The Companies noted that, while the proposed procurement plan satisfies most of the Companies’ default service obligations</w:t>
      </w:r>
      <w:r w:rsidR="00804B83" w:rsidRPr="00F86C9A">
        <w:t xml:space="preserve">, limited waivers of the hourly-priced threshold, plan length provisions, and frequency of solicitations from the </w:t>
      </w:r>
      <w:r w:rsidR="00804B83" w:rsidRPr="00F86C9A">
        <w:rPr>
          <w:u w:val="single"/>
        </w:rPr>
        <w:t>End State Order</w:t>
      </w:r>
      <w:r w:rsidR="00504151" w:rsidRPr="00F86C9A">
        <w:t>,</w:t>
      </w:r>
      <w:r w:rsidR="00804B83" w:rsidRPr="00F86C9A">
        <w:t xml:space="preserve"> are necessary for the implementation of the proposed procurement plan.  </w:t>
      </w:r>
      <w:r w:rsidR="00804B83" w:rsidRPr="00F86C9A">
        <w:rPr>
          <w:u w:val="single"/>
        </w:rPr>
        <w:t>Id.</w:t>
      </w:r>
      <w:r w:rsidR="00804B83" w:rsidRPr="00F86C9A">
        <w:t xml:space="preserve"> at 24; </w:t>
      </w:r>
      <w:r w:rsidR="00804B83" w:rsidRPr="00F86C9A">
        <w:rPr>
          <w:i/>
        </w:rPr>
        <w:t>see also</w:t>
      </w:r>
      <w:r w:rsidR="00804B83" w:rsidRPr="00F86C9A">
        <w:t xml:space="preserve">, CEW M.B. at App. A.  </w:t>
      </w:r>
      <w:r w:rsidR="004860E5" w:rsidRPr="00F86C9A">
        <w:t xml:space="preserve">This </w:t>
      </w:r>
      <w:r w:rsidR="00804B83" w:rsidRPr="00F86C9A">
        <w:t>include</w:t>
      </w:r>
      <w:r w:rsidR="004860E5" w:rsidRPr="00F86C9A">
        <w:t>s</w:t>
      </w:r>
      <w:r w:rsidR="00804B83" w:rsidRPr="00F86C9A">
        <w:t>, among other things,</w:t>
      </w:r>
      <w:r w:rsidR="004860E5" w:rsidRPr="00F86C9A">
        <w:t xml:space="preserve"> waiver of the 100 </w:t>
      </w:r>
      <w:proofErr w:type="gramStart"/>
      <w:r w:rsidR="004860E5" w:rsidRPr="00F86C9A">
        <w:t>kw</w:t>
      </w:r>
      <w:proofErr w:type="gramEnd"/>
      <w:r w:rsidR="004860E5" w:rsidRPr="00F86C9A">
        <w:t xml:space="preserve"> demarcation for Hourly Pricing Service (HPS), waiver of the recommended two-year term for default s</w:t>
      </w:r>
      <w:r w:rsidR="005E013D">
        <w:t>ervice plans commencing on June 1, </w:t>
      </w:r>
      <w:r w:rsidR="004860E5" w:rsidRPr="00F86C9A">
        <w:t xml:space="preserve">2015 and the waiver, to the extent necessary, of any obligation to conduct quarterly solicitations or auctions for supply.  </w:t>
      </w:r>
      <w:r w:rsidR="004860E5" w:rsidRPr="00F86C9A">
        <w:rPr>
          <w:u w:val="single"/>
        </w:rPr>
        <w:t>Id.</w:t>
      </w:r>
      <w:r w:rsidR="004860E5" w:rsidRPr="00F86C9A">
        <w:t xml:space="preserve"> at 25-27.  </w:t>
      </w:r>
      <w:r w:rsidR="00923A41" w:rsidRPr="00F86C9A">
        <w:t xml:space="preserve">The Companies attached to their Main Brief a detailed chart itemizing the various Commission regulations that the proposed DSP complies with and </w:t>
      </w:r>
      <w:r w:rsidR="008D1351">
        <w:t xml:space="preserve">for </w:t>
      </w:r>
      <w:r w:rsidR="00923A41" w:rsidRPr="00F86C9A">
        <w:t xml:space="preserve">which regulations a waiver was being requested.  </w:t>
      </w:r>
      <w:proofErr w:type="gramStart"/>
      <w:r w:rsidR="00923A41" w:rsidRPr="00F86C9A">
        <w:rPr>
          <w:u w:val="single"/>
        </w:rPr>
        <w:t>Id.</w:t>
      </w:r>
      <w:r w:rsidR="00923A41" w:rsidRPr="00F86C9A">
        <w:t xml:space="preserve"> at App. A.</w:t>
      </w:r>
      <w:proofErr w:type="gramEnd"/>
    </w:p>
    <w:p w:rsidR="00923A41" w:rsidRPr="00F86C9A" w:rsidRDefault="00923A41" w:rsidP="004B3FA4">
      <w:pPr>
        <w:spacing w:line="360" w:lineRule="auto"/>
        <w:ind w:firstLine="1440"/>
      </w:pPr>
    </w:p>
    <w:p w:rsidR="00923A41" w:rsidRPr="00F86C9A" w:rsidRDefault="00923A41" w:rsidP="004B3FA4">
      <w:pPr>
        <w:spacing w:line="360" w:lineRule="auto"/>
        <w:ind w:firstLine="1440"/>
      </w:pPr>
      <w:r w:rsidRPr="00F86C9A">
        <w:t xml:space="preserve">The Companies concluded the description of the proposed procurement plan by contending that, with the requested waivers, the proposed procurement plan satisfies the requirements of the Commission’s Default Service Regulations, Policy Statements and </w:t>
      </w:r>
      <w:r w:rsidRPr="00F86C9A">
        <w:rPr>
          <w:u w:val="single"/>
        </w:rPr>
        <w:t>End State Order</w:t>
      </w:r>
      <w:r w:rsidRPr="00F86C9A">
        <w:t xml:space="preserve"> and positions the Companies to usher in an era of competitive retail </w:t>
      </w:r>
      <w:r w:rsidR="008D1351">
        <w:t xml:space="preserve">electric markets </w:t>
      </w:r>
      <w:r w:rsidRPr="00F86C9A">
        <w:t>without subjecting customers remaining on default service to increasing and/or vol</w:t>
      </w:r>
      <w:r w:rsidR="00052CE3" w:rsidRPr="00F86C9A">
        <w:t xml:space="preserve">atile default supply costs due </w:t>
      </w:r>
      <w:r w:rsidRPr="00F86C9A">
        <w:t xml:space="preserve">to reductions to the Companies’ total default service load.  </w:t>
      </w:r>
      <w:proofErr w:type="gramStart"/>
      <w:r w:rsidRPr="00F86C9A">
        <w:rPr>
          <w:u w:val="single"/>
        </w:rPr>
        <w:t>Id.</w:t>
      </w:r>
      <w:r w:rsidRPr="00F86C9A">
        <w:t xml:space="preserve"> at 28.</w:t>
      </w:r>
      <w:proofErr w:type="gramEnd"/>
    </w:p>
    <w:p w:rsidR="00923A41" w:rsidRPr="00F86C9A" w:rsidRDefault="00923A41" w:rsidP="004B3FA4">
      <w:pPr>
        <w:spacing w:line="360" w:lineRule="auto"/>
        <w:ind w:firstLine="1440"/>
      </w:pPr>
    </w:p>
    <w:p w:rsidR="00FF6616" w:rsidRPr="00F86C9A" w:rsidRDefault="00FF6616" w:rsidP="00590452">
      <w:pPr>
        <w:pStyle w:val="ListParagraph"/>
        <w:numPr>
          <w:ilvl w:val="0"/>
          <w:numId w:val="21"/>
        </w:numPr>
        <w:spacing w:line="360" w:lineRule="auto"/>
        <w:rPr>
          <w:u w:val="single"/>
        </w:rPr>
      </w:pPr>
      <w:r w:rsidRPr="00F86C9A">
        <w:rPr>
          <w:u w:val="single"/>
        </w:rPr>
        <w:t>The Rate Design Plan</w:t>
      </w:r>
    </w:p>
    <w:p w:rsidR="00FF6616" w:rsidRPr="00F86C9A" w:rsidRDefault="00FF6616" w:rsidP="00FF6616">
      <w:pPr>
        <w:spacing w:line="360" w:lineRule="auto"/>
      </w:pPr>
    </w:p>
    <w:p w:rsidR="00DE3D4B" w:rsidRPr="00F86C9A" w:rsidRDefault="00DE3D4B" w:rsidP="00E432A1">
      <w:pPr>
        <w:spacing w:line="360" w:lineRule="auto"/>
        <w:ind w:firstLine="1440"/>
      </w:pPr>
      <w:r w:rsidRPr="00F86C9A">
        <w:t>The Companies currently recover default service costs through a Generation Supply Service Rate (GSSR)</w:t>
      </w:r>
      <w:r w:rsidR="00FB6E40">
        <w:t>.  The Companies</w:t>
      </w:r>
      <w:r w:rsidRPr="00F86C9A">
        <w:t xml:space="preserve"> propose to continue to recover default service costs in the proposed procurement plan, although the proposal to index energy costs for Residential and Small C&amp;I customers while offering hourly-priced service for Large C&amp;I customers requires a bifurcation of the existing GSSR.  </w:t>
      </w:r>
      <w:proofErr w:type="gramStart"/>
      <w:r w:rsidRPr="00F86C9A">
        <w:t>CEW M.B. at 28.</w:t>
      </w:r>
      <w:proofErr w:type="gramEnd"/>
      <w:r w:rsidRPr="00F86C9A">
        <w:t xml:space="preserve">  The Companies also proposed to modify the collection and reconciliation provisions to accommodate the six-month pricing periods applicable to Residential and Small C&amp;I customers and </w:t>
      </w:r>
      <w:r w:rsidR="00FB6E40">
        <w:t xml:space="preserve">to </w:t>
      </w:r>
      <w:r w:rsidRPr="00F86C9A">
        <w:t xml:space="preserve">modify the GSSR by transferring recovery of certain Wellsboro-specific costs from the Companies’ GSSR to the Wellsboro </w:t>
      </w:r>
      <w:r w:rsidR="00A07599" w:rsidRPr="00F86C9A">
        <w:t>Customer Choice Support Charge (</w:t>
      </w:r>
      <w:r w:rsidRPr="00F86C9A">
        <w:t>CCSC</w:t>
      </w:r>
      <w:r w:rsidR="00A07599" w:rsidRPr="00F86C9A">
        <w:t>)</w:t>
      </w:r>
      <w:r w:rsidRPr="00F86C9A">
        <w:t xml:space="preserve"> Rider</w:t>
      </w:r>
      <w:r w:rsidR="00A07599" w:rsidRPr="00F86C9A">
        <w:t xml:space="preserve">.  </w:t>
      </w:r>
      <w:r w:rsidR="00A07599" w:rsidRPr="00F86C9A">
        <w:rPr>
          <w:u w:val="single"/>
        </w:rPr>
        <w:t>Id.</w:t>
      </w:r>
    </w:p>
    <w:p w:rsidR="00A07599" w:rsidRPr="00F86C9A" w:rsidRDefault="00A07599" w:rsidP="00336436">
      <w:pPr>
        <w:spacing w:line="360" w:lineRule="auto"/>
        <w:ind w:firstLine="1440"/>
      </w:pPr>
    </w:p>
    <w:p w:rsidR="00F92265" w:rsidRPr="00F86C9A" w:rsidRDefault="00A07599" w:rsidP="00786302">
      <w:pPr>
        <w:spacing w:line="360" w:lineRule="auto"/>
        <w:ind w:right="14" w:firstLine="1440"/>
      </w:pPr>
      <w:r w:rsidRPr="00F86C9A">
        <w:t xml:space="preserve">With regard to </w:t>
      </w:r>
      <w:proofErr w:type="gramStart"/>
      <w:r w:rsidRPr="00F86C9A">
        <w:t>bifurcating</w:t>
      </w:r>
      <w:proofErr w:type="gramEnd"/>
      <w:r w:rsidRPr="00F86C9A">
        <w:t xml:space="preserve"> the GSSR, CEW witness Charles Barnes testified that these changes collectively operate to simplify the GSSRs from both a Company administrative perspective and from a customer perspective.  </w:t>
      </w:r>
      <w:proofErr w:type="gramStart"/>
      <w:r w:rsidRPr="00F86C9A">
        <w:rPr>
          <w:u w:val="single"/>
        </w:rPr>
        <w:t>Id.</w:t>
      </w:r>
      <w:r w:rsidRPr="00F86C9A">
        <w:t xml:space="preserve"> at 30, </w:t>
      </w:r>
      <w:r w:rsidRPr="00F86C9A">
        <w:rPr>
          <w:i/>
        </w:rPr>
        <w:t>citing</w:t>
      </w:r>
      <w:r w:rsidRPr="00F86C9A">
        <w:t>, CEW St. No. 3 at 3.</w:t>
      </w:r>
      <w:proofErr w:type="gramEnd"/>
      <w:r w:rsidRPr="00F86C9A">
        <w:t xml:space="preserve">  Mr. Barnes added that the rate projection and reconciliation process will be simplified and more transparent “because all costs except energy, Reliability Pricing Model Auction (Capacity), Network Integrated Transmission Service (NITS), and the Companies’ administrative costs and working capital are included in the fixed Supplier Adder.”  </w:t>
      </w:r>
      <w:r w:rsidRPr="00F86C9A">
        <w:rPr>
          <w:u w:val="single"/>
        </w:rPr>
        <w:t>Id.</w:t>
      </w:r>
    </w:p>
    <w:p w:rsidR="00F92265" w:rsidRPr="00F86C9A" w:rsidRDefault="00F92265" w:rsidP="00786302">
      <w:pPr>
        <w:spacing w:line="360" w:lineRule="auto"/>
        <w:ind w:right="14" w:firstLine="1440"/>
      </w:pPr>
    </w:p>
    <w:p w:rsidR="00786302" w:rsidRPr="00F86C9A" w:rsidRDefault="00786302" w:rsidP="00786302">
      <w:pPr>
        <w:spacing w:line="360" w:lineRule="auto"/>
        <w:ind w:right="14" w:firstLine="1440"/>
      </w:pPr>
      <w:r w:rsidRPr="00F86C9A">
        <w:t>Mr. Barnes also provided the below formulaic illustration of the pricing components applicable to Residential and Small C&amp;I customers through the proposed GSSR-1:</w:t>
      </w:r>
    </w:p>
    <w:p w:rsidR="00F92265" w:rsidRPr="00F86C9A" w:rsidRDefault="00F92265" w:rsidP="000355C5">
      <w:pPr>
        <w:spacing w:line="360" w:lineRule="auto"/>
        <w:ind w:left="1440" w:right="1440"/>
        <w:jc w:val="both"/>
      </w:pPr>
    </w:p>
    <w:p w:rsidR="00786302" w:rsidRPr="00F86C9A" w:rsidRDefault="00786302" w:rsidP="00786302">
      <w:pPr>
        <w:ind w:left="1440" w:right="1440"/>
        <w:jc w:val="both"/>
      </w:pPr>
      <w:r w:rsidRPr="00F86C9A">
        <w:t>The G</w:t>
      </w:r>
      <w:r w:rsidR="000355C5">
        <w:t xml:space="preserve">SSR-1 will consist of: (1) </w:t>
      </w:r>
      <w:r w:rsidRPr="00F86C9A">
        <w:t xml:space="preserve">projected Purchased Power Costs (the fixed energy rate + the Supplier Adder + Projected NITS costs for the GSSR-1 class + Projected Capacity Costs for the GSSR-1 Class + Company Administrative Costs); </w:t>
      </w:r>
      <w:r w:rsidRPr="00F86C9A">
        <w:rPr>
          <w:b/>
        </w:rPr>
        <w:t>plus or minus</w:t>
      </w:r>
      <w:r w:rsidRPr="00F86C9A">
        <w:rPr>
          <w:i/>
        </w:rPr>
        <w:t xml:space="preserve"> </w:t>
      </w:r>
      <w:r w:rsidR="000355C5">
        <w:t xml:space="preserve">(2) </w:t>
      </w:r>
      <w:r w:rsidRPr="00F86C9A">
        <w:t xml:space="preserve">the Reconciliation Period E-factor; </w:t>
      </w:r>
      <w:r w:rsidRPr="00F86C9A">
        <w:rPr>
          <w:b/>
        </w:rPr>
        <w:t>divided by</w:t>
      </w:r>
      <w:r w:rsidR="000355C5">
        <w:t xml:space="preserve"> (3) </w:t>
      </w:r>
      <w:r w:rsidRPr="00F86C9A">
        <w:t xml:space="preserve">projected metered sales to GSSR-1 default service customers; </w:t>
      </w:r>
      <w:r w:rsidRPr="00F86C9A">
        <w:rPr>
          <w:b/>
        </w:rPr>
        <w:t xml:space="preserve">times </w:t>
      </w:r>
      <w:r w:rsidR="000355C5">
        <w:t xml:space="preserve">(4) </w:t>
      </w:r>
      <w:r w:rsidRPr="00F86C9A">
        <w:t>a GRT gross-up.</w:t>
      </w:r>
    </w:p>
    <w:p w:rsidR="00A07599" w:rsidRPr="00F86C9A" w:rsidRDefault="00A07599" w:rsidP="000355C5">
      <w:pPr>
        <w:ind w:firstLine="1440"/>
      </w:pPr>
    </w:p>
    <w:p w:rsidR="00A07599" w:rsidRPr="00F86C9A" w:rsidRDefault="00786302" w:rsidP="00786302">
      <w:pPr>
        <w:spacing w:line="360" w:lineRule="auto"/>
      </w:pPr>
      <w:proofErr w:type="gramStart"/>
      <w:r w:rsidRPr="00F86C9A">
        <w:rPr>
          <w:u w:val="single"/>
        </w:rPr>
        <w:t>Id.</w:t>
      </w:r>
      <w:r w:rsidRPr="00F86C9A">
        <w:t xml:space="preserve">, </w:t>
      </w:r>
      <w:r w:rsidRPr="00F86C9A">
        <w:rPr>
          <w:i/>
        </w:rPr>
        <w:t>citing</w:t>
      </w:r>
      <w:r w:rsidRPr="00F86C9A">
        <w:t>, CEW St. No. 3 at 5.</w:t>
      </w:r>
      <w:proofErr w:type="gramEnd"/>
      <w:r w:rsidRPr="00F86C9A">
        <w:t xml:space="preserve">  </w:t>
      </w:r>
      <w:r w:rsidR="00F92265" w:rsidRPr="00F86C9A">
        <w:t xml:space="preserve">Mr. Barnes further testified regarding the transmission and capacity cost components also being charged on a fixed per-kwh basis for each 6-month pricing period and that all remaining costs to deliver default service power will be assigned to the wholesale suppliers and recovered through the fixed-price Supplier Adder.  </w:t>
      </w:r>
      <w:proofErr w:type="gramStart"/>
      <w:r w:rsidR="00F92265" w:rsidRPr="00F86C9A">
        <w:rPr>
          <w:u w:val="single"/>
        </w:rPr>
        <w:t>Id.</w:t>
      </w:r>
      <w:r w:rsidR="00F92265" w:rsidRPr="00F86C9A">
        <w:t xml:space="preserve"> at 31.</w:t>
      </w:r>
      <w:proofErr w:type="gramEnd"/>
      <w:r w:rsidR="00F92265" w:rsidRPr="00F86C9A">
        <w:t xml:space="preserve">  The GSSR-2 for the Large C&amp;I customers duplicates the structure of the GSSR-1, except that the GSSR-2 price components reflect real-time market conditions and replace the fixed energy cost component with the hourly-priced service and substitute the projected per k</w:t>
      </w:r>
      <w:r w:rsidR="00FB6E40">
        <w:t>W</w:t>
      </w:r>
      <w:r w:rsidR="00F92265" w:rsidRPr="00F86C9A">
        <w:t xml:space="preserve">h capacity and transmission costs with real-time demand-based capacity and transmission cost allocators.  </w:t>
      </w:r>
      <w:proofErr w:type="gramStart"/>
      <w:r w:rsidR="00F92265" w:rsidRPr="00F86C9A">
        <w:rPr>
          <w:u w:val="single"/>
        </w:rPr>
        <w:t>Id.</w:t>
      </w:r>
      <w:r w:rsidR="000355C5">
        <w:t xml:space="preserve"> at </w:t>
      </w:r>
      <w:r w:rsidR="00F92265" w:rsidRPr="00F86C9A">
        <w:t xml:space="preserve">32, </w:t>
      </w:r>
      <w:r w:rsidR="00F92265" w:rsidRPr="00F86C9A">
        <w:rPr>
          <w:i/>
        </w:rPr>
        <w:t>citing</w:t>
      </w:r>
      <w:r w:rsidR="00F92265" w:rsidRPr="00F86C9A">
        <w:t>, CEW St. No. 3 at 6.</w:t>
      </w:r>
      <w:proofErr w:type="gramEnd"/>
      <w:r w:rsidR="00F92265" w:rsidRPr="00F86C9A">
        <w:t xml:space="preserve">  The GSSR-2, therefore, has a similar formula as the GSSR-1.  </w:t>
      </w:r>
      <w:r w:rsidR="00F92265" w:rsidRPr="00F86C9A">
        <w:rPr>
          <w:u w:val="single"/>
        </w:rPr>
        <w:t>Id.</w:t>
      </w:r>
      <w:r w:rsidR="00F92265" w:rsidRPr="00F86C9A">
        <w:t xml:space="preserve">  Both the GSSR-1 and the GSSR-2 would represent the Companies’ Price to Compare (PTC) for the respective customer classes.  </w:t>
      </w:r>
      <w:proofErr w:type="gramStart"/>
      <w:r w:rsidR="00F92265" w:rsidRPr="00F86C9A">
        <w:rPr>
          <w:u w:val="single"/>
        </w:rPr>
        <w:t>Id.</w:t>
      </w:r>
      <w:r w:rsidR="00F92265" w:rsidRPr="00F86C9A">
        <w:t xml:space="preserve"> at 33.</w:t>
      </w:r>
      <w:proofErr w:type="gramEnd"/>
    </w:p>
    <w:p w:rsidR="00F92265" w:rsidRPr="00F86C9A" w:rsidRDefault="00F92265" w:rsidP="000355C5">
      <w:pPr>
        <w:spacing w:line="360" w:lineRule="auto"/>
      </w:pPr>
    </w:p>
    <w:p w:rsidR="00F92265" w:rsidRPr="00F86C9A" w:rsidRDefault="00F92265" w:rsidP="00786302">
      <w:pPr>
        <w:spacing w:line="360" w:lineRule="auto"/>
      </w:pPr>
      <w:r w:rsidRPr="00F86C9A">
        <w:tab/>
      </w:r>
      <w:r w:rsidRPr="00F86C9A">
        <w:tab/>
        <w:t xml:space="preserve">In addition to </w:t>
      </w:r>
      <w:proofErr w:type="gramStart"/>
      <w:r w:rsidRPr="00F86C9A">
        <w:t>bifurcating</w:t>
      </w:r>
      <w:proofErr w:type="gramEnd"/>
      <w:r w:rsidRPr="00F86C9A">
        <w:t xml:space="preserve"> the GSSR, the Companies have also requested a waiver of the requirement to adjust the GSSR on a quarterly basis in order to align the GSSR-1 adjustments and reconciliation to the six-month pricing periods underlying the proposed procurement plan.  </w:t>
      </w:r>
      <w:r w:rsidRPr="00F86C9A">
        <w:rPr>
          <w:u w:val="single"/>
        </w:rPr>
        <w:t>Id.</w:t>
      </w:r>
      <w:r w:rsidRPr="00F86C9A">
        <w:t xml:space="preserve">  The Companies did not propose a waiver for the GSSR-2 costs because the GSSR-2 reflects primarily real-time actual costs.  </w:t>
      </w:r>
      <w:r w:rsidRPr="00F86C9A">
        <w:rPr>
          <w:u w:val="single"/>
        </w:rPr>
        <w:t>Id.</w:t>
      </w:r>
    </w:p>
    <w:p w:rsidR="00F555AF" w:rsidRPr="00F86C9A" w:rsidRDefault="00F555AF" w:rsidP="00786302">
      <w:pPr>
        <w:spacing w:line="360" w:lineRule="auto"/>
      </w:pPr>
    </w:p>
    <w:p w:rsidR="00E432A1" w:rsidRPr="00F86C9A" w:rsidRDefault="00F555AF" w:rsidP="00FF6616">
      <w:pPr>
        <w:spacing w:line="360" w:lineRule="auto"/>
      </w:pPr>
      <w:r w:rsidRPr="00F86C9A">
        <w:tab/>
      </w:r>
      <w:r w:rsidRPr="00F86C9A">
        <w:tab/>
        <w:t xml:space="preserve">The Companies also proposed </w:t>
      </w:r>
      <w:r w:rsidR="00881B77" w:rsidRPr="00F86C9A">
        <w:t xml:space="preserve">as part of the procurement plan that certain additional costs associated with the Companies’ default service obligations will be recovered through the CCSC Rider currently pending before the Commission.  </w:t>
      </w:r>
      <w:proofErr w:type="gramStart"/>
      <w:r w:rsidR="00881B77" w:rsidRPr="00F86C9A">
        <w:rPr>
          <w:u w:val="single"/>
        </w:rPr>
        <w:t>Id.</w:t>
      </w:r>
      <w:r w:rsidR="00881B77" w:rsidRPr="00F86C9A">
        <w:t xml:space="preserve"> at 34.</w:t>
      </w:r>
      <w:proofErr w:type="gramEnd"/>
      <w:r w:rsidR="00881B77" w:rsidRPr="00F86C9A">
        <w:t xml:space="preserve">  Some of these costs include costs incurred by Wellsboro for use of certain sub-transmission lines owned by Penelec, instead of recovering such costs through Wellsboro’s GSSR.  </w:t>
      </w:r>
      <w:r w:rsidR="00881B77" w:rsidRPr="00F86C9A">
        <w:rPr>
          <w:u w:val="single"/>
        </w:rPr>
        <w:t>Id.</w:t>
      </w:r>
      <w:r w:rsidR="00881B77" w:rsidRPr="00F86C9A">
        <w:t xml:space="preserve">  Additionally, the Companies intend to allocate costs associated with the development and design of EDI capabilities also through the CCSC Rider and not the GSSR.  </w:t>
      </w:r>
      <w:r w:rsidR="00881B77" w:rsidRPr="00F86C9A">
        <w:rPr>
          <w:u w:val="single"/>
        </w:rPr>
        <w:t>Id.</w:t>
      </w:r>
    </w:p>
    <w:p w:rsidR="00F555AF" w:rsidRPr="00F86C9A" w:rsidRDefault="00F555AF" w:rsidP="00FF6616">
      <w:pPr>
        <w:spacing w:line="360" w:lineRule="auto"/>
      </w:pPr>
    </w:p>
    <w:p w:rsidR="00FF6616" w:rsidRPr="00F86C9A" w:rsidRDefault="00FF6616" w:rsidP="00590452">
      <w:pPr>
        <w:pStyle w:val="ListParagraph"/>
        <w:numPr>
          <w:ilvl w:val="0"/>
          <w:numId w:val="21"/>
        </w:numPr>
        <w:spacing w:line="360" w:lineRule="auto"/>
        <w:rPr>
          <w:u w:val="single"/>
        </w:rPr>
      </w:pPr>
      <w:r w:rsidRPr="00F86C9A">
        <w:rPr>
          <w:u w:val="single"/>
        </w:rPr>
        <w:t>The Contingency Plan</w:t>
      </w:r>
    </w:p>
    <w:p w:rsidR="00FF6616" w:rsidRPr="00F86C9A" w:rsidRDefault="00FF6616" w:rsidP="00FF6616">
      <w:pPr>
        <w:spacing w:line="360" w:lineRule="auto"/>
      </w:pPr>
    </w:p>
    <w:p w:rsidR="0050653E" w:rsidRPr="00F86C9A" w:rsidRDefault="0050653E" w:rsidP="00E432A1">
      <w:pPr>
        <w:spacing w:line="360" w:lineRule="auto"/>
        <w:ind w:firstLine="1440"/>
      </w:pPr>
      <w:r w:rsidRPr="00F86C9A">
        <w:t>The Companies</w:t>
      </w:r>
      <w:r w:rsidR="00EF59A2">
        <w:t>’</w:t>
      </w:r>
      <w:r w:rsidRPr="00F86C9A">
        <w:t xml:space="preserve"> </w:t>
      </w:r>
      <w:r w:rsidR="0000152C" w:rsidRPr="00F86C9A">
        <w:t xml:space="preserve">proposed </w:t>
      </w:r>
      <w:r w:rsidRPr="00F86C9A">
        <w:t xml:space="preserve">procurement plan also includes a contingency plan to ensure the reliable provision of default service </w:t>
      </w:r>
      <w:r w:rsidR="00504151" w:rsidRPr="00F86C9A">
        <w:t xml:space="preserve">if </w:t>
      </w:r>
      <w:r w:rsidRPr="00F86C9A">
        <w:t>a wholesale generation supplier fails to meet its contractual obligations.  As explained by CEW witness Winslow:</w:t>
      </w:r>
    </w:p>
    <w:p w:rsidR="0050653E" w:rsidRPr="00F86C9A" w:rsidRDefault="0050653E" w:rsidP="000355C5">
      <w:pPr>
        <w:spacing w:line="360" w:lineRule="auto"/>
      </w:pPr>
    </w:p>
    <w:p w:rsidR="000C0120" w:rsidRPr="00F86C9A" w:rsidRDefault="000C0120" w:rsidP="000C0120">
      <w:pPr>
        <w:tabs>
          <w:tab w:val="left" w:pos="7920"/>
        </w:tabs>
        <w:ind w:left="1440" w:right="1440"/>
        <w:jc w:val="both"/>
      </w:pPr>
      <w:r w:rsidRPr="00F86C9A">
        <w:t>If a selected wholesale supplier fails to deliver energy supply as contracted, the affected Company, or Companies, will implement an interim contingency plan relying on its status as a PJM member.  The Company would obtain replacement supply through the PJM monthly forward and/or spot markets and pay all ancillary service, capacity and transmission costs on a fully reconcilable basis.  While meeting default service obligations using the PJM market, the impacted Company would also contact other entities that responded to the original RFPs to assess interest in assuming the non-performing wholesale supplier's obligations at the price, terms and conditions in place at the time of default.  If no wholesale suppliers are willing to assume the contract terms, then the Company will develop and submit a further contingency plan to the PUC.</w:t>
      </w:r>
    </w:p>
    <w:p w:rsidR="000C0120" w:rsidRPr="00F86C9A" w:rsidRDefault="000C0120" w:rsidP="000355C5">
      <w:pPr>
        <w:tabs>
          <w:tab w:val="left" w:pos="7920"/>
        </w:tabs>
        <w:ind w:left="1440" w:right="1440" w:hanging="720"/>
        <w:jc w:val="both"/>
      </w:pPr>
    </w:p>
    <w:p w:rsidR="0050653E" w:rsidRPr="00F86C9A" w:rsidRDefault="000C0120" w:rsidP="000C0120">
      <w:pPr>
        <w:tabs>
          <w:tab w:val="left" w:pos="7920"/>
        </w:tabs>
        <w:ind w:left="1440" w:right="1440" w:hanging="720"/>
        <w:jc w:val="both"/>
        <w:rPr>
          <w:b/>
          <w:bCs/>
        </w:rPr>
      </w:pPr>
      <w:r w:rsidRPr="00F86C9A">
        <w:tab/>
        <w:t>Additionally, in the event that the initial 2015 RFPs fail to yield qualified bids, the Companies will continue the existing Stratified Procurement Plan with an updated</w:t>
      </w:r>
      <w:r w:rsidR="000355C5">
        <w:t xml:space="preserve"> hedge strategy through May 31, </w:t>
      </w:r>
      <w:r w:rsidRPr="00F86C9A">
        <w:t>2016.  During this period, the Companies would administer the Stratified Procurement Plan consistent with the terms and conditions approved by the Commission in the December 5, 2012 Order.  In the first quarter of 2016, the Companies would attempt a new solicitation.  During any period where the Companies continue the Stratified Procurement Plan due to lack of wholesale supplier responses to the RFPs, the Companies will provide HPS to any shopping customers desiring to return to default service.</w:t>
      </w:r>
    </w:p>
    <w:p w:rsidR="0050653E" w:rsidRPr="00F86C9A" w:rsidRDefault="0050653E" w:rsidP="00AA4AF7"/>
    <w:p w:rsidR="0050653E" w:rsidRPr="00F86C9A" w:rsidRDefault="0050653E" w:rsidP="0050653E">
      <w:pPr>
        <w:spacing w:line="360" w:lineRule="auto"/>
      </w:pPr>
      <w:proofErr w:type="gramStart"/>
      <w:r w:rsidRPr="00F86C9A">
        <w:rPr>
          <w:u w:val="single"/>
        </w:rPr>
        <w:t>Id.</w:t>
      </w:r>
      <w:r w:rsidRPr="00F86C9A">
        <w:t xml:space="preserve"> at 35, </w:t>
      </w:r>
      <w:r w:rsidRPr="00F86C9A">
        <w:rPr>
          <w:i/>
        </w:rPr>
        <w:t>citing</w:t>
      </w:r>
      <w:r w:rsidRPr="00F86C9A">
        <w:t>, CEW St. No. 2 at 19-20.</w:t>
      </w:r>
      <w:proofErr w:type="gramEnd"/>
    </w:p>
    <w:p w:rsidR="00E432A1" w:rsidRPr="00F86C9A" w:rsidRDefault="00E432A1" w:rsidP="00AA4AF7">
      <w:pPr>
        <w:spacing w:line="360" w:lineRule="auto"/>
      </w:pPr>
    </w:p>
    <w:p w:rsidR="00FF6616" w:rsidRPr="00F86C9A" w:rsidRDefault="00FF6616" w:rsidP="00590452">
      <w:pPr>
        <w:pStyle w:val="ListParagraph"/>
        <w:numPr>
          <w:ilvl w:val="0"/>
          <w:numId w:val="21"/>
        </w:numPr>
        <w:spacing w:line="360" w:lineRule="auto"/>
        <w:rPr>
          <w:u w:val="single"/>
        </w:rPr>
      </w:pPr>
      <w:r w:rsidRPr="00F86C9A">
        <w:rPr>
          <w:u w:val="single"/>
        </w:rPr>
        <w:t>R</w:t>
      </w:r>
      <w:r w:rsidR="00590452" w:rsidRPr="00F86C9A">
        <w:rPr>
          <w:u w:val="single"/>
        </w:rPr>
        <w:t xml:space="preserve">etail </w:t>
      </w:r>
      <w:r w:rsidRPr="00F86C9A">
        <w:rPr>
          <w:u w:val="single"/>
        </w:rPr>
        <w:t>M</w:t>
      </w:r>
      <w:r w:rsidR="00590452" w:rsidRPr="00F86C9A">
        <w:rPr>
          <w:u w:val="single"/>
        </w:rPr>
        <w:t xml:space="preserve">arket </w:t>
      </w:r>
      <w:r w:rsidRPr="00F86C9A">
        <w:rPr>
          <w:u w:val="single"/>
        </w:rPr>
        <w:t>E</w:t>
      </w:r>
      <w:r w:rsidR="00590452" w:rsidRPr="00F86C9A">
        <w:rPr>
          <w:u w:val="single"/>
        </w:rPr>
        <w:t>nhancements</w:t>
      </w:r>
    </w:p>
    <w:p w:rsidR="00FF6616" w:rsidRPr="00F86C9A" w:rsidRDefault="00FF6616" w:rsidP="00FF6616">
      <w:pPr>
        <w:spacing w:line="360" w:lineRule="auto"/>
      </w:pPr>
    </w:p>
    <w:p w:rsidR="00E432A1" w:rsidRPr="00F86C9A" w:rsidRDefault="00D63EF3" w:rsidP="00E432A1">
      <w:pPr>
        <w:spacing w:line="360" w:lineRule="auto"/>
        <w:ind w:firstLine="1440"/>
      </w:pPr>
      <w:r w:rsidRPr="00F86C9A">
        <w:t xml:space="preserve">The Companies’ proposed procurement plan proposes to continue the </w:t>
      </w:r>
      <w:r w:rsidR="000C0120" w:rsidRPr="00F86C9A">
        <w:t>Retail Market Enhancement (RME)</w:t>
      </w:r>
      <w:r w:rsidR="00E432A1" w:rsidRPr="00F86C9A">
        <w:t xml:space="preserve"> </w:t>
      </w:r>
      <w:r w:rsidRPr="00F86C9A">
        <w:t xml:space="preserve">programs adopted through the prior DSP but requests a waiver of any requirement to implement Instant Connects or Seamless Moves pending implementation of EDI software in the service territories.  </w:t>
      </w:r>
      <w:proofErr w:type="gramStart"/>
      <w:r w:rsidRPr="00F86C9A">
        <w:rPr>
          <w:u w:val="single"/>
        </w:rPr>
        <w:t>Id.</w:t>
      </w:r>
      <w:r w:rsidRPr="00F86C9A">
        <w:t xml:space="preserve"> at 36.</w:t>
      </w:r>
      <w:proofErr w:type="gramEnd"/>
      <w:r w:rsidRPr="00F86C9A">
        <w:t xml:space="preserve">  </w:t>
      </w:r>
      <w:r w:rsidR="007307E1" w:rsidRPr="00F86C9A">
        <w:t xml:space="preserve">The Companies noted in their Main Brief that new RME directives contained in the </w:t>
      </w:r>
      <w:r w:rsidR="007307E1" w:rsidRPr="00F86C9A">
        <w:rPr>
          <w:u w:val="single"/>
        </w:rPr>
        <w:t>End State Order</w:t>
      </w:r>
      <w:r w:rsidR="007307E1" w:rsidRPr="00F86C9A">
        <w:t xml:space="preserve"> conflict with prior Orders waiving the Companies’ obligations to install EDI software in the service territories, noting that the Commission previously alleviated the obligation of the Companies to install EDI software until competitive shopping became prevalent in each service territory.  </w:t>
      </w:r>
      <w:r w:rsidR="007307E1" w:rsidRPr="00F86C9A">
        <w:rPr>
          <w:u w:val="single"/>
        </w:rPr>
        <w:t>Id.</w:t>
      </w:r>
      <w:r w:rsidR="002C5CB5" w:rsidRPr="00F86C9A">
        <w:t xml:space="preserve">  CEW witness </w:t>
      </w:r>
      <w:proofErr w:type="spellStart"/>
      <w:r w:rsidR="002C5CB5" w:rsidRPr="00F86C9A">
        <w:t>Eccher</w:t>
      </w:r>
      <w:proofErr w:type="spellEnd"/>
      <w:r w:rsidR="002C5CB5" w:rsidRPr="00F86C9A">
        <w:t xml:space="preserve"> testified that both Seamless Moves and Instant Connects are predicated on operational EDI software.  </w:t>
      </w:r>
      <w:proofErr w:type="gramStart"/>
      <w:r w:rsidR="002C5CB5" w:rsidRPr="00F86C9A">
        <w:rPr>
          <w:u w:val="single"/>
        </w:rPr>
        <w:t>Id.</w:t>
      </w:r>
      <w:r w:rsidR="002C5CB5" w:rsidRPr="00F86C9A">
        <w:t xml:space="preserve"> at 37, </w:t>
      </w:r>
      <w:r w:rsidR="002C5CB5" w:rsidRPr="00F86C9A">
        <w:rPr>
          <w:i/>
        </w:rPr>
        <w:t>citing</w:t>
      </w:r>
      <w:r w:rsidR="002C5CB5" w:rsidRPr="00F86C9A">
        <w:t>, CEW St. No. 1 at 11.</w:t>
      </w:r>
      <w:proofErr w:type="gramEnd"/>
      <w:r w:rsidR="0027053D" w:rsidRPr="00F86C9A">
        <w:t xml:space="preserve">  The Companies noted that they expect to complete implementation of EDI software by May 31, 2015 but request a waiver of any current requirement to file an Instant Connects or Seamless Moves Plan because they are still in the design and development phase.  </w:t>
      </w:r>
      <w:r w:rsidR="0027053D" w:rsidRPr="00F86C9A">
        <w:rPr>
          <w:u w:val="single"/>
        </w:rPr>
        <w:t>Id.</w:t>
      </w:r>
    </w:p>
    <w:p w:rsidR="002C5CB5" w:rsidRPr="00F86C9A" w:rsidRDefault="002C5CB5" w:rsidP="00E432A1">
      <w:pPr>
        <w:spacing w:line="360" w:lineRule="auto"/>
        <w:ind w:firstLine="1440"/>
      </w:pPr>
    </w:p>
    <w:p w:rsidR="00FF6616" w:rsidRPr="00F86C9A" w:rsidRDefault="00FF6616" w:rsidP="00CE5A64">
      <w:pPr>
        <w:pStyle w:val="ListParagraph"/>
        <w:numPr>
          <w:ilvl w:val="0"/>
          <w:numId w:val="10"/>
        </w:numPr>
        <w:spacing w:line="360" w:lineRule="auto"/>
        <w:rPr>
          <w:b/>
        </w:rPr>
      </w:pPr>
      <w:r w:rsidRPr="00F86C9A">
        <w:rPr>
          <w:b/>
        </w:rPr>
        <w:t>Contested Issues</w:t>
      </w:r>
    </w:p>
    <w:p w:rsidR="00FF6616" w:rsidRPr="00F86C9A" w:rsidRDefault="00FF6616" w:rsidP="00FF6616">
      <w:pPr>
        <w:pStyle w:val="ListParagraph"/>
        <w:spacing w:line="360" w:lineRule="auto"/>
      </w:pPr>
    </w:p>
    <w:p w:rsidR="009E783B" w:rsidRPr="00F86C9A" w:rsidRDefault="009E783B" w:rsidP="009E783B">
      <w:pPr>
        <w:pStyle w:val="ListParagraph"/>
        <w:numPr>
          <w:ilvl w:val="0"/>
          <w:numId w:val="15"/>
        </w:numPr>
        <w:spacing w:line="360" w:lineRule="auto"/>
      </w:pPr>
      <w:r w:rsidRPr="00F86C9A">
        <w:rPr>
          <w:u w:val="single"/>
        </w:rPr>
        <w:t>Introduction</w:t>
      </w:r>
      <w:r w:rsidR="004E2E1D" w:rsidRPr="00F86C9A">
        <w:t>.</w:t>
      </w:r>
    </w:p>
    <w:p w:rsidR="009E783B" w:rsidRPr="00F86C9A" w:rsidRDefault="009E783B" w:rsidP="00B35966">
      <w:pPr>
        <w:pStyle w:val="ListParagraph"/>
        <w:spacing w:line="360" w:lineRule="auto"/>
        <w:ind w:left="0" w:firstLine="1440"/>
      </w:pPr>
    </w:p>
    <w:p w:rsidR="00B35966" w:rsidRPr="00F86C9A" w:rsidRDefault="00B35966" w:rsidP="00B35966">
      <w:pPr>
        <w:pStyle w:val="ListParagraph"/>
        <w:spacing w:line="360" w:lineRule="auto"/>
        <w:ind w:left="0" w:firstLine="1440"/>
      </w:pPr>
      <w:r w:rsidRPr="00F86C9A">
        <w:t>In response to the Companies</w:t>
      </w:r>
      <w:r w:rsidR="00EF59A2">
        <w:t>’</w:t>
      </w:r>
      <w:r w:rsidRPr="00F86C9A">
        <w:t xml:space="preserve"> proposed procurement plan, the OCA argued that the proposal to replace the Stratified Plan as to Residential and Small C&amp;I customers should not be adopted as filed.  OCA M.B. at 1-2.  The OCA does not take a position with regard to the proposed procurement plan as to Large C&amp;I customers.  </w:t>
      </w:r>
      <w:proofErr w:type="gramStart"/>
      <w:r w:rsidRPr="00F86C9A">
        <w:rPr>
          <w:u w:val="single"/>
        </w:rPr>
        <w:t>Id.</w:t>
      </w:r>
      <w:r w:rsidRPr="00F86C9A">
        <w:t xml:space="preserve"> at 2, n.2.</w:t>
      </w:r>
      <w:proofErr w:type="gramEnd"/>
      <w:r w:rsidRPr="00F86C9A">
        <w:t xml:space="preserve">  Rather, </w:t>
      </w:r>
      <w:r w:rsidR="003E796C" w:rsidRPr="00F86C9A">
        <w:t xml:space="preserve">for Residential and Small C&amp;I customers, </w:t>
      </w:r>
      <w:r w:rsidRPr="00F86C9A">
        <w:t xml:space="preserve">the OCA argued that the Companies should continue to utilize </w:t>
      </w:r>
      <w:r w:rsidR="00BF1A2E" w:rsidRPr="00F86C9A">
        <w:t xml:space="preserve">the Stratified Plan, noting that it has produced favorable results, particularly given the Companies’ small size.  </w:t>
      </w:r>
      <w:proofErr w:type="gramStart"/>
      <w:r w:rsidR="00BF1A2E" w:rsidRPr="00F86C9A">
        <w:rPr>
          <w:u w:val="single"/>
        </w:rPr>
        <w:t>Id.</w:t>
      </w:r>
      <w:r w:rsidR="00BF1A2E" w:rsidRPr="00F86C9A">
        <w:t xml:space="preserve"> at 2.</w:t>
      </w:r>
      <w:proofErr w:type="gramEnd"/>
      <w:r w:rsidR="00BF1A2E" w:rsidRPr="00F86C9A">
        <w:t xml:space="preserve">  The OCA argued that, in contrast, the proposed </w:t>
      </w:r>
      <w:r w:rsidR="00347D9C">
        <w:t xml:space="preserve">procurement </w:t>
      </w:r>
      <w:r w:rsidR="00BF1A2E" w:rsidRPr="00F86C9A">
        <w:t xml:space="preserve">plan exposes residential customers to increased potential for price volatility, reduces the competitive nature of procurement and does not satisfy the requirements of the law.  </w:t>
      </w:r>
      <w:r w:rsidR="00BF1A2E" w:rsidRPr="00F86C9A">
        <w:rPr>
          <w:u w:val="single"/>
        </w:rPr>
        <w:t>Id.</w:t>
      </w:r>
      <w:r w:rsidR="00BF1A2E" w:rsidRPr="00F86C9A">
        <w:t xml:space="preserve">  </w:t>
      </w:r>
      <w:r w:rsidR="00052CE3" w:rsidRPr="00F86C9A">
        <w:t>T</w:t>
      </w:r>
      <w:r w:rsidR="00BF1A2E" w:rsidRPr="00F86C9A">
        <w:t>he OCA supported the Companies</w:t>
      </w:r>
      <w:r w:rsidR="0046127D" w:rsidRPr="00F86C9A">
        <w:t>’</w:t>
      </w:r>
      <w:r w:rsidR="00BF1A2E" w:rsidRPr="00F86C9A">
        <w:t xml:space="preserve"> proposals for semi-annual rate changes and semi-annual reconciliation of default service costs.  </w:t>
      </w:r>
      <w:proofErr w:type="gramStart"/>
      <w:r w:rsidR="00BF1A2E" w:rsidRPr="00F86C9A">
        <w:rPr>
          <w:u w:val="single"/>
        </w:rPr>
        <w:t>Id.</w:t>
      </w:r>
      <w:r w:rsidR="00BF1A2E" w:rsidRPr="00F86C9A">
        <w:t xml:space="preserve"> at 2, n.3.</w:t>
      </w:r>
      <w:proofErr w:type="gramEnd"/>
      <w:r w:rsidR="00BF1A2E" w:rsidRPr="00F86C9A">
        <w:t xml:space="preserve">  The OCA further argued that, in the event the Commission agrees with the Companies that change is appropriate, the Companies should implement a plan that utilizes fixed-price, load-following full requirements contracts.  </w:t>
      </w:r>
      <w:proofErr w:type="gramStart"/>
      <w:r w:rsidR="00BF1A2E" w:rsidRPr="00F86C9A">
        <w:rPr>
          <w:u w:val="single"/>
        </w:rPr>
        <w:t>Id.</w:t>
      </w:r>
      <w:r w:rsidR="00BF1A2E" w:rsidRPr="00F86C9A">
        <w:t xml:space="preserve"> at 2.</w:t>
      </w:r>
      <w:proofErr w:type="gramEnd"/>
      <w:r w:rsidR="00384128" w:rsidRPr="00F86C9A">
        <w:t xml:space="preserve">  The OCA submits, however, that the reasons supporting adoption of the Stratified Plan remain valid today.  </w:t>
      </w:r>
      <w:r w:rsidR="00384128" w:rsidRPr="00F86C9A">
        <w:rPr>
          <w:u w:val="single"/>
        </w:rPr>
        <w:t>Id.</w:t>
      </w:r>
      <w:r w:rsidR="00AA4AF7">
        <w:t xml:space="preserve"> at </w:t>
      </w:r>
      <w:r w:rsidR="00384128" w:rsidRPr="00F86C9A">
        <w:t>12</w:t>
      </w:r>
      <w:r w:rsidR="00B850C1" w:rsidRPr="00F86C9A">
        <w:t>, 22-28</w:t>
      </w:r>
      <w:r w:rsidR="00384128" w:rsidRPr="00F86C9A">
        <w:t>.</w:t>
      </w:r>
    </w:p>
    <w:p w:rsidR="009E783B" w:rsidRPr="00F86C9A" w:rsidRDefault="009E783B" w:rsidP="003A53CD">
      <w:pPr>
        <w:pStyle w:val="ListParagraph"/>
        <w:spacing w:line="360" w:lineRule="auto"/>
        <w:ind w:left="0" w:firstLine="1440"/>
      </w:pPr>
    </w:p>
    <w:p w:rsidR="009E783B" w:rsidRPr="00F86C9A" w:rsidRDefault="009E783B" w:rsidP="009E783B">
      <w:pPr>
        <w:pStyle w:val="ListParagraph"/>
        <w:spacing w:line="360" w:lineRule="auto"/>
        <w:ind w:left="0" w:firstLine="1440"/>
      </w:pPr>
      <w:r w:rsidRPr="00F86C9A">
        <w:t xml:space="preserve">The OSBA, the only other active participant in this proceeding, no longer contests the procurement plan proposed </w:t>
      </w:r>
      <w:r w:rsidR="00286976" w:rsidRPr="00F86C9A">
        <w:t>by the Companies</w:t>
      </w:r>
      <w:r w:rsidRPr="00F86C9A">
        <w:t xml:space="preserve">.  The OSBA originally proposed in response to the Companies’ filing that </w:t>
      </w:r>
      <w:r w:rsidR="00286976" w:rsidRPr="00F86C9A">
        <w:t xml:space="preserve">the minimum number of qualified bids be increased from two to three in order to deem default service supply solicitation competitive </w:t>
      </w:r>
      <w:r w:rsidR="003A53CD">
        <w:t xml:space="preserve">or successful.  </w:t>
      </w:r>
      <w:proofErr w:type="gramStart"/>
      <w:r w:rsidR="003A53CD">
        <w:t>OSBA M.B. at 3, </w:t>
      </w:r>
      <w:r w:rsidR="00286976" w:rsidRPr="00F86C9A">
        <w:t>7.</w:t>
      </w:r>
      <w:proofErr w:type="gramEnd"/>
      <w:r w:rsidRPr="00F86C9A">
        <w:t xml:space="preserve"> </w:t>
      </w:r>
      <w:r w:rsidR="00286976" w:rsidRPr="00F86C9A">
        <w:t xml:space="preserve"> </w:t>
      </w:r>
      <w:r w:rsidRPr="00F86C9A">
        <w:t>In response to the OSBA proposal, the Companies agreed to</w:t>
      </w:r>
      <w:r w:rsidR="0046127D" w:rsidRPr="00F86C9A">
        <w:t xml:space="preserve"> increase the minimum number of qualified bids to </w:t>
      </w:r>
      <w:r w:rsidR="00052CE3" w:rsidRPr="00F86C9A">
        <w:t>three</w:t>
      </w:r>
      <w:r w:rsidR="0046127D" w:rsidRPr="00F86C9A">
        <w:t xml:space="preserve">. </w:t>
      </w:r>
      <w:r w:rsidRPr="00F86C9A">
        <w:t xml:space="preserve"> </w:t>
      </w:r>
      <w:proofErr w:type="gramStart"/>
      <w:r w:rsidR="00286976" w:rsidRPr="00F86C9A">
        <w:rPr>
          <w:u w:val="single"/>
        </w:rPr>
        <w:t>Id.</w:t>
      </w:r>
      <w:r w:rsidR="00286976" w:rsidRPr="00F86C9A">
        <w:t xml:space="preserve"> at 8, </w:t>
      </w:r>
      <w:r w:rsidR="00286976" w:rsidRPr="00F86C9A">
        <w:rPr>
          <w:i/>
        </w:rPr>
        <w:t>citing</w:t>
      </w:r>
      <w:r w:rsidR="00286976" w:rsidRPr="00F86C9A">
        <w:t>, CEW St. No. 2-R at 2</w:t>
      </w:r>
      <w:r w:rsidR="00B706B6">
        <w:t>.</w:t>
      </w:r>
      <w:proofErr w:type="gramEnd"/>
    </w:p>
    <w:p w:rsidR="009E783B" w:rsidRPr="00F86C9A" w:rsidRDefault="009E783B" w:rsidP="00B35966">
      <w:pPr>
        <w:pStyle w:val="ListParagraph"/>
        <w:spacing w:line="360" w:lineRule="auto"/>
        <w:ind w:left="0" w:firstLine="1440"/>
      </w:pPr>
    </w:p>
    <w:p w:rsidR="00BF1A2E" w:rsidRPr="00F86C9A" w:rsidRDefault="00052CE3" w:rsidP="009E783B">
      <w:pPr>
        <w:pStyle w:val="ListParagraph"/>
        <w:numPr>
          <w:ilvl w:val="0"/>
          <w:numId w:val="15"/>
        </w:numPr>
        <w:spacing w:line="360" w:lineRule="auto"/>
        <w:rPr>
          <w:u w:val="single"/>
        </w:rPr>
      </w:pPr>
      <w:r w:rsidRPr="00F86C9A">
        <w:rPr>
          <w:u w:val="single"/>
        </w:rPr>
        <w:t>Prudent Mix Requirement</w:t>
      </w:r>
      <w:r w:rsidR="00FA19A5" w:rsidRPr="00F86C9A">
        <w:rPr>
          <w:u w:val="single"/>
        </w:rPr>
        <w:t xml:space="preserve"> Issue</w:t>
      </w:r>
      <w:r w:rsidR="00753C06" w:rsidRPr="00F86C9A">
        <w:t>.</w:t>
      </w:r>
    </w:p>
    <w:p w:rsidR="009E783B" w:rsidRPr="00F86C9A" w:rsidRDefault="009E783B" w:rsidP="00B35966">
      <w:pPr>
        <w:pStyle w:val="ListParagraph"/>
        <w:spacing w:line="360" w:lineRule="auto"/>
        <w:ind w:left="0" w:firstLine="1440"/>
      </w:pPr>
    </w:p>
    <w:p w:rsidR="00200F80" w:rsidRPr="00F86C9A" w:rsidRDefault="00053B31" w:rsidP="00B35966">
      <w:pPr>
        <w:pStyle w:val="ListParagraph"/>
        <w:spacing w:line="360" w:lineRule="auto"/>
        <w:ind w:left="0" w:firstLine="1440"/>
      </w:pPr>
      <w:r w:rsidRPr="00F86C9A">
        <w:t>In response to the Companies’ proposed procurement plan</w:t>
      </w:r>
      <w:r w:rsidR="00CE0201" w:rsidRPr="00F86C9A">
        <w:t>, t</w:t>
      </w:r>
      <w:r w:rsidR="00C8232A" w:rsidRPr="00F86C9A">
        <w:t xml:space="preserve">he OCA argued that the plan contains substantial, unknown risks to ratepayers through reliance on a single product rather than a prudent mix.  </w:t>
      </w:r>
      <w:r w:rsidR="002A454A" w:rsidRPr="00F86C9A">
        <w:t>OCA M.B.</w:t>
      </w:r>
      <w:r w:rsidR="00C8232A" w:rsidRPr="00F86C9A">
        <w:t xml:space="preserve"> at 12-18</w:t>
      </w:r>
      <w:r w:rsidR="00BF2912" w:rsidRPr="00F86C9A">
        <w:t>; OCA R.B. at 8-13</w:t>
      </w:r>
      <w:r w:rsidR="00C8232A" w:rsidRPr="00F86C9A">
        <w:t xml:space="preserve">.  The OCA </w:t>
      </w:r>
      <w:r w:rsidR="006200DB" w:rsidRPr="00F86C9A">
        <w:t xml:space="preserve">noted that the Companies’ proposal requires that the winning bidder or bidders agree to supply power for a three year period at unknown, future index prices and that the only fixed cost component under the plan is the three year fixed cost adder which is added to those unknown future index prices.  </w:t>
      </w:r>
      <w:proofErr w:type="gramStart"/>
      <w:r w:rsidR="006200DB" w:rsidRPr="00F86C9A">
        <w:rPr>
          <w:u w:val="single"/>
        </w:rPr>
        <w:t>Id.</w:t>
      </w:r>
      <w:r w:rsidR="006200DB" w:rsidRPr="00F86C9A">
        <w:t xml:space="preserve"> at 12.</w:t>
      </w:r>
      <w:proofErr w:type="gramEnd"/>
      <w:r w:rsidR="006200DB" w:rsidRPr="00F86C9A">
        <w:t xml:space="preserve">  The OCA argued that, as a result, customers will be exposed for 100% of their energy consumption at the price experienced in the market on a single day and that the proposal does not feature any of the pricing-diversity benefits envisioned by the Competition Act when it called for a prudent mix of different products in a supply portfolio.  </w:t>
      </w:r>
      <w:r w:rsidR="006200DB" w:rsidRPr="00F86C9A">
        <w:rPr>
          <w:u w:val="single"/>
        </w:rPr>
        <w:t>Id.</w:t>
      </w:r>
      <w:r w:rsidR="006200DB" w:rsidRPr="00F86C9A">
        <w:t xml:space="preserve">, </w:t>
      </w:r>
      <w:r w:rsidR="006200DB" w:rsidRPr="00F86C9A">
        <w:rPr>
          <w:i/>
        </w:rPr>
        <w:t>quoting</w:t>
      </w:r>
      <w:r w:rsidR="006200DB" w:rsidRPr="00F86C9A">
        <w:t>, OCA St. 1 at 9</w:t>
      </w:r>
      <w:r w:rsidR="00200F80" w:rsidRPr="00F86C9A">
        <w:t xml:space="preserve">; </w:t>
      </w:r>
      <w:r w:rsidR="00200F80" w:rsidRPr="00F86C9A">
        <w:rPr>
          <w:i/>
        </w:rPr>
        <w:t>see also</w:t>
      </w:r>
      <w:r w:rsidR="002945A6">
        <w:t>, </w:t>
      </w:r>
      <w:r w:rsidR="00200F80" w:rsidRPr="00F86C9A">
        <w:t>66 Pa.C.S. § 2807(e</w:t>
      </w:r>
      <w:proofErr w:type="gramStart"/>
      <w:r w:rsidR="00200F80" w:rsidRPr="00F86C9A">
        <w:t>)(</w:t>
      </w:r>
      <w:proofErr w:type="gramEnd"/>
      <w:r w:rsidR="00200F80" w:rsidRPr="00F86C9A">
        <w:t>3.2)</w:t>
      </w:r>
      <w:r w:rsidR="006200DB" w:rsidRPr="00F86C9A">
        <w:t xml:space="preserve">.  The OCA further added that the risks of an untested product are unknown and may lead to unreasonable costs in the “adder” portion of rates which is fixed over a three-year period. </w:t>
      </w:r>
      <w:r w:rsidR="00C95FC5">
        <w:t xml:space="preserve"> </w:t>
      </w:r>
      <w:r w:rsidR="006200DB" w:rsidRPr="00F86C9A">
        <w:rPr>
          <w:u w:val="single"/>
        </w:rPr>
        <w:t>Id.</w:t>
      </w:r>
      <w:r w:rsidR="006200DB" w:rsidRPr="00F86C9A">
        <w:t xml:space="preserve">  </w:t>
      </w:r>
      <w:r w:rsidR="008D4544" w:rsidRPr="00F86C9A">
        <w:t xml:space="preserve">The OCA witness said that the Companies’ proposal would subject customers “to potential market volatility with no way to hedge.”  </w:t>
      </w:r>
      <w:proofErr w:type="gramStart"/>
      <w:r w:rsidR="008D4544" w:rsidRPr="00F86C9A">
        <w:rPr>
          <w:u w:val="single"/>
        </w:rPr>
        <w:t>Id.</w:t>
      </w:r>
      <w:r w:rsidR="008D4544" w:rsidRPr="00F86C9A">
        <w:t xml:space="preserve">, </w:t>
      </w:r>
      <w:r w:rsidR="008D4544" w:rsidRPr="00F86C9A">
        <w:rPr>
          <w:i/>
        </w:rPr>
        <w:t>quoting</w:t>
      </w:r>
      <w:r w:rsidR="008D4544" w:rsidRPr="00F86C9A">
        <w:t>, OCA St. 1 at 14.</w:t>
      </w:r>
      <w:proofErr w:type="gramEnd"/>
    </w:p>
    <w:p w:rsidR="00200F80" w:rsidRPr="00F86C9A" w:rsidRDefault="00200F80" w:rsidP="00B35966">
      <w:pPr>
        <w:pStyle w:val="ListParagraph"/>
        <w:spacing w:line="360" w:lineRule="auto"/>
        <w:ind w:left="0" w:firstLine="1440"/>
      </w:pPr>
    </w:p>
    <w:p w:rsidR="005200FB" w:rsidRPr="00F86C9A" w:rsidRDefault="00200F80" w:rsidP="00B35966">
      <w:pPr>
        <w:pStyle w:val="ListParagraph"/>
        <w:spacing w:line="360" w:lineRule="auto"/>
        <w:ind w:left="0" w:firstLine="1440"/>
      </w:pPr>
      <w:r w:rsidRPr="00F86C9A">
        <w:t xml:space="preserve">The OCA argued in support of its position that the Companies’ reliance on </w:t>
      </w:r>
      <w:r w:rsidRPr="00F86C9A">
        <w:rPr>
          <w:u w:val="single"/>
        </w:rPr>
        <w:t>Petition of Pike County Light &amp; Power Company for Approval of its Default Service Implementation Plan</w:t>
      </w:r>
      <w:r w:rsidRPr="00F86C9A">
        <w:t xml:space="preserve">, Docket No. </w:t>
      </w:r>
      <w:proofErr w:type="gramStart"/>
      <w:r w:rsidRPr="00F86C9A">
        <w:t>P-2011-2252042, Order (entered May 24, 2012) for the position that a plan can consist of only one product for a small EDC is misplaced.</w:t>
      </w:r>
      <w:proofErr w:type="gramEnd"/>
      <w:r w:rsidRPr="00F86C9A">
        <w:t xml:space="preserve">  The OCA noted that, in upholding the </w:t>
      </w:r>
      <w:r w:rsidR="003E796C" w:rsidRPr="00F86C9A">
        <w:t>Commission’s decision</w:t>
      </w:r>
      <w:r w:rsidRPr="00F86C9A">
        <w:t xml:space="preserve">, the Commonwealth Court noted that Pike was a unique circumstance with unique facts.  </w:t>
      </w:r>
      <w:proofErr w:type="gramStart"/>
      <w:r w:rsidRPr="00F86C9A">
        <w:rPr>
          <w:u w:val="single"/>
        </w:rPr>
        <w:t>Popowsky v. Pa. Pub.</w:t>
      </w:r>
      <w:proofErr w:type="gramEnd"/>
      <w:r w:rsidRPr="00F86C9A">
        <w:rPr>
          <w:u w:val="single"/>
        </w:rPr>
        <w:t xml:space="preserve"> </w:t>
      </w:r>
      <w:proofErr w:type="gramStart"/>
      <w:r w:rsidRPr="00F86C9A">
        <w:rPr>
          <w:u w:val="single"/>
        </w:rPr>
        <w:t>Util. Comm’n</w:t>
      </w:r>
      <w:r w:rsidRPr="00F86C9A">
        <w:t>, 71 A.3d</w:t>
      </w:r>
      <w:r w:rsidR="00F703FC">
        <w:t> </w:t>
      </w:r>
      <w:r w:rsidRPr="00F86C9A">
        <w:t>1112 (Pa. Cmwlth 2013</w:t>
      </w:r>
      <w:r w:rsidR="001D6497" w:rsidRPr="00F86C9A">
        <w:t>)</w:t>
      </w:r>
      <w:r w:rsidR="00504151" w:rsidRPr="00F86C9A">
        <w:t xml:space="preserve"> </w:t>
      </w:r>
      <w:r w:rsidR="001D6497" w:rsidRPr="00F86C9A">
        <w:t>(</w:t>
      </w:r>
      <w:r w:rsidR="001D6497" w:rsidRPr="00F86C9A">
        <w:rPr>
          <w:u w:val="single"/>
        </w:rPr>
        <w:t>Pike</w:t>
      </w:r>
      <w:r w:rsidRPr="00F86C9A">
        <w:t>).</w:t>
      </w:r>
      <w:proofErr w:type="gramEnd"/>
      <w:r w:rsidRPr="00F86C9A">
        <w:t xml:space="preserve">  </w:t>
      </w:r>
      <w:r w:rsidR="00853231" w:rsidRPr="00F86C9A">
        <w:t>The OCA noted that Pike was smaller than the Companies and is a part of the New York ISO.  The OCA added that Pike’s experience demonstrates</w:t>
      </w:r>
      <w:r w:rsidR="008D4544" w:rsidRPr="00F86C9A">
        <w:t xml:space="preserve"> </w:t>
      </w:r>
      <w:r w:rsidR="00853231" w:rsidRPr="00F86C9A">
        <w:t xml:space="preserve">why the Companies’ proposed procurement plan should be rejected, noting the volatility of Pike’s default service rate.  OCA M.B. at 14-16, </w:t>
      </w:r>
      <w:r w:rsidR="00853231" w:rsidRPr="00F86C9A">
        <w:rPr>
          <w:i/>
        </w:rPr>
        <w:t>citing</w:t>
      </w:r>
      <w:r w:rsidR="00853231" w:rsidRPr="00F86C9A">
        <w:t>, OCA St. 1-S at 3-4</w:t>
      </w:r>
      <w:r w:rsidR="00794537" w:rsidRPr="00F86C9A">
        <w:t xml:space="preserve">; </w:t>
      </w:r>
      <w:r w:rsidR="00794537" w:rsidRPr="00F86C9A">
        <w:rPr>
          <w:i/>
        </w:rPr>
        <w:t>see also</w:t>
      </w:r>
      <w:r w:rsidR="00794537" w:rsidRPr="00F86C9A">
        <w:t>, OCA R.B. at 11-12</w:t>
      </w:r>
      <w:r w:rsidR="00853231" w:rsidRPr="00F86C9A">
        <w:t xml:space="preserve">.  </w:t>
      </w:r>
      <w:r w:rsidR="005200FB" w:rsidRPr="00F86C9A">
        <w:t xml:space="preserve">The OCA further noted concerns </w:t>
      </w:r>
      <w:r w:rsidR="003E796C" w:rsidRPr="00F86C9A">
        <w:t xml:space="preserve">regarding </w:t>
      </w:r>
      <w:r w:rsidR="005200FB" w:rsidRPr="00F86C9A">
        <w:t xml:space="preserve">the proposed procurement plan </w:t>
      </w:r>
      <w:r w:rsidR="003E796C" w:rsidRPr="00F86C9A">
        <w:t xml:space="preserve">being </w:t>
      </w:r>
      <w:r w:rsidR="005200FB" w:rsidRPr="00F86C9A">
        <w:t>based only on an on-peak metric and us</w:t>
      </w:r>
      <w:r w:rsidR="0033354E">
        <w:t>ing</w:t>
      </w:r>
      <w:r w:rsidR="005200FB" w:rsidRPr="00F86C9A">
        <w:t xml:space="preserve"> a mathematical average, and not </w:t>
      </w:r>
      <w:r w:rsidR="0033354E">
        <w:t xml:space="preserve">being </w:t>
      </w:r>
      <w:r w:rsidR="005200FB" w:rsidRPr="00F86C9A">
        <w:t xml:space="preserve">load weighted.  </w:t>
      </w:r>
      <w:proofErr w:type="gramStart"/>
      <w:r w:rsidR="005200FB" w:rsidRPr="00F86C9A">
        <w:rPr>
          <w:u w:val="single"/>
        </w:rPr>
        <w:t>Id.</w:t>
      </w:r>
      <w:r w:rsidR="005200FB" w:rsidRPr="00F86C9A">
        <w:t xml:space="preserve"> at 16, </w:t>
      </w:r>
      <w:r w:rsidR="005200FB" w:rsidRPr="00F86C9A">
        <w:rPr>
          <w:i/>
        </w:rPr>
        <w:t>quoting</w:t>
      </w:r>
      <w:r w:rsidR="005200FB" w:rsidRPr="00F86C9A">
        <w:t>, OCA St. 1 at 14-15.</w:t>
      </w:r>
      <w:proofErr w:type="gramEnd"/>
      <w:r w:rsidR="005200FB" w:rsidRPr="00F86C9A">
        <w:t xml:space="preserve">  The OCA also noted its concern that the proposed </w:t>
      </w:r>
      <w:r w:rsidR="00252571">
        <w:t>S</w:t>
      </w:r>
      <w:r w:rsidR="005200FB" w:rsidRPr="00F86C9A">
        <w:t xml:space="preserve">upplier </w:t>
      </w:r>
      <w:r w:rsidR="00252571">
        <w:t>A</w:t>
      </w:r>
      <w:r w:rsidR="005200FB" w:rsidRPr="00F86C9A">
        <w:t xml:space="preserve">dder is fixed for the entire three-year period.  </w:t>
      </w:r>
      <w:r w:rsidR="005200FB" w:rsidRPr="00F86C9A">
        <w:rPr>
          <w:u w:val="single"/>
        </w:rPr>
        <w:t>Id.</w:t>
      </w:r>
      <w:r w:rsidR="005200FB" w:rsidRPr="00F86C9A">
        <w:t xml:space="preserve"> at 16-18; </w:t>
      </w:r>
      <w:r w:rsidR="005200FB" w:rsidRPr="00F86C9A">
        <w:rPr>
          <w:i/>
        </w:rPr>
        <w:t>see also</w:t>
      </w:r>
      <w:r w:rsidR="005200FB" w:rsidRPr="00F86C9A">
        <w:t>, OCA St. 1-S at 9-10.</w:t>
      </w:r>
    </w:p>
    <w:p w:rsidR="005200FB" w:rsidRPr="00F86C9A" w:rsidRDefault="005200FB" w:rsidP="00B35966">
      <w:pPr>
        <w:pStyle w:val="ListParagraph"/>
        <w:spacing w:line="360" w:lineRule="auto"/>
        <w:ind w:left="0" w:firstLine="1440"/>
      </w:pPr>
    </w:p>
    <w:p w:rsidR="00B8248E" w:rsidRPr="00F86C9A" w:rsidRDefault="009E783B" w:rsidP="00BF396D">
      <w:pPr>
        <w:spacing w:line="360" w:lineRule="auto"/>
        <w:ind w:firstLine="1440"/>
      </w:pPr>
      <w:r w:rsidRPr="00F86C9A">
        <w:t>In response, CEW argued</w:t>
      </w:r>
      <w:r w:rsidR="00BF396D" w:rsidRPr="00F86C9A">
        <w:t>, initially, that the OCA’s argument mischaracterizes the proposed procurement plan because the Compan</w:t>
      </w:r>
      <w:r w:rsidR="009E19D4">
        <w:t xml:space="preserve">ies offer two energy products: </w:t>
      </w:r>
      <w:r w:rsidR="00347D9C">
        <w:t xml:space="preserve">an </w:t>
      </w:r>
      <w:r w:rsidR="00BF396D" w:rsidRPr="00F86C9A">
        <w:t xml:space="preserve">indexed energy supply for Residential and Small C&amp;I customers and </w:t>
      </w:r>
      <w:r w:rsidR="00504151" w:rsidRPr="00F86C9A">
        <w:t xml:space="preserve">an </w:t>
      </w:r>
      <w:r w:rsidR="00BF396D" w:rsidRPr="00F86C9A">
        <w:t xml:space="preserve">hourly-priced service for Large C&amp;I customers.  </w:t>
      </w:r>
      <w:proofErr w:type="gramStart"/>
      <w:r w:rsidR="00BF396D" w:rsidRPr="00F86C9A">
        <w:t>CEW R.B. at 6.</w:t>
      </w:r>
      <w:proofErr w:type="gramEnd"/>
      <w:r w:rsidR="00BF396D" w:rsidRPr="00F86C9A">
        <w:t xml:space="preserve">  The Companies argued that, nonetheless, even when evaluated as a single product plan, the proposed procurement plan could still be approved as a “prudent mix” based on Commission precedent.  </w:t>
      </w:r>
      <w:r w:rsidR="00BF396D" w:rsidRPr="00F86C9A">
        <w:rPr>
          <w:u w:val="single"/>
        </w:rPr>
        <w:t>Id.</w:t>
      </w:r>
      <w:r w:rsidR="00BF396D" w:rsidRPr="00F86C9A">
        <w:t xml:space="preserve"> at 6-7 (citations omitted).  </w:t>
      </w:r>
      <w:r w:rsidR="00E41208" w:rsidRPr="00F86C9A">
        <w:t xml:space="preserve">CEW noted that, even if the proposed procurement plan </w:t>
      </w:r>
      <w:r w:rsidR="00347D9C">
        <w:t>was</w:t>
      </w:r>
      <w:r w:rsidR="00E41208" w:rsidRPr="00F86C9A">
        <w:t xml:space="preserve"> viewed as a single product plan, the Commission has approved single product plans under the prudent mix standard where the Company demonstrates that a single product is appropriate due to the individualized circumstances it faces</w:t>
      </w:r>
      <w:r w:rsidR="003E796C" w:rsidRPr="00F86C9A">
        <w:t xml:space="preserve">.  </w:t>
      </w:r>
      <w:proofErr w:type="gramStart"/>
      <w:r w:rsidR="003E796C" w:rsidRPr="00F86C9A">
        <w:rPr>
          <w:u w:val="single"/>
        </w:rPr>
        <w:t>Id.</w:t>
      </w:r>
      <w:r w:rsidR="003E796C" w:rsidRPr="00F86C9A">
        <w:t xml:space="preserve"> at 7, </w:t>
      </w:r>
      <w:r w:rsidR="00B8248E" w:rsidRPr="00F86C9A">
        <w:rPr>
          <w:i/>
        </w:rPr>
        <w:t>citing</w:t>
      </w:r>
      <w:r w:rsidR="003E796C" w:rsidRPr="00F86C9A">
        <w:t>,</w:t>
      </w:r>
      <w:r w:rsidR="00B8248E" w:rsidRPr="00F86C9A">
        <w:t xml:space="preserve"> </w:t>
      </w:r>
      <w:r w:rsidR="00B8248E" w:rsidRPr="00F86C9A">
        <w:rPr>
          <w:u w:val="single"/>
        </w:rPr>
        <w:t>Pike</w:t>
      </w:r>
      <w:r w:rsidR="00B8248E" w:rsidRPr="00F86C9A">
        <w:t xml:space="preserve">, </w:t>
      </w:r>
      <w:r w:rsidR="00B8248E" w:rsidRPr="00F86C9A">
        <w:rPr>
          <w:i/>
        </w:rPr>
        <w:t>supra</w:t>
      </w:r>
      <w:r w:rsidR="00E41208" w:rsidRPr="00F86C9A">
        <w:t>.</w:t>
      </w:r>
      <w:proofErr w:type="gramEnd"/>
      <w:r w:rsidR="00E41208" w:rsidRPr="00F86C9A">
        <w:t xml:space="preserve">  </w:t>
      </w:r>
      <w:r w:rsidR="00B8248E" w:rsidRPr="00F86C9A">
        <w:t xml:space="preserve">CEW responded to OCA’s attempts to distinguish </w:t>
      </w:r>
      <w:r w:rsidR="00B8248E" w:rsidRPr="00F86C9A">
        <w:rPr>
          <w:u w:val="single"/>
        </w:rPr>
        <w:t>Pike</w:t>
      </w:r>
      <w:r w:rsidR="00B8248E" w:rsidRPr="00F86C9A">
        <w:t xml:space="preserve"> b</w:t>
      </w:r>
      <w:r w:rsidR="00052CE3" w:rsidRPr="00F86C9A">
        <w:t>y</w:t>
      </w:r>
      <w:r w:rsidR="00B8248E" w:rsidRPr="00F86C9A">
        <w:t xml:space="preserve"> arguing that from a total customer standpoint, Pike is approximately the same size as CEW and that, “while Pike experienced significant</w:t>
      </w:r>
      <w:r w:rsidR="00BF396D" w:rsidRPr="00F86C9A">
        <w:t xml:space="preserve"> </w:t>
      </w:r>
      <w:r w:rsidR="00B8248E" w:rsidRPr="00F86C9A">
        <w:t xml:space="preserve">shopping long before the Companies, CEW are attempting to preemptively address the similar concerns regarding diminished default service load.”  </w:t>
      </w:r>
      <w:r w:rsidR="00B8248E" w:rsidRPr="00F86C9A">
        <w:rPr>
          <w:u w:val="single"/>
        </w:rPr>
        <w:t>Id.</w:t>
      </w:r>
      <w:r w:rsidR="00B8248E" w:rsidRPr="00F86C9A">
        <w:t xml:space="preserve"> at 7-8.  CEW also responded to the OCA’s attempts to distinguish Pike by comparing default service rates by arguing that the OCA’s comparison is incomplete and inaccurate.  </w:t>
      </w:r>
      <w:r w:rsidR="00B8248E" w:rsidRPr="00F86C9A">
        <w:rPr>
          <w:u w:val="single"/>
        </w:rPr>
        <w:t>Id.</w:t>
      </w:r>
      <w:r w:rsidR="00B8248E" w:rsidRPr="00F86C9A">
        <w:t xml:space="preserve"> at 8-9.  Finally, CEW reiterated its response to the OCA’s opposition to indexing energy supply costs only to on-peak PJM West Hub pricing.  </w:t>
      </w:r>
      <w:proofErr w:type="gramStart"/>
      <w:r w:rsidR="00B8248E" w:rsidRPr="00F86C9A">
        <w:rPr>
          <w:u w:val="single"/>
        </w:rPr>
        <w:t>Id.</w:t>
      </w:r>
      <w:r w:rsidR="00B8248E" w:rsidRPr="00F86C9A">
        <w:t xml:space="preserve"> at 9.</w:t>
      </w:r>
      <w:proofErr w:type="gramEnd"/>
    </w:p>
    <w:p w:rsidR="00B8248E" w:rsidRPr="00F86C9A" w:rsidRDefault="00B8248E" w:rsidP="00BF396D">
      <w:pPr>
        <w:spacing w:line="360" w:lineRule="auto"/>
        <w:ind w:firstLine="1440"/>
      </w:pPr>
    </w:p>
    <w:p w:rsidR="009E783B" w:rsidRPr="00F86C9A" w:rsidRDefault="0046127D" w:rsidP="00B35966">
      <w:pPr>
        <w:pStyle w:val="ListParagraph"/>
        <w:spacing w:line="360" w:lineRule="auto"/>
        <w:ind w:left="0" w:firstLine="1440"/>
      </w:pPr>
      <w:r w:rsidRPr="00F86C9A">
        <w:t xml:space="preserve">The OCA’s argument that the Companies’ proposed procurement plan should be rejected because it relies on a single product </w:t>
      </w:r>
      <w:r w:rsidR="00347D9C">
        <w:t>will be denied</w:t>
      </w:r>
      <w:r w:rsidR="00BD5C73" w:rsidRPr="00F86C9A">
        <w:t>.</w:t>
      </w:r>
      <w:r w:rsidR="00252770" w:rsidRPr="00F86C9A">
        <w:t xml:space="preserve">  The Companies’ proposed procurement plan constitutes a prudent mix of supply in compliance with the statutory requirements.</w:t>
      </w:r>
    </w:p>
    <w:p w:rsidR="00753C06" w:rsidRPr="00F86C9A" w:rsidRDefault="00753C06" w:rsidP="00B35966">
      <w:pPr>
        <w:pStyle w:val="ListParagraph"/>
        <w:spacing w:line="360" w:lineRule="auto"/>
        <w:ind w:left="0" w:firstLine="1440"/>
      </w:pPr>
    </w:p>
    <w:p w:rsidR="00A8266D" w:rsidRPr="00F86C9A" w:rsidRDefault="00BD5C73" w:rsidP="00B35966">
      <w:pPr>
        <w:pStyle w:val="ListParagraph"/>
        <w:spacing w:line="360" w:lineRule="auto"/>
        <w:ind w:left="0" w:firstLine="1440"/>
      </w:pPr>
      <w:r w:rsidRPr="00F86C9A">
        <w:t xml:space="preserve">To begin, the proposed procurement plan is not a single product.  As CEW noted, </w:t>
      </w:r>
      <w:r w:rsidR="00A8266D" w:rsidRPr="00F86C9A">
        <w:t xml:space="preserve">the Companies propose a 3-year default service plan offering an indexed price energy product to Residential and Small C&amp;I customers </w:t>
      </w:r>
      <w:r w:rsidR="00A8266D" w:rsidRPr="00F86C9A">
        <w:rPr>
          <w:b/>
          <w:i/>
        </w:rPr>
        <w:t>and</w:t>
      </w:r>
      <w:r w:rsidR="00A8266D" w:rsidRPr="00F86C9A">
        <w:t xml:space="preserve"> </w:t>
      </w:r>
      <w:r w:rsidR="00052CE3" w:rsidRPr="00F86C9A">
        <w:t xml:space="preserve">an </w:t>
      </w:r>
      <w:r w:rsidR="00A8266D" w:rsidRPr="00F86C9A">
        <w:t>hourly-priced service for Large C&amp;I customers with a registered peak demand about 400 kw.  CEW M.B. at 20-21.  As a result, at a minimum, the proposed procurement plan is not a single product service because Large C&amp;I customers will be receiving a different product than Residential and Small C&amp;I customers.  The “prudent mix” standard references the total DSP portfolio of products</w:t>
      </w:r>
      <w:r w:rsidR="003E796C" w:rsidRPr="00F86C9A">
        <w:t>,</w:t>
      </w:r>
      <w:r w:rsidR="00A8266D" w:rsidRPr="00F86C9A">
        <w:t xml:space="preserve"> not just the procurements available to each set of customers.  </w:t>
      </w:r>
      <w:r w:rsidR="00A8266D" w:rsidRPr="00F86C9A">
        <w:rPr>
          <w:i/>
        </w:rPr>
        <w:t>See</w:t>
      </w:r>
      <w:r w:rsidR="00A8266D" w:rsidRPr="00F86C9A">
        <w:t xml:space="preserve">, </w:t>
      </w:r>
      <w:r w:rsidR="00A8266D" w:rsidRPr="00F86C9A">
        <w:rPr>
          <w:u w:val="single"/>
        </w:rPr>
        <w:t>Joint Petition of Metropolitan Edison Company, Pennsylvania Electric Company, Pennsylvania Power Company and West Penn Power Company For Approval of Their Default Service Programs</w:t>
      </w:r>
      <w:r w:rsidR="00A8266D" w:rsidRPr="00F86C9A">
        <w:t>, Docket Nos. P-2011</w:t>
      </w:r>
      <w:r w:rsidR="00111FE2">
        <w:t>-2273650, Order (entered August 2, 2012).</w:t>
      </w:r>
    </w:p>
    <w:p w:rsidR="00A8266D" w:rsidRPr="00F86C9A" w:rsidRDefault="00A8266D" w:rsidP="00B35966">
      <w:pPr>
        <w:pStyle w:val="ListParagraph"/>
        <w:spacing w:line="360" w:lineRule="auto"/>
        <w:ind w:left="0" w:firstLine="1440"/>
      </w:pPr>
    </w:p>
    <w:p w:rsidR="00A8266D" w:rsidRPr="00F86C9A" w:rsidRDefault="002425D9" w:rsidP="00B35966">
      <w:pPr>
        <w:pStyle w:val="ListParagraph"/>
        <w:spacing w:line="360" w:lineRule="auto"/>
        <w:ind w:left="0" w:firstLine="1440"/>
      </w:pPr>
      <w:r w:rsidRPr="00F86C9A">
        <w:t>Even when focusing on only the Residential and Small C&amp;I customers</w:t>
      </w:r>
      <w:r w:rsidR="00A8266D" w:rsidRPr="00F86C9A">
        <w:t xml:space="preserve">, however, </w:t>
      </w:r>
      <w:r w:rsidRPr="00F86C9A">
        <w:t>the proposed procurement plan provides that the energy component of the wholesale contract will be adjusted every six months based on PJM West Hub</w:t>
      </w:r>
      <w:r w:rsidR="0067268E" w:rsidRPr="00F86C9A">
        <w:t xml:space="preserve"> on-peak monthly forward pricing on predetermined trigger dates.  </w:t>
      </w:r>
      <w:proofErr w:type="gramStart"/>
      <w:r w:rsidR="0067268E" w:rsidRPr="00F86C9A">
        <w:t>CEW M.B. at 22.</w:t>
      </w:r>
      <w:proofErr w:type="gramEnd"/>
      <w:r w:rsidR="0067268E" w:rsidRPr="00F86C9A">
        <w:t xml:space="preserve">  In light of this six month adjustment, the Residential and Small C&amp;I customers will receive six separate products throughout the course of the DSP.</w:t>
      </w:r>
      <w:r w:rsidR="00DB2316" w:rsidRPr="00F86C9A">
        <w:t xml:space="preserve">  Each adjustment for the Residential and Small C&amp;I customers will remain fixed for six months.  </w:t>
      </w:r>
      <w:proofErr w:type="gramStart"/>
      <w:r w:rsidR="00DB2316" w:rsidRPr="00F86C9A">
        <w:rPr>
          <w:u w:val="single"/>
        </w:rPr>
        <w:t>Id.</w:t>
      </w:r>
      <w:r w:rsidR="00DB2316" w:rsidRPr="00F86C9A">
        <w:t xml:space="preserve"> at 23.</w:t>
      </w:r>
      <w:proofErr w:type="gramEnd"/>
      <w:r w:rsidR="00794537" w:rsidRPr="00F86C9A">
        <w:t xml:space="preserve">  Although this proposal may be unique amongst DSPs approved by the </w:t>
      </w:r>
      <w:proofErr w:type="gramStart"/>
      <w:r w:rsidR="00347D9C">
        <w:t>Commission</w:t>
      </w:r>
      <w:r w:rsidR="00794537" w:rsidRPr="00F86C9A">
        <w:t>, that</w:t>
      </w:r>
      <w:proofErr w:type="gramEnd"/>
      <w:r w:rsidR="00794537" w:rsidRPr="00F86C9A">
        <w:t xml:space="preserve"> does not mean that it is imprudent or otherwise contrary to applicable statutes.</w:t>
      </w:r>
    </w:p>
    <w:p w:rsidR="00252770" w:rsidRPr="00F86C9A" w:rsidRDefault="00252770" w:rsidP="00B35966">
      <w:pPr>
        <w:pStyle w:val="ListParagraph"/>
        <w:spacing w:line="360" w:lineRule="auto"/>
        <w:ind w:left="0" w:firstLine="1440"/>
      </w:pPr>
    </w:p>
    <w:p w:rsidR="00252770" w:rsidRPr="00F86C9A" w:rsidRDefault="00252770" w:rsidP="00B35966">
      <w:pPr>
        <w:pStyle w:val="ListParagraph"/>
        <w:spacing w:line="360" w:lineRule="auto"/>
        <w:ind w:left="0" w:firstLine="1440"/>
      </w:pPr>
      <w:r w:rsidRPr="00F86C9A">
        <w:t>Additionally, the OCA’s concerns regarding substantial, unknown risks being placed on ratepayers is mitigated</w:t>
      </w:r>
      <w:r w:rsidR="00052CE3" w:rsidRPr="00F86C9A">
        <w:t>, in part,</w:t>
      </w:r>
      <w:r w:rsidRPr="00F86C9A">
        <w:t xml:space="preserve"> in light of the varied cost components included in the Companies’ plan.  In addition to the energy component priced for Residential and Small C&amp;I customers being priced using a forward index, the rate will include additional components including the Supplier Adder.  </w:t>
      </w:r>
      <w:r w:rsidR="00C66137" w:rsidRPr="00F86C9A">
        <w:t>The fixed nature of the Supplier Adder, for example, will help reduce the volatility of the overall rates charged under the plan.</w:t>
      </w:r>
    </w:p>
    <w:p w:rsidR="00A8266D" w:rsidRPr="00F86C9A" w:rsidRDefault="00A8266D" w:rsidP="00B35966">
      <w:pPr>
        <w:pStyle w:val="ListParagraph"/>
        <w:spacing w:line="360" w:lineRule="auto"/>
        <w:ind w:left="0" w:firstLine="1440"/>
      </w:pPr>
    </w:p>
    <w:p w:rsidR="00DB2316" w:rsidRPr="00F86C9A" w:rsidRDefault="00794537" w:rsidP="00B35966">
      <w:pPr>
        <w:pStyle w:val="ListParagraph"/>
        <w:spacing w:line="360" w:lineRule="auto"/>
        <w:ind w:left="0" w:firstLine="1440"/>
      </w:pPr>
      <w:r w:rsidRPr="00F86C9A">
        <w:t>E</w:t>
      </w:r>
      <w:r w:rsidR="00753C06" w:rsidRPr="00F86C9A">
        <w:t>ven assuming</w:t>
      </w:r>
      <w:r w:rsidR="003E796C" w:rsidRPr="00F86C9A">
        <w:t xml:space="preserve">, </w:t>
      </w:r>
      <w:r w:rsidR="003E796C" w:rsidRPr="00F86C9A">
        <w:rPr>
          <w:i/>
        </w:rPr>
        <w:t>arguendo</w:t>
      </w:r>
      <w:r w:rsidR="003E796C" w:rsidRPr="00F86C9A">
        <w:t>,</w:t>
      </w:r>
      <w:r w:rsidR="00753C06" w:rsidRPr="00F86C9A">
        <w:t xml:space="preserve"> that </w:t>
      </w:r>
      <w:r w:rsidRPr="00F86C9A">
        <w:t>the proposed procurement plan</w:t>
      </w:r>
      <w:r w:rsidR="00753C06" w:rsidRPr="00F86C9A">
        <w:t xml:space="preserve"> is a single product, the </w:t>
      </w:r>
      <w:r w:rsidR="00DB2316" w:rsidRPr="00F86C9A">
        <w:t xml:space="preserve">Commonwealth Court has held that the Commission “must exercise some balance and discretion under the circumstances of the case in order for the ‘mix’ in question to be ‘prudent.’”  </w:t>
      </w:r>
      <w:r w:rsidR="00DB2316" w:rsidRPr="00F86C9A">
        <w:rPr>
          <w:u w:val="single"/>
        </w:rPr>
        <w:t>Pike</w:t>
      </w:r>
      <w:r w:rsidR="00DB2316" w:rsidRPr="00F86C9A">
        <w:t xml:space="preserve">, </w:t>
      </w:r>
      <w:proofErr w:type="gramStart"/>
      <w:r w:rsidR="00DB2316" w:rsidRPr="00F86C9A">
        <w:t xml:space="preserve">71 A.3d </w:t>
      </w:r>
      <w:r w:rsidR="00E96A67" w:rsidRPr="00F86C9A">
        <w:t xml:space="preserve">at </w:t>
      </w:r>
      <w:r w:rsidR="00DB2316" w:rsidRPr="00F86C9A">
        <w:t>1117</w:t>
      </w:r>
      <w:proofErr w:type="gramEnd"/>
      <w:r w:rsidR="00DB2316" w:rsidRPr="00F86C9A">
        <w:t xml:space="preserve">.  In </w:t>
      </w:r>
      <w:r w:rsidR="00DB2316" w:rsidRPr="00F86C9A">
        <w:rPr>
          <w:u w:val="single"/>
        </w:rPr>
        <w:t>Pike</w:t>
      </w:r>
      <w:r w:rsidR="00DB2316" w:rsidRPr="00F86C9A">
        <w:t xml:space="preserve">, the default service plan approved by the Commission consisted solely of spot market purchases.  The OCA argued in that case that, in order to be a “prudent mix” of services, as required by Section 2807(e)(3.2), a default service plan must include at least two of the sources enumerated in Section 2807(e)(3.2)(i)-(iii).  The Commission argued that a “prudent mix” of sources may include only one of the enumerated sources when this is the most prudent course and is likely to incur the least cost over time.  In agreeing with the Commission, the Commonwealth Court noted that, while the OCA was correct that the word “mix” must not be read out of the term “prudent mix,” nor must the word “prudent” be disregarded either.  </w:t>
      </w:r>
      <w:r w:rsidR="00DB2316" w:rsidRPr="00F86C9A">
        <w:rPr>
          <w:u w:val="single"/>
        </w:rPr>
        <w:t>Id.</w:t>
      </w:r>
      <w:r w:rsidR="00DB2316" w:rsidRPr="00F86C9A">
        <w:t xml:space="preserve">  </w:t>
      </w:r>
      <w:r w:rsidR="00E92FFB" w:rsidRPr="00F86C9A">
        <w:t>As such, the Commission properly considered the possibility of including short-term contracts in addition to spot market purchases but determined that to do so would not be prudent.</w:t>
      </w:r>
    </w:p>
    <w:p w:rsidR="00E92FFB" w:rsidRPr="00F86C9A" w:rsidRDefault="00E92FFB" w:rsidP="00B35966">
      <w:pPr>
        <w:pStyle w:val="ListParagraph"/>
        <w:spacing w:line="360" w:lineRule="auto"/>
        <w:ind w:left="0" w:firstLine="1440"/>
      </w:pPr>
    </w:p>
    <w:p w:rsidR="00E92FFB" w:rsidRPr="00F86C9A" w:rsidRDefault="00E92FFB" w:rsidP="00B35966">
      <w:pPr>
        <w:pStyle w:val="ListParagraph"/>
        <w:spacing w:line="360" w:lineRule="auto"/>
        <w:ind w:left="0" w:firstLine="1440"/>
      </w:pPr>
      <w:r w:rsidRPr="00F86C9A">
        <w:t xml:space="preserve">The same reasoning applies here.  Where the Companies have proposed a plan that, for example, ensures the availability of adequate, reliable, affordable, efficient and environmentally sustainable electric service at the least cost taking into account any benefits of price stability over time, </w:t>
      </w:r>
      <w:r w:rsidRPr="00F86C9A">
        <w:rPr>
          <w:i/>
        </w:rPr>
        <w:t>see</w:t>
      </w:r>
      <w:r w:rsidRPr="00F86C9A">
        <w:t>, OCA M.B. at 7, the Companies have proposed a “prudent mix” of supply.</w:t>
      </w:r>
      <w:r w:rsidR="003E796C" w:rsidRPr="00F86C9A">
        <w:t xml:space="preserve">  In anticipation of competition in the service territories and in light of recent policy changes by the Commission, as well as the size of the Companies and rural nature of their service territories, the proposed procurement plan in this case constitutes a prudent mix of energy supply.</w:t>
      </w:r>
    </w:p>
    <w:p w:rsidR="00DB2316" w:rsidRPr="00F86C9A" w:rsidRDefault="00DB2316" w:rsidP="00B35966">
      <w:pPr>
        <w:pStyle w:val="ListParagraph"/>
        <w:spacing w:line="360" w:lineRule="auto"/>
        <w:ind w:left="0" w:firstLine="1440"/>
      </w:pPr>
    </w:p>
    <w:p w:rsidR="00C66137" w:rsidRPr="00F86C9A" w:rsidRDefault="00DB2316" w:rsidP="00AC35CD">
      <w:pPr>
        <w:pStyle w:val="ListParagraph"/>
        <w:spacing w:line="360" w:lineRule="auto"/>
        <w:ind w:left="0" w:firstLine="1440"/>
      </w:pPr>
      <w:r w:rsidRPr="00F86C9A">
        <w:t xml:space="preserve">The </w:t>
      </w:r>
      <w:r w:rsidR="00E92FFB" w:rsidRPr="00F86C9A">
        <w:t xml:space="preserve">OCA further refutes CEW’s proposed procurement plan, however, by arguing that “the Companies’ reliance on </w:t>
      </w:r>
      <w:r w:rsidR="00E92FFB" w:rsidRPr="00F86C9A">
        <w:rPr>
          <w:u w:val="single"/>
        </w:rPr>
        <w:t>Pike</w:t>
      </w:r>
      <w:r w:rsidR="00E92FFB" w:rsidRPr="00F86C9A">
        <w:t xml:space="preserve"> is misplaced.”  </w:t>
      </w:r>
      <w:proofErr w:type="gramStart"/>
      <w:r w:rsidR="00E92FFB" w:rsidRPr="00F86C9A">
        <w:t>OCA M.B. at 14.</w:t>
      </w:r>
      <w:proofErr w:type="gramEnd"/>
      <w:r w:rsidR="00E92FFB" w:rsidRPr="00F86C9A">
        <w:t xml:space="preserve">  </w:t>
      </w:r>
      <w:r w:rsidR="004B7889" w:rsidRPr="00F86C9A">
        <w:t xml:space="preserve">The OCA’s attempt to distinguish </w:t>
      </w:r>
      <w:r w:rsidR="004B7889" w:rsidRPr="00F86C9A">
        <w:rPr>
          <w:u w:val="single"/>
        </w:rPr>
        <w:t>Pike</w:t>
      </w:r>
      <w:r w:rsidR="00E92FFB" w:rsidRPr="00F86C9A">
        <w:t xml:space="preserve"> </w:t>
      </w:r>
      <w:r w:rsidRPr="00F86C9A">
        <w:t>will be rejected.</w:t>
      </w:r>
      <w:r w:rsidR="00C66137" w:rsidRPr="00F86C9A">
        <w:t xml:space="preserve">  The Companies are more similar to Pike than any other EDC in terms of the overall number of customers as well as the rural nature of the service territory, including the lack of a major metropolitan area.  It is also reasonable to compare CEW with Pike in terms of the development of competition within their respective service territories.  Whereas there may be certain differences between CEW and Pike, the similarities are sufficient to justify adopting CEW’s proposed procurement plan for purposes of this case</w:t>
      </w:r>
      <w:r w:rsidR="003E796C" w:rsidRPr="00F86C9A">
        <w:t xml:space="preserve"> based on the Commonwealth Court decision in </w:t>
      </w:r>
      <w:r w:rsidR="003E796C" w:rsidRPr="00F86C9A">
        <w:rPr>
          <w:u w:val="single"/>
        </w:rPr>
        <w:t>Pike</w:t>
      </w:r>
      <w:r w:rsidR="00C66137" w:rsidRPr="00F86C9A">
        <w:t>.</w:t>
      </w:r>
    </w:p>
    <w:p w:rsidR="00C66137" w:rsidRPr="00F86C9A" w:rsidRDefault="00C66137" w:rsidP="00AC35CD">
      <w:pPr>
        <w:pStyle w:val="ListParagraph"/>
        <w:spacing w:line="360" w:lineRule="auto"/>
        <w:ind w:left="0" w:firstLine="1440"/>
      </w:pPr>
    </w:p>
    <w:p w:rsidR="00BE5AE9" w:rsidRPr="00F86C9A" w:rsidRDefault="00C66137" w:rsidP="00B35966">
      <w:pPr>
        <w:pStyle w:val="ListParagraph"/>
        <w:spacing w:line="360" w:lineRule="auto"/>
        <w:ind w:left="0" w:firstLine="1440"/>
      </w:pPr>
      <w:r w:rsidRPr="00F86C9A">
        <w:t>As such,</w:t>
      </w:r>
      <w:r w:rsidR="00BE5AE9" w:rsidRPr="00F86C9A">
        <w:t xml:space="preserve"> </w:t>
      </w:r>
      <w:r w:rsidR="00AC35CD" w:rsidRPr="00F86C9A">
        <w:t xml:space="preserve">the Companies’ proposed procurement plan constitutes a prudent mix of supply consistent with the </w:t>
      </w:r>
      <w:r w:rsidR="00FF1C31" w:rsidRPr="00F86C9A">
        <w:t xml:space="preserve">applicable </w:t>
      </w:r>
      <w:r w:rsidR="00AC35CD" w:rsidRPr="00F86C9A">
        <w:t xml:space="preserve">statutory requirements.  </w:t>
      </w:r>
      <w:r w:rsidRPr="00F86C9A">
        <w:t>CEW has demonstrated that</w:t>
      </w:r>
      <w:r w:rsidR="007C3A46" w:rsidRPr="00F86C9A">
        <w:t>, even when viewing the proposed procurement plan as a single product, the plan is sufficiently prudent to ensure</w:t>
      </w:r>
      <w:r w:rsidR="00FF1C31" w:rsidRPr="00F86C9A">
        <w:t>, among other things,</w:t>
      </w:r>
      <w:r w:rsidR="007C3A46" w:rsidRPr="00F86C9A">
        <w:t xml:space="preserve"> </w:t>
      </w:r>
      <w:r w:rsidR="00FF1C31" w:rsidRPr="00F86C9A">
        <w:t>the provision of adequate, reliable, affordable, efficient and environmentally sustainable electric service at least cost, taking into account any benefits of price stability over time</w:t>
      </w:r>
      <w:r w:rsidRPr="00F86C9A">
        <w:t xml:space="preserve">.  </w:t>
      </w:r>
      <w:r w:rsidR="00AC35CD" w:rsidRPr="00F86C9A">
        <w:t>The OCA’s arguments to the contrary will be rejected.</w:t>
      </w:r>
    </w:p>
    <w:p w:rsidR="009E783B" w:rsidRPr="00F86C9A" w:rsidRDefault="009E783B" w:rsidP="00B35966">
      <w:pPr>
        <w:pStyle w:val="ListParagraph"/>
        <w:spacing w:line="360" w:lineRule="auto"/>
        <w:ind w:left="0" w:firstLine="1440"/>
      </w:pPr>
    </w:p>
    <w:p w:rsidR="009E783B" w:rsidRPr="00F86C9A" w:rsidRDefault="004E2E1D" w:rsidP="009E783B">
      <w:pPr>
        <w:pStyle w:val="ListParagraph"/>
        <w:numPr>
          <w:ilvl w:val="0"/>
          <w:numId w:val="15"/>
        </w:numPr>
        <w:spacing w:line="360" w:lineRule="auto"/>
        <w:rPr>
          <w:u w:val="single"/>
        </w:rPr>
      </w:pPr>
      <w:r w:rsidRPr="00F86C9A">
        <w:rPr>
          <w:u w:val="single"/>
        </w:rPr>
        <w:t>Six Month Purchasing</w:t>
      </w:r>
      <w:r w:rsidR="00FA19A5" w:rsidRPr="00F86C9A">
        <w:rPr>
          <w:u w:val="single"/>
        </w:rPr>
        <w:t xml:space="preserve"> Issue</w:t>
      </w:r>
      <w:r w:rsidR="00794537" w:rsidRPr="00F86C9A">
        <w:t>.</w:t>
      </w:r>
    </w:p>
    <w:p w:rsidR="009E783B" w:rsidRPr="00F86C9A" w:rsidRDefault="009E783B" w:rsidP="009E783B">
      <w:pPr>
        <w:pStyle w:val="ListParagraph"/>
        <w:spacing w:line="360" w:lineRule="auto"/>
        <w:ind w:left="1800"/>
      </w:pPr>
    </w:p>
    <w:p w:rsidR="00BF1A2E" w:rsidRPr="00F86C9A" w:rsidRDefault="00053B31" w:rsidP="00B35966">
      <w:pPr>
        <w:pStyle w:val="ListParagraph"/>
        <w:spacing w:line="360" w:lineRule="auto"/>
        <w:ind w:left="0" w:firstLine="1440"/>
      </w:pPr>
      <w:r w:rsidRPr="00F86C9A">
        <w:t>In response to the Companies’ proposed procurement plan</w:t>
      </w:r>
      <w:r w:rsidR="00CE0201" w:rsidRPr="00F86C9A">
        <w:t>, t</w:t>
      </w:r>
      <w:r w:rsidR="005200FB" w:rsidRPr="00F86C9A">
        <w:t xml:space="preserve">he OCA </w:t>
      </w:r>
      <w:r w:rsidR="004E2E1D" w:rsidRPr="00F86C9A">
        <w:t xml:space="preserve">argued </w:t>
      </w:r>
      <w:r w:rsidR="00386059" w:rsidRPr="00F86C9A">
        <w:t>that</w:t>
      </w:r>
      <w:r w:rsidR="004E2E1D" w:rsidRPr="00F86C9A">
        <w:t xml:space="preserve"> </w:t>
      </w:r>
      <w:r w:rsidR="00806DF0" w:rsidRPr="00F86C9A">
        <w:t xml:space="preserve">the portion of the plan that would require re-pricing of 100% of the energy price every six months, leaving any load beyond that time completely unhedged, with the exception of the </w:t>
      </w:r>
      <w:r w:rsidR="00252571">
        <w:t>S</w:t>
      </w:r>
      <w:r w:rsidR="00806DF0" w:rsidRPr="00F86C9A">
        <w:t xml:space="preserve">upplier </w:t>
      </w:r>
      <w:r w:rsidR="00252571">
        <w:t>A</w:t>
      </w:r>
      <w:r w:rsidR="00806DF0" w:rsidRPr="00F86C9A">
        <w:t>dder</w:t>
      </w:r>
      <w:r w:rsidR="00386059" w:rsidRPr="00F86C9A">
        <w:t>, should be rejected</w:t>
      </w:r>
      <w:r w:rsidR="00806DF0" w:rsidRPr="00F86C9A">
        <w:t xml:space="preserve">.  </w:t>
      </w:r>
      <w:proofErr w:type="gramStart"/>
      <w:r w:rsidRPr="00F86C9A">
        <w:t>OCA M.B.</w:t>
      </w:r>
      <w:r w:rsidR="00806DF0" w:rsidRPr="00F86C9A">
        <w:t xml:space="preserve"> at 18.</w:t>
      </w:r>
      <w:proofErr w:type="gramEnd"/>
      <w:r w:rsidR="00806DF0" w:rsidRPr="00F86C9A">
        <w:t xml:space="preserve">  The OC</w:t>
      </w:r>
      <w:r w:rsidR="00D201A6">
        <w:t>A noted that such re-pricing of </w:t>
      </w:r>
      <w:r w:rsidR="00806DF0" w:rsidRPr="00F86C9A">
        <w:t>100% of the supply when it occurs at the end of a default service plan has been termed a “hard stop</w:t>
      </w:r>
      <w:r w:rsidR="00B531FF" w:rsidRPr="00F86C9A">
        <w:t>,</w:t>
      </w:r>
      <w:r w:rsidR="00806DF0" w:rsidRPr="00F86C9A">
        <w:t>” which is created every six months in the Companies’ proposed procurement plan</w:t>
      </w:r>
      <w:r w:rsidR="00B531FF" w:rsidRPr="00F86C9A">
        <w:t xml:space="preserve">, instead of a layering or laddering </w:t>
      </w:r>
      <w:r w:rsidR="008638B8" w:rsidRPr="00F86C9A">
        <w:t>of purchases</w:t>
      </w:r>
      <w:r w:rsidR="008638B8">
        <w:t xml:space="preserve"> </w:t>
      </w:r>
      <w:r w:rsidR="00A83168">
        <w:t>(i.e., overlapping</w:t>
      </w:r>
      <w:r w:rsidR="008638B8">
        <w:t xml:space="preserve"> supply </w:t>
      </w:r>
      <w:r w:rsidR="001F2EDB">
        <w:t xml:space="preserve">purchases </w:t>
      </w:r>
      <w:r w:rsidR="008638B8">
        <w:t>to reduce the risk of potential price spikes and volatility</w:t>
      </w:r>
      <w:r w:rsidR="00A83168">
        <w:t>)</w:t>
      </w:r>
      <w:r w:rsidR="00806DF0" w:rsidRPr="00F86C9A">
        <w:t xml:space="preserve">.  </w:t>
      </w:r>
      <w:r w:rsidR="00806DF0" w:rsidRPr="00F86C9A">
        <w:rPr>
          <w:u w:val="single"/>
        </w:rPr>
        <w:t>Id.</w:t>
      </w:r>
      <w:r w:rsidR="00806DF0" w:rsidRPr="00F86C9A">
        <w:t xml:space="preserve">  </w:t>
      </w:r>
      <w:r w:rsidR="00B531FF" w:rsidRPr="00F86C9A">
        <w:t xml:space="preserve">The OCA cited to several recent Commission Orders that demonstrate the need for developing default service plans </w:t>
      </w:r>
      <w:r w:rsidR="002C6461">
        <w:t>that do not replace or re</w:t>
      </w:r>
      <w:r w:rsidR="00D56DA2">
        <w:noBreakHyphen/>
      </w:r>
      <w:r w:rsidR="002C6461">
        <w:t>price </w:t>
      </w:r>
      <w:r w:rsidR="00B531FF" w:rsidRPr="00F86C9A">
        <w:t xml:space="preserve">100% of supply at one time and especially on one day.  </w:t>
      </w:r>
      <w:r w:rsidR="00B531FF" w:rsidRPr="00F86C9A">
        <w:rPr>
          <w:u w:val="single"/>
        </w:rPr>
        <w:t>Id.</w:t>
      </w:r>
      <w:r w:rsidR="00B531FF" w:rsidRPr="00F86C9A">
        <w:t xml:space="preserve"> at 18-20 (citations omitted).  The OCA argued that such re-pricing exposes residential customers to large swings in energy prices and market perturbation</w:t>
      </w:r>
      <w:r w:rsidR="007E2CF4" w:rsidRPr="00F86C9A">
        <w:t>s</w:t>
      </w:r>
      <w:r w:rsidR="00B531FF" w:rsidRPr="00F86C9A">
        <w:t xml:space="preserve">.  </w:t>
      </w:r>
      <w:proofErr w:type="gramStart"/>
      <w:r w:rsidR="00B531FF" w:rsidRPr="00F86C9A">
        <w:rPr>
          <w:u w:val="single"/>
        </w:rPr>
        <w:t>Id.</w:t>
      </w:r>
      <w:r w:rsidR="00B531FF" w:rsidRPr="00F86C9A">
        <w:t xml:space="preserve"> at 20, </w:t>
      </w:r>
      <w:r w:rsidR="00B531FF" w:rsidRPr="00F86C9A">
        <w:rPr>
          <w:i/>
        </w:rPr>
        <w:t>citing</w:t>
      </w:r>
      <w:r w:rsidR="00B531FF" w:rsidRPr="00F86C9A">
        <w:t>, OCA St. 1 at 15</w:t>
      </w:r>
      <w:r w:rsidR="00EF6731" w:rsidRPr="00F86C9A">
        <w:t>.</w:t>
      </w:r>
      <w:proofErr w:type="gramEnd"/>
    </w:p>
    <w:p w:rsidR="004F36E9" w:rsidRPr="00F86C9A" w:rsidRDefault="004F36E9" w:rsidP="00B35966">
      <w:pPr>
        <w:pStyle w:val="ListParagraph"/>
        <w:spacing w:line="360" w:lineRule="auto"/>
        <w:ind w:left="0" w:firstLine="1440"/>
      </w:pPr>
    </w:p>
    <w:p w:rsidR="00B52738" w:rsidRPr="00F86C9A" w:rsidRDefault="00BF2912" w:rsidP="009E783B">
      <w:pPr>
        <w:pStyle w:val="ListParagraph"/>
        <w:spacing w:line="360" w:lineRule="auto"/>
        <w:ind w:left="0" w:firstLine="1440"/>
      </w:pPr>
      <w:r w:rsidRPr="00F86C9A">
        <w:t>In response to the OCA’s concerns</w:t>
      </w:r>
      <w:r w:rsidR="009E783B" w:rsidRPr="00F86C9A">
        <w:t>, CEW argued</w:t>
      </w:r>
      <w:r w:rsidR="00B52738" w:rsidRPr="00F86C9A">
        <w:t xml:space="preserve"> that the OCA’s reliance on recent Commission Orders creates a “negative inference </w:t>
      </w:r>
      <w:r w:rsidRPr="00F86C9A">
        <w:t xml:space="preserve">[that] </w:t>
      </w:r>
      <w:r w:rsidR="00B52738" w:rsidRPr="00F86C9A">
        <w:t xml:space="preserve">has no basis in fact.”  </w:t>
      </w:r>
      <w:proofErr w:type="gramStart"/>
      <w:r w:rsidR="00B52738" w:rsidRPr="00F86C9A">
        <w:t>CEW R.B. at 10.</w:t>
      </w:r>
      <w:proofErr w:type="gramEnd"/>
      <w:r w:rsidR="00B52738" w:rsidRPr="00F86C9A">
        <w:t xml:space="preserve">  CEW argued that no parties in </w:t>
      </w:r>
      <w:r w:rsidR="00382358" w:rsidRPr="00F86C9A">
        <w:t xml:space="preserve">the </w:t>
      </w:r>
      <w:r w:rsidR="00B52738" w:rsidRPr="00F86C9A">
        <w:t xml:space="preserve">proceedings </w:t>
      </w:r>
      <w:r w:rsidR="00382358" w:rsidRPr="00F86C9A">
        <w:t xml:space="preserve">relied on by the OCA </w:t>
      </w:r>
      <w:r w:rsidR="00B52738" w:rsidRPr="00F86C9A">
        <w:t xml:space="preserve">contested the request to extend the laddered procurement into the first six months of their subsequent DSP periods and that “as such, the Commission conducted no analysis of the merits of laddered procurements versus the merits of other procurements.”  </w:t>
      </w:r>
      <w:r w:rsidR="00B52738" w:rsidRPr="00F86C9A">
        <w:rPr>
          <w:u w:val="single"/>
        </w:rPr>
        <w:t>Id.</w:t>
      </w:r>
      <w:r w:rsidR="00B52738" w:rsidRPr="00F86C9A">
        <w:t xml:space="preserve">  CEW added that “at no point in either Order did the Commission come remotely close to addressing any extraneous proposals or limiting the alternatives available to smaller EDCs” and that those Orders have no bearing on the resolution of this proceeding.  </w:t>
      </w:r>
      <w:proofErr w:type="gramStart"/>
      <w:r w:rsidR="00B52738" w:rsidRPr="00F86C9A">
        <w:rPr>
          <w:u w:val="single"/>
        </w:rPr>
        <w:t>Id.</w:t>
      </w:r>
      <w:r w:rsidR="00B52738" w:rsidRPr="00F86C9A">
        <w:t xml:space="preserve"> at 11.</w:t>
      </w:r>
      <w:proofErr w:type="gramEnd"/>
    </w:p>
    <w:p w:rsidR="00B52738" w:rsidRPr="00F86C9A" w:rsidRDefault="00B52738" w:rsidP="009E783B">
      <w:pPr>
        <w:pStyle w:val="ListParagraph"/>
        <w:spacing w:line="360" w:lineRule="auto"/>
        <w:ind w:left="0" w:firstLine="1440"/>
      </w:pPr>
    </w:p>
    <w:p w:rsidR="00DC1210" w:rsidRPr="00F86C9A" w:rsidRDefault="00DC1210" w:rsidP="00C66137">
      <w:pPr>
        <w:pStyle w:val="ListParagraph"/>
        <w:spacing w:line="360" w:lineRule="auto"/>
        <w:ind w:left="0" w:firstLine="1440"/>
      </w:pPr>
      <w:r w:rsidRPr="00F86C9A">
        <w:t xml:space="preserve">The OCA’s argument that the proposed procurement plan should be </w:t>
      </w:r>
      <w:r w:rsidR="00382358" w:rsidRPr="00F86C9A">
        <w:t xml:space="preserve">denied </w:t>
      </w:r>
      <w:r w:rsidRPr="00F86C9A">
        <w:t xml:space="preserve">because it exposes ratepayers to the re-pricing of 100% of the energy supply every six months </w:t>
      </w:r>
      <w:r w:rsidR="00382358" w:rsidRPr="00F86C9A">
        <w:t>will be rejected, with one exception discussed below.  With that exception, t</w:t>
      </w:r>
      <w:r w:rsidRPr="00F86C9A">
        <w:t>he Companies</w:t>
      </w:r>
      <w:r w:rsidR="00440C67">
        <w:t>’</w:t>
      </w:r>
      <w:r w:rsidRPr="00F86C9A">
        <w:t xml:space="preserve"> plan is consistent with applicable statutory requirements to </w:t>
      </w:r>
      <w:r w:rsidR="00347D9C">
        <w:t>satisfy</w:t>
      </w:r>
      <w:r w:rsidRPr="00F86C9A">
        <w:t xml:space="preserve"> the Companies’ obligations.</w:t>
      </w:r>
    </w:p>
    <w:p w:rsidR="00DC1210" w:rsidRPr="00F86C9A" w:rsidRDefault="00DC1210" w:rsidP="00C66137">
      <w:pPr>
        <w:pStyle w:val="ListParagraph"/>
        <w:spacing w:line="360" w:lineRule="auto"/>
        <w:ind w:left="0" w:firstLine="1440"/>
      </w:pPr>
    </w:p>
    <w:p w:rsidR="00C7142D" w:rsidRPr="00F86C9A" w:rsidRDefault="00DC1210" w:rsidP="00C66137">
      <w:pPr>
        <w:pStyle w:val="ListParagraph"/>
        <w:spacing w:line="360" w:lineRule="auto"/>
        <w:ind w:left="0" w:firstLine="1440"/>
      </w:pPr>
      <w:r w:rsidRPr="00F86C9A">
        <w:t xml:space="preserve">In making its argument, the OCA relies on recent Commission decisions in </w:t>
      </w:r>
      <w:r w:rsidRPr="00F86C9A">
        <w:rPr>
          <w:u w:val="single"/>
        </w:rPr>
        <w:t>Petition of Duquesne Light Company for Approval of Revisions to its Approved Default Service Plan VI</w:t>
      </w:r>
      <w:r w:rsidRPr="00F86C9A">
        <w:t>, Docket No. P-2012-2301664, Order (entered Sept. 11, 2014) (</w:t>
      </w:r>
      <w:r w:rsidRPr="00F86C9A">
        <w:rPr>
          <w:u w:val="single"/>
        </w:rPr>
        <w:t>Duquesne Order</w:t>
      </w:r>
      <w:r w:rsidRPr="00F86C9A">
        <w:t xml:space="preserve">) and </w:t>
      </w:r>
      <w:r w:rsidRPr="00F86C9A">
        <w:rPr>
          <w:u w:val="single"/>
        </w:rPr>
        <w:t>Petition of PPL Electric Utilities Corporation for Expedited Approval to Exercise Its Option to Extend the Final Procurements Under the Currently Effective Default Service Procurement Plan By An Additional Six Months</w:t>
      </w:r>
      <w:r w:rsidRPr="00F86C9A">
        <w:t xml:space="preserve">, Docket No. </w:t>
      </w:r>
      <w:proofErr w:type="gramStart"/>
      <w:r w:rsidRPr="00F86C9A">
        <w:t>P-2012-2302074, Order (entered Aug. 21, 2014) (</w:t>
      </w:r>
      <w:r w:rsidRPr="00F86C9A">
        <w:rPr>
          <w:u w:val="single"/>
        </w:rPr>
        <w:t>PPL Order</w:t>
      </w:r>
      <w:r w:rsidRPr="00F86C9A">
        <w:t>).</w:t>
      </w:r>
      <w:proofErr w:type="gramEnd"/>
      <w:r w:rsidRPr="00F86C9A">
        <w:t xml:space="preserve">  </w:t>
      </w:r>
      <w:r w:rsidR="00E250AA" w:rsidRPr="00F86C9A">
        <w:t xml:space="preserve">Yet, </w:t>
      </w:r>
      <w:r w:rsidR="00C7142D" w:rsidRPr="00F86C9A">
        <w:t xml:space="preserve">the </w:t>
      </w:r>
      <w:r w:rsidR="00E250AA" w:rsidRPr="00F86C9A">
        <w:rPr>
          <w:u w:val="single"/>
        </w:rPr>
        <w:t>Duquesne</w:t>
      </w:r>
      <w:r w:rsidR="00C7142D" w:rsidRPr="00F86C9A">
        <w:rPr>
          <w:u w:val="single"/>
        </w:rPr>
        <w:t xml:space="preserve"> Order</w:t>
      </w:r>
      <w:r w:rsidR="00E250AA" w:rsidRPr="00F86C9A">
        <w:t xml:space="preserve"> and </w:t>
      </w:r>
      <w:r w:rsidR="00E250AA" w:rsidRPr="00F86C9A">
        <w:rPr>
          <w:u w:val="single"/>
        </w:rPr>
        <w:t xml:space="preserve">PPL </w:t>
      </w:r>
      <w:r w:rsidR="00C7142D" w:rsidRPr="00F86C9A">
        <w:rPr>
          <w:u w:val="single"/>
        </w:rPr>
        <w:t>Order</w:t>
      </w:r>
      <w:r w:rsidR="00C7142D" w:rsidRPr="00F86C9A">
        <w:t xml:space="preserve"> are</w:t>
      </w:r>
      <w:r w:rsidR="00E250AA" w:rsidRPr="00F86C9A">
        <w:t xml:space="preserve"> not </w:t>
      </w:r>
      <w:r w:rsidR="00C7142D" w:rsidRPr="00F86C9A">
        <w:t>dispositive in this case</w:t>
      </w:r>
      <w:r w:rsidR="00E250AA" w:rsidRPr="00F86C9A">
        <w:t xml:space="preserve">.  While the Commission may have indicated preferences for laddering or layering of supply approaches for those Companies, the OCA cites to no Commission regulation or other requirement that makes such approaches a requirement for all EDCs, including CEW.  As noted above, </w:t>
      </w:r>
      <w:r w:rsidR="00D56DA2">
        <w:t>CEW are smaller </w:t>
      </w:r>
      <w:r w:rsidR="00C7142D" w:rsidRPr="00F86C9A">
        <w:t>EDCs and competition is just beginning in their service territories.  The Companies’ proposed</w:t>
      </w:r>
      <w:r w:rsidR="00D56DA2">
        <w:t> </w:t>
      </w:r>
      <w:r w:rsidR="00C7142D" w:rsidRPr="00F86C9A">
        <w:t xml:space="preserve">procurement plan is designed to address this burgeoning competition in light of the circumstances surrounding small EDCs, such as CEW, with a small customer base spread over a rural service territory.  The recent Commission Orders that support a layering and laddering of supply, instead of a semi-annual replacement of supply, may not be appropriate </w:t>
      </w:r>
      <w:r w:rsidR="00382358" w:rsidRPr="00F86C9A">
        <w:t xml:space="preserve">or necessary </w:t>
      </w:r>
      <w:r w:rsidR="00552834">
        <w:t>for CEW.</w:t>
      </w:r>
    </w:p>
    <w:p w:rsidR="00C7142D" w:rsidRPr="00F86C9A" w:rsidRDefault="00C7142D" w:rsidP="00C66137">
      <w:pPr>
        <w:pStyle w:val="ListParagraph"/>
        <w:spacing w:line="360" w:lineRule="auto"/>
        <w:ind w:left="0" w:firstLine="1440"/>
      </w:pPr>
    </w:p>
    <w:p w:rsidR="00B5028A" w:rsidRPr="00F86C9A" w:rsidRDefault="00C7142D" w:rsidP="00C66137">
      <w:pPr>
        <w:pStyle w:val="ListParagraph"/>
        <w:spacing w:line="360" w:lineRule="auto"/>
        <w:ind w:left="0" w:firstLine="1440"/>
      </w:pPr>
      <w:r w:rsidRPr="00F86C9A">
        <w:t>In this instance, the OCA has not provided sufficient record evidence that supports denying the Companies’ proposed procurement plan because</w:t>
      </w:r>
      <w:r w:rsidR="00B5028A" w:rsidRPr="00F86C9A">
        <w:t xml:space="preserve"> it</w:t>
      </w:r>
      <w:r w:rsidRPr="00F86C9A">
        <w:t xml:space="preserve"> does not layer or ladder supply, despite the recent </w:t>
      </w:r>
      <w:r w:rsidRPr="00F86C9A">
        <w:rPr>
          <w:u w:val="single"/>
        </w:rPr>
        <w:t>Duquesne Order</w:t>
      </w:r>
      <w:r w:rsidRPr="00F86C9A">
        <w:t xml:space="preserve"> and </w:t>
      </w:r>
      <w:r w:rsidRPr="00F86C9A">
        <w:rPr>
          <w:u w:val="single"/>
        </w:rPr>
        <w:t>PPL Order</w:t>
      </w:r>
      <w:r w:rsidRPr="00F86C9A">
        <w:t xml:space="preserve">.  The OCA </w:t>
      </w:r>
      <w:r w:rsidR="00B5028A" w:rsidRPr="00F86C9A">
        <w:t xml:space="preserve">argued that CEW’s “Stratified Plan does not expose customers to this type of risk as it layers and ladders purchase of different lengths throughout each year,” noting that “the Stratified Plan provides diversity as to the timing, types and lengths of energy supply contracts and complies with Act 129 and provides reasonable, stable default service.”  </w:t>
      </w:r>
      <w:proofErr w:type="gramStart"/>
      <w:r w:rsidR="00B5028A" w:rsidRPr="00F86C9A">
        <w:t>OCA M.B. at 20.</w:t>
      </w:r>
      <w:proofErr w:type="gramEnd"/>
      <w:r w:rsidR="00B5028A" w:rsidRPr="00F86C9A">
        <w:t xml:space="preserve">  Yet, CEW has provided sufficient reason why the Stratified Plan should be abandoned as part of this case in favor of the proposed procurement plan, as discussed further below.  This includes, notably, the anticipated advent of competition with</w:t>
      </w:r>
      <w:r w:rsidR="004E2E1D" w:rsidRPr="00F86C9A">
        <w:t>in</w:t>
      </w:r>
      <w:r w:rsidR="00B5028A" w:rsidRPr="00F86C9A">
        <w:t xml:space="preserve"> the service territory.  </w:t>
      </w:r>
      <w:r w:rsidR="00386059" w:rsidRPr="00F86C9A">
        <w:t xml:space="preserve">As noted above, if the party with the burden of proof establishes a </w:t>
      </w:r>
      <w:r w:rsidR="00386059" w:rsidRPr="00F86C9A">
        <w:rPr>
          <w:i/>
        </w:rPr>
        <w:t xml:space="preserve">prima </w:t>
      </w:r>
      <w:proofErr w:type="spellStart"/>
      <w:r w:rsidR="00386059" w:rsidRPr="00F86C9A">
        <w:rPr>
          <w:i/>
        </w:rPr>
        <w:t>facia</w:t>
      </w:r>
      <w:proofErr w:type="spellEnd"/>
      <w:r w:rsidR="00386059" w:rsidRPr="00F86C9A">
        <w:t xml:space="preserve"> case, the burden of going forward with the evidence shifts to the other part.  </w:t>
      </w:r>
      <w:r w:rsidR="00386059" w:rsidRPr="00F86C9A">
        <w:rPr>
          <w:u w:val="single"/>
        </w:rPr>
        <w:t>Se-Ling Hosiery</w:t>
      </w:r>
      <w:r w:rsidR="00386059" w:rsidRPr="00F86C9A">
        <w:t xml:space="preserve">, </w:t>
      </w:r>
      <w:r w:rsidR="00386059" w:rsidRPr="00F86C9A">
        <w:rPr>
          <w:i/>
        </w:rPr>
        <w:t>supra</w:t>
      </w:r>
      <w:r w:rsidR="00386059" w:rsidRPr="00F86C9A">
        <w:t>.  If the other party does not rebut that evidence, the original party will prevail.  The OCA has not adequately rebutted CEW’s argument on this issue</w:t>
      </w:r>
      <w:r w:rsidR="00382358" w:rsidRPr="00F86C9A">
        <w:t xml:space="preserve"> and OCA’s argument should be denied</w:t>
      </w:r>
      <w:r w:rsidR="00386059" w:rsidRPr="00F86C9A">
        <w:t>.</w:t>
      </w:r>
    </w:p>
    <w:p w:rsidR="001573EB" w:rsidRPr="00F86C9A" w:rsidRDefault="001573EB" w:rsidP="00C66137">
      <w:pPr>
        <w:pStyle w:val="ListParagraph"/>
        <w:spacing w:line="360" w:lineRule="auto"/>
        <w:ind w:left="0" w:firstLine="1440"/>
      </w:pPr>
    </w:p>
    <w:p w:rsidR="001573EB" w:rsidRPr="00F86C9A" w:rsidRDefault="001573EB" w:rsidP="001573EB">
      <w:pPr>
        <w:pStyle w:val="ListParagraph"/>
        <w:spacing w:line="360" w:lineRule="auto"/>
        <w:ind w:left="0" w:firstLine="1440"/>
      </w:pPr>
      <w:r w:rsidRPr="00F86C9A">
        <w:t>Nonetheless,</w:t>
      </w:r>
      <w:r w:rsidR="00B7425C" w:rsidRPr="00F86C9A">
        <w:t xml:space="preserve"> as discussed further below,</w:t>
      </w:r>
      <w:r w:rsidRPr="00F86C9A">
        <w:t xml:space="preserve"> the OCA has proposed </w:t>
      </w:r>
      <w:r w:rsidR="00B7425C" w:rsidRPr="00F86C9A">
        <w:t xml:space="preserve">an alternative plan in response to the Companies’ proposed procurement plan that requires the Companies to monitor market conditions near the trigger dates and be allowed some flexibility in selecting a different trigger date if market conditions appear to be turning unfavorable.  </w:t>
      </w:r>
      <w:proofErr w:type="gramStart"/>
      <w:r w:rsidR="00B7425C" w:rsidRPr="00F86C9A">
        <w:t xml:space="preserve">OCA M.B. at 28-29, </w:t>
      </w:r>
      <w:r w:rsidR="00B7425C" w:rsidRPr="00F86C9A">
        <w:rPr>
          <w:i/>
        </w:rPr>
        <w:t>quoting</w:t>
      </w:r>
      <w:r w:rsidR="00B7425C" w:rsidRPr="00F86C9A">
        <w:t>, OCA St. at 17-18.</w:t>
      </w:r>
      <w:proofErr w:type="gramEnd"/>
      <w:r w:rsidR="00B7425C" w:rsidRPr="00F86C9A">
        <w:t xml:space="preserve">  Although</w:t>
      </w:r>
      <w:r w:rsidR="00E96A67" w:rsidRPr="00F86C9A">
        <w:t xml:space="preserve"> </w:t>
      </w:r>
      <w:r w:rsidR="00B7425C" w:rsidRPr="00F86C9A">
        <w:t>the layering and laddering approach proposed by the OCA will not be ordered as part of this proceeding, allowing the Companies flexibility in selecting a trigger date</w:t>
      </w:r>
      <w:r w:rsidRPr="00F86C9A">
        <w:t xml:space="preserve"> is a reasonable modification to CEW’s proposed procurement plan that will help minimize</w:t>
      </w:r>
      <w:r w:rsidR="00347D9C">
        <w:t xml:space="preserve"> some of</w:t>
      </w:r>
      <w:r w:rsidRPr="00F86C9A">
        <w:t xml:space="preserve"> the concerns raised by the OCA </w:t>
      </w:r>
      <w:r w:rsidR="00B7425C" w:rsidRPr="00F86C9A">
        <w:t xml:space="preserve">regarding the Companies’ proposed procurement plan </w:t>
      </w:r>
      <w:r w:rsidRPr="00F86C9A">
        <w:t>and will be or</w:t>
      </w:r>
      <w:r w:rsidR="002B7503">
        <w:t>dered as part of this Decision.</w:t>
      </w:r>
    </w:p>
    <w:p w:rsidR="00B5028A" w:rsidRPr="00F86C9A" w:rsidRDefault="00B5028A" w:rsidP="00C66137">
      <w:pPr>
        <w:pStyle w:val="ListParagraph"/>
        <w:spacing w:line="360" w:lineRule="auto"/>
        <w:ind w:left="0" w:firstLine="1440"/>
      </w:pPr>
    </w:p>
    <w:p w:rsidR="00B8513D" w:rsidRPr="00F86C9A" w:rsidRDefault="004E2E1D" w:rsidP="00B8513D">
      <w:pPr>
        <w:pStyle w:val="ListParagraph"/>
        <w:spacing w:line="360" w:lineRule="auto"/>
        <w:ind w:left="0" w:firstLine="1440"/>
      </w:pPr>
      <w:r w:rsidRPr="00F86C9A">
        <w:t>As such</w:t>
      </w:r>
      <w:r w:rsidR="00B5028A" w:rsidRPr="00F86C9A">
        <w:t>, the OCA has not demonstrated that CEW’s proposed procurement plan should be rejected because it exposes ratepayers to the re-pricing of 100% of the energy supply every six months instead of layering or laddering energy supply.</w:t>
      </w:r>
      <w:r w:rsidR="00B8513D" w:rsidRPr="00F86C9A">
        <w:t xml:space="preserve">  The Companies have demonstrated that the proposed procurement plan</w:t>
      </w:r>
      <w:r w:rsidR="00382358" w:rsidRPr="00F86C9A">
        <w:t>, as modified above,</w:t>
      </w:r>
      <w:r w:rsidR="00B8513D" w:rsidRPr="00F86C9A">
        <w:t xml:space="preserve"> will provide adequate, reliable, affordable, efficient and environmentally sustainable electric service at least cost, taking into account any benefits of price stability over time.  As such, the OCA’s arguments to the contrary will be rejected.</w:t>
      </w:r>
    </w:p>
    <w:p w:rsidR="00DC1210" w:rsidRPr="00F86C9A" w:rsidRDefault="00DC1210" w:rsidP="00C66137">
      <w:pPr>
        <w:pStyle w:val="ListParagraph"/>
        <w:spacing w:line="360" w:lineRule="auto"/>
        <w:ind w:left="0" w:firstLine="1440"/>
      </w:pPr>
    </w:p>
    <w:p w:rsidR="009E783B" w:rsidRPr="00F86C9A" w:rsidRDefault="004E2E1D" w:rsidP="009E783B">
      <w:pPr>
        <w:pStyle w:val="ListParagraph"/>
        <w:numPr>
          <w:ilvl w:val="0"/>
          <w:numId w:val="15"/>
        </w:numPr>
        <w:spacing w:line="360" w:lineRule="auto"/>
        <w:rPr>
          <w:u w:val="single"/>
        </w:rPr>
      </w:pPr>
      <w:r w:rsidRPr="00F86C9A">
        <w:rPr>
          <w:u w:val="single"/>
        </w:rPr>
        <w:t>Competitive Procurement</w:t>
      </w:r>
      <w:r w:rsidR="00FA19A5" w:rsidRPr="00F86C9A">
        <w:rPr>
          <w:u w:val="single"/>
        </w:rPr>
        <w:t xml:space="preserve"> Issue</w:t>
      </w:r>
      <w:r w:rsidR="00804766" w:rsidRPr="00F86C9A">
        <w:t>.</w:t>
      </w:r>
    </w:p>
    <w:p w:rsidR="009E783B" w:rsidRPr="00F86C9A" w:rsidRDefault="009E783B" w:rsidP="009E783B">
      <w:pPr>
        <w:spacing w:line="360" w:lineRule="auto"/>
        <w:ind w:firstLine="1440"/>
      </w:pPr>
    </w:p>
    <w:p w:rsidR="0008163B" w:rsidRPr="00F86C9A" w:rsidRDefault="00053B31" w:rsidP="009E783B">
      <w:pPr>
        <w:spacing w:line="360" w:lineRule="auto"/>
        <w:ind w:firstLine="1440"/>
      </w:pPr>
      <w:r w:rsidRPr="00F86C9A">
        <w:t>In response to the Companies’ proposed procurement plan</w:t>
      </w:r>
      <w:r w:rsidR="00EF6731" w:rsidRPr="00F86C9A">
        <w:t xml:space="preserve">, the OCA </w:t>
      </w:r>
      <w:r w:rsidR="00B850C1" w:rsidRPr="00F86C9A">
        <w:t>argued that the plan will reduce competition for the electric energy required to be procured under Act 129.  OCA M.B. at 20-22.</w:t>
      </w:r>
      <w:r w:rsidR="00D16736" w:rsidRPr="00F86C9A">
        <w:t xml:space="preserve"> </w:t>
      </w:r>
      <w:r w:rsidR="00B850C1" w:rsidRPr="00F86C9A">
        <w:t xml:space="preserve"> </w:t>
      </w:r>
      <w:r w:rsidR="00D16736" w:rsidRPr="00F86C9A">
        <w:t xml:space="preserve">More specifically, the OCA is concerned that the proposed procurement plan “does not acquire electric power through a traditional auction, request for proposal, or bilateral contract, but only acquires the price of the adder.”  </w:t>
      </w:r>
      <w:proofErr w:type="gramStart"/>
      <w:r w:rsidR="00D16736" w:rsidRPr="00F86C9A">
        <w:rPr>
          <w:u w:val="single"/>
        </w:rPr>
        <w:t>Id.</w:t>
      </w:r>
      <w:r w:rsidR="00D16736" w:rsidRPr="00F86C9A">
        <w:t xml:space="preserve"> at 20.</w:t>
      </w:r>
      <w:proofErr w:type="gramEnd"/>
      <w:r w:rsidR="00D16736" w:rsidRPr="00F86C9A">
        <w:t xml:space="preserve">  </w:t>
      </w:r>
      <w:r w:rsidR="0008163B" w:rsidRPr="00F86C9A">
        <w:t xml:space="preserve">The OCA added that the proposed plan “actually reduces the use of competitive processes in setting the default service rate,” noting that “competitive procurement </w:t>
      </w:r>
      <w:r w:rsidR="0008163B" w:rsidRPr="00F86C9A">
        <w:rPr>
          <w:b/>
          <w:i/>
        </w:rPr>
        <w:t>is only</w:t>
      </w:r>
      <w:r w:rsidR="00252571">
        <w:t xml:space="preserve"> used for the S</w:t>
      </w:r>
      <w:r w:rsidR="0008163B" w:rsidRPr="00F86C9A">
        <w:t xml:space="preserve">upplier </w:t>
      </w:r>
      <w:r w:rsidR="00252571">
        <w:t>A</w:t>
      </w:r>
      <w:r w:rsidR="0008163B" w:rsidRPr="00F86C9A">
        <w:t xml:space="preserve">dder, which includes the supplier’s administrative costs and a number of minor components (in terms of percentage of total retail cost), since the energy cost is based on an index and the remaining costs are </w:t>
      </w:r>
      <w:proofErr w:type="spellStart"/>
      <w:r w:rsidR="0008163B" w:rsidRPr="00F86C9A">
        <w:t>passthroughs</w:t>
      </w:r>
      <w:proofErr w:type="spellEnd"/>
      <w:r w:rsidR="0008163B" w:rsidRPr="00F86C9A">
        <w:t xml:space="preserve">.”  </w:t>
      </w:r>
      <w:r w:rsidR="0008163B" w:rsidRPr="00F86C9A">
        <w:rPr>
          <w:u w:val="single"/>
        </w:rPr>
        <w:t>Id.</w:t>
      </w:r>
      <w:r w:rsidR="0008163B" w:rsidRPr="00F86C9A">
        <w:t xml:space="preserve"> at 21 (emphasis in original), </w:t>
      </w:r>
      <w:r w:rsidR="0008163B" w:rsidRPr="00F86C9A">
        <w:rPr>
          <w:i/>
        </w:rPr>
        <w:t>citing</w:t>
      </w:r>
      <w:r w:rsidR="0008163B" w:rsidRPr="00F86C9A">
        <w:t xml:space="preserve"> OCA St. 1-S at 2-3.  OCA witness Pereira testified:</w:t>
      </w:r>
    </w:p>
    <w:p w:rsidR="0008163B" w:rsidRPr="00F86C9A" w:rsidRDefault="0008163B" w:rsidP="004D51E0">
      <w:pPr>
        <w:spacing w:line="360" w:lineRule="auto"/>
        <w:ind w:left="1440" w:right="1440"/>
      </w:pPr>
    </w:p>
    <w:p w:rsidR="0008163B" w:rsidRPr="00F86C9A" w:rsidRDefault="0008163B" w:rsidP="0008163B">
      <w:pPr>
        <w:ind w:left="1440" w:right="1440"/>
      </w:pPr>
      <w:r w:rsidRPr="00F86C9A">
        <w:t>the proposed plan cannot take advantage of any hedging efforts by competitive suppliers to make their offerings as competitive as possible because prices (and hence potential profits suppliers) are entirely determined by the value of an index</w:t>
      </w:r>
      <w:r w:rsidR="00B850C1" w:rsidRPr="00F86C9A">
        <w:t xml:space="preserve"> </w:t>
      </w:r>
      <w:r w:rsidRPr="00F86C9A">
        <w:t>– which is essentially a collection of observed prices at a particular time – rather than as a result of comparison of supplier bids for the energy product.</w:t>
      </w:r>
    </w:p>
    <w:p w:rsidR="0008163B" w:rsidRPr="00F86C9A" w:rsidRDefault="0008163B" w:rsidP="0008163B">
      <w:pPr>
        <w:ind w:left="1440" w:right="1440"/>
      </w:pPr>
    </w:p>
    <w:p w:rsidR="0008163B" w:rsidRPr="00F86C9A" w:rsidRDefault="0008163B" w:rsidP="0008163B">
      <w:pPr>
        <w:spacing w:line="360" w:lineRule="auto"/>
      </w:pPr>
      <w:r w:rsidRPr="00F86C9A">
        <w:rPr>
          <w:u w:val="single"/>
        </w:rPr>
        <w:t>Id.</w:t>
      </w:r>
      <w:r w:rsidRPr="00F86C9A">
        <w:t xml:space="preserve">  </w:t>
      </w:r>
      <w:r w:rsidR="00662E44" w:rsidRPr="00F86C9A">
        <w:t xml:space="preserve">The OCA added that there is no competitive auction, request for proposal, or bilateral agreement entered into that places any competitive pressure on the energy price under the proposed procurement plan and argued that the plan “is a backward-looking reflection on prior prices, not a competitive procurement process.”  </w:t>
      </w:r>
      <w:proofErr w:type="gramStart"/>
      <w:r w:rsidR="00662E44" w:rsidRPr="00F86C9A">
        <w:rPr>
          <w:u w:val="single"/>
        </w:rPr>
        <w:t>Id.</w:t>
      </w:r>
      <w:r w:rsidR="00662E44" w:rsidRPr="00F86C9A">
        <w:t xml:space="preserve">, </w:t>
      </w:r>
      <w:r w:rsidR="00662E44" w:rsidRPr="00F86C9A">
        <w:rPr>
          <w:i/>
        </w:rPr>
        <w:t>citing</w:t>
      </w:r>
      <w:r w:rsidR="00662E44" w:rsidRPr="00F86C9A">
        <w:t>, OCA St. 1-S at 3.</w:t>
      </w:r>
      <w:proofErr w:type="gramEnd"/>
    </w:p>
    <w:p w:rsidR="009E783B" w:rsidRPr="00F86C9A" w:rsidRDefault="009E783B" w:rsidP="009E783B">
      <w:pPr>
        <w:pStyle w:val="ListParagraph"/>
        <w:spacing w:line="360" w:lineRule="auto"/>
        <w:ind w:left="0" w:firstLine="1440"/>
      </w:pPr>
      <w:r w:rsidRPr="00F86C9A">
        <w:t xml:space="preserve">In response to this issue, CEW argued </w:t>
      </w:r>
      <w:r w:rsidR="00382358" w:rsidRPr="00F86C9A">
        <w:t xml:space="preserve">that </w:t>
      </w:r>
      <w:r w:rsidR="00B52738" w:rsidRPr="00F86C9A">
        <w:t xml:space="preserve">the Commission has addressed such claims in prior proceedings where EDCs received approval to bid-out wholesale supply contracts to provide Large C&amp;I customers with hourly-priced service and that the Commission has already conclusively determined that solicitations for spot purchases are sufficiently competitive.  </w:t>
      </w:r>
      <w:proofErr w:type="gramStart"/>
      <w:r w:rsidR="00B52738" w:rsidRPr="00F86C9A">
        <w:t>CEW R.B. at 11.</w:t>
      </w:r>
      <w:proofErr w:type="gramEnd"/>
      <w:r w:rsidR="00B52738" w:rsidRPr="00F86C9A">
        <w:t xml:space="preserve">  CEW concluded that the “OCA has no legal basis for claiming that solicitations for indexed energy supply are not competitive under Act 129.”  </w:t>
      </w:r>
      <w:r w:rsidR="00B52738" w:rsidRPr="00F86C9A">
        <w:rPr>
          <w:u w:val="single"/>
        </w:rPr>
        <w:t>Id.</w:t>
      </w:r>
    </w:p>
    <w:p w:rsidR="009E783B" w:rsidRPr="00F86C9A" w:rsidRDefault="009E783B" w:rsidP="009E783B">
      <w:pPr>
        <w:pStyle w:val="ListParagraph"/>
        <w:spacing w:line="360" w:lineRule="auto"/>
        <w:ind w:left="0" w:firstLine="1440"/>
      </w:pPr>
    </w:p>
    <w:p w:rsidR="00B06FB2" w:rsidRPr="00F86C9A" w:rsidRDefault="00B06FB2" w:rsidP="001965DE">
      <w:pPr>
        <w:pStyle w:val="ListParagraph"/>
        <w:spacing w:line="360" w:lineRule="auto"/>
        <w:ind w:left="0" w:firstLine="1440"/>
      </w:pPr>
      <w:r w:rsidRPr="00F86C9A">
        <w:t>The OCA’s argument that the Companies’ proposed procurement plan</w:t>
      </w:r>
      <w:r w:rsidR="004E2E1D" w:rsidRPr="00F86C9A">
        <w:t xml:space="preserve"> should be rejected</w:t>
      </w:r>
      <w:r w:rsidRPr="00F86C9A">
        <w:t xml:space="preserve"> </w:t>
      </w:r>
      <w:r w:rsidR="004E2E1D" w:rsidRPr="00F86C9A">
        <w:t xml:space="preserve">because it </w:t>
      </w:r>
      <w:r w:rsidRPr="00F86C9A">
        <w:t xml:space="preserve">reduces wholesale competition for energy </w:t>
      </w:r>
      <w:r w:rsidR="00E96A67" w:rsidRPr="00F86C9A">
        <w:t>will be denied</w:t>
      </w:r>
      <w:r w:rsidRPr="00F86C9A">
        <w:t xml:space="preserve">. </w:t>
      </w:r>
      <w:r w:rsidR="0023570C" w:rsidRPr="00F86C9A">
        <w:t xml:space="preserve"> </w:t>
      </w:r>
      <w:r w:rsidR="001E07EE" w:rsidRPr="00F86C9A">
        <w:t>The Companies’ plan includes a Request for Proposal and therefore complies with the Public Utility Code.</w:t>
      </w:r>
    </w:p>
    <w:p w:rsidR="00B06FB2" w:rsidRPr="00F86C9A" w:rsidRDefault="00B06FB2" w:rsidP="001965DE">
      <w:pPr>
        <w:pStyle w:val="ListParagraph"/>
        <w:spacing w:line="360" w:lineRule="auto"/>
        <w:ind w:left="0" w:firstLine="1440"/>
      </w:pPr>
    </w:p>
    <w:p w:rsidR="005B7449" w:rsidRPr="00F86C9A" w:rsidRDefault="00AA521C" w:rsidP="005B7449">
      <w:pPr>
        <w:pStyle w:val="ListParagraph"/>
        <w:spacing w:line="360" w:lineRule="auto"/>
        <w:ind w:left="0" w:firstLine="1440"/>
      </w:pPr>
      <w:r w:rsidRPr="00F86C9A">
        <w:t>As noted above, the Companies’ proposed procurement plan</w:t>
      </w:r>
      <w:r w:rsidR="00953E33" w:rsidRPr="00F86C9A">
        <w:t xml:space="preserve"> provides that the energy component for Residential and Small C&amp;I default service will be adjusted every six months based on PJM West Hub on-peak monthly forward pricing on predetermined Trigger Dates and that the wholesale rate formula will assume a straight </w:t>
      </w:r>
      <w:proofErr w:type="spellStart"/>
      <w:r w:rsidR="00953E33" w:rsidRPr="00F86C9A">
        <w:t>passthrough</w:t>
      </w:r>
      <w:proofErr w:type="spellEnd"/>
      <w:r w:rsidR="00953E33" w:rsidRPr="00F86C9A">
        <w:t xml:space="preserve"> of </w:t>
      </w:r>
      <w:r w:rsidR="0033354E">
        <w:t xml:space="preserve">the </w:t>
      </w:r>
      <w:r w:rsidR="00953E33" w:rsidRPr="00F86C9A">
        <w:t xml:space="preserve">mathematical average of the monthly on-peak per </w:t>
      </w:r>
      <w:proofErr w:type="spellStart"/>
      <w:r w:rsidR="00953E33" w:rsidRPr="00F86C9A">
        <w:t>MWh</w:t>
      </w:r>
      <w:proofErr w:type="spellEnd"/>
      <w:r w:rsidR="00953E33" w:rsidRPr="00F86C9A">
        <w:t xml:space="preserve"> </w:t>
      </w:r>
      <w:r w:rsidR="0033354E">
        <w:t xml:space="preserve">strip </w:t>
      </w:r>
      <w:r w:rsidR="00953E33" w:rsidRPr="00F86C9A">
        <w:t xml:space="preserve">pricing for all </w:t>
      </w:r>
      <w:proofErr w:type="spellStart"/>
      <w:r w:rsidR="00953E33" w:rsidRPr="00F86C9A">
        <w:t>MWh</w:t>
      </w:r>
      <w:proofErr w:type="spellEnd"/>
      <w:r w:rsidR="00953E33" w:rsidRPr="00F86C9A">
        <w:t xml:space="preserve"> sold to customers during the six month time frame.  </w:t>
      </w:r>
      <w:proofErr w:type="gramStart"/>
      <w:r w:rsidR="00953E33" w:rsidRPr="00F86C9A">
        <w:t>CEW M.B. at 22.</w:t>
      </w:r>
      <w:proofErr w:type="gramEnd"/>
      <w:r w:rsidR="005B7449" w:rsidRPr="00F86C9A">
        <w:t xml:space="preserve">  The OCA argues that Section 2807(e</w:t>
      </w:r>
      <w:proofErr w:type="gramStart"/>
      <w:r w:rsidR="005B7449" w:rsidRPr="00F86C9A">
        <w:t>)(</w:t>
      </w:r>
      <w:proofErr w:type="gramEnd"/>
      <w:r w:rsidR="005B7449" w:rsidRPr="00F86C9A">
        <w:t xml:space="preserve">3.1) requires that electric power be procured through a competitive procurement process.  </w:t>
      </w:r>
      <w:proofErr w:type="gramStart"/>
      <w:r w:rsidR="005B7449" w:rsidRPr="00F86C9A">
        <w:t xml:space="preserve">OCA M.B. at 20, </w:t>
      </w:r>
      <w:r w:rsidR="005B7449" w:rsidRPr="00F86C9A">
        <w:rPr>
          <w:i/>
        </w:rPr>
        <w:t>citing</w:t>
      </w:r>
      <w:r w:rsidR="00EB308A">
        <w:t>, </w:t>
      </w:r>
      <w:r w:rsidR="005B7449" w:rsidRPr="00F86C9A">
        <w:t>66 Pa.C.S.</w:t>
      </w:r>
      <w:proofErr w:type="gramEnd"/>
      <w:r w:rsidR="005B7449" w:rsidRPr="00F86C9A">
        <w:t xml:space="preserve"> § 2807(e</w:t>
      </w:r>
      <w:proofErr w:type="gramStart"/>
      <w:r w:rsidR="005B7449" w:rsidRPr="00F86C9A">
        <w:t>)(</w:t>
      </w:r>
      <w:proofErr w:type="gramEnd"/>
      <w:r w:rsidR="005B7449" w:rsidRPr="00F86C9A">
        <w:t>3.1).  As noted above, Section 2807(e)(3.1) provides, in pertinent part, that “the electric power acquired shall be procured through competitive procurement processes and shall include one or more of the following: (i) Auctions, (ii) Requests for proposal</w:t>
      </w:r>
      <w:r w:rsidR="00382358" w:rsidRPr="00F86C9A">
        <w:t>,</w:t>
      </w:r>
      <w:r w:rsidR="005B7449" w:rsidRPr="00F86C9A">
        <w:t xml:space="preserve"> (iii) Bilateral agreements entered into at the sole discretion of the default service provider.”  </w:t>
      </w:r>
      <w:proofErr w:type="gramStart"/>
      <w:r w:rsidR="005B7449" w:rsidRPr="00F86C9A">
        <w:t>66 Pa.C.S.</w:t>
      </w:r>
      <w:proofErr w:type="gramEnd"/>
      <w:r w:rsidR="005B7449" w:rsidRPr="00F86C9A">
        <w:t xml:space="preserve"> § 2807(e</w:t>
      </w:r>
      <w:proofErr w:type="gramStart"/>
      <w:r w:rsidR="005B7449" w:rsidRPr="00F86C9A">
        <w:t>)(</w:t>
      </w:r>
      <w:proofErr w:type="gramEnd"/>
      <w:r w:rsidR="005B7449" w:rsidRPr="00F86C9A">
        <w:t>3.1)</w:t>
      </w:r>
      <w:r w:rsidR="00185149" w:rsidRPr="00F86C9A">
        <w:t>.</w:t>
      </w:r>
    </w:p>
    <w:p w:rsidR="00185149" w:rsidRPr="00F86C9A" w:rsidRDefault="00185149" w:rsidP="005B7449">
      <w:pPr>
        <w:pStyle w:val="ListParagraph"/>
        <w:spacing w:line="360" w:lineRule="auto"/>
        <w:ind w:left="0" w:firstLine="1440"/>
      </w:pPr>
    </w:p>
    <w:p w:rsidR="00343D90" w:rsidRPr="00F86C9A" w:rsidRDefault="00FF0C9D" w:rsidP="005B7449">
      <w:pPr>
        <w:pStyle w:val="ListParagraph"/>
        <w:spacing w:line="360" w:lineRule="auto"/>
        <w:ind w:left="0" w:firstLine="1440"/>
      </w:pPr>
      <w:r w:rsidRPr="00F86C9A">
        <w:t>T</w:t>
      </w:r>
      <w:r w:rsidR="00185149" w:rsidRPr="00F86C9A">
        <w:t>he Companies’ proposed procurement plan</w:t>
      </w:r>
      <w:r w:rsidRPr="00F86C9A">
        <w:t xml:space="preserve">, however, </w:t>
      </w:r>
      <w:r w:rsidR="00185149" w:rsidRPr="00F86C9A">
        <w:t>provides that, to implement the plan, the Companies developed a RFP to select the wholesale suppliers and a SMA to establish additional terms of service.  CEW M.B. at 9</w:t>
      </w:r>
      <w:r w:rsidRPr="00F86C9A">
        <w:t>-13</w:t>
      </w:r>
      <w:r w:rsidR="00185149" w:rsidRPr="00F86C9A">
        <w:t xml:space="preserve">.  CEW noted that it developed the RFP and SMA consistent with the Commission’s default service regulations and other applicable precedent.  </w:t>
      </w:r>
      <w:r w:rsidR="00185149" w:rsidRPr="00F86C9A">
        <w:rPr>
          <w:u w:val="single"/>
        </w:rPr>
        <w:t>Id.</w:t>
      </w:r>
      <w:r w:rsidR="00185149" w:rsidRPr="00F86C9A">
        <w:t xml:space="preserve"> at 9-10.  </w:t>
      </w:r>
      <w:r w:rsidRPr="00F86C9A">
        <w:t xml:space="preserve">The Companies further provided significant detail regarding the RFP.  </w:t>
      </w:r>
      <w:r w:rsidRPr="00F86C9A">
        <w:rPr>
          <w:u w:val="single"/>
        </w:rPr>
        <w:t>Id.</w:t>
      </w:r>
      <w:r w:rsidRPr="00F86C9A">
        <w:t xml:space="preserve">; </w:t>
      </w:r>
      <w:r w:rsidRPr="00F86C9A">
        <w:rPr>
          <w:i/>
        </w:rPr>
        <w:t>see also</w:t>
      </w:r>
      <w:r w:rsidRPr="00F86C9A">
        <w:t xml:space="preserve">, CEW St. No. 2 at 9-10.  Furthermore, in response to the OSBA’s position in this case, the Companies agreed to proceed with the bid selection process only if a minimum of three bids qualify for consideration.  </w:t>
      </w:r>
      <w:r w:rsidRPr="00F86C9A">
        <w:rPr>
          <w:u w:val="single"/>
        </w:rPr>
        <w:t>Id.</w:t>
      </w:r>
      <w:r w:rsidRPr="00F86C9A">
        <w:t xml:space="preserve"> at 11; </w:t>
      </w:r>
      <w:r w:rsidRPr="00F86C9A">
        <w:rPr>
          <w:i/>
        </w:rPr>
        <w:t>see also</w:t>
      </w:r>
      <w:r w:rsidR="005300E1">
        <w:t>, CEW St. No. 2-R at 2</w:t>
      </w:r>
      <w:r w:rsidR="00347D9C">
        <w:t>.</w:t>
      </w:r>
      <w:r w:rsidRPr="00F86C9A">
        <w:t xml:space="preserve"> </w:t>
      </w:r>
    </w:p>
    <w:p w:rsidR="00343D90" w:rsidRPr="00F86C9A" w:rsidRDefault="00343D90" w:rsidP="005B7449">
      <w:pPr>
        <w:pStyle w:val="ListParagraph"/>
        <w:spacing w:line="360" w:lineRule="auto"/>
        <w:ind w:left="0" w:firstLine="1440"/>
      </w:pPr>
    </w:p>
    <w:p w:rsidR="00185149" w:rsidRPr="00F86C9A" w:rsidRDefault="00FF0C9D" w:rsidP="005B7449">
      <w:pPr>
        <w:pStyle w:val="ListParagraph"/>
        <w:spacing w:line="360" w:lineRule="auto"/>
        <w:ind w:left="0" w:firstLine="1440"/>
      </w:pPr>
      <w:r w:rsidRPr="00F86C9A">
        <w:t xml:space="preserve">Although, as the OCA argued, the </w:t>
      </w:r>
      <w:r w:rsidR="002403E8" w:rsidRPr="00F86C9A">
        <w:t>RFP pertains to the Supplier Adder</w:t>
      </w:r>
      <w:r w:rsidR="00DC2A59" w:rsidRPr="00F86C9A">
        <w:t xml:space="preserve"> included in the Companies’ proposed procurement process</w:t>
      </w:r>
      <w:r w:rsidR="002403E8" w:rsidRPr="00F86C9A">
        <w:t xml:space="preserve">, </w:t>
      </w:r>
      <w:r w:rsidRPr="00F86C9A">
        <w:t>CEW has</w:t>
      </w:r>
      <w:r w:rsidR="00DC2A59" w:rsidRPr="00F86C9A">
        <w:t>, nonetheless,</w:t>
      </w:r>
      <w:r w:rsidRPr="00F86C9A">
        <w:t xml:space="preserve"> satisfied the requirements of Sectio</w:t>
      </w:r>
      <w:r w:rsidR="002403E8" w:rsidRPr="00F86C9A">
        <w:t>n 2807(e</w:t>
      </w:r>
      <w:proofErr w:type="gramStart"/>
      <w:r w:rsidR="002403E8" w:rsidRPr="00F86C9A">
        <w:t>)(</w:t>
      </w:r>
      <w:proofErr w:type="gramEnd"/>
      <w:r w:rsidR="002403E8" w:rsidRPr="00F86C9A">
        <w:t xml:space="preserve">3.1) by using </w:t>
      </w:r>
      <w:r w:rsidR="00DC2A59" w:rsidRPr="00F86C9A">
        <w:t xml:space="preserve">an </w:t>
      </w:r>
      <w:r w:rsidR="002403E8" w:rsidRPr="00F86C9A">
        <w:t xml:space="preserve">RFP as part of the </w:t>
      </w:r>
      <w:r w:rsidR="00DC2A59" w:rsidRPr="00F86C9A">
        <w:t>plan</w:t>
      </w:r>
      <w:r w:rsidR="002403E8" w:rsidRPr="00F86C9A">
        <w:t>.</w:t>
      </w:r>
      <w:r w:rsidR="00DC2A59" w:rsidRPr="00F86C9A">
        <w:t xml:space="preserve">  Section 2807(e</w:t>
      </w:r>
      <w:proofErr w:type="gramStart"/>
      <w:r w:rsidR="00DC2A59" w:rsidRPr="00F86C9A">
        <w:t>)(</w:t>
      </w:r>
      <w:proofErr w:type="gramEnd"/>
      <w:r w:rsidR="00DC2A59" w:rsidRPr="00F86C9A">
        <w:t>3.1) states that the process “… shall include one or more of the following…” and a request for proposal is included in the plan</w:t>
      </w:r>
      <w:r w:rsidR="00BD5B90" w:rsidRPr="00F86C9A">
        <w:t>, even if it is not included in the portion of the plan that the OCA desires</w:t>
      </w:r>
      <w:r w:rsidR="00DC2A59" w:rsidRPr="00F86C9A">
        <w:t>.</w:t>
      </w:r>
      <w:r w:rsidR="00343D90" w:rsidRPr="00F86C9A">
        <w:t xml:space="preserve">  The OCA has raised legitimate concerns about </w:t>
      </w:r>
      <w:r w:rsidR="004D6EC8">
        <w:t>CEW’s interpretation of Section </w:t>
      </w:r>
      <w:r w:rsidR="00343D90" w:rsidRPr="00F86C9A">
        <w:t>2807(e</w:t>
      </w:r>
      <w:proofErr w:type="gramStart"/>
      <w:r w:rsidR="00343D90" w:rsidRPr="00F86C9A">
        <w:t>)(</w:t>
      </w:r>
      <w:proofErr w:type="gramEnd"/>
      <w:r w:rsidR="00343D90" w:rsidRPr="00F86C9A">
        <w:t xml:space="preserve">3.1) when proposing this procurement plan by limiting the RFP to the Supplier Adder and the Companies should keep these concerns in mind </w:t>
      </w:r>
      <w:r w:rsidR="00E6251C" w:rsidRPr="00F86C9A">
        <w:t>when evaluating this DSP and proposing the next DSP</w:t>
      </w:r>
      <w:r w:rsidR="00343D90" w:rsidRPr="00F86C9A">
        <w:t>.  As Section 2807(e</w:t>
      </w:r>
      <w:proofErr w:type="gramStart"/>
      <w:r w:rsidR="00343D90" w:rsidRPr="00F86C9A">
        <w:t>)(</w:t>
      </w:r>
      <w:proofErr w:type="gramEnd"/>
      <w:r w:rsidR="00343D90" w:rsidRPr="00F86C9A">
        <w:t xml:space="preserve">3.1) is written, however, CEW’s proposed procurement plan </w:t>
      </w:r>
      <w:r w:rsidR="00347D9C">
        <w:t xml:space="preserve">does not violate </w:t>
      </w:r>
      <w:r w:rsidR="00343D90" w:rsidRPr="00F86C9A">
        <w:t>this portion of the Public Utility Code.</w:t>
      </w:r>
      <w:r w:rsidR="001573EB" w:rsidRPr="00F86C9A">
        <w:t xml:space="preserve">  The OCA’s concerns regarding this issue will be further mitigated given the modification to CEW’s proposed procurement process that will be recommended as part of this proceeding that gives the Companies flexibility when determining the specific date the six-month supply will be established, as noted above.</w:t>
      </w:r>
    </w:p>
    <w:p w:rsidR="00E6251C" w:rsidRPr="00F86C9A" w:rsidRDefault="00E6251C" w:rsidP="001965DE">
      <w:pPr>
        <w:pStyle w:val="ListParagraph"/>
        <w:spacing w:line="360" w:lineRule="auto"/>
        <w:ind w:left="0" w:firstLine="1440"/>
      </w:pPr>
    </w:p>
    <w:p w:rsidR="001965DE" w:rsidRPr="00F86C9A" w:rsidRDefault="001965DE" w:rsidP="001965DE">
      <w:pPr>
        <w:pStyle w:val="ListParagraph"/>
        <w:spacing w:line="360" w:lineRule="auto"/>
        <w:ind w:left="0" w:firstLine="1440"/>
      </w:pPr>
      <w:r w:rsidRPr="00F86C9A">
        <w:t xml:space="preserve">As such, </w:t>
      </w:r>
      <w:r w:rsidR="001E07EE" w:rsidRPr="00F86C9A">
        <w:t>the OCA’s argument that the Companies</w:t>
      </w:r>
      <w:r w:rsidR="00440C67">
        <w:t>’</w:t>
      </w:r>
      <w:r w:rsidR="001E07EE" w:rsidRPr="00F86C9A">
        <w:t xml:space="preserve"> proposed procurement plan should be rejected because it reduces wholesale competition for energy </w:t>
      </w:r>
      <w:r w:rsidR="00347D9C">
        <w:t>will be denied</w:t>
      </w:r>
      <w:r w:rsidR="001E07EE" w:rsidRPr="00F86C9A">
        <w:t>.  The plan includes a</w:t>
      </w:r>
      <w:r w:rsidR="00E96A67" w:rsidRPr="00F86C9A">
        <w:t>n</w:t>
      </w:r>
      <w:r w:rsidR="001E07EE" w:rsidRPr="00F86C9A">
        <w:t xml:space="preserve"> </w:t>
      </w:r>
      <w:r w:rsidR="00E96A67" w:rsidRPr="00F86C9A">
        <w:t xml:space="preserve">RFP </w:t>
      </w:r>
      <w:r w:rsidR="001E07EE" w:rsidRPr="00F86C9A">
        <w:t>and therefore complies with the Public Utility Code.</w:t>
      </w:r>
    </w:p>
    <w:p w:rsidR="001965DE" w:rsidRPr="00F86C9A" w:rsidRDefault="001965DE" w:rsidP="001965DE">
      <w:pPr>
        <w:pStyle w:val="ListParagraph"/>
        <w:spacing w:line="360" w:lineRule="auto"/>
        <w:ind w:left="0" w:firstLine="1440"/>
      </w:pPr>
    </w:p>
    <w:p w:rsidR="007F1C81" w:rsidRPr="00F86C9A" w:rsidRDefault="004E2E1D" w:rsidP="007F1C81">
      <w:pPr>
        <w:pStyle w:val="ListParagraph"/>
        <w:numPr>
          <w:ilvl w:val="0"/>
          <w:numId w:val="15"/>
        </w:numPr>
        <w:spacing w:line="360" w:lineRule="auto"/>
        <w:rPr>
          <w:u w:val="single"/>
        </w:rPr>
      </w:pPr>
      <w:r w:rsidRPr="00F86C9A">
        <w:rPr>
          <w:u w:val="single"/>
        </w:rPr>
        <w:t>Continuing Stratified Plan</w:t>
      </w:r>
      <w:r w:rsidRPr="00F86C9A">
        <w:t>.</w:t>
      </w:r>
    </w:p>
    <w:p w:rsidR="007F1C81" w:rsidRPr="00F86C9A" w:rsidRDefault="007F1C81" w:rsidP="007F1C81">
      <w:pPr>
        <w:spacing w:line="360" w:lineRule="auto"/>
        <w:ind w:firstLine="1440"/>
      </w:pPr>
    </w:p>
    <w:p w:rsidR="00520F8B" w:rsidRPr="00F86C9A" w:rsidRDefault="007F1C81" w:rsidP="00B85384">
      <w:pPr>
        <w:spacing w:line="360" w:lineRule="auto"/>
        <w:ind w:firstLine="1440"/>
      </w:pPr>
      <w:r w:rsidRPr="00F86C9A">
        <w:t xml:space="preserve">In response to the Companies’ proposed procurement plan, the OCA advocated that the Companies should continue to use the Stratified Plan because it compares favorably to other EDCs’ default service plans and works well in changing </w:t>
      </w:r>
      <w:r w:rsidR="005264F1">
        <w:t>market conditions.  OCA M.B. at </w:t>
      </w:r>
      <w:r w:rsidRPr="00F86C9A">
        <w:t>22-28</w:t>
      </w:r>
      <w:r w:rsidR="00804766" w:rsidRPr="00F86C9A">
        <w:t xml:space="preserve">; OCA R.B. at </w:t>
      </w:r>
      <w:r w:rsidR="002326CC" w:rsidRPr="00F86C9A">
        <w:t>3-7, 13-17</w:t>
      </w:r>
      <w:r w:rsidR="00520F8B" w:rsidRPr="00F86C9A">
        <w:t xml:space="preserve">.  The OCA argued that both the OCA’s witness and the Companies’ witnesses agree that the Stratified Plan works well.  </w:t>
      </w:r>
      <w:r w:rsidR="00520F8B" w:rsidRPr="00F86C9A">
        <w:rPr>
          <w:u w:val="single"/>
        </w:rPr>
        <w:t>Id.</w:t>
      </w:r>
      <w:r w:rsidR="004E2E1D" w:rsidRPr="00F86C9A">
        <w:t xml:space="preserve"> </w:t>
      </w:r>
      <w:r w:rsidR="00520F8B" w:rsidRPr="00F86C9A">
        <w:t xml:space="preserve">at 22, </w:t>
      </w:r>
      <w:r w:rsidR="00520F8B" w:rsidRPr="00F86C9A">
        <w:rPr>
          <w:i/>
        </w:rPr>
        <w:t>citing</w:t>
      </w:r>
      <w:r w:rsidR="00F93392">
        <w:t>, OCA St. 1 at </w:t>
      </w:r>
      <w:r w:rsidR="00520F8B" w:rsidRPr="00F86C9A">
        <w:t xml:space="preserve">11, CEW St. 1 at 8, CEW St. 2 at 6.  The OCA based this argument on the Companies’ performance on Commission-required benchmarks that show that the Companies’ 2010-2013 average rates have been lower than their neighboring utilities.  </w:t>
      </w:r>
      <w:proofErr w:type="gramStart"/>
      <w:r w:rsidR="00520F8B" w:rsidRPr="00F86C9A">
        <w:rPr>
          <w:u w:val="single"/>
        </w:rPr>
        <w:t>Id.</w:t>
      </w:r>
      <w:r w:rsidR="00520F8B" w:rsidRPr="00F86C9A">
        <w:t xml:space="preserve"> at 23, </w:t>
      </w:r>
      <w:r w:rsidR="00520F8B" w:rsidRPr="00F86C9A">
        <w:rPr>
          <w:i/>
        </w:rPr>
        <w:t>citing</w:t>
      </w:r>
      <w:r w:rsidR="00520F8B" w:rsidRPr="00F86C9A">
        <w:t>, OCA St. 2 at Exh.</w:t>
      </w:r>
      <w:proofErr w:type="gramEnd"/>
      <w:r w:rsidR="00520F8B" w:rsidRPr="00F86C9A">
        <w:t xml:space="preserve"> </w:t>
      </w:r>
      <w:proofErr w:type="gramStart"/>
      <w:r w:rsidR="00520F8B" w:rsidRPr="00F86C9A">
        <w:t>AEP-2.</w:t>
      </w:r>
      <w:proofErr w:type="gramEnd"/>
      <w:r w:rsidR="00520F8B" w:rsidRPr="00F86C9A">
        <w:t xml:space="preserve">  Furthermore, the OCA argued that any challenges to the Stratified Plan as a result of retail and wholesale developments can be managed under the Stratified Plan.  </w:t>
      </w:r>
      <w:r w:rsidR="00520F8B" w:rsidRPr="00F86C9A">
        <w:rPr>
          <w:u w:val="single"/>
        </w:rPr>
        <w:t>Id.</w:t>
      </w:r>
      <w:r w:rsidR="00520F8B" w:rsidRPr="00F86C9A">
        <w:t xml:space="preserve"> at 23-25.  In particular, the OCA argued that it is not proper to tie the low supplier participation to the Stratified Plan.  </w:t>
      </w:r>
      <w:proofErr w:type="gramStart"/>
      <w:r w:rsidR="00520F8B" w:rsidRPr="00F86C9A">
        <w:rPr>
          <w:u w:val="single"/>
        </w:rPr>
        <w:t>Id.</w:t>
      </w:r>
      <w:r w:rsidR="00520F8B" w:rsidRPr="00F86C9A">
        <w:t xml:space="preserve"> at 25, </w:t>
      </w:r>
      <w:r w:rsidR="00520F8B" w:rsidRPr="00F86C9A">
        <w:rPr>
          <w:i/>
        </w:rPr>
        <w:t>quoting</w:t>
      </w:r>
      <w:r w:rsidR="00520F8B" w:rsidRPr="00F86C9A">
        <w:t>, OCA St. No. 1 at 13.</w:t>
      </w:r>
      <w:proofErr w:type="gramEnd"/>
      <w:r w:rsidR="00520F8B" w:rsidRPr="00F86C9A">
        <w:t xml:space="preserve">  The OCA concluded that the benefits of the Stratified Plan continue to weigh in its favor and it should be approved for continuation in this case.  </w:t>
      </w:r>
      <w:proofErr w:type="gramStart"/>
      <w:r w:rsidR="00520F8B" w:rsidRPr="00F86C9A">
        <w:rPr>
          <w:u w:val="single"/>
        </w:rPr>
        <w:t>Id.</w:t>
      </w:r>
      <w:r w:rsidR="00520F8B" w:rsidRPr="00F86C9A">
        <w:t xml:space="preserve"> at 28.</w:t>
      </w:r>
      <w:proofErr w:type="gramEnd"/>
    </w:p>
    <w:p w:rsidR="00520F8B" w:rsidRPr="00F86C9A" w:rsidRDefault="00520F8B" w:rsidP="00B85384">
      <w:pPr>
        <w:spacing w:line="360" w:lineRule="auto"/>
        <w:ind w:firstLine="1440"/>
      </w:pPr>
    </w:p>
    <w:p w:rsidR="0036267A" w:rsidRPr="00F86C9A" w:rsidRDefault="00520F8B" w:rsidP="00B85384">
      <w:pPr>
        <w:spacing w:line="360" w:lineRule="auto"/>
        <w:ind w:firstLine="1440"/>
      </w:pPr>
      <w:r w:rsidRPr="00F86C9A">
        <w:t xml:space="preserve">Additionally, the </w:t>
      </w:r>
      <w:r w:rsidR="009D2532" w:rsidRPr="00F86C9A">
        <w:t>OCA advocated</w:t>
      </w:r>
      <w:r w:rsidR="00382358" w:rsidRPr="00F86C9A">
        <w:t xml:space="preserve"> </w:t>
      </w:r>
      <w:r w:rsidR="00CD2B5A" w:rsidRPr="00F86C9A">
        <w:t xml:space="preserve">that </w:t>
      </w:r>
      <w:r w:rsidR="009D2532" w:rsidRPr="00F86C9A">
        <w:t>if the Stratified Plan is terminated</w:t>
      </w:r>
      <w:r w:rsidR="00382358" w:rsidRPr="00F86C9A">
        <w:t xml:space="preserve">, in the alternative, </w:t>
      </w:r>
      <w:r w:rsidR="009D2532" w:rsidRPr="00F86C9A">
        <w:t xml:space="preserve">the Companies’ should use a fixed price Full Requirements procurement approach.  </w:t>
      </w:r>
      <w:r w:rsidR="00CD2B5A" w:rsidRPr="00F86C9A">
        <w:rPr>
          <w:u w:val="single"/>
        </w:rPr>
        <w:t>Id.</w:t>
      </w:r>
      <w:r w:rsidR="009D2532" w:rsidRPr="00F86C9A">
        <w:t xml:space="preserve"> at 28-29.</w:t>
      </w:r>
      <w:r w:rsidRPr="00F86C9A">
        <w:t xml:space="preserve">  </w:t>
      </w:r>
      <w:r w:rsidR="0036267A" w:rsidRPr="00F86C9A">
        <w:t xml:space="preserve">The OCA argued that, if the Commission agrees with the Companies that a change is appropriate, the Companies should implement a procurement plan that utilizes traditional fixed-price, </w:t>
      </w:r>
      <w:proofErr w:type="gramStart"/>
      <w:r w:rsidR="0036267A" w:rsidRPr="00F86C9A">
        <w:t>load</w:t>
      </w:r>
      <w:proofErr w:type="gramEnd"/>
      <w:r w:rsidR="0036267A" w:rsidRPr="00F86C9A">
        <w:t xml:space="preserve">-following full requirements contracts as </w:t>
      </w:r>
      <w:r w:rsidR="00347D9C">
        <w:t xml:space="preserve">discussed </w:t>
      </w:r>
      <w:r w:rsidR="0036267A" w:rsidRPr="00F86C9A">
        <w:t xml:space="preserve">in OCA witness Pereira’s testimony.  </w:t>
      </w:r>
      <w:proofErr w:type="gramStart"/>
      <w:r w:rsidR="0036267A" w:rsidRPr="00F86C9A">
        <w:rPr>
          <w:u w:val="single"/>
        </w:rPr>
        <w:t>Id.</w:t>
      </w:r>
      <w:r w:rsidR="0036267A" w:rsidRPr="00F86C9A">
        <w:t xml:space="preserve">, </w:t>
      </w:r>
      <w:r w:rsidR="0036267A" w:rsidRPr="00F86C9A">
        <w:rPr>
          <w:i/>
        </w:rPr>
        <w:t>quoting</w:t>
      </w:r>
      <w:r w:rsidR="0036267A" w:rsidRPr="00F86C9A">
        <w:t>, OCA St. 1 at 17-18.</w:t>
      </w:r>
      <w:proofErr w:type="gramEnd"/>
    </w:p>
    <w:p w:rsidR="0036267A" w:rsidRPr="00F86C9A" w:rsidRDefault="0036267A" w:rsidP="00B85384">
      <w:pPr>
        <w:spacing w:line="360" w:lineRule="auto"/>
        <w:ind w:firstLine="1440"/>
      </w:pPr>
    </w:p>
    <w:p w:rsidR="00520F8B" w:rsidRPr="00F86C9A" w:rsidRDefault="00520F8B" w:rsidP="00520F8B">
      <w:pPr>
        <w:spacing w:line="360" w:lineRule="auto"/>
        <w:ind w:firstLine="1440"/>
      </w:pPr>
      <w:r w:rsidRPr="00F86C9A">
        <w:t>In response to the OCA’s argument that the Stratified Plan should remain in place, the Companies argued</w:t>
      </w:r>
      <w:r w:rsidR="0036267A" w:rsidRPr="00F86C9A">
        <w:t xml:space="preserve"> </w:t>
      </w:r>
      <w:r w:rsidR="00D05024" w:rsidRPr="00F86C9A">
        <w:t>that the OCA’s proposals fail to balance the impacts of competitive shopping and the policy</w:t>
      </w:r>
      <w:r w:rsidR="002326CC" w:rsidRPr="00F86C9A">
        <w:t xml:space="preserve"> </w:t>
      </w:r>
      <w:r w:rsidR="00D05024" w:rsidRPr="00F86C9A">
        <w:t xml:space="preserve">goals set forth in the </w:t>
      </w:r>
      <w:r w:rsidR="002326CC" w:rsidRPr="00F86C9A">
        <w:t xml:space="preserve">recent </w:t>
      </w:r>
      <w:r w:rsidR="00D05024" w:rsidRPr="00F86C9A">
        <w:rPr>
          <w:u w:val="single"/>
        </w:rPr>
        <w:t>End State Order</w:t>
      </w:r>
      <w:r w:rsidR="00D05024" w:rsidRPr="00F86C9A">
        <w:t xml:space="preserve">.  CEW R.B. at 11-13.  In particular, CEW argued that continuation of the Stratified Plan would not place the Companies in a position to continue offering default service without subjecting customers to higher administrative costs and risk of load volatility.  </w:t>
      </w:r>
      <w:proofErr w:type="gramStart"/>
      <w:r w:rsidR="00D05024" w:rsidRPr="00F86C9A">
        <w:rPr>
          <w:u w:val="single"/>
        </w:rPr>
        <w:t>Id.</w:t>
      </w:r>
      <w:r w:rsidR="00D05024" w:rsidRPr="00F86C9A">
        <w:t xml:space="preserve"> at 12, </w:t>
      </w:r>
      <w:r w:rsidR="00D05024" w:rsidRPr="00F86C9A">
        <w:rPr>
          <w:i/>
        </w:rPr>
        <w:t>citing</w:t>
      </w:r>
      <w:r w:rsidR="00D05024" w:rsidRPr="00F86C9A">
        <w:t>, CEW M.B. at 40-41, 47.</w:t>
      </w:r>
      <w:proofErr w:type="gramEnd"/>
      <w:r w:rsidR="00D05024" w:rsidRPr="00F86C9A">
        <w:t xml:space="preserve">  CEW argued that “intervening circumstances during the DSP III period have changed the landscape for the Companies’ DSP IV.”  </w:t>
      </w:r>
      <w:r w:rsidR="00D05024" w:rsidRPr="00F86C9A">
        <w:rPr>
          <w:u w:val="single"/>
        </w:rPr>
        <w:t>Id.</w:t>
      </w:r>
      <w:r w:rsidR="00D05024" w:rsidRPr="00F86C9A">
        <w:t xml:space="preserve">  In addition to the expectation that competitive shopping would decrease the Companies’ default service load and erode the effectiveness of the Stratified Plan, CEW argued that the OCA fails to account for the administrative costs that would now be spread over a smaller default service load and that customers would “remain on the hook for the added ancillary costs through reconciliation adjustments.”  </w:t>
      </w:r>
      <w:r w:rsidR="00D05024" w:rsidRPr="00F86C9A">
        <w:rPr>
          <w:u w:val="single"/>
        </w:rPr>
        <w:t>Id.</w:t>
      </w:r>
      <w:r w:rsidR="00D05024" w:rsidRPr="00F86C9A">
        <w:t xml:space="preserve">  CEW added that the OCA misunderstands the impact of hedges targeted through the Stratified Plan and that the fixed Supplier Adder will not expose customers to ongoing load uncertainty.  </w:t>
      </w:r>
      <w:r w:rsidR="00D05024" w:rsidRPr="00F86C9A">
        <w:rPr>
          <w:u w:val="single"/>
        </w:rPr>
        <w:t>Id.</w:t>
      </w:r>
    </w:p>
    <w:p w:rsidR="006A0659" w:rsidRPr="00F86C9A" w:rsidRDefault="006A0659" w:rsidP="006A0659">
      <w:pPr>
        <w:pStyle w:val="ListParagraph"/>
        <w:spacing w:line="360" w:lineRule="auto"/>
        <w:ind w:left="0" w:firstLine="1440"/>
      </w:pPr>
    </w:p>
    <w:p w:rsidR="006A0659" w:rsidRPr="00F86C9A" w:rsidRDefault="006A0659" w:rsidP="00283738">
      <w:pPr>
        <w:pStyle w:val="ListParagraph"/>
        <w:spacing w:line="360" w:lineRule="auto"/>
        <w:ind w:left="0" w:firstLine="1440"/>
      </w:pPr>
      <w:r w:rsidRPr="00F86C9A">
        <w:t xml:space="preserve">The OSBA also responded to the OCA’s argument that the Stratified Plan should remain in place.  The OSBA stated that the Stratified Plan permits too much discretion with respect to the timing of the Companies’ procurements and that such discretion exposes default service customers to the risk of higher costs in the event that the portfolio manager makes a poor decision in its attempt to time the market.  </w:t>
      </w:r>
      <w:proofErr w:type="gramStart"/>
      <w:r w:rsidRPr="00F86C9A">
        <w:t>OSBA R</w:t>
      </w:r>
      <w:r w:rsidR="00283738" w:rsidRPr="00F86C9A">
        <w:t>.</w:t>
      </w:r>
      <w:r w:rsidRPr="00F86C9A">
        <w:t>B</w:t>
      </w:r>
      <w:r w:rsidR="00283738" w:rsidRPr="00F86C9A">
        <w:t>.</w:t>
      </w:r>
      <w:r w:rsidRPr="00F86C9A">
        <w:t xml:space="preserve"> at 7, </w:t>
      </w:r>
      <w:r w:rsidRPr="00F86C9A">
        <w:rPr>
          <w:i/>
        </w:rPr>
        <w:t>quoting</w:t>
      </w:r>
      <w:r w:rsidRPr="00F86C9A">
        <w:t>, OSBA St. No. 2 at 1.</w:t>
      </w:r>
      <w:proofErr w:type="gramEnd"/>
      <w:r w:rsidRPr="00F86C9A">
        <w:t xml:space="preserve">  The OSBA noted that it did not oppose the use of the Stratified Plan as the DSP III as long as the Companies were required to submit annual benchmark reports and that the Commission should also require the Companies to continue to submit annual benchmark reports consistent with prior Order</w:t>
      </w:r>
      <w:r w:rsidR="006830BE" w:rsidRPr="00F86C9A">
        <w:t>s</w:t>
      </w:r>
      <w:r w:rsidRPr="00F86C9A">
        <w:t xml:space="preserve"> if it decides to order the continuation of the Stratified Plan.  </w:t>
      </w:r>
      <w:proofErr w:type="gramStart"/>
      <w:r w:rsidRPr="00F86C9A">
        <w:rPr>
          <w:u w:val="single"/>
        </w:rPr>
        <w:t>Id.</w:t>
      </w:r>
      <w:r w:rsidRPr="00F86C9A">
        <w:t xml:space="preserve">, </w:t>
      </w:r>
      <w:r w:rsidRPr="00F86C9A">
        <w:rPr>
          <w:i/>
        </w:rPr>
        <w:t>citing</w:t>
      </w:r>
      <w:r w:rsidR="00C74428">
        <w:t>, OSBA St. No. 2 at </w:t>
      </w:r>
      <w:r w:rsidRPr="00F86C9A">
        <w:t>2.</w:t>
      </w:r>
      <w:proofErr w:type="gramEnd"/>
    </w:p>
    <w:p w:rsidR="006A0659" w:rsidRPr="00F86C9A" w:rsidRDefault="006A0659" w:rsidP="006A0659">
      <w:pPr>
        <w:pStyle w:val="ListParagraph"/>
        <w:spacing w:line="360" w:lineRule="auto"/>
        <w:ind w:left="0" w:firstLine="1440"/>
      </w:pPr>
    </w:p>
    <w:p w:rsidR="00B85384" w:rsidRPr="00F86C9A" w:rsidRDefault="00B85384" w:rsidP="00B85384">
      <w:pPr>
        <w:spacing w:line="360" w:lineRule="auto"/>
        <w:ind w:firstLine="1440"/>
      </w:pPr>
      <w:r w:rsidRPr="00F86C9A">
        <w:t>In response, the Companies argued</w:t>
      </w:r>
      <w:r w:rsidR="00D05024" w:rsidRPr="00F86C9A">
        <w:t xml:space="preserve"> that the OCA’s </w:t>
      </w:r>
      <w:r w:rsidR="00E17F34">
        <w:t xml:space="preserve">proposed </w:t>
      </w:r>
      <w:r w:rsidR="00D05024" w:rsidRPr="00F86C9A">
        <w:t xml:space="preserve">alternative would unreasonably increase the administrative burden of the plan.  </w:t>
      </w:r>
      <w:proofErr w:type="gramStart"/>
      <w:r w:rsidR="00283738" w:rsidRPr="00F86C9A">
        <w:t>CEW R.B.</w:t>
      </w:r>
      <w:r w:rsidR="00D05024" w:rsidRPr="00F86C9A">
        <w:t xml:space="preserve"> at 13.</w:t>
      </w:r>
      <w:proofErr w:type="gramEnd"/>
      <w:r w:rsidR="00D05024" w:rsidRPr="00F86C9A">
        <w:t xml:space="preserve">  </w:t>
      </w:r>
      <w:r w:rsidR="006A0659" w:rsidRPr="00F86C9A">
        <w:t xml:space="preserve">CEW argued that the OCA’s alternative proposal is not consistent with the Commission’s directive to offer market-reflective default service products, including the reliance on longer term energy products, and the increased administrative expenses necessary to support semi-annual solicitations.  </w:t>
      </w:r>
      <w:r w:rsidR="006A0659" w:rsidRPr="00F86C9A">
        <w:rPr>
          <w:u w:val="single"/>
        </w:rPr>
        <w:t>Id.</w:t>
      </w:r>
      <w:r w:rsidR="006A0659" w:rsidRPr="00F86C9A">
        <w:t xml:space="preserve">, </w:t>
      </w:r>
      <w:r w:rsidR="006A0659" w:rsidRPr="00F86C9A">
        <w:rPr>
          <w:i/>
        </w:rPr>
        <w:t>see also</w:t>
      </w:r>
      <w:r w:rsidR="006A0659" w:rsidRPr="00F86C9A">
        <w:t>, CEW M.B. at 42-44.  CEW reiterated that neither the Stratified Plan nor the alternative fixed-price procurement plan proposed by the OCA provide an ideal framework to move towards market reflect</w:t>
      </w:r>
      <w:r w:rsidR="00283738" w:rsidRPr="00F86C9A">
        <w:t>ive</w:t>
      </w:r>
      <w:r w:rsidR="006A0659" w:rsidRPr="00F86C9A">
        <w:t xml:space="preserve"> default service products but the Companies’ proposed procurement plan should be approved as an appropriate revision to the Companies’ current DSP.  </w:t>
      </w:r>
      <w:r w:rsidR="006A0659" w:rsidRPr="00F86C9A">
        <w:rPr>
          <w:u w:val="single"/>
        </w:rPr>
        <w:t>Id.</w:t>
      </w:r>
    </w:p>
    <w:p w:rsidR="00B85384" w:rsidRPr="00F86C9A" w:rsidRDefault="00B85384" w:rsidP="00B85384">
      <w:pPr>
        <w:pStyle w:val="ListParagraph"/>
        <w:spacing w:line="360" w:lineRule="auto"/>
        <w:ind w:left="0" w:firstLine="1440"/>
      </w:pPr>
    </w:p>
    <w:p w:rsidR="009551E9" w:rsidRPr="00F86C9A" w:rsidRDefault="00283738" w:rsidP="00B85384">
      <w:pPr>
        <w:pStyle w:val="ListParagraph"/>
        <w:spacing w:line="360" w:lineRule="auto"/>
        <w:ind w:left="0" w:firstLine="1440"/>
      </w:pPr>
      <w:r w:rsidRPr="00F86C9A">
        <w:t xml:space="preserve">The OCA’s proposal to maintain the Companies’ existing Stratified Plan or, in the alternative, direct the Companies to use a fixed price full requirements procurement approach, </w:t>
      </w:r>
      <w:r w:rsidR="007A6F69" w:rsidRPr="00F86C9A">
        <w:t xml:space="preserve">will not be </w:t>
      </w:r>
      <w:r w:rsidR="00382358" w:rsidRPr="00F86C9A">
        <w:t xml:space="preserve">recommended for implementation </w:t>
      </w:r>
      <w:r w:rsidR="007A6F69" w:rsidRPr="00F86C9A">
        <w:t>as part of this Decision</w:t>
      </w:r>
      <w:r w:rsidRPr="00F86C9A">
        <w:t xml:space="preserve">.  </w:t>
      </w:r>
      <w:r w:rsidR="00382358" w:rsidRPr="00F86C9A">
        <w:t xml:space="preserve">This </w:t>
      </w:r>
      <w:r w:rsidR="006830BE" w:rsidRPr="00F86C9A">
        <w:t>D</w:t>
      </w:r>
      <w:r w:rsidR="00382358" w:rsidRPr="00F86C9A">
        <w:t xml:space="preserve">ecision will recommend that the </w:t>
      </w:r>
      <w:r w:rsidRPr="00F86C9A">
        <w:t>Companies</w:t>
      </w:r>
      <w:r w:rsidR="005B7717" w:rsidRPr="00F86C9A">
        <w:t>’</w:t>
      </w:r>
      <w:r w:rsidRPr="00F86C9A">
        <w:t xml:space="preserve"> proposed procurement plan, as </w:t>
      </w:r>
      <w:r w:rsidR="00E17F34">
        <w:t xml:space="preserve">discussed above, be implemented because it </w:t>
      </w:r>
      <w:r w:rsidR="00BA2195" w:rsidRPr="00F86C9A">
        <w:t>is consistent with applicable law.  Therefore, as an initial matter, there is no need to maintain the existing Stratified Plan</w:t>
      </w:r>
      <w:r w:rsidR="009551E9" w:rsidRPr="00F86C9A">
        <w:t>,</w:t>
      </w:r>
      <w:r w:rsidR="00BA2195" w:rsidRPr="00F86C9A">
        <w:t xml:space="preserve"> or for an alternative proposal</w:t>
      </w:r>
      <w:r w:rsidR="009551E9" w:rsidRPr="00F86C9A">
        <w:t>, because the proposed procurement satisfies the Companies’ statutory obligations as a default service provider.</w:t>
      </w:r>
    </w:p>
    <w:p w:rsidR="009551E9" w:rsidRPr="00F86C9A" w:rsidRDefault="009551E9" w:rsidP="00B85384">
      <w:pPr>
        <w:pStyle w:val="ListParagraph"/>
        <w:spacing w:line="360" w:lineRule="auto"/>
        <w:ind w:left="0" w:firstLine="1440"/>
      </w:pPr>
    </w:p>
    <w:p w:rsidR="00C14727" w:rsidRPr="00F86C9A" w:rsidRDefault="00C14727" w:rsidP="00B85384">
      <w:pPr>
        <w:pStyle w:val="ListParagraph"/>
        <w:spacing w:line="360" w:lineRule="auto"/>
        <w:ind w:left="0" w:firstLine="1440"/>
      </w:pPr>
      <w:r w:rsidRPr="00F86C9A">
        <w:t xml:space="preserve">Both the OCA and CEW recognized that the Stratified Plan was appropriate under past and current conditions.  CEW M.B. at </w:t>
      </w:r>
      <w:r w:rsidR="005B7717" w:rsidRPr="00F86C9A">
        <w:t>14-16</w:t>
      </w:r>
      <w:r w:rsidRPr="00F86C9A">
        <w:t xml:space="preserve">; OCA M.B. at </w:t>
      </w:r>
      <w:r w:rsidR="005B7717" w:rsidRPr="00F86C9A">
        <w:t>22-28</w:t>
      </w:r>
      <w:r w:rsidRPr="00F86C9A">
        <w:t xml:space="preserve">, OCA R.B. at </w:t>
      </w:r>
      <w:r w:rsidR="005B7717" w:rsidRPr="00F86C9A">
        <w:t>3-5, 13-16</w:t>
      </w:r>
      <w:r w:rsidRPr="00F86C9A">
        <w:t xml:space="preserve">.  CEW, however, </w:t>
      </w:r>
      <w:r w:rsidR="00382358" w:rsidRPr="00F86C9A">
        <w:t xml:space="preserve">anticipates </w:t>
      </w:r>
      <w:r w:rsidRPr="00F86C9A">
        <w:t xml:space="preserve">that competitive shopping </w:t>
      </w:r>
      <w:r w:rsidR="00382358" w:rsidRPr="00F86C9A">
        <w:t xml:space="preserve">will </w:t>
      </w:r>
      <w:r w:rsidRPr="00F86C9A">
        <w:t xml:space="preserve">materialize in the Companies’ service territories.  </w:t>
      </w:r>
      <w:proofErr w:type="gramStart"/>
      <w:r w:rsidRPr="00F86C9A">
        <w:t>CEW M.B. at 16.</w:t>
      </w:r>
      <w:proofErr w:type="gramEnd"/>
      <w:r w:rsidRPr="00F86C9A">
        <w:t xml:space="preserve">  CEW noted:</w:t>
      </w:r>
    </w:p>
    <w:p w:rsidR="00C14727" w:rsidRPr="00F86C9A" w:rsidRDefault="00C14727" w:rsidP="00747C49">
      <w:pPr>
        <w:spacing w:line="360" w:lineRule="auto"/>
        <w:ind w:left="1440" w:right="1440"/>
      </w:pPr>
    </w:p>
    <w:p w:rsidR="00C14727" w:rsidRPr="00F86C9A" w:rsidRDefault="00C14727" w:rsidP="00D72C5E">
      <w:pPr>
        <w:ind w:left="1440" w:right="1440"/>
      </w:pPr>
      <w:r w:rsidRPr="00F86C9A">
        <w:t xml:space="preserve">As the Companies expect </w:t>
      </w:r>
      <w:r w:rsidR="00D72C5E" w:rsidRPr="00F86C9A">
        <w:t>EGSs to rapidly attract much of the Large C&amp;I load and eventually penetrate the Residential and Small C&amp;I markets, the Companies are concerned that continuation of the Stratified Plan would force remaining default service customers to pay increasingly high administrative costs and face reconciliation variability due to the decrease in default service load.</w:t>
      </w:r>
    </w:p>
    <w:p w:rsidR="00D72C5E" w:rsidRPr="00F86C9A" w:rsidRDefault="00D72C5E" w:rsidP="00D72C5E">
      <w:pPr>
        <w:ind w:left="1440" w:right="1440"/>
      </w:pPr>
    </w:p>
    <w:p w:rsidR="00D72C5E" w:rsidRPr="00F86C9A" w:rsidRDefault="00D72C5E" w:rsidP="00C14727">
      <w:pPr>
        <w:spacing w:line="360" w:lineRule="auto"/>
      </w:pPr>
      <w:r w:rsidRPr="00F86C9A">
        <w:rPr>
          <w:u w:val="single"/>
        </w:rPr>
        <w:t>Id.</w:t>
      </w:r>
      <w:r w:rsidRPr="00F86C9A">
        <w:t xml:space="preserve"> at 16-17.  The Companies further explained </w:t>
      </w:r>
      <w:r w:rsidR="008C5F30" w:rsidRPr="00F86C9A">
        <w:t>that, until recently, competitive shopping was virtually non-existent in the Companies</w:t>
      </w:r>
      <w:r w:rsidR="00273A52">
        <w:t>’</w:t>
      </w:r>
      <w:r w:rsidR="008C5F30" w:rsidRPr="00F86C9A">
        <w:t xml:space="preserve"> service territor</w:t>
      </w:r>
      <w:r w:rsidR="00273A52">
        <w:t>ies</w:t>
      </w:r>
      <w:r w:rsidR="008C5F30" w:rsidRPr="00F86C9A">
        <w:t xml:space="preserve"> but that two suppliers have become active during the current DSP period.  </w:t>
      </w:r>
      <w:proofErr w:type="gramStart"/>
      <w:r w:rsidR="008C5F30" w:rsidRPr="00F86C9A">
        <w:rPr>
          <w:u w:val="single"/>
        </w:rPr>
        <w:t>Id.</w:t>
      </w:r>
      <w:r w:rsidR="008C5F30" w:rsidRPr="00F86C9A">
        <w:t xml:space="preserve"> at 17.</w:t>
      </w:r>
      <w:proofErr w:type="gramEnd"/>
      <w:r w:rsidR="008C5F30" w:rsidRPr="00F86C9A">
        <w:t xml:space="preserve">  </w:t>
      </w:r>
      <w:r w:rsidR="00370B9E" w:rsidRPr="00F86C9A">
        <w:t>As a result, the Companies argued that “expanded EGS activity</w:t>
      </w:r>
      <w:r w:rsidR="004A6B4E" w:rsidRPr="00F86C9A">
        <w:t xml:space="preserve"> with</w:t>
      </w:r>
      <w:r w:rsidR="00382358" w:rsidRPr="00F86C9A">
        <w:t xml:space="preserve">in </w:t>
      </w:r>
      <w:r w:rsidR="004A6B4E" w:rsidRPr="00F86C9A">
        <w:t xml:space="preserve">the Companies’ service territories will erode the effectiveness of the Stratified Plan” because the default load will become unpredictable and “more difficult to accurately project block purchases that will be needed for the default service load.”  </w:t>
      </w:r>
      <w:proofErr w:type="gramStart"/>
      <w:r w:rsidR="004A6B4E" w:rsidRPr="00F86C9A">
        <w:rPr>
          <w:u w:val="single"/>
        </w:rPr>
        <w:t>Id.</w:t>
      </w:r>
      <w:r w:rsidR="004A6B4E" w:rsidRPr="00F86C9A">
        <w:t xml:space="preserve">, </w:t>
      </w:r>
      <w:r w:rsidR="004A6B4E" w:rsidRPr="00F86C9A">
        <w:rPr>
          <w:i/>
        </w:rPr>
        <w:t>quoting</w:t>
      </w:r>
      <w:r w:rsidR="004A6B4E" w:rsidRPr="00F86C9A">
        <w:t>, CEW St. No. 1 at 8.</w:t>
      </w:r>
      <w:proofErr w:type="gramEnd"/>
      <w:r w:rsidR="004A6B4E" w:rsidRPr="00F86C9A">
        <w:t xml:space="preserve">  </w:t>
      </w:r>
      <w:r w:rsidR="006D574C" w:rsidRPr="00F86C9A">
        <w:t xml:space="preserve">The Companies further demonstrated, among other things, that “the onset of competitive shopping exposes the Companies’ default service customers to the risk of settling overbought or </w:t>
      </w:r>
      <w:proofErr w:type="spellStart"/>
      <w:r w:rsidR="006D574C" w:rsidRPr="00F86C9A">
        <w:t>underbought</w:t>
      </w:r>
      <w:proofErr w:type="spellEnd"/>
      <w:r w:rsidR="006D574C" w:rsidRPr="00F86C9A">
        <w:t xml:space="preserve"> block purchases.”  </w:t>
      </w:r>
      <w:proofErr w:type="gramStart"/>
      <w:r w:rsidR="006D574C" w:rsidRPr="00F86C9A">
        <w:rPr>
          <w:u w:val="single"/>
        </w:rPr>
        <w:t>Id.</w:t>
      </w:r>
      <w:r w:rsidR="006D574C" w:rsidRPr="00F86C9A">
        <w:t xml:space="preserve"> at 18.</w:t>
      </w:r>
      <w:proofErr w:type="gramEnd"/>
    </w:p>
    <w:p w:rsidR="006D574C" w:rsidRPr="00F86C9A" w:rsidRDefault="006D574C" w:rsidP="00C14727">
      <w:pPr>
        <w:spacing w:line="360" w:lineRule="auto"/>
      </w:pPr>
    </w:p>
    <w:p w:rsidR="00862A21" w:rsidRPr="00F86C9A" w:rsidRDefault="006D574C" w:rsidP="00C14727">
      <w:pPr>
        <w:spacing w:line="360" w:lineRule="auto"/>
      </w:pPr>
      <w:r w:rsidRPr="00F86C9A">
        <w:tab/>
      </w:r>
      <w:r w:rsidRPr="00F86C9A">
        <w:tab/>
        <w:t xml:space="preserve">Additionally, CEW argued that </w:t>
      </w:r>
      <w:r w:rsidR="00CD2B5A" w:rsidRPr="00F86C9A">
        <w:t xml:space="preserve">the Stratified Plan may not adequately satisfy the Commission’s expectations, as set forth in the </w:t>
      </w:r>
      <w:r w:rsidR="00CD2B5A" w:rsidRPr="00F86C9A">
        <w:rPr>
          <w:u w:val="single"/>
        </w:rPr>
        <w:t>End State Order</w:t>
      </w:r>
      <w:r w:rsidR="00CD2B5A" w:rsidRPr="00F86C9A">
        <w:t xml:space="preserve">, for market-reflective DSPs.  </w:t>
      </w:r>
      <w:r w:rsidR="00CD2B5A" w:rsidRPr="00F86C9A">
        <w:rPr>
          <w:u w:val="single"/>
        </w:rPr>
        <w:t>Id.</w:t>
      </w:r>
      <w:r w:rsidR="00CD2B5A" w:rsidRPr="00F86C9A">
        <w:t xml:space="preserve"> at 18-19.  This includes concern expressed by the Commission with the effects of default service products purchased months or years in advance of delivery and the resulting effect of historical market conditions upon current default service pricing.  </w:t>
      </w:r>
      <w:proofErr w:type="gramStart"/>
      <w:r w:rsidR="00CD2B5A" w:rsidRPr="00F86C9A">
        <w:rPr>
          <w:u w:val="single"/>
        </w:rPr>
        <w:t>Id.</w:t>
      </w:r>
      <w:r w:rsidR="00CD2B5A" w:rsidRPr="00F86C9A">
        <w:t xml:space="preserve"> at 19, </w:t>
      </w:r>
      <w:r w:rsidR="00CD2B5A" w:rsidRPr="00F86C9A">
        <w:rPr>
          <w:i/>
        </w:rPr>
        <w:t>citing</w:t>
      </w:r>
      <w:r w:rsidR="00CD2B5A" w:rsidRPr="00F86C9A">
        <w:t xml:space="preserve">, </w:t>
      </w:r>
      <w:r w:rsidR="00CD2B5A" w:rsidRPr="00F86C9A">
        <w:rPr>
          <w:u w:val="single"/>
        </w:rPr>
        <w:t>End State Order</w:t>
      </w:r>
      <w:r w:rsidR="00CD2B5A" w:rsidRPr="00F86C9A">
        <w:t xml:space="preserve"> at 23-24.</w:t>
      </w:r>
      <w:proofErr w:type="gramEnd"/>
      <w:r w:rsidR="00CD2B5A" w:rsidRPr="00F86C9A">
        <w:t xml:space="preserve">  CEW argued that “although the Stratified Plan could potentially pass legal muster under the </w:t>
      </w:r>
      <w:r w:rsidR="00CD2B5A" w:rsidRPr="00F86C9A">
        <w:rPr>
          <w:u w:val="single"/>
        </w:rPr>
        <w:t>End State Order</w:t>
      </w:r>
      <w:r w:rsidR="00CD2B5A" w:rsidRPr="00F86C9A">
        <w:t xml:space="preserve">, … the Companies believe the Stratified Plan fails to adequately incorporate the Commission’s endorsement for short-term default service products, particularly in light of the suggested 90-day time frame for Residential and Small C&amp;I products.”  </w:t>
      </w:r>
      <w:r w:rsidR="00CD2B5A" w:rsidRPr="00F86C9A">
        <w:rPr>
          <w:u w:val="single"/>
        </w:rPr>
        <w:t>Id.</w:t>
      </w:r>
      <w:r w:rsidR="00CD2B5A" w:rsidRPr="00F86C9A">
        <w:t xml:space="preserve"> at 19-20; </w:t>
      </w:r>
      <w:r w:rsidR="00CD2B5A" w:rsidRPr="00F86C9A">
        <w:rPr>
          <w:i/>
        </w:rPr>
        <w:t>see also</w:t>
      </w:r>
      <w:r w:rsidR="00CD2B5A" w:rsidRPr="00F86C9A">
        <w:t xml:space="preserve">, CEW St. No. 2 at 6.  </w:t>
      </w:r>
      <w:r w:rsidR="00862A21" w:rsidRPr="00F86C9A">
        <w:t xml:space="preserve">As noted above, however, the Companies argue, in contrast, that the proposed procurement plan is “generally consistent with the Commission’s revised policy goals, but will necessitate approval of limited waivers to fully align with the </w:t>
      </w:r>
      <w:r w:rsidR="00862A21" w:rsidRPr="00F86C9A">
        <w:rPr>
          <w:u w:val="single"/>
        </w:rPr>
        <w:t>End State Order</w:t>
      </w:r>
      <w:r w:rsidR="00862A21" w:rsidRPr="00F86C9A">
        <w:t xml:space="preserve">.”  </w:t>
      </w:r>
      <w:proofErr w:type="gramStart"/>
      <w:r w:rsidR="00862A21" w:rsidRPr="00F86C9A">
        <w:rPr>
          <w:u w:val="single"/>
        </w:rPr>
        <w:t>Id.</w:t>
      </w:r>
      <w:r w:rsidR="00E9392D">
        <w:t xml:space="preserve"> at </w:t>
      </w:r>
      <w:r w:rsidR="00862A21" w:rsidRPr="00F86C9A">
        <w:t>21.</w:t>
      </w:r>
      <w:proofErr w:type="gramEnd"/>
    </w:p>
    <w:p w:rsidR="00862A21" w:rsidRPr="00F86C9A" w:rsidRDefault="00862A21" w:rsidP="00C14727">
      <w:pPr>
        <w:spacing w:line="360" w:lineRule="auto"/>
      </w:pPr>
    </w:p>
    <w:p w:rsidR="006D574C" w:rsidRPr="00F86C9A" w:rsidRDefault="006D574C" w:rsidP="006D574C">
      <w:pPr>
        <w:spacing w:line="360" w:lineRule="auto"/>
        <w:ind w:firstLine="1440"/>
      </w:pPr>
      <w:r w:rsidRPr="00F86C9A">
        <w:t>The Companies, therefore, concluded that the Stratified Plan should no longer be continued but that the proposed procurement plan addresses the emergence of competitive retail opportunities</w:t>
      </w:r>
      <w:r w:rsidR="00AD5152" w:rsidRPr="00F86C9A">
        <w:t xml:space="preserve"> and the policy goals of the Commission’s </w:t>
      </w:r>
      <w:r w:rsidR="00AD5152" w:rsidRPr="00F86C9A">
        <w:rPr>
          <w:u w:val="single"/>
        </w:rPr>
        <w:t>End State Order</w:t>
      </w:r>
      <w:r w:rsidR="00AD5152" w:rsidRPr="00F86C9A">
        <w:t>, while reflecting the smaller load and administrative resources of CEW.  I agree.</w:t>
      </w:r>
    </w:p>
    <w:p w:rsidR="005B7717" w:rsidRPr="00F86C9A" w:rsidRDefault="005B7717" w:rsidP="006D574C">
      <w:pPr>
        <w:spacing w:line="360" w:lineRule="auto"/>
        <w:ind w:firstLine="1440"/>
      </w:pPr>
    </w:p>
    <w:p w:rsidR="00A64CE8" w:rsidRPr="00F86C9A" w:rsidRDefault="005B7717" w:rsidP="0031091E">
      <w:pPr>
        <w:spacing w:line="360" w:lineRule="auto"/>
        <w:ind w:firstLine="1440"/>
      </w:pPr>
      <w:r w:rsidRPr="00F86C9A">
        <w:t xml:space="preserve">It is reasonable that the Companies would propose a new procurement plan different from what it had previously used in light of its expectation of increased competition within the Companies’ respective service territories.  </w:t>
      </w:r>
      <w:r w:rsidR="00125951" w:rsidRPr="00F86C9A">
        <w:t xml:space="preserve">The fact that the Stratified Plan has worked well in the past does not mean that the plan will work well from June 1, 2015 to May 31, 2018 as circumstances change.  </w:t>
      </w:r>
      <w:r w:rsidR="00045006" w:rsidRPr="00F86C9A">
        <w:t xml:space="preserve">As the Companies noted, </w:t>
      </w:r>
      <w:r w:rsidR="00A64CE8" w:rsidRPr="00F86C9A">
        <w:t xml:space="preserve">a large customer in Wellsboro’s service territory has indicated it was exploring competitive alternatives, CEW St. No. 1 at 5, and one EGS recently executed a Coordination Agreement for Citizens’ service territory and actively solicited large C&amp;I accounts there, CEW St. No. 2 at 5.  As of June 1, 2014, Large C&amp;I accounts had switched to the EGS representing 17.5% of Citizens’ total annual sales.  CEW St. No. 2 at 5.  Additionally, the Commission has directed EDCs to consider the incorporation of certain market enhancement programs to their DSPs in order to foster a more robust retail competitive market.  </w:t>
      </w:r>
      <w:proofErr w:type="gramStart"/>
      <w:r w:rsidR="00A64CE8" w:rsidRPr="00F86C9A">
        <w:rPr>
          <w:u w:val="single"/>
        </w:rPr>
        <w:t>End State Order</w:t>
      </w:r>
      <w:r w:rsidR="00A64CE8" w:rsidRPr="00F86C9A">
        <w:t>.</w:t>
      </w:r>
      <w:proofErr w:type="gramEnd"/>
      <w:r w:rsidR="00A64CE8" w:rsidRPr="00F86C9A">
        <w:t xml:space="preserve">  </w:t>
      </w:r>
      <w:r w:rsidR="00045006" w:rsidRPr="00F86C9A">
        <w:t>Furthermore, the proposed procurement plan</w:t>
      </w:r>
      <w:r w:rsidR="00D80FD9" w:rsidRPr="00F86C9A">
        <w:t>, as modified,</w:t>
      </w:r>
      <w:r w:rsidR="00045006" w:rsidRPr="00F86C9A">
        <w:t xml:space="preserve"> ensures the availability of adequate, reliable, affordable, efficient and environmentally sustainable electric service at the least cost taking into account any benefits of price stability over time</w:t>
      </w:r>
      <w:r w:rsidR="0031091E" w:rsidRPr="00F86C9A">
        <w:t>, as well as other applicable statutory law</w:t>
      </w:r>
      <w:r w:rsidR="00045006" w:rsidRPr="00F86C9A">
        <w:t>.</w:t>
      </w:r>
    </w:p>
    <w:p w:rsidR="00A64CE8" w:rsidRPr="00F86C9A" w:rsidRDefault="00A64CE8" w:rsidP="0031091E">
      <w:pPr>
        <w:spacing w:line="360" w:lineRule="auto"/>
        <w:ind w:firstLine="1440"/>
      </w:pPr>
    </w:p>
    <w:p w:rsidR="00AD5152" w:rsidRPr="00F86C9A" w:rsidRDefault="0031091E" w:rsidP="0031091E">
      <w:pPr>
        <w:spacing w:line="360" w:lineRule="auto"/>
        <w:ind w:firstLine="1440"/>
      </w:pPr>
      <w:r w:rsidRPr="00F86C9A">
        <w:t xml:space="preserve">In this instance, </w:t>
      </w:r>
      <w:r w:rsidR="00AD5152" w:rsidRPr="00F86C9A">
        <w:t xml:space="preserve">CEW should be commended for anticipating the changed circumstances and proactively attempting to provide a plan that will best meet the needs of the Companies and their customers over the next three years.  </w:t>
      </w:r>
      <w:r w:rsidR="008636A3" w:rsidRPr="00F86C9A">
        <w:t xml:space="preserve">CEW has recognized that the Stratified Plan may not be the best plan for the next DSP.  </w:t>
      </w:r>
      <w:r w:rsidRPr="00F86C9A">
        <w:t>Regardless, there is no need to continue with the Stratified Plan.</w:t>
      </w:r>
    </w:p>
    <w:p w:rsidR="00BA2195" w:rsidRPr="00F86C9A" w:rsidRDefault="00BA2195" w:rsidP="00B85384">
      <w:pPr>
        <w:pStyle w:val="ListParagraph"/>
        <w:spacing w:line="360" w:lineRule="auto"/>
        <w:ind w:left="0" w:firstLine="1440"/>
      </w:pPr>
    </w:p>
    <w:p w:rsidR="004B3D63" w:rsidRPr="00F86C9A" w:rsidRDefault="00BA2195" w:rsidP="00B85384">
      <w:pPr>
        <w:pStyle w:val="ListParagraph"/>
        <w:spacing w:line="360" w:lineRule="auto"/>
        <w:ind w:left="0" w:firstLine="1440"/>
      </w:pPr>
      <w:r w:rsidRPr="00F86C9A">
        <w:t xml:space="preserve">With regard to the OCA’s alternative proposal, </w:t>
      </w:r>
      <w:r w:rsidR="004B3D63" w:rsidRPr="00F86C9A">
        <w:t xml:space="preserve">as the OCA recognized in its Main Brief, </w:t>
      </w:r>
      <w:r w:rsidR="00DC5EDA" w:rsidRPr="00F86C9A">
        <w:t>a party th</w:t>
      </w:r>
      <w:r w:rsidR="00A26955">
        <w:t>a</w:t>
      </w:r>
      <w:r w:rsidR="00DC5EDA" w:rsidRPr="00F86C9A">
        <w:t xml:space="preserve">t offers a proposal not included in the original filing bears the burden of proof for such proposal.  </w:t>
      </w:r>
      <w:proofErr w:type="gramStart"/>
      <w:r w:rsidR="004B3D63" w:rsidRPr="00F86C9A">
        <w:t xml:space="preserve">OCA M.B. at 4, n. 5, </w:t>
      </w:r>
      <w:r w:rsidR="004B3D63" w:rsidRPr="00F86C9A">
        <w:rPr>
          <w:i/>
        </w:rPr>
        <w:t>citing</w:t>
      </w:r>
      <w:r w:rsidR="004B3D63" w:rsidRPr="00F86C9A">
        <w:t xml:space="preserve">, </w:t>
      </w:r>
      <w:r w:rsidR="004B3D63" w:rsidRPr="00F86C9A">
        <w:rPr>
          <w:u w:val="single"/>
        </w:rPr>
        <w:t>Metropolitan Edison</w:t>
      </w:r>
      <w:r w:rsidR="00014CE7" w:rsidRPr="00F86C9A">
        <w:t xml:space="preserve">, </w:t>
      </w:r>
      <w:r w:rsidR="00014CE7" w:rsidRPr="00F86C9A">
        <w:rPr>
          <w:i/>
        </w:rPr>
        <w:t>supra</w:t>
      </w:r>
      <w:r w:rsidR="004B3D63" w:rsidRPr="00F86C9A">
        <w:t>.</w:t>
      </w:r>
      <w:proofErr w:type="gramEnd"/>
      <w:r w:rsidR="004B3D63" w:rsidRPr="00F86C9A">
        <w:t xml:space="preserve">  As a result, the OCA has the burden of proving that its own proposal</w:t>
      </w:r>
      <w:r w:rsidR="00A64CE8" w:rsidRPr="00F86C9A">
        <w:t xml:space="preserve"> i</w:t>
      </w:r>
      <w:r w:rsidR="004B3D63" w:rsidRPr="00F86C9A">
        <w:t xml:space="preserve">s superior to </w:t>
      </w:r>
      <w:r w:rsidR="00A64CE8" w:rsidRPr="00F86C9A">
        <w:t>the procurement plan proposed by the Companies</w:t>
      </w:r>
      <w:r w:rsidR="004B3D63" w:rsidRPr="00F86C9A">
        <w:t xml:space="preserve">.  </w:t>
      </w:r>
      <w:r w:rsidR="004B3D63" w:rsidRPr="00F86C9A">
        <w:rPr>
          <w:u w:val="single"/>
        </w:rPr>
        <w:t>Id.</w:t>
      </w:r>
      <w:r w:rsidR="004B3D63" w:rsidRPr="00F86C9A">
        <w:t xml:space="preserve">  </w:t>
      </w:r>
      <w:r w:rsidR="00EA313E" w:rsidRPr="00F86C9A">
        <w:t xml:space="preserve">Furthermore, all decisions of the Commission must be supported by substantial evidence.  </w:t>
      </w:r>
      <w:proofErr w:type="gramStart"/>
      <w:r w:rsidR="00EA313E" w:rsidRPr="00F86C9A">
        <w:t>2 Pa.C.S.</w:t>
      </w:r>
      <w:proofErr w:type="gramEnd"/>
      <w:r w:rsidR="00EA313E" w:rsidRPr="00F86C9A">
        <w:t xml:space="preserve"> § 704.</w:t>
      </w:r>
    </w:p>
    <w:p w:rsidR="007A6F69" w:rsidRPr="00F86C9A" w:rsidRDefault="007A6F69" w:rsidP="00B85384">
      <w:pPr>
        <w:pStyle w:val="ListParagraph"/>
        <w:spacing w:line="360" w:lineRule="auto"/>
        <w:ind w:left="0" w:firstLine="1440"/>
      </w:pPr>
    </w:p>
    <w:p w:rsidR="004B3D63" w:rsidRPr="00F86C9A" w:rsidRDefault="00C6360F" w:rsidP="00B85384">
      <w:pPr>
        <w:pStyle w:val="ListParagraph"/>
        <w:spacing w:line="360" w:lineRule="auto"/>
        <w:ind w:left="0" w:firstLine="1440"/>
      </w:pPr>
      <w:r w:rsidRPr="00F86C9A">
        <w:t xml:space="preserve">In its Main Brief, the OCA stated that, if the Commission agrees with the Companies that a change is appropriate, the Companies should implement a procurement plan that utilizes traditional, fixed-price, load-following full requirements contracts as detailed in OCA witness Pereira’s Direct Testimony.  OCA M.B. at 28, </w:t>
      </w:r>
      <w:r w:rsidRPr="00F86C9A">
        <w:rPr>
          <w:i/>
        </w:rPr>
        <w:t>citing</w:t>
      </w:r>
      <w:r w:rsidRPr="00F86C9A">
        <w:t xml:space="preserve">, OCA St. 1 at 17-20.  Yet, the OCA </w:t>
      </w:r>
      <w:r w:rsidR="00951216" w:rsidRPr="00F86C9A">
        <w:t xml:space="preserve">provided </w:t>
      </w:r>
      <w:r w:rsidR="000874BA" w:rsidRPr="00F86C9A">
        <w:t xml:space="preserve">only </w:t>
      </w:r>
      <w:r w:rsidR="00951216" w:rsidRPr="00F86C9A">
        <w:t>two pages of testimony from its witness in support of its alternative proposal</w:t>
      </w:r>
      <w:r w:rsidR="00C16D2B">
        <w:t xml:space="preserve"> in insufficient detail necessary to adopt the proposed alternative</w:t>
      </w:r>
      <w:r w:rsidR="00951216" w:rsidRPr="00F86C9A">
        <w:t xml:space="preserve">.  Therefore, the OCA failed to provide </w:t>
      </w:r>
      <w:r w:rsidRPr="00F86C9A">
        <w:t>substantial evidence</w:t>
      </w:r>
      <w:r w:rsidR="00951216" w:rsidRPr="00F86C9A">
        <w:t xml:space="preserve"> in support of its alternative proposal and it will be rejected</w:t>
      </w:r>
      <w:r w:rsidRPr="00F86C9A">
        <w:t xml:space="preserve">.  </w:t>
      </w:r>
      <w:r w:rsidR="007A6F69" w:rsidRPr="00F86C9A">
        <w:t xml:space="preserve">The OCA, however, proposed as part of its alternative plan that the Companies should monitor market conditions near the trigger dates and be flexible in selecting a trigger date if market conditions appear to be turning unfavorable to minimize the chances for increased costs raised by the OCA regarding the Companies’ proposed procurement plan.  </w:t>
      </w:r>
      <w:r w:rsidR="007A6F69" w:rsidRPr="00F86C9A">
        <w:rPr>
          <w:u w:val="single"/>
        </w:rPr>
        <w:t>Id.</w:t>
      </w:r>
      <w:r w:rsidR="007A6F69" w:rsidRPr="00F86C9A">
        <w:t xml:space="preserve"> at 28-29.  As noted above, the Companies will be directed to implement that portion of the OCA’s alternative proposal as part of this Decision.</w:t>
      </w:r>
    </w:p>
    <w:p w:rsidR="00D4276B" w:rsidRPr="00F86C9A" w:rsidRDefault="00D4276B" w:rsidP="00B85384">
      <w:pPr>
        <w:pStyle w:val="ListParagraph"/>
        <w:spacing w:line="360" w:lineRule="auto"/>
        <w:ind w:left="0" w:firstLine="1440"/>
      </w:pPr>
    </w:p>
    <w:p w:rsidR="00BE5AE9" w:rsidRPr="00F86C9A" w:rsidRDefault="00BE5AE9" w:rsidP="00B85384">
      <w:pPr>
        <w:pStyle w:val="ListParagraph"/>
        <w:spacing w:line="360" w:lineRule="auto"/>
        <w:ind w:left="0" w:firstLine="1440"/>
      </w:pPr>
      <w:r w:rsidRPr="00F86C9A">
        <w:t xml:space="preserve">As such, </w:t>
      </w:r>
      <w:r w:rsidR="00AD5152" w:rsidRPr="00F86C9A">
        <w:t xml:space="preserve">the OCA’s position that CEW’s current Stratified Plan should be continued or, in the alternative, if the Stratified Plan is terminated, the Companies should use a fixed price full requirement procurement approach, </w:t>
      </w:r>
      <w:r w:rsidR="007A6F69" w:rsidRPr="00F86C9A">
        <w:t>will be rejected consistent with the above discussion</w:t>
      </w:r>
      <w:r w:rsidR="00AD5152" w:rsidRPr="00F86C9A">
        <w:t xml:space="preserve">.  The </w:t>
      </w:r>
      <w:r w:rsidR="004D50D4" w:rsidRPr="00F86C9A">
        <w:t>Companies have demonstrated that the proposed procurement plan</w:t>
      </w:r>
      <w:r w:rsidR="000874BA" w:rsidRPr="00F86C9A">
        <w:t>, as modified above,</w:t>
      </w:r>
      <w:r w:rsidR="004D50D4" w:rsidRPr="00F86C9A">
        <w:t xml:space="preserve"> is consistent with applicable statutes and Commission Orders and should be implemented.</w:t>
      </w:r>
    </w:p>
    <w:p w:rsidR="00370B9E" w:rsidRPr="00F86C9A" w:rsidRDefault="00370B9E" w:rsidP="00B85384">
      <w:pPr>
        <w:pStyle w:val="ListParagraph"/>
        <w:spacing w:line="360" w:lineRule="auto"/>
        <w:ind w:left="0" w:firstLine="1440"/>
      </w:pPr>
    </w:p>
    <w:p w:rsidR="00D56DA2" w:rsidRDefault="00D56DA2">
      <w:pPr>
        <w:autoSpaceDE/>
        <w:autoSpaceDN/>
        <w:rPr>
          <w:b/>
        </w:rPr>
      </w:pPr>
      <w:r>
        <w:rPr>
          <w:b/>
        </w:rPr>
        <w:br w:type="page"/>
      </w:r>
    </w:p>
    <w:p w:rsidR="0021386F" w:rsidRPr="00F86C9A" w:rsidRDefault="0021386F" w:rsidP="0021386F">
      <w:pPr>
        <w:pStyle w:val="ListParagraph"/>
        <w:numPr>
          <w:ilvl w:val="0"/>
          <w:numId w:val="10"/>
        </w:numPr>
        <w:spacing w:line="360" w:lineRule="auto"/>
        <w:rPr>
          <w:b/>
        </w:rPr>
      </w:pPr>
      <w:r w:rsidRPr="00F86C9A">
        <w:rPr>
          <w:b/>
        </w:rPr>
        <w:t>Requests for Waivers</w:t>
      </w:r>
    </w:p>
    <w:p w:rsidR="00370B9E" w:rsidRPr="00F86C9A" w:rsidRDefault="00370B9E" w:rsidP="00370B9E">
      <w:pPr>
        <w:spacing w:line="360" w:lineRule="auto"/>
        <w:ind w:firstLine="1440"/>
      </w:pPr>
    </w:p>
    <w:p w:rsidR="0021386F" w:rsidRPr="00F86C9A" w:rsidRDefault="00370B9E" w:rsidP="0021386F">
      <w:pPr>
        <w:pStyle w:val="ListParagraph"/>
        <w:spacing w:line="360" w:lineRule="auto"/>
        <w:ind w:left="0" w:firstLine="1440"/>
      </w:pPr>
      <w:r w:rsidRPr="00F86C9A">
        <w:t xml:space="preserve">In its Main Brief, the Companies requested that </w:t>
      </w:r>
      <w:r w:rsidR="00917617" w:rsidRPr="00F86C9A">
        <w:t xml:space="preserve">the Commission grant a waiver of </w:t>
      </w:r>
      <w:r w:rsidR="00715ABB" w:rsidRPr="00F86C9A">
        <w:t xml:space="preserve">several Commission regulations.  </w:t>
      </w:r>
      <w:r w:rsidR="0021386F" w:rsidRPr="00F86C9A">
        <w:t>The Companies’ request for waiver of certain Commission regulations will be granted because the requests are in the public interest and unopposed.</w:t>
      </w:r>
    </w:p>
    <w:p w:rsidR="00715ABB" w:rsidRPr="00F86C9A" w:rsidRDefault="00715ABB" w:rsidP="00370B9E">
      <w:pPr>
        <w:spacing w:line="360" w:lineRule="auto"/>
        <w:ind w:firstLine="1440"/>
      </w:pPr>
    </w:p>
    <w:p w:rsidR="00715ABB" w:rsidRPr="00F86C9A" w:rsidRDefault="0021386F" w:rsidP="00370B9E">
      <w:pPr>
        <w:spacing w:line="360" w:lineRule="auto"/>
        <w:ind w:firstLine="1440"/>
      </w:pPr>
      <w:r w:rsidRPr="00F86C9A">
        <w:t>T</w:t>
      </w:r>
      <w:r w:rsidR="00715ABB" w:rsidRPr="00F86C9A">
        <w:t xml:space="preserve">he Companies requested </w:t>
      </w:r>
      <w:r w:rsidR="000874BA" w:rsidRPr="00F86C9A">
        <w:t xml:space="preserve">a </w:t>
      </w:r>
      <w:r w:rsidR="00715ABB" w:rsidRPr="00F86C9A">
        <w:t>waiver of a</w:t>
      </w:r>
      <w:r w:rsidR="00917617" w:rsidRPr="00F86C9A">
        <w:t xml:space="preserve">ny requirement to implement Instant Connects or Seamless Moves pending the Companies’ implementation of EDI software.  CEW M.B. at 36-37.  CEW argued that new RME directives from the </w:t>
      </w:r>
      <w:r w:rsidR="00917617" w:rsidRPr="00F86C9A">
        <w:rPr>
          <w:u w:val="single"/>
        </w:rPr>
        <w:t>End State Order</w:t>
      </w:r>
      <w:r w:rsidR="00917617" w:rsidRPr="00F86C9A">
        <w:t xml:space="preserve"> conflict with prior Orders waiving the Companies’ obligation to install EDI software in the service territories and that the Commission previously granted an Order alleviating each Company of the obligation to install EDI software until competitive shopping became prevalent in each service territory.  </w:t>
      </w:r>
      <w:r w:rsidR="00917617" w:rsidRPr="00F86C9A">
        <w:rPr>
          <w:u w:val="single"/>
        </w:rPr>
        <w:t>Id.</w:t>
      </w:r>
      <w:r w:rsidR="00917617" w:rsidRPr="00F86C9A">
        <w:t xml:space="preserve"> (citation omitted).  </w:t>
      </w:r>
      <w:r w:rsidR="00432AD0" w:rsidRPr="00F86C9A">
        <w:t>CEW noted that the prior wai</w:t>
      </w:r>
      <w:r w:rsidR="00A26955">
        <w:t>ver would remain in place until </w:t>
      </w:r>
      <w:r w:rsidR="00432AD0" w:rsidRPr="00F86C9A">
        <w:t xml:space="preserve">25% of customers in either service territory switched to competitive retail.  </w:t>
      </w:r>
      <w:proofErr w:type="gramStart"/>
      <w:r w:rsidR="00432AD0" w:rsidRPr="00F86C9A">
        <w:rPr>
          <w:u w:val="single"/>
        </w:rPr>
        <w:t>Id.</w:t>
      </w:r>
      <w:r w:rsidR="00432AD0" w:rsidRPr="00F86C9A">
        <w:t xml:space="preserve"> at 37, </w:t>
      </w:r>
      <w:r w:rsidR="00432AD0" w:rsidRPr="00F86C9A">
        <w:rPr>
          <w:i/>
        </w:rPr>
        <w:t>citing</w:t>
      </w:r>
      <w:r w:rsidR="00432AD0" w:rsidRPr="00F86C9A">
        <w:t>, CEW St. No. 1 at 11.</w:t>
      </w:r>
      <w:proofErr w:type="gramEnd"/>
      <w:r w:rsidR="00432AD0" w:rsidRPr="00F86C9A">
        <w:t xml:space="preserve">  CEW added that both Seamless Moves and Instant Connects are predicated on operational EDI software and that the Companies should be exempt from such programs until the EDI software has been implemented.  </w:t>
      </w:r>
      <w:r w:rsidR="00432AD0" w:rsidRPr="00F86C9A">
        <w:rPr>
          <w:u w:val="single"/>
        </w:rPr>
        <w:t>Id.</w:t>
      </w:r>
      <w:r w:rsidR="00432AD0" w:rsidRPr="00F86C9A">
        <w:t xml:space="preserve">  In this case, CEW requests a waiver of any current requirement to file an Instant Connects or Seamless Moves Plan.  </w:t>
      </w:r>
      <w:r w:rsidR="00715ABB" w:rsidRPr="00F86C9A">
        <w:t xml:space="preserve">The Companies also requested waiver of </w:t>
      </w:r>
      <w:r w:rsidR="000874BA" w:rsidRPr="00F86C9A">
        <w:t xml:space="preserve">other </w:t>
      </w:r>
      <w:r w:rsidR="00715ABB" w:rsidRPr="00F86C9A">
        <w:t xml:space="preserve">regulations necessary to implement the proposed procurement plan.  </w:t>
      </w:r>
      <w:r w:rsidR="00432AD0" w:rsidRPr="00F86C9A">
        <w:rPr>
          <w:i/>
        </w:rPr>
        <w:t>See</w:t>
      </w:r>
      <w:r w:rsidR="00432AD0" w:rsidRPr="00F86C9A">
        <w:t>, CEW M.B. at App. A</w:t>
      </w:r>
      <w:r w:rsidR="00715ABB" w:rsidRPr="00F86C9A">
        <w:t xml:space="preserve"> (52 Pa.Code §§ 54.186(c</w:t>
      </w:r>
      <w:proofErr w:type="gramStart"/>
      <w:r w:rsidR="00715ABB" w:rsidRPr="00F86C9A">
        <w:t>)(</w:t>
      </w:r>
      <w:proofErr w:type="gramEnd"/>
      <w:r w:rsidR="00715ABB" w:rsidRPr="00F86C9A">
        <w:t>2), 54</w:t>
      </w:r>
      <w:r w:rsidR="000E4ECB">
        <w:t>.187(j), 54.188(e)(2), 69.1804, </w:t>
      </w:r>
      <w:r w:rsidR="00715ABB" w:rsidRPr="00F86C9A">
        <w:t>69.1809)</w:t>
      </w:r>
      <w:r w:rsidR="005E2752">
        <w:t>.</w:t>
      </w:r>
    </w:p>
    <w:p w:rsidR="00715ABB" w:rsidRPr="00F86C9A" w:rsidRDefault="00715ABB" w:rsidP="00370B9E">
      <w:pPr>
        <w:spacing w:line="360" w:lineRule="auto"/>
        <w:ind w:firstLine="1440"/>
      </w:pPr>
    </w:p>
    <w:p w:rsidR="00715ABB" w:rsidRPr="00F86C9A" w:rsidRDefault="00715ABB" w:rsidP="00715ABB">
      <w:pPr>
        <w:spacing w:line="360" w:lineRule="auto"/>
        <w:ind w:firstLine="1440"/>
      </w:pPr>
      <w:r w:rsidRPr="00F86C9A">
        <w:t xml:space="preserve">No party opposed the requested waivers beyond the </w:t>
      </w:r>
      <w:r w:rsidR="00C16D2B">
        <w:t xml:space="preserve">general </w:t>
      </w:r>
      <w:r w:rsidRPr="00F86C9A">
        <w:t>opposition to the implementation of the proposed p</w:t>
      </w:r>
      <w:r w:rsidR="00C16D2B">
        <w:t>rocurement plan discussed above</w:t>
      </w:r>
      <w:r w:rsidRPr="00F86C9A">
        <w:t>.</w:t>
      </w:r>
    </w:p>
    <w:p w:rsidR="00715ABB" w:rsidRPr="00F86C9A" w:rsidRDefault="00715ABB" w:rsidP="00370B9E">
      <w:pPr>
        <w:spacing w:line="360" w:lineRule="auto"/>
        <w:ind w:firstLine="1440"/>
      </w:pPr>
    </w:p>
    <w:p w:rsidR="006A6C9C" w:rsidRPr="00F86C9A" w:rsidRDefault="006A6C9C" w:rsidP="00370B9E">
      <w:pPr>
        <w:spacing w:line="360" w:lineRule="auto"/>
        <w:ind w:firstLine="1440"/>
      </w:pPr>
      <w:r w:rsidRPr="00F86C9A">
        <w:t>Section 5</w:t>
      </w:r>
      <w:r w:rsidR="000874BA" w:rsidRPr="00F86C9A">
        <w:t>4</w:t>
      </w:r>
      <w:r w:rsidRPr="00F86C9A">
        <w:t>.</w:t>
      </w:r>
      <w:r w:rsidR="00817AFC" w:rsidRPr="00F86C9A">
        <w:t>185</w:t>
      </w:r>
      <w:r w:rsidRPr="00F86C9A">
        <w:t xml:space="preserve"> of the Commission’s regulations governs requests for waiver</w:t>
      </w:r>
      <w:r w:rsidR="00817AFC" w:rsidRPr="00F86C9A">
        <w:t>s</w:t>
      </w:r>
      <w:r w:rsidRPr="00F86C9A">
        <w:t xml:space="preserve"> of </w:t>
      </w:r>
      <w:r w:rsidR="00817AFC" w:rsidRPr="00F86C9A">
        <w:t>default service plans</w:t>
      </w:r>
      <w:r w:rsidRPr="00F86C9A">
        <w:t>.  This Section provides:</w:t>
      </w:r>
    </w:p>
    <w:p w:rsidR="006A6C9C" w:rsidRPr="00F86C9A" w:rsidRDefault="006A6C9C" w:rsidP="006A6C9C">
      <w:pPr>
        <w:spacing w:line="360" w:lineRule="auto"/>
      </w:pPr>
    </w:p>
    <w:p w:rsidR="006A6C9C" w:rsidRPr="00F86C9A" w:rsidRDefault="006A6C9C" w:rsidP="00817AFC">
      <w:pPr>
        <w:ind w:left="1440" w:right="1440"/>
      </w:pPr>
      <w:r w:rsidRPr="00F86C9A">
        <w:rPr>
          <w:b/>
        </w:rPr>
        <w:t>§ 5</w:t>
      </w:r>
      <w:r w:rsidR="00817AFC" w:rsidRPr="00F86C9A">
        <w:rPr>
          <w:b/>
        </w:rPr>
        <w:t>4.185.  Default service programs and periods of service.</w:t>
      </w:r>
    </w:p>
    <w:p w:rsidR="006A6C9C" w:rsidRPr="00F86C9A" w:rsidRDefault="006A6C9C" w:rsidP="00817AFC">
      <w:pPr>
        <w:ind w:left="1440" w:right="1440"/>
      </w:pPr>
    </w:p>
    <w:p w:rsidR="00817AFC" w:rsidRPr="00F86C9A" w:rsidRDefault="00817AFC" w:rsidP="00817AFC">
      <w:pPr>
        <w:pStyle w:val="ListParagraph"/>
        <w:numPr>
          <w:ilvl w:val="0"/>
          <w:numId w:val="17"/>
        </w:numPr>
        <w:ind w:left="1440" w:right="1440" w:firstLine="0"/>
      </w:pPr>
      <w:r w:rsidRPr="00F86C9A">
        <w:t>DSPs shall include requests for waivers from the provisions of this subchapter in their default service program filings.  For DSPs with less than 50,000 retail customers, the Commission will grant waivers to the extent necessary to reduce the regulatory, financial or technical burden on the DSP or to the extent otherwise in the public interest.</w:t>
      </w:r>
    </w:p>
    <w:p w:rsidR="006A6C9C" w:rsidRPr="00F86C9A" w:rsidRDefault="006A6C9C" w:rsidP="00EA254B"/>
    <w:p w:rsidR="006A6C9C" w:rsidRPr="00F86C9A" w:rsidRDefault="006A6C9C" w:rsidP="006A6C9C">
      <w:pPr>
        <w:spacing w:line="360" w:lineRule="auto"/>
      </w:pPr>
      <w:r w:rsidRPr="00F86C9A">
        <w:t xml:space="preserve">52 Pa.Code </w:t>
      </w:r>
      <w:r w:rsidR="00817AFC" w:rsidRPr="00F86C9A">
        <w:t>§ 54.185(g)</w:t>
      </w:r>
      <w:r w:rsidRPr="00F86C9A">
        <w:t xml:space="preserve">; </w:t>
      </w:r>
      <w:r w:rsidRPr="00F86C9A">
        <w:rPr>
          <w:i/>
        </w:rPr>
        <w:t>see also</w:t>
      </w:r>
      <w:r w:rsidRPr="00F86C9A">
        <w:t xml:space="preserve">, </w:t>
      </w:r>
      <w:r w:rsidRPr="00F86C9A">
        <w:rPr>
          <w:u w:val="single"/>
        </w:rPr>
        <w:t>Petition of Pike County Light and Power Company for Approval of its Default Service Implementation Plan for the Per</w:t>
      </w:r>
      <w:r w:rsidR="00EA254B">
        <w:rPr>
          <w:u w:val="single"/>
        </w:rPr>
        <w:t>iod of June 1, 2014 through May 31, </w:t>
      </w:r>
      <w:r w:rsidRPr="00F86C9A">
        <w:rPr>
          <w:u w:val="single"/>
        </w:rPr>
        <w:t>2016</w:t>
      </w:r>
      <w:r w:rsidRPr="00F86C9A">
        <w:t xml:space="preserve">, Docket No. </w:t>
      </w:r>
      <w:proofErr w:type="gramStart"/>
      <w:r w:rsidRPr="00F86C9A">
        <w:t xml:space="preserve">P-2013-2371666, </w:t>
      </w:r>
      <w:r w:rsidR="00817AFC" w:rsidRPr="00F86C9A">
        <w:t>Recommended Decisi</w:t>
      </w:r>
      <w:r w:rsidR="00EA254B">
        <w:t>on (dated Jan. 3, 2014); 52 Pa.</w:t>
      </w:r>
      <w:r w:rsidR="00817AFC" w:rsidRPr="00F86C9A">
        <w:t>Code § 5.43(a) (Petitions for issuance, amendment, repeal or waiver of Commission regulations).</w:t>
      </w:r>
      <w:proofErr w:type="gramEnd"/>
    </w:p>
    <w:p w:rsidR="00370B9E" w:rsidRPr="00F86C9A" w:rsidRDefault="00370B9E" w:rsidP="00370B9E">
      <w:pPr>
        <w:spacing w:line="360" w:lineRule="auto"/>
        <w:ind w:firstLine="1440"/>
      </w:pPr>
    </w:p>
    <w:p w:rsidR="00AE693E" w:rsidRPr="00F86C9A" w:rsidRDefault="00AE693E" w:rsidP="00370B9E">
      <w:pPr>
        <w:spacing w:line="360" w:lineRule="auto"/>
        <w:ind w:firstLine="1440"/>
      </w:pPr>
      <w:r w:rsidRPr="00F86C9A">
        <w:t xml:space="preserve">In this case, </w:t>
      </w:r>
      <w:r w:rsidR="00715ABB" w:rsidRPr="00F86C9A">
        <w:t>the Companies’ proposed procurement plan will be recommended for adoption as discussed above.  As a result, the requested waivers are in the public interest in order to effectuate implementation of the proposed procurement plan.  In particular, the Commission has previously granted CEW’s request for waiver of its obligation to implement the Instant Connects or Seamless Moves Plan until 25% of customers in either service territory switched to competitive retail.  As the Companies have not yet reached that 25% threshold, it is reasonable to allow those waivers to remain in place.</w:t>
      </w:r>
    </w:p>
    <w:p w:rsidR="00370B9E" w:rsidRPr="00F86C9A" w:rsidRDefault="00370B9E" w:rsidP="00370B9E">
      <w:pPr>
        <w:spacing w:line="360" w:lineRule="auto"/>
        <w:ind w:firstLine="1440"/>
      </w:pPr>
    </w:p>
    <w:p w:rsidR="003E3AEC" w:rsidRDefault="00370B9E" w:rsidP="00D56DA2">
      <w:pPr>
        <w:spacing w:line="360" w:lineRule="auto"/>
        <w:ind w:firstLine="1440"/>
      </w:pPr>
      <w:r w:rsidRPr="00F86C9A">
        <w:t xml:space="preserve">As such, </w:t>
      </w:r>
      <w:r w:rsidR="00FB6B4E" w:rsidRPr="00F86C9A">
        <w:t>CEW’s request for waivers of various Commission regulations will be granted because the request is unopposed and in the public interest.</w:t>
      </w:r>
    </w:p>
    <w:p w:rsidR="00D56DA2" w:rsidRDefault="00D56DA2" w:rsidP="00D56DA2">
      <w:pPr>
        <w:spacing w:line="360" w:lineRule="auto"/>
        <w:ind w:firstLine="1440"/>
        <w:rPr>
          <w:b/>
        </w:rPr>
      </w:pPr>
    </w:p>
    <w:p w:rsidR="00B42189" w:rsidRPr="00F86C9A" w:rsidRDefault="00B42189" w:rsidP="00B42189">
      <w:pPr>
        <w:pStyle w:val="Heading1"/>
        <w:numPr>
          <w:ilvl w:val="0"/>
          <w:numId w:val="0"/>
        </w:numPr>
        <w:spacing w:before="0" w:line="360" w:lineRule="auto"/>
        <w:jc w:val="center"/>
        <w:rPr>
          <w:rFonts w:ascii="Times New Roman" w:hAnsi="Times New Roman" w:cs="Times New Roman"/>
          <w:b w:val="0"/>
          <w:color w:val="auto"/>
          <w:sz w:val="24"/>
          <w:szCs w:val="24"/>
          <w:u w:val="single"/>
        </w:rPr>
      </w:pPr>
      <w:r w:rsidRPr="00F86C9A">
        <w:rPr>
          <w:rFonts w:ascii="Times New Roman" w:hAnsi="Times New Roman" w:cs="Times New Roman"/>
          <w:b w:val="0"/>
          <w:color w:val="auto"/>
          <w:sz w:val="24"/>
          <w:szCs w:val="24"/>
        </w:rPr>
        <w:t>V.</w:t>
      </w:r>
      <w:r w:rsidRPr="00F86C9A">
        <w:rPr>
          <w:rFonts w:ascii="Times New Roman" w:hAnsi="Times New Roman" w:cs="Times New Roman"/>
          <w:b w:val="0"/>
          <w:color w:val="auto"/>
          <w:sz w:val="24"/>
          <w:szCs w:val="24"/>
        </w:rPr>
        <w:tab/>
      </w:r>
      <w:r w:rsidRPr="00F86C9A">
        <w:rPr>
          <w:rFonts w:ascii="Times New Roman" w:hAnsi="Times New Roman" w:cs="Times New Roman"/>
          <w:b w:val="0"/>
          <w:color w:val="auto"/>
          <w:sz w:val="24"/>
          <w:szCs w:val="24"/>
          <w:u w:val="single"/>
        </w:rPr>
        <w:t>CONCLUSION</w:t>
      </w:r>
    </w:p>
    <w:p w:rsidR="00B42189" w:rsidRPr="00F86C9A" w:rsidRDefault="00B42189" w:rsidP="00B42189">
      <w:pPr>
        <w:spacing w:line="360" w:lineRule="auto"/>
      </w:pPr>
    </w:p>
    <w:p w:rsidR="00770F06" w:rsidRPr="00F86C9A" w:rsidRDefault="00315BE6" w:rsidP="00315BE6">
      <w:pPr>
        <w:spacing w:line="360" w:lineRule="auto"/>
        <w:ind w:firstLine="1440"/>
      </w:pPr>
      <w:r w:rsidRPr="00F86C9A">
        <w:t xml:space="preserve">In conclusion, CEW’s proposed procurement plan will be recommended for </w:t>
      </w:r>
      <w:r w:rsidR="0021386F" w:rsidRPr="00F86C9A">
        <w:t xml:space="preserve">approval, </w:t>
      </w:r>
      <w:r w:rsidR="000874BA" w:rsidRPr="00F86C9A">
        <w:t>as modified</w:t>
      </w:r>
      <w:r w:rsidR="0021386F" w:rsidRPr="00F86C9A">
        <w:t xml:space="preserve">, because </w:t>
      </w:r>
      <w:r w:rsidR="00AB4E64" w:rsidRPr="00F86C9A">
        <w:t>it is</w:t>
      </w:r>
      <w:r w:rsidR="0021386F" w:rsidRPr="00F86C9A">
        <w:t xml:space="preserve"> consistent with the applicable statutory and Commission precedent.  </w:t>
      </w:r>
      <w:r w:rsidR="00AB4E64" w:rsidRPr="00F86C9A">
        <w:t>The Companies have proposed a plan that includes an index</w:t>
      </w:r>
      <w:r w:rsidR="00C16D2B">
        <w:t>ed</w:t>
      </w:r>
      <w:r w:rsidR="00AB4E64" w:rsidRPr="00F86C9A">
        <w:t xml:space="preserve"> price energy product for Residential and Small C&amp;I customers and an hourly-priced service for </w:t>
      </w:r>
      <w:r w:rsidR="00C16D2B">
        <w:t>L</w:t>
      </w:r>
      <w:r w:rsidR="00AB4E64" w:rsidRPr="00F86C9A">
        <w:t>arge C&amp;I customers.  This plan anticipates the emergence of competitive retail opportunities and address</w:t>
      </w:r>
      <w:r w:rsidR="00C159EF" w:rsidRPr="00F86C9A">
        <w:t>es</w:t>
      </w:r>
      <w:r w:rsidR="00AB4E64" w:rsidRPr="00F86C9A">
        <w:t xml:space="preserve"> recent regulatory changes, while reflecting the smaller load and administrative resources of CEW.  </w:t>
      </w:r>
      <w:r w:rsidR="00770F06" w:rsidRPr="00F86C9A">
        <w:t xml:space="preserve">In response to the Petition, the OCA has argued that the plan should be rejected because it does not represent a “prudent mix” of energy supply and exposes residential customers to large swings in energy prices and market perturbations.  Additionally, the OCA argued that the proposed procurement plan should be rejected because there is no competitive auction, request for proposal or bilateral agreement entered into that places competitive pressure on the energy price.  </w:t>
      </w:r>
      <w:r w:rsidR="000874BA" w:rsidRPr="00F86C9A">
        <w:t>These arguments have been rejected as discussed above</w:t>
      </w:r>
      <w:r w:rsidR="00F14BAC">
        <w:t xml:space="preserve">.  </w:t>
      </w:r>
      <w:r w:rsidR="001908E2">
        <w:t>In particular, t</w:t>
      </w:r>
      <w:r w:rsidR="00F14BAC">
        <w:rPr>
          <w:rFonts w:eastAsiaTheme="minorHAnsi"/>
        </w:rPr>
        <w:t xml:space="preserve">he proposed procurement plan will be modified to </w:t>
      </w:r>
      <w:r w:rsidR="001908E2">
        <w:rPr>
          <w:rFonts w:eastAsiaTheme="minorHAnsi"/>
        </w:rPr>
        <w:t xml:space="preserve">allow </w:t>
      </w:r>
      <w:r w:rsidR="00F14BAC">
        <w:rPr>
          <w:rFonts w:eastAsiaTheme="minorHAnsi"/>
        </w:rPr>
        <w:t>the Companies flexibility in selecting a procurement trigger date if, prior to the scheduled procurement date, market conditions appear to be turning unfavorable</w:t>
      </w:r>
      <w:r w:rsidR="000874BA" w:rsidRPr="00F86C9A">
        <w:t xml:space="preserve">.  </w:t>
      </w:r>
      <w:r w:rsidR="0091424B" w:rsidRPr="00F86C9A">
        <w:t>Finally, whereas the Stratified Plan complied with existing statutory and Commission precedent under past and current conditions, CEW has satisfied its burden to demonstrate that the Stratified Plan should be replaced with the proposed procurement plan for the period of June 1, 2015 to May 31, 2018 in light of the anticipated increase in competition and recent changes in regulatory policy</w:t>
      </w:r>
      <w:r w:rsidR="00C159EF" w:rsidRPr="00F86C9A">
        <w:t>, as well</w:t>
      </w:r>
      <w:r w:rsidR="003E3AEC">
        <w:t xml:space="preserve"> </w:t>
      </w:r>
      <w:r w:rsidR="00C159EF" w:rsidRPr="00F86C9A">
        <w:t>as</w:t>
      </w:r>
      <w:r w:rsidR="0091424B" w:rsidRPr="00F86C9A">
        <w:t xml:space="preserve"> CEW’s size and the nature of its service territory.</w:t>
      </w:r>
    </w:p>
    <w:p w:rsidR="00770F06" w:rsidRPr="00F86C9A" w:rsidRDefault="00770F06" w:rsidP="00315BE6">
      <w:pPr>
        <w:spacing w:line="360" w:lineRule="auto"/>
        <w:ind w:firstLine="1440"/>
      </w:pPr>
    </w:p>
    <w:p w:rsidR="00315BE6" w:rsidRPr="00F86C9A" w:rsidRDefault="000874BA" w:rsidP="00315BE6">
      <w:pPr>
        <w:spacing w:line="360" w:lineRule="auto"/>
        <w:ind w:firstLine="1440"/>
      </w:pPr>
      <w:r w:rsidRPr="00F86C9A">
        <w:t xml:space="preserve">As such, this Decision recommends </w:t>
      </w:r>
      <w:r w:rsidR="00770F06" w:rsidRPr="00F86C9A">
        <w:t xml:space="preserve">that the </w:t>
      </w:r>
      <w:r w:rsidRPr="00F86C9A">
        <w:t xml:space="preserve">Companies’ </w:t>
      </w:r>
      <w:r w:rsidR="00770F06" w:rsidRPr="00F86C9A">
        <w:t>proposed procurement plan be adopted</w:t>
      </w:r>
      <w:r w:rsidR="00007160" w:rsidRPr="00F86C9A">
        <w:t>, consistent with the above discussion</w:t>
      </w:r>
      <w:r w:rsidR="00770F06" w:rsidRPr="00F86C9A">
        <w:t>.  In addition, it will be recommended that the Companies’ request for waivers of various Commission regulations be granted because the requests are in the public interest and unopposed.</w:t>
      </w:r>
    </w:p>
    <w:p w:rsidR="00315BE6" w:rsidRPr="00F86C9A" w:rsidRDefault="00315BE6" w:rsidP="00315BE6">
      <w:pPr>
        <w:spacing w:line="360" w:lineRule="auto"/>
        <w:ind w:firstLine="1440"/>
      </w:pPr>
    </w:p>
    <w:p w:rsidR="00C04AA6" w:rsidRPr="00F86C9A" w:rsidRDefault="00590341" w:rsidP="00590341">
      <w:pPr>
        <w:pStyle w:val="ListParagraph"/>
        <w:spacing w:line="360" w:lineRule="auto"/>
        <w:ind w:left="0"/>
        <w:jc w:val="center"/>
        <w:rPr>
          <w:u w:val="single"/>
        </w:rPr>
      </w:pPr>
      <w:r w:rsidRPr="00F86C9A">
        <w:t>VI.</w:t>
      </w:r>
      <w:r w:rsidRPr="00F86C9A">
        <w:tab/>
      </w:r>
      <w:r w:rsidR="00154C3F" w:rsidRPr="00F86C9A">
        <w:rPr>
          <w:u w:val="single"/>
        </w:rPr>
        <w:t>CONCLUSIONS OF LAW</w:t>
      </w:r>
    </w:p>
    <w:p w:rsidR="00590341" w:rsidRPr="00F86C9A" w:rsidRDefault="00590341" w:rsidP="00F17CAA">
      <w:pPr>
        <w:pStyle w:val="ListParagraph"/>
        <w:spacing w:line="360" w:lineRule="auto"/>
        <w:ind w:left="0" w:firstLine="1440"/>
        <w:jc w:val="center"/>
        <w:rPr>
          <w:rFonts w:eastAsiaTheme="minorHAnsi"/>
        </w:rPr>
      </w:pPr>
    </w:p>
    <w:p w:rsidR="0032336A" w:rsidRPr="00F86C9A" w:rsidRDefault="0032336A" w:rsidP="00F17CAA">
      <w:pPr>
        <w:pStyle w:val="ListParagraph"/>
        <w:numPr>
          <w:ilvl w:val="0"/>
          <w:numId w:val="18"/>
        </w:numPr>
        <w:spacing w:line="360" w:lineRule="auto"/>
        <w:ind w:left="0" w:firstLine="1440"/>
      </w:pPr>
      <w:r w:rsidRPr="00F86C9A">
        <w:rPr>
          <w:color w:val="000000"/>
        </w:rPr>
        <w:t xml:space="preserve">The Commission has jurisdiction over the parties and subject matter of this proceeding.  </w:t>
      </w:r>
      <w:proofErr w:type="gramStart"/>
      <w:r w:rsidRPr="00F86C9A">
        <w:rPr>
          <w:color w:val="000000"/>
        </w:rPr>
        <w:t>66 Pa.C.S.</w:t>
      </w:r>
      <w:proofErr w:type="gramEnd"/>
      <w:r w:rsidRPr="00F86C9A">
        <w:rPr>
          <w:color w:val="000000"/>
        </w:rPr>
        <w:t xml:space="preserve"> §§ 2801, </w:t>
      </w:r>
      <w:r w:rsidRPr="00F86C9A">
        <w:rPr>
          <w:i/>
          <w:color w:val="000000"/>
        </w:rPr>
        <w:t>et seq.</w:t>
      </w:r>
    </w:p>
    <w:p w:rsidR="0032336A" w:rsidRPr="00F86C9A" w:rsidRDefault="0032336A" w:rsidP="0032336A">
      <w:pPr>
        <w:pStyle w:val="ListParagraph"/>
        <w:spacing w:line="360" w:lineRule="auto"/>
        <w:ind w:left="1440"/>
      </w:pPr>
    </w:p>
    <w:p w:rsidR="00F17CAA" w:rsidRPr="00F86C9A" w:rsidRDefault="00F17CAA" w:rsidP="00F17CAA">
      <w:pPr>
        <w:pStyle w:val="ListParagraph"/>
        <w:numPr>
          <w:ilvl w:val="0"/>
          <w:numId w:val="18"/>
        </w:numPr>
        <w:spacing w:line="360" w:lineRule="auto"/>
        <w:ind w:left="0" w:firstLine="1440"/>
      </w:pPr>
      <w:r w:rsidRPr="00F86C9A">
        <w:rPr>
          <w:color w:val="000000"/>
        </w:rPr>
        <w:t>The Companies have the burden of proof in this proceeding to establish that they are entitled to the r</w:t>
      </w:r>
      <w:r w:rsidR="00235425">
        <w:rPr>
          <w:color w:val="000000"/>
        </w:rPr>
        <w:t xml:space="preserve">elief they are seeking.  </w:t>
      </w:r>
      <w:proofErr w:type="gramStart"/>
      <w:r w:rsidR="00235425">
        <w:rPr>
          <w:color w:val="000000"/>
        </w:rPr>
        <w:t>66 Pa.</w:t>
      </w:r>
      <w:r w:rsidRPr="00F86C9A">
        <w:rPr>
          <w:color w:val="000000"/>
        </w:rPr>
        <w:t>C.S.</w:t>
      </w:r>
      <w:proofErr w:type="gramEnd"/>
      <w:r w:rsidRPr="00F86C9A">
        <w:rPr>
          <w:color w:val="000000"/>
        </w:rPr>
        <w:t xml:space="preserve"> § 332(a).</w:t>
      </w:r>
    </w:p>
    <w:p w:rsidR="00F17CAA" w:rsidRPr="00F86C9A" w:rsidRDefault="00F17CAA" w:rsidP="00F17CAA">
      <w:pPr>
        <w:spacing w:line="360" w:lineRule="auto"/>
        <w:ind w:firstLine="1440"/>
      </w:pPr>
    </w:p>
    <w:p w:rsidR="00F17CAA" w:rsidRPr="00F86C9A" w:rsidRDefault="00F17CAA" w:rsidP="00F17CAA">
      <w:pPr>
        <w:numPr>
          <w:ilvl w:val="0"/>
          <w:numId w:val="18"/>
        </w:numPr>
        <w:spacing w:line="360" w:lineRule="auto"/>
        <w:ind w:left="0" w:firstLine="1440"/>
      </w:pPr>
      <w:r w:rsidRPr="00F86C9A">
        <w:rPr>
          <w:color w:val="000000"/>
        </w:rPr>
        <w:t xml:space="preserve">The Companies must establish their cases by a preponderance of the evidence.  </w:t>
      </w:r>
      <w:r w:rsidRPr="00F86C9A">
        <w:rPr>
          <w:color w:val="000000"/>
          <w:u w:val="single"/>
        </w:rPr>
        <w:t xml:space="preserve">Samuel J. Lansberry, Inc. v. </w:t>
      </w:r>
      <w:r w:rsidR="00273A52">
        <w:rPr>
          <w:color w:val="000000"/>
          <w:u w:val="single"/>
        </w:rPr>
        <w:t>Pa.</w:t>
      </w:r>
      <w:r w:rsidRPr="00F86C9A">
        <w:rPr>
          <w:color w:val="000000"/>
          <w:u w:val="single"/>
        </w:rPr>
        <w:t xml:space="preserve"> Pub. Util. Comm’n</w:t>
      </w:r>
      <w:r w:rsidRPr="00F86C9A">
        <w:rPr>
          <w:color w:val="000000"/>
        </w:rPr>
        <w:t xml:space="preserve">, 578 A.2d 600 (Pa. Cmwlth. 1990), </w:t>
      </w:r>
      <w:r w:rsidRPr="00F86C9A">
        <w:rPr>
          <w:i/>
          <w:color w:val="000000"/>
        </w:rPr>
        <w:t>alloc. den.</w:t>
      </w:r>
      <w:r w:rsidRPr="00F86C9A">
        <w:rPr>
          <w:color w:val="000000"/>
        </w:rPr>
        <w:t>, 602 A.2d 863 (Pa. 1992)</w:t>
      </w:r>
      <w:r w:rsidR="001370A1">
        <w:rPr>
          <w:color w:val="000000"/>
        </w:rPr>
        <w:t>.</w:t>
      </w:r>
    </w:p>
    <w:p w:rsidR="00F17CAA" w:rsidRPr="00F86C9A" w:rsidRDefault="00F17CAA" w:rsidP="00F17CAA">
      <w:pPr>
        <w:spacing w:line="360" w:lineRule="auto"/>
        <w:ind w:firstLine="1440"/>
        <w:rPr>
          <w:color w:val="000000"/>
        </w:rPr>
      </w:pPr>
    </w:p>
    <w:p w:rsidR="00F17CAA" w:rsidRPr="00F86C9A" w:rsidRDefault="00F17CAA" w:rsidP="00F17CAA">
      <w:pPr>
        <w:numPr>
          <w:ilvl w:val="0"/>
          <w:numId w:val="18"/>
        </w:numPr>
        <w:spacing w:line="360" w:lineRule="auto"/>
        <w:ind w:left="0" w:firstLine="1440"/>
      </w:pPr>
      <w:r w:rsidRPr="00F86C9A">
        <w:rPr>
          <w:color w:val="000000"/>
        </w:rPr>
        <w:t xml:space="preserve">To meet their burden of proof, the Companies must present evidence more convincing, by even the smallest amount, than that presented by any opposing party.  </w:t>
      </w:r>
      <w:r w:rsidRPr="00F86C9A">
        <w:rPr>
          <w:color w:val="000000"/>
          <w:u w:val="single"/>
        </w:rPr>
        <w:t>Se-Ling Hosiery v. Margulies</w:t>
      </w:r>
      <w:r w:rsidRPr="00F86C9A">
        <w:rPr>
          <w:color w:val="000000"/>
        </w:rPr>
        <w:t>, 70 A.2d 854 (Pa. 1950).</w:t>
      </w:r>
    </w:p>
    <w:p w:rsidR="00F17CAA" w:rsidRPr="00F86C9A" w:rsidRDefault="00F17CAA" w:rsidP="00F17CAA">
      <w:pPr>
        <w:numPr>
          <w:ilvl w:val="0"/>
          <w:numId w:val="18"/>
        </w:numPr>
        <w:autoSpaceDE/>
        <w:autoSpaceDN/>
        <w:spacing w:line="360" w:lineRule="auto"/>
        <w:ind w:left="0" w:firstLine="1440"/>
        <w:rPr>
          <w:rFonts w:eastAsiaTheme="minorEastAsia"/>
        </w:rPr>
      </w:pPr>
      <w:r w:rsidRPr="00F86C9A">
        <w:rPr>
          <w:color w:val="000000"/>
        </w:rPr>
        <w:t xml:space="preserve">A </w:t>
      </w:r>
      <w:r w:rsidRPr="00F86C9A">
        <w:rPr>
          <w:rFonts w:eastAsiaTheme="minorHAnsi"/>
        </w:rPr>
        <w:t xml:space="preserve">party that offers a proposal not included in the original filing bears the burden of proof for such proposal.  </w:t>
      </w:r>
      <w:r w:rsidRPr="00F86C9A">
        <w:rPr>
          <w:rFonts w:eastAsiaTheme="minorHAnsi"/>
          <w:u w:val="single"/>
        </w:rPr>
        <w:t>Pa. Pub. Util. Comm’n v. Metropolitan Edison Co.</w:t>
      </w:r>
      <w:r w:rsidRPr="00F86C9A">
        <w:rPr>
          <w:rFonts w:eastAsiaTheme="minorHAnsi"/>
        </w:rPr>
        <w:t>, Docket No. R-00061366, Opinion and Order (entered Jan. 11, 2007).</w:t>
      </w:r>
    </w:p>
    <w:p w:rsidR="00F17CAA" w:rsidRPr="00F86C9A" w:rsidRDefault="00F17CAA" w:rsidP="00F17CAA">
      <w:pPr>
        <w:spacing w:line="360" w:lineRule="auto"/>
        <w:ind w:firstLine="1440"/>
        <w:rPr>
          <w:rFonts w:eastAsiaTheme="minorEastAsia"/>
        </w:rPr>
      </w:pPr>
    </w:p>
    <w:p w:rsidR="00F17CAA" w:rsidRPr="00F86C9A" w:rsidRDefault="00F17CAA" w:rsidP="00F17CAA">
      <w:pPr>
        <w:numPr>
          <w:ilvl w:val="0"/>
          <w:numId w:val="18"/>
        </w:numPr>
        <w:autoSpaceDE/>
        <w:autoSpaceDN/>
        <w:spacing w:line="360" w:lineRule="auto"/>
        <w:ind w:left="0" w:firstLine="1440"/>
        <w:rPr>
          <w:rFonts w:eastAsiaTheme="minorEastAsia"/>
        </w:rPr>
      </w:pPr>
      <w:r w:rsidRPr="00F86C9A">
        <w:rPr>
          <w:rFonts w:eastAsiaTheme="minorEastAsia"/>
        </w:rPr>
        <w:t xml:space="preserve">All decisions of the Commission must be supported by substantial evidence.  </w:t>
      </w:r>
      <w:proofErr w:type="gramStart"/>
      <w:r w:rsidRPr="00F86C9A">
        <w:rPr>
          <w:rFonts w:eastAsiaTheme="minorEastAsia"/>
        </w:rPr>
        <w:t>2 Pa.C.S.</w:t>
      </w:r>
      <w:proofErr w:type="gramEnd"/>
      <w:r w:rsidRPr="00F86C9A">
        <w:rPr>
          <w:rFonts w:eastAsiaTheme="minorEastAsia"/>
        </w:rPr>
        <w:t xml:space="preserve"> § 704.</w:t>
      </w:r>
    </w:p>
    <w:p w:rsidR="00F17CAA" w:rsidRPr="00F86C9A" w:rsidRDefault="00F17CAA" w:rsidP="00F17CAA">
      <w:pPr>
        <w:spacing w:line="360" w:lineRule="auto"/>
        <w:ind w:firstLine="1440"/>
        <w:rPr>
          <w:rFonts w:eastAsiaTheme="minorEastAsia"/>
        </w:rPr>
      </w:pPr>
    </w:p>
    <w:p w:rsidR="00E84E3C" w:rsidRPr="00F86C9A" w:rsidRDefault="00F17CAA" w:rsidP="00E84E3C">
      <w:pPr>
        <w:numPr>
          <w:ilvl w:val="0"/>
          <w:numId w:val="18"/>
        </w:numPr>
        <w:autoSpaceDE/>
        <w:autoSpaceDN/>
        <w:spacing w:line="360" w:lineRule="auto"/>
        <w:ind w:left="0" w:firstLine="1440"/>
        <w:rPr>
          <w:rFonts w:eastAsiaTheme="minorEastAsia"/>
        </w:rPr>
      </w:pPr>
      <w:r w:rsidRPr="00F86C9A">
        <w:rPr>
          <w:rFonts w:eastAsiaTheme="minorEastAsia"/>
        </w:rPr>
        <w:t xml:space="preserve">"Substantial evidence" is such relevant evidence that a reasonable mind might accept as adequate to support a conclusion.  More is required than a mere trace of evidence or a suspicion of the existence of a fact sought to be established.  </w:t>
      </w:r>
      <w:r w:rsidRPr="00F86C9A">
        <w:rPr>
          <w:rFonts w:eastAsiaTheme="minorEastAsia"/>
          <w:u w:val="single"/>
        </w:rPr>
        <w:t>Norfolk &amp; Western Ry. Co. v. Pa. Pub. Util. Comm’n</w:t>
      </w:r>
      <w:r w:rsidRPr="00F86C9A">
        <w:rPr>
          <w:rFonts w:eastAsiaTheme="minorEastAsia"/>
        </w:rPr>
        <w:t xml:space="preserve">, 489 Pa. 109, 413 A.2d 1037 (1980); </w:t>
      </w:r>
      <w:r w:rsidRPr="00F86C9A">
        <w:rPr>
          <w:rFonts w:eastAsiaTheme="minorEastAsia"/>
          <w:u w:val="single"/>
        </w:rPr>
        <w:t>Erie Resistor Corp. v. Unemployment Comp. Bd. of Review</w:t>
      </w:r>
      <w:r w:rsidRPr="00F86C9A">
        <w:rPr>
          <w:rFonts w:eastAsiaTheme="minorEastAsia"/>
        </w:rPr>
        <w:t xml:space="preserve">, 194 Pa. Superior Ct. 278, 166 A.2d 96 (1961); and </w:t>
      </w:r>
      <w:r w:rsidRPr="00F86C9A">
        <w:rPr>
          <w:rFonts w:eastAsiaTheme="minorEastAsia"/>
          <w:u w:val="single"/>
        </w:rPr>
        <w:t>Murphy v. Comm., Dept. of Public Welfare, White Haven Center</w:t>
      </w:r>
      <w:r w:rsidRPr="00F86C9A">
        <w:rPr>
          <w:rFonts w:eastAsiaTheme="minorEastAsia"/>
        </w:rPr>
        <w:t>, 85 Pa. Cmwlth Ct. 23, 480 A.2d 382 (1984).</w:t>
      </w:r>
    </w:p>
    <w:p w:rsidR="00E84E3C" w:rsidRPr="00F86C9A" w:rsidRDefault="00E84E3C" w:rsidP="00E85D17">
      <w:pPr>
        <w:pStyle w:val="ListParagraph"/>
        <w:spacing w:line="360" w:lineRule="auto"/>
        <w:rPr>
          <w:rFonts w:eastAsiaTheme="minorHAnsi"/>
        </w:rPr>
      </w:pPr>
    </w:p>
    <w:p w:rsidR="00E01622" w:rsidRPr="00F86C9A" w:rsidRDefault="00E01622" w:rsidP="00E84E3C">
      <w:pPr>
        <w:numPr>
          <w:ilvl w:val="0"/>
          <w:numId w:val="18"/>
        </w:numPr>
        <w:autoSpaceDE/>
        <w:autoSpaceDN/>
        <w:spacing w:line="360" w:lineRule="auto"/>
        <w:ind w:left="0" w:firstLine="1440"/>
        <w:rPr>
          <w:rFonts w:eastAsiaTheme="minorEastAsia"/>
        </w:rPr>
      </w:pPr>
      <w:r w:rsidRPr="00F86C9A">
        <w:rPr>
          <w:rFonts w:eastAsiaTheme="minorHAnsi"/>
        </w:rPr>
        <w:t>The Companies are default service providers as defined by the Public Utility Code and have an obligation to provide electric generatio</w:t>
      </w:r>
      <w:r w:rsidR="00E85D17">
        <w:rPr>
          <w:rFonts w:eastAsiaTheme="minorHAnsi"/>
        </w:rPr>
        <w:t xml:space="preserve">n supply service.  </w:t>
      </w:r>
      <w:proofErr w:type="gramStart"/>
      <w:r w:rsidR="00E85D17">
        <w:rPr>
          <w:rFonts w:eastAsiaTheme="minorHAnsi"/>
        </w:rPr>
        <w:t>66 Pa.C.S.</w:t>
      </w:r>
      <w:proofErr w:type="gramEnd"/>
      <w:r w:rsidR="00E85D17">
        <w:rPr>
          <w:rFonts w:eastAsiaTheme="minorHAnsi"/>
        </w:rPr>
        <w:t xml:space="preserve"> § </w:t>
      </w:r>
      <w:r w:rsidRPr="00F86C9A">
        <w:rPr>
          <w:rFonts w:eastAsiaTheme="minorHAnsi"/>
        </w:rPr>
        <w:t>2807(e).</w:t>
      </w:r>
    </w:p>
    <w:p w:rsidR="00E01622" w:rsidRPr="00F86C9A" w:rsidRDefault="00E01622" w:rsidP="00E85D17">
      <w:pPr>
        <w:pStyle w:val="ListParagraph"/>
        <w:spacing w:line="360" w:lineRule="auto"/>
        <w:rPr>
          <w:rFonts w:eastAsiaTheme="minorHAnsi"/>
        </w:rPr>
      </w:pPr>
    </w:p>
    <w:p w:rsidR="00276337" w:rsidRPr="00F86C9A" w:rsidRDefault="00E84E3C" w:rsidP="00E84E3C">
      <w:pPr>
        <w:numPr>
          <w:ilvl w:val="0"/>
          <w:numId w:val="18"/>
        </w:numPr>
        <w:autoSpaceDE/>
        <w:autoSpaceDN/>
        <w:spacing w:line="360" w:lineRule="auto"/>
        <w:ind w:left="0" w:firstLine="1440"/>
        <w:rPr>
          <w:rFonts w:eastAsiaTheme="minorEastAsia"/>
        </w:rPr>
      </w:pPr>
      <w:r w:rsidRPr="00F86C9A">
        <w:rPr>
          <w:rFonts w:eastAsiaTheme="minorHAnsi"/>
        </w:rPr>
        <w:t xml:space="preserve">The Electricity Generation Customer Choice and Competition Act </w:t>
      </w:r>
      <w:proofErr w:type="gramStart"/>
      <w:r w:rsidRPr="00F86C9A">
        <w:rPr>
          <w:rFonts w:eastAsiaTheme="minorHAnsi"/>
        </w:rPr>
        <w:t>mandates</w:t>
      </w:r>
      <w:proofErr w:type="gramEnd"/>
      <w:r w:rsidRPr="00F86C9A">
        <w:rPr>
          <w:rFonts w:eastAsiaTheme="minorHAnsi"/>
        </w:rPr>
        <w:t xml:space="preserve"> that customers have direct access to a competitive retail generation market based on the legislative finding that "competitive market forces are more effective than economic regulation in controlling the cost of generating electricity."  </w:t>
      </w:r>
      <w:proofErr w:type="gramStart"/>
      <w:r w:rsidRPr="00F86C9A">
        <w:rPr>
          <w:rFonts w:eastAsiaTheme="minorHAnsi"/>
        </w:rPr>
        <w:t>66 Pa.C.S.</w:t>
      </w:r>
      <w:proofErr w:type="gramEnd"/>
      <w:r w:rsidRPr="00F86C9A">
        <w:rPr>
          <w:rFonts w:eastAsiaTheme="minorHAnsi"/>
        </w:rPr>
        <w:t xml:space="preserve"> §§ 2802(3), (5).</w:t>
      </w:r>
    </w:p>
    <w:p w:rsidR="00350CED" w:rsidRPr="00F86C9A" w:rsidRDefault="00350CED" w:rsidP="00E85D17">
      <w:pPr>
        <w:pStyle w:val="ListParagraph"/>
        <w:spacing w:line="360" w:lineRule="auto"/>
        <w:rPr>
          <w:rFonts w:eastAsiaTheme="minorEastAsia"/>
        </w:rPr>
      </w:pPr>
    </w:p>
    <w:p w:rsidR="00BA5220" w:rsidRPr="00F86C9A" w:rsidRDefault="00350CED" w:rsidP="00350CED">
      <w:pPr>
        <w:numPr>
          <w:ilvl w:val="0"/>
          <w:numId w:val="18"/>
        </w:numPr>
        <w:autoSpaceDE/>
        <w:autoSpaceDN/>
        <w:spacing w:line="360" w:lineRule="auto"/>
        <w:ind w:left="0" w:firstLine="1440"/>
        <w:rPr>
          <w:rFonts w:eastAsiaTheme="minorEastAsia"/>
        </w:rPr>
      </w:pPr>
      <w:r w:rsidRPr="00F86C9A">
        <w:rPr>
          <w:rFonts w:eastAsiaTheme="minorHAnsi"/>
        </w:rPr>
        <w:t>Default service providers must</w:t>
      </w:r>
      <w:r w:rsidR="00BA5220" w:rsidRPr="00F86C9A">
        <w:rPr>
          <w:rFonts w:eastAsiaTheme="minorHAnsi"/>
        </w:rPr>
        <w:t xml:space="preserve"> provide electric generation supply service to all of their default service customers through </w:t>
      </w:r>
      <w:r w:rsidRPr="00F86C9A">
        <w:rPr>
          <w:rFonts w:eastAsiaTheme="minorHAnsi"/>
        </w:rPr>
        <w:t>a Commission-approved competitive procurement plan</w:t>
      </w:r>
      <w:r w:rsidR="00BA5220" w:rsidRPr="00F86C9A">
        <w:rPr>
          <w:rFonts w:eastAsiaTheme="minorHAnsi"/>
        </w:rPr>
        <w:t xml:space="preserve">.  </w:t>
      </w:r>
      <w:proofErr w:type="gramStart"/>
      <w:r w:rsidR="00BA5220" w:rsidRPr="00F86C9A">
        <w:rPr>
          <w:rFonts w:eastAsiaTheme="minorHAnsi"/>
        </w:rPr>
        <w:t>66 Pa.C.S.</w:t>
      </w:r>
      <w:proofErr w:type="gramEnd"/>
      <w:r w:rsidR="00BA5220" w:rsidRPr="00F86C9A">
        <w:rPr>
          <w:rFonts w:eastAsiaTheme="minorHAnsi"/>
        </w:rPr>
        <w:t xml:space="preserve"> § 2807(e).</w:t>
      </w:r>
    </w:p>
    <w:p w:rsidR="00BA5220" w:rsidRPr="00F86C9A" w:rsidRDefault="00BA5220" w:rsidP="00E85D17">
      <w:pPr>
        <w:pStyle w:val="ListParagraph"/>
        <w:spacing w:line="360" w:lineRule="auto"/>
        <w:rPr>
          <w:rFonts w:eastAsiaTheme="minorHAnsi"/>
        </w:rPr>
      </w:pPr>
    </w:p>
    <w:p w:rsidR="00657986" w:rsidRPr="00F86C9A" w:rsidRDefault="00BA5220" w:rsidP="00350CED">
      <w:pPr>
        <w:numPr>
          <w:ilvl w:val="0"/>
          <w:numId w:val="18"/>
        </w:numPr>
        <w:autoSpaceDE/>
        <w:autoSpaceDN/>
        <w:spacing w:line="360" w:lineRule="auto"/>
        <w:ind w:left="0" w:firstLine="1440"/>
        <w:rPr>
          <w:rFonts w:eastAsiaTheme="minorEastAsia"/>
        </w:rPr>
      </w:pPr>
      <w:r w:rsidRPr="00F86C9A">
        <w:rPr>
          <w:rFonts w:eastAsiaTheme="minorHAnsi"/>
        </w:rPr>
        <w:t>Electric power acquired by a default service provider shall be procured through competitive procurement processes and shall include</w:t>
      </w:r>
      <w:r w:rsidR="00E85D17">
        <w:rPr>
          <w:rFonts w:eastAsiaTheme="minorHAnsi"/>
        </w:rPr>
        <w:t xml:space="preserve"> one or more of the following: </w:t>
      </w:r>
      <w:r w:rsidR="00350CED" w:rsidRPr="00F86C9A">
        <w:rPr>
          <w:rFonts w:eastAsiaTheme="minorHAnsi"/>
        </w:rPr>
        <w:t>auctions, requests for proposal, and/or bilateral agreements</w:t>
      </w:r>
      <w:r w:rsidR="00906D09" w:rsidRPr="00F86C9A">
        <w:t xml:space="preserve"> entered into at the sole discretion of the default service provider</w:t>
      </w:r>
      <w:r w:rsidR="00657986" w:rsidRPr="00F86C9A">
        <w:rPr>
          <w:rFonts w:eastAsiaTheme="minorHAnsi"/>
        </w:rPr>
        <w:t xml:space="preserve">.  </w:t>
      </w:r>
      <w:proofErr w:type="gramStart"/>
      <w:r w:rsidR="00657986" w:rsidRPr="00F86C9A">
        <w:rPr>
          <w:rFonts w:eastAsiaTheme="minorHAnsi"/>
        </w:rPr>
        <w:t>66 Pa.C.S.</w:t>
      </w:r>
      <w:proofErr w:type="gramEnd"/>
      <w:r w:rsidR="00657986" w:rsidRPr="00F86C9A">
        <w:rPr>
          <w:rFonts w:eastAsiaTheme="minorHAnsi"/>
        </w:rPr>
        <w:t xml:space="preserve"> § 2807(e</w:t>
      </w:r>
      <w:proofErr w:type="gramStart"/>
      <w:r w:rsidR="00657986" w:rsidRPr="00F86C9A">
        <w:rPr>
          <w:rFonts w:eastAsiaTheme="minorHAnsi"/>
        </w:rPr>
        <w:t>)(</w:t>
      </w:r>
      <w:proofErr w:type="gramEnd"/>
      <w:r w:rsidR="00657986" w:rsidRPr="00F86C9A">
        <w:rPr>
          <w:rFonts w:eastAsiaTheme="minorHAnsi"/>
        </w:rPr>
        <w:t>3.1).</w:t>
      </w:r>
    </w:p>
    <w:p w:rsidR="00657986" w:rsidRPr="00F86C9A" w:rsidRDefault="00657986" w:rsidP="005F4A98">
      <w:pPr>
        <w:pStyle w:val="ListParagraph"/>
        <w:spacing w:line="360" w:lineRule="auto"/>
        <w:rPr>
          <w:rFonts w:eastAsiaTheme="minorHAnsi"/>
        </w:rPr>
      </w:pPr>
    </w:p>
    <w:p w:rsidR="00657986" w:rsidRPr="00F86C9A" w:rsidRDefault="00657986" w:rsidP="00350CED">
      <w:pPr>
        <w:numPr>
          <w:ilvl w:val="0"/>
          <w:numId w:val="18"/>
        </w:numPr>
        <w:autoSpaceDE/>
        <w:autoSpaceDN/>
        <w:spacing w:line="360" w:lineRule="auto"/>
        <w:ind w:left="0" w:firstLine="1440"/>
        <w:rPr>
          <w:rFonts w:eastAsiaTheme="minorEastAsia"/>
        </w:rPr>
      </w:pPr>
      <w:r w:rsidRPr="00F86C9A">
        <w:rPr>
          <w:rFonts w:eastAsiaTheme="minorHAnsi"/>
        </w:rPr>
        <w:t xml:space="preserve">Electric power acquired by a default service provider shall include a prudent mix of </w:t>
      </w:r>
      <w:r w:rsidR="00350CED" w:rsidRPr="00F86C9A">
        <w:rPr>
          <w:rFonts w:eastAsiaTheme="minorHAnsi"/>
        </w:rPr>
        <w:t>spot market purchases, short-term contracts and long-term purchase contracts</w:t>
      </w:r>
      <w:r w:rsidRPr="00F86C9A">
        <w:rPr>
          <w:rFonts w:eastAsiaTheme="minorHAnsi"/>
        </w:rPr>
        <w:t>.  66 Pa.Code § 2807(e</w:t>
      </w:r>
      <w:proofErr w:type="gramStart"/>
      <w:r w:rsidRPr="00F86C9A">
        <w:rPr>
          <w:rFonts w:eastAsiaTheme="minorHAnsi"/>
        </w:rPr>
        <w:t>)(</w:t>
      </w:r>
      <w:proofErr w:type="gramEnd"/>
      <w:r w:rsidRPr="00F86C9A">
        <w:rPr>
          <w:rFonts w:eastAsiaTheme="minorHAnsi"/>
        </w:rPr>
        <w:t>3.2).</w:t>
      </w:r>
    </w:p>
    <w:p w:rsidR="00657986" w:rsidRPr="00F86C9A" w:rsidRDefault="00657986" w:rsidP="005F4A98">
      <w:pPr>
        <w:pStyle w:val="ListParagraph"/>
        <w:spacing w:line="360" w:lineRule="auto"/>
        <w:rPr>
          <w:rFonts w:eastAsiaTheme="minorHAnsi"/>
        </w:rPr>
      </w:pPr>
    </w:p>
    <w:p w:rsidR="00350CED" w:rsidRPr="00F86C9A" w:rsidRDefault="00657986" w:rsidP="00350CED">
      <w:pPr>
        <w:numPr>
          <w:ilvl w:val="0"/>
          <w:numId w:val="18"/>
        </w:numPr>
        <w:autoSpaceDE/>
        <w:autoSpaceDN/>
        <w:spacing w:line="360" w:lineRule="auto"/>
        <w:ind w:left="0" w:firstLine="1440"/>
        <w:rPr>
          <w:rFonts w:eastAsiaTheme="minorEastAsia"/>
        </w:rPr>
      </w:pPr>
      <w:r w:rsidRPr="00F86C9A">
        <w:rPr>
          <w:rFonts w:eastAsiaTheme="minorHAnsi"/>
        </w:rPr>
        <w:t xml:space="preserve">The prudent mix of contracts entered into by a default service provider shall be </w:t>
      </w:r>
      <w:r w:rsidR="00350CED" w:rsidRPr="00F86C9A">
        <w:rPr>
          <w:rFonts w:eastAsiaTheme="minorHAnsi"/>
        </w:rPr>
        <w:t>designed to ensure adequate and reliable service at the le</w:t>
      </w:r>
      <w:r w:rsidRPr="00F86C9A">
        <w:rPr>
          <w:rFonts w:eastAsiaTheme="minorHAnsi"/>
        </w:rPr>
        <w:t>ast cost to customers over time</w:t>
      </w:r>
      <w:r w:rsidR="00350CED" w:rsidRPr="00F86C9A">
        <w:rPr>
          <w:rFonts w:eastAsiaTheme="minorHAnsi"/>
        </w:rPr>
        <w:t>.  66 Pa.Code § 2807(e</w:t>
      </w:r>
      <w:proofErr w:type="gramStart"/>
      <w:r w:rsidR="00350CED" w:rsidRPr="00F86C9A">
        <w:rPr>
          <w:rFonts w:eastAsiaTheme="minorHAnsi"/>
        </w:rPr>
        <w:t>)</w:t>
      </w:r>
      <w:r w:rsidRPr="00F86C9A">
        <w:rPr>
          <w:rFonts w:eastAsiaTheme="minorHAnsi"/>
        </w:rPr>
        <w:t>(</w:t>
      </w:r>
      <w:proofErr w:type="gramEnd"/>
      <w:r w:rsidRPr="00F86C9A">
        <w:rPr>
          <w:rFonts w:eastAsiaTheme="minorHAnsi"/>
        </w:rPr>
        <w:t>3.4)</w:t>
      </w:r>
      <w:r w:rsidR="00350CED" w:rsidRPr="00F86C9A">
        <w:rPr>
          <w:rFonts w:eastAsiaTheme="minorHAnsi"/>
        </w:rPr>
        <w:t>.</w:t>
      </w:r>
    </w:p>
    <w:p w:rsidR="00E84E3C" w:rsidRPr="00F86C9A" w:rsidRDefault="00E84E3C" w:rsidP="00E84E3C">
      <w:pPr>
        <w:autoSpaceDE/>
        <w:autoSpaceDN/>
        <w:spacing w:line="360" w:lineRule="auto"/>
        <w:rPr>
          <w:rFonts w:eastAsiaTheme="minorEastAsia"/>
        </w:rPr>
      </w:pPr>
    </w:p>
    <w:p w:rsidR="00F17CAA" w:rsidRPr="00F86C9A" w:rsidRDefault="00F17CAA" w:rsidP="00F17CAA">
      <w:pPr>
        <w:numPr>
          <w:ilvl w:val="0"/>
          <w:numId w:val="18"/>
        </w:numPr>
        <w:autoSpaceDE/>
        <w:autoSpaceDN/>
        <w:spacing w:line="360" w:lineRule="auto"/>
        <w:ind w:left="0" w:firstLine="1440"/>
        <w:rPr>
          <w:rFonts w:eastAsiaTheme="minorEastAsia"/>
        </w:rPr>
      </w:pPr>
      <w:r w:rsidRPr="00F86C9A">
        <w:t xml:space="preserve">The “prudent mix” standard references the total DSP portfolio of products not just the procurements available to each set of customers.  </w:t>
      </w:r>
      <w:r w:rsidRPr="00F86C9A">
        <w:rPr>
          <w:i/>
        </w:rPr>
        <w:t>See</w:t>
      </w:r>
      <w:r w:rsidRPr="00F86C9A">
        <w:t xml:space="preserve">, </w:t>
      </w:r>
      <w:r w:rsidRPr="00F86C9A">
        <w:rPr>
          <w:u w:val="single"/>
        </w:rPr>
        <w:t>Joint Petition of Metropolitan Edison Company, Pennsylvania Electric Company, Pennsylvania Power Company and West Penn Power Company For Approval of Their Default Service Programs</w:t>
      </w:r>
      <w:r w:rsidRPr="00F86C9A">
        <w:t>, Docket Nos. P-2011-2273650, Order (entered August 2, 2012).</w:t>
      </w:r>
    </w:p>
    <w:p w:rsidR="00F17CAA" w:rsidRPr="00F86C9A" w:rsidRDefault="00F17CAA" w:rsidP="00F17CAA">
      <w:pPr>
        <w:spacing w:line="360" w:lineRule="auto"/>
        <w:ind w:firstLine="1440"/>
      </w:pPr>
    </w:p>
    <w:p w:rsidR="00F17CAA" w:rsidRPr="00F86C9A" w:rsidRDefault="00F17CAA" w:rsidP="00F17CAA">
      <w:pPr>
        <w:numPr>
          <w:ilvl w:val="0"/>
          <w:numId w:val="18"/>
        </w:numPr>
        <w:autoSpaceDE/>
        <w:autoSpaceDN/>
        <w:spacing w:line="360" w:lineRule="auto"/>
        <w:ind w:left="0" w:firstLine="1440"/>
      </w:pPr>
      <w:r w:rsidRPr="00F86C9A">
        <w:t xml:space="preserve">The Commission “must exercise some balance and discretion under the circumstances of the case in order for the ‘mix’ in question to be ‘prudent.’”  </w:t>
      </w:r>
      <w:r w:rsidR="001D6497" w:rsidRPr="00F86C9A">
        <w:rPr>
          <w:u w:val="single"/>
        </w:rPr>
        <w:t>Popowsky v. Pa. Pub. Util. Comm’n</w:t>
      </w:r>
      <w:r w:rsidR="001D6497" w:rsidRPr="00F86C9A">
        <w:t>, 71 A.3d 1112, 1117 (Pa. Cmwlth 2013).</w:t>
      </w:r>
    </w:p>
    <w:p w:rsidR="00F17CAA" w:rsidRPr="00F86C9A" w:rsidRDefault="00F17CAA" w:rsidP="00F17CAA">
      <w:pPr>
        <w:spacing w:line="360" w:lineRule="auto"/>
        <w:ind w:firstLine="1440"/>
      </w:pPr>
    </w:p>
    <w:p w:rsidR="00E01622" w:rsidRPr="00F86C9A" w:rsidRDefault="00E01622" w:rsidP="00F17CAA">
      <w:pPr>
        <w:numPr>
          <w:ilvl w:val="0"/>
          <w:numId w:val="18"/>
        </w:numPr>
        <w:autoSpaceDE/>
        <w:autoSpaceDN/>
        <w:spacing w:line="360" w:lineRule="auto"/>
        <w:ind w:left="0" w:firstLine="1440"/>
      </w:pPr>
      <w:r w:rsidRPr="00F86C9A">
        <w:t xml:space="preserve">Electric distribution companies must consider the incorporation of certain market enhancement programs into their default service plans in order to foster a more robust retail competitive market.  </w:t>
      </w:r>
      <w:r w:rsidR="00251E09" w:rsidRPr="00F86C9A">
        <w:rPr>
          <w:u w:val="single"/>
        </w:rPr>
        <w:t>Investigation of Pennsylvani</w:t>
      </w:r>
      <w:r w:rsidR="005F4A98">
        <w:rPr>
          <w:u w:val="single"/>
        </w:rPr>
        <w:t xml:space="preserve">a’s Retail Electricity Market: </w:t>
      </w:r>
      <w:r w:rsidR="00251E09" w:rsidRPr="00F86C9A">
        <w:rPr>
          <w:u w:val="single"/>
        </w:rPr>
        <w:t>End State Default Service</w:t>
      </w:r>
      <w:r w:rsidR="00251E09" w:rsidRPr="00F86C9A">
        <w:t>, Docket Number I-2011-2237952, Order (entered Feb. 15, 2013).</w:t>
      </w:r>
    </w:p>
    <w:p w:rsidR="00E01622" w:rsidRPr="00F86C9A" w:rsidRDefault="00E01622" w:rsidP="00E82B53">
      <w:pPr>
        <w:pStyle w:val="ListParagraph"/>
        <w:spacing w:line="360" w:lineRule="auto"/>
      </w:pPr>
    </w:p>
    <w:p w:rsidR="00F17CAA" w:rsidRPr="00F86C9A" w:rsidRDefault="00F17CAA" w:rsidP="00F17CAA">
      <w:pPr>
        <w:numPr>
          <w:ilvl w:val="0"/>
          <w:numId w:val="18"/>
        </w:numPr>
        <w:autoSpaceDE/>
        <w:autoSpaceDN/>
        <w:spacing w:line="360" w:lineRule="auto"/>
        <w:ind w:left="0" w:firstLine="1440"/>
      </w:pPr>
      <w:r w:rsidRPr="00F86C9A">
        <w:t xml:space="preserve">For </w:t>
      </w:r>
      <w:r w:rsidR="00D26F37" w:rsidRPr="00F86C9A">
        <w:t xml:space="preserve">Default Service Providers </w:t>
      </w:r>
      <w:r w:rsidRPr="00F86C9A">
        <w:t xml:space="preserve">with less than 50,000 retail customers, the Commission will grant waivers to the extent necessary to reduce the regulatory, financial or technical burden on the </w:t>
      </w:r>
      <w:r w:rsidR="00D26F37" w:rsidRPr="00F86C9A">
        <w:t xml:space="preserve">Default Service Providers </w:t>
      </w:r>
      <w:r w:rsidRPr="00F86C9A">
        <w:t xml:space="preserve">or to the extent otherwise in the public interest.  </w:t>
      </w:r>
      <w:r w:rsidR="00D37C6B" w:rsidRPr="00F86C9A">
        <w:t>52 Pa.</w:t>
      </w:r>
      <w:r w:rsidRPr="00F86C9A">
        <w:t>Code § 54.185(g).</w:t>
      </w:r>
    </w:p>
    <w:p w:rsidR="000E4481" w:rsidRPr="00F86C9A" w:rsidRDefault="000E4481" w:rsidP="00E82B53">
      <w:pPr>
        <w:pStyle w:val="ListParagraph"/>
        <w:spacing w:line="360" w:lineRule="auto"/>
      </w:pPr>
    </w:p>
    <w:p w:rsidR="00B35904" w:rsidRPr="00F86C9A" w:rsidRDefault="00692E7E" w:rsidP="00F17CAA">
      <w:pPr>
        <w:numPr>
          <w:ilvl w:val="0"/>
          <w:numId w:val="18"/>
        </w:numPr>
        <w:autoSpaceDE/>
        <w:autoSpaceDN/>
        <w:spacing w:line="360" w:lineRule="auto"/>
        <w:ind w:left="0" w:firstLine="1440"/>
      </w:pPr>
      <w:r w:rsidRPr="00F86C9A">
        <w:t>The Companies have sustained their burden to demonstrate that a waiver of</w:t>
      </w:r>
      <w:r w:rsidR="008D0694" w:rsidRPr="00F86C9A">
        <w:t xml:space="preserve"> Sections</w:t>
      </w:r>
      <w:r w:rsidRPr="00F86C9A">
        <w:t xml:space="preserve"> </w:t>
      </w:r>
      <w:r w:rsidR="008D0694" w:rsidRPr="00F86C9A">
        <w:t>54.186(c</w:t>
      </w:r>
      <w:proofErr w:type="gramStart"/>
      <w:r w:rsidR="008D0694" w:rsidRPr="00F86C9A">
        <w:t>)(</w:t>
      </w:r>
      <w:proofErr w:type="gramEnd"/>
      <w:r w:rsidR="008D0694" w:rsidRPr="00F86C9A">
        <w:t>2), 54.187(j), 54.188(e)(2), 69.1804</w:t>
      </w:r>
      <w:r w:rsidR="000567C7" w:rsidRPr="00F86C9A">
        <w:t xml:space="preserve"> and</w:t>
      </w:r>
      <w:r w:rsidR="008D0694" w:rsidRPr="00F86C9A">
        <w:t xml:space="preserve"> 69.1809 of the Commission’s regulations </w:t>
      </w:r>
      <w:r w:rsidR="00E82B53">
        <w:t>should be granted.</w:t>
      </w:r>
    </w:p>
    <w:p w:rsidR="0079069C" w:rsidRPr="00F86C9A" w:rsidRDefault="0079069C" w:rsidP="00E82B53">
      <w:pPr>
        <w:pStyle w:val="ListParagraph"/>
        <w:spacing w:line="360" w:lineRule="auto"/>
      </w:pPr>
    </w:p>
    <w:p w:rsidR="0079069C" w:rsidRPr="00F86C9A" w:rsidRDefault="0079069C" w:rsidP="00F17CAA">
      <w:pPr>
        <w:numPr>
          <w:ilvl w:val="0"/>
          <w:numId w:val="18"/>
        </w:numPr>
        <w:autoSpaceDE/>
        <w:autoSpaceDN/>
        <w:spacing w:line="360" w:lineRule="auto"/>
        <w:ind w:left="0" w:firstLine="1440"/>
      </w:pPr>
      <w:r w:rsidRPr="00F86C9A">
        <w:t>The Companies have sustained their burden to demonstrate that the proposed procurement plan</w:t>
      </w:r>
      <w:r w:rsidR="00D26F37" w:rsidRPr="00F86C9A">
        <w:t>,</w:t>
      </w:r>
      <w:r w:rsidRPr="00F86C9A">
        <w:t xml:space="preserve"> </w:t>
      </w:r>
      <w:r w:rsidR="00D26F37" w:rsidRPr="00F86C9A">
        <w:t xml:space="preserve">as modified above, </w:t>
      </w:r>
      <w:r w:rsidRPr="00F86C9A">
        <w:t>complies with applicable statutory and Commission precedent and should be adopted.</w:t>
      </w:r>
    </w:p>
    <w:p w:rsidR="00692E7E" w:rsidRDefault="00692E7E" w:rsidP="00692E7E">
      <w:pPr>
        <w:autoSpaceDE/>
        <w:autoSpaceDN/>
        <w:spacing w:line="360" w:lineRule="auto"/>
      </w:pPr>
    </w:p>
    <w:p w:rsidR="00D56DA2" w:rsidRPr="00F86C9A" w:rsidRDefault="00D56DA2" w:rsidP="00692E7E">
      <w:pPr>
        <w:autoSpaceDE/>
        <w:autoSpaceDN/>
        <w:spacing w:line="360" w:lineRule="auto"/>
      </w:pPr>
    </w:p>
    <w:p w:rsidR="00B35904" w:rsidRPr="00F86C9A" w:rsidRDefault="00590341" w:rsidP="00590341">
      <w:pPr>
        <w:pStyle w:val="ListParagraph"/>
        <w:autoSpaceDE/>
        <w:autoSpaceDN/>
        <w:spacing w:line="360" w:lineRule="auto"/>
        <w:ind w:left="0"/>
        <w:jc w:val="center"/>
      </w:pPr>
      <w:r w:rsidRPr="00F86C9A">
        <w:t>VII.</w:t>
      </w:r>
      <w:r w:rsidRPr="00F86C9A">
        <w:tab/>
      </w:r>
      <w:r w:rsidR="00B35904" w:rsidRPr="00F86C9A">
        <w:rPr>
          <w:u w:val="single"/>
        </w:rPr>
        <w:t>ORDER</w:t>
      </w:r>
    </w:p>
    <w:p w:rsidR="00B35904" w:rsidRPr="00F86C9A" w:rsidRDefault="00B35904" w:rsidP="00B35904">
      <w:pPr>
        <w:autoSpaceDE/>
        <w:autoSpaceDN/>
        <w:spacing w:line="360" w:lineRule="auto"/>
      </w:pPr>
    </w:p>
    <w:p w:rsidR="00B35904" w:rsidRPr="00F86C9A" w:rsidRDefault="00B35904" w:rsidP="00B35904">
      <w:pPr>
        <w:autoSpaceDE/>
        <w:autoSpaceDN/>
        <w:spacing w:line="360" w:lineRule="auto"/>
      </w:pPr>
    </w:p>
    <w:p w:rsidR="00B35904" w:rsidRPr="00F86C9A" w:rsidRDefault="00B35904" w:rsidP="00B35904">
      <w:pPr>
        <w:autoSpaceDE/>
        <w:autoSpaceDN/>
        <w:spacing w:line="360" w:lineRule="auto"/>
      </w:pPr>
      <w:r w:rsidRPr="00F86C9A">
        <w:tab/>
      </w:r>
      <w:r w:rsidRPr="00F86C9A">
        <w:tab/>
        <w:t>THEREFORE,</w:t>
      </w:r>
    </w:p>
    <w:p w:rsidR="00B35904" w:rsidRPr="00F86C9A" w:rsidRDefault="00B35904" w:rsidP="00B35904">
      <w:pPr>
        <w:autoSpaceDE/>
        <w:autoSpaceDN/>
        <w:spacing w:line="360" w:lineRule="auto"/>
      </w:pPr>
    </w:p>
    <w:p w:rsidR="00B35904" w:rsidRPr="00F86C9A" w:rsidRDefault="00B35904" w:rsidP="00B35904">
      <w:pPr>
        <w:autoSpaceDE/>
        <w:autoSpaceDN/>
        <w:spacing w:line="360" w:lineRule="auto"/>
      </w:pPr>
      <w:r w:rsidRPr="00F86C9A">
        <w:tab/>
      </w:r>
      <w:r w:rsidRPr="00F86C9A">
        <w:tab/>
        <w:t>IT IS RECOMMENDED:</w:t>
      </w:r>
    </w:p>
    <w:p w:rsidR="00B35904" w:rsidRPr="00F86C9A" w:rsidRDefault="00B35904" w:rsidP="00B35904">
      <w:pPr>
        <w:autoSpaceDE/>
        <w:autoSpaceDN/>
        <w:spacing w:line="360" w:lineRule="auto"/>
      </w:pPr>
    </w:p>
    <w:p w:rsidR="00F14BAC" w:rsidRDefault="00B35904" w:rsidP="00F14BAC">
      <w:pPr>
        <w:numPr>
          <w:ilvl w:val="0"/>
          <w:numId w:val="7"/>
        </w:numPr>
        <w:tabs>
          <w:tab w:val="num" w:pos="0"/>
        </w:tabs>
        <w:autoSpaceDE/>
        <w:autoSpaceDN/>
        <w:spacing w:line="360" w:lineRule="auto"/>
        <w:ind w:left="0" w:firstLine="1430"/>
      </w:pPr>
      <w:r w:rsidRPr="00F86C9A">
        <w:t xml:space="preserve">That </w:t>
      </w:r>
      <w:r w:rsidR="00BF2369" w:rsidRPr="00F86C9A">
        <w:t xml:space="preserve">the Joint Default Service Plan for Citizens’ Electric Company of Lewisburg, PA and Wellsboro Electric Company For the </w:t>
      </w:r>
      <w:r w:rsidR="00BD54C2">
        <w:t>Period June 1, 2015 Through May 31, </w:t>
      </w:r>
      <w:r w:rsidR="00BF2369" w:rsidRPr="00F86C9A">
        <w:t>2018, at Docket Nu</w:t>
      </w:r>
      <w:r w:rsidR="00273A52">
        <w:t>mbers P-2014-2425024 and P-2014-</w:t>
      </w:r>
      <w:r w:rsidR="00BF2369" w:rsidRPr="00F86C9A">
        <w:t>2425245 is hereby adopted and approved</w:t>
      </w:r>
      <w:r w:rsidR="00007160" w:rsidRPr="00F86C9A">
        <w:t>, consistent with the above discussion</w:t>
      </w:r>
      <w:r w:rsidR="00BF2369" w:rsidRPr="00F86C9A">
        <w:t>.</w:t>
      </w:r>
    </w:p>
    <w:p w:rsidR="00F14BAC" w:rsidRDefault="00F14BAC" w:rsidP="00F14BAC">
      <w:pPr>
        <w:autoSpaceDE/>
        <w:autoSpaceDN/>
        <w:spacing w:line="360" w:lineRule="auto"/>
        <w:ind w:left="1430"/>
      </w:pPr>
    </w:p>
    <w:p w:rsidR="00F14BAC" w:rsidRPr="00F86C9A" w:rsidRDefault="00F14BAC" w:rsidP="00F14BAC">
      <w:pPr>
        <w:numPr>
          <w:ilvl w:val="0"/>
          <w:numId w:val="7"/>
        </w:numPr>
        <w:tabs>
          <w:tab w:val="num" w:pos="0"/>
        </w:tabs>
        <w:autoSpaceDE/>
        <w:autoSpaceDN/>
        <w:spacing w:line="360" w:lineRule="auto"/>
        <w:ind w:left="0" w:firstLine="1430"/>
      </w:pPr>
      <w:r>
        <w:t xml:space="preserve">That </w:t>
      </w:r>
      <w:r w:rsidRPr="00F86C9A">
        <w:t xml:space="preserve">the Joint Default Service Plan for Citizens’ Electric Company of Lewisburg, PA and Wellsboro Electric Company For the </w:t>
      </w:r>
      <w:r>
        <w:t>Period June 1, 2015 Through May 31, </w:t>
      </w:r>
      <w:r w:rsidRPr="00F86C9A">
        <w:t xml:space="preserve">2018, </w:t>
      </w:r>
      <w:r>
        <w:rPr>
          <w:rFonts w:eastAsiaTheme="minorHAnsi"/>
        </w:rPr>
        <w:t xml:space="preserve">will be modified to </w:t>
      </w:r>
      <w:r w:rsidR="001908E2">
        <w:rPr>
          <w:rFonts w:eastAsiaTheme="minorHAnsi"/>
        </w:rPr>
        <w:t>allow</w:t>
      </w:r>
      <w:r>
        <w:rPr>
          <w:rFonts w:eastAsiaTheme="minorHAnsi"/>
        </w:rPr>
        <w:t xml:space="preserve"> the Companies flexibility in selecting a procurement trigger date if market conditions appear to be turning unf</w:t>
      </w:r>
      <w:r w:rsidR="001908E2">
        <w:rPr>
          <w:rFonts w:eastAsiaTheme="minorHAnsi"/>
        </w:rPr>
        <w:t>avorable</w:t>
      </w:r>
      <w:r>
        <w:rPr>
          <w:rFonts w:eastAsiaTheme="minorHAnsi"/>
        </w:rPr>
        <w:t xml:space="preserve">.  </w:t>
      </w:r>
    </w:p>
    <w:p w:rsidR="002B76EF" w:rsidRPr="00F86C9A" w:rsidRDefault="002B76EF" w:rsidP="00B87C75">
      <w:pPr>
        <w:autoSpaceDE/>
        <w:autoSpaceDN/>
        <w:spacing w:line="360" w:lineRule="auto"/>
        <w:ind w:left="1426"/>
      </w:pPr>
    </w:p>
    <w:p w:rsidR="002B76EF" w:rsidRPr="00F86C9A" w:rsidRDefault="002B76EF" w:rsidP="002B76EF">
      <w:pPr>
        <w:numPr>
          <w:ilvl w:val="0"/>
          <w:numId w:val="7"/>
        </w:numPr>
        <w:tabs>
          <w:tab w:val="num" w:pos="0"/>
        </w:tabs>
        <w:autoSpaceDE/>
        <w:autoSpaceDN/>
        <w:spacing w:line="360" w:lineRule="auto"/>
        <w:ind w:left="0" w:firstLine="1430"/>
      </w:pPr>
      <w:r w:rsidRPr="00F86C9A">
        <w:t>That the request for waiver of Sections 54.186(c</w:t>
      </w:r>
      <w:proofErr w:type="gramStart"/>
      <w:r w:rsidRPr="00F86C9A">
        <w:t>)(</w:t>
      </w:r>
      <w:proofErr w:type="gramEnd"/>
      <w:r w:rsidRPr="00F86C9A">
        <w:t>2), 54.187(j), 54.188(e)(2), 69.1804 and 69.1809 of the Commission’s regulations is granted.</w:t>
      </w:r>
    </w:p>
    <w:p w:rsidR="002B76EF" w:rsidRPr="00F86C9A" w:rsidRDefault="002B76EF" w:rsidP="00B87C75">
      <w:pPr>
        <w:pStyle w:val="ListParagraph"/>
        <w:spacing w:line="360" w:lineRule="auto"/>
      </w:pPr>
    </w:p>
    <w:p w:rsidR="002B76EF" w:rsidRPr="00F86C9A" w:rsidRDefault="002B76EF" w:rsidP="002B76EF">
      <w:pPr>
        <w:numPr>
          <w:ilvl w:val="0"/>
          <w:numId w:val="7"/>
        </w:numPr>
        <w:tabs>
          <w:tab w:val="num" w:pos="0"/>
        </w:tabs>
        <w:autoSpaceDE/>
        <w:autoSpaceDN/>
        <w:spacing w:line="360" w:lineRule="auto"/>
        <w:ind w:left="0" w:firstLine="1430"/>
      </w:pPr>
      <w:r w:rsidRPr="00F86C9A">
        <w:t xml:space="preserve">That </w:t>
      </w:r>
      <w:r w:rsidR="00BF2369" w:rsidRPr="00F86C9A">
        <w:t>Citizens’ Electric Company of Lewisburg, PA and Wellsboro Electric Company shall file appropriate tariff supplements, to be effective June 1, 2015.</w:t>
      </w:r>
    </w:p>
    <w:p w:rsidR="00BF2369" w:rsidRPr="00F86C9A" w:rsidRDefault="00BF2369" w:rsidP="00B87C75">
      <w:pPr>
        <w:pStyle w:val="ListParagraph"/>
        <w:spacing w:line="360" w:lineRule="auto"/>
      </w:pPr>
    </w:p>
    <w:p w:rsidR="00BF2369" w:rsidRPr="00F86C9A" w:rsidRDefault="00BF2369" w:rsidP="002B76EF">
      <w:pPr>
        <w:numPr>
          <w:ilvl w:val="0"/>
          <w:numId w:val="7"/>
        </w:numPr>
        <w:tabs>
          <w:tab w:val="num" w:pos="0"/>
        </w:tabs>
        <w:autoSpaceDE/>
        <w:autoSpaceDN/>
        <w:spacing w:line="360" w:lineRule="auto"/>
        <w:ind w:left="0" w:firstLine="1430"/>
      </w:pPr>
      <w:r w:rsidRPr="00F86C9A">
        <w:t>That, upon acceptance and approval by the Commission of the tariff supplements filed by Citizens’ Electric Company of Lewisburg, PA and Wellsboro Electric Company consistent with this Recommended Decision, this proceeding shall be marked closed.</w:t>
      </w:r>
    </w:p>
    <w:p w:rsidR="002B76EF" w:rsidRDefault="002B76EF" w:rsidP="00B87C75">
      <w:pPr>
        <w:autoSpaceDE/>
        <w:autoSpaceDN/>
        <w:spacing w:line="360" w:lineRule="auto"/>
        <w:ind w:left="1426"/>
      </w:pPr>
    </w:p>
    <w:p w:rsidR="00273A52" w:rsidRPr="00F86C9A" w:rsidRDefault="00273A52" w:rsidP="00B87C75">
      <w:pPr>
        <w:autoSpaceDE/>
        <w:autoSpaceDN/>
        <w:spacing w:line="360" w:lineRule="auto"/>
        <w:ind w:left="1426"/>
      </w:pPr>
    </w:p>
    <w:p w:rsidR="00A6779D" w:rsidRPr="00F86C9A" w:rsidRDefault="00A6779D" w:rsidP="00B87C75">
      <w:pPr>
        <w:autoSpaceDE/>
        <w:autoSpaceDN/>
        <w:spacing w:line="360" w:lineRule="auto"/>
        <w:ind w:left="1426"/>
      </w:pPr>
    </w:p>
    <w:p w:rsidR="00444E27" w:rsidRPr="00F86C9A" w:rsidRDefault="00444E27" w:rsidP="006943A8">
      <w:pPr>
        <w:rPr>
          <w:u w:val="single"/>
        </w:rPr>
      </w:pPr>
      <w:r w:rsidRPr="00F86C9A">
        <w:t xml:space="preserve">Date: </w:t>
      </w:r>
      <w:r w:rsidR="009E783B" w:rsidRPr="00F86C9A">
        <w:rPr>
          <w:u w:val="single"/>
        </w:rPr>
        <w:t xml:space="preserve">November </w:t>
      </w:r>
      <w:r w:rsidR="007A2F53" w:rsidRPr="00F86C9A">
        <w:rPr>
          <w:u w:val="single"/>
        </w:rPr>
        <w:t>4</w:t>
      </w:r>
      <w:r w:rsidRPr="00F86C9A">
        <w:rPr>
          <w:u w:val="single"/>
        </w:rPr>
        <w:t>, 201</w:t>
      </w:r>
      <w:r w:rsidR="004417F1" w:rsidRPr="00F86C9A">
        <w:rPr>
          <w:u w:val="single"/>
        </w:rPr>
        <w:t>4</w:t>
      </w:r>
      <w:r w:rsidRPr="00F86C9A">
        <w:tab/>
      </w:r>
      <w:r w:rsidRPr="00F86C9A">
        <w:tab/>
      </w:r>
      <w:r w:rsidR="005E13EC" w:rsidRPr="00F86C9A">
        <w:tab/>
      </w:r>
      <w:r w:rsidR="005E13EC" w:rsidRPr="00F86C9A">
        <w:tab/>
      </w:r>
      <w:r w:rsidRPr="00F86C9A">
        <w:rPr>
          <w:u w:val="single"/>
        </w:rPr>
        <w:tab/>
      </w:r>
      <w:r w:rsidR="00250B70" w:rsidRPr="00F86C9A">
        <w:rPr>
          <w:u w:val="single"/>
        </w:rPr>
        <w:t>/s/</w:t>
      </w:r>
      <w:r w:rsidRPr="00F86C9A">
        <w:rPr>
          <w:u w:val="single"/>
        </w:rPr>
        <w:tab/>
      </w:r>
      <w:r w:rsidRPr="00F86C9A">
        <w:rPr>
          <w:u w:val="single"/>
        </w:rPr>
        <w:tab/>
      </w:r>
      <w:r w:rsidRPr="00F86C9A">
        <w:rPr>
          <w:u w:val="single"/>
        </w:rPr>
        <w:tab/>
      </w:r>
      <w:r w:rsidRPr="00F86C9A">
        <w:rPr>
          <w:u w:val="single"/>
        </w:rPr>
        <w:tab/>
      </w:r>
    </w:p>
    <w:p w:rsidR="00444E27" w:rsidRPr="00F86C9A" w:rsidRDefault="00444E27" w:rsidP="006943A8">
      <w:r w:rsidRPr="00F86C9A">
        <w:tab/>
      </w:r>
      <w:r w:rsidRPr="00F86C9A">
        <w:tab/>
      </w:r>
      <w:r w:rsidRPr="00F86C9A">
        <w:tab/>
      </w:r>
      <w:r w:rsidRPr="00F86C9A">
        <w:tab/>
      </w:r>
      <w:r w:rsidRPr="00F86C9A">
        <w:tab/>
      </w:r>
      <w:r w:rsidR="005E13EC" w:rsidRPr="00F86C9A">
        <w:tab/>
      </w:r>
      <w:r w:rsidR="005E13EC" w:rsidRPr="00F86C9A">
        <w:tab/>
      </w:r>
      <w:r w:rsidR="0062545F" w:rsidRPr="00F86C9A">
        <w:t xml:space="preserve">Joel H. Cheskis </w:t>
      </w:r>
    </w:p>
    <w:p w:rsidR="00444E27" w:rsidRPr="00F86C9A" w:rsidRDefault="00444E27" w:rsidP="006943A8">
      <w:r w:rsidRPr="00F86C9A">
        <w:tab/>
      </w:r>
      <w:r w:rsidRPr="00F86C9A">
        <w:tab/>
      </w:r>
      <w:r w:rsidRPr="00F86C9A">
        <w:tab/>
      </w:r>
      <w:r w:rsidRPr="00F86C9A">
        <w:tab/>
      </w:r>
      <w:r w:rsidRPr="00F86C9A">
        <w:tab/>
      </w:r>
      <w:r w:rsidR="005E13EC" w:rsidRPr="00F86C9A">
        <w:tab/>
      </w:r>
      <w:r w:rsidR="005E13EC" w:rsidRPr="00F86C9A">
        <w:tab/>
      </w:r>
      <w:r w:rsidRPr="00F86C9A">
        <w:t>Administrative Law Judge</w:t>
      </w:r>
    </w:p>
    <w:sectPr w:rsidR="00444E27" w:rsidRPr="00F86C9A" w:rsidSect="00F86C9A">
      <w:footerReference w:type="default" r:id="rId9"/>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5CC" w:rsidRDefault="009505CC">
      <w:r>
        <w:separator/>
      </w:r>
    </w:p>
  </w:endnote>
  <w:endnote w:type="continuationSeparator" w:id="0">
    <w:p w:rsidR="009505CC" w:rsidRDefault="00950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0190852"/>
      <w:docPartObj>
        <w:docPartGallery w:val="Page Numbers (Bottom of Page)"/>
        <w:docPartUnique/>
      </w:docPartObj>
    </w:sdtPr>
    <w:sdtEndPr>
      <w:rPr>
        <w:noProof/>
        <w:sz w:val="20"/>
        <w:szCs w:val="20"/>
      </w:rPr>
    </w:sdtEndPr>
    <w:sdtContent>
      <w:p w:rsidR="00E557B0" w:rsidRPr="00C5600F" w:rsidRDefault="00F86C9A" w:rsidP="00C5600F">
        <w:pPr>
          <w:pStyle w:val="Footer"/>
          <w:jc w:val="center"/>
          <w:rPr>
            <w:sz w:val="20"/>
            <w:szCs w:val="20"/>
          </w:rPr>
        </w:pPr>
        <w:r w:rsidRPr="00C5600F">
          <w:rPr>
            <w:sz w:val="20"/>
            <w:szCs w:val="20"/>
          </w:rPr>
          <w:fldChar w:fldCharType="begin"/>
        </w:r>
        <w:r w:rsidRPr="00C5600F">
          <w:rPr>
            <w:sz w:val="20"/>
            <w:szCs w:val="20"/>
          </w:rPr>
          <w:instrText xml:space="preserve"> PAGE   \* MERGEFORMAT </w:instrText>
        </w:r>
        <w:r w:rsidRPr="00C5600F">
          <w:rPr>
            <w:sz w:val="20"/>
            <w:szCs w:val="20"/>
          </w:rPr>
          <w:fldChar w:fldCharType="separate"/>
        </w:r>
        <w:r w:rsidR="007F2949">
          <w:rPr>
            <w:noProof/>
            <w:sz w:val="20"/>
            <w:szCs w:val="20"/>
          </w:rPr>
          <w:t>2</w:t>
        </w:r>
        <w:r w:rsidRPr="00C5600F">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5CC" w:rsidRDefault="009505CC">
      <w:r>
        <w:separator/>
      </w:r>
    </w:p>
  </w:footnote>
  <w:footnote w:type="continuationSeparator" w:id="0">
    <w:p w:rsidR="009505CC" w:rsidRDefault="009505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0534E22"/>
    <w:multiLevelType w:val="hybridMultilevel"/>
    <w:tmpl w:val="53460160"/>
    <w:lvl w:ilvl="0" w:tplc="5C20B048">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7F5CE7"/>
    <w:multiLevelType w:val="hybridMultilevel"/>
    <w:tmpl w:val="893E7F32"/>
    <w:lvl w:ilvl="0" w:tplc="8E827FA0">
      <w:start w:val="1"/>
      <w:numFmt w:val="upperLetter"/>
      <w:lvlText w:val="%1."/>
      <w:lvlJc w:val="left"/>
      <w:pPr>
        <w:ind w:left="720" w:hanging="63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2C52793F"/>
    <w:multiLevelType w:val="hybridMultilevel"/>
    <w:tmpl w:val="BD5CF38E"/>
    <w:lvl w:ilvl="0" w:tplc="D67A8E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EE53B7"/>
    <w:multiLevelType w:val="hybridMultilevel"/>
    <w:tmpl w:val="B156E74C"/>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nsid w:val="3A451A70"/>
    <w:multiLevelType w:val="multilevel"/>
    <w:tmpl w:val="5F8030F0"/>
    <w:lvl w:ilvl="0">
      <w:start w:val="1"/>
      <w:numFmt w:val="upperLetter"/>
      <w:pStyle w:val="Heading1"/>
      <w:lvlText w:val="%1."/>
      <w:lvlJc w:val="left"/>
      <w:pPr>
        <w:tabs>
          <w:tab w:val="num" w:pos="1800"/>
        </w:tabs>
        <w:ind w:left="1800" w:hanging="720"/>
      </w:pPr>
      <w:rPr>
        <w:rFonts w:asciiTheme="majorHAnsi" w:eastAsiaTheme="majorEastAsia" w:hAnsiTheme="majorHAnsi" w:cstheme="majorBidi"/>
        <w:caps w:val="0"/>
        <w:color w:val="010000"/>
        <w:u w:val="none"/>
      </w:rPr>
    </w:lvl>
    <w:lvl w:ilvl="1">
      <w:start w:val="1"/>
      <w:numFmt w:val="upperLetter"/>
      <w:pStyle w:val="Heading2"/>
      <w:lvlText w:val="%2."/>
      <w:lvlJc w:val="left"/>
      <w:pPr>
        <w:tabs>
          <w:tab w:val="num" w:pos="1440"/>
        </w:tabs>
        <w:ind w:left="1440" w:hanging="720"/>
      </w:pPr>
      <w:rPr>
        <w:caps w:val="0"/>
        <w:color w:val="010000"/>
        <w:u w:val="none"/>
      </w:rPr>
    </w:lvl>
    <w:lvl w:ilvl="2">
      <w:start w:val="1"/>
      <w:numFmt w:val="decimal"/>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970"/>
        </w:tabs>
        <w:ind w:left="2970" w:hanging="720"/>
      </w:pPr>
      <w:rPr>
        <w:caps w:val="0"/>
        <w:color w:val="010000"/>
        <w:u w:val="none"/>
      </w:rPr>
    </w:lvl>
    <w:lvl w:ilvl="4">
      <w:start w:val="1"/>
      <w:numFmt w:val="lowerRoman"/>
      <w:pStyle w:val="Heading5"/>
      <w:lvlText w:val="%5."/>
      <w:lvlJc w:val="left"/>
      <w:pPr>
        <w:tabs>
          <w:tab w:val="num" w:pos="3600"/>
        </w:tabs>
        <w:ind w:left="3600" w:hanging="720"/>
      </w:pPr>
      <w:rPr>
        <w:caps w:val="0"/>
        <w:color w:val="010000"/>
        <w:u w:val="none"/>
      </w:rPr>
    </w:lvl>
    <w:lvl w:ilvl="5">
      <w:start w:val="1"/>
      <w:numFmt w:val="upperLetter"/>
      <w:pStyle w:val="Heading6"/>
      <w:lvlText w:val="(%6)"/>
      <w:lvlJc w:val="left"/>
      <w:pPr>
        <w:tabs>
          <w:tab w:val="num" w:pos="4320"/>
        </w:tabs>
        <w:ind w:left="4320" w:hanging="720"/>
      </w:pPr>
      <w:rPr>
        <w:caps w:val="0"/>
        <w:color w:val="010000"/>
        <w:u w:val="none"/>
      </w:rPr>
    </w:lvl>
    <w:lvl w:ilvl="6">
      <w:start w:val="1"/>
      <w:numFmt w:val="decimal"/>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lowerRoman"/>
      <w:pStyle w:val="Heading9"/>
      <w:lvlText w:val="(%9)"/>
      <w:lvlJc w:val="left"/>
      <w:pPr>
        <w:tabs>
          <w:tab w:val="num" w:pos="6480"/>
        </w:tabs>
        <w:ind w:left="6480" w:hanging="720"/>
      </w:pPr>
      <w:rPr>
        <w:caps w:val="0"/>
        <w:color w:val="010000"/>
        <w:u w:val="none"/>
      </w:rPr>
    </w:lvl>
  </w:abstractNum>
  <w:abstractNum w:abstractNumId="6">
    <w:nsid w:val="3B62677E"/>
    <w:multiLevelType w:val="hybridMultilevel"/>
    <w:tmpl w:val="3F54E378"/>
    <w:lvl w:ilvl="0" w:tplc="F312B2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1BA3EE2"/>
    <w:multiLevelType w:val="hybridMultilevel"/>
    <w:tmpl w:val="68A285B6"/>
    <w:lvl w:ilvl="0" w:tplc="D4E4ED7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4B591C"/>
    <w:multiLevelType w:val="hybridMultilevel"/>
    <w:tmpl w:val="F86E3866"/>
    <w:lvl w:ilvl="0" w:tplc="39107B2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C022E0A"/>
    <w:multiLevelType w:val="hybridMultilevel"/>
    <w:tmpl w:val="FCDAD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252735"/>
    <w:multiLevelType w:val="hybridMultilevel"/>
    <w:tmpl w:val="ACFE1204"/>
    <w:lvl w:ilvl="0" w:tplc="D9C626B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C86430B"/>
    <w:multiLevelType w:val="singleLevel"/>
    <w:tmpl w:val="26FC0054"/>
    <w:lvl w:ilvl="0">
      <w:start w:val="1"/>
      <w:numFmt w:val="decimal"/>
      <w:pStyle w:val="ListNumber"/>
      <w:lvlText w:val="%1."/>
      <w:lvlJc w:val="left"/>
      <w:pPr>
        <w:tabs>
          <w:tab w:val="num" w:pos="1440"/>
        </w:tabs>
        <w:ind w:left="0" w:firstLine="720"/>
      </w:pPr>
      <w:rPr>
        <w:rFonts w:hint="default"/>
        <w:b w:val="0"/>
      </w:rPr>
    </w:lvl>
  </w:abstractNum>
  <w:abstractNum w:abstractNumId="12">
    <w:nsid w:val="5D63738F"/>
    <w:multiLevelType w:val="hybridMultilevel"/>
    <w:tmpl w:val="9A6210AC"/>
    <w:lvl w:ilvl="0" w:tplc="6CAEAC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217B1D"/>
    <w:multiLevelType w:val="hybridMultilevel"/>
    <w:tmpl w:val="5C6CF8AC"/>
    <w:lvl w:ilvl="0" w:tplc="882463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77C20DFC"/>
    <w:multiLevelType w:val="hybridMultilevel"/>
    <w:tmpl w:val="412C8CBC"/>
    <w:lvl w:ilvl="0" w:tplc="928226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11"/>
  </w:num>
  <w:num w:numId="3">
    <w:abstractNumId w:val="5"/>
    <w:lvlOverride w:ilvl="0">
      <w:startOverride w:val="1"/>
    </w:lvlOverride>
    <w:lvlOverride w:ilvl="1">
      <w:startOverride w:val="1"/>
    </w:lvlOverride>
    <w:lvlOverride w:ilvl="2">
      <w:startOverride w:val="34"/>
    </w:lvlOverride>
  </w:num>
  <w:num w:numId="4">
    <w:abstractNumId w:val="5"/>
    <w:lvlOverride w:ilvl="0">
      <w:startOverride w:val="1"/>
    </w:lvlOverride>
    <w:lvlOverride w:ilvl="1">
      <w:startOverride w:val="1"/>
    </w:lvlOverride>
    <w:lvlOverride w:ilvl="2">
      <w:startOverride w:val="36"/>
    </w:lvlOverride>
  </w:num>
  <w:num w:numId="5">
    <w:abstractNumId w:val="5"/>
    <w:lvlOverride w:ilvl="0">
      <w:startOverride w:val="1"/>
    </w:lvlOverride>
    <w:lvlOverride w:ilvl="1">
      <w:startOverride w:val="1"/>
    </w:lvlOverride>
    <w:lvlOverride w:ilvl="2">
      <w:startOverride w:val="37"/>
    </w:lvlOverride>
  </w:num>
  <w:num w:numId="6">
    <w:abstractNumId w:val="5"/>
    <w:lvlOverride w:ilvl="0">
      <w:startOverride w:val="1"/>
    </w:lvlOverride>
    <w:lvlOverride w:ilvl="1">
      <w:startOverride w:val="1"/>
    </w:lvlOverride>
    <w:lvlOverride w:ilvl="2">
      <w:startOverride w:val="39"/>
    </w:lvlOverride>
  </w:num>
  <w:num w:numId="7">
    <w:abstractNumId w:val="0"/>
  </w:num>
  <w:num w:numId="8">
    <w:abstractNumId w:val="5"/>
    <w:lvlOverride w:ilvl="0">
      <w:startOverride w:val="1"/>
    </w:lvlOverride>
  </w:num>
  <w:num w:numId="9">
    <w:abstractNumId w:val="5"/>
    <w:lvlOverride w:ilvl="0">
      <w:startOverride w:val="3"/>
    </w:lvlOverride>
  </w:num>
  <w:num w:numId="10">
    <w:abstractNumId w:val="2"/>
  </w:num>
  <w:num w:numId="11">
    <w:abstractNumId w:val="12"/>
  </w:num>
  <w:num w:numId="12">
    <w:abstractNumId w:val="10"/>
  </w:num>
  <w:num w:numId="13">
    <w:abstractNumId w:val="8"/>
  </w:num>
  <w:num w:numId="14">
    <w:abstractNumId w:val="4"/>
  </w:num>
  <w:num w:numId="15">
    <w:abstractNumId w:val="13"/>
  </w:num>
  <w:num w:numId="16">
    <w:abstractNumId w:val="3"/>
  </w:num>
  <w:num w:numId="17">
    <w:abstractNumId w:val="1"/>
  </w:num>
  <w:num w:numId="18">
    <w:abstractNumId w:val="7"/>
  </w:num>
  <w:num w:numId="19">
    <w:abstractNumId w:val="9"/>
  </w:num>
  <w:num w:numId="20">
    <w:abstractNumId w:val="6"/>
  </w:num>
  <w:num w:numId="21">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152C"/>
    <w:rsid w:val="00001D2B"/>
    <w:rsid w:val="00002E79"/>
    <w:rsid w:val="00003135"/>
    <w:rsid w:val="00005247"/>
    <w:rsid w:val="000065C6"/>
    <w:rsid w:val="000067F5"/>
    <w:rsid w:val="00006FE5"/>
    <w:rsid w:val="00007160"/>
    <w:rsid w:val="00007F92"/>
    <w:rsid w:val="00011478"/>
    <w:rsid w:val="000145A9"/>
    <w:rsid w:val="00014CE7"/>
    <w:rsid w:val="00015E66"/>
    <w:rsid w:val="00017C0F"/>
    <w:rsid w:val="00023CA1"/>
    <w:rsid w:val="000253A0"/>
    <w:rsid w:val="000253F8"/>
    <w:rsid w:val="00031812"/>
    <w:rsid w:val="00031CED"/>
    <w:rsid w:val="0003493A"/>
    <w:rsid w:val="000355C5"/>
    <w:rsid w:val="00037E8B"/>
    <w:rsid w:val="000404DE"/>
    <w:rsid w:val="00040542"/>
    <w:rsid w:val="00043AA0"/>
    <w:rsid w:val="000447F9"/>
    <w:rsid w:val="00045006"/>
    <w:rsid w:val="00045968"/>
    <w:rsid w:val="00050489"/>
    <w:rsid w:val="00050AF1"/>
    <w:rsid w:val="00050FC1"/>
    <w:rsid w:val="00052CE3"/>
    <w:rsid w:val="00053B31"/>
    <w:rsid w:val="00054540"/>
    <w:rsid w:val="00054A10"/>
    <w:rsid w:val="00055FCB"/>
    <w:rsid w:val="000567C7"/>
    <w:rsid w:val="00056C1D"/>
    <w:rsid w:val="0005789F"/>
    <w:rsid w:val="00060BB1"/>
    <w:rsid w:val="00061158"/>
    <w:rsid w:val="00063F87"/>
    <w:rsid w:val="0006400C"/>
    <w:rsid w:val="00065280"/>
    <w:rsid w:val="000675B6"/>
    <w:rsid w:val="00073240"/>
    <w:rsid w:val="00076E36"/>
    <w:rsid w:val="0008050B"/>
    <w:rsid w:val="00080E54"/>
    <w:rsid w:val="0008163B"/>
    <w:rsid w:val="00081A6A"/>
    <w:rsid w:val="000851FC"/>
    <w:rsid w:val="000874BA"/>
    <w:rsid w:val="000878EC"/>
    <w:rsid w:val="0009367E"/>
    <w:rsid w:val="00094E50"/>
    <w:rsid w:val="000A0EA9"/>
    <w:rsid w:val="000A2E76"/>
    <w:rsid w:val="000A4C68"/>
    <w:rsid w:val="000A6815"/>
    <w:rsid w:val="000B6D6C"/>
    <w:rsid w:val="000B763B"/>
    <w:rsid w:val="000C0120"/>
    <w:rsid w:val="000C335E"/>
    <w:rsid w:val="000C3A73"/>
    <w:rsid w:val="000C5271"/>
    <w:rsid w:val="000C541F"/>
    <w:rsid w:val="000C5888"/>
    <w:rsid w:val="000C7270"/>
    <w:rsid w:val="000D1CF8"/>
    <w:rsid w:val="000D2CCA"/>
    <w:rsid w:val="000D3430"/>
    <w:rsid w:val="000D4032"/>
    <w:rsid w:val="000D4868"/>
    <w:rsid w:val="000D53D8"/>
    <w:rsid w:val="000D67B4"/>
    <w:rsid w:val="000D6D4C"/>
    <w:rsid w:val="000D6D75"/>
    <w:rsid w:val="000D723A"/>
    <w:rsid w:val="000E0B63"/>
    <w:rsid w:val="000E4481"/>
    <w:rsid w:val="000E4ECB"/>
    <w:rsid w:val="000E50C9"/>
    <w:rsid w:val="000E5B59"/>
    <w:rsid w:val="000E6B3B"/>
    <w:rsid w:val="000E7508"/>
    <w:rsid w:val="000F0A49"/>
    <w:rsid w:val="000F165F"/>
    <w:rsid w:val="000F7691"/>
    <w:rsid w:val="000F7AAE"/>
    <w:rsid w:val="00100249"/>
    <w:rsid w:val="00100DD6"/>
    <w:rsid w:val="001011A4"/>
    <w:rsid w:val="00102B7F"/>
    <w:rsid w:val="00104073"/>
    <w:rsid w:val="00104D08"/>
    <w:rsid w:val="00104DA2"/>
    <w:rsid w:val="00104EB4"/>
    <w:rsid w:val="0010593C"/>
    <w:rsid w:val="001066C1"/>
    <w:rsid w:val="00106F5A"/>
    <w:rsid w:val="00107108"/>
    <w:rsid w:val="00111D05"/>
    <w:rsid w:val="00111FE2"/>
    <w:rsid w:val="00113C98"/>
    <w:rsid w:val="001143EE"/>
    <w:rsid w:val="00116479"/>
    <w:rsid w:val="00116C62"/>
    <w:rsid w:val="00122A9C"/>
    <w:rsid w:val="0012516D"/>
    <w:rsid w:val="00125951"/>
    <w:rsid w:val="001270B6"/>
    <w:rsid w:val="001270ED"/>
    <w:rsid w:val="0012723E"/>
    <w:rsid w:val="00132928"/>
    <w:rsid w:val="00136438"/>
    <w:rsid w:val="001370A1"/>
    <w:rsid w:val="0013770C"/>
    <w:rsid w:val="00137BA0"/>
    <w:rsid w:val="00137E7D"/>
    <w:rsid w:val="00140883"/>
    <w:rsid w:val="00141AEF"/>
    <w:rsid w:val="00141DCE"/>
    <w:rsid w:val="00142D6C"/>
    <w:rsid w:val="00142EE0"/>
    <w:rsid w:val="00143290"/>
    <w:rsid w:val="001441F9"/>
    <w:rsid w:val="00144EB5"/>
    <w:rsid w:val="00153529"/>
    <w:rsid w:val="001547B2"/>
    <w:rsid w:val="00154C3F"/>
    <w:rsid w:val="00155A7B"/>
    <w:rsid w:val="001573EB"/>
    <w:rsid w:val="00161294"/>
    <w:rsid w:val="001624C0"/>
    <w:rsid w:val="00162D32"/>
    <w:rsid w:val="001635BD"/>
    <w:rsid w:val="00163C4B"/>
    <w:rsid w:val="00165034"/>
    <w:rsid w:val="001710A8"/>
    <w:rsid w:val="001714A2"/>
    <w:rsid w:val="0017241E"/>
    <w:rsid w:val="001767DF"/>
    <w:rsid w:val="001816FB"/>
    <w:rsid w:val="00181BAB"/>
    <w:rsid w:val="00182ECA"/>
    <w:rsid w:val="00183586"/>
    <w:rsid w:val="001838AE"/>
    <w:rsid w:val="00184036"/>
    <w:rsid w:val="00185149"/>
    <w:rsid w:val="0018525F"/>
    <w:rsid w:val="00186046"/>
    <w:rsid w:val="0018619F"/>
    <w:rsid w:val="001866EB"/>
    <w:rsid w:val="00187495"/>
    <w:rsid w:val="00187940"/>
    <w:rsid w:val="001900E6"/>
    <w:rsid w:val="00190533"/>
    <w:rsid w:val="00190843"/>
    <w:rsid w:val="001908E2"/>
    <w:rsid w:val="00193F4C"/>
    <w:rsid w:val="0019509B"/>
    <w:rsid w:val="00195690"/>
    <w:rsid w:val="001965DE"/>
    <w:rsid w:val="001971CC"/>
    <w:rsid w:val="00197B84"/>
    <w:rsid w:val="001A016C"/>
    <w:rsid w:val="001A1495"/>
    <w:rsid w:val="001A23E5"/>
    <w:rsid w:val="001A2DC6"/>
    <w:rsid w:val="001C23B6"/>
    <w:rsid w:val="001C4E2B"/>
    <w:rsid w:val="001C7376"/>
    <w:rsid w:val="001C7DC7"/>
    <w:rsid w:val="001C7E2F"/>
    <w:rsid w:val="001D0606"/>
    <w:rsid w:val="001D148F"/>
    <w:rsid w:val="001D36BC"/>
    <w:rsid w:val="001D48D9"/>
    <w:rsid w:val="001D51CA"/>
    <w:rsid w:val="001D6497"/>
    <w:rsid w:val="001E0583"/>
    <w:rsid w:val="001E07EE"/>
    <w:rsid w:val="001E1EC3"/>
    <w:rsid w:val="001E1EE6"/>
    <w:rsid w:val="001E41F1"/>
    <w:rsid w:val="001E47AD"/>
    <w:rsid w:val="001E755C"/>
    <w:rsid w:val="001F1691"/>
    <w:rsid w:val="001F1EC1"/>
    <w:rsid w:val="001F20D6"/>
    <w:rsid w:val="001F2EDB"/>
    <w:rsid w:val="001F3D60"/>
    <w:rsid w:val="001F59C0"/>
    <w:rsid w:val="0020025C"/>
    <w:rsid w:val="00200F80"/>
    <w:rsid w:val="002026C5"/>
    <w:rsid w:val="00203B54"/>
    <w:rsid w:val="00205137"/>
    <w:rsid w:val="002069A1"/>
    <w:rsid w:val="00211B15"/>
    <w:rsid w:val="00212459"/>
    <w:rsid w:val="0021386F"/>
    <w:rsid w:val="00215B6A"/>
    <w:rsid w:val="002206DE"/>
    <w:rsid w:val="0022121D"/>
    <w:rsid w:val="00224765"/>
    <w:rsid w:val="0023008A"/>
    <w:rsid w:val="002326CC"/>
    <w:rsid w:val="00235425"/>
    <w:rsid w:val="0023570C"/>
    <w:rsid w:val="00237E0A"/>
    <w:rsid w:val="002403E8"/>
    <w:rsid w:val="0024168A"/>
    <w:rsid w:val="002425D9"/>
    <w:rsid w:val="0024311B"/>
    <w:rsid w:val="002449CA"/>
    <w:rsid w:val="0024604C"/>
    <w:rsid w:val="00250B70"/>
    <w:rsid w:val="00250F7E"/>
    <w:rsid w:val="00251E09"/>
    <w:rsid w:val="00252571"/>
    <w:rsid w:val="00252770"/>
    <w:rsid w:val="00252F51"/>
    <w:rsid w:val="0025436A"/>
    <w:rsid w:val="0026060C"/>
    <w:rsid w:val="0026329B"/>
    <w:rsid w:val="00264ED9"/>
    <w:rsid w:val="00265C6E"/>
    <w:rsid w:val="00266583"/>
    <w:rsid w:val="0027053D"/>
    <w:rsid w:val="0027269F"/>
    <w:rsid w:val="00272746"/>
    <w:rsid w:val="00272C5B"/>
    <w:rsid w:val="00273A52"/>
    <w:rsid w:val="002748B1"/>
    <w:rsid w:val="00276158"/>
    <w:rsid w:val="00276337"/>
    <w:rsid w:val="00280A33"/>
    <w:rsid w:val="002825EF"/>
    <w:rsid w:val="00283738"/>
    <w:rsid w:val="00285754"/>
    <w:rsid w:val="002860B7"/>
    <w:rsid w:val="00286976"/>
    <w:rsid w:val="002872AD"/>
    <w:rsid w:val="00292691"/>
    <w:rsid w:val="002945A6"/>
    <w:rsid w:val="002967D0"/>
    <w:rsid w:val="002967E5"/>
    <w:rsid w:val="002A0BF9"/>
    <w:rsid w:val="002A454A"/>
    <w:rsid w:val="002A454F"/>
    <w:rsid w:val="002A56B3"/>
    <w:rsid w:val="002A5F90"/>
    <w:rsid w:val="002A6146"/>
    <w:rsid w:val="002A70FB"/>
    <w:rsid w:val="002B04F4"/>
    <w:rsid w:val="002B19F4"/>
    <w:rsid w:val="002B1CF9"/>
    <w:rsid w:val="002B1DB7"/>
    <w:rsid w:val="002B4077"/>
    <w:rsid w:val="002B5A65"/>
    <w:rsid w:val="002B6849"/>
    <w:rsid w:val="002B7503"/>
    <w:rsid w:val="002B76EF"/>
    <w:rsid w:val="002C06C1"/>
    <w:rsid w:val="002C13F5"/>
    <w:rsid w:val="002C2649"/>
    <w:rsid w:val="002C2C4E"/>
    <w:rsid w:val="002C32C8"/>
    <w:rsid w:val="002C370F"/>
    <w:rsid w:val="002C40FB"/>
    <w:rsid w:val="002C5753"/>
    <w:rsid w:val="002C5CB5"/>
    <w:rsid w:val="002C63FC"/>
    <w:rsid w:val="002C6461"/>
    <w:rsid w:val="002C66E9"/>
    <w:rsid w:val="002D05E7"/>
    <w:rsid w:val="002D46B6"/>
    <w:rsid w:val="002D4C46"/>
    <w:rsid w:val="002D6E83"/>
    <w:rsid w:val="002E0498"/>
    <w:rsid w:val="002E0FB2"/>
    <w:rsid w:val="002E2B8A"/>
    <w:rsid w:val="002E47DA"/>
    <w:rsid w:val="002E4F5F"/>
    <w:rsid w:val="002E5F7E"/>
    <w:rsid w:val="002E76DB"/>
    <w:rsid w:val="002F0F94"/>
    <w:rsid w:val="002F1541"/>
    <w:rsid w:val="002F40D2"/>
    <w:rsid w:val="002F61D3"/>
    <w:rsid w:val="003038D5"/>
    <w:rsid w:val="003039E2"/>
    <w:rsid w:val="0031091E"/>
    <w:rsid w:val="0031192F"/>
    <w:rsid w:val="00312F22"/>
    <w:rsid w:val="0031393C"/>
    <w:rsid w:val="00315BE6"/>
    <w:rsid w:val="00316851"/>
    <w:rsid w:val="00317051"/>
    <w:rsid w:val="00321207"/>
    <w:rsid w:val="0032336A"/>
    <w:rsid w:val="003234C9"/>
    <w:rsid w:val="00326FA4"/>
    <w:rsid w:val="00327C2E"/>
    <w:rsid w:val="00330C99"/>
    <w:rsid w:val="00331314"/>
    <w:rsid w:val="0033354E"/>
    <w:rsid w:val="00333A41"/>
    <w:rsid w:val="00334E63"/>
    <w:rsid w:val="00336436"/>
    <w:rsid w:val="00337DC7"/>
    <w:rsid w:val="003406B5"/>
    <w:rsid w:val="00342A79"/>
    <w:rsid w:val="003435F0"/>
    <w:rsid w:val="00343D90"/>
    <w:rsid w:val="00345AF2"/>
    <w:rsid w:val="00346F8A"/>
    <w:rsid w:val="0034756C"/>
    <w:rsid w:val="00347D9C"/>
    <w:rsid w:val="00350CED"/>
    <w:rsid w:val="003566A8"/>
    <w:rsid w:val="0036267A"/>
    <w:rsid w:val="0036322E"/>
    <w:rsid w:val="00364A6D"/>
    <w:rsid w:val="0036581D"/>
    <w:rsid w:val="00366708"/>
    <w:rsid w:val="00367E2E"/>
    <w:rsid w:val="0037069B"/>
    <w:rsid w:val="00370B9E"/>
    <w:rsid w:val="00371B8B"/>
    <w:rsid w:val="00374FE0"/>
    <w:rsid w:val="0037679C"/>
    <w:rsid w:val="00377F0D"/>
    <w:rsid w:val="00380135"/>
    <w:rsid w:val="003801A5"/>
    <w:rsid w:val="003801B8"/>
    <w:rsid w:val="00382358"/>
    <w:rsid w:val="003828F7"/>
    <w:rsid w:val="003840CE"/>
    <w:rsid w:val="00384128"/>
    <w:rsid w:val="00386059"/>
    <w:rsid w:val="00386F20"/>
    <w:rsid w:val="0039072F"/>
    <w:rsid w:val="0039566B"/>
    <w:rsid w:val="003A073C"/>
    <w:rsid w:val="003A266F"/>
    <w:rsid w:val="003A4788"/>
    <w:rsid w:val="003A53CD"/>
    <w:rsid w:val="003A5D44"/>
    <w:rsid w:val="003B2B0E"/>
    <w:rsid w:val="003B41FC"/>
    <w:rsid w:val="003B4C91"/>
    <w:rsid w:val="003B4D8F"/>
    <w:rsid w:val="003B543B"/>
    <w:rsid w:val="003C02CC"/>
    <w:rsid w:val="003C12C9"/>
    <w:rsid w:val="003C424C"/>
    <w:rsid w:val="003C5F1B"/>
    <w:rsid w:val="003C612E"/>
    <w:rsid w:val="003D12A7"/>
    <w:rsid w:val="003D284B"/>
    <w:rsid w:val="003D419D"/>
    <w:rsid w:val="003E04E8"/>
    <w:rsid w:val="003E3839"/>
    <w:rsid w:val="003E3AEC"/>
    <w:rsid w:val="003E44F8"/>
    <w:rsid w:val="003E453A"/>
    <w:rsid w:val="003E7500"/>
    <w:rsid w:val="003E796C"/>
    <w:rsid w:val="003F03EE"/>
    <w:rsid w:val="003F45A3"/>
    <w:rsid w:val="003F49DD"/>
    <w:rsid w:val="003F653D"/>
    <w:rsid w:val="003F68D9"/>
    <w:rsid w:val="00404148"/>
    <w:rsid w:val="00407622"/>
    <w:rsid w:val="00411F71"/>
    <w:rsid w:val="00413065"/>
    <w:rsid w:val="00414D07"/>
    <w:rsid w:val="00415EA6"/>
    <w:rsid w:val="00415EAE"/>
    <w:rsid w:val="00420096"/>
    <w:rsid w:val="00420D15"/>
    <w:rsid w:val="00421C2E"/>
    <w:rsid w:val="0042748A"/>
    <w:rsid w:val="00427BB1"/>
    <w:rsid w:val="00430779"/>
    <w:rsid w:val="00430815"/>
    <w:rsid w:val="00431AC5"/>
    <w:rsid w:val="004327EC"/>
    <w:rsid w:val="00432AD0"/>
    <w:rsid w:val="0044078D"/>
    <w:rsid w:val="00440C67"/>
    <w:rsid w:val="004417F1"/>
    <w:rsid w:val="00444026"/>
    <w:rsid w:val="004441EB"/>
    <w:rsid w:val="00444E27"/>
    <w:rsid w:val="00446AEA"/>
    <w:rsid w:val="004509B5"/>
    <w:rsid w:val="00450C48"/>
    <w:rsid w:val="00452FA7"/>
    <w:rsid w:val="0045314D"/>
    <w:rsid w:val="0046127D"/>
    <w:rsid w:val="00461B9F"/>
    <w:rsid w:val="00462E9F"/>
    <w:rsid w:val="00466E1E"/>
    <w:rsid w:val="004677A9"/>
    <w:rsid w:val="0046782D"/>
    <w:rsid w:val="0047381C"/>
    <w:rsid w:val="004760A0"/>
    <w:rsid w:val="00476814"/>
    <w:rsid w:val="0048022D"/>
    <w:rsid w:val="00484C91"/>
    <w:rsid w:val="00484CA9"/>
    <w:rsid w:val="00484FC0"/>
    <w:rsid w:val="004860E5"/>
    <w:rsid w:val="00486E6F"/>
    <w:rsid w:val="00486F35"/>
    <w:rsid w:val="00487C67"/>
    <w:rsid w:val="0049010E"/>
    <w:rsid w:val="00490590"/>
    <w:rsid w:val="004907E0"/>
    <w:rsid w:val="00490A5E"/>
    <w:rsid w:val="00491200"/>
    <w:rsid w:val="004973AF"/>
    <w:rsid w:val="004A31DC"/>
    <w:rsid w:val="004A44C7"/>
    <w:rsid w:val="004A6217"/>
    <w:rsid w:val="004A6B4E"/>
    <w:rsid w:val="004A7989"/>
    <w:rsid w:val="004B12AD"/>
    <w:rsid w:val="004B12FB"/>
    <w:rsid w:val="004B3128"/>
    <w:rsid w:val="004B3D63"/>
    <w:rsid w:val="004B3FA4"/>
    <w:rsid w:val="004B73DA"/>
    <w:rsid w:val="004B7889"/>
    <w:rsid w:val="004C0C8D"/>
    <w:rsid w:val="004C19EA"/>
    <w:rsid w:val="004C54A1"/>
    <w:rsid w:val="004C56A3"/>
    <w:rsid w:val="004C5959"/>
    <w:rsid w:val="004C6369"/>
    <w:rsid w:val="004D061A"/>
    <w:rsid w:val="004D50D4"/>
    <w:rsid w:val="004D51E0"/>
    <w:rsid w:val="004D5EDA"/>
    <w:rsid w:val="004D6EC8"/>
    <w:rsid w:val="004E13E7"/>
    <w:rsid w:val="004E2E1D"/>
    <w:rsid w:val="004E3BB5"/>
    <w:rsid w:val="004E457C"/>
    <w:rsid w:val="004E5B21"/>
    <w:rsid w:val="004E6F0A"/>
    <w:rsid w:val="004F0FF9"/>
    <w:rsid w:val="004F36E9"/>
    <w:rsid w:val="004F433B"/>
    <w:rsid w:val="004F47A0"/>
    <w:rsid w:val="004F7523"/>
    <w:rsid w:val="005009BF"/>
    <w:rsid w:val="00501BAD"/>
    <w:rsid w:val="00504151"/>
    <w:rsid w:val="0050525A"/>
    <w:rsid w:val="0050653E"/>
    <w:rsid w:val="00506ED2"/>
    <w:rsid w:val="00506F36"/>
    <w:rsid w:val="00507913"/>
    <w:rsid w:val="00512E2F"/>
    <w:rsid w:val="0051332A"/>
    <w:rsid w:val="00516BE6"/>
    <w:rsid w:val="005173E3"/>
    <w:rsid w:val="005200FB"/>
    <w:rsid w:val="0052063B"/>
    <w:rsid w:val="00520F8B"/>
    <w:rsid w:val="00521016"/>
    <w:rsid w:val="00522D71"/>
    <w:rsid w:val="005264F1"/>
    <w:rsid w:val="00526B7E"/>
    <w:rsid w:val="0052799B"/>
    <w:rsid w:val="005300E1"/>
    <w:rsid w:val="00531C6A"/>
    <w:rsid w:val="0053303C"/>
    <w:rsid w:val="0053542E"/>
    <w:rsid w:val="00535728"/>
    <w:rsid w:val="00535B47"/>
    <w:rsid w:val="00536419"/>
    <w:rsid w:val="00537234"/>
    <w:rsid w:val="00541A9B"/>
    <w:rsid w:val="00541F99"/>
    <w:rsid w:val="00541FA5"/>
    <w:rsid w:val="00550B34"/>
    <w:rsid w:val="00551EA1"/>
    <w:rsid w:val="00552834"/>
    <w:rsid w:val="005534AB"/>
    <w:rsid w:val="00553510"/>
    <w:rsid w:val="00555AB2"/>
    <w:rsid w:val="00557872"/>
    <w:rsid w:val="0056090B"/>
    <w:rsid w:val="00562740"/>
    <w:rsid w:val="0056328E"/>
    <w:rsid w:val="00564A1C"/>
    <w:rsid w:val="00565C7B"/>
    <w:rsid w:val="00566D50"/>
    <w:rsid w:val="00567CE3"/>
    <w:rsid w:val="00575A98"/>
    <w:rsid w:val="00577041"/>
    <w:rsid w:val="00577458"/>
    <w:rsid w:val="00580550"/>
    <w:rsid w:val="00581F94"/>
    <w:rsid w:val="00581FC7"/>
    <w:rsid w:val="00582CDA"/>
    <w:rsid w:val="0058333F"/>
    <w:rsid w:val="00586127"/>
    <w:rsid w:val="005877DE"/>
    <w:rsid w:val="00587965"/>
    <w:rsid w:val="00590341"/>
    <w:rsid w:val="00590452"/>
    <w:rsid w:val="0059199B"/>
    <w:rsid w:val="00593CE6"/>
    <w:rsid w:val="00597B62"/>
    <w:rsid w:val="005A0C2C"/>
    <w:rsid w:val="005A1676"/>
    <w:rsid w:val="005A36C7"/>
    <w:rsid w:val="005A3B57"/>
    <w:rsid w:val="005A6A40"/>
    <w:rsid w:val="005B49D8"/>
    <w:rsid w:val="005B6C33"/>
    <w:rsid w:val="005B7449"/>
    <w:rsid w:val="005B7717"/>
    <w:rsid w:val="005C038C"/>
    <w:rsid w:val="005C7120"/>
    <w:rsid w:val="005D0602"/>
    <w:rsid w:val="005D092D"/>
    <w:rsid w:val="005D340D"/>
    <w:rsid w:val="005D470C"/>
    <w:rsid w:val="005D76BC"/>
    <w:rsid w:val="005E013D"/>
    <w:rsid w:val="005E0330"/>
    <w:rsid w:val="005E13EC"/>
    <w:rsid w:val="005E1AAB"/>
    <w:rsid w:val="005E211C"/>
    <w:rsid w:val="005E2752"/>
    <w:rsid w:val="005E54FD"/>
    <w:rsid w:val="005E5B28"/>
    <w:rsid w:val="005F179B"/>
    <w:rsid w:val="005F1FD3"/>
    <w:rsid w:val="005F1FEB"/>
    <w:rsid w:val="005F2817"/>
    <w:rsid w:val="005F3E44"/>
    <w:rsid w:val="005F4A98"/>
    <w:rsid w:val="005F5D43"/>
    <w:rsid w:val="005F6860"/>
    <w:rsid w:val="006031D8"/>
    <w:rsid w:val="006044E1"/>
    <w:rsid w:val="0060777D"/>
    <w:rsid w:val="00607FC2"/>
    <w:rsid w:val="00610DC4"/>
    <w:rsid w:val="006151E8"/>
    <w:rsid w:val="006166A2"/>
    <w:rsid w:val="00617F66"/>
    <w:rsid w:val="006200DB"/>
    <w:rsid w:val="0062545F"/>
    <w:rsid w:val="00626332"/>
    <w:rsid w:val="006273A0"/>
    <w:rsid w:val="006278F3"/>
    <w:rsid w:val="00632ACB"/>
    <w:rsid w:val="0063308D"/>
    <w:rsid w:val="00634D85"/>
    <w:rsid w:val="006373C8"/>
    <w:rsid w:val="00643063"/>
    <w:rsid w:val="00645312"/>
    <w:rsid w:val="00646D7E"/>
    <w:rsid w:val="0064719F"/>
    <w:rsid w:val="006514FE"/>
    <w:rsid w:val="00653559"/>
    <w:rsid w:val="00657239"/>
    <w:rsid w:val="006576FD"/>
    <w:rsid w:val="00657986"/>
    <w:rsid w:val="00661F7B"/>
    <w:rsid w:val="00662E44"/>
    <w:rsid w:val="00663EC6"/>
    <w:rsid w:val="00664B91"/>
    <w:rsid w:val="00666CE7"/>
    <w:rsid w:val="006702B6"/>
    <w:rsid w:val="00670E16"/>
    <w:rsid w:val="00670EBA"/>
    <w:rsid w:val="0067268E"/>
    <w:rsid w:val="0067293C"/>
    <w:rsid w:val="00673C10"/>
    <w:rsid w:val="006747F7"/>
    <w:rsid w:val="00675B89"/>
    <w:rsid w:val="006763F3"/>
    <w:rsid w:val="006803CC"/>
    <w:rsid w:val="006816B8"/>
    <w:rsid w:val="00682E0B"/>
    <w:rsid w:val="006830BE"/>
    <w:rsid w:val="00684075"/>
    <w:rsid w:val="0068662F"/>
    <w:rsid w:val="00692AF1"/>
    <w:rsid w:val="00692E7E"/>
    <w:rsid w:val="006943A8"/>
    <w:rsid w:val="00694651"/>
    <w:rsid w:val="006955F0"/>
    <w:rsid w:val="0069608E"/>
    <w:rsid w:val="0069608F"/>
    <w:rsid w:val="00697E89"/>
    <w:rsid w:val="006A0659"/>
    <w:rsid w:val="006A0BF5"/>
    <w:rsid w:val="006A2304"/>
    <w:rsid w:val="006A45DA"/>
    <w:rsid w:val="006A6C9C"/>
    <w:rsid w:val="006A7523"/>
    <w:rsid w:val="006A7A0E"/>
    <w:rsid w:val="006B0AA1"/>
    <w:rsid w:val="006B554C"/>
    <w:rsid w:val="006B62C7"/>
    <w:rsid w:val="006B6FDD"/>
    <w:rsid w:val="006C2C4C"/>
    <w:rsid w:val="006C393A"/>
    <w:rsid w:val="006C49EB"/>
    <w:rsid w:val="006C5A4D"/>
    <w:rsid w:val="006C6B64"/>
    <w:rsid w:val="006D31DB"/>
    <w:rsid w:val="006D33B5"/>
    <w:rsid w:val="006D3597"/>
    <w:rsid w:val="006D418C"/>
    <w:rsid w:val="006D48B8"/>
    <w:rsid w:val="006D5523"/>
    <w:rsid w:val="006D574C"/>
    <w:rsid w:val="006D58EB"/>
    <w:rsid w:val="006E1E45"/>
    <w:rsid w:val="006E3B8A"/>
    <w:rsid w:val="006E4553"/>
    <w:rsid w:val="006E6FAE"/>
    <w:rsid w:val="006F03AB"/>
    <w:rsid w:val="006F0FF6"/>
    <w:rsid w:val="006F1418"/>
    <w:rsid w:val="006F1BFA"/>
    <w:rsid w:val="006F3A0C"/>
    <w:rsid w:val="006F68B7"/>
    <w:rsid w:val="006F74A6"/>
    <w:rsid w:val="006F77FC"/>
    <w:rsid w:val="006F7FCB"/>
    <w:rsid w:val="0070025C"/>
    <w:rsid w:val="00700A9A"/>
    <w:rsid w:val="007011A4"/>
    <w:rsid w:val="007029FC"/>
    <w:rsid w:val="00702A13"/>
    <w:rsid w:val="007041DB"/>
    <w:rsid w:val="007059CC"/>
    <w:rsid w:val="00706F52"/>
    <w:rsid w:val="007138CC"/>
    <w:rsid w:val="00713D64"/>
    <w:rsid w:val="00714476"/>
    <w:rsid w:val="00715ABB"/>
    <w:rsid w:val="007203E5"/>
    <w:rsid w:val="00720629"/>
    <w:rsid w:val="007215FC"/>
    <w:rsid w:val="00724ABE"/>
    <w:rsid w:val="007254D3"/>
    <w:rsid w:val="00726EC8"/>
    <w:rsid w:val="007307E1"/>
    <w:rsid w:val="00735291"/>
    <w:rsid w:val="00735D89"/>
    <w:rsid w:val="007402E2"/>
    <w:rsid w:val="0074212A"/>
    <w:rsid w:val="007422F5"/>
    <w:rsid w:val="00745AF9"/>
    <w:rsid w:val="00746EC7"/>
    <w:rsid w:val="00747C49"/>
    <w:rsid w:val="00747DD4"/>
    <w:rsid w:val="00752614"/>
    <w:rsid w:val="00753C06"/>
    <w:rsid w:val="00754403"/>
    <w:rsid w:val="0075751F"/>
    <w:rsid w:val="00761561"/>
    <w:rsid w:val="00761AAA"/>
    <w:rsid w:val="00762062"/>
    <w:rsid w:val="00763DA0"/>
    <w:rsid w:val="007654C7"/>
    <w:rsid w:val="00766B9B"/>
    <w:rsid w:val="00770F06"/>
    <w:rsid w:val="00771201"/>
    <w:rsid w:val="00772FEE"/>
    <w:rsid w:val="00774975"/>
    <w:rsid w:val="007825A6"/>
    <w:rsid w:val="00783F05"/>
    <w:rsid w:val="00784AE9"/>
    <w:rsid w:val="0078622F"/>
    <w:rsid w:val="00786302"/>
    <w:rsid w:val="007876C7"/>
    <w:rsid w:val="00790638"/>
    <w:rsid w:val="0079069C"/>
    <w:rsid w:val="00794537"/>
    <w:rsid w:val="007945B3"/>
    <w:rsid w:val="007959C8"/>
    <w:rsid w:val="007967D5"/>
    <w:rsid w:val="00796FA7"/>
    <w:rsid w:val="007A2F53"/>
    <w:rsid w:val="007A6F69"/>
    <w:rsid w:val="007B0B4F"/>
    <w:rsid w:val="007B0EC3"/>
    <w:rsid w:val="007B135C"/>
    <w:rsid w:val="007B19DA"/>
    <w:rsid w:val="007B69A2"/>
    <w:rsid w:val="007B76C4"/>
    <w:rsid w:val="007B7789"/>
    <w:rsid w:val="007C3A46"/>
    <w:rsid w:val="007C5463"/>
    <w:rsid w:val="007C6559"/>
    <w:rsid w:val="007D3E4A"/>
    <w:rsid w:val="007D5249"/>
    <w:rsid w:val="007E2CF4"/>
    <w:rsid w:val="007E3EEE"/>
    <w:rsid w:val="007E6200"/>
    <w:rsid w:val="007E777F"/>
    <w:rsid w:val="007F0F44"/>
    <w:rsid w:val="007F1C81"/>
    <w:rsid w:val="007F24B0"/>
    <w:rsid w:val="007F2949"/>
    <w:rsid w:val="007F4246"/>
    <w:rsid w:val="007F6F2B"/>
    <w:rsid w:val="007F7EA4"/>
    <w:rsid w:val="00801014"/>
    <w:rsid w:val="008027C4"/>
    <w:rsid w:val="00802923"/>
    <w:rsid w:val="0080447A"/>
    <w:rsid w:val="00804766"/>
    <w:rsid w:val="00804B83"/>
    <w:rsid w:val="00806DF0"/>
    <w:rsid w:val="0080719A"/>
    <w:rsid w:val="00812994"/>
    <w:rsid w:val="00812A91"/>
    <w:rsid w:val="00815FA2"/>
    <w:rsid w:val="00817AFC"/>
    <w:rsid w:val="00817C41"/>
    <w:rsid w:val="00820EA8"/>
    <w:rsid w:val="00823042"/>
    <w:rsid w:val="00823EB4"/>
    <w:rsid w:val="008253A9"/>
    <w:rsid w:val="00825587"/>
    <w:rsid w:val="00827B13"/>
    <w:rsid w:val="00830CF6"/>
    <w:rsid w:val="008340D2"/>
    <w:rsid w:val="008413F8"/>
    <w:rsid w:val="00841AB9"/>
    <w:rsid w:val="00842C15"/>
    <w:rsid w:val="00842DF3"/>
    <w:rsid w:val="008438CF"/>
    <w:rsid w:val="00843D58"/>
    <w:rsid w:val="008454B9"/>
    <w:rsid w:val="00845A5B"/>
    <w:rsid w:val="0084613F"/>
    <w:rsid w:val="00846795"/>
    <w:rsid w:val="00852103"/>
    <w:rsid w:val="00853231"/>
    <w:rsid w:val="00853648"/>
    <w:rsid w:val="008540FD"/>
    <w:rsid w:val="00854EC8"/>
    <w:rsid w:val="00862A21"/>
    <w:rsid w:val="00862F21"/>
    <w:rsid w:val="008636A3"/>
    <w:rsid w:val="008638B8"/>
    <w:rsid w:val="00865852"/>
    <w:rsid w:val="00871E10"/>
    <w:rsid w:val="008733C7"/>
    <w:rsid w:val="00874F41"/>
    <w:rsid w:val="008773BF"/>
    <w:rsid w:val="00881B77"/>
    <w:rsid w:val="0088262B"/>
    <w:rsid w:val="0088299C"/>
    <w:rsid w:val="00883E39"/>
    <w:rsid w:val="00886427"/>
    <w:rsid w:val="008921ED"/>
    <w:rsid w:val="00893D2A"/>
    <w:rsid w:val="00894A7C"/>
    <w:rsid w:val="008A048B"/>
    <w:rsid w:val="008A211D"/>
    <w:rsid w:val="008A28B8"/>
    <w:rsid w:val="008A7776"/>
    <w:rsid w:val="008B3CE4"/>
    <w:rsid w:val="008C0504"/>
    <w:rsid w:val="008C2266"/>
    <w:rsid w:val="008C53F0"/>
    <w:rsid w:val="008C5F30"/>
    <w:rsid w:val="008C6290"/>
    <w:rsid w:val="008C6629"/>
    <w:rsid w:val="008C6C08"/>
    <w:rsid w:val="008C7929"/>
    <w:rsid w:val="008C7BAA"/>
    <w:rsid w:val="008D0694"/>
    <w:rsid w:val="008D1351"/>
    <w:rsid w:val="008D2A90"/>
    <w:rsid w:val="008D34B8"/>
    <w:rsid w:val="008D4324"/>
    <w:rsid w:val="008D4544"/>
    <w:rsid w:val="008D59A2"/>
    <w:rsid w:val="008D67A2"/>
    <w:rsid w:val="008E18AD"/>
    <w:rsid w:val="008E465A"/>
    <w:rsid w:val="008E6D84"/>
    <w:rsid w:val="008F3A32"/>
    <w:rsid w:val="008F755E"/>
    <w:rsid w:val="00901770"/>
    <w:rsid w:val="009031BB"/>
    <w:rsid w:val="009065DB"/>
    <w:rsid w:val="00906D09"/>
    <w:rsid w:val="00907551"/>
    <w:rsid w:val="00907E93"/>
    <w:rsid w:val="0091132C"/>
    <w:rsid w:val="009115B6"/>
    <w:rsid w:val="0091424B"/>
    <w:rsid w:val="00917617"/>
    <w:rsid w:val="009209EA"/>
    <w:rsid w:val="00922597"/>
    <w:rsid w:val="00923A41"/>
    <w:rsid w:val="009242C7"/>
    <w:rsid w:val="00925CDC"/>
    <w:rsid w:val="00926832"/>
    <w:rsid w:val="00931F61"/>
    <w:rsid w:val="00933A0A"/>
    <w:rsid w:val="00934F32"/>
    <w:rsid w:val="00935A17"/>
    <w:rsid w:val="009422A8"/>
    <w:rsid w:val="009435E2"/>
    <w:rsid w:val="009447A4"/>
    <w:rsid w:val="009479D5"/>
    <w:rsid w:val="009505CC"/>
    <w:rsid w:val="00951216"/>
    <w:rsid w:val="00951B5E"/>
    <w:rsid w:val="00951BBB"/>
    <w:rsid w:val="00952807"/>
    <w:rsid w:val="00953E33"/>
    <w:rsid w:val="00954DFB"/>
    <w:rsid w:val="009551E9"/>
    <w:rsid w:val="00955572"/>
    <w:rsid w:val="00957662"/>
    <w:rsid w:val="00960828"/>
    <w:rsid w:val="00962B62"/>
    <w:rsid w:val="00963CE8"/>
    <w:rsid w:val="009651D5"/>
    <w:rsid w:val="00967192"/>
    <w:rsid w:val="00967939"/>
    <w:rsid w:val="009701FB"/>
    <w:rsid w:val="00970AF3"/>
    <w:rsid w:val="009712E6"/>
    <w:rsid w:val="00972D77"/>
    <w:rsid w:val="00973E46"/>
    <w:rsid w:val="00974D1E"/>
    <w:rsid w:val="009755BB"/>
    <w:rsid w:val="009778C0"/>
    <w:rsid w:val="0098199E"/>
    <w:rsid w:val="009820E2"/>
    <w:rsid w:val="009821EC"/>
    <w:rsid w:val="00985B9C"/>
    <w:rsid w:val="0099051F"/>
    <w:rsid w:val="009926C0"/>
    <w:rsid w:val="00994060"/>
    <w:rsid w:val="00994A9D"/>
    <w:rsid w:val="00995EE2"/>
    <w:rsid w:val="009971D9"/>
    <w:rsid w:val="009A241C"/>
    <w:rsid w:val="009B0651"/>
    <w:rsid w:val="009B2A52"/>
    <w:rsid w:val="009B3B2C"/>
    <w:rsid w:val="009B4B33"/>
    <w:rsid w:val="009B73A1"/>
    <w:rsid w:val="009C0EC6"/>
    <w:rsid w:val="009C1C85"/>
    <w:rsid w:val="009C228F"/>
    <w:rsid w:val="009C286B"/>
    <w:rsid w:val="009C2A10"/>
    <w:rsid w:val="009C416F"/>
    <w:rsid w:val="009C44F8"/>
    <w:rsid w:val="009C4BFC"/>
    <w:rsid w:val="009C5580"/>
    <w:rsid w:val="009C6508"/>
    <w:rsid w:val="009D2069"/>
    <w:rsid w:val="009D2532"/>
    <w:rsid w:val="009D2566"/>
    <w:rsid w:val="009D2A85"/>
    <w:rsid w:val="009D3477"/>
    <w:rsid w:val="009D37EA"/>
    <w:rsid w:val="009D7A1E"/>
    <w:rsid w:val="009D7DAC"/>
    <w:rsid w:val="009D7F78"/>
    <w:rsid w:val="009E1824"/>
    <w:rsid w:val="009E19D4"/>
    <w:rsid w:val="009E2517"/>
    <w:rsid w:val="009E69D3"/>
    <w:rsid w:val="009E783B"/>
    <w:rsid w:val="009F01F6"/>
    <w:rsid w:val="009F38D4"/>
    <w:rsid w:val="009F421F"/>
    <w:rsid w:val="009F57DD"/>
    <w:rsid w:val="009F5E35"/>
    <w:rsid w:val="009F6BF1"/>
    <w:rsid w:val="009F77A3"/>
    <w:rsid w:val="00A050EC"/>
    <w:rsid w:val="00A0600C"/>
    <w:rsid w:val="00A06973"/>
    <w:rsid w:val="00A07599"/>
    <w:rsid w:val="00A07A16"/>
    <w:rsid w:val="00A108F1"/>
    <w:rsid w:val="00A12125"/>
    <w:rsid w:val="00A125C9"/>
    <w:rsid w:val="00A152CE"/>
    <w:rsid w:val="00A21C65"/>
    <w:rsid w:val="00A26464"/>
    <w:rsid w:val="00A26955"/>
    <w:rsid w:val="00A30723"/>
    <w:rsid w:val="00A31032"/>
    <w:rsid w:val="00A319FB"/>
    <w:rsid w:val="00A33DC1"/>
    <w:rsid w:val="00A37A2C"/>
    <w:rsid w:val="00A4123B"/>
    <w:rsid w:val="00A43247"/>
    <w:rsid w:val="00A43598"/>
    <w:rsid w:val="00A442D1"/>
    <w:rsid w:val="00A452AA"/>
    <w:rsid w:val="00A4640D"/>
    <w:rsid w:val="00A543D6"/>
    <w:rsid w:val="00A54F8A"/>
    <w:rsid w:val="00A62BBE"/>
    <w:rsid w:val="00A64CE8"/>
    <w:rsid w:val="00A660B1"/>
    <w:rsid w:val="00A66B83"/>
    <w:rsid w:val="00A6718E"/>
    <w:rsid w:val="00A6779D"/>
    <w:rsid w:val="00A71A52"/>
    <w:rsid w:val="00A72870"/>
    <w:rsid w:val="00A730F5"/>
    <w:rsid w:val="00A74AF3"/>
    <w:rsid w:val="00A76336"/>
    <w:rsid w:val="00A76480"/>
    <w:rsid w:val="00A77426"/>
    <w:rsid w:val="00A8266D"/>
    <w:rsid w:val="00A83168"/>
    <w:rsid w:val="00A83B03"/>
    <w:rsid w:val="00A871E0"/>
    <w:rsid w:val="00A8743F"/>
    <w:rsid w:val="00A8749E"/>
    <w:rsid w:val="00A91130"/>
    <w:rsid w:val="00A92373"/>
    <w:rsid w:val="00A93FB7"/>
    <w:rsid w:val="00A97A2C"/>
    <w:rsid w:val="00AA23BA"/>
    <w:rsid w:val="00AA34AE"/>
    <w:rsid w:val="00AA3B44"/>
    <w:rsid w:val="00AA4AF7"/>
    <w:rsid w:val="00AA4D6B"/>
    <w:rsid w:val="00AA4E4E"/>
    <w:rsid w:val="00AA521C"/>
    <w:rsid w:val="00AA5A3B"/>
    <w:rsid w:val="00AB35A6"/>
    <w:rsid w:val="00AB4DDD"/>
    <w:rsid w:val="00AB4E64"/>
    <w:rsid w:val="00AC3244"/>
    <w:rsid w:val="00AC35CD"/>
    <w:rsid w:val="00AC425C"/>
    <w:rsid w:val="00AC56B3"/>
    <w:rsid w:val="00AC6D5D"/>
    <w:rsid w:val="00AD2C14"/>
    <w:rsid w:val="00AD2E4C"/>
    <w:rsid w:val="00AD5152"/>
    <w:rsid w:val="00AD6948"/>
    <w:rsid w:val="00AD6AC6"/>
    <w:rsid w:val="00AD73CA"/>
    <w:rsid w:val="00AE1AB2"/>
    <w:rsid w:val="00AE4763"/>
    <w:rsid w:val="00AE620A"/>
    <w:rsid w:val="00AE693E"/>
    <w:rsid w:val="00AE6E4A"/>
    <w:rsid w:val="00AE7C1B"/>
    <w:rsid w:val="00AF2940"/>
    <w:rsid w:val="00AF3F1B"/>
    <w:rsid w:val="00AF43A3"/>
    <w:rsid w:val="00AF4DD8"/>
    <w:rsid w:val="00AF5C35"/>
    <w:rsid w:val="00AF5EBD"/>
    <w:rsid w:val="00AF6655"/>
    <w:rsid w:val="00AF754F"/>
    <w:rsid w:val="00B01228"/>
    <w:rsid w:val="00B01460"/>
    <w:rsid w:val="00B01F6B"/>
    <w:rsid w:val="00B04A94"/>
    <w:rsid w:val="00B06FB2"/>
    <w:rsid w:val="00B105BD"/>
    <w:rsid w:val="00B10BE1"/>
    <w:rsid w:val="00B12632"/>
    <w:rsid w:val="00B13E2F"/>
    <w:rsid w:val="00B16B10"/>
    <w:rsid w:val="00B17D2D"/>
    <w:rsid w:val="00B17E29"/>
    <w:rsid w:val="00B20BA9"/>
    <w:rsid w:val="00B22093"/>
    <w:rsid w:val="00B22385"/>
    <w:rsid w:val="00B2251B"/>
    <w:rsid w:val="00B22579"/>
    <w:rsid w:val="00B24B00"/>
    <w:rsid w:val="00B3307E"/>
    <w:rsid w:val="00B346AE"/>
    <w:rsid w:val="00B34D51"/>
    <w:rsid w:val="00B35904"/>
    <w:rsid w:val="00B35966"/>
    <w:rsid w:val="00B42052"/>
    <w:rsid w:val="00B42143"/>
    <w:rsid w:val="00B42189"/>
    <w:rsid w:val="00B4231E"/>
    <w:rsid w:val="00B424F1"/>
    <w:rsid w:val="00B428B5"/>
    <w:rsid w:val="00B43E21"/>
    <w:rsid w:val="00B44016"/>
    <w:rsid w:val="00B44356"/>
    <w:rsid w:val="00B44A3E"/>
    <w:rsid w:val="00B45679"/>
    <w:rsid w:val="00B5028A"/>
    <w:rsid w:val="00B50D41"/>
    <w:rsid w:val="00B52041"/>
    <w:rsid w:val="00B52738"/>
    <w:rsid w:val="00B531FF"/>
    <w:rsid w:val="00B53435"/>
    <w:rsid w:val="00B54B3D"/>
    <w:rsid w:val="00B55AFB"/>
    <w:rsid w:val="00B606E5"/>
    <w:rsid w:val="00B6233D"/>
    <w:rsid w:val="00B63344"/>
    <w:rsid w:val="00B63B28"/>
    <w:rsid w:val="00B65C6A"/>
    <w:rsid w:val="00B65D73"/>
    <w:rsid w:val="00B706B6"/>
    <w:rsid w:val="00B70E1E"/>
    <w:rsid w:val="00B715DC"/>
    <w:rsid w:val="00B73F8B"/>
    <w:rsid w:val="00B7420E"/>
    <w:rsid w:val="00B7425C"/>
    <w:rsid w:val="00B7459D"/>
    <w:rsid w:val="00B806F4"/>
    <w:rsid w:val="00B8248E"/>
    <w:rsid w:val="00B83324"/>
    <w:rsid w:val="00B8363B"/>
    <w:rsid w:val="00B850C1"/>
    <w:rsid w:val="00B8513D"/>
    <w:rsid w:val="00B85384"/>
    <w:rsid w:val="00B85A59"/>
    <w:rsid w:val="00B87C75"/>
    <w:rsid w:val="00B87D27"/>
    <w:rsid w:val="00B87F4C"/>
    <w:rsid w:val="00B905A3"/>
    <w:rsid w:val="00B9478B"/>
    <w:rsid w:val="00B94B32"/>
    <w:rsid w:val="00B954B6"/>
    <w:rsid w:val="00B9621C"/>
    <w:rsid w:val="00B972B1"/>
    <w:rsid w:val="00B97AB5"/>
    <w:rsid w:val="00BA0600"/>
    <w:rsid w:val="00BA0CCE"/>
    <w:rsid w:val="00BA156B"/>
    <w:rsid w:val="00BA19C5"/>
    <w:rsid w:val="00BA2195"/>
    <w:rsid w:val="00BA5156"/>
    <w:rsid w:val="00BA5220"/>
    <w:rsid w:val="00BA5877"/>
    <w:rsid w:val="00BA78B0"/>
    <w:rsid w:val="00BB0A31"/>
    <w:rsid w:val="00BB229F"/>
    <w:rsid w:val="00BB5B06"/>
    <w:rsid w:val="00BB5DF1"/>
    <w:rsid w:val="00BB629C"/>
    <w:rsid w:val="00BC1B7C"/>
    <w:rsid w:val="00BC484E"/>
    <w:rsid w:val="00BC5CA3"/>
    <w:rsid w:val="00BC689D"/>
    <w:rsid w:val="00BC73D0"/>
    <w:rsid w:val="00BC7564"/>
    <w:rsid w:val="00BC7AB4"/>
    <w:rsid w:val="00BD2783"/>
    <w:rsid w:val="00BD54C2"/>
    <w:rsid w:val="00BD5B90"/>
    <w:rsid w:val="00BD5C73"/>
    <w:rsid w:val="00BE0854"/>
    <w:rsid w:val="00BE0E60"/>
    <w:rsid w:val="00BE1ED2"/>
    <w:rsid w:val="00BE5AE9"/>
    <w:rsid w:val="00BF1A2E"/>
    <w:rsid w:val="00BF2369"/>
    <w:rsid w:val="00BF2912"/>
    <w:rsid w:val="00BF341D"/>
    <w:rsid w:val="00BF3473"/>
    <w:rsid w:val="00BF396D"/>
    <w:rsid w:val="00BF422C"/>
    <w:rsid w:val="00BF547E"/>
    <w:rsid w:val="00BF6A0D"/>
    <w:rsid w:val="00BF718F"/>
    <w:rsid w:val="00BF758D"/>
    <w:rsid w:val="00C0065E"/>
    <w:rsid w:val="00C015C8"/>
    <w:rsid w:val="00C01647"/>
    <w:rsid w:val="00C03A56"/>
    <w:rsid w:val="00C04AA6"/>
    <w:rsid w:val="00C10F8E"/>
    <w:rsid w:val="00C12AD7"/>
    <w:rsid w:val="00C14727"/>
    <w:rsid w:val="00C159EF"/>
    <w:rsid w:val="00C16397"/>
    <w:rsid w:val="00C16D2B"/>
    <w:rsid w:val="00C201CA"/>
    <w:rsid w:val="00C23376"/>
    <w:rsid w:val="00C23CEC"/>
    <w:rsid w:val="00C23D73"/>
    <w:rsid w:val="00C241A1"/>
    <w:rsid w:val="00C27500"/>
    <w:rsid w:val="00C27ADF"/>
    <w:rsid w:val="00C306E8"/>
    <w:rsid w:val="00C30EFF"/>
    <w:rsid w:val="00C334BE"/>
    <w:rsid w:val="00C34065"/>
    <w:rsid w:val="00C3447A"/>
    <w:rsid w:val="00C35956"/>
    <w:rsid w:val="00C369E9"/>
    <w:rsid w:val="00C37788"/>
    <w:rsid w:val="00C407D6"/>
    <w:rsid w:val="00C47FB0"/>
    <w:rsid w:val="00C5600F"/>
    <w:rsid w:val="00C5657B"/>
    <w:rsid w:val="00C60A73"/>
    <w:rsid w:val="00C6203D"/>
    <w:rsid w:val="00C6360F"/>
    <w:rsid w:val="00C66137"/>
    <w:rsid w:val="00C67551"/>
    <w:rsid w:val="00C67AFF"/>
    <w:rsid w:val="00C7142D"/>
    <w:rsid w:val="00C7168C"/>
    <w:rsid w:val="00C72120"/>
    <w:rsid w:val="00C74428"/>
    <w:rsid w:val="00C766E4"/>
    <w:rsid w:val="00C7678E"/>
    <w:rsid w:val="00C77DA0"/>
    <w:rsid w:val="00C8232A"/>
    <w:rsid w:val="00C83E30"/>
    <w:rsid w:val="00C843D7"/>
    <w:rsid w:val="00C8559A"/>
    <w:rsid w:val="00C866BC"/>
    <w:rsid w:val="00C90325"/>
    <w:rsid w:val="00C91F99"/>
    <w:rsid w:val="00C9492D"/>
    <w:rsid w:val="00C95FC5"/>
    <w:rsid w:val="00C96029"/>
    <w:rsid w:val="00C96557"/>
    <w:rsid w:val="00C97CE0"/>
    <w:rsid w:val="00CA21DF"/>
    <w:rsid w:val="00CA3396"/>
    <w:rsid w:val="00CA3B90"/>
    <w:rsid w:val="00CA73E2"/>
    <w:rsid w:val="00CB0ADF"/>
    <w:rsid w:val="00CB18E0"/>
    <w:rsid w:val="00CB4DB1"/>
    <w:rsid w:val="00CB5B80"/>
    <w:rsid w:val="00CB748F"/>
    <w:rsid w:val="00CB7B89"/>
    <w:rsid w:val="00CC0076"/>
    <w:rsid w:val="00CC2087"/>
    <w:rsid w:val="00CC247A"/>
    <w:rsid w:val="00CC3542"/>
    <w:rsid w:val="00CC5B0F"/>
    <w:rsid w:val="00CD2B5A"/>
    <w:rsid w:val="00CD377F"/>
    <w:rsid w:val="00CD68CE"/>
    <w:rsid w:val="00CE0201"/>
    <w:rsid w:val="00CE08CE"/>
    <w:rsid w:val="00CE20E9"/>
    <w:rsid w:val="00CE3773"/>
    <w:rsid w:val="00CE5A64"/>
    <w:rsid w:val="00CE6FC5"/>
    <w:rsid w:val="00CE701C"/>
    <w:rsid w:val="00CF0E33"/>
    <w:rsid w:val="00CF12EA"/>
    <w:rsid w:val="00CF4490"/>
    <w:rsid w:val="00CF4900"/>
    <w:rsid w:val="00CF5A8F"/>
    <w:rsid w:val="00CF6573"/>
    <w:rsid w:val="00CF6E16"/>
    <w:rsid w:val="00D00379"/>
    <w:rsid w:val="00D02279"/>
    <w:rsid w:val="00D05024"/>
    <w:rsid w:val="00D10467"/>
    <w:rsid w:val="00D10652"/>
    <w:rsid w:val="00D13DB2"/>
    <w:rsid w:val="00D16736"/>
    <w:rsid w:val="00D201A6"/>
    <w:rsid w:val="00D206F6"/>
    <w:rsid w:val="00D209B6"/>
    <w:rsid w:val="00D22294"/>
    <w:rsid w:val="00D22442"/>
    <w:rsid w:val="00D2255F"/>
    <w:rsid w:val="00D22EBC"/>
    <w:rsid w:val="00D24374"/>
    <w:rsid w:val="00D24620"/>
    <w:rsid w:val="00D26F37"/>
    <w:rsid w:val="00D3123C"/>
    <w:rsid w:val="00D324EE"/>
    <w:rsid w:val="00D3494A"/>
    <w:rsid w:val="00D37C6B"/>
    <w:rsid w:val="00D4276B"/>
    <w:rsid w:val="00D44889"/>
    <w:rsid w:val="00D44B05"/>
    <w:rsid w:val="00D45356"/>
    <w:rsid w:val="00D46D02"/>
    <w:rsid w:val="00D51A50"/>
    <w:rsid w:val="00D51B5E"/>
    <w:rsid w:val="00D5419E"/>
    <w:rsid w:val="00D54ED9"/>
    <w:rsid w:val="00D55377"/>
    <w:rsid w:val="00D557D5"/>
    <w:rsid w:val="00D56DA2"/>
    <w:rsid w:val="00D57E4B"/>
    <w:rsid w:val="00D601F0"/>
    <w:rsid w:val="00D626EC"/>
    <w:rsid w:val="00D63EF3"/>
    <w:rsid w:val="00D64F50"/>
    <w:rsid w:val="00D7167B"/>
    <w:rsid w:val="00D71960"/>
    <w:rsid w:val="00D71EE9"/>
    <w:rsid w:val="00D72C5E"/>
    <w:rsid w:val="00D73519"/>
    <w:rsid w:val="00D73E83"/>
    <w:rsid w:val="00D75914"/>
    <w:rsid w:val="00D76361"/>
    <w:rsid w:val="00D775D3"/>
    <w:rsid w:val="00D80A3E"/>
    <w:rsid w:val="00D80FD9"/>
    <w:rsid w:val="00D83607"/>
    <w:rsid w:val="00D84AA7"/>
    <w:rsid w:val="00D84B3D"/>
    <w:rsid w:val="00D90880"/>
    <w:rsid w:val="00D9123E"/>
    <w:rsid w:val="00D92151"/>
    <w:rsid w:val="00D94D3A"/>
    <w:rsid w:val="00D970EE"/>
    <w:rsid w:val="00DA0323"/>
    <w:rsid w:val="00DA1602"/>
    <w:rsid w:val="00DA2ED6"/>
    <w:rsid w:val="00DA3FF9"/>
    <w:rsid w:val="00DB13BD"/>
    <w:rsid w:val="00DB1971"/>
    <w:rsid w:val="00DB2316"/>
    <w:rsid w:val="00DC0987"/>
    <w:rsid w:val="00DC0AF4"/>
    <w:rsid w:val="00DC1210"/>
    <w:rsid w:val="00DC2A59"/>
    <w:rsid w:val="00DC451E"/>
    <w:rsid w:val="00DC57D3"/>
    <w:rsid w:val="00DC5EDA"/>
    <w:rsid w:val="00DC5FA1"/>
    <w:rsid w:val="00DC7C98"/>
    <w:rsid w:val="00DD0CE4"/>
    <w:rsid w:val="00DD6633"/>
    <w:rsid w:val="00DE3721"/>
    <w:rsid w:val="00DE3D4B"/>
    <w:rsid w:val="00DF2742"/>
    <w:rsid w:val="00DF448C"/>
    <w:rsid w:val="00DF4EAF"/>
    <w:rsid w:val="00DF6F77"/>
    <w:rsid w:val="00E00857"/>
    <w:rsid w:val="00E01622"/>
    <w:rsid w:val="00E03058"/>
    <w:rsid w:val="00E061D8"/>
    <w:rsid w:val="00E07EE4"/>
    <w:rsid w:val="00E139A6"/>
    <w:rsid w:val="00E14245"/>
    <w:rsid w:val="00E167A8"/>
    <w:rsid w:val="00E17F34"/>
    <w:rsid w:val="00E210E9"/>
    <w:rsid w:val="00E21F02"/>
    <w:rsid w:val="00E22703"/>
    <w:rsid w:val="00E2371F"/>
    <w:rsid w:val="00E24228"/>
    <w:rsid w:val="00E250AA"/>
    <w:rsid w:val="00E2767C"/>
    <w:rsid w:val="00E27B5F"/>
    <w:rsid w:val="00E304A8"/>
    <w:rsid w:val="00E30AC6"/>
    <w:rsid w:val="00E3676B"/>
    <w:rsid w:val="00E37174"/>
    <w:rsid w:val="00E3741D"/>
    <w:rsid w:val="00E41208"/>
    <w:rsid w:val="00E41514"/>
    <w:rsid w:val="00E42BF4"/>
    <w:rsid w:val="00E432A1"/>
    <w:rsid w:val="00E43918"/>
    <w:rsid w:val="00E445D8"/>
    <w:rsid w:val="00E46ACA"/>
    <w:rsid w:val="00E503AA"/>
    <w:rsid w:val="00E50FFA"/>
    <w:rsid w:val="00E526F5"/>
    <w:rsid w:val="00E52B6E"/>
    <w:rsid w:val="00E53346"/>
    <w:rsid w:val="00E5528B"/>
    <w:rsid w:val="00E557B0"/>
    <w:rsid w:val="00E5593B"/>
    <w:rsid w:val="00E57714"/>
    <w:rsid w:val="00E61558"/>
    <w:rsid w:val="00E6251C"/>
    <w:rsid w:val="00E629C9"/>
    <w:rsid w:val="00E633FB"/>
    <w:rsid w:val="00E63F24"/>
    <w:rsid w:val="00E70A61"/>
    <w:rsid w:val="00E7348F"/>
    <w:rsid w:val="00E77251"/>
    <w:rsid w:val="00E81568"/>
    <w:rsid w:val="00E817EE"/>
    <w:rsid w:val="00E818B6"/>
    <w:rsid w:val="00E81F03"/>
    <w:rsid w:val="00E82B53"/>
    <w:rsid w:val="00E83487"/>
    <w:rsid w:val="00E84E3C"/>
    <w:rsid w:val="00E85D17"/>
    <w:rsid w:val="00E87988"/>
    <w:rsid w:val="00E87CF0"/>
    <w:rsid w:val="00E9187B"/>
    <w:rsid w:val="00E918F6"/>
    <w:rsid w:val="00E91EAA"/>
    <w:rsid w:val="00E92FD0"/>
    <w:rsid w:val="00E92FFB"/>
    <w:rsid w:val="00E9392D"/>
    <w:rsid w:val="00E93B0A"/>
    <w:rsid w:val="00E93D93"/>
    <w:rsid w:val="00E9629F"/>
    <w:rsid w:val="00E96A67"/>
    <w:rsid w:val="00E97077"/>
    <w:rsid w:val="00EA254B"/>
    <w:rsid w:val="00EA313E"/>
    <w:rsid w:val="00EB0206"/>
    <w:rsid w:val="00EB045D"/>
    <w:rsid w:val="00EB0F5F"/>
    <w:rsid w:val="00EB308A"/>
    <w:rsid w:val="00EB328F"/>
    <w:rsid w:val="00EB41C4"/>
    <w:rsid w:val="00EB76B4"/>
    <w:rsid w:val="00EC1909"/>
    <w:rsid w:val="00EC2835"/>
    <w:rsid w:val="00EC4455"/>
    <w:rsid w:val="00EC4A84"/>
    <w:rsid w:val="00EC77BB"/>
    <w:rsid w:val="00ED1828"/>
    <w:rsid w:val="00ED4EEA"/>
    <w:rsid w:val="00ED5BFB"/>
    <w:rsid w:val="00EE1271"/>
    <w:rsid w:val="00EE56AD"/>
    <w:rsid w:val="00EE5F93"/>
    <w:rsid w:val="00EE6BF8"/>
    <w:rsid w:val="00EF0C86"/>
    <w:rsid w:val="00EF59A2"/>
    <w:rsid w:val="00EF6731"/>
    <w:rsid w:val="00F00D62"/>
    <w:rsid w:val="00F0305C"/>
    <w:rsid w:val="00F105E2"/>
    <w:rsid w:val="00F11B9B"/>
    <w:rsid w:val="00F1313C"/>
    <w:rsid w:val="00F13DFD"/>
    <w:rsid w:val="00F14BAC"/>
    <w:rsid w:val="00F16026"/>
    <w:rsid w:val="00F1692D"/>
    <w:rsid w:val="00F16AF0"/>
    <w:rsid w:val="00F17CAA"/>
    <w:rsid w:val="00F219C4"/>
    <w:rsid w:val="00F23018"/>
    <w:rsid w:val="00F237FC"/>
    <w:rsid w:val="00F27F57"/>
    <w:rsid w:val="00F33096"/>
    <w:rsid w:val="00F36C4D"/>
    <w:rsid w:val="00F3773E"/>
    <w:rsid w:val="00F40D25"/>
    <w:rsid w:val="00F4274C"/>
    <w:rsid w:val="00F441B2"/>
    <w:rsid w:val="00F46A84"/>
    <w:rsid w:val="00F517F2"/>
    <w:rsid w:val="00F555AF"/>
    <w:rsid w:val="00F5660C"/>
    <w:rsid w:val="00F63836"/>
    <w:rsid w:val="00F67EFE"/>
    <w:rsid w:val="00F703FC"/>
    <w:rsid w:val="00F70517"/>
    <w:rsid w:val="00F70C3A"/>
    <w:rsid w:val="00F74A25"/>
    <w:rsid w:val="00F76819"/>
    <w:rsid w:val="00F8180F"/>
    <w:rsid w:val="00F82683"/>
    <w:rsid w:val="00F83828"/>
    <w:rsid w:val="00F86C9A"/>
    <w:rsid w:val="00F9081A"/>
    <w:rsid w:val="00F90A9D"/>
    <w:rsid w:val="00F92265"/>
    <w:rsid w:val="00F93392"/>
    <w:rsid w:val="00F93747"/>
    <w:rsid w:val="00F9422E"/>
    <w:rsid w:val="00F945D8"/>
    <w:rsid w:val="00FA0DC0"/>
    <w:rsid w:val="00FA0E84"/>
    <w:rsid w:val="00FA19A5"/>
    <w:rsid w:val="00FA4625"/>
    <w:rsid w:val="00FA4AAC"/>
    <w:rsid w:val="00FA5B52"/>
    <w:rsid w:val="00FA72F2"/>
    <w:rsid w:val="00FA73C3"/>
    <w:rsid w:val="00FA7A69"/>
    <w:rsid w:val="00FA7F14"/>
    <w:rsid w:val="00FB1426"/>
    <w:rsid w:val="00FB1C0B"/>
    <w:rsid w:val="00FB5F5F"/>
    <w:rsid w:val="00FB6B4E"/>
    <w:rsid w:val="00FB6E40"/>
    <w:rsid w:val="00FB77B4"/>
    <w:rsid w:val="00FD25D2"/>
    <w:rsid w:val="00FD2EB5"/>
    <w:rsid w:val="00FD342D"/>
    <w:rsid w:val="00FD4C02"/>
    <w:rsid w:val="00FD795C"/>
    <w:rsid w:val="00FE1C67"/>
    <w:rsid w:val="00FE1CDD"/>
    <w:rsid w:val="00FE3A72"/>
    <w:rsid w:val="00FE4BD6"/>
    <w:rsid w:val="00FE64F9"/>
    <w:rsid w:val="00FF0C9D"/>
    <w:rsid w:val="00FF1C31"/>
    <w:rsid w:val="00FF30D9"/>
    <w:rsid w:val="00FF43F5"/>
    <w:rsid w:val="00FF4400"/>
    <w:rsid w:val="00FF4F5F"/>
    <w:rsid w:val="00FF6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paragraph" w:styleId="Heading1">
    <w:name w:val="heading 1"/>
    <w:basedOn w:val="Normal"/>
    <w:next w:val="Normal"/>
    <w:link w:val="Heading1Char"/>
    <w:qFormat/>
    <w:rsid w:val="00C369E9"/>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C369E9"/>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369E9"/>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C369E9"/>
    <w:pPr>
      <w:keepNext/>
      <w:keepLines/>
      <w:numPr>
        <w:ilvl w:val="3"/>
        <w:numId w:val="1"/>
      </w:numPr>
      <w:tabs>
        <w:tab w:val="clear" w:pos="2970"/>
        <w:tab w:val="num" w:pos="2880"/>
      </w:tabs>
      <w:spacing w:before="200"/>
      <w:ind w:left="288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C369E9"/>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C369E9"/>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C369E9"/>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C369E9"/>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C369E9"/>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 Char1"/>
    <w:basedOn w:val="Normal"/>
    <w:link w:val="FootnoteTextChar"/>
    <w:qFormat/>
    <w:rsid w:val="00713D64"/>
    <w:rPr>
      <w:sz w:val="20"/>
      <w:szCs w:val="20"/>
    </w:rPr>
  </w:style>
  <w:style w:type="character" w:styleId="FootnoteReference">
    <w:name w:val="footnote reference"/>
    <w:aliases w:val="o,fr,Style 13,Style 12,Style 28,(NECG) Footnote Reference,Style 11,Style 9,Style 16,Style 15,Style 17,Style 20,o1,fr1,o2,fr2,o3,fr3,Style 8,Style 7,Style 19"/>
    <w:basedOn w:val="DefaultParagraphFont"/>
    <w:rsid w:val="00713D64"/>
    <w:rPr>
      <w:vertAlign w:val="superscript"/>
    </w:rPr>
  </w:style>
  <w:style w:type="paragraph" w:styleId="BodyTextIndent">
    <w:name w:val="Body Text Indent"/>
    <w:basedOn w:val="Normal"/>
    <w:link w:val="BodyTextIndentChar"/>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character" w:styleId="Hyperlink">
    <w:name w:val="Hyperlink"/>
    <w:uiPriority w:val="99"/>
    <w:rsid w:val="003435F0"/>
    <w:rPr>
      <w:color w:val="0000FF"/>
      <w:u w:val="single"/>
    </w:rPr>
  </w:style>
  <w:style w:type="paragraph" w:styleId="NormalWeb">
    <w:name w:val="Normal (Web)"/>
    <w:basedOn w:val="Normal"/>
    <w:rsid w:val="003435F0"/>
    <w:pPr>
      <w:autoSpaceDE/>
      <w:autoSpaceDN/>
      <w:spacing w:before="100" w:beforeAutospacing="1" w:after="100" w:afterAutospacing="1"/>
    </w:pPr>
  </w:style>
  <w:style w:type="paragraph" w:styleId="BalloonText">
    <w:name w:val="Balloon Text"/>
    <w:basedOn w:val="Normal"/>
    <w:link w:val="BalloonTextChar"/>
    <w:rsid w:val="00486F35"/>
    <w:rPr>
      <w:rFonts w:ascii="Tahoma" w:hAnsi="Tahoma" w:cs="Tahoma"/>
      <w:sz w:val="16"/>
      <w:szCs w:val="16"/>
    </w:rPr>
  </w:style>
  <w:style w:type="character" w:customStyle="1" w:styleId="BalloonTextChar">
    <w:name w:val="Balloon Text Char"/>
    <w:basedOn w:val="DefaultParagraphFont"/>
    <w:link w:val="BalloonText"/>
    <w:rsid w:val="00486F35"/>
    <w:rPr>
      <w:rFonts w:ascii="Tahoma" w:hAnsi="Tahoma" w:cs="Tahoma"/>
      <w:sz w:val="16"/>
      <w:szCs w:val="16"/>
    </w:rPr>
  </w:style>
  <w:style w:type="character" w:customStyle="1" w:styleId="Heading1Char">
    <w:name w:val="Heading 1 Char"/>
    <w:basedOn w:val="DefaultParagraphFont"/>
    <w:link w:val="Heading1"/>
    <w:rsid w:val="00C369E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C369E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C369E9"/>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C369E9"/>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C369E9"/>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C369E9"/>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C369E9"/>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C369E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C369E9"/>
    <w:rPr>
      <w:rFonts w:asciiTheme="majorHAnsi" w:eastAsiaTheme="majorEastAsia" w:hAnsiTheme="majorHAnsi" w:cstheme="majorBidi"/>
      <w:i/>
      <w:iCs/>
      <w:color w:val="404040" w:themeColor="text1" w:themeTint="BF"/>
    </w:rPr>
  </w:style>
  <w:style w:type="paragraph" w:styleId="BodyText2">
    <w:name w:val="Body Text 2"/>
    <w:basedOn w:val="Normal"/>
    <w:link w:val="BodyText2Char"/>
    <w:rsid w:val="009755BB"/>
    <w:pPr>
      <w:spacing w:after="120" w:line="480" w:lineRule="auto"/>
    </w:pPr>
  </w:style>
  <w:style w:type="character" w:customStyle="1" w:styleId="BodyText2Char">
    <w:name w:val="Body Text 2 Char"/>
    <w:basedOn w:val="DefaultParagraphFont"/>
    <w:link w:val="BodyText2"/>
    <w:rsid w:val="009755BB"/>
    <w:rPr>
      <w:sz w:val="24"/>
      <w:szCs w:val="24"/>
    </w:rPr>
  </w:style>
  <w:style w:type="paragraph" w:styleId="ListNumber">
    <w:name w:val="List Number"/>
    <w:basedOn w:val="Normal"/>
    <w:rsid w:val="009755BB"/>
    <w:pPr>
      <w:numPr>
        <w:numId w:val="2"/>
      </w:numPr>
      <w:autoSpaceDE/>
      <w:autoSpaceDN/>
      <w:spacing w:line="480" w:lineRule="auto"/>
    </w:pPr>
    <w:rPr>
      <w:rFonts w:eastAsiaTheme="minorHAnsi" w:cstheme="minorBidi"/>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rsid w:val="00586127"/>
  </w:style>
  <w:style w:type="paragraph" w:customStyle="1" w:styleId="ParaTab1">
    <w:name w:val="ParaTab 1"/>
    <w:rsid w:val="00586127"/>
    <w:pPr>
      <w:tabs>
        <w:tab w:val="left" w:pos="-720"/>
      </w:tabs>
      <w:suppressAutoHyphens/>
      <w:autoSpaceDE w:val="0"/>
      <w:autoSpaceDN w:val="0"/>
      <w:ind w:firstLine="1440"/>
    </w:pPr>
    <w:rPr>
      <w:rFonts w:ascii="CG Times" w:hAnsi="CG Times" w:cs="CG Times"/>
      <w:sz w:val="24"/>
      <w:szCs w:val="24"/>
    </w:rPr>
  </w:style>
  <w:style w:type="paragraph" w:styleId="TOC1">
    <w:name w:val="toc 1"/>
    <w:basedOn w:val="Normal"/>
    <w:next w:val="Normal"/>
    <w:autoRedefine/>
    <w:uiPriority w:val="39"/>
    <w:rsid w:val="00E9629F"/>
    <w:pPr>
      <w:tabs>
        <w:tab w:val="left" w:pos="720"/>
        <w:tab w:val="right" w:leader="dot" w:pos="9350"/>
      </w:tabs>
      <w:spacing w:after="100"/>
    </w:pPr>
  </w:style>
  <w:style w:type="paragraph" w:styleId="TOC2">
    <w:name w:val="toc 2"/>
    <w:basedOn w:val="Normal"/>
    <w:next w:val="Normal"/>
    <w:autoRedefine/>
    <w:uiPriority w:val="39"/>
    <w:rsid w:val="00E9629F"/>
    <w:pPr>
      <w:tabs>
        <w:tab w:val="left" w:pos="720"/>
        <w:tab w:val="left" w:pos="1440"/>
        <w:tab w:val="right" w:leader="dot" w:pos="9350"/>
      </w:tabs>
      <w:spacing w:after="100"/>
      <w:ind w:left="720"/>
    </w:pPr>
  </w:style>
  <w:style w:type="paragraph" w:styleId="TOC3">
    <w:name w:val="toc 3"/>
    <w:basedOn w:val="Normal"/>
    <w:next w:val="Normal"/>
    <w:autoRedefine/>
    <w:uiPriority w:val="39"/>
    <w:rsid w:val="00E9629F"/>
    <w:pPr>
      <w:tabs>
        <w:tab w:val="left" w:pos="1100"/>
        <w:tab w:val="left" w:pos="2160"/>
        <w:tab w:val="right" w:leader="dot" w:pos="9350"/>
      </w:tabs>
      <w:spacing w:after="100"/>
      <w:ind w:left="2160" w:hanging="720"/>
    </w:pPr>
  </w:style>
  <w:style w:type="paragraph" w:styleId="TOC4">
    <w:name w:val="toc 4"/>
    <w:basedOn w:val="Normal"/>
    <w:next w:val="Normal"/>
    <w:autoRedefine/>
    <w:uiPriority w:val="39"/>
    <w:rsid w:val="00E9629F"/>
    <w:pPr>
      <w:tabs>
        <w:tab w:val="left" w:pos="2880"/>
        <w:tab w:val="right" w:leader="dot" w:pos="9350"/>
      </w:tabs>
      <w:spacing w:after="100"/>
      <w:ind w:left="2160"/>
    </w:pPr>
  </w:style>
  <w:style w:type="character" w:styleId="CommentReference">
    <w:name w:val="annotation reference"/>
    <w:basedOn w:val="DefaultParagraphFont"/>
    <w:rsid w:val="00D76361"/>
    <w:rPr>
      <w:sz w:val="16"/>
      <w:szCs w:val="16"/>
    </w:rPr>
  </w:style>
  <w:style w:type="paragraph" w:styleId="CommentText">
    <w:name w:val="annotation text"/>
    <w:basedOn w:val="Normal"/>
    <w:link w:val="CommentTextChar"/>
    <w:rsid w:val="00D76361"/>
    <w:rPr>
      <w:sz w:val="20"/>
      <w:szCs w:val="20"/>
    </w:rPr>
  </w:style>
  <w:style w:type="character" w:customStyle="1" w:styleId="CommentTextChar">
    <w:name w:val="Comment Text Char"/>
    <w:basedOn w:val="DefaultParagraphFont"/>
    <w:link w:val="CommentText"/>
    <w:rsid w:val="00D76361"/>
  </w:style>
  <w:style w:type="paragraph" w:styleId="CommentSubject">
    <w:name w:val="annotation subject"/>
    <w:basedOn w:val="CommentText"/>
    <w:next w:val="CommentText"/>
    <w:link w:val="CommentSubjectChar"/>
    <w:rsid w:val="00D76361"/>
    <w:rPr>
      <w:b/>
      <w:bCs/>
    </w:rPr>
  </w:style>
  <w:style w:type="character" w:customStyle="1" w:styleId="CommentSubjectChar">
    <w:name w:val="Comment Subject Char"/>
    <w:basedOn w:val="CommentTextChar"/>
    <w:link w:val="CommentSubject"/>
    <w:rsid w:val="00D76361"/>
    <w:rPr>
      <w:b/>
      <w:bCs/>
    </w:rPr>
  </w:style>
  <w:style w:type="paragraph" w:styleId="NoSpacing">
    <w:name w:val="No Spacing"/>
    <w:uiPriority w:val="1"/>
    <w:qFormat/>
    <w:rsid w:val="0070025C"/>
    <w:rPr>
      <w:rFonts w:ascii="Calibri" w:eastAsia="Calibri" w:hAnsi="Calibri"/>
      <w:sz w:val="22"/>
      <w:szCs w:val="22"/>
    </w:rPr>
  </w:style>
  <w:style w:type="character" w:customStyle="1" w:styleId="BodyTextIndentChar">
    <w:name w:val="Body Text Indent Char"/>
    <w:basedOn w:val="DefaultParagraphFont"/>
    <w:link w:val="BodyTextIndent"/>
    <w:rsid w:val="000A6815"/>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paragraph" w:styleId="Heading1">
    <w:name w:val="heading 1"/>
    <w:basedOn w:val="Normal"/>
    <w:next w:val="Normal"/>
    <w:link w:val="Heading1Char"/>
    <w:qFormat/>
    <w:rsid w:val="00C369E9"/>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C369E9"/>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369E9"/>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C369E9"/>
    <w:pPr>
      <w:keepNext/>
      <w:keepLines/>
      <w:numPr>
        <w:ilvl w:val="3"/>
        <w:numId w:val="1"/>
      </w:numPr>
      <w:tabs>
        <w:tab w:val="clear" w:pos="2970"/>
        <w:tab w:val="num" w:pos="2880"/>
      </w:tabs>
      <w:spacing w:before="200"/>
      <w:ind w:left="288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C369E9"/>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C369E9"/>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C369E9"/>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C369E9"/>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C369E9"/>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 Char1"/>
    <w:basedOn w:val="Normal"/>
    <w:link w:val="FootnoteTextChar"/>
    <w:qFormat/>
    <w:rsid w:val="00713D64"/>
    <w:rPr>
      <w:sz w:val="20"/>
      <w:szCs w:val="20"/>
    </w:rPr>
  </w:style>
  <w:style w:type="character" w:styleId="FootnoteReference">
    <w:name w:val="footnote reference"/>
    <w:aliases w:val="o,fr,Style 13,Style 12,Style 28,(NECG) Footnote Reference,Style 11,Style 9,Style 16,Style 15,Style 17,Style 20,o1,fr1,o2,fr2,o3,fr3,Style 8,Style 7,Style 19"/>
    <w:basedOn w:val="DefaultParagraphFont"/>
    <w:rsid w:val="00713D64"/>
    <w:rPr>
      <w:vertAlign w:val="superscript"/>
    </w:rPr>
  </w:style>
  <w:style w:type="paragraph" w:styleId="BodyTextIndent">
    <w:name w:val="Body Text Indent"/>
    <w:basedOn w:val="Normal"/>
    <w:link w:val="BodyTextIndentChar"/>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character" w:styleId="Hyperlink">
    <w:name w:val="Hyperlink"/>
    <w:uiPriority w:val="99"/>
    <w:rsid w:val="003435F0"/>
    <w:rPr>
      <w:color w:val="0000FF"/>
      <w:u w:val="single"/>
    </w:rPr>
  </w:style>
  <w:style w:type="paragraph" w:styleId="NormalWeb">
    <w:name w:val="Normal (Web)"/>
    <w:basedOn w:val="Normal"/>
    <w:rsid w:val="003435F0"/>
    <w:pPr>
      <w:autoSpaceDE/>
      <w:autoSpaceDN/>
      <w:spacing w:before="100" w:beforeAutospacing="1" w:after="100" w:afterAutospacing="1"/>
    </w:pPr>
  </w:style>
  <w:style w:type="paragraph" w:styleId="BalloonText">
    <w:name w:val="Balloon Text"/>
    <w:basedOn w:val="Normal"/>
    <w:link w:val="BalloonTextChar"/>
    <w:rsid w:val="00486F35"/>
    <w:rPr>
      <w:rFonts w:ascii="Tahoma" w:hAnsi="Tahoma" w:cs="Tahoma"/>
      <w:sz w:val="16"/>
      <w:szCs w:val="16"/>
    </w:rPr>
  </w:style>
  <w:style w:type="character" w:customStyle="1" w:styleId="BalloonTextChar">
    <w:name w:val="Balloon Text Char"/>
    <w:basedOn w:val="DefaultParagraphFont"/>
    <w:link w:val="BalloonText"/>
    <w:rsid w:val="00486F35"/>
    <w:rPr>
      <w:rFonts w:ascii="Tahoma" w:hAnsi="Tahoma" w:cs="Tahoma"/>
      <w:sz w:val="16"/>
      <w:szCs w:val="16"/>
    </w:rPr>
  </w:style>
  <w:style w:type="character" w:customStyle="1" w:styleId="Heading1Char">
    <w:name w:val="Heading 1 Char"/>
    <w:basedOn w:val="DefaultParagraphFont"/>
    <w:link w:val="Heading1"/>
    <w:rsid w:val="00C369E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C369E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C369E9"/>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C369E9"/>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C369E9"/>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C369E9"/>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C369E9"/>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C369E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C369E9"/>
    <w:rPr>
      <w:rFonts w:asciiTheme="majorHAnsi" w:eastAsiaTheme="majorEastAsia" w:hAnsiTheme="majorHAnsi" w:cstheme="majorBidi"/>
      <w:i/>
      <w:iCs/>
      <w:color w:val="404040" w:themeColor="text1" w:themeTint="BF"/>
    </w:rPr>
  </w:style>
  <w:style w:type="paragraph" w:styleId="BodyText2">
    <w:name w:val="Body Text 2"/>
    <w:basedOn w:val="Normal"/>
    <w:link w:val="BodyText2Char"/>
    <w:rsid w:val="009755BB"/>
    <w:pPr>
      <w:spacing w:after="120" w:line="480" w:lineRule="auto"/>
    </w:pPr>
  </w:style>
  <w:style w:type="character" w:customStyle="1" w:styleId="BodyText2Char">
    <w:name w:val="Body Text 2 Char"/>
    <w:basedOn w:val="DefaultParagraphFont"/>
    <w:link w:val="BodyText2"/>
    <w:rsid w:val="009755BB"/>
    <w:rPr>
      <w:sz w:val="24"/>
      <w:szCs w:val="24"/>
    </w:rPr>
  </w:style>
  <w:style w:type="paragraph" w:styleId="ListNumber">
    <w:name w:val="List Number"/>
    <w:basedOn w:val="Normal"/>
    <w:rsid w:val="009755BB"/>
    <w:pPr>
      <w:numPr>
        <w:numId w:val="2"/>
      </w:numPr>
      <w:autoSpaceDE/>
      <w:autoSpaceDN/>
      <w:spacing w:line="480" w:lineRule="auto"/>
    </w:pPr>
    <w:rPr>
      <w:rFonts w:eastAsiaTheme="minorHAnsi" w:cstheme="minorBidi"/>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rsid w:val="00586127"/>
  </w:style>
  <w:style w:type="paragraph" w:customStyle="1" w:styleId="ParaTab1">
    <w:name w:val="ParaTab 1"/>
    <w:rsid w:val="00586127"/>
    <w:pPr>
      <w:tabs>
        <w:tab w:val="left" w:pos="-720"/>
      </w:tabs>
      <w:suppressAutoHyphens/>
      <w:autoSpaceDE w:val="0"/>
      <w:autoSpaceDN w:val="0"/>
      <w:ind w:firstLine="1440"/>
    </w:pPr>
    <w:rPr>
      <w:rFonts w:ascii="CG Times" w:hAnsi="CG Times" w:cs="CG Times"/>
      <w:sz w:val="24"/>
      <w:szCs w:val="24"/>
    </w:rPr>
  </w:style>
  <w:style w:type="paragraph" w:styleId="TOC1">
    <w:name w:val="toc 1"/>
    <w:basedOn w:val="Normal"/>
    <w:next w:val="Normal"/>
    <w:autoRedefine/>
    <w:uiPriority w:val="39"/>
    <w:rsid w:val="00E9629F"/>
    <w:pPr>
      <w:tabs>
        <w:tab w:val="left" w:pos="720"/>
        <w:tab w:val="right" w:leader="dot" w:pos="9350"/>
      </w:tabs>
      <w:spacing w:after="100"/>
    </w:pPr>
  </w:style>
  <w:style w:type="paragraph" w:styleId="TOC2">
    <w:name w:val="toc 2"/>
    <w:basedOn w:val="Normal"/>
    <w:next w:val="Normal"/>
    <w:autoRedefine/>
    <w:uiPriority w:val="39"/>
    <w:rsid w:val="00E9629F"/>
    <w:pPr>
      <w:tabs>
        <w:tab w:val="left" w:pos="720"/>
        <w:tab w:val="left" w:pos="1440"/>
        <w:tab w:val="right" w:leader="dot" w:pos="9350"/>
      </w:tabs>
      <w:spacing w:after="100"/>
      <w:ind w:left="720"/>
    </w:pPr>
  </w:style>
  <w:style w:type="paragraph" w:styleId="TOC3">
    <w:name w:val="toc 3"/>
    <w:basedOn w:val="Normal"/>
    <w:next w:val="Normal"/>
    <w:autoRedefine/>
    <w:uiPriority w:val="39"/>
    <w:rsid w:val="00E9629F"/>
    <w:pPr>
      <w:tabs>
        <w:tab w:val="left" w:pos="1100"/>
        <w:tab w:val="left" w:pos="2160"/>
        <w:tab w:val="right" w:leader="dot" w:pos="9350"/>
      </w:tabs>
      <w:spacing w:after="100"/>
      <w:ind w:left="2160" w:hanging="720"/>
    </w:pPr>
  </w:style>
  <w:style w:type="paragraph" w:styleId="TOC4">
    <w:name w:val="toc 4"/>
    <w:basedOn w:val="Normal"/>
    <w:next w:val="Normal"/>
    <w:autoRedefine/>
    <w:uiPriority w:val="39"/>
    <w:rsid w:val="00E9629F"/>
    <w:pPr>
      <w:tabs>
        <w:tab w:val="left" w:pos="2880"/>
        <w:tab w:val="right" w:leader="dot" w:pos="9350"/>
      </w:tabs>
      <w:spacing w:after="100"/>
      <w:ind w:left="2160"/>
    </w:pPr>
  </w:style>
  <w:style w:type="character" w:styleId="CommentReference">
    <w:name w:val="annotation reference"/>
    <w:basedOn w:val="DefaultParagraphFont"/>
    <w:rsid w:val="00D76361"/>
    <w:rPr>
      <w:sz w:val="16"/>
      <w:szCs w:val="16"/>
    </w:rPr>
  </w:style>
  <w:style w:type="paragraph" w:styleId="CommentText">
    <w:name w:val="annotation text"/>
    <w:basedOn w:val="Normal"/>
    <w:link w:val="CommentTextChar"/>
    <w:rsid w:val="00D76361"/>
    <w:rPr>
      <w:sz w:val="20"/>
      <w:szCs w:val="20"/>
    </w:rPr>
  </w:style>
  <w:style w:type="character" w:customStyle="1" w:styleId="CommentTextChar">
    <w:name w:val="Comment Text Char"/>
    <w:basedOn w:val="DefaultParagraphFont"/>
    <w:link w:val="CommentText"/>
    <w:rsid w:val="00D76361"/>
  </w:style>
  <w:style w:type="paragraph" w:styleId="CommentSubject">
    <w:name w:val="annotation subject"/>
    <w:basedOn w:val="CommentText"/>
    <w:next w:val="CommentText"/>
    <w:link w:val="CommentSubjectChar"/>
    <w:rsid w:val="00D76361"/>
    <w:rPr>
      <w:b/>
      <w:bCs/>
    </w:rPr>
  </w:style>
  <w:style w:type="character" w:customStyle="1" w:styleId="CommentSubjectChar">
    <w:name w:val="Comment Subject Char"/>
    <w:basedOn w:val="CommentTextChar"/>
    <w:link w:val="CommentSubject"/>
    <w:rsid w:val="00D76361"/>
    <w:rPr>
      <w:b/>
      <w:bCs/>
    </w:rPr>
  </w:style>
  <w:style w:type="paragraph" w:styleId="NoSpacing">
    <w:name w:val="No Spacing"/>
    <w:uiPriority w:val="1"/>
    <w:qFormat/>
    <w:rsid w:val="0070025C"/>
    <w:rPr>
      <w:rFonts w:ascii="Calibri" w:eastAsia="Calibri" w:hAnsi="Calibri"/>
      <w:sz w:val="22"/>
      <w:szCs w:val="22"/>
    </w:rPr>
  </w:style>
  <w:style w:type="character" w:customStyle="1" w:styleId="BodyTextIndentChar">
    <w:name w:val="Body Text Indent Char"/>
    <w:basedOn w:val="DefaultParagraphFont"/>
    <w:link w:val="BodyTextIndent"/>
    <w:rsid w:val="000A6815"/>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BF5FC-6260-4882-93F0-8DEF23689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13077</Words>
  <Characters>74545</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87448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shoffner</cp:lastModifiedBy>
  <cp:revision>2</cp:revision>
  <cp:lastPrinted>2014-11-05T14:27:00Z</cp:lastPrinted>
  <dcterms:created xsi:type="dcterms:W3CDTF">2014-11-12T20:49:00Z</dcterms:created>
  <dcterms:modified xsi:type="dcterms:W3CDTF">2014-11-12T20:49:00Z</dcterms:modified>
</cp:coreProperties>
</file>