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5D" w:rsidRPr="002C465D" w:rsidRDefault="002C465D" w:rsidP="002C465D">
      <w:pPr>
        <w:spacing w:after="0" w:line="240" w:lineRule="auto"/>
        <w:jc w:val="center"/>
        <w:rPr>
          <w:rFonts w:ascii="Times New Roman" w:eastAsia="Times New Roman" w:hAnsi="Times New Roman" w:cs="Times New Roman"/>
          <w:b/>
          <w:sz w:val="26"/>
          <w:szCs w:val="26"/>
        </w:rPr>
      </w:pPr>
      <w:r w:rsidRPr="002C465D">
        <w:rPr>
          <w:rFonts w:ascii="Times New Roman" w:eastAsia="Times New Roman" w:hAnsi="Times New Roman" w:cs="Times New Roman"/>
          <w:b/>
          <w:sz w:val="26"/>
          <w:szCs w:val="26"/>
        </w:rPr>
        <w:t>PENNSYLVANIA</w:t>
      </w:r>
    </w:p>
    <w:p w:rsidR="002C465D" w:rsidRPr="002C465D" w:rsidRDefault="002C465D" w:rsidP="002C465D">
      <w:pPr>
        <w:spacing w:after="0" w:line="240" w:lineRule="auto"/>
        <w:jc w:val="center"/>
        <w:rPr>
          <w:rFonts w:ascii="Times New Roman" w:eastAsia="Times New Roman" w:hAnsi="Times New Roman" w:cs="Times New Roman"/>
          <w:b/>
          <w:sz w:val="26"/>
          <w:szCs w:val="26"/>
        </w:rPr>
      </w:pPr>
      <w:r w:rsidRPr="002C465D">
        <w:rPr>
          <w:rFonts w:ascii="Times New Roman" w:eastAsia="Times New Roman" w:hAnsi="Times New Roman" w:cs="Times New Roman"/>
          <w:b/>
          <w:sz w:val="26"/>
          <w:szCs w:val="26"/>
        </w:rPr>
        <w:t>PUBLIC UTILITY COMMISSION</w:t>
      </w:r>
    </w:p>
    <w:p w:rsidR="002C465D" w:rsidRPr="002C465D" w:rsidRDefault="002C465D" w:rsidP="002C465D">
      <w:pPr>
        <w:keepNext/>
        <w:spacing w:after="0" w:line="240" w:lineRule="auto"/>
        <w:jc w:val="center"/>
        <w:outlineLvl w:val="6"/>
        <w:rPr>
          <w:rFonts w:ascii="Times New Roman" w:eastAsia="Times New Roman" w:hAnsi="Times New Roman" w:cs="Times New Roman"/>
          <w:b/>
          <w:sz w:val="26"/>
          <w:szCs w:val="26"/>
        </w:rPr>
      </w:pPr>
      <w:r w:rsidRPr="002C465D">
        <w:rPr>
          <w:rFonts w:ascii="Times New Roman" w:eastAsia="Times New Roman" w:hAnsi="Times New Roman" w:cs="Times New Roman"/>
          <w:b/>
          <w:sz w:val="26"/>
          <w:szCs w:val="26"/>
        </w:rPr>
        <w:t>Harrisburg, PA  17105-3265</w:t>
      </w:r>
    </w:p>
    <w:p w:rsidR="002C465D" w:rsidRPr="002C465D" w:rsidRDefault="002C465D" w:rsidP="002C465D">
      <w:pPr>
        <w:spacing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5058"/>
        <w:gridCol w:w="4518"/>
      </w:tblGrid>
      <w:tr w:rsidR="002C465D" w:rsidRPr="002C465D" w:rsidTr="00435D89">
        <w:tc>
          <w:tcPr>
            <w:tcW w:w="5058" w:type="dxa"/>
            <w:vAlign w:val="center"/>
          </w:tcPr>
          <w:p w:rsidR="002C465D" w:rsidRPr="002C465D" w:rsidRDefault="002C465D" w:rsidP="002C465D">
            <w:pPr>
              <w:spacing w:after="0" w:line="240" w:lineRule="auto"/>
              <w:jc w:val="right"/>
              <w:rPr>
                <w:rFonts w:ascii="Times New Roman" w:eastAsia="Times New Roman" w:hAnsi="Times New Roman" w:cs="Times New Roman"/>
                <w:sz w:val="26"/>
                <w:szCs w:val="26"/>
              </w:rPr>
            </w:pPr>
          </w:p>
        </w:tc>
        <w:tc>
          <w:tcPr>
            <w:tcW w:w="4518" w:type="dxa"/>
            <w:vAlign w:val="center"/>
          </w:tcPr>
          <w:p w:rsidR="002C465D" w:rsidRPr="002C465D" w:rsidRDefault="002C465D" w:rsidP="001A5451">
            <w:pPr>
              <w:spacing w:after="0" w:line="240" w:lineRule="auto"/>
              <w:jc w:val="right"/>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 xml:space="preserve">Public Meeting held </w:t>
            </w:r>
            <w:r w:rsidR="008A0BE2">
              <w:rPr>
                <w:rFonts w:ascii="Times New Roman" w:eastAsia="Times New Roman" w:hAnsi="Times New Roman" w:cs="Times New Roman"/>
                <w:sz w:val="26"/>
                <w:szCs w:val="26"/>
              </w:rPr>
              <w:t>November 13</w:t>
            </w:r>
            <w:r w:rsidR="001A5451">
              <w:rPr>
                <w:rFonts w:ascii="Times New Roman" w:eastAsia="Times New Roman" w:hAnsi="Times New Roman" w:cs="Times New Roman"/>
                <w:sz w:val="26"/>
                <w:szCs w:val="26"/>
              </w:rPr>
              <w:t>, 2014</w:t>
            </w:r>
          </w:p>
        </w:tc>
      </w:tr>
      <w:tr w:rsidR="002C465D" w:rsidRPr="002C465D" w:rsidTr="00435D89">
        <w:trPr>
          <w:trHeight w:val="1907"/>
        </w:trPr>
        <w:tc>
          <w:tcPr>
            <w:tcW w:w="5058" w:type="dxa"/>
          </w:tcPr>
          <w:p w:rsidR="002C465D" w:rsidRPr="002C465D" w:rsidRDefault="002C465D" w:rsidP="002C465D">
            <w:pPr>
              <w:spacing w:after="0" w:line="240" w:lineRule="auto"/>
              <w:rPr>
                <w:rFonts w:ascii="Times New Roman" w:eastAsia="Times New Roman" w:hAnsi="Times New Roman" w:cs="Times New Roman"/>
                <w:sz w:val="26"/>
                <w:szCs w:val="26"/>
              </w:rPr>
            </w:pPr>
          </w:p>
          <w:p w:rsidR="002C465D" w:rsidRPr="002C465D" w:rsidRDefault="002C465D" w:rsidP="002C465D">
            <w:pPr>
              <w:spacing w:after="0" w:line="240" w:lineRule="auto"/>
              <w:rPr>
                <w:rFonts w:ascii="Times New Roman" w:eastAsia="Times New Roman" w:hAnsi="Times New Roman" w:cs="Times New Roman"/>
                <w:color w:val="0D0D0D"/>
                <w:sz w:val="26"/>
                <w:szCs w:val="26"/>
              </w:rPr>
            </w:pPr>
            <w:r w:rsidRPr="002C465D">
              <w:rPr>
                <w:rFonts w:ascii="Times New Roman" w:eastAsia="Times New Roman" w:hAnsi="Times New Roman" w:cs="Times New Roman"/>
                <w:color w:val="0D0D0D"/>
                <w:sz w:val="26"/>
                <w:szCs w:val="26"/>
              </w:rPr>
              <w:t>Commissioners Present:</w:t>
            </w:r>
          </w:p>
          <w:p w:rsidR="002C465D" w:rsidRPr="002C465D" w:rsidRDefault="002C465D" w:rsidP="002C465D">
            <w:pPr>
              <w:spacing w:after="0" w:line="240" w:lineRule="auto"/>
              <w:ind w:left="720"/>
              <w:rPr>
                <w:rFonts w:ascii="Times New Roman" w:eastAsia="Times New Roman" w:hAnsi="Times New Roman" w:cs="Times New Roman"/>
                <w:color w:val="0D0D0D"/>
                <w:sz w:val="26"/>
                <w:szCs w:val="26"/>
              </w:rPr>
            </w:pPr>
            <w:r w:rsidRPr="002C465D">
              <w:rPr>
                <w:rFonts w:ascii="Times New Roman" w:eastAsia="Times New Roman" w:hAnsi="Times New Roman" w:cs="Times New Roman"/>
                <w:color w:val="0D0D0D"/>
                <w:sz w:val="26"/>
                <w:szCs w:val="26"/>
              </w:rPr>
              <w:t>Robert F. Powelson, Chairman</w:t>
            </w:r>
          </w:p>
          <w:p w:rsidR="002C465D" w:rsidRPr="002C465D" w:rsidRDefault="002C465D" w:rsidP="002C465D">
            <w:pPr>
              <w:spacing w:after="0" w:line="240" w:lineRule="auto"/>
              <w:ind w:left="720"/>
              <w:rPr>
                <w:rFonts w:ascii="Times New Roman" w:eastAsia="Times New Roman" w:hAnsi="Times New Roman" w:cs="Times New Roman"/>
                <w:color w:val="0D0D0D"/>
                <w:sz w:val="26"/>
                <w:szCs w:val="26"/>
              </w:rPr>
            </w:pPr>
            <w:r w:rsidRPr="002C465D">
              <w:rPr>
                <w:rFonts w:ascii="Times New Roman" w:eastAsia="Times New Roman" w:hAnsi="Times New Roman" w:cs="Times New Roman"/>
                <w:color w:val="0D0D0D"/>
                <w:sz w:val="26"/>
                <w:szCs w:val="26"/>
              </w:rPr>
              <w:t>John F. Coleman, Jr., Vice Chairman</w:t>
            </w:r>
          </w:p>
          <w:p w:rsidR="002C465D" w:rsidRPr="002C465D" w:rsidRDefault="002C465D" w:rsidP="002C465D">
            <w:pPr>
              <w:spacing w:after="0" w:line="240" w:lineRule="auto"/>
              <w:ind w:left="720"/>
              <w:rPr>
                <w:rFonts w:ascii="Times New Roman" w:eastAsia="Times New Roman" w:hAnsi="Times New Roman" w:cs="Times New Roman"/>
                <w:color w:val="0D0D0D"/>
                <w:sz w:val="26"/>
                <w:szCs w:val="26"/>
              </w:rPr>
            </w:pPr>
            <w:r w:rsidRPr="002C465D">
              <w:rPr>
                <w:rFonts w:ascii="Times New Roman" w:eastAsia="Times New Roman" w:hAnsi="Times New Roman" w:cs="Times New Roman"/>
                <w:color w:val="0D0D0D"/>
                <w:sz w:val="26"/>
                <w:szCs w:val="26"/>
              </w:rPr>
              <w:t xml:space="preserve">James H. Cawley </w:t>
            </w:r>
          </w:p>
          <w:p w:rsidR="002C465D" w:rsidRPr="002C465D" w:rsidRDefault="002C465D" w:rsidP="002C465D">
            <w:pPr>
              <w:spacing w:after="0" w:line="240" w:lineRule="auto"/>
              <w:ind w:left="720"/>
              <w:rPr>
                <w:rFonts w:ascii="Times New Roman" w:eastAsia="Times New Roman" w:hAnsi="Times New Roman" w:cs="Times New Roman"/>
                <w:color w:val="0D0D0D"/>
                <w:sz w:val="26"/>
                <w:szCs w:val="26"/>
              </w:rPr>
            </w:pPr>
            <w:r w:rsidRPr="002C465D">
              <w:rPr>
                <w:rFonts w:ascii="Times New Roman" w:eastAsia="Times New Roman" w:hAnsi="Times New Roman" w:cs="Times New Roman"/>
                <w:color w:val="0D0D0D"/>
                <w:sz w:val="26"/>
                <w:szCs w:val="26"/>
              </w:rPr>
              <w:t>Pamela A. Witmer</w:t>
            </w:r>
          </w:p>
          <w:p w:rsidR="002C465D" w:rsidRPr="002C465D" w:rsidRDefault="002C465D" w:rsidP="002C465D">
            <w:pPr>
              <w:spacing w:after="0" w:line="240" w:lineRule="auto"/>
              <w:ind w:left="720"/>
              <w:rPr>
                <w:rFonts w:ascii="Times New Roman" w:eastAsia="Times New Roman" w:hAnsi="Times New Roman" w:cs="Times New Roman"/>
                <w:color w:val="0D0D0D"/>
                <w:sz w:val="26"/>
                <w:szCs w:val="26"/>
              </w:rPr>
            </w:pPr>
            <w:r w:rsidRPr="002C465D">
              <w:rPr>
                <w:rFonts w:ascii="Times New Roman" w:eastAsia="Times New Roman" w:hAnsi="Times New Roman" w:cs="Times New Roman"/>
                <w:color w:val="0D0D0D"/>
                <w:sz w:val="26"/>
                <w:szCs w:val="26"/>
              </w:rPr>
              <w:t>Gladys M. Brown</w:t>
            </w:r>
          </w:p>
          <w:p w:rsidR="002C465D" w:rsidRPr="002C465D" w:rsidRDefault="002C465D" w:rsidP="002C465D">
            <w:pPr>
              <w:spacing w:after="0" w:line="240" w:lineRule="auto"/>
              <w:rPr>
                <w:rFonts w:ascii="Times New Roman" w:eastAsia="Times New Roman" w:hAnsi="Times New Roman" w:cs="Times New Roman"/>
                <w:sz w:val="26"/>
                <w:szCs w:val="26"/>
              </w:rPr>
            </w:pPr>
          </w:p>
        </w:tc>
        <w:tc>
          <w:tcPr>
            <w:tcW w:w="4518" w:type="dxa"/>
          </w:tcPr>
          <w:p w:rsidR="002C465D" w:rsidRPr="002C465D" w:rsidRDefault="002C465D" w:rsidP="002C465D">
            <w:pPr>
              <w:spacing w:after="0" w:line="240" w:lineRule="auto"/>
              <w:rPr>
                <w:rFonts w:ascii="Times New Roman" w:eastAsia="Times New Roman" w:hAnsi="Times New Roman" w:cs="Times New Roman"/>
                <w:sz w:val="26"/>
                <w:szCs w:val="26"/>
              </w:rPr>
            </w:pPr>
          </w:p>
        </w:tc>
      </w:tr>
      <w:tr w:rsidR="002C465D" w:rsidRPr="002C465D" w:rsidTr="00435D89">
        <w:tc>
          <w:tcPr>
            <w:tcW w:w="5058" w:type="dxa"/>
          </w:tcPr>
          <w:p w:rsidR="002C465D" w:rsidRPr="002C465D" w:rsidRDefault="002C465D" w:rsidP="002C465D">
            <w:pPr>
              <w:spacing w:after="0" w:line="240" w:lineRule="auto"/>
              <w:rPr>
                <w:rFonts w:ascii="Times New Roman" w:eastAsia="Times New Roman" w:hAnsi="Times New Roman" w:cs="Times New Roman"/>
                <w:sz w:val="26"/>
                <w:szCs w:val="26"/>
              </w:rPr>
            </w:pPr>
          </w:p>
        </w:tc>
        <w:tc>
          <w:tcPr>
            <w:tcW w:w="4518" w:type="dxa"/>
          </w:tcPr>
          <w:p w:rsidR="002C465D" w:rsidRPr="002C465D" w:rsidRDefault="002C465D" w:rsidP="002C465D">
            <w:pPr>
              <w:spacing w:after="0" w:line="240" w:lineRule="auto"/>
              <w:jc w:val="right"/>
              <w:rPr>
                <w:rFonts w:ascii="Times New Roman" w:eastAsia="Times New Roman" w:hAnsi="Times New Roman" w:cs="Times New Roman"/>
                <w:sz w:val="26"/>
                <w:szCs w:val="26"/>
              </w:rPr>
            </w:pPr>
          </w:p>
        </w:tc>
      </w:tr>
      <w:tr w:rsidR="002C465D" w:rsidRPr="002C465D" w:rsidTr="00435D89">
        <w:tc>
          <w:tcPr>
            <w:tcW w:w="5058" w:type="dxa"/>
          </w:tcPr>
          <w:p w:rsidR="002C465D" w:rsidRPr="002C465D" w:rsidRDefault="002C465D" w:rsidP="002C465D">
            <w:pPr>
              <w:spacing w:after="0" w:line="240" w:lineRule="auto"/>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Philadelphia Gas Works Universal Service and Energy Conservation Plan for 2014</w:t>
            </w:r>
            <w:r w:rsidRPr="002C465D">
              <w:rPr>
                <w:rFonts w:ascii="Times New Roman" w:eastAsia="Times New Roman" w:hAnsi="Times New Roman" w:cs="Times New Roman"/>
                <w:sz w:val="26"/>
                <w:szCs w:val="26"/>
              </w:rPr>
              <w:noBreakHyphen/>
              <w:t xml:space="preserve">2016 Submitted in Compliance with </w:t>
            </w:r>
          </w:p>
          <w:p w:rsidR="002C465D" w:rsidRPr="002C465D" w:rsidRDefault="002C465D" w:rsidP="002C465D">
            <w:pPr>
              <w:spacing w:after="0" w:line="240" w:lineRule="auto"/>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 xml:space="preserve">52 Pa. Code § 62.4 </w:t>
            </w:r>
          </w:p>
        </w:tc>
        <w:tc>
          <w:tcPr>
            <w:tcW w:w="4518" w:type="dxa"/>
          </w:tcPr>
          <w:p w:rsidR="002C465D" w:rsidRPr="002C465D" w:rsidRDefault="002C465D" w:rsidP="002C465D">
            <w:pPr>
              <w:spacing w:after="0" w:line="240" w:lineRule="auto"/>
              <w:jc w:val="right"/>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Docket No. M-2013-2366301</w:t>
            </w:r>
          </w:p>
        </w:tc>
      </w:tr>
    </w:tbl>
    <w:p w:rsidR="002C465D" w:rsidRPr="002C465D" w:rsidRDefault="002C465D" w:rsidP="002C465D">
      <w:pPr>
        <w:spacing w:after="0" w:line="360" w:lineRule="auto"/>
        <w:jc w:val="center"/>
        <w:rPr>
          <w:rFonts w:ascii="Times New Roman" w:eastAsia="Times New Roman" w:hAnsi="Times New Roman" w:cs="Times New Roman"/>
          <w:sz w:val="26"/>
          <w:szCs w:val="26"/>
        </w:rPr>
      </w:pPr>
    </w:p>
    <w:p w:rsidR="002C465D" w:rsidRPr="002C465D" w:rsidRDefault="002C465D" w:rsidP="002C465D">
      <w:pPr>
        <w:spacing w:after="0" w:line="360" w:lineRule="auto"/>
        <w:jc w:val="center"/>
        <w:rPr>
          <w:rFonts w:ascii="Times New Roman" w:eastAsia="Times New Roman" w:hAnsi="Times New Roman" w:cs="Times New Roman"/>
          <w:b/>
          <w:sz w:val="26"/>
          <w:szCs w:val="26"/>
        </w:rPr>
      </w:pPr>
      <w:r w:rsidRPr="002C465D">
        <w:rPr>
          <w:rFonts w:ascii="Times New Roman" w:eastAsia="Times New Roman" w:hAnsi="Times New Roman" w:cs="Times New Roman"/>
          <w:b/>
          <w:sz w:val="26"/>
          <w:szCs w:val="26"/>
        </w:rPr>
        <w:t>FINAL ORDER RE COMPLIANCE FILING</w:t>
      </w:r>
    </w:p>
    <w:p w:rsidR="002C465D" w:rsidRPr="002C465D" w:rsidRDefault="002C465D" w:rsidP="002C465D">
      <w:pPr>
        <w:spacing w:after="0" w:line="360" w:lineRule="auto"/>
        <w:rPr>
          <w:rFonts w:ascii="Times New Roman" w:eastAsia="Times New Roman" w:hAnsi="Times New Roman" w:cs="Times New Roman"/>
          <w:b/>
          <w:sz w:val="26"/>
          <w:szCs w:val="26"/>
        </w:rPr>
      </w:pPr>
    </w:p>
    <w:p w:rsidR="002C465D" w:rsidRPr="002C465D" w:rsidRDefault="002C465D" w:rsidP="002C465D">
      <w:pPr>
        <w:spacing w:after="0" w:line="360" w:lineRule="auto"/>
        <w:rPr>
          <w:rFonts w:ascii="Times New Roman" w:eastAsia="Times New Roman" w:hAnsi="Times New Roman" w:cs="Times New Roman"/>
          <w:b/>
          <w:sz w:val="26"/>
          <w:szCs w:val="26"/>
        </w:rPr>
      </w:pPr>
      <w:r w:rsidRPr="002C465D">
        <w:rPr>
          <w:rFonts w:ascii="Times New Roman" w:eastAsia="Times New Roman" w:hAnsi="Times New Roman" w:cs="Times New Roman"/>
          <w:b/>
          <w:sz w:val="26"/>
          <w:szCs w:val="26"/>
        </w:rPr>
        <w:t xml:space="preserve">BY THE COMMISSION: </w:t>
      </w:r>
    </w:p>
    <w:p w:rsidR="002C465D" w:rsidRPr="002C465D" w:rsidRDefault="002C465D" w:rsidP="002C465D">
      <w:pPr>
        <w:spacing w:after="0" w:line="360" w:lineRule="auto"/>
        <w:rPr>
          <w:rFonts w:ascii="Times New Roman" w:eastAsia="Times New Roman" w:hAnsi="Times New Roman" w:cs="Times New Roman"/>
          <w:b/>
          <w:sz w:val="26"/>
          <w:szCs w:val="26"/>
        </w:rPr>
      </w:pPr>
    </w:p>
    <w:p w:rsidR="002C465D" w:rsidRPr="002C465D" w:rsidRDefault="002C465D" w:rsidP="002C465D">
      <w:pPr>
        <w:spacing w:after="0" w:line="360" w:lineRule="auto"/>
        <w:rPr>
          <w:rFonts w:ascii="Times New Roman" w:eastAsia="Calibri" w:hAnsi="Times New Roman" w:cs="Times New Roman"/>
          <w:sz w:val="26"/>
          <w:szCs w:val="26"/>
        </w:rPr>
      </w:pPr>
      <w:r w:rsidRPr="002C465D">
        <w:rPr>
          <w:rFonts w:ascii="Times New Roman" w:eastAsia="Times New Roman" w:hAnsi="Times New Roman" w:cs="Times New Roman"/>
          <w:sz w:val="26"/>
          <w:szCs w:val="26"/>
        </w:rPr>
        <w:tab/>
        <w:t xml:space="preserve">Before the Commission are the October 2, 2014 Joint Comments of </w:t>
      </w:r>
      <w:r w:rsidRPr="002C465D">
        <w:rPr>
          <w:rFonts w:ascii="Times New Roman" w:eastAsia="Calibri" w:hAnsi="Times New Roman" w:cs="Times New Roman"/>
          <w:sz w:val="26"/>
          <w:szCs w:val="26"/>
        </w:rPr>
        <w:t>the Coalition for Affordable Utility Services and Energy Efficiency in Pennsylvania (CAUSE-PA) and the Tenants Union Representative Network (TURN) alleging that Philadelphia Gas Work’s (PGW’s) Revised Universal Service and Energy Conservation Plan for 2014</w:t>
      </w:r>
      <w:r w:rsidRPr="002C465D">
        <w:rPr>
          <w:rFonts w:ascii="Times New Roman" w:eastAsia="Calibri" w:hAnsi="Times New Roman" w:cs="Times New Roman"/>
          <w:sz w:val="26"/>
          <w:szCs w:val="26"/>
        </w:rPr>
        <w:noBreakHyphen/>
        <w:t xml:space="preserve">2016 (Revised USECP) is inconsistent with our </w:t>
      </w:r>
      <w:r w:rsidRPr="002C465D">
        <w:rPr>
          <w:rFonts w:ascii="Times New Roman" w:eastAsia="Calibri" w:hAnsi="Times New Roman" w:cs="Times New Roman"/>
          <w:i/>
          <w:sz w:val="26"/>
          <w:szCs w:val="26"/>
        </w:rPr>
        <w:t>Final Order</w:t>
      </w:r>
      <w:r w:rsidRPr="002C465D">
        <w:rPr>
          <w:rFonts w:ascii="Times New Roman" w:eastAsia="Calibri" w:hAnsi="Times New Roman" w:cs="Times New Roman"/>
          <w:sz w:val="26"/>
          <w:szCs w:val="26"/>
        </w:rPr>
        <w:t xml:space="preserve">, entered August 22, 2014, at this docket.  </w:t>
      </w:r>
    </w:p>
    <w:p w:rsidR="002C465D" w:rsidRPr="002C465D" w:rsidRDefault="002C465D" w:rsidP="002C465D">
      <w:pPr>
        <w:spacing w:after="0" w:line="360" w:lineRule="auto"/>
        <w:rPr>
          <w:rFonts w:ascii="Times New Roman" w:eastAsia="Times New Roman" w:hAnsi="Times New Roman" w:cs="Times New Roman"/>
          <w:sz w:val="26"/>
          <w:szCs w:val="26"/>
        </w:rPr>
      </w:pPr>
    </w:p>
    <w:p w:rsidR="002C465D" w:rsidRPr="002C465D" w:rsidRDefault="002C465D" w:rsidP="002C465D">
      <w:pPr>
        <w:keepNext/>
        <w:tabs>
          <w:tab w:val="left" w:pos="720"/>
        </w:tabs>
        <w:autoSpaceDE w:val="0"/>
        <w:autoSpaceDN w:val="0"/>
        <w:adjustRightInd w:val="0"/>
        <w:spacing w:line="360" w:lineRule="auto"/>
        <w:rPr>
          <w:rFonts w:ascii="Times New Roman" w:eastAsia="Times New Roman" w:hAnsi="Times New Roman" w:cs="Times New Roman"/>
          <w:b/>
          <w:sz w:val="26"/>
          <w:szCs w:val="26"/>
        </w:rPr>
      </w:pPr>
      <w:r w:rsidRPr="002C465D">
        <w:rPr>
          <w:rFonts w:ascii="Times New Roman" w:eastAsia="Times New Roman" w:hAnsi="Times New Roman" w:cs="Times New Roman"/>
          <w:b/>
          <w:sz w:val="26"/>
          <w:szCs w:val="26"/>
        </w:rPr>
        <w:t>I.  BACKGROUND</w:t>
      </w:r>
      <w:r w:rsidRPr="002C465D">
        <w:rPr>
          <w:rFonts w:ascii="Times New Roman" w:eastAsia="Times New Roman" w:hAnsi="Times New Roman" w:cs="Times New Roman"/>
          <w:b/>
          <w:sz w:val="26"/>
          <w:szCs w:val="26"/>
          <w:vertAlign w:val="superscript"/>
        </w:rPr>
        <w:footnoteReference w:id="1"/>
      </w:r>
    </w:p>
    <w:p w:rsidR="002C465D" w:rsidRPr="002C465D" w:rsidRDefault="002C465D" w:rsidP="002C465D">
      <w:pPr>
        <w:spacing w:after="0" w:line="360" w:lineRule="auto"/>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ab/>
        <w:t xml:space="preserve">The Natural Gas Choice and Competition Act (Competition Act), effective July 1, 1999, opened the natural gas supply market to competition and established standards and </w:t>
      </w:r>
      <w:r w:rsidRPr="002C465D">
        <w:rPr>
          <w:rFonts w:ascii="Times New Roman" w:eastAsia="Times New Roman" w:hAnsi="Times New Roman" w:cs="Times New Roman"/>
          <w:sz w:val="26"/>
          <w:szCs w:val="26"/>
        </w:rPr>
        <w:lastRenderedPageBreak/>
        <w:t xml:space="preserve">procedures for restructuring Pennsylvania’s natural gas utility industry.  It includes universal service provisions to ensure that natural gas service remains universally available to customers in the Commonwealth.  66 Pa.C.S. §§ 2201, </w:t>
      </w:r>
      <w:r w:rsidRPr="002C465D">
        <w:rPr>
          <w:rFonts w:ascii="Times New Roman" w:eastAsia="Times New Roman" w:hAnsi="Times New Roman" w:cs="Times New Roman"/>
          <w:i/>
          <w:sz w:val="26"/>
          <w:szCs w:val="26"/>
        </w:rPr>
        <w:t>et seq.</w:t>
      </w:r>
      <w:r w:rsidRPr="002C465D">
        <w:rPr>
          <w:rFonts w:ascii="Times New Roman" w:eastAsia="Times New Roman" w:hAnsi="Times New Roman" w:cs="Times New Roman"/>
          <w:sz w:val="26"/>
          <w:szCs w:val="26"/>
        </w:rPr>
        <w:t xml:space="preserve">  </w:t>
      </w:r>
    </w:p>
    <w:p w:rsidR="002C465D" w:rsidRPr="002C465D" w:rsidRDefault="002C465D" w:rsidP="002C465D">
      <w:pPr>
        <w:spacing w:after="0" w:line="360" w:lineRule="auto"/>
        <w:rPr>
          <w:rFonts w:ascii="Times New Roman" w:eastAsia="Calibri" w:hAnsi="Times New Roman" w:cs="Times New Roman"/>
          <w:sz w:val="26"/>
          <w:szCs w:val="26"/>
        </w:rPr>
      </w:pPr>
    </w:p>
    <w:p w:rsidR="002C465D" w:rsidRPr="002C465D" w:rsidRDefault="002C465D" w:rsidP="002C465D">
      <w:pPr>
        <w:spacing w:after="0" w:line="360" w:lineRule="auto"/>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ab/>
        <w:t xml:space="preserve">The Commission promulgated Universal Service and Energy Conservation Reporting Requirements regulations (Reporting Requirements).  52 Pa. Code §§ 62.1-62.8.  Further, the Commission adopted its Customer Assistance Plan Policy Statement (CAP Policy Statement), which provides guidance on affordable payments.  52 Pa. Code §§ 69.261-69.267.  The Commission balances the interests of customers who benefit from the programs with the interests of the customers who pay for the programs.  </w:t>
      </w:r>
      <w:r w:rsidRPr="002C465D">
        <w:rPr>
          <w:rFonts w:ascii="Times New Roman" w:eastAsia="Times New Roman" w:hAnsi="Times New Roman" w:cs="Times New Roman"/>
          <w:i/>
          <w:sz w:val="26"/>
          <w:szCs w:val="26"/>
        </w:rPr>
        <w:t>See</w:t>
      </w:r>
      <w:r w:rsidRPr="002C465D">
        <w:rPr>
          <w:rFonts w:ascii="Times New Roman" w:eastAsia="Times New Roman" w:hAnsi="Times New Roman" w:cs="Times New Roman"/>
          <w:sz w:val="26"/>
          <w:szCs w:val="26"/>
        </w:rPr>
        <w:t xml:space="preserve"> </w:t>
      </w:r>
      <w:r w:rsidRPr="002C465D">
        <w:rPr>
          <w:rFonts w:ascii="Times New Roman" w:eastAsia="Times New Roman" w:hAnsi="Times New Roman" w:cs="Times New Roman"/>
          <w:i/>
          <w:sz w:val="26"/>
          <w:szCs w:val="26"/>
        </w:rPr>
        <w:t>Final Investigatory Order on CAPs:  Funding Levels and Cost Recovery Mechanisms</w:t>
      </w:r>
      <w:r w:rsidRPr="002C465D">
        <w:rPr>
          <w:rFonts w:ascii="Times New Roman" w:eastAsia="Times New Roman" w:hAnsi="Times New Roman" w:cs="Times New Roman"/>
          <w:sz w:val="26"/>
          <w:szCs w:val="26"/>
        </w:rPr>
        <w:t>, Docket No. M-00051923 (Dec. 18, 2006), (</w:t>
      </w:r>
      <w:r w:rsidRPr="002C465D">
        <w:rPr>
          <w:rFonts w:ascii="Times New Roman" w:eastAsia="Times New Roman" w:hAnsi="Times New Roman" w:cs="Times New Roman"/>
          <w:i/>
          <w:sz w:val="26"/>
          <w:szCs w:val="26"/>
        </w:rPr>
        <w:t>Final CAP Investigatory Order</w:t>
      </w:r>
      <w:r w:rsidRPr="002C465D">
        <w:rPr>
          <w:rFonts w:ascii="Times New Roman" w:eastAsia="Times New Roman" w:hAnsi="Times New Roman" w:cs="Times New Roman"/>
          <w:sz w:val="26"/>
          <w:szCs w:val="26"/>
        </w:rPr>
        <w:t>), at 6-7.</w:t>
      </w:r>
    </w:p>
    <w:p w:rsidR="002C465D" w:rsidRPr="002C465D" w:rsidRDefault="002C465D" w:rsidP="002C465D">
      <w:pPr>
        <w:spacing w:after="0" w:line="360" w:lineRule="auto"/>
        <w:rPr>
          <w:rFonts w:ascii="Times New Roman" w:eastAsia="Calibri" w:hAnsi="Times New Roman" w:cs="Times New Roman"/>
          <w:sz w:val="26"/>
          <w:szCs w:val="26"/>
        </w:rPr>
      </w:pPr>
    </w:p>
    <w:p w:rsidR="002C465D" w:rsidRPr="002C465D" w:rsidRDefault="002C465D" w:rsidP="002C465D">
      <w:pPr>
        <w:spacing w:after="0" w:line="360" w:lineRule="auto"/>
        <w:rPr>
          <w:rFonts w:ascii="Times New Roman" w:eastAsia="Times New Roman" w:hAnsi="Times New Roman" w:cs="Times New Roman"/>
          <w:sz w:val="26"/>
          <w:szCs w:val="26"/>
        </w:rPr>
      </w:pPr>
      <w:r w:rsidRPr="002C465D">
        <w:rPr>
          <w:rFonts w:ascii="Times New Roman" w:eastAsia="Times New Roman" w:hAnsi="Times New Roman" w:cs="Times New Roman"/>
          <w:b/>
          <w:sz w:val="26"/>
          <w:szCs w:val="26"/>
        </w:rPr>
        <w:t>II.  HISTORY</w:t>
      </w:r>
    </w:p>
    <w:p w:rsidR="002C465D" w:rsidRPr="002C465D" w:rsidRDefault="002C465D" w:rsidP="002C465D">
      <w:pPr>
        <w:tabs>
          <w:tab w:val="left" w:pos="720"/>
        </w:tabs>
        <w:autoSpaceDE w:val="0"/>
        <w:autoSpaceDN w:val="0"/>
        <w:adjustRightInd w:val="0"/>
        <w:spacing w:after="0" w:line="360" w:lineRule="auto"/>
        <w:rPr>
          <w:rFonts w:ascii="Times New Roman" w:hAnsi="Times New Roman" w:cs="Times New Roman"/>
          <w:sz w:val="26"/>
          <w:szCs w:val="26"/>
        </w:rPr>
      </w:pPr>
    </w:p>
    <w:p w:rsidR="002C465D" w:rsidRPr="002C465D" w:rsidRDefault="002C465D" w:rsidP="002C465D">
      <w:pPr>
        <w:tabs>
          <w:tab w:val="left" w:pos="720"/>
        </w:tabs>
        <w:autoSpaceDE w:val="0"/>
        <w:autoSpaceDN w:val="0"/>
        <w:adjustRightInd w:val="0"/>
        <w:spacing w:after="0" w:line="360" w:lineRule="auto"/>
        <w:rPr>
          <w:rFonts w:ascii="Times New Roman" w:hAnsi="Times New Roman" w:cs="Times New Roman"/>
          <w:color w:val="0D0D0D"/>
          <w:sz w:val="26"/>
          <w:szCs w:val="26"/>
        </w:rPr>
      </w:pPr>
      <w:r w:rsidRPr="002C465D">
        <w:rPr>
          <w:rFonts w:ascii="Times New Roman" w:hAnsi="Times New Roman" w:cs="Times New Roman"/>
          <w:sz w:val="26"/>
          <w:szCs w:val="26"/>
        </w:rPr>
        <w:tab/>
        <w:t xml:space="preserve">On April 3, 2014, the Commission entered a Tentative Order, addressing PGW’s proposed UESCP for 2014-2016 (Proposed 2014-2016 Plan) in compliance with </w:t>
      </w:r>
      <w:r w:rsidRPr="002C465D">
        <w:rPr>
          <w:rFonts w:ascii="Times New Roman" w:hAnsi="Times New Roman" w:cs="Times New Roman"/>
          <w:color w:val="0D0D0D"/>
          <w:sz w:val="26"/>
          <w:szCs w:val="26"/>
        </w:rPr>
        <w:t xml:space="preserve">52 Pa. Code § 62.4.  PGW subsequently filed a response to the request for additional information within the Tentative Order.  </w:t>
      </w:r>
    </w:p>
    <w:p w:rsidR="002C465D" w:rsidRPr="002C465D" w:rsidRDefault="002C465D" w:rsidP="002C465D">
      <w:pPr>
        <w:tabs>
          <w:tab w:val="left" w:pos="720"/>
        </w:tabs>
        <w:autoSpaceDE w:val="0"/>
        <w:autoSpaceDN w:val="0"/>
        <w:adjustRightInd w:val="0"/>
        <w:spacing w:after="0" w:line="360" w:lineRule="auto"/>
        <w:rPr>
          <w:rFonts w:ascii="Times New Roman" w:hAnsi="Times New Roman" w:cs="Times New Roman"/>
          <w:color w:val="0D0D0D"/>
          <w:sz w:val="26"/>
          <w:szCs w:val="26"/>
        </w:rPr>
      </w:pPr>
    </w:p>
    <w:p w:rsidR="002C465D" w:rsidRPr="002C465D" w:rsidRDefault="002C465D" w:rsidP="002C465D">
      <w:pPr>
        <w:tabs>
          <w:tab w:val="left" w:pos="720"/>
        </w:tabs>
        <w:autoSpaceDE w:val="0"/>
        <w:autoSpaceDN w:val="0"/>
        <w:adjustRightInd w:val="0"/>
        <w:spacing w:after="0" w:line="360" w:lineRule="auto"/>
        <w:rPr>
          <w:rFonts w:ascii="Times New Roman" w:hAnsi="Times New Roman" w:cs="Times New Roman"/>
          <w:color w:val="0D0D0D"/>
          <w:sz w:val="26"/>
          <w:szCs w:val="26"/>
        </w:rPr>
      </w:pPr>
      <w:r w:rsidRPr="002C465D">
        <w:rPr>
          <w:rFonts w:ascii="Times New Roman" w:hAnsi="Times New Roman" w:cs="Times New Roman"/>
          <w:color w:val="0D0D0D"/>
          <w:sz w:val="26"/>
          <w:szCs w:val="26"/>
        </w:rPr>
        <w:tab/>
        <w:t xml:space="preserve">The Office of Consumer Advocate (OCA), CAUSE-PA, TURN </w:t>
      </w:r>
      <w:r w:rsidRPr="002C465D">
        <w:rPr>
          <w:rFonts w:ascii="Times New Roman" w:eastAsia="Times New Roman" w:hAnsi="Times New Roman" w:cs="Times New Roman"/>
          <w:color w:val="0D0D0D"/>
          <w:sz w:val="26"/>
          <w:szCs w:val="26"/>
        </w:rPr>
        <w:t>and Action Alliance of Senior Citizens of Greater Philadelphia (TURN, et al.)</w:t>
      </w:r>
      <w:r w:rsidRPr="002C465D">
        <w:rPr>
          <w:rFonts w:ascii="Times New Roman" w:hAnsi="Times New Roman" w:cs="Times New Roman"/>
          <w:color w:val="0D0D0D"/>
          <w:sz w:val="26"/>
          <w:szCs w:val="26"/>
        </w:rPr>
        <w:t xml:space="preserve">, </w:t>
      </w:r>
      <w:r w:rsidRPr="002C465D">
        <w:rPr>
          <w:rFonts w:ascii="Times New Roman" w:hAnsi="Times New Roman" w:cs="Times New Roman"/>
          <w:sz w:val="26"/>
          <w:szCs w:val="26"/>
        </w:rPr>
        <w:t>the Keystone Energy Efficiency Alliance (KEEA), the Pennsylvania Utility Law Project (PULP), the National Housing Trust (NHT), the Natural Resources Defense Council (NRDC),</w:t>
      </w:r>
      <w:r w:rsidRPr="002C465D">
        <w:rPr>
          <w:rFonts w:ascii="Times New Roman" w:hAnsi="Times New Roman" w:cs="Times New Roman"/>
          <w:color w:val="0D0D0D"/>
          <w:sz w:val="26"/>
          <w:szCs w:val="26"/>
        </w:rPr>
        <w:t xml:space="preserve"> and PGW individually filed Comments.  OCA, CAUSE-PA, TURN, et al., and PGW individually filed Reply Comments.  </w:t>
      </w:r>
    </w:p>
    <w:p w:rsidR="002C465D" w:rsidRPr="002C465D" w:rsidRDefault="002C465D" w:rsidP="002C465D">
      <w:pPr>
        <w:tabs>
          <w:tab w:val="left" w:pos="720"/>
        </w:tabs>
        <w:autoSpaceDE w:val="0"/>
        <w:autoSpaceDN w:val="0"/>
        <w:adjustRightInd w:val="0"/>
        <w:spacing w:after="0" w:line="360" w:lineRule="auto"/>
        <w:rPr>
          <w:rFonts w:ascii="Times New Roman" w:hAnsi="Times New Roman" w:cs="Times New Roman"/>
          <w:color w:val="0D0D0D"/>
          <w:sz w:val="26"/>
          <w:szCs w:val="26"/>
        </w:rPr>
      </w:pPr>
    </w:p>
    <w:p w:rsidR="002C465D" w:rsidRPr="002C465D" w:rsidRDefault="002C465D" w:rsidP="002C465D">
      <w:pPr>
        <w:tabs>
          <w:tab w:val="left" w:pos="720"/>
        </w:tabs>
        <w:autoSpaceDE w:val="0"/>
        <w:autoSpaceDN w:val="0"/>
        <w:adjustRightInd w:val="0"/>
        <w:spacing w:after="0" w:line="360" w:lineRule="auto"/>
        <w:rPr>
          <w:rFonts w:ascii="Times New Roman" w:eastAsia="Calibri" w:hAnsi="Times New Roman" w:cs="Times New Roman"/>
          <w:sz w:val="26"/>
          <w:szCs w:val="26"/>
        </w:rPr>
      </w:pPr>
      <w:r w:rsidRPr="002C465D">
        <w:rPr>
          <w:rFonts w:ascii="Times New Roman" w:hAnsi="Times New Roman" w:cs="Times New Roman"/>
          <w:color w:val="0D0D0D"/>
          <w:sz w:val="26"/>
          <w:szCs w:val="26"/>
        </w:rPr>
        <w:lastRenderedPageBreak/>
        <w:tab/>
        <w:t xml:space="preserve">In our August 22, 2014 Final Order, we </w:t>
      </w:r>
      <w:r w:rsidRPr="002C465D">
        <w:rPr>
          <w:rFonts w:ascii="Times New Roman" w:hAnsi="Times New Roman" w:cs="Times New Roman"/>
          <w:color w:val="0D0D0D" w:themeColor="text1" w:themeTint="F2"/>
          <w:sz w:val="26"/>
          <w:szCs w:val="26"/>
        </w:rPr>
        <w:t xml:space="preserve">considered the parties’ comments and replies and directed that PGW submit a revised 2014-2016 Plan, as a compliance filing, consistent with the </w:t>
      </w:r>
      <w:r w:rsidRPr="002C465D">
        <w:rPr>
          <w:rFonts w:ascii="Times New Roman" w:hAnsi="Times New Roman" w:cs="Times New Roman"/>
          <w:i/>
          <w:color w:val="0D0D0D" w:themeColor="text1" w:themeTint="F2"/>
          <w:sz w:val="26"/>
          <w:szCs w:val="26"/>
        </w:rPr>
        <w:t>Final Order</w:t>
      </w:r>
      <w:r w:rsidRPr="002C465D">
        <w:rPr>
          <w:rFonts w:ascii="Times New Roman" w:hAnsi="Times New Roman" w:cs="Times New Roman"/>
          <w:color w:val="0D0D0D" w:themeColor="text1" w:themeTint="F2"/>
          <w:sz w:val="26"/>
          <w:szCs w:val="26"/>
        </w:rPr>
        <w:t>, for the reasons articulated therein.</w:t>
      </w:r>
      <w:r w:rsidRPr="002C465D">
        <w:rPr>
          <w:rFonts w:ascii="Times New Roman" w:eastAsia="Calibri" w:hAnsi="Times New Roman" w:cs="Times New Roman"/>
          <w:sz w:val="26"/>
          <w:szCs w:val="26"/>
        </w:rPr>
        <w:t xml:space="preserve">  </w:t>
      </w:r>
    </w:p>
    <w:p w:rsidR="002C465D" w:rsidRPr="002C465D" w:rsidRDefault="002C465D" w:rsidP="002C465D">
      <w:pPr>
        <w:tabs>
          <w:tab w:val="left" w:pos="720"/>
        </w:tabs>
        <w:autoSpaceDE w:val="0"/>
        <w:autoSpaceDN w:val="0"/>
        <w:adjustRightInd w:val="0"/>
        <w:spacing w:after="0" w:line="360" w:lineRule="auto"/>
        <w:rPr>
          <w:rFonts w:ascii="Times New Roman" w:eastAsia="Calibri" w:hAnsi="Times New Roman" w:cs="Times New Roman"/>
          <w:sz w:val="26"/>
          <w:szCs w:val="26"/>
        </w:rPr>
      </w:pPr>
    </w:p>
    <w:p w:rsidR="002C465D" w:rsidRPr="002C465D" w:rsidRDefault="002C465D" w:rsidP="002C465D">
      <w:pPr>
        <w:tabs>
          <w:tab w:val="left" w:pos="720"/>
        </w:tabs>
        <w:autoSpaceDE w:val="0"/>
        <w:autoSpaceDN w:val="0"/>
        <w:adjustRightInd w:val="0"/>
        <w:spacing w:after="0" w:line="360" w:lineRule="auto"/>
        <w:rPr>
          <w:rFonts w:ascii="Times New Roman" w:eastAsia="Calibri" w:hAnsi="Times New Roman" w:cs="Times New Roman"/>
          <w:sz w:val="26"/>
          <w:szCs w:val="26"/>
        </w:rPr>
      </w:pPr>
      <w:r w:rsidRPr="002C465D">
        <w:rPr>
          <w:rFonts w:ascii="Times New Roman" w:eastAsia="Calibri" w:hAnsi="Times New Roman" w:cs="Times New Roman"/>
          <w:sz w:val="26"/>
          <w:szCs w:val="26"/>
        </w:rPr>
        <w:tab/>
        <w:t>On September 17, 2014, PGW provided a draft of its proposed revisions to its 2014-2016 USECP to the PUC’s Bureau of Consumer Services (BCS) for review.  Based on informal comments from BCS staff, PGW further amended its 2014-2016 USECP and filed and served the Revised USECP for 2014-2016 on September 22, 2014.  PGW provided both red-lined and clean versions of the Revised USECP.</w:t>
      </w:r>
    </w:p>
    <w:p w:rsidR="002C465D" w:rsidRPr="002C465D" w:rsidRDefault="002C465D" w:rsidP="002C465D">
      <w:pPr>
        <w:tabs>
          <w:tab w:val="left" w:pos="720"/>
        </w:tabs>
        <w:autoSpaceDE w:val="0"/>
        <w:autoSpaceDN w:val="0"/>
        <w:adjustRightInd w:val="0"/>
        <w:spacing w:after="0" w:line="360" w:lineRule="auto"/>
        <w:rPr>
          <w:rFonts w:ascii="Times New Roman" w:eastAsia="Calibri" w:hAnsi="Times New Roman" w:cs="Times New Roman"/>
          <w:sz w:val="26"/>
          <w:szCs w:val="26"/>
        </w:rPr>
      </w:pPr>
    </w:p>
    <w:p w:rsidR="002C465D" w:rsidRDefault="002C465D" w:rsidP="002C465D">
      <w:pPr>
        <w:tabs>
          <w:tab w:val="left" w:pos="720"/>
        </w:tabs>
        <w:autoSpaceDE w:val="0"/>
        <w:autoSpaceDN w:val="0"/>
        <w:adjustRightInd w:val="0"/>
        <w:spacing w:after="0" w:line="360" w:lineRule="auto"/>
        <w:rPr>
          <w:rFonts w:ascii="Times New Roman" w:eastAsia="Calibri" w:hAnsi="Times New Roman" w:cs="Times New Roman"/>
          <w:sz w:val="26"/>
          <w:szCs w:val="26"/>
        </w:rPr>
      </w:pPr>
      <w:r w:rsidRPr="002C465D">
        <w:rPr>
          <w:rFonts w:ascii="Times New Roman" w:eastAsia="Calibri" w:hAnsi="Times New Roman" w:cs="Times New Roman"/>
          <w:sz w:val="26"/>
          <w:szCs w:val="26"/>
        </w:rPr>
        <w:tab/>
        <w:t xml:space="preserve">On October 2, 2014, CAUSE-PA and TURN filed and served joint comments at this docket alleging that PGW’s Revised USECP is not consistent with the </w:t>
      </w:r>
      <w:r w:rsidRPr="002C465D">
        <w:rPr>
          <w:rFonts w:ascii="Times New Roman" w:eastAsia="Calibri" w:hAnsi="Times New Roman" w:cs="Times New Roman"/>
          <w:i/>
          <w:sz w:val="26"/>
          <w:szCs w:val="26"/>
        </w:rPr>
        <w:t>Final Order</w:t>
      </w:r>
      <w:r w:rsidRPr="002C465D">
        <w:rPr>
          <w:rFonts w:ascii="Times New Roman" w:eastAsia="Calibri" w:hAnsi="Times New Roman" w:cs="Times New Roman"/>
          <w:sz w:val="26"/>
          <w:szCs w:val="26"/>
        </w:rPr>
        <w:t xml:space="preserve">.  </w:t>
      </w:r>
    </w:p>
    <w:p w:rsidR="001A5451" w:rsidRPr="002C465D" w:rsidRDefault="001A5451" w:rsidP="002C465D">
      <w:pPr>
        <w:tabs>
          <w:tab w:val="left" w:pos="720"/>
        </w:tabs>
        <w:autoSpaceDE w:val="0"/>
        <w:autoSpaceDN w:val="0"/>
        <w:adjustRightInd w:val="0"/>
        <w:spacing w:after="0" w:line="360" w:lineRule="auto"/>
        <w:rPr>
          <w:rFonts w:ascii="Times New Roman" w:eastAsia="Calibri" w:hAnsi="Times New Roman" w:cs="Times New Roman"/>
          <w:sz w:val="26"/>
          <w:szCs w:val="26"/>
        </w:rPr>
      </w:pPr>
    </w:p>
    <w:p w:rsidR="002C465D" w:rsidRPr="002C465D" w:rsidRDefault="002C465D" w:rsidP="002C465D">
      <w:pPr>
        <w:tabs>
          <w:tab w:val="left" w:pos="720"/>
        </w:tabs>
        <w:autoSpaceDE w:val="0"/>
        <w:autoSpaceDN w:val="0"/>
        <w:adjustRightInd w:val="0"/>
        <w:spacing w:after="0" w:line="360" w:lineRule="auto"/>
        <w:rPr>
          <w:rFonts w:ascii="Times New Roman" w:eastAsia="Calibri" w:hAnsi="Times New Roman" w:cs="Times New Roman"/>
          <w:sz w:val="26"/>
          <w:szCs w:val="26"/>
        </w:rPr>
      </w:pPr>
      <w:r w:rsidRPr="002C465D">
        <w:rPr>
          <w:rFonts w:ascii="Times New Roman" w:eastAsia="Calibri" w:hAnsi="Times New Roman" w:cs="Times New Roman"/>
          <w:sz w:val="26"/>
          <w:szCs w:val="26"/>
        </w:rPr>
        <w:tab/>
        <w:t xml:space="preserve">On October 9, 2014, PGW filed and served reply comments, requesting that the Commission approve the Revised USECP as filed.  </w:t>
      </w:r>
    </w:p>
    <w:p w:rsidR="002C465D" w:rsidRPr="002C465D" w:rsidRDefault="002C465D" w:rsidP="002C465D">
      <w:pPr>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2C465D" w:rsidRPr="002C465D" w:rsidRDefault="002C465D" w:rsidP="002C465D">
      <w:pPr>
        <w:tabs>
          <w:tab w:val="left" w:pos="0"/>
        </w:tabs>
        <w:spacing w:after="0" w:line="360" w:lineRule="auto"/>
        <w:rPr>
          <w:rFonts w:ascii="Times New Roman" w:eastAsia="Times New Roman" w:hAnsi="Times New Roman" w:cs="Times New Roman"/>
          <w:b/>
          <w:sz w:val="26"/>
          <w:szCs w:val="26"/>
        </w:rPr>
      </w:pPr>
      <w:r w:rsidRPr="002C465D">
        <w:rPr>
          <w:rFonts w:ascii="Times New Roman" w:eastAsia="Times New Roman" w:hAnsi="Times New Roman" w:cs="Times New Roman"/>
          <w:b/>
          <w:sz w:val="26"/>
          <w:szCs w:val="26"/>
        </w:rPr>
        <w:t>III.  DISCUSSION</w:t>
      </w:r>
    </w:p>
    <w:p w:rsidR="002C465D" w:rsidRPr="002C465D" w:rsidRDefault="002C465D" w:rsidP="002C465D">
      <w:pPr>
        <w:tabs>
          <w:tab w:val="left" w:pos="0"/>
        </w:tabs>
        <w:spacing w:after="0" w:line="360" w:lineRule="auto"/>
        <w:rPr>
          <w:rFonts w:ascii="Times New Roman" w:eastAsia="Times New Roman" w:hAnsi="Times New Roman" w:cs="Times New Roman"/>
          <w:sz w:val="26"/>
          <w:szCs w:val="26"/>
        </w:rPr>
      </w:pPr>
    </w:p>
    <w:p w:rsidR="002C465D" w:rsidRPr="002C465D" w:rsidRDefault="002C465D" w:rsidP="002C465D">
      <w:pPr>
        <w:tabs>
          <w:tab w:val="left" w:pos="0"/>
        </w:tabs>
        <w:spacing w:after="0" w:line="360" w:lineRule="auto"/>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ab/>
        <w:t>CAUSE-PA and TURN raise four issues in their Joint Comments.  We shall discuss each in turn.</w:t>
      </w:r>
    </w:p>
    <w:p w:rsidR="002C465D" w:rsidRPr="002C465D" w:rsidRDefault="002C465D" w:rsidP="002C465D">
      <w:pPr>
        <w:tabs>
          <w:tab w:val="left" w:pos="0"/>
        </w:tabs>
        <w:spacing w:after="0" w:line="360" w:lineRule="auto"/>
        <w:rPr>
          <w:rFonts w:ascii="Times New Roman" w:eastAsia="Times New Roman" w:hAnsi="Times New Roman" w:cs="Times New Roman"/>
          <w:sz w:val="26"/>
          <w:szCs w:val="26"/>
        </w:rPr>
      </w:pPr>
    </w:p>
    <w:p w:rsidR="002C465D" w:rsidRPr="002C465D" w:rsidRDefault="002C465D" w:rsidP="002C465D">
      <w:pPr>
        <w:numPr>
          <w:ilvl w:val="0"/>
          <w:numId w:val="1"/>
        </w:numPr>
        <w:spacing w:after="0" w:line="360" w:lineRule="auto"/>
        <w:contextualSpacing/>
        <w:rPr>
          <w:rFonts w:ascii="Times New Roman" w:eastAsia="Calibri" w:hAnsi="Times New Roman" w:cs="Times New Roman"/>
          <w:sz w:val="26"/>
          <w:szCs w:val="26"/>
        </w:rPr>
      </w:pPr>
      <w:r w:rsidRPr="002C465D">
        <w:rPr>
          <w:rFonts w:ascii="Times New Roman" w:eastAsia="Calibri" w:hAnsi="Times New Roman" w:cs="Times New Roman"/>
          <w:i/>
          <w:sz w:val="26"/>
          <w:szCs w:val="26"/>
        </w:rPr>
        <w:t xml:space="preserve">PGW should amend its “Default Status” section to comply with the Commission directive to provide arrearage forgiveness for each full and timely monthly payment, regardless of existing Customer Responsibility Program (CRP) arrears. </w:t>
      </w:r>
    </w:p>
    <w:p w:rsidR="002C465D" w:rsidRPr="002C465D" w:rsidRDefault="002C465D" w:rsidP="002C465D">
      <w:pPr>
        <w:spacing w:after="0" w:line="360" w:lineRule="auto"/>
        <w:ind w:left="720"/>
        <w:contextualSpacing/>
        <w:rPr>
          <w:rFonts w:ascii="Times New Roman" w:eastAsia="Calibri" w:hAnsi="Times New Roman" w:cs="Times New Roman"/>
          <w:sz w:val="26"/>
          <w:szCs w:val="26"/>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6"/>
        </w:rPr>
      </w:pPr>
      <w:r w:rsidRPr="002C465D">
        <w:rPr>
          <w:rFonts w:ascii="Times New Roman" w:eastAsia="Calibri" w:hAnsi="Times New Roman" w:cs="Times New Roman"/>
          <w:sz w:val="26"/>
          <w:szCs w:val="26"/>
        </w:rPr>
        <w:t xml:space="preserve">On page 13 of the red-lined version of the Revised USECP, PGW provides the following description of how pre-program arrearage forgiveness is handled for CRP customers in “default status”: </w:t>
      </w:r>
    </w:p>
    <w:p w:rsidR="002C465D" w:rsidRPr="002C465D" w:rsidRDefault="002C465D" w:rsidP="002C465D">
      <w:pPr>
        <w:spacing w:after="0" w:line="240" w:lineRule="auto"/>
        <w:ind w:left="720"/>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right="108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lastRenderedPageBreak/>
        <w:t>(a) Default status – CRP customers who fall 30 days or more behind in their monthly CRP payment are placed into default status. A customer in default status will continue to be billed the monthly CRP amount and continue to receive the CRP discount, but they will not receive arrearage forgiveness in the months they are in default. Once all past due CRP monthly bills are paid in full, their status will return to active and they will begin receiving arrearage forgiveness.</w:t>
      </w:r>
    </w:p>
    <w:p w:rsidR="002C465D" w:rsidRPr="002C465D" w:rsidRDefault="002C465D" w:rsidP="002C465D">
      <w:pPr>
        <w:spacing w:after="0" w:line="240" w:lineRule="auto"/>
        <w:ind w:left="720"/>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6"/>
        </w:rPr>
      </w:pPr>
      <w:r w:rsidRPr="002C465D">
        <w:rPr>
          <w:rFonts w:ascii="Times New Roman" w:eastAsia="Calibri" w:hAnsi="Times New Roman" w:cs="Times New Roman"/>
          <w:sz w:val="26"/>
          <w:szCs w:val="26"/>
        </w:rPr>
        <w:t xml:space="preserve">CAUSE-PA and TURN claim this language is inconsistent with the second directive in the </w:t>
      </w:r>
      <w:r w:rsidRPr="002C465D">
        <w:rPr>
          <w:rFonts w:ascii="Times New Roman" w:eastAsia="Calibri" w:hAnsi="Times New Roman" w:cs="Times New Roman"/>
          <w:i/>
          <w:sz w:val="26"/>
          <w:szCs w:val="26"/>
        </w:rPr>
        <w:t>Final Order</w:t>
      </w:r>
      <w:r w:rsidRPr="002C465D">
        <w:rPr>
          <w:rFonts w:ascii="Times New Roman" w:eastAsia="Calibri" w:hAnsi="Times New Roman" w:cs="Times New Roman"/>
          <w:sz w:val="26"/>
          <w:szCs w:val="26"/>
        </w:rPr>
        <w:t xml:space="preserve">, which required PGW to update its system by January 2016 or earlier to allow CRP customers to receive arrearage forgiveness for each full and timely monthly payment, regardless of existing arrears.  CAUSE-PA/TURN Comments to the PGW Revised USECP at 5-6, citing the </w:t>
      </w:r>
      <w:r w:rsidRPr="002C465D">
        <w:rPr>
          <w:rFonts w:ascii="Times New Roman" w:eastAsia="Calibri" w:hAnsi="Times New Roman" w:cs="Times New Roman"/>
          <w:i/>
          <w:sz w:val="26"/>
          <w:szCs w:val="26"/>
        </w:rPr>
        <w:t>Final Order</w:t>
      </w:r>
      <w:r w:rsidRPr="002C465D">
        <w:rPr>
          <w:rFonts w:ascii="Times New Roman" w:eastAsia="Calibri" w:hAnsi="Times New Roman" w:cs="Times New Roman"/>
          <w:sz w:val="26"/>
          <w:szCs w:val="26"/>
        </w:rPr>
        <w:t xml:space="preserve"> at 72.  </w:t>
      </w:r>
    </w:p>
    <w:p w:rsidR="002C465D" w:rsidRPr="002C465D" w:rsidRDefault="002C465D" w:rsidP="002C465D">
      <w:pPr>
        <w:spacing w:after="0" w:line="360" w:lineRule="auto"/>
        <w:ind w:firstLine="720"/>
        <w:contextualSpacing/>
        <w:rPr>
          <w:rFonts w:ascii="Times New Roman" w:eastAsia="Calibri" w:hAnsi="Times New Roman" w:cs="Times New Roman"/>
          <w:sz w:val="26"/>
          <w:szCs w:val="26"/>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6"/>
        </w:rPr>
      </w:pPr>
      <w:r w:rsidRPr="002C465D">
        <w:rPr>
          <w:rFonts w:ascii="Times New Roman" w:eastAsia="Calibri" w:hAnsi="Times New Roman" w:cs="Times New Roman"/>
          <w:sz w:val="26"/>
          <w:szCs w:val="26"/>
        </w:rPr>
        <w:t>PGW responded that its definition of “default status” accurately describes its current process of withholding arrearage forgiveness for CRP customers who are behind on payments.  However, PGW notes that its description of arrearage forgiveness in the Revised USECP identifies that it will allow CRP customers with arrears to receive arrearage forgiveness with each full and timely monthly payment by January 2016.  PGW Reply Comments at 1.  PGW offers to make the following modification to its description of “default status” in the Revised USECP should the Commission feel a clarification is necessary:</w:t>
      </w:r>
    </w:p>
    <w:p w:rsidR="002C465D" w:rsidRPr="002C465D" w:rsidRDefault="002C465D" w:rsidP="002C465D">
      <w:pPr>
        <w:spacing w:after="0" w:line="360" w:lineRule="auto"/>
        <w:ind w:firstLine="720"/>
        <w:contextualSpacing/>
        <w:rPr>
          <w:rFonts w:ascii="Times New Roman" w:eastAsia="Calibri" w:hAnsi="Times New Roman" w:cs="Times New Roman"/>
          <w:sz w:val="26"/>
          <w:szCs w:val="26"/>
        </w:rPr>
      </w:pPr>
    </w:p>
    <w:p w:rsidR="002C465D" w:rsidRPr="002C465D" w:rsidRDefault="002C465D" w:rsidP="002C465D">
      <w:pPr>
        <w:spacing w:after="0" w:line="240" w:lineRule="auto"/>
        <w:ind w:left="720" w:right="108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(a) Default status – CRP customers who fall 30 days or more behind in their monthly CRP payment are placed into default status.  A customer in default status will continue to be billed the monthly CRP amount and continue to receive the CRP discount.  They will receive arrearage forgiveness at a fixed rate of 1/36th per month for each month that the customer pays their monthly CRP amount regardless of their existing CRP arrearage. Once all past due CRP monthly bills are paid in full, their status will return to active.</w:t>
      </w:r>
    </w:p>
    <w:p w:rsidR="002C465D" w:rsidRPr="002C465D" w:rsidRDefault="002C465D" w:rsidP="002C465D">
      <w:pPr>
        <w:spacing w:after="0" w:line="240" w:lineRule="auto"/>
        <w:ind w:left="720" w:right="1080"/>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right="1080"/>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PGW Reply Comments at 2.</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i/>
          <w:sz w:val="26"/>
          <w:szCs w:val="24"/>
        </w:rPr>
        <w:t>Resolution:</w:t>
      </w:r>
      <w:r w:rsidRPr="002C465D">
        <w:rPr>
          <w:rFonts w:ascii="Times New Roman" w:eastAsia="Calibri" w:hAnsi="Times New Roman" w:cs="Times New Roman"/>
          <w:sz w:val="26"/>
          <w:szCs w:val="24"/>
        </w:rPr>
        <w:t xml:space="preserve">  We find that PGW’s description of “default status” accurately describes how pre-program arrearage forgiveness is </w:t>
      </w:r>
      <w:r w:rsidRPr="002C465D">
        <w:rPr>
          <w:rFonts w:ascii="Times New Roman" w:eastAsia="Calibri" w:hAnsi="Times New Roman" w:cs="Times New Roman"/>
          <w:i/>
          <w:sz w:val="26"/>
          <w:szCs w:val="24"/>
        </w:rPr>
        <w:t>currently</w:t>
      </w:r>
      <w:r w:rsidRPr="002C465D">
        <w:rPr>
          <w:rFonts w:ascii="Times New Roman" w:eastAsia="Calibri" w:hAnsi="Times New Roman" w:cs="Times New Roman"/>
          <w:sz w:val="26"/>
          <w:szCs w:val="24"/>
        </w:rPr>
        <w:t xml:space="preserve"> withheld for CRP customers in arrears.  The second directive in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requires PGW to amend this process by January 2016, by allowing CRP customers to receive pre-program arrearage forgiveness for each timely and in-full monthly payment, regardless of existing arrears.  PGW identifies this upcoming change in its arrearage forgiveness policy twice in the Revised USECP, on pages 5 and 17-18 of the red-lined version.  We find that PGW has complied with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in this regard.  Accordingly, no changes to the PGW’s Revised USECP are required concerning this issue. </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numPr>
          <w:ilvl w:val="0"/>
          <w:numId w:val="1"/>
        </w:numPr>
        <w:spacing w:after="0" w:line="360" w:lineRule="auto"/>
        <w:contextualSpacing/>
        <w:rPr>
          <w:rFonts w:ascii="Times New Roman" w:eastAsia="Calibri" w:hAnsi="Times New Roman" w:cs="Times New Roman"/>
          <w:i/>
          <w:sz w:val="26"/>
          <w:szCs w:val="26"/>
        </w:rPr>
      </w:pPr>
      <w:r w:rsidRPr="002C465D">
        <w:rPr>
          <w:rFonts w:ascii="Times New Roman" w:eastAsia="Calibri" w:hAnsi="Times New Roman" w:cs="Times New Roman"/>
          <w:i/>
          <w:sz w:val="26"/>
          <w:szCs w:val="26"/>
        </w:rPr>
        <w:t>PGW should eliminate the procedure, stated for the first time in the revised plan on page 12, that, if the assessment completed by the customer indicates some form of ongoing, discrete financial support (e.g., a family member pays the rent), then the amount of that support will be counted as income.</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On page 12 of the red-lined version of the Revised USECP, PGW added the following language to its description how income is counted during the CRP intake process: </w:t>
      </w: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right="108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If the assessment completed by the customer indicates some form of ongoing, discrete financial support (</w:t>
      </w:r>
      <w:r w:rsidRPr="002C465D">
        <w:rPr>
          <w:rFonts w:ascii="Times New Roman" w:eastAsia="Calibri" w:hAnsi="Times New Roman" w:cs="Times New Roman"/>
          <w:i/>
          <w:sz w:val="26"/>
          <w:szCs w:val="24"/>
        </w:rPr>
        <w:t>e.g.</w:t>
      </w:r>
      <w:r w:rsidRPr="002C465D">
        <w:rPr>
          <w:rFonts w:ascii="Times New Roman" w:eastAsia="Calibri" w:hAnsi="Times New Roman" w:cs="Times New Roman"/>
          <w:sz w:val="26"/>
          <w:szCs w:val="24"/>
        </w:rPr>
        <w:t xml:space="preserve">, a family member pays the rent), then the amount of that support will be counted as income.  </w:t>
      </w:r>
    </w:p>
    <w:p w:rsidR="002C465D" w:rsidRPr="002C465D" w:rsidRDefault="002C465D" w:rsidP="002C465D">
      <w:pPr>
        <w:spacing w:after="0" w:line="240" w:lineRule="auto"/>
        <w:ind w:firstLine="720"/>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CAUSE-PA and TURN object to the inclusion of this “new” income requirement on the grounds that:</w:t>
      </w:r>
    </w:p>
    <w:p w:rsidR="002C465D" w:rsidRPr="002C465D" w:rsidRDefault="002C465D" w:rsidP="002C465D">
      <w:pPr>
        <w:spacing w:after="0" w:line="360" w:lineRule="auto"/>
        <w:ind w:left="360"/>
        <w:contextualSpacing/>
        <w:rPr>
          <w:rFonts w:ascii="Times New Roman" w:eastAsia="Calibri" w:hAnsi="Times New Roman" w:cs="Times New Roman"/>
          <w:sz w:val="26"/>
          <w:szCs w:val="24"/>
        </w:rPr>
      </w:pPr>
    </w:p>
    <w:p w:rsidR="002C465D" w:rsidRPr="002C465D" w:rsidRDefault="002C465D" w:rsidP="002C465D">
      <w:pPr>
        <w:numPr>
          <w:ilvl w:val="0"/>
          <w:numId w:val="2"/>
        </w:numPr>
        <w:spacing w:after="0" w:line="360" w:lineRule="auto"/>
        <w:ind w:left="36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Third-party payments for rent or utilities do not alter the fact that the household is lacking the income necessary to pay these bills.</w:t>
      </w:r>
    </w:p>
    <w:p w:rsidR="002C465D" w:rsidRPr="002C465D" w:rsidRDefault="002C465D" w:rsidP="002C465D">
      <w:pPr>
        <w:spacing w:after="0" w:line="360" w:lineRule="auto"/>
        <w:ind w:left="360"/>
        <w:contextualSpacing/>
        <w:rPr>
          <w:rFonts w:ascii="Times New Roman" w:eastAsia="Calibri" w:hAnsi="Times New Roman" w:cs="Times New Roman"/>
          <w:sz w:val="26"/>
          <w:szCs w:val="24"/>
        </w:rPr>
      </w:pPr>
    </w:p>
    <w:p w:rsidR="002C465D" w:rsidRPr="002C465D" w:rsidRDefault="002C465D" w:rsidP="002C465D">
      <w:pPr>
        <w:numPr>
          <w:ilvl w:val="0"/>
          <w:numId w:val="2"/>
        </w:numPr>
        <w:spacing w:after="0" w:line="360" w:lineRule="auto"/>
        <w:ind w:left="36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Ongoing, discrete payments may also be debt or financial obligations that must be repaid at a later time.</w:t>
      </w:r>
    </w:p>
    <w:p w:rsidR="002C465D" w:rsidRPr="002C465D" w:rsidRDefault="002C465D" w:rsidP="002C465D">
      <w:pPr>
        <w:spacing w:after="0" w:line="360" w:lineRule="auto"/>
        <w:ind w:left="360"/>
        <w:contextualSpacing/>
        <w:rPr>
          <w:rFonts w:ascii="Times New Roman" w:eastAsia="Calibri" w:hAnsi="Times New Roman" w:cs="Times New Roman"/>
          <w:sz w:val="26"/>
          <w:szCs w:val="24"/>
        </w:rPr>
      </w:pPr>
    </w:p>
    <w:p w:rsidR="002C465D" w:rsidRPr="002C465D" w:rsidRDefault="002C465D" w:rsidP="002C465D">
      <w:pPr>
        <w:numPr>
          <w:ilvl w:val="0"/>
          <w:numId w:val="2"/>
        </w:numPr>
        <w:spacing w:after="0" w:line="360" w:lineRule="auto"/>
        <w:ind w:left="36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Vendor payments are not counted as income for other public benefits.</w:t>
      </w:r>
    </w:p>
    <w:p w:rsidR="002C465D" w:rsidRPr="002C465D" w:rsidRDefault="002C465D" w:rsidP="002C465D">
      <w:pPr>
        <w:spacing w:after="0" w:line="360" w:lineRule="auto"/>
        <w:ind w:left="360"/>
        <w:contextualSpacing/>
        <w:rPr>
          <w:rFonts w:ascii="Times New Roman" w:eastAsia="Calibri" w:hAnsi="Times New Roman" w:cs="Times New Roman"/>
          <w:sz w:val="26"/>
          <w:szCs w:val="24"/>
        </w:rPr>
      </w:pPr>
    </w:p>
    <w:p w:rsidR="002C465D" w:rsidRPr="002C465D" w:rsidRDefault="002C465D" w:rsidP="002C465D">
      <w:pPr>
        <w:numPr>
          <w:ilvl w:val="0"/>
          <w:numId w:val="2"/>
        </w:numPr>
        <w:spacing w:after="0" w:line="360" w:lineRule="auto"/>
        <w:ind w:left="36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Treating third-party assistance as income goes beyond the Commission’s directive in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that PGW describe its verification procedures for customers who report zero income and explain when documentation of monthly housing costs is required.</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CAUSE-PA/TURN Comments to the PGW Revised USECP at 6-7.  </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PGW claims that treating ongoing third-party support as income for CRP customers is “a long-term practice” and is consistent with how other utilities count these types of payments.  PGW explains that it does not count LIHEAP grants money as income.  It contends that counting ongoing support received by zero/minimum households allows PGW to ensure that CRP is provided to customers with a demonstrated need for the benefit and to control the cost of the program for the benefit of all PGW customers.  PGW Reply Comments at 2.</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i/>
          <w:sz w:val="26"/>
          <w:szCs w:val="24"/>
        </w:rPr>
        <w:t>Resolution</w:t>
      </w:r>
      <w:r w:rsidRPr="002C465D">
        <w:rPr>
          <w:rFonts w:ascii="Times New Roman" w:eastAsia="Calibri" w:hAnsi="Times New Roman" w:cs="Times New Roman"/>
          <w:sz w:val="26"/>
          <w:szCs w:val="24"/>
        </w:rPr>
        <w:t xml:space="preserve">:  We agree that PGW has inserted new information regarding income consideration in its Revised USECP compliance filing.  That information was not part of its Proposed 2014-2016 USECP and was therefore not addressed in the Tentative Order or discussed in any comment or reply comment leading to the Commission’s Final Order.  However, through these comments and reply comments regarding the compliance filing, CAUSE-PA/TURN and PGW have discussed the underlying issue of ongoing financial support received by customers as income and maintain a difference of opinion as to what should be considered income. </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ab/>
        <w:t>The Commission does not dictate all policy regarding a utility’s customer assistance program.  If a utility policy is brought to the Commission’s attention that is an infraction of regulation or policy, the Commission will direct change.  PGW’s existing practice that is being challenged by CAUSE-PA and TURN is not such an infraction.</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ab/>
        <w:t xml:space="preserve">Further, the review of informal complaints from PGW’s customers over a twelve-month period did not reveal a problem with such income consideration before the Bureau of Consumer Services, and was therefore not considered to be an outstanding problem with CRP, and, as noted above, was not an issue raised in the Tentative Order, comments, or the Final Order.  There is no current regulation or policy violated in this instance.  </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ab/>
        <w:t xml:space="preserve">Should a utility include a new or a newly disclosed on-going practice in its proposed USECP – or a questionable practice is identified through informal complaints or through comments to the Tentative Order – and the review/ordering process provides convincing discussion for the utility to remove or change its practice, the Commission will acknowledge such in its final order.  </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ab/>
        <w:t xml:space="preserve">Should PGW customers contact CAUSE-PA/TURN with concerns of PGW’s consideration of their income or financial support when qualifying for CRP, those parties may attempt to negotiate a resolution based on the merits of the complaint or the customers may avail themselves of the Commission’s complaint processes. </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ab/>
        <w:t xml:space="preserve">Insertion of new information regarding income in PGW’s compliance filing was not directed by the Final Order.  However, this new information clarifies how income is counted during the CRP intake process, and all parties have had an opportunity to comment on this procedure through this challenge to the compliance filing.  Accordingly, the Commission will not require PGW to remove this provision from its Revised USECP.    </w:t>
      </w:r>
    </w:p>
    <w:p w:rsidR="002C465D" w:rsidRPr="002C465D" w:rsidRDefault="002C465D" w:rsidP="002C465D">
      <w:pPr>
        <w:spacing w:after="0" w:line="360" w:lineRule="auto"/>
        <w:contextualSpacing/>
        <w:rPr>
          <w:rFonts w:ascii="Times New Roman" w:eastAsia="Calibri" w:hAnsi="Times New Roman" w:cs="Times New Roman"/>
          <w:i/>
          <w:sz w:val="26"/>
          <w:szCs w:val="24"/>
        </w:rPr>
      </w:pPr>
    </w:p>
    <w:p w:rsidR="002C465D" w:rsidRPr="002C465D" w:rsidRDefault="002C465D" w:rsidP="002C465D">
      <w:pPr>
        <w:numPr>
          <w:ilvl w:val="0"/>
          <w:numId w:val="1"/>
        </w:numPr>
        <w:spacing w:after="0" w:line="360" w:lineRule="auto"/>
        <w:contextualSpacing/>
        <w:rPr>
          <w:rFonts w:ascii="Times New Roman" w:eastAsia="Calibri" w:hAnsi="Times New Roman" w:cs="Times New Roman"/>
          <w:i/>
          <w:sz w:val="26"/>
          <w:szCs w:val="26"/>
        </w:rPr>
      </w:pPr>
      <w:r w:rsidRPr="002C465D">
        <w:rPr>
          <w:rFonts w:ascii="Times New Roman" w:eastAsia="Calibri" w:hAnsi="Times New Roman" w:cs="Times New Roman"/>
          <w:i/>
          <w:sz w:val="26"/>
          <w:szCs w:val="26"/>
        </w:rPr>
        <w:lastRenderedPageBreak/>
        <w:t>PGW should modify its process which requires “that if a payment arrangement other than CRP provides a lower monthly payment, the customer should not be enrolled in CRP” to a process which provides the customer the discretion to enroll in CRP if either the receipt of arrears forgiveness or availability of ELIRP services will provide benefits even if the monthly CRP payment amount is not the lowest.</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Page 12 of the red-lined version of the Revised USECP states that:</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right="108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If a payment arrangement other than CRP provides a lower monthly payment, the customer should not be enrolled in CRP.  Instead, PGW offers the more beneficial payment arrangement.</w:t>
      </w:r>
    </w:p>
    <w:p w:rsidR="002C465D" w:rsidRPr="002C465D" w:rsidRDefault="002C465D" w:rsidP="002C465D">
      <w:pPr>
        <w:spacing w:after="0" w:line="240" w:lineRule="auto"/>
        <w:ind w:left="720"/>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CAUSE and TURN contend that a lower monthly payment should not be the only criteria used to determine whether CRP is the most beneficial payment option.  They submit that eligible customers should be provided the choice to enroll in CRP after being informed of the cost of the monthly payment options, the benefits of arrearage forgiveness, and the availability of potential weatherization treatment services.  CAUSE-PA/TURN Comments to the PGW Revised USECP at 8.  </w:t>
      </w: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PGW contends that its staff has the knowledge and expertise to determine whether CRP would be the most beneficial program for each eligible customer.  It sees no benefit in allowing customers to enroll in a program that provides less affordable monthly bills.  PGW argues that no changes are needed to address this issue for the following reasons:</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numPr>
          <w:ilvl w:val="0"/>
          <w:numId w:val="3"/>
        </w:numPr>
        <w:spacing w:after="0" w:line="360" w:lineRule="auto"/>
        <w:ind w:left="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Chapter 14 of the Public Utility Code relating to reconnection requirements require that households with incomes below 135% of the poverty level be enrolled in CRP unless the financial benefits are greater outside of the program.</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numPr>
          <w:ilvl w:val="0"/>
          <w:numId w:val="3"/>
        </w:numPr>
        <w:spacing w:after="0" w:line="360" w:lineRule="auto"/>
        <w:ind w:left="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lastRenderedPageBreak/>
        <w:t>The lowest monthly payment option provides low-income customers with the best opportunity to pay their bills and avoid termination.</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numPr>
          <w:ilvl w:val="0"/>
          <w:numId w:val="3"/>
        </w:numPr>
        <w:spacing w:after="0" w:line="360" w:lineRule="auto"/>
        <w:ind w:left="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A lower monthly payment arrangement would still eliminate a customer’s arrearage over time.</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numPr>
          <w:ilvl w:val="0"/>
          <w:numId w:val="3"/>
        </w:numPr>
        <w:spacing w:after="0" w:line="360" w:lineRule="auto"/>
        <w:ind w:left="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Enrollment in CRP is not a guarantee of services from PGW’s Enhanced Low Income Retrofit Program (ELIRP), its weatherization program.  ELIRP has its own eligibility criteria and prioritization protocols.  </w:t>
      </w:r>
    </w:p>
    <w:p w:rsidR="002C465D" w:rsidRPr="002C465D" w:rsidRDefault="002C465D" w:rsidP="002C465D">
      <w:pPr>
        <w:spacing w:after="0" w:line="360" w:lineRule="auto"/>
        <w:ind w:left="720"/>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PGW Reply Comments at 2-3.</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Resolution:  We do not find any inconsistency between the Revised USECP and the directives in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relative to this issue.  This provision is also not new to the PGW USECP.  In its Proposed 2014-2016 USECP, PGW explained that:</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240" w:lineRule="auto"/>
        <w:ind w:left="720" w:right="108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[I]f the monthly CRP payment is higher than the payment the customer would need to make under the most affordable budget/payment arrangement plan for which they are eligible, then they are not eligible for CRP because the CRP payment would result in a higher monthly bill.</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Proposed 2014-2016 Plan at 9 and Revised USECP at 10 (red-lined version).</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spacing w:after="0" w:line="360" w:lineRule="auto"/>
        <w:ind w:firstLine="720"/>
        <w:contextualSpacing/>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All parties have been given an opportunity to review and discuss this provision during the USECP approval process.  The Commission will not consider new arguments regarding this matter following the issuance of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in the context of whether a compliance filing comports with a final order.</w:t>
      </w:r>
      <w:r w:rsidRPr="002C465D">
        <w:rPr>
          <w:rFonts w:ascii="Times New Roman" w:eastAsia="Calibri" w:hAnsi="Times New Roman" w:cs="Times New Roman"/>
          <w:sz w:val="26"/>
          <w:szCs w:val="24"/>
          <w:vertAlign w:val="superscript"/>
        </w:rPr>
        <w:footnoteReference w:id="2"/>
      </w:r>
      <w:r w:rsidRPr="002C465D">
        <w:rPr>
          <w:rFonts w:ascii="Times New Roman" w:eastAsia="Calibri" w:hAnsi="Times New Roman" w:cs="Times New Roman"/>
          <w:sz w:val="26"/>
          <w:szCs w:val="24"/>
        </w:rPr>
        <w:t xml:space="preserve">  Accordingly, no changes to the PGW’s Revised USECP are required concerning this provision.</w:t>
      </w:r>
    </w:p>
    <w:p w:rsidR="002C465D" w:rsidRPr="002C465D" w:rsidRDefault="002C465D" w:rsidP="002C465D">
      <w:pPr>
        <w:spacing w:after="0" w:line="360" w:lineRule="auto"/>
        <w:contextualSpacing/>
        <w:rPr>
          <w:rFonts w:ascii="Times New Roman" w:eastAsia="Calibri" w:hAnsi="Times New Roman" w:cs="Times New Roman"/>
          <w:sz w:val="26"/>
          <w:szCs w:val="24"/>
        </w:rPr>
      </w:pPr>
    </w:p>
    <w:p w:rsidR="002C465D" w:rsidRPr="002C465D" w:rsidRDefault="002C465D" w:rsidP="002C465D">
      <w:pPr>
        <w:numPr>
          <w:ilvl w:val="0"/>
          <w:numId w:val="1"/>
        </w:numPr>
        <w:spacing w:after="0" w:line="360" w:lineRule="auto"/>
        <w:contextualSpacing/>
        <w:rPr>
          <w:rFonts w:ascii="Times New Roman" w:eastAsia="Calibri" w:hAnsi="Times New Roman" w:cs="Times New Roman"/>
          <w:i/>
          <w:sz w:val="26"/>
          <w:szCs w:val="26"/>
        </w:rPr>
      </w:pPr>
      <w:r w:rsidRPr="002C465D">
        <w:rPr>
          <w:rFonts w:ascii="Times New Roman" w:eastAsia="Calibri" w:hAnsi="Times New Roman" w:cs="Times New Roman"/>
          <w:i/>
          <w:sz w:val="26"/>
          <w:szCs w:val="26"/>
        </w:rPr>
        <w:t xml:space="preserve">PGW should specifically provide in the revised USECP that it will enhance its customer service training to ensure that its customers are informed that they do not have to come into a district office to apply or recertify for CRP.  </w:t>
      </w:r>
    </w:p>
    <w:p w:rsidR="002C465D" w:rsidRPr="002C465D" w:rsidRDefault="002C465D" w:rsidP="002C465D">
      <w:pPr>
        <w:spacing w:after="0" w:line="240" w:lineRule="auto"/>
        <w:ind w:left="720"/>
        <w:rPr>
          <w:rFonts w:ascii="Times New Roman" w:eastAsia="Calibri" w:hAnsi="Times New Roman" w:cs="Times New Roman"/>
          <w:sz w:val="26"/>
          <w:szCs w:val="24"/>
        </w:rPr>
      </w:pPr>
    </w:p>
    <w:p w:rsidR="002C465D" w:rsidRPr="002C465D" w:rsidRDefault="002C465D" w:rsidP="002C465D">
      <w:pPr>
        <w:spacing w:after="0" w:line="360" w:lineRule="auto"/>
        <w:ind w:firstLine="720"/>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The fifth directive in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directs PGW to “enhance its customer service training to ensure that its customers are informed that they do not have to come into a district office to apply or recertify for CRP.”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at 73.  </w:t>
      </w:r>
    </w:p>
    <w:p w:rsidR="002C465D" w:rsidRPr="002C465D" w:rsidRDefault="002C465D" w:rsidP="002C465D">
      <w:pPr>
        <w:spacing w:after="0" w:line="360" w:lineRule="auto"/>
        <w:ind w:left="90" w:firstLine="630"/>
        <w:rPr>
          <w:rFonts w:ascii="Times New Roman" w:eastAsia="Calibri" w:hAnsi="Times New Roman" w:cs="Times New Roman"/>
          <w:sz w:val="26"/>
          <w:szCs w:val="24"/>
        </w:rPr>
      </w:pPr>
    </w:p>
    <w:p w:rsidR="002C465D" w:rsidRPr="002C465D" w:rsidRDefault="002C465D" w:rsidP="002C465D">
      <w:pPr>
        <w:spacing w:after="0" w:line="360" w:lineRule="auto"/>
        <w:ind w:firstLine="720"/>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CAUSE-PA and TURN contend that PGW should address this specific enhancement to customer service training in its Revised USECP.  CAUSE-PA/TURN Comments to the PGW Revised USECP at 9.  </w:t>
      </w:r>
    </w:p>
    <w:p w:rsidR="002C465D" w:rsidRPr="002C465D" w:rsidRDefault="002C465D" w:rsidP="002C465D">
      <w:pPr>
        <w:spacing w:after="0" w:line="360" w:lineRule="auto"/>
        <w:ind w:firstLine="720"/>
        <w:rPr>
          <w:rFonts w:ascii="Times New Roman" w:eastAsia="Calibri" w:hAnsi="Times New Roman" w:cs="Times New Roman"/>
          <w:sz w:val="26"/>
          <w:szCs w:val="24"/>
        </w:rPr>
      </w:pPr>
    </w:p>
    <w:p w:rsidR="002C465D" w:rsidRPr="002C465D" w:rsidRDefault="002C465D" w:rsidP="002C465D">
      <w:pPr>
        <w:spacing w:after="0" w:line="360" w:lineRule="auto"/>
        <w:ind w:firstLine="720"/>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PGW argues that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did not require it to include this change to its customer service training as part of its Revised USECP.  PGW Reply Comments at 3.  </w:t>
      </w:r>
    </w:p>
    <w:p w:rsidR="002C465D" w:rsidRPr="002C465D" w:rsidRDefault="002C465D" w:rsidP="002C465D">
      <w:pPr>
        <w:spacing w:after="0" w:line="360" w:lineRule="auto"/>
        <w:ind w:left="90"/>
        <w:rPr>
          <w:rFonts w:ascii="Times New Roman" w:eastAsia="Calibri" w:hAnsi="Times New Roman" w:cs="Times New Roman"/>
          <w:sz w:val="26"/>
          <w:szCs w:val="24"/>
        </w:rPr>
      </w:pPr>
    </w:p>
    <w:p w:rsidR="002C465D" w:rsidRPr="002C465D" w:rsidRDefault="002C465D" w:rsidP="002C465D">
      <w:pPr>
        <w:spacing w:after="0" w:line="360" w:lineRule="auto"/>
        <w:ind w:left="90"/>
        <w:rPr>
          <w:rFonts w:ascii="Times New Roman" w:eastAsia="Calibri" w:hAnsi="Times New Roman" w:cs="Times New Roman"/>
          <w:sz w:val="26"/>
          <w:szCs w:val="24"/>
        </w:rPr>
      </w:pPr>
      <w:r w:rsidRPr="002C465D">
        <w:rPr>
          <w:rFonts w:ascii="Times New Roman" w:eastAsia="Calibri" w:hAnsi="Times New Roman" w:cs="Times New Roman"/>
          <w:sz w:val="26"/>
          <w:szCs w:val="24"/>
        </w:rPr>
        <w:t xml:space="preserve">Resolution:  The Commission agrees with PGW that the </w:t>
      </w:r>
      <w:r w:rsidRPr="002C465D">
        <w:rPr>
          <w:rFonts w:ascii="Times New Roman" w:eastAsia="Calibri" w:hAnsi="Times New Roman" w:cs="Times New Roman"/>
          <w:i/>
          <w:sz w:val="26"/>
          <w:szCs w:val="24"/>
        </w:rPr>
        <w:t>Final Order</w:t>
      </w:r>
      <w:r w:rsidRPr="002C465D">
        <w:rPr>
          <w:rFonts w:ascii="Times New Roman" w:eastAsia="Calibri" w:hAnsi="Times New Roman" w:cs="Times New Roman"/>
          <w:sz w:val="26"/>
          <w:szCs w:val="24"/>
        </w:rPr>
        <w:t xml:space="preserve"> did not direct it to include changes to its customer service training as part of its Revised USECP.  Accordingly, no changes to the PGW’s Revised USECP are required concerning this issue.</w:t>
      </w:r>
    </w:p>
    <w:p w:rsidR="002C465D" w:rsidRPr="002C465D" w:rsidRDefault="002C465D" w:rsidP="002C465D">
      <w:pPr>
        <w:spacing w:after="0" w:line="360" w:lineRule="auto"/>
        <w:rPr>
          <w:rFonts w:ascii="Times New Roman" w:eastAsia="Calibri" w:hAnsi="Times New Roman" w:cs="Times New Roman"/>
          <w:sz w:val="26"/>
          <w:szCs w:val="24"/>
        </w:rPr>
      </w:pPr>
    </w:p>
    <w:p w:rsidR="002C465D" w:rsidRPr="002C465D" w:rsidRDefault="002C465D" w:rsidP="002C465D">
      <w:pPr>
        <w:keepNext/>
        <w:spacing w:line="360" w:lineRule="auto"/>
        <w:rPr>
          <w:rFonts w:ascii="Times New Roman" w:eastAsia="Times New Roman" w:hAnsi="Times New Roman" w:cs="Times New Roman"/>
          <w:b/>
          <w:sz w:val="26"/>
          <w:szCs w:val="26"/>
          <w:u w:val="single"/>
        </w:rPr>
      </w:pPr>
      <w:r w:rsidRPr="002C465D">
        <w:rPr>
          <w:rFonts w:ascii="Times New Roman" w:eastAsia="Times New Roman" w:hAnsi="Times New Roman" w:cs="Times New Roman"/>
          <w:b/>
          <w:sz w:val="26"/>
          <w:szCs w:val="26"/>
        </w:rPr>
        <w:t>IV.  CONCLUSION</w:t>
      </w:r>
    </w:p>
    <w:p w:rsidR="002C465D" w:rsidRPr="002C465D" w:rsidRDefault="002C465D" w:rsidP="002C465D">
      <w:pPr>
        <w:keepNext/>
        <w:spacing w:after="0" w:line="360" w:lineRule="auto"/>
        <w:rPr>
          <w:rFonts w:ascii="Times New Roman" w:eastAsia="Calibri" w:hAnsi="Times New Roman" w:cs="Times New Roman"/>
          <w:sz w:val="26"/>
          <w:szCs w:val="24"/>
        </w:rPr>
      </w:pPr>
    </w:p>
    <w:p w:rsidR="002C465D" w:rsidRPr="002C465D" w:rsidRDefault="002C465D" w:rsidP="002C465D">
      <w:pPr>
        <w:spacing w:after="0" w:line="360" w:lineRule="auto"/>
        <w:ind w:firstLine="720"/>
        <w:rPr>
          <w:rFonts w:ascii="Times New Roman" w:eastAsia="Times New Roman" w:hAnsi="Times New Roman" w:cs="Times New Roman"/>
          <w:b/>
          <w:sz w:val="26"/>
          <w:szCs w:val="26"/>
        </w:rPr>
      </w:pPr>
      <w:r w:rsidRPr="002C465D">
        <w:rPr>
          <w:rFonts w:ascii="Times New Roman" w:eastAsia="Calibri" w:hAnsi="Times New Roman" w:cs="Times New Roman"/>
          <w:sz w:val="26"/>
          <w:szCs w:val="24"/>
        </w:rPr>
        <w:t xml:space="preserve">After reviewing the issues raised by CAUSE-PA and TURN, the Commission finds no grounds to direct PGW to further revise its USECP.  </w:t>
      </w:r>
      <w:r w:rsidRPr="002C465D">
        <w:rPr>
          <w:rFonts w:ascii="Times New Roman" w:eastAsia="Times New Roman" w:hAnsi="Times New Roman" w:cs="Times New Roman"/>
          <w:sz w:val="26"/>
          <w:szCs w:val="26"/>
        </w:rPr>
        <w:t xml:space="preserve">Having addressed CAUSE-PA and TURN’s challenges to the PGW’s compliance filing, we note that any further issue raised which we may not have specifically delineated herein shall be deemed to have been duly considered and denied without further discussion.  The Commission is not required to consider expressly or at length each contention or argument raised by the </w:t>
      </w:r>
      <w:r w:rsidRPr="002C465D">
        <w:rPr>
          <w:rFonts w:ascii="Times New Roman" w:eastAsia="Times New Roman" w:hAnsi="Times New Roman" w:cs="Times New Roman"/>
          <w:sz w:val="26"/>
          <w:szCs w:val="26"/>
        </w:rPr>
        <w:lastRenderedPageBreak/>
        <w:t xml:space="preserve">parties.  </w:t>
      </w:r>
      <w:r w:rsidRPr="002C465D">
        <w:rPr>
          <w:rFonts w:ascii="Times New Roman" w:eastAsia="Times New Roman" w:hAnsi="Times New Roman" w:cs="Times New Roman"/>
          <w:i/>
          <w:sz w:val="26"/>
          <w:szCs w:val="26"/>
        </w:rPr>
        <w:t>Consolidated Rail Corp. v. Pa. PUC</w:t>
      </w:r>
      <w:r w:rsidRPr="002C465D">
        <w:rPr>
          <w:rFonts w:ascii="Times New Roman" w:eastAsia="Times New Roman" w:hAnsi="Times New Roman" w:cs="Times New Roman"/>
          <w:sz w:val="26"/>
          <w:szCs w:val="26"/>
        </w:rPr>
        <w:t xml:space="preserve">, 625 A.2d 741 (Pa. Cmwlth. Ct., 1993); </w:t>
      </w:r>
      <w:r w:rsidRPr="002C465D">
        <w:rPr>
          <w:rFonts w:ascii="Times New Roman" w:eastAsia="Times New Roman" w:hAnsi="Times New Roman" w:cs="Times New Roman"/>
          <w:i/>
          <w:sz w:val="26"/>
          <w:szCs w:val="26"/>
        </w:rPr>
        <w:t>also see</w:t>
      </w:r>
      <w:r w:rsidRPr="002C465D">
        <w:rPr>
          <w:rFonts w:ascii="Times New Roman" w:eastAsia="Times New Roman" w:hAnsi="Times New Roman" w:cs="Times New Roman"/>
          <w:sz w:val="26"/>
          <w:szCs w:val="26"/>
        </w:rPr>
        <w:t xml:space="preserve">, generally, </w:t>
      </w:r>
      <w:r w:rsidRPr="002C465D">
        <w:rPr>
          <w:rFonts w:ascii="Times New Roman" w:eastAsia="Times New Roman" w:hAnsi="Times New Roman" w:cs="Times New Roman"/>
          <w:i/>
          <w:sz w:val="26"/>
          <w:szCs w:val="26"/>
        </w:rPr>
        <w:t>U. of PA v. Pa. PUC</w:t>
      </w:r>
      <w:r w:rsidRPr="002C465D">
        <w:rPr>
          <w:rFonts w:ascii="Times New Roman" w:eastAsia="Times New Roman" w:hAnsi="Times New Roman" w:cs="Times New Roman"/>
          <w:sz w:val="26"/>
          <w:szCs w:val="26"/>
        </w:rPr>
        <w:t xml:space="preserve">, 485 A.2d 1217 (Pa. Cmwlth. Ct., 1984); </w:t>
      </w:r>
      <w:r w:rsidRPr="002C465D">
        <w:rPr>
          <w:rFonts w:ascii="Times New Roman" w:eastAsia="Times New Roman" w:hAnsi="Times New Roman" w:cs="Times New Roman"/>
          <w:b/>
          <w:sz w:val="26"/>
          <w:szCs w:val="26"/>
        </w:rPr>
        <w:t>THEREFORE,</w:t>
      </w:r>
    </w:p>
    <w:p w:rsidR="002C465D" w:rsidRPr="002C465D" w:rsidRDefault="002C465D" w:rsidP="002C465D">
      <w:pPr>
        <w:spacing w:after="0" w:line="360" w:lineRule="auto"/>
        <w:rPr>
          <w:rFonts w:ascii="Times New Roman" w:eastAsia="Times New Roman" w:hAnsi="Times New Roman" w:cs="Times New Roman"/>
          <w:b/>
          <w:sz w:val="26"/>
          <w:szCs w:val="26"/>
        </w:rPr>
      </w:pPr>
    </w:p>
    <w:p w:rsidR="002C465D" w:rsidRPr="002C465D" w:rsidRDefault="002C465D" w:rsidP="002C465D">
      <w:pPr>
        <w:keepNext/>
        <w:spacing w:after="0" w:line="360" w:lineRule="auto"/>
        <w:ind w:firstLine="720"/>
        <w:rPr>
          <w:rFonts w:ascii="Times New Roman" w:eastAsia="Times New Roman" w:hAnsi="Times New Roman" w:cs="Times New Roman"/>
          <w:sz w:val="26"/>
          <w:szCs w:val="26"/>
        </w:rPr>
      </w:pPr>
      <w:r w:rsidRPr="002C465D">
        <w:rPr>
          <w:rFonts w:ascii="Times New Roman" w:eastAsia="Times New Roman" w:hAnsi="Times New Roman" w:cs="Times New Roman"/>
          <w:b/>
          <w:sz w:val="26"/>
          <w:szCs w:val="26"/>
        </w:rPr>
        <w:t xml:space="preserve">IT IS ORDERED </w:t>
      </w:r>
      <w:r w:rsidRPr="002C465D">
        <w:rPr>
          <w:rFonts w:ascii="Times New Roman" w:eastAsia="Calibri" w:hAnsi="Times New Roman" w:cs="Times New Roman"/>
          <w:sz w:val="26"/>
          <w:szCs w:val="24"/>
        </w:rPr>
        <w:t>that the Philadelphia Gas Works Revised Universal Service Energy and Conservation Plan for 2014-2016 is accepted and approved.</w:t>
      </w:r>
    </w:p>
    <w:p w:rsidR="002C465D" w:rsidRPr="002C465D" w:rsidRDefault="002C465D" w:rsidP="002C465D">
      <w:pPr>
        <w:keepNext/>
        <w:spacing w:after="0" w:line="360" w:lineRule="auto"/>
        <w:ind w:left="720"/>
        <w:rPr>
          <w:rFonts w:ascii="Times New Roman" w:eastAsia="Times New Roman" w:hAnsi="Times New Roman" w:cs="Times New Roman"/>
          <w:sz w:val="26"/>
          <w:szCs w:val="26"/>
        </w:rPr>
      </w:pPr>
    </w:p>
    <w:p w:rsidR="002C465D" w:rsidRPr="002C465D" w:rsidRDefault="002C465D" w:rsidP="002C465D">
      <w:pPr>
        <w:keepNext/>
        <w:spacing w:after="0" w:line="360" w:lineRule="auto"/>
        <w:rPr>
          <w:rFonts w:ascii="Times New Roman" w:eastAsia="Times New Roman" w:hAnsi="Times New Roman" w:cs="Times New Roman"/>
          <w:sz w:val="26"/>
          <w:szCs w:val="26"/>
        </w:rPr>
      </w:pPr>
    </w:p>
    <w:p w:rsidR="002C465D" w:rsidRPr="002C465D" w:rsidRDefault="002C465D" w:rsidP="002C465D">
      <w:pPr>
        <w:keepNext/>
        <w:spacing w:after="0" w:line="360" w:lineRule="auto"/>
        <w:rPr>
          <w:rFonts w:ascii="Times New Roman" w:eastAsia="Times New Roman" w:hAnsi="Times New Roman" w:cs="Times New Roman"/>
          <w:sz w:val="26"/>
          <w:szCs w:val="26"/>
        </w:rPr>
      </w:pPr>
    </w:p>
    <w:p w:rsidR="002C465D" w:rsidRPr="002C465D" w:rsidRDefault="008A2571" w:rsidP="002C465D">
      <w:pPr>
        <w:keepNext/>
        <w:spacing w:after="0" w:line="360" w:lineRule="auto"/>
        <w:ind w:left="4320"/>
        <w:rPr>
          <w:rFonts w:ascii="Times New Roman" w:eastAsia="Times New Roman" w:hAnsi="Times New Roman" w:cs="Times New Roman"/>
          <w:b/>
          <w:sz w:val="26"/>
          <w:szCs w:val="26"/>
        </w:rPr>
      </w:pPr>
      <w:r>
        <w:rPr>
          <w:noProof/>
        </w:rPr>
        <w:drawing>
          <wp:anchor distT="0" distB="0" distL="114300" distR="114300" simplePos="0" relativeHeight="251658240" behindDoc="1" locked="0" layoutInCell="1" allowOverlap="1" wp14:anchorId="5476D713" wp14:editId="6E25C63F">
            <wp:simplePos x="0" y="0"/>
            <wp:positionH relativeFrom="column">
              <wp:posOffset>2400300</wp:posOffset>
            </wp:positionH>
            <wp:positionV relativeFrom="paragraph">
              <wp:posOffset>50800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C465D" w:rsidRPr="002C465D">
        <w:rPr>
          <w:rFonts w:ascii="Times New Roman" w:eastAsia="Times New Roman" w:hAnsi="Times New Roman" w:cs="Times New Roman"/>
          <w:b/>
          <w:sz w:val="26"/>
          <w:szCs w:val="26"/>
        </w:rPr>
        <w:t>BY THE COMMISSION,</w:t>
      </w:r>
    </w:p>
    <w:p w:rsidR="002C465D" w:rsidRPr="002C465D" w:rsidRDefault="002C465D" w:rsidP="002C465D">
      <w:pPr>
        <w:keepNext/>
        <w:spacing w:after="0" w:line="360" w:lineRule="auto"/>
        <w:ind w:left="4320"/>
        <w:rPr>
          <w:rFonts w:ascii="Times New Roman" w:eastAsia="Times New Roman" w:hAnsi="Times New Roman" w:cs="Times New Roman"/>
          <w:sz w:val="26"/>
          <w:szCs w:val="26"/>
        </w:rPr>
      </w:pPr>
    </w:p>
    <w:p w:rsidR="002C465D" w:rsidRPr="002C465D" w:rsidRDefault="002C465D" w:rsidP="002C465D">
      <w:pPr>
        <w:keepNext/>
        <w:spacing w:after="0" w:line="360" w:lineRule="auto"/>
        <w:ind w:left="4320"/>
        <w:rPr>
          <w:rFonts w:ascii="Times New Roman" w:eastAsia="Times New Roman" w:hAnsi="Times New Roman" w:cs="Times New Roman"/>
          <w:sz w:val="26"/>
          <w:szCs w:val="26"/>
        </w:rPr>
      </w:pPr>
    </w:p>
    <w:p w:rsidR="002C465D" w:rsidRPr="002C465D" w:rsidRDefault="002C465D" w:rsidP="002C465D">
      <w:pPr>
        <w:spacing w:after="0" w:line="240" w:lineRule="auto"/>
        <w:ind w:left="4320"/>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Rosemary Chiavetta</w:t>
      </w:r>
    </w:p>
    <w:p w:rsidR="002C465D" w:rsidRPr="002C465D" w:rsidRDefault="002C465D" w:rsidP="002C465D">
      <w:pPr>
        <w:spacing w:after="0" w:line="240" w:lineRule="auto"/>
        <w:ind w:left="4320"/>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Secretary</w:t>
      </w:r>
    </w:p>
    <w:p w:rsidR="002C465D" w:rsidRPr="002C465D" w:rsidRDefault="002C465D" w:rsidP="002C465D">
      <w:pPr>
        <w:spacing w:after="0" w:line="360" w:lineRule="auto"/>
        <w:rPr>
          <w:rFonts w:ascii="Times New Roman" w:eastAsia="Times New Roman" w:hAnsi="Times New Roman" w:cs="Times New Roman"/>
          <w:sz w:val="26"/>
          <w:szCs w:val="26"/>
        </w:rPr>
      </w:pPr>
    </w:p>
    <w:p w:rsidR="002C465D" w:rsidRPr="002C465D" w:rsidRDefault="002C465D" w:rsidP="002C465D">
      <w:pPr>
        <w:spacing w:after="0" w:line="240" w:lineRule="auto"/>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(SEAL)</w:t>
      </w:r>
    </w:p>
    <w:p w:rsidR="002C465D" w:rsidRPr="002C465D" w:rsidRDefault="002C465D" w:rsidP="002C465D">
      <w:pPr>
        <w:spacing w:after="0" w:line="240" w:lineRule="auto"/>
        <w:rPr>
          <w:rFonts w:ascii="Times New Roman" w:eastAsia="Times New Roman" w:hAnsi="Times New Roman" w:cs="Times New Roman"/>
          <w:sz w:val="26"/>
          <w:szCs w:val="26"/>
        </w:rPr>
      </w:pPr>
    </w:p>
    <w:p w:rsidR="002C465D" w:rsidRPr="002C465D" w:rsidRDefault="002C465D" w:rsidP="002C465D">
      <w:pPr>
        <w:spacing w:after="0" w:line="240" w:lineRule="auto"/>
        <w:rPr>
          <w:rFonts w:ascii="Times New Roman" w:eastAsia="Times New Roman" w:hAnsi="Times New Roman" w:cs="Times New Roman"/>
          <w:sz w:val="26"/>
          <w:szCs w:val="26"/>
        </w:rPr>
      </w:pPr>
      <w:r w:rsidRPr="002C465D">
        <w:rPr>
          <w:rFonts w:ascii="Times New Roman" w:eastAsia="Times New Roman" w:hAnsi="Times New Roman" w:cs="Times New Roman"/>
          <w:sz w:val="26"/>
          <w:szCs w:val="26"/>
        </w:rPr>
        <w:t xml:space="preserve">ORDER ADOPTED:  </w:t>
      </w:r>
      <w:r w:rsidR="00175C29">
        <w:rPr>
          <w:rFonts w:ascii="Times New Roman" w:eastAsia="Times New Roman" w:hAnsi="Times New Roman" w:cs="Times New Roman"/>
          <w:sz w:val="26"/>
          <w:szCs w:val="26"/>
        </w:rPr>
        <w:t>November</w:t>
      </w:r>
      <w:r w:rsidR="008A0BE2">
        <w:rPr>
          <w:rFonts w:ascii="Times New Roman" w:eastAsia="Times New Roman" w:hAnsi="Times New Roman" w:cs="Times New Roman"/>
          <w:sz w:val="26"/>
          <w:szCs w:val="26"/>
        </w:rPr>
        <w:t xml:space="preserve"> 13</w:t>
      </w:r>
      <w:r w:rsidR="00175C29">
        <w:rPr>
          <w:rFonts w:ascii="Times New Roman" w:eastAsia="Times New Roman" w:hAnsi="Times New Roman" w:cs="Times New Roman"/>
          <w:sz w:val="26"/>
          <w:szCs w:val="26"/>
        </w:rPr>
        <w:t>,</w:t>
      </w:r>
      <w:r w:rsidRPr="002C465D">
        <w:rPr>
          <w:rFonts w:ascii="Times New Roman" w:eastAsia="Times New Roman" w:hAnsi="Times New Roman" w:cs="Times New Roman"/>
          <w:sz w:val="26"/>
          <w:szCs w:val="26"/>
        </w:rPr>
        <w:t xml:space="preserve"> 2014</w:t>
      </w:r>
    </w:p>
    <w:p w:rsidR="002C465D" w:rsidRPr="002C465D" w:rsidRDefault="002C465D" w:rsidP="002C465D">
      <w:pPr>
        <w:spacing w:after="0" w:line="240" w:lineRule="auto"/>
        <w:rPr>
          <w:rFonts w:ascii="Times New Roman" w:eastAsia="Times New Roman" w:hAnsi="Times New Roman" w:cs="Times New Roman"/>
          <w:sz w:val="26"/>
          <w:szCs w:val="26"/>
        </w:rPr>
      </w:pPr>
    </w:p>
    <w:p w:rsidR="002C465D" w:rsidRPr="002C465D" w:rsidRDefault="002C465D" w:rsidP="002C465D">
      <w:r w:rsidRPr="002C465D">
        <w:rPr>
          <w:rFonts w:ascii="Times New Roman" w:eastAsia="Times New Roman" w:hAnsi="Times New Roman" w:cs="Times New Roman"/>
          <w:sz w:val="26"/>
          <w:szCs w:val="26"/>
        </w:rPr>
        <w:t xml:space="preserve">ORDER ENTERED:  </w:t>
      </w:r>
      <w:r w:rsidR="008A2571">
        <w:rPr>
          <w:rFonts w:ascii="Times New Roman" w:eastAsia="Times New Roman" w:hAnsi="Times New Roman" w:cs="Times New Roman"/>
          <w:sz w:val="26"/>
          <w:szCs w:val="26"/>
        </w:rPr>
        <w:t>November 13, 2014</w:t>
      </w:r>
      <w:bookmarkStart w:id="0" w:name="_GoBack"/>
      <w:bookmarkEnd w:id="0"/>
    </w:p>
    <w:p w:rsidR="002F357B" w:rsidRPr="002C465D" w:rsidRDefault="002F357B" w:rsidP="002C465D"/>
    <w:sectPr w:rsidR="002F357B" w:rsidRPr="002C465D" w:rsidSect="007327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D3C" w:rsidRDefault="00706D3C" w:rsidP="002C465D">
      <w:pPr>
        <w:spacing w:after="0" w:line="240" w:lineRule="auto"/>
      </w:pPr>
      <w:r>
        <w:separator/>
      </w:r>
    </w:p>
  </w:endnote>
  <w:endnote w:type="continuationSeparator" w:id="0">
    <w:p w:rsidR="00706D3C" w:rsidRDefault="00706D3C" w:rsidP="002C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Default="002C4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7661C" w:rsidRDefault="00706D3C">
    <w:pPr>
      <w:pStyle w:val="Footer"/>
    </w:pPr>
  </w:p>
  <w:p w:rsidR="0017661C" w:rsidRDefault="00706D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Pr="00140DAB" w:rsidRDefault="002C465D">
    <w:pPr>
      <w:pStyle w:val="Footer"/>
      <w:framePr w:wrap="around" w:vAnchor="text" w:hAnchor="margin" w:xAlign="center" w:y="1"/>
      <w:rPr>
        <w:rStyle w:val="PageNumber"/>
        <w:rFonts w:ascii="Times New Roman" w:hAnsi="Times New Roman" w:cs="Times New Roman"/>
      </w:rPr>
    </w:pPr>
    <w:r w:rsidRPr="00140DAB">
      <w:rPr>
        <w:rStyle w:val="PageNumber"/>
        <w:rFonts w:ascii="Times New Roman" w:hAnsi="Times New Roman" w:cs="Times New Roman"/>
      </w:rPr>
      <w:fldChar w:fldCharType="begin"/>
    </w:r>
    <w:r w:rsidRPr="00140DAB">
      <w:rPr>
        <w:rStyle w:val="PageNumber"/>
        <w:rFonts w:ascii="Times New Roman" w:hAnsi="Times New Roman" w:cs="Times New Roman"/>
      </w:rPr>
      <w:instrText xml:space="preserve">PAGE  </w:instrText>
    </w:r>
    <w:r w:rsidRPr="00140DAB">
      <w:rPr>
        <w:rStyle w:val="PageNumber"/>
        <w:rFonts w:ascii="Times New Roman" w:hAnsi="Times New Roman" w:cs="Times New Roman"/>
      </w:rPr>
      <w:fldChar w:fldCharType="separate"/>
    </w:r>
    <w:r w:rsidR="008A2571">
      <w:rPr>
        <w:rStyle w:val="PageNumber"/>
        <w:rFonts w:ascii="Times New Roman" w:hAnsi="Times New Roman" w:cs="Times New Roman"/>
        <w:noProof/>
      </w:rPr>
      <w:t>11</w:t>
    </w:r>
    <w:r w:rsidRPr="00140DAB">
      <w:rPr>
        <w:rStyle w:val="PageNumber"/>
        <w:rFonts w:ascii="Times New Roman" w:hAnsi="Times New Roman" w:cs="Times New Roman"/>
      </w:rPr>
      <w:fldChar w:fldCharType="end"/>
    </w:r>
  </w:p>
  <w:p w:rsidR="0017661C" w:rsidRDefault="00706D3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Default="00706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D3C" w:rsidRDefault="00706D3C" w:rsidP="002C465D">
      <w:pPr>
        <w:spacing w:after="0" w:line="240" w:lineRule="auto"/>
      </w:pPr>
      <w:r>
        <w:separator/>
      </w:r>
    </w:p>
  </w:footnote>
  <w:footnote w:type="continuationSeparator" w:id="0">
    <w:p w:rsidR="00706D3C" w:rsidRDefault="00706D3C" w:rsidP="002C465D">
      <w:pPr>
        <w:spacing w:after="0" w:line="240" w:lineRule="auto"/>
      </w:pPr>
      <w:r>
        <w:continuationSeparator/>
      </w:r>
    </w:p>
  </w:footnote>
  <w:footnote w:id="1">
    <w:p w:rsidR="002C465D" w:rsidRPr="009C7440" w:rsidRDefault="002C465D" w:rsidP="002C465D">
      <w:pPr>
        <w:pStyle w:val="FootnoteText"/>
      </w:pPr>
      <w:r>
        <w:rPr>
          <w:rStyle w:val="FootnoteReference"/>
        </w:rPr>
        <w:footnoteRef/>
      </w:r>
      <w:r>
        <w:t xml:space="preserve">  </w:t>
      </w:r>
      <w:r>
        <w:rPr>
          <w:i/>
        </w:rPr>
        <w:t>See PGW USECP for 2014-2014</w:t>
      </w:r>
      <w:r>
        <w:t>, Docket No. M-2013-2366301 (August 22, 2014) (</w:t>
      </w:r>
      <w:r w:rsidRPr="009C7440">
        <w:rPr>
          <w:i/>
        </w:rPr>
        <w:t>Final Order</w:t>
      </w:r>
      <w:r>
        <w:t>) for an expanded Background and History of this proceeding.</w:t>
      </w:r>
    </w:p>
  </w:footnote>
  <w:footnote w:id="2">
    <w:p w:rsidR="002C465D" w:rsidRDefault="002C465D" w:rsidP="002C465D">
      <w:pPr>
        <w:pStyle w:val="FootnoteText"/>
      </w:pPr>
      <w:r>
        <w:rPr>
          <w:rStyle w:val="FootnoteReference"/>
        </w:rPr>
        <w:footnoteRef/>
      </w:r>
      <w:r>
        <w:t xml:space="preserve">  This is not a Section 703(f) rehearing or 703(g) rescission or amendment proceeding.  66 Pa. C.S. § 703(f)-(g).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Default="00706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Default="00706D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1C" w:rsidRDefault="00706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3A7"/>
    <w:multiLevelType w:val="hybridMultilevel"/>
    <w:tmpl w:val="77A8DB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152693"/>
    <w:multiLevelType w:val="hybridMultilevel"/>
    <w:tmpl w:val="63F66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AC6970"/>
    <w:multiLevelType w:val="hybridMultilevel"/>
    <w:tmpl w:val="668474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5D"/>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5C29"/>
    <w:rsid w:val="0017647C"/>
    <w:rsid w:val="0017685D"/>
    <w:rsid w:val="00176C8F"/>
    <w:rsid w:val="00181335"/>
    <w:rsid w:val="00186234"/>
    <w:rsid w:val="00186EEC"/>
    <w:rsid w:val="00192CA3"/>
    <w:rsid w:val="0019542E"/>
    <w:rsid w:val="001A3CFB"/>
    <w:rsid w:val="001A4DBA"/>
    <w:rsid w:val="001A5451"/>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465D"/>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731E"/>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06D3C"/>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A0BE2"/>
    <w:rsid w:val="008A2571"/>
    <w:rsid w:val="008B7AA3"/>
    <w:rsid w:val="008C591B"/>
    <w:rsid w:val="008D15E0"/>
    <w:rsid w:val="008D6838"/>
    <w:rsid w:val="008E4929"/>
    <w:rsid w:val="00906803"/>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D5A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C46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465D"/>
  </w:style>
  <w:style w:type="paragraph" w:styleId="Header">
    <w:name w:val="header"/>
    <w:basedOn w:val="Normal"/>
    <w:link w:val="HeaderChar"/>
    <w:uiPriority w:val="99"/>
    <w:semiHidden/>
    <w:unhideWhenUsed/>
    <w:rsid w:val="002C46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465D"/>
  </w:style>
  <w:style w:type="character" w:styleId="PageNumber">
    <w:name w:val="page number"/>
    <w:basedOn w:val="DefaultParagraphFont"/>
    <w:rsid w:val="002C465D"/>
  </w:style>
  <w:style w:type="paragraph" w:styleId="FootnoteText">
    <w:name w:val="footnote text"/>
    <w:basedOn w:val="Normal"/>
    <w:link w:val="FootnoteTextChar"/>
    <w:semiHidden/>
    <w:rsid w:val="002C465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C465D"/>
    <w:rPr>
      <w:rFonts w:ascii="Times New Roman" w:eastAsia="Times New Roman" w:hAnsi="Times New Roman" w:cs="Times New Roman"/>
      <w:sz w:val="20"/>
      <w:szCs w:val="20"/>
    </w:rPr>
  </w:style>
  <w:style w:type="character" w:styleId="FootnoteReference">
    <w:name w:val="footnote reference"/>
    <w:semiHidden/>
    <w:rsid w:val="002C465D"/>
    <w:rPr>
      <w:vertAlign w:val="superscript"/>
    </w:rPr>
  </w:style>
  <w:style w:type="paragraph" w:styleId="BalloonText">
    <w:name w:val="Balloon Text"/>
    <w:basedOn w:val="Normal"/>
    <w:link w:val="BalloonTextChar"/>
    <w:uiPriority w:val="99"/>
    <w:semiHidden/>
    <w:unhideWhenUsed/>
    <w:rsid w:val="008A2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C46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465D"/>
  </w:style>
  <w:style w:type="paragraph" w:styleId="Header">
    <w:name w:val="header"/>
    <w:basedOn w:val="Normal"/>
    <w:link w:val="HeaderChar"/>
    <w:uiPriority w:val="99"/>
    <w:semiHidden/>
    <w:unhideWhenUsed/>
    <w:rsid w:val="002C46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465D"/>
  </w:style>
  <w:style w:type="character" w:styleId="PageNumber">
    <w:name w:val="page number"/>
    <w:basedOn w:val="DefaultParagraphFont"/>
    <w:rsid w:val="002C465D"/>
  </w:style>
  <w:style w:type="paragraph" w:styleId="FootnoteText">
    <w:name w:val="footnote text"/>
    <w:basedOn w:val="Normal"/>
    <w:link w:val="FootnoteTextChar"/>
    <w:semiHidden/>
    <w:rsid w:val="002C465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C465D"/>
    <w:rPr>
      <w:rFonts w:ascii="Times New Roman" w:eastAsia="Times New Roman" w:hAnsi="Times New Roman" w:cs="Times New Roman"/>
      <w:sz w:val="20"/>
      <w:szCs w:val="20"/>
    </w:rPr>
  </w:style>
  <w:style w:type="character" w:styleId="FootnoteReference">
    <w:name w:val="footnote reference"/>
    <w:semiHidden/>
    <w:rsid w:val="002C465D"/>
    <w:rPr>
      <w:vertAlign w:val="superscript"/>
    </w:rPr>
  </w:style>
  <w:style w:type="paragraph" w:styleId="BalloonText">
    <w:name w:val="Balloon Text"/>
    <w:basedOn w:val="Normal"/>
    <w:link w:val="BalloonTextChar"/>
    <w:uiPriority w:val="99"/>
    <w:semiHidden/>
    <w:unhideWhenUsed/>
    <w:rsid w:val="008A2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Hinds, Margaret</cp:lastModifiedBy>
  <cp:revision>3</cp:revision>
  <cp:lastPrinted>2014-10-28T19:16:00Z</cp:lastPrinted>
  <dcterms:created xsi:type="dcterms:W3CDTF">2014-10-29T12:39:00Z</dcterms:created>
  <dcterms:modified xsi:type="dcterms:W3CDTF">2014-11-13T19:16:00Z</dcterms:modified>
</cp:coreProperties>
</file>