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5472AC" w:rsidRDefault="000F1894" w:rsidP="000F1894">
      <w:pPr>
        <w:jc w:val="center"/>
        <w:rPr>
          <w:sz w:val="24"/>
          <w:szCs w:val="24"/>
        </w:rPr>
      </w:pPr>
    </w:p>
    <w:p w:rsidR="00CE43B4" w:rsidRPr="00354E6F" w:rsidRDefault="005472AC" w:rsidP="00CE43B4">
      <w:pPr>
        <w:tabs>
          <w:tab w:val="left" w:pos="-720"/>
        </w:tabs>
        <w:suppressAutoHyphens/>
        <w:rPr>
          <w:spacing w:val="-3"/>
          <w:sz w:val="24"/>
          <w:szCs w:val="24"/>
        </w:rPr>
      </w:pPr>
      <w:r w:rsidRPr="005472AC">
        <w:rPr>
          <w:bCs/>
          <w:spacing w:val="-3"/>
          <w:sz w:val="24"/>
          <w:szCs w:val="24"/>
        </w:rPr>
        <w:t xml:space="preserve">Marion </w:t>
      </w:r>
      <w:proofErr w:type="spellStart"/>
      <w:r w:rsidRPr="005472AC">
        <w:rPr>
          <w:bCs/>
          <w:spacing w:val="-3"/>
          <w:sz w:val="24"/>
          <w:szCs w:val="24"/>
        </w:rPr>
        <w:t>Werle</w:t>
      </w:r>
      <w:proofErr w:type="spellEnd"/>
      <w:r w:rsidR="00A470ED">
        <w:rPr>
          <w:b/>
          <w:bCs/>
          <w:spacing w:val="-3"/>
          <w:sz w:val="24"/>
          <w:szCs w:val="24"/>
        </w:rPr>
        <w:tab/>
      </w:r>
      <w:r w:rsidR="00A470ED">
        <w:rPr>
          <w:b/>
          <w:bCs/>
          <w:spacing w:val="-3"/>
          <w:sz w:val="24"/>
          <w:szCs w:val="24"/>
        </w:rPr>
        <w:tab/>
      </w:r>
      <w:r w:rsidR="00354E6F">
        <w:rPr>
          <w:bCs/>
          <w:spacing w:val="-3"/>
          <w:sz w:val="24"/>
          <w:szCs w:val="24"/>
        </w:rPr>
        <w:tab/>
      </w:r>
      <w:r w:rsidR="00B02008">
        <w:rPr>
          <w:bCs/>
          <w:spacing w:val="-3"/>
          <w:sz w:val="24"/>
          <w:szCs w:val="24"/>
        </w:rPr>
        <w:tab/>
      </w:r>
      <w:r w:rsidR="00B02008">
        <w:rPr>
          <w:bCs/>
          <w:spacing w:val="-3"/>
          <w:sz w:val="24"/>
          <w:szCs w:val="24"/>
        </w:rPr>
        <w:tab/>
      </w:r>
      <w:r w:rsidR="00354E6F">
        <w:rPr>
          <w:bCs/>
          <w:spacing w:val="-3"/>
          <w:sz w:val="24"/>
          <w:szCs w:val="24"/>
        </w:rPr>
        <w:tab/>
        <w:t xml:space="preserve">: </w:t>
      </w:r>
      <w:r w:rsidR="005E3007" w:rsidRPr="00354E6F">
        <w:rPr>
          <w:bCs/>
          <w:spacing w:val="-3"/>
          <w:sz w:val="24"/>
          <w:szCs w:val="24"/>
        </w:rPr>
        <w:tab/>
      </w:r>
      <w:r w:rsidR="00893F0B" w:rsidRPr="00354E6F">
        <w:rPr>
          <w:bCs/>
          <w:spacing w:val="-3"/>
          <w:sz w:val="24"/>
          <w:szCs w:val="24"/>
        </w:rPr>
        <w:tab/>
      </w:r>
    </w:p>
    <w:p w:rsidR="002E0985" w:rsidRPr="00495B88" w:rsidRDefault="00526B2A" w:rsidP="00495B88">
      <w:r>
        <w:tab/>
      </w:r>
      <w:r>
        <w:tab/>
      </w:r>
      <w:r w:rsidR="009A475D">
        <w:tab/>
      </w:r>
      <w:r w:rsidR="00CC3CC1">
        <w:tab/>
      </w:r>
      <w:r w:rsidR="00CC3CC1">
        <w:tab/>
      </w:r>
      <w:r w:rsidR="002E0985" w:rsidRPr="002E0985">
        <w:tab/>
      </w:r>
      <w:r w:rsidR="00B02008">
        <w:tab/>
      </w:r>
      <w:r w:rsidR="002E0985" w:rsidRPr="002E0985">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sidR="005472AC">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B02008">
        <w:rPr>
          <w:spacing w:val="-3"/>
          <w:sz w:val="24"/>
          <w:szCs w:val="20"/>
        </w:rPr>
        <w:tab/>
      </w:r>
      <w:r w:rsidRPr="002E0985">
        <w:rPr>
          <w:spacing w:val="-3"/>
          <w:sz w:val="24"/>
          <w:szCs w:val="20"/>
        </w:rPr>
        <w:t>:</w:t>
      </w:r>
      <w:r w:rsidR="00354E6F">
        <w:rPr>
          <w:spacing w:val="-3"/>
          <w:sz w:val="24"/>
          <w:szCs w:val="20"/>
        </w:rPr>
        <w:tab/>
      </w:r>
      <w:r w:rsidR="00B02008">
        <w:rPr>
          <w:spacing w:val="-3"/>
          <w:sz w:val="24"/>
          <w:szCs w:val="20"/>
        </w:rPr>
        <w:tab/>
      </w:r>
      <w:r w:rsidR="005472AC">
        <w:rPr>
          <w:spacing w:val="-3"/>
          <w:sz w:val="24"/>
          <w:szCs w:val="20"/>
        </w:rPr>
        <w:t>C-2014-2429158</w:t>
      </w:r>
      <w:r w:rsidRPr="002E0985">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B02008">
        <w:rPr>
          <w:spacing w:val="-3"/>
          <w:sz w:val="24"/>
          <w:szCs w:val="20"/>
        </w:rPr>
        <w:tab/>
      </w:r>
      <w:r>
        <w:rPr>
          <w:spacing w:val="-3"/>
          <w:sz w:val="24"/>
          <w:szCs w:val="20"/>
        </w:rPr>
        <w:t>:</w:t>
      </w:r>
    </w:p>
    <w:p w:rsidR="00CE43B4" w:rsidRPr="002E0985" w:rsidRDefault="005472AC" w:rsidP="002E0985">
      <w:pPr>
        <w:tabs>
          <w:tab w:val="left" w:pos="-720"/>
        </w:tabs>
        <w:suppressAutoHyphens/>
        <w:rPr>
          <w:spacing w:val="-3"/>
          <w:sz w:val="24"/>
          <w:szCs w:val="20"/>
        </w:rPr>
      </w:pPr>
      <w:r>
        <w:rPr>
          <w:spacing w:val="-3"/>
          <w:sz w:val="24"/>
          <w:szCs w:val="20"/>
        </w:rPr>
        <w:t>Respond Power, LLC</w:t>
      </w:r>
      <w:r w:rsidR="00526B2A">
        <w:rPr>
          <w:spacing w:val="-3"/>
          <w:sz w:val="24"/>
          <w:szCs w:val="20"/>
        </w:rPr>
        <w:tab/>
      </w:r>
      <w:r w:rsidR="002E0985" w:rsidRPr="002E0985">
        <w:rPr>
          <w:spacing w:val="-3"/>
          <w:sz w:val="24"/>
          <w:szCs w:val="20"/>
        </w:rPr>
        <w:tab/>
      </w:r>
      <w:r w:rsidR="002E0985" w:rsidRPr="002E0985">
        <w:rPr>
          <w:spacing w:val="-3"/>
          <w:sz w:val="24"/>
          <w:szCs w:val="20"/>
        </w:rPr>
        <w:tab/>
      </w:r>
      <w:r w:rsidR="00B02008">
        <w:rPr>
          <w:spacing w:val="-3"/>
          <w:sz w:val="24"/>
          <w:szCs w:val="20"/>
        </w:rPr>
        <w:tab/>
      </w:r>
      <w:r w:rsidR="00B02008">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472AC" w:rsidRPr="00B02008" w:rsidRDefault="00526B2A" w:rsidP="000F1894">
      <w:pPr>
        <w:jc w:val="center"/>
        <w:rPr>
          <w:b/>
          <w:caps/>
          <w:sz w:val="24"/>
          <w:szCs w:val="24"/>
        </w:rPr>
      </w:pPr>
      <w:r w:rsidRPr="00B02008">
        <w:rPr>
          <w:b/>
          <w:caps/>
          <w:sz w:val="24"/>
          <w:szCs w:val="24"/>
        </w:rPr>
        <w:t>initial decision</w:t>
      </w:r>
    </w:p>
    <w:p w:rsidR="00B02008" w:rsidRPr="00B02008" w:rsidRDefault="005472AC" w:rsidP="000F1894">
      <w:pPr>
        <w:jc w:val="center"/>
        <w:rPr>
          <w:b/>
          <w:caps/>
          <w:sz w:val="24"/>
          <w:szCs w:val="24"/>
        </w:rPr>
      </w:pPr>
      <w:r w:rsidRPr="00B02008">
        <w:rPr>
          <w:b/>
          <w:caps/>
          <w:sz w:val="24"/>
          <w:szCs w:val="24"/>
        </w:rPr>
        <w:t>sustaining preliminary objection and</w:t>
      </w:r>
      <w:r w:rsidR="00B02008" w:rsidRPr="00B02008">
        <w:rPr>
          <w:b/>
          <w:caps/>
          <w:sz w:val="24"/>
          <w:szCs w:val="24"/>
        </w:rPr>
        <w:t xml:space="preserve"> </w:t>
      </w:r>
    </w:p>
    <w:p w:rsidR="000F1894" w:rsidRPr="00E514FA" w:rsidRDefault="005472AC" w:rsidP="000F1894">
      <w:pPr>
        <w:jc w:val="center"/>
        <w:rPr>
          <w:b/>
          <w:sz w:val="24"/>
          <w:szCs w:val="24"/>
        </w:rPr>
      </w:pPr>
      <w:r>
        <w:rPr>
          <w:b/>
          <w:caps/>
          <w:sz w:val="24"/>
          <w:szCs w:val="24"/>
          <w:u w:val="single"/>
        </w:rPr>
        <w:t>dismissing complaint</w:t>
      </w:r>
      <w:r w:rsidR="00354E6F">
        <w:rPr>
          <w:b/>
          <w:caps/>
          <w:sz w:val="24"/>
          <w:szCs w:val="24"/>
          <w:u w:val="single"/>
        </w:rPr>
        <w:t xml:space="preserve"> </w:t>
      </w:r>
    </w:p>
    <w:p w:rsidR="006A21C2" w:rsidRDefault="006A21C2" w:rsidP="000F1894">
      <w:pPr>
        <w:jc w:val="center"/>
        <w:rPr>
          <w:sz w:val="24"/>
          <w:szCs w:val="24"/>
        </w:rPr>
      </w:pPr>
    </w:p>
    <w:p w:rsidR="00B02008" w:rsidRPr="006A21C2" w:rsidRDefault="00B02008"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Default="00DE2348" w:rsidP="000F1894">
      <w:pPr>
        <w:jc w:val="center"/>
        <w:rPr>
          <w:b/>
          <w:sz w:val="24"/>
          <w:szCs w:val="24"/>
        </w:rPr>
      </w:pPr>
    </w:p>
    <w:p w:rsidR="00B02008" w:rsidRPr="006A21C2" w:rsidRDefault="00B02008" w:rsidP="000F1894">
      <w:pPr>
        <w:jc w:val="center"/>
        <w:rPr>
          <w:b/>
          <w:sz w:val="24"/>
          <w:szCs w:val="24"/>
        </w:rPr>
      </w:pPr>
    </w:p>
    <w:p w:rsidR="000F1894" w:rsidRDefault="005472AC" w:rsidP="00E212CF">
      <w:pPr>
        <w:spacing w:line="360" w:lineRule="auto"/>
        <w:jc w:val="center"/>
        <w:rPr>
          <w:sz w:val="24"/>
          <w:szCs w:val="24"/>
          <w:u w:val="single"/>
        </w:rPr>
      </w:pPr>
      <w:r w:rsidRPr="005472AC">
        <w:rPr>
          <w:sz w:val="24"/>
          <w:szCs w:val="24"/>
          <w:u w:val="single"/>
        </w:rPr>
        <w:t>INTRODUCTION</w:t>
      </w:r>
    </w:p>
    <w:p w:rsidR="005472AC" w:rsidRPr="005472AC" w:rsidRDefault="005472AC" w:rsidP="000F1894">
      <w:pPr>
        <w:jc w:val="center"/>
        <w:rPr>
          <w:sz w:val="24"/>
          <w:szCs w:val="24"/>
        </w:rPr>
      </w:pPr>
    </w:p>
    <w:p w:rsidR="005472AC" w:rsidRDefault="005472AC" w:rsidP="005472AC">
      <w:pPr>
        <w:spacing w:line="360" w:lineRule="auto"/>
        <w:ind w:firstLine="1440"/>
        <w:rPr>
          <w:sz w:val="24"/>
          <w:szCs w:val="24"/>
        </w:rPr>
      </w:pPr>
      <w:r w:rsidRPr="005472AC">
        <w:rPr>
          <w:sz w:val="24"/>
          <w:szCs w:val="24"/>
        </w:rPr>
        <w:t>A customer filed a Formal Complaint against the electric generation supplier (EGS) alleging that the EGS rates were “absurd.”</w:t>
      </w:r>
      <w:r>
        <w:rPr>
          <w:sz w:val="24"/>
          <w:szCs w:val="24"/>
        </w:rPr>
        <w:t xml:space="preserve">  This decision denies and dismisses the Formal Complaint because (1) the Pennsylvania Public Utility Commission lacks jurisdiction </w:t>
      </w:r>
      <w:r w:rsidR="001D386D">
        <w:rPr>
          <w:sz w:val="24"/>
          <w:szCs w:val="24"/>
        </w:rPr>
        <w:t xml:space="preserve">over the rates agreed upon </w:t>
      </w:r>
      <w:r>
        <w:rPr>
          <w:sz w:val="24"/>
          <w:szCs w:val="24"/>
        </w:rPr>
        <w:t>by an EGS</w:t>
      </w:r>
      <w:r w:rsidR="001D386D">
        <w:rPr>
          <w:sz w:val="24"/>
          <w:szCs w:val="24"/>
        </w:rPr>
        <w:t xml:space="preserve"> and its customer</w:t>
      </w:r>
      <w:bookmarkStart w:id="0" w:name="_GoBack"/>
      <w:bookmarkEnd w:id="0"/>
      <w:r>
        <w:rPr>
          <w:sz w:val="24"/>
          <w:szCs w:val="24"/>
        </w:rPr>
        <w:t>;</w:t>
      </w:r>
      <w:r w:rsidR="0088456C">
        <w:rPr>
          <w:sz w:val="24"/>
          <w:szCs w:val="24"/>
        </w:rPr>
        <w:t xml:space="preserve"> and</w:t>
      </w:r>
      <w:r>
        <w:rPr>
          <w:sz w:val="24"/>
          <w:szCs w:val="24"/>
        </w:rPr>
        <w:t xml:space="preserve"> (2) the Formal Complaint does not allege </w:t>
      </w:r>
      <w:r w:rsidR="0088456C">
        <w:rPr>
          <w:sz w:val="24"/>
          <w:szCs w:val="24"/>
        </w:rPr>
        <w:t>any violation of the Public Utility Code or Commission regulations.</w:t>
      </w:r>
    </w:p>
    <w:p w:rsidR="005472AC" w:rsidRPr="005472AC" w:rsidRDefault="005472AC" w:rsidP="00A32C62">
      <w:pPr>
        <w:spacing w:line="360" w:lineRule="auto"/>
        <w:ind w:firstLine="1440"/>
        <w:rPr>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5472AC" w:rsidRDefault="005472AC" w:rsidP="00F4063C">
      <w:pPr>
        <w:ind w:firstLine="1440"/>
        <w:jc w:val="center"/>
        <w:rPr>
          <w:sz w:val="24"/>
          <w:szCs w:val="24"/>
        </w:rPr>
      </w:pPr>
    </w:p>
    <w:p w:rsidR="007965B0" w:rsidRDefault="005472AC" w:rsidP="007965B0">
      <w:pPr>
        <w:tabs>
          <w:tab w:val="left" w:pos="-1440"/>
          <w:tab w:val="left" w:pos="-720"/>
        </w:tabs>
        <w:suppressAutoHyphens/>
        <w:spacing w:line="360" w:lineRule="auto"/>
        <w:ind w:firstLine="1440"/>
        <w:rPr>
          <w:sz w:val="24"/>
          <w:szCs w:val="24"/>
        </w:rPr>
      </w:pPr>
      <w:r>
        <w:rPr>
          <w:sz w:val="24"/>
          <w:szCs w:val="24"/>
        </w:rPr>
        <w:t xml:space="preserve">On May 13, 2014, Marion </w:t>
      </w:r>
      <w:proofErr w:type="spellStart"/>
      <w:r>
        <w:rPr>
          <w:sz w:val="24"/>
          <w:szCs w:val="24"/>
        </w:rPr>
        <w:t>Werle</w:t>
      </w:r>
      <w:proofErr w:type="spellEnd"/>
      <w:r>
        <w:rPr>
          <w:sz w:val="24"/>
          <w:szCs w:val="24"/>
        </w:rPr>
        <w:t xml:space="preserve"> (Complainant) filed a Fo</w:t>
      </w:r>
      <w:r w:rsidR="000539D6">
        <w:rPr>
          <w:sz w:val="24"/>
          <w:szCs w:val="24"/>
        </w:rPr>
        <w:t>r</w:t>
      </w:r>
      <w:r>
        <w:rPr>
          <w:sz w:val="24"/>
          <w:szCs w:val="24"/>
        </w:rPr>
        <w:t>mal Complaint against Respond Power, LLC (Respondent) alleging incorrect charges on her bill and stating that “[t]</w:t>
      </w:r>
      <w:proofErr w:type="spellStart"/>
      <w:r>
        <w:rPr>
          <w:sz w:val="24"/>
          <w:szCs w:val="24"/>
        </w:rPr>
        <w:t>hese</w:t>
      </w:r>
      <w:proofErr w:type="spellEnd"/>
      <w:r>
        <w:rPr>
          <w:sz w:val="24"/>
          <w:szCs w:val="24"/>
        </w:rPr>
        <w:t xml:space="preserve"> charges are absurd.”</w:t>
      </w:r>
    </w:p>
    <w:p w:rsidR="00FE7FC0" w:rsidRDefault="00FE7FC0" w:rsidP="007965B0">
      <w:pPr>
        <w:tabs>
          <w:tab w:val="left" w:pos="-1440"/>
          <w:tab w:val="left" w:pos="-720"/>
        </w:tabs>
        <w:suppressAutoHyphens/>
        <w:spacing w:line="360" w:lineRule="auto"/>
        <w:ind w:firstLine="1440"/>
        <w:rPr>
          <w:sz w:val="24"/>
          <w:szCs w:val="24"/>
        </w:rPr>
      </w:pPr>
    </w:p>
    <w:p w:rsidR="000539D6" w:rsidRDefault="000539D6" w:rsidP="007965B0">
      <w:pPr>
        <w:tabs>
          <w:tab w:val="left" w:pos="-1440"/>
          <w:tab w:val="left" w:pos="-720"/>
        </w:tabs>
        <w:suppressAutoHyphens/>
        <w:spacing w:line="360" w:lineRule="auto"/>
        <w:ind w:firstLine="1440"/>
        <w:rPr>
          <w:sz w:val="24"/>
          <w:szCs w:val="24"/>
        </w:rPr>
      </w:pPr>
      <w:r>
        <w:rPr>
          <w:sz w:val="24"/>
          <w:szCs w:val="24"/>
        </w:rPr>
        <w:lastRenderedPageBreak/>
        <w:t>On July 21, 2014, the Respondent filed an Answer and Preliminary Objections.  The Preliminary Objections contained a notice to plead.  No response to the preliminary objections was received.</w:t>
      </w:r>
    </w:p>
    <w:p w:rsidR="002F0A98" w:rsidRDefault="002F0A98" w:rsidP="007965B0">
      <w:pPr>
        <w:tabs>
          <w:tab w:val="left" w:pos="-1440"/>
          <w:tab w:val="left" w:pos="-720"/>
        </w:tabs>
        <w:suppressAutoHyphens/>
        <w:spacing w:line="360" w:lineRule="auto"/>
        <w:ind w:firstLine="1440"/>
        <w:rPr>
          <w:sz w:val="24"/>
          <w:szCs w:val="24"/>
        </w:rPr>
      </w:pPr>
    </w:p>
    <w:p w:rsidR="000539D6" w:rsidRDefault="000539D6" w:rsidP="007965B0">
      <w:pPr>
        <w:tabs>
          <w:tab w:val="left" w:pos="-1440"/>
          <w:tab w:val="left" w:pos="-720"/>
        </w:tabs>
        <w:suppressAutoHyphens/>
        <w:spacing w:line="360" w:lineRule="auto"/>
        <w:ind w:firstLine="1440"/>
        <w:rPr>
          <w:sz w:val="24"/>
          <w:szCs w:val="24"/>
        </w:rPr>
      </w:pPr>
      <w:r>
        <w:rPr>
          <w:sz w:val="24"/>
          <w:szCs w:val="24"/>
        </w:rPr>
        <w:t>On July 31, 2014, the Office of Consumer Advocate filed a Notice of Intervention</w:t>
      </w:r>
      <w:r w:rsidR="00272DE7">
        <w:rPr>
          <w:sz w:val="24"/>
          <w:szCs w:val="24"/>
        </w:rPr>
        <w:t xml:space="preserve"> and an Answer to the Respondent’s Preliminary Objections</w:t>
      </w:r>
      <w:r>
        <w:rPr>
          <w:sz w:val="24"/>
          <w:szCs w:val="24"/>
        </w:rPr>
        <w:t>.</w:t>
      </w:r>
    </w:p>
    <w:p w:rsidR="000539D6" w:rsidRDefault="000539D6" w:rsidP="007965B0">
      <w:pPr>
        <w:tabs>
          <w:tab w:val="left" w:pos="-1440"/>
          <w:tab w:val="left" w:pos="-720"/>
        </w:tabs>
        <w:suppressAutoHyphens/>
        <w:spacing w:line="360" w:lineRule="auto"/>
        <w:ind w:firstLine="1440"/>
        <w:rPr>
          <w:sz w:val="24"/>
          <w:szCs w:val="24"/>
        </w:rPr>
      </w:pPr>
      <w:r>
        <w:rPr>
          <w:sz w:val="24"/>
          <w:szCs w:val="24"/>
        </w:rPr>
        <w:t xml:space="preserve"> </w:t>
      </w:r>
    </w:p>
    <w:p w:rsidR="00223E7E" w:rsidRDefault="00A7050E" w:rsidP="00A7050E">
      <w:pPr>
        <w:spacing w:line="360" w:lineRule="auto"/>
        <w:jc w:val="center"/>
        <w:rPr>
          <w:sz w:val="24"/>
          <w:szCs w:val="24"/>
          <w:u w:val="single"/>
        </w:rPr>
      </w:pPr>
      <w:r w:rsidRPr="00A7050E">
        <w:rPr>
          <w:sz w:val="24"/>
          <w:szCs w:val="24"/>
          <w:u w:val="single"/>
        </w:rPr>
        <w:t>FINDINGS OF FACT</w:t>
      </w:r>
    </w:p>
    <w:p w:rsidR="00272DE7" w:rsidRDefault="00272DE7" w:rsidP="00A7050E">
      <w:pPr>
        <w:spacing w:line="360" w:lineRule="auto"/>
        <w:jc w:val="center"/>
        <w:rPr>
          <w:sz w:val="24"/>
          <w:szCs w:val="24"/>
          <w:u w:val="single"/>
        </w:rPr>
      </w:pPr>
    </w:p>
    <w:p w:rsidR="0077255F" w:rsidRDefault="000539D6" w:rsidP="000539D6">
      <w:pPr>
        <w:pStyle w:val="ListParagraph"/>
        <w:numPr>
          <w:ilvl w:val="0"/>
          <w:numId w:val="26"/>
        </w:numPr>
        <w:spacing w:line="360" w:lineRule="auto"/>
        <w:ind w:left="0" w:firstLine="1440"/>
        <w:rPr>
          <w:sz w:val="24"/>
          <w:szCs w:val="24"/>
        </w:rPr>
      </w:pPr>
      <w:r>
        <w:rPr>
          <w:sz w:val="24"/>
          <w:szCs w:val="24"/>
        </w:rPr>
        <w:t xml:space="preserve">The Complainant in this case is Marion </w:t>
      </w:r>
      <w:proofErr w:type="spellStart"/>
      <w:r>
        <w:rPr>
          <w:sz w:val="24"/>
          <w:szCs w:val="24"/>
        </w:rPr>
        <w:t>Werle</w:t>
      </w:r>
      <w:proofErr w:type="spellEnd"/>
      <w:r>
        <w:rPr>
          <w:sz w:val="24"/>
          <w:szCs w:val="24"/>
        </w:rPr>
        <w:t>.</w:t>
      </w:r>
    </w:p>
    <w:p w:rsidR="00FE7FC0" w:rsidRDefault="00FE7FC0" w:rsidP="00FE7FC0">
      <w:pPr>
        <w:pStyle w:val="ListParagraph"/>
        <w:spacing w:line="360" w:lineRule="auto"/>
        <w:ind w:left="1440"/>
        <w:rPr>
          <w:sz w:val="24"/>
          <w:szCs w:val="24"/>
        </w:rPr>
      </w:pPr>
    </w:p>
    <w:p w:rsidR="000539D6" w:rsidRDefault="000539D6" w:rsidP="000539D6">
      <w:pPr>
        <w:pStyle w:val="ListParagraph"/>
        <w:numPr>
          <w:ilvl w:val="0"/>
          <w:numId w:val="26"/>
        </w:numPr>
        <w:spacing w:line="360" w:lineRule="auto"/>
        <w:ind w:left="0" w:firstLine="1440"/>
        <w:rPr>
          <w:sz w:val="24"/>
          <w:szCs w:val="24"/>
        </w:rPr>
      </w:pPr>
      <w:r>
        <w:rPr>
          <w:sz w:val="24"/>
          <w:szCs w:val="24"/>
        </w:rPr>
        <w:t>The Respondent in this case is Respond Power, LLC.</w:t>
      </w:r>
    </w:p>
    <w:p w:rsidR="00FE7FC0" w:rsidRDefault="00FE7FC0" w:rsidP="00FE7FC0">
      <w:pPr>
        <w:pStyle w:val="ListParagraph"/>
        <w:spacing w:line="360" w:lineRule="auto"/>
        <w:ind w:left="1440"/>
        <w:rPr>
          <w:sz w:val="24"/>
          <w:szCs w:val="24"/>
        </w:rPr>
      </w:pPr>
    </w:p>
    <w:p w:rsidR="000539D6" w:rsidRDefault="000539D6" w:rsidP="000539D6">
      <w:pPr>
        <w:pStyle w:val="ListParagraph"/>
        <w:numPr>
          <w:ilvl w:val="0"/>
          <w:numId w:val="26"/>
        </w:numPr>
        <w:spacing w:line="360" w:lineRule="auto"/>
        <w:ind w:left="0" w:firstLine="1440"/>
        <w:rPr>
          <w:sz w:val="24"/>
          <w:szCs w:val="24"/>
        </w:rPr>
      </w:pPr>
      <w:r>
        <w:rPr>
          <w:sz w:val="24"/>
          <w:szCs w:val="24"/>
        </w:rPr>
        <w:t>On May 13, 2014</w:t>
      </w:r>
      <w:r w:rsidR="002F0A98">
        <w:rPr>
          <w:sz w:val="24"/>
          <w:szCs w:val="24"/>
        </w:rPr>
        <w:t>,</w:t>
      </w:r>
      <w:r>
        <w:rPr>
          <w:sz w:val="24"/>
          <w:szCs w:val="24"/>
        </w:rPr>
        <w:t xml:space="preserve"> the Complainant filed a Formal Complaint with the Commission against the Respondent.</w:t>
      </w:r>
    </w:p>
    <w:p w:rsidR="00FE7FC0" w:rsidRDefault="00FE7FC0" w:rsidP="00FE7FC0">
      <w:pPr>
        <w:pStyle w:val="ListParagraph"/>
        <w:spacing w:line="360" w:lineRule="auto"/>
        <w:ind w:left="1440"/>
        <w:rPr>
          <w:sz w:val="24"/>
          <w:szCs w:val="24"/>
        </w:rPr>
      </w:pPr>
    </w:p>
    <w:p w:rsidR="000539D6" w:rsidRDefault="000539D6" w:rsidP="000539D6">
      <w:pPr>
        <w:pStyle w:val="ListParagraph"/>
        <w:numPr>
          <w:ilvl w:val="0"/>
          <w:numId w:val="26"/>
        </w:numPr>
        <w:spacing w:line="360" w:lineRule="auto"/>
        <w:ind w:left="0" w:firstLine="1440"/>
        <w:rPr>
          <w:sz w:val="24"/>
          <w:szCs w:val="24"/>
        </w:rPr>
      </w:pPr>
      <w:r>
        <w:rPr>
          <w:sz w:val="24"/>
          <w:szCs w:val="24"/>
        </w:rPr>
        <w:t>On July 21, 2014</w:t>
      </w:r>
      <w:r w:rsidR="002F0A98">
        <w:rPr>
          <w:sz w:val="24"/>
          <w:szCs w:val="24"/>
        </w:rPr>
        <w:t>,</w:t>
      </w:r>
      <w:r>
        <w:rPr>
          <w:sz w:val="24"/>
          <w:szCs w:val="24"/>
        </w:rPr>
        <w:t xml:space="preserve"> the Respondent filed an Answer and Preliminary Objections.</w:t>
      </w:r>
    </w:p>
    <w:p w:rsidR="00FE7FC0" w:rsidRDefault="00FE7FC0" w:rsidP="00FE7FC0">
      <w:pPr>
        <w:pStyle w:val="ListParagraph"/>
        <w:spacing w:line="360" w:lineRule="auto"/>
        <w:ind w:left="1440"/>
        <w:rPr>
          <w:sz w:val="24"/>
          <w:szCs w:val="24"/>
        </w:rPr>
      </w:pPr>
    </w:p>
    <w:p w:rsidR="000539D6" w:rsidRDefault="000539D6" w:rsidP="000539D6">
      <w:pPr>
        <w:pStyle w:val="ListParagraph"/>
        <w:numPr>
          <w:ilvl w:val="0"/>
          <w:numId w:val="26"/>
        </w:numPr>
        <w:spacing w:line="360" w:lineRule="auto"/>
        <w:ind w:left="0" w:firstLine="1440"/>
        <w:rPr>
          <w:sz w:val="24"/>
          <w:szCs w:val="24"/>
        </w:rPr>
      </w:pPr>
      <w:r>
        <w:rPr>
          <w:sz w:val="24"/>
          <w:szCs w:val="24"/>
        </w:rPr>
        <w:t>The Complainant did not respond to the Preliminary Objections.</w:t>
      </w:r>
    </w:p>
    <w:p w:rsidR="00FE7FC0" w:rsidRDefault="00FE7FC0" w:rsidP="00FE7FC0">
      <w:pPr>
        <w:pStyle w:val="ListParagraph"/>
        <w:spacing w:line="360" w:lineRule="auto"/>
        <w:ind w:left="1440"/>
        <w:rPr>
          <w:sz w:val="24"/>
          <w:szCs w:val="24"/>
        </w:rPr>
      </w:pPr>
    </w:p>
    <w:p w:rsidR="000539D6" w:rsidRPr="000539D6" w:rsidRDefault="000539D6" w:rsidP="000539D6">
      <w:pPr>
        <w:pStyle w:val="ListParagraph"/>
        <w:numPr>
          <w:ilvl w:val="0"/>
          <w:numId w:val="26"/>
        </w:numPr>
        <w:spacing w:line="360" w:lineRule="auto"/>
        <w:ind w:left="0" w:firstLine="1440"/>
        <w:rPr>
          <w:sz w:val="24"/>
          <w:szCs w:val="24"/>
        </w:rPr>
      </w:pPr>
      <w:r>
        <w:rPr>
          <w:sz w:val="24"/>
          <w:szCs w:val="24"/>
        </w:rPr>
        <w:t>On July 31,</w:t>
      </w:r>
      <w:r w:rsidR="002F0A98">
        <w:rPr>
          <w:sz w:val="24"/>
          <w:szCs w:val="24"/>
        </w:rPr>
        <w:t xml:space="preserve"> 2014,</w:t>
      </w:r>
      <w:r>
        <w:rPr>
          <w:sz w:val="24"/>
          <w:szCs w:val="24"/>
        </w:rPr>
        <w:t xml:space="preserve"> the Office of Consumer Advocat</w:t>
      </w:r>
      <w:r w:rsidR="00272DE7">
        <w:rPr>
          <w:sz w:val="24"/>
          <w:szCs w:val="24"/>
        </w:rPr>
        <w:t>e file</w:t>
      </w:r>
      <w:r w:rsidR="00070722">
        <w:rPr>
          <w:sz w:val="24"/>
          <w:szCs w:val="24"/>
        </w:rPr>
        <w:t>d</w:t>
      </w:r>
      <w:r w:rsidR="00272DE7">
        <w:rPr>
          <w:sz w:val="24"/>
          <w:szCs w:val="24"/>
        </w:rPr>
        <w:t xml:space="preserve"> a Notice of Intervention and Answer to the Respondent’s Preliminary Objections.</w:t>
      </w:r>
    </w:p>
    <w:p w:rsidR="002C486F" w:rsidRPr="002C486F" w:rsidRDefault="002C486F" w:rsidP="002C486F">
      <w:pPr>
        <w:pStyle w:val="ListParagraph"/>
        <w:spacing w:line="360" w:lineRule="auto"/>
        <w:ind w:left="1440"/>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FE7FC0" w:rsidRPr="00905953" w:rsidRDefault="00FE7FC0" w:rsidP="00DE2348">
      <w:pPr>
        <w:spacing w:line="360" w:lineRule="auto"/>
        <w:jc w:val="center"/>
        <w:rPr>
          <w:sz w:val="24"/>
          <w:szCs w:val="24"/>
        </w:rPr>
      </w:pPr>
    </w:p>
    <w:p w:rsidR="00A470ED" w:rsidRDefault="00905953" w:rsidP="00905953">
      <w:pPr>
        <w:spacing w:line="360" w:lineRule="auto"/>
        <w:ind w:firstLine="1440"/>
        <w:rPr>
          <w:sz w:val="24"/>
          <w:szCs w:val="24"/>
        </w:rPr>
      </w:pPr>
      <w:r w:rsidRPr="00905953">
        <w:rPr>
          <w:sz w:val="24"/>
          <w:szCs w:val="24"/>
        </w:rPr>
        <w:t>The Commission’s Rules of Practice and Procedure permit parties to file preliminary objections.  The grounds for preliminary objections are limited to those</w:t>
      </w:r>
      <w:r>
        <w:rPr>
          <w:sz w:val="24"/>
          <w:szCs w:val="24"/>
        </w:rPr>
        <w:t xml:space="preserve"> set forth in 52 Pa.Code § 5.101(a) and are as follows:</w:t>
      </w:r>
    </w:p>
    <w:p w:rsidR="002663A9" w:rsidRDefault="002663A9" w:rsidP="002663A9">
      <w:pPr>
        <w:ind w:firstLine="1440"/>
        <w:rPr>
          <w:sz w:val="24"/>
          <w:szCs w:val="24"/>
        </w:rPr>
      </w:pPr>
    </w:p>
    <w:p w:rsidR="00905953" w:rsidRDefault="00905953" w:rsidP="002663A9">
      <w:pPr>
        <w:pStyle w:val="ListParagraph"/>
        <w:numPr>
          <w:ilvl w:val="0"/>
          <w:numId w:val="27"/>
        </w:numPr>
        <w:ind w:left="1440" w:right="720" w:firstLine="0"/>
        <w:rPr>
          <w:sz w:val="24"/>
          <w:szCs w:val="24"/>
        </w:rPr>
      </w:pPr>
      <w:r>
        <w:rPr>
          <w:sz w:val="24"/>
          <w:szCs w:val="24"/>
        </w:rPr>
        <w:t xml:space="preserve">Lack of Commission jurisdiction or improper service of the </w:t>
      </w:r>
      <w:r w:rsidR="002663A9">
        <w:rPr>
          <w:sz w:val="24"/>
          <w:szCs w:val="24"/>
        </w:rPr>
        <w:tab/>
      </w:r>
      <w:r>
        <w:rPr>
          <w:sz w:val="24"/>
          <w:szCs w:val="24"/>
        </w:rPr>
        <w:t>pleading initiating the proceeding.</w:t>
      </w:r>
    </w:p>
    <w:p w:rsidR="00905953" w:rsidRDefault="00905953" w:rsidP="002663A9">
      <w:pPr>
        <w:pStyle w:val="ListParagraph"/>
        <w:numPr>
          <w:ilvl w:val="0"/>
          <w:numId w:val="27"/>
        </w:numPr>
        <w:ind w:left="1440" w:right="720" w:firstLine="0"/>
        <w:rPr>
          <w:sz w:val="24"/>
          <w:szCs w:val="24"/>
        </w:rPr>
      </w:pPr>
      <w:r>
        <w:rPr>
          <w:sz w:val="24"/>
          <w:szCs w:val="24"/>
        </w:rPr>
        <w:t xml:space="preserve">Failure of a pleading to conform to this chapter or the inclusion of </w:t>
      </w:r>
      <w:r w:rsidR="002663A9">
        <w:rPr>
          <w:sz w:val="24"/>
          <w:szCs w:val="24"/>
        </w:rPr>
        <w:tab/>
      </w:r>
      <w:r>
        <w:rPr>
          <w:sz w:val="24"/>
          <w:szCs w:val="24"/>
        </w:rPr>
        <w:t>scandalous or impertinent matter.</w:t>
      </w:r>
    </w:p>
    <w:p w:rsidR="002663A9" w:rsidRDefault="002663A9" w:rsidP="002663A9">
      <w:pPr>
        <w:pStyle w:val="ListParagraph"/>
        <w:ind w:left="1440" w:right="720"/>
        <w:rPr>
          <w:sz w:val="24"/>
          <w:szCs w:val="24"/>
        </w:rPr>
      </w:pPr>
    </w:p>
    <w:p w:rsidR="00905953" w:rsidRDefault="00905953" w:rsidP="002663A9">
      <w:pPr>
        <w:pStyle w:val="ListParagraph"/>
        <w:numPr>
          <w:ilvl w:val="0"/>
          <w:numId w:val="27"/>
        </w:numPr>
        <w:ind w:left="1440" w:right="720" w:firstLine="0"/>
        <w:rPr>
          <w:sz w:val="24"/>
          <w:szCs w:val="24"/>
        </w:rPr>
      </w:pPr>
      <w:r>
        <w:rPr>
          <w:sz w:val="24"/>
          <w:szCs w:val="24"/>
        </w:rPr>
        <w:t>Insufficient specificity of a pleading.</w:t>
      </w:r>
    </w:p>
    <w:p w:rsidR="002663A9" w:rsidRDefault="002663A9" w:rsidP="002663A9">
      <w:pPr>
        <w:pStyle w:val="ListParagraph"/>
        <w:ind w:left="1440" w:right="720"/>
        <w:rPr>
          <w:sz w:val="24"/>
          <w:szCs w:val="24"/>
        </w:rPr>
      </w:pPr>
    </w:p>
    <w:p w:rsidR="00905953" w:rsidRDefault="00905953" w:rsidP="002663A9">
      <w:pPr>
        <w:pStyle w:val="ListParagraph"/>
        <w:numPr>
          <w:ilvl w:val="0"/>
          <w:numId w:val="27"/>
        </w:numPr>
        <w:ind w:left="1440" w:right="720" w:firstLine="0"/>
        <w:rPr>
          <w:sz w:val="24"/>
          <w:szCs w:val="24"/>
        </w:rPr>
      </w:pPr>
      <w:r>
        <w:rPr>
          <w:sz w:val="24"/>
          <w:szCs w:val="24"/>
        </w:rPr>
        <w:t>Legal insufficiency of a pleading.</w:t>
      </w:r>
    </w:p>
    <w:p w:rsidR="002663A9" w:rsidRDefault="002663A9" w:rsidP="002663A9">
      <w:pPr>
        <w:pStyle w:val="ListParagraph"/>
        <w:ind w:left="1440" w:right="720"/>
        <w:rPr>
          <w:sz w:val="24"/>
          <w:szCs w:val="24"/>
        </w:rPr>
      </w:pPr>
    </w:p>
    <w:p w:rsidR="00905953" w:rsidRDefault="00905953" w:rsidP="002663A9">
      <w:pPr>
        <w:pStyle w:val="ListParagraph"/>
        <w:numPr>
          <w:ilvl w:val="0"/>
          <w:numId w:val="27"/>
        </w:numPr>
        <w:ind w:left="1440" w:right="720" w:firstLine="0"/>
        <w:rPr>
          <w:sz w:val="24"/>
          <w:szCs w:val="24"/>
        </w:rPr>
      </w:pPr>
      <w:r>
        <w:rPr>
          <w:sz w:val="24"/>
          <w:szCs w:val="24"/>
        </w:rPr>
        <w:t xml:space="preserve">Lack of capacity to sue, </w:t>
      </w:r>
      <w:proofErr w:type="spellStart"/>
      <w:r>
        <w:rPr>
          <w:sz w:val="24"/>
          <w:szCs w:val="24"/>
        </w:rPr>
        <w:t>nonjoinder</w:t>
      </w:r>
      <w:proofErr w:type="spellEnd"/>
      <w:r>
        <w:rPr>
          <w:sz w:val="24"/>
          <w:szCs w:val="24"/>
        </w:rPr>
        <w:t xml:space="preserve"> of a necessary party or </w:t>
      </w:r>
      <w:r w:rsidR="002663A9">
        <w:rPr>
          <w:sz w:val="24"/>
          <w:szCs w:val="24"/>
        </w:rPr>
        <w:tab/>
      </w:r>
      <w:r>
        <w:rPr>
          <w:sz w:val="24"/>
          <w:szCs w:val="24"/>
        </w:rPr>
        <w:t>misjoinder of a cause of action.</w:t>
      </w:r>
    </w:p>
    <w:p w:rsidR="002663A9" w:rsidRDefault="002663A9" w:rsidP="002663A9">
      <w:pPr>
        <w:pStyle w:val="ListParagraph"/>
        <w:ind w:left="1440" w:right="720"/>
        <w:rPr>
          <w:sz w:val="24"/>
          <w:szCs w:val="24"/>
        </w:rPr>
      </w:pPr>
    </w:p>
    <w:p w:rsidR="00905953" w:rsidRDefault="00905953" w:rsidP="002663A9">
      <w:pPr>
        <w:pStyle w:val="ListParagraph"/>
        <w:numPr>
          <w:ilvl w:val="0"/>
          <w:numId w:val="27"/>
        </w:numPr>
        <w:ind w:left="1440" w:right="720" w:firstLine="0"/>
        <w:rPr>
          <w:sz w:val="24"/>
          <w:szCs w:val="24"/>
        </w:rPr>
      </w:pPr>
      <w:r>
        <w:rPr>
          <w:sz w:val="24"/>
          <w:szCs w:val="24"/>
        </w:rPr>
        <w:t xml:space="preserve">Pendency of a prior proceeding or agreement for alternative </w:t>
      </w:r>
      <w:r w:rsidR="002663A9">
        <w:rPr>
          <w:sz w:val="24"/>
          <w:szCs w:val="24"/>
        </w:rPr>
        <w:tab/>
      </w:r>
      <w:r>
        <w:rPr>
          <w:sz w:val="24"/>
          <w:szCs w:val="24"/>
        </w:rPr>
        <w:t>dispute resolution.</w:t>
      </w:r>
    </w:p>
    <w:p w:rsidR="002663A9" w:rsidRDefault="002663A9" w:rsidP="002663A9">
      <w:pPr>
        <w:pStyle w:val="ListParagraph"/>
        <w:ind w:left="1440" w:right="720"/>
        <w:rPr>
          <w:sz w:val="24"/>
          <w:szCs w:val="24"/>
        </w:rPr>
      </w:pPr>
    </w:p>
    <w:p w:rsidR="00905953" w:rsidRDefault="00905953" w:rsidP="002663A9">
      <w:pPr>
        <w:pStyle w:val="ListParagraph"/>
        <w:numPr>
          <w:ilvl w:val="0"/>
          <w:numId w:val="27"/>
        </w:numPr>
        <w:ind w:left="1440" w:right="720" w:firstLine="0"/>
        <w:rPr>
          <w:sz w:val="24"/>
          <w:szCs w:val="24"/>
        </w:rPr>
      </w:pPr>
      <w:r>
        <w:rPr>
          <w:sz w:val="24"/>
          <w:szCs w:val="24"/>
        </w:rPr>
        <w:t>Standing of a party to participate in the proceeding.</w:t>
      </w:r>
    </w:p>
    <w:p w:rsidR="00B348DC" w:rsidRDefault="00B348DC" w:rsidP="00B348DC">
      <w:pPr>
        <w:pStyle w:val="ListParagraph"/>
        <w:ind w:left="1440" w:right="720"/>
        <w:rPr>
          <w:sz w:val="24"/>
          <w:szCs w:val="24"/>
        </w:rPr>
      </w:pPr>
    </w:p>
    <w:p w:rsidR="00A44D7C" w:rsidRDefault="00A44D7C" w:rsidP="002663A9">
      <w:pPr>
        <w:pStyle w:val="ListParagraph"/>
        <w:spacing w:line="360" w:lineRule="auto"/>
        <w:ind w:left="0" w:right="720" w:firstLine="1440"/>
        <w:rPr>
          <w:sz w:val="24"/>
          <w:szCs w:val="24"/>
        </w:rPr>
      </w:pPr>
    </w:p>
    <w:p w:rsidR="00905953" w:rsidRDefault="00A44D7C" w:rsidP="00A44D7C">
      <w:pPr>
        <w:pStyle w:val="ListParagraph"/>
        <w:spacing w:line="360" w:lineRule="auto"/>
        <w:ind w:left="0" w:firstLine="1440"/>
        <w:rPr>
          <w:sz w:val="24"/>
          <w:szCs w:val="24"/>
        </w:rPr>
      </w:pPr>
      <w:r>
        <w:rPr>
          <w:sz w:val="24"/>
          <w:szCs w:val="24"/>
        </w:rPr>
        <w:t>Here, the Respondent’s Preliminary Objections assert that the Commission lacks jurisdiction over the Formal Complaint pursuant to 52 Pa.Code § 5.101(a</w:t>
      </w:r>
      <w:proofErr w:type="gramStart"/>
      <w:r>
        <w:rPr>
          <w:sz w:val="24"/>
          <w:szCs w:val="24"/>
        </w:rPr>
        <w:t>)(</w:t>
      </w:r>
      <w:proofErr w:type="gramEnd"/>
      <w:r>
        <w:rPr>
          <w:sz w:val="24"/>
          <w:szCs w:val="24"/>
        </w:rPr>
        <w:t>1) and that the Formal Complaint is legally insufficient pursuant to 52 Pa.Code § 5.101(a)(4).</w:t>
      </w:r>
      <w:r w:rsidR="006754EC">
        <w:rPr>
          <w:sz w:val="24"/>
          <w:szCs w:val="24"/>
        </w:rPr>
        <w:t xml:space="preserve">  I will address each assertion in turn.</w:t>
      </w:r>
    </w:p>
    <w:p w:rsidR="006754EC" w:rsidRDefault="006754EC" w:rsidP="00A44D7C">
      <w:pPr>
        <w:pStyle w:val="ListParagraph"/>
        <w:spacing w:line="360" w:lineRule="auto"/>
        <w:ind w:left="0" w:firstLine="1440"/>
        <w:rPr>
          <w:sz w:val="24"/>
          <w:szCs w:val="24"/>
        </w:rPr>
      </w:pPr>
    </w:p>
    <w:p w:rsidR="006754EC" w:rsidRDefault="006754EC" w:rsidP="00A44D7C">
      <w:pPr>
        <w:pStyle w:val="ListParagraph"/>
        <w:spacing w:line="360" w:lineRule="auto"/>
        <w:ind w:left="0" w:firstLine="1440"/>
        <w:rPr>
          <w:sz w:val="24"/>
          <w:szCs w:val="24"/>
        </w:rPr>
      </w:pPr>
      <w:r>
        <w:rPr>
          <w:sz w:val="24"/>
          <w:szCs w:val="24"/>
        </w:rPr>
        <w:t xml:space="preserve">The Commission, as a creation of the General Assembly, has only the powers and authority granted to it and contained in the Public Utility Code.  </w:t>
      </w:r>
      <w:proofErr w:type="spellStart"/>
      <w:proofErr w:type="gramStart"/>
      <w:r>
        <w:rPr>
          <w:sz w:val="24"/>
          <w:szCs w:val="24"/>
          <w:u w:val="single"/>
        </w:rPr>
        <w:t>Tod</w:t>
      </w:r>
      <w:proofErr w:type="spellEnd"/>
      <w:r>
        <w:rPr>
          <w:sz w:val="24"/>
          <w:szCs w:val="24"/>
          <w:u w:val="single"/>
        </w:rPr>
        <w:t xml:space="preserve"> and Lisa </w:t>
      </w:r>
      <w:proofErr w:type="spellStart"/>
      <w:r>
        <w:rPr>
          <w:sz w:val="24"/>
          <w:szCs w:val="24"/>
          <w:u w:val="single"/>
        </w:rPr>
        <w:t>Shedlosky</w:t>
      </w:r>
      <w:proofErr w:type="spellEnd"/>
      <w:r>
        <w:rPr>
          <w:sz w:val="24"/>
          <w:szCs w:val="24"/>
          <w:u w:val="single"/>
        </w:rPr>
        <w:t xml:space="preserve"> v</w:t>
      </w:r>
      <w:r w:rsidR="00776A7F">
        <w:rPr>
          <w:sz w:val="24"/>
          <w:szCs w:val="24"/>
          <w:u w:val="single"/>
        </w:rPr>
        <w:t>.</w:t>
      </w:r>
      <w:r>
        <w:rPr>
          <w:sz w:val="24"/>
          <w:szCs w:val="24"/>
          <w:u w:val="single"/>
        </w:rPr>
        <w:t xml:space="preserve"> Pennsylvania Electric Co.</w:t>
      </w:r>
      <w:r w:rsidRPr="006754EC">
        <w:rPr>
          <w:sz w:val="24"/>
          <w:szCs w:val="24"/>
        </w:rPr>
        <w:t xml:space="preserve"> Docket No.</w:t>
      </w:r>
      <w:proofErr w:type="gramEnd"/>
      <w:r w:rsidRPr="006754EC">
        <w:rPr>
          <w:sz w:val="24"/>
          <w:szCs w:val="24"/>
        </w:rPr>
        <w:t xml:space="preserve"> C-20</w:t>
      </w:r>
      <w:r w:rsidR="005F5E00">
        <w:rPr>
          <w:sz w:val="24"/>
          <w:szCs w:val="24"/>
        </w:rPr>
        <w:t>0</w:t>
      </w:r>
      <w:r w:rsidRPr="006754EC">
        <w:rPr>
          <w:sz w:val="24"/>
          <w:szCs w:val="24"/>
        </w:rPr>
        <w:t xml:space="preserve">66937 (Order entered May 28, 2008); </w:t>
      </w:r>
      <w:r>
        <w:rPr>
          <w:sz w:val="24"/>
          <w:szCs w:val="24"/>
          <w:u w:val="single"/>
        </w:rPr>
        <w:t>Feingold v. Bell Tel. Co. of Pa.</w:t>
      </w:r>
      <w:r w:rsidRPr="004126B5">
        <w:rPr>
          <w:sz w:val="24"/>
          <w:szCs w:val="24"/>
        </w:rPr>
        <w:t xml:space="preserve">, </w:t>
      </w:r>
      <w:r>
        <w:rPr>
          <w:sz w:val="24"/>
          <w:szCs w:val="24"/>
        </w:rPr>
        <w:t>383 A. 2d 791 (Pa. 1977)</w:t>
      </w:r>
      <w:r w:rsidR="004126B5">
        <w:rPr>
          <w:sz w:val="24"/>
          <w:szCs w:val="24"/>
        </w:rPr>
        <w:t xml:space="preserve">.  The Commission must act within, and cannot exceed, its jurisdiction.  </w:t>
      </w:r>
      <w:proofErr w:type="gramStart"/>
      <w:r w:rsidR="004126B5">
        <w:rPr>
          <w:sz w:val="24"/>
          <w:szCs w:val="24"/>
          <w:u w:val="single"/>
        </w:rPr>
        <w:t>City of Pittsburgh v. Pa. Pub.</w:t>
      </w:r>
      <w:proofErr w:type="gramEnd"/>
      <w:r w:rsidR="004126B5">
        <w:rPr>
          <w:sz w:val="24"/>
          <w:szCs w:val="24"/>
          <w:u w:val="single"/>
        </w:rPr>
        <w:t xml:space="preserve"> </w:t>
      </w:r>
      <w:proofErr w:type="gramStart"/>
      <w:r w:rsidR="004126B5">
        <w:rPr>
          <w:sz w:val="24"/>
          <w:szCs w:val="24"/>
          <w:u w:val="single"/>
        </w:rPr>
        <w:t>Util. Comm’n</w:t>
      </w:r>
      <w:r w:rsidR="004126B5">
        <w:rPr>
          <w:sz w:val="24"/>
          <w:szCs w:val="24"/>
        </w:rPr>
        <w:t>, 43 A. 2d 348 (Pa. Super. 1945).</w:t>
      </w:r>
      <w:proofErr w:type="gramEnd"/>
      <w:r w:rsidR="004126B5">
        <w:rPr>
          <w:sz w:val="24"/>
          <w:szCs w:val="24"/>
        </w:rPr>
        <w:t xml:space="preserve">  Jurisdiction may not be conferred by the parties where none exists.  </w:t>
      </w:r>
      <w:proofErr w:type="gramStart"/>
      <w:r w:rsidR="004126B5" w:rsidRPr="004126B5">
        <w:rPr>
          <w:sz w:val="24"/>
          <w:szCs w:val="24"/>
          <w:u w:val="single"/>
        </w:rPr>
        <w:t xml:space="preserve">Roberts v. </w:t>
      </w:r>
      <w:proofErr w:type="spellStart"/>
      <w:r w:rsidR="004126B5" w:rsidRPr="004126B5">
        <w:rPr>
          <w:sz w:val="24"/>
          <w:szCs w:val="24"/>
          <w:u w:val="single"/>
        </w:rPr>
        <w:t>Martano</w:t>
      </w:r>
      <w:proofErr w:type="spellEnd"/>
      <w:r w:rsidR="004126B5" w:rsidRPr="004126B5">
        <w:rPr>
          <w:sz w:val="24"/>
          <w:szCs w:val="24"/>
          <w:u w:val="single"/>
        </w:rPr>
        <w:t xml:space="preserve">, </w:t>
      </w:r>
      <w:r w:rsidR="004126B5" w:rsidRPr="004126B5">
        <w:rPr>
          <w:sz w:val="24"/>
          <w:szCs w:val="24"/>
        </w:rPr>
        <w:t>235 A. 2d 602</w:t>
      </w:r>
      <w:r w:rsidR="004126B5">
        <w:rPr>
          <w:sz w:val="24"/>
          <w:szCs w:val="24"/>
        </w:rPr>
        <w:t xml:space="preserve"> (Pa. 1967).</w:t>
      </w:r>
      <w:proofErr w:type="gramEnd"/>
      <w:r w:rsidR="004126B5">
        <w:rPr>
          <w:sz w:val="24"/>
          <w:szCs w:val="24"/>
        </w:rPr>
        <w:t xml:space="preserve">  Subject matter jurisdiction is a prerequisite to the exercise of power to decide a controversy.  </w:t>
      </w:r>
      <w:proofErr w:type="gramStart"/>
      <w:r w:rsidR="004126B5" w:rsidRPr="004126B5">
        <w:rPr>
          <w:sz w:val="24"/>
          <w:szCs w:val="24"/>
          <w:u w:val="single"/>
        </w:rPr>
        <w:t>Hughes v</w:t>
      </w:r>
      <w:r w:rsidR="005F5E00">
        <w:rPr>
          <w:sz w:val="24"/>
          <w:szCs w:val="24"/>
          <w:u w:val="single"/>
        </w:rPr>
        <w:t>.</w:t>
      </w:r>
      <w:r w:rsidR="004126B5" w:rsidRPr="004126B5">
        <w:rPr>
          <w:sz w:val="24"/>
          <w:szCs w:val="24"/>
          <w:u w:val="single"/>
        </w:rPr>
        <w:t xml:space="preserve"> Pennsylvania State Police</w:t>
      </w:r>
      <w:r w:rsidR="004126B5">
        <w:rPr>
          <w:sz w:val="24"/>
          <w:szCs w:val="24"/>
        </w:rPr>
        <w:t>, 619 A. 2d 390 (</w:t>
      </w:r>
      <w:proofErr w:type="spellStart"/>
      <w:r w:rsidR="004126B5">
        <w:rPr>
          <w:sz w:val="24"/>
          <w:szCs w:val="24"/>
        </w:rPr>
        <w:t>Pa.Cmwlth</w:t>
      </w:r>
      <w:proofErr w:type="spellEnd"/>
      <w:r w:rsidR="004126B5">
        <w:rPr>
          <w:sz w:val="24"/>
          <w:szCs w:val="24"/>
        </w:rPr>
        <w:t xml:space="preserve">. 1992), </w:t>
      </w:r>
      <w:r w:rsidR="004126B5" w:rsidRPr="004126B5">
        <w:rPr>
          <w:sz w:val="24"/>
          <w:szCs w:val="24"/>
          <w:u w:val="single"/>
        </w:rPr>
        <w:t>alloc.</w:t>
      </w:r>
      <w:proofErr w:type="gramEnd"/>
      <w:r w:rsidR="004126B5" w:rsidRPr="004126B5">
        <w:rPr>
          <w:sz w:val="24"/>
          <w:szCs w:val="24"/>
          <w:u w:val="single"/>
        </w:rPr>
        <w:t xml:space="preserve"> </w:t>
      </w:r>
      <w:proofErr w:type="gramStart"/>
      <w:r w:rsidR="004126B5" w:rsidRPr="004126B5">
        <w:rPr>
          <w:sz w:val="24"/>
          <w:szCs w:val="24"/>
          <w:u w:val="single"/>
        </w:rPr>
        <w:t>denied</w:t>
      </w:r>
      <w:proofErr w:type="gramEnd"/>
      <w:r w:rsidR="004126B5">
        <w:rPr>
          <w:sz w:val="24"/>
          <w:szCs w:val="24"/>
        </w:rPr>
        <w:t>, 637 A. 2d 293 (Pa. 1993).</w:t>
      </w:r>
    </w:p>
    <w:p w:rsidR="004126B5" w:rsidRDefault="004126B5" w:rsidP="00A44D7C">
      <w:pPr>
        <w:pStyle w:val="ListParagraph"/>
        <w:spacing w:line="360" w:lineRule="auto"/>
        <w:ind w:left="0" w:firstLine="1440"/>
        <w:rPr>
          <w:sz w:val="24"/>
          <w:szCs w:val="24"/>
        </w:rPr>
      </w:pPr>
    </w:p>
    <w:p w:rsidR="004126B5" w:rsidRDefault="004126B5" w:rsidP="00A44D7C">
      <w:pPr>
        <w:pStyle w:val="ListParagraph"/>
        <w:spacing w:line="360" w:lineRule="auto"/>
        <w:ind w:left="0" w:firstLine="1440"/>
        <w:rPr>
          <w:sz w:val="24"/>
          <w:szCs w:val="24"/>
        </w:rPr>
      </w:pPr>
      <w:r>
        <w:rPr>
          <w:sz w:val="24"/>
          <w:szCs w:val="24"/>
        </w:rPr>
        <w:t>The Respondent, as a</w:t>
      </w:r>
      <w:r w:rsidR="00111D9D">
        <w:rPr>
          <w:sz w:val="24"/>
          <w:szCs w:val="24"/>
        </w:rPr>
        <w:t>n</w:t>
      </w:r>
      <w:r>
        <w:rPr>
          <w:sz w:val="24"/>
          <w:szCs w:val="24"/>
        </w:rPr>
        <w:t xml:space="preserve"> EGS, is not a public utility subject to Commission regulation, except in limited circumstances.  </w:t>
      </w:r>
      <w:proofErr w:type="gramStart"/>
      <w:r w:rsidRPr="004126B5">
        <w:rPr>
          <w:sz w:val="24"/>
          <w:szCs w:val="24"/>
          <w:u w:val="single"/>
        </w:rPr>
        <w:t>Delmarva Power &amp; Light Co. v. Pa. Pub.</w:t>
      </w:r>
      <w:proofErr w:type="gramEnd"/>
      <w:r w:rsidRPr="004126B5">
        <w:rPr>
          <w:sz w:val="24"/>
          <w:szCs w:val="24"/>
          <w:u w:val="single"/>
        </w:rPr>
        <w:t xml:space="preserve"> </w:t>
      </w:r>
      <w:proofErr w:type="gramStart"/>
      <w:r w:rsidRPr="004126B5">
        <w:rPr>
          <w:sz w:val="24"/>
          <w:szCs w:val="24"/>
          <w:u w:val="single"/>
        </w:rPr>
        <w:t>Util. Comm’n</w:t>
      </w:r>
      <w:r w:rsidR="00111D9D">
        <w:rPr>
          <w:sz w:val="24"/>
          <w:szCs w:val="24"/>
        </w:rPr>
        <w:t xml:space="preserve"> 870 A. 2d 901 (P</w:t>
      </w:r>
      <w:r>
        <w:rPr>
          <w:sz w:val="24"/>
          <w:szCs w:val="24"/>
        </w:rPr>
        <w:t>a. 2005)</w:t>
      </w:r>
      <w:r w:rsidR="00111D9D">
        <w:rPr>
          <w:sz w:val="24"/>
          <w:szCs w:val="24"/>
        </w:rPr>
        <w:t>.</w:t>
      </w:r>
      <w:proofErr w:type="gramEnd"/>
      <w:r w:rsidR="00111D9D">
        <w:rPr>
          <w:sz w:val="24"/>
          <w:szCs w:val="24"/>
        </w:rPr>
        <w:t xml:space="preserve">  </w:t>
      </w:r>
      <w:proofErr w:type="gramStart"/>
      <w:r w:rsidR="00111D9D">
        <w:rPr>
          <w:sz w:val="24"/>
          <w:szCs w:val="24"/>
        </w:rPr>
        <w:t>(</w:t>
      </w:r>
      <w:r w:rsidR="00111D9D" w:rsidRPr="00111D9D">
        <w:rPr>
          <w:sz w:val="24"/>
          <w:szCs w:val="24"/>
          <w:u w:val="single"/>
        </w:rPr>
        <w:t>Delmarva</w:t>
      </w:r>
      <w:r w:rsidR="00111D9D">
        <w:rPr>
          <w:sz w:val="24"/>
          <w:szCs w:val="24"/>
        </w:rPr>
        <w:t>).</w:t>
      </w:r>
      <w:proofErr w:type="gramEnd"/>
      <w:r w:rsidR="00111D9D">
        <w:rPr>
          <w:sz w:val="24"/>
          <w:szCs w:val="24"/>
        </w:rPr>
        <w:t xml:space="preserve">  In </w:t>
      </w:r>
      <w:r w:rsidR="00111D9D" w:rsidRPr="00111D9D">
        <w:rPr>
          <w:sz w:val="24"/>
          <w:szCs w:val="24"/>
          <w:u w:val="single"/>
        </w:rPr>
        <w:t>Delmarva</w:t>
      </w:r>
      <w:r w:rsidR="00111D9D">
        <w:rPr>
          <w:sz w:val="24"/>
          <w:szCs w:val="24"/>
        </w:rPr>
        <w:t xml:space="preserve">, the Pennsylvania Supreme Court held that the definition of “public utility” at 66 Pa.C.S. § 102 </w:t>
      </w:r>
      <w:proofErr w:type="gramStart"/>
      <w:r w:rsidR="00111D9D">
        <w:rPr>
          <w:sz w:val="24"/>
          <w:szCs w:val="24"/>
        </w:rPr>
        <w:t>does</w:t>
      </w:r>
      <w:proofErr w:type="gramEnd"/>
      <w:r w:rsidR="00111D9D">
        <w:rPr>
          <w:sz w:val="24"/>
          <w:szCs w:val="24"/>
        </w:rPr>
        <w:t xml:space="preserve"> not include EGSs except for the limited purposes set forth in 66 Pa.C.S. § 2809, regarding licensing requirements and 66</w:t>
      </w:r>
      <w:r w:rsidR="00A37985">
        <w:rPr>
          <w:sz w:val="24"/>
          <w:szCs w:val="24"/>
        </w:rPr>
        <w:t> </w:t>
      </w:r>
      <w:r w:rsidR="00111D9D">
        <w:rPr>
          <w:sz w:val="24"/>
          <w:szCs w:val="24"/>
        </w:rPr>
        <w:t>Pa.C.S. § 2810, regarding revenue neutral reconciliation.  The Pennsylvania Supreme Court noted that the Commission could forbear from regulating EGSs pursuant to 66 Pa.C.S. § 2809(e), if it determined that the requirements of 66 Pa.C.S. § 2809 were unnecessary due to the competition among the EGSs.</w:t>
      </w:r>
    </w:p>
    <w:p w:rsidR="00111D9D" w:rsidRDefault="00111D9D" w:rsidP="00A44D7C">
      <w:pPr>
        <w:pStyle w:val="ListParagraph"/>
        <w:spacing w:line="360" w:lineRule="auto"/>
        <w:ind w:left="0" w:firstLine="1440"/>
        <w:rPr>
          <w:sz w:val="24"/>
          <w:szCs w:val="24"/>
        </w:rPr>
      </w:pPr>
    </w:p>
    <w:p w:rsidR="00111D9D" w:rsidRDefault="00111D9D" w:rsidP="00A44D7C">
      <w:pPr>
        <w:pStyle w:val="ListParagraph"/>
        <w:spacing w:line="360" w:lineRule="auto"/>
        <w:ind w:left="0" w:firstLine="1440"/>
        <w:rPr>
          <w:sz w:val="24"/>
          <w:szCs w:val="24"/>
        </w:rPr>
      </w:pPr>
      <w:r>
        <w:rPr>
          <w:sz w:val="24"/>
          <w:szCs w:val="24"/>
        </w:rPr>
        <w:t xml:space="preserve">Commission preliminary objection practice is analogous to Pennsylvania civil practice regarding preliminary objections.  </w:t>
      </w:r>
      <w:r w:rsidRPr="00111D9D">
        <w:rPr>
          <w:sz w:val="24"/>
          <w:szCs w:val="24"/>
          <w:u w:val="single"/>
        </w:rPr>
        <w:t>Equitable Small Transportation Intervenors v. Equitable Gas Company</w:t>
      </w:r>
      <w:r>
        <w:rPr>
          <w:sz w:val="24"/>
          <w:szCs w:val="24"/>
        </w:rPr>
        <w:t xml:space="preserve">, </w:t>
      </w:r>
      <w:r w:rsidR="00422C1A">
        <w:rPr>
          <w:sz w:val="24"/>
          <w:szCs w:val="24"/>
        </w:rPr>
        <w:t>1</w:t>
      </w:r>
      <w:r>
        <w:rPr>
          <w:sz w:val="24"/>
          <w:szCs w:val="24"/>
        </w:rPr>
        <w:t>994 Pa. PUC</w:t>
      </w:r>
      <w:r w:rsidR="009C1CA4">
        <w:rPr>
          <w:sz w:val="24"/>
          <w:szCs w:val="24"/>
        </w:rPr>
        <w:t xml:space="preserve"> LEXIS 69, Docket No. </w:t>
      </w:r>
      <w:proofErr w:type="gramStart"/>
      <w:r w:rsidR="009C1CA4">
        <w:rPr>
          <w:sz w:val="24"/>
          <w:szCs w:val="24"/>
        </w:rPr>
        <w:t>C-00935435 (Order entered July</w:t>
      </w:r>
      <w:r w:rsidR="009329BB">
        <w:rPr>
          <w:sz w:val="24"/>
          <w:szCs w:val="24"/>
        </w:rPr>
        <w:t> </w:t>
      </w:r>
      <w:r w:rsidR="009C1CA4">
        <w:rPr>
          <w:sz w:val="24"/>
          <w:szCs w:val="24"/>
        </w:rPr>
        <w:t>18, 1994).</w:t>
      </w:r>
      <w:proofErr w:type="gramEnd"/>
      <w:r w:rsidR="009C1CA4">
        <w:rPr>
          <w:sz w:val="24"/>
          <w:szCs w:val="24"/>
        </w:rPr>
        <w:t xml:space="preserve">  Preliminary Objections in civil practice requesting dismissal of a pleading will be granted only where the right to relief is clearly warranted and free from doubt.  </w:t>
      </w:r>
      <w:proofErr w:type="gramStart"/>
      <w:r w:rsidR="009C1CA4" w:rsidRPr="009C1CA4">
        <w:rPr>
          <w:sz w:val="24"/>
          <w:szCs w:val="24"/>
          <w:u w:val="single"/>
        </w:rPr>
        <w:t xml:space="preserve">Interstate </w:t>
      </w:r>
      <w:proofErr w:type="spellStart"/>
      <w:r w:rsidR="009C1CA4" w:rsidRPr="009C1CA4">
        <w:rPr>
          <w:sz w:val="24"/>
          <w:szCs w:val="24"/>
          <w:u w:val="single"/>
        </w:rPr>
        <w:t>Travel</w:t>
      </w:r>
      <w:r w:rsidR="009C1CA4">
        <w:rPr>
          <w:sz w:val="24"/>
          <w:szCs w:val="24"/>
          <w:u w:val="single"/>
        </w:rPr>
        <w:t>l</w:t>
      </w:r>
      <w:r w:rsidR="009C1CA4" w:rsidRPr="009C1CA4">
        <w:rPr>
          <w:sz w:val="24"/>
          <w:szCs w:val="24"/>
          <w:u w:val="single"/>
        </w:rPr>
        <w:t>er</w:t>
      </w:r>
      <w:proofErr w:type="spellEnd"/>
      <w:r w:rsidR="009C1CA4" w:rsidRPr="009C1CA4">
        <w:rPr>
          <w:sz w:val="24"/>
          <w:szCs w:val="24"/>
          <w:u w:val="single"/>
        </w:rPr>
        <w:t xml:space="preserve"> Service, Inc. v. Pa. Dept. of Environment</w:t>
      </w:r>
      <w:r w:rsidR="00756050">
        <w:rPr>
          <w:sz w:val="24"/>
          <w:szCs w:val="24"/>
          <w:u w:val="single"/>
        </w:rPr>
        <w:t>al</w:t>
      </w:r>
      <w:r w:rsidR="009C1CA4" w:rsidRPr="009C1CA4">
        <w:rPr>
          <w:sz w:val="24"/>
          <w:szCs w:val="24"/>
          <w:u w:val="single"/>
        </w:rPr>
        <w:t xml:space="preserve"> Resources</w:t>
      </w:r>
      <w:r w:rsidR="009C1CA4">
        <w:rPr>
          <w:sz w:val="24"/>
          <w:szCs w:val="24"/>
        </w:rPr>
        <w:t xml:space="preserve">, 406 A. 2d 1020 (Pa. 1979); </w:t>
      </w:r>
      <w:r w:rsidR="009C1CA4" w:rsidRPr="009C1CA4">
        <w:rPr>
          <w:sz w:val="24"/>
          <w:szCs w:val="24"/>
          <w:u w:val="single"/>
        </w:rPr>
        <w:t xml:space="preserve">Rivera v Philadelphia Theological Seminary of St. </w:t>
      </w:r>
      <w:r w:rsidR="009C1CA4">
        <w:rPr>
          <w:sz w:val="24"/>
          <w:szCs w:val="24"/>
          <w:u w:val="single"/>
        </w:rPr>
        <w:t>C</w:t>
      </w:r>
      <w:r w:rsidR="009C1CA4" w:rsidRPr="009C1CA4">
        <w:rPr>
          <w:sz w:val="24"/>
          <w:szCs w:val="24"/>
          <w:u w:val="single"/>
        </w:rPr>
        <w:t>harles Borromeo, Inc.</w:t>
      </w:r>
      <w:r w:rsidR="009C1CA4">
        <w:rPr>
          <w:sz w:val="24"/>
          <w:szCs w:val="24"/>
        </w:rPr>
        <w:t xml:space="preserve"> 595 A. 2d 172 (Pa. Super</w:t>
      </w:r>
      <w:r w:rsidR="003A6972">
        <w:rPr>
          <w:sz w:val="24"/>
          <w:szCs w:val="24"/>
        </w:rPr>
        <w:t>.</w:t>
      </w:r>
      <w:r w:rsidR="009C1CA4">
        <w:rPr>
          <w:sz w:val="24"/>
          <w:szCs w:val="24"/>
        </w:rPr>
        <w:t xml:space="preserve"> 1991).</w:t>
      </w:r>
      <w:proofErr w:type="gramEnd"/>
      <w:r w:rsidR="009C1CA4">
        <w:rPr>
          <w:sz w:val="24"/>
          <w:szCs w:val="24"/>
        </w:rPr>
        <w:t xml:space="preserve">  The Commission follows this standard.  </w:t>
      </w:r>
      <w:proofErr w:type="gramStart"/>
      <w:r w:rsidR="009C1CA4" w:rsidRPr="009C1CA4">
        <w:rPr>
          <w:sz w:val="24"/>
          <w:szCs w:val="24"/>
          <w:u w:val="single"/>
        </w:rPr>
        <w:t>Montague v Philadelphia Electric Company</w:t>
      </w:r>
      <w:r w:rsidR="003A6972">
        <w:rPr>
          <w:sz w:val="24"/>
          <w:szCs w:val="24"/>
        </w:rPr>
        <w:t>, 66 Pa</w:t>
      </w:r>
      <w:r w:rsidR="009C1CA4">
        <w:rPr>
          <w:sz w:val="24"/>
          <w:szCs w:val="24"/>
        </w:rPr>
        <w:t>. PUC 24 (1988).</w:t>
      </w:r>
      <w:proofErr w:type="gramEnd"/>
    </w:p>
    <w:p w:rsidR="009C1CA4" w:rsidRDefault="009C1CA4" w:rsidP="00A44D7C">
      <w:pPr>
        <w:pStyle w:val="ListParagraph"/>
        <w:spacing w:line="360" w:lineRule="auto"/>
        <w:ind w:left="0" w:firstLine="1440"/>
        <w:rPr>
          <w:sz w:val="24"/>
          <w:szCs w:val="24"/>
        </w:rPr>
      </w:pPr>
    </w:p>
    <w:p w:rsidR="009C1CA4" w:rsidRDefault="009C1CA4" w:rsidP="00A44D7C">
      <w:pPr>
        <w:pStyle w:val="ListParagraph"/>
        <w:spacing w:line="360" w:lineRule="auto"/>
        <w:ind w:left="0" w:firstLine="1440"/>
        <w:rPr>
          <w:sz w:val="24"/>
          <w:szCs w:val="24"/>
        </w:rPr>
      </w:pPr>
      <w:r>
        <w:rPr>
          <w:sz w:val="24"/>
          <w:szCs w:val="24"/>
        </w:rPr>
        <w:t>The Commission may not rely upon the factual assertions of the moving party but must accept as true, for purposes of disposing of the motion, all well pleaded, material facts of the nonmoving party, as well as every reasonable inference from those facts.</w:t>
      </w:r>
      <w:r w:rsidR="003D3688">
        <w:rPr>
          <w:sz w:val="24"/>
          <w:szCs w:val="24"/>
        </w:rPr>
        <w:t xml:space="preserve">  </w:t>
      </w:r>
      <w:proofErr w:type="gramStart"/>
      <w:r w:rsidR="003D3688" w:rsidRPr="000E666D">
        <w:rPr>
          <w:sz w:val="24"/>
          <w:szCs w:val="24"/>
          <w:u w:val="single"/>
        </w:rPr>
        <w:t>County of Allegheny v. Commonwealth of Pennsylvania</w:t>
      </w:r>
      <w:r w:rsidR="003D3688">
        <w:rPr>
          <w:sz w:val="24"/>
          <w:szCs w:val="24"/>
        </w:rPr>
        <w:t xml:space="preserve">, 490 A. 2d 402 (Pa. 1985); </w:t>
      </w:r>
      <w:r w:rsidR="003D3688" w:rsidRPr="000E666D">
        <w:rPr>
          <w:sz w:val="24"/>
          <w:szCs w:val="24"/>
          <w:u w:val="single"/>
        </w:rPr>
        <w:t>Commonwea</w:t>
      </w:r>
      <w:r w:rsidR="000E666D">
        <w:rPr>
          <w:sz w:val="24"/>
          <w:szCs w:val="24"/>
          <w:u w:val="single"/>
        </w:rPr>
        <w:t>l</w:t>
      </w:r>
      <w:r w:rsidR="003D3688" w:rsidRPr="000E666D">
        <w:rPr>
          <w:sz w:val="24"/>
          <w:szCs w:val="24"/>
          <w:u w:val="single"/>
        </w:rPr>
        <w:t>th of Pennsylvania v. Bell Telephone Co. of Pa.</w:t>
      </w:r>
      <w:r w:rsidR="003D3688">
        <w:rPr>
          <w:sz w:val="24"/>
          <w:szCs w:val="24"/>
        </w:rPr>
        <w:t>, 551 A. 2d 602 (</w:t>
      </w:r>
      <w:proofErr w:type="spellStart"/>
      <w:r w:rsidR="003D3688">
        <w:rPr>
          <w:sz w:val="24"/>
          <w:szCs w:val="24"/>
        </w:rPr>
        <w:t>Pa.Cmwlth</w:t>
      </w:r>
      <w:proofErr w:type="spellEnd"/>
      <w:r w:rsidR="003D3688">
        <w:rPr>
          <w:sz w:val="24"/>
          <w:szCs w:val="24"/>
        </w:rPr>
        <w:t>. 1988).</w:t>
      </w:r>
      <w:proofErr w:type="gramEnd"/>
      <w:r w:rsidR="003D3688">
        <w:rPr>
          <w:sz w:val="24"/>
          <w:szCs w:val="24"/>
        </w:rPr>
        <w:t xml:space="preserve">  Th</w:t>
      </w:r>
      <w:r w:rsidR="000E666D">
        <w:rPr>
          <w:sz w:val="24"/>
          <w:szCs w:val="24"/>
        </w:rPr>
        <w:t xml:space="preserve">e Commission must view the Formal Complaint in this case in the light most favorable to the Complainant and should dismiss the Formal Complaint only if it appears that the Complainant would not be entitled to relief under any circumstances as a matter of law.  </w:t>
      </w:r>
      <w:r w:rsidR="000E666D" w:rsidRPr="000E666D">
        <w:rPr>
          <w:sz w:val="24"/>
          <w:szCs w:val="24"/>
          <w:u w:val="single"/>
        </w:rPr>
        <w:t>Equitable Small Transportation Intervenors v. Equitable Gas Company</w:t>
      </w:r>
      <w:r w:rsidR="000E666D">
        <w:rPr>
          <w:sz w:val="24"/>
          <w:szCs w:val="24"/>
        </w:rPr>
        <w:t xml:space="preserve">, 1994 Pa. PUC LEXIS 69, Docket No. </w:t>
      </w:r>
      <w:proofErr w:type="gramStart"/>
      <w:r w:rsidR="000E666D">
        <w:rPr>
          <w:sz w:val="24"/>
          <w:szCs w:val="24"/>
        </w:rPr>
        <w:t>C-00935435 (July</w:t>
      </w:r>
      <w:r w:rsidR="009329BB">
        <w:rPr>
          <w:sz w:val="24"/>
          <w:szCs w:val="24"/>
        </w:rPr>
        <w:t> </w:t>
      </w:r>
      <w:r w:rsidR="000E666D">
        <w:rPr>
          <w:sz w:val="24"/>
          <w:szCs w:val="24"/>
        </w:rPr>
        <w:t>18, 1994).</w:t>
      </w:r>
      <w:proofErr w:type="gramEnd"/>
    </w:p>
    <w:p w:rsidR="000E666D" w:rsidRDefault="000E666D" w:rsidP="00A44D7C">
      <w:pPr>
        <w:pStyle w:val="ListParagraph"/>
        <w:spacing w:line="360" w:lineRule="auto"/>
        <w:ind w:left="0" w:firstLine="1440"/>
        <w:rPr>
          <w:sz w:val="24"/>
          <w:szCs w:val="24"/>
        </w:rPr>
      </w:pPr>
    </w:p>
    <w:p w:rsidR="000E666D" w:rsidRDefault="00C1595D" w:rsidP="00A44D7C">
      <w:pPr>
        <w:pStyle w:val="ListParagraph"/>
        <w:spacing w:line="360" w:lineRule="auto"/>
        <w:ind w:left="0" w:firstLine="1440"/>
        <w:rPr>
          <w:sz w:val="24"/>
          <w:szCs w:val="24"/>
        </w:rPr>
      </w:pPr>
      <w:r>
        <w:rPr>
          <w:sz w:val="24"/>
          <w:szCs w:val="24"/>
        </w:rPr>
        <w:t>Commission regulations at 52 Pa.Code § 5.21(a) states that a person may file a formal complaint claiming violation of a statute that the Commission has jurisdiction to administer.  The regulation at 52 Pa.Code § 5.21(d) authorizes the Commission to dismiss a complaint if a hearing is not necessary and authorizes preliminary objections to be filed in response to a complaint.</w:t>
      </w:r>
    </w:p>
    <w:p w:rsidR="00C1595D" w:rsidRDefault="00C1595D" w:rsidP="00A44D7C">
      <w:pPr>
        <w:pStyle w:val="ListParagraph"/>
        <w:spacing w:line="360" w:lineRule="auto"/>
        <w:ind w:left="0" w:firstLine="1440"/>
        <w:rPr>
          <w:sz w:val="24"/>
          <w:szCs w:val="24"/>
        </w:rPr>
      </w:pPr>
      <w:r>
        <w:rPr>
          <w:sz w:val="24"/>
          <w:szCs w:val="24"/>
        </w:rPr>
        <w:t>The regulations at 52 Pa.Code § 5.101(a</w:t>
      </w:r>
      <w:proofErr w:type="gramStart"/>
      <w:r>
        <w:rPr>
          <w:sz w:val="24"/>
          <w:szCs w:val="24"/>
        </w:rPr>
        <w:t>)(</w:t>
      </w:r>
      <w:proofErr w:type="gramEnd"/>
      <w:r>
        <w:rPr>
          <w:sz w:val="24"/>
          <w:szCs w:val="24"/>
        </w:rPr>
        <w:t>1) permits the filing of a preliminary objection to dismiss a pleading for lack of Commission jurisdiction.  The provisions at 52</w:t>
      </w:r>
      <w:r w:rsidR="0089435D">
        <w:rPr>
          <w:sz w:val="24"/>
          <w:szCs w:val="24"/>
        </w:rPr>
        <w:t> </w:t>
      </w:r>
      <w:r>
        <w:rPr>
          <w:sz w:val="24"/>
          <w:szCs w:val="24"/>
        </w:rPr>
        <w:t xml:space="preserve">Pa.Code § 5.101(a) (1) serves judicial economy by avoiding a hearing where no factual dispute exists.  If no factual issue pertinent to the resolution of the case exists, a hearing is unnecessary.  </w:t>
      </w:r>
      <w:proofErr w:type="gramStart"/>
      <w:r>
        <w:rPr>
          <w:sz w:val="24"/>
          <w:szCs w:val="24"/>
        </w:rPr>
        <w:t>66 Pa.C.S.</w:t>
      </w:r>
      <w:proofErr w:type="gramEnd"/>
      <w:r>
        <w:rPr>
          <w:sz w:val="24"/>
          <w:szCs w:val="24"/>
        </w:rPr>
        <w:t xml:space="preserve"> § 703(a); </w:t>
      </w:r>
      <w:r>
        <w:rPr>
          <w:sz w:val="24"/>
          <w:szCs w:val="24"/>
          <w:u w:val="single"/>
        </w:rPr>
        <w:t>Lehigh Valley P</w:t>
      </w:r>
      <w:r w:rsidRPr="00C1595D">
        <w:rPr>
          <w:sz w:val="24"/>
          <w:szCs w:val="24"/>
          <w:u w:val="single"/>
        </w:rPr>
        <w:t>ower Committee v</w:t>
      </w:r>
      <w:r>
        <w:rPr>
          <w:sz w:val="24"/>
          <w:szCs w:val="24"/>
          <w:u w:val="single"/>
        </w:rPr>
        <w:t>.</w:t>
      </w:r>
      <w:r w:rsidRPr="00C1595D">
        <w:rPr>
          <w:sz w:val="24"/>
          <w:szCs w:val="24"/>
          <w:u w:val="single"/>
        </w:rPr>
        <w:t xml:space="preserve"> P</w:t>
      </w:r>
      <w:r w:rsidR="0089435D">
        <w:rPr>
          <w:sz w:val="24"/>
          <w:szCs w:val="24"/>
          <w:u w:val="single"/>
        </w:rPr>
        <w:t>a.</w:t>
      </w:r>
      <w:r w:rsidRPr="00C1595D">
        <w:rPr>
          <w:sz w:val="24"/>
          <w:szCs w:val="24"/>
          <w:u w:val="single"/>
        </w:rPr>
        <w:t xml:space="preserve"> Pub. </w:t>
      </w:r>
      <w:proofErr w:type="gramStart"/>
      <w:r w:rsidRPr="00C1595D">
        <w:rPr>
          <w:sz w:val="24"/>
          <w:szCs w:val="24"/>
          <w:u w:val="single"/>
        </w:rPr>
        <w:t>Util. Comm’n</w:t>
      </w:r>
      <w:r>
        <w:rPr>
          <w:sz w:val="24"/>
          <w:szCs w:val="24"/>
        </w:rPr>
        <w:t>, 563 A. 2d 557 (</w:t>
      </w:r>
      <w:proofErr w:type="spellStart"/>
      <w:r>
        <w:rPr>
          <w:sz w:val="24"/>
          <w:szCs w:val="24"/>
        </w:rPr>
        <w:t>Pa.Cmwlth</w:t>
      </w:r>
      <w:proofErr w:type="spellEnd"/>
      <w:r>
        <w:rPr>
          <w:sz w:val="24"/>
          <w:szCs w:val="24"/>
        </w:rPr>
        <w:t xml:space="preserve">. 1989); </w:t>
      </w:r>
      <w:r w:rsidRPr="00C1595D">
        <w:rPr>
          <w:sz w:val="24"/>
          <w:szCs w:val="24"/>
          <w:u w:val="single"/>
        </w:rPr>
        <w:t>S.M.F. Bessemer Cement, Inc. v. P</w:t>
      </w:r>
      <w:r w:rsidR="0089435D">
        <w:rPr>
          <w:sz w:val="24"/>
          <w:szCs w:val="24"/>
          <w:u w:val="single"/>
        </w:rPr>
        <w:t xml:space="preserve">a. </w:t>
      </w:r>
      <w:r w:rsidRPr="00C1595D">
        <w:rPr>
          <w:sz w:val="24"/>
          <w:szCs w:val="24"/>
          <w:u w:val="single"/>
        </w:rPr>
        <w:t>Pub.</w:t>
      </w:r>
      <w:proofErr w:type="gramEnd"/>
      <w:r w:rsidRPr="00C1595D">
        <w:rPr>
          <w:sz w:val="24"/>
          <w:szCs w:val="24"/>
          <w:u w:val="single"/>
        </w:rPr>
        <w:t xml:space="preserve"> </w:t>
      </w:r>
      <w:proofErr w:type="gramStart"/>
      <w:r w:rsidRPr="00C1595D">
        <w:rPr>
          <w:sz w:val="24"/>
          <w:szCs w:val="24"/>
          <w:u w:val="single"/>
        </w:rPr>
        <w:t>Util. Comm’n</w:t>
      </w:r>
      <w:r>
        <w:rPr>
          <w:sz w:val="24"/>
          <w:szCs w:val="24"/>
        </w:rPr>
        <w:t>, 563</w:t>
      </w:r>
      <w:r w:rsidR="003D4661">
        <w:rPr>
          <w:sz w:val="24"/>
          <w:szCs w:val="24"/>
        </w:rPr>
        <w:t> </w:t>
      </w:r>
      <w:r>
        <w:rPr>
          <w:sz w:val="24"/>
          <w:szCs w:val="24"/>
        </w:rPr>
        <w:t>A. 2d</w:t>
      </w:r>
      <w:r w:rsidR="00B533F5">
        <w:rPr>
          <w:sz w:val="24"/>
          <w:szCs w:val="24"/>
        </w:rPr>
        <w:t xml:space="preserve"> </w:t>
      </w:r>
      <w:r>
        <w:rPr>
          <w:sz w:val="24"/>
          <w:szCs w:val="24"/>
        </w:rPr>
        <w:t xml:space="preserve">1006 (Pa. Cmwlth 1988); </w:t>
      </w:r>
      <w:r w:rsidRPr="00C1595D">
        <w:rPr>
          <w:sz w:val="24"/>
          <w:szCs w:val="24"/>
          <w:u w:val="single"/>
        </w:rPr>
        <w:t>White Oak Borough Authority v. P</w:t>
      </w:r>
      <w:r w:rsidR="003D4661">
        <w:rPr>
          <w:sz w:val="24"/>
          <w:szCs w:val="24"/>
          <w:u w:val="single"/>
        </w:rPr>
        <w:t>a.</w:t>
      </w:r>
      <w:r w:rsidRPr="00C1595D">
        <w:rPr>
          <w:sz w:val="24"/>
          <w:szCs w:val="24"/>
          <w:u w:val="single"/>
        </w:rPr>
        <w:t xml:space="preserve"> Pub.</w:t>
      </w:r>
      <w:proofErr w:type="gramEnd"/>
      <w:r w:rsidRPr="00C1595D">
        <w:rPr>
          <w:sz w:val="24"/>
          <w:szCs w:val="24"/>
          <w:u w:val="single"/>
        </w:rPr>
        <w:t xml:space="preserve"> </w:t>
      </w:r>
      <w:proofErr w:type="gramStart"/>
      <w:r w:rsidRPr="00C1595D">
        <w:rPr>
          <w:sz w:val="24"/>
          <w:szCs w:val="24"/>
          <w:u w:val="single"/>
        </w:rPr>
        <w:t>Util. Comm’n</w:t>
      </w:r>
      <w:r>
        <w:rPr>
          <w:sz w:val="24"/>
          <w:szCs w:val="24"/>
        </w:rPr>
        <w:t>, 103 A. 2d 502 (Pa. Super. 1954).</w:t>
      </w:r>
      <w:proofErr w:type="gramEnd"/>
    </w:p>
    <w:p w:rsidR="0088456C" w:rsidRDefault="0088456C" w:rsidP="00A44D7C">
      <w:pPr>
        <w:pStyle w:val="ListParagraph"/>
        <w:spacing w:line="360" w:lineRule="auto"/>
        <w:ind w:left="0" w:firstLine="1440"/>
        <w:rPr>
          <w:sz w:val="24"/>
          <w:szCs w:val="24"/>
        </w:rPr>
      </w:pPr>
    </w:p>
    <w:p w:rsidR="00B533F5" w:rsidRDefault="006145C2" w:rsidP="00A44D7C">
      <w:pPr>
        <w:pStyle w:val="ListParagraph"/>
        <w:spacing w:line="360" w:lineRule="auto"/>
        <w:ind w:left="0" w:firstLine="1440"/>
        <w:rPr>
          <w:sz w:val="24"/>
          <w:szCs w:val="24"/>
        </w:rPr>
      </w:pPr>
      <w:r>
        <w:rPr>
          <w:sz w:val="24"/>
          <w:szCs w:val="24"/>
        </w:rPr>
        <w:t>The Complainant stated “[t]</w:t>
      </w:r>
      <w:proofErr w:type="spellStart"/>
      <w:r>
        <w:rPr>
          <w:sz w:val="24"/>
          <w:szCs w:val="24"/>
        </w:rPr>
        <w:t>hese</w:t>
      </w:r>
      <w:proofErr w:type="spellEnd"/>
      <w:r>
        <w:rPr>
          <w:sz w:val="24"/>
          <w:szCs w:val="24"/>
        </w:rPr>
        <w:t xml:space="preserve"> charges are absurd.  I have lived in Pa. for more than a decade and never had a bill near this amount.  I am a widow for 36 years, blind in one eye and had stage 4 </w:t>
      </w:r>
      <w:proofErr w:type="gramStart"/>
      <w:r>
        <w:rPr>
          <w:sz w:val="24"/>
          <w:szCs w:val="24"/>
        </w:rPr>
        <w:t>cancer</w:t>
      </w:r>
      <w:proofErr w:type="gramEnd"/>
      <w:r>
        <w:rPr>
          <w:sz w:val="24"/>
          <w:szCs w:val="24"/>
        </w:rPr>
        <w:t xml:space="preserve"> in recent years.”  As requested relief, the Complainant stated “I am at your mercy!! Appreciate your attention to this matter and hopefully this can be resolved as I live on Social Security.”</w:t>
      </w:r>
    </w:p>
    <w:p w:rsidR="006145C2" w:rsidRDefault="006145C2" w:rsidP="00A44D7C">
      <w:pPr>
        <w:pStyle w:val="ListParagraph"/>
        <w:spacing w:line="360" w:lineRule="auto"/>
        <w:ind w:left="0" w:firstLine="1440"/>
        <w:rPr>
          <w:sz w:val="24"/>
          <w:szCs w:val="24"/>
        </w:rPr>
      </w:pPr>
    </w:p>
    <w:p w:rsidR="006145C2" w:rsidRDefault="006145C2" w:rsidP="00A44D7C">
      <w:pPr>
        <w:pStyle w:val="ListParagraph"/>
        <w:spacing w:line="360" w:lineRule="auto"/>
        <w:ind w:left="0" w:firstLine="1440"/>
        <w:rPr>
          <w:sz w:val="24"/>
          <w:szCs w:val="24"/>
        </w:rPr>
      </w:pPr>
      <w:r>
        <w:rPr>
          <w:sz w:val="24"/>
          <w:szCs w:val="24"/>
        </w:rPr>
        <w:t xml:space="preserve">Accepting these facts alleged in the Formal Complaint as true for purposes of disposing of its preliminary objection, the Respondent contends that the Commission may not regulate the rates that the Respondent charged the Complainant for electric generation supply since it is not a public utility except for limited purposes of 66 Pa.C.S. </w:t>
      </w:r>
      <w:proofErr w:type="gramStart"/>
      <w:r>
        <w:rPr>
          <w:sz w:val="24"/>
          <w:szCs w:val="24"/>
        </w:rPr>
        <w:t>§§ 2809 and 2810.</w:t>
      </w:r>
      <w:proofErr w:type="gramEnd"/>
      <w:r>
        <w:rPr>
          <w:sz w:val="24"/>
          <w:szCs w:val="24"/>
        </w:rPr>
        <w:t xml:space="preserve">  Therefore, the Commission has no jurisdiction over the Respondent to the extent that the Complainant contends that the Respondent has charged unreasonable, unjust, or illegal rate</w:t>
      </w:r>
      <w:r w:rsidR="0089435D">
        <w:rPr>
          <w:sz w:val="24"/>
          <w:szCs w:val="24"/>
        </w:rPr>
        <w:t>s</w:t>
      </w:r>
      <w:r>
        <w:rPr>
          <w:sz w:val="24"/>
          <w:szCs w:val="24"/>
        </w:rPr>
        <w:t xml:space="preserve"> for electric generation supply service.  Since the Commission lacks jurisdiction to regulate rates charged for electric generation supply service, it lacks authority to order a refund or credit to the Complainant.  I agree.</w:t>
      </w:r>
      <w:r w:rsidR="00673907">
        <w:rPr>
          <w:sz w:val="24"/>
          <w:szCs w:val="24"/>
        </w:rPr>
        <w:t xml:space="preserve">  Therefore, the Preliminary Objection alleging lack of jurisdiction is sustained.</w:t>
      </w:r>
    </w:p>
    <w:p w:rsidR="00C1595D" w:rsidRPr="004126B5" w:rsidRDefault="00C1595D" w:rsidP="00A44D7C">
      <w:pPr>
        <w:pStyle w:val="ListParagraph"/>
        <w:spacing w:line="360" w:lineRule="auto"/>
        <w:ind w:left="0" w:firstLine="1440"/>
        <w:rPr>
          <w:sz w:val="24"/>
          <w:szCs w:val="24"/>
        </w:rPr>
      </w:pPr>
    </w:p>
    <w:p w:rsidR="009548C7" w:rsidRDefault="000578FC" w:rsidP="00A44D7C">
      <w:pPr>
        <w:pStyle w:val="ListParagraph"/>
        <w:spacing w:line="360" w:lineRule="auto"/>
        <w:ind w:left="0" w:firstLine="1440"/>
        <w:rPr>
          <w:sz w:val="24"/>
          <w:szCs w:val="24"/>
        </w:rPr>
      </w:pPr>
      <w:r>
        <w:rPr>
          <w:sz w:val="24"/>
          <w:szCs w:val="24"/>
        </w:rPr>
        <w:t xml:space="preserve">The Commission recognized that in early 2014 many EGSs had to increase their retail prices to customers in order to recover the higher wholesale electric energy costs they incurred in January 2014.  </w:t>
      </w:r>
      <w:r w:rsidRPr="000578FC">
        <w:rPr>
          <w:sz w:val="24"/>
          <w:szCs w:val="24"/>
          <w:u w:val="single"/>
        </w:rPr>
        <w:t>Review of Rules, Policies, and Consumer Education Measures Regarding V</w:t>
      </w:r>
      <w:r>
        <w:rPr>
          <w:sz w:val="24"/>
          <w:szCs w:val="24"/>
          <w:u w:val="single"/>
        </w:rPr>
        <w:t>ariable Rate Retail</w:t>
      </w:r>
      <w:r w:rsidRPr="000578FC">
        <w:rPr>
          <w:sz w:val="24"/>
          <w:szCs w:val="24"/>
          <w:u w:val="single"/>
        </w:rPr>
        <w:t xml:space="preserve"> Electric Products</w:t>
      </w:r>
      <w:r w:rsidRPr="000578FC">
        <w:rPr>
          <w:sz w:val="24"/>
          <w:szCs w:val="24"/>
        </w:rPr>
        <w:t>,</w:t>
      </w:r>
      <w:r w:rsidRPr="00F30DE0">
        <w:rPr>
          <w:sz w:val="24"/>
          <w:szCs w:val="24"/>
        </w:rPr>
        <w:t xml:space="preserve"> </w:t>
      </w:r>
      <w:r w:rsidRPr="000578FC">
        <w:rPr>
          <w:sz w:val="24"/>
          <w:szCs w:val="24"/>
        </w:rPr>
        <w:t xml:space="preserve">Docket No. M-2014-2406134 (Order entered March 4, 2014).  </w:t>
      </w:r>
      <w:proofErr w:type="gramStart"/>
      <w:r w:rsidRPr="000578FC">
        <w:rPr>
          <w:sz w:val="24"/>
          <w:szCs w:val="24"/>
        </w:rPr>
        <w:t>(</w:t>
      </w:r>
      <w:r>
        <w:rPr>
          <w:sz w:val="24"/>
          <w:szCs w:val="24"/>
          <w:u w:val="single"/>
        </w:rPr>
        <w:t>Variable Rate Order</w:t>
      </w:r>
      <w:r w:rsidRPr="000578FC">
        <w:rPr>
          <w:sz w:val="24"/>
          <w:szCs w:val="24"/>
        </w:rPr>
        <w:t>)</w:t>
      </w:r>
      <w:r>
        <w:rPr>
          <w:sz w:val="24"/>
          <w:szCs w:val="24"/>
        </w:rPr>
        <w:t>.</w:t>
      </w:r>
      <w:proofErr w:type="gramEnd"/>
      <w:r>
        <w:rPr>
          <w:sz w:val="24"/>
          <w:szCs w:val="24"/>
        </w:rPr>
        <w:t xml:space="preserve">  In the </w:t>
      </w:r>
      <w:r w:rsidRPr="000578FC">
        <w:rPr>
          <w:sz w:val="24"/>
          <w:szCs w:val="24"/>
          <w:u w:val="single"/>
        </w:rPr>
        <w:t>Variable Rate Order</w:t>
      </w:r>
      <w:r w:rsidR="004B26C0" w:rsidRPr="004B26C0">
        <w:rPr>
          <w:sz w:val="24"/>
          <w:szCs w:val="24"/>
        </w:rPr>
        <w:t>,</w:t>
      </w:r>
      <w:r w:rsidR="004B26C0">
        <w:rPr>
          <w:sz w:val="24"/>
          <w:szCs w:val="24"/>
        </w:rPr>
        <w:t xml:space="preserve"> the Commission noted that in many cases, the EGSs voluntarily absorbed losses in order to maintain long term contractual relationships with their customers.  The Commission acknowledged that not all EGSs acted to mitigate the financial hardships and some EGSs passed the costs on to their customers.</w:t>
      </w:r>
    </w:p>
    <w:p w:rsidR="004B26C0" w:rsidRDefault="004B26C0" w:rsidP="00A44D7C">
      <w:pPr>
        <w:pStyle w:val="ListParagraph"/>
        <w:spacing w:line="360" w:lineRule="auto"/>
        <w:ind w:left="0" w:firstLine="1440"/>
        <w:rPr>
          <w:sz w:val="24"/>
          <w:szCs w:val="24"/>
        </w:rPr>
      </w:pPr>
    </w:p>
    <w:p w:rsidR="004B26C0" w:rsidRDefault="004B26C0" w:rsidP="00A44D7C">
      <w:pPr>
        <w:pStyle w:val="ListParagraph"/>
        <w:spacing w:line="360" w:lineRule="auto"/>
        <w:ind w:left="0" w:firstLine="1440"/>
        <w:rPr>
          <w:sz w:val="24"/>
          <w:szCs w:val="24"/>
        </w:rPr>
      </w:pPr>
      <w:r>
        <w:rPr>
          <w:sz w:val="24"/>
          <w:szCs w:val="24"/>
        </w:rPr>
        <w:t xml:space="preserve">As a result of the higher wholesale electric energy costs experienced by EGSs, the </w:t>
      </w:r>
      <w:r w:rsidRPr="004B26C0">
        <w:rPr>
          <w:sz w:val="24"/>
          <w:szCs w:val="24"/>
          <w:u w:val="single"/>
        </w:rPr>
        <w:t xml:space="preserve">Variable Rate </w:t>
      </w:r>
      <w:r>
        <w:rPr>
          <w:sz w:val="24"/>
          <w:szCs w:val="24"/>
          <w:u w:val="single"/>
        </w:rPr>
        <w:t>O</w:t>
      </w:r>
      <w:r w:rsidRPr="004B26C0">
        <w:rPr>
          <w:sz w:val="24"/>
          <w:szCs w:val="24"/>
          <w:u w:val="single"/>
        </w:rPr>
        <w:t>rder</w:t>
      </w:r>
      <w:r>
        <w:rPr>
          <w:sz w:val="24"/>
          <w:szCs w:val="24"/>
        </w:rPr>
        <w:t xml:space="preserve"> observed that some of the EGSs’ customers received higher electric bills.  Some of these bills were two or three times the amount the customer would normally be billed.  Most of these customers had entered into contracts with a variable rate that is adjusted monthly.</w:t>
      </w:r>
    </w:p>
    <w:p w:rsidR="004B26C0" w:rsidRDefault="004B26C0" w:rsidP="00A44D7C">
      <w:pPr>
        <w:pStyle w:val="ListParagraph"/>
        <w:spacing w:line="360" w:lineRule="auto"/>
        <w:ind w:left="0" w:firstLine="1440"/>
        <w:rPr>
          <w:sz w:val="24"/>
          <w:szCs w:val="24"/>
        </w:rPr>
      </w:pPr>
    </w:p>
    <w:p w:rsidR="004B26C0" w:rsidRDefault="004B26C0" w:rsidP="00A44D7C">
      <w:pPr>
        <w:pStyle w:val="ListParagraph"/>
        <w:spacing w:line="360" w:lineRule="auto"/>
        <w:ind w:left="0" w:firstLine="1440"/>
        <w:rPr>
          <w:sz w:val="24"/>
          <w:szCs w:val="24"/>
        </w:rPr>
      </w:pPr>
      <w:r>
        <w:rPr>
          <w:sz w:val="24"/>
          <w:szCs w:val="24"/>
        </w:rPr>
        <w:t xml:space="preserve">The </w:t>
      </w:r>
      <w:r w:rsidRPr="004B26C0">
        <w:rPr>
          <w:sz w:val="24"/>
          <w:szCs w:val="24"/>
          <w:u w:val="single"/>
        </w:rPr>
        <w:t>Variable Rate Order</w:t>
      </w:r>
      <w:r>
        <w:rPr>
          <w:sz w:val="24"/>
          <w:szCs w:val="24"/>
        </w:rPr>
        <w:t xml:space="preserve"> stated that the rates consumers pay in the retail electric market are governed by the terms of the contract with their EGS.  The Commission emphasized that it was important for consumers in variable rate contracts to review the terms and conditions of those contracts to determine if they were at risk for large increases.</w:t>
      </w:r>
    </w:p>
    <w:p w:rsidR="00673907" w:rsidRDefault="00673907" w:rsidP="00A44D7C">
      <w:pPr>
        <w:pStyle w:val="ListParagraph"/>
        <w:spacing w:line="360" w:lineRule="auto"/>
        <w:ind w:left="0" w:firstLine="1440"/>
        <w:rPr>
          <w:sz w:val="24"/>
          <w:szCs w:val="24"/>
        </w:rPr>
      </w:pPr>
    </w:p>
    <w:p w:rsidR="00155A5B" w:rsidRDefault="00155A5B" w:rsidP="00A44D7C">
      <w:pPr>
        <w:pStyle w:val="ListParagraph"/>
        <w:spacing w:line="360" w:lineRule="auto"/>
        <w:ind w:left="0" w:firstLine="1440"/>
        <w:rPr>
          <w:sz w:val="24"/>
          <w:szCs w:val="24"/>
        </w:rPr>
      </w:pPr>
      <w:r>
        <w:rPr>
          <w:sz w:val="24"/>
          <w:szCs w:val="24"/>
        </w:rPr>
        <w:t>The Respondent also alleged that the Formal Complaint should be dismissed for being a legally insufficient pleading.  52 Pa.Code § 5.101(a</w:t>
      </w:r>
      <w:proofErr w:type="gramStart"/>
      <w:r>
        <w:rPr>
          <w:sz w:val="24"/>
          <w:szCs w:val="24"/>
        </w:rPr>
        <w:t>)(</w:t>
      </w:r>
      <w:proofErr w:type="gramEnd"/>
      <w:r>
        <w:rPr>
          <w:sz w:val="24"/>
          <w:szCs w:val="24"/>
        </w:rPr>
        <w:t>4).  Accepting the facts alleged in the Formal Complaint as true for purposes of disposing of its preliminary objections, the Respondent contends that the Complainant fails to allege that it violated the terms and conditions of its electrical generation supply services contract with the Complainant. Indeed</w:t>
      </w:r>
      <w:r w:rsidR="00C13082">
        <w:rPr>
          <w:sz w:val="24"/>
          <w:szCs w:val="24"/>
        </w:rPr>
        <w:t>,</w:t>
      </w:r>
      <w:r>
        <w:rPr>
          <w:sz w:val="24"/>
          <w:szCs w:val="24"/>
        </w:rPr>
        <w:t xml:space="preserve"> no violations are </w:t>
      </w:r>
      <w:proofErr w:type="gramStart"/>
      <w:r>
        <w:rPr>
          <w:sz w:val="24"/>
          <w:szCs w:val="24"/>
        </w:rPr>
        <w:t>alleged,</w:t>
      </w:r>
      <w:proofErr w:type="gramEnd"/>
      <w:r>
        <w:rPr>
          <w:sz w:val="24"/>
          <w:szCs w:val="24"/>
        </w:rPr>
        <w:t xml:space="preserve"> therefore, the Formal Complaint fails to state a claim upon which the Commission could grant relief.  Sustaining the Preliminary Objection alleging legal insufficiency is appropriate.</w:t>
      </w:r>
    </w:p>
    <w:p w:rsidR="00155A5B" w:rsidRDefault="00155A5B" w:rsidP="00A44D7C">
      <w:pPr>
        <w:pStyle w:val="ListParagraph"/>
        <w:spacing w:line="360" w:lineRule="auto"/>
        <w:ind w:left="0" w:firstLine="1440"/>
        <w:rPr>
          <w:sz w:val="24"/>
          <w:szCs w:val="24"/>
        </w:rPr>
      </w:pPr>
    </w:p>
    <w:p w:rsidR="00673907" w:rsidRDefault="00155A5B" w:rsidP="00A44D7C">
      <w:pPr>
        <w:pStyle w:val="ListParagraph"/>
        <w:spacing w:line="360" w:lineRule="auto"/>
        <w:ind w:left="0" w:firstLine="1440"/>
        <w:rPr>
          <w:sz w:val="24"/>
          <w:szCs w:val="24"/>
        </w:rPr>
      </w:pPr>
      <w:r>
        <w:rPr>
          <w:sz w:val="24"/>
          <w:szCs w:val="24"/>
        </w:rPr>
        <w:t>Lastly, the Respondent contends that the Formal Complaint should be dismissed for insufficient specificity.  I need not reach this Preliminary Objection since I have already determined that the Commission lacks jurisdiction.</w:t>
      </w:r>
    </w:p>
    <w:p w:rsidR="00155A5B" w:rsidRDefault="00155A5B" w:rsidP="00A44D7C">
      <w:pPr>
        <w:pStyle w:val="ListParagraph"/>
        <w:spacing w:line="360" w:lineRule="auto"/>
        <w:ind w:left="0" w:firstLine="1440"/>
        <w:rPr>
          <w:sz w:val="24"/>
          <w:szCs w:val="24"/>
        </w:rPr>
      </w:pPr>
    </w:p>
    <w:p w:rsidR="00D60227" w:rsidRDefault="00D60227" w:rsidP="00A44D7C">
      <w:pPr>
        <w:pStyle w:val="ListParagraph"/>
        <w:spacing w:line="360" w:lineRule="auto"/>
        <w:ind w:left="0" w:firstLine="1440"/>
        <w:rPr>
          <w:sz w:val="24"/>
          <w:szCs w:val="24"/>
        </w:rPr>
      </w:pPr>
    </w:p>
    <w:p w:rsidR="0089435D" w:rsidRDefault="0089435D" w:rsidP="00A44D7C">
      <w:pPr>
        <w:pStyle w:val="ListParagraph"/>
        <w:spacing w:line="360" w:lineRule="auto"/>
        <w:ind w:left="0" w:firstLine="1440"/>
        <w:rPr>
          <w:sz w:val="24"/>
          <w:szCs w:val="24"/>
        </w:rPr>
      </w:pPr>
    </w:p>
    <w:p w:rsidR="00D60227" w:rsidRDefault="00D60227" w:rsidP="00A44D7C">
      <w:pPr>
        <w:pStyle w:val="ListParagraph"/>
        <w:spacing w:line="360" w:lineRule="auto"/>
        <w:ind w:left="0" w:firstLine="1440"/>
        <w:rPr>
          <w:sz w:val="24"/>
          <w:szCs w:val="24"/>
        </w:rPr>
      </w:pPr>
    </w:p>
    <w:p w:rsidR="00D60227" w:rsidRDefault="00D60227" w:rsidP="00A44D7C">
      <w:pPr>
        <w:pStyle w:val="ListParagraph"/>
        <w:spacing w:line="360" w:lineRule="auto"/>
        <w:ind w:left="0" w:firstLine="1440"/>
        <w:rPr>
          <w:sz w:val="24"/>
          <w:szCs w:val="24"/>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A6485D" w:rsidRDefault="00A6485D" w:rsidP="00A470ED">
      <w:pPr>
        <w:spacing w:line="360" w:lineRule="auto"/>
        <w:jc w:val="center"/>
        <w:rPr>
          <w:sz w:val="24"/>
          <w:szCs w:val="24"/>
          <w:u w:val="single"/>
        </w:rPr>
      </w:pPr>
    </w:p>
    <w:p w:rsidR="00A470ED" w:rsidRDefault="00A6485D" w:rsidP="00A6485D">
      <w:pPr>
        <w:pStyle w:val="ListParagraph"/>
        <w:numPr>
          <w:ilvl w:val="0"/>
          <w:numId w:val="28"/>
        </w:numPr>
        <w:spacing w:line="360" w:lineRule="auto"/>
        <w:ind w:left="0" w:firstLine="1440"/>
        <w:rPr>
          <w:sz w:val="24"/>
          <w:szCs w:val="24"/>
        </w:rPr>
      </w:pPr>
      <w:r w:rsidRPr="00A6485D">
        <w:rPr>
          <w:sz w:val="24"/>
          <w:szCs w:val="24"/>
        </w:rPr>
        <w:t>The Commission does not have jurisdiction to regulate the rates charged by the Respondent.</w:t>
      </w:r>
    </w:p>
    <w:p w:rsidR="00A6485D" w:rsidRDefault="00A6485D" w:rsidP="00A6485D">
      <w:pPr>
        <w:pStyle w:val="ListParagraph"/>
        <w:spacing w:line="360" w:lineRule="auto"/>
        <w:ind w:left="1440"/>
        <w:rPr>
          <w:sz w:val="24"/>
          <w:szCs w:val="24"/>
        </w:rPr>
      </w:pPr>
      <w:r>
        <w:rPr>
          <w:sz w:val="24"/>
          <w:szCs w:val="24"/>
        </w:rPr>
        <w:t xml:space="preserve"> </w:t>
      </w:r>
    </w:p>
    <w:p w:rsidR="00A6485D" w:rsidRDefault="00A6485D" w:rsidP="00A6485D">
      <w:pPr>
        <w:pStyle w:val="ListParagraph"/>
        <w:numPr>
          <w:ilvl w:val="0"/>
          <w:numId w:val="28"/>
        </w:numPr>
        <w:spacing w:line="360" w:lineRule="auto"/>
        <w:ind w:left="0" w:firstLine="1440"/>
        <w:rPr>
          <w:sz w:val="24"/>
          <w:szCs w:val="24"/>
        </w:rPr>
      </w:pPr>
      <w:r>
        <w:rPr>
          <w:sz w:val="24"/>
          <w:szCs w:val="24"/>
        </w:rPr>
        <w:t xml:space="preserve">The Respondent, as an EGS, is not a public utility subject to the Commission regulation, except in limited circumstances. </w:t>
      </w:r>
      <w:r w:rsidR="0089435D">
        <w:rPr>
          <w:sz w:val="24"/>
          <w:szCs w:val="24"/>
        </w:rPr>
        <w:t xml:space="preserve"> </w:t>
      </w:r>
      <w:r w:rsidRPr="00A6485D">
        <w:rPr>
          <w:sz w:val="24"/>
          <w:szCs w:val="24"/>
          <w:u w:val="single"/>
        </w:rPr>
        <w:t>Delmarva Power &amp; Light Co. v. Pa. Pub. Util. Comm’n</w:t>
      </w:r>
      <w:r>
        <w:rPr>
          <w:sz w:val="24"/>
          <w:szCs w:val="24"/>
        </w:rPr>
        <w:t>, 870 A. 2d 901 (Pa. 2005).</w:t>
      </w:r>
    </w:p>
    <w:p w:rsidR="00A6485D" w:rsidRPr="00A6485D" w:rsidRDefault="00A6485D" w:rsidP="00E72A76">
      <w:pPr>
        <w:pStyle w:val="ListParagraph"/>
        <w:spacing w:line="360" w:lineRule="auto"/>
        <w:rPr>
          <w:sz w:val="24"/>
          <w:szCs w:val="24"/>
        </w:rPr>
      </w:pPr>
    </w:p>
    <w:p w:rsidR="00A6485D" w:rsidRDefault="00A6485D" w:rsidP="00A6485D">
      <w:pPr>
        <w:pStyle w:val="ListParagraph"/>
        <w:numPr>
          <w:ilvl w:val="0"/>
          <w:numId w:val="28"/>
        </w:numPr>
        <w:spacing w:line="360" w:lineRule="auto"/>
        <w:ind w:left="0" w:firstLine="1440"/>
        <w:rPr>
          <w:sz w:val="24"/>
          <w:szCs w:val="24"/>
        </w:rPr>
      </w:pPr>
      <w:r>
        <w:rPr>
          <w:sz w:val="24"/>
          <w:szCs w:val="24"/>
        </w:rPr>
        <w:t>The Complainant failed to allege that the Respondent has violated the Public Utility Code or Commission regulations.</w:t>
      </w:r>
    </w:p>
    <w:p w:rsidR="00A6485D" w:rsidRPr="00A6485D" w:rsidRDefault="00A6485D" w:rsidP="00A6485D">
      <w:pPr>
        <w:pStyle w:val="ListParagraph"/>
        <w:rPr>
          <w:sz w:val="24"/>
          <w:szCs w:val="24"/>
        </w:rPr>
      </w:pPr>
    </w:p>
    <w:p w:rsidR="00A6485D" w:rsidRPr="00A6485D" w:rsidRDefault="00A6485D" w:rsidP="00B97574">
      <w:pPr>
        <w:pStyle w:val="ListParagraph"/>
        <w:ind w:left="1440"/>
        <w:rPr>
          <w:sz w:val="24"/>
          <w:szCs w:val="24"/>
        </w:rPr>
      </w:pPr>
    </w:p>
    <w:p w:rsidR="009649FC" w:rsidRDefault="009649FC" w:rsidP="00A470ED">
      <w:pPr>
        <w:spacing w:line="360" w:lineRule="auto"/>
        <w:jc w:val="center"/>
        <w:rPr>
          <w:sz w:val="24"/>
          <w:szCs w:val="24"/>
          <w:u w:val="single"/>
        </w:rPr>
      </w:pPr>
      <w:r w:rsidRPr="009649FC">
        <w:rPr>
          <w:sz w:val="24"/>
          <w:szCs w:val="24"/>
          <w:u w:val="single"/>
        </w:rPr>
        <w:t>ORDER</w:t>
      </w:r>
    </w:p>
    <w:p w:rsidR="00B97574" w:rsidRDefault="00B97574" w:rsidP="00A470ED">
      <w:pPr>
        <w:spacing w:line="360" w:lineRule="auto"/>
        <w:jc w:val="center"/>
        <w:rPr>
          <w:sz w:val="24"/>
          <w:szCs w:val="24"/>
          <w:u w:val="single"/>
        </w:rPr>
      </w:pPr>
    </w:p>
    <w:p w:rsidR="00311AD2" w:rsidRPr="00311AD2" w:rsidRDefault="00311AD2"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FE7FC0" w:rsidRDefault="00FE7FC0" w:rsidP="0081696C">
      <w:pPr>
        <w:spacing w:line="360" w:lineRule="auto"/>
        <w:ind w:firstLine="1440"/>
        <w:outlineLvl w:val="0"/>
        <w:rPr>
          <w:sz w:val="24"/>
          <w:szCs w:val="24"/>
        </w:rPr>
      </w:pPr>
    </w:p>
    <w:p w:rsidR="00A6485D" w:rsidRDefault="00A6485D" w:rsidP="00A6485D">
      <w:pPr>
        <w:pStyle w:val="ListParagraph"/>
        <w:numPr>
          <w:ilvl w:val="0"/>
          <w:numId w:val="29"/>
        </w:numPr>
        <w:spacing w:line="360" w:lineRule="auto"/>
        <w:ind w:left="0" w:firstLine="1440"/>
        <w:outlineLvl w:val="0"/>
        <w:rPr>
          <w:sz w:val="24"/>
          <w:szCs w:val="24"/>
        </w:rPr>
      </w:pPr>
      <w:r>
        <w:rPr>
          <w:sz w:val="24"/>
          <w:szCs w:val="24"/>
        </w:rPr>
        <w:t xml:space="preserve">That the preliminary objections filed by Respond Power, LLC at Docket No. C-2014-2429158 </w:t>
      </w:r>
      <w:proofErr w:type="gramStart"/>
      <w:r>
        <w:rPr>
          <w:sz w:val="24"/>
          <w:szCs w:val="24"/>
        </w:rPr>
        <w:t>are</w:t>
      </w:r>
      <w:proofErr w:type="gramEnd"/>
      <w:r>
        <w:rPr>
          <w:sz w:val="24"/>
          <w:szCs w:val="24"/>
        </w:rPr>
        <w:t xml:space="preserve"> sustained.</w:t>
      </w:r>
    </w:p>
    <w:p w:rsidR="00A6485D" w:rsidRDefault="00A6485D" w:rsidP="00A6485D">
      <w:pPr>
        <w:pStyle w:val="ListParagraph"/>
        <w:spacing w:line="360" w:lineRule="auto"/>
        <w:ind w:left="1440"/>
        <w:outlineLvl w:val="0"/>
        <w:rPr>
          <w:sz w:val="24"/>
          <w:szCs w:val="24"/>
        </w:rPr>
      </w:pPr>
      <w:r>
        <w:rPr>
          <w:sz w:val="24"/>
          <w:szCs w:val="24"/>
        </w:rPr>
        <w:t xml:space="preserve"> </w:t>
      </w:r>
    </w:p>
    <w:p w:rsidR="00A6485D" w:rsidRDefault="00A6485D" w:rsidP="00A6485D">
      <w:pPr>
        <w:pStyle w:val="ListParagraph"/>
        <w:numPr>
          <w:ilvl w:val="0"/>
          <w:numId w:val="29"/>
        </w:numPr>
        <w:spacing w:line="360" w:lineRule="auto"/>
        <w:ind w:left="0" w:firstLine="1440"/>
        <w:outlineLvl w:val="0"/>
        <w:rPr>
          <w:sz w:val="24"/>
          <w:szCs w:val="24"/>
        </w:rPr>
      </w:pPr>
      <w:r>
        <w:rPr>
          <w:sz w:val="24"/>
          <w:szCs w:val="24"/>
        </w:rPr>
        <w:t xml:space="preserve">That the Formal Complaint of Marion </w:t>
      </w:r>
      <w:proofErr w:type="spellStart"/>
      <w:r>
        <w:rPr>
          <w:sz w:val="24"/>
          <w:szCs w:val="24"/>
        </w:rPr>
        <w:t>Werle</w:t>
      </w:r>
      <w:proofErr w:type="spellEnd"/>
      <w:r>
        <w:rPr>
          <w:sz w:val="24"/>
          <w:szCs w:val="24"/>
        </w:rPr>
        <w:t xml:space="preserve"> at Docket No. C-2014-2429158 against Respond </w:t>
      </w:r>
      <w:r w:rsidR="0089435D">
        <w:rPr>
          <w:sz w:val="24"/>
          <w:szCs w:val="24"/>
        </w:rPr>
        <w:t>P</w:t>
      </w:r>
      <w:r>
        <w:rPr>
          <w:sz w:val="24"/>
          <w:szCs w:val="24"/>
        </w:rPr>
        <w:t>ower, LLC is dismissed for lack of jurisdiction.</w:t>
      </w:r>
    </w:p>
    <w:p w:rsidR="00A6485D" w:rsidRPr="00A6485D" w:rsidRDefault="00A6485D" w:rsidP="00FE7FC0">
      <w:pPr>
        <w:pStyle w:val="ListParagraph"/>
        <w:spacing w:line="360" w:lineRule="auto"/>
        <w:rPr>
          <w:sz w:val="24"/>
          <w:szCs w:val="24"/>
        </w:rPr>
      </w:pPr>
    </w:p>
    <w:p w:rsidR="00A6485D" w:rsidRPr="00A6485D" w:rsidRDefault="00A6485D" w:rsidP="00A6485D">
      <w:pPr>
        <w:pStyle w:val="ListParagraph"/>
        <w:numPr>
          <w:ilvl w:val="0"/>
          <w:numId w:val="29"/>
        </w:numPr>
        <w:spacing w:line="360" w:lineRule="auto"/>
        <w:ind w:left="0" w:firstLine="1440"/>
        <w:outlineLvl w:val="0"/>
        <w:rPr>
          <w:sz w:val="24"/>
          <w:szCs w:val="24"/>
        </w:rPr>
      </w:pPr>
      <w:r>
        <w:rPr>
          <w:sz w:val="24"/>
          <w:szCs w:val="24"/>
        </w:rPr>
        <w:t xml:space="preserve">That the docket at Docket </w:t>
      </w:r>
      <w:r w:rsidR="0089435D">
        <w:rPr>
          <w:sz w:val="24"/>
          <w:szCs w:val="24"/>
        </w:rPr>
        <w:t>N</w:t>
      </w:r>
      <w:r>
        <w:rPr>
          <w:sz w:val="24"/>
          <w:szCs w:val="24"/>
        </w:rPr>
        <w:t>o. C-2014-2429158 is marked closed.</w:t>
      </w:r>
    </w:p>
    <w:p w:rsidR="00FE7FC0" w:rsidRPr="00DD2411" w:rsidRDefault="00FE7FC0" w:rsidP="0081696C">
      <w:pPr>
        <w:spacing w:line="360" w:lineRule="auto"/>
        <w:ind w:firstLine="1440"/>
        <w:outlineLvl w:val="0"/>
        <w:rPr>
          <w:sz w:val="24"/>
          <w:szCs w:val="24"/>
        </w:rPr>
      </w:pPr>
    </w:p>
    <w:p w:rsidR="00BB3104" w:rsidRDefault="00BB3104" w:rsidP="00CE68C6">
      <w:pPr>
        <w:spacing w:line="360" w:lineRule="auto"/>
        <w:rPr>
          <w:sz w:val="24"/>
          <w:szCs w:val="24"/>
        </w:rPr>
      </w:pPr>
    </w:p>
    <w:p w:rsidR="00B75140" w:rsidRPr="00B75140" w:rsidRDefault="00DE562E" w:rsidP="00B75140">
      <w:pPr>
        <w:rPr>
          <w:sz w:val="24"/>
          <w:szCs w:val="24"/>
        </w:rPr>
      </w:pPr>
      <w:r w:rsidRPr="00B75140">
        <w:rPr>
          <w:sz w:val="24"/>
          <w:szCs w:val="24"/>
        </w:rPr>
        <w:t>Date:</w:t>
      </w:r>
      <w:r w:rsidR="00FE7FC0">
        <w:rPr>
          <w:sz w:val="24"/>
          <w:szCs w:val="24"/>
        </w:rPr>
        <w:t xml:space="preserve">  </w:t>
      </w:r>
      <w:r w:rsidR="00A6485D" w:rsidRPr="00FE7FC0">
        <w:rPr>
          <w:sz w:val="24"/>
          <w:szCs w:val="24"/>
          <w:u w:val="single"/>
        </w:rPr>
        <w:t>October 9, 2014</w:t>
      </w:r>
      <w:r w:rsidR="001F7F73" w:rsidRPr="00B75140">
        <w:rPr>
          <w:sz w:val="24"/>
          <w:szCs w:val="24"/>
        </w:rPr>
        <w:tab/>
      </w:r>
      <w:r w:rsidR="001F7F73" w:rsidRPr="00B75140">
        <w:rPr>
          <w:sz w:val="24"/>
          <w:szCs w:val="24"/>
        </w:rPr>
        <w:tab/>
      </w:r>
      <w:r w:rsidR="001F7F73" w:rsidRPr="00B75140">
        <w:rPr>
          <w:sz w:val="24"/>
          <w:szCs w:val="24"/>
        </w:rPr>
        <w:tab/>
      </w:r>
      <w:r w:rsidR="001F7F73" w:rsidRPr="00B75140">
        <w:rPr>
          <w:sz w:val="24"/>
          <w:szCs w:val="24"/>
        </w:rPr>
        <w:tab/>
      </w:r>
      <w:r w:rsidR="00F10DD1">
        <w:rPr>
          <w:sz w:val="24"/>
          <w:szCs w:val="24"/>
        </w:rPr>
        <w:tab/>
      </w:r>
      <w:r w:rsidR="00B75140" w:rsidRPr="00B75140">
        <w:rPr>
          <w:sz w:val="24"/>
          <w:szCs w:val="24"/>
          <w:u w:val="single"/>
        </w:rPr>
        <w:tab/>
      </w:r>
      <w:r w:rsidR="00B75140" w:rsidRPr="00B75140">
        <w:rPr>
          <w:sz w:val="24"/>
          <w:szCs w:val="24"/>
          <w:u w:val="single"/>
        </w:rPr>
        <w:tab/>
        <w:t>/s/</w:t>
      </w:r>
      <w:r w:rsidR="00B75140" w:rsidRPr="00B75140">
        <w:rPr>
          <w:sz w:val="24"/>
          <w:szCs w:val="24"/>
          <w:u w:val="single"/>
        </w:rPr>
        <w:tab/>
      </w:r>
      <w:r w:rsidR="00B75140" w:rsidRPr="00B75140">
        <w:rPr>
          <w:sz w:val="24"/>
          <w:szCs w:val="24"/>
          <w:u w:val="single"/>
        </w:rPr>
        <w:tab/>
      </w:r>
      <w:r w:rsidR="00B75140" w:rsidRPr="00B75140">
        <w:rPr>
          <w:sz w:val="24"/>
          <w:szCs w:val="24"/>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F10DD1">
        <w:rPr>
          <w:sz w:val="24"/>
          <w:szCs w:val="24"/>
        </w:rPr>
        <w:tab/>
      </w:r>
      <w:r>
        <w:rPr>
          <w:sz w:val="24"/>
          <w:szCs w:val="24"/>
        </w:rPr>
        <w:t>Ember S. Jandebeur</w:t>
      </w:r>
    </w:p>
    <w:p w:rsidR="00D671F6" w:rsidRDefault="00DE562E" w:rsidP="00726E77">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F10DD1">
        <w:rPr>
          <w:sz w:val="24"/>
          <w:szCs w:val="24"/>
        </w:rPr>
        <w:tab/>
      </w:r>
      <w:r w:rsidRPr="00DE562E">
        <w:rPr>
          <w:sz w:val="24"/>
          <w:szCs w:val="24"/>
        </w:rPr>
        <w:t>Administrative Law Judge</w:t>
      </w:r>
    </w:p>
    <w:sectPr w:rsidR="00D671F6" w:rsidSect="008A25D0">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AA1" w:rsidRDefault="008C7AA1">
      <w:r>
        <w:separator/>
      </w:r>
    </w:p>
  </w:endnote>
  <w:endnote w:type="continuationSeparator" w:id="0">
    <w:p w:rsidR="008C7AA1" w:rsidRDefault="008C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1D386D">
      <w:rPr>
        <w:rStyle w:val="PageNumber"/>
        <w:noProof/>
        <w:sz w:val="20"/>
        <w:szCs w:val="20"/>
      </w:rPr>
      <w:t>7</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AA1" w:rsidRDefault="008C7AA1">
      <w:r>
        <w:separator/>
      </w:r>
    </w:p>
  </w:footnote>
  <w:footnote w:type="continuationSeparator" w:id="0">
    <w:p w:rsidR="008C7AA1" w:rsidRDefault="008C7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3291DC8"/>
    <w:multiLevelType w:val="hybridMultilevel"/>
    <w:tmpl w:val="45EE4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25A596E"/>
    <w:multiLevelType w:val="hybridMultilevel"/>
    <w:tmpl w:val="33E2DB64"/>
    <w:lvl w:ilvl="0" w:tplc="0422D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nsid w:val="4D575340"/>
    <w:multiLevelType w:val="hybridMultilevel"/>
    <w:tmpl w:val="72989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872C92"/>
    <w:multiLevelType w:val="hybridMultilevel"/>
    <w:tmpl w:val="53AA3A78"/>
    <w:lvl w:ilvl="0" w:tplc="47C6E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8"/>
  </w:num>
  <w:num w:numId="4">
    <w:abstractNumId w:val="2"/>
  </w:num>
  <w:num w:numId="5">
    <w:abstractNumId w:val="15"/>
  </w:num>
  <w:num w:numId="6">
    <w:abstractNumId w:val="9"/>
  </w:num>
  <w:num w:numId="7">
    <w:abstractNumId w:val="6"/>
  </w:num>
  <w:num w:numId="8">
    <w:abstractNumId w:val="0"/>
  </w:num>
  <w:num w:numId="9">
    <w:abstractNumId w:val="16"/>
  </w:num>
  <w:num w:numId="10">
    <w:abstractNumId w:val="20"/>
  </w:num>
  <w:num w:numId="11">
    <w:abstractNumId w:val="17"/>
  </w:num>
  <w:num w:numId="12">
    <w:abstractNumId w:val="27"/>
  </w:num>
  <w:num w:numId="13">
    <w:abstractNumId w:val="1"/>
  </w:num>
  <w:num w:numId="14">
    <w:abstractNumId w:val="7"/>
  </w:num>
  <w:num w:numId="15">
    <w:abstractNumId w:val="23"/>
  </w:num>
  <w:num w:numId="16">
    <w:abstractNumId w:val="25"/>
  </w:num>
  <w:num w:numId="17">
    <w:abstractNumId w:val="10"/>
  </w:num>
  <w:num w:numId="18">
    <w:abstractNumId w:val="4"/>
  </w:num>
  <w:num w:numId="19">
    <w:abstractNumId w:val="21"/>
  </w:num>
  <w:num w:numId="20">
    <w:abstractNumId w:val="3"/>
  </w:num>
  <w:num w:numId="21">
    <w:abstractNumId w:val="5"/>
  </w:num>
  <w:num w:numId="22">
    <w:abstractNumId w:val="13"/>
  </w:num>
  <w:num w:numId="23">
    <w:abstractNumId w:val="14"/>
  </w:num>
  <w:num w:numId="24">
    <w:abstractNumId w:val="26"/>
  </w:num>
  <w:num w:numId="25">
    <w:abstractNumId w:val="24"/>
  </w:num>
  <w:num w:numId="26">
    <w:abstractNumId w:val="8"/>
  </w:num>
  <w:num w:numId="27">
    <w:abstractNumId w:val="12"/>
  </w:num>
  <w:num w:numId="28">
    <w:abstractNumId w:val="1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4A86"/>
    <w:rsid w:val="00035C05"/>
    <w:rsid w:val="00035E78"/>
    <w:rsid w:val="000376EF"/>
    <w:rsid w:val="00042626"/>
    <w:rsid w:val="000539D6"/>
    <w:rsid w:val="00055A89"/>
    <w:rsid w:val="000573C2"/>
    <w:rsid w:val="000578FC"/>
    <w:rsid w:val="00064F92"/>
    <w:rsid w:val="0006610A"/>
    <w:rsid w:val="0006622C"/>
    <w:rsid w:val="00070722"/>
    <w:rsid w:val="00070E25"/>
    <w:rsid w:val="0007126E"/>
    <w:rsid w:val="000728A4"/>
    <w:rsid w:val="00075A22"/>
    <w:rsid w:val="00082976"/>
    <w:rsid w:val="00091672"/>
    <w:rsid w:val="00091CE2"/>
    <w:rsid w:val="00093DB9"/>
    <w:rsid w:val="000967DB"/>
    <w:rsid w:val="000A001F"/>
    <w:rsid w:val="000A1CB9"/>
    <w:rsid w:val="000A20A3"/>
    <w:rsid w:val="000B5F6A"/>
    <w:rsid w:val="000C1763"/>
    <w:rsid w:val="000C6F32"/>
    <w:rsid w:val="000D2CE8"/>
    <w:rsid w:val="000E0BD8"/>
    <w:rsid w:val="000E277A"/>
    <w:rsid w:val="000E2934"/>
    <w:rsid w:val="000E666D"/>
    <w:rsid w:val="000E6B17"/>
    <w:rsid w:val="000F0833"/>
    <w:rsid w:val="000F1894"/>
    <w:rsid w:val="000F1F62"/>
    <w:rsid w:val="000F2F0A"/>
    <w:rsid w:val="000F6118"/>
    <w:rsid w:val="0010177F"/>
    <w:rsid w:val="001027AA"/>
    <w:rsid w:val="00110C23"/>
    <w:rsid w:val="00111D9D"/>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5A5B"/>
    <w:rsid w:val="0015646C"/>
    <w:rsid w:val="001620CA"/>
    <w:rsid w:val="00162898"/>
    <w:rsid w:val="00176F82"/>
    <w:rsid w:val="0018160C"/>
    <w:rsid w:val="001830DD"/>
    <w:rsid w:val="00187B87"/>
    <w:rsid w:val="001930DE"/>
    <w:rsid w:val="00193B6C"/>
    <w:rsid w:val="001A4CC0"/>
    <w:rsid w:val="001A721E"/>
    <w:rsid w:val="001B123C"/>
    <w:rsid w:val="001B3235"/>
    <w:rsid w:val="001C20B7"/>
    <w:rsid w:val="001C715B"/>
    <w:rsid w:val="001D3206"/>
    <w:rsid w:val="001D386D"/>
    <w:rsid w:val="001D6FCF"/>
    <w:rsid w:val="001E4FAC"/>
    <w:rsid w:val="001F0787"/>
    <w:rsid w:val="001F08B4"/>
    <w:rsid w:val="001F2116"/>
    <w:rsid w:val="001F6FC1"/>
    <w:rsid w:val="001F7F73"/>
    <w:rsid w:val="0020095D"/>
    <w:rsid w:val="00215221"/>
    <w:rsid w:val="00220C5E"/>
    <w:rsid w:val="00223E7E"/>
    <w:rsid w:val="00234619"/>
    <w:rsid w:val="0023520D"/>
    <w:rsid w:val="00235C44"/>
    <w:rsid w:val="00236FF7"/>
    <w:rsid w:val="002416AB"/>
    <w:rsid w:val="0024496F"/>
    <w:rsid w:val="00244D86"/>
    <w:rsid w:val="00251D19"/>
    <w:rsid w:val="0025370D"/>
    <w:rsid w:val="00260D19"/>
    <w:rsid w:val="002663A9"/>
    <w:rsid w:val="00272DE7"/>
    <w:rsid w:val="002732DC"/>
    <w:rsid w:val="0028114B"/>
    <w:rsid w:val="0028185A"/>
    <w:rsid w:val="00290918"/>
    <w:rsid w:val="002919C6"/>
    <w:rsid w:val="00293557"/>
    <w:rsid w:val="002959E3"/>
    <w:rsid w:val="002A7C1C"/>
    <w:rsid w:val="002B19D4"/>
    <w:rsid w:val="002B3489"/>
    <w:rsid w:val="002B4EAE"/>
    <w:rsid w:val="002C3FDE"/>
    <w:rsid w:val="002C486F"/>
    <w:rsid w:val="002D13C5"/>
    <w:rsid w:val="002D554B"/>
    <w:rsid w:val="002E0985"/>
    <w:rsid w:val="002F0A98"/>
    <w:rsid w:val="002F66F9"/>
    <w:rsid w:val="002F6BC1"/>
    <w:rsid w:val="00300A0A"/>
    <w:rsid w:val="00300CB7"/>
    <w:rsid w:val="00300F91"/>
    <w:rsid w:val="0030207C"/>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5DEB"/>
    <w:rsid w:val="0035737A"/>
    <w:rsid w:val="003657A8"/>
    <w:rsid w:val="00380450"/>
    <w:rsid w:val="00380AD7"/>
    <w:rsid w:val="00382B1A"/>
    <w:rsid w:val="003857DF"/>
    <w:rsid w:val="00386CDC"/>
    <w:rsid w:val="00392382"/>
    <w:rsid w:val="00394493"/>
    <w:rsid w:val="003959AC"/>
    <w:rsid w:val="00395E03"/>
    <w:rsid w:val="00396DE1"/>
    <w:rsid w:val="003A167D"/>
    <w:rsid w:val="003A6972"/>
    <w:rsid w:val="003B715B"/>
    <w:rsid w:val="003C050F"/>
    <w:rsid w:val="003C0716"/>
    <w:rsid w:val="003C3664"/>
    <w:rsid w:val="003C7143"/>
    <w:rsid w:val="003D139F"/>
    <w:rsid w:val="003D15FA"/>
    <w:rsid w:val="003D3688"/>
    <w:rsid w:val="003D4661"/>
    <w:rsid w:val="003D7EC6"/>
    <w:rsid w:val="003E292B"/>
    <w:rsid w:val="003E594B"/>
    <w:rsid w:val="003F5796"/>
    <w:rsid w:val="003F5965"/>
    <w:rsid w:val="003F69BF"/>
    <w:rsid w:val="00402359"/>
    <w:rsid w:val="004064A8"/>
    <w:rsid w:val="004107FD"/>
    <w:rsid w:val="004126B5"/>
    <w:rsid w:val="00417087"/>
    <w:rsid w:val="0042160A"/>
    <w:rsid w:val="0042193A"/>
    <w:rsid w:val="00422C1A"/>
    <w:rsid w:val="00422E29"/>
    <w:rsid w:val="00424A76"/>
    <w:rsid w:val="00427E73"/>
    <w:rsid w:val="004312BE"/>
    <w:rsid w:val="00431BEF"/>
    <w:rsid w:val="00442854"/>
    <w:rsid w:val="0046339D"/>
    <w:rsid w:val="00476C8A"/>
    <w:rsid w:val="00486535"/>
    <w:rsid w:val="00490174"/>
    <w:rsid w:val="004917C1"/>
    <w:rsid w:val="00491C99"/>
    <w:rsid w:val="00495450"/>
    <w:rsid w:val="00495B88"/>
    <w:rsid w:val="004A1805"/>
    <w:rsid w:val="004A5AD6"/>
    <w:rsid w:val="004B26C0"/>
    <w:rsid w:val="004C3EFA"/>
    <w:rsid w:val="004D1B54"/>
    <w:rsid w:val="004D3108"/>
    <w:rsid w:val="004D46FD"/>
    <w:rsid w:val="004D65F3"/>
    <w:rsid w:val="004E187E"/>
    <w:rsid w:val="004E20CB"/>
    <w:rsid w:val="004E2912"/>
    <w:rsid w:val="004E533F"/>
    <w:rsid w:val="004F2D3D"/>
    <w:rsid w:val="005032B5"/>
    <w:rsid w:val="00515937"/>
    <w:rsid w:val="00517AD1"/>
    <w:rsid w:val="00523780"/>
    <w:rsid w:val="00526B2A"/>
    <w:rsid w:val="00530D1B"/>
    <w:rsid w:val="00531226"/>
    <w:rsid w:val="00531409"/>
    <w:rsid w:val="00535DF7"/>
    <w:rsid w:val="00542107"/>
    <w:rsid w:val="005472AC"/>
    <w:rsid w:val="00553EEB"/>
    <w:rsid w:val="00564C41"/>
    <w:rsid w:val="0056706A"/>
    <w:rsid w:val="00582896"/>
    <w:rsid w:val="00584798"/>
    <w:rsid w:val="0059070D"/>
    <w:rsid w:val="00592C86"/>
    <w:rsid w:val="005A33D0"/>
    <w:rsid w:val="005B13B6"/>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5F5E00"/>
    <w:rsid w:val="006034D3"/>
    <w:rsid w:val="006145C2"/>
    <w:rsid w:val="0062087D"/>
    <w:rsid w:val="006215E0"/>
    <w:rsid w:val="006306EB"/>
    <w:rsid w:val="00634A5C"/>
    <w:rsid w:val="006352B9"/>
    <w:rsid w:val="00635962"/>
    <w:rsid w:val="00641596"/>
    <w:rsid w:val="0064329B"/>
    <w:rsid w:val="006441F5"/>
    <w:rsid w:val="00644E60"/>
    <w:rsid w:val="00645B55"/>
    <w:rsid w:val="00652C21"/>
    <w:rsid w:val="0066237B"/>
    <w:rsid w:val="006656FC"/>
    <w:rsid w:val="00673907"/>
    <w:rsid w:val="006754EC"/>
    <w:rsid w:val="00675607"/>
    <w:rsid w:val="00675986"/>
    <w:rsid w:val="00695694"/>
    <w:rsid w:val="006A21C2"/>
    <w:rsid w:val="006A3B47"/>
    <w:rsid w:val="006A7A0A"/>
    <w:rsid w:val="006C1047"/>
    <w:rsid w:val="006C3226"/>
    <w:rsid w:val="006D4BB7"/>
    <w:rsid w:val="006D75BD"/>
    <w:rsid w:val="006E4407"/>
    <w:rsid w:val="006F44F9"/>
    <w:rsid w:val="007015FC"/>
    <w:rsid w:val="007114E7"/>
    <w:rsid w:val="0071588F"/>
    <w:rsid w:val="00726E77"/>
    <w:rsid w:val="0073239A"/>
    <w:rsid w:val="0073727C"/>
    <w:rsid w:val="00744AF3"/>
    <w:rsid w:val="00747E56"/>
    <w:rsid w:val="00751672"/>
    <w:rsid w:val="0075510C"/>
    <w:rsid w:val="00756050"/>
    <w:rsid w:val="00766C8E"/>
    <w:rsid w:val="0077255F"/>
    <w:rsid w:val="00775593"/>
    <w:rsid w:val="00776A7F"/>
    <w:rsid w:val="00782A08"/>
    <w:rsid w:val="00786153"/>
    <w:rsid w:val="00790EF3"/>
    <w:rsid w:val="00791ABB"/>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7572C"/>
    <w:rsid w:val="008770F4"/>
    <w:rsid w:val="008803F7"/>
    <w:rsid w:val="00881C76"/>
    <w:rsid w:val="0088456C"/>
    <w:rsid w:val="0088763C"/>
    <w:rsid w:val="00893B0E"/>
    <w:rsid w:val="00893F0B"/>
    <w:rsid w:val="0089435D"/>
    <w:rsid w:val="00894839"/>
    <w:rsid w:val="0089761B"/>
    <w:rsid w:val="008A0235"/>
    <w:rsid w:val="008A25D0"/>
    <w:rsid w:val="008A4A69"/>
    <w:rsid w:val="008A60E2"/>
    <w:rsid w:val="008B1A8B"/>
    <w:rsid w:val="008B282A"/>
    <w:rsid w:val="008B2B8B"/>
    <w:rsid w:val="008C7AA1"/>
    <w:rsid w:val="008D6D09"/>
    <w:rsid w:val="008D761F"/>
    <w:rsid w:val="008E3BE1"/>
    <w:rsid w:val="008E5A53"/>
    <w:rsid w:val="008F013A"/>
    <w:rsid w:val="008F22F9"/>
    <w:rsid w:val="008F554F"/>
    <w:rsid w:val="008F6AC3"/>
    <w:rsid w:val="00905953"/>
    <w:rsid w:val="009077E3"/>
    <w:rsid w:val="00910EF2"/>
    <w:rsid w:val="00913B17"/>
    <w:rsid w:val="009166DD"/>
    <w:rsid w:val="0091672D"/>
    <w:rsid w:val="00922FE6"/>
    <w:rsid w:val="009329BB"/>
    <w:rsid w:val="009342E4"/>
    <w:rsid w:val="009343C4"/>
    <w:rsid w:val="009445E9"/>
    <w:rsid w:val="009548C7"/>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1CA4"/>
    <w:rsid w:val="009C22D0"/>
    <w:rsid w:val="009D5A08"/>
    <w:rsid w:val="009E69A1"/>
    <w:rsid w:val="009F24FB"/>
    <w:rsid w:val="009F4939"/>
    <w:rsid w:val="009F620C"/>
    <w:rsid w:val="009F7BD8"/>
    <w:rsid w:val="00A022C7"/>
    <w:rsid w:val="00A02D20"/>
    <w:rsid w:val="00A0627A"/>
    <w:rsid w:val="00A22653"/>
    <w:rsid w:val="00A23BC5"/>
    <w:rsid w:val="00A24F45"/>
    <w:rsid w:val="00A32C62"/>
    <w:rsid w:val="00A345AE"/>
    <w:rsid w:val="00A37985"/>
    <w:rsid w:val="00A409B8"/>
    <w:rsid w:val="00A4383B"/>
    <w:rsid w:val="00A44D7C"/>
    <w:rsid w:val="00A470ED"/>
    <w:rsid w:val="00A475EE"/>
    <w:rsid w:val="00A523A9"/>
    <w:rsid w:val="00A52E9C"/>
    <w:rsid w:val="00A6485D"/>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2008"/>
    <w:rsid w:val="00B0209B"/>
    <w:rsid w:val="00B03092"/>
    <w:rsid w:val="00B0480C"/>
    <w:rsid w:val="00B0541E"/>
    <w:rsid w:val="00B13849"/>
    <w:rsid w:val="00B23067"/>
    <w:rsid w:val="00B2590D"/>
    <w:rsid w:val="00B32E66"/>
    <w:rsid w:val="00B34848"/>
    <w:rsid w:val="00B348DC"/>
    <w:rsid w:val="00B40E21"/>
    <w:rsid w:val="00B45676"/>
    <w:rsid w:val="00B45F71"/>
    <w:rsid w:val="00B5018B"/>
    <w:rsid w:val="00B533F5"/>
    <w:rsid w:val="00B57687"/>
    <w:rsid w:val="00B625D9"/>
    <w:rsid w:val="00B65F86"/>
    <w:rsid w:val="00B665D7"/>
    <w:rsid w:val="00B70860"/>
    <w:rsid w:val="00B71D02"/>
    <w:rsid w:val="00B75140"/>
    <w:rsid w:val="00B87994"/>
    <w:rsid w:val="00B922CF"/>
    <w:rsid w:val="00B94E3D"/>
    <w:rsid w:val="00B97574"/>
    <w:rsid w:val="00BA47D2"/>
    <w:rsid w:val="00BA61F7"/>
    <w:rsid w:val="00BB3104"/>
    <w:rsid w:val="00BB352A"/>
    <w:rsid w:val="00BB7304"/>
    <w:rsid w:val="00BC2D8F"/>
    <w:rsid w:val="00BC2DE6"/>
    <w:rsid w:val="00BC7240"/>
    <w:rsid w:val="00BD42F1"/>
    <w:rsid w:val="00BE1D82"/>
    <w:rsid w:val="00BE6352"/>
    <w:rsid w:val="00BF5F04"/>
    <w:rsid w:val="00C052E4"/>
    <w:rsid w:val="00C1140C"/>
    <w:rsid w:val="00C1195C"/>
    <w:rsid w:val="00C13082"/>
    <w:rsid w:val="00C136F0"/>
    <w:rsid w:val="00C150A5"/>
    <w:rsid w:val="00C1595D"/>
    <w:rsid w:val="00C21F78"/>
    <w:rsid w:val="00C224B0"/>
    <w:rsid w:val="00C25C02"/>
    <w:rsid w:val="00C27A38"/>
    <w:rsid w:val="00C302A8"/>
    <w:rsid w:val="00C322C5"/>
    <w:rsid w:val="00C34D87"/>
    <w:rsid w:val="00C37F96"/>
    <w:rsid w:val="00C419F9"/>
    <w:rsid w:val="00C42127"/>
    <w:rsid w:val="00C426F5"/>
    <w:rsid w:val="00C45D4C"/>
    <w:rsid w:val="00C477B5"/>
    <w:rsid w:val="00C546D2"/>
    <w:rsid w:val="00C61510"/>
    <w:rsid w:val="00C61561"/>
    <w:rsid w:val="00C6634A"/>
    <w:rsid w:val="00C7068E"/>
    <w:rsid w:val="00C769EE"/>
    <w:rsid w:val="00C86201"/>
    <w:rsid w:val="00C908AD"/>
    <w:rsid w:val="00C920E5"/>
    <w:rsid w:val="00C94012"/>
    <w:rsid w:val="00C94BB9"/>
    <w:rsid w:val="00CA1E0E"/>
    <w:rsid w:val="00CA5BA3"/>
    <w:rsid w:val="00CB0D2B"/>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0227"/>
    <w:rsid w:val="00D6261D"/>
    <w:rsid w:val="00D6598A"/>
    <w:rsid w:val="00D65F4B"/>
    <w:rsid w:val="00D671F6"/>
    <w:rsid w:val="00D71653"/>
    <w:rsid w:val="00D72436"/>
    <w:rsid w:val="00D8063C"/>
    <w:rsid w:val="00D926F9"/>
    <w:rsid w:val="00D93182"/>
    <w:rsid w:val="00D961B5"/>
    <w:rsid w:val="00DA7FD6"/>
    <w:rsid w:val="00DB1328"/>
    <w:rsid w:val="00DB7EE0"/>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12CF"/>
    <w:rsid w:val="00E23F95"/>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2A76"/>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10DD1"/>
    <w:rsid w:val="00F2180F"/>
    <w:rsid w:val="00F30DE0"/>
    <w:rsid w:val="00F31732"/>
    <w:rsid w:val="00F31F04"/>
    <w:rsid w:val="00F327E2"/>
    <w:rsid w:val="00F34A38"/>
    <w:rsid w:val="00F375FF"/>
    <w:rsid w:val="00F4063C"/>
    <w:rsid w:val="00F50C2B"/>
    <w:rsid w:val="00F566E6"/>
    <w:rsid w:val="00F702DD"/>
    <w:rsid w:val="00F721A2"/>
    <w:rsid w:val="00F72B51"/>
    <w:rsid w:val="00F734B6"/>
    <w:rsid w:val="00F76C50"/>
    <w:rsid w:val="00F778F3"/>
    <w:rsid w:val="00F84427"/>
    <w:rsid w:val="00F85050"/>
    <w:rsid w:val="00F86303"/>
    <w:rsid w:val="00F95BD7"/>
    <w:rsid w:val="00FA1741"/>
    <w:rsid w:val="00FA53B2"/>
    <w:rsid w:val="00FA6242"/>
    <w:rsid w:val="00FA643C"/>
    <w:rsid w:val="00FA7894"/>
    <w:rsid w:val="00FC4DCA"/>
    <w:rsid w:val="00FC4DD1"/>
    <w:rsid w:val="00FD1DCC"/>
    <w:rsid w:val="00FD2E3D"/>
    <w:rsid w:val="00FE51AD"/>
    <w:rsid w:val="00FE5CAF"/>
    <w:rsid w:val="00FE6157"/>
    <w:rsid w:val="00FE74BE"/>
    <w:rsid w:val="00FE7FC0"/>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D842-8CB0-4486-8F03-C700320A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34</cp:revision>
  <cp:lastPrinted>2014-10-14T13:22:00Z</cp:lastPrinted>
  <dcterms:created xsi:type="dcterms:W3CDTF">2014-10-10T19:36:00Z</dcterms:created>
  <dcterms:modified xsi:type="dcterms:W3CDTF">2014-11-18T15:18:00Z</dcterms:modified>
</cp:coreProperties>
</file>