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105115" w:rsidRDefault="006D33B5" w:rsidP="00E22703">
      <w:pPr>
        <w:jc w:val="center"/>
        <w:rPr>
          <w:b/>
          <w:bCs/>
        </w:rPr>
      </w:pPr>
      <w:r w:rsidRPr="00105115">
        <w:rPr>
          <w:b/>
          <w:bCs/>
        </w:rPr>
        <w:t>BEFORE THE</w:t>
      </w:r>
    </w:p>
    <w:p w:rsidR="006D33B5" w:rsidRPr="00105115" w:rsidRDefault="006D33B5" w:rsidP="00E22703">
      <w:pPr>
        <w:jc w:val="center"/>
        <w:rPr>
          <w:b/>
          <w:bCs/>
        </w:rPr>
      </w:pPr>
      <w:r w:rsidRPr="00105115">
        <w:rPr>
          <w:b/>
          <w:bCs/>
        </w:rPr>
        <w:t>PENNSYLVANIA PUBLIC UTILITY COMMISSION</w:t>
      </w:r>
    </w:p>
    <w:p w:rsidR="00E22703" w:rsidRPr="00105115" w:rsidRDefault="00E22703" w:rsidP="00555AB2">
      <w:pPr>
        <w:rPr>
          <w:bCs/>
        </w:rPr>
      </w:pPr>
    </w:p>
    <w:p w:rsidR="00E22703" w:rsidRPr="00105115" w:rsidRDefault="00E22703" w:rsidP="00555AB2">
      <w:pPr>
        <w:rPr>
          <w:bCs/>
        </w:rPr>
      </w:pPr>
    </w:p>
    <w:p w:rsidR="00E22703" w:rsidRPr="00105115" w:rsidRDefault="00E22703" w:rsidP="00555AB2">
      <w:pPr>
        <w:rPr>
          <w:bCs/>
        </w:rPr>
      </w:pPr>
    </w:p>
    <w:p w:rsidR="00144276" w:rsidRPr="00105115" w:rsidRDefault="00144276" w:rsidP="00144276">
      <w:pPr>
        <w:tabs>
          <w:tab w:val="left" w:pos="-720"/>
        </w:tabs>
        <w:suppressAutoHyphens/>
        <w:jc w:val="both"/>
        <w:rPr>
          <w:spacing w:val="-3"/>
        </w:rPr>
      </w:pPr>
      <w:r w:rsidRPr="00105115">
        <w:rPr>
          <w:spacing w:val="-3"/>
        </w:rPr>
        <w:t>Enrico Partners</w:t>
      </w:r>
      <w:r w:rsidR="007D41A0" w:rsidRPr="00105115">
        <w:rPr>
          <w:spacing w:val="-3"/>
        </w:rPr>
        <w:t xml:space="preserve"> L.P.</w:t>
      </w: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fldChar w:fldCharType="begin"/>
      </w:r>
      <w:r w:rsidRPr="00105115">
        <w:rPr>
          <w:spacing w:val="-3"/>
        </w:rPr>
        <w:instrText>fillin "Complainant's name" \d ""</w:instrText>
      </w:r>
      <w:r w:rsidRPr="00105115">
        <w:rPr>
          <w:spacing w:val="-3"/>
        </w:rPr>
        <w:fldChar w:fldCharType="end"/>
      </w:r>
      <w:r w:rsidRPr="00105115">
        <w:rPr>
          <w:spacing w:val="-3"/>
        </w:rPr>
        <w:t>:</w:t>
      </w:r>
    </w:p>
    <w:p w:rsidR="00144276" w:rsidRPr="00105115" w:rsidRDefault="00144276" w:rsidP="00144276">
      <w:pPr>
        <w:tabs>
          <w:tab w:val="left" w:pos="-720"/>
        </w:tabs>
        <w:suppressAutoHyphens/>
        <w:jc w:val="both"/>
        <w:rPr>
          <w:spacing w:val="-3"/>
        </w:rPr>
      </w:pP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t>:</w:t>
      </w:r>
    </w:p>
    <w:p w:rsidR="00144276" w:rsidRPr="00105115" w:rsidRDefault="00144276" w:rsidP="00144276">
      <w:pPr>
        <w:tabs>
          <w:tab w:val="left" w:pos="-720"/>
        </w:tabs>
        <w:suppressAutoHyphens/>
        <w:jc w:val="both"/>
        <w:rPr>
          <w:spacing w:val="-3"/>
        </w:rPr>
      </w:pPr>
      <w:r w:rsidRPr="00105115">
        <w:rPr>
          <w:spacing w:val="-3"/>
        </w:rPr>
        <w:tab/>
        <w:t>v.</w:t>
      </w: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t>:</w:t>
      </w:r>
      <w:r w:rsidRPr="00105115">
        <w:rPr>
          <w:spacing w:val="-3"/>
        </w:rPr>
        <w:tab/>
      </w:r>
      <w:r w:rsidRPr="00105115">
        <w:rPr>
          <w:spacing w:val="-3"/>
        </w:rPr>
        <w:tab/>
        <w:t>C-2014-2432979</w:t>
      </w:r>
    </w:p>
    <w:p w:rsidR="00144276" w:rsidRPr="00105115" w:rsidRDefault="00144276" w:rsidP="00144276">
      <w:pPr>
        <w:tabs>
          <w:tab w:val="left" w:pos="-720"/>
        </w:tabs>
        <w:suppressAutoHyphens/>
        <w:jc w:val="both"/>
        <w:rPr>
          <w:spacing w:val="-3"/>
        </w:rPr>
      </w:pP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r>
      <w:r w:rsidRPr="00105115">
        <w:rPr>
          <w:spacing w:val="-3"/>
        </w:rPr>
        <w:tab/>
        <w:t>:</w:t>
      </w:r>
    </w:p>
    <w:p w:rsidR="00144276" w:rsidRPr="00105115" w:rsidRDefault="00144276" w:rsidP="00144276">
      <w:pPr>
        <w:tabs>
          <w:tab w:val="left" w:pos="-720"/>
        </w:tabs>
        <w:suppressAutoHyphens/>
        <w:jc w:val="both"/>
        <w:rPr>
          <w:spacing w:val="-3"/>
        </w:rPr>
      </w:pPr>
      <w:r w:rsidRPr="00105115">
        <w:rPr>
          <w:spacing w:val="-3"/>
        </w:rPr>
        <w:t>Blue Pilot Energy, LLC</w:t>
      </w:r>
      <w:r w:rsidRPr="00105115">
        <w:rPr>
          <w:spacing w:val="-3"/>
        </w:rPr>
        <w:tab/>
      </w:r>
      <w:r w:rsidRPr="00105115">
        <w:rPr>
          <w:spacing w:val="-3"/>
        </w:rPr>
        <w:tab/>
      </w:r>
      <w:r w:rsidRPr="00105115">
        <w:rPr>
          <w:spacing w:val="-3"/>
        </w:rPr>
        <w:tab/>
      </w:r>
      <w:r w:rsidRPr="00105115">
        <w:rPr>
          <w:spacing w:val="-3"/>
        </w:rPr>
        <w:tab/>
        <w:t>:</w:t>
      </w:r>
    </w:p>
    <w:p w:rsidR="0062545F" w:rsidRPr="00105115" w:rsidRDefault="0062545F" w:rsidP="0062545F">
      <w:pPr>
        <w:tabs>
          <w:tab w:val="left" w:pos="-720"/>
        </w:tabs>
        <w:suppressAutoHyphens/>
        <w:rPr>
          <w:spacing w:val="-3"/>
        </w:rPr>
      </w:pPr>
    </w:p>
    <w:p w:rsidR="0062545F" w:rsidRPr="00105115" w:rsidRDefault="0062545F" w:rsidP="0062545F">
      <w:pPr>
        <w:tabs>
          <w:tab w:val="left" w:pos="-720"/>
        </w:tabs>
        <w:suppressAutoHyphens/>
        <w:rPr>
          <w:spacing w:val="-3"/>
        </w:rPr>
      </w:pPr>
    </w:p>
    <w:p w:rsidR="0062545F" w:rsidRPr="00105115" w:rsidRDefault="003435F0" w:rsidP="0062545F">
      <w:pPr>
        <w:tabs>
          <w:tab w:val="center" w:pos="4680"/>
        </w:tabs>
        <w:suppressAutoHyphens/>
        <w:jc w:val="center"/>
        <w:rPr>
          <w:b/>
          <w:bCs/>
          <w:spacing w:val="-3"/>
          <w:u w:val="single"/>
        </w:rPr>
      </w:pPr>
      <w:r w:rsidRPr="00105115">
        <w:rPr>
          <w:b/>
          <w:bCs/>
          <w:spacing w:val="-3"/>
          <w:u w:val="single"/>
        </w:rPr>
        <w:t>BRIEFING</w:t>
      </w:r>
      <w:r w:rsidR="00CB748F" w:rsidRPr="00105115">
        <w:rPr>
          <w:b/>
          <w:bCs/>
          <w:spacing w:val="-3"/>
          <w:u w:val="single"/>
        </w:rPr>
        <w:t xml:space="preserve"> </w:t>
      </w:r>
      <w:r w:rsidR="0062545F" w:rsidRPr="00105115">
        <w:rPr>
          <w:b/>
          <w:bCs/>
          <w:spacing w:val="-3"/>
          <w:u w:val="single"/>
        </w:rPr>
        <w:t>ORDER</w:t>
      </w:r>
      <w:r w:rsidR="00D63DAC">
        <w:rPr>
          <w:b/>
          <w:bCs/>
          <w:spacing w:val="-3"/>
          <w:u w:val="single"/>
        </w:rPr>
        <w:t xml:space="preserve"> #2</w:t>
      </w:r>
    </w:p>
    <w:p w:rsidR="0062545F" w:rsidRPr="00105115" w:rsidRDefault="0062545F" w:rsidP="0062545F">
      <w:pPr>
        <w:tabs>
          <w:tab w:val="center" w:pos="4680"/>
        </w:tabs>
        <w:suppressAutoHyphens/>
        <w:jc w:val="center"/>
        <w:rPr>
          <w:b/>
          <w:bCs/>
          <w:spacing w:val="-3"/>
          <w:u w:val="single"/>
        </w:rPr>
      </w:pPr>
    </w:p>
    <w:p w:rsidR="0062545F" w:rsidRPr="00105115" w:rsidRDefault="0062545F" w:rsidP="0062545F">
      <w:pPr>
        <w:tabs>
          <w:tab w:val="center" w:pos="4680"/>
        </w:tabs>
        <w:suppressAutoHyphens/>
        <w:jc w:val="center"/>
        <w:rPr>
          <w:b/>
          <w:bCs/>
          <w:spacing w:val="-3"/>
        </w:rPr>
      </w:pPr>
    </w:p>
    <w:p w:rsidR="007D41A0" w:rsidRPr="00105115" w:rsidRDefault="007D41A0" w:rsidP="00A0368E">
      <w:pPr>
        <w:pStyle w:val="BodyTextIndent"/>
        <w:spacing w:line="360" w:lineRule="auto"/>
        <w:ind w:left="0" w:firstLine="1440"/>
        <w:jc w:val="left"/>
        <w:rPr>
          <w:sz w:val="24"/>
          <w:szCs w:val="24"/>
        </w:rPr>
      </w:pPr>
      <w:r w:rsidRPr="00105115">
        <w:rPr>
          <w:sz w:val="24"/>
          <w:szCs w:val="24"/>
        </w:rPr>
        <w:t xml:space="preserve">On July 18, 2014, Enrico Partners L.P. filed with the Pennsylvania Public Utility Commission a formal Complaint against Blue Pilot Energy LLC.  On August 20, 2014, Enrico amended the Complaint to include PECO Energy Company as a respondent.  In its Complaint, Enrico averred that </w:t>
      </w:r>
      <w:r w:rsidR="00C44527" w:rsidRPr="00105115">
        <w:rPr>
          <w:sz w:val="24"/>
          <w:szCs w:val="24"/>
        </w:rPr>
        <w:t xml:space="preserve">there are incorrect charges on </w:t>
      </w:r>
      <w:r w:rsidR="00105115" w:rsidRPr="00105115">
        <w:rPr>
          <w:sz w:val="24"/>
          <w:szCs w:val="24"/>
        </w:rPr>
        <w:t>the electric generation portion of its electric</w:t>
      </w:r>
      <w:r w:rsidR="00C44527" w:rsidRPr="00105115">
        <w:rPr>
          <w:sz w:val="24"/>
          <w:szCs w:val="24"/>
        </w:rPr>
        <w:t xml:space="preserve"> bill.  Enrico explained that Blue Pilot billed them in excess of their contractual rate of 7.9 cents per kilowatt hour (</w:t>
      </w:r>
      <w:proofErr w:type="gramStart"/>
      <w:r w:rsidR="00C44527" w:rsidRPr="00105115">
        <w:rPr>
          <w:sz w:val="24"/>
          <w:szCs w:val="24"/>
        </w:rPr>
        <w:t>kwh</w:t>
      </w:r>
      <w:proofErr w:type="gramEnd"/>
      <w:r w:rsidR="00C44527" w:rsidRPr="00105115">
        <w:rPr>
          <w:sz w:val="24"/>
          <w:szCs w:val="24"/>
        </w:rPr>
        <w:t xml:space="preserve">) </w:t>
      </w:r>
      <w:r w:rsidR="00105115" w:rsidRPr="00105115">
        <w:rPr>
          <w:sz w:val="24"/>
          <w:szCs w:val="24"/>
        </w:rPr>
        <w:t xml:space="preserve">at a rate of </w:t>
      </w:r>
      <w:r w:rsidR="00C44527" w:rsidRPr="00105115">
        <w:rPr>
          <w:sz w:val="24"/>
          <w:szCs w:val="24"/>
        </w:rPr>
        <w:t>24.9 cents per kwh</w:t>
      </w:r>
      <w:r w:rsidR="00310067" w:rsidRPr="00105115">
        <w:rPr>
          <w:sz w:val="24"/>
          <w:szCs w:val="24"/>
        </w:rPr>
        <w:t xml:space="preserve">.  Enrico further averred that, pursuant to its contract, the rate charged should have gone down during the period in question, not up.  Enrico requested that its bills be adjusted to the rate of 7.9 cents per </w:t>
      </w:r>
      <w:proofErr w:type="gramStart"/>
      <w:r w:rsidR="00310067" w:rsidRPr="00105115">
        <w:rPr>
          <w:sz w:val="24"/>
          <w:szCs w:val="24"/>
        </w:rPr>
        <w:t>kwh</w:t>
      </w:r>
      <w:proofErr w:type="gramEnd"/>
      <w:r w:rsidR="00310067" w:rsidRPr="00105115">
        <w:rPr>
          <w:sz w:val="24"/>
          <w:szCs w:val="24"/>
        </w:rPr>
        <w:t xml:space="preserve"> and attached several documents to its Complaint in support of its position.</w:t>
      </w:r>
    </w:p>
    <w:p w:rsidR="00310067" w:rsidRPr="00105115" w:rsidRDefault="00310067" w:rsidP="00A0368E">
      <w:pPr>
        <w:pStyle w:val="BodyTextIndent"/>
        <w:spacing w:line="360" w:lineRule="auto"/>
        <w:ind w:left="0" w:firstLine="1440"/>
        <w:jc w:val="left"/>
        <w:rPr>
          <w:sz w:val="24"/>
          <w:szCs w:val="24"/>
        </w:rPr>
      </w:pPr>
    </w:p>
    <w:p w:rsidR="00310067" w:rsidRPr="00105115" w:rsidRDefault="00310067" w:rsidP="00A0368E">
      <w:pPr>
        <w:pStyle w:val="BodyTextIndent"/>
        <w:spacing w:line="360" w:lineRule="auto"/>
        <w:ind w:left="0" w:firstLine="1440"/>
        <w:jc w:val="left"/>
        <w:rPr>
          <w:sz w:val="24"/>
          <w:szCs w:val="24"/>
        </w:rPr>
      </w:pPr>
      <w:r w:rsidRPr="00105115">
        <w:rPr>
          <w:sz w:val="24"/>
          <w:szCs w:val="24"/>
        </w:rPr>
        <w:t xml:space="preserve">On August 8, 2014, Blue Pilot filed an Answer to the Complaint generally denying the various averments </w:t>
      </w:r>
      <w:proofErr w:type="gramStart"/>
      <w:r w:rsidRPr="00105115">
        <w:rPr>
          <w:sz w:val="24"/>
          <w:szCs w:val="24"/>
        </w:rPr>
        <w:t>raised</w:t>
      </w:r>
      <w:proofErr w:type="gramEnd"/>
      <w:r w:rsidRPr="00105115">
        <w:rPr>
          <w:sz w:val="24"/>
          <w:szCs w:val="24"/>
        </w:rPr>
        <w:t xml:space="preserve"> in the Complaint and raising numerous affirmative defenses.  Blue Pilot concluded that Enrico’s Complaint </w:t>
      </w:r>
      <w:r w:rsidR="00105115" w:rsidRPr="00105115">
        <w:rPr>
          <w:sz w:val="24"/>
          <w:szCs w:val="24"/>
        </w:rPr>
        <w:t xml:space="preserve">should </w:t>
      </w:r>
      <w:r w:rsidRPr="00105115">
        <w:rPr>
          <w:sz w:val="24"/>
          <w:szCs w:val="24"/>
        </w:rPr>
        <w:t>be dismissed with prejudice.</w:t>
      </w:r>
    </w:p>
    <w:p w:rsidR="00310067" w:rsidRPr="00105115" w:rsidRDefault="00310067" w:rsidP="00A0368E">
      <w:pPr>
        <w:pStyle w:val="BodyTextIndent"/>
        <w:spacing w:line="360" w:lineRule="auto"/>
        <w:ind w:left="0" w:firstLine="1440"/>
        <w:jc w:val="left"/>
        <w:rPr>
          <w:sz w:val="24"/>
          <w:szCs w:val="24"/>
        </w:rPr>
      </w:pPr>
    </w:p>
    <w:p w:rsidR="00310067" w:rsidRPr="00105115" w:rsidRDefault="00310067" w:rsidP="00A0368E">
      <w:pPr>
        <w:pStyle w:val="BodyTextIndent"/>
        <w:spacing w:line="360" w:lineRule="auto"/>
        <w:ind w:left="0" w:firstLine="1440"/>
        <w:jc w:val="left"/>
        <w:rPr>
          <w:sz w:val="24"/>
          <w:szCs w:val="24"/>
        </w:rPr>
      </w:pPr>
      <w:r w:rsidRPr="00105115">
        <w:rPr>
          <w:sz w:val="24"/>
          <w:szCs w:val="24"/>
        </w:rPr>
        <w:t>On August 18, 2014, the Commission issued a Telephonic Hearing Notice scheduling an Initial Telephonic Hearing for this matter for Monday, October 6, 2014 at 2:00 p.m. and assigning me as the Presiding Officer.  A Prehearing Order was issued on August 21, 2014 setting forth various procedural rules that would govern the Hearing.</w:t>
      </w:r>
    </w:p>
    <w:p w:rsidR="00310067" w:rsidRPr="00105115" w:rsidRDefault="00310067" w:rsidP="00A0368E">
      <w:pPr>
        <w:pStyle w:val="BodyTextIndent"/>
        <w:spacing w:line="360" w:lineRule="auto"/>
        <w:ind w:left="0" w:firstLine="1440"/>
        <w:jc w:val="left"/>
        <w:rPr>
          <w:sz w:val="24"/>
          <w:szCs w:val="24"/>
        </w:rPr>
      </w:pPr>
    </w:p>
    <w:p w:rsidR="00310067" w:rsidRPr="00105115" w:rsidRDefault="00310067" w:rsidP="00A0368E">
      <w:pPr>
        <w:pStyle w:val="BodyTextIndent"/>
        <w:spacing w:line="360" w:lineRule="auto"/>
        <w:ind w:left="0" w:firstLine="1440"/>
        <w:jc w:val="left"/>
        <w:rPr>
          <w:sz w:val="24"/>
          <w:szCs w:val="24"/>
        </w:rPr>
      </w:pPr>
      <w:r w:rsidRPr="00105115">
        <w:rPr>
          <w:sz w:val="24"/>
          <w:szCs w:val="24"/>
        </w:rPr>
        <w:lastRenderedPageBreak/>
        <w:t xml:space="preserve">On September 18, 2014, PECO filed Preliminary Objections in response to the Complaint.  However, also on September 18, 2014, PECO filed a Certificate of Satisfaction formally concluding </w:t>
      </w:r>
      <w:r w:rsidR="00105115" w:rsidRPr="00105115">
        <w:rPr>
          <w:sz w:val="24"/>
          <w:szCs w:val="24"/>
        </w:rPr>
        <w:t xml:space="preserve">its involvement </w:t>
      </w:r>
      <w:r w:rsidRPr="00105115">
        <w:rPr>
          <w:sz w:val="24"/>
          <w:szCs w:val="24"/>
        </w:rPr>
        <w:t>the matter.</w:t>
      </w:r>
    </w:p>
    <w:p w:rsidR="00310067" w:rsidRPr="00105115" w:rsidRDefault="00310067" w:rsidP="00A0368E">
      <w:pPr>
        <w:pStyle w:val="BodyTextIndent"/>
        <w:spacing w:line="360" w:lineRule="auto"/>
        <w:ind w:left="0" w:firstLine="1440"/>
        <w:jc w:val="left"/>
        <w:rPr>
          <w:sz w:val="24"/>
          <w:szCs w:val="24"/>
        </w:rPr>
      </w:pPr>
    </w:p>
    <w:p w:rsidR="00310067" w:rsidRPr="00105115" w:rsidRDefault="00310067" w:rsidP="00A0368E">
      <w:pPr>
        <w:pStyle w:val="BodyTextIndent"/>
        <w:spacing w:line="360" w:lineRule="auto"/>
        <w:ind w:left="0" w:firstLine="1440"/>
        <w:jc w:val="left"/>
        <w:rPr>
          <w:sz w:val="24"/>
          <w:szCs w:val="24"/>
        </w:rPr>
      </w:pPr>
      <w:r w:rsidRPr="00105115">
        <w:rPr>
          <w:sz w:val="24"/>
          <w:szCs w:val="24"/>
        </w:rPr>
        <w:t>On October 6, 2014, the Initial Telephonic Hearing convened as scheduled.  W. Kent Silvers, Esquire appeared on behalf of Enrico and presented one witness who sponsored four exhibits that were admitted into the record.  Karen Moury, Esquire appeared on behalf of Blue Pilot and presented no witnesses and admitted no exhibits.</w:t>
      </w:r>
    </w:p>
    <w:p w:rsidR="00310067" w:rsidRPr="00105115" w:rsidRDefault="00310067" w:rsidP="00A0368E">
      <w:pPr>
        <w:pStyle w:val="BodyTextIndent"/>
        <w:spacing w:line="360" w:lineRule="auto"/>
        <w:ind w:left="0" w:firstLine="1440"/>
        <w:jc w:val="left"/>
        <w:rPr>
          <w:sz w:val="24"/>
          <w:szCs w:val="24"/>
        </w:rPr>
      </w:pPr>
    </w:p>
    <w:p w:rsidR="003435F0" w:rsidRPr="004225AB" w:rsidRDefault="00310067" w:rsidP="00276741">
      <w:pPr>
        <w:pStyle w:val="BodyTextIndent"/>
        <w:spacing w:line="360" w:lineRule="auto"/>
        <w:ind w:left="0" w:firstLine="1440"/>
        <w:jc w:val="left"/>
        <w:rPr>
          <w:sz w:val="24"/>
          <w:szCs w:val="24"/>
        </w:rPr>
      </w:pPr>
      <w:r w:rsidRPr="00105115">
        <w:rPr>
          <w:sz w:val="24"/>
          <w:szCs w:val="24"/>
        </w:rPr>
        <w:t xml:space="preserve">At the conclusion of the Hearing, it was determined that </w:t>
      </w:r>
      <w:r w:rsidR="00276741" w:rsidRPr="00105115">
        <w:rPr>
          <w:sz w:val="24"/>
          <w:szCs w:val="24"/>
        </w:rPr>
        <w:t xml:space="preserve">briefs should be filed.  </w:t>
      </w:r>
      <w:r w:rsidR="004225AB">
        <w:rPr>
          <w:sz w:val="24"/>
          <w:szCs w:val="24"/>
        </w:rPr>
        <w:t>As a result, a</w:t>
      </w:r>
      <w:r w:rsidR="004225AB" w:rsidRPr="004225AB">
        <w:rPr>
          <w:sz w:val="24"/>
          <w:szCs w:val="24"/>
        </w:rPr>
        <w:t xml:space="preserve"> Briefing Order was issued on October 8, 2014 establishing</w:t>
      </w:r>
      <w:r w:rsidR="004759D8">
        <w:rPr>
          <w:sz w:val="24"/>
          <w:szCs w:val="24"/>
        </w:rPr>
        <w:t xml:space="preserve"> Main Brief </w:t>
      </w:r>
      <w:r w:rsidR="004225AB" w:rsidRPr="004225AB">
        <w:rPr>
          <w:sz w:val="24"/>
          <w:szCs w:val="24"/>
        </w:rPr>
        <w:t xml:space="preserve">due date of November 17, 2014 and </w:t>
      </w:r>
      <w:r w:rsidR="004759D8">
        <w:rPr>
          <w:sz w:val="24"/>
          <w:szCs w:val="24"/>
        </w:rPr>
        <w:t xml:space="preserve">a Reply Brief due date of </w:t>
      </w:r>
      <w:r w:rsidR="004225AB" w:rsidRPr="004225AB">
        <w:rPr>
          <w:sz w:val="24"/>
          <w:szCs w:val="24"/>
        </w:rPr>
        <w:t>December 1, 2014, as well as establishing other procedural matters regarding the briefs.</w:t>
      </w:r>
    </w:p>
    <w:p w:rsidR="004225AB" w:rsidRPr="004225AB" w:rsidRDefault="004225AB" w:rsidP="00276741">
      <w:pPr>
        <w:pStyle w:val="BodyTextIndent"/>
        <w:spacing w:line="360" w:lineRule="auto"/>
        <w:ind w:left="0" w:firstLine="1440"/>
        <w:jc w:val="left"/>
        <w:rPr>
          <w:sz w:val="24"/>
          <w:szCs w:val="24"/>
        </w:rPr>
      </w:pPr>
    </w:p>
    <w:p w:rsidR="004225AB" w:rsidRPr="00717B1B" w:rsidRDefault="004225AB" w:rsidP="00276741">
      <w:pPr>
        <w:pStyle w:val="BodyTextIndent"/>
        <w:spacing w:line="360" w:lineRule="auto"/>
        <w:ind w:left="0" w:firstLine="1440"/>
        <w:jc w:val="left"/>
        <w:rPr>
          <w:sz w:val="24"/>
          <w:szCs w:val="24"/>
        </w:rPr>
      </w:pPr>
      <w:r w:rsidRPr="004225AB">
        <w:rPr>
          <w:sz w:val="24"/>
          <w:szCs w:val="24"/>
        </w:rPr>
        <w:t>On</w:t>
      </w:r>
      <w:r>
        <w:rPr>
          <w:sz w:val="24"/>
          <w:szCs w:val="24"/>
        </w:rPr>
        <w:t xml:space="preserve"> </w:t>
      </w:r>
      <w:r w:rsidR="00C35ACA">
        <w:rPr>
          <w:sz w:val="24"/>
          <w:szCs w:val="24"/>
        </w:rPr>
        <w:t xml:space="preserve">November 13, 2014, Blue Pilot </w:t>
      </w:r>
      <w:r w:rsidR="00A339BB">
        <w:rPr>
          <w:sz w:val="24"/>
          <w:szCs w:val="24"/>
        </w:rPr>
        <w:t xml:space="preserve">filed a Motion for Extension of Time to File Briefs.  In its Motion, Blue Pilot sought an extension of time to December 3, 2014 for the filing of Main Briefs and to December 12, 2014 for the filing of Reply Briefs.  Blue Pilot indicated that it is authorized to represent that counsel for Enrico Partners joined the Motion.  Blue Pilot noted that the parties are continuing to engage in settlement discussions and that more time to file the briefs would facilitate these efforts.  Blue Pilot further noted that the Commission was expected to act soon on a Petition for Interlocutory Review filed in a similar case and that additional time for filing a brief would enable the </w:t>
      </w:r>
      <w:r w:rsidR="00A339BB" w:rsidRPr="00717B1B">
        <w:rPr>
          <w:sz w:val="24"/>
          <w:szCs w:val="24"/>
        </w:rPr>
        <w:t>parties to fully evaluate the effects of that order on settlement discussions.</w:t>
      </w:r>
    </w:p>
    <w:p w:rsidR="00A339BB" w:rsidRPr="00717B1B" w:rsidRDefault="00A339BB" w:rsidP="00276741">
      <w:pPr>
        <w:pStyle w:val="BodyTextIndent"/>
        <w:spacing w:line="360" w:lineRule="auto"/>
        <w:ind w:left="0" w:firstLine="1440"/>
        <w:jc w:val="left"/>
        <w:rPr>
          <w:sz w:val="24"/>
          <w:szCs w:val="24"/>
        </w:rPr>
      </w:pPr>
    </w:p>
    <w:p w:rsidR="00A339BB" w:rsidRPr="00717B1B" w:rsidRDefault="00A339BB" w:rsidP="00276741">
      <w:pPr>
        <w:pStyle w:val="BodyTextIndent"/>
        <w:spacing w:line="360" w:lineRule="auto"/>
        <w:ind w:left="0" w:firstLine="1440"/>
        <w:jc w:val="left"/>
        <w:rPr>
          <w:sz w:val="24"/>
          <w:szCs w:val="24"/>
        </w:rPr>
      </w:pPr>
      <w:r w:rsidRPr="00717B1B">
        <w:rPr>
          <w:sz w:val="24"/>
          <w:szCs w:val="24"/>
        </w:rPr>
        <w:t xml:space="preserve">As the Motion was unopposed and reasonable, the parties were informed prior to the issuance of a formal Order </w:t>
      </w:r>
      <w:r w:rsidR="00717B1B" w:rsidRPr="00717B1B">
        <w:rPr>
          <w:sz w:val="24"/>
          <w:szCs w:val="24"/>
        </w:rPr>
        <w:t xml:space="preserve">that </w:t>
      </w:r>
      <w:r w:rsidR="00717B1B">
        <w:rPr>
          <w:sz w:val="24"/>
          <w:szCs w:val="24"/>
        </w:rPr>
        <w:t>the Motion</w:t>
      </w:r>
      <w:r w:rsidR="00717B1B" w:rsidRPr="00717B1B">
        <w:rPr>
          <w:sz w:val="24"/>
          <w:szCs w:val="24"/>
        </w:rPr>
        <w:t xml:space="preserve"> would be granted </w:t>
      </w:r>
      <w:r w:rsidRPr="00717B1B">
        <w:rPr>
          <w:sz w:val="24"/>
          <w:szCs w:val="24"/>
        </w:rPr>
        <w:t>in light of the short period of time between the request and the original Main Brief due date.  The purpose of this Briefing Order #2 is to formally grant the Motion.</w:t>
      </w:r>
      <w:r w:rsidR="00EA32EF" w:rsidRPr="00717B1B">
        <w:rPr>
          <w:sz w:val="24"/>
          <w:szCs w:val="24"/>
        </w:rPr>
        <w:t xml:space="preserve">  Furthermore, the parties are reminded </w:t>
      </w:r>
      <w:r w:rsidR="00717B1B" w:rsidRPr="00717B1B">
        <w:rPr>
          <w:sz w:val="24"/>
          <w:szCs w:val="24"/>
        </w:rPr>
        <w:t xml:space="preserve">that Commission policy promotes settlements.  </w:t>
      </w:r>
      <w:proofErr w:type="gramStart"/>
      <w:r w:rsidR="00717B1B" w:rsidRPr="00717B1B">
        <w:rPr>
          <w:sz w:val="24"/>
          <w:szCs w:val="24"/>
        </w:rPr>
        <w:t xml:space="preserve">52 </w:t>
      </w:r>
      <w:proofErr w:type="spellStart"/>
      <w:r w:rsidR="00717B1B" w:rsidRPr="00717B1B">
        <w:rPr>
          <w:sz w:val="24"/>
          <w:szCs w:val="24"/>
        </w:rPr>
        <w:t>Pa.Code</w:t>
      </w:r>
      <w:proofErr w:type="spellEnd"/>
      <w:r w:rsidR="00717B1B" w:rsidRPr="00717B1B">
        <w:rPr>
          <w:sz w:val="24"/>
          <w:szCs w:val="24"/>
        </w:rPr>
        <w:t xml:space="preserve"> § </w:t>
      </w:r>
      <w:r w:rsidR="00717B1B" w:rsidRPr="00717B1B">
        <w:rPr>
          <w:sz w:val="24"/>
          <w:szCs w:val="24"/>
        </w:rPr>
        <w:lastRenderedPageBreak/>
        <w:t>5.231(a).</w:t>
      </w:r>
      <w:proofErr w:type="gramEnd"/>
      <w:r w:rsidR="00717B1B" w:rsidRPr="00717B1B">
        <w:rPr>
          <w:sz w:val="24"/>
          <w:szCs w:val="24"/>
        </w:rPr>
        <w:t xml:space="preserve">  The parties are encouraged to </w:t>
      </w:r>
      <w:r w:rsidR="00717B1B">
        <w:rPr>
          <w:sz w:val="24"/>
          <w:szCs w:val="24"/>
        </w:rPr>
        <w:t>continue</w:t>
      </w:r>
      <w:r w:rsidR="00717B1B" w:rsidRPr="00717B1B">
        <w:rPr>
          <w:sz w:val="24"/>
          <w:szCs w:val="24"/>
        </w:rPr>
        <w:t xml:space="preserve"> settlement discussions </w:t>
      </w:r>
      <w:r w:rsidR="00717B1B">
        <w:rPr>
          <w:sz w:val="24"/>
          <w:szCs w:val="24"/>
        </w:rPr>
        <w:t xml:space="preserve">to the extent </w:t>
      </w:r>
      <w:r w:rsidR="00717B1B" w:rsidRPr="00717B1B">
        <w:rPr>
          <w:sz w:val="24"/>
          <w:szCs w:val="24"/>
        </w:rPr>
        <w:t xml:space="preserve">possible.  Even if the parties are unable to settle this case, they may still resolve some of the questions or issues during their discussions.  If the parties reach an agreement on all issues, a </w:t>
      </w:r>
      <w:r w:rsidR="00717B1B">
        <w:rPr>
          <w:sz w:val="24"/>
          <w:szCs w:val="24"/>
        </w:rPr>
        <w:t xml:space="preserve">Certificate of Satisfaction </w:t>
      </w:r>
      <w:r w:rsidR="004759D8">
        <w:rPr>
          <w:sz w:val="24"/>
          <w:szCs w:val="24"/>
        </w:rPr>
        <w:t>sh</w:t>
      </w:r>
      <w:r w:rsidR="00717B1B">
        <w:rPr>
          <w:sz w:val="24"/>
          <w:szCs w:val="24"/>
        </w:rPr>
        <w:t>ould be filed</w:t>
      </w:r>
      <w:r w:rsidR="00717B1B" w:rsidRPr="00717B1B">
        <w:rPr>
          <w:sz w:val="24"/>
          <w:szCs w:val="24"/>
        </w:rPr>
        <w:t xml:space="preserve">.  </w:t>
      </w:r>
    </w:p>
    <w:p w:rsidR="003435F0" w:rsidRDefault="003435F0" w:rsidP="003435F0">
      <w:pPr>
        <w:spacing w:line="360" w:lineRule="auto"/>
        <w:ind w:firstLine="1440"/>
      </w:pPr>
    </w:p>
    <w:p w:rsidR="00717B1B" w:rsidRPr="00105115" w:rsidRDefault="00717B1B" w:rsidP="003435F0">
      <w:pPr>
        <w:spacing w:line="360" w:lineRule="auto"/>
        <w:ind w:firstLine="1440"/>
      </w:pPr>
    </w:p>
    <w:p w:rsidR="003435F0" w:rsidRPr="00105115" w:rsidRDefault="003435F0" w:rsidP="003435F0">
      <w:pPr>
        <w:spacing w:line="360" w:lineRule="auto"/>
        <w:jc w:val="center"/>
        <w:rPr>
          <w:u w:val="single"/>
        </w:rPr>
      </w:pPr>
      <w:r w:rsidRPr="00105115">
        <w:rPr>
          <w:u w:val="single"/>
        </w:rPr>
        <w:t>ORDER</w:t>
      </w:r>
    </w:p>
    <w:p w:rsidR="003435F0" w:rsidRDefault="003435F0" w:rsidP="003435F0">
      <w:pPr>
        <w:pStyle w:val="BodyTextIndent"/>
        <w:rPr>
          <w:sz w:val="24"/>
          <w:szCs w:val="24"/>
        </w:rPr>
      </w:pPr>
    </w:p>
    <w:p w:rsidR="00717B1B" w:rsidRDefault="00717B1B" w:rsidP="003435F0">
      <w:pPr>
        <w:pStyle w:val="BodyTextIndent"/>
        <w:rPr>
          <w:sz w:val="24"/>
          <w:szCs w:val="24"/>
        </w:rPr>
      </w:pPr>
    </w:p>
    <w:p w:rsidR="00A339BB" w:rsidRPr="00105115" w:rsidRDefault="00A339BB" w:rsidP="003435F0">
      <w:pPr>
        <w:pStyle w:val="BodyTextIndent"/>
        <w:rPr>
          <w:sz w:val="24"/>
          <w:szCs w:val="24"/>
        </w:rPr>
      </w:pPr>
    </w:p>
    <w:p w:rsidR="003435F0" w:rsidRPr="00105115" w:rsidRDefault="003435F0" w:rsidP="00B954B6">
      <w:pPr>
        <w:pStyle w:val="BodyTextIndent"/>
        <w:ind w:left="1080"/>
        <w:rPr>
          <w:sz w:val="24"/>
          <w:szCs w:val="24"/>
        </w:rPr>
      </w:pPr>
      <w:r w:rsidRPr="00105115">
        <w:rPr>
          <w:sz w:val="24"/>
          <w:szCs w:val="24"/>
        </w:rPr>
        <w:t>THEREFORE,</w:t>
      </w:r>
    </w:p>
    <w:p w:rsidR="003435F0" w:rsidRDefault="003435F0" w:rsidP="003435F0">
      <w:pPr>
        <w:widowControl w:val="0"/>
        <w:spacing w:line="360" w:lineRule="auto"/>
        <w:ind w:firstLine="1440"/>
      </w:pPr>
    </w:p>
    <w:p w:rsidR="00A339BB" w:rsidRPr="00105115" w:rsidRDefault="00A339BB" w:rsidP="003435F0">
      <w:pPr>
        <w:widowControl w:val="0"/>
        <w:spacing w:line="360" w:lineRule="auto"/>
        <w:ind w:firstLine="1440"/>
      </w:pPr>
    </w:p>
    <w:p w:rsidR="003435F0" w:rsidRPr="00105115" w:rsidRDefault="003435F0" w:rsidP="003435F0">
      <w:pPr>
        <w:widowControl w:val="0"/>
        <w:spacing w:line="360" w:lineRule="auto"/>
        <w:ind w:firstLine="1440"/>
      </w:pPr>
      <w:r w:rsidRPr="00105115">
        <w:t>IT IS ORDERED:</w:t>
      </w:r>
    </w:p>
    <w:p w:rsidR="003435F0" w:rsidRDefault="003435F0" w:rsidP="003435F0">
      <w:pPr>
        <w:spacing w:line="360" w:lineRule="auto"/>
      </w:pPr>
    </w:p>
    <w:p w:rsidR="00A339BB" w:rsidRPr="00105115" w:rsidRDefault="00A339BB" w:rsidP="003435F0">
      <w:pPr>
        <w:spacing w:line="360" w:lineRule="auto"/>
      </w:pPr>
    </w:p>
    <w:p w:rsidR="003435F0" w:rsidRPr="00105115" w:rsidRDefault="003435F0" w:rsidP="003435F0">
      <w:pPr>
        <w:numPr>
          <w:ilvl w:val="0"/>
          <w:numId w:val="18"/>
        </w:numPr>
        <w:spacing w:line="360" w:lineRule="auto"/>
        <w:ind w:left="0" w:firstLine="1440"/>
      </w:pPr>
      <w:r w:rsidRPr="00105115">
        <w:t xml:space="preserve">That the parties shall file and serve Main Briefs on or before </w:t>
      </w:r>
      <w:r w:rsidR="00A339BB">
        <w:t>December 3</w:t>
      </w:r>
      <w:r w:rsidR="00B954B6" w:rsidRPr="00105115">
        <w:t xml:space="preserve">, 2014 </w:t>
      </w:r>
      <w:r w:rsidRPr="00105115">
        <w:t xml:space="preserve">and Reply Briefs on or before </w:t>
      </w:r>
      <w:r w:rsidR="00276741" w:rsidRPr="00105115">
        <w:t>December 1</w:t>
      </w:r>
      <w:r w:rsidR="00A339BB">
        <w:t>2</w:t>
      </w:r>
      <w:r w:rsidR="00B954B6" w:rsidRPr="00105115">
        <w:t>, 2014</w:t>
      </w:r>
      <w:r w:rsidRPr="00105115">
        <w:t>.</w:t>
      </w:r>
    </w:p>
    <w:p w:rsidR="003435F0" w:rsidRPr="00105115" w:rsidRDefault="003435F0" w:rsidP="00A339BB">
      <w:pPr>
        <w:spacing w:line="360" w:lineRule="auto"/>
        <w:ind w:firstLine="1440"/>
      </w:pPr>
    </w:p>
    <w:p w:rsidR="00A339BB" w:rsidRDefault="003435F0" w:rsidP="00A339BB">
      <w:pPr>
        <w:pStyle w:val="ListParagraph"/>
        <w:numPr>
          <w:ilvl w:val="0"/>
          <w:numId w:val="18"/>
        </w:numPr>
        <w:spacing w:line="360" w:lineRule="auto"/>
        <w:ind w:left="0" w:firstLine="1440"/>
      </w:pPr>
      <w:r w:rsidRPr="00105115">
        <w:t xml:space="preserve">That </w:t>
      </w:r>
      <w:r w:rsidR="00A339BB">
        <w:t>all other provisions of the Briefing Order dated October 8, 2014 remain in place.</w:t>
      </w:r>
    </w:p>
    <w:p w:rsidR="00A339BB" w:rsidRDefault="00A339BB" w:rsidP="00A339BB">
      <w:pPr>
        <w:pStyle w:val="ListParagraph"/>
        <w:ind w:left="0" w:firstLine="1440"/>
      </w:pPr>
    </w:p>
    <w:p w:rsidR="003435F0" w:rsidRPr="00105115" w:rsidRDefault="00A339BB" w:rsidP="00A339BB">
      <w:pPr>
        <w:pStyle w:val="ListParagraph"/>
        <w:numPr>
          <w:ilvl w:val="0"/>
          <w:numId w:val="18"/>
        </w:numPr>
        <w:spacing w:line="360" w:lineRule="auto"/>
        <w:ind w:left="0" w:firstLine="1440"/>
        <w:rPr>
          <w:spacing w:val="-3"/>
        </w:rPr>
      </w:pPr>
      <w:r>
        <w:t xml:space="preserve">That the parties are encouraged to continue settlement discussions.  </w:t>
      </w:r>
    </w:p>
    <w:p w:rsidR="003435F0" w:rsidRPr="00105115" w:rsidRDefault="003435F0" w:rsidP="00A339BB">
      <w:pPr>
        <w:tabs>
          <w:tab w:val="left" w:pos="1440"/>
        </w:tabs>
        <w:ind w:firstLine="1440"/>
      </w:pPr>
    </w:p>
    <w:p w:rsidR="00444E27" w:rsidRDefault="00444E27" w:rsidP="00A339BB">
      <w:pPr>
        <w:ind w:firstLine="1440"/>
      </w:pPr>
    </w:p>
    <w:p w:rsidR="00A339BB" w:rsidRDefault="00A339BB" w:rsidP="00444E27"/>
    <w:p w:rsidR="00717B1B" w:rsidRPr="00105115" w:rsidRDefault="00717B1B" w:rsidP="00444E27"/>
    <w:p w:rsidR="00444E27" w:rsidRPr="00105115" w:rsidRDefault="00444E27" w:rsidP="00444E27">
      <w:pPr>
        <w:rPr>
          <w:u w:val="single"/>
        </w:rPr>
      </w:pPr>
      <w:r w:rsidRPr="00105115">
        <w:t xml:space="preserve">Date: </w:t>
      </w:r>
      <w:r w:rsidR="00A339BB">
        <w:rPr>
          <w:u w:val="single"/>
        </w:rPr>
        <w:t>November 18</w:t>
      </w:r>
      <w:r w:rsidRPr="00105115">
        <w:rPr>
          <w:u w:val="single"/>
        </w:rPr>
        <w:t>, 201</w:t>
      </w:r>
      <w:r w:rsidR="004417F1" w:rsidRPr="00105115">
        <w:rPr>
          <w:u w:val="single"/>
        </w:rPr>
        <w:t>4</w:t>
      </w:r>
      <w:r w:rsidRPr="00105115">
        <w:tab/>
      </w:r>
      <w:r w:rsidR="0062545F" w:rsidRPr="00105115">
        <w:tab/>
      </w:r>
      <w:r w:rsidRPr="00105115">
        <w:rPr>
          <w:u w:val="single"/>
        </w:rPr>
        <w:tab/>
      </w:r>
      <w:r w:rsidRPr="00105115">
        <w:rPr>
          <w:u w:val="single"/>
        </w:rPr>
        <w:tab/>
      </w:r>
      <w:r w:rsidRPr="00105115">
        <w:rPr>
          <w:u w:val="single"/>
        </w:rPr>
        <w:tab/>
      </w:r>
      <w:r w:rsidRPr="00105115">
        <w:rPr>
          <w:u w:val="single"/>
        </w:rPr>
        <w:tab/>
      </w:r>
      <w:r w:rsidRPr="00105115">
        <w:rPr>
          <w:u w:val="single"/>
        </w:rPr>
        <w:tab/>
      </w:r>
    </w:p>
    <w:p w:rsidR="00444E27" w:rsidRPr="00105115" w:rsidRDefault="00444E27" w:rsidP="00444E27">
      <w:r w:rsidRPr="00105115">
        <w:tab/>
      </w:r>
      <w:r w:rsidRPr="00105115">
        <w:tab/>
      </w:r>
      <w:r w:rsidRPr="00105115">
        <w:tab/>
      </w:r>
      <w:r w:rsidRPr="00105115">
        <w:tab/>
      </w:r>
      <w:r w:rsidRPr="00105115">
        <w:tab/>
      </w:r>
      <w:r w:rsidR="0062545F" w:rsidRPr="00105115">
        <w:t xml:space="preserve">Joel H. Cheskis </w:t>
      </w:r>
    </w:p>
    <w:p w:rsidR="00DC2AFE" w:rsidRDefault="00444E27" w:rsidP="00444E27">
      <w:pPr>
        <w:sectPr w:rsidR="00DC2AFE" w:rsidSect="00713D64">
          <w:footerReference w:type="default" r:id="rId9"/>
          <w:pgSz w:w="12240" w:h="15840"/>
          <w:pgMar w:top="1440" w:right="1800" w:bottom="1440" w:left="1800" w:header="720" w:footer="720" w:gutter="0"/>
          <w:cols w:space="720"/>
          <w:titlePg/>
        </w:sectPr>
      </w:pPr>
      <w:r w:rsidRPr="00105115">
        <w:tab/>
      </w:r>
      <w:r w:rsidRPr="00105115">
        <w:tab/>
      </w:r>
      <w:r w:rsidRPr="00105115">
        <w:tab/>
      </w:r>
      <w:r w:rsidRPr="00105115">
        <w:tab/>
      </w:r>
      <w:r w:rsidRPr="00105115">
        <w:tab/>
        <w:t>Administrative Law Judge</w:t>
      </w:r>
    </w:p>
    <w:p w:rsidR="00DC2AFE" w:rsidRDefault="00DC2AFE" w:rsidP="00DC2AFE">
      <w:pPr>
        <w:contextualSpacing/>
        <w:rPr>
          <w:rFonts w:ascii="Microsoft Sans Serif"/>
        </w:rPr>
      </w:pPr>
      <w:r>
        <w:rPr>
          <w:rFonts w:ascii="Microsoft Sans Serif"/>
          <w:b/>
          <w:u w:val="single"/>
        </w:rPr>
        <w:lastRenderedPageBreak/>
        <w:t>C-2014-2432979 - ENRICO PARTNERS v. BLUE PILOT ENERGY LLC</w:t>
      </w:r>
      <w:r>
        <w:rPr>
          <w:rFonts w:ascii="Microsoft Sans Serif"/>
          <w:b/>
          <w:u w:val="single"/>
        </w:rPr>
        <w:cr/>
      </w:r>
    </w:p>
    <w:p w:rsidR="00DC2AFE" w:rsidRDefault="00DC2AFE" w:rsidP="00DC2AFE">
      <w:pPr>
        <w:contextualSpacing/>
      </w:pPr>
      <w:bookmarkStart w:id="0" w:name="_GoBack"/>
      <w:r>
        <w:rPr>
          <w:rFonts w:ascii="Microsoft Sans Serif"/>
        </w:rPr>
        <w:t>GERALD N HOLTZ</w:t>
      </w:r>
      <w:r>
        <w:rPr>
          <w:rFonts w:ascii="Microsoft Sans Serif"/>
          <w:b/>
          <w:u w:val="single"/>
        </w:rPr>
        <w:cr/>
      </w:r>
      <w:r>
        <w:rPr>
          <w:rFonts w:ascii="Microsoft Sans Serif"/>
        </w:rPr>
        <w:t>W KENT SILVERS</w:t>
      </w:r>
      <w:r>
        <w:rPr>
          <w:rFonts w:ascii="Microsoft Sans Serif"/>
        </w:rPr>
        <w:cr/>
        <w:t>PO BOX 190</w:t>
      </w:r>
      <w:r>
        <w:rPr>
          <w:rFonts w:ascii="Microsoft Sans Serif"/>
        </w:rPr>
        <w:cr/>
        <w:t>VILLANOVA PA  19085</w:t>
      </w:r>
      <w:r>
        <w:rPr>
          <w:rFonts w:ascii="Microsoft Sans Serif"/>
        </w:rPr>
        <w:cr/>
      </w:r>
      <w:bookmarkEnd w:id="0"/>
      <w:r>
        <w:rPr>
          <w:rFonts w:ascii="Microsoft Sans Serif"/>
        </w:rPr>
        <w:t>610-520-1885</w:t>
      </w:r>
      <w:r>
        <w:rPr>
          <w:rFonts w:ascii="Microsoft Sans Serif"/>
        </w:rPr>
        <w:cr/>
      </w:r>
      <w:r>
        <w:rPr>
          <w:rFonts w:ascii="Microsoft Sans Serif"/>
        </w:rPr>
        <w:cr/>
        <w:t>NAZARIO JUREIDINI ESQUIRE</w:t>
      </w:r>
      <w:r>
        <w:rPr>
          <w:rFonts w:ascii="Microsoft Sans Serif"/>
        </w:rPr>
        <w:cr/>
        <w:t>BLUE PILOT ENERGY LLC</w:t>
      </w:r>
      <w:r>
        <w:rPr>
          <w:rFonts w:ascii="Microsoft Sans Serif"/>
        </w:rPr>
        <w:cr/>
        <w:t>250 PILOT ROAD 300</w:t>
      </w:r>
      <w:r>
        <w:rPr>
          <w:rFonts w:ascii="Microsoft Sans Serif"/>
        </w:rPr>
        <w:cr/>
        <w:t>LAS VEGAS NV  89119</w:t>
      </w:r>
      <w:r>
        <w:rPr>
          <w:rFonts w:ascii="Microsoft Sans Serif"/>
        </w:rPr>
        <w:cr/>
        <w:t>702-547-8455</w:t>
      </w:r>
      <w:r>
        <w:rPr>
          <w:rFonts w:ascii="Microsoft Sans Serif"/>
        </w:rPr>
        <w:cr/>
      </w:r>
      <w:r>
        <w:rPr>
          <w:rFonts w:ascii="Microsoft Sans Serif"/>
        </w:rPr>
        <w:cr/>
        <w:t xml:space="preserve"> </w:t>
      </w:r>
    </w:p>
    <w:p w:rsidR="00DC2AFE" w:rsidRDefault="00DC2AFE" w:rsidP="00DC2AFE">
      <w:pPr>
        <w:contextualSpacing/>
      </w:pPr>
    </w:p>
    <w:p w:rsidR="00444E27" w:rsidRPr="00105115" w:rsidRDefault="00444E27" w:rsidP="00444E27"/>
    <w:sectPr w:rsidR="00444E27" w:rsidRPr="001051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58D" w:rsidRDefault="00CB158D">
      <w:r>
        <w:separator/>
      </w:r>
    </w:p>
  </w:endnote>
  <w:endnote w:type="continuationSeparator" w:id="0">
    <w:p w:rsidR="00CB158D" w:rsidRDefault="00CB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DC2AFE">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AFE" w:rsidRPr="003C02CC" w:rsidRDefault="00DC2AFE">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58D" w:rsidRDefault="00CB158D">
      <w:r>
        <w:separator/>
      </w:r>
    </w:p>
  </w:footnote>
  <w:footnote w:type="continuationSeparator" w:id="0">
    <w:p w:rsidR="00CB158D" w:rsidRDefault="00CB1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F91C33"/>
    <w:multiLevelType w:val="hybridMultilevel"/>
    <w:tmpl w:val="C3A41208"/>
    <w:lvl w:ilvl="0" w:tplc="E31899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3"/>
  </w:num>
  <w:num w:numId="4">
    <w:abstractNumId w:val="16"/>
  </w:num>
  <w:num w:numId="5">
    <w:abstractNumId w:val="4"/>
  </w:num>
  <w:num w:numId="6">
    <w:abstractNumId w:val="18"/>
  </w:num>
  <w:num w:numId="7">
    <w:abstractNumId w:val="2"/>
  </w:num>
  <w:num w:numId="8">
    <w:abstractNumId w:val="11"/>
  </w:num>
  <w:num w:numId="9">
    <w:abstractNumId w:val="6"/>
  </w:num>
  <w:num w:numId="10">
    <w:abstractNumId w:val="17"/>
  </w:num>
  <w:num w:numId="11">
    <w:abstractNumId w:val="14"/>
  </w:num>
  <w:num w:numId="12">
    <w:abstractNumId w:val="5"/>
  </w:num>
  <w:num w:numId="13">
    <w:abstractNumId w:val="12"/>
  </w:num>
  <w:num w:numId="14">
    <w:abstractNumId w:val="0"/>
  </w:num>
  <w:num w:numId="15">
    <w:abstractNumId w:val="15"/>
  </w:num>
  <w:num w:numId="16">
    <w:abstractNumId w:val="9"/>
  </w:num>
  <w:num w:numId="17">
    <w:abstractNumId w:val="1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7C0F"/>
    <w:rsid w:val="000253F8"/>
    <w:rsid w:val="00031CED"/>
    <w:rsid w:val="00037E8B"/>
    <w:rsid w:val="00040542"/>
    <w:rsid w:val="000447F9"/>
    <w:rsid w:val="00050489"/>
    <w:rsid w:val="00050AF1"/>
    <w:rsid w:val="00054540"/>
    <w:rsid w:val="00054A10"/>
    <w:rsid w:val="00055FCB"/>
    <w:rsid w:val="00060BB1"/>
    <w:rsid w:val="00063F87"/>
    <w:rsid w:val="0006400C"/>
    <w:rsid w:val="00073240"/>
    <w:rsid w:val="00080E54"/>
    <w:rsid w:val="00081A6A"/>
    <w:rsid w:val="000851FC"/>
    <w:rsid w:val="000878EC"/>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5115"/>
    <w:rsid w:val="001066C1"/>
    <w:rsid w:val="00107108"/>
    <w:rsid w:val="00111D05"/>
    <w:rsid w:val="00113C98"/>
    <w:rsid w:val="001143EE"/>
    <w:rsid w:val="00116479"/>
    <w:rsid w:val="00116C62"/>
    <w:rsid w:val="00122A9C"/>
    <w:rsid w:val="001270B6"/>
    <w:rsid w:val="00132928"/>
    <w:rsid w:val="0013770C"/>
    <w:rsid w:val="00140883"/>
    <w:rsid w:val="00141DCE"/>
    <w:rsid w:val="00142EE0"/>
    <w:rsid w:val="00143290"/>
    <w:rsid w:val="001441F9"/>
    <w:rsid w:val="00144276"/>
    <w:rsid w:val="00144EB5"/>
    <w:rsid w:val="00153529"/>
    <w:rsid w:val="001547B2"/>
    <w:rsid w:val="001714A2"/>
    <w:rsid w:val="001767DF"/>
    <w:rsid w:val="00181BAB"/>
    <w:rsid w:val="00182ECA"/>
    <w:rsid w:val="00187495"/>
    <w:rsid w:val="00187940"/>
    <w:rsid w:val="001900E6"/>
    <w:rsid w:val="00190843"/>
    <w:rsid w:val="00193F4C"/>
    <w:rsid w:val="0019509B"/>
    <w:rsid w:val="00197B84"/>
    <w:rsid w:val="001A1495"/>
    <w:rsid w:val="001C23B6"/>
    <w:rsid w:val="001C7376"/>
    <w:rsid w:val="001C7DC7"/>
    <w:rsid w:val="001C7E2F"/>
    <w:rsid w:val="001D0606"/>
    <w:rsid w:val="001D36BC"/>
    <w:rsid w:val="001D48D9"/>
    <w:rsid w:val="001E0583"/>
    <w:rsid w:val="001E1EC3"/>
    <w:rsid w:val="001E1EE6"/>
    <w:rsid w:val="001E41F1"/>
    <w:rsid w:val="001E755C"/>
    <w:rsid w:val="001F3D60"/>
    <w:rsid w:val="001F59C0"/>
    <w:rsid w:val="0020025C"/>
    <w:rsid w:val="002026C5"/>
    <w:rsid w:val="002069A1"/>
    <w:rsid w:val="00212459"/>
    <w:rsid w:val="00220724"/>
    <w:rsid w:val="0022121D"/>
    <w:rsid w:val="00224765"/>
    <w:rsid w:val="0023008A"/>
    <w:rsid w:val="0024311B"/>
    <w:rsid w:val="00252F51"/>
    <w:rsid w:val="0025436A"/>
    <w:rsid w:val="0026329B"/>
    <w:rsid w:val="00266583"/>
    <w:rsid w:val="0027269F"/>
    <w:rsid w:val="00276158"/>
    <w:rsid w:val="00276741"/>
    <w:rsid w:val="002825EF"/>
    <w:rsid w:val="002860B7"/>
    <w:rsid w:val="002872AD"/>
    <w:rsid w:val="002967E5"/>
    <w:rsid w:val="002A5F90"/>
    <w:rsid w:val="002A6146"/>
    <w:rsid w:val="002B04F4"/>
    <w:rsid w:val="002B1DB7"/>
    <w:rsid w:val="002B5A65"/>
    <w:rsid w:val="002C06C1"/>
    <w:rsid w:val="002C13F5"/>
    <w:rsid w:val="002C2C4E"/>
    <w:rsid w:val="002C32C8"/>
    <w:rsid w:val="002C370F"/>
    <w:rsid w:val="002C40FB"/>
    <w:rsid w:val="002C66E9"/>
    <w:rsid w:val="002E2B8A"/>
    <w:rsid w:val="002E47DA"/>
    <w:rsid w:val="002E4F5F"/>
    <w:rsid w:val="002E5F7E"/>
    <w:rsid w:val="002E76DB"/>
    <w:rsid w:val="002F61D3"/>
    <w:rsid w:val="003038D5"/>
    <w:rsid w:val="00310067"/>
    <w:rsid w:val="00312F22"/>
    <w:rsid w:val="00316851"/>
    <w:rsid w:val="00317051"/>
    <w:rsid w:val="00321207"/>
    <w:rsid w:val="003234C9"/>
    <w:rsid w:val="00326FA4"/>
    <w:rsid w:val="00330C99"/>
    <w:rsid w:val="00331314"/>
    <w:rsid w:val="00333A41"/>
    <w:rsid w:val="00334E63"/>
    <w:rsid w:val="00337DC7"/>
    <w:rsid w:val="00342A79"/>
    <w:rsid w:val="003435F0"/>
    <w:rsid w:val="00345AF2"/>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25AB"/>
    <w:rsid w:val="00427BB1"/>
    <w:rsid w:val="004327EC"/>
    <w:rsid w:val="0044078D"/>
    <w:rsid w:val="004417F1"/>
    <w:rsid w:val="00444026"/>
    <w:rsid w:val="004441EB"/>
    <w:rsid w:val="00444E27"/>
    <w:rsid w:val="00446AEA"/>
    <w:rsid w:val="004509B5"/>
    <w:rsid w:val="00461B9F"/>
    <w:rsid w:val="004677A9"/>
    <w:rsid w:val="0046782D"/>
    <w:rsid w:val="004759D8"/>
    <w:rsid w:val="00476814"/>
    <w:rsid w:val="0048022D"/>
    <w:rsid w:val="00484CA9"/>
    <w:rsid w:val="00486F35"/>
    <w:rsid w:val="00487C67"/>
    <w:rsid w:val="0049010E"/>
    <w:rsid w:val="004907E0"/>
    <w:rsid w:val="00491200"/>
    <w:rsid w:val="004A44C7"/>
    <w:rsid w:val="004A6217"/>
    <w:rsid w:val="004B12AD"/>
    <w:rsid w:val="004B3128"/>
    <w:rsid w:val="004B73DA"/>
    <w:rsid w:val="004C0C8D"/>
    <w:rsid w:val="004C19EA"/>
    <w:rsid w:val="004C54A1"/>
    <w:rsid w:val="004C5959"/>
    <w:rsid w:val="004D5EDA"/>
    <w:rsid w:val="004E3BB5"/>
    <w:rsid w:val="004E5B21"/>
    <w:rsid w:val="004E6F0A"/>
    <w:rsid w:val="004F0FF9"/>
    <w:rsid w:val="0050525A"/>
    <w:rsid w:val="00506ED2"/>
    <w:rsid w:val="00506F36"/>
    <w:rsid w:val="0051332A"/>
    <w:rsid w:val="005173E3"/>
    <w:rsid w:val="0052063B"/>
    <w:rsid w:val="00521CDF"/>
    <w:rsid w:val="00522D71"/>
    <w:rsid w:val="00526B7E"/>
    <w:rsid w:val="00531C6A"/>
    <w:rsid w:val="0053303C"/>
    <w:rsid w:val="0053542E"/>
    <w:rsid w:val="00535728"/>
    <w:rsid w:val="00535B47"/>
    <w:rsid w:val="00541FA5"/>
    <w:rsid w:val="00550B34"/>
    <w:rsid w:val="005534AB"/>
    <w:rsid w:val="00555AB2"/>
    <w:rsid w:val="0056090B"/>
    <w:rsid w:val="00562740"/>
    <w:rsid w:val="0056328E"/>
    <w:rsid w:val="00564A1C"/>
    <w:rsid w:val="00566D50"/>
    <w:rsid w:val="00577041"/>
    <w:rsid w:val="00581FC7"/>
    <w:rsid w:val="00582CDA"/>
    <w:rsid w:val="0058333F"/>
    <w:rsid w:val="005877DE"/>
    <w:rsid w:val="00587965"/>
    <w:rsid w:val="00593CE6"/>
    <w:rsid w:val="005A0C2C"/>
    <w:rsid w:val="005A36C7"/>
    <w:rsid w:val="005A3B57"/>
    <w:rsid w:val="005B49D8"/>
    <w:rsid w:val="005B6C33"/>
    <w:rsid w:val="005C038C"/>
    <w:rsid w:val="005C7120"/>
    <w:rsid w:val="005D0602"/>
    <w:rsid w:val="005D092D"/>
    <w:rsid w:val="005D470C"/>
    <w:rsid w:val="005E5B28"/>
    <w:rsid w:val="005F179B"/>
    <w:rsid w:val="005F1FD3"/>
    <w:rsid w:val="005F2817"/>
    <w:rsid w:val="005F3E44"/>
    <w:rsid w:val="005F5D43"/>
    <w:rsid w:val="006031D8"/>
    <w:rsid w:val="006044E1"/>
    <w:rsid w:val="0060777D"/>
    <w:rsid w:val="006151E8"/>
    <w:rsid w:val="00617F66"/>
    <w:rsid w:val="0062545F"/>
    <w:rsid w:val="00626332"/>
    <w:rsid w:val="006273A0"/>
    <w:rsid w:val="00634D85"/>
    <w:rsid w:val="006373C8"/>
    <w:rsid w:val="00643063"/>
    <w:rsid w:val="00645312"/>
    <w:rsid w:val="00646D7E"/>
    <w:rsid w:val="0064719F"/>
    <w:rsid w:val="00657239"/>
    <w:rsid w:val="00661F7B"/>
    <w:rsid w:val="00664B91"/>
    <w:rsid w:val="00666CE7"/>
    <w:rsid w:val="00670EBA"/>
    <w:rsid w:val="0067293C"/>
    <w:rsid w:val="006747F7"/>
    <w:rsid w:val="006763F3"/>
    <w:rsid w:val="006803CC"/>
    <w:rsid w:val="006816B8"/>
    <w:rsid w:val="00684075"/>
    <w:rsid w:val="00694651"/>
    <w:rsid w:val="0069608E"/>
    <w:rsid w:val="0069608F"/>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17B1B"/>
    <w:rsid w:val="007203E5"/>
    <w:rsid w:val="00724ABE"/>
    <w:rsid w:val="00726EC8"/>
    <w:rsid w:val="00735291"/>
    <w:rsid w:val="0074212A"/>
    <w:rsid w:val="007425B2"/>
    <w:rsid w:val="00746EC7"/>
    <w:rsid w:val="00752614"/>
    <w:rsid w:val="0075751F"/>
    <w:rsid w:val="00761AAA"/>
    <w:rsid w:val="00763DA0"/>
    <w:rsid w:val="00771201"/>
    <w:rsid w:val="00774975"/>
    <w:rsid w:val="00783F05"/>
    <w:rsid w:val="00784AE9"/>
    <w:rsid w:val="007876C7"/>
    <w:rsid w:val="007945B3"/>
    <w:rsid w:val="007B135C"/>
    <w:rsid w:val="007B19DA"/>
    <w:rsid w:val="007B76C4"/>
    <w:rsid w:val="007C6559"/>
    <w:rsid w:val="007D41A0"/>
    <w:rsid w:val="007F24B0"/>
    <w:rsid w:val="007F4246"/>
    <w:rsid w:val="007F6F2B"/>
    <w:rsid w:val="007F7EA4"/>
    <w:rsid w:val="00801014"/>
    <w:rsid w:val="008027C4"/>
    <w:rsid w:val="00802923"/>
    <w:rsid w:val="00817C41"/>
    <w:rsid w:val="00820EA8"/>
    <w:rsid w:val="008253A9"/>
    <w:rsid w:val="00830CF6"/>
    <w:rsid w:val="008413F8"/>
    <w:rsid w:val="008438CF"/>
    <w:rsid w:val="00843D58"/>
    <w:rsid w:val="008454B9"/>
    <w:rsid w:val="00845A5B"/>
    <w:rsid w:val="0084613F"/>
    <w:rsid w:val="00852BFC"/>
    <w:rsid w:val="00853648"/>
    <w:rsid w:val="008540FD"/>
    <w:rsid w:val="00854EC8"/>
    <w:rsid w:val="008733C7"/>
    <w:rsid w:val="00874F41"/>
    <w:rsid w:val="008773BF"/>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2A90"/>
    <w:rsid w:val="008D2E55"/>
    <w:rsid w:val="008D34B8"/>
    <w:rsid w:val="008D59A2"/>
    <w:rsid w:val="008E6D84"/>
    <w:rsid w:val="008F755E"/>
    <w:rsid w:val="009065DB"/>
    <w:rsid w:val="00907551"/>
    <w:rsid w:val="00907E93"/>
    <w:rsid w:val="0091132C"/>
    <w:rsid w:val="00922597"/>
    <w:rsid w:val="009242C7"/>
    <w:rsid w:val="00926832"/>
    <w:rsid w:val="00933A0A"/>
    <w:rsid w:val="00935A17"/>
    <w:rsid w:val="009422A8"/>
    <w:rsid w:val="009435E2"/>
    <w:rsid w:val="009479D5"/>
    <w:rsid w:val="00951B5E"/>
    <w:rsid w:val="00951BBB"/>
    <w:rsid w:val="00952807"/>
    <w:rsid w:val="00957662"/>
    <w:rsid w:val="009651D5"/>
    <w:rsid w:val="00967192"/>
    <w:rsid w:val="009701FB"/>
    <w:rsid w:val="00970AF3"/>
    <w:rsid w:val="009712E6"/>
    <w:rsid w:val="00973E46"/>
    <w:rsid w:val="0098199E"/>
    <w:rsid w:val="00985B9C"/>
    <w:rsid w:val="0099051F"/>
    <w:rsid w:val="00994060"/>
    <w:rsid w:val="009971D9"/>
    <w:rsid w:val="009A241C"/>
    <w:rsid w:val="009B0651"/>
    <w:rsid w:val="009C228F"/>
    <w:rsid w:val="009C2A10"/>
    <w:rsid w:val="009C416F"/>
    <w:rsid w:val="009C44F8"/>
    <w:rsid w:val="009C5580"/>
    <w:rsid w:val="009D2069"/>
    <w:rsid w:val="009D37EA"/>
    <w:rsid w:val="009D7DAC"/>
    <w:rsid w:val="009E1824"/>
    <w:rsid w:val="009E2517"/>
    <w:rsid w:val="009E69D3"/>
    <w:rsid w:val="009F01F6"/>
    <w:rsid w:val="009F421F"/>
    <w:rsid w:val="009F57DD"/>
    <w:rsid w:val="009F6BF1"/>
    <w:rsid w:val="00A0368E"/>
    <w:rsid w:val="00A050EC"/>
    <w:rsid w:val="00A06973"/>
    <w:rsid w:val="00A07A16"/>
    <w:rsid w:val="00A21C65"/>
    <w:rsid w:val="00A30723"/>
    <w:rsid w:val="00A319FB"/>
    <w:rsid w:val="00A339BB"/>
    <w:rsid w:val="00A33DC1"/>
    <w:rsid w:val="00A4123B"/>
    <w:rsid w:val="00A43247"/>
    <w:rsid w:val="00A442D1"/>
    <w:rsid w:val="00A452AA"/>
    <w:rsid w:val="00A543D6"/>
    <w:rsid w:val="00A54F8A"/>
    <w:rsid w:val="00A62BBE"/>
    <w:rsid w:val="00A706EF"/>
    <w:rsid w:val="00A74AF3"/>
    <w:rsid w:val="00A76336"/>
    <w:rsid w:val="00A76480"/>
    <w:rsid w:val="00A77426"/>
    <w:rsid w:val="00A8749E"/>
    <w:rsid w:val="00A92373"/>
    <w:rsid w:val="00A93FB7"/>
    <w:rsid w:val="00AA23BA"/>
    <w:rsid w:val="00AA3B44"/>
    <w:rsid w:val="00AA5A3B"/>
    <w:rsid w:val="00AB35A6"/>
    <w:rsid w:val="00AC425C"/>
    <w:rsid w:val="00AC56B3"/>
    <w:rsid w:val="00AC6D5D"/>
    <w:rsid w:val="00AD121A"/>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D2D"/>
    <w:rsid w:val="00B17E29"/>
    <w:rsid w:val="00B22385"/>
    <w:rsid w:val="00B2251B"/>
    <w:rsid w:val="00B22579"/>
    <w:rsid w:val="00B34D51"/>
    <w:rsid w:val="00B42052"/>
    <w:rsid w:val="00B42143"/>
    <w:rsid w:val="00B4231E"/>
    <w:rsid w:val="00B428B5"/>
    <w:rsid w:val="00B44A3E"/>
    <w:rsid w:val="00B606E5"/>
    <w:rsid w:val="00B6233D"/>
    <w:rsid w:val="00B70E1E"/>
    <w:rsid w:val="00B715DC"/>
    <w:rsid w:val="00B73F8B"/>
    <w:rsid w:val="00B7459D"/>
    <w:rsid w:val="00B806F4"/>
    <w:rsid w:val="00B83324"/>
    <w:rsid w:val="00B8363B"/>
    <w:rsid w:val="00B84F57"/>
    <w:rsid w:val="00B85A59"/>
    <w:rsid w:val="00B87D27"/>
    <w:rsid w:val="00B87F4C"/>
    <w:rsid w:val="00B905A3"/>
    <w:rsid w:val="00B954B6"/>
    <w:rsid w:val="00B9621C"/>
    <w:rsid w:val="00B97AB5"/>
    <w:rsid w:val="00BA0600"/>
    <w:rsid w:val="00BA156B"/>
    <w:rsid w:val="00BA19C5"/>
    <w:rsid w:val="00BA5156"/>
    <w:rsid w:val="00BA5877"/>
    <w:rsid w:val="00BB0A31"/>
    <w:rsid w:val="00BB229F"/>
    <w:rsid w:val="00BB5DF1"/>
    <w:rsid w:val="00BC1B7C"/>
    <w:rsid w:val="00BC484E"/>
    <w:rsid w:val="00BC5CA3"/>
    <w:rsid w:val="00BC689D"/>
    <w:rsid w:val="00BD2783"/>
    <w:rsid w:val="00BE0854"/>
    <w:rsid w:val="00BE1ED2"/>
    <w:rsid w:val="00BF341D"/>
    <w:rsid w:val="00BF3473"/>
    <w:rsid w:val="00BF718F"/>
    <w:rsid w:val="00C0065E"/>
    <w:rsid w:val="00C12AD7"/>
    <w:rsid w:val="00C16397"/>
    <w:rsid w:val="00C201CA"/>
    <w:rsid w:val="00C23D73"/>
    <w:rsid w:val="00C241A1"/>
    <w:rsid w:val="00C27500"/>
    <w:rsid w:val="00C27ADF"/>
    <w:rsid w:val="00C306E8"/>
    <w:rsid w:val="00C35956"/>
    <w:rsid w:val="00C35ACA"/>
    <w:rsid w:val="00C407D6"/>
    <w:rsid w:val="00C44527"/>
    <w:rsid w:val="00C5657B"/>
    <w:rsid w:val="00C60A73"/>
    <w:rsid w:val="00C6203D"/>
    <w:rsid w:val="00C67551"/>
    <w:rsid w:val="00C72120"/>
    <w:rsid w:val="00C76578"/>
    <w:rsid w:val="00C77DA0"/>
    <w:rsid w:val="00C81DC7"/>
    <w:rsid w:val="00C843D7"/>
    <w:rsid w:val="00C90325"/>
    <w:rsid w:val="00CA3396"/>
    <w:rsid w:val="00CA3B90"/>
    <w:rsid w:val="00CA73E2"/>
    <w:rsid w:val="00CB158D"/>
    <w:rsid w:val="00CB18E0"/>
    <w:rsid w:val="00CB4DB1"/>
    <w:rsid w:val="00CB748F"/>
    <w:rsid w:val="00CC3542"/>
    <w:rsid w:val="00CD68CE"/>
    <w:rsid w:val="00CE08CE"/>
    <w:rsid w:val="00CE20E9"/>
    <w:rsid w:val="00CE3773"/>
    <w:rsid w:val="00CE6FC5"/>
    <w:rsid w:val="00CE701C"/>
    <w:rsid w:val="00CF0E33"/>
    <w:rsid w:val="00CF21D8"/>
    <w:rsid w:val="00CF4490"/>
    <w:rsid w:val="00CF5A8F"/>
    <w:rsid w:val="00D00379"/>
    <w:rsid w:val="00D02279"/>
    <w:rsid w:val="00D10467"/>
    <w:rsid w:val="00D10652"/>
    <w:rsid w:val="00D13DB2"/>
    <w:rsid w:val="00D209B6"/>
    <w:rsid w:val="00D22294"/>
    <w:rsid w:val="00D22442"/>
    <w:rsid w:val="00D2255F"/>
    <w:rsid w:val="00D22EBC"/>
    <w:rsid w:val="00D24374"/>
    <w:rsid w:val="00D24620"/>
    <w:rsid w:val="00D3123C"/>
    <w:rsid w:val="00D44B05"/>
    <w:rsid w:val="00D51B5E"/>
    <w:rsid w:val="00D55377"/>
    <w:rsid w:val="00D557D5"/>
    <w:rsid w:val="00D57E4B"/>
    <w:rsid w:val="00D601F0"/>
    <w:rsid w:val="00D626EC"/>
    <w:rsid w:val="00D63DAC"/>
    <w:rsid w:val="00D64F50"/>
    <w:rsid w:val="00D7167B"/>
    <w:rsid w:val="00D73519"/>
    <w:rsid w:val="00D73E83"/>
    <w:rsid w:val="00D80A3E"/>
    <w:rsid w:val="00D84B3D"/>
    <w:rsid w:val="00D92151"/>
    <w:rsid w:val="00D94D3A"/>
    <w:rsid w:val="00DA0323"/>
    <w:rsid w:val="00DA3FF9"/>
    <w:rsid w:val="00DB13BD"/>
    <w:rsid w:val="00DB1971"/>
    <w:rsid w:val="00DC2AFE"/>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3387F"/>
    <w:rsid w:val="00E445D8"/>
    <w:rsid w:val="00E46ACA"/>
    <w:rsid w:val="00E50FFA"/>
    <w:rsid w:val="00E526F5"/>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32EF"/>
    <w:rsid w:val="00EB045D"/>
    <w:rsid w:val="00EB41C4"/>
    <w:rsid w:val="00EC1909"/>
    <w:rsid w:val="00EC2835"/>
    <w:rsid w:val="00EC4455"/>
    <w:rsid w:val="00EC77BB"/>
    <w:rsid w:val="00ED1828"/>
    <w:rsid w:val="00ED4EEA"/>
    <w:rsid w:val="00F00D62"/>
    <w:rsid w:val="00F0305C"/>
    <w:rsid w:val="00F1692D"/>
    <w:rsid w:val="00F23018"/>
    <w:rsid w:val="00F33096"/>
    <w:rsid w:val="00F40D25"/>
    <w:rsid w:val="00F4274C"/>
    <w:rsid w:val="00F441B2"/>
    <w:rsid w:val="00F46A84"/>
    <w:rsid w:val="00F5660C"/>
    <w:rsid w:val="00F63836"/>
    <w:rsid w:val="00F76819"/>
    <w:rsid w:val="00F9081A"/>
    <w:rsid w:val="00F90A9D"/>
    <w:rsid w:val="00FA0DC0"/>
    <w:rsid w:val="00FA0E84"/>
    <w:rsid w:val="00FA5B52"/>
    <w:rsid w:val="00FA73C3"/>
    <w:rsid w:val="00FA7A69"/>
    <w:rsid w:val="00FA7F14"/>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character" w:styleId="Hyperlink">
    <w:name w:val="Hyperlink"/>
    <w:rsid w:val="003435F0"/>
    <w:rPr>
      <w:color w:val="0000FF"/>
      <w:u w:val="single"/>
    </w:rPr>
  </w:style>
  <w:style w:type="paragraph" w:styleId="NormalWeb">
    <w:name w:val="Normal (Web)"/>
    <w:basedOn w:val="Normal"/>
    <w:rsid w:val="003435F0"/>
    <w:pPr>
      <w:autoSpaceDE/>
      <w:autoSpaceDN/>
      <w:spacing w:before="100" w:beforeAutospacing="1" w:after="100" w:afterAutospacing="1"/>
    </w:pPr>
  </w:style>
  <w:style w:type="paragraph" w:styleId="BalloonText">
    <w:name w:val="Balloon Text"/>
    <w:basedOn w:val="Normal"/>
    <w:link w:val="BalloonTextChar"/>
    <w:rsid w:val="00486F35"/>
    <w:rPr>
      <w:rFonts w:ascii="Tahoma" w:hAnsi="Tahoma" w:cs="Tahoma"/>
      <w:sz w:val="16"/>
      <w:szCs w:val="16"/>
    </w:rPr>
  </w:style>
  <w:style w:type="character" w:customStyle="1" w:styleId="BalloonTextChar">
    <w:name w:val="Balloon Text Char"/>
    <w:basedOn w:val="DefaultParagraphFont"/>
    <w:link w:val="BalloonText"/>
    <w:rsid w:val="00486F35"/>
    <w:rPr>
      <w:rFonts w:ascii="Tahoma" w:hAnsi="Tahoma" w:cs="Tahoma"/>
      <w:sz w:val="16"/>
      <w:szCs w:val="16"/>
    </w:rPr>
  </w:style>
  <w:style w:type="character" w:customStyle="1" w:styleId="BodyTextIndentChar">
    <w:name w:val="Body Text Indent Char"/>
    <w:basedOn w:val="DefaultParagraphFont"/>
    <w:link w:val="BodyTextIndent"/>
    <w:rsid w:val="00220724"/>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character" w:styleId="Hyperlink">
    <w:name w:val="Hyperlink"/>
    <w:rsid w:val="003435F0"/>
    <w:rPr>
      <w:color w:val="0000FF"/>
      <w:u w:val="single"/>
    </w:rPr>
  </w:style>
  <w:style w:type="paragraph" w:styleId="NormalWeb">
    <w:name w:val="Normal (Web)"/>
    <w:basedOn w:val="Normal"/>
    <w:rsid w:val="003435F0"/>
    <w:pPr>
      <w:autoSpaceDE/>
      <w:autoSpaceDN/>
      <w:spacing w:before="100" w:beforeAutospacing="1" w:after="100" w:afterAutospacing="1"/>
    </w:pPr>
  </w:style>
  <w:style w:type="paragraph" w:styleId="BalloonText">
    <w:name w:val="Balloon Text"/>
    <w:basedOn w:val="Normal"/>
    <w:link w:val="BalloonTextChar"/>
    <w:rsid w:val="00486F35"/>
    <w:rPr>
      <w:rFonts w:ascii="Tahoma" w:hAnsi="Tahoma" w:cs="Tahoma"/>
      <w:sz w:val="16"/>
      <w:szCs w:val="16"/>
    </w:rPr>
  </w:style>
  <w:style w:type="character" w:customStyle="1" w:styleId="BalloonTextChar">
    <w:name w:val="Balloon Text Char"/>
    <w:basedOn w:val="DefaultParagraphFont"/>
    <w:link w:val="BalloonText"/>
    <w:rsid w:val="00486F35"/>
    <w:rPr>
      <w:rFonts w:ascii="Tahoma" w:hAnsi="Tahoma" w:cs="Tahoma"/>
      <w:sz w:val="16"/>
      <w:szCs w:val="16"/>
    </w:rPr>
  </w:style>
  <w:style w:type="character" w:customStyle="1" w:styleId="BodyTextIndentChar">
    <w:name w:val="Body Text Indent Char"/>
    <w:basedOn w:val="DefaultParagraphFont"/>
    <w:link w:val="BodyTextIndent"/>
    <w:rsid w:val="00220724"/>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D8F1-B431-4B02-A736-293B1ED7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2014-11-18T15:31:00Z</cp:lastPrinted>
  <dcterms:created xsi:type="dcterms:W3CDTF">2014-11-18T15:29:00Z</dcterms:created>
  <dcterms:modified xsi:type="dcterms:W3CDTF">2014-11-18T15:38:00Z</dcterms:modified>
</cp:coreProperties>
</file>