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BA9" w:rsidRDefault="00777BA9" w:rsidP="00777BA9">
      <w:pPr>
        <w:pStyle w:val="Title"/>
        <w:tabs>
          <w:tab w:val="clear" w:pos="360"/>
          <w:tab w:val="left" w:pos="0"/>
        </w:tabs>
        <w:spacing w:line="240" w:lineRule="auto"/>
      </w:pPr>
      <w:r>
        <w:t>BEFORE THE</w:t>
      </w:r>
    </w:p>
    <w:p w:rsidR="00777BA9" w:rsidRDefault="00777BA9" w:rsidP="00777BA9">
      <w:pPr>
        <w:tabs>
          <w:tab w:val="left" w:pos="0"/>
        </w:tabs>
        <w:spacing w:after="0"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777BA9" w:rsidRDefault="00777BA9" w:rsidP="00777BA9">
      <w:pPr>
        <w:tabs>
          <w:tab w:val="left" w:pos="0"/>
        </w:tabs>
        <w:spacing w:after="0" w:line="240" w:lineRule="auto"/>
      </w:pPr>
    </w:p>
    <w:p w:rsidR="00777BA9" w:rsidRDefault="00777BA9" w:rsidP="00777BA9">
      <w:pPr>
        <w:tabs>
          <w:tab w:val="left" w:pos="0"/>
        </w:tabs>
        <w:spacing w:after="0" w:line="240" w:lineRule="auto"/>
      </w:pPr>
    </w:p>
    <w:p w:rsidR="00A7732F" w:rsidRDefault="00A7732F" w:rsidP="00777BA9">
      <w:pPr>
        <w:tabs>
          <w:tab w:val="left" w:pos="0"/>
        </w:tabs>
        <w:spacing w:after="0" w:line="240" w:lineRule="auto"/>
      </w:pPr>
    </w:p>
    <w:p w:rsidR="00777BA9" w:rsidRDefault="00777BA9" w:rsidP="00777BA9">
      <w:pPr>
        <w:tabs>
          <w:tab w:val="left" w:pos="0"/>
        </w:tabs>
        <w:spacing w:after="0" w:line="240" w:lineRule="auto"/>
        <w:rPr>
          <w:b/>
        </w:rPr>
      </w:pPr>
      <w:r>
        <w:t>Marilyn Goldman</w:t>
      </w:r>
      <w:r>
        <w:tab/>
      </w:r>
      <w:r>
        <w:tab/>
      </w:r>
      <w:r>
        <w:tab/>
      </w:r>
      <w:r>
        <w:tab/>
      </w:r>
      <w:r>
        <w:tab/>
      </w:r>
      <w:r w:rsidRPr="00560DC5">
        <w:t>:</w:t>
      </w:r>
    </w:p>
    <w:p w:rsidR="00777BA9" w:rsidRPr="00560DC5" w:rsidRDefault="00777BA9" w:rsidP="00777BA9">
      <w:pPr>
        <w:tabs>
          <w:tab w:val="left" w:pos="0"/>
        </w:tabs>
        <w:spacing w:after="0" w:line="240" w:lineRule="auto"/>
      </w:pPr>
      <w:r>
        <w:tab/>
      </w:r>
      <w:r>
        <w:tab/>
      </w:r>
      <w:r>
        <w:tab/>
      </w:r>
      <w:r>
        <w:tab/>
      </w:r>
      <w:r>
        <w:tab/>
      </w:r>
      <w:r>
        <w:tab/>
      </w:r>
      <w:r w:rsidRPr="00560DC5">
        <w:t>:</w:t>
      </w:r>
    </w:p>
    <w:p w:rsidR="00777BA9" w:rsidRDefault="00A7732F" w:rsidP="00A7732F">
      <w:pPr>
        <w:tabs>
          <w:tab w:val="clear" w:pos="1440"/>
          <w:tab w:val="left" w:pos="0"/>
        </w:tabs>
        <w:spacing w:after="0" w:line="240" w:lineRule="auto"/>
      </w:pPr>
      <w:r>
        <w:tab/>
      </w:r>
      <w:r w:rsidR="00777BA9">
        <w:t>v.</w:t>
      </w:r>
      <w:r w:rsidR="00777BA9">
        <w:tab/>
      </w:r>
      <w:r w:rsidR="00777BA9">
        <w:tab/>
      </w:r>
      <w:r w:rsidR="00777BA9">
        <w:tab/>
      </w:r>
      <w:r w:rsidR="00777BA9">
        <w:tab/>
      </w:r>
      <w:r w:rsidR="00777BA9">
        <w:tab/>
      </w:r>
      <w:r>
        <w:tab/>
      </w:r>
      <w:r w:rsidR="00777BA9" w:rsidRPr="00560DC5">
        <w:t>:</w:t>
      </w:r>
      <w:r w:rsidR="00777BA9">
        <w:rPr>
          <w:b/>
        </w:rPr>
        <w:tab/>
      </w:r>
      <w:r w:rsidR="00777BA9">
        <w:rPr>
          <w:b/>
        </w:rPr>
        <w:tab/>
      </w:r>
      <w:r w:rsidR="00777BA9">
        <w:t>C-2014-2406535</w:t>
      </w:r>
    </w:p>
    <w:p w:rsidR="00777BA9" w:rsidRPr="00560DC5" w:rsidRDefault="00777BA9" w:rsidP="00777BA9">
      <w:pPr>
        <w:tabs>
          <w:tab w:val="left" w:pos="0"/>
        </w:tabs>
        <w:spacing w:after="0" w:line="240" w:lineRule="auto"/>
        <w:ind w:left="4320" w:firstLine="720"/>
      </w:pPr>
      <w:r w:rsidRPr="00560DC5">
        <w:t>:</w:t>
      </w:r>
    </w:p>
    <w:p w:rsidR="00777BA9" w:rsidRDefault="00777BA9" w:rsidP="00777BA9">
      <w:pPr>
        <w:tabs>
          <w:tab w:val="left" w:pos="0"/>
        </w:tabs>
        <w:spacing w:after="0" w:line="240" w:lineRule="auto"/>
      </w:pPr>
      <w:r>
        <w:t>John Elwood Dorr t/a Dorr’s Moving Exchange</w:t>
      </w:r>
      <w:r>
        <w:tab/>
      </w:r>
      <w:r w:rsidRPr="00560DC5">
        <w:t>:</w:t>
      </w:r>
    </w:p>
    <w:p w:rsidR="00792796" w:rsidRDefault="00792796"/>
    <w:p w:rsidR="0001520D" w:rsidRDefault="0001520D"/>
    <w:p w:rsidR="00777BA9" w:rsidRDefault="00777BA9" w:rsidP="00A60A79">
      <w:pPr>
        <w:spacing w:after="0"/>
        <w:jc w:val="center"/>
        <w:rPr>
          <w:b/>
          <w:u w:val="single"/>
        </w:rPr>
      </w:pPr>
      <w:r w:rsidRPr="00777BA9">
        <w:rPr>
          <w:b/>
          <w:u w:val="single"/>
        </w:rPr>
        <w:t>INITIAL DECISION</w:t>
      </w:r>
    </w:p>
    <w:p w:rsidR="00A7732F" w:rsidRPr="00777BA9" w:rsidRDefault="00A7732F" w:rsidP="00777BA9">
      <w:pPr>
        <w:jc w:val="center"/>
        <w:rPr>
          <w:b/>
          <w:u w:val="single"/>
        </w:rPr>
      </w:pPr>
    </w:p>
    <w:p w:rsidR="0001520D" w:rsidRDefault="0001520D" w:rsidP="00777BA9">
      <w:pPr>
        <w:spacing w:after="0" w:line="240" w:lineRule="auto"/>
        <w:jc w:val="center"/>
      </w:pPr>
      <w:r>
        <w:t>Before</w:t>
      </w:r>
    </w:p>
    <w:p w:rsidR="0001520D" w:rsidRDefault="0001520D" w:rsidP="00777BA9">
      <w:pPr>
        <w:spacing w:after="0" w:line="240" w:lineRule="auto"/>
        <w:jc w:val="center"/>
      </w:pPr>
      <w:r>
        <w:t>Mary D. Long</w:t>
      </w:r>
    </w:p>
    <w:p w:rsidR="0001520D" w:rsidRDefault="0001520D" w:rsidP="00777BA9">
      <w:pPr>
        <w:spacing w:after="0" w:line="240" w:lineRule="auto"/>
        <w:jc w:val="center"/>
      </w:pPr>
      <w:r>
        <w:t>Administrative Law Judge</w:t>
      </w:r>
    </w:p>
    <w:p w:rsidR="0001520D" w:rsidRDefault="0001520D"/>
    <w:p w:rsidR="0001520D" w:rsidRDefault="00777BA9" w:rsidP="00A7732F">
      <w:pPr>
        <w:spacing w:after="0"/>
      </w:pPr>
      <w:r>
        <w:tab/>
        <w:t>This decision sustains the complaint of a consumer whose furniture and personal possessions were lost or damaged by a moving company.  A civil penalty is assessed for the company’s failure to provide reasonable service both in the manner in which it failed to transport the consumer’s possessions without loss or damage and because it failed to offer reasonable customer service in response to her complaints.</w:t>
      </w:r>
    </w:p>
    <w:p w:rsidR="00A7732F" w:rsidRDefault="00A7732F" w:rsidP="00A7732F">
      <w:pPr>
        <w:spacing w:after="0"/>
      </w:pPr>
    </w:p>
    <w:p w:rsidR="0001520D" w:rsidRDefault="0001520D" w:rsidP="00A7732F">
      <w:pPr>
        <w:spacing w:after="0"/>
        <w:jc w:val="center"/>
        <w:rPr>
          <w:u w:val="single"/>
        </w:rPr>
      </w:pPr>
      <w:r w:rsidRPr="00777BA9">
        <w:rPr>
          <w:u w:val="single"/>
        </w:rPr>
        <w:t>HISTORY OF THE PROCEEDINGS</w:t>
      </w:r>
    </w:p>
    <w:p w:rsidR="00A7732F" w:rsidRPr="00777BA9" w:rsidRDefault="00A7732F" w:rsidP="00A7732F">
      <w:pPr>
        <w:spacing w:after="0"/>
        <w:jc w:val="center"/>
        <w:rPr>
          <w:u w:val="single"/>
        </w:rPr>
      </w:pPr>
    </w:p>
    <w:p w:rsidR="0001520D" w:rsidRDefault="0001520D" w:rsidP="00A7732F">
      <w:pPr>
        <w:spacing w:after="0"/>
      </w:pPr>
      <w:r>
        <w:tab/>
        <w:t>Marilyn Goldman (Complainant) filed</w:t>
      </w:r>
      <w:r w:rsidR="00C057C6">
        <w:t xml:space="preserve"> a</w:t>
      </w:r>
      <w:r>
        <w:t xml:space="preserve"> formal complaint on February 10, 2014, against John Elwood Dorr t/a Dorr’s Moving Exchange (Dorr’s Moving), which alleged that during a recent move, many of her possessions were damaged or stolen.</w:t>
      </w:r>
      <w:r w:rsidR="00A10D00">
        <w:t xml:space="preserve">  As relief</w:t>
      </w:r>
      <w:r w:rsidR="00D82133">
        <w:t xml:space="preserve">, she asked the Commission to direct Dorr’s </w:t>
      </w:r>
      <w:proofErr w:type="gramStart"/>
      <w:r w:rsidR="00D82133">
        <w:t>Moving</w:t>
      </w:r>
      <w:proofErr w:type="gramEnd"/>
      <w:r w:rsidR="00D82133">
        <w:t xml:space="preserve"> to pay the</w:t>
      </w:r>
      <w:r w:rsidR="00A10D00">
        <w:t xml:space="preserve"> damages that had been awarded by a magistrate judge as well </w:t>
      </w:r>
      <w:r w:rsidR="00C057C6">
        <w:t xml:space="preserve">to </w:t>
      </w:r>
      <w:r w:rsidR="00A10D00">
        <w:t>return her missing items.  Dorr’s Moving did not file an answer.</w:t>
      </w:r>
    </w:p>
    <w:p w:rsidR="00A7732F" w:rsidRDefault="00A7732F" w:rsidP="00A7732F">
      <w:pPr>
        <w:spacing w:after="0"/>
      </w:pPr>
    </w:p>
    <w:p w:rsidR="00CC2D95" w:rsidRDefault="00A10D00" w:rsidP="00A7732F">
      <w:pPr>
        <w:spacing w:after="0"/>
      </w:pPr>
      <w:r>
        <w:tab/>
      </w:r>
      <w:r w:rsidR="00CC2D95">
        <w:t xml:space="preserve">This matter was assigned to me by hearing notice dated April 21, 2014, and scheduled for hearing on June 4, 2014.  On April 24, 2014, I issued a prehearing order which set </w:t>
      </w:r>
      <w:r w:rsidR="00CC2D95">
        <w:lastRenderedPageBreak/>
        <w:t>forth procedural instructions related to the conduct of hearings, including the presentation of documents, burden of proof, and how to request subpoenas for the attendance of witnesses.  The prehearing order also explained the rules for representation in Commission hearings.</w:t>
      </w:r>
    </w:p>
    <w:p w:rsidR="00A7732F" w:rsidRDefault="00A7732F" w:rsidP="00A7732F">
      <w:pPr>
        <w:spacing w:after="0"/>
      </w:pPr>
    </w:p>
    <w:p w:rsidR="00CC2D95" w:rsidRDefault="00CC2D95" w:rsidP="00A7732F">
      <w:pPr>
        <w:spacing w:after="0"/>
      </w:pPr>
      <w:r>
        <w:t xml:space="preserve"> </w:t>
      </w:r>
      <w:r>
        <w:tab/>
        <w:t xml:space="preserve">The hearing convened as scheduled.  The Complainant </w:t>
      </w:r>
      <w:r w:rsidR="00D82133">
        <w:t>represented herself.</w:t>
      </w:r>
      <w:r>
        <w:t xml:space="preserve">  Mr. Patrick Clark, the assistant office manager of Dorr’s Moving also appeared.  I explained to the parties that the Commission has no jurisdiction to award money damages or </w:t>
      </w:r>
      <w:r w:rsidR="00D82133">
        <w:t xml:space="preserve">to </w:t>
      </w:r>
      <w:r>
        <w:t>enforce a judgment rendered by another tribunal.  However, the Commission does have the authority to determine that a public utility has rendered unreasonable service or has otherwise violated a Commission rule, regulation or order and may levy a civil penalty, if appropriate.</w:t>
      </w:r>
      <w:r w:rsidR="00D82133">
        <w:rPr>
          <w:rStyle w:val="FootnoteReference"/>
        </w:rPr>
        <w:footnoteReference w:id="1"/>
      </w:r>
      <w:r>
        <w:t xml:space="preserve">  </w:t>
      </w:r>
      <w:r w:rsidR="00D82133">
        <w:t xml:space="preserve">I also explained that Mr. Clark, a non-attorney, </w:t>
      </w:r>
      <w:r>
        <w:t>could not represent John Elwood Dorr</w:t>
      </w:r>
      <w:r w:rsidR="00D82133">
        <w:t xml:space="preserve"> or Dorr’s Moving Exchange</w:t>
      </w:r>
      <w:r>
        <w:t xml:space="preserve"> in the proceeding.</w:t>
      </w:r>
      <w:r w:rsidR="00D82133">
        <w:rPr>
          <w:rStyle w:val="FootnoteReference"/>
        </w:rPr>
        <w:footnoteReference w:id="2"/>
      </w:r>
      <w:r>
        <w:t xml:space="preserve">  However, the parties took the opportunity to discuss potential options for the settlement of the Complainant’s dispute.  Mr. Clark was not in a position to authorize specific settlement terms that were discussed and had to consult John Elwood Dorr.  Accordingly, the parties requested a continuance, which was granted by order dated June 5, 2014.</w:t>
      </w:r>
    </w:p>
    <w:p w:rsidR="00A7732F" w:rsidRDefault="00A7732F" w:rsidP="00A7732F">
      <w:pPr>
        <w:spacing w:after="0"/>
      </w:pPr>
    </w:p>
    <w:p w:rsidR="00CC2D95" w:rsidRDefault="00CC2D95" w:rsidP="00A7732F">
      <w:pPr>
        <w:spacing w:after="0"/>
      </w:pPr>
      <w:r>
        <w:tab/>
      </w:r>
      <w:r w:rsidR="00FC64F1">
        <w:t>The parties were unable to resolve their dispute and a further hearing was scheduled for July 29, 2014.  The Complainant appeared and testified on her own behalf.  Mr.</w:t>
      </w:r>
      <w:r w:rsidR="00A7732F">
        <w:t> </w:t>
      </w:r>
      <w:r w:rsidR="00FC64F1">
        <w:t>Patrick Clark, the assistant office manager of Dorr’s Moving was present, but was not permitted to testify.  No attorney appeared on behalf of Dorr’s Moving, nor did John Elwood Dorr</w:t>
      </w:r>
      <w:r w:rsidR="00EA6B85">
        <w:t xml:space="preserve"> appear</w:t>
      </w:r>
      <w:r w:rsidR="00365157">
        <w:t xml:space="preserve"> to represent the company.  Therefore</w:t>
      </w:r>
      <w:r w:rsidR="0004568A">
        <w:t>,</w:t>
      </w:r>
      <w:r w:rsidR="00365157">
        <w:t xml:space="preserve"> no evidence was offered on behalf of Dorr’s Moving or John Elwood Dorr.</w:t>
      </w:r>
      <w:r w:rsidR="00E5110B">
        <w:t xml:space="preserve">  The hearings generated a transcript of 36</w:t>
      </w:r>
      <w:r w:rsidR="00A7732F">
        <w:t> </w:t>
      </w:r>
      <w:r w:rsidR="00E5110B">
        <w:t>pages.  By order dated August 28, 2014, the record was closed.</w:t>
      </w:r>
    </w:p>
    <w:p w:rsidR="00A7732F" w:rsidRDefault="00A7732F" w:rsidP="00A7732F">
      <w:pPr>
        <w:spacing w:after="0"/>
      </w:pPr>
    </w:p>
    <w:p w:rsidR="00FC64F1" w:rsidRDefault="00FC64F1" w:rsidP="00A7732F">
      <w:pPr>
        <w:spacing w:after="0"/>
        <w:jc w:val="center"/>
        <w:rPr>
          <w:u w:val="single"/>
        </w:rPr>
      </w:pPr>
      <w:r w:rsidRPr="002B3B6D">
        <w:rPr>
          <w:u w:val="single"/>
        </w:rPr>
        <w:t>FINDINGS OF FACT</w:t>
      </w:r>
    </w:p>
    <w:p w:rsidR="00A7732F" w:rsidRPr="002B3B6D" w:rsidRDefault="00A7732F" w:rsidP="00A7732F">
      <w:pPr>
        <w:spacing w:after="0"/>
        <w:jc w:val="center"/>
        <w:rPr>
          <w:u w:val="single"/>
        </w:rPr>
      </w:pPr>
    </w:p>
    <w:p w:rsidR="00FC64F1" w:rsidRDefault="00E5110B" w:rsidP="00D83304">
      <w:pPr>
        <w:pStyle w:val="ListParagraph"/>
      </w:pPr>
      <w:r>
        <w:t xml:space="preserve">The Complainant is Marilyn Goldman.  She </w:t>
      </w:r>
      <w:r w:rsidR="00EA6B85">
        <w:t xml:space="preserve">currently </w:t>
      </w:r>
      <w:r>
        <w:t>resides at 5425 Fifth Avenue, Pittsburgh, Pennsylvania.  (N.T. 22)</w:t>
      </w:r>
    </w:p>
    <w:p w:rsidR="00E5110B" w:rsidRDefault="00D76B8F" w:rsidP="00D83304">
      <w:pPr>
        <w:pStyle w:val="ListParagraph"/>
      </w:pPr>
      <w:r>
        <w:lastRenderedPageBreak/>
        <w:t>The Complainant moved to that address in November 2013.  (N.T. 22)</w:t>
      </w:r>
    </w:p>
    <w:p w:rsidR="00D57B48" w:rsidRDefault="00D57B48" w:rsidP="00D83304">
      <w:pPr>
        <w:ind w:left="1440"/>
      </w:pPr>
    </w:p>
    <w:p w:rsidR="00D76B8F" w:rsidRDefault="00D76B8F" w:rsidP="00D83304">
      <w:pPr>
        <w:pStyle w:val="ListParagraph"/>
      </w:pPr>
      <w:r>
        <w:t xml:space="preserve">The Complainant engaged Dorr’s Moving to move her </w:t>
      </w:r>
      <w:r w:rsidR="00EA6B85">
        <w:t>furniture and personal belongings</w:t>
      </w:r>
      <w:r>
        <w:t xml:space="preserve"> from her prior </w:t>
      </w:r>
      <w:r w:rsidR="00EA6B85">
        <w:t>residence</w:t>
      </w:r>
      <w:r>
        <w:t xml:space="preserve"> to 5425 Fifth Avenue.  (N.T. 22</w:t>
      </w:r>
      <w:r w:rsidR="00261108">
        <w:t>, 23</w:t>
      </w:r>
      <w:r>
        <w:t>)</w:t>
      </w:r>
    </w:p>
    <w:p w:rsidR="00D57B48" w:rsidRDefault="00D57B48" w:rsidP="00D83304">
      <w:pPr>
        <w:ind w:left="1440"/>
      </w:pPr>
    </w:p>
    <w:p w:rsidR="00D76B8F" w:rsidRDefault="00D76B8F" w:rsidP="00D83304">
      <w:pPr>
        <w:pStyle w:val="ListParagraph"/>
      </w:pPr>
      <w:r>
        <w:t>While packing the Complainant’s belongings for the move, a worker for Dorr’s Moving broke a statue belonging to the Complainant.  He took the statue with him to repair it, but the statue was never returned to the Complainant.  (N.T. 22-23)</w:t>
      </w:r>
    </w:p>
    <w:p w:rsidR="00D57B48" w:rsidRDefault="00D57B48" w:rsidP="00D83304">
      <w:pPr>
        <w:ind w:left="1440"/>
      </w:pPr>
    </w:p>
    <w:p w:rsidR="00D76B8F" w:rsidRDefault="00024EB6" w:rsidP="00D83304">
      <w:pPr>
        <w:pStyle w:val="ListParagraph"/>
      </w:pPr>
      <w:r>
        <w:t>During the course of the move, several pieces of furniture were damaged including a custom-made stainless steel table, a bedroom set and a dining room table.  (N.T.</w:t>
      </w:r>
      <w:r w:rsidR="00D57B48">
        <w:t> </w:t>
      </w:r>
      <w:r>
        <w:t>24</w:t>
      </w:r>
      <w:r w:rsidR="00D57B48">
        <w:noBreakHyphen/>
      </w:r>
      <w:r>
        <w:t>25)</w:t>
      </w:r>
    </w:p>
    <w:p w:rsidR="00D57B48" w:rsidRDefault="00D57B48" w:rsidP="00D83304">
      <w:pPr>
        <w:ind w:left="1440"/>
      </w:pPr>
    </w:p>
    <w:p w:rsidR="00024EB6" w:rsidRDefault="00024EB6" w:rsidP="00D83304">
      <w:pPr>
        <w:pStyle w:val="ListParagraph"/>
      </w:pPr>
      <w:r>
        <w:t>During the course of the move, several other items did not arrive at the Complainant’s new residence including a bottle of A</w:t>
      </w:r>
      <w:r w:rsidR="006E6266">
        <w:t>bsolut Chocolate V</w:t>
      </w:r>
      <w:r>
        <w:t>odka and a red metal tool case.  (N.T. 25)</w:t>
      </w:r>
    </w:p>
    <w:p w:rsidR="00D57B48" w:rsidRDefault="00D57B48" w:rsidP="00D83304">
      <w:pPr>
        <w:ind w:left="1440"/>
      </w:pPr>
    </w:p>
    <w:p w:rsidR="00024EB6" w:rsidRDefault="00024EB6" w:rsidP="00D83304">
      <w:pPr>
        <w:pStyle w:val="ListParagraph"/>
      </w:pPr>
      <w:r>
        <w:t>Dorr’s Moving also delivered a box to the Complainant that did not belong to her.  (N.T. 25)</w:t>
      </w:r>
    </w:p>
    <w:p w:rsidR="00D57B48" w:rsidRDefault="00D57B48" w:rsidP="00D83304">
      <w:pPr>
        <w:ind w:left="1440"/>
      </w:pPr>
    </w:p>
    <w:p w:rsidR="00024EB6" w:rsidRDefault="00024EB6" w:rsidP="00D83304">
      <w:pPr>
        <w:pStyle w:val="ListParagraph"/>
      </w:pPr>
      <w:r>
        <w:t>The Complainant sued Dorr’s Moving in the Allegheny County magisterial district court and was awarded a judgment</w:t>
      </w:r>
      <w:r w:rsidR="004A328B">
        <w:t xml:space="preserve"> in the amount of $ 8,090.99.</w:t>
      </w:r>
      <w:r>
        <w:t xml:space="preserve">  As of the date of the hearing, the judgment had not been paid.  (N.T. 27</w:t>
      </w:r>
      <w:r w:rsidR="004A328B">
        <w:t>-28</w:t>
      </w:r>
      <w:r>
        <w:t>)</w:t>
      </w:r>
    </w:p>
    <w:p w:rsidR="00D57B48" w:rsidRDefault="00D57B48" w:rsidP="00D83304">
      <w:pPr>
        <w:ind w:left="1440"/>
      </w:pPr>
    </w:p>
    <w:p w:rsidR="00024EB6" w:rsidRDefault="00024EB6" w:rsidP="00D83304">
      <w:pPr>
        <w:pStyle w:val="ListParagraph"/>
      </w:pPr>
      <w:r>
        <w:t>The Complainant has contacted Dorr’s Moving on several occasions to resolve her complaint.  Dorr’s Moving did not respond to her telephone calls.  (N.T. 29-30</w:t>
      </w:r>
      <w:r w:rsidR="00863799">
        <w:t>, 33</w:t>
      </w:r>
      <w:r>
        <w:t>)</w:t>
      </w:r>
    </w:p>
    <w:p w:rsidR="00D57B48" w:rsidRDefault="00D57B48" w:rsidP="00D83304">
      <w:pPr>
        <w:ind w:left="1440"/>
      </w:pPr>
    </w:p>
    <w:p w:rsidR="00024EB6" w:rsidRDefault="00024EB6" w:rsidP="00D83304">
      <w:pPr>
        <w:pStyle w:val="ListParagraph"/>
      </w:pPr>
      <w:r>
        <w:t xml:space="preserve"> On one occasion when she called, a</w:t>
      </w:r>
      <w:r w:rsidR="00632041">
        <w:t xml:space="preserve"> representative of</w:t>
      </w:r>
      <w:r>
        <w:t xml:space="preserve"> Dorr’s Moving named “Nick” was rude to the Complainant and used foul language.  (N.T. 26</w:t>
      </w:r>
      <w:r w:rsidR="00863799">
        <w:t>, 29</w:t>
      </w:r>
      <w:r>
        <w:t>)</w:t>
      </w:r>
    </w:p>
    <w:p w:rsidR="00EC1DF2" w:rsidRDefault="00EC1DF2" w:rsidP="00D57B48">
      <w:pPr>
        <w:spacing w:after="0"/>
        <w:jc w:val="center"/>
        <w:rPr>
          <w:u w:val="single"/>
        </w:rPr>
      </w:pPr>
      <w:r w:rsidRPr="004858C5">
        <w:rPr>
          <w:u w:val="single"/>
        </w:rPr>
        <w:lastRenderedPageBreak/>
        <w:t>DISCUSSION</w:t>
      </w:r>
    </w:p>
    <w:p w:rsidR="00D57B48" w:rsidRPr="004858C5" w:rsidRDefault="00D57B48" w:rsidP="00D57B48">
      <w:pPr>
        <w:spacing w:after="0"/>
        <w:jc w:val="center"/>
        <w:rPr>
          <w:u w:val="single"/>
        </w:rPr>
      </w:pPr>
    </w:p>
    <w:p w:rsidR="002F57B5" w:rsidRDefault="004858C5" w:rsidP="00D57B48">
      <w:pPr>
        <w:spacing w:after="0"/>
      </w:pPr>
      <w:r>
        <w:tab/>
      </w:r>
      <w:r w:rsidR="002F57B5" w:rsidRPr="0098528A">
        <w:t>In this matter, the Complainant is the party seeking affirmative relief from the Commission; therefore, she has the burden of proof.</w:t>
      </w:r>
      <w:r w:rsidR="002F57B5" w:rsidRPr="0098528A">
        <w:rPr>
          <w:rStyle w:val="FootnoteReference"/>
          <w:szCs w:val="24"/>
        </w:rPr>
        <w:footnoteReference w:id="3"/>
      </w:r>
      <w:r w:rsidR="006E6266">
        <w:t xml:space="preserve">  This means that</w:t>
      </w:r>
      <w:r w:rsidR="002F57B5" w:rsidRPr="0098528A">
        <w:t xml:space="preserve"> </w:t>
      </w:r>
      <w:r w:rsidR="002F57B5">
        <w:t>in order to prevail, she must</w:t>
      </w:r>
      <w:r w:rsidR="002F57B5" w:rsidRPr="0098528A">
        <w:t xml:space="preserve"> establish </w:t>
      </w:r>
      <w:r w:rsidR="002F57B5">
        <w:t>each</w:t>
      </w:r>
      <w:r w:rsidR="002F57B5" w:rsidRPr="0098528A">
        <w:t xml:space="preserve"> fact</w:t>
      </w:r>
      <w:r w:rsidR="006E6266">
        <w:t xml:space="preserve"> which supports her claims</w:t>
      </w:r>
      <w:r w:rsidR="002F57B5" w:rsidRPr="0098528A">
        <w:t xml:space="preserve"> by a preponderance of the evidence, and must show that </w:t>
      </w:r>
      <w:r w:rsidR="002F57B5">
        <w:t>Dorr’s Moving</w:t>
      </w:r>
      <w:r w:rsidR="002F57B5" w:rsidRPr="0098528A">
        <w:t xml:space="preserve"> has violated the Public Utility Code or Commission regulations.</w:t>
      </w:r>
      <w:r w:rsidR="002F57B5" w:rsidRPr="0098528A">
        <w:rPr>
          <w:rStyle w:val="FootnoteReference"/>
          <w:szCs w:val="24"/>
        </w:rPr>
        <w:footnoteReference w:id="4"/>
      </w:r>
      <w:r w:rsidR="002F57B5" w:rsidRPr="0098528A">
        <w:t xml:space="preserve"> </w:t>
      </w:r>
    </w:p>
    <w:p w:rsidR="00D57B48" w:rsidRDefault="00D57B48" w:rsidP="00D57B48">
      <w:pPr>
        <w:spacing w:after="0"/>
      </w:pPr>
    </w:p>
    <w:p w:rsidR="00EC1DF2" w:rsidRDefault="004858C5" w:rsidP="00D57B48">
      <w:pPr>
        <w:spacing w:after="0"/>
      </w:pPr>
      <w:r>
        <w:tab/>
      </w:r>
      <w:r w:rsidR="002F57B5" w:rsidRPr="0098528A">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002F57B5" w:rsidRPr="0098528A">
        <w:rPr>
          <w:rStyle w:val="FootnoteReference"/>
          <w:szCs w:val="24"/>
        </w:rPr>
        <w:footnoteReference w:id="5"/>
      </w:r>
      <w:r w:rsidR="002F57B5" w:rsidRPr="0098528A">
        <w:t xml:space="preserve">  </w:t>
      </w:r>
      <w:r w:rsidR="002F57B5" w:rsidRPr="00440642">
        <w:t xml:space="preserve">The facts alleged in the Complainant’s complaint, if proven true, could </w:t>
      </w:r>
      <w:r w:rsidR="002F57B5">
        <w:t>constitute</w:t>
      </w:r>
      <w:r w:rsidR="002F57B5" w:rsidRPr="00440642">
        <w:t xml:space="preserve"> unreasonable service in violation of the Public Utility Code or Commission regulations.  </w:t>
      </w:r>
      <w:r w:rsidR="006F4B62">
        <w:t>I find that the Complainant’s testimony is credible and convincing and conclude that Dorr’s Moving violated Section 1501 of the Public Utility Code.</w:t>
      </w:r>
      <w:r w:rsidR="006E6266">
        <w:rPr>
          <w:rStyle w:val="FootnoteReference"/>
        </w:rPr>
        <w:footnoteReference w:id="6"/>
      </w:r>
    </w:p>
    <w:p w:rsidR="00D57B48" w:rsidRDefault="00D57B48" w:rsidP="00D57B48">
      <w:pPr>
        <w:spacing w:after="0"/>
      </w:pPr>
    </w:p>
    <w:p w:rsidR="006F4B62" w:rsidRDefault="004858C5" w:rsidP="004858C5">
      <w:r>
        <w:tab/>
      </w:r>
      <w:r w:rsidR="006F4B62">
        <w:t>Dorr’s Moving, like all Commission-regulated public utilities, is mandated to provide reasonable customer service:</w:t>
      </w:r>
    </w:p>
    <w:p w:rsidR="006F4B62" w:rsidRDefault="006F4B62" w:rsidP="006F4B62">
      <w:pPr>
        <w:spacing w:line="240" w:lineRule="auto"/>
        <w:ind w:left="1440" w:right="1440"/>
        <w:rPr>
          <w:szCs w:val="24"/>
        </w:rPr>
      </w:pPr>
      <w:r w:rsidRPr="0062657B">
        <w:rPr>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w:t>
      </w:r>
      <w:r w:rsidRPr="0062657B">
        <w:rPr>
          <w:szCs w:val="24"/>
        </w:rPr>
        <w:lastRenderedPageBreak/>
        <w:t>interruptions or delay.  Such service and facilities shall be in conformity with the regulations and orders of the commission.</w:t>
      </w:r>
      <w:r w:rsidRPr="0062657B">
        <w:rPr>
          <w:rStyle w:val="FootnoteReference"/>
          <w:szCs w:val="24"/>
        </w:rPr>
        <w:footnoteReference w:id="7"/>
      </w:r>
    </w:p>
    <w:p w:rsidR="00E350ED" w:rsidRDefault="00E350ED" w:rsidP="006F4B62">
      <w:pPr>
        <w:spacing w:line="240" w:lineRule="auto"/>
        <w:ind w:left="1440" w:right="1440"/>
        <w:rPr>
          <w:szCs w:val="24"/>
        </w:rPr>
      </w:pPr>
    </w:p>
    <w:p w:rsidR="006F4B62" w:rsidRPr="0062657B" w:rsidRDefault="006F4B62" w:rsidP="006F4B62">
      <w:pPr>
        <w:rPr>
          <w:szCs w:val="24"/>
        </w:rPr>
      </w:pPr>
      <w:r w:rsidRPr="0062657B">
        <w:rPr>
          <w:szCs w:val="24"/>
        </w:rPr>
        <w:t>The Commonwealth Court has cautioned that the Commission may not sustain a complaint pursuant to Section 1501 unless it finds that a utility has violated a duty to render reasonable and reliable service.</w:t>
      </w:r>
      <w:r w:rsidRPr="0062657B">
        <w:rPr>
          <w:rStyle w:val="FootnoteReference"/>
          <w:szCs w:val="24"/>
        </w:rPr>
        <w:footnoteReference w:id="8"/>
      </w:r>
      <w:r w:rsidRPr="0062657B">
        <w:rPr>
          <w:szCs w:val="24"/>
        </w:rPr>
        <w:t xml:space="preserve">  The Commission has stated that a utility is not mandated to furnish perfect service:</w:t>
      </w:r>
    </w:p>
    <w:p w:rsidR="006F4B62" w:rsidRDefault="006F4B62" w:rsidP="006F4B62">
      <w:pPr>
        <w:spacing w:line="240" w:lineRule="auto"/>
        <w:ind w:left="1440" w:right="1440"/>
        <w:rPr>
          <w:szCs w:val="24"/>
        </w:rPr>
      </w:pPr>
      <w:r w:rsidRPr="0062657B">
        <w:rPr>
          <w:szCs w:val="24"/>
        </w:rPr>
        <w:t>[Section 1501] does not mandate perfect service nor must a public utility provide the best possible service.  Most certainly, a public utility is not a guarantor of either perfect service or the best possible service.</w:t>
      </w:r>
      <w:r w:rsidRPr="0062657B">
        <w:rPr>
          <w:rStyle w:val="FootnoteReference"/>
          <w:szCs w:val="24"/>
        </w:rPr>
        <w:footnoteReference w:id="9"/>
      </w:r>
    </w:p>
    <w:p w:rsidR="006F4B62" w:rsidRPr="0062657B" w:rsidRDefault="006F4B62" w:rsidP="006F4B62">
      <w:pPr>
        <w:spacing w:line="240" w:lineRule="auto"/>
        <w:ind w:left="1440" w:right="1440"/>
        <w:rPr>
          <w:szCs w:val="24"/>
        </w:rPr>
      </w:pPr>
    </w:p>
    <w:p w:rsidR="006F4B62" w:rsidRDefault="006F4B62" w:rsidP="00B4297E">
      <w:pPr>
        <w:spacing w:after="0"/>
      </w:pPr>
      <w:r w:rsidRPr="0062657B">
        <w:t>Thus the test to determine the adequacy of a utility’s service is that of reasonableness.</w:t>
      </w:r>
      <w:r w:rsidRPr="0062657B">
        <w:rPr>
          <w:rStyle w:val="FootnoteReference"/>
          <w:szCs w:val="24"/>
        </w:rPr>
        <w:footnoteReference w:id="10"/>
      </w:r>
      <w:r w:rsidRPr="0062657B">
        <w:t xml:space="preserve">  This is also the test to determine the adequacy of a utility’s response to customer service complai</w:t>
      </w:r>
      <w:r w:rsidR="004858C5">
        <w:t>nts</w:t>
      </w:r>
      <w:r w:rsidRPr="0062657B">
        <w:t>.</w:t>
      </w:r>
      <w:r w:rsidRPr="0062657B">
        <w:rPr>
          <w:rStyle w:val="FootnoteReference"/>
          <w:szCs w:val="24"/>
        </w:rPr>
        <w:footnoteReference w:id="11"/>
      </w:r>
    </w:p>
    <w:p w:rsidR="00B4297E" w:rsidRDefault="00B4297E" w:rsidP="00B4297E">
      <w:pPr>
        <w:spacing w:after="0"/>
      </w:pPr>
    </w:p>
    <w:p w:rsidR="000D3A5E" w:rsidRDefault="00C7207E" w:rsidP="00B4297E">
      <w:pPr>
        <w:spacing w:after="0"/>
      </w:pPr>
      <w:r>
        <w:tab/>
        <w:t xml:space="preserve">The Complainant testified that Dorr’s Moving not only damaged or lost many of her personal belongings </w:t>
      </w:r>
      <w:r w:rsidR="000D3A5E">
        <w:t xml:space="preserve">and </w:t>
      </w:r>
      <w:r>
        <w:t xml:space="preserve">furniture, but was also unresponsive to her complaint both in attempting to resolve the matter informally, </w:t>
      </w:r>
      <w:r w:rsidR="003B4D8C">
        <w:t xml:space="preserve">and </w:t>
      </w:r>
      <w:r>
        <w:t>also in response to her attempts to settle her formal Commission complaint</w:t>
      </w:r>
      <w:r w:rsidR="000D3A5E">
        <w:t xml:space="preserve"> following the discussion during the Commission proceeding on June 4, 2014</w:t>
      </w:r>
      <w:r>
        <w:t>.  These are serious alleg</w:t>
      </w:r>
      <w:r w:rsidR="00495B07">
        <w:t xml:space="preserve">ations.  </w:t>
      </w:r>
      <w:r w:rsidR="002D0A11">
        <w:t xml:space="preserve">While mistakes may happen, it is unacceptable for any public utility to refuse to communicate with a customer and attempt to rectify the shortcomings in the services rendered.  The Complainant’s testimony was credible and convincing concerning the scope of the damage done to her belongings by Dorr’s Moving.  She was also credible that her attempts to contact Dorr’s Moving to seek restitution for the damaged </w:t>
      </w:r>
      <w:r w:rsidR="002D0A11">
        <w:lastRenderedPageBreak/>
        <w:t>belonging</w:t>
      </w:r>
      <w:r w:rsidR="000D3A5E">
        <w:t>s</w:t>
      </w:r>
      <w:r w:rsidR="002D0A11">
        <w:t xml:space="preserve"> and missing property went unanswered.  I also find her testimony that a representative was rude to the Complainant and used foul language in response to her complaint credible.  Such behavior is unacceptable for any public utility and its representatives.  </w:t>
      </w:r>
    </w:p>
    <w:p w:rsidR="00B4297E" w:rsidRDefault="00B4297E" w:rsidP="00B4297E">
      <w:pPr>
        <w:spacing w:after="0"/>
      </w:pPr>
    </w:p>
    <w:p w:rsidR="00C7207E" w:rsidRDefault="000D3A5E" w:rsidP="00B4297E">
      <w:pPr>
        <w:spacing w:after="0"/>
      </w:pPr>
      <w:r>
        <w:tab/>
      </w:r>
      <w:r w:rsidR="002D0A11">
        <w:t>Therefore</w:t>
      </w:r>
      <w:r w:rsidR="00DD0939">
        <w:t>,</w:t>
      </w:r>
      <w:r w:rsidR="002D0A11">
        <w:t xml:space="preserve"> I find that Dorr’s Moving violated Section 1501 of the Public Utility Code.  </w:t>
      </w:r>
      <w:r>
        <w:t>Dorr’s Moving not only provided unreasonable service by breaking, damaging and losing items</w:t>
      </w:r>
      <w:r w:rsidR="002272B9">
        <w:t xml:space="preserve"> that it was hired to transport.  The Commission’s regulations clearly require Dorr’s </w:t>
      </w:r>
      <w:proofErr w:type="gramStart"/>
      <w:r w:rsidR="002272B9">
        <w:t>Moving</w:t>
      </w:r>
      <w:proofErr w:type="gramEnd"/>
      <w:r w:rsidR="002272B9">
        <w:t xml:space="preserve"> to “comply with fair claims settlement and compromise practices.”</w:t>
      </w:r>
      <w:r w:rsidR="002272B9">
        <w:rPr>
          <w:rStyle w:val="FootnoteReference"/>
        </w:rPr>
        <w:footnoteReference w:id="12"/>
      </w:r>
      <w:r w:rsidR="002272B9">
        <w:t xml:space="preserve">  </w:t>
      </w:r>
      <w:r w:rsidR="00157D75">
        <w:t xml:space="preserve">The regulation further prohibits the delay and obstructive conduct of Dorr’s </w:t>
      </w:r>
      <w:proofErr w:type="gramStart"/>
      <w:r w:rsidR="00157D75">
        <w:t>Moving</w:t>
      </w:r>
      <w:proofErr w:type="gramEnd"/>
      <w:r w:rsidR="00157D75">
        <w:t xml:space="preserve"> in its handling of the Complainant’s claim for damages.</w:t>
      </w:r>
      <w:r w:rsidR="00157D75">
        <w:rPr>
          <w:rStyle w:val="FootnoteReference"/>
        </w:rPr>
        <w:footnoteReference w:id="13"/>
      </w:r>
      <w:r w:rsidR="000119FE">
        <w:t xml:space="preserve">  </w:t>
      </w:r>
      <w:r w:rsidR="00CC27AC">
        <w:t>Dorr’s Moving</w:t>
      </w:r>
      <w:r>
        <w:t xml:space="preserve"> also provided unreasonable service by failing to adequately respond to the Complainant’s complaints.  T</w:t>
      </w:r>
      <w:r w:rsidR="002D0A11">
        <w:t>his decision will be served on the Commission’s Bureau of Investigation and Enforcement (BIE) for any further enforcement action which BIE finds appropriate.</w:t>
      </w:r>
    </w:p>
    <w:p w:rsidR="00B4297E" w:rsidRDefault="00B4297E" w:rsidP="00B4297E">
      <w:pPr>
        <w:spacing w:after="0"/>
      </w:pPr>
    </w:p>
    <w:p w:rsidR="00DE2449" w:rsidRPr="00B40636" w:rsidRDefault="00DE2449" w:rsidP="00B4297E">
      <w:pPr>
        <w:spacing w:after="0"/>
        <w:ind w:firstLine="1440"/>
      </w:pPr>
      <w:r>
        <w:t>Having concluded that Dorr’s Moving violat</w:t>
      </w:r>
      <w:r w:rsidR="00DD0939">
        <w:t>ed</w:t>
      </w:r>
      <w:r>
        <w:t xml:space="preserve"> Section 1501 of the Public Utility Code, I also find that it is appropriate to assess a civil penalty.  </w:t>
      </w:r>
      <w:r w:rsidRPr="00B40636">
        <w:rPr>
          <w:snapToGrid w:val="0"/>
        </w:rPr>
        <w:t xml:space="preserve">Section 3301 of the Public Utility Code provides that if any </w:t>
      </w:r>
      <w:r>
        <w:rPr>
          <w:snapToGrid w:val="0"/>
        </w:rPr>
        <w:t>regulated entity</w:t>
      </w:r>
      <w:r w:rsidRPr="00B40636">
        <w:rPr>
          <w:snapToGrid w:val="0"/>
        </w:rPr>
        <w:t xml:space="preserve"> fails to comply with any Commission regulation</w:t>
      </w:r>
      <w:r w:rsidR="0086656C">
        <w:rPr>
          <w:snapToGrid w:val="0"/>
        </w:rPr>
        <w:t xml:space="preserve">, order or statute, </w:t>
      </w:r>
      <w:r w:rsidRPr="00B40636">
        <w:rPr>
          <w:snapToGrid w:val="0"/>
        </w:rPr>
        <w:t>it shall forfeit and pay to the Commonwealth a sum not exceeding $1,000.00</w:t>
      </w:r>
      <w:r>
        <w:rPr>
          <w:snapToGrid w:val="0"/>
        </w:rPr>
        <w:t xml:space="preserve"> per day of violation.</w:t>
      </w:r>
      <w:r>
        <w:rPr>
          <w:rStyle w:val="FootnoteReference"/>
          <w:snapToGrid w:val="0"/>
        </w:rPr>
        <w:footnoteReference w:id="14"/>
      </w:r>
      <w:r>
        <w:rPr>
          <w:snapToGrid w:val="0"/>
        </w:rPr>
        <w:t xml:space="preserve">  To implement this section, t</w:t>
      </w:r>
      <w:r w:rsidRPr="00B40636">
        <w:rPr>
          <w:snapToGrid w:val="0"/>
        </w:rPr>
        <w:t>he Commission has adopted certain standards that must be applied when imposing a civil penalty for violations of Commission directives and regulations.</w:t>
      </w:r>
      <w:r>
        <w:rPr>
          <w:rStyle w:val="FootnoteReference"/>
          <w:snapToGrid w:val="0"/>
        </w:rPr>
        <w:footnoteReference w:id="15"/>
      </w:r>
      <w:r w:rsidRPr="00B40636">
        <w:rPr>
          <w:snapToGrid w:val="0"/>
        </w:rPr>
        <w:t xml:space="preserve">  </w:t>
      </w:r>
      <w:r w:rsidRPr="00B40636">
        <w:t>Section 69.1201(a) of the Commission’s regulations states:</w:t>
      </w:r>
    </w:p>
    <w:p w:rsidR="00DE2449" w:rsidRDefault="00DE2449" w:rsidP="00DE2449">
      <w:pPr>
        <w:spacing w:after="0" w:line="240" w:lineRule="auto"/>
        <w:ind w:left="1440" w:right="1440"/>
      </w:pPr>
    </w:p>
    <w:p w:rsidR="00DE2449" w:rsidRPr="00B40636" w:rsidRDefault="00DE2449" w:rsidP="00DE2449">
      <w:pPr>
        <w:spacing w:after="0" w:line="240" w:lineRule="auto"/>
        <w:ind w:left="1440" w:right="1440"/>
      </w:pPr>
      <w:r w:rsidRPr="00B40636">
        <w:t>The Commission will consider specific factors</w:t>
      </w:r>
      <w:r>
        <w:t xml:space="preserve"> and standards</w:t>
      </w:r>
      <w:r w:rsidRPr="00B40636">
        <w:t xml:space="preserve"> in evaluating litigated … cases involving violations of 66 </w:t>
      </w:r>
      <w:proofErr w:type="spellStart"/>
      <w:r w:rsidRPr="00B40636">
        <w:t>Pa.C.S</w:t>
      </w:r>
      <w:proofErr w:type="spellEnd"/>
      <w:r w:rsidRPr="00B40636">
        <w:t xml:space="preserve">. (relating to the Public Utility Code) and this title.  These factors and standards will be utilized by the Commission in determining if </w:t>
      </w:r>
      <w:r w:rsidRPr="00B40636">
        <w:lastRenderedPageBreak/>
        <w:t>a fine for violating a Commission order, regulation or statute is appropriate.</w:t>
      </w:r>
      <w:r>
        <w:rPr>
          <w:rStyle w:val="FootnoteReference"/>
        </w:rPr>
        <w:footnoteReference w:id="16"/>
      </w:r>
      <w:r w:rsidRPr="00B40636">
        <w:t xml:space="preserve">  </w:t>
      </w:r>
    </w:p>
    <w:p w:rsidR="00DE2449" w:rsidRPr="00B40636" w:rsidRDefault="00DE2449" w:rsidP="00DE2449">
      <w:pPr>
        <w:spacing w:after="0"/>
        <w:ind w:left="1440" w:right="1440"/>
      </w:pPr>
    </w:p>
    <w:p w:rsidR="00DE2449" w:rsidRPr="00B40636" w:rsidRDefault="00DE2449" w:rsidP="00DE2449">
      <w:pPr>
        <w:spacing w:after="0"/>
        <w:outlineLvl w:val="0"/>
      </w:pPr>
      <w:r>
        <w:t xml:space="preserve">These </w:t>
      </w:r>
      <w:r w:rsidRPr="00B40636">
        <w:t>factors and standards to be considered</w:t>
      </w:r>
      <w:r>
        <w:t xml:space="preserve"> are enumerated in subsection (c)</w:t>
      </w:r>
      <w:r w:rsidRPr="00B40636">
        <w:t>:</w:t>
      </w:r>
    </w:p>
    <w:p w:rsidR="00DE2449" w:rsidRDefault="00DE2449" w:rsidP="00DE2449">
      <w:pPr>
        <w:spacing w:after="0" w:line="240" w:lineRule="auto"/>
        <w:ind w:left="1440" w:right="1440"/>
      </w:pPr>
    </w:p>
    <w:p w:rsidR="00DE2449" w:rsidRDefault="00DE2449" w:rsidP="00DE2449">
      <w:pPr>
        <w:spacing w:after="0" w:line="240" w:lineRule="auto"/>
        <w:ind w:left="1440" w:right="1440"/>
      </w:pPr>
      <w:r w:rsidRPr="00B40636">
        <w:t>(1)</w:t>
      </w:r>
      <w:r w:rsidRPr="00B40636">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DE2449" w:rsidRPr="00B40636" w:rsidRDefault="00DE2449" w:rsidP="00DE2449">
      <w:pPr>
        <w:spacing w:after="0" w:line="240" w:lineRule="auto"/>
        <w:ind w:left="1440" w:right="1440"/>
      </w:pPr>
    </w:p>
    <w:p w:rsidR="00DE2449" w:rsidRDefault="00DE2449" w:rsidP="00DE2449">
      <w:pPr>
        <w:spacing w:after="0" w:line="240" w:lineRule="auto"/>
        <w:ind w:left="1440" w:right="1440"/>
      </w:pPr>
      <w:r w:rsidRPr="00B40636">
        <w:t>(2)</w:t>
      </w:r>
      <w:r w:rsidRPr="00B40636">
        <w:tab/>
        <w:t>Whether the resulting consequences of the conduct at issue were of a serious nature.  When consequences of a serious nature are involved, such as personal injury or property damage, the consequences may warrant a higher penalty.</w:t>
      </w:r>
    </w:p>
    <w:p w:rsidR="00DE2449" w:rsidRPr="00B40636" w:rsidRDefault="00DE2449" w:rsidP="00DE2449">
      <w:pPr>
        <w:spacing w:after="0" w:line="240" w:lineRule="auto"/>
        <w:ind w:left="1440" w:right="1440"/>
      </w:pPr>
    </w:p>
    <w:p w:rsidR="00DE2449" w:rsidRDefault="00DE2449" w:rsidP="00DE2449">
      <w:pPr>
        <w:spacing w:after="0" w:line="240" w:lineRule="auto"/>
        <w:ind w:left="1440" w:right="1440"/>
      </w:pPr>
      <w:r w:rsidRPr="00B40636">
        <w:t>(3)</w:t>
      </w:r>
      <w:r w:rsidRPr="00B40636">
        <w:tab/>
        <w:t>Whether the conduct at issue was deemed intentional or negligent.  This factor may only be considered in evaluating litigated cases.  When conduct has been deemed intentional, the conduct may result in a higher penalty.</w:t>
      </w:r>
    </w:p>
    <w:p w:rsidR="00DE2449" w:rsidRPr="00B40636" w:rsidRDefault="00DE2449" w:rsidP="00DE2449">
      <w:pPr>
        <w:spacing w:after="0" w:line="240" w:lineRule="auto"/>
        <w:ind w:left="1440" w:right="1440"/>
      </w:pPr>
    </w:p>
    <w:p w:rsidR="00DE2449" w:rsidRPr="00B40636" w:rsidRDefault="00DE2449" w:rsidP="00DE2449">
      <w:pPr>
        <w:spacing w:after="0" w:line="240" w:lineRule="auto"/>
        <w:ind w:left="1440" w:right="1440"/>
      </w:pPr>
      <w:r w:rsidRPr="00B40636">
        <w:t>(4)</w:t>
      </w:r>
      <w:r w:rsidRPr="00B40636">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DE2449" w:rsidRPr="00B40636" w:rsidRDefault="00DE2449" w:rsidP="00DE2449">
      <w:pPr>
        <w:spacing w:after="0" w:line="240" w:lineRule="auto"/>
        <w:ind w:left="1440" w:right="1440"/>
      </w:pPr>
    </w:p>
    <w:p w:rsidR="00DE2449" w:rsidRDefault="00DE2449" w:rsidP="00DE2449">
      <w:pPr>
        <w:spacing w:after="0" w:line="240" w:lineRule="auto"/>
        <w:ind w:left="1440" w:right="1440"/>
      </w:pPr>
      <w:r w:rsidRPr="00B40636">
        <w:t>(5)</w:t>
      </w:r>
      <w:r w:rsidRPr="00B40636">
        <w:tab/>
        <w:t>The number of customers affected and the duration of the violation.</w:t>
      </w:r>
    </w:p>
    <w:p w:rsidR="00DE2449" w:rsidRPr="00B40636" w:rsidRDefault="00DE2449" w:rsidP="00DE2449">
      <w:pPr>
        <w:spacing w:after="0" w:line="240" w:lineRule="auto"/>
        <w:ind w:left="1440" w:right="1440"/>
      </w:pPr>
    </w:p>
    <w:p w:rsidR="00DE2449" w:rsidRDefault="00DE2449" w:rsidP="00DE2449">
      <w:pPr>
        <w:spacing w:after="0" w:line="240" w:lineRule="auto"/>
        <w:ind w:left="1440" w:right="1440"/>
      </w:pPr>
      <w:r w:rsidRPr="00B40636">
        <w:t>(6)</w:t>
      </w:r>
      <w:r w:rsidRPr="00B40636">
        <w:tab/>
        <w:t>The compliance history of the regulated entity which committed the violation.  An isolated incident from an otherwise compliant utility may result in a lower penalty, whereas frequent, recurrent violations by a utility may result in a higher penalty.</w:t>
      </w:r>
    </w:p>
    <w:p w:rsidR="00DE2449" w:rsidRPr="00B40636" w:rsidRDefault="00DE2449" w:rsidP="00DE2449">
      <w:pPr>
        <w:spacing w:after="0" w:line="240" w:lineRule="auto"/>
        <w:ind w:left="1440" w:right="1440"/>
      </w:pPr>
    </w:p>
    <w:p w:rsidR="00DE2449" w:rsidRDefault="00DE2449" w:rsidP="00DE2449">
      <w:pPr>
        <w:spacing w:after="0" w:line="240" w:lineRule="auto"/>
        <w:ind w:left="1440" w:right="1440"/>
      </w:pPr>
      <w:r w:rsidRPr="00B40636">
        <w:t>(7)</w:t>
      </w:r>
      <w:r w:rsidRPr="00B40636">
        <w:tab/>
        <w:t>Whether the regulated entity cooperated with the Commission’s investigation.  Facts establishing bad faith, active concealment of violations or attempts to interfere with Commission investigations may result in a higher penalty.</w:t>
      </w:r>
    </w:p>
    <w:p w:rsidR="00DE2449" w:rsidRPr="00B40636" w:rsidRDefault="00DE2449" w:rsidP="00DE2449">
      <w:pPr>
        <w:spacing w:after="0" w:line="240" w:lineRule="auto"/>
        <w:ind w:left="1440" w:right="1440"/>
      </w:pPr>
    </w:p>
    <w:p w:rsidR="00DE2449" w:rsidRDefault="00DE2449" w:rsidP="00DE2449">
      <w:pPr>
        <w:spacing w:after="0" w:line="240" w:lineRule="auto"/>
        <w:ind w:left="1440" w:right="1440"/>
      </w:pPr>
      <w:r w:rsidRPr="00B40636">
        <w:lastRenderedPageBreak/>
        <w:t>(8)</w:t>
      </w:r>
      <w:r w:rsidRPr="00B40636">
        <w:tab/>
        <w:t>The amount of the civil penalty or fine necessary to deter future violations.  The size of the utility may be considered to determine an appropriate penalty amount.</w:t>
      </w:r>
    </w:p>
    <w:p w:rsidR="00DE2449" w:rsidRPr="00B40636" w:rsidRDefault="00DE2449" w:rsidP="00DE2449">
      <w:pPr>
        <w:spacing w:after="0" w:line="240" w:lineRule="auto"/>
        <w:ind w:left="1440" w:right="1440"/>
      </w:pPr>
    </w:p>
    <w:p w:rsidR="00DE2449" w:rsidRDefault="00DE2449" w:rsidP="00DE2449">
      <w:pPr>
        <w:spacing w:after="0" w:line="240" w:lineRule="auto"/>
        <w:ind w:left="1440" w:right="1440"/>
      </w:pPr>
      <w:r w:rsidRPr="00B40636">
        <w:t>(9)</w:t>
      </w:r>
      <w:r w:rsidRPr="00B40636">
        <w:tab/>
        <w:t>Past Commission decision</w:t>
      </w:r>
      <w:r>
        <w:t>s</w:t>
      </w:r>
      <w:r w:rsidRPr="00B40636">
        <w:t xml:space="preserve"> in similar situations.</w:t>
      </w:r>
    </w:p>
    <w:p w:rsidR="00DE2449" w:rsidRPr="00B40636" w:rsidRDefault="00DE2449" w:rsidP="00DE2449">
      <w:pPr>
        <w:spacing w:after="0" w:line="240" w:lineRule="auto"/>
        <w:ind w:left="1440" w:right="1440"/>
      </w:pPr>
    </w:p>
    <w:p w:rsidR="00DE2449" w:rsidRDefault="00DE2449" w:rsidP="00DE2449">
      <w:pPr>
        <w:spacing w:after="0"/>
        <w:ind w:left="1440" w:right="1440"/>
      </w:pPr>
      <w:r>
        <w:t>(10)</w:t>
      </w:r>
      <w:r>
        <w:tab/>
        <w:t>Other relevant factors.</w:t>
      </w:r>
      <w:r>
        <w:rPr>
          <w:rStyle w:val="FootnoteReference"/>
        </w:rPr>
        <w:footnoteReference w:id="17"/>
      </w:r>
    </w:p>
    <w:p w:rsidR="00DE2449" w:rsidRDefault="00DE2449" w:rsidP="00DE2449">
      <w:pPr>
        <w:spacing w:after="0"/>
      </w:pPr>
    </w:p>
    <w:p w:rsidR="0086656C" w:rsidRDefault="006F3060" w:rsidP="008C1704">
      <w:r>
        <w:tab/>
        <w:t>First, the significant amount of damage to the Complainant’s belongings is a serious violation.  Since the conduct of Dorr’s Moving involved property damage and the loss of property, the violation merits a higher penalty.</w:t>
      </w:r>
      <w:r>
        <w:rPr>
          <w:rStyle w:val="FootnoteReference"/>
        </w:rPr>
        <w:footnoteReference w:id="18"/>
      </w:r>
      <w:r w:rsidR="00410428">
        <w:t xml:space="preserve">  </w:t>
      </w:r>
    </w:p>
    <w:p w:rsidR="00B4297E" w:rsidRDefault="00B4297E" w:rsidP="00B4297E">
      <w:pPr>
        <w:spacing w:after="0"/>
      </w:pPr>
    </w:p>
    <w:p w:rsidR="00DE2449" w:rsidRDefault="0086656C" w:rsidP="00B4297E">
      <w:pPr>
        <w:spacing w:after="0"/>
      </w:pPr>
      <w:r>
        <w:tab/>
        <w:t>Next, a</w:t>
      </w:r>
      <w:r w:rsidR="00410428">
        <w:t>t the very least, the conduct</w:t>
      </w:r>
      <w:r>
        <w:t xml:space="preserve"> of Dorr’s Moving</w:t>
      </w:r>
      <w:r w:rsidR="00410428">
        <w:t xml:space="preserve"> was negligent.  It is expected that a company which is in the business of transporting furniture and personal possessions should be able to do so without causing such significant damage.</w:t>
      </w:r>
      <w:r w:rsidR="00410428">
        <w:rPr>
          <w:rStyle w:val="FootnoteReference"/>
        </w:rPr>
        <w:footnoteReference w:id="19"/>
      </w:r>
      <w:r w:rsidR="00410428">
        <w:t xml:space="preserve">  It is also abundantly clear that Dorr’s Moving made no effort to rectify its behavior or do anything to repair the damage caused by its employees.</w:t>
      </w:r>
      <w:r w:rsidR="00410428">
        <w:rPr>
          <w:rStyle w:val="FootnoteReference"/>
        </w:rPr>
        <w:footnoteReference w:id="20"/>
      </w:r>
      <w:r w:rsidR="00410428">
        <w:t xml:space="preserve">  Dorr’s Moving made no effort to return the Complainant’s phone calls or respond to her complaint in any way.  These factors also merit a higher penalty.</w:t>
      </w:r>
    </w:p>
    <w:p w:rsidR="00B4297E" w:rsidRDefault="00B4297E" w:rsidP="00B4297E">
      <w:pPr>
        <w:spacing w:after="0"/>
      </w:pPr>
    </w:p>
    <w:p w:rsidR="0054188D" w:rsidRDefault="00410428" w:rsidP="00B4297E">
      <w:pPr>
        <w:spacing w:after="0"/>
      </w:pPr>
      <w:r>
        <w:tab/>
        <w:t>This violation only relates to a single complainant.  However, as explained above, this decision will be served upon BIE which may choose to review the compliance history of this utility or undertake an investigation to determine if other customers have been affected.</w:t>
      </w:r>
      <w:r>
        <w:rPr>
          <w:rStyle w:val="FootnoteReference"/>
        </w:rPr>
        <w:footnoteReference w:id="21"/>
      </w:r>
      <w:r>
        <w:t xml:space="preserve">  This </w:t>
      </w:r>
    </w:p>
    <w:p w:rsidR="0054188D" w:rsidRDefault="0054188D" w:rsidP="00B4297E">
      <w:pPr>
        <w:spacing w:after="0"/>
      </w:pPr>
    </w:p>
    <w:p w:rsidR="0054188D" w:rsidRDefault="0054188D" w:rsidP="00B4297E">
      <w:pPr>
        <w:spacing w:after="0"/>
      </w:pPr>
    </w:p>
    <w:p w:rsidR="0054188D" w:rsidRDefault="0054188D" w:rsidP="00B4297E">
      <w:pPr>
        <w:spacing w:after="0"/>
      </w:pPr>
    </w:p>
    <w:p w:rsidR="00410428" w:rsidRDefault="00410428" w:rsidP="00B4297E">
      <w:pPr>
        <w:spacing w:after="0"/>
      </w:pPr>
      <w:proofErr w:type="gramStart"/>
      <w:r>
        <w:lastRenderedPageBreak/>
        <w:t>record</w:t>
      </w:r>
      <w:proofErr w:type="gramEnd"/>
      <w:r>
        <w:t xml:space="preserve"> has no evidence of any other action taken by the Commission.</w:t>
      </w:r>
      <w:r>
        <w:rPr>
          <w:rStyle w:val="FootnoteReference"/>
        </w:rPr>
        <w:footnoteReference w:id="22"/>
      </w:r>
      <w:r w:rsidR="008D2B08">
        <w:t xml:space="preserve">  Nor was I able to locate any other Commission decisions relating to similar conduct.</w:t>
      </w:r>
      <w:r w:rsidR="008D2B08">
        <w:rPr>
          <w:rStyle w:val="FootnoteReference"/>
        </w:rPr>
        <w:footnoteReference w:id="23"/>
      </w:r>
    </w:p>
    <w:p w:rsidR="001E6ADD" w:rsidRDefault="001E6ADD" w:rsidP="00B4297E">
      <w:pPr>
        <w:spacing w:after="0"/>
      </w:pPr>
    </w:p>
    <w:p w:rsidR="008D2B08" w:rsidRDefault="008D2B08" w:rsidP="00B4297E">
      <w:pPr>
        <w:spacing w:after="0"/>
      </w:pPr>
      <w:r>
        <w:tab/>
        <w:t>A civil penalty of a sufficient amount to deter future violations is the most significant factor in my consideration of an appropriate penalty in this case.  The serious nature of the violation must be impressed upon Dorr’s Moving in order to incentivize appropriate improvements to its operation</w:t>
      </w:r>
      <w:r w:rsidR="0086656C">
        <w:t>, including the training of its employees who transport household goods and also those who handle customer service complaints</w:t>
      </w:r>
      <w:r>
        <w:t>.</w:t>
      </w:r>
      <w:r>
        <w:rPr>
          <w:rStyle w:val="FootnoteReference"/>
        </w:rPr>
        <w:footnoteReference w:id="24"/>
      </w:r>
    </w:p>
    <w:p w:rsidR="008C1704" w:rsidRDefault="008C1704" w:rsidP="00B4297E">
      <w:pPr>
        <w:spacing w:after="0"/>
      </w:pPr>
    </w:p>
    <w:p w:rsidR="004A328B" w:rsidRDefault="004A328B" w:rsidP="00B4297E">
      <w:pPr>
        <w:spacing w:after="0"/>
      </w:pPr>
      <w:r>
        <w:tab/>
        <w:t xml:space="preserve">Considering all of these factors, a civil penalty </w:t>
      </w:r>
      <w:r w:rsidR="000B35DD">
        <w:t xml:space="preserve">in the </w:t>
      </w:r>
      <w:r w:rsidR="008042C8">
        <w:t xml:space="preserve">total </w:t>
      </w:r>
      <w:r w:rsidR="000B35DD">
        <w:t xml:space="preserve">amount </w:t>
      </w:r>
      <w:r>
        <w:t xml:space="preserve">of </w:t>
      </w:r>
      <w:r w:rsidR="000B35DD">
        <w:t>$1,000 is appropriate.</w:t>
      </w:r>
      <w:r w:rsidR="008042C8">
        <w:t xml:space="preserve">  This penalty includes a $500 penalty for failing to render reasonable service by losing and damaging the Complainant’s belongings. </w:t>
      </w:r>
      <w:r w:rsidR="003F6539">
        <w:t xml:space="preserve"> </w:t>
      </w:r>
      <w:r w:rsidR="008042C8">
        <w:t xml:space="preserve">An additional $500 penalty is assessed for failing to render reasonable service </w:t>
      </w:r>
      <w:r w:rsidR="0086656C">
        <w:t>due to the poor</w:t>
      </w:r>
      <w:r w:rsidR="008042C8">
        <w:t xml:space="preserve"> customer service response to her complaint.</w:t>
      </w:r>
    </w:p>
    <w:p w:rsidR="008C1704" w:rsidRDefault="008C1704" w:rsidP="00B4297E">
      <w:pPr>
        <w:spacing w:after="0"/>
      </w:pPr>
    </w:p>
    <w:p w:rsidR="006A37E2" w:rsidRDefault="006A37E2" w:rsidP="008C1704">
      <w:pPr>
        <w:spacing w:after="0"/>
        <w:jc w:val="center"/>
        <w:rPr>
          <w:u w:val="single"/>
        </w:rPr>
      </w:pPr>
      <w:r w:rsidRPr="00023DD8">
        <w:rPr>
          <w:u w:val="single"/>
        </w:rPr>
        <w:t>CONCLUSIONS OF LAW</w:t>
      </w:r>
    </w:p>
    <w:p w:rsidR="008C1704" w:rsidRPr="00023DD8" w:rsidRDefault="008C1704" w:rsidP="008C1704">
      <w:pPr>
        <w:spacing w:after="0"/>
        <w:jc w:val="center"/>
        <w:rPr>
          <w:u w:val="single"/>
        </w:rPr>
      </w:pPr>
    </w:p>
    <w:p w:rsidR="006A37E2" w:rsidRDefault="006A37E2" w:rsidP="00E704DB">
      <w:pPr>
        <w:spacing w:after="0"/>
      </w:pPr>
      <w:r>
        <w:tab/>
        <w:t>1.</w:t>
      </w:r>
      <w:r>
        <w:tab/>
        <w:t xml:space="preserve">The Commission has jurisdiction over the parties and subject matter of this dispute.  66 </w:t>
      </w:r>
      <w:proofErr w:type="spellStart"/>
      <w:r>
        <w:t>Pa.C.S</w:t>
      </w:r>
      <w:proofErr w:type="spellEnd"/>
      <w:r>
        <w:t>. § 701.</w:t>
      </w:r>
    </w:p>
    <w:p w:rsidR="00E704DB" w:rsidRDefault="00E704DB" w:rsidP="00E704DB">
      <w:pPr>
        <w:spacing w:after="0"/>
      </w:pPr>
    </w:p>
    <w:p w:rsidR="00E704DB" w:rsidRDefault="006A37E2" w:rsidP="00E704DB">
      <w:pPr>
        <w:spacing w:after="0"/>
      </w:pPr>
      <w:r>
        <w:tab/>
        <w:t>2.</w:t>
      </w:r>
      <w:r>
        <w:tab/>
        <w:t xml:space="preserve">The Complainant bears the burden of proof.  66 </w:t>
      </w:r>
      <w:proofErr w:type="spellStart"/>
      <w:r>
        <w:t>Pa.C.S</w:t>
      </w:r>
      <w:proofErr w:type="spellEnd"/>
      <w:r>
        <w:t>. § 332.</w:t>
      </w:r>
    </w:p>
    <w:p w:rsidR="00E704DB" w:rsidRDefault="00E704DB" w:rsidP="00E704DB">
      <w:pPr>
        <w:spacing w:after="0"/>
      </w:pPr>
    </w:p>
    <w:p w:rsidR="006A37E2" w:rsidRDefault="006A37E2" w:rsidP="00E704DB">
      <w:pPr>
        <w:spacing w:after="0"/>
      </w:pPr>
      <w:r>
        <w:tab/>
        <w:t>3.</w:t>
      </w:r>
      <w:r>
        <w:tab/>
        <w:t xml:space="preserve">All public utilities, including motor carriers, have a duty to render adequate and reasonable service.  66 </w:t>
      </w:r>
      <w:proofErr w:type="spellStart"/>
      <w:r>
        <w:t>Pa.C.S</w:t>
      </w:r>
      <w:proofErr w:type="spellEnd"/>
      <w:r>
        <w:t xml:space="preserve">. </w:t>
      </w:r>
      <w:r w:rsidR="003F6539">
        <w:t xml:space="preserve">§ </w:t>
      </w:r>
      <w:r>
        <w:t>1501.</w:t>
      </w:r>
    </w:p>
    <w:p w:rsidR="00E704DB" w:rsidRDefault="00E704DB" w:rsidP="00E704DB">
      <w:pPr>
        <w:spacing w:after="0"/>
      </w:pPr>
    </w:p>
    <w:p w:rsidR="006A37E2" w:rsidRDefault="006A37E2" w:rsidP="00E704DB">
      <w:pPr>
        <w:spacing w:after="0"/>
      </w:pPr>
      <w:r>
        <w:tab/>
        <w:t>4.</w:t>
      </w:r>
      <w:r>
        <w:tab/>
      </w:r>
      <w:r w:rsidR="00DC4EE1">
        <w:t>Dorr’s Moving violated the Public Utility Code when it</w:t>
      </w:r>
      <w:r>
        <w:t xml:space="preserve"> cause</w:t>
      </w:r>
      <w:r w:rsidR="00DC4EE1">
        <w:t>d</w:t>
      </w:r>
      <w:r>
        <w:t xml:space="preserve"> significant damage and loss of the property of a customer.  66 </w:t>
      </w:r>
      <w:proofErr w:type="spellStart"/>
      <w:r>
        <w:t>Pa.C.S</w:t>
      </w:r>
      <w:proofErr w:type="spellEnd"/>
      <w:r>
        <w:t>. § 1501.</w:t>
      </w:r>
    </w:p>
    <w:p w:rsidR="006A37E2" w:rsidRDefault="006A37E2" w:rsidP="00E704DB">
      <w:pPr>
        <w:spacing w:after="0"/>
      </w:pPr>
      <w:r>
        <w:lastRenderedPageBreak/>
        <w:tab/>
        <w:t>5.</w:t>
      </w:r>
      <w:r>
        <w:tab/>
      </w:r>
      <w:r w:rsidR="00DC4EE1">
        <w:t xml:space="preserve">Dorr’s Moving violated the Public Utility Code by failing </w:t>
      </w:r>
      <w:r>
        <w:t xml:space="preserve">to respond to a customer’s complaint </w:t>
      </w:r>
      <w:r w:rsidR="004A3ABE">
        <w:t>and by being</w:t>
      </w:r>
      <w:r>
        <w:t xml:space="preserve"> rude or unpleasant to a customer.  66 </w:t>
      </w:r>
      <w:proofErr w:type="spellStart"/>
      <w:r>
        <w:t>Pa.C.S</w:t>
      </w:r>
      <w:proofErr w:type="spellEnd"/>
      <w:r>
        <w:t xml:space="preserve"> § 1501.</w:t>
      </w:r>
    </w:p>
    <w:p w:rsidR="00E704DB" w:rsidRDefault="00E704DB" w:rsidP="00E704DB">
      <w:pPr>
        <w:spacing w:after="0"/>
      </w:pPr>
    </w:p>
    <w:p w:rsidR="006A37E2" w:rsidRDefault="006A37E2" w:rsidP="00E704DB">
      <w:pPr>
        <w:spacing w:after="0"/>
      </w:pPr>
      <w:r>
        <w:tab/>
        <w:t>6.</w:t>
      </w:r>
      <w:r>
        <w:tab/>
        <w:t xml:space="preserve">The assessment of a civil penalty is appropriate.  66 </w:t>
      </w:r>
      <w:proofErr w:type="spellStart"/>
      <w:r>
        <w:t>Pa.C.S</w:t>
      </w:r>
      <w:proofErr w:type="spellEnd"/>
      <w:r>
        <w:t>. § 3301.</w:t>
      </w:r>
    </w:p>
    <w:p w:rsidR="00E704DB" w:rsidRDefault="00E704DB" w:rsidP="00E704DB">
      <w:pPr>
        <w:spacing w:after="0"/>
      </w:pPr>
    </w:p>
    <w:p w:rsidR="006A37E2" w:rsidRDefault="006A37E2" w:rsidP="00DC4EE1">
      <w:pPr>
        <w:jc w:val="center"/>
        <w:rPr>
          <w:u w:val="single"/>
        </w:rPr>
      </w:pPr>
      <w:r w:rsidRPr="00DC4EE1">
        <w:rPr>
          <w:u w:val="single"/>
        </w:rPr>
        <w:t>ORDER</w:t>
      </w:r>
    </w:p>
    <w:p w:rsidR="00E704DB" w:rsidRPr="00DC4EE1" w:rsidRDefault="00E704DB" w:rsidP="00DC4EE1">
      <w:pPr>
        <w:jc w:val="center"/>
        <w:rPr>
          <w:u w:val="single"/>
        </w:rPr>
      </w:pPr>
    </w:p>
    <w:p w:rsidR="006A37E2" w:rsidRDefault="00E704DB" w:rsidP="00E704DB">
      <w:pPr>
        <w:spacing w:after="0"/>
      </w:pPr>
      <w:r>
        <w:tab/>
      </w:r>
      <w:r w:rsidR="006A37E2">
        <w:t>THEREFORE,</w:t>
      </w:r>
    </w:p>
    <w:p w:rsidR="00E704DB" w:rsidRDefault="00E704DB" w:rsidP="00E704DB">
      <w:pPr>
        <w:spacing w:after="0"/>
      </w:pPr>
    </w:p>
    <w:p w:rsidR="006A37E2" w:rsidRDefault="00E704DB" w:rsidP="00E704DB">
      <w:pPr>
        <w:spacing w:after="0"/>
      </w:pPr>
      <w:r>
        <w:tab/>
      </w:r>
      <w:r w:rsidR="006A37E2">
        <w:t>IT IS ORDERED:</w:t>
      </w:r>
    </w:p>
    <w:p w:rsidR="00E704DB" w:rsidRDefault="00E704DB" w:rsidP="00E704DB">
      <w:pPr>
        <w:spacing w:after="0"/>
      </w:pPr>
    </w:p>
    <w:p w:rsidR="006A37E2" w:rsidRDefault="006A37E2" w:rsidP="00DE2449">
      <w:r>
        <w:tab/>
        <w:t>1.</w:t>
      </w:r>
      <w:r>
        <w:tab/>
        <w:t>That the complaint of Marilyn Goldman against John Elwood Dorr t/a Dorr’s Moving Exchange at Docket No. C-2014-2406535 is sustained.</w:t>
      </w:r>
    </w:p>
    <w:p w:rsidR="003C4589" w:rsidRDefault="003C4589" w:rsidP="003C4589">
      <w:pPr>
        <w:spacing w:after="0"/>
      </w:pPr>
    </w:p>
    <w:p w:rsidR="006A37E2" w:rsidRDefault="006A37E2" w:rsidP="003F6539">
      <w:pPr>
        <w:spacing w:after="0"/>
      </w:pPr>
      <w:r>
        <w:tab/>
        <w:t>2</w:t>
      </w:r>
      <w:r w:rsidRPr="00D00348">
        <w:t xml:space="preserve">. </w:t>
      </w:r>
      <w:r w:rsidRPr="00D00348">
        <w:tab/>
      </w:r>
      <w:r>
        <w:t>That John Elwood Dorr t/a/ Dorr’s Moving Exchange shall pay a civil penalty as set forth in the amount of $1,000 for the violations of the Public Utility Code by certified check or money order, within twenty (20) days after service of the Commission’s Order, forwarded and payable to:</w:t>
      </w:r>
    </w:p>
    <w:p w:rsidR="003F6539" w:rsidRDefault="003F6539" w:rsidP="006A37E2">
      <w:pPr>
        <w:spacing w:after="0" w:line="240" w:lineRule="auto"/>
        <w:ind w:left="2160" w:firstLine="720"/>
      </w:pPr>
      <w:r>
        <w:t>Secretary</w:t>
      </w:r>
    </w:p>
    <w:p w:rsidR="006A37E2" w:rsidRDefault="006A37E2" w:rsidP="006A37E2">
      <w:pPr>
        <w:spacing w:after="0" w:line="240" w:lineRule="auto"/>
        <w:ind w:left="2160" w:firstLine="720"/>
      </w:pPr>
      <w:r>
        <w:t>Pennsylvania Public Utility Commission</w:t>
      </w:r>
    </w:p>
    <w:p w:rsidR="006A37E2" w:rsidRDefault="006A37E2" w:rsidP="006A37E2">
      <w:pPr>
        <w:spacing w:after="0" w:line="240" w:lineRule="auto"/>
        <w:ind w:left="2160" w:firstLine="720"/>
      </w:pPr>
      <w:r>
        <w:t>P.O. Box 3265</w:t>
      </w:r>
    </w:p>
    <w:p w:rsidR="006A37E2" w:rsidRDefault="006A37E2" w:rsidP="006A37E2">
      <w:pPr>
        <w:spacing w:after="0" w:line="240" w:lineRule="auto"/>
        <w:ind w:left="2160" w:firstLine="720"/>
      </w:pPr>
      <w:r>
        <w:t>Harrisburg, PA  17105-3265</w:t>
      </w:r>
    </w:p>
    <w:p w:rsidR="006A37E2" w:rsidRDefault="006A37E2" w:rsidP="006A37E2">
      <w:pPr>
        <w:spacing w:after="0" w:line="240" w:lineRule="auto"/>
      </w:pPr>
    </w:p>
    <w:p w:rsidR="006A37E2" w:rsidRDefault="006A37E2" w:rsidP="006A37E2">
      <w:pPr>
        <w:spacing w:after="0" w:line="240" w:lineRule="auto"/>
      </w:pPr>
    </w:p>
    <w:p w:rsidR="006A37E2" w:rsidRDefault="006A37E2" w:rsidP="006A37E2">
      <w:pPr>
        <w:spacing w:after="0"/>
        <w:ind w:firstLine="1440"/>
      </w:pPr>
      <w:r>
        <w:t>3.</w:t>
      </w:r>
      <w:r>
        <w:tab/>
        <w:t>That John Elwood Dorr t/a/ Dorr’s Moving Exchange shall cease and desist from further violations of the Public Utility Commission’s regulations.</w:t>
      </w:r>
    </w:p>
    <w:p w:rsidR="00E704DB" w:rsidRDefault="00E704DB" w:rsidP="006A37E2">
      <w:pPr>
        <w:spacing w:after="0"/>
        <w:ind w:firstLine="1440"/>
      </w:pPr>
    </w:p>
    <w:p w:rsidR="006A37E2" w:rsidRDefault="006A37E2" w:rsidP="006A37E2">
      <w:pPr>
        <w:spacing w:after="0"/>
        <w:ind w:firstLine="1440"/>
      </w:pPr>
      <w:r>
        <w:t>4.</w:t>
      </w:r>
      <w:r>
        <w:tab/>
        <w:t>That the Secretary’s Bureau shall serve a copy of this decision upon the Bureau of Investigation and Enforcement.</w:t>
      </w:r>
    </w:p>
    <w:p w:rsidR="00E704DB" w:rsidRDefault="00E704DB" w:rsidP="006A37E2">
      <w:pPr>
        <w:spacing w:after="0"/>
        <w:ind w:firstLine="1440"/>
      </w:pPr>
    </w:p>
    <w:p w:rsidR="00AB47BE" w:rsidRDefault="00AB47BE" w:rsidP="006A37E2">
      <w:pPr>
        <w:spacing w:after="0"/>
        <w:ind w:firstLine="1440"/>
      </w:pPr>
    </w:p>
    <w:p w:rsidR="006F4B62" w:rsidRDefault="006A37E2" w:rsidP="00B53F49">
      <w:pPr>
        <w:spacing w:after="0"/>
        <w:ind w:firstLine="1440"/>
      </w:pPr>
      <w:r>
        <w:lastRenderedPageBreak/>
        <w:t>5.</w:t>
      </w:r>
      <w:r>
        <w:tab/>
        <w:t>That upon payment of the civil penalty, the Secretary’s Bureau shall mark the docket closed.</w:t>
      </w:r>
    </w:p>
    <w:p w:rsidR="006D0F06" w:rsidRDefault="006D0F06" w:rsidP="00B53F49">
      <w:pPr>
        <w:spacing w:after="0"/>
        <w:ind w:firstLine="1440"/>
      </w:pPr>
    </w:p>
    <w:p w:rsidR="006D0F06" w:rsidRDefault="006D0F06" w:rsidP="00B53F49">
      <w:pPr>
        <w:spacing w:after="0"/>
        <w:ind w:firstLine="1440"/>
      </w:pPr>
    </w:p>
    <w:p w:rsidR="006D0F06" w:rsidRDefault="006D0F06" w:rsidP="00B53F49">
      <w:pPr>
        <w:spacing w:after="0"/>
        <w:ind w:firstLine="1440"/>
      </w:pPr>
    </w:p>
    <w:p w:rsidR="003C2144" w:rsidRDefault="006D0F06" w:rsidP="003C2144">
      <w:pPr>
        <w:spacing w:after="0" w:line="240" w:lineRule="auto"/>
        <w:rPr>
          <w:u w:val="single"/>
        </w:rPr>
      </w:pPr>
      <w:r>
        <w:t xml:space="preserve">Date:  </w:t>
      </w:r>
      <w:r w:rsidRPr="006D0F06">
        <w:rPr>
          <w:u w:val="single"/>
        </w:rPr>
        <w:t>October 30, 2014</w:t>
      </w:r>
      <w:r>
        <w:tab/>
      </w:r>
      <w:r>
        <w:tab/>
      </w:r>
      <w:r>
        <w:tab/>
      </w:r>
      <w:r>
        <w:tab/>
      </w:r>
      <w:r>
        <w:tab/>
      </w:r>
      <w:r w:rsidR="003C2144">
        <w:rPr>
          <w:u w:val="single"/>
        </w:rPr>
        <w:tab/>
      </w:r>
      <w:r w:rsidR="003C2144">
        <w:rPr>
          <w:u w:val="single"/>
        </w:rPr>
        <w:tab/>
        <w:t>/s/</w:t>
      </w:r>
      <w:r w:rsidR="003C2144">
        <w:rPr>
          <w:u w:val="single"/>
        </w:rPr>
        <w:tab/>
      </w:r>
      <w:r w:rsidR="003C2144">
        <w:rPr>
          <w:u w:val="single"/>
        </w:rPr>
        <w:tab/>
      </w:r>
      <w:r w:rsidR="003C2144">
        <w:rPr>
          <w:u w:val="single"/>
        </w:rPr>
        <w:tab/>
      </w:r>
    </w:p>
    <w:p w:rsidR="003C2144" w:rsidRDefault="003C2144" w:rsidP="003C2144">
      <w:pPr>
        <w:spacing w:after="0" w:line="240" w:lineRule="auto"/>
      </w:pPr>
      <w:r>
        <w:tab/>
      </w:r>
      <w:r>
        <w:tab/>
      </w:r>
      <w:r>
        <w:tab/>
      </w:r>
      <w:r>
        <w:tab/>
      </w:r>
      <w:r>
        <w:tab/>
      </w:r>
      <w:r>
        <w:tab/>
      </w:r>
      <w:r>
        <w:tab/>
        <w:t>Mary D. Long</w:t>
      </w:r>
    </w:p>
    <w:p w:rsidR="003C2144" w:rsidRPr="003C2144" w:rsidRDefault="003C2144" w:rsidP="003C2144">
      <w:pPr>
        <w:spacing w:after="0" w:line="240" w:lineRule="auto"/>
      </w:pPr>
      <w:r>
        <w:tab/>
      </w:r>
      <w:r>
        <w:tab/>
      </w:r>
      <w:r>
        <w:tab/>
      </w:r>
      <w:r>
        <w:tab/>
      </w:r>
      <w:r>
        <w:tab/>
      </w:r>
      <w:r>
        <w:tab/>
      </w:r>
      <w:r>
        <w:tab/>
        <w:t>Administrative Law Judge</w:t>
      </w:r>
    </w:p>
    <w:sectPr w:rsidR="003C2144" w:rsidRPr="003C2144" w:rsidSect="00036CC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34" w:rsidRDefault="001A3D34" w:rsidP="002F57B5">
      <w:pPr>
        <w:spacing w:after="0" w:line="240" w:lineRule="auto"/>
      </w:pPr>
      <w:r>
        <w:separator/>
      </w:r>
    </w:p>
  </w:endnote>
  <w:endnote w:type="continuationSeparator" w:id="0">
    <w:p w:rsidR="001A3D34" w:rsidRDefault="001A3D34" w:rsidP="002F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689019"/>
      <w:docPartObj>
        <w:docPartGallery w:val="Page Numbers (Bottom of Page)"/>
        <w:docPartUnique/>
      </w:docPartObj>
    </w:sdtPr>
    <w:sdtEndPr>
      <w:rPr>
        <w:noProof/>
        <w:sz w:val="20"/>
      </w:rPr>
    </w:sdtEndPr>
    <w:sdtContent>
      <w:p w:rsidR="00036CC6" w:rsidRPr="00A7732F" w:rsidRDefault="00036CC6">
        <w:pPr>
          <w:pStyle w:val="Footer"/>
          <w:jc w:val="center"/>
          <w:rPr>
            <w:sz w:val="20"/>
          </w:rPr>
        </w:pPr>
        <w:r w:rsidRPr="00A7732F">
          <w:rPr>
            <w:sz w:val="20"/>
          </w:rPr>
          <w:fldChar w:fldCharType="begin"/>
        </w:r>
        <w:r w:rsidRPr="00A7732F">
          <w:rPr>
            <w:sz w:val="20"/>
          </w:rPr>
          <w:instrText xml:space="preserve"> PAGE   \* MERGEFORMAT </w:instrText>
        </w:r>
        <w:r w:rsidRPr="00A7732F">
          <w:rPr>
            <w:sz w:val="20"/>
          </w:rPr>
          <w:fldChar w:fldCharType="separate"/>
        </w:r>
        <w:r w:rsidR="00450562">
          <w:rPr>
            <w:noProof/>
            <w:sz w:val="20"/>
          </w:rPr>
          <w:t>7</w:t>
        </w:r>
        <w:r w:rsidRPr="00A7732F">
          <w:rPr>
            <w:noProof/>
            <w:sz w:val="20"/>
          </w:rPr>
          <w:fldChar w:fldCharType="end"/>
        </w:r>
      </w:p>
    </w:sdtContent>
  </w:sdt>
  <w:p w:rsidR="00036CC6" w:rsidRDefault="00036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34" w:rsidRDefault="001A3D34" w:rsidP="002F57B5">
      <w:pPr>
        <w:spacing w:after="0" w:line="240" w:lineRule="auto"/>
      </w:pPr>
      <w:r>
        <w:separator/>
      </w:r>
    </w:p>
  </w:footnote>
  <w:footnote w:type="continuationSeparator" w:id="0">
    <w:p w:rsidR="001A3D34" w:rsidRDefault="001A3D34" w:rsidP="002F57B5">
      <w:pPr>
        <w:spacing w:after="0" w:line="240" w:lineRule="auto"/>
      </w:pPr>
      <w:r>
        <w:continuationSeparator/>
      </w:r>
    </w:p>
  </w:footnote>
  <w:footnote w:id="1">
    <w:p w:rsidR="00D82133" w:rsidRDefault="00D82133" w:rsidP="004D054A">
      <w:pPr>
        <w:pStyle w:val="FootnoteText"/>
        <w:spacing w:after="0"/>
        <w:ind w:firstLine="720"/>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1501, § 3301.</w:t>
      </w:r>
    </w:p>
    <w:p w:rsidR="004D054A" w:rsidRDefault="004D054A" w:rsidP="004D054A">
      <w:pPr>
        <w:pStyle w:val="FootnoteText"/>
        <w:spacing w:after="0"/>
        <w:ind w:firstLine="720"/>
      </w:pPr>
    </w:p>
  </w:footnote>
  <w:footnote w:id="2">
    <w:p w:rsidR="00D82133" w:rsidRDefault="00D82133" w:rsidP="004D054A">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1.22-1.24.</w:t>
      </w:r>
      <w:proofErr w:type="gramEnd"/>
      <w:r>
        <w:t xml:space="preserve">  See also Prehearing Order ¶¶ 4 and 5.</w:t>
      </w:r>
    </w:p>
  </w:footnote>
  <w:footnote w:id="3">
    <w:p w:rsidR="002F57B5" w:rsidRDefault="002F57B5" w:rsidP="00465CE0">
      <w:pPr>
        <w:pStyle w:val="FootnoteText"/>
        <w:spacing w:after="0"/>
        <w:ind w:firstLine="720"/>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332(a).</w:t>
      </w:r>
    </w:p>
    <w:p w:rsidR="00465CE0" w:rsidRDefault="00465CE0" w:rsidP="00465CE0">
      <w:pPr>
        <w:pStyle w:val="FootnoteText"/>
        <w:spacing w:after="0"/>
        <w:ind w:firstLine="720"/>
      </w:pPr>
    </w:p>
  </w:footnote>
  <w:footnote w:id="4">
    <w:p w:rsidR="002F57B5" w:rsidRDefault="002F57B5" w:rsidP="00465CE0">
      <w:pPr>
        <w:pStyle w:val="FootnoteText"/>
        <w:spacing w:after="0"/>
        <w:ind w:firstLine="720"/>
      </w:pPr>
      <w:r>
        <w:rPr>
          <w:rStyle w:val="FootnoteReference"/>
        </w:rPr>
        <w:footnoteRef/>
      </w:r>
      <w:r>
        <w:t xml:space="preserve"> </w:t>
      </w:r>
      <w:r>
        <w:tab/>
      </w:r>
      <w:proofErr w:type="gramStart"/>
      <w:r>
        <w:rPr>
          <w:i/>
        </w:rPr>
        <w:t>Se-Ling Hosiery, Inc. v. Margulies</w:t>
      </w:r>
      <w:r>
        <w:t xml:space="preserve">, 70 A.2d 854 (Pa. 1950); </w:t>
      </w:r>
      <w:r>
        <w:rPr>
          <w:i/>
        </w:rPr>
        <w:t>Feinstein v. Philadelphia Suburban Water Company</w:t>
      </w:r>
      <w:r>
        <w:t>, 50 Pa. PUC 300 (1976).</w:t>
      </w:r>
      <w:proofErr w:type="gramEnd"/>
    </w:p>
    <w:p w:rsidR="00465CE0" w:rsidRDefault="00465CE0" w:rsidP="00465CE0">
      <w:pPr>
        <w:pStyle w:val="FootnoteText"/>
        <w:spacing w:after="0"/>
        <w:ind w:firstLine="720"/>
      </w:pPr>
    </w:p>
  </w:footnote>
  <w:footnote w:id="5">
    <w:p w:rsidR="002F57B5" w:rsidRDefault="002F57B5" w:rsidP="00465CE0">
      <w:pPr>
        <w:pStyle w:val="FootnoteText"/>
        <w:spacing w:after="0"/>
        <w:ind w:firstLine="720"/>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701.</w:t>
      </w:r>
    </w:p>
    <w:p w:rsidR="00465CE0" w:rsidRDefault="00465CE0" w:rsidP="00465CE0">
      <w:pPr>
        <w:pStyle w:val="FootnoteText"/>
        <w:spacing w:after="0"/>
        <w:ind w:firstLine="720"/>
      </w:pPr>
    </w:p>
  </w:footnote>
  <w:footnote w:id="6">
    <w:p w:rsidR="006E6266" w:rsidRDefault="006E6266" w:rsidP="00465CE0">
      <w:pPr>
        <w:pStyle w:val="FootnoteText"/>
        <w:spacing w:after="0"/>
        <w:ind w:firstLine="720"/>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1501.</w:t>
      </w:r>
    </w:p>
  </w:footnote>
  <w:footnote w:id="7">
    <w:p w:rsidR="006F4B62" w:rsidRDefault="006F4B62" w:rsidP="00465CE0">
      <w:pPr>
        <w:pStyle w:val="FootnoteText"/>
        <w:spacing w:after="0"/>
        <w:ind w:firstLine="720"/>
      </w:pPr>
      <w:r w:rsidRPr="00A64B1F">
        <w:rPr>
          <w:rStyle w:val="FootnoteReference"/>
        </w:rPr>
        <w:footnoteRef/>
      </w:r>
      <w:r w:rsidRPr="00A64B1F">
        <w:t xml:space="preserve">  </w:t>
      </w:r>
      <w:r w:rsidRPr="00A64B1F">
        <w:tab/>
      </w:r>
      <w:proofErr w:type="gramStart"/>
      <w:r w:rsidRPr="00A64B1F">
        <w:t xml:space="preserve">66 </w:t>
      </w:r>
      <w:proofErr w:type="spellStart"/>
      <w:r w:rsidRPr="00A64B1F">
        <w:t>Pa.C.S</w:t>
      </w:r>
      <w:proofErr w:type="spellEnd"/>
      <w:r w:rsidRPr="00A64B1F">
        <w:t>.</w:t>
      </w:r>
      <w:proofErr w:type="gramEnd"/>
      <w:r w:rsidRPr="00A64B1F">
        <w:t xml:space="preserve"> § 1501.</w:t>
      </w:r>
      <w:r>
        <w:t xml:space="preserve"> </w:t>
      </w:r>
      <w:r>
        <w:rPr>
          <w:i/>
        </w:rPr>
        <w:t xml:space="preserve">See also Keating v. </w:t>
      </w:r>
      <w:proofErr w:type="spellStart"/>
      <w:r>
        <w:rPr>
          <w:i/>
        </w:rPr>
        <w:t>Genco</w:t>
      </w:r>
      <w:proofErr w:type="spellEnd"/>
      <w:r>
        <w:rPr>
          <w:i/>
        </w:rPr>
        <w:t xml:space="preserve"> Enterprises LLC d/b/a Town and Country Moving and Storage</w:t>
      </w:r>
      <w:r>
        <w:t>, Docket No. C-2012-2287152 (Initial Decision dated August 2, 2012, Final Order entered November 8, 2012).</w:t>
      </w:r>
    </w:p>
    <w:p w:rsidR="00D83304" w:rsidRPr="006F4B62" w:rsidRDefault="00D83304" w:rsidP="00465CE0">
      <w:pPr>
        <w:pStyle w:val="FootnoteText"/>
        <w:spacing w:after="0"/>
        <w:ind w:firstLine="720"/>
        <w:rPr>
          <w:i/>
        </w:rPr>
      </w:pPr>
    </w:p>
  </w:footnote>
  <w:footnote w:id="8">
    <w:p w:rsidR="006F4B62" w:rsidRDefault="006F4B62" w:rsidP="006F4B62">
      <w:pPr>
        <w:pStyle w:val="FootnoteText"/>
        <w:spacing w:after="0"/>
        <w:ind w:left="720"/>
      </w:pPr>
      <w:r w:rsidRPr="00A64B1F">
        <w:rPr>
          <w:rStyle w:val="FootnoteReference"/>
        </w:rPr>
        <w:footnoteRef/>
      </w:r>
      <w:r w:rsidRPr="00A64B1F">
        <w:t xml:space="preserve">  </w:t>
      </w:r>
      <w:r w:rsidRPr="00A64B1F">
        <w:tab/>
      </w:r>
      <w:proofErr w:type="gramStart"/>
      <w:r w:rsidRPr="00931E61">
        <w:rPr>
          <w:i/>
        </w:rPr>
        <w:t>West Penn Power Co. v. Pa. Pub</w:t>
      </w:r>
      <w:r>
        <w:rPr>
          <w:i/>
        </w:rPr>
        <w:t>.</w:t>
      </w:r>
      <w:proofErr w:type="gramEnd"/>
      <w:r w:rsidRPr="00931E61">
        <w:rPr>
          <w:i/>
        </w:rPr>
        <w:t xml:space="preserve"> </w:t>
      </w:r>
      <w:proofErr w:type="gramStart"/>
      <w:r w:rsidRPr="00931E61">
        <w:rPr>
          <w:i/>
        </w:rPr>
        <w:t xml:space="preserve">Util. </w:t>
      </w:r>
      <w:proofErr w:type="spellStart"/>
      <w:r w:rsidRPr="00931E61">
        <w:rPr>
          <w:i/>
        </w:rPr>
        <w:t>Comm’n</w:t>
      </w:r>
      <w:proofErr w:type="spellEnd"/>
      <w:r w:rsidRPr="00A64B1F">
        <w:t>, 478 A.2d 947, 949 (</w:t>
      </w:r>
      <w:proofErr w:type="spellStart"/>
      <w:r w:rsidRPr="00A64B1F">
        <w:t>Pa.Cmwlth</w:t>
      </w:r>
      <w:proofErr w:type="spellEnd"/>
      <w:r w:rsidRPr="00A64B1F">
        <w:t>. 1984).</w:t>
      </w:r>
      <w:proofErr w:type="gramEnd"/>
    </w:p>
    <w:p w:rsidR="006F4B62" w:rsidRPr="00A64B1F" w:rsidRDefault="006F4B62" w:rsidP="006F4B62">
      <w:pPr>
        <w:pStyle w:val="FootnoteText"/>
        <w:spacing w:after="0"/>
        <w:ind w:left="720"/>
      </w:pPr>
    </w:p>
  </w:footnote>
  <w:footnote w:id="9">
    <w:p w:rsidR="006F4B62" w:rsidRDefault="006F4B62" w:rsidP="006F4B62">
      <w:pPr>
        <w:pStyle w:val="FootnoteText"/>
        <w:spacing w:after="0"/>
        <w:ind w:firstLine="720"/>
      </w:pPr>
      <w:r w:rsidRPr="00A64B1F">
        <w:rPr>
          <w:rStyle w:val="FootnoteReference"/>
        </w:rPr>
        <w:footnoteRef/>
      </w:r>
      <w:r w:rsidRPr="00A64B1F">
        <w:t xml:space="preserve">  </w:t>
      </w:r>
      <w:r w:rsidRPr="00A64B1F">
        <w:tab/>
      </w:r>
      <w:proofErr w:type="gramStart"/>
      <w:r w:rsidRPr="00A64B1F">
        <w:rPr>
          <w:i/>
        </w:rPr>
        <w:t>Re Metropolitan Edison Company</w:t>
      </w:r>
      <w:r w:rsidRPr="00A64B1F">
        <w:t>, 80 Pa. PUC 663, 672 (1993).</w:t>
      </w:r>
      <w:proofErr w:type="gramEnd"/>
    </w:p>
    <w:p w:rsidR="006F4B62" w:rsidRPr="00A64B1F" w:rsidRDefault="006F4B62" w:rsidP="006F4B62">
      <w:pPr>
        <w:pStyle w:val="FootnoteText"/>
        <w:spacing w:after="0"/>
        <w:ind w:firstLine="720"/>
      </w:pPr>
    </w:p>
  </w:footnote>
  <w:footnote w:id="10">
    <w:p w:rsidR="006F4B62" w:rsidRDefault="006F4B62" w:rsidP="006F4B62">
      <w:pPr>
        <w:pStyle w:val="FootnoteText"/>
        <w:spacing w:after="0"/>
        <w:ind w:firstLine="720"/>
      </w:pPr>
      <w:r w:rsidRPr="00A64B1F">
        <w:rPr>
          <w:rStyle w:val="FootnoteReference"/>
        </w:rPr>
        <w:footnoteRef/>
      </w:r>
      <w:r w:rsidRPr="00A64B1F">
        <w:t xml:space="preserve"> </w:t>
      </w:r>
      <w:r w:rsidRPr="00A64B1F">
        <w:tab/>
      </w:r>
      <w:proofErr w:type="spellStart"/>
      <w:proofErr w:type="gramStart"/>
      <w:r w:rsidRPr="00A64B1F">
        <w:rPr>
          <w:i/>
        </w:rPr>
        <w:t>Scherich</w:t>
      </w:r>
      <w:proofErr w:type="spellEnd"/>
      <w:r w:rsidRPr="00A64B1F">
        <w:rPr>
          <w:i/>
        </w:rPr>
        <w:t xml:space="preserve"> v. Verizon Pennsylvania Inc.</w:t>
      </w:r>
      <w:r w:rsidRPr="00A64B1F">
        <w:t>, PUC Docket Nos.</w:t>
      </w:r>
      <w:proofErr w:type="gramEnd"/>
      <w:r w:rsidRPr="00A64B1F">
        <w:t xml:space="preserve"> C-2008-2061244, C-2008</w:t>
      </w:r>
      <w:r>
        <w:t>-</w:t>
      </w:r>
      <w:r w:rsidRPr="00A64B1F">
        <w:t>2068818 (Final Order January 28, 2010).</w:t>
      </w:r>
    </w:p>
    <w:p w:rsidR="006F4B62" w:rsidRPr="00A64B1F" w:rsidRDefault="006F4B62" w:rsidP="006F4B62">
      <w:pPr>
        <w:pStyle w:val="FootnoteText"/>
        <w:spacing w:after="0"/>
        <w:ind w:firstLine="720"/>
      </w:pPr>
    </w:p>
  </w:footnote>
  <w:footnote w:id="11">
    <w:p w:rsidR="006F4B62" w:rsidRDefault="006F4B62" w:rsidP="006F4B62">
      <w:pPr>
        <w:pStyle w:val="FootnoteText"/>
        <w:spacing w:after="0"/>
        <w:ind w:firstLine="720"/>
      </w:pPr>
      <w:r w:rsidRPr="00A64B1F">
        <w:rPr>
          <w:rStyle w:val="FootnoteReference"/>
        </w:rPr>
        <w:footnoteRef/>
      </w:r>
      <w:r w:rsidRPr="00A64B1F">
        <w:t xml:space="preserve">  </w:t>
      </w:r>
      <w:r w:rsidRPr="00A64B1F">
        <w:tab/>
      </w:r>
      <w:r w:rsidRPr="004A1C94">
        <w:rPr>
          <w:i/>
        </w:rPr>
        <w:t>Id</w:t>
      </w:r>
      <w:r w:rsidRPr="00A64B1F">
        <w:t>.</w:t>
      </w:r>
    </w:p>
    <w:p w:rsidR="006F4B62" w:rsidRPr="00A64B1F" w:rsidRDefault="006F4B62" w:rsidP="006F4B62">
      <w:pPr>
        <w:pStyle w:val="FootnoteText"/>
        <w:spacing w:after="0"/>
        <w:ind w:firstLine="720"/>
      </w:pPr>
    </w:p>
  </w:footnote>
  <w:footnote w:id="12">
    <w:p w:rsidR="002272B9" w:rsidRDefault="0034223B" w:rsidP="0034223B">
      <w:pPr>
        <w:pStyle w:val="FootnoteText"/>
        <w:spacing w:after="0"/>
      </w:pPr>
      <w:r>
        <w:tab/>
      </w:r>
      <w:r w:rsidR="002272B9">
        <w:rPr>
          <w:rStyle w:val="FootnoteReference"/>
        </w:rPr>
        <w:footnoteRef/>
      </w:r>
      <w:r w:rsidR="002272B9">
        <w:t xml:space="preserve"> </w:t>
      </w:r>
      <w:r>
        <w:tab/>
      </w:r>
      <w:proofErr w:type="gramStart"/>
      <w:r>
        <w:t xml:space="preserve">52 </w:t>
      </w:r>
      <w:proofErr w:type="spellStart"/>
      <w:r>
        <w:t>Pa.Code</w:t>
      </w:r>
      <w:proofErr w:type="spellEnd"/>
      <w:r>
        <w:t xml:space="preserve"> § 32.16.</w:t>
      </w:r>
      <w:proofErr w:type="gramEnd"/>
    </w:p>
    <w:p w:rsidR="0034223B" w:rsidRDefault="0034223B" w:rsidP="0034223B">
      <w:pPr>
        <w:pStyle w:val="FootnoteText"/>
        <w:spacing w:after="0"/>
      </w:pPr>
    </w:p>
  </w:footnote>
  <w:footnote w:id="13">
    <w:p w:rsidR="00157D75" w:rsidRDefault="00157D75" w:rsidP="002841C4">
      <w:pPr>
        <w:pStyle w:val="FootnoteText"/>
        <w:spacing w:after="0"/>
      </w:pPr>
      <w:r>
        <w:tab/>
      </w:r>
      <w:r>
        <w:rPr>
          <w:rStyle w:val="FootnoteReference"/>
        </w:rPr>
        <w:footnoteRef/>
      </w:r>
      <w:r>
        <w:t xml:space="preserve"> </w:t>
      </w:r>
      <w:r w:rsidR="002841C4">
        <w:tab/>
      </w:r>
      <w:r>
        <w:t>E.g.</w:t>
      </w:r>
      <w:r>
        <w:t xml:space="preserve">, 52 </w:t>
      </w:r>
      <w:proofErr w:type="spellStart"/>
      <w:r>
        <w:t>Pa.Code</w:t>
      </w:r>
      <w:proofErr w:type="spellEnd"/>
      <w:r>
        <w:t xml:space="preserve"> § 32.16 (2),</w:t>
      </w:r>
      <w:r w:rsidR="00450562">
        <w:t xml:space="preserve"> </w:t>
      </w:r>
      <w:r>
        <w:t>(3),</w:t>
      </w:r>
      <w:r w:rsidR="00450562">
        <w:t xml:space="preserve"> </w:t>
      </w:r>
      <w:bookmarkStart w:id="0" w:name="_GoBack"/>
      <w:bookmarkEnd w:id="0"/>
      <w:r>
        <w:t>(4), (6) and (7).</w:t>
      </w:r>
    </w:p>
    <w:p w:rsidR="002841C4" w:rsidRDefault="002841C4" w:rsidP="002841C4">
      <w:pPr>
        <w:pStyle w:val="FootnoteText"/>
        <w:spacing w:after="0"/>
      </w:pPr>
    </w:p>
  </w:footnote>
  <w:footnote w:id="14">
    <w:p w:rsidR="00DE2449" w:rsidRDefault="00DE2449" w:rsidP="00465CE0">
      <w:pPr>
        <w:pStyle w:val="FootnoteText"/>
        <w:spacing w:after="0"/>
        <w:ind w:firstLine="720"/>
        <w:rPr>
          <w:snapToGrid w:val="0"/>
        </w:rPr>
      </w:pPr>
      <w:r w:rsidRPr="00305E45">
        <w:rPr>
          <w:rStyle w:val="FootnoteReference"/>
        </w:rPr>
        <w:footnoteRef/>
      </w:r>
      <w:r w:rsidRPr="00305E45">
        <w:t xml:space="preserve"> </w:t>
      </w:r>
      <w:r w:rsidRPr="00305E45">
        <w:tab/>
      </w:r>
      <w:proofErr w:type="gramStart"/>
      <w:r w:rsidRPr="00305E45">
        <w:rPr>
          <w:snapToGrid w:val="0"/>
        </w:rPr>
        <w:t xml:space="preserve">66 </w:t>
      </w:r>
      <w:proofErr w:type="spellStart"/>
      <w:r w:rsidRPr="00305E45">
        <w:rPr>
          <w:snapToGrid w:val="0"/>
        </w:rPr>
        <w:t>Pa.C.S</w:t>
      </w:r>
      <w:proofErr w:type="spellEnd"/>
      <w:r w:rsidRPr="00305E45">
        <w:rPr>
          <w:snapToGrid w:val="0"/>
        </w:rPr>
        <w:t>.</w:t>
      </w:r>
      <w:proofErr w:type="gramEnd"/>
      <w:r w:rsidRPr="00305E45">
        <w:rPr>
          <w:snapToGrid w:val="0"/>
        </w:rPr>
        <w:t xml:space="preserve"> § 3301.</w:t>
      </w:r>
    </w:p>
    <w:p w:rsidR="00465CE0" w:rsidRPr="00305E45" w:rsidRDefault="00465CE0" w:rsidP="00465CE0">
      <w:pPr>
        <w:pStyle w:val="FootnoteText"/>
        <w:spacing w:after="0"/>
        <w:ind w:firstLine="720"/>
      </w:pPr>
    </w:p>
  </w:footnote>
  <w:footnote w:id="15">
    <w:p w:rsidR="00DE2449" w:rsidRDefault="00DE2449" w:rsidP="00465CE0">
      <w:pPr>
        <w:pStyle w:val="FootnoteText"/>
        <w:spacing w:after="0"/>
        <w:ind w:firstLine="720"/>
        <w:rPr>
          <w:snapToGrid w:val="0"/>
        </w:rPr>
      </w:pPr>
      <w:r w:rsidRPr="00305E45">
        <w:rPr>
          <w:rStyle w:val="FootnoteReference"/>
        </w:rPr>
        <w:footnoteRef/>
      </w:r>
      <w:r w:rsidRPr="00305E45">
        <w:t xml:space="preserve">  </w:t>
      </w:r>
      <w:r w:rsidRPr="00305E45">
        <w:tab/>
      </w:r>
      <w:r w:rsidRPr="00305E45">
        <w:rPr>
          <w:i/>
          <w:snapToGrid w:val="0"/>
        </w:rPr>
        <w:t>See</w:t>
      </w:r>
      <w:r w:rsidRPr="00305E45">
        <w:rPr>
          <w:snapToGrid w:val="0"/>
        </w:rPr>
        <w:t xml:space="preserve"> 52 </w:t>
      </w:r>
      <w:proofErr w:type="spellStart"/>
      <w:r w:rsidRPr="00305E45">
        <w:rPr>
          <w:snapToGrid w:val="0"/>
        </w:rPr>
        <w:t>Pa.Code</w:t>
      </w:r>
      <w:proofErr w:type="spellEnd"/>
      <w:r w:rsidRPr="00305E45">
        <w:rPr>
          <w:snapToGrid w:val="0"/>
        </w:rPr>
        <w:t xml:space="preserve"> § 69.1201; </w:t>
      </w:r>
      <w:r w:rsidRPr="00305E45">
        <w:rPr>
          <w:i/>
          <w:snapToGrid w:val="0"/>
        </w:rPr>
        <w:t xml:space="preserve">see also, </w:t>
      </w:r>
      <w:proofErr w:type="spellStart"/>
      <w:r w:rsidRPr="00305E45">
        <w:rPr>
          <w:i/>
          <w:snapToGrid w:val="0"/>
        </w:rPr>
        <w:t>Rosi</w:t>
      </w:r>
      <w:proofErr w:type="spellEnd"/>
      <w:r w:rsidRPr="00305E45">
        <w:rPr>
          <w:i/>
          <w:snapToGrid w:val="0"/>
        </w:rPr>
        <w:t xml:space="preserve"> v. Bell Atlantic-Pa., Inc. and Sprint Communica</w:t>
      </w:r>
      <w:r w:rsidRPr="00305E45">
        <w:rPr>
          <w:i/>
          <w:snapToGrid w:val="0"/>
        </w:rPr>
        <w:softHyphen/>
        <w:t>tions Company</w:t>
      </w:r>
      <w:r w:rsidRPr="00305E45">
        <w:rPr>
          <w:snapToGrid w:val="0"/>
        </w:rPr>
        <w:t>, Docket No. C</w:t>
      </w:r>
      <w:r w:rsidRPr="00305E45">
        <w:rPr>
          <w:snapToGrid w:val="0"/>
        </w:rPr>
        <w:noBreakHyphen/>
        <w:t>00992409 (Order entered February 10, 2000) (</w:t>
      </w:r>
      <w:proofErr w:type="spellStart"/>
      <w:r w:rsidRPr="00305E45">
        <w:rPr>
          <w:i/>
          <w:snapToGrid w:val="0"/>
        </w:rPr>
        <w:t>Rosi</w:t>
      </w:r>
      <w:proofErr w:type="spellEnd"/>
      <w:r w:rsidRPr="00305E45">
        <w:rPr>
          <w:snapToGrid w:val="0"/>
        </w:rPr>
        <w:t>).</w:t>
      </w:r>
    </w:p>
    <w:p w:rsidR="00465CE0" w:rsidRPr="00305E45" w:rsidRDefault="00465CE0" w:rsidP="00465CE0">
      <w:pPr>
        <w:pStyle w:val="FootnoteText"/>
        <w:spacing w:after="0"/>
        <w:ind w:firstLine="720"/>
      </w:pPr>
    </w:p>
  </w:footnote>
  <w:footnote w:id="16">
    <w:p w:rsidR="00DE2449" w:rsidRPr="00334C7C" w:rsidRDefault="00DE2449" w:rsidP="00465CE0">
      <w:pPr>
        <w:pStyle w:val="FootnoteText"/>
        <w:spacing w:after="0"/>
        <w:ind w:firstLine="720"/>
      </w:pPr>
      <w:r w:rsidRPr="00334C7C">
        <w:rPr>
          <w:rStyle w:val="FootnoteReference"/>
        </w:rPr>
        <w:footnoteRef/>
      </w:r>
      <w:r w:rsidRPr="00334C7C">
        <w:t xml:space="preserve"> </w:t>
      </w:r>
      <w:r w:rsidRPr="00334C7C">
        <w:tab/>
        <w:t xml:space="preserve"> </w:t>
      </w:r>
      <w:proofErr w:type="gramStart"/>
      <w:r w:rsidRPr="00334C7C">
        <w:t xml:space="preserve">52 </w:t>
      </w:r>
      <w:proofErr w:type="spellStart"/>
      <w:r w:rsidRPr="00334C7C">
        <w:t>Pa.Code</w:t>
      </w:r>
      <w:proofErr w:type="spellEnd"/>
      <w:r w:rsidRPr="00334C7C">
        <w:t xml:space="preserve"> § 69.1201(a).</w:t>
      </w:r>
      <w:proofErr w:type="gramEnd"/>
      <w:r w:rsidRPr="00334C7C">
        <w:t xml:space="preserve">  </w:t>
      </w:r>
    </w:p>
  </w:footnote>
  <w:footnote w:id="17">
    <w:p w:rsidR="00DE2449" w:rsidRDefault="00A60A79" w:rsidP="00DD61CA">
      <w:pPr>
        <w:pStyle w:val="FootnoteText"/>
        <w:spacing w:after="0"/>
      </w:pPr>
      <w:r>
        <w:tab/>
      </w:r>
      <w:r w:rsidR="00DE2449" w:rsidRPr="00334C7C">
        <w:rPr>
          <w:rStyle w:val="FootnoteReference"/>
        </w:rPr>
        <w:footnoteRef/>
      </w:r>
      <w:r w:rsidR="006F3060">
        <w:t xml:space="preserve">  </w:t>
      </w:r>
      <w:r w:rsidR="006F3060">
        <w:tab/>
      </w:r>
      <w:proofErr w:type="gramStart"/>
      <w:r w:rsidR="006F3060">
        <w:t xml:space="preserve">52 </w:t>
      </w:r>
      <w:proofErr w:type="spellStart"/>
      <w:r w:rsidR="006F3060">
        <w:t>Pa.</w:t>
      </w:r>
      <w:r w:rsidR="00DE2449" w:rsidRPr="00334C7C">
        <w:t>Code</w:t>
      </w:r>
      <w:proofErr w:type="spellEnd"/>
      <w:r w:rsidR="00DE2449" w:rsidRPr="00334C7C">
        <w:t xml:space="preserve"> § 69.1201(c).</w:t>
      </w:r>
      <w:proofErr w:type="gramEnd"/>
    </w:p>
    <w:p w:rsidR="00DD61CA" w:rsidRPr="00334C7C" w:rsidRDefault="00DD61CA" w:rsidP="00DD61CA">
      <w:pPr>
        <w:pStyle w:val="FootnoteText"/>
        <w:spacing w:after="0"/>
      </w:pPr>
    </w:p>
  </w:footnote>
  <w:footnote w:id="18">
    <w:p w:rsidR="006F3060" w:rsidRDefault="00A60A79" w:rsidP="008C1704">
      <w:pPr>
        <w:pStyle w:val="FootnoteText"/>
        <w:spacing w:after="0"/>
      </w:pPr>
      <w:r>
        <w:tab/>
      </w:r>
      <w:r w:rsidR="006F3060">
        <w:rPr>
          <w:rStyle w:val="FootnoteReference"/>
        </w:rPr>
        <w:footnoteRef/>
      </w:r>
      <w:r w:rsidR="006F3060">
        <w:t xml:space="preserve">  </w:t>
      </w:r>
      <w:r w:rsidR="006F3060">
        <w:tab/>
        <w:t xml:space="preserve">52 </w:t>
      </w:r>
      <w:proofErr w:type="spellStart"/>
      <w:r w:rsidR="006F3060">
        <w:t>Pa.Code</w:t>
      </w:r>
      <w:proofErr w:type="spellEnd"/>
      <w:r w:rsidR="006F3060">
        <w:t xml:space="preserve"> § 69.1201(c</w:t>
      </w:r>
      <w:proofErr w:type="gramStart"/>
      <w:r w:rsidR="006F3060">
        <w:t>)(</w:t>
      </w:r>
      <w:proofErr w:type="gramEnd"/>
      <w:r w:rsidR="006F3060">
        <w:t>1) and (2).</w:t>
      </w:r>
    </w:p>
    <w:p w:rsidR="008C1704" w:rsidRDefault="008C1704" w:rsidP="008C1704">
      <w:pPr>
        <w:pStyle w:val="FootnoteText"/>
        <w:spacing w:after="0"/>
      </w:pPr>
    </w:p>
  </w:footnote>
  <w:footnote w:id="19">
    <w:p w:rsidR="00410428" w:rsidRDefault="00410428" w:rsidP="008C1704">
      <w:pPr>
        <w:pStyle w:val="FootnoteText"/>
        <w:spacing w:after="0"/>
        <w:ind w:firstLine="720"/>
      </w:pPr>
      <w:r>
        <w:rPr>
          <w:rStyle w:val="FootnoteReference"/>
        </w:rPr>
        <w:footnoteRef/>
      </w:r>
      <w:r w:rsidR="00196ED6">
        <w:t xml:space="preserve"> </w:t>
      </w:r>
      <w:r w:rsidR="00196ED6">
        <w:tab/>
        <w:t xml:space="preserve">52 </w:t>
      </w:r>
      <w:proofErr w:type="spellStart"/>
      <w:r w:rsidR="00196ED6">
        <w:t>Pa.Code</w:t>
      </w:r>
      <w:proofErr w:type="spellEnd"/>
      <w:r w:rsidR="00196ED6">
        <w:t xml:space="preserve"> § 69.1201(c</w:t>
      </w:r>
      <w:proofErr w:type="gramStart"/>
      <w:r w:rsidR="00196ED6">
        <w:t>)(</w:t>
      </w:r>
      <w:proofErr w:type="gramEnd"/>
      <w:r w:rsidR="00196ED6">
        <w:t>3).</w:t>
      </w:r>
    </w:p>
    <w:p w:rsidR="008C1704" w:rsidRDefault="008C1704" w:rsidP="008C1704">
      <w:pPr>
        <w:pStyle w:val="FootnoteText"/>
        <w:spacing w:after="0"/>
        <w:ind w:firstLine="720"/>
      </w:pPr>
    </w:p>
  </w:footnote>
  <w:footnote w:id="20">
    <w:p w:rsidR="00410428" w:rsidRDefault="00410428" w:rsidP="008C1704">
      <w:pPr>
        <w:pStyle w:val="FootnoteText"/>
        <w:spacing w:after="0"/>
        <w:ind w:firstLine="720"/>
      </w:pPr>
      <w:r>
        <w:rPr>
          <w:rStyle w:val="FootnoteReference"/>
        </w:rPr>
        <w:footnoteRef/>
      </w:r>
      <w:r>
        <w:t xml:space="preserve"> </w:t>
      </w:r>
      <w:r w:rsidR="00196ED6">
        <w:tab/>
        <w:t xml:space="preserve">52 </w:t>
      </w:r>
      <w:proofErr w:type="spellStart"/>
      <w:r w:rsidR="00196ED6">
        <w:t>Pa.Code</w:t>
      </w:r>
      <w:proofErr w:type="spellEnd"/>
      <w:r w:rsidR="00196ED6">
        <w:t xml:space="preserve"> § 69.1201(c</w:t>
      </w:r>
      <w:proofErr w:type="gramStart"/>
      <w:r w:rsidR="00196ED6">
        <w:t>)(</w:t>
      </w:r>
      <w:proofErr w:type="gramEnd"/>
      <w:r w:rsidR="00196ED6">
        <w:t>4).</w:t>
      </w:r>
    </w:p>
    <w:p w:rsidR="008C1704" w:rsidRDefault="008C1704" w:rsidP="008C1704">
      <w:pPr>
        <w:pStyle w:val="FootnoteText"/>
        <w:spacing w:after="0"/>
        <w:ind w:firstLine="720"/>
      </w:pPr>
    </w:p>
  </w:footnote>
  <w:footnote w:id="21">
    <w:p w:rsidR="00410428" w:rsidRDefault="00410428" w:rsidP="008C1704">
      <w:pPr>
        <w:pStyle w:val="FootnoteText"/>
        <w:spacing w:after="0"/>
        <w:ind w:firstLine="720"/>
      </w:pPr>
      <w:r>
        <w:rPr>
          <w:rStyle w:val="FootnoteReference"/>
        </w:rPr>
        <w:footnoteRef/>
      </w:r>
      <w:r w:rsidR="00196ED6">
        <w:t xml:space="preserve"> </w:t>
      </w:r>
      <w:r w:rsidR="00196ED6">
        <w:tab/>
        <w:t xml:space="preserve">52 </w:t>
      </w:r>
      <w:proofErr w:type="spellStart"/>
      <w:r w:rsidR="00196ED6">
        <w:t>Pa.Code</w:t>
      </w:r>
      <w:proofErr w:type="spellEnd"/>
      <w:r w:rsidR="00196ED6">
        <w:t xml:space="preserve"> § 69.1201(c</w:t>
      </w:r>
      <w:proofErr w:type="gramStart"/>
      <w:r w:rsidR="00196ED6">
        <w:t>)(</w:t>
      </w:r>
      <w:proofErr w:type="gramEnd"/>
      <w:r w:rsidR="00196ED6">
        <w:t>5) and (6).</w:t>
      </w:r>
    </w:p>
    <w:p w:rsidR="008C1704" w:rsidRDefault="008C1704" w:rsidP="008C1704">
      <w:pPr>
        <w:pStyle w:val="FootnoteText"/>
        <w:spacing w:after="0"/>
        <w:ind w:firstLine="720"/>
      </w:pPr>
    </w:p>
  </w:footnote>
  <w:footnote w:id="22">
    <w:p w:rsidR="00410428" w:rsidRDefault="00410428" w:rsidP="008C1704">
      <w:pPr>
        <w:pStyle w:val="FootnoteText"/>
        <w:spacing w:after="0"/>
        <w:ind w:firstLine="720"/>
      </w:pPr>
      <w:r>
        <w:rPr>
          <w:rStyle w:val="FootnoteReference"/>
        </w:rPr>
        <w:footnoteRef/>
      </w:r>
      <w:r>
        <w:t xml:space="preserve">  </w:t>
      </w:r>
      <w:r>
        <w:tab/>
      </w:r>
      <w:r w:rsidR="008D2B08">
        <w:t xml:space="preserve">52 </w:t>
      </w:r>
      <w:proofErr w:type="spellStart"/>
      <w:r w:rsidR="008D2B08">
        <w:t>Pa.Code</w:t>
      </w:r>
      <w:proofErr w:type="spellEnd"/>
      <w:r w:rsidR="008D2B08">
        <w:t xml:space="preserve"> § 69.1201(c</w:t>
      </w:r>
      <w:proofErr w:type="gramStart"/>
      <w:r w:rsidR="008D2B08">
        <w:t>)(</w:t>
      </w:r>
      <w:proofErr w:type="gramEnd"/>
      <w:r w:rsidR="008D2B08">
        <w:t xml:space="preserve">7).  </w:t>
      </w:r>
      <w:r>
        <w:t>In her testimony, the Complainant did mention an investigation by a Commission enforcement officer.  The Complainant did not present the enforcement officer as a witness to support her case.  Therefore, I do not find the testimony substantial enough to support any finding concerning</w:t>
      </w:r>
      <w:r w:rsidR="00B56521">
        <w:t xml:space="preserve"> the</w:t>
      </w:r>
      <w:r>
        <w:t xml:space="preserve"> company’s cooperation with a Commission investigation.  See, e.g. N.T. 33-24.</w:t>
      </w:r>
    </w:p>
    <w:p w:rsidR="008C1704" w:rsidRDefault="008C1704" w:rsidP="008C1704">
      <w:pPr>
        <w:pStyle w:val="FootnoteText"/>
        <w:spacing w:after="0"/>
        <w:ind w:firstLine="720"/>
      </w:pPr>
    </w:p>
  </w:footnote>
  <w:footnote w:id="23">
    <w:p w:rsidR="008D2B08" w:rsidRDefault="008D2B08" w:rsidP="008C1704">
      <w:pPr>
        <w:pStyle w:val="FootnoteText"/>
        <w:spacing w:after="0"/>
        <w:ind w:firstLine="720"/>
      </w:pPr>
      <w:r>
        <w:rPr>
          <w:rStyle w:val="FootnoteReference"/>
        </w:rPr>
        <w:footnoteRef/>
      </w:r>
      <w:r>
        <w:t xml:space="preserve">  </w:t>
      </w:r>
      <w:r>
        <w:tab/>
        <w:t xml:space="preserve">52 </w:t>
      </w:r>
      <w:proofErr w:type="spellStart"/>
      <w:r>
        <w:t>Pa.Code</w:t>
      </w:r>
      <w:proofErr w:type="spellEnd"/>
      <w:r>
        <w:t xml:space="preserve"> § 69.1201(c</w:t>
      </w:r>
      <w:proofErr w:type="gramStart"/>
      <w:r>
        <w:t>)(</w:t>
      </w:r>
      <w:proofErr w:type="gramEnd"/>
      <w:r>
        <w:t>9).</w:t>
      </w:r>
    </w:p>
    <w:p w:rsidR="00721ACB" w:rsidRDefault="00721ACB" w:rsidP="008C1704">
      <w:pPr>
        <w:pStyle w:val="FootnoteText"/>
        <w:spacing w:after="0"/>
        <w:ind w:firstLine="720"/>
      </w:pPr>
    </w:p>
  </w:footnote>
  <w:footnote w:id="24">
    <w:p w:rsidR="008D2B08" w:rsidRDefault="008D2B08" w:rsidP="008C1704">
      <w:pPr>
        <w:pStyle w:val="FootnoteText"/>
        <w:spacing w:after="0"/>
        <w:ind w:firstLine="720"/>
      </w:pPr>
      <w:r>
        <w:rPr>
          <w:rStyle w:val="FootnoteReference"/>
        </w:rPr>
        <w:footnoteRef/>
      </w:r>
      <w:r>
        <w:t xml:space="preserve">  </w:t>
      </w:r>
      <w:r>
        <w:tab/>
        <w:t xml:space="preserve">52 </w:t>
      </w:r>
      <w:proofErr w:type="spellStart"/>
      <w:r>
        <w:t>Pa.Code</w:t>
      </w:r>
      <w:proofErr w:type="spellEnd"/>
      <w:r>
        <w:t xml:space="preserve"> § 69.1201(c</w:t>
      </w:r>
      <w:proofErr w:type="gramStart"/>
      <w:r>
        <w:t>)(</w:t>
      </w:r>
      <w:proofErr w:type="gramEnd"/>
      <w:r>
        <w:t>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EE74E4"/>
    <w:lvl w:ilvl="0">
      <w:start w:val="1"/>
      <w:numFmt w:val="decimal"/>
      <w:lvlText w:val="%1."/>
      <w:lvlJc w:val="left"/>
      <w:pPr>
        <w:tabs>
          <w:tab w:val="num" w:pos="1800"/>
        </w:tabs>
        <w:ind w:left="1800" w:hanging="360"/>
      </w:pPr>
    </w:lvl>
  </w:abstractNum>
  <w:abstractNum w:abstractNumId="1">
    <w:nsid w:val="FFFFFF7D"/>
    <w:multiLevelType w:val="singleLevel"/>
    <w:tmpl w:val="8C1C9AA6"/>
    <w:lvl w:ilvl="0">
      <w:start w:val="1"/>
      <w:numFmt w:val="decimal"/>
      <w:lvlText w:val="%1."/>
      <w:lvlJc w:val="left"/>
      <w:pPr>
        <w:tabs>
          <w:tab w:val="num" w:pos="1440"/>
        </w:tabs>
        <w:ind w:left="1440" w:hanging="360"/>
      </w:pPr>
    </w:lvl>
  </w:abstractNum>
  <w:abstractNum w:abstractNumId="2">
    <w:nsid w:val="FFFFFF7E"/>
    <w:multiLevelType w:val="singleLevel"/>
    <w:tmpl w:val="3BFA3186"/>
    <w:lvl w:ilvl="0">
      <w:start w:val="1"/>
      <w:numFmt w:val="decimal"/>
      <w:lvlText w:val="%1."/>
      <w:lvlJc w:val="left"/>
      <w:pPr>
        <w:tabs>
          <w:tab w:val="num" w:pos="1080"/>
        </w:tabs>
        <w:ind w:left="1080" w:hanging="360"/>
      </w:pPr>
    </w:lvl>
  </w:abstractNum>
  <w:abstractNum w:abstractNumId="3">
    <w:nsid w:val="FFFFFF7F"/>
    <w:multiLevelType w:val="singleLevel"/>
    <w:tmpl w:val="3B8CD942"/>
    <w:lvl w:ilvl="0">
      <w:start w:val="1"/>
      <w:numFmt w:val="decimal"/>
      <w:lvlText w:val="%1."/>
      <w:lvlJc w:val="left"/>
      <w:pPr>
        <w:tabs>
          <w:tab w:val="num" w:pos="720"/>
        </w:tabs>
        <w:ind w:left="720" w:hanging="360"/>
      </w:pPr>
    </w:lvl>
  </w:abstractNum>
  <w:abstractNum w:abstractNumId="4">
    <w:nsid w:val="FFFFFF80"/>
    <w:multiLevelType w:val="singleLevel"/>
    <w:tmpl w:val="BC8841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6082B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42CC6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11C3F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C4B44C"/>
    <w:lvl w:ilvl="0">
      <w:start w:val="1"/>
      <w:numFmt w:val="decimal"/>
      <w:lvlText w:val="%1."/>
      <w:lvlJc w:val="left"/>
      <w:pPr>
        <w:tabs>
          <w:tab w:val="num" w:pos="360"/>
        </w:tabs>
        <w:ind w:left="360" w:hanging="360"/>
      </w:pPr>
    </w:lvl>
  </w:abstractNum>
  <w:abstractNum w:abstractNumId="9">
    <w:nsid w:val="FFFFFF89"/>
    <w:multiLevelType w:val="singleLevel"/>
    <w:tmpl w:val="BE2E97C6"/>
    <w:lvl w:ilvl="0">
      <w:start w:val="1"/>
      <w:numFmt w:val="bullet"/>
      <w:lvlText w:val=""/>
      <w:lvlJc w:val="left"/>
      <w:pPr>
        <w:tabs>
          <w:tab w:val="num" w:pos="360"/>
        </w:tabs>
        <w:ind w:left="360" w:hanging="360"/>
      </w:pPr>
      <w:rPr>
        <w:rFonts w:ascii="Symbol" w:hAnsi="Symbol" w:hint="default"/>
      </w:rPr>
    </w:lvl>
  </w:abstractNum>
  <w:abstractNum w:abstractNumId="10">
    <w:nsid w:val="144C6BF6"/>
    <w:multiLevelType w:val="hybridMultilevel"/>
    <w:tmpl w:val="B0540FF4"/>
    <w:lvl w:ilvl="0" w:tplc="4DD43E72">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4"/>
  </w:num>
  <w:num w:numId="3">
    <w:abstractNumId w:val="15"/>
  </w:num>
  <w:num w:numId="4">
    <w:abstractNumId w:val="18"/>
  </w:num>
  <w:num w:numId="5">
    <w:abstractNumId w:val="13"/>
  </w:num>
  <w:num w:numId="6">
    <w:abstractNumId w:val="12"/>
  </w:num>
  <w:num w:numId="7">
    <w:abstractNumId w:val="11"/>
  </w:num>
  <w:num w:numId="8">
    <w:abstractNumId w:val="17"/>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0D"/>
    <w:rsid w:val="00004C37"/>
    <w:rsid w:val="000119FE"/>
    <w:rsid w:val="00012F5F"/>
    <w:rsid w:val="0001520D"/>
    <w:rsid w:val="00023DD8"/>
    <w:rsid w:val="00024EB6"/>
    <w:rsid w:val="00035216"/>
    <w:rsid w:val="00036CC6"/>
    <w:rsid w:val="0004568A"/>
    <w:rsid w:val="000821EA"/>
    <w:rsid w:val="000B35DD"/>
    <w:rsid w:val="000B635A"/>
    <w:rsid w:val="000D3A5E"/>
    <w:rsid w:val="000E3B1E"/>
    <w:rsid w:val="00157D75"/>
    <w:rsid w:val="00157DC6"/>
    <w:rsid w:val="00196ED6"/>
    <w:rsid w:val="001A3D34"/>
    <w:rsid w:val="001B1CBA"/>
    <w:rsid w:val="001C2B06"/>
    <w:rsid w:val="001E6ADD"/>
    <w:rsid w:val="00213167"/>
    <w:rsid w:val="002272B9"/>
    <w:rsid w:val="002512F9"/>
    <w:rsid w:val="00261108"/>
    <w:rsid w:val="002841C4"/>
    <w:rsid w:val="002B3B6D"/>
    <w:rsid w:val="002D0A11"/>
    <w:rsid w:val="002F57B5"/>
    <w:rsid w:val="00322985"/>
    <w:rsid w:val="0034223B"/>
    <w:rsid w:val="00365157"/>
    <w:rsid w:val="00393C92"/>
    <w:rsid w:val="003A2E82"/>
    <w:rsid w:val="003B4D8C"/>
    <w:rsid w:val="003C2144"/>
    <w:rsid w:val="003C4589"/>
    <w:rsid w:val="003F6539"/>
    <w:rsid w:val="00410428"/>
    <w:rsid w:val="00423840"/>
    <w:rsid w:val="00450562"/>
    <w:rsid w:val="00465CE0"/>
    <w:rsid w:val="004858C5"/>
    <w:rsid w:val="00495B07"/>
    <w:rsid w:val="004A328B"/>
    <w:rsid w:val="004A3ABE"/>
    <w:rsid w:val="004D054A"/>
    <w:rsid w:val="004D523C"/>
    <w:rsid w:val="005054A0"/>
    <w:rsid w:val="005107CA"/>
    <w:rsid w:val="0054188D"/>
    <w:rsid w:val="005A2ABA"/>
    <w:rsid w:val="0061775F"/>
    <w:rsid w:val="00632041"/>
    <w:rsid w:val="006A37E2"/>
    <w:rsid w:val="006D0F06"/>
    <w:rsid w:val="006E6266"/>
    <w:rsid w:val="006F0329"/>
    <w:rsid w:val="006F3060"/>
    <w:rsid w:val="006F4B62"/>
    <w:rsid w:val="00712E58"/>
    <w:rsid w:val="00721ACB"/>
    <w:rsid w:val="00777BA9"/>
    <w:rsid w:val="00792796"/>
    <w:rsid w:val="007E6779"/>
    <w:rsid w:val="007F118A"/>
    <w:rsid w:val="008042C8"/>
    <w:rsid w:val="00812081"/>
    <w:rsid w:val="008529D2"/>
    <w:rsid w:val="00863799"/>
    <w:rsid w:val="0086656C"/>
    <w:rsid w:val="008C1704"/>
    <w:rsid w:val="008D2B08"/>
    <w:rsid w:val="009D7BAF"/>
    <w:rsid w:val="00A10D00"/>
    <w:rsid w:val="00A24CFC"/>
    <w:rsid w:val="00A51B80"/>
    <w:rsid w:val="00A60A79"/>
    <w:rsid w:val="00A7732F"/>
    <w:rsid w:val="00AA2EC5"/>
    <w:rsid w:val="00AB47BE"/>
    <w:rsid w:val="00AB4C73"/>
    <w:rsid w:val="00AB75AE"/>
    <w:rsid w:val="00AE6F47"/>
    <w:rsid w:val="00B427FB"/>
    <w:rsid w:val="00B4297E"/>
    <w:rsid w:val="00B53F49"/>
    <w:rsid w:val="00B56521"/>
    <w:rsid w:val="00BA2BA5"/>
    <w:rsid w:val="00BC6B21"/>
    <w:rsid w:val="00C057C6"/>
    <w:rsid w:val="00C7207E"/>
    <w:rsid w:val="00CC27AC"/>
    <w:rsid w:val="00CC2D95"/>
    <w:rsid w:val="00CD1B71"/>
    <w:rsid w:val="00D03B68"/>
    <w:rsid w:val="00D57B48"/>
    <w:rsid w:val="00D76B8F"/>
    <w:rsid w:val="00D82133"/>
    <w:rsid w:val="00D83304"/>
    <w:rsid w:val="00D967C5"/>
    <w:rsid w:val="00D9775C"/>
    <w:rsid w:val="00DC4EE1"/>
    <w:rsid w:val="00DD0939"/>
    <w:rsid w:val="00DD5C37"/>
    <w:rsid w:val="00DD61CA"/>
    <w:rsid w:val="00DE2449"/>
    <w:rsid w:val="00DF62B3"/>
    <w:rsid w:val="00E031F8"/>
    <w:rsid w:val="00E350ED"/>
    <w:rsid w:val="00E5110B"/>
    <w:rsid w:val="00E52DF1"/>
    <w:rsid w:val="00E60686"/>
    <w:rsid w:val="00E704DB"/>
    <w:rsid w:val="00E907A7"/>
    <w:rsid w:val="00EA6B85"/>
    <w:rsid w:val="00EC1CBA"/>
    <w:rsid w:val="00EC1DF2"/>
    <w:rsid w:val="00EF2D3E"/>
    <w:rsid w:val="00F544E1"/>
    <w:rsid w:val="00FC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83304"/>
    <w:pPr>
      <w:numPr>
        <w:numId w:val="9"/>
      </w:numPr>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customStyle="1" w:styleId="ParaTab1">
    <w:name w:val="ParaTab 1"/>
    <w:rsid w:val="002F57B5"/>
    <w:pPr>
      <w:tabs>
        <w:tab w:val="left" w:pos="-720"/>
      </w:tabs>
      <w:suppressAutoHyphens/>
      <w:autoSpaceDE w:val="0"/>
      <w:autoSpaceDN w:val="0"/>
      <w:spacing w:after="0" w:line="240" w:lineRule="auto"/>
      <w:ind w:firstLine="1440"/>
    </w:pPr>
    <w:rPr>
      <w:rFonts w:ascii="CG Times" w:hAnsi="CG Times" w:cs="CG Times"/>
      <w:sz w:val="24"/>
      <w:szCs w:val="24"/>
    </w:rPr>
  </w:style>
  <w:style w:type="character" w:styleId="FootnoteReference">
    <w:name w:val="footnote reference"/>
    <w:basedOn w:val="DefaultParagraphFont"/>
    <w:uiPriority w:val="99"/>
    <w:unhideWhenUsed/>
    <w:rsid w:val="002F57B5"/>
    <w:rPr>
      <w:rFonts w:ascii="Times New Roman" w:hAnsi="Times New Roman" w:cs="Times New Roman" w:hint="default"/>
      <w:vertAlign w:val="superscript"/>
    </w:rPr>
  </w:style>
  <w:style w:type="paragraph" w:styleId="Header">
    <w:name w:val="header"/>
    <w:basedOn w:val="Normal"/>
    <w:link w:val="HeaderChar"/>
    <w:uiPriority w:val="99"/>
    <w:unhideWhenUsed/>
    <w:rsid w:val="00036CC6"/>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36CC6"/>
    <w:rPr>
      <w:rFonts w:ascii="Times New Roman" w:hAnsi="Times New Roman" w:cs="Times New Roman"/>
      <w:sz w:val="24"/>
      <w:szCs w:val="20"/>
    </w:rPr>
  </w:style>
  <w:style w:type="paragraph" w:styleId="Footer">
    <w:name w:val="footer"/>
    <w:basedOn w:val="Normal"/>
    <w:link w:val="FooterChar"/>
    <w:uiPriority w:val="99"/>
    <w:unhideWhenUsed/>
    <w:rsid w:val="00036CC6"/>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36CC6"/>
    <w:rPr>
      <w:rFonts w:ascii="Times New Roman" w:hAnsi="Times New Roman" w:cs="Times New Roman"/>
      <w:sz w:val="24"/>
      <w:szCs w:val="20"/>
    </w:rPr>
  </w:style>
  <w:style w:type="paragraph" w:styleId="Title">
    <w:name w:val="Title"/>
    <w:basedOn w:val="Normal"/>
    <w:link w:val="TitleChar"/>
    <w:qFormat/>
    <w:rsid w:val="00777BA9"/>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777BA9"/>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E03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1F8"/>
    <w:rPr>
      <w:rFonts w:ascii="Tahoma" w:hAnsi="Tahoma" w:cs="Tahoma"/>
      <w:sz w:val="16"/>
      <w:szCs w:val="16"/>
    </w:rPr>
  </w:style>
  <w:style w:type="paragraph" w:styleId="EndnoteText">
    <w:name w:val="endnote text"/>
    <w:basedOn w:val="Normal"/>
    <w:link w:val="EndnoteTextChar"/>
    <w:uiPriority w:val="99"/>
    <w:semiHidden/>
    <w:unhideWhenUsed/>
    <w:rsid w:val="002272B9"/>
    <w:pPr>
      <w:spacing w:after="0" w:line="240" w:lineRule="auto"/>
    </w:pPr>
    <w:rPr>
      <w:sz w:val="20"/>
    </w:rPr>
  </w:style>
  <w:style w:type="character" w:customStyle="1" w:styleId="EndnoteTextChar">
    <w:name w:val="Endnote Text Char"/>
    <w:basedOn w:val="DefaultParagraphFont"/>
    <w:link w:val="EndnoteText"/>
    <w:uiPriority w:val="99"/>
    <w:semiHidden/>
    <w:rsid w:val="002272B9"/>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2272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83304"/>
    <w:pPr>
      <w:numPr>
        <w:numId w:val="9"/>
      </w:numPr>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customStyle="1" w:styleId="ParaTab1">
    <w:name w:val="ParaTab 1"/>
    <w:rsid w:val="002F57B5"/>
    <w:pPr>
      <w:tabs>
        <w:tab w:val="left" w:pos="-720"/>
      </w:tabs>
      <w:suppressAutoHyphens/>
      <w:autoSpaceDE w:val="0"/>
      <w:autoSpaceDN w:val="0"/>
      <w:spacing w:after="0" w:line="240" w:lineRule="auto"/>
      <w:ind w:firstLine="1440"/>
    </w:pPr>
    <w:rPr>
      <w:rFonts w:ascii="CG Times" w:hAnsi="CG Times" w:cs="CG Times"/>
      <w:sz w:val="24"/>
      <w:szCs w:val="24"/>
    </w:rPr>
  </w:style>
  <w:style w:type="character" w:styleId="FootnoteReference">
    <w:name w:val="footnote reference"/>
    <w:basedOn w:val="DefaultParagraphFont"/>
    <w:uiPriority w:val="99"/>
    <w:unhideWhenUsed/>
    <w:rsid w:val="002F57B5"/>
    <w:rPr>
      <w:rFonts w:ascii="Times New Roman" w:hAnsi="Times New Roman" w:cs="Times New Roman" w:hint="default"/>
      <w:vertAlign w:val="superscript"/>
    </w:rPr>
  </w:style>
  <w:style w:type="paragraph" w:styleId="Header">
    <w:name w:val="header"/>
    <w:basedOn w:val="Normal"/>
    <w:link w:val="HeaderChar"/>
    <w:uiPriority w:val="99"/>
    <w:unhideWhenUsed/>
    <w:rsid w:val="00036CC6"/>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36CC6"/>
    <w:rPr>
      <w:rFonts w:ascii="Times New Roman" w:hAnsi="Times New Roman" w:cs="Times New Roman"/>
      <w:sz w:val="24"/>
      <w:szCs w:val="20"/>
    </w:rPr>
  </w:style>
  <w:style w:type="paragraph" w:styleId="Footer">
    <w:name w:val="footer"/>
    <w:basedOn w:val="Normal"/>
    <w:link w:val="FooterChar"/>
    <w:uiPriority w:val="99"/>
    <w:unhideWhenUsed/>
    <w:rsid w:val="00036CC6"/>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36CC6"/>
    <w:rPr>
      <w:rFonts w:ascii="Times New Roman" w:hAnsi="Times New Roman" w:cs="Times New Roman"/>
      <w:sz w:val="24"/>
      <w:szCs w:val="20"/>
    </w:rPr>
  </w:style>
  <w:style w:type="paragraph" w:styleId="Title">
    <w:name w:val="Title"/>
    <w:basedOn w:val="Normal"/>
    <w:link w:val="TitleChar"/>
    <w:qFormat/>
    <w:rsid w:val="00777BA9"/>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777BA9"/>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E03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1F8"/>
    <w:rPr>
      <w:rFonts w:ascii="Tahoma" w:hAnsi="Tahoma" w:cs="Tahoma"/>
      <w:sz w:val="16"/>
      <w:szCs w:val="16"/>
    </w:rPr>
  </w:style>
  <w:style w:type="paragraph" w:styleId="EndnoteText">
    <w:name w:val="endnote text"/>
    <w:basedOn w:val="Normal"/>
    <w:link w:val="EndnoteTextChar"/>
    <w:uiPriority w:val="99"/>
    <w:semiHidden/>
    <w:unhideWhenUsed/>
    <w:rsid w:val="002272B9"/>
    <w:pPr>
      <w:spacing w:after="0" w:line="240" w:lineRule="auto"/>
    </w:pPr>
    <w:rPr>
      <w:sz w:val="20"/>
    </w:rPr>
  </w:style>
  <w:style w:type="character" w:customStyle="1" w:styleId="EndnoteTextChar">
    <w:name w:val="Endnote Text Char"/>
    <w:basedOn w:val="DefaultParagraphFont"/>
    <w:link w:val="EndnoteText"/>
    <w:uiPriority w:val="99"/>
    <w:semiHidden/>
    <w:rsid w:val="002272B9"/>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2272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F3983-BB41-416A-9F7D-C89D1976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25</cp:revision>
  <cp:lastPrinted>2014-11-12T16:26:00Z</cp:lastPrinted>
  <dcterms:created xsi:type="dcterms:W3CDTF">2014-10-30T18:56:00Z</dcterms:created>
  <dcterms:modified xsi:type="dcterms:W3CDTF">2014-11-12T16:28:00Z</dcterms:modified>
</cp:coreProperties>
</file>