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AC7AB7" w:rsidP="00D65D31">
      <w:pPr>
        <w:widowControl w:val="0"/>
        <w:adjustRightInd w:val="0"/>
        <w:rPr>
          <w:bCs/>
          <w:color w:val="000000"/>
        </w:rPr>
      </w:pPr>
      <w:r>
        <w:rPr>
          <w:bCs/>
          <w:color w:val="000000"/>
        </w:rPr>
        <w:t>Anthony Gonzalez</w:t>
      </w:r>
      <w:r>
        <w:rPr>
          <w:bCs/>
          <w:color w:val="000000"/>
        </w:rPr>
        <w:tab/>
      </w:r>
      <w:r>
        <w:rPr>
          <w:bCs/>
          <w:color w:val="000000"/>
        </w:rPr>
        <w:tab/>
      </w:r>
      <w:r>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AC7AB7">
        <w:rPr>
          <w:bCs/>
          <w:color w:val="000000"/>
        </w:rPr>
        <w:t>F-2014-2439898</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C438C1" w:rsidRPr="00550B34" w:rsidRDefault="00C438C1" w:rsidP="0062545F">
      <w:pPr>
        <w:tabs>
          <w:tab w:val="center" w:pos="4680"/>
        </w:tabs>
        <w:suppressAutoHyphens/>
        <w:jc w:val="center"/>
        <w:rPr>
          <w:b/>
          <w:bCs/>
          <w:spacing w:val="-3"/>
          <w:u w:val="single"/>
        </w:rPr>
      </w:pPr>
      <w:r w:rsidRPr="004A3DB7">
        <w:rPr>
          <w:b/>
          <w:bCs/>
          <w:spacing w:val="-3"/>
          <w:u w:val="single"/>
        </w:rPr>
        <w:t xml:space="preserve">DENYING </w:t>
      </w:r>
      <w:r>
        <w:rPr>
          <w:b/>
          <w:bCs/>
          <w:spacing w:val="-3"/>
          <w:u w:val="single"/>
        </w:rPr>
        <w:t>PRELIMINARY OBJECTIONS</w:t>
      </w:r>
      <w:r w:rsidR="00F21B5D">
        <w:rPr>
          <w:b/>
          <w:bCs/>
          <w:spacing w:val="-3"/>
          <w:u w:val="single"/>
        </w:rPr>
        <w:t xml:space="preserve"> </w:t>
      </w:r>
    </w:p>
    <w:p w:rsidR="000629B2" w:rsidRDefault="000629B2" w:rsidP="00C438C1">
      <w:pPr>
        <w:widowControl w:val="0"/>
        <w:adjustRightInd w:val="0"/>
        <w:spacing w:line="360" w:lineRule="auto"/>
        <w:rPr>
          <w:b/>
          <w:bCs/>
          <w:spacing w:val="-3"/>
          <w:u w:val="single"/>
        </w:rPr>
      </w:pPr>
    </w:p>
    <w:p w:rsidR="00B1232D" w:rsidRDefault="00F21B5D" w:rsidP="00C438C1">
      <w:pPr>
        <w:widowControl w:val="0"/>
        <w:adjustRightInd w:val="0"/>
        <w:spacing w:line="360" w:lineRule="auto"/>
        <w:rPr>
          <w:bCs/>
          <w:color w:val="000000"/>
        </w:rPr>
      </w:pPr>
      <w:r>
        <w:rPr>
          <w:bCs/>
          <w:color w:val="000000"/>
        </w:rPr>
        <w:tab/>
      </w:r>
      <w:r>
        <w:rPr>
          <w:bCs/>
          <w:color w:val="000000"/>
        </w:rPr>
        <w:tab/>
        <w:t xml:space="preserve">On </w:t>
      </w:r>
      <w:r w:rsidR="00FD1E5D">
        <w:rPr>
          <w:bCs/>
          <w:color w:val="000000"/>
        </w:rPr>
        <w:t xml:space="preserve">July 20, 2014, Anthony Gonzalez filed with the Pennsylvania Public Utility Commission (Commission) a formal Complaint against Respond Power LLC (Respond or “the Company”), Docket Number F-2014-2439898.  The Complaint was a timely appeal of a decision of the Commission’s Bureau of Consumer Services at case number 3245656.  In his Complaint, Mr. Gonzalez </w:t>
      </w:r>
      <w:r w:rsidR="00B1232D">
        <w:rPr>
          <w:bCs/>
          <w:color w:val="000000"/>
        </w:rPr>
        <w:t>averred that there are incorrect charges on his bill and that he would like a payment agreement that he can afford.  Mr. Gonzalez further averred that he would like the Company to stop charging three times the amount per kilowatt hour (</w:t>
      </w:r>
      <w:proofErr w:type="gramStart"/>
      <w:r w:rsidR="00B1232D">
        <w:rPr>
          <w:bCs/>
          <w:color w:val="000000"/>
        </w:rPr>
        <w:t>kwh</w:t>
      </w:r>
      <w:proofErr w:type="gramEnd"/>
      <w:r w:rsidR="00B1232D">
        <w:rPr>
          <w:bCs/>
          <w:color w:val="000000"/>
        </w:rPr>
        <w:t>).</w:t>
      </w:r>
    </w:p>
    <w:p w:rsidR="00B1232D" w:rsidRDefault="00B1232D" w:rsidP="00B1232D">
      <w:pPr>
        <w:widowControl w:val="0"/>
        <w:adjustRightInd w:val="0"/>
        <w:spacing w:line="360" w:lineRule="auto"/>
        <w:ind w:firstLine="1440"/>
        <w:rPr>
          <w:bCs/>
          <w:color w:val="000000"/>
        </w:rPr>
      </w:pPr>
    </w:p>
    <w:p w:rsidR="00EF1081" w:rsidRDefault="00B1232D" w:rsidP="00B1232D">
      <w:pPr>
        <w:widowControl w:val="0"/>
        <w:adjustRightInd w:val="0"/>
        <w:spacing w:line="360" w:lineRule="auto"/>
        <w:ind w:firstLine="1440"/>
        <w:rPr>
          <w:bCs/>
          <w:color w:val="000000"/>
        </w:rPr>
      </w:pPr>
      <w:r>
        <w:rPr>
          <w:bCs/>
          <w:color w:val="000000"/>
        </w:rPr>
        <w:t xml:space="preserve">On September 17, 2014, Respond filed an Answer to Mr. Gonzalez’s Complaint.  In its Answer, Respond </w:t>
      </w:r>
      <w:r w:rsidR="00EF1081">
        <w:rPr>
          <w:bCs/>
          <w:color w:val="000000"/>
        </w:rPr>
        <w:t>admitted or denied the various averments Mr. Gonzalez made in his Complaint, including specifically denying that there were incorrect charges on his bill.  Respond averred that, to the contrary, Mr. Gonzalez’s rates were reflective of the energy market and were consistent with the disclosure statement provided by Respond.  Respond further averred that it is without knowledge or information to form a basis as to whether Mr. Gonzalez has been offered an unaffordable payment plan from his local utility.</w:t>
      </w:r>
    </w:p>
    <w:p w:rsidR="00EF1081" w:rsidRDefault="00EF1081" w:rsidP="00B1232D">
      <w:pPr>
        <w:widowControl w:val="0"/>
        <w:adjustRightInd w:val="0"/>
        <w:spacing w:line="360" w:lineRule="auto"/>
        <w:ind w:firstLine="1440"/>
        <w:rPr>
          <w:bCs/>
          <w:color w:val="000000"/>
        </w:rPr>
      </w:pPr>
    </w:p>
    <w:p w:rsidR="00AC7AB7" w:rsidRDefault="00EF1081" w:rsidP="00B1232D">
      <w:pPr>
        <w:widowControl w:val="0"/>
        <w:adjustRightInd w:val="0"/>
        <w:spacing w:line="360" w:lineRule="auto"/>
        <w:ind w:firstLine="1440"/>
        <w:rPr>
          <w:bCs/>
          <w:color w:val="000000"/>
        </w:rPr>
      </w:pPr>
      <w:r>
        <w:rPr>
          <w:bCs/>
          <w:color w:val="000000"/>
        </w:rPr>
        <w:t xml:space="preserve">Also on September 17, 2014, Respond filed Preliminary Objections in response to the Complaint filed by Mr. Gonzalez.  In its Preliminary </w:t>
      </w:r>
      <w:r w:rsidR="00006E5D">
        <w:rPr>
          <w:bCs/>
          <w:color w:val="000000"/>
        </w:rPr>
        <w:t>Objection</w:t>
      </w:r>
      <w:r w:rsidR="004A3DB7">
        <w:rPr>
          <w:bCs/>
          <w:color w:val="000000"/>
        </w:rPr>
        <w:t>s</w:t>
      </w:r>
      <w:r w:rsidR="00006E5D">
        <w:rPr>
          <w:bCs/>
          <w:color w:val="000000"/>
        </w:rPr>
        <w:t xml:space="preserve">, which </w:t>
      </w:r>
      <w:r w:rsidR="00EB5149">
        <w:rPr>
          <w:bCs/>
          <w:color w:val="000000"/>
        </w:rPr>
        <w:lastRenderedPageBreak/>
        <w:t>were</w:t>
      </w:r>
      <w:r w:rsidR="00006E5D">
        <w:rPr>
          <w:bCs/>
          <w:color w:val="000000"/>
        </w:rPr>
        <w:t xml:space="preserve"> accompanied by a Notice to Plead, </w:t>
      </w:r>
      <w:r w:rsidR="0083648A">
        <w:rPr>
          <w:bCs/>
          <w:color w:val="000000"/>
        </w:rPr>
        <w:t>Respond</w:t>
      </w:r>
      <w:r w:rsidR="00B1232D">
        <w:rPr>
          <w:bCs/>
          <w:color w:val="000000"/>
        </w:rPr>
        <w:t xml:space="preserve"> </w:t>
      </w:r>
      <w:r w:rsidR="0083648A">
        <w:rPr>
          <w:bCs/>
          <w:color w:val="000000"/>
        </w:rPr>
        <w:t xml:space="preserve">argued that Mr. Gonzalez’s Complaint should </w:t>
      </w:r>
      <w:r w:rsidR="00A97FF2">
        <w:rPr>
          <w:bCs/>
          <w:color w:val="000000"/>
        </w:rPr>
        <w:t xml:space="preserve">be </w:t>
      </w:r>
      <w:r w:rsidR="0083648A">
        <w:rPr>
          <w:bCs/>
          <w:color w:val="000000"/>
        </w:rPr>
        <w:t xml:space="preserve">dismissed because the Complaint does not allege that the increase in variable rates violated the terms of his contract with Respond and does not allege a violation of any law which the Commission has jurisdiction to enforce.  Respond added, among other </w:t>
      </w:r>
      <w:proofErr w:type="gramStart"/>
      <w:r w:rsidR="0083648A">
        <w:rPr>
          <w:bCs/>
          <w:color w:val="000000"/>
        </w:rPr>
        <w:t xml:space="preserve">things, </w:t>
      </w:r>
      <w:r w:rsidR="004A3DB7">
        <w:rPr>
          <w:bCs/>
          <w:color w:val="000000"/>
        </w:rPr>
        <w:t>t</w:t>
      </w:r>
      <w:r w:rsidR="0083648A">
        <w:rPr>
          <w:bCs/>
          <w:color w:val="000000"/>
        </w:rPr>
        <w:t>hat,</w:t>
      </w:r>
      <w:proofErr w:type="gramEnd"/>
      <w:r w:rsidR="0083648A">
        <w:rPr>
          <w:bCs/>
          <w:color w:val="000000"/>
        </w:rPr>
        <w:t xml:space="preserve"> assuming that all the facts pleaded in the Complaint were accepted as true, Mr. Gonzalez has failed to state a claim upon which the Commission could grant relief.  Respond argued that Mr. Gonzalez’s Complaint should be dismissed because the Commission lacks jurisdiction, the Complaint is legally insufficient and the Complaint is insufficient</w:t>
      </w:r>
      <w:r w:rsidR="004A3DB7">
        <w:rPr>
          <w:bCs/>
          <w:color w:val="000000"/>
        </w:rPr>
        <w:t>ly</w:t>
      </w:r>
      <w:r w:rsidR="0083648A">
        <w:rPr>
          <w:bCs/>
          <w:color w:val="000000"/>
        </w:rPr>
        <w:t xml:space="preserve"> specific.</w:t>
      </w:r>
    </w:p>
    <w:p w:rsidR="0083648A" w:rsidRDefault="0083648A" w:rsidP="00B1232D">
      <w:pPr>
        <w:widowControl w:val="0"/>
        <w:adjustRightInd w:val="0"/>
        <w:spacing w:line="360" w:lineRule="auto"/>
        <w:ind w:firstLine="1440"/>
        <w:rPr>
          <w:bCs/>
          <w:color w:val="000000"/>
        </w:rPr>
      </w:pPr>
    </w:p>
    <w:p w:rsidR="0083648A" w:rsidRDefault="004A3DB7" w:rsidP="0094648D">
      <w:pPr>
        <w:widowControl w:val="0"/>
        <w:adjustRightInd w:val="0"/>
        <w:spacing w:line="360" w:lineRule="auto"/>
        <w:ind w:firstLine="1440"/>
        <w:rPr>
          <w:bCs/>
          <w:color w:val="000000"/>
        </w:rPr>
      </w:pPr>
      <w:r>
        <w:rPr>
          <w:bCs/>
          <w:color w:val="000000"/>
        </w:rPr>
        <w:t>Mr. Gonzalez’s</w:t>
      </w:r>
      <w:r w:rsidR="0083648A">
        <w:rPr>
          <w:bCs/>
          <w:color w:val="000000"/>
        </w:rPr>
        <w:t xml:space="preserve"> Answer to Respond’s Preliminary Object</w:t>
      </w:r>
      <w:r w:rsidR="00DD6A64">
        <w:rPr>
          <w:bCs/>
          <w:color w:val="000000"/>
        </w:rPr>
        <w:t>ion</w:t>
      </w:r>
      <w:r>
        <w:rPr>
          <w:bCs/>
          <w:color w:val="000000"/>
        </w:rPr>
        <w:t>s</w:t>
      </w:r>
      <w:r w:rsidR="00DD6A64">
        <w:rPr>
          <w:bCs/>
          <w:color w:val="000000"/>
        </w:rPr>
        <w:t xml:space="preserve"> </w:t>
      </w:r>
      <w:r>
        <w:rPr>
          <w:bCs/>
          <w:color w:val="000000"/>
        </w:rPr>
        <w:t>was</w:t>
      </w:r>
      <w:r w:rsidR="00DD6A64">
        <w:rPr>
          <w:bCs/>
          <w:color w:val="000000"/>
        </w:rPr>
        <w:t xml:space="preserve"> due no later than September 30, 2014.</w:t>
      </w:r>
      <w:r w:rsidR="007228C9" w:rsidRPr="007228C9">
        <w:rPr>
          <w:bCs/>
          <w:color w:val="000000"/>
        </w:rPr>
        <w:t xml:space="preserve"> </w:t>
      </w:r>
      <w:r w:rsidR="007228C9">
        <w:rPr>
          <w:bCs/>
          <w:color w:val="000000"/>
        </w:rPr>
        <w:t xml:space="preserve"> 52 </w:t>
      </w:r>
      <w:proofErr w:type="spellStart"/>
      <w:r w:rsidR="007228C9">
        <w:rPr>
          <w:bCs/>
          <w:color w:val="000000"/>
        </w:rPr>
        <w:t>Pa.</w:t>
      </w:r>
      <w:r w:rsidR="007228C9" w:rsidRPr="008C4E62">
        <w:rPr>
          <w:bCs/>
          <w:color w:val="000000"/>
        </w:rPr>
        <w:t>Code</w:t>
      </w:r>
      <w:proofErr w:type="spellEnd"/>
      <w:r w:rsidR="007228C9" w:rsidRPr="008C4E62">
        <w:rPr>
          <w:bCs/>
          <w:color w:val="000000"/>
        </w:rPr>
        <w:t xml:space="preserve"> §§ 5.101(f</w:t>
      </w:r>
      <w:proofErr w:type="gramStart"/>
      <w:r w:rsidR="007228C9" w:rsidRPr="008C4E62">
        <w:rPr>
          <w:bCs/>
          <w:color w:val="000000"/>
        </w:rPr>
        <w:t>)(</w:t>
      </w:r>
      <w:proofErr w:type="gramEnd"/>
      <w:r w:rsidR="007228C9" w:rsidRPr="008C4E62">
        <w:rPr>
          <w:bCs/>
          <w:color w:val="000000"/>
        </w:rPr>
        <w:t xml:space="preserve">1), 1.12(a), 1.56(a)(1) and (b).  </w:t>
      </w:r>
      <w:r w:rsidR="007228C9">
        <w:rPr>
          <w:bCs/>
          <w:color w:val="000000"/>
        </w:rPr>
        <w:t>Mr. Gonzalez did not submit an Answer to the Preliminary Objections.</w:t>
      </w:r>
    </w:p>
    <w:p w:rsidR="0083648A" w:rsidRDefault="0083648A" w:rsidP="0094648D">
      <w:pPr>
        <w:widowControl w:val="0"/>
        <w:adjustRightInd w:val="0"/>
        <w:spacing w:line="360" w:lineRule="auto"/>
        <w:ind w:firstLine="1440"/>
        <w:rPr>
          <w:bCs/>
          <w:color w:val="000000"/>
        </w:rPr>
      </w:pPr>
    </w:p>
    <w:p w:rsidR="007228C9" w:rsidRPr="007228C9" w:rsidRDefault="0083648A" w:rsidP="007228C9">
      <w:pPr>
        <w:pStyle w:val="Style"/>
        <w:spacing w:line="360" w:lineRule="auto"/>
        <w:ind w:firstLine="1440"/>
        <w:rPr>
          <w:bCs/>
          <w:color w:val="000000"/>
        </w:rPr>
      </w:pPr>
      <w:r>
        <w:rPr>
          <w:bCs/>
          <w:color w:val="000000"/>
        </w:rPr>
        <w:t xml:space="preserve">On October 20, 2014, </w:t>
      </w:r>
      <w:r w:rsidR="007228C9" w:rsidRPr="007228C9">
        <w:rPr>
          <w:color w:val="000000"/>
        </w:rPr>
        <w:t>the Commission issued a Motion Judge Assignment Notice</w:t>
      </w:r>
      <w:r w:rsidR="007228C9" w:rsidRPr="007228C9">
        <w:rPr>
          <w:bCs/>
          <w:color w:val="000000"/>
        </w:rPr>
        <w:t xml:space="preserve"> informing the parties that I was assigned as the Presiding Officer and responsible to resolve any issues which might arise during the preliminary phase of this proceeding.  </w:t>
      </w:r>
      <w:r w:rsidR="007228C9">
        <w:rPr>
          <w:bCs/>
          <w:color w:val="000000"/>
        </w:rPr>
        <w:t>Respond’s</w:t>
      </w:r>
      <w:r w:rsidR="007228C9" w:rsidRPr="007228C9">
        <w:rPr>
          <w:bCs/>
          <w:color w:val="000000"/>
        </w:rPr>
        <w:t xml:space="preserve"> Preliminary Objection</w:t>
      </w:r>
      <w:r w:rsidR="004A3DB7">
        <w:rPr>
          <w:bCs/>
          <w:color w:val="000000"/>
        </w:rPr>
        <w:t>s are</w:t>
      </w:r>
      <w:r w:rsidR="007228C9" w:rsidRPr="007228C9">
        <w:rPr>
          <w:bCs/>
          <w:color w:val="000000"/>
        </w:rPr>
        <w:t xml:space="preserve"> ready for disposition.  For the reasons discussed below, </w:t>
      </w:r>
      <w:r w:rsidR="007228C9">
        <w:rPr>
          <w:bCs/>
          <w:color w:val="000000"/>
        </w:rPr>
        <w:t xml:space="preserve">Respond’s </w:t>
      </w:r>
      <w:r w:rsidR="007228C9" w:rsidRPr="007228C9">
        <w:rPr>
          <w:bCs/>
          <w:color w:val="000000"/>
        </w:rPr>
        <w:t>Preliminary Objection</w:t>
      </w:r>
      <w:r w:rsidR="003F06E9">
        <w:rPr>
          <w:bCs/>
          <w:color w:val="000000"/>
        </w:rPr>
        <w:t>s</w:t>
      </w:r>
      <w:r w:rsidR="007228C9" w:rsidRPr="007228C9">
        <w:rPr>
          <w:bCs/>
          <w:color w:val="000000"/>
        </w:rPr>
        <w:t xml:space="preserve"> will be </w:t>
      </w:r>
      <w:r w:rsidR="007228C9" w:rsidRPr="004A3DB7">
        <w:rPr>
          <w:bCs/>
          <w:color w:val="000000"/>
        </w:rPr>
        <w:t xml:space="preserve">denied </w:t>
      </w:r>
      <w:r w:rsidR="007228C9" w:rsidRPr="007228C9">
        <w:rPr>
          <w:bCs/>
          <w:color w:val="000000"/>
        </w:rPr>
        <w:t xml:space="preserve">and the </w:t>
      </w:r>
      <w:r w:rsidR="004A3DB7">
        <w:rPr>
          <w:bCs/>
          <w:color w:val="000000"/>
        </w:rPr>
        <w:t xml:space="preserve">Complaint </w:t>
      </w:r>
      <w:r w:rsidR="007228C9" w:rsidRPr="007228C9">
        <w:rPr>
          <w:bCs/>
          <w:color w:val="000000"/>
        </w:rPr>
        <w:t>will proceed to a hearing.</w:t>
      </w:r>
    </w:p>
    <w:p w:rsidR="00F81B45" w:rsidRPr="00AC7AB7" w:rsidRDefault="00F81B45" w:rsidP="0094648D">
      <w:pPr>
        <w:widowControl w:val="0"/>
        <w:adjustRightInd w:val="0"/>
        <w:spacing w:line="360" w:lineRule="auto"/>
        <w:ind w:firstLine="1440"/>
        <w:rPr>
          <w:bCs/>
          <w:strike/>
          <w:color w:val="000000"/>
        </w:rPr>
      </w:pPr>
    </w:p>
    <w:p w:rsidR="00D44FF7" w:rsidRPr="007228C9" w:rsidRDefault="00D44FF7" w:rsidP="00D44FF7">
      <w:pPr>
        <w:widowControl w:val="0"/>
        <w:adjustRightInd w:val="0"/>
        <w:spacing w:line="360" w:lineRule="auto"/>
        <w:ind w:firstLine="1440"/>
        <w:rPr>
          <w:color w:val="000000"/>
        </w:rPr>
      </w:pPr>
      <w:r w:rsidRPr="007228C9">
        <w:rPr>
          <w:color w:val="000000"/>
        </w:rPr>
        <w:t xml:space="preserve">Section 5.101 of the Commission’s Rules of Administrative Practice and Procedure provides for the filing of Preliminary Objections.  </w:t>
      </w:r>
      <w:proofErr w:type="gramStart"/>
      <w:r w:rsidRPr="007228C9">
        <w:rPr>
          <w:color w:val="000000"/>
        </w:rPr>
        <w:t xml:space="preserve">52 </w:t>
      </w:r>
      <w:proofErr w:type="spellStart"/>
      <w:r w:rsidRPr="007228C9">
        <w:rPr>
          <w:color w:val="000000"/>
        </w:rPr>
        <w:t>Pa.Code</w:t>
      </w:r>
      <w:proofErr w:type="spellEnd"/>
      <w:r w:rsidRPr="007228C9">
        <w:rPr>
          <w:color w:val="000000"/>
        </w:rPr>
        <w:t xml:space="preserve"> </w:t>
      </w:r>
      <w:r w:rsidRPr="007228C9">
        <w:rPr>
          <w:color w:val="000000"/>
          <w:w w:val="86"/>
        </w:rPr>
        <w:t xml:space="preserve">§ </w:t>
      </w:r>
      <w:r w:rsidRPr="007228C9">
        <w:rPr>
          <w:color w:val="000000"/>
        </w:rPr>
        <w:t>5.101.</w:t>
      </w:r>
      <w:proofErr w:type="gramEnd"/>
      <w:r w:rsidRPr="007228C9">
        <w:rPr>
          <w:color w:val="000000"/>
        </w:rPr>
        <w:t xml:space="preserve">  Commission Preliminary Objection practice is comparable to Pennsylvania civil practice respecting the filing of Preliminary Objections.  </w:t>
      </w:r>
      <w:r w:rsidRPr="007228C9">
        <w:rPr>
          <w:iCs/>
          <w:color w:val="000000"/>
          <w:u w:val="single"/>
        </w:rPr>
        <w:t xml:space="preserve">Equitable Small Transportation </w:t>
      </w:r>
      <w:proofErr w:type="spellStart"/>
      <w:r w:rsidRPr="007228C9">
        <w:rPr>
          <w:iCs/>
          <w:color w:val="000000"/>
          <w:u w:val="single"/>
        </w:rPr>
        <w:t>Intervenors</w:t>
      </w:r>
      <w:proofErr w:type="spellEnd"/>
      <w:r w:rsidRPr="007228C9">
        <w:rPr>
          <w:iCs/>
          <w:color w:val="000000"/>
          <w:u w:val="single"/>
        </w:rPr>
        <w:t xml:space="preserve"> v. Equitable Gas Company</w:t>
      </w:r>
      <w:r w:rsidRPr="007228C9">
        <w:rPr>
          <w:i/>
          <w:iCs/>
          <w:color w:val="000000"/>
        </w:rPr>
        <w:t xml:space="preserve">, </w:t>
      </w:r>
      <w:r w:rsidRPr="007228C9">
        <w:rPr>
          <w:color w:val="000000"/>
        </w:rPr>
        <w:t xml:space="preserve">1994 Pa PUC LEXIS 69, Docket No. </w:t>
      </w:r>
      <w:proofErr w:type="gramStart"/>
      <w:r w:rsidRPr="007228C9">
        <w:rPr>
          <w:color w:val="000000"/>
        </w:rPr>
        <w:t>C-00935435 (July 18, 1994) (</w:t>
      </w:r>
      <w:r w:rsidRPr="007228C9">
        <w:rPr>
          <w:color w:val="000000"/>
          <w:u w:val="single"/>
        </w:rPr>
        <w:t>Equitable</w:t>
      </w:r>
      <w:r w:rsidRPr="007228C9">
        <w:rPr>
          <w:color w:val="000000"/>
        </w:rPr>
        <w:t>).</w:t>
      </w:r>
      <w:proofErr w:type="gramEnd"/>
      <w:r w:rsidRPr="007228C9">
        <w:rPr>
          <w:color w:val="000000"/>
        </w:rPr>
        <w:t xml:space="preserve">  Section 5.101(a) provides:</w:t>
      </w:r>
    </w:p>
    <w:p w:rsidR="00D44FF7" w:rsidRPr="007228C9" w:rsidRDefault="00D44FF7" w:rsidP="00D44FF7">
      <w:pPr>
        <w:widowControl w:val="0"/>
        <w:tabs>
          <w:tab w:val="left" w:pos="1469"/>
          <w:tab w:val="left" w:pos="2196"/>
        </w:tabs>
        <w:adjustRightInd w:val="0"/>
        <w:spacing w:line="360" w:lineRule="auto"/>
        <w:ind w:left="1440" w:right="1440"/>
        <w:rPr>
          <w:color w:val="000000"/>
        </w:rPr>
      </w:pPr>
    </w:p>
    <w:p w:rsidR="00D44FF7" w:rsidRPr="007228C9" w:rsidRDefault="00D44FF7" w:rsidP="00D44FF7">
      <w:pPr>
        <w:widowControl w:val="0"/>
        <w:tabs>
          <w:tab w:val="left" w:pos="1469"/>
          <w:tab w:val="left" w:pos="2196"/>
        </w:tabs>
        <w:adjustRightInd w:val="0"/>
        <w:ind w:left="1440" w:right="1440"/>
        <w:rPr>
          <w:color w:val="000000"/>
        </w:rPr>
      </w:pPr>
      <w:r w:rsidRPr="007228C9">
        <w:rPr>
          <w:color w:val="000000"/>
        </w:rPr>
        <w:t xml:space="preserve">(a) </w:t>
      </w:r>
      <w:r w:rsidRPr="007228C9">
        <w:rPr>
          <w:color w:val="000000"/>
        </w:rPr>
        <w:tab/>
      </w:r>
      <w:r w:rsidRPr="007228C9">
        <w:rPr>
          <w:i/>
          <w:iCs/>
          <w:color w:val="000000"/>
        </w:rPr>
        <w:t xml:space="preserve">Grounds.  </w:t>
      </w:r>
      <w:r w:rsidRPr="007228C9">
        <w:rPr>
          <w:color w:val="000000"/>
        </w:rPr>
        <w:t xml:space="preserve">Preliminary objections are available to parties and may be filed in response to a pleading except motions and prior preliminary objections.  Preliminary objections must be accompanied by a notice to plead, must </w:t>
      </w:r>
      <w:r w:rsidRPr="007228C9">
        <w:rPr>
          <w:color w:val="000000"/>
        </w:rPr>
        <w:lastRenderedPageBreak/>
        <w:t>state specifically the legal and factual grounds relied upon and be limited to the following:</w:t>
      </w:r>
    </w:p>
    <w:p w:rsidR="00D44FF7" w:rsidRPr="007228C9" w:rsidRDefault="00D44FF7" w:rsidP="00D44FF7">
      <w:pPr>
        <w:widowControl w:val="0"/>
        <w:tabs>
          <w:tab w:val="left" w:pos="2203"/>
          <w:tab w:val="left" w:pos="2909"/>
        </w:tabs>
        <w:adjustRightInd w:val="0"/>
        <w:ind w:right="1440"/>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Lack of Commission jurisdiction or improper service of the pleading initiating the proceeding.</w:t>
      </w:r>
    </w:p>
    <w:p w:rsidR="00D44FF7" w:rsidRPr="007228C9" w:rsidRDefault="00D44FF7" w:rsidP="00D44FF7">
      <w:pPr>
        <w:widowControl w:val="0"/>
        <w:tabs>
          <w:tab w:val="left" w:pos="2203"/>
          <w:tab w:val="left" w:pos="2909"/>
        </w:tabs>
        <w:adjustRightInd w:val="0"/>
        <w:ind w:left="2520" w:right="1440" w:hanging="360"/>
        <w:rPr>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Failure of a pleading to conform to this chapter or the inclusion of scandalous or impertinent matter.</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Insufficient specificity of a pleading.</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Legal insufficiency of a pleading.</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 xml:space="preserve">Lack of capacity to sue, </w:t>
      </w:r>
      <w:proofErr w:type="spellStart"/>
      <w:r w:rsidRPr="007228C9">
        <w:rPr>
          <w:color w:val="000000"/>
        </w:rPr>
        <w:t>nonjoinder</w:t>
      </w:r>
      <w:proofErr w:type="spellEnd"/>
      <w:r w:rsidRPr="007228C9">
        <w:rPr>
          <w:color w:val="000000"/>
        </w:rPr>
        <w:t xml:space="preserve"> of a necessary party or misjoinder of a cause of action.</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Pendency of a prior proceeding or agreement for alternative dispute resolution.</w:t>
      </w:r>
    </w:p>
    <w:p w:rsidR="00D44FF7" w:rsidRPr="007228C9" w:rsidRDefault="00D44FF7" w:rsidP="00D44FF7">
      <w:pPr>
        <w:autoSpaceDE/>
        <w:autoSpaceDN/>
        <w:ind w:left="720"/>
        <w:contextualSpacing/>
        <w:rPr>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Standing of a party to participate in a proceeding.</w:t>
      </w:r>
    </w:p>
    <w:p w:rsidR="00D44FF7" w:rsidRPr="007228C9" w:rsidRDefault="00D44FF7" w:rsidP="00D44FF7">
      <w:pPr>
        <w:widowControl w:val="0"/>
        <w:tabs>
          <w:tab w:val="left" w:pos="2203"/>
          <w:tab w:val="left" w:pos="2909"/>
        </w:tabs>
        <w:adjustRightInd w:val="0"/>
        <w:ind w:left="1440" w:right="1440"/>
        <w:rPr>
          <w:color w:val="000000"/>
        </w:rPr>
      </w:pPr>
    </w:p>
    <w:p w:rsidR="00D44FF7" w:rsidRPr="007228C9" w:rsidRDefault="00D44FF7" w:rsidP="00D44FF7">
      <w:pPr>
        <w:widowControl w:val="0"/>
        <w:adjustRightInd w:val="0"/>
        <w:ind w:right="1440"/>
        <w:rPr>
          <w:color w:val="000000"/>
        </w:rPr>
      </w:pPr>
      <w:r w:rsidRPr="007228C9">
        <w:rPr>
          <w:color w:val="000000"/>
        </w:rPr>
        <w:t xml:space="preserve">52 </w:t>
      </w:r>
      <w:proofErr w:type="spellStart"/>
      <w:r w:rsidRPr="007228C9">
        <w:rPr>
          <w:color w:val="000000"/>
        </w:rPr>
        <w:t>Pa.Code</w:t>
      </w:r>
      <w:proofErr w:type="spellEnd"/>
      <w:r w:rsidRPr="007228C9">
        <w:rPr>
          <w:color w:val="000000"/>
        </w:rPr>
        <w:t xml:space="preserve"> § 5.101(a</w:t>
      </w:r>
      <w:proofErr w:type="gramStart"/>
      <w:r w:rsidRPr="007228C9">
        <w:rPr>
          <w:color w:val="000000"/>
        </w:rPr>
        <w:t>)(</w:t>
      </w:r>
      <w:proofErr w:type="gramEnd"/>
      <w:r w:rsidRPr="007228C9">
        <w:rPr>
          <w:color w:val="000000"/>
        </w:rPr>
        <w:t>1)-(7).</w:t>
      </w:r>
    </w:p>
    <w:p w:rsidR="00D44FF7" w:rsidRPr="007228C9" w:rsidRDefault="00D44FF7" w:rsidP="00D44FF7">
      <w:pPr>
        <w:widowControl w:val="0"/>
        <w:adjustRightInd w:val="0"/>
        <w:spacing w:line="360" w:lineRule="auto"/>
        <w:ind w:right="200"/>
        <w:rPr>
          <w:color w:val="000000"/>
        </w:rPr>
      </w:pPr>
    </w:p>
    <w:p w:rsidR="00D44FF7" w:rsidRDefault="00D44FF7" w:rsidP="00D44FF7">
      <w:pPr>
        <w:tabs>
          <w:tab w:val="left" w:pos="-720"/>
        </w:tabs>
        <w:suppressAutoHyphens/>
        <w:spacing w:line="360" w:lineRule="auto"/>
        <w:ind w:firstLine="1440"/>
      </w:pPr>
      <w:r w:rsidRPr="007228C9">
        <w:t xml:space="preserve">For purposes of disposing of Preliminary Objections, the Commission must accept as true all well </w:t>
      </w:r>
      <w:proofErr w:type="gramStart"/>
      <w:r w:rsidRPr="007228C9">
        <w:t>pleaded,</w:t>
      </w:r>
      <w:proofErr w:type="gramEnd"/>
      <w:r w:rsidRPr="007228C9">
        <w:t xml:space="preserve"> material facts of the nonmoving party, as well as every reasonable inference from those facts.  </w:t>
      </w:r>
      <w:proofErr w:type="gramStart"/>
      <w:r w:rsidRPr="007228C9">
        <w:rPr>
          <w:u w:val="single"/>
        </w:rPr>
        <w:t>County of Allegheny v. Commonwealth of Pennsylvania</w:t>
      </w:r>
      <w:r w:rsidRPr="007228C9">
        <w:t xml:space="preserve">, 490 A.2d 402 (Pa. 1985); </w:t>
      </w:r>
      <w:r w:rsidRPr="007228C9">
        <w:rPr>
          <w:u w:val="single"/>
        </w:rPr>
        <w:t>Commonwealth of Pennsylvania v. Bell Telephone Co. of Pa.</w:t>
      </w:r>
      <w:r w:rsidRPr="007228C9">
        <w:t xml:space="preserve">, 551 A.2d 602 (Pa. </w:t>
      </w:r>
      <w:proofErr w:type="spellStart"/>
      <w:r w:rsidRPr="007228C9">
        <w:t>Cmwlth</w:t>
      </w:r>
      <w:proofErr w:type="spellEnd"/>
      <w:r w:rsidRPr="007228C9">
        <w:t>. 1988).</w:t>
      </w:r>
      <w:proofErr w:type="gramEnd"/>
      <w:r w:rsidRPr="007228C9">
        <w:t xml:space="preserve">  The Commission must view the Complaint in this case in the light most favorable to </w:t>
      </w:r>
      <w:r w:rsidR="009011DC">
        <w:t>Mr. Gonzalez</w:t>
      </w:r>
      <w:r w:rsidRPr="007228C9">
        <w:t xml:space="preserve"> and should dismiss the Complaint only if it appears that </w:t>
      </w:r>
      <w:r w:rsidR="009011DC">
        <w:t xml:space="preserve">Mr. Gonzalez </w:t>
      </w:r>
      <w:r w:rsidRPr="007228C9">
        <w:t xml:space="preserve">would not be entitled to relief under any circumstances as a matter of law.  </w:t>
      </w:r>
      <w:r w:rsidRPr="007228C9">
        <w:rPr>
          <w:u w:val="single"/>
        </w:rPr>
        <w:t>Equitable</w:t>
      </w:r>
      <w:r w:rsidRPr="007228C9">
        <w:t xml:space="preserve">, </w:t>
      </w:r>
      <w:r w:rsidRPr="007228C9">
        <w:rPr>
          <w:i/>
        </w:rPr>
        <w:t>supra</w:t>
      </w:r>
      <w:r w:rsidRPr="007228C9">
        <w:t xml:space="preserve">; </w:t>
      </w:r>
      <w:r w:rsidRPr="007228C9">
        <w:rPr>
          <w:i/>
        </w:rPr>
        <w:t>see also</w:t>
      </w:r>
      <w:r w:rsidRPr="007228C9">
        <w:t xml:space="preserve">, </w:t>
      </w:r>
      <w:r w:rsidRPr="007228C9">
        <w:rPr>
          <w:u w:val="single"/>
        </w:rPr>
        <w:t>Interstate Traveler Services, Inc. v. Commonwealth, Department of Environmental Resources</w:t>
      </w:r>
      <w:r w:rsidRPr="007228C9">
        <w:t>, 406 A.2d 1020 (Pa. 1979).</w:t>
      </w:r>
    </w:p>
    <w:p w:rsidR="00CA2D56" w:rsidRDefault="00CA2D56" w:rsidP="00D44FF7">
      <w:pPr>
        <w:tabs>
          <w:tab w:val="left" w:pos="-720"/>
        </w:tabs>
        <w:suppressAutoHyphens/>
        <w:spacing w:line="360" w:lineRule="auto"/>
        <w:ind w:firstLine="1440"/>
      </w:pPr>
    </w:p>
    <w:p w:rsidR="0008210E" w:rsidRDefault="0008210E" w:rsidP="0008210E">
      <w:pPr>
        <w:tabs>
          <w:tab w:val="left" w:pos="-720"/>
        </w:tabs>
        <w:suppressAutoHyphens/>
        <w:spacing w:line="360" w:lineRule="auto"/>
      </w:pPr>
      <w:r>
        <w:tab/>
      </w:r>
      <w:r>
        <w:tab/>
      </w:r>
      <w:r w:rsidRPr="00E3227F">
        <w:t xml:space="preserve">In civil practice, a Preliminary Objection based on legal insufficiency is referred to as a demurrer.  Preliminary Objections in the form of a demurrer will be sustained only in cases which are free and clear of doubt and where dismissal is clearly </w:t>
      </w:r>
      <w:r w:rsidRPr="00E3227F">
        <w:lastRenderedPageBreak/>
        <w:t xml:space="preserve">warranted by the record.  </w:t>
      </w:r>
      <w:proofErr w:type="gramStart"/>
      <w:r w:rsidRPr="00E3227F">
        <w:rPr>
          <w:u w:val="single"/>
        </w:rPr>
        <w:t xml:space="preserve">Community Life Support Systems, Inc., </w:t>
      </w:r>
      <w:r w:rsidRPr="00E3227F">
        <w:rPr>
          <w:i/>
          <w:u w:val="single"/>
        </w:rPr>
        <w:t>et al</w:t>
      </w:r>
      <w:r w:rsidRPr="00E3227F">
        <w:rPr>
          <w:u w:val="single"/>
        </w:rPr>
        <w:t>. v. Commonwealth of Pennsylvania</w:t>
      </w:r>
      <w:r w:rsidRPr="00E3227F">
        <w:t xml:space="preserve">, 689 A.2d 1014, 1017 (Pa. </w:t>
      </w:r>
      <w:proofErr w:type="spellStart"/>
      <w:r w:rsidRPr="00E3227F">
        <w:t>Cmwlth</w:t>
      </w:r>
      <w:proofErr w:type="spellEnd"/>
      <w:r w:rsidRPr="00E3227F">
        <w:t>. 1997</w:t>
      </w:r>
      <w:r>
        <w:t>) (</w:t>
      </w:r>
      <w:r w:rsidRPr="00E3227F">
        <w:rPr>
          <w:u w:val="single"/>
        </w:rPr>
        <w:t>Community Life</w:t>
      </w:r>
      <w:r w:rsidRPr="00E3227F">
        <w:t>).</w:t>
      </w:r>
      <w:proofErr w:type="gramEnd"/>
      <w:r w:rsidRPr="00E3227F">
        <w:t xml:space="preserve">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 xml:space="preserve">Hoffman v. </w:t>
      </w:r>
      <w:proofErr w:type="spellStart"/>
      <w:r w:rsidRPr="00E3227F">
        <w:rPr>
          <w:u w:val="single"/>
        </w:rPr>
        <w:t>Misericordia</w:t>
      </w:r>
      <w:proofErr w:type="spellEnd"/>
      <w:r w:rsidRPr="00E3227F">
        <w:rPr>
          <w:u w:val="single"/>
        </w:rPr>
        <w:t xml:space="preserve"> Hospital of Philadelphia</w:t>
      </w:r>
      <w:r w:rsidRPr="00E3227F">
        <w:t xml:space="preserve">, 439 Pa. 501, 267 A.2d 867 (1970) </w:t>
      </w:r>
      <w:r>
        <w:t>(</w:t>
      </w:r>
      <w:r>
        <w:rPr>
          <w:u w:val="single"/>
        </w:rPr>
        <w:t>Hoffman</w:t>
      </w:r>
      <w:r>
        <w:t xml:space="preserve">) </w:t>
      </w:r>
      <w:r w:rsidRPr="00E3227F">
        <w:t>(“the question presented by the demurrer is whether on the facts averred, the law states with certainty that no recovery is possible”).</w:t>
      </w:r>
    </w:p>
    <w:p w:rsidR="00CA2D56" w:rsidRPr="007228C9" w:rsidRDefault="00CA2D56" w:rsidP="00D44FF7">
      <w:pPr>
        <w:tabs>
          <w:tab w:val="left" w:pos="-720"/>
        </w:tabs>
        <w:suppressAutoHyphens/>
        <w:spacing w:line="360" w:lineRule="auto"/>
        <w:ind w:firstLine="1440"/>
      </w:pPr>
    </w:p>
    <w:p w:rsidR="004A3DB7" w:rsidRDefault="00D44FF7" w:rsidP="00D44FF7">
      <w:pPr>
        <w:widowControl w:val="0"/>
        <w:adjustRightInd w:val="0"/>
        <w:spacing w:line="360" w:lineRule="auto"/>
        <w:ind w:firstLine="1440"/>
      </w:pPr>
      <w:r w:rsidRPr="007228C9">
        <w:t>In its Preliminary Objections, Respond</w:t>
      </w:r>
      <w:r w:rsidR="007228C9">
        <w:t xml:space="preserve"> </w:t>
      </w:r>
      <w:r w:rsidR="004A3DB7">
        <w:t xml:space="preserve">argued that Mr. Gonzalez’s Complaint must be dismissed because it does not state a </w:t>
      </w:r>
      <w:proofErr w:type="gramStart"/>
      <w:r w:rsidR="004A3DB7">
        <w:t>claim</w:t>
      </w:r>
      <w:proofErr w:type="gramEnd"/>
      <w:r w:rsidR="004A3DB7">
        <w:t xml:space="preserve"> for which relief can be granted</w:t>
      </w:r>
      <w:r w:rsidR="00816880">
        <w:t>, is legally insufficient</w:t>
      </w:r>
      <w:r w:rsidR="004A3DB7">
        <w:t xml:space="preserve"> and lacks sufficient specificity.  When </w:t>
      </w:r>
      <w:r w:rsidR="004A3DB7" w:rsidRPr="007228C9">
        <w:t>accept</w:t>
      </w:r>
      <w:r w:rsidR="004A3DB7">
        <w:t>ing</w:t>
      </w:r>
      <w:r w:rsidR="004A3DB7" w:rsidRPr="007228C9">
        <w:t xml:space="preserve"> as true all well pleaded, material facts of the nonmoving party, as well as every reasonable inference from those facts</w:t>
      </w:r>
      <w:r w:rsidR="004A3DB7">
        <w:t xml:space="preserve">, and </w:t>
      </w:r>
      <w:r w:rsidR="004A3DB7" w:rsidRPr="007228C9">
        <w:t>view</w:t>
      </w:r>
      <w:r w:rsidR="004A3DB7">
        <w:t>ing</w:t>
      </w:r>
      <w:r w:rsidR="004A3DB7" w:rsidRPr="007228C9">
        <w:t xml:space="preserve"> the Complaint in this case in the light most favorable to </w:t>
      </w:r>
      <w:r w:rsidR="004A3DB7">
        <w:t xml:space="preserve">Mr. Gonzalez, it does not appear that Mr. Gonzalez </w:t>
      </w:r>
      <w:r w:rsidR="004A3DB7" w:rsidRPr="007228C9">
        <w:t>would not be entitled to relief under any circumstances as a matter of law</w:t>
      </w:r>
      <w:r w:rsidR="004A3DB7">
        <w:t>.  As a result, Respond’s Preliminary Objections will be dismissed.</w:t>
      </w:r>
    </w:p>
    <w:p w:rsidR="004A3DB7" w:rsidRDefault="004A3DB7" w:rsidP="00D44FF7">
      <w:pPr>
        <w:widowControl w:val="0"/>
        <w:adjustRightInd w:val="0"/>
        <w:spacing w:line="360" w:lineRule="auto"/>
        <w:ind w:firstLine="1440"/>
      </w:pPr>
    </w:p>
    <w:p w:rsidR="003F06E9" w:rsidRDefault="003F06E9" w:rsidP="00D44FF7">
      <w:pPr>
        <w:widowControl w:val="0"/>
        <w:adjustRightInd w:val="0"/>
        <w:spacing w:line="360" w:lineRule="auto"/>
        <w:ind w:firstLine="1440"/>
      </w:pPr>
      <w:r>
        <w:t xml:space="preserve">Mr. Gonzalez indicated on his formal Complaint that there are incorrect charges on his bill and that he would like </w:t>
      </w:r>
      <w:proofErr w:type="gramStart"/>
      <w:r>
        <w:t>Respond</w:t>
      </w:r>
      <w:proofErr w:type="gramEnd"/>
      <w:r>
        <w:t xml:space="preserve"> to stop charging three times the amount per kwh.  These averments are sufficient to deny Respond’s Preliminary Objections based on reasonable inferences </w:t>
      </w:r>
      <w:r w:rsidR="00A97FF2">
        <w:t xml:space="preserve">that can be drawn </w:t>
      </w:r>
      <w:r>
        <w:t xml:space="preserve">from those averments.  Although Mr. Gonzalez did not provide significant detail in his </w:t>
      </w:r>
      <w:proofErr w:type="gramStart"/>
      <w:r>
        <w:t xml:space="preserve">Complaint, </w:t>
      </w:r>
      <w:r w:rsidR="00A97FF2">
        <w:t>that</w:t>
      </w:r>
      <w:proofErr w:type="gramEnd"/>
      <w:r w:rsidR="00A97FF2">
        <w:t xml:space="preserve"> does not mean the Complaint should be dismissed on a preliminary basis in part because </w:t>
      </w:r>
      <w:r>
        <w:t>any doubts surrounding the averments made in the Complaint must be resolved in Mr. Gonzalez’s favor when disposing of Respond’s Preliminary Objection.</w:t>
      </w:r>
    </w:p>
    <w:p w:rsidR="003F06E9" w:rsidRDefault="003F06E9" w:rsidP="00D44FF7">
      <w:pPr>
        <w:widowControl w:val="0"/>
        <w:adjustRightInd w:val="0"/>
        <w:spacing w:line="360" w:lineRule="auto"/>
        <w:ind w:firstLine="1440"/>
      </w:pPr>
    </w:p>
    <w:p w:rsidR="00E32F69" w:rsidRDefault="003F06E9" w:rsidP="00D44FF7">
      <w:pPr>
        <w:widowControl w:val="0"/>
        <w:adjustRightInd w:val="0"/>
        <w:spacing w:line="360" w:lineRule="auto"/>
        <w:ind w:firstLine="1440"/>
      </w:pPr>
      <w:r>
        <w:t xml:space="preserve">As a result, </w:t>
      </w:r>
      <w:r w:rsidR="004A3DB7">
        <w:t xml:space="preserve">Respond’s </w:t>
      </w:r>
      <w:r w:rsidR="00816880">
        <w:t xml:space="preserve">Preliminary Objections </w:t>
      </w:r>
      <w:r w:rsidR="004A3DB7">
        <w:t xml:space="preserve">will be rejected because </w:t>
      </w:r>
      <w:r w:rsidR="00816880">
        <w:t xml:space="preserve">a reasonable inference from the averment in </w:t>
      </w:r>
      <w:r w:rsidR="00EB5149">
        <w:t>the</w:t>
      </w:r>
      <w:r w:rsidR="00816880">
        <w:t xml:space="preserve"> Complaint that </w:t>
      </w:r>
      <w:r w:rsidR="00EB5149">
        <w:t xml:space="preserve">Mr. Gonzalez </w:t>
      </w:r>
      <w:r w:rsidR="00816880">
        <w:t xml:space="preserve">would like Respond to “stop charging 3x the amount per kwh” is that </w:t>
      </w:r>
      <w:r w:rsidR="00EB5149">
        <w:t xml:space="preserve">Mr. Gonzalez </w:t>
      </w:r>
      <w:r w:rsidR="00816880">
        <w:t xml:space="preserve">was unaware that he would be charged </w:t>
      </w:r>
      <w:r w:rsidR="00EB5149">
        <w:t>the price he was charged</w:t>
      </w:r>
      <w:r>
        <w:t xml:space="preserve">.  It is reasonable to believe for purposes of disposing of Respond’s Preliminary Objection that Mr. Gonzalez was led to believe he would receive a different rate at the time he agreed to take service with </w:t>
      </w:r>
      <w:r>
        <w:lastRenderedPageBreak/>
        <w:t xml:space="preserve">Respond.  </w:t>
      </w:r>
      <w:r w:rsidR="00F77924">
        <w:t xml:space="preserve">Mr. Gonzalez’s averment in his Complaint that there are incorrect charges on his bill may give rise to violations of </w:t>
      </w:r>
      <w:r w:rsidR="00816880">
        <w:t>a Commission regulation</w:t>
      </w:r>
      <w:r w:rsidR="00F77924">
        <w:t xml:space="preserve"> </w:t>
      </w:r>
      <w:r w:rsidR="00A97FF2">
        <w:t xml:space="preserve">if brought to a hearing, </w:t>
      </w:r>
      <w:r w:rsidR="00F77924">
        <w:t>including</w:t>
      </w:r>
      <w:r w:rsidR="00816880">
        <w:t xml:space="preserve">, for example, </w:t>
      </w:r>
      <w:r w:rsidR="00F77924">
        <w:t xml:space="preserve">Commission regulations that prohibit </w:t>
      </w:r>
      <w:r w:rsidR="00816880">
        <w:t xml:space="preserve">an </w:t>
      </w:r>
      <w:r w:rsidR="00E32F69">
        <w:t>electric generation supplier (</w:t>
      </w:r>
      <w:r w:rsidR="00816880">
        <w:t>EGS</w:t>
      </w:r>
      <w:r w:rsidR="00E32F69">
        <w:t>), such as Respond,</w:t>
      </w:r>
      <w:r w:rsidR="00816880">
        <w:t xml:space="preserve"> </w:t>
      </w:r>
      <w:r w:rsidR="00A97FF2">
        <w:t xml:space="preserve">from engaging </w:t>
      </w:r>
      <w:r w:rsidR="00816880">
        <w:t xml:space="preserve">in deceptive or misleading conduct and/or violating the Commission’s telemarketing regulations.  </w:t>
      </w:r>
      <w:r w:rsidR="00816880" w:rsidRPr="00816880">
        <w:rPr>
          <w:i/>
        </w:rPr>
        <w:t>See</w:t>
      </w:r>
      <w:r w:rsidR="00816880">
        <w:t xml:space="preserve">, 52 </w:t>
      </w:r>
      <w:proofErr w:type="spellStart"/>
      <w:r w:rsidR="00816880">
        <w:t>Pa.Code</w:t>
      </w:r>
      <w:proofErr w:type="spellEnd"/>
      <w:r w:rsidR="00816880">
        <w:t xml:space="preserve"> §§ 54.43(f), 111.10, 111.12(d</w:t>
      </w:r>
      <w:proofErr w:type="gramStart"/>
      <w:r w:rsidR="00816880">
        <w:t>)(</w:t>
      </w:r>
      <w:proofErr w:type="gramEnd"/>
      <w:r w:rsidR="00816880">
        <w:t xml:space="preserve">1).  It is reasonable </w:t>
      </w:r>
      <w:r w:rsidR="00E32F69">
        <w:t xml:space="preserve">also </w:t>
      </w:r>
      <w:r w:rsidR="00816880">
        <w:t xml:space="preserve">to infer </w:t>
      </w:r>
      <w:r w:rsidR="00E32F69">
        <w:t xml:space="preserve">from </w:t>
      </w:r>
      <w:r w:rsidR="00816880">
        <w:t xml:space="preserve">the averments in Mr. Gonzalez’s Complaint that he was not aware that his rate could increase to </w:t>
      </w:r>
      <w:r w:rsidR="00EB5149">
        <w:t xml:space="preserve">the </w:t>
      </w:r>
      <w:r w:rsidR="00816880">
        <w:t xml:space="preserve">level </w:t>
      </w:r>
      <w:r w:rsidR="00EB5149">
        <w:t xml:space="preserve">it did </w:t>
      </w:r>
      <w:r w:rsidR="00816880">
        <w:t xml:space="preserve">and that Respond, or its agent, in some way </w:t>
      </w:r>
      <w:r w:rsidR="00A97FF2">
        <w:t xml:space="preserve">may have </w:t>
      </w:r>
      <w:r w:rsidR="00816880">
        <w:t xml:space="preserve">deceived or </w:t>
      </w:r>
      <w:proofErr w:type="gramStart"/>
      <w:r w:rsidR="00816880">
        <w:t>mislead</w:t>
      </w:r>
      <w:proofErr w:type="gramEnd"/>
      <w:r w:rsidR="00816880">
        <w:t xml:space="preserve"> him when he enrolled in the service.  This averment may also raise issues with regard to Respond’s Disclosure Statement that was provided to Mr. Gonzalez at the time he enrolled.  The Commission has jurisdiction</w:t>
      </w:r>
      <w:r w:rsidR="00EB5149">
        <w:t xml:space="preserve"> </w:t>
      </w:r>
      <w:r w:rsidR="00816880">
        <w:t>to regulate certain aspects of EGS activity, including</w:t>
      </w:r>
      <w:r w:rsidR="00EB5149">
        <w:t xml:space="preserve">, for example, </w:t>
      </w:r>
      <w:r w:rsidR="00816880">
        <w:t xml:space="preserve">whether the price billed by an EGS reflects the Disclosure Statement.  </w:t>
      </w:r>
    </w:p>
    <w:p w:rsidR="00E32F69" w:rsidRDefault="00E32F69" w:rsidP="00D44FF7">
      <w:pPr>
        <w:widowControl w:val="0"/>
        <w:adjustRightInd w:val="0"/>
        <w:spacing w:line="360" w:lineRule="auto"/>
        <w:ind w:firstLine="1440"/>
      </w:pPr>
    </w:p>
    <w:p w:rsidR="0008210E" w:rsidRDefault="00E32F69" w:rsidP="00E32F69">
      <w:pPr>
        <w:widowControl w:val="0"/>
        <w:adjustRightInd w:val="0"/>
        <w:spacing w:line="360" w:lineRule="auto"/>
        <w:ind w:firstLine="1440"/>
      </w:pPr>
      <w:r>
        <w:t xml:space="preserve">Reasonable inferences from Mr. Gonzalez’s averment that there are incorrect charges on his bill warrant denying Respond’s Preliminary Objections.  </w:t>
      </w:r>
      <w:r w:rsidR="00816880" w:rsidRPr="00816880">
        <w:t>Mr</w:t>
      </w:r>
      <w:r w:rsidR="00816880">
        <w:t xml:space="preserve">. Gonzalez should be given the opportunity </w:t>
      </w:r>
      <w:r w:rsidR="00666054">
        <w:t xml:space="preserve">to orally describe his Complaint at a hearing and not have his Complaint dismissed on </w:t>
      </w:r>
      <w:r>
        <w:t xml:space="preserve">the basis of a preliminary </w:t>
      </w:r>
      <w:r w:rsidR="00666054">
        <w:t xml:space="preserve">Motion.  </w:t>
      </w:r>
      <w:r w:rsidR="00816880">
        <w:t xml:space="preserve">At this preliminary stage of the proceeding, </w:t>
      </w:r>
      <w:r w:rsidR="00666054">
        <w:t xml:space="preserve">it is not clear and free from doubt </w:t>
      </w:r>
      <w:r w:rsidR="00666054" w:rsidRPr="007228C9">
        <w:t xml:space="preserve">that </w:t>
      </w:r>
      <w:r w:rsidR="00666054">
        <w:t xml:space="preserve">Mr. Gonzalez </w:t>
      </w:r>
      <w:r w:rsidR="00666054" w:rsidRPr="007228C9">
        <w:t>would not be entitled to relief under any circumstances as a matter of law</w:t>
      </w:r>
      <w:r w:rsidR="0008210E" w:rsidRPr="0008210E">
        <w:t xml:space="preserve"> </w:t>
      </w:r>
      <w:r w:rsidR="0008210E">
        <w:t xml:space="preserve">or that </w:t>
      </w:r>
      <w:r w:rsidR="0008210E" w:rsidRPr="00E3227F">
        <w:t>dismissal is clearly warranted by the record</w:t>
      </w:r>
      <w:r w:rsidR="00666054">
        <w:t xml:space="preserve">.  </w:t>
      </w:r>
      <w:r w:rsidR="00CA2D56">
        <w:t xml:space="preserve">Mr. Gonzalez has not argued that the Commission should limit the prices Respond charges or direct the issuance of a refund, as Respond argued in its Preliminary Objection.  </w:t>
      </w:r>
      <w:r>
        <w:t xml:space="preserve">Furthermore, Respond is not correct when stating that Mr. Gonzalez’s Complaint must be dismissed because he did not allege that the increase in variable rates violated the terms of his contract with Respond.  This view is too narrow when </w:t>
      </w:r>
      <w:r w:rsidR="00A97FF2">
        <w:t xml:space="preserve">addressing Respond’s </w:t>
      </w:r>
      <w:r>
        <w:t xml:space="preserve">Preliminary Objections.  </w:t>
      </w:r>
      <w:r w:rsidR="00CA2D56">
        <w:t xml:space="preserve">As such, Respond’s Preliminary Objection that </w:t>
      </w:r>
      <w:r w:rsidR="0008210E">
        <w:t xml:space="preserve">Mr. Gonzalez’s Complaint should be dismissed because </w:t>
      </w:r>
      <w:r>
        <w:t xml:space="preserve">the Commission lacks jurisdiction or it is legally insufficient </w:t>
      </w:r>
      <w:r w:rsidR="0008210E">
        <w:t>will be rejected.</w:t>
      </w:r>
    </w:p>
    <w:p w:rsidR="0008210E" w:rsidRDefault="0008210E" w:rsidP="00D44FF7">
      <w:pPr>
        <w:widowControl w:val="0"/>
        <w:adjustRightInd w:val="0"/>
        <w:spacing w:line="360" w:lineRule="auto"/>
        <w:ind w:firstLine="1440"/>
      </w:pPr>
    </w:p>
    <w:p w:rsidR="00192A66" w:rsidRDefault="0008210E" w:rsidP="00192A66">
      <w:pPr>
        <w:widowControl w:val="0"/>
        <w:adjustRightInd w:val="0"/>
        <w:spacing w:line="360" w:lineRule="auto"/>
        <w:ind w:firstLine="1440"/>
      </w:pPr>
      <w:r>
        <w:t xml:space="preserve">With regard to Respond’s Preliminary Objection that Mr. Gonzalez’s Complaint should be dismissed because it is insufficiently plead, </w:t>
      </w:r>
      <w:r w:rsidR="00192A66">
        <w:t xml:space="preserve">a formal complaint must set forth “the act or thing done or omitted to be done” by a public utility “in violation, or </w:t>
      </w:r>
      <w:r w:rsidR="00192A66">
        <w:lastRenderedPageBreak/>
        <w:t xml:space="preserve">claimed violation, of any law which the commission has jurisdiction to administer, or of any regulation or order of the commission.”  </w:t>
      </w:r>
      <w:r w:rsidR="00192A66" w:rsidRPr="00B42392">
        <w:t>66 Pa. C.S. §</w:t>
      </w:r>
      <w:r w:rsidR="00192A66">
        <w:t xml:space="preserve"> </w:t>
      </w:r>
      <w:r w:rsidR="00192A66" w:rsidRPr="00B42392">
        <w:t>701; 52 Pa. Code §</w:t>
      </w:r>
      <w:r w:rsidR="00192A66">
        <w:t xml:space="preserve"> </w:t>
      </w:r>
      <w:r w:rsidR="00192A66" w:rsidRPr="00B42392">
        <w:t>5.22(a</w:t>
      </w:r>
      <w:proofErr w:type="gramStart"/>
      <w:r w:rsidR="00192A66" w:rsidRPr="00B42392">
        <w:t>)(</w:t>
      </w:r>
      <w:proofErr w:type="gramEnd"/>
      <w:r w:rsidR="00192A66" w:rsidRPr="00B42392">
        <w:t>4).</w:t>
      </w:r>
      <w:r w:rsidR="00192A66">
        <w:t xml:space="preserve">  The Commission’s regulations require that a complaint contain a clear statement of the relief sought.</w:t>
      </w:r>
      <w:r w:rsidR="00192A66" w:rsidRPr="00B42392">
        <w:t xml:space="preserve">  52 Pa. Code §</w:t>
      </w:r>
      <w:r w:rsidR="00192A66">
        <w:t xml:space="preserve"> </w:t>
      </w:r>
      <w:r w:rsidR="00192A66" w:rsidRPr="00B42392">
        <w:t>5.22(a</w:t>
      </w:r>
      <w:proofErr w:type="gramStart"/>
      <w:r w:rsidR="00192A66" w:rsidRPr="00B42392">
        <w:t>)(</w:t>
      </w:r>
      <w:proofErr w:type="gramEnd"/>
      <w:r w:rsidR="00192A66" w:rsidRPr="00B42392">
        <w:t>5)</w:t>
      </w:r>
      <w:r w:rsidR="00192A66">
        <w:t xml:space="preserve">.  A complaint should contain information specific enough to allow the respondent to understand the allegations against it, in order to conduct a meaningful investigation of the allegations and to prepare a coherent response or defense.  </w:t>
      </w:r>
      <w:r w:rsidR="00192A66">
        <w:rPr>
          <w:u w:val="single"/>
        </w:rPr>
        <w:t>Angelo Rodriguez v. Philadelphia Gas Works</w:t>
      </w:r>
      <w:r w:rsidR="00192A66">
        <w:t>, Docket No. F-2009-2110772, Initial Decision (Final Order entered Jan. 5, 2010).  The Commission has held with regard to complaints:</w:t>
      </w:r>
    </w:p>
    <w:p w:rsidR="00192A66" w:rsidRDefault="00192A66" w:rsidP="00192A66">
      <w:pPr>
        <w:tabs>
          <w:tab w:val="left" w:pos="-720"/>
        </w:tabs>
        <w:suppressAutoHyphens/>
        <w:ind w:left="1440" w:right="1440"/>
      </w:pPr>
    </w:p>
    <w:p w:rsidR="00192A66" w:rsidRDefault="00192A66" w:rsidP="00192A66">
      <w:pPr>
        <w:tabs>
          <w:tab w:val="left" w:pos="-720"/>
        </w:tabs>
        <w:suppressAutoHyphens/>
        <w:ind w:left="1440" w:right="1440"/>
      </w:pPr>
      <w:r>
        <w:t>The purpose of our rules of practice is to facilitate orderly proceedings to afford the parties notice and an opportunity to participate.  It is well settled that if these purposes have been met, application of the rules will be relaxed.  Hence, a complaint filed with this commission is adequate if it gives the respondent notice and an opportunity to defend; it need not be drawn with technical accuracy.</w:t>
      </w:r>
    </w:p>
    <w:p w:rsidR="00192A66" w:rsidRDefault="00192A66" w:rsidP="00192A66">
      <w:pPr>
        <w:tabs>
          <w:tab w:val="left" w:pos="-720"/>
        </w:tabs>
        <w:suppressAutoHyphens/>
        <w:spacing w:line="360" w:lineRule="auto"/>
        <w:rPr>
          <w:u w:val="single"/>
        </w:rPr>
      </w:pPr>
    </w:p>
    <w:p w:rsidR="00192A66" w:rsidRPr="00661ABA" w:rsidRDefault="00192A66" w:rsidP="00192A66">
      <w:pPr>
        <w:tabs>
          <w:tab w:val="left" w:pos="-720"/>
        </w:tabs>
        <w:suppressAutoHyphens/>
        <w:spacing w:line="360" w:lineRule="auto"/>
      </w:pPr>
      <w:proofErr w:type="gramStart"/>
      <w:r>
        <w:rPr>
          <w:u w:val="single"/>
        </w:rPr>
        <w:t xml:space="preserve">Green Cab Co. v. </w:t>
      </w:r>
      <w:proofErr w:type="spellStart"/>
      <w:r>
        <w:rPr>
          <w:u w:val="single"/>
        </w:rPr>
        <w:t>Hajducho</w:t>
      </w:r>
      <w:proofErr w:type="spellEnd"/>
      <w:r w:rsidR="00A97FF2">
        <w:t>, 50 Pa PUC 745, 746 (1977</w:t>
      </w:r>
      <w:r>
        <w:t>).</w:t>
      </w:r>
      <w:proofErr w:type="gramEnd"/>
    </w:p>
    <w:p w:rsidR="00192A66" w:rsidRPr="00192A66" w:rsidRDefault="00192A66" w:rsidP="00192A66">
      <w:pPr>
        <w:tabs>
          <w:tab w:val="left" w:pos="-720"/>
        </w:tabs>
        <w:suppressAutoHyphens/>
        <w:spacing w:line="360" w:lineRule="auto"/>
      </w:pPr>
    </w:p>
    <w:p w:rsidR="00092274" w:rsidRDefault="00192A66" w:rsidP="00192A66">
      <w:pPr>
        <w:tabs>
          <w:tab w:val="left" w:pos="-720"/>
        </w:tabs>
        <w:suppressAutoHyphens/>
        <w:spacing w:line="360" w:lineRule="auto"/>
      </w:pPr>
      <w:r w:rsidRPr="00192A66">
        <w:tab/>
      </w:r>
      <w:r w:rsidRPr="00192A66">
        <w:tab/>
        <w:t xml:space="preserve">In this case, Mr. Gonzalez </w:t>
      </w:r>
      <w:r>
        <w:t xml:space="preserve">averred in his Complaint </w:t>
      </w:r>
      <w:r w:rsidR="00E32F69">
        <w:t xml:space="preserve">that there are incorrect charges on his bill and </w:t>
      </w:r>
      <w:r>
        <w:t xml:space="preserve">that </w:t>
      </w:r>
      <w:r w:rsidR="00092274">
        <w:t xml:space="preserve">he would like </w:t>
      </w:r>
      <w:proofErr w:type="gramStart"/>
      <w:r w:rsidR="00092274">
        <w:t>Respond</w:t>
      </w:r>
      <w:proofErr w:type="gramEnd"/>
      <w:r w:rsidR="00092274">
        <w:t xml:space="preserve"> to “stop charg</w:t>
      </w:r>
      <w:r w:rsidR="00E32F69">
        <w:t>ing 3x the amount per kwh.”  The</w:t>
      </w:r>
      <w:r w:rsidR="00092274">
        <w:t>s</w:t>
      </w:r>
      <w:r w:rsidR="00E32F69">
        <w:t>e</w:t>
      </w:r>
      <w:r w:rsidR="00092274">
        <w:t xml:space="preserve"> averment</w:t>
      </w:r>
      <w:r w:rsidR="00E32F69">
        <w:t>s</w:t>
      </w:r>
      <w:r w:rsidR="00092274">
        <w:t xml:space="preserve"> </w:t>
      </w:r>
      <w:r w:rsidR="00E32F69">
        <w:t xml:space="preserve">are </w:t>
      </w:r>
      <w:r w:rsidR="00092274">
        <w:t>sufficiently specific to allow Respond the opportunity to understand the allegations against it, in order to conduct a meaningful investigation of the allegations and to prepare a coherent response or defense.  This would include reviewing and investigatin</w:t>
      </w:r>
      <w:r w:rsidR="00E32F69">
        <w:t>g</w:t>
      </w:r>
      <w:r w:rsidR="00092274">
        <w:t xml:space="preserve"> the records for Mr. Gonzalez’s account.  At a minimum, Respond could avail itself of the Commission’s discovery process, among other things, to further inform itself of the averments against it and be able to prepare an adequate defense, even if the Complaint is not drawn with technical accuracy.</w:t>
      </w:r>
    </w:p>
    <w:p w:rsidR="00092274" w:rsidRDefault="00092274" w:rsidP="00192A66">
      <w:pPr>
        <w:tabs>
          <w:tab w:val="left" w:pos="-720"/>
        </w:tabs>
        <w:suppressAutoHyphens/>
        <w:spacing w:line="360" w:lineRule="auto"/>
      </w:pPr>
    </w:p>
    <w:p w:rsidR="00092274" w:rsidRDefault="00092274" w:rsidP="00192A66">
      <w:pPr>
        <w:tabs>
          <w:tab w:val="left" w:pos="-720"/>
        </w:tabs>
        <w:suppressAutoHyphens/>
        <w:spacing w:line="360" w:lineRule="auto"/>
      </w:pPr>
      <w:r>
        <w:tab/>
      </w:r>
      <w:r>
        <w:tab/>
        <w:t>As such, Respond’s Preliminary Objection that Mr. Gonzalez’s Complaint should be dismissed because it is not sufficiently specific will be rejected.  Mr. Gonzalez’s Complaint is sufficiently specific to warrant not being dismissed on the basis of a preliminary motion.</w:t>
      </w:r>
    </w:p>
    <w:p w:rsidR="00192A66" w:rsidRDefault="00192A66" w:rsidP="00192A66">
      <w:pPr>
        <w:tabs>
          <w:tab w:val="left" w:pos="-720"/>
        </w:tabs>
        <w:suppressAutoHyphens/>
        <w:spacing w:line="360" w:lineRule="auto"/>
      </w:pPr>
    </w:p>
    <w:p w:rsidR="00A97FF2" w:rsidRDefault="00A97FF2" w:rsidP="00FA0DC0">
      <w:pPr>
        <w:spacing w:line="360" w:lineRule="auto"/>
        <w:jc w:val="center"/>
        <w:rPr>
          <w:u w:val="single"/>
        </w:rPr>
      </w:pPr>
    </w:p>
    <w:p w:rsidR="00AA5A3B" w:rsidRPr="009011DC" w:rsidRDefault="00FA0DC0" w:rsidP="00FA0DC0">
      <w:pPr>
        <w:spacing w:line="360" w:lineRule="auto"/>
        <w:jc w:val="center"/>
      </w:pPr>
      <w:r w:rsidRPr="009011DC">
        <w:rPr>
          <w:u w:val="single"/>
        </w:rPr>
        <w:t>ORDER</w:t>
      </w:r>
    </w:p>
    <w:p w:rsidR="00FA0DC0" w:rsidRPr="009011DC" w:rsidRDefault="00FA0DC0" w:rsidP="00E93D93">
      <w:pPr>
        <w:spacing w:line="360" w:lineRule="auto"/>
      </w:pPr>
    </w:p>
    <w:p w:rsidR="005E7BB9" w:rsidRPr="009011DC" w:rsidRDefault="005E7BB9" w:rsidP="00E93D93">
      <w:pPr>
        <w:spacing w:line="360" w:lineRule="auto"/>
      </w:pPr>
    </w:p>
    <w:p w:rsidR="006D33B5" w:rsidRPr="009011DC" w:rsidRDefault="006D33B5">
      <w:pPr>
        <w:spacing w:line="360" w:lineRule="auto"/>
        <w:ind w:firstLine="1440"/>
        <w:rPr>
          <w:bCs/>
        </w:rPr>
      </w:pPr>
      <w:r w:rsidRPr="009011DC">
        <w:rPr>
          <w:bCs/>
        </w:rPr>
        <w:t>THEREFORE,</w:t>
      </w:r>
    </w:p>
    <w:p w:rsidR="006D33B5" w:rsidRPr="009011DC" w:rsidRDefault="006D33B5">
      <w:pPr>
        <w:spacing w:line="360" w:lineRule="auto"/>
        <w:ind w:firstLine="1440"/>
      </w:pPr>
    </w:p>
    <w:p w:rsidR="0013770C" w:rsidRPr="009011DC" w:rsidRDefault="006D33B5" w:rsidP="0013770C">
      <w:pPr>
        <w:spacing w:line="360" w:lineRule="auto"/>
        <w:ind w:firstLine="1440"/>
        <w:rPr>
          <w:bCs/>
        </w:rPr>
      </w:pPr>
      <w:r w:rsidRPr="009011DC">
        <w:rPr>
          <w:bCs/>
        </w:rPr>
        <w:t>IT IS ORDERED:</w:t>
      </w:r>
    </w:p>
    <w:p w:rsidR="0013770C" w:rsidRPr="009011DC" w:rsidRDefault="0013770C" w:rsidP="0013770C">
      <w:pPr>
        <w:spacing w:line="360" w:lineRule="auto"/>
        <w:ind w:firstLine="1440"/>
        <w:rPr>
          <w:bCs/>
        </w:rPr>
      </w:pPr>
    </w:p>
    <w:p w:rsidR="009011DC" w:rsidRPr="009011DC" w:rsidRDefault="009011DC" w:rsidP="009011DC">
      <w:pPr>
        <w:numPr>
          <w:ilvl w:val="0"/>
          <w:numId w:val="24"/>
        </w:numPr>
        <w:tabs>
          <w:tab w:val="left" w:pos="-720"/>
        </w:tabs>
        <w:suppressAutoHyphens/>
        <w:autoSpaceDE/>
        <w:autoSpaceDN/>
        <w:spacing w:after="200" w:line="360" w:lineRule="auto"/>
        <w:ind w:left="0" w:firstLine="1440"/>
        <w:rPr>
          <w:spacing w:val="-3"/>
        </w:rPr>
      </w:pPr>
      <w:r>
        <w:rPr>
          <w:spacing w:val="-3"/>
        </w:rPr>
        <w:t>T</w:t>
      </w:r>
      <w:r w:rsidRPr="009011DC">
        <w:rPr>
          <w:spacing w:val="-3"/>
        </w:rPr>
        <w:t>hat the Preliminary Objection</w:t>
      </w:r>
      <w:r w:rsidR="00092274">
        <w:rPr>
          <w:spacing w:val="-3"/>
        </w:rPr>
        <w:t>s</w:t>
      </w:r>
      <w:r w:rsidRPr="009011DC">
        <w:rPr>
          <w:spacing w:val="-3"/>
        </w:rPr>
        <w:t xml:space="preserve"> filed by </w:t>
      </w:r>
      <w:r>
        <w:rPr>
          <w:bCs/>
          <w:color w:val="000000"/>
        </w:rPr>
        <w:t>Respond Power LLC</w:t>
      </w:r>
      <w:r w:rsidRPr="009011DC">
        <w:rPr>
          <w:spacing w:val="-3"/>
        </w:rPr>
        <w:t xml:space="preserve"> at Docket Number </w:t>
      </w:r>
      <w:r>
        <w:rPr>
          <w:spacing w:val="-3"/>
        </w:rPr>
        <w:t>F</w:t>
      </w:r>
      <w:r w:rsidRPr="009011DC">
        <w:rPr>
          <w:spacing w:val="-3"/>
        </w:rPr>
        <w:t>-2014-</w:t>
      </w:r>
      <w:r>
        <w:rPr>
          <w:spacing w:val="-3"/>
        </w:rPr>
        <w:t xml:space="preserve">2439898 </w:t>
      </w:r>
      <w:r w:rsidRPr="009011DC">
        <w:rPr>
          <w:spacing w:val="-3"/>
        </w:rPr>
        <w:t xml:space="preserve">on </w:t>
      </w:r>
      <w:r>
        <w:rPr>
          <w:spacing w:val="-3"/>
        </w:rPr>
        <w:t>September 17</w:t>
      </w:r>
      <w:r w:rsidRPr="009011DC">
        <w:rPr>
          <w:spacing w:val="-3"/>
        </w:rPr>
        <w:t xml:space="preserve">, 2014 </w:t>
      </w:r>
      <w:r w:rsidR="00092274">
        <w:rPr>
          <w:spacing w:val="-3"/>
        </w:rPr>
        <w:t>are</w:t>
      </w:r>
      <w:r w:rsidRPr="009011DC">
        <w:rPr>
          <w:spacing w:val="-3"/>
        </w:rPr>
        <w:t xml:space="preserve"> hereby </w:t>
      </w:r>
      <w:r w:rsidRPr="00092274">
        <w:rPr>
          <w:spacing w:val="-3"/>
        </w:rPr>
        <w:t>denied</w:t>
      </w:r>
      <w:r w:rsidRPr="009011DC">
        <w:rPr>
          <w:spacing w:val="-3"/>
        </w:rPr>
        <w:t>.</w:t>
      </w:r>
    </w:p>
    <w:p w:rsidR="009011DC" w:rsidRPr="009011DC" w:rsidRDefault="009011DC" w:rsidP="009011DC">
      <w:pPr>
        <w:tabs>
          <w:tab w:val="left" w:pos="-720"/>
        </w:tabs>
        <w:suppressAutoHyphens/>
        <w:spacing w:line="360" w:lineRule="auto"/>
        <w:ind w:left="1440"/>
        <w:rPr>
          <w:spacing w:val="-3"/>
        </w:rPr>
      </w:pPr>
    </w:p>
    <w:p w:rsidR="009011DC" w:rsidRPr="009011DC" w:rsidRDefault="009011DC" w:rsidP="009011DC">
      <w:pPr>
        <w:numPr>
          <w:ilvl w:val="0"/>
          <w:numId w:val="24"/>
        </w:numPr>
        <w:tabs>
          <w:tab w:val="left" w:pos="-720"/>
        </w:tabs>
        <w:suppressAutoHyphens/>
        <w:autoSpaceDE/>
        <w:autoSpaceDN/>
        <w:spacing w:after="200" w:line="360" w:lineRule="auto"/>
        <w:ind w:left="0" w:firstLine="1440"/>
        <w:rPr>
          <w:spacing w:val="-3"/>
        </w:rPr>
      </w:pPr>
      <w:r w:rsidRPr="009011DC">
        <w:rPr>
          <w:spacing w:val="-3"/>
        </w:rPr>
        <w:t xml:space="preserve">That the formal Complaint filed by </w:t>
      </w:r>
      <w:r>
        <w:rPr>
          <w:spacing w:val="-3"/>
        </w:rPr>
        <w:t xml:space="preserve">Anthony Gonzalez </w:t>
      </w:r>
      <w:r w:rsidRPr="009011DC">
        <w:rPr>
          <w:spacing w:val="-3"/>
        </w:rPr>
        <w:t xml:space="preserve">at Docket Number </w:t>
      </w:r>
      <w:r>
        <w:rPr>
          <w:spacing w:val="-3"/>
        </w:rPr>
        <w:t xml:space="preserve">F-2014-2439898 </w:t>
      </w:r>
      <w:r w:rsidRPr="009011DC">
        <w:rPr>
          <w:spacing w:val="-3"/>
        </w:rPr>
        <w:t xml:space="preserve">will be heard in an </w:t>
      </w:r>
      <w:r w:rsidRPr="009011DC">
        <w:rPr>
          <w:rFonts w:eastAsiaTheme="minorEastAsia"/>
        </w:rPr>
        <w:t>Initial Hearing before an Administrative Law Judge</w:t>
      </w:r>
      <w:r w:rsidRPr="009011DC">
        <w:rPr>
          <w:spacing w:val="-3"/>
        </w:rPr>
        <w:t>.</w:t>
      </w:r>
    </w:p>
    <w:p w:rsidR="00860410" w:rsidRPr="009011DC" w:rsidRDefault="00860410" w:rsidP="00860410">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AC7AB7">
        <w:rPr>
          <w:u w:val="single"/>
        </w:rPr>
        <w:t xml:space="preserve">November </w:t>
      </w:r>
      <w:r w:rsidR="00A97FF2">
        <w:rPr>
          <w:u w:val="single"/>
        </w:rPr>
        <w:t>19</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444E27" w:rsidRPr="00550B34" w:rsidRDefault="00897507" w:rsidP="00444E27">
      <w:r w:rsidRPr="00550B34">
        <w:tab/>
      </w:r>
      <w:r w:rsidRPr="00550B34">
        <w:tab/>
      </w:r>
      <w:r w:rsidRPr="00550B34">
        <w:tab/>
      </w:r>
      <w:r w:rsidRPr="00550B34">
        <w:tab/>
      </w:r>
      <w:r w:rsidRPr="00550B34">
        <w:tab/>
      </w:r>
      <w:r w:rsidR="0062545F" w:rsidRPr="00550B34">
        <w:t xml:space="preserve">Joel H. Cheskis </w:t>
      </w:r>
    </w:p>
    <w:p w:rsidR="00D06BAC" w:rsidRDefault="00444E27" w:rsidP="00444E27">
      <w:pPr>
        <w:sectPr w:rsidR="00D06BAC"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D06BAC" w:rsidRDefault="00D06BAC" w:rsidP="00D06BAC">
      <w:pPr>
        <w:contextualSpacing/>
        <w:rPr>
          <w:rFonts w:ascii="Microsoft Sans Serif"/>
          <w:b/>
          <w:u w:val="single"/>
        </w:rPr>
      </w:pPr>
      <w:r>
        <w:rPr>
          <w:rFonts w:ascii="Microsoft Sans Serif"/>
          <w:b/>
          <w:u w:val="single"/>
        </w:rPr>
        <w:lastRenderedPageBreak/>
        <w:t>F-2014-2439898 - ANTHONY GONZALEZ v. RESPOND POWER LLC</w:t>
      </w:r>
    </w:p>
    <w:p w:rsidR="00D06BAC" w:rsidRPr="003269B7" w:rsidRDefault="00D06BAC" w:rsidP="00D06BAC">
      <w:pPr>
        <w:contextualSpacing/>
        <w:rPr>
          <w:b/>
          <w:i/>
          <w:u w:val="single"/>
        </w:rPr>
      </w:pPr>
      <w:r>
        <w:rPr>
          <w:rFonts w:ascii="Microsoft Sans Serif"/>
          <w:b/>
          <w:u w:val="single"/>
        </w:rPr>
        <w:cr/>
      </w:r>
      <w:bookmarkStart w:id="0" w:name="_GoBack"/>
      <w:r>
        <w:rPr>
          <w:rFonts w:ascii="Microsoft Sans Serif"/>
        </w:rPr>
        <w:t>ANTHONY GONZALEZ</w:t>
      </w:r>
      <w:r>
        <w:rPr>
          <w:rFonts w:ascii="Microsoft Sans Serif"/>
        </w:rPr>
        <w:cr/>
        <w:t>5 NORTH 18TH STREET</w:t>
      </w:r>
      <w:r>
        <w:rPr>
          <w:rFonts w:ascii="Microsoft Sans Serif"/>
        </w:rPr>
        <w:cr/>
        <w:t>ALLENTOWN PA  18104</w:t>
      </w:r>
      <w:r>
        <w:rPr>
          <w:rFonts w:ascii="Microsoft Sans Serif"/>
        </w:rPr>
        <w:cr/>
      </w:r>
      <w:bookmarkEnd w:id="0"/>
      <w:r>
        <w:rPr>
          <w:rFonts w:ascii="Microsoft Sans Serif"/>
        </w:rPr>
        <w:t>484.358.7016</w:t>
      </w:r>
      <w:r>
        <w:rPr>
          <w:rFonts w:ascii="Microsoft Sans Serif"/>
        </w:rPr>
        <w:cr/>
      </w:r>
      <w:r>
        <w:rPr>
          <w:rFonts w:ascii="Microsoft Sans Serif"/>
        </w:rPr>
        <w:cr/>
        <w:t>KAREN MOURY ESQUIRE</w:t>
      </w:r>
      <w:r>
        <w:rPr>
          <w:rFonts w:ascii="Microsoft Sans Serif"/>
        </w:rPr>
        <w:cr/>
        <w:t>BUCHANAN INGERSOLL &amp; ROONEY PC</w:t>
      </w:r>
      <w:r>
        <w:rPr>
          <w:rFonts w:ascii="Microsoft Sans Serif"/>
        </w:rPr>
        <w:cr/>
        <w:t xml:space="preserve">409 NORTH SECOND </w:t>
      </w:r>
      <w:proofErr w:type="gramStart"/>
      <w:r>
        <w:rPr>
          <w:rFonts w:ascii="Microsoft Sans Serif"/>
        </w:rPr>
        <w:t>STREET</w:t>
      </w:r>
      <w:proofErr w:type="gramEnd"/>
      <w:r>
        <w:rPr>
          <w:rFonts w:ascii="Microsoft Sans Serif"/>
        </w:rPr>
        <w:cr/>
        <w:t>SUITE 500</w:t>
      </w:r>
      <w:r>
        <w:rPr>
          <w:rFonts w:ascii="Microsoft Sans Serif"/>
        </w:rPr>
        <w:cr/>
        <w:t>HARRISBURG PA  17101</w:t>
      </w:r>
      <w:r>
        <w:rPr>
          <w:rFonts w:ascii="Microsoft Sans Serif"/>
        </w:rPr>
        <w:cr/>
        <w:t>717.237.4820</w:t>
      </w:r>
      <w:r>
        <w:rPr>
          <w:rFonts w:ascii="Microsoft Sans Serif"/>
        </w:rPr>
        <w:cr/>
      </w:r>
      <w:r>
        <w:rPr>
          <w:rFonts w:ascii="Microsoft Sans Serif"/>
          <w:b/>
          <w:i/>
          <w:u w:val="single"/>
        </w:rPr>
        <w:t>-ACCEPTS ELECTRONIC SERVICE-</w:t>
      </w:r>
    </w:p>
    <w:p w:rsidR="00D06BAC" w:rsidRDefault="00D06BAC" w:rsidP="00D06BAC">
      <w:pPr>
        <w:contextualSpacing/>
      </w:pPr>
    </w:p>
    <w:p w:rsidR="00444E27" w:rsidRPr="00550B34" w:rsidRDefault="00444E27" w:rsidP="00444E27"/>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D2" w:rsidRDefault="00FD51D2">
      <w:r>
        <w:separator/>
      </w:r>
    </w:p>
  </w:endnote>
  <w:endnote w:type="continuationSeparator" w:id="0">
    <w:p w:rsidR="00FD51D2" w:rsidRDefault="00FD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06BAC">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AC" w:rsidRPr="003C02CC" w:rsidRDefault="00D06BAC">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D2" w:rsidRDefault="00FD51D2">
      <w:r>
        <w:separator/>
      </w:r>
    </w:p>
  </w:footnote>
  <w:footnote w:type="continuationSeparator" w:id="0">
    <w:p w:rsidR="00FD51D2" w:rsidRDefault="00FD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8"/>
  </w:num>
  <w:num w:numId="5">
    <w:abstractNumId w:val="4"/>
  </w:num>
  <w:num w:numId="6">
    <w:abstractNumId w:val="23"/>
  </w:num>
  <w:num w:numId="7">
    <w:abstractNumId w:val="1"/>
  </w:num>
  <w:num w:numId="8">
    <w:abstractNumId w:val="13"/>
  </w:num>
  <w:num w:numId="9">
    <w:abstractNumId w:val="8"/>
  </w:num>
  <w:num w:numId="10">
    <w:abstractNumId w:val="22"/>
  </w:num>
  <w:num w:numId="11">
    <w:abstractNumId w:val="16"/>
  </w:num>
  <w:num w:numId="12">
    <w:abstractNumId w:val="6"/>
  </w:num>
  <w:num w:numId="13">
    <w:abstractNumId w:val="15"/>
  </w:num>
  <w:num w:numId="14">
    <w:abstractNumId w:val="0"/>
  </w:num>
  <w:num w:numId="15">
    <w:abstractNumId w:val="17"/>
  </w:num>
  <w:num w:numId="16">
    <w:abstractNumId w:val="11"/>
  </w:num>
  <w:num w:numId="17">
    <w:abstractNumId w:val="12"/>
  </w:num>
  <w:num w:numId="18">
    <w:abstractNumId w:val="5"/>
  </w:num>
  <w:num w:numId="19">
    <w:abstractNumId w:val="14"/>
  </w:num>
  <w:num w:numId="20">
    <w:abstractNumId w:val="3"/>
  </w:num>
  <w:num w:numId="21">
    <w:abstractNumId w:val="20"/>
  </w:num>
  <w:num w:numId="22">
    <w:abstractNumId w:val="7"/>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29B2"/>
    <w:rsid w:val="00063F87"/>
    <w:rsid w:val="00073240"/>
    <w:rsid w:val="00080E54"/>
    <w:rsid w:val="00081A6A"/>
    <w:rsid w:val="0008210E"/>
    <w:rsid w:val="000851FC"/>
    <w:rsid w:val="000878EC"/>
    <w:rsid w:val="00092274"/>
    <w:rsid w:val="000A1610"/>
    <w:rsid w:val="000A248E"/>
    <w:rsid w:val="000A74A8"/>
    <w:rsid w:val="000B27E2"/>
    <w:rsid w:val="000B2BD1"/>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5A9D"/>
    <w:rsid w:val="00187495"/>
    <w:rsid w:val="00187940"/>
    <w:rsid w:val="001900E6"/>
    <w:rsid w:val="00190843"/>
    <w:rsid w:val="00192A66"/>
    <w:rsid w:val="00193F4C"/>
    <w:rsid w:val="0019509B"/>
    <w:rsid w:val="00197B84"/>
    <w:rsid w:val="001A1495"/>
    <w:rsid w:val="001A397D"/>
    <w:rsid w:val="001A62B0"/>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3008A"/>
    <w:rsid w:val="00240576"/>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4E1"/>
    <w:rsid w:val="00476814"/>
    <w:rsid w:val="0048022D"/>
    <w:rsid w:val="00480D1C"/>
    <w:rsid w:val="00484CA9"/>
    <w:rsid w:val="00485942"/>
    <w:rsid w:val="00486F2F"/>
    <w:rsid w:val="00487C67"/>
    <w:rsid w:val="0049010E"/>
    <w:rsid w:val="004907E0"/>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17"/>
    <w:rsid w:val="005A36C7"/>
    <w:rsid w:val="005A3B57"/>
    <w:rsid w:val="005A6A5B"/>
    <w:rsid w:val="005B063C"/>
    <w:rsid w:val="005B49D8"/>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BFC"/>
    <w:rsid w:val="00726EC8"/>
    <w:rsid w:val="00735291"/>
    <w:rsid w:val="0074212A"/>
    <w:rsid w:val="00746EC7"/>
    <w:rsid w:val="00752614"/>
    <w:rsid w:val="0075751F"/>
    <w:rsid w:val="00757D11"/>
    <w:rsid w:val="00761AAA"/>
    <w:rsid w:val="00763DA0"/>
    <w:rsid w:val="007653FA"/>
    <w:rsid w:val="00771158"/>
    <w:rsid w:val="00771201"/>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6880"/>
    <w:rsid w:val="00817C41"/>
    <w:rsid w:val="0082084D"/>
    <w:rsid w:val="00820EA8"/>
    <w:rsid w:val="008253A9"/>
    <w:rsid w:val="00830CF6"/>
    <w:rsid w:val="0083648A"/>
    <w:rsid w:val="008413F8"/>
    <w:rsid w:val="00842C17"/>
    <w:rsid w:val="008438CF"/>
    <w:rsid w:val="00843D58"/>
    <w:rsid w:val="00845486"/>
    <w:rsid w:val="008454B9"/>
    <w:rsid w:val="00845A5B"/>
    <w:rsid w:val="0084613F"/>
    <w:rsid w:val="00852A8C"/>
    <w:rsid w:val="008540FD"/>
    <w:rsid w:val="00854EC8"/>
    <w:rsid w:val="00860410"/>
    <w:rsid w:val="00861C19"/>
    <w:rsid w:val="00862B88"/>
    <w:rsid w:val="0086399C"/>
    <w:rsid w:val="008652EF"/>
    <w:rsid w:val="008733C7"/>
    <w:rsid w:val="00874F41"/>
    <w:rsid w:val="008773BF"/>
    <w:rsid w:val="0088262B"/>
    <w:rsid w:val="00883E39"/>
    <w:rsid w:val="00884C0B"/>
    <w:rsid w:val="00886427"/>
    <w:rsid w:val="008921ED"/>
    <w:rsid w:val="00894A7C"/>
    <w:rsid w:val="008954A1"/>
    <w:rsid w:val="00897507"/>
    <w:rsid w:val="008A048B"/>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E93"/>
    <w:rsid w:val="0091132C"/>
    <w:rsid w:val="00922597"/>
    <w:rsid w:val="009242C7"/>
    <w:rsid w:val="00926832"/>
    <w:rsid w:val="00933A0A"/>
    <w:rsid w:val="00935A17"/>
    <w:rsid w:val="00940C6A"/>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7814"/>
    <w:rsid w:val="00A21C65"/>
    <w:rsid w:val="00A24EEC"/>
    <w:rsid w:val="00A30723"/>
    <w:rsid w:val="00A319FB"/>
    <w:rsid w:val="00A33DC1"/>
    <w:rsid w:val="00A4123B"/>
    <w:rsid w:val="00A414F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2373"/>
    <w:rsid w:val="00A93FB7"/>
    <w:rsid w:val="00A97FF2"/>
    <w:rsid w:val="00AA23BA"/>
    <w:rsid w:val="00AA3B44"/>
    <w:rsid w:val="00AA3DE8"/>
    <w:rsid w:val="00AA5A3B"/>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E0854"/>
    <w:rsid w:val="00BE1ED2"/>
    <w:rsid w:val="00BE2FE3"/>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5DCE"/>
    <w:rsid w:val="00C773A3"/>
    <w:rsid w:val="00C77DA0"/>
    <w:rsid w:val="00C843D7"/>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04FB2"/>
    <w:rsid w:val="00D06BAC"/>
    <w:rsid w:val="00D10467"/>
    <w:rsid w:val="00D10652"/>
    <w:rsid w:val="00D12806"/>
    <w:rsid w:val="00D13DB2"/>
    <w:rsid w:val="00D209B6"/>
    <w:rsid w:val="00D22294"/>
    <w:rsid w:val="00D22442"/>
    <w:rsid w:val="00D2255F"/>
    <w:rsid w:val="00D22EBC"/>
    <w:rsid w:val="00D23214"/>
    <w:rsid w:val="00D24374"/>
    <w:rsid w:val="00D24620"/>
    <w:rsid w:val="00D3123C"/>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32F69"/>
    <w:rsid w:val="00E445D8"/>
    <w:rsid w:val="00E46ACA"/>
    <w:rsid w:val="00E47B07"/>
    <w:rsid w:val="00E50FFA"/>
    <w:rsid w:val="00E526F5"/>
    <w:rsid w:val="00E53FAB"/>
    <w:rsid w:val="00E5528B"/>
    <w:rsid w:val="00E5593B"/>
    <w:rsid w:val="00E63742"/>
    <w:rsid w:val="00E63F24"/>
    <w:rsid w:val="00E70A61"/>
    <w:rsid w:val="00E77251"/>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149"/>
    <w:rsid w:val="00EB5B7B"/>
    <w:rsid w:val="00EC1909"/>
    <w:rsid w:val="00EC1DDA"/>
    <w:rsid w:val="00EC2835"/>
    <w:rsid w:val="00EC2C15"/>
    <w:rsid w:val="00EC41FA"/>
    <w:rsid w:val="00EC4455"/>
    <w:rsid w:val="00EC77BB"/>
    <w:rsid w:val="00EC7E13"/>
    <w:rsid w:val="00ED1828"/>
    <w:rsid w:val="00ED4EEA"/>
    <w:rsid w:val="00EE16DD"/>
    <w:rsid w:val="00EE7BAA"/>
    <w:rsid w:val="00EF1081"/>
    <w:rsid w:val="00EF1723"/>
    <w:rsid w:val="00EF26AE"/>
    <w:rsid w:val="00F00D62"/>
    <w:rsid w:val="00F01005"/>
    <w:rsid w:val="00F0305C"/>
    <w:rsid w:val="00F03989"/>
    <w:rsid w:val="00F12B16"/>
    <w:rsid w:val="00F139D5"/>
    <w:rsid w:val="00F13DFB"/>
    <w:rsid w:val="00F1692D"/>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9081A"/>
    <w:rsid w:val="00F90A9D"/>
    <w:rsid w:val="00F91D36"/>
    <w:rsid w:val="00FA0DC0"/>
    <w:rsid w:val="00FA0E84"/>
    <w:rsid w:val="00FA5B52"/>
    <w:rsid w:val="00FA66AD"/>
    <w:rsid w:val="00FA73C3"/>
    <w:rsid w:val="00FA7A69"/>
    <w:rsid w:val="00FA7F14"/>
    <w:rsid w:val="00FB4D87"/>
    <w:rsid w:val="00FC4FC1"/>
    <w:rsid w:val="00FD1E5D"/>
    <w:rsid w:val="00FD221C"/>
    <w:rsid w:val="00FD25D2"/>
    <w:rsid w:val="00FD342D"/>
    <w:rsid w:val="00FD417F"/>
    <w:rsid w:val="00FD4C02"/>
    <w:rsid w:val="00FD51D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C9D4-B275-4C81-87D5-5A10711F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2014-11-19T13:30:00Z</cp:lastPrinted>
  <dcterms:created xsi:type="dcterms:W3CDTF">2014-11-19T13:28:00Z</dcterms:created>
  <dcterms:modified xsi:type="dcterms:W3CDTF">2014-11-19T13:35:00Z</dcterms:modified>
</cp:coreProperties>
</file>