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3924FE" w:rsidRDefault="000F1894" w:rsidP="000F1894">
      <w:pPr>
        <w:jc w:val="center"/>
        <w:rPr>
          <w:sz w:val="24"/>
          <w:szCs w:val="24"/>
        </w:rPr>
      </w:pPr>
    </w:p>
    <w:p w:rsidR="00CE43B4" w:rsidRPr="00354E6F" w:rsidRDefault="003924FE" w:rsidP="00CE43B4">
      <w:pPr>
        <w:tabs>
          <w:tab w:val="left" w:pos="-720"/>
        </w:tabs>
        <w:suppressAutoHyphens/>
        <w:rPr>
          <w:spacing w:val="-3"/>
          <w:sz w:val="24"/>
          <w:szCs w:val="24"/>
        </w:rPr>
      </w:pPr>
      <w:r w:rsidRPr="003924FE">
        <w:rPr>
          <w:bCs/>
          <w:spacing w:val="-3"/>
          <w:sz w:val="24"/>
          <w:szCs w:val="24"/>
        </w:rPr>
        <w:t>Robert A. Boudreau</w:t>
      </w:r>
      <w:r w:rsidR="00A470ED">
        <w:rPr>
          <w:b/>
          <w:bCs/>
          <w:spacing w:val="-3"/>
          <w:sz w:val="24"/>
          <w:szCs w:val="24"/>
        </w:rPr>
        <w:tab/>
      </w:r>
      <w:r w:rsidR="00354E6F">
        <w:rPr>
          <w:bCs/>
          <w:spacing w:val="-3"/>
          <w:sz w:val="24"/>
          <w:szCs w:val="24"/>
        </w:rPr>
        <w:tab/>
      </w:r>
      <w:r w:rsidR="00354E6F">
        <w:rPr>
          <w:bCs/>
          <w:spacing w:val="-3"/>
          <w:sz w:val="24"/>
          <w:szCs w:val="24"/>
        </w:rPr>
        <w:tab/>
      </w:r>
      <w:r w:rsidR="006B31BE">
        <w:rPr>
          <w:bCs/>
          <w:spacing w:val="-3"/>
          <w:sz w:val="24"/>
          <w:szCs w:val="24"/>
        </w:rPr>
        <w:tab/>
      </w:r>
      <w:r w:rsidR="006B31BE">
        <w:rPr>
          <w:bCs/>
          <w:spacing w:val="-3"/>
          <w:sz w:val="24"/>
          <w:szCs w:val="24"/>
        </w:rPr>
        <w:tab/>
      </w:r>
      <w:r w:rsidR="00354E6F">
        <w:rPr>
          <w:bCs/>
          <w:spacing w:val="-3"/>
          <w:sz w:val="24"/>
          <w:szCs w:val="24"/>
        </w:rPr>
        <w:t xml:space="preserve">: </w:t>
      </w:r>
      <w:r w:rsidR="005E3007" w:rsidRPr="00354E6F">
        <w:rPr>
          <w:bCs/>
          <w:spacing w:val="-3"/>
          <w:sz w:val="24"/>
          <w:szCs w:val="24"/>
        </w:rPr>
        <w:tab/>
      </w:r>
      <w:r w:rsidR="00893F0B" w:rsidRPr="00354E6F">
        <w:rPr>
          <w:bCs/>
          <w:spacing w:val="-3"/>
          <w:sz w:val="24"/>
          <w:szCs w:val="24"/>
        </w:rPr>
        <w:tab/>
      </w:r>
    </w:p>
    <w:p w:rsidR="002E0985" w:rsidRPr="00495B88" w:rsidRDefault="00526B2A" w:rsidP="00495B88">
      <w:r>
        <w:tab/>
      </w:r>
      <w:r>
        <w:tab/>
      </w:r>
      <w:r w:rsidR="009A475D">
        <w:tab/>
      </w:r>
      <w:r w:rsidR="00CC3CC1">
        <w:tab/>
      </w:r>
      <w:r w:rsidR="00CC3CC1">
        <w:tab/>
      </w:r>
      <w:r w:rsidR="006B31BE">
        <w:tab/>
      </w:r>
      <w:r w:rsidR="002E0985" w:rsidRPr="002E0985">
        <w:tab/>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sidR="003924FE">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6B31BE">
        <w:rPr>
          <w:spacing w:val="-3"/>
          <w:sz w:val="24"/>
          <w:szCs w:val="20"/>
        </w:rPr>
        <w:tab/>
      </w:r>
      <w:r w:rsidR="006B31BE">
        <w:rPr>
          <w:spacing w:val="-3"/>
          <w:sz w:val="24"/>
          <w:szCs w:val="20"/>
        </w:rPr>
        <w:tab/>
      </w:r>
      <w:r w:rsidRPr="002E0985">
        <w:rPr>
          <w:spacing w:val="-3"/>
          <w:sz w:val="24"/>
          <w:szCs w:val="20"/>
        </w:rPr>
        <w:t>:</w:t>
      </w:r>
      <w:r w:rsidR="00354E6F">
        <w:rPr>
          <w:spacing w:val="-3"/>
          <w:sz w:val="24"/>
          <w:szCs w:val="20"/>
        </w:rPr>
        <w:tab/>
      </w:r>
      <w:r w:rsidR="006B31BE">
        <w:rPr>
          <w:spacing w:val="-3"/>
          <w:sz w:val="24"/>
          <w:szCs w:val="20"/>
        </w:rPr>
        <w:tab/>
      </w:r>
      <w:r w:rsidR="003924FE">
        <w:rPr>
          <w:spacing w:val="-3"/>
          <w:sz w:val="24"/>
          <w:szCs w:val="20"/>
        </w:rPr>
        <w:t>C-2014-2427230</w:t>
      </w:r>
      <w:r w:rsidRP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6B31BE">
        <w:rPr>
          <w:spacing w:val="-3"/>
          <w:sz w:val="24"/>
          <w:szCs w:val="20"/>
        </w:rPr>
        <w:tab/>
      </w:r>
      <w:r>
        <w:rPr>
          <w:spacing w:val="-3"/>
          <w:sz w:val="24"/>
          <w:szCs w:val="20"/>
        </w:rPr>
        <w:t>:</w:t>
      </w:r>
    </w:p>
    <w:p w:rsidR="005E3007" w:rsidRDefault="003924FE" w:rsidP="00CE43B4">
      <w:pPr>
        <w:tabs>
          <w:tab w:val="left" w:pos="-720"/>
        </w:tabs>
        <w:suppressAutoHyphens/>
        <w:rPr>
          <w:spacing w:val="-3"/>
          <w:sz w:val="24"/>
          <w:szCs w:val="24"/>
        </w:rPr>
      </w:pPr>
      <w:r>
        <w:rPr>
          <w:spacing w:val="-3"/>
          <w:sz w:val="24"/>
          <w:szCs w:val="20"/>
        </w:rPr>
        <w:t>Pennsylvania Power Company</w:t>
      </w:r>
      <w:r w:rsidR="002E0985" w:rsidRPr="002E0985">
        <w:rPr>
          <w:spacing w:val="-3"/>
          <w:sz w:val="24"/>
          <w:szCs w:val="20"/>
        </w:rPr>
        <w:tab/>
      </w:r>
      <w:r w:rsidR="002E0985" w:rsidRPr="002E0985">
        <w:rPr>
          <w:spacing w:val="-3"/>
          <w:sz w:val="24"/>
          <w:szCs w:val="20"/>
        </w:rPr>
        <w:tab/>
      </w:r>
      <w:r w:rsidR="006B31BE">
        <w:rPr>
          <w:spacing w:val="-3"/>
          <w:sz w:val="24"/>
          <w:szCs w:val="20"/>
        </w:rPr>
        <w:tab/>
      </w:r>
      <w:r w:rsidR="006B31BE">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6B31BE" w:rsidRPr="006A21C2" w:rsidRDefault="006B31BE"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9353F5" w:rsidRDefault="009353F5" w:rsidP="00DD2411">
      <w:pPr>
        <w:spacing w:line="360" w:lineRule="auto"/>
        <w:jc w:val="center"/>
        <w:rPr>
          <w:sz w:val="24"/>
          <w:szCs w:val="24"/>
        </w:rPr>
      </w:pPr>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3924FE">
        <w:rPr>
          <w:sz w:val="24"/>
          <w:szCs w:val="24"/>
        </w:rPr>
        <w:t>June 2, 2014</w:t>
      </w:r>
      <w:r w:rsidRPr="009870EF">
        <w:rPr>
          <w:sz w:val="24"/>
          <w:szCs w:val="24"/>
        </w:rPr>
        <w:t xml:space="preserve">, </w:t>
      </w:r>
      <w:r w:rsidR="003924FE">
        <w:rPr>
          <w:sz w:val="24"/>
          <w:szCs w:val="24"/>
        </w:rPr>
        <w:t>Robert A. Boudreau</w:t>
      </w:r>
      <w:r w:rsidRPr="009870EF">
        <w:rPr>
          <w:sz w:val="24"/>
          <w:szCs w:val="24"/>
        </w:rPr>
        <w:t xml:space="preserve"> (Complainant) filed a Formal Complaint with the Pennsylvania Public Utility Commission against </w:t>
      </w:r>
      <w:r w:rsidR="003924FE">
        <w:rPr>
          <w:sz w:val="24"/>
          <w:szCs w:val="24"/>
        </w:rPr>
        <w:t>Pennsylvania Power Company</w:t>
      </w:r>
      <w:r w:rsidRPr="009870EF">
        <w:rPr>
          <w:sz w:val="24"/>
          <w:szCs w:val="24"/>
        </w:rPr>
        <w:t xml:space="preserve"> (Respondent</w:t>
      </w:r>
      <w:r w:rsidR="001A79FE">
        <w:rPr>
          <w:sz w:val="24"/>
          <w:szCs w:val="24"/>
        </w:rPr>
        <w:t xml:space="preserve"> or Penn Power</w:t>
      </w:r>
      <w:r w:rsidRPr="009870EF">
        <w:rPr>
          <w:sz w:val="24"/>
          <w:szCs w:val="24"/>
        </w:rPr>
        <w:t xml:space="preserve">) alleging </w:t>
      </w:r>
      <w:r w:rsidR="003924FE">
        <w:rPr>
          <w:sz w:val="24"/>
          <w:szCs w:val="24"/>
        </w:rPr>
        <w:t>that the Respondent had a made a promise to keep rates the same and that they had not.</w:t>
      </w:r>
      <w:r w:rsidRPr="009870EF">
        <w:rPr>
          <w:sz w:val="24"/>
          <w:szCs w:val="24"/>
        </w:rPr>
        <w:t xml:space="preserve">  This case is an appeal from a prior informal Bureau of Consumer Services (BCS) decision</w:t>
      </w:r>
      <w:r w:rsidR="00B46D5C">
        <w:rPr>
          <w:sz w:val="24"/>
          <w:szCs w:val="24"/>
        </w:rPr>
        <w:t xml:space="preserve"> at Case No. 3181884</w:t>
      </w:r>
      <w:r w:rsidRPr="009870EF">
        <w:rPr>
          <w:sz w:val="24"/>
          <w:szCs w:val="24"/>
        </w:rPr>
        <w:t>.</w:t>
      </w:r>
      <w:r w:rsidR="00B46D5C">
        <w:rPr>
          <w:sz w:val="24"/>
          <w:szCs w:val="24"/>
        </w:rPr>
        <w:t xml:space="preserve">  BCS dismissed the matter because the default service price had been phased out pursuant to Docket No. </w:t>
      </w:r>
      <w:proofErr w:type="gramStart"/>
      <w:r w:rsidR="00B46D5C">
        <w:rPr>
          <w:sz w:val="24"/>
          <w:szCs w:val="24"/>
        </w:rPr>
        <w:t>P-00072305.</w:t>
      </w:r>
      <w:proofErr w:type="gramEnd"/>
      <w:r w:rsidRPr="009870EF">
        <w:rPr>
          <w:sz w:val="24"/>
          <w:szCs w:val="24"/>
        </w:rPr>
        <w:t xml:space="preserve">  On </w:t>
      </w:r>
      <w:r w:rsidR="00B46D5C">
        <w:rPr>
          <w:sz w:val="24"/>
          <w:szCs w:val="24"/>
        </w:rPr>
        <w:t>July 8, 2014</w:t>
      </w:r>
      <w:r w:rsidRPr="009870EF">
        <w:rPr>
          <w:sz w:val="24"/>
          <w:szCs w:val="24"/>
        </w:rPr>
        <w:t xml:space="preserve">, Respondent filed an </w:t>
      </w:r>
      <w:r w:rsidRPr="009870EF">
        <w:rPr>
          <w:spacing w:val="-3"/>
          <w:sz w:val="24"/>
          <w:szCs w:val="24"/>
        </w:rPr>
        <w:t>Answer</w:t>
      </w:r>
      <w:r w:rsidR="00B46D5C">
        <w:rPr>
          <w:spacing w:val="-3"/>
          <w:sz w:val="24"/>
          <w:szCs w:val="24"/>
        </w:rPr>
        <w:t xml:space="preserve"> and New Matter</w:t>
      </w:r>
      <w:r w:rsidRPr="009870EF">
        <w:rPr>
          <w:spacing w:val="-3"/>
          <w:sz w:val="24"/>
          <w:szCs w:val="24"/>
        </w:rPr>
        <w:t xml:space="preserve"> denying the material allegations of the Complaint.</w:t>
      </w:r>
      <w:r w:rsidR="00B46D5C">
        <w:rPr>
          <w:spacing w:val="-3"/>
          <w:sz w:val="24"/>
          <w:szCs w:val="24"/>
        </w:rPr>
        <w:t xml:space="preserve">  The New Matter contained a Notice to Plead.  No response to the New Matter was received.</w:t>
      </w:r>
      <w:r w:rsidRPr="009870EF">
        <w:rPr>
          <w:spacing w:val="-3"/>
          <w:sz w:val="24"/>
          <w:szCs w:val="24"/>
        </w:rPr>
        <w:t xml:space="preserve">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By Hearing Notice dated</w:t>
      </w:r>
      <w:r w:rsidR="009A1B87">
        <w:rPr>
          <w:sz w:val="24"/>
          <w:szCs w:val="24"/>
        </w:rPr>
        <w:t xml:space="preserve"> </w:t>
      </w:r>
      <w:r w:rsidR="00B46D5C">
        <w:rPr>
          <w:sz w:val="24"/>
          <w:szCs w:val="24"/>
        </w:rPr>
        <w:t>July 28, 2014</w:t>
      </w:r>
      <w:r w:rsidRPr="009870EF">
        <w:rPr>
          <w:sz w:val="24"/>
          <w:szCs w:val="24"/>
        </w:rPr>
        <w:t xml:space="preserve">, the parties were notified that an Initial Hearing in this case was scheduled for the morning of </w:t>
      </w:r>
      <w:r w:rsidR="00B46D5C">
        <w:rPr>
          <w:sz w:val="24"/>
          <w:szCs w:val="24"/>
        </w:rPr>
        <w:t>September 11, 2014</w:t>
      </w:r>
      <w:r w:rsidRPr="009870EF">
        <w:rPr>
          <w:sz w:val="24"/>
          <w:szCs w:val="24"/>
        </w:rPr>
        <w:t xml:space="preserve">.  A Prehearing Order was issued on </w:t>
      </w:r>
      <w:r w:rsidR="00B46D5C">
        <w:rPr>
          <w:sz w:val="24"/>
          <w:szCs w:val="24"/>
        </w:rPr>
        <w:t>July 30</w:t>
      </w:r>
      <w:r w:rsidRPr="009870EF">
        <w:rPr>
          <w:sz w:val="24"/>
          <w:szCs w:val="24"/>
        </w:rPr>
        <w:t>,</w:t>
      </w:r>
      <w:r w:rsidR="00B46D5C">
        <w:rPr>
          <w:sz w:val="24"/>
          <w:szCs w:val="24"/>
        </w:rPr>
        <w:t xml:space="preserve"> 2014</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9870EF" w:rsidRPr="009870EF" w:rsidRDefault="009870EF" w:rsidP="009870EF">
      <w:pPr>
        <w:spacing w:line="360" w:lineRule="auto"/>
        <w:ind w:firstLine="1440"/>
        <w:rPr>
          <w:sz w:val="24"/>
          <w:szCs w:val="24"/>
        </w:rPr>
      </w:pPr>
    </w:p>
    <w:p w:rsidR="00B46D5C" w:rsidRDefault="009870EF" w:rsidP="009870EF">
      <w:pPr>
        <w:tabs>
          <w:tab w:val="left" w:pos="2160"/>
        </w:tabs>
        <w:spacing w:line="360" w:lineRule="auto"/>
        <w:ind w:firstLine="1440"/>
        <w:rPr>
          <w:sz w:val="24"/>
          <w:szCs w:val="24"/>
        </w:rPr>
      </w:pPr>
      <w:r w:rsidRPr="009870EF">
        <w:rPr>
          <w:sz w:val="24"/>
          <w:szCs w:val="24"/>
        </w:rPr>
        <w:lastRenderedPageBreak/>
        <w:t xml:space="preserve">The hearing convened as scheduled.  </w:t>
      </w:r>
      <w:r w:rsidR="00B46D5C">
        <w:rPr>
          <w:sz w:val="24"/>
          <w:szCs w:val="24"/>
        </w:rPr>
        <w:t xml:space="preserve">The Complainant appeared </w:t>
      </w:r>
      <w:r w:rsidR="00B46D5C">
        <w:rPr>
          <w:i/>
          <w:sz w:val="24"/>
          <w:szCs w:val="24"/>
        </w:rPr>
        <w:t>pro se</w:t>
      </w:r>
      <w:r w:rsidR="00B46D5C">
        <w:rPr>
          <w:sz w:val="24"/>
          <w:szCs w:val="24"/>
        </w:rPr>
        <w:t xml:space="preserve"> and the Respondent appeared represented by counsel.  The Complainant submitted no documents.  The Respondent submitted four; all were accepted in the record.  A written transcript comprising </w:t>
      </w:r>
      <w:r w:rsidR="00996AC3">
        <w:rPr>
          <w:sz w:val="24"/>
          <w:szCs w:val="24"/>
        </w:rPr>
        <w:t>twenty-two pages was produced.</w:t>
      </w:r>
    </w:p>
    <w:p w:rsidR="009870EF" w:rsidRDefault="009870EF" w:rsidP="009870EF">
      <w:pPr>
        <w:tabs>
          <w:tab w:val="left" w:pos="2160"/>
        </w:tabs>
        <w:spacing w:line="360" w:lineRule="auto"/>
        <w:ind w:firstLine="1440"/>
      </w:pPr>
      <w:r>
        <w:t xml:space="preserve">  </w:t>
      </w:r>
    </w:p>
    <w:p w:rsidR="007965B0" w:rsidRDefault="009870EF" w:rsidP="007965B0">
      <w:pPr>
        <w:tabs>
          <w:tab w:val="left" w:pos="-1440"/>
          <w:tab w:val="left" w:pos="-720"/>
        </w:tabs>
        <w:suppressAutoHyphens/>
        <w:spacing w:line="360" w:lineRule="auto"/>
        <w:ind w:firstLine="1440"/>
        <w:rPr>
          <w:sz w:val="24"/>
          <w:szCs w:val="24"/>
        </w:rPr>
      </w:pPr>
      <w:r>
        <w:rPr>
          <w:sz w:val="24"/>
          <w:szCs w:val="24"/>
        </w:rPr>
        <w:t>The record closed on</w:t>
      </w:r>
      <w:r w:rsidR="00B46D5C">
        <w:rPr>
          <w:sz w:val="24"/>
          <w:szCs w:val="24"/>
        </w:rPr>
        <w:t xml:space="preserve"> October 8, 2014 with receipt of the transcript.</w:t>
      </w:r>
      <w:r>
        <w:rPr>
          <w:sz w:val="24"/>
          <w:szCs w:val="24"/>
        </w:rPr>
        <w:t xml:space="preserve"> </w:t>
      </w:r>
    </w:p>
    <w:p w:rsidR="00996AC3" w:rsidRDefault="00996AC3" w:rsidP="00A7050E">
      <w:pPr>
        <w:spacing w:line="360" w:lineRule="auto"/>
        <w:jc w:val="center"/>
        <w:rPr>
          <w:sz w:val="24"/>
          <w:szCs w:val="24"/>
          <w:u w:val="single"/>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996AC3" w:rsidRDefault="00996AC3" w:rsidP="00A7050E">
      <w:pPr>
        <w:spacing w:line="360" w:lineRule="auto"/>
        <w:jc w:val="center"/>
        <w:rPr>
          <w:sz w:val="24"/>
          <w:szCs w:val="24"/>
          <w:u w:val="single"/>
        </w:rPr>
      </w:pPr>
    </w:p>
    <w:p w:rsidR="002C486F" w:rsidRDefault="00996AC3" w:rsidP="00996AC3">
      <w:pPr>
        <w:pStyle w:val="ListParagraph"/>
        <w:numPr>
          <w:ilvl w:val="0"/>
          <w:numId w:val="26"/>
        </w:numPr>
        <w:spacing w:line="360" w:lineRule="auto"/>
        <w:ind w:left="0" w:firstLine="1440"/>
        <w:rPr>
          <w:sz w:val="24"/>
          <w:szCs w:val="24"/>
        </w:rPr>
      </w:pPr>
      <w:r>
        <w:rPr>
          <w:sz w:val="24"/>
          <w:szCs w:val="24"/>
        </w:rPr>
        <w:t>The Complainant is Robert A. Boudreau.  He receives electric service from the Respondent at 550 Plains Church Road, Mars, Pennsylvania 16046.</w:t>
      </w:r>
    </w:p>
    <w:p w:rsidR="00996AC3" w:rsidRDefault="00996AC3" w:rsidP="00996AC3">
      <w:pPr>
        <w:pStyle w:val="ListParagraph"/>
        <w:spacing w:line="360" w:lineRule="auto"/>
        <w:ind w:left="1440"/>
        <w:rPr>
          <w:sz w:val="24"/>
          <w:szCs w:val="24"/>
        </w:rPr>
      </w:pPr>
      <w:r>
        <w:rPr>
          <w:sz w:val="24"/>
          <w:szCs w:val="24"/>
        </w:rPr>
        <w:t xml:space="preserve"> </w:t>
      </w:r>
    </w:p>
    <w:p w:rsidR="00996AC3" w:rsidRDefault="00996AC3" w:rsidP="00996AC3">
      <w:pPr>
        <w:pStyle w:val="ListParagraph"/>
        <w:numPr>
          <w:ilvl w:val="0"/>
          <w:numId w:val="26"/>
        </w:numPr>
        <w:spacing w:line="360" w:lineRule="auto"/>
        <w:ind w:left="0" w:firstLine="1440"/>
        <w:rPr>
          <w:sz w:val="24"/>
          <w:szCs w:val="24"/>
        </w:rPr>
      </w:pPr>
      <w:r>
        <w:rPr>
          <w:sz w:val="24"/>
          <w:szCs w:val="24"/>
        </w:rPr>
        <w:t>The Respondent is Pennsylvania Power Company.  The Respondent is a jurisdictional public utility providing electric service to Pennsylvania citizens.</w:t>
      </w:r>
    </w:p>
    <w:p w:rsidR="00996AC3" w:rsidRPr="00996AC3" w:rsidRDefault="00996AC3" w:rsidP="00162174">
      <w:pPr>
        <w:pStyle w:val="ListParagraph"/>
        <w:spacing w:line="360" w:lineRule="auto"/>
        <w:rPr>
          <w:sz w:val="24"/>
          <w:szCs w:val="24"/>
        </w:rPr>
      </w:pPr>
    </w:p>
    <w:p w:rsidR="00996AC3" w:rsidRDefault="00996AC3" w:rsidP="00996AC3">
      <w:pPr>
        <w:pStyle w:val="ListParagraph"/>
        <w:numPr>
          <w:ilvl w:val="0"/>
          <w:numId w:val="26"/>
        </w:numPr>
        <w:spacing w:line="360" w:lineRule="auto"/>
        <w:ind w:left="0" w:firstLine="1440"/>
        <w:rPr>
          <w:sz w:val="24"/>
          <w:szCs w:val="24"/>
        </w:rPr>
      </w:pPr>
      <w:r>
        <w:rPr>
          <w:sz w:val="24"/>
          <w:szCs w:val="24"/>
        </w:rPr>
        <w:t>The Complainant’s entire case was a two pronged statement that the Respondent promised him the same rates year to year if he made his home all electric.  Despite having made his home all electric the Respondent has changed rates.  The Complainant wants the Respondent to go back to the original rates.  Tr. at 5-6.</w:t>
      </w:r>
    </w:p>
    <w:p w:rsidR="00996AC3" w:rsidRPr="00996AC3" w:rsidRDefault="00996AC3" w:rsidP="00162174">
      <w:pPr>
        <w:pStyle w:val="ListParagraph"/>
        <w:spacing w:line="360" w:lineRule="auto"/>
        <w:rPr>
          <w:sz w:val="24"/>
          <w:szCs w:val="24"/>
        </w:rPr>
      </w:pPr>
    </w:p>
    <w:p w:rsidR="00996AC3" w:rsidRDefault="00996AC3" w:rsidP="00996AC3">
      <w:pPr>
        <w:pStyle w:val="ListParagraph"/>
        <w:numPr>
          <w:ilvl w:val="0"/>
          <w:numId w:val="26"/>
        </w:numPr>
        <w:spacing w:line="360" w:lineRule="auto"/>
        <w:ind w:left="0" w:firstLine="1440"/>
        <w:rPr>
          <w:sz w:val="24"/>
          <w:szCs w:val="24"/>
        </w:rPr>
      </w:pPr>
      <w:r>
        <w:rPr>
          <w:sz w:val="24"/>
          <w:szCs w:val="24"/>
        </w:rPr>
        <w:t>The Respondent has no record of a promise made to the Complainant.  Tr.</w:t>
      </w:r>
      <w:r w:rsidR="006352A0">
        <w:rPr>
          <w:sz w:val="24"/>
          <w:szCs w:val="24"/>
        </w:rPr>
        <w:t> </w:t>
      </w:r>
      <w:r>
        <w:rPr>
          <w:sz w:val="24"/>
          <w:szCs w:val="24"/>
        </w:rPr>
        <w:t>at 9.</w:t>
      </w:r>
    </w:p>
    <w:p w:rsidR="009048C5" w:rsidRPr="009048C5" w:rsidRDefault="009048C5" w:rsidP="00162174">
      <w:pPr>
        <w:pStyle w:val="ListParagraph"/>
        <w:spacing w:line="360" w:lineRule="auto"/>
        <w:rPr>
          <w:sz w:val="24"/>
          <w:szCs w:val="24"/>
        </w:rPr>
      </w:pPr>
    </w:p>
    <w:p w:rsidR="009048C5" w:rsidRDefault="00431795" w:rsidP="00996AC3">
      <w:pPr>
        <w:pStyle w:val="ListParagraph"/>
        <w:numPr>
          <w:ilvl w:val="0"/>
          <w:numId w:val="26"/>
        </w:numPr>
        <w:spacing w:line="360" w:lineRule="auto"/>
        <w:ind w:left="0" w:firstLine="1440"/>
        <w:rPr>
          <w:sz w:val="24"/>
          <w:szCs w:val="24"/>
        </w:rPr>
      </w:pPr>
      <w:r>
        <w:rPr>
          <w:sz w:val="24"/>
          <w:szCs w:val="24"/>
        </w:rPr>
        <w:t>On March 13, 2008, the Respondent’s rates changed with the Commission’s approval of the Penn Power Interim Default Service Supply Plan.  Tr. at 18</w:t>
      </w:r>
      <w:r w:rsidR="00530400">
        <w:rPr>
          <w:sz w:val="24"/>
          <w:szCs w:val="24"/>
        </w:rPr>
        <w:t>, Exh.</w:t>
      </w:r>
      <w:r w:rsidR="006352A0">
        <w:rPr>
          <w:sz w:val="24"/>
          <w:szCs w:val="24"/>
        </w:rPr>
        <w:t> </w:t>
      </w:r>
      <w:r w:rsidR="00530400">
        <w:rPr>
          <w:sz w:val="24"/>
          <w:szCs w:val="24"/>
        </w:rPr>
        <w:t>4</w:t>
      </w:r>
      <w:r>
        <w:rPr>
          <w:sz w:val="24"/>
          <w:szCs w:val="24"/>
        </w:rPr>
        <w:t>.</w:t>
      </w:r>
    </w:p>
    <w:p w:rsidR="00431795" w:rsidRPr="00431795" w:rsidRDefault="00431795" w:rsidP="00162174">
      <w:pPr>
        <w:pStyle w:val="ListParagraph"/>
        <w:spacing w:line="360" w:lineRule="auto"/>
        <w:rPr>
          <w:sz w:val="24"/>
          <w:szCs w:val="24"/>
        </w:rPr>
      </w:pPr>
    </w:p>
    <w:p w:rsidR="00530400" w:rsidRDefault="00431795" w:rsidP="00996AC3">
      <w:pPr>
        <w:pStyle w:val="ListParagraph"/>
        <w:numPr>
          <w:ilvl w:val="0"/>
          <w:numId w:val="26"/>
        </w:numPr>
        <w:spacing w:line="360" w:lineRule="auto"/>
        <w:ind w:left="0" w:firstLine="1440"/>
        <w:rPr>
          <w:sz w:val="24"/>
          <w:szCs w:val="24"/>
        </w:rPr>
      </w:pPr>
      <w:r>
        <w:rPr>
          <w:sz w:val="24"/>
          <w:szCs w:val="24"/>
        </w:rPr>
        <w:t>The Respondent applied the rates contained in the Penn Power</w:t>
      </w:r>
      <w:r w:rsidR="00D36EAB">
        <w:rPr>
          <w:sz w:val="24"/>
          <w:szCs w:val="24"/>
        </w:rPr>
        <w:t xml:space="preserve"> D</w:t>
      </w:r>
      <w:r>
        <w:rPr>
          <w:sz w:val="24"/>
          <w:szCs w:val="24"/>
        </w:rPr>
        <w:t xml:space="preserve">efault </w:t>
      </w:r>
      <w:r w:rsidR="00D36EAB">
        <w:rPr>
          <w:sz w:val="24"/>
          <w:szCs w:val="24"/>
        </w:rPr>
        <w:t>S</w:t>
      </w:r>
      <w:r>
        <w:rPr>
          <w:sz w:val="24"/>
          <w:szCs w:val="24"/>
        </w:rPr>
        <w:t>ervice Supply plan to the Complainant’s account.</w:t>
      </w:r>
      <w:r w:rsidR="00530400">
        <w:rPr>
          <w:sz w:val="24"/>
          <w:szCs w:val="24"/>
        </w:rPr>
        <w:t xml:space="preserve">  Tr. at 18</w:t>
      </w:r>
      <w:r w:rsidR="002B165F">
        <w:rPr>
          <w:sz w:val="24"/>
          <w:szCs w:val="24"/>
        </w:rPr>
        <w:t>;</w:t>
      </w:r>
      <w:r w:rsidR="00530400">
        <w:rPr>
          <w:sz w:val="24"/>
          <w:szCs w:val="24"/>
        </w:rPr>
        <w:t xml:space="preserve"> Exh. 4.</w:t>
      </w:r>
    </w:p>
    <w:p w:rsidR="00530400" w:rsidRPr="00530400" w:rsidRDefault="00530400" w:rsidP="006352A0">
      <w:pPr>
        <w:pStyle w:val="ListParagraph"/>
        <w:spacing w:line="360" w:lineRule="auto"/>
        <w:rPr>
          <w:sz w:val="24"/>
          <w:szCs w:val="24"/>
        </w:rPr>
      </w:pPr>
    </w:p>
    <w:p w:rsidR="00530400" w:rsidRDefault="00530400" w:rsidP="00996AC3">
      <w:pPr>
        <w:pStyle w:val="ListParagraph"/>
        <w:numPr>
          <w:ilvl w:val="0"/>
          <w:numId w:val="26"/>
        </w:numPr>
        <w:spacing w:line="360" w:lineRule="auto"/>
        <w:ind w:left="0" w:firstLine="1440"/>
        <w:rPr>
          <w:sz w:val="24"/>
          <w:szCs w:val="24"/>
        </w:rPr>
      </w:pPr>
      <w:r>
        <w:rPr>
          <w:sz w:val="24"/>
          <w:szCs w:val="24"/>
        </w:rPr>
        <w:t xml:space="preserve">The Commission regulations eliminated </w:t>
      </w:r>
      <w:r w:rsidR="00D36EAB">
        <w:rPr>
          <w:sz w:val="24"/>
          <w:szCs w:val="24"/>
        </w:rPr>
        <w:t xml:space="preserve">the </w:t>
      </w:r>
      <w:r>
        <w:rPr>
          <w:sz w:val="24"/>
          <w:szCs w:val="24"/>
        </w:rPr>
        <w:t>blocked rate structures</w:t>
      </w:r>
      <w:r w:rsidR="00D36EAB">
        <w:rPr>
          <w:sz w:val="24"/>
          <w:szCs w:val="24"/>
        </w:rPr>
        <w:t xml:space="preserve"> found in Rate Schedule RH</w:t>
      </w:r>
      <w:r>
        <w:rPr>
          <w:sz w:val="24"/>
          <w:szCs w:val="24"/>
        </w:rPr>
        <w:t>.  Tr. at 17</w:t>
      </w:r>
      <w:proofErr w:type="gramStart"/>
      <w:r w:rsidR="00FF2E70">
        <w:rPr>
          <w:sz w:val="24"/>
          <w:szCs w:val="24"/>
        </w:rPr>
        <w:t>;</w:t>
      </w:r>
      <w:r>
        <w:rPr>
          <w:sz w:val="24"/>
          <w:szCs w:val="24"/>
        </w:rPr>
        <w:t xml:space="preserve">  Exh</w:t>
      </w:r>
      <w:proofErr w:type="gramEnd"/>
      <w:r>
        <w:rPr>
          <w:sz w:val="24"/>
          <w:szCs w:val="24"/>
        </w:rPr>
        <w:t>. 3.</w:t>
      </w:r>
    </w:p>
    <w:p w:rsidR="00162174" w:rsidRDefault="00162174" w:rsidP="00162174">
      <w:pPr>
        <w:pStyle w:val="ListParagraph"/>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E9333C" w:rsidRDefault="00E9333C" w:rsidP="00530400">
      <w:pPr>
        <w:spacing w:line="360" w:lineRule="auto"/>
        <w:ind w:firstLine="1440"/>
        <w:rPr>
          <w:sz w:val="24"/>
          <w:szCs w:val="24"/>
        </w:rPr>
      </w:pPr>
    </w:p>
    <w:p w:rsidR="00A470ED" w:rsidRDefault="00E9333C" w:rsidP="00530400">
      <w:pPr>
        <w:spacing w:line="360" w:lineRule="auto"/>
        <w:ind w:firstLine="1440"/>
        <w:rPr>
          <w:sz w:val="24"/>
          <w:szCs w:val="24"/>
        </w:rPr>
      </w:pPr>
      <w:r>
        <w:rPr>
          <w:sz w:val="24"/>
          <w:szCs w:val="24"/>
        </w:rPr>
        <w:t>Section 701 of the Public Utility Code (Code</w:t>
      </w:r>
      <w:r w:rsidR="00257612">
        <w:rPr>
          <w:sz w:val="24"/>
          <w:szCs w:val="24"/>
        </w:rPr>
        <w:t>),</w:t>
      </w:r>
      <w:r>
        <w:rPr>
          <w:sz w:val="24"/>
          <w:szCs w:val="24"/>
        </w:rPr>
        <w:t xml:space="preserve"> </w:t>
      </w:r>
      <w:proofErr w:type="gramStart"/>
      <w:r>
        <w:rPr>
          <w:sz w:val="24"/>
          <w:szCs w:val="24"/>
        </w:rPr>
        <w:t>66 Pa.C.S</w:t>
      </w:r>
      <w:proofErr w:type="gramEnd"/>
      <w:r>
        <w:rPr>
          <w:sz w:val="24"/>
          <w:szCs w:val="24"/>
        </w:rPr>
        <w:t xml:space="preserve">. § 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w:t>
      </w:r>
      <w:proofErr w:type="gramStart"/>
      <w:r>
        <w:rPr>
          <w:sz w:val="24"/>
          <w:szCs w:val="24"/>
        </w:rPr>
        <w:t>66</w:t>
      </w:r>
      <w:r w:rsidR="00257612">
        <w:rPr>
          <w:sz w:val="24"/>
          <w:szCs w:val="24"/>
        </w:rPr>
        <w:t> </w:t>
      </w:r>
      <w:r>
        <w:rPr>
          <w:sz w:val="24"/>
          <w:szCs w:val="24"/>
        </w:rPr>
        <w:t>Pa.C.S</w:t>
      </w:r>
      <w:proofErr w:type="gramEnd"/>
      <w:r>
        <w:rPr>
          <w:sz w:val="24"/>
          <w:szCs w:val="24"/>
        </w:rPr>
        <w:t>. § 332(a), provides that the party seeking affirmative relief from the Commission has the burden of proof.</w:t>
      </w:r>
    </w:p>
    <w:p w:rsidR="00E9333C" w:rsidRDefault="00E9333C" w:rsidP="00530400">
      <w:pPr>
        <w:spacing w:line="360" w:lineRule="auto"/>
        <w:ind w:firstLine="1440"/>
        <w:rPr>
          <w:sz w:val="24"/>
          <w:szCs w:val="24"/>
        </w:rPr>
      </w:pPr>
    </w:p>
    <w:p w:rsidR="00E9333C" w:rsidRDefault="00E9333C" w:rsidP="00530400">
      <w:pPr>
        <w:spacing w:line="360" w:lineRule="auto"/>
        <w:ind w:firstLine="1440"/>
        <w:rPr>
          <w:sz w:val="24"/>
          <w:szCs w:val="24"/>
        </w:rPr>
      </w:pPr>
      <w:r>
        <w:rPr>
          <w:sz w:val="24"/>
          <w:szCs w:val="24"/>
        </w:rPr>
        <w:t xml:space="preserve">At the hearing on September 11, 2014, the Complainant argued that the Respondent had promised him that if he made his home all electric, they would not change the rates.  </w:t>
      </w:r>
      <w:proofErr w:type="gramStart"/>
      <w:r w:rsidR="00E42608">
        <w:rPr>
          <w:sz w:val="24"/>
          <w:szCs w:val="24"/>
        </w:rPr>
        <w:t>Tr. at 5.</w:t>
      </w:r>
      <w:proofErr w:type="gramEnd"/>
      <w:r w:rsidR="00E42608">
        <w:rPr>
          <w:sz w:val="24"/>
          <w:szCs w:val="24"/>
        </w:rPr>
        <w:t xml:space="preserve">  The Complainant wants the Respondent to go back to their original rates.  </w:t>
      </w:r>
      <w:proofErr w:type="gramStart"/>
      <w:r w:rsidR="00E42608">
        <w:rPr>
          <w:sz w:val="24"/>
          <w:szCs w:val="24"/>
        </w:rPr>
        <w:t>Tr. at 6.</w:t>
      </w:r>
      <w:proofErr w:type="gramEnd"/>
    </w:p>
    <w:p w:rsidR="00E42608" w:rsidRDefault="00E42608" w:rsidP="00530400">
      <w:pPr>
        <w:spacing w:line="360" w:lineRule="auto"/>
        <w:ind w:firstLine="1440"/>
        <w:rPr>
          <w:sz w:val="24"/>
          <w:szCs w:val="24"/>
        </w:rPr>
      </w:pPr>
    </w:p>
    <w:p w:rsidR="00EC1E80" w:rsidRDefault="00EC1E80" w:rsidP="00EC1E80">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614336">
        <w:rPr>
          <w:spacing w:val="-3"/>
          <w:sz w:val="24"/>
          <w:szCs w:val="24"/>
          <w:u w:val="single"/>
        </w:rPr>
        <w:t xml:space="preserve">Samuel J. Lansberry, Inc. v. Pa. </w:t>
      </w:r>
      <w:r>
        <w:rPr>
          <w:spacing w:val="-3"/>
          <w:sz w:val="24"/>
          <w:szCs w:val="24"/>
          <w:u w:val="single"/>
        </w:rPr>
        <w:t>P</w:t>
      </w:r>
      <w:r w:rsidR="00A576C0">
        <w:rPr>
          <w:spacing w:val="-3"/>
          <w:sz w:val="24"/>
          <w:szCs w:val="24"/>
          <w:u w:val="single"/>
        </w:rPr>
        <w:t>ub.</w:t>
      </w:r>
      <w:proofErr w:type="gramEnd"/>
      <w:r w:rsidR="00A576C0">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A576C0">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Pr>
          <w:spacing w:val="-3"/>
          <w:sz w:val="24"/>
          <w:szCs w:val="24"/>
          <w:u w:val="single"/>
        </w:rPr>
        <w:t>Mill v. Pa. P</w:t>
      </w:r>
      <w:r w:rsidR="006D606A">
        <w:rPr>
          <w:spacing w:val="-3"/>
          <w:sz w:val="24"/>
          <w:szCs w:val="24"/>
          <w:u w:val="single"/>
        </w:rPr>
        <w:t>ub.</w:t>
      </w:r>
      <w:proofErr w:type="gramEnd"/>
      <w:r w:rsidR="006D606A">
        <w:rPr>
          <w:spacing w:val="-3"/>
          <w:sz w:val="24"/>
          <w:szCs w:val="24"/>
          <w:u w:val="single"/>
        </w:rPr>
        <w:t xml:space="preserve"> Util. Comm’n</w:t>
      </w:r>
      <w:r w:rsidRPr="009D011B">
        <w:rPr>
          <w:spacing w:val="-3"/>
          <w:sz w:val="24"/>
          <w:szCs w:val="24"/>
        </w:rPr>
        <w:t>,</w:t>
      </w:r>
      <w:r w:rsidR="006D606A">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A576C0">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r>
        <w:rPr>
          <w:spacing w:val="-3"/>
          <w:sz w:val="24"/>
          <w:szCs w:val="24"/>
          <w:u w:val="single"/>
        </w:rPr>
        <w:t>Edan Transportation Corp. v. Pa. P</w:t>
      </w:r>
      <w:r w:rsidR="00C93D8F">
        <w:rPr>
          <w:spacing w:val="-3"/>
          <w:sz w:val="24"/>
          <w:szCs w:val="24"/>
          <w:u w:val="single"/>
        </w:rPr>
        <w:t>ub.</w:t>
      </w:r>
      <w:proofErr w:type="gramEnd"/>
      <w:r w:rsidR="00C93D8F">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sidR="00A576C0">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(1993), 2</w:t>
      </w:r>
      <w:r w:rsidR="00A576C0">
        <w:rPr>
          <w:spacing w:val="-3"/>
          <w:sz w:val="24"/>
          <w:szCs w:val="24"/>
        </w:rPr>
        <w:t> </w:t>
      </w:r>
      <w:r w:rsidRPr="00614336">
        <w:rPr>
          <w:spacing w:val="-3"/>
          <w:sz w:val="24"/>
          <w:szCs w:val="24"/>
        </w:rPr>
        <w:t>Pa.C.S.</w:t>
      </w:r>
      <w:proofErr w:type="gramEnd"/>
      <w:r w:rsidRPr="00614336">
        <w:rPr>
          <w:spacing w:val="-3"/>
          <w:sz w:val="24"/>
          <w:szCs w:val="24"/>
        </w:rPr>
        <w:t xml:space="preserve"> §</w:t>
      </w:r>
      <w:r w:rsidR="00A576C0">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proofErr w:type="gramStart"/>
      <w:r w:rsidRPr="00614336">
        <w:rPr>
          <w:spacing w:val="-3"/>
          <w:sz w:val="24"/>
          <w:szCs w:val="24"/>
          <w:u w:val="single"/>
        </w:rPr>
        <w:t>Norfolk and Western Ry. v. Pa.</w:t>
      </w:r>
      <w:r w:rsidR="00C93D8F">
        <w:rPr>
          <w:spacing w:val="-3"/>
          <w:sz w:val="24"/>
          <w:szCs w:val="24"/>
          <w:u w:val="single"/>
        </w:rPr>
        <w:t xml:space="preserve"> </w:t>
      </w:r>
      <w:r>
        <w:rPr>
          <w:spacing w:val="-3"/>
          <w:sz w:val="24"/>
          <w:szCs w:val="24"/>
          <w:u w:val="single"/>
        </w:rPr>
        <w:t>P</w:t>
      </w:r>
      <w:r w:rsidR="00C93D8F">
        <w:rPr>
          <w:spacing w:val="-3"/>
          <w:sz w:val="24"/>
          <w:szCs w:val="24"/>
          <w:u w:val="single"/>
        </w:rPr>
        <w:t>ub.</w:t>
      </w:r>
      <w:proofErr w:type="gramEnd"/>
      <w:r w:rsidR="00C93D8F">
        <w:rPr>
          <w:spacing w:val="-3"/>
          <w:sz w:val="24"/>
          <w:szCs w:val="24"/>
          <w:u w:val="single"/>
        </w:rPr>
        <w:t xml:space="preserve"> </w:t>
      </w:r>
      <w:proofErr w:type="gramStart"/>
      <w:r w:rsidR="00C93D8F">
        <w:rPr>
          <w:spacing w:val="-3"/>
          <w:sz w:val="24"/>
          <w:szCs w:val="24"/>
          <w:u w:val="single"/>
        </w:rPr>
        <w:t>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w:t>
      </w:r>
      <w:r w:rsidR="00A576C0">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EC1E80" w:rsidRDefault="00EC1E80" w:rsidP="00EC1E80">
      <w:pPr>
        <w:tabs>
          <w:tab w:val="left" w:pos="-1440"/>
          <w:tab w:val="left" w:pos="-720"/>
        </w:tabs>
        <w:suppressAutoHyphens/>
        <w:spacing w:line="360" w:lineRule="auto"/>
        <w:ind w:firstLine="1440"/>
        <w:rPr>
          <w:spacing w:val="-3"/>
          <w:sz w:val="24"/>
          <w:szCs w:val="24"/>
        </w:rPr>
      </w:pPr>
    </w:p>
    <w:p w:rsidR="00EC1E80" w:rsidRDefault="00EC1E80" w:rsidP="00EC1E80">
      <w:pPr>
        <w:tabs>
          <w:tab w:val="left" w:pos="-1440"/>
          <w:tab w:val="left" w:pos="-720"/>
        </w:tabs>
        <w:suppressAutoHyphens/>
        <w:spacing w:line="360" w:lineRule="auto"/>
        <w:ind w:firstLine="1440"/>
        <w:rPr>
          <w:spacing w:val="-3"/>
          <w:sz w:val="24"/>
          <w:szCs w:val="24"/>
        </w:rPr>
      </w:pPr>
      <w:r>
        <w:rPr>
          <w:spacing w:val="-3"/>
          <w:sz w:val="24"/>
          <w:szCs w:val="24"/>
        </w:rPr>
        <w:t xml:space="preserve">The Respondent does not have any record of any promise made to the Complainant.  </w:t>
      </w:r>
      <w:proofErr w:type="gramStart"/>
      <w:r>
        <w:rPr>
          <w:spacing w:val="-3"/>
          <w:sz w:val="24"/>
          <w:szCs w:val="24"/>
        </w:rPr>
        <w:t>Tr. at 9.</w:t>
      </w:r>
      <w:proofErr w:type="gramEnd"/>
    </w:p>
    <w:p w:rsidR="00493483" w:rsidRDefault="00493483" w:rsidP="00EC1E80">
      <w:pPr>
        <w:tabs>
          <w:tab w:val="left" w:pos="-1440"/>
          <w:tab w:val="left" w:pos="-720"/>
        </w:tabs>
        <w:suppressAutoHyphens/>
        <w:spacing w:line="360" w:lineRule="auto"/>
        <w:ind w:firstLine="1440"/>
        <w:rPr>
          <w:spacing w:val="-3"/>
          <w:sz w:val="24"/>
          <w:szCs w:val="24"/>
        </w:rPr>
      </w:pPr>
    </w:p>
    <w:p w:rsidR="00EC1E80" w:rsidRDefault="00EC1E80" w:rsidP="00BF2C47">
      <w:pPr>
        <w:tabs>
          <w:tab w:val="left" w:pos="-1440"/>
          <w:tab w:val="left" w:pos="-720"/>
        </w:tabs>
        <w:suppressAutoHyphens/>
        <w:spacing w:line="360" w:lineRule="auto"/>
        <w:ind w:firstLine="1440"/>
        <w:rPr>
          <w:spacing w:val="-3"/>
          <w:sz w:val="24"/>
          <w:szCs w:val="24"/>
        </w:rPr>
      </w:pPr>
      <w:r>
        <w:rPr>
          <w:spacing w:val="-3"/>
          <w:sz w:val="24"/>
          <w:szCs w:val="24"/>
        </w:rPr>
        <w:t xml:space="preserve">As noted above, more is required than a mere trace of evidence.  </w:t>
      </w:r>
      <w:proofErr w:type="gramStart"/>
      <w:r w:rsidRPr="00614336">
        <w:rPr>
          <w:spacing w:val="-3"/>
          <w:sz w:val="24"/>
          <w:szCs w:val="24"/>
          <w:u w:val="single"/>
        </w:rPr>
        <w:t>Norfolk and Western Ry. v. Pa.</w:t>
      </w:r>
      <w:r w:rsidR="00493483">
        <w:rPr>
          <w:spacing w:val="-3"/>
          <w:sz w:val="24"/>
          <w:szCs w:val="24"/>
          <w:u w:val="single"/>
        </w:rPr>
        <w:t xml:space="preserve"> </w:t>
      </w:r>
      <w:r>
        <w:rPr>
          <w:spacing w:val="-3"/>
          <w:sz w:val="24"/>
          <w:szCs w:val="24"/>
          <w:u w:val="single"/>
        </w:rPr>
        <w:t>P</w:t>
      </w:r>
      <w:r w:rsidR="00493483">
        <w:rPr>
          <w:spacing w:val="-3"/>
          <w:sz w:val="24"/>
          <w:szCs w:val="24"/>
          <w:u w:val="single"/>
        </w:rPr>
        <w:t>ub.</w:t>
      </w:r>
      <w:proofErr w:type="gramEnd"/>
      <w:r w:rsidR="00493483">
        <w:rPr>
          <w:spacing w:val="-3"/>
          <w:sz w:val="24"/>
          <w:szCs w:val="24"/>
          <w:u w:val="single"/>
        </w:rPr>
        <w:t xml:space="preserve"> </w:t>
      </w:r>
      <w:proofErr w:type="gramStart"/>
      <w:r w:rsidR="00493483">
        <w:rPr>
          <w:spacing w:val="-3"/>
          <w:sz w:val="24"/>
          <w:szCs w:val="24"/>
          <w:u w:val="single"/>
        </w:rPr>
        <w:t>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w:t>
      </w:r>
      <w:r w:rsidR="00493483">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r>
        <w:rPr>
          <w:spacing w:val="-3"/>
          <w:sz w:val="24"/>
          <w:szCs w:val="24"/>
        </w:rPr>
        <w:t xml:space="preserve">  Here the main issue, whether there was a promise o</w:t>
      </w:r>
      <w:r w:rsidR="003247E3">
        <w:rPr>
          <w:spacing w:val="-3"/>
          <w:sz w:val="24"/>
          <w:szCs w:val="24"/>
        </w:rPr>
        <w:t>r</w:t>
      </w:r>
      <w:r>
        <w:rPr>
          <w:spacing w:val="-3"/>
          <w:sz w:val="24"/>
          <w:szCs w:val="24"/>
        </w:rPr>
        <w:t xml:space="preserve"> not</w:t>
      </w:r>
      <w:r w:rsidR="007B6746">
        <w:rPr>
          <w:spacing w:val="-3"/>
          <w:sz w:val="24"/>
          <w:szCs w:val="24"/>
        </w:rPr>
        <w:t>,</w:t>
      </w:r>
      <w:r>
        <w:rPr>
          <w:spacing w:val="-3"/>
          <w:sz w:val="24"/>
          <w:szCs w:val="24"/>
        </w:rPr>
        <w:t xml:space="preserve"> became a he said/she said </w:t>
      </w:r>
      <w:r w:rsidR="007B6746">
        <w:rPr>
          <w:spacing w:val="-3"/>
          <w:sz w:val="24"/>
          <w:szCs w:val="24"/>
        </w:rPr>
        <w:t>impasse</w:t>
      </w:r>
      <w:r>
        <w:rPr>
          <w:spacing w:val="-3"/>
          <w:sz w:val="24"/>
          <w:szCs w:val="24"/>
        </w:rPr>
        <w:t xml:space="preserve">.  The Complainant </w:t>
      </w:r>
      <w:r w:rsidR="00BF2C47">
        <w:rPr>
          <w:spacing w:val="-3"/>
          <w:sz w:val="24"/>
          <w:szCs w:val="24"/>
        </w:rPr>
        <w:t>presented no evidence to rebut the Respondent’s assertion</w:t>
      </w:r>
      <w:r w:rsidR="007B6746">
        <w:rPr>
          <w:spacing w:val="-3"/>
          <w:sz w:val="24"/>
          <w:szCs w:val="24"/>
        </w:rPr>
        <w:t xml:space="preserve"> that there was no record of a promise</w:t>
      </w:r>
      <w:r w:rsidR="00BF2C47">
        <w:rPr>
          <w:spacing w:val="-3"/>
          <w:sz w:val="24"/>
          <w:szCs w:val="24"/>
        </w:rPr>
        <w:t xml:space="preserve">.  The Complainant </w:t>
      </w:r>
      <w:r>
        <w:rPr>
          <w:spacing w:val="-3"/>
          <w:sz w:val="24"/>
          <w:szCs w:val="24"/>
        </w:rPr>
        <w:t>failed to rebut the Respondent’s evidence and thus failed to meet his burden of proof.</w:t>
      </w:r>
    </w:p>
    <w:p w:rsidR="003423C1" w:rsidRDefault="003423C1" w:rsidP="00BF2C47">
      <w:pPr>
        <w:tabs>
          <w:tab w:val="left" w:pos="-1440"/>
          <w:tab w:val="left" w:pos="-720"/>
        </w:tabs>
        <w:suppressAutoHyphens/>
        <w:spacing w:line="360" w:lineRule="auto"/>
        <w:ind w:firstLine="1440"/>
        <w:rPr>
          <w:spacing w:val="-3"/>
          <w:sz w:val="24"/>
          <w:szCs w:val="24"/>
        </w:rPr>
      </w:pPr>
    </w:p>
    <w:p w:rsidR="003423C1" w:rsidRDefault="003423C1" w:rsidP="00BF2C47">
      <w:pPr>
        <w:tabs>
          <w:tab w:val="left" w:pos="-1440"/>
          <w:tab w:val="left" w:pos="-720"/>
        </w:tabs>
        <w:suppressAutoHyphens/>
        <w:spacing w:line="360" w:lineRule="auto"/>
        <w:ind w:firstLine="1440"/>
        <w:rPr>
          <w:spacing w:val="-3"/>
          <w:sz w:val="24"/>
          <w:szCs w:val="24"/>
        </w:rPr>
      </w:pPr>
      <w:r>
        <w:rPr>
          <w:spacing w:val="-3"/>
          <w:sz w:val="24"/>
          <w:szCs w:val="24"/>
        </w:rPr>
        <w:t>Even assuming the Complainant had met his burden of proof, he could not prevail due to the passage of the Competition Act.  In 1996, the Pennsylvania General Assembly passed the Electricity Generation Customer Choice and Competition Act.  (Competition Act), 66 Pa. C.S.A. §§ 2801-2812, which allows customers to buy generation from licensed alternative suppliers by unbundling generation from transmission and distribution.  The Competition Act established a transitional period, during which generation rates were capped, and further provided that electric distribution companies must act as providers of default service in order to provide electric generation to customers not served by alternative generation suppliers or whose contracted generation is not delivered.  The result is that after full transition</w:t>
      </w:r>
      <w:r w:rsidR="00033949">
        <w:rPr>
          <w:spacing w:val="-3"/>
          <w:sz w:val="24"/>
          <w:szCs w:val="24"/>
        </w:rPr>
        <w:t xml:space="preserve"> to competition, each customer pays for the electricity used, at the price obtained by the generation supplier and charged to that customer.  The Competition Act provides that default service rates must be based on prevailing market prices, not promotional discounts or subsidies.  Offering reduced rates under any guise would require other customers to subsidize the Rate RH and thus violate the Public Utility Code. </w:t>
      </w:r>
      <w:r>
        <w:rPr>
          <w:spacing w:val="-3"/>
          <w:sz w:val="24"/>
          <w:szCs w:val="24"/>
        </w:rPr>
        <w:t xml:space="preserve"> </w:t>
      </w:r>
      <w:r w:rsidR="004B33E9">
        <w:rPr>
          <w:spacing w:val="-3"/>
          <w:sz w:val="24"/>
          <w:szCs w:val="24"/>
        </w:rPr>
        <w:t>Tariffs implementing the new statutory and regulatory requir</w:t>
      </w:r>
      <w:r w:rsidR="001A79FE">
        <w:rPr>
          <w:spacing w:val="-3"/>
          <w:sz w:val="24"/>
          <w:szCs w:val="24"/>
        </w:rPr>
        <w:t>e</w:t>
      </w:r>
      <w:r w:rsidR="004B33E9">
        <w:rPr>
          <w:spacing w:val="-3"/>
          <w:sz w:val="24"/>
          <w:szCs w:val="24"/>
        </w:rPr>
        <w:t xml:space="preserve">ments were filed by </w:t>
      </w:r>
      <w:r w:rsidR="001A79FE">
        <w:rPr>
          <w:spacing w:val="-3"/>
          <w:sz w:val="24"/>
          <w:szCs w:val="24"/>
        </w:rPr>
        <w:t>Penn Power and approved by the Commission.</w:t>
      </w:r>
    </w:p>
    <w:p w:rsidR="001A79FE" w:rsidRDefault="001A79FE" w:rsidP="00BF2C47">
      <w:pPr>
        <w:tabs>
          <w:tab w:val="left" w:pos="-1440"/>
          <w:tab w:val="left" w:pos="-720"/>
        </w:tabs>
        <w:suppressAutoHyphens/>
        <w:spacing w:line="360" w:lineRule="auto"/>
        <w:ind w:firstLine="1440"/>
        <w:rPr>
          <w:spacing w:val="-3"/>
          <w:sz w:val="24"/>
          <w:szCs w:val="24"/>
        </w:rPr>
      </w:pPr>
    </w:p>
    <w:p w:rsidR="001A79FE" w:rsidRDefault="001A79FE" w:rsidP="00BF2C47">
      <w:pPr>
        <w:tabs>
          <w:tab w:val="left" w:pos="-1440"/>
          <w:tab w:val="left" w:pos="-720"/>
        </w:tabs>
        <w:suppressAutoHyphens/>
        <w:spacing w:line="360" w:lineRule="auto"/>
        <w:ind w:firstLine="1440"/>
        <w:rPr>
          <w:spacing w:val="-3"/>
          <w:sz w:val="24"/>
          <w:szCs w:val="24"/>
        </w:rPr>
      </w:pPr>
      <w:r>
        <w:rPr>
          <w:spacing w:val="-3"/>
          <w:sz w:val="24"/>
          <w:szCs w:val="24"/>
        </w:rPr>
        <w:t xml:space="preserve">The Commission reached a similar decision in </w:t>
      </w:r>
      <w:proofErr w:type="spellStart"/>
      <w:r w:rsidRPr="001A79FE">
        <w:rPr>
          <w:spacing w:val="-3"/>
          <w:sz w:val="24"/>
          <w:szCs w:val="24"/>
          <w:u w:val="single"/>
        </w:rPr>
        <w:t>Kupchinkas</w:t>
      </w:r>
      <w:proofErr w:type="spellEnd"/>
      <w:r w:rsidRPr="001A79FE">
        <w:rPr>
          <w:spacing w:val="-3"/>
          <w:sz w:val="24"/>
          <w:szCs w:val="24"/>
          <w:u w:val="single"/>
        </w:rPr>
        <w:t xml:space="preserve"> v. PECO Energy Company</w:t>
      </w:r>
      <w:r>
        <w:rPr>
          <w:spacing w:val="-3"/>
          <w:sz w:val="24"/>
          <w:szCs w:val="24"/>
        </w:rPr>
        <w:t xml:space="preserve">, Docket No. C-2011-2253896, Final Order entered January 1, 2012 where there was a complaint about the phase out of Rate RH.  See also </w:t>
      </w:r>
      <w:r w:rsidRPr="001A79FE">
        <w:rPr>
          <w:spacing w:val="-3"/>
          <w:sz w:val="24"/>
          <w:szCs w:val="24"/>
          <w:u w:val="single"/>
        </w:rPr>
        <w:t>Dunham v. PPL Electric Utilities Corporation</w:t>
      </w:r>
      <w:r>
        <w:rPr>
          <w:spacing w:val="-3"/>
          <w:sz w:val="24"/>
          <w:szCs w:val="24"/>
        </w:rPr>
        <w:t xml:space="preserve">, Docket No. </w:t>
      </w:r>
      <w:proofErr w:type="gramStart"/>
      <w:r>
        <w:rPr>
          <w:spacing w:val="-3"/>
          <w:sz w:val="24"/>
          <w:szCs w:val="24"/>
        </w:rPr>
        <w:t xml:space="preserve">C-2010-2155056 (eliminating Rate RTS), </w:t>
      </w:r>
      <w:proofErr w:type="spellStart"/>
      <w:r>
        <w:rPr>
          <w:spacing w:val="-3"/>
          <w:sz w:val="24"/>
          <w:szCs w:val="24"/>
        </w:rPr>
        <w:t>Herting</w:t>
      </w:r>
      <w:proofErr w:type="spellEnd"/>
      <w:r>
        <w:rPr>
          <w:spacing w:val="-3"/>
          <w:sz w:val="24"/>
          <w:szCs w:val="24"/>
        </w:rPr>
        <w:t xml:space="preserve"> v. PPL Electric Utilities Corporation, Docket No.</w:t>
      </w:r>
      <w:proofErr w:type="gramEnd"/>
      <w:r>
        <w:rPr>
          <w:spacing w:val="-3"/>
          <w:sz w:val="24"/>
          <w:szCs w:val="24"/>
        </w:rPr>
        <w:t xml:space="preserve"> C-2010-2153688, Final Order entered October 6, 2011.</w:t>
      </w:r>
    </w:p>
    <w:p w:rsidR="001A79FE" w:rsidRDefault="001A79FE" w:rsidP="00BF2C47">
      <w:pPr>
        <w:tabs>
          <w:tab w:val="left" w:pos="-1440"/>
          <w:tab w:val="left" w:pos="-720"/>
        </w:tabs>
        <w:suppressAutoHyphens/>
        <w:spacing w:line="360" w:lineRule="auto"/>
        <w:ind w:firstLine="1440"/>
        <w:rPr>
          <w:spacing w:val="-3"/>
          <w:sz w:val="24"/>
          <w:szCs w:val="24"/>
        </w:rPr>
      </w:pPr>
    </w:p>
    <w:p w:rsidR="001A79FE" w:rsidRDefault="001A79FE" w:rsidP="00BF2C47">
      <w:pPr>
        <w:tabs>
          <w:tab w:val="left" w:pos="-1440"/>
          <w:tab w:val="left" w:pos="-720"/>
        </w:tabs>
        <w:suppressAutoHyphens/>
        <w:spacing w:line="360" w:lineRule="auto"/>
        <w:ind w:firstLine="1440"/>
      </w:pPr>
      <w:r>
        <w:rPr>
          <w:spacing w:val="-3"/>
          <w:sz w:val="24"/>
          <w:szCs w:val="24"/>
        </w:rPr>
        <w:t>In summary, the Complainant failed to prove that there was any promise made, but even if a promise had been made, the Rate RH has been legally eliminated and the Complainant could not prevail.</w:t>
      </w:r>
    </w:p>
    <w:p w:rsidR="00E42608" w:rsidRPr="00D36EAB" w:rsidRDefault="00E42608" w:rsidP="00530400">
      <w:pPr>
        <w:spacing w:line="360" w:lineRule="auto"/>
        <w:ind w:firstLine="1440"/>
        <w:rPr>
          <w:sz w:val="24"/>
          <w:szCs w:val="24"/>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7B6746" w:rsidRDefault="007B6746" w:rsidP="00A470ED">
      <w:pPr>
        <w:spacing w:line="360" w:lineRule="auto"/>
        <w:jc w:val="center"/>
        <w:rPr>
          <w:sz w:val="24"/>
          <w:szCs w:val="24"/>
          <w:u w:val="single"/>
        </w:rPr>
      </w:pPr>
    </w:p>
    <w:p w:rsidR="00A470ED" w:rsidRPr="007B6746" w:rsidRDefault="007B6746" w:rsidP="00BF2C47">
      <w:pPr>
        <w:pStyle w:val="ListParagraph"/>
        <w:numPr>
          <w:ilvl w:val="0"/>
          <w:numId w:val="27"/>
        </w:numPr>
        <w:spacing w:line="360" w:lineRule="auto"/>
        <w:ind w:left="0" w:firstLine="1440"/>
        <w:rPr>
          <w:sz w:val="24"/>
          <w:szCs w:val="24"/>
          <w:u w:val="single"/>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p>
    <w:p w:rsidR="007B6746" w:rsidRPr="007B6746" w:rsidRDefault="007B6746" w:rsidP="007B6746">
      <w:pPr>
        <w:pStyle w:val="ListParagraph"/>
        <w:spacing w:line="360" w:lineRule="auto"/>
        <w:ind w:left="1440"/>
        <w:rPr>
          <w:sz w:val="24"/>
          <w:szCs w:val="24"/>
          <w:u w:val="single"/>
        </w:rPr>
      </w:pPr>
      <w:r>
        <w:rPr>
          <w:sz w:val="24"/>
          <w:szCs w:val="24"/>
        </w:rPr>
        <w:t xml:space="preserve"> </w:t>
      </w:r>
    </w:p>
    <w:p w:rsidR="007B6746" w:rsidRDefault="007B6746" w:rsidP="007B6746">
      <w:pPr>
        <w:pStyle w:val="ListParagraph"/>
        <w:numPr>
          <w:ilvl w:val="0"/>
          <w:numId w:val="27"/>
        </w:numPr>
        <w:tabs>
          <w:tab w:val="left" w:pos="-1440"/>
          <w:tab w:val="left" w:pos="-720"/>
        </w:tabs>
        <w:suppressAutoHyphens/>
        <w:spacing w:line="360" w:lineRule="auto"/>
        <w:ind w:left="0" w:firstLine="1350"/>
        <w:rPr>
          <w:spacing w:val="-3"/>
          <w:sz w:val="24"/>
          <w:szCs w:val="24"/>
        </w:rPr>
      </w:pPr>
      <w:r w:rsidRPr="007B6746">
        <w:rPr>
          <w:spacing w:val="-3"/>
          <w:sz w:val="24"/>
          <w:szCs w:val="24"/>
        </w:rPr>
        <w:t xml:space="preserve">More is required than a mere trace of evidence or a suspicion of the existence of a fact sought to be established.  </w:t>
      </w:r>
      <w:r w:rsidRPr="007B6746">
        <w:rPr>
          <w:spacing w:val="-3"/>
          <w:sz w:val="24"/>
          <w:szCs w:val="24"/>
          <w:u w:val="single"/>
        </w:rPr>
        <w:t>Norfolk and Western Ry. v. Pa.</w:t>
      </w:r>
      <w:r w:rsidR="00493483">
        <w:rPr>
          <w:spacing w:val="-3"/>
          <w:sz w:val="24"/>
          <w:szCs w:val="24"/>
          <w:u w:val="single"/>
        </w:rPr>
        <w:t xml:space="preserve"> </w:t>
      </w:r>
      <w:r w:rsidRPr="007B6746">
        <w:rPr>
          <w:spacing w:val="-3"/>
          <w:sz w:val="24"/>
          <w:szCs w:val="24"/>
          <w:u w:val="single"/>
        </w:rPr>
        <w:t>P</w:t>
      </w:r>
      <w:r w:rsidR="00493483">
        <w:rPr>
          <w:spacing w:val="-3"/>
          <w:sz w:val="24"/>
          <w:szCs w:val="24"/>
          <w:u w:val="single"/>
        </w:rPr>
        <w:t>ub. Util. Comm’n</w:t>
      </w:r>
      <w:r w:rsidRPr="007B6746">
        <w:rPr>
          <w:spacing w:val="-3"/>
          <w:sz w:val="24"/>
          <w:szCs w:val="24"/>
        </w:rPr>
        <w:t xml:space="preserve">, 489 Pa. 109, 413 A.2d 1037 (1980); </w:t>
      </w:r>
      <w:r w:rsidRPr="007B6746">
        <w:rPr>
          <w:spacing w:val="-3"/>
          <w:sz w:val="24"/>
          <w:szCs w:val="24"/>
          <w:u w:val="single"/>
        </w:rPr>
        <w:t>Erie Resistor Corp. v. Unemployment Compensation Bd. of Review</w:t>
      </w:r>
      <w:r w:rsidRPr="007B6746">
        <w:rPr>
          <w:spacing w:val="-3"/>
          <w:sz w:val="24"/>
          <w:szCs w:val="24"/>
        </w:rPr>
        <w:t>, 194</w:t>
      </w:r>
      <w:r w:rsidR="00493483">
        <w:rPr>
          <w:spacing w:val="-3"/>
          <w:sz w:val="24"/>
          <w:szCs w:val="24"/>
        </w:rPr>
        <w:t> </w:t>
      </w:r>
      <w:proofErr w:type="spellStart"/>
      <w:r w:rsidRPr="007B6746">
        <w:rPr>
          <w:spacing w:val="-3"/>
          <w:sz w:val="24"/>
          <w:szCs w:val="24"/>
        </w:rPr>
        <w:t>Pa.Super</w:t>
      </w:r>
      <w:proofErr w:type="spellEnd"/>
      <w:r w:rsidRPr="007B6746">
        <w:rPr>
          <w:spacing w:val="-3"/>
          <w:sz w:val="24"/>
          <w:szCs w:val="24"/>
        </w:rPr>
        <w:t xml:space="preserve">. 278, 166 A.2d 96 (1960); </w:t>
      </w:r>
      <w:r w:rsidRPr="007B6746">
        <w:rPr>
          <w:spacing w:val="-3"/>
          <w:sz w:val="24"/>
          <w:szCs w:val="24"/>
          <w:u w:val="single"/>
        </w:rPr>
        <w:t>Murphy v. Dep’t of Public Welfare, White Haven Center</w:t>
      </w:r>
      <w:r w:rsidRPr="007B6746">
        <w:rPr>
          <w:spacing w:val="-3"/>
          <w:sz w:val="24"/>
          <w:szCs w:val="24"/>
        </w:rPr>
        <w:t xml:space="preserve">, 85 </w:t>
      </w:r>
      <w:proofErr w:type="spellStart"/>
      <w:r w:rsidRPr="007B6746">
        <w:rPr>
          <w:spacing w:val="-3"/>
          <w:sz w:val="24"/>
          <w:szCs w:val="24"/>
        </w:rPr>
        <w:t>Pa.C</w:t>
      </w:r>
      <w:r w:rsidR="00493483">
        <w:rPr>
          <w:spacing w:val="-3"/>
          <w:sz w:val="24"/>
          <w:szCs w:val="24"/>
        </w:rPr>
        <w:t>mwlth</w:t>
      </w:r>
      <w:proofErr w:type="spellEnd"/>
      <w:r w:rsidRPr="007B6746">
        <w:rPr>
          <w:spacing w:val="-3"/>
          <w:sz w:val="24"/>
          <w:szCs w:val="24"/>
        </w:rPr>
        <w:t>. 23, 480 A.2d 382 (1984).</w:t>
      </w:r>
    </w:p>
    <w:p w:rsidR="007B6746" w:rsidRPr="007B6746" w:rsidRDefault="007B6746" w:rsidP="00B35FC1">
      <w:pPr>
        <w:pStyle w:val="ListParagraph"/>
        <w:spacing w:line="360" w:lineRule="auto"/>
        <w:rPr>
          <w:spacing w:val="-3"/>
          <w:sz w:val="24"/>
          <w:szCs w:val="24"/>
        </w:rPr>
      </w:pPr>
    </w:p>
    <w:p w:rsidR="007B6746" w:rsidRPr="007B6746" w:rsidRDefault="007B6746" w:rsidP="007B6746">
      <w:pPr>
        <w:pStyle w:val="ListParagraph"/>
        <w:numPr>
          <w:ilvl w:val="0"/>
          <w:numId w:val="27"/>
        </w:numPr>
        <w:tabs>
          <w:tab w:val="left" w:pos="-1440"/>
          <w:tab w:val="left" w:pos="-720"/>
        </w:tabs>
        <w:suppressAutoHyphens/>
        <w:spacing w:line="360" w:lineRule="auto"/>
        <w:ind w:left="0" w:firstLine="1350"/>
        <w:rPr>
          <w:spacing w:val="-3"/>
          <w:sz w:val="24"/>
          <w:szCs w:val="24"/>
        </w:rPr>
      </w:pPr>
      <w:r>
        <w:rPr>
          <w:spacing w:val="-3"/>
          <w:sz w:val="24"/>
          <w:szCs w:val="24"/>
        </w:rPr>
        <w:t>The Complainant failed to meet his burden of proof.</w:t>
      </w:r>
    </w:p>
    <w:p w:rsidR="007B6746" w:rsidRDefault="007B6746" w:rsidP="007B6746">
      <w:pPr>
        <w:spacing w:line="360" w:lineRule="auto"/>
        <w:rPr>
          <w:sz w:val="24"/>
          <w:szCs w:val="24"/>
          <w:u w:val="single"/>
        </w:rPr>
      </w:pPr>
    </w:p>
    <w:p w:rsidR="00493483" w:rsidRDefault="00493483" w:rsidP="007B6746">
      <w:pPr>
        <w:spacing w:line="360" w:lineRule="auto"/>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493483" w:rsidRPr="00311AD2" w:rsidRDefault="00493483"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493483" w:rsidRDefault="00493483" w:rsidP="0081696C">
      <w:pPr>
        <w:spacing w:line="360" w:lineRule="auto"/>
        <w:ind w:firstLine="1440"/>
        <w:outlineLvl w:val="0"/>
        <w:rPr>
          <w:sz w:val="24"/>
          <w:szCs w:val="24"/>
        </w:rPr>
      </w:pPr>
    </w:p>
    <w:p w:rsidR="00311AD2" w:rsidRDefault="007B6746" w:rsidP="007B6746">
      <w:pPr>
        <w:pStyle w:val="ListParagraph"/>
        <w:numPr>
          <w:ilvl w:val="0"/>
          <w:numId w:val="28"/>
        </w:numPr>
        <w:spacing w:line="360" w:lineRule="auto"/>
        <w:ind w:left="0" w:firstLine="1440"/>
        <w:outlineLvl w:val="0"/>
        <w:rPr>
          <w:sz w:val="24"/>
          <w:szCs w:val="24"/>
        </w:rPr>
      </w:pPr>
      <w:r>
        <w:rPr>
          <w:sz w:val="24"/>
          <w:szCs w:val="24"/>
        </w:rPr>
        <w:t>That the Formal Complaint of Robert A. Boudreau at Docket No. C-2014-</w:t>
      </w:r>
      <w:proofErr w:type="gramStart"/>
      <w:r>
        <w:rPr>
          <w:sz w:val="24"/>
          <w:szCs w:val="24"/>
        </w:rPr>
        <w:t>2427230,</w:t>
      </w:r>
      <w:proofErr w:type="gramEnd"/>
      <w:r>
        <w:rPr>
          <w:sz w:val="24"/>
          <w:szCs w:val="24"/>
        </w:rPr>
        <w:t xml:space="preserve"> is dismissed for failure to satisfy the burden of proof.</w:t>
      </w:r>
    </w:p>
    <w:p w:rsidR="007B6746" w:rsidRDefault="007B6746" w:rsidP="007B6746">
      <w:pPr>
        <w:pStyle w:val="ListParagraph"/>
        <w:spacing w:line="360" w:lineRule="auto"/>
        <w:ind w:left="1440"/>
        <w:outlineLvl w:val="0"/>
        <w:rPr>
          <w:sz w:val="24"/>
          <w:szCs w:val="24"/>
        </w:rPr>
      </w:pPr>
    </w:p>
    <w:p w:rsidR="007B6746" w:rsidRPr="007B6746" w:rsidRDefault="007B6746" w:rsidP="007B6746">
      <w:pPr>
        <w:pStyle w:val="ListParagraph"/>
        <w:numPr>
          <w:ilvl w:val="0"/>
          <w:numId w:val="28"/>
        </w:numPr>
        <w:spacing w:line="360" w:lineRule="auto"/>
        <w:ind w:left="0" w:firstLine="1440"/>
        <w:outlineLvl w:val="0"/>
        <w:rPr>
          <w:sz w:val="24"/>
          <w:szCs w:val="24"/>
        </w:rPr>
      </w:pPr>
      <w:r>
        <w:rPr>
          <w:sz w:val="24"/>
          <w:szCs w:val="24"/>
        </w:rPr>
        <w:t xml:space="preserve">That the Secretary’s </w:t>
      </w:r>
      <w:r w:rsidR="00CC517B">
        <w:rPr>
          <w:sz w:val="24"/>
          <w:szCs w:val="24"/>
        </w:rPr>
        <w:t>B</w:t>
      </w:r>
      <w:r>
        <w:rPr>
          <w:sz w:val="24"/>
          <w:szCs w:val="24"/>
        </w:rPr>
        <w:t xml:space="preserve">ureau mark Docket </w:t>
      </w:r>
      <w:r w:rsidR="00CC517B">
        <w:rPr>
          <w:sz w:val="24"/>
          <w:szCs w:val="24"/>
        </w:rPr>
        <w:t>N</w:t>
      </w:r>
      <w:r>
        <w:rPr>
          <w:sz w:val="24"/>
          <w:szCs w:val="24"/>
        </w:rPr>
        <w:t>o. C-2014-2427230 closed.</w:t>
      </w:r>
    </w:p>
    <w:p w:rsidR="00BB3104" w:rsidRDefault="00BB3104" w:rsidP="00CE68C6">
      <w:pPr>
        <w:spacing w:line="360" w:lineRule="auto"/>
        <w:rPr>
          <w:sz w:val="24"/>
          <w:szCs w:val="24"/>
        </w:rPr>
      </w:pPr>
    </w:p>
    <w:p w:rsidR="00493483" w:rsidRDefault="00493483" w:rsidP="00CE68C6">
      <w:pPr>
        <w:spacing w:line="360" w:lineRule="auto"/>
        <w:rPr>
          <w:sz w:val="24"/>
          <w:szCs w:val="24"/>
        </w:rPr>
      </w:pPr>
    </w:p>
    <w:p w:rsidR="00493483" w:rsidRDefault="00493483" w:rsidP="00CE68C6">
      <w:pPr>
        <w:spacing w:line="360" w:lineRule="auto"/>
        <w:rPr>
          <w:sz w:val="24"/>
          <w:szCs w:val="24"/>
        </w:rPr>
      </w:pPr>
    </w:p>
    <w:p w:rsidR="00D721A3" w:rsidRDefault="00DE562E" w:rsidP="00D721A3">
      <w:r w:rsidRPr="00DE562E">
        <w:rPr>
          <w:sz w:val="24"/>
          <w:szCs w:val="24"/>
        </w:rPr>
        <w:t>Date:</w:t>
      </w:r>
      <w:r w:rsidR="00493483">
        <w:rPr>
          <w:sz w:val="24"/>
          <w:szCs w:val="24"/>
        </w:rPr>
        <w:t xml:space="preserve">  </w:t>
      </w:r>
      <w:r w:rsidR="001A79FE">
        <w:rPr>
          <w:sz w:val="24"/>
          <w:szCs w:val="24"/>
          <w:u w:val="single"/>
        </w:rPr>
        <w:t>November 13</w:t>
      </w:r>
      <w:r w:rsidR="007B6746" w:rsidRPr="00493483">
        <w:rPr>
          <w:sz w:val="24"/>
          <w:szCs w:val="24"/>
          <w:u w:val="single"/>
        </w:rPr>
        <w:t>, 2014</w:t>
      </w:r>
      <w:r w:rsidR="001F7F73">
        <w:rPr>
          <w:sz w:val="24"/>
          <w:szCs w:val="24"/>
        </w:rPr>
        <w:tab/>
      </w:r>
      <w:r w:rsidR="001F7F73">
        <w:rPr>
          <w:sz w:val="24"/>
          <w:szCs w:val="24"/>
        </w:rPr>
        <w:tab/>
      </w:r>
      <w:r w:rsidR="001F7F73">
        <w:rPr>
          <w:sz w:val="24"/>
          <w:szCs w:val="24"/>
        </w:rPr>
        <w:tab/>
      </w:r>
      <w:r w:rsidR="00D721A3">
        <w:rPr>
          <w:sz w:val="24"/>
          <w:szCs w:val="24"/>
        </w:rPr>
        <w:tab/>
      </w:r>
      <w:r w:rsidR="00D721A3">
        <w:rPr>
          <w:sz w:val="24"/>
          <w:szCs w:val="24"/>
        </w:rPr>
        <w:tab/>
      </w:r>
      <w:r w:rsidR="00D721A3">
        <w:rPr>
          <w:u w:val="single"/>
        </w:rPr>
        <w:tab/>
      </w:r>
      <w:r w:rsidR="00D721A3">
        <w:rPr>
          <w:u w:val="single"/>
        </w:rPr>
        <w:tab/>
      </w:r>
      <w:r w:rsidR="00D721A3" w:rsidRPr="00D721A3">
        <w:rPr>
          <w:sz w:val="24"/>
          <w:szCs w:val="24"/>
          <w:u w:val="single"/>
        </w:rPr>
        <w:t>/s/</w:t>
      </w:r>
      <w:r w:rsidR="00D721A3" w:rsidRPr="00D721A3">
        <w:rPr>
          <w:sz w:val="24"/>
          <w:szCs w:val="24"/>
          <w:u w:val="single"/>
        </w:rPr>
        <w:tab/>
      </w:r>
      <w:r w:rsidR="00D721A3">
        <w:rPr>
          <w:u w:val="single"/>
        </w:rPr>
        <w:tab/>
      </w:r>
      <w:r w:rsidR="00D721A3">
        <w:rPr>
          <w:u w:val="single"/>
        </w:rPr>
        <w:tab/>
      </w:r>
    </w:p>
    <w:p w:rsidR="00DE562E" w:rsidRPr="00DE562E" w:rsidRDefault="001F7F73" w:rsidP="00DE562E">
      <w:pPr>
        <w:jc w:val="both"/>
        <w:rPr>
          <w:sz w:val="24"/>
          <w:szCs w:val="24"/>
        </w:rPr>
      </w:pP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493483">
        <w:rPr>
          <w:sz w:val="24"/>
          <w:szCs w:val="24"/>
        </w:rPr>
        <w:tab/>
      </w:r>
      <w:r w:rsidR="00493483">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493483">
        <w:rPr>
          <w:sz w:val="24"/>
          <w:szCs w:val="24"/>
        </w:rPr>
        <w:tab/>
      </w:r>
      <w:r w:rsidR="00493483">
        <w:rPr>
          <w:sz w:val="24"/>
          <w:szCs w:val="24"/>
        </w:rPr>
        <w:tab/>
      </w:r>
      <w:r w:rsidRPr="00DE562E">
        <w:rPr>
          <w:sz w:val="24"/>
          <w:szCs w:val="24"/>
        </w:rPr>
        <w:t>Administrative Law Judge</w:t>
      </w:r>
    </w:p>
    <w:p w:rsidR="00D671F6" w:rsidRDefault="00D671F6">
      <w:pPr>
        <w:rPr>
          <w:sz w:val="24"/>
          <w:szCs w:val="24"/>
        </w:rPr>
      </w:pPr>
    </w:p>
    <w:p w:rsidR="002B19D4" w:rsidRPr="001027AA" w:rsidRDefault="00A81E10" w:rsidP="002744CE">
      <w:pPr>
        <w:tabs>
          <w:tab w:val="center" w:pos="4752"/>
        </w:tabs>
        <w:suppressAutoHyphens/>
        <w:rPr>
          <w:sz w:val="24"/>
          <w:szCs w:val="24"/>
        </w:rPr>
      </w:pPr>
      <w:r>
        <w:rPr>
          <w:b/>
          <w:kern w:val="2"/>
        </w:rPr>
        <w:tab/>
      </w:r>
    </w:p>
    <w:sectPr w:rsidR="002B19D4" w:rsidRPr="001027AA" w:rsidSect="00996AC3">
      <w:footerReference w:type="even" r:id="rId9"/>
      <w:footerReference w:type="default" r:id="rId10"/>
      <w:pgSz w:w="12240" w:h="15840" w:code="1"/>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76" w:rsidRDefault="00CC0176">
      <w:r>
        <w:separator/>
      </w:r>
    </w:p>
  </w:endnote>
  <w:endnote w:type="continuationSeparator" w:id="0">
    <w:p w:rsidR="00CC0176" w:rsidRDefault="00CC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1C5E39">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76" w:rsidRDefault="00CC0176">
      <w:r>
        <w:separator/>
      </w:r>
    </w:p>
  </w:footnote>
  <w:footnote w:type="continuationSeparator" w:id="0">
    <w:p w:rsidR="00CC0176" w:rsidRDefault="00CC0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3893053"/>
    <w:multiLevelType w:val="hybridMultilevel"/>
    <w:tmpl w:val="DD32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nsid w:val="48CE4938"/>
    <w:multiLevelType w:val="hybridMultilevel"/>
    <w:tmpl w:val="02D0486C"/>
    <w:lvl w:ilvl="0" w:tplc="816C92E6">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F6D58A6"/>
    <w:multiLevelType w:val="hybridMultilevel"/>
    <w:tmpl w:val="5E5681E2"/>
    <w:lvl w:ilvl="0" w:tplc="B4F21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67417528"/>
    <w:multiLevelType w:val="hybridMultilevel"/>
    <w:tmpl w:val="30F8E568"/>
    <w:lvl w:ilvl="0" w:tplc="F93A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7"/>
  </w:num>
  <w:num w:numId="4">
    <w:abstractNumId w:val="2"/>
  </w:num>
  <w:num w:numId="5">
    <w:abstractNumId w:val="14"/>
  </w:num>
  <w:num w:numId="6">
    <w:abstractNumId w:val="9"/>
  </w:num>
  <w:num w:numId="7">
    <w:abstractNumId w:val="7"/>
  </w:num>
  <w:num w:numId="8">
    <w:abstractNumId w:val="0"/>
  </w:num>
  <w:num w:numId="9">
    <w:abstractNumId w:val="15"/>
  </w:num>
  <w:num w:numId="10">
    <w:abstractNumId w:val="20"/>
  </w:num>
  <w:num w:numId="11">
    <w:abstractNumId w:val="16"/>
  </w:num>
  <w:num w:numId="12">
    <w:abstractNumId w:val="28"/>
  </w:num>
  <w:num w:numId="13">
    <w:abstractNumId w:val="1"/>
  </w:num>
  <w:num w:numId="14">
    <w:abstractNumId w:val="8"/>
  </w:num>
  <w:num w:numId="15">
    <w:abstractNumId w:val="23"/>
  </w:num>
  <w:num w:numId="16">
    <w:abstractNumId w:val="26"/>
  </w:num>
  <w:num w:numId="17">
    <w:abstractNumId w:val="10"/>
  </w:num>
  <w:num w:numId="18">
    <w:abstractNumId w:val="4"/>
  </w:num>
  <w:num w:numId="19">
    <w:abstractNumId w:val="21"/>
  </w:num>
  <w:num w:numId="20">
    <w:abstractNumId w:val="3"/>
  </w:num>
  <w:num w:numId="21">
    <w:abstractNumId w:val="6"/>
  </w:num>
  <w:num w:numId="22">
    <w:abstractNumId w:val="12"/>
  </w:num>
  <w:num w:numId="23">
    <w:abstractNumId w:val="13"/>
  </w:num>
  <w:num w:numId="24">
    <w:abstractNumId w:val="27"/>
  </w:num>
  <w:num w:numId="25">
    <w:abstractNumId w:val="25"/>
  </w:num>
  <w:num w:numId="26">
    <w:abstractNumId w:val="5"/>
  </w:num>
  <w:num w:numId="27">
    <w:abstractNumId w:val="24"/>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3949"/>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174"/>
    <w:rsid w:val="00162898"/>
    <w:rsid w:val="00176F82"/>
    <w:rsid w:val="0018160C"/>
    <w:rsid w:val="00187B87"/>
    <w:rsid w:val="001930DE"/>
    <w:rsid w:val="00193B6C"/>
    <w:rsid w:val="001A4CC0"/>
    <w:rsid w:val="001A721E"/>
    <w:rsid w:val="001A79FE"/>
    <w:rsid w:val="001B123C"/>
    <w:rsid w:val="001B3235"/>
    <w:rsid w:val="001C20B7"/>
    <w:rsid w:val="001C5E39"/>
    <w:rsid w:val="001C715B"/>
    <w:rsid w:val="001D3206"/>
    <w:rsid w:val="001D6FCF"/>
    <w:rsid w:val="001E4C7E"/>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51D19"/>
    <w:rsid w:val="0025370D"/>
    <w:rsid w:val="00257612"/>
    <w:rsid w:val="00260D19"/>
    <w:rsid w:val="00266EC6"/>
    <w:rsid w:val="002732DC"/>
    <w:rsid w:val="002744CE"/>
    <w:rsid w:val="0028114B"/>
    <w:rsid w:val="0028185A"/>
    <w:rsid w:val="00290918"/>
    <w:rsid w:val="002919C6"/>
    <w:rsid w:val="00293557"/>
    <w:rsid w:val="002959E3"/>
    <w:rsid w:val="002A7C1C"/>
    <w:rsid w:val="002B165F"/>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11AD2"/>
    <w:rsid w:val="003129F7"/>
    <w:rsid w:val="00312E1C"/>
    <w:rsid w:val="00317B5C"/>
    <w:rsid w:val="00323AAE"/>
    <w:rsid w:val="003247E3"/>
    <w:rsid w:val="00324F3E"/>
    <w:rsid w:val="0033043C"/>
    <w:rsid w:val="0033647C"/>
    <w:rsid w:val="00337C53"/>
    <w:rsid w:val="00340AB8"/>
    <w:rsid w:val="003421E0"/>
    <w:rsid w:val="003423C1"/>
    <w:rsid w:val="0034312D"/>
    <w:rsid w:val="00346E30"/>
    <w:rsid w:val="003539D2"/>
    <w:rsid w:val="00354E6F"/>
    <w:rsid w:val="0035737A"/>
    <w:rsid w:val="003657A8"/>
    <w:rsid w:val="00375317"/>
    <w:rsid w:val="00380450"/>
    <w:rsid w:val="00380AD7"/>
    <w:rsid w:val="00382B1A"/>
    <w:rsid w:val="003857DF"/>
    <w:rsid w:val="00386CDC"/>
    <w:rsid w:val="00392382"/>
    <w:rsid w:val="003924FE"/>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64A8"/>
    <w:rsid w:val="004107FD"/>
    <w:rsid w:val="00417087"/>
    <w:rsid w:val="0042160A"/>
    <w:rsid w:val="0042193A"/>
    <w:rsid w:val="00422E29"/>
    <w:rsid w:val="00424A76"/>
    <w:rsid w:val="00427E73"/>
    <w:rsid w:val="004312BE"/>
    <w:rsid w:val="00431795"/>
    <w:rsid w:val="00431BEF"/>
    <w:rsid w:val="00442854"/>
    <w:rsid w:val="0046339D"/>
    <w:rsid w:val="00476C8A"/>
    <w:rsid w:val="00486535"/>
    <w:rsid w:val="00490174"/>
    <w:rsid w:val="004917C1"/>
    <w:rsid w:val="00491C99"/>
    <w:rsid w:val="00493483"/>
    <w:rsid w:val="00495450"/>
    <w:rsid w:val="00495B88"/>
    <w:rsid w:val="004A1805"/>
    <w:rsid w:val="004A5AD6"/>
    <w:rsid w:val="004B33E9"/>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400"/>
    <w:rsid w:val="00530D1B"/>
    <w:rsid w:val="00531226"/>
    <w:rsid w:val="00531409"/>
    <w:rsid w:val="00535DF7"/>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D19C4"/>
    <w:rsid w:val="005D2DEE"/>
    <w:rsid w:val="005D319B"/>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A0"/>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B31BE"/>
    <w:rsid w:val="006C1047"/>
    <w:rsid w:val="006C3226"/>
    <w:rsid w:val="006D4BB7"/>
    <w:rsid w:val="006D606A"/>
    <w:rsid w:val="006D75BD"/>
    <w:rsid w:val="006E4407"/>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49B5"/>
    <w:rsid w:val="007B1672"/>
    <w:rsid w:val="007B1D2D"/>
    <w:rsid w:val="007B46F9"/>
    <w:rsid w:val="007B6746"/>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41CBB"/>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48C5"/>
    <w:rsid w:val="009077E3"/>
    <w:rsid w:val="00910EF2"/>
    <w:rsid w:val="00913B17"/>
    <w:rsid w:val="009166DD"/>
    <w:rsid w:val="0091672D"/>
    <w:rsid w:val="00922FE6"/>
    <w:rsid w:val="009342E4"/>
    <w:rsid w:val="009353F5"/>
    <w:rsid w:val="009445E9"/>
    <w:rsid w:val="009634B4"/>
    <w:rsid w:val="009643E3"/>
    <w:rsid w:val="009649FC"/>
    <w:rsid w:val="00965F82"/>
    <w:rsid w:val="0098237A"/>
    <w:rsid w:val="00982B8E"/>
    <w:rsid w:val="009830C8"/>
    <w:rsid w:val="00983B9A"/>
    <w:rsid w:val="009870EF"/>
    <w:rsid w:val="009877CF"/>
    <w:rsid w:val="00987B98"/>
    <w:rsid w:val="00995E0A"/>
    <w:rsid w:val="00996AC3"/>
    <w:rsid w:val="009A1B87"/>
    <w:rsid w:val="009A475D"/>
    <w:rsid w:val="009A5C49"/>
    <w:rsid w:val="009B1C06"/>
    <w:rsid w:val="009C22D0"/>
    <w:rsid w:val="009D5A08"/>
    <w:rsid w:val="009E69A1"/>
    <w:rsid w:val="009F24FB"/>
    <w:rsid w:val="009F4939"/>
    <w:rsid w:val="009F620C"/>
    <w:rsid w:val="009F7BD8"/>
    <w:rsid w:val="00A022C7"/>
    <w:rsid w:val="00A02D20"/>
    <w:rsid w:val="00A04F86"/>
    <w:rsid w:val="00A0627A"/>
    <w:rsid w:val="00A22653"/>
    <w:rsid w:val="00A23BC5"/>
    <w:rsid w:val="00A24F45"/>
    <w:rsid w:val="00A345AE"/>
    <w:rsid w:val="00A409B8"/>
    <w:rsid w:val="00A4383B"/>
    <w:rsid w:val="00A470ED"/>
    <w:rsid w:val="00A475EE"/>
    <w:rsid w:val="00A523A9"/>
    <w:rsid w:val="00A52E9C"/>
    <w:rsid w:val="00A576C0"/>
    <w:rsid w:val="00A67786"/>
    <w:rsid w:val="00A67C1E"/>
    <w:rsid w:val="00A7050E"/>
    <w:rsid w:val="00A761ED"/>
    <w:rsid w:val="00A76B1D"/>
    <w:rsid w:val="00A81E10"/>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35FC1"/>
    <w:rsid w:val="00B40E21"/>
    <w:rsid w:val="00B45676"/>
    <w:rsid w:val="00B45F71"/>
    <w:rsid w:val="00B46D5C"/>
    <w:rsid w:val="00B5018B"/>
    <w:rsid w:val="00B57687"/>
    <w:rsid w:val="00B625D9"/>
    <w:rsid w:val="00B665D7"/>
    <w:rsid w:val="00B70860"/>
    <w:rsid w:val="00B71D02"/>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F2C47"/>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3D8F"/>
    <w:rsid w:val="00C94BB9"/>
    <w:rsid w:val="00CA1E0E"/>
    <w:rsid w:val="00CA5BA3"/>
    <w:rsid w:val="00CB0D2B"/>
    <w:rsid w:val="00CB4F5E"/>
    <w:rsid w:val="00CB6A72"/>
    <w:rsid w:val="00CC0176"/>
    <w:rsid w:val="00CC3CC1"/>
    <w:rsid w:val="00CC49DA"/>
    <w:rsid w:val="00CC517B"/>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36EAB"/>
    <w:rsid w:val="00D4029A"/>
    <w:rsid w:val="00D416A5"/>
    <w:rsid w:val="00D50C56"/>
    <w:rsid w:val="00D5488B"/>
    <w:rsid w:val="00D55074"/>
    <w:rsid w:val="00D55AA4"/>
    <w:rsid w:val="00D5720C"/>
    <w:rsid w:val="00D6261D"/>
    <w:rsid w:val="00D6598A"/>
    <w:rsid w:val="00D65F4B"/>
    <w:rsid w:val="00D671F6"/>
    <w:rsid w:val="00D71653"/>
    <w:rsid w:val="00D721A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3F95"/>
    <w:rsid w:val="00E267A5"/>
    <w:rsid w:val="00E32DA2"/>
    <w:rsid w:val="00E35AC9"/>
    <w:rsid w:val="00E413A9"/>
    <w:rsid w:val="00E42608"/>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9333C"/>
    <w:rsid w:val="00EA2B0E"/>
    <w:rsid w:val="00EA319E"/>
    <w:rsid w:val="00EA56F6"/>
    <w:rsid w:val="00EA77CE"/>
    <w:rsid w:val="00EB1DAB"/>
    <w:rsid w:val="00EB1EEE"/>
    <w:rsid w:val="00EC15BD"/>
    <w:rsid w:val="00EC1E80"/>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C4DCA"/>
    <w:rsid w:val="00FC4DD1"/>
    <w:rsid w:val="00FD1DCC"/>
    <w:rsid w:val="00FD2E3D"/>
    <w:rsid w:val="00FE51AD"/>
    <w:rsid w:val="00FE5CAF"/>
    <w:rsid w:val="00FE6157"/>
    <w:rsid w:val="00FE74BE"/>
    <w:rsid w:val="00FF0B73"/>
    <w:rsid w:val="00FF17C7"/>
    <w:rsid w:val="00FF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4F83-FB05-45F9-9421-0E5D4D02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2014-10-28T20:04:00Z</cp:lastPrinted>
  <dcterms:created xsi:type="dcterms:W3CDTF">2014-11-19T17:04:00Z</dcterms:created>
  <dcterms:modified xsi:type="dcterms:W3CDTF">2014-11-19T17:04:00Z</dcterms:modified>
</cp:coreProperties>
</file>