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BE152B">
        <w:rPr>
          <w:bCs/>
          <w:color w:val="000000"/>
        </w:rPr>
        <w:t>2427656</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BE152B" w:rsidP="00D65D31">
      <w:pPr>
        <w:widowControl w:val="0"/>
        <w:adjustRightInd w:val="0"/>
        <w:rPr>
          <w:bCs/>
          <w:color w:val="000000"/>
        </w:rPr>
      </w:pPr>
      <w:r>
        <w:rPr>
          <w:bCs/>
          <w:color w:val="000000"/>
        </w:rPr>
        <w:t>Energy Services Providers, Inc. d/b/a</w:t>
      </w:r>
      <w:r w:rsidR="00D65D31" w:rsidRPr="00D65D31">
        <w:rPr>
          <w:bCs/>
          <w:color w:val="000000"/>
        </w:rPr>
        <w:tab/>
      </w:r>
      <w:r w:rsidR="00D65D31" w:rsidRPr="00D65D31">
        <w:rPr>
          <w:bCs/>
          <w:color w:val="000000"/>
        </w:rPr>
        <w:tab/>
      </w:r>
      <w:r w:rsidR="00D65D31" w:rsidRPr="00D65D31">
        <w:rPr>
          <w:bCs/>
          <w:color w:val="000000"/>
        </w:rPr>
        <w:tab/>
        <w:t>:</w:t>
      </w:r>
    </w:p>
    <w:p w:rsidR="00BE152B" w:rsidRPr="00D65D31" w:rsidRDefault="00BE152B" w:rsidP="00D65D31">
      <w:pPr>
        <w:widowControl w:val="0"/>
        <w:adjustRightInd w:val="0"/>
        <w:rPr>
          <w:bCs/>
          <w:color w:val="000000"/>
        </w:rPr>
      </w:pPr>
      <w:r>
        <w:rPr>
          <w:bCs/>
          <w:color w:val="000000"/>
        </w:rPr>
        <w:t>Pennsylvania Gas &amp; Electric</w:t>
      </w:r>
      <w:r>
        <w:rPr>
          <w:bCs/>
          <w:color w:val="000000"/>
        </w:rPr>
        <w:tab/>
      </w:r>
      <w:r>
        <w:rPr>
          <w:bCs/>
          <w:color w:val="000000"/>
        </w:rPr>
        <w:tab/>
      </w:r>
      <w:r>
        <w:rPr>
          <w:bCs/>
          <w:color w:val="000000"/>
        </w:rPr>
        <w:tab/>
      </w:r>
      <w:r>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Pr="00026FD0" w:rsidRDefault="00026FD0" w:rsidP="0062545F">
      <w:pPr>
        <w:tabs>
          <w:tab w:val="center" w:pos="4680"/>
        </w:tabs>
        <w:suppressAutoHyphens/>
        <w:jc w:val="center"/>
        <w:rPr>
          <w:b/>
          <w:bCs/>
          <w:i/>
          <w:spacing w:val="-3"/>
          <w:u w:val="single"/>
        </w:rPr>
      </w:pPr>
      <w:r>
        <w:rPr>
          <w:b/>
          <w:bCs/>
          <w:spacing w:val="-3"/>
          <w:u w:val="single"/>
        </w:rPr>
        <w:t xml:space="preserve">DENYING MOTION </w:t>
      </w:r>
      <w:r>
        <w:rPr>
          <w:b/>
          <w:bCs/>
          <w:i/>
          <w:spacing w:val="-3"/>
          <w:u w:val="single"/>
        </w:rPr>
        <w:t>IN LIMINE</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Default="00897507" w:rsidP="0094648D">
      <w:pPr>
        <w:widowControl w:val="0"/>
        <w:adjustRightInd w:val="0"/>
        <w:spacing w:line="360" w:lineRule="auto"/>
        <w:ind w:firstLine="1440"/>
        <w:rPr>
          <w:bCs/>
          <w:color w:val="000000"/>
        </w:rPr>
      </w:pPr>
      <w:r w:rsidRPr="00DD5CDE">
        <w:rPr>
          <w:bCs/>
          <w:color w:val="000000"/>
        </w:rPr>
        <w:t xml:space="preserve">On </w:t>
      </w:r>
      <w:r w:rsidR="00C610DB" w:rsidRPr="00DD5CDE">
        <w:rPr>
          <w:bCs/>
          <w:color w:val="000000"/>
        </w:rPr>
        <w:t>June 20, 2014, the Commonwealth of Pennsylvania, by Atto</w:t>
      </w:r>
      <w:r w:rsidR="00366F51" w:rsidRPr="00DD5CDE">
        <w:rPr>
          <w:bCs/>
          <w:color w:val="000000"/>
        </w:rPr>
        <w:t>rney General Kathleen G. Kane, t</w:t>
      </w:r>
      <w:r w:rsidR="00C610DB" w:rsidRPr="00DD5CDE">
        <w:rPr>
          <w:bCs/>
          <w:color w:val="000000"/>
        </w:rPr>
        <w:t>hrough the Bureau of Consumer Protection (OAG)</w:t>
      </w:r>
      <w:r w:rsidR="006E5176" w:rsidRPr="00DD5CDE">
        <w:rPr>
          <w:bCs/>
          <w:color w:val="000000"/>
        </w:rPr>
        <w:t>,</w:t>
      </w:r>
      <w:r w:rsidR="00C610DB" w:rsidRPr="00DD5CDE">
        <w:rPr>
          <w:bCs/>
          <w:color w:val="000000"/>
        </w:rPr>
        <w:t xml:space="preserve"> and Tanya J. McCloskey, Acting Consumer Advocate (OCA) (collectively referred to as “the Joint Complainants”) filed</w:t>
      </w:r>
      <w:r w:rsidR="00F12B16" w:rsidRPr="00DD5CDE">
        <w:rPr>
          <w:bCs/>
          <w:color w:val="000000"/>
        </w:rPr>
        <w:t xml:space="preserve"> with the Pennsylvania Public Utility Commission (Commission)</w:t>
      </w:r>
      <w:r w:rsidR="00C610DB" w:rsidRPr="00DD5CDE">
        <w:rPr>
          <w:bCs/>
          <w:color w:val="000000"/>
        </w:rPr>
        <w:t xml:space="preserve"> a formal Complaint against </w:t>
      </w:r>
      <w:r w:rsidR="00C7317B" w:rsidRPr="00DD5CDE">
        <w:rPr>
          <w:bCs/>
          <w:color w:val="000000"/>
        </w:rPr>
        <w:t xml:space="preserve">Energy Services Providers, Inc. d/b/a Pennsylvania Gas &amp; Electric (ESP or “the Company”), at Docket Number C-2014-2427656.  The Joint Complainants averred that </w:t>
      </w:r>
      <w:r w:rsidR="00C610DB" w:rsidRPr="00DD5CDE">
        <w:rPr>
          <w:bCs/>
          <w:color w:val="000000"/>
        </w:rPr>
        <w:t xml:space="preserve">they received numerous contacts and complaints from consumers related to variable rates charged by </w:t>
      </w:r>
      <w:r w:rsidR="00C7317B" w:rsidRPr="00DD5CDE">
        <w:rPr>
          <w:bCs/>
          <w:color w:val="000000"/>
        </w:rPr>
        <w:t>ESP</w:t>
      </w:r>
      <w:r w:rsidR="00C610DB" w:rsidRPr="00DD5CDE">
        <w:rPr>
          <w:bCs/>
          <w:color w:val="000000"/>
        </w:rPr>
        <w:t xml:space="preserve">, including approximately </w:t>
      </w:r>
      <w:r w:rsidR="00C7317B" w:rsidRPr="00DD5CDE">
        <w:rPr>
          <w:bCs/>
          <w:color w:val="000000"/>
        </w:rPr>
        <w:t xml:space="preserve">23 </w:t>
      </w:r>
      <w:r w:rsidR="00C610DB" w:rsidRPr="00DD5CDE">
        <w:rPr>
          <w:bCs/>
          <w:color w:val="000000"/>
        </w:rPr>
        <w:t xml:space="preserve">formal complaints filed by consumers at the Commission.  The Joint Complainants further averred that </w:t>
      </w:r>
      <w:r w:rsidR="00C7317B" w:rsidRPr="00DD5CDE">
        <w:rPr>
          <w:bCs/>
          <w:color w:val="000000"/>
        </w:rPr>
        <w:t xml:space="preserve">ESP </w:t>
      </w:r>
      <w:r w:rsidR="00C610DB" w:rsidRPr="00DD5CDE">
        <w:rPr>
          <w:bCs/>
          <w:color w:val="000000"/>
        </w:rPr>
        <w:t xml:space="preserve">used a variety of marketing and advertising mediums to solicit residential customers for its variable rate plan.  As a result, the Joint Complainants averred </w:t>
      </w:r>
      <w:r w:rsidR="00C7317B" w:rsidRPr="00DD5CDE">
        <w:rPr>
          <w:bCs/>
          <w:color w:val="000000"/>
        </w:rPr>
        <w:t xml:space="preserve">seven </w:t>
      </w:r>
      <w:r w:rsidR="00C610DB" w:rsidRPr="00DD5CDE">
        <w:rPr>
          <w:bCs/>
          <w:color w:val="000000"/>
        </w:rPr>
        <w:t xml:space="preserve">separate counts against </w:t>
      </w:r>
      <w:r w:rsidR="00C7317B" w:rsidRPr="00DD5CDE">
        <w:rPr>
          <w:bCs/>
          <w:color w:val="000000"/>
        </w:rPr>
        <w:t>ESP</w:t>
      </w:r>
      <w:r w:rsidR="00C610DB" w:rsidRPr="00DD5CDE">
        <w:rPr>
          <w:bCs/>
          <w:color w:val="000000"/>
        </w:rPr>
        <w:t>, including</w:t>
      </w:r>
      <w:r w:rsidR="00CA22A8" w:rsidRPr="00DD5CDE">
        <w:rPr>
          <w:bCs/>
          <w:color w:val="000000"/>
        </w:rPr>
        <w:t xml:space="preserve">, </w:t>
      </w:r>
      <w:r w:rsidR="00366F51" w:rsidRPr="00DD5CDE">
        <w:rPr>
          <w:bCs/>
          <w:color w:val="000000"/>
        </w:rPr>
        <w:t>but not limited to</w:t>
      </w:r>
      <w:r w:rsidR="00CA22A8" w:rsidRPr="00DD5CDE">
        <w:rPr>
          <w:bCs/>
          <w:color w:val="000000"/>
        </w:rPr>
        <w:t xml:space="preserve">, making misleading and deceptive promises of savings, slamming and failing to provide accurate pricing information.  The Joint Complainants </w:t>
      </w:r>
      <w:r w:rsidR="00B62154" w:rsidRPr="00DD5CDE">
        <w:rPr>
          <w:bCs/>
          <w:color w:val="000000"/>
        </w:rPr>
        <w:t>made several requests</w:t>
      </w:r>
      <w:r w:rsidR="00436D29" w:rsidRPr="00DD5CDE">
        <w:rPr>
          <w:bCs/>
          <w:color w:val="000000"/>
        </w:rPr>
        <w:t xml:space="preserve"> for relief</w:t>
      </w:r>
      <w:r w:rsidR="00B62154" w:rsidRPr="00DD5CDE">
        <w:rPr>
          <w:bCs/>
          <w:color w:val="000000"/>
        </w:rPr>
        <w:t>, including providing restitution and prohibit</w:t>
      </w:r>
      <w:r w:rsidR="00D3584A" w:rsidRPr="00DD5CDE">
        <w:rPr>
          <w:bCs/>
          <w:color w:val="000000"/>
        </w:rPr>
        <w:t>ing</w:t>
      </w:r>
      <w:r w:rsidR="00B62154" w:rsidRPr="00DD5CDE">
        <w:rPr>
          <w:bCs/>
          <w:color w:val="000000"/>
        </w:rPr>
        <w:t xml:space="preserve"> deceptive practices in the future.  </w:t>
      </w:r>
    </w:p>
    <w:p w:rsidR="00B53C7F" w:rsidRPr="00DD5CDE" w:rsidRDefault="00B53C7F" w:rsidP="0094648D">
      <w:pPr>
        <w:widowControl w:val="0"/>
        <w:adjustRightInd w:val="0"/>
        <w:spacing w:line="360" w:lineRule="auto"/>
        <w:ind w:firstLine="1440"/>
        <w:rPr>
          <w:bCs/>
          <w:color w:val="000000"/>
        </w:rPr>
      </w:pPr>
    </w:p>
    <w:p w:rsidR="00C7317B" w:rsidRPr="00DD5CDE" w:rsidRDefault="00B62154" w:rsidP="0094648D">
      <w:pPr>
        <w:widowControl w:val="0"/>
        <w:adjustRightInd w:val="0"/>
        <w:spacing w:line="360" w:lineRule="auto"/>
        <w:ind w:firstLine="1440"/>
        <w:rPr>
          <w:bCs/>
          <w:color w:val="000000"/>
        </w:rPr>
      </w:pPr>
      <w:r w:rsidRPr="00DD5CDE">
        <w:rPr>
          <w:bCs/>
          <w:color w:val="000000"/>
        </w:rPr>
        <w:t xml:space="preserve">On July 10, 2014, </w:t>
      </w:r>
      <w:r w:rsidR="00C7317B" w:rsidRPr="00DD5CDE">
        <w:rPr>
          <w:bCs/>
          <w:color w:val="000000"/>
        </w:rPr>
        <w:t xml:space="preserve">ESP </w:t>
      </w:r>
      <w:r w:rsidRPr="00DD5CDE">
        <w:rPr>
          <w:bCs/>
          <w:color w:val="000000"/>
        </w:rPr>
        <w:t xml:space="preserve">filed an Answer and New Matter in response to the Complaint.  In its Answer, </w:t>
      </w:r>
      <w:r w:rsidR="00C7317B" w:rsidRPr="00DD5CDE">
        <w:rPr>
          <w:bCs/>
          <w:color w:val="000000"/>
        </w:rPr>
        <w:t xml:space="preserve">ESP </w:t>
      </w:r>
      <w:r w:rsidRPr="00DD5CDE">
        <w:rPr>
          <w:bCs/>
          <w:color w:val="000000"/>
        </w:rPr>
        <w:t xml:space="preserve">admitted or denied the various averments made by the Joint Complainants.  In particular, </w:t>
      </w:r>
      <w:r w:rsidR="00C7317B" w:rsidRPr="00DD5CDE">
        <w:rPr>
          <w:bCs/>
          <w:color w:val="000000"/>
        </w:rPr>
        <w:t>ESP</w:t>
      </w:r>
      <w:r w:rsidRPr="00DD5CDE">
        <w:rPr>
          <w:bCs/>
          <w:color w:val="000000"/>
        </w:rPr>
        <w:t xml:space="preserve"> specifically denied that </w:t>
      </w:r>
      <w:r w:rsidR="00C7317B" w:rsidRPr="00DD5CDE">
        <w:rPr>
          <w:bCs/>
          <w:color w:val="000000"/>
        </w:rPr>
        <w:t xml:space="preserve">any of its actions violated </w:t>
      </w:r>
      <w:r w:rsidR="00C7317B" w:rsidRPr="00DD5CDE">
        <w:rPr>
          <w:bCs/>
          <w:color w:val="000000"/>
        </w:rPr>
        <w:lastRenderedPageBreak/>
        <w:t>Pennsylvania law or the orders and regulations of the Commission.  ESP also denied that it misled or deceived any of its customers regarding the price customers would pay for their electrici</w:t>
      </w:r>
      <w:r w:rsidR="00B53C7F">
        <w:rPr>
          <w:bCs/>
          <w:color w:val="000000"/>
        </w:rPr>
        <w:t xml:space="preserve">ty to their harm or detriment.  </w:t>
      </w:r>
      <w:r w:rsidR="00C7317B" w:rsidRPr="00DD5CDE">
        <w:rPr>
          <w:bCs/>
          <w:color w:val="000000"/>
        </w:rPr>
        <w:t xml:space="preserve">In its New Matter, ESP averred, among other things, that </w:t>
      </w:r>
      <w:r w:rsidR="002C5171" w:rsidRPr="00DD5CDE">
        <w:rPr>
          <w:bCs/>
          <w:color w:val="000000"/>
        </w:rPr>
        <w:t xml:space="preserve">the Commission previously reviewed and approved ESP’s Disclosure Statement and that at all times during the period covered by the allegations in the Complaint, ESP’s pricing was consistent with the Disclosure Statement, except to the extent that ESP voluntarily absorbed extremely high wholesale electricity prices.  ESP </w:t>
      </w:r>
      <w:r w:rsidR="002516D4" w:rsidRPr="00DD5CDE">
        <w:rPr>
          <w:bCs/>
          <w:color w:val="000000"/>
        </w:rPr>
        <w:t>averred</w:t>
      </w:r>
      <w:r w:rsidR="002C5171" w:rsidRPr="00DD5CDE">
        <w:rPr>
          <w:bCs/>
          <w:color w:val="000000"/>
        </w:rPr>
        <w:t xml:space="preserve"> thirteen affirmative defenses and concluded by requesting that the Commission dismiss the Complaint with prejudice.</w:t>
      </w:r>
    </w:p>
    <w:p w:rsidR="002C5171" w:rsidRPr="00DD5CDE" w:rsidRDefault="002C5171" w:rsidP="0094648D">
      <w:pPr>
        <w:widowControl w:val="0"/>
        <w:adjustRightInd w:val="0"/>
        <w:spacing w:line="360" w:lineRule="auto"/>
        <w:ind w:firstLine="1440"/>
        <w:rPr>
          <w:bCs/>
          <w:color w:val="000000"/>
        </w:rPr>
      </w:pPr>
    </w:p>
    <w:p w:rsidR="00EA5C78" w:rsidRPr="00DD5CDE" w:rsidRDefault="002C5171" w:rsidP="0094648D">
      <w:pPr>
        <w:widowControl w:val="0"/>
        <w:adjustRightInd w:val="0"/>
        <w:spacing w:line="360" w:lineRule="auto"/>
        <w:ind w:firstLine="1440"/>
        <w:rPr>
          <w:bCs/>
          <w:color w:val="000000"/>
        </w:rPr>
      </w:pPr>
      <w:r w:rsidRPr="00DD5CDE">
        <w:rPr>
          <w:bCs/>
          <w:color w:val="000000"/>
        </w:rPr>
        <w:t xml:space="preserve">Also on July 10, 2014, ESP filed Preliminary Objections in response to the Complaint.  In its Preliminary Objections, ESP </w:t>
      </w:r>
      <w:r w:rsidR="00B53C7F">
        <w:rPr>
          <w:bCs/>
          <w:color w:val="000000"/>
        </w:rPr>
        <w:t xml:space="preserve">sought </w:t>
      </w:r>
      <w:r w:rsidRPr="00DD5CDE">
        <w:rPr>
          <w:bCs/>
          <w:color w:val="000000"/>
        </w:rPr>
        <w:t>dismissal of each Count of the Complaint</w:t>
      </w:r>
      <w:r w:rsidR="00D4089A" w:rsidRPr="00DD5CDE">
        <w:rPr>
          <w:bCs/>
          <w:color w:val="000000"/>
        </w:rPr>
        <w:t xml:space="preserve"> for various reasons, including insufficient specificity, lack of Commission jurisdiction and legal insufficiency.</w:t>
      </w:r>
      <w:r w:rsidR="00B53C7F">
        <w:rPr>
          <w:bCs/>
          <w:color w:val="000000"/>
        </w:rPr>
        <w:t xml:space="preserve">  </w:t>
      </w:r>
      <w:r w:rsidR="00D4089A" w:rsidRPr="00DD5CDE">
        <w:rPr>
          <w:bCs/>
          <w:color w:val="000000"/>
        </w:rPr>
        <w:t xml:space="preserve">On July 21, 2014, the Joint Complainants filed an Answer to ESP’s Preliminary Objections.  In their Answer, the Joint Complainants asserted that </w:t>
      </w:r>
      <w:r w:rsidR="00070025" w:rsidRPr="00DD5CDE">
        <w:rPr>
          <w:bCs/>
          <w:color w:val="000000"/>
        </w:rPr>
        <w:t>ESP’s Preliminary Objections are unsupported and should be overruled.  The Joint Complainants added that it is clear and free from doubt that the Joint Complaint is sufficiently pleaded and seeks that the Commission make determinations pursuant to its juri</w:t>
      </w:r>
      <w:r w:rsidR="00B53C7F">
        <w:rPr>
          <w:bCs/>
          <w:color w:val="000000"/>
        </w:rPr>
        <w:t>sdiction and powers.</w:t>
      </w:r>
    </w:p>
    <w:p w:rsidR="00B62154" w:rsidRPr="00DD5CDE" w:rsidRDefault="00B62154" w:rsidP="0094648D">
      <w:pPr>
        <w:widowControl w:val="0"/>
        <w:adjustRightInd w:val="0"/>
        <w:spacing w:line="360" w:lineRule="auto"/>
        <w:ind w:firstLine="1440"/>
        <w:rPr>
          <w:bCs/>
          <w:color w:val="000000"/>
        </w:rPr>
      </w:pPr>
    </w:p>
    <w:p w:rsidR="00FD636E" w:rsidRDefault="00EA5C78" w:rsidP="0094648D">
      <w:pPr>
        <w:widowControl w:val="0"/>
        <w:adjustRightInd w:val="0"/>
        <w:spacing w:line="360" w:lineRule="auto"/>
        <w:ind w:firstLine="1440"/>
        <w:rPr>
          <w:bCs/>
          <w:color w:val="000000"/>
        </w:rPr>
      </w:pPr>
      <w:r w:rsidRPr="00DD5CDE">
        <w:rPr>
          <w:bCs/>
          <w:color w:val="000000"/>
        </w:rPr>
        <w:t xml:space="preserve">On July </w:t>
      </w:r>
      <w:r w:rsidR="007F6BDD" w:rsidRPr="00DD5CDE">
        <w:rPr>
          <w:bCs/>
          <w:color w:val="000000"/>
        </w:rPr>
        <w:t>30</w:t>
      </w:r>
      <w:r w:rsidRPr="00DD5CDE">
        <w:rPr>
          <w:bCs/>
          <w:color w:val="000000"/>
        </w:rPr>
        <w:t xml:space="preserve">, 2014, the Joint Complainants filed an Answer to </w:t>
      </w:r>
      <w:r w:rsidR="00070025" w:rsidRPr="00DD5CDE">
        <w:rPr>
          <w:bCs/>
          <w:color w:val="000000"/>
        </w:rPr>
        <w:t>ESP’s</w:t>
      </w:r>
      <w:r w:rsidRPr="00DD5CDE">
        <w:rPr>
          <w:bCs/>
          <w:color w:val="000000"/>
        </w:rPr>
        <w:t xml:space="preserve"> New Matter.  In </w:t>
      </w:r>
      <w:r w:rsidR="00E46E1C">
        <w:rPr>
          <w:bCs/>
          <w:color w:val="000000"/>
        </w:rPr>
        <w:t>their</w:t>
      </w:r>
      <w:r w:rsidRPr="00DD5CDE">
        <w:rPr>
          <w:bCs/>
          <w:color w:val="000000"/>
        </w:rPr>
        <w:t xml:space="preserve"> Answer, the Joint Complainants</w:t>
      </w:r>
      <w:r w:rsidR="00B53C7F">
        <w:rPr>
          <w:bCs/>
          <w:color w:val="000000"/>
        </w:rPr>
        <w:t>, among other things,</w:t>
      </w:r>
      <w:r w:rsidRPr="00DD5CDE">
        <w:rPr>
          <w:bCs/>
          <w:color w:val="000000"/>
        </w:rPr>
        <w:t xml:space="preserve"> </w:t>
      </w:r>
      <w:r w:rsidR="00F36AB5" w:rsidRPr="00DD5CDE">
        <w:rPr>
          <w:bCs/>
          <w:color w:val="000000"/>
        </w:rPr>
        <w:t xml:space="preserve">specifically denied the averments made in ESP’s New Matter, including that the Commission reviewed and approved ESP’s Disclosure Statement and </w:t>
      </w:r>
      <w:r w:rsidR="002516D4" w:rsidRPr="00DD5CDE">
        <w:rPr>
          <w:bCs/>
          <w:color w:val="000000"/>
        </w:rPr>
        <w:t xml:space="preserve">denied </w:t>
      </w:r>
      <w:r w:rsidR="00F36AB5" w:rsidRPr="00DD5CDE">
        <w:rPr>
          <w:bCs/>
          <w:color w:val="000000"/>
        </w:rPr>
        <w:t>that the stated information in any way absolves ESP of the violat</w:t>
      </w:r>
      <w:r w:rsidR="00B53C7F">
        <w:rPr>
          <w:bCs/>
          <w:color w:val="000000"/>
        </w:rPr>
        <w:t>ions alleged in the Complaint.</w:t>
      </w:r>
    </w:p>
    <w:p w:rsidR="00B53C7F" w:rsidRPr="00DD5CDE" w:rsidRDefault="00B53C7F" w:rsidP="0094648D">
      <w:pPr>
        <w:widowControl w:val="0"/>
        <w:adjustRightInd w:val="0"/>
        <w:spacing w:line="360" w:lineRule="auto"/>
        <w:ind w:firstLine="1440"/>
        <w:rPr>
          <w:bCs/>
          <w:color w:val="000000"/>
        </w:rPr>
      </w:pPr>
    </w:p>
    <w:p w:rsidR="00DD5CDE" w:rsidRDefault="00B53C7F" w:rsidP="0094648D">
      <w:pPr>
        <w:widowControl w:val="0"/>
        <w:adjustRightInd w:val="0"/>
        <w:spacing w:line="360" w:lineRule="auto"/>
        <w:ind w:firstLine="1440"/>
        <w:rPr>
          <w:bCs/>
          <w:color w:val="000000"/>
        </w:rPr>
      </w:pPr>
      <w:r>
        <w:rPr>
          <w:bCs/>
          <w:color w:val="000000"/>
        </w:rPr>
        <w:t xml:space="preserve">On August 20, 2014, an Order Granting in Part and </w:t>
      </w:r>
      <w:proofErr w:type="gramStart"/>
      <w:r>
        <w:rPr>
          <w:bCs/>
          <w:color w:val="000000"/>
        </w:rPr>
        <w:t>Denying</w:t>
      </w:r>
      <w:proofErr w:type="gramEnd"/>
      <w:r>
        <w:rPr>
          <w:bCs/>
          <w:color w:val="000000"/>
        </w:rPr>
        <w:t xml:space="preserve"> in Part Preliminary Objections was issued.  The Order struck</w:t>
      </w:r>
      <w:r w:rsidR="003815D5">
        <w:rPr>
          <w:bCs/>
          <w:color w:val="000000"/>
        </w:rPr>
        <w:t>, in part,</w:t>
      </w:r>
      <w:r>
        <w:rPr>
          <w:bCs/>
          <w:color w:val="000000"/>
        </w:rPr>
        <w:t xml:space="preserve"> Counts </w:t>
      </w:r>
      <w:proofErr w:type="gramStart"/>
      <w:r>
        <w:rPr>
          <w:bCs/>
          <w:color w:val="000000"/>
        </w:rPr>
        <w:t>I</w:t>
      </w:r>
      <w:proofErr w:type="gramEnd"/>
      <w:r>
        <w:rPr>
          <w:bCs/>
          <w:color w:val="000000"/>
        </w:rPr>
        <w:t xml:space="preserve">, II, III, V, VI and VII and allowed all other Counts raised </w:t>
      </w:r>
      <w:r w:rsidR="003815D5">
        <w:rPr>
          <w:bCs/>
          <w:color w:val="000000"/>
        </w:rPr>
        <w:t xml:space="preserve">in the Complaint </w:t>
      </w:r>
      <w:r>
        <w:rPr>
          <w:bCs/>
          <w:color w:val="000000"/>
        </w:rPr>
        <w:t>to proceed to a Hearing.</w:t>
      </w:r>
    </w:p>
    <w:p w:rsidR="00B53C7F" w:rsidRDefault="00B53C7F" w:rsidP="0094648D">
      <w:pPr>
        <w:widowControl w:val="0"/>
        <w:adjustRightInd w:val="0"/>
        <w:spacing w:line="360" w:lineRule="auto"/>
        <w:ind w:firstLine="1440"/>
        <w:rPr>
          <w:bCs/>
          <w:color w:val="000000"/>
        </w:rPr>
      </w:pPr>
    </w:p>
    <w:p w:rsidR="00B53C7F" w:rsidRDefault="00B53C7F" w:rsidP="0094648D">
      <w:pPr>
        <w:widowControl w:val="0"/>
        <w:adjustRightInd w:val="0"/>
        <w:spacing w:line="360" w:lineRule="auto"/>
        <w:ind w:firstLine="1440"/>
        <w:rPr>
          <w:bCs/>
          <w:color w:val="000000"/>
        </w:rPr>
      </w:pPr>
      <w:r>
        <w:rPr>
          <w:bCs/>
          <w:color w:val="000000"/>
        </w:rPr>
        <w:t>On August 25, 2014, an Initial Prehearing Conference was convened</w:t>
      </w:r>
      <w:r w:rsidR="003815D5">
        <w:rPr>
          <w:bCs/>
          <w:color w:val="000000"/>
        </w:rPr>
        <w:t xml:space="preserve">.  </w:t>
      </w:r>
      <w:r w:rsidR="003815D5">
        <w:rPr>
          <w:bCs/>
          <w:color w:val="000000"/>
        </w:rPr>
        <w:lastRenderedPageBreak/>
        <w:t xml:space="preserve">Various </w:t>
      </w:r>
      <w:r>
        <w:rPr>
          <w:bCs/>
          <w:color w:val="000000"/>
        </w:rPr>
        <w:t>procedural issues were discussed</w:t>
      </w:r>
      <w:r w:rsidR="003815D5">
        <w:rPr>
          <w:bCs/>
          <w:color w:val="000000"/>
        </w:rPr>
        <w:t xml:space="preserve"> at that time</w:t>
      </w:r>
      <w:r>
        <w:rPr>
          <w:bCs/>
          <w:color w:val="000000"/>
        </w:rPr>
        <w:t xml:space="preserve">.  Since the Initial Prehearing Conference, three Procedural Orders have been issued.  Additionally, two Petitions for Interlocutory Review and Answer to Material Question have been filed </w:t>
      </w:r>
      <w:r w:rsidR="003815D5">
        <w:rPr>
          <w:bCs/>
          <w:color w:val="000000"/>
        </w:rPr>
        <w:t>by the parties</w:t>
      </w:r>
      <w:r w:rsidR="00045CCF">
        <w:rPr>
          <w:bCs/>
          <w:color w:val="000000"/>
        </w:rPr>
        <w:t xml:space="preserve">.  Both of those Petitions remain </w:t>
      </w:r>
      <w:r>
        <w:rPr>
          <w:bCs/>
          <w:color w:val="000000"/>
        </w:rPr>
        <w:t>outstanding.</w:t>
      </w:r>
    </w:p>
    <w:p w:rsidR="00B53C7F" w:rsidRDefault="00B53C7F" w:rsidP="0094648D">
      <w:pPr>
        <w:widowControl w:val="0"/>
        <w:adjustRightInd w:val="0"/>
        <w:spacing w:line="360" w:lineRule="auto"/>
        <w:ind w:firstLine="1440"/>
        <w:rPr>
          <w:bCs/>
          <w:color w:val="000000"/>
        </w:rPr>
      </w:pPr>
    </w:p>
    <w:p w:rsidR="00B53C7F" w:rsidRDefault="00B53C7F" w:rsidP="0094648D">
      <w:pPr>
        <w:widowControl w:val="0"/>
        <w:adjustRightInd w:val="0"/>
        <w:spacing w:line="360" w:lineRule="auto"/>
        <w:ind w:firstLine="1440"/>
        <w:rPr>
          <w:bCs/>
          <w:color w:val="000000"/>
        </w:rPr>
      </w:pPr>
      <w:r>
        <w:rPr>
          <w:bCs/>
          <w:color w:val="000000"/>
        </w:rPr>
        <w:t>On October 20, 2014, ESP</w:t>
      </w:r>
      <w:r w:rsidR="00530931">
        <w:rPr>
          <w:bCs/>
          <w:color w:val="000000"/>
        </w:rPr>
        <w:t xml:space="preserve"> filed a Motion </w:t>
      </w:r>
      <w:proofErr w:type="gramStart"/>
      <w:r w:rsidR="00530931">
        <w:rPr>
          <w:bCs/>
          <w:i/>
          <w:color w:val="000000"/>
        </w:rPr>
        <w:t>In</w:t>
      </w:r>
      <w:proofErr w:type="gramEnd"/>
      <w:r w:rsidR="00530931">
        <w:rPr>
          <w:bCs/>
          <w:i/>
          <w:color w:val="000000"/>
        </w:rPr>
        <w:t xml:space="preserve"> </w:t>
      </w:r>
      <w:proofErr w:type="spellStart"/>
      <w:r w:rsidR="00530931">
        <w:rPr>
          <w:bCs/>
          <w:i/>
          <w:color w:val="000000"/>
        </w:rPr>
        <w:t>Limine</w:t>
      </w:r>
      <w:proofErr w:type="spellEnd"/>
      <w:r w:rsidR="00530931">
        <w:rPr>
          <w:bCs/>
          <w:color w:val="000000"/>
        </w:rPr>
        <w:t xml:space="preserve"> to Restrict Introduction of Evidence.  In its Motion, which was accompanied by a Notice to Plead, ESP argued that </w:t>
      </w:r>
      <w:r w:rsidR="00FB17DC">
        <w:rPr>
          <w:bCs/>
          <w:color w:val="000000"/>
        </w:rPr>
        <w:t xml:space="preserve">an order </w:t>
      </w:r>
      <w:r w:rsidR="00FB17DC">
        <w:rPr>
          <w:bCs/>
          <w:i/>
          <w:color w:val="000000"/>
        </w:rPr>
        <w:t xml:space="preserve">in </w:t>
      </w:r>
      <w:proofErr w:type="spellStart"/>
      <w:r w:rsidR="00FB17DC">
        <w:rPr>
          <w:bCs/>
          <w:i/>
          <w:color w:val="000000"/>
        </w:rPr>
        <w:t>limine</w:t>
      </w:r>
      <w:proofErr w:type="spellEnd"/>
      <w:r w:rsidR="00FB17DC">
        <w:rPr>
          <w:bCs/>
          <w:color w:val="000000"/>
        </w:rPr>
        <w:t xml:space="preserve"> should be entered directing that no evidence of the allegations contained in formal complaints against ESP that are the subject of filed, </w:t>
      </w:r>
      <w:proofErr w:type="spellStart"/>
      <w:r w:rsidR="00FB17DC">
        <w:rPr>
          <w:bCs/>
          <w:color w:val="000000"/>
        </w:rPr>
        <w:t>unobjected</w:t>
      </w:r>
      <w:proofErr w:type="spellEnd"/>
      <w:r w:rsidR="00FB17DC">
        <w:rPr>
          <w:bCs/>
          <w:color w:val="000000"/>
        </w:rPr>
        <w:t>-to Certificates of Satisfaction, including testimony by the customer-complainants, shall be introduced or admitted into the record of this matter.  ESP argued, as discussed further below, that satisfaction of the formal complaints has conclusively relieved ESP of responsibility of the conduct alleged in those complaints and that admission of evidence of that conduct would deprive ESP of the protections afforded by Sections 703 and 316 of the Public Utility Code, among other thi</w:t>
      </w:r>
      <w:r w:rsidR="003815D5">
        <w:rPr>
          <w:bCs/>
          <w:color w:val="000000"/>
        </w:rPr>
        <w:t>n</w:t>
      </w:r>
      <w:r w:rsidR="00FB17DC">
        <w:rPr>
          <w:bCs/>
          <w:color w:val="000000"/>
        </w:rPr>
        <w:t>gs.</w:t>
      </w:r>
    </w:p>
    <w:p w:rsidR="00530931" w:rsidRPr="00530931" w:rsidRDefault="00530931" w:rsidP="0094648D">
      <w:pPr>
        <w:widowControl w:val="0"/>
        <w:adjustRightInd w:val="0"/>
        <w:spacing w:line="360" w:lineRule="auto"/>
        <w:ind w:firstLine="1440"/>
        <w:rPr>
          <w:bCs/>
          <w:color w:val="000000"/>
        </w:rPr>
      </w:pPr>
    </w:p>
    <w:p w:rsidR="00DD5CDE" w:rsidRPr="00DD5CDE" w:rsidRDefault="00530931" w:rsidP="0094648D">
      <w:pPr>
        <w:widowControl w:val="0"/>
        <w:adjustRightInd w:val="0"/>
        <w:spacing w:line="360" w:lineRule="auto"/>
        <w:ind w:firstLine="1440"/>
        <w:rPr>
          <w:bCs/>
          <w:color w:val="000000"/>
        </w:rPr>
      </w:pPr>
      <w:r>
        <w:rPr>
          <w:bCs/>
          <w:color w:val="000000"/>
        </w:rPr>
        <w:t xml:space="preserve">On November 10, 2014, the Joint Complainants filed an Answer to ESP’s Motion.  In its Answer, the Joint Complainants argued </w:t>
      </w:r>
      <w:r w:rsidR="00FB17DC">
        <w:rPr>
          <w:bCs/>
          <w:color w:val="000000"/>
        </w:rPr>
        <w:t>that ESP’s Motion should be denied because evidence of allegations contained in formal complaints against ESP may be introduced and offered into the record to establish patterns of practice and/or conduct by ESP which violated the Public Utility Code, among other things.  The Joint Complain</w:t>
      </w:r>
      <w:r w:rsidR="004444A1">
        <w:rPr>
          <w:bCs/>
          <w:color w:val="000000"/>
        </w:rPr>
        <w:t>an</w:t>
      </w:r>
      <w:r w:rsidR="00FB17DC">
        <w:rPr>
          <w:bCs/>
          <w:color w:val="000000"/>
        </w:rPr>
        <w:t>ts further argued, as discussed below, that evidence of the alleged conduct is admissible regardless of whether Certificates of Satisfaction have been filed with the Commission because the action is brought on behalf of the public interest and the Joint Complainants were not a party to the underlying consumer complaint proceedings.</w:t>
      </w:r>
    </w:p>
    <w:p w:rsidR="00FD636E" w:rsidRPr="00530931" w:rsidRDefault="00FD636E" w:rsidP="0094648D">
      <w:pPr>
        <w:widowControl w:val="0"/>
        <w:adjustRightInd w:val="0"/>
        <w:spacing w:line="360" w:lineRule="auto"/>
        <w:ind w:firstLine="1440"/>
        <w:rPr>
          <w:bCs/>
          <w:color w:val="000000"/>
        </w:rPr>
      </w:pPr>
    </w:p>
    <w:p w:rsidR="00CF5705" w:rsidRDefault="00070025" w:rsidP="00E20D55">
      <w:pPr>
        <w:spacing w:line="360" w:lineRule="auto"/>
        <w:ind w:firstLine="1440"/>
        <w:rPr>
          <w:bCs/>
          <w:color w:val="000000"/>
        </w:rPr>
      </w:pPr>
      <w:r w:rsidRPr="00530931">
        <w:rPr>
          <w:bCs/>
          <w:color w:val="000000"/>
        </w:rPr>
        <w:t>ESP’s</w:t>
      </w:r>
      <w:r w:rsidR="00FD636E" w:rsidRPr="00530931">
        <w:rPr>
          <w:bCs/>
          <w:color w:val="000000"/>
        </w:rPr>
        <w:t xml:space="preserve"> </w:t>
      </w:r>
      <w:r w:rsidR="00530931">
        <w:rPr>
          <w:bCs/>
          <w:color w:val="000000"/>
        </w:rPr>
        <w:t xml:space="preserve">Motion is </w:t>
      </w:r>
      <w:r w:rsidR="00EF26AE" w:rsidRPr="00530931">
        <w:rPr>
          <w:bCs/>
          <w:color w:val="000000"/>
        </w:rPr>
        <w:t xml:space="preserve">ready for disposition.  For the reasons discussed below, </w:t>
      </w:r>
      <w:r w:rsidRPr="00530931">
        <w:rPr>
          <w:bCs/>
          <w:color w:val="000000"/>
        </w:rPr>
        <w:t>ESP’s</w:t>
      </w:r>
      <w:r w:rsidR="00FD636E" w:rsidRPr="00530931">
        <w:rPr>
          <w:bCs/>
          <w:color w:val="000000"/>
        </w:rPr>
        <w:t xml:space="preserve"> </w:t>
      </w:r>
      <w:r w:rsidR="00530931">
        <w:rPr>
          <w:bCs/>
          <w:color w:val="000000"/>
        </w:rPr>
        <w:t xml:space="preserve">Motion </w:t>
      </w:r>
      <w:r w:rsidR="00EF26AE" w:rsidRPr="00530931">
        <w:rPr>
          <w:bCs/>
          <w:color w:val="000000"/>
        </w:rPr>
        <w:t xml:space="preserve">will be </w:t>
      </w:r>
      <w:r w:rsidR="008C2B8B" w:rsidRPr="00530931">
        <w:rPr>
          <w:bCs/>
          <w:color w:val="000000"/>
        </w:rPr>
        <w:t>denied</w:t>
      </w:r>
      <w:r w:rsidR="00EF26AE" w:rsidRPr="00530931">
        <w:rPr>
          <w:bCs/>
          <w:color w:val="000000"/>
        </w:rPr>
        <w:t>.</w:t>
      </w:r>
    </w:p>
    <w:p w:rsidR="00FB17DC" w:rsidRDefault="00FB17DC" w:rsidP="00E20D55">
      <w:pPr>
        <w:spacing w:line="360" w:lineRule="auto"/>
        <w:ind w:firstLine="1440"/>
        <w:rPr>
          <w:bCs/>
          <w:color w:val="000000"/>
        </w:rPr>
      </w:pPr>
    </w:p>
    <w:p w:rsidR="00BB03C9" w:rsidRPr="00C33BBB" w:rsidRDefault="003815D5" w:rsidP="00E20D55">
      <w:pPr>
        <w:spacing w:line="360" w:lineRule="auto"/>
        <w:ind w:firstLine="1440"/>
        <w:rPr>
          <w:bCs/>
          <w:color w:val="000000"/>
        </w:rPr>
      </w:pPr>
      <w:r>
        <w:rPr>
          <w:bCs/>
          <w:color w:val="000000"/>
        </w:rPr>
        <w:t>As the parties noted, a</w:t>
      </w:r>
      <w:r w:rsidR="00FB17DC">
        <w:rPr>
          <w:bCs/>
          <w:color w:val="000000"/>
        </w:rPr>
        <w:t xml:space="preserve"> motion </w:t>
      </w:r>
      <w:r w:rsidR="00FB17DC">
        <w:rPr>
          <w:bCs/>
          <w:i/>
          <w:color w:val="000000"/>
        </w:rPr>
        <w:t xml:space="preserve">in </w:t>
      </w:r>
      <w:proofErr w:type="spellStart"/>
      <w:r w:rsidR="00FB17DC">
        <w:rPr>
          <w:bCs/>
          <w:i/>
          <w:color w:val="000000"/>
        </w:rPr>
        <w:t>limine</w:t>
      </w:r>
      <w:proofErr w:type="spellEnd"/>
      <w:r w:rsidR="00FB17DC">
        <w:rPr>
          <w:bCs/>
          <w:color w:val="000000"/>
        </w:rPr>
        <w:t xml:space="preserve"> is a procedure for obtaining a ruling on the admissibility of evidence prior to or during trial, but before the evidence has </w:t>
      </w:r>
      <w:r w:rsidR="00FB17DC">
        <w:rPr>
          <w:bCs/>
          <w:color w:val="000000"/>
        </w:rPr>
        <w:lastRenderedPageBreak/>
        <w:t xml:space="preserve">been offered.  </w:t>
      </w:r>
      <w:r w:rsidR="00FB17DC">
        <w:rPr>
          <w:bCs/>
          <w:color w:val="000000"/>
          <w:u w:val="single"/>
        </w:rPr>
        <w:t>In re PECO Energy Co.</w:t>
      </w:r>
      <w:r w:rsidR="00FB17DC">
        <w:rPr>
          <w:bCs/>
          <w:color w:val="000000"/>
        </w:rPr>
        <w:t xml:space="preserve">, Docket No. A-00110550F0147, Opinion and Order (entered June 22, 2000).  </w:t>
      </w:r>
      <w:r w:rsidR="00BB03C9">
        <w:rPr>
          <w:bCs/>
          <w:color w:val="000000"/>
        </w:rPr>
        <w:t xml:space="preserve">According to </w:t>
      </w:r>
      <w:proofErr w:type="spellStart"/>
      <w:r w:rsidR="00BB03C9">
        <w:rPr>
          <w:bCs/>
          <w:color w:val="000000"/>
          <w:u w:val="single"/>
        </w:rPr>
        <w:t>Ohlbaum</w:t>
      </w:r>
      <w:proofErr w:type="spellEnd"/>
      <w:r w:rsidR="00BB03C9">
        <w:rPr>
          <w:bCs/>
          <w:color w:val="000000"/>
          <w:u w:val="single"/>
        </w:rPr>
        <w:t xml:space="preserve"> on the Pennsylvania Rules of Evidence</w:t>
      </w:r>
      <w:r w:rsidR="00BB03C9">
        <w:rPr>
          <w:bCs/>
          <w:color w:val="000000"/>
        </w:rPr>
        <w:t xml:space="preserve">, a motion </w:t>
      </w:r>
      <w:r w:rsidR="00BB03C9">
        <w:rPr>
          <w:bCs/>
          <w:i/>
          <w:color w:val="000000"/>
        </w:rPr>
        <w:t xml:space="preserve">in </w:t>
      </w:r>
      <w:proofErr w:type="spellStart"/>
      <w:r w:rsidR="00BB03C9">
        <w:rPr>
          <w:bCs/>
          <w:i/>
          <w:color w:val="000000"/>
        </w:rPr>
        <w:t>limine</w:t>
      </w:r>
      <w:proofErr w:type="spellEnd"/>
      <w:r w:rsidR="00BB03C9">
        <w:rPr>
          <w:bCs/>
          <w:color w:val="000000"/>
        </w:rPr>
        <w:t xml:space="preserve"> is an application to the trial court, generally made pretrial or outside the jury’s presence, requesting a </w:t>
      </w:r>
      <w:r w:rsidR="00F522EC">
        <w:rPr>
          <w:bCs/>
          <w:color w:val="000000"/>
        </w:rPr>
        <w:t>ruling to determine the admissibility</w:t>
      </w:r>
      <w:r w:rsidR="00BB03C9">
        <w:rPr>
          <w:bCs/>
          <w:color w:val="000000"/>
        </w:rPr>
        <w:t xml:space="preserve"> of evidence.  </w:t>
      </w:r>
      <w:r w:rsidR="00BB03C9">
        <w:rPr>
          <w:bCs/>
          <w:i/>
          <w:color w:val="000000"/>
        </w:rPr>
        <w:t>See</w:t>
      </w:r>
      <w:r w:rsidR="00BB03C9">
        <w:rPr>
          <w:bCs/>
          <w:color w:val="000000"/>
        </w:rPr>
        <w:t xml:space="preserve">, </w:t>
      </w:r>
      <w:r w:rsidR="00BB03C9">
        <w:rPr>
          <w:bCs/>
          <w:color w:val="000000"/>
          <w:u w:val="single"/>
        </w:rPr>
        <w:t>Commonwealth v. Reese</w:t>
      </w:r>
      <w:r w:rsidR="00BB03C9">
        <w:rPr>
          <w:bCs/>
          <w:color w:val="000000"/>
        </w:rPr>
        <w:t xml:space="preserve">, </w:t>
      </w:r>
      <w:proofErr w:type="gramStart"/>
      <w:r w:rsidR="00BB03C9">
        <w:rPr>
          <w:bCs/>
          <w:color w:val="000000"/>
        </w:rPr>
        <w:t>31 A.3d 708</w:t>
      </w:r>
      <w:proofErr w:type="gramEnd"/>
      <w:r w:rsidR="00BB03C9">
        <w:rPr>
          <w:bCs/>
          <w:color w:val="000000"/>
        </w:rPr>
        <w:t xml:space="preserve"> (Pa. Super. </w:t>
      </w:r>
      <w:proofErr w:type="gramStart"/>
      <w:r w:rsidR="00BB03C9">
        <w:rPr>
          <w:bCs/>
          <w:color w:val="000000"/>
        </w:rPr>
        <w:t>Ct. 2011).</w:t>
      </w:r>
      <w:proofErr w:type="gramEnd"/>
      <w:r w:rsidR="00BB03C9">
        <w:rPr>
          <w:bCs/>
          <w:color w:val="000000"/>
        </w:rPr>
        <w:t xml:space="preserve">  The purpose of a motion </w:t>
      </w:r>
      <w:r w:rsidR="00BB03C9">
        <w:rPr>
          <w:bCs/>
          <w:i/>
          <w:color w:val="000000"/>
        </w:rPr>
        <w:t xml:space="preserve">in </w:t>
      </w:r>
      <w:proofErr w:type="spellStart"/>
      <w:r w:rsidR="00BB03C9">
        <w:rPr>
          <w:bCs/>
          <w:i/>
          <w:color w:val="000000"/>
        </w:rPr>
        <w:t>limine</w:t>
      </w:r>
      <w:proofErr w:type="spellEnd"/>
      <w:r w:rsidR="00BB03C9">
        <w:rPr>
          <w:bCs/>
          <w:color w:val="000000"/>
        </w:rPr>
        <w:t xml:space="preserve"> is to provide the court with the opportunity to consider the admissibility of prejudicial evidence and determine whether curative instructions or other limitations are necessary before the jury is permitted to hear the evidence, so as to avoid a mistrial or reversal.  </w:t>
      </w:r>
      <w:proofErr w:type="gramStart"/>
      <w:r w:rsidR="00BB03C9">
        <w:rPr>
          <w:bCs/>
          <w:color w:val="000000"/>
          <w:u w:val="single"/>
        </w:rPr>
        <w:t>Commonwealth v. Noll</w:t>
      </w:r>
      <w:r w:rsidR="00BB03C9">
        <w:rPr>
          <w:bCs/>
          <w:color w:val="000000"/>
        </w:rPr>
        <w:t>, 662 A.2d 1123 (Pa. Super.</w:t>
      </w:r>
      <w:proofErr w:type="gramEnd"/>
      <w:r w:rsidR="00BB03C9">
        <w:rPr>
          <w:bCs/>
          <w:color w:val="000000"/>
        </w:rPr>
        <w:t xml:space="preserve"> </w:t>
      </w:r>
      <w:proofErr w:type="gramStart"/>
      <w:r w:rsidR="00BB03C9">
        <w:rPr>
          <w:bCs/>
          <w:color w:val="000000"/>
        </w:rPr>
        <w:t>Ct. 1995).</w:t>
      </w:r>
      <w:proofErr w:type="gramEnd"/>
      <w:r w:rsidR="00BB03C9">
        <w:rPr>
          <w:bCs/>
          <w:color w:val="000000"/>
        </w:rPr>
        <w:t xml:space="preserve">  A ruling in a pretrial motion </w:t>
      </w:r>
      <w:r w:rsidR="00BB03C9">
        <w:rPr>
          <w:bCs/>
          <w:i/>
          <w:color w:val="000000"/>
        </w:rPr>
        <w:t xml:space="preserve">in </w:t>
      </w:r>
      <w:proofErr w:type="spellStart"/>
      <w:r w:rsidR="00BB03C9">
        <w:rPr>
          <w:bCs/>
          <w:i/>
          <w:color w:val="000000"/>
        </w:rPr>
        <w:t>limine</w:t>
      </w:r>
      <w:proofErr w:type="spellEnd"/>
      <w:r w:rsidR="00BB03C9">
        <w:rPr>
          <w:bCs/>
          <w:color w:val="000000"/>
        </w:rPr>
        <w:t xml:space="preserve"> provides counsel with a basis upon which to structure trial strategy.</w:t>
      </w:r>
      <w:r w:rsidR="00C33BBB">
        <w:rPr>
          <w:bCs/>
          <w:color w:val="000000"/>
        </w:rPr>
        <w:t xml:space="preserve">  Both ESP and the Joint Complainants noted in their respective Motion and Answer several instances where the Commission has considered motions </w:t>
      </w:r>
      <w:r w:rsidR="00C33BBB">
        <w:rPr>
          <w:bCs/>
          <w:i/>
          <w:color w:val="000000"/>
        </w:rPr>
        <w:t xml:space="preserve">in </w:t>
      </w:r>
      <w:proofErr w:type="spellStart"/>
      <w:r w:rsidR="00C33BBB">
        <w:rPr>
          <w:bCs/>
          <w:i/>
          <w:color w:val="000000"/>
        </w:rPr>
        <w:t>limine</w:t>
      </w:r>
      <w:proofErr w:type="spellEnd"/>
      <w:r w:rsidR="00C33BBB">
        <w:rPr>
          <w:bCs/>
          <w:color w:val="000000"/>
        </w:rPr>
        <w:t>.</w:t>
      </w:r>
    </w:p>
    <w:p w:rsidR="00BB03C9" w:rsidRDefault="00BB03C9" w:rsidP="00E20D55">
      <w:pPr>
        <w:spacing w:line="360" w:lineRule="auto"/>
        <w:ind w:firstLine="1440"/>
        <w:rPr>
          <w:bCs/>
          <w:color w:val="000000"/>
        </w:rPr>
      </w:pPr>
    </w:p>
    <w:p w:rsidR="00932C4C" w:rsidRPr="005A723E" w:rsidRDefault="00BB03C9" w:rsidP="00670AF4">
      <w:pPr>
        <w:spacing w:line="360" w:lineRule="auto"/>
        <w:ind w:firstLine="1440"/>
      </w:pPr>
      <w:r>
        <w:rPr>
          <w:bCs/>
          <w:color w:val="000000"/>
        </w:rPr>
        <w:t xml:space="preserve">In </w:t>
      </w:r>
      <w:r w:rsidR="00670AF4">
        <w:rPr>
          <w:bCs/>
          <w:color w:val="000000"/>
        </w:rPr>
        <w:t>its Motion, ESP relies on Sections 316 and 703 of the Public Utility Code in support of its position</w:t>
      </w:r>
      <w:r w:rsidR="004444A1">
        <w:rPr>
          <w:bCs/>
          <w:color w:val="000000"/>
        </w:rPr>
        <w:t xml:space="preserve"> that evidence of prior complaints satisfied via a Certificate of Satisfaction should not be admitted into the record of this proceeding</w:t>
      </w:r>
      <w:r w:rsidR="00670AF4">
        <w:rPr>
          <w:bCs/>
          <w:color w:val="000000"/>
        </w:rPr>
        <w:t xml:space="preserve">. </w:t>
      </w:r>
      <w:r w:rsidR="00932C4C" w:rsidRPr="005A723E">
        <w:t xml:space="preserve"> Section 703 of the Public Utility Code provides:</w:t>
      </w:r>
    </w:p>
    <w:p w:rsidR="00932C4C" w:rsidRPr="005A723E" w:rsidRDefault="00932C4C" w:rsidP="00932C4C">
      <w:pPr>
        <w:tabs>
          <w:tab w:val="left" w:pos="-720"/>
        </w:tabs>
        <w:suppressAutoHyphens/>
        <w:spacing w:line="360" w:lineRule="auto"/>
        <w:ind w:firstLine="1440"/>
      </w:pPr>
    </w:p>
    <w:p w:rsidR="00932C4C" w:rsidRPr="005A723E" w:rsidRDefault="00932C4C" w:rsidP="00932C4C">
      <w:pPr>
        <w:pStyle w:val="ListParagraph"/>
        <w:numPr>
          <w:ilvl w:val="0"/>
          <w:numId w:val="23"/>
        </w:numPr>
        <w:tabs>
          <w:tab w:val="left" w:pos="-720"/>
        </w:tabs>
        <w:suppressAutoHyphens/>
        <w:ind w:left="1440" w:right="1440" w:firstLine="0"/>
        <w:rPr>
          <w:b/>
        </w:rPr>
      </w:pPr>
      <w:r w:rsidRPr="005A723E">
        <w:rPr>
          <w:b/>
        </w:rPr>
        <w:t>Satisfaction of complaint or hearing.—</w:t>
      </w:r>
      <w:proofErr w:type="gramStart"/>
      <w:r w:rsidRPr="005A723E">
        <w:t>If</w:t>
      </w:r>
      <w:proofErr w:type="gramEnd"/>
      <w:r w:rsidRPr="005A723E">
        <w:t xml:space="preserve"> any party complained against, within the time specified by the commission, shall satisfy the complaint, the commission shall dismiss the complaint.  Such party shall be relieved from responsibility only for the specific matter complained of.</w:t>
      </w:r>
    </w:p>
    <w:p w:rsidR="00932C4C" w:rsidRPr="005A723E" w:rsidRDefault="00932C4C" w:rsidP="00932C4C">
      <w:pPr>
        <w:pStyle w:val="ListParagraph"/>
        <w:tabs>
          <w:tab w:val="left" w:pos="-720"/>
        </w:tabs>
        <w:suppressAutoHyphens/>
        <w:ind w:left="1440" w:right="1440"/>
        <w:rPr>
          <w:b/>
        </w:rPr>
      </w:pPr>
    </w:p>
    <w:p w:rsidR="000A14E9" w:rsidRDefault="00932C4C" w:rsidP="00D06A84">
      <w:pPr>
        <w:tabs>
          <w:tab w:val="left" w:pos="-720"/>
        </w:tabs>
        <w:suppressAutoHyphens/>
        <w:spacing w:line="360" w:lineRule="auto"/>
      </w:pPr>
      <w:proofErr w:type="gramStart"/>
      <w:r w:rsidRPr="005A723E">
        <w:t xml:space="preserve">66 </w:t>
      </w:r>
      <w:proofErr w:type="spellStart"/>
      <w:r w:rsidRPr="005A723E">
        <w:t>Pa.C.S</w:t>
      </w:r>
      <w:proofErr w:type="spellEnd"/>
      <w:r w:rsidRPr="005A723E">
        <w:t>.</w:t>
      </w:r>
      <w:proofErr w:type="gramEnd"/>
      <w:r w:rsidRPr="005A723E">
        <w:t xml:space="preserve"> § 703(a).  </w:t>
      </w:r>
      <w:r w:rsidR="005A723E">
        <w:t>Similarly, Section 316 of the Public Utility Code provides, in pertinent part:</w:t>
      </w:r>
    </w:p>
    <w:p w:rsidR="005A723E" w:rsidRDefault="005A723E" w:rsidP="005A723E">
      <w:pPr>
        <w:tabs>
          <w:tab w:val="left" w:pos="-720"/>
        </w:tabs>
        <w:suppressAutoHyphens/>
        <w:ind w:left="1440" w:right="1440"/>
      </w:pPr>
    </w:p>
    <w:p w:rsidR="005A723E" w:rsidRDefault="005A723E" w:rsidP="005A723E">
      <w:pPr>
        <w:tabs>
          <w:tab w:val="left" w:pos="-720"/>
        </w:tabs>
        <w:suppressAutoHyphens/>
        <w:ind w:left="1440" w:right="1440"/>
      </w:pPr>
      <w:r>
        <w:rPr>
          <w:b/>
        </w:rPr>
        <w:t>§ 316.  Effect of commission action</w:t>
      </w:r>
    </w:p>
    <w:p w:rsidR="005A723E" w:rsidRDefault="005A723E" w:rsidP="005A723E">
      <w:pPr>
        <w:tabs>
          <w:tab w:val="left" w:pos="-720"/>
        </w:tabs>
        <w:suppressAutoHyphens/>
        <w:ind w:left="1440" w:right="1440"/>
      </w:pPr>
    </w:p>
    <w:p w:rsidR="005A723E" w:rsidRDefault="005A723E" w:rsidP="005A723E">
      <w:pPr>
        <w:tabs>
          <w:tab w:val="left" w:pos="-720"/>
        </w:tabs>
        <w:suppressAutoHyphens/>
        <w:ind w:left="1440" w:right="1440"/>
      </w:pPr>
      <w:r>
        <w:t xml:space="preserve">Whenever the commission shall make any rule, regulation, finding, determination or order, the same shall be prima </w:t>
      </w:r>
      <w:proofErr w:type="spellStart"/>
      <w:r>
        <w:t>facia</w:t>
      </w:r>
      <w:proofErr w:type="spellEnd"/>
      <w:r>
        <w:t xml:space="preserve"> evidence of the facts found and shall remain conclusive upon all parties affected thereby, unless set aside, annulled or modified on judicial review.</w:t>
      </w:r>
    </w:p>
    <w:p w:rsidR="005A723E" w:rsidRDefault="005A723E" w:rsidP="005A723E">
      <w:pPr>
        <w:tabs>
          <w:tab w:val="left" w:pos="-720"/>
        </w:tabs>
        <w:suppressAutoHyphens/>
        <w:ind w:left="1440" w:right="1440"/>
      </w:pPr>
    </w:p>
    <w:p w:rsidR="00C56BA8" w:rsidRDefault="005A723E" w:rsidP="004444A1">
      <w:pPr>
        <w:spacing w:line="360" w:lineRule="auto"/>
        <w:rPr>
          <w:bCs/>
          <w:color w:val="000000"/>
        </w:rPr>
      </w:pPr>
      <w:proofErr w:type="gramStart"/>
      <w:r>
        <w:lastRenderedPageBreak/>
        <w:t xml:space="preserve">66 </w:t>
      </w:r>
      <w:proofErr w:type="spellStart"/>
      <w:r>
        <w:t>Pa.C.S</w:t>
      </w:r>
      <w:proofErr w:type="spellEnd"/>
      <w:r>
        <w:t>.</w:t>
      </w:r>
      <w:proofErr w:type="gramEnd"/>
      <w:r>
        <w:t xml:space="preserve"> § 316.  </w:t>
      </w:r>
      <w:r w:rsidR="00670AF4">
        <w:rPr>
          <w:bCs/>
          <w:color w:val="000000"/>
        </w:rPr>
        <w:t>ESP argued that Section 316 and 703 “relieves ESP of responsibility for the conduct alleged and conclusively resolves the complaints in ESP’s favor.  Therefore, evidence of ESP’s dealings with the customers who filed formal complaints cannot be introduced in support of Joint Complainants’ claims in this proceeding.”  We disagree.</w:t>
      </w:r>
      <w:r w:rsidR="00C56BA8">
        <w:rPr>
          <w:bCs/>
          <w:color w:val="000000"/>
        </w:rPr>
        <w:t xml:space="preserve">  </w:t>
      </w:r>
      <w:r w:rsidR="00670AF4">
        <w:rPr>
          <w:bCs/>
          <w:color w:val="000000"/>
        </w:rPr>
        <w:t xml:space="preserve">To begin, </w:t>
      </w:r>
      <w:r w:rsidR="004D6F51">
        <w:rPr>
          <w:bCs/>
          <w:color w:val="000000"/>
        </w:rPr>
        <w:t>ESP does not accurately apply Sections 316 and 703 to the facts of this case.</w:t>
      </w:r>
      <w:r w:rsidR="00C56BA8">
        <w:rPr>
          <w:bCs/>
          <w:color w:val="000000"/>
        </w:rPr>
        <w:t xml:space="preserve">  </w:t>
      </w:r>
    </w:p>
    <w:p w:rsidR="00C56BA8" w:rsidRDefault="00C56BA8" w:rsidP="00C56BA8">
      <w:pPr>
        <w:spacing w:line="360" w:lineRule="auto"/>
        <w:ind w:firstLine="1440"/>
        <w:rPr>
          <w:bCs/>
          <w:color w:val="000000"/>
        </w:rPr>
      </w:pPr>
    </w:p>
    <w:p w:rsidR="005A723E" w:rsidRDefault="00C56BA8" w:rsidP="00C56BA8">
      <w:pPr>
        <w:spacing w:line="360" w:lineRule="auto"/>
        <w:ind w:firstLine="1440"/>
        <w:rPr>
          <w:bCs/>
          <w:color w:val="000000"/>
        </w:rPr>
      </w:pPr>
      <w:r>
        <w:rPr>
          <w:bCs/>
          <w:color w:val="000000"/>
        </w:rPr>
        <w:t xml:space="preserve">With regard to Section 316, </w:t>
      </w:r>
      <w:r w:rsidR="00BB36A2">
        <w:rPr>
          <w:bCs/>
          <w:color w:val="000000"/>
        </w:rPr>
        <w:t>this statute does not apply for two reasons.  First, Section 316 applies “Whenever the commission shall make any rule, regulation, finding</w:t>
      </w:r>
      <w:r w:rsidR="00E46E1C">
        <w:rPr>
          <w:bCs/>
          <w:color w:val="000000"/>
        </w:rPr>
        <w:t>,</w:t>
      </w:r>
      <w:r w:rsidR="00BB36A2">
        <w:rPr>
          <w:bCs/>
          <w:color w:val="000000"/>
        </w:rPr>
        <w:t xml:space="preserve"> determination or order….</w:t>
      </w:r>
      <w:proofErr w:type="gramStart"/>
      <w:r w:rsidR="00BB36A2">
        <w:rPr>
          <w:bCs/>
          <w:color w:val="000000"/>
        </w:rPr>
        <w:t>”.</w:t>
      </w:r>
      <w:proofErr w:type="gramEnd"/>
      <w:r w:rsidR="00BB36A2">
        <w:rPr>
          <w:bCs/>
          <w:color w:val="000000"/>
        </w:rPr>
        <w:t xml:space="preserve">  In the case of the Certificates of Satisfaction filed by ESP in the relevant consumer cases, the Commission did not “make any rule, regulation, finding, determination or order.”  Rather, when a Certificate of Satisfaction is filed, and there is no timely objection, the case is resolved without any commission action.  Furthermore, Section 316 also provides </w:t>
      </w:r>
      <w:r w:rsidR="003C406C">
        <w:rPr>
          <w:bCs/>
          <w:color w:val="000000"/>
        </w:rPr>
        <w:t xml:space="preserve">that such decisions “shall remain conclusive upon all </w:t>
      </w:r>
      <w:r w:rsidR="00BB36A2">
        <w:rPr>
          <w:bCs/>
          <w:color w:val="000000"/>
        </w:rPr>
        <w:t xml:space="preserve">parties affected thereby.”  </w:t>
      </w:r>
      <w:r w:rsidR="003C406C">
        <w:rPr>
          <w:bCs/>
          <w:color w:val="000000"/>
        </w:rPr>
        <w:t>In this case, neither the OCA nor the OAG were parties to the underlying consumer complaint cases</w:t>
      </w:r>
      <w:r w:rsidR="004444A1">
        <w:rPr>
          <w:bCs/>
          <w:color w:val="000000"/>
        </w:rPr>
        <w:t xml:space="preserve">.  As a result, </w:t>
      </w:r>
      <w:r w:rsidR="00F522EC">
        <w:rPr>
          <w:bCs/>
          <w:color w:val="000000"/>
        </w:rPr>
        <w:t xml:space="preserve">Section 316 does not prohibit </w:t>
      </w:r>
      <w:r w:rsidR="004444A1">
        <w:rPr>
          <w:bCs/>
          <w:color w:val="000000"/>
        </w:rPr>
        <w:t xml:space="preserve">the OCA and OAG </w:t>
      </w:r>
      <w:r w:rsidR="003C406C">
        <w:rPr>
          <w:bCs/>
          <w:color w:val="000000"/>
        </w:rPr>
        <w:t xml:space="preserve">from </w:t>
      </w:r>
      <w:r w:rsidR="00F522EC">
        <w:rPr>
          <w:bCs/>
          <w:color w:val="000000"/>
        </w:rPr>
        <w:t xml:space="preserve">seeking to admit </w:t>
      </w:r>
      <w:r w:rsidR="003C406C">
        <w:rPr>
          <w:bCs/>
          <w:color w:val="000000"/>
        </w:rPr>
        <w:t xml:space="preserve">into the record of this proceeding evidence of </w:t>
      </w:r>
      <w:r w:rsidR="00E46E1C">
        <w:rPr>
          <w:bCs/>
          <w:color w:val="000000"/>
        </w:rPr>
        <w:t>the formal complaints filed by consumers against ESP</w:t>
      </w:r>
      <w:r w:rsidR="003C406C">
        <w:rPr>
          <w:bCs/>
          <w:color w:val="000000"/>
        </w:rPr>
        <w:t>.</w:t>
      </w:r>
    </w:p>
    <w:p w:rsidR="00C56BA8" w:rsidRDefault="00C56BA8" w:rsidP="00C56BA8">
      <w:pPr>
        <w:spacing w:line="360" w:lineRule="auto"/>
        <w:ind w:firstLine="1440"/>
        <w:rPr>
          <w:bCs/>
          <w:color w:val="000000"/>
        </w:rPr>
      </w:pPr>
    </w:p>
    <w:p w:rsidR="004444A1" w:rsidRDefault="00C56BA8" w:rsidP="00C56BA8">
      <w:pPr>
        <w:spacing w:line="360" w:lineRule="auto"/>
        <w:ind w:firstLine="1440"/>
        <w:rPr>
          <w:bCs/>
          <w:color w:val="000000"/>
        </w:rPr>
      </w:pPr>
      <w:r>
        <w:rPr>
          <w:bCs/>
          <w:color w:val="000000"/>
        </w:rPr>
        <w:t xml:space="preserve">With regard to Section 703, </w:t>
      </w:r>
      <w:r w:rsidR="003C406C">
        <w:rPr>
          <w:bCs/>
          <w:color w:val="000000"/>
        </w:rPr>
        <w:t xml:space="preserve">this statute can also be distinguished from the instant case.  In particular, the language in Section 703 </w:t>
      </w:r>
      <w:r w:rsidR="004444A1">
        <w:rPr>
          <w:bCs/>
          <w:color w:val="000000"/>
        </w:rPr>
        <w:t xml:space="preserve">provides </w:t>
      </w:r>
      <w:r w:rsidR="003C406C">
        <w:rPr>
          <w:bCs/>
          <w:color w:val="000000"/>
        </w:rPr>
        <w:t xml:space="preserve">that “such party shall be relieved from responsibility only for the specific matter complained of.”  Whereas ESP’s quote of this provision of Section 703 </w:t>
      </w:r>
      <w:r w:rsidR="00F522EC">
        <w:rPr>
          <w:bCs/>
          <w:color w:val="000000"/>
        </w:rPr>
        <w:t xml:space="preserve">in its Motion </w:t>
      </w:r>
      <w:r w:rsidR="003C406C">
        <w:rPr>
          <w:bCs/>
          <w:color w:val="000000"/>
        </w:rPr>
        <w:t xml:space="preserve">excludes the word “only,” this word serves to limit what ESP is relieved of </w:t>
      </w:r>
      <w:r w:rsidR="00E46E1C">
        <w:rPr>
          <w:bCs/>
          <w:color w:val="000000"/>
        </w:rPr>
        <w:t>when satisfying the underlying complaint</w:t>
      </w:r>
      <w:r w:rsidR="003C406C">
        <w:rPr>
          <w:bCs/>
          <w:color w:val="000000"/>
        </w:rPr>
        <w:t xml:space="preserve">.  That is, when a case is satisfied, the party complained against is relieved of the responsibility for that complaint as it pertains to that complaint.  </w:t>
      </w:r>
      <w:r w:rsidR="004444A1">
        <w:rPr>
          <w:bCs/>
          <w:color w:val="000000"/>
        </w:rPr>
        <w:t xml:space="preserve">The party complained against is not relieved of other responsibilities that may have resulted from the facts underlying the Complaint, as ESP contends.  This is particularly true where, as is the case here, the allegations in the underlying complaints may </w:t>
      </w:r>
      <w:proofErr w:type="gramStart"/>
      <w:r w:rsidR="004444A1">
        <w:rPr>
          <w:bCs/>
          <w:color w:val="000000"/>
        </w:rPr>
        <w:t>raise</w:t>
      </w:r>
      <w:proofErr w:type="gramEnd"/>
      <w:r w:rsidR="004444A1">
        <w:rPr>
          <w:bCs/>
          <w:color w:val="000000"/>
        </w:rPr>
        <w:t xml:space="preserve"> issues broader than those of the individual complainants.  As the Joint Complainants noted in their Answer, it would be against public policy to allow ESP to be relieved of all future liability for its regulatory </w:t>
      </w:r>
      <w:r w:rsidR="004444A1">
        <w:rPr>
          <w:bCs/>
          <w:color w:val="000000"/>
        </w:rPr>
        <w:lastRenderedPageBreak/>
        <w:t>violations through the satisfaction of individual complaints.  The mere fact that some consumer complaints have been satisfied in no way absolves ESP for its conduct under the law to the extent ESP engaged in a broader array of unfair and deceptive practices, the very subject of the Complaint brought by the Joint Complainants in this case.</w:t>
      </w:r>
    </w:p>
    <w:p w:rsidR="004444A1" w:rsidRDefault="004444A1" w:rsidP="00C56BA8">
      <w:pPr>
        <w:spacing w:line="360" w:lineRule="auto"/>
        <w:ind w:firstLine="1440"/>
        <w:rPr>
          <w:bCs/>
          <w:color w:val="000000"/>
        </w:rPr>
      </w:pPr>
    </w:p>
    <w:p w:rsidR="00C56BA8" w:rsidRDefault="00E46E1C" w:rsidP="00C56BA8">
      <w:pPr>
        <w:spacing w:line="360" w:lineRule="auto"/>
        <w:ind w:firstLine="1440"/>
        <w:rPr>
          <w:bCs/>
          <w:color w:val="000000"/>
        </w:rPr>
      </w:pPr>
      <w:r>
        <w:rPr>
          <w:bCs/>
          <w:color w:val="000000"/>
        </w:rPr>
        <w:t>I</w:t>
      </w:r>
      <w:r w:rsidR="003C406C">
        <w:rPr>
          <w:bCs/>
          <w:color w:val="000000"/>
        </w:rPr>
        <w:t xml:space="preserve">n this case, evidence of the underlying consumer complaints is not being used to </w:t>
      </w:r>
      <w:proofErr w:type="spellStart"/>
      <w:r w:rsidR="003C406C">
        <w:rPr>
          <w:bCs/>
          <w:color w:val="000000"/>
        </w:rPr>
        <w:t>relitigate</w:t>
      </w:r>
      <w:proofErr w:type="spellEnd"/>
      <w:r w:rsidR="003C406C">
        <w:rPr>
          <w:bCs/>
          <w:color w:val="000000"/>
        </w:rPr>
        <w:t xml:space="preserve"> those complaints.  ESP has been relieved of responsibility for those underlying complaints</w:t>
      </w:r>
      <w:r w:rsidR="004444A1">
        <w:rPr>
          <w:bCs/>
          <w:color w:val="000000"/>
        </w:rPr>
        <w:t xml:space="preserve"> as it pertains to those underlying complainants</w:t>
      </w:r>
      <w:r w:rsidR="003C406C">
        <w:rPr>
          <w:bCs/>
          <w:color w:val="000000"/>
        </w:rPr>
        <w:t xml:space="preserve">.  Evidence of the underlying consumer complaints is being used </w:t>
      </w:r>
      <w:r w:rsidR="004444A1">
        <w:rPr>
          <w:bCs/>
          <w:color w:val="000000"/>
        </w:rPr>
        <w:t xml:space="preserve">in this case </w:t>
      </w:r>
      <w:r w:rsidR="003C406C">
        <w:rPr>
          <w:bCs/>
          <w:color w:val="000000"/>
        </w:rPr>
        <w:t xml:space="preserve">for purposes of supporting the Joint Complainants allegations </w:t>
      </w:r>
      <w:r w:rsidR="004417BA">
        <w:rPr>
          <w:bCs/>
          <w:color w:val="000000"/>
        </w:rPr>
        <w:t xml:space="preserve">(i.e., </w:t>
      </w:r>
      <w:r>
        <w:rPr>
          <w:bCs/>
          <w:color w:val="000000"/>
        </w:rPr>
        <w:t xml:space="preserve">that ESP engaged in </w:t>
      </w:r>
      <w:r w:rsidR="004417BA">
        <w:rPr>
          <w:bCs/>
          <w:color w:val="000000"/>
        </w:rPr>
        <w:t>misleading and deceptive promises of savings, slamming, misleading and deceptive welcome letter, lack of good faith handling of complaints, etc.)</w:t>
      </w:r>
      <w:r w:rsidR="003C406C">
        <w:rPr>
          <w:bCs/>
          <w:color w:val="000000"/>
        </w:rPr>
        <w:t xml:space="preserve">.  </w:t>
      </w:r>
      <w:r w:rsidR="004444A1">
        <w:rPr>
          <w:bCs/>
          <w:color w:val="000000"/>
        </w:rPr>
        <w:t xml:space="preserve">Furthermore, the relief sought in the underlying complaints is likely different than the relief sought by the Joint Complainants.  </w:t>
      </w:r>
      <w:r w:rsidR="003C406C">
        <w:rPr>
          <w:bCs/>
          <w:color w:val="000000"/>
        </w:rPr>
        <w:t xml:space="preserve">As such, </w:t>
      </w:r>
      <w:r w:rsidR="00F522EC">
        <w:rPr>
          <w:bCs/>
          <w:color w:val="000000"/>
        </w:rPr>
        <w:t xml:space="preserve">Section 703 does not prohibit </w:t>
      </w:r>
      <w:r w:rsidR="003C406C">
        <w:rPr>
          <w:bCs/>
          <w:color w:val="000000"/>
        </w:rPr>
        <w:t xml:space="preserve">the Joint Complainants from </w:t>
      </w:r>
      <w:r w:rsidR="00F522EC">
        <w:rPr>
          <w:bCs/>
          <w:color w:val="000000"/>
        </w:rPr>
        <w:t xml:space="preserve">seeking to admit </w:t>
      </w:r>
      <w:r w:rsidR="003C406C">
        <w:rPr>
          <w:bCs/>
          <w:color w:val="000000"/>
        </w:rPr>
        <w:t>into the record of this pr</w:t>
      </w:r>
      <w:r w:rsidR="004444A1">
        <w:rPr>
          <w:bCs/>
          <w:color w:val="000000"/>
        </w:rPr>
        <w:t xml:space="preserve">oceeding evidence of </w:t>
      </w:r>
      <w:r>
        <w:rPr>
          <w:bCs/>
          <w:color w:val="000000"/>
        </w:rPr>
        <w:t>formal complaints filed by consumers against ESP</w:t>
      </w:r>
      <w:r w:rsidR="004444A1">
        <w:rPr>
          <w:bCs/>
          <w:color w:val="000000"/>
        </w:rPr>
        <w:t>.</w:t>
      </w:r>
    </w:p>
    <w:p w:rsidR="004D6F51" w:rsidRDefault="004D6F51" w:rsidP="00C56BA8">
      <w:pPr>
        <w:spacing w:line="360" w:lineRule="auto"/>
        <w:ind w:firstLine="1440"/>
        <w:rPr>
          <w:bCs/>
          <w:color w:val="000000"/>
        </w:rPr>
      </w:pPr>
    </w:p>
    <w:p w:rsidR="0070083D" w:rsidRDefault="00DB3CE7" w:rsidP="00404CF5">
      <w:pPr>
        <w:spacing w:line="360" w:lineRule="auto"/>
        <w:ind w:firstLine="1440"/>
        <w:rPr>
          <w:bCs/>
          <w:color w:val="000000"/>
        </w:rPr>
      </w:pPr>
      <w:r>
        <w:rPr>
          <w:bCs/>
          <w:color w:val="000000"/>
        </w:rPr>
        <w:t>Additionally, the Joint Complainant’s will not be prohibited from introducing evidence of the underlying complaints</w:t>
      </w:r>
      <w:r w:rsidR="00F522EC">
        <w:rPr>
          <w:bCs/>
          <w:color w:val="000000"/>
        </w:rPr>
        <w:t>,</w:t>
      </w:r>
      <w:r>
        <w:rPr>
          <w:bCs/>
          <w:color w:val="000000"/>
        </w:rPr>
        <w:t xml:space="preserve"> even though they have been satisfied by Certificates of Satisfaction, because, in this case, </w:t>
      </w:r>
      <w:r w:rsidR="00404CF5">
        <w:rPr>
          <w:bCs/>
          <w:color w:val="000000"/>
        </w:rPr>
        <w:t>t</w:t>
      </w:r>
      <w:r w:rsidR="00C56BA8">
        <w:rPr>
          <w:bCs/>
          <w:color w:val="000000"/>
        </w:rPr>
        <w:t>he OCA and OAG are acting in their representative capacities as government agencies on behalf of the public interest as a whole, not on behalf of the specific individual consumers who</w:t>
      </w:r>
      <w:r w:rsidR="00E46E1C">
        <w:rPr>
          <w:bCs/>
          <w:color w:val="000000"/>
        </w:rPr>
        <w:t>se</w:t>
      </w:r>
      <w:r w:rsidR="00C56BA8">
        <w:rPr>
          <w:bCs/>
          <w:color w:val="000000"/>
        </w:rPr>
        <w:t xml:space="preserve"> prior complaints may be referenced in the record of this case.</w:t>
      </w:r>
      <w:r w:rsidR="00D65F08">
        <w:rPr>
          <w:bCs/>
          <w:color w:val="000000"/>
        </w:rPr>
        <w:t xml:space="preserve">  As we noted in the August 20, 2014 Order Granting In Part </w:t>
      </w:r>
      <w:proofErr w:type="gramStart"/>
      <w:r w:rsidR="00D65F08">
        <w:rPr>
          <w:bCs/>
          <w:color w:val="000000"/>
        </w:rPr>
        <w:t>And</w:t>
      </w:r>
      <w:proofErr w:type="gramEnd"/>
      <w:r w:rsidR="00D65F08">
        <w:rPr>
          <w:bCs/>
          <w:color w:val="000000"/>
        </w:rPr>
        <w:t xml:space="preserve"> Denying In Part Preliminary Objections, and as the Joint Complainants argued in their Answer to ESP’s Motion, both the OCA and the OAG are authorized to represent consumer interests before the Commission.</w:t>
      </w:r>
      <w:r w:rsidR="00642FCA">
        <w:rPr>
          <w:bCs/>
          <w:color w:val="000000"/>
        </w:rPr>
        <w:t xml:space="preserve">  </w:t>
      </w:r>
      <w:r w:rsidR="00642FCA">
        <w:rPr>
          <w:bCs/>
          <w:i/>
          <w:color w:val="000000"/>
        </w:rPr>
        <w:t>See</w:t>
      </w:r>
      <w:r w:rsidR="00642FCA">
        <w:rPr>
          <w:bCs/>
          <w:color w:val="000000"/>
        </w:rPr>
        <w:t xml:space="preserve">, 71 P.S. § 309-4(a) and (b); 73 P.S. § 201-4.  </w:t>
      </w:r>
      <w:r w:rsidR="0070083D">
        <w:rPr>
          <w:bCs/>
          <w:color w:val="000000"/>
        </w:rPr>
        <w:t>Neither the OCA nor the OAG act as a private attorney for any given customer and are not seeking to do that in this case.  Rather, the Joint Complainants are proceeding in this matter on behalf of the public interest and are, therefore, not precluded from admitting into evidence the underlying consumer complaints as part of th</w:t>
      </w:r>
      <w:r w:rsidR="00F522EC">
        <w:rPr>
          <w:bCs/>
          <w:color w:val="000000"/>
        </w:rPr>
        <w:t>is</w:t>
      </w:r>
      <w:r w:rsidR="0070083D">
        <w:rPr>
          <w:bCs/>
          <w:color w:val="000000"/>
        </w:rPr>
        <w:t xml:space="preserve"> case.</w:t>
      </w:r>
      <w:r>
        <w:rPr>
          <w:bCs/>
          <w:color w:val="000000"/>
        </w:rPr>
        <w:t xml:space="preserve">  The Joint Complainants are able to bring complaints based on the public interest that an individual consumer alone would not be able to bring.  This is the opportunity to do that.</w:t>
      </w:r>
    </w:p>
    <w:p w:rsidR="0070083D" w:rsidRDefault="0070083D" w:rsidP="00404CF5">
      <w:pPr>
        <w:spacing w:line="360" w:lineRule="auto"/>
        <w:ind w:firstLine="1440"/>
        <w:rPr>
          <w:bCs/>
          <w:color w:val="000000"/>
        </w:rPr>
      </w:pPr>
    </w:p>
    <w:p w:rsidR="004D6F51" w:rsidRDefault="004D6F51" w:rsidP="004D6F51">
      <w:pPr>
        <w:spacing w:line="360" w:lineRule="auto"/>
        <w:rPr>
          <w:bCs/>
          <w:color w:val="000000"/>
        </w:rPr>
      </w:pPr>
      <w:r>
        <w:rPr>
          <w:bCs/>
          <w:color w:val="000000"/>
        </w:rPr>
        <w:tab/>
      </w:r>
      <w:r>
        <w:rPr>
          <w:bCs/>
          <w:color w:val="000000"/>
        </w:rPr>
        <w:tab/>
        <w:t xml:space="preserve">The Joint Complainants do not contend that ESP has not satisfied these complaints.  In fact, it is to ESP’s credit that they have settled these cases.  </w:t>
      </w:r>
      <w:r w:rsidR="00DB3CE7">
        <w:rPr>
          <w:bCs/>
          <w:color w:val="000000"/>
        </w:rPr>
        <w:t xml:space="preserve">As the Joint Complainants noted, however, a Certificate of Satisfaction is meant to signal that a settlement between the parties has been reached, not that the Commission has made a conclusive determination on the merits of the underlying issues.  </w:t>
      </w:r>
      <w:r>
        <w:rPr>
          <w:bCs/>
          <w:color w:val="000000"/>
        </w:rPr>
        <w:t xml:space="preserve">To be clear, </w:t>
      </w:r>
      <w:r w:rsidR="00DB3CE7">
        <w:rPr>
          <w:bCs/>
          <w:color w:val="000000"/>
        </w:rPr>
        <w:t xml:space="preserve">there is no expectation that consumers would receive a second refund as part of the Complaint filed by the Joint Complainants.  </w:t>
      </w:r>
      <w:r w:rsidR="00E46E1C">
        <w:rPr>
          <w:bCs/>
          <w:color w:val="000000"/>
        </w:rPr>
        <w:t xml:space="preserve">Since the </w:t>
      </w:r>
      <w:r>
        <w:rPr>
          <w:bCs/>
          <w:color w:val="000000"/>
        </w:rPr>
        <w:t xml:space="preserve">individual consumer has </w:t>
      </w:r>
      <w:r w:rsidR="00E46E1C">
        <w:rPr>
          <w:bCs/>
          <w:color w:val="000000"/>
        </w:rPr>
        <w:t xml:space="preserve">agreed to </w:t>
      </w:r>
      <w:r>
        <w:rPr>
          <w:bCs/>
          <w:color w:val="000000"/>
        </w:rPr>
        <w:t xml:space="preserve">the settlement, </w:t>
      </w:r>
      <w:r w:rsidR="00E46E1C">
        <w:rPr>
          <w:bCs/>
          <w:color w:val="000000"/>
        </w:rPr>
        <w:t xml:space="preserve">he or she </w:t>
      </w:r>
      <w:r>
        <w:rPr>
          <w:bCs/>
          <w:color w:val="000000"/>
        </w:rPr>
        <w:t xml:space="preserve">will not be entitled to additional remuneration as part of this proceeding.  </w:t>
      </w:r>
    </w:p>
    <w:p w:rsidR="004D6F51" w:rsidRDefault="004D6F51" w:rsidP="004D6F51">
      <w:pPr>
        <w:spacing w:line="360" w:lineRule="auto"/>
        <w:rPr>
          <w:bCs/>
          <w:color w:val="000000"/>
        </w:rPr>
      </w:pPr>
    </w:p>
    <w:p w:rsidR="004D6F51" w:rsidRPr="005A723E" w:rsidRDefault="004D6F51" w:rsidP="004D6F51">
      <w:pPr>
        <w:spacing w:line="360" w:lineRule="auto"/>
      </w:pPr>
      <w:r>
        <w:rPr>
          <w:bCs/>
          <w:color w:val="000000"/>
        </w:rPr>
        <w:tab/>
      </w:r>
      <w:r>
        <w:rPr>
          <w:bCs/>
          <w:color w:val="000000"/>
        </w:rPr>
        <w:tab/>
        <w:t xml:space="preserve">Finally, </w:t>
      </w:r>
      <w:r w:rsidR="002A2D40">
        <w:rPr>
          <w:bCs/>
          <w:color w:val="000000"/>
        </w:rPr>
        <w:t xml:space="preserve">Presiding Officers </w:t>
      </w:r>
      <w:r w:rsidR="00E334B9">
        <w:rPr>
          <w:bCs/>
          <w:color w:val="000000"/>
        </w:rPr>
        <w:t xml:space="preserve">have the authority </w:t>
      </w:r>
      <w:r w:rsidR="006C0786">
        <w:rPr>
          <w:bCs/>
          <w:color w:val="000000"/>
        </w:rPr>
        <w:t>to control the receipt of evidence</w:t>
      </w:r>
      <w:r w:rsidR="00DE6607">
        <w:rPr>
          <w:bCs/>
          <w:color w:val="000000"/>
        </w:rPr>
        <w:t xml:space="preserve">, </w:t>
      </w:r>
      <w:r w:rsidR="00DE6607">
        <w:rPr>
          <w:bCs/>
          <w:i/>
          <w:color w:val="000000"/>
        </w:rPr>
        <w:t>see</w:t>
      </w:r>
      <w:r w:rsidR="00DE6607">
        <w:rPr>
          <w:bCs/>
          <w:color w:val="000000"/>
        </w:rPr>
        <w:t xml:space="preserve">, 66 </w:t>
      </w:r>
      <w:proofErr w:type="spellStart"/>
      <w:r w:rsidR="00DE6607">
        <w:rPr>
          <w:bCs/>
          <w:color w:val="000000"/>
        </w:rPr>
        <w:t>Pa.C.S</w:t>
      </w:r>
      <w:proofErr w:type="spellEnd"/>
      <w:r w:rsidR="00DE6607">
        <w:rPr>
          <w:bCs/>
          <w:color w:val="000000"/>
        </w:rPr>
        <w:t xml:space="preserve">. </w:t>
      </w:r>
      <w:r w:rsidR="00E334B9">
        <w:rPr>
          <w:bCs/>
          <w:color w:val="000000"/>
        </w:rPr>
        <w:t>§ 331(d</w:t>
      </w:r>
      <w:proofErr w:type="gramStart"/>
      <w:r w:rsidR="00E334B9">
        <w:rPr>
          <w:bCs/>
          <w:color w:val="000000"/>
        </w:rPr>
        <w:t>)(</w:t>
      </w:r>
      <w:proofErr w:type="gramEnd"/>
      <w:r w:rsidR="00E334B9">
        <w:rPr>
          <w:bCs/>
          <w:color w:val="000000"/>
        </w:rPr>
        <w:t>3)</w:t>
      </w:r>
      <w:r w:rsidR="00DE6607">
        <w:rPr>
          <w:bCs/>
          <w:color w:val="000000"/>
        </w:rPr>
        <w:t>,</w:t>
      </w:r>
      <w:r w:rsidR="006C0786">
        <w:rPr>
          <w:bCs/>
          <w:color w:val="000000"/>
        </w:rPr>
        <w:t xml:space="preserve"> and </w:t>
      </w:r>
      <w:r w:rsidR="002A2D40">
        <w:rPr>
          <w:bCs/>
          <w:color w:val="000000"/>
        </w:rPr>
        <w:t>can assign the appropriate weight to give the underlying consumer complaints at the time of disposition of the Complaint.</w:t>
      </w:r>
      <w:r w:rsidR="006C0786">
        <w:rPr>
          <w:bCs/>
          <w:color w:val="000000"/>
        </w:rPr>
        <w:t xml:space="preserve">  The appropriate weight will be afforded this evidence at </w:t>
      </w:r>
      <w:r w:rsidR="00031724">
        <w:rPr>
          <w:bCs/>
          <w:color w:val="000000"/>
        </w:rPr>
        <w:t>that</w:t>
      </w:r>
      <w:r w:rsidR="006C0786">
        <w:rPr>
          <w:bCs/>
          <w:color w:val="000000"/>
        </w:rPr>
        <w:t xml:space="preserve"> time.</w:t>
      </w:r>
    </w:p>
    <w:p w:rsidR="000A14E9" w:rsidRPr="00FB25AE" w:rsidRDefault="000A14E9" w:rsidP="00D06A84">
      <w:pPr>
        <w:tabs>
          <w:tab w:val="left" w:pos="-720"/>
        </w:tabs>
        <w:suppressAutoHyphens/>
        <w:spacing w:line="360" w:lineRule="auto"/>
      </w:pPr>
    </w:p>
    <w:p w:rsidR="00FB49BD" w:rsidRPr="00FB25AE" w:rsidRDefault="00FB25AE" w:rsidP="001019BE">
      <w:pPr>
        <w:tabs>
          <w:tab w:val="left" w:pos="-720"/>
        </w:tabs>
        <w:suppressAutoHyphens/>
        <w:spacing w:line="360" w:lineRule="auto"/>
      </w:pPr>
      <w:r w:rsidRPr="00FB25AE">
        <w:tab/>
      </w:r>
      <w:r w:rsidRPr="00FB25AE">
        <w:tab/>
        <w:t>In conclusion,</w:t>
      </w:r>
      <w:r>
        <w:t xml:space="preserve"> </w:t>
      </w:r>
      <w:r w:rsidR="002A2D40">
        <w:t xml:space="preserve">ESP’s </w:t>
      </w:r>
      <w:r w:rsidR="002A2D40">
        <w:rPr>
          <w:bCs/>
          <w:color w:val="000000"/>
        </w:rPr>
        <w:t xml:space="preserve">Motion </w:t>
      </w:r>
      <w:proofErr w:type="gramStart"/>
      <w:r w:rsidR="002A2D40">
        <w:rPr>
          <w:bCs/>
          <w:i/>
          <w:color w:val="000000"/>
        </w:rPr>
        <w:t>In</w:t>
      </w:r>
      <w:proofErr w:type="gramEnd"/>
      <w:r w:rsidR="002A2D40">
        <w:rPr>
          <w:bCs/>
          <w:i/>
          <w:color w:val="000000"/>
        </w:rPr>
        <w:t xml:space="preserve"> </w:t>
      </w:r>
      <w:proofErr w:type="spellStart"/>
      <w:r w:rsidR="002A2D40">
        <w:rPr>
          <w:bCs/>
          <w:i/>
          <w:color w:val="000000"/>
        </w:rPr>
        <w:t>Limine</w:t>
      </w:r>
      <w:proofErr w:type="spellEnd"/>
      <w:r w:rsidR="002A2D40">
        <w:rPr>
          <w:bCs/>
          <w:color w:val="000000"/>
        </w:rPr>
        <w:t xml:space="preserve"> to Restrict Introduction of Evidence will be denied.  </w:t>
      </w:r>
      <w:r w:rsidR="00547CC0">
        <w:rPr>
          <w:bCs/>
          <w:color w:val="000000"/>
        </w:rPr>
        <w:t xml:space="preserve">ESP has failed to demonstrate that the admission of the evidence of allegations contained in the formal complaints against ESP that are the subject of filed, </w:t>
      </w:r>
      <w:proofErr w:type="spellStart"/>
      <w:r w:rsidR="00547CC0">
        <w:rPr>
          <w:bCs/>
          <w:color w:val="000000"/>
        </w:rPr>
        <w:t>unobjected</w:t>
      </w:r>
      <w:proofErr w:type="spellEnd"/>
      <w:r w:rsidR="00547CC0">
        <w:rPr>
          <w:bCs/>
          <w:color w:val="000000"/>
        </w:rPr>
        <w:t xml:space="preserve"> to Certificates of Satisfaction, including testimony by the customer-complainants</w:t>
      </w:r>
      <w:r w:rsidR="00E46E1C">
        <w:rPr>
          <w:bCs/>
          <w:color w:val="000000"/>
        </w:rPr>
        <w:t>,</w:t>
      </w:r>
      <w:r w:rsidR="00547CC0">
        <w:rPr>
          <w:bCs/>
          <w:color w:val="000000"/>
        </w:rPr>
        <w:t xml:space="preserve"> should be prohibited</w:t>
      </w:r>
      <w:r w:rsidR="00F522EC">
        <w:rPr>
          <w:bCs/>
          <w:color w:val="000000"/>
        </w:rPr>
        <w:t xml:space="preserve"> at this time</w:t>
      </w:r>
      <w:r w:rsidR="00547CC0">
        <w:rPr>
          <w:bCs/>
          <w:color w:val="000000"/>
        </w:rPr>
        <w:t xml:space="preserve">.  </w:t>
      </w:r>
      <w:r w:rsidR="00E334B9">
        <w:rPr>
          <w:bCs/>
          <w:color w:val="000000"/>
        </w:rPr>
        <w:t xml:space="preserve">The offering of the underlying complaints into the record of this proceeding will not “effectively reopen the complaint proceedings” as an attempt to </w:t>
      </w:r>
      <w:proofErr w:type="spellStart"/>
      <w:r w:rsidR="00E334B9">
        <w:rPr>
          <w:bCs/>
          <w:color w:val="000000"/>
        </w:rPr>
        <w:t>relitigate</w:t>
      </w:r>
      <w:proofErr w:type="spellEnd"/>
      <w:r w:rsidR="00E334B9">
        <w:rPr>
          <w:bCs/>
          <w:color w:val="000000"/>
        </w:rPr>
        <w:t xml:space="preserve"> th</w:t>
      </w:r>
      <w:r w:rsidR="00031724">
        <w:rPr>
          <w:bCs/>
          <w:color w:val="000000"/>
        </w:rPr>
        <w:t>ose issues, as ESP argued.  Nor</w:t>
      </w:r>
      <w:r w:rsidR="00E334B9">
        <w:rPr>
          <w:bCs/>
          <w:color w:val="000000"/>
        </w:rPr>
        <w:t xml:space="preserve"> </w:t>
      </w:r>
      <w:r w:rsidR="00E46E1C">
        <w:rPr>
          <w:bCs/>
          <w:color w:val="000000"/>
        </w:rPr>
        <w:t xml:space="preserve">does </w:t>
      </w:r>
      <w:r w:rsidR="00E334B9">
        <w:rPr>
          <w:bCs/>
          <w:color w:val="000000"/>
        </w:rPr>
        <w:t xml:space="preserve">evidence of the Certificate of Satisfaction in those underlying complaints relieve ESP of the responsibility for the conduct alleged in those cases or conclusively resolve those complaints in ESP’s favor, as ESP argued.  </w:t>
      </w:r>
      <w:r w:rsidR="00547CC0">
        <w:rPr>
          <w:bCs/>
          <w:color w:val="000000"/>
        </w:rPr>
        <w:t xml:space="preserve">The evidence of allegations </w:t>
      </w:r>
      <w:r w:rsidR="00547CC0">
        <w:t>contained in those formal complaints against ESP may be introduced and offered into the record of this proceeding as discussed above.</w:t>
      </w:r>
    </w:p>
    <w:p w:rsidR="003233E4" w:rsidRPr="003815D5" w:rsidRDefault="003233E4">
      <w:pPr>
        <w:autoSpaceDE/>
        <w:autoSpaceDN/>
        <w:rPr>
          <w:u w:val="single"/>
        </w:rPr>
      </w:pPr>
    </w:p>
    <w:p w:rsidR="003815D5" w:rsidRPr="003815D5" w:rsidRDefault="003815D5">
      <w:pPr>
        <w:autoSpaceDE/>
        <w:autoSpaceDN/>
        <w:rPr>
          <w:u w:val="single"/>
        </w:rPr>
      </w:pPr>
    </w:p>
    <w:p w:rsidR="00F522EC" w:rsidRDefault="00F522EC">
      <w:pPr>
        <w:autoSpaceDE/>
        <w:autoSpaceDN/>
        <w:rPr>
          <w:u w:val="single"/>
        </w:rPr>
      </w:pPr>
      <w:r>
        <w:rPr>
          <w:u w:val="single"/>
        </w:rPr>
        <w:br w:type="page"/>
      </w:r>
    </w:p>
    <w:p w:rsidR="00AA5A3B" w:rsidRPr="003815D5" w:rsidRDefault="00FA0DC0" w:rsidP="00FA0DC0">
      <w:pPr>
        <w:spacing w:line="360" w:lineRule="auto"/>
        <w:jc w:val="center"/>
      </w:pPr>
      <w:r w:rsidRPr="003815D5">
        <w:rPr>
          <w:u w:val="single"/>
        </w:rPr>
        <w:lastRenderedPageBreak/>
        <w:t>ORDER</w:t>
      </w:r>
    </w:p>
    <w:p w:rsidR="003233E4" w:rsidRPr="003815D5" w:rsidRDefault="003233E4" w:rsidP="00E93D93">
      <w:pPr>
        <w:spacing w:line="360" w:lineRule="auto"/>
      </w:pPr>
    </w:p>
    <w:p w:rsidR="006D33B5" w:rsidRPr="003815D5" w:rsidRDefault="006D33B5">
      <w:pPr>
        <w:spacing w:line="360" w:lineRule="auto"/>
        <w:ind w:firstLine="1440"/>
        <w:rPr>
          <w:bCs/>
        </w:rPr>
      </w:pPr>
      <w:r w:rsidRPr="003815D5">
        <w:rPr>
          <w:bCs/>
        </w:rPr>
        <w:t>THEREFORE,</w:t>
      </w:r>
    </w:p>
    <w:p w:rsidR="006D33B5" w:rsidRPr="003815D5" w:rsidRDefault="006D33B5">
      <w:pPr>
        <w:spacing w:line="360" w:lineRule="auto"/>
        <w:ind w:firstLine="1440"/>
      </w:pPr>
    </w:p>
    <w:p w:rsidR="0013770C" w:rsidRPr="003815D5" w:rsidRDefault="006D33B5" w:rsidP="0013770C">
      <w:pPr>
        <w:spacing w:line="360" w:lineRule="auto"/>
        <w:ind w:firstLine="1440"/>
        <w:rPr>
          <w:bCs/>
        </w:rPr>
      </w:pPr>
      <w:r w:rsidRPr="003815D5">
        <w:rPr>
          <w:bCs/>
        </w:rPr>
        <w:t>IT IS ORDERED:</w:t>
      </w:r>
    </w:p>
    <w:p w:rsidR="0013770C" w:rsidRPr="003815D5" w:rsidRDefault="0013770C" w:rsidP="0013770C">
      <w:pPr>
        <w:spacing w:line="360" w:lineRule="auto"/>
        <w:ind w:firstLine="1440"/>
        <w:rPr>
          <w:bCs/>
        </w:rPr>
      </w:pPr>
    </w:p>
    <w:p w:rsidR="00D626EC" w:rsidRDefault="00143290" w:rsidP="00223B03">
      <w:pPr>
        <w:pStyle w:val="ListParagraph"/>
        <w:numPr>
          <w:ilvl w:val="0"/>
          <w:numId w:val="11"/>
        </w:numPr>
        <w:spacing w:line="360" w:lineRule="auto"/>
        <w:ind w:left="0" w:firstLine="1440"/>
      </w:pPr>
      <w:r w:rsidRPr="003815D5">
        <w:t>That</w:t>
      </w:r>
      <w:r w:rsidR="00144EB5" w:rsidRPr="003815D5">
        <w:t xml:space="preserve"> </w:t>
      </w:r>
      <w:r w:rsidR="00D626EC" w:rsidRPr="003815D5">
        <w:t xml:space="preserve">the </w:t>
      </w:r>
      <w:r w:rsidR="003815D5">
        <w:t xml:space="preserve">Motion </w:t>
      </w:r>
      <w:r w:rsidR="003815D5">
        <w:rPr>
          <w:i/>
        </w:rPr>
        <w:t xml:space="preserve">In </w:t>
      </w:r>
      <w:proofErr w:type="spellStart"/>
      <w:r w:rsidR="003815D5">
        <w:rPr>
          <w:i/>
        </w:rPr>
        <w:t>Limine</w:t>
      </w:r>
      <w:proofErr w:type="spellEnd"/>
      <w:r w:rsidR="003815D5">
        <w:rPr>
          <w:i/>
        </w:rPr>
        <w:t xml:space="preserve"> </w:t>
      </w:r>
      <w:r w:rsidR="00033858" w:rsidRPr="003815D5">
        <w:t xml:space="preserve">filed by </w:t>
      </w:r>
      <w:r w:rsidR="00FB49BD" w:rsidRPr="003815D5">
        <w:t xml:space="preserve">Energy Services Providers, Inc. d/b/a Pennsylvania Gas &amp; Electric </w:t>
      </w:r>
      <w:r w:rsidR="00033858" w:rsidRPr="003815D5">
        <w:t xml:space="preserve">against </w:t>
      </w:r>
      <w:r w:rsidR="00700B9E" w:rsidRPr="003815D5">
        <w:t xml:space="preserve">Commonwealth of Pennsylvania, by Attorney General Kathleen G. Kane, through the Bureau of Consumer Protection, and Tanya J. McCloskey, Acting Consumer Advocate, </w:t>
      </w:r>
      <w:r w:rsidR="005C1B4B" w:rsidRPr="003815D5">
        <w:t>at Docket Number C-</w:t>
      </w:r>
      <w:r w:rsidR="00700B9E" w:rsidRPr="003815D5">
        <w:t>2014-</w:t>
      </w:r>
      <w:r w:rsidR="00FB49BD" w:rsidRPr="003815D5">
        <w:t xml:space="preserve">2427656 </w:t>
      </w:r>
      <w:r w:rsidR="00033858" w:rsidRPr="003815D5">
        <w:t xml:space="preserve">on </w:t>
      </w:r>
      <w:r w:rsidR="003815D5">
        <w:t>October 20</w:t>
      </w:r>
      <w:r w:rsidR="00033858" w:rsidRPr="003815D5">
        <w:t xml:space="preserve">, 2014 </w:t>
      </w:r>
      <w:r w:rsidR="003815D5">
        <w:t xml:space="preserve">is </w:t>
      </w:r>
      <w:r w:rsidR="00033858" w:rsidRPr="003815D5">
        <w:t xml:space="preserve">hereby </w:t>
      </w:r>
      <w:r w:rsidR="00C773A3" w:rsidRPr="003815D5">
        <w:t>denied</w:t>
      </w:r>
      <w:r w:rsidR="00033858" w:rsidRPr="003815D5">
        <w:t>.</w:t>
      </w:r>
    </w:p>
    <w:p w:rsidR="00444E27" w:rsidRPr="00B8361F" w:rsidRDefault="00444E27" w:rsidP="00444E27"/>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F522EC">
        <w:rPr>
          <w:u w:val="single"/>
        </w:rPr>
        <w:t>December 1</w:t>
      </w:r>
      <w:r w:rsidRPr="00550B34">
        <w:rPr>
          <w:u w:val="single"/>
        </w:rPr>
        <w:t>, 201</w:t>
      </w:r>
      <w:r w:rsidR="004417F1">
        <w:rPr>
          <w:u w:val="single"/>
        </w:rPr>
        <w:t>4</w:t>
      </w:r>
      <w:r w:rsidRPr="00550B34">
        <w:tab/>
      </w:r>
      <w:r w:rsidR="00B238B9">
        <w:tab/>
      </w:r>
      <w:r w:rsidRPr="00550B34">
        <w:tab/>
      </w:r>
      <w:r w:rsidR="00B238B9">
        <w:rPr>
          <w:u w:val="single"/>
        </w:rPr>
        <w:tab/>
      </w:r>
      <w:r w:rsidR="00B238B9">
        <w:rPr>
          <w:u w:val="single"/>
        </w:rPr>
        <w:tab/>
      </w:r>
      <w:r w:rsidR="00B238B9">
        <w:rPr>
          <w:u w:val="single"/>
        </w:rPr>
        <w:tab/>
      </w:r>
      <w:r w:rsidR="00B238B9">
        <w:rPr>
          <w:u w:val="single"/>
        </w:rPr>
        <w:tab/>
      </w:r>
      <w:r w:rsidR="00B238B9">
        <w:rPr>
          <w:u w:val="single"/>
        </w:rPr>
        <w:tab/>
      </w:r>
      <w:r w:rsidR="00B238B9">
        <w:rPr>
          <w:u w:val="single"/>
        </w:rPr>
        <w:tab/>
      </w:r>
    </w:p>
    <w:p w:rsidR="00897507" w:rsidRPr="00550B34" w:rsidRDefault="00897507" w:rsidP="00897507">
      <w:r w:rsidRPr="00550B34">
        <w:tab/>
      </w:r>
      <w:r w:rsidRPr="00550B34">
        <w:tab/>
      </w:r>
      <w:r w:rsidRPr="00550B34">
        <w:tab/>
      </w:r>
      <w:r w:rsidRPr="00550B34">
        <w:tab/>
      </w:r>
      <w:r w:rsidR="00B238B9">
        <w:tab/>
      </w:r>
      <w:r w:rsidRPr="00550B34">
        <w:tab/>
      </w:r>
      <w:r>
        <w:t>Elizabeth Barnes</w:t>
      </w:r>
    </w:p>
    <w:p w:rsidR="00897507" w:rsidRPr="00550B34" w:rsidRDefault="00897507" w:rsidP="00897507">
      <w:r w:rsidRPr="00550B34">
        <w:tab/>
      </w:r>
      <w:r w:rsidRPr="00550B34">
        <w:tab/>
      </w:r>
      <w:r w:rsidRPr="00550B34">
        <w:tab/>
      </w:r>
      <w:r w:rsidRPr="00550B34">
        <w:tab/>
      </w:r>
      <w:r w:rsidR="00B238B9">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rsidR="00B238B9">
        <w:tab/>
      </w:r>
      <w:r>
        <w:tab/>
      </w:r>
      <w:r w:rsidR="00B238B9">
        <w:rPr>
          <w:u w:val="single"/>
        </w:rPr>
        <w:tab/>
      </w:r>
      <w:r w:rsidR="00B238B9">
        <w:rPr>
          <w:u w:val="single"/>
        </w:rPr>
        <w:tab/>
      </w:r>
      <w:r w:rsidR="00B238B9">
        <w:rPr>
          <w:u w:val="single"/>
        </w:rPr>
        <w:tab/>
      </w:r>
      <w:r w:rsidR="00B238B9">
        <w:rPr>
          <w:u w:val="single"/>
        </w:rPr>
        <w:tab/>
      </w:r>
      <w:r w:rsidR="00B238B9">
        <w:rPr>
          <w:u w:val="single"/>
        </w:rPr>
        <w:tab/>
      </w:r>
      <w:r w:rsidR="00B238B9">
        <w:rPr>
          <w:u w:val="single"/>
        </w:rPr>
        <w:tab/>
      </w:r>
    </w:p>
    <w:p w:rsidR="00444E27" w:rsidRPr="00550B34" w:rsidRDefault="00444E27" w:rsidP="00444E27">
      <w:r w:rsidRPr="00550B34">
        <w:tab/>
      </w:r>
      <w:r w:rsidRPr="00550B34">
        <w:tab/>
      </w:r>
      <w:r w:rsidRPr="00550B34">
        <w:tab/>
      </w:r>
      <w:r w:rsidRPr="00550B34">
        <w:tab/>
      </w:r>
      <w:r w:rsidR="00B238B9">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00B238B9">
        <w:tab/>
      </w:r>
      <w:r w:rsidRPr="00550B34">
        <w:tab/>
        <w:t>Administrative Law Judge</w:t>
      </w:r>
    </w:p>
    <w:p w:rsidR="00B238B9" w:rsidRDefault="00B238B9" w:rsidP="00444E27"/>
    <w:p w:rsidR="00B238B9" w:rsidRDefault="00B238B9" w:rsidP="00444E27">
      <w:pPr>
        <w:sectPr w:rsidR="00B238B9" w:rsidSect="00713D64">
          <w:footerReference w:type="default" r:id="rId9"/>
          <w:pgSz w:w="12240" w:h="15840"/>
          <w:pgMar w:top="1440" w:right="1800" w:bottom="1440" w:left="1800" w:header="720" w:footer="720" w:gutter="0"/>
          <w:cols w:space="720"/>
          <w:titlePg/>
        </w:sectPr>
      </w:pPr>
    </w:p>
    <w:p w:rsidR="00B238B9" w:rsidRPr="00483E47" w:rsidRDefault="00B238B9" w:rsidP="00B238B9">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6</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 xml:space="preserve">ENERGY SERVICE PROVIDERS, </w:t>
      </w:r>
      <w:proofErr w:type="spellStart"/>
      <w:r>
        <w:rPr>
          <w:rFonts w:ascii="Microsoft Sans Serif" w:hAnsi="Microsoft Sans Serif" w:cs="Microsoft Sans Serif"/>
          <w:b/>
          <w:u w:val="single"/>
        </w:rPr>
        <w:t>INC</w:t>
      </w:r>
      <w:proofErr w:type="spellEnd"/>
      <w:r>
        <w:rPr>
          <w:rFonts w:ascii="Microsoft Sans Serif" w:hAnsi="Microsoft Sans Serif" w:cs="Microsoft Sans Serif"/>
          <w:b/>
          <w:u w:val="single"/>
        </w:rPr>
        <w:t xml:space="preserve"> D/B/A PENNSYLVANIA GAS &amp; ELECTRIC</w:t>
      </w:r>
    </w:p>
    <w:p w:rsidR="00B238B9" w:rsidRPr="00820858" w:rsidRDefault="00B238B9" w:rsidP="00B238B9">
      <w:pPr>
        <w:rPr>
          <w:rFonts w:ascii="Microsoft Sans Serif" w:hAnsi="Microsoft Sans Serif" w:cs="Microsoft Sans Serif"/>
          <w:b/>
          <w:i/>
          <w:u w:val="single"/>
        </w:rPr>
      </w:pPr>
    </w:p>
    <w:p w:rsidR="00B238B9" w:rsidRDefault="00B238B9" w:rsidP="00B238B9">
      <w:pPr>
        <w:rPr>
          <w:rFonts w:ascii="Microsoft Sans Serif" w:hAnsi="Microsoft Sans Serif" w:cs="Microsoft Sans Serif"/>
        </w:rPr>
      </w:pPr>
      <w:r>
        <w:rPr>
          <w:rFonts w:ascii="Microsoft Sans Serif" w:hAnsi="Microsoft Sans Serif" w:cs="Microsoft Sans Serif"/>
          <w:b/>
          <w:i/>
          <w:u w:val="single"/>
        </w:rPr>
        <w:t>REVISED 11/20/14</w:t>
      </w:r>
      <w:r w:rsidRPr="00483E47">
        <w:rPr>
          <w:rFonts w:ascii="Microsoft Sans Serif" w:hAnsi="Microsoft Sans Serif" w:cs="Microsoft Sans Serif"/>
          <w:b/>
          <w:u w:val="single"/>
        </w:rPr>
        <w:cr/>
      </w:r>
    </w:p>
    <w:p w:rsidR="00B238B9" w:rsidRDefault="00B238B9" w:rsidP="00B238B9">
      <w:pPr>
        <w:rPr>
          <w:rFonts w:ascii="Microsoft Sans Serif" w:hAnsi="Microsoft Sans Serif" w:cs="Microsoft Sans Serif"/>
        </w:rPr>
        <w:sectPr w:rsidR="00B238B9" w:rsidSect="00B238B9">
          <w:pgSz w:w="12240" w:h="15840"/>
          <w:pgMar w:top="720" w:right="720" w:bottom="576" w:left="720" w:header="720" w:footer="720" w:gutter="0"/>
          <w:cols w:space="720"/>
          <w:docGrid w:linePitch="360"/>
        </w:sectPr>
      </w:pPr>
    </w:p>
    <w:p w:rsidR="00B238B9" w:rsidRPr="00483E47" w:rsidRDefault="00B238B9" w:rsidP="00B238B9">
      <w:pPr>
        <w:rPr>
          <w:rFonts w:ascii="Microsoft Sans Serif" w:hAnsi="Microsoft Sans Serif" w:cs="Microsoft Sans Serif"/>
        </w:rPr>
      </w:pPr>
      <w:r w:rsidRPr="00483E47">
        <w:rPr>
          <w:rFonts w:ascii="Microsoft Sans Serif" w:hAnsi="Microsoft Sans Serif" w:cs="Microsoft Sans Serif"/>
        </w:rPr>
        <w:lastRenderedPageBreak/>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B238B9" w:rsidRPr="00483E47" w:rsidRDefault="00B238B9" w:rsidP="00B238B9">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r>
      <w:proofErr w:type="spellStart"/>
      <w:r w:rsidRPr="00483E47">
        <w:rPr>
          <w:rFonts w:ascii="Microsoft Sans Serif" w:hAnsi="Microsoft Sans Serif" w:cs="Microsoft Sans Serif"/>
        </w:rPr>
        <w:t>15</w:t>
      </w:r>
      <w:r w:rsidRPr="00483E47">
        <w:rPr>
          <w:rFonts w:ascii="Microsoft Sans Serif" w:hAnsi="Microsoft Sans Serif" w:cs="Microsoft Sans Serif"/>
          <w:vertAlign w:val="superscript"/>
        </w:rPr>
        <w:t>TH</w:t>
      </w:r>
      <w:proofErr w:type="spellEnd"/>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r>
      <w:r>
        <w:rPr>
          <w:rFonts w:ascii="Microsoft Sans Serif" w:hAnsi="Microsoft Sans Serif" w:cs="Microsoft Sans Serif"/>
        </w:rPr>
        <w:t>BRANDON J PIERCE</w:t>
      </w:r>
      <w:r w:rsidRPr="00483E47">
        <w:rPr>
          <w:rFonts w:ascii="Microsoft Sans Serif" w:hAnsi="Microsoft Sans Serif" w:cs="Microsoft Sans Serif"/>
        </w:rPr>
        <w:t xml:space="preserve"> ESQUIRE</w:t>
      </w:r>
      <w:r w:rsidRPr="00483E47">
        <w:rPr>
          <w:rFonts w:ascii="Microsoft Sans Serif" w:hAnsi="Microsoft Sans Serif" w:cs="Microsoft Sans Serif"/>
        </w:rPr>
        <w:cr/>
        <w:t>KRISTINE E ROBINSON ESQUIRE</w:t>
      </w:r>
    </w:p>
    <w:p w:rsidR="00B238B9" w:rsidRPr="00820858" w:rsidRDefault="00B238B9" w:rsidP="00B238B9">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r>
      <w:proofErr w:type="spellStart"/>
      <w:r w:rsidRPr="00483E47">
        <w:rPr>
          <w:rFonts w:ascii="Microsoft Sans Serif" w:hAnsi="Microsoft Sans Serif" w:cs="Microsoft Sans Serif"/>
        </w:rPr>
        <w:t>5</w:t>
      </w:r>
      <w:r w:rsidRPr="00483E47">
        <w:rPr>
          <w:rFonts w:ascii="Microsoft Sans Serif" w:hAnsi="Microsoft Sans Serif" w:cs="Microsoft Sans Serif"/>
          <w:vertAlign w:val="superscript"/>
        </w:rPr>
        <w:t>TH</w:t>
      </w:r>
      <w:proofErr w:type="spellEnd"/>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HARRISBURG PA  17101</w:t>
      </w:r>
      <w:r w:rsidRPr="00483E47">
        <w:rPr>
          <w:rFonts w:ascii="Microsoft Sans Serif" w:hAnsi="Microsoft Sans Serif" w:cs="Microsoft Sans Serif"/>
        </w:rPr>
        <w:cr/>
        <w:t>717-783-2525</w:t>
      </w:r>
      <w:r w:rsidRPr="00483E47">
        <w:rPr>
          <w:rFonts w:ascii="Microsoft Sans Serif" w:hAnsi="Microsoft Sans Serif" w:cs="Microsoft Sans Serif"/>
        </w:rPr>
        <w:cr/>
      </w:r>
    </w:p>
    <w:p w:rsidR="00B238B9" w:rsidRPr="00820858" w:rsidRDefault="00B238B9" w:rsidP="00B238B9">
      <w:pPr>
        <w:rPr>
          <w:rFonts w:ascii="Microsoft Sans Serif" w:hAnsi="Microsoft Sans Serif" w:cs="Microsoft Sans Serif"/>
        </w:rPr>
      </w:pPr>
      <w:r w:rsidRPr="00820858">
        <w:rPr>
          <w:rFonts w:ascii="Microsoft Sans Serif" w:hAnsi="Microsoft Sans Serif" w:cs="Microsoft Sans Serif"/>
        </w:rPr>
        <w:t>STEPHANIE WIMER ESQUIRE</w:t>
      </w:r>
    </w:p>
    <w:p w:rsidR="00B238B9" w:rsidRPr="00820858" w:rsidRDefault="00B238B9" w:rsidP="00B238B9">
      <w:pPr>
        <w:rPr>
          <w:rFonts w:ascii="Microsoft Sans Serif" w:hAnsi="Microsoft Sans Serif" w:cs="Microsoft Sans Serif"/>
        </w:rPr>
      </w:pPr>
      <w:r w:rsidRPr="00820858">
        <w:rPr>
          <w:rFonts w:ascii="Microsoft Sans Serif" w:hAnsi="Microsoft Sans Serif" w:cs="Microsoft Sans Serif"/>
        </w:rPr>
        <w:t>PA PUC LAW BUREAU</w:t>
      </w:r>
    </w:p>
    <w:p w:rsidR="00B238B9" w:rsidRPr="00820858" w:rsidRDefault="00B238B9" w:rsidP="00B238B9">
      <w:pPr>
        <w:rPr>
          <w:rFonts w:ascii="Microsoft Sans Serif" w:hAnsi="Microsoft Sans Serif" w:cs="Microsoft Sans Serif"/>
        </w:rPr>
      </w:pPr>
      <w:r w:rsidRPr="00820858">
        <w:rPr>
          <w:rFonts w:ascii="Microsoft Sans Serif" w:hAnsi="Microsoft Sans Serif" w:cs="Microsoft Sans Serif"/>
        </w:rPr>
        <w:t>PO BOX 3265</w:t>
      </w:r>
    </w:p>
    <w:p w:rsidR="00B238B9" w:rsidRPr="00820858" w:rsidRDefault="00B238B9" w:rsidP="00B238B9">
      <w:pPr>
        <w:rPr>
          <w:rFonts w:ascii="Microsoft Sans Serif" w:hAnsi="Microsoft Sans Serif" w:cs="Microsoft Sans Serif"/>
        </w:rPr>
      </w:pPr>
      <w:r w:rsidRPr="00820858">
        <w:rPr>
          <w:rFonts w:ascii="Microsoft Sans Serif" w:hAnsi="Microsoft Sans Serif" w:cs="Microsoft Sans Serif"/>
        </w:rPr>
        <w:t>HARRISBURG PA  17105-3265</w:t>
      </w:r>
    </w:p>
    <w:p w:rsidR="00B238B9" w:rsidRPr="00820858" w:rsidRDefault="00B238B9" w:rsidP="00B238B9">
      <w:pPr>
        <w:rPr>
          <w:rFonts w:ascii="Microsoft Sans Serif" w:hAnsi="Microsoft Sans Serif" w:cs="Microsoft Sans Serif"/>
          <w:b/>
          <w:i/>
          <w:u w:val="single"/>
        </w:rPr>
      </w:pPr>
      <w:r w:rsidRPr="00820858">
        <w:rPr>
          <w:rFonts w:ascii="Microsoft Sans Serif" w:hAnsi="Microsoft Sans Serif" w:cs="Microsoft Sans Serif"/>
          <w:b/>
          <w:i/>
          <w:u w:val="single"/>
        </w:rPr>
        <w:t>Accepts eService</w:t>
      </w:r>
    </w:p>
    <w:p w:rsidR="00B238B9" w:rsidRPr="00820858" w:rsidRDefault="00B238B9" w:rsidP="00B238B9">
      <w:pPr>
        <w:rPr>
          <w:rFonts w:ascii="Microsoft Sans Serif" w:hAnsi="Microsoft Sans Serif" w:cs="Microsoft Sans Serif"/>
        </w:rPr>
      </w:pPr>
    </w:p>
    <w:p w:rsidR="00B238B9" w:rsidRDefault="00B238B9" w:rsidP="00B238B9">
      <w:pPr>
        <w:rPr>
          <w:rFonts w:ascii="Microsoft Sans Serif" w:hAnsi="Microsoft Sans Serif" w:cs="Microsoft Sans Serif"/>
        </w:rPr>
      </w:pPr>
      <w:r>
        <w:rPr>
          <w:rFonts w:ascii="Microsoft Sans Serif" w:hAnsi="Microsoft Sans Serif" w:cs="Microsoft Sans Serif"/>
        </w:rPr>
        <w:t>TODD S STEWART ESQUIRE</w:t>
      </w:r>
    </w:p>
    <w:p w:rsidR="00B238B9" w:rsidRDefault="00B238B9" w:rsidP="00B238B9">
      <w:pPr>
        <w:rPr>
          <w:rFonts w:ascii="Microsoft Sans Serif" w:hAnsi="Microsoft Sans Serif" w:cs="Microsoft Sans Serif"/>
        </w:rPr>
      </w:pPr>
      <w:r>
        <w:rPr>
          <w:rFonts w:ascii="Microsoft Sans Serif" w:hAnsi="Microsoft Sans Serif" w:cs="Microsoft Sans Serif"/>
        </w:rPr>
        <w:t>HAWKE MCKEON &amp; SNISCAK LLP</w:t>
      </w:r>
    </w:p>
    <w:p w:rsidR="00B238B9" w:rsidRDefault="00B238B9" w:rsidP="00B238B9">
      <w:pPr>
        <w:rPr>
          <w:rFonts w:ascii="Microsoft Sans Serif" w:hAnsi="Microsoft Sans Serif" w:cs="Microsoft Sans Serif"/>
        </w:rPr>
      </w:pPr>
      <w:r>
        <w:rPr>
          <w:rFonts w:ascii="Microsoft Sans Serif" w:hAnsi="Microsoft Sans Serif" w:cs="Microsoft Sans Serif"/>
        </w:rPr>
        <w:t>100 NORTH TENTH STREET</w:t>
      </w:r>
    </w:p>
    <w:p w:rsidR="00B238B9" w:rsidRDefault="00B238B9" w:rsidP="00B238B9">
      <w:pPr>
        <w:rPr>
          <w:rFonts w:ascii="Microsoft Sans Serif" w:hAnsi="Microsoft Sans Serif" w:cs="Microsoft Sans Serif"/>
        </w:rPr>
      </w:pPr>
      <w:r>
        <w:rPr>
          <w:rFonts w:ascii="Microsoft Sans Serif" w:hAnsi="Microsoft Sans Serif" w:cs="Microsoft Sans Serif"/>
        </w:rPr>
        <w:t>PO BOX 1778</w:t>
      </w:r>
    </w:p>
    <w:p w:rsidR="00B238B9" w:rsidRPr="00483E47" w:rsidRDefault="00B238B9" w:rsidP="00B238B9">
      <w:pPr>
        <w:rPr>
          <w:rFonts w:ascii="Microsoft Sans Serif" w:hAnsi="Microsoft Sans Serif" w:cs="Microsoft Sans Serif"/>
        </w:rPr>
      </w:pPr>
      <w:r>
        <w:rPr>
          <w:rFonts w:ascii="Microsoft Sans Serif" w:hAnsi="Microsoft Sans Serif" w:cs="Microsoft Sans Serif"/>
        </w:rPr>
        <w:t>HARRISBURG PA  17105-1778</w:t>
      </w:r>
    </w:p>
    <w:p w:rsidR="00B238B9" w:rsidRDefault="00B238B9" w:rsidP="00B238B9">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B238B9" w:rsidRDefault="00B238B9" w:rsidP="00B238B9">
      <w:pPr>
        <w:rPr>
          <w:rFonts w:ascii="Microsoft Sans Serif" w:hAnsi="Microsoft Sans Serif" w:cs="Microsoft Sans Serif"/>
          <w:b/>
          <w:i/>
          <w:u w:val="single"/>
        </w:rPr>
      </w:pPr>
    </w:p>
    <w:p w:rsidR="00B238B9" w:rsidRDefault="00B238B9" w:rsidP="00B238B9">
      <w:pPr>
        <w:rPr>
          <w:rFonts w:ascii="Microsoft Sans Serif" w:hAnsi="Microsoft Sans Serif" w:cs="Microsoft Sans Serif"/>
        </w:rPr>
      </w:pPr>
      <w:r>
        <w:rPr>
          <w:rFonts w:ascii="Microsoft Sans Serif" w:hAnsi="Microsoft Sans Serif" w:cs="Microsoft Sans Serif"/>
        </w:rPr>
        <w:t>CHRISTOPHER A LEWIS ESQUIRE</w:t>
      </w:r>
    </w:p>
    <w:p w:rsidR="00B238B9" w:rsidRDefault="00B238B9" w:rsidP="00B238B9">
      <w:pPr>
        <w:rPr>
          <w:rFonts w:ascii="Microsoft Sans Serif" w:hAnsi="Microsoft Sans Serif" w:cs="Microsoft Sans Serif"/>
        </w:rPr>
      </w:pPr>
      <w:r>
        <w:rPr>
          <w:rFonts w:ascii="Microsoft Sans Serif" w:hAnsi="Microsoft Sans Serif" w:cs="Microsoft Sans Serif"/>
        </w:rPr>
        <w:t>CHARLES A FITZPATRICK IV ESQUIRE</w:t>
      </w:r>
    </w:p>
    <w:p w:rsidR="00B238B9" w:rsidRDefault="00B238B9" w:rsidP="00B238B9">
      <w:pPr>
        <w:rPr>
          <w:rFonts w:ascii="Microsoft Sans Serif" w:hAnsi="Microsoft Sans Serif" w:cs="Microsoft Sans Serif"/>
        </w:rPr>
      </w:pPr>
      <w:r>
        <w:rPr>
          <w:rFonts w:ascii="Microsoft Sans Serif" w:hAnsi="Microsoft Sans Serif" w:cs="Microsoft Sans Serif"/>
        </w:rPr>
        <w:t>BLANK ROME LLP</w:t>
      </w:r>
    </w:p>
    <w:p w:rsidR="00B238B9" w:rsidRDefault="00B238B9" w:rsidP="00B238B9">
      <w:pPr>
        <w:rPr>
          <w:rFonts w:ascii="Microsoft Sans Serif" w:hAnsi="Microsoft Sans Serif" w:cs="Microsoft Sans Serif"/>
        </w:rPr>
      </w:pPr>
      <w:r>
        <w:rPr>
          <w:rFonts w:ascii="Microsoft Sans Serif" w:hAnsi="Microsoft Sans Serif" w:cs="Microsoft Sans Serif"/>
        </w:rPr>
        <w:t>ONE LOGAN SQUARE</w:t>
      </w:r>
    </w:p>
    <w:p w:rsidR="00B238B9" w:rsidRDefault="00B238B9" w:rsidP="00B238B9">
      <w:pPr>
        <w:rPr>
          <w:rFonts w:ascii="Microsoft Sans Serif" w:hAnsi="Microsoft Sans Serif" w:cs="Microsoft Sans Serif"/>
        </w:rPr>
      </w:pPr>
      <w:r>
        <w:rPr>
          <w:rFonts w:ascii="Microsoft Sans Serif" w:hAnsi="Microsoft Sans Serif" w:cs="Microsoft Sans Serif"/>
        </w:rPr>
        <w:t xml:space="preserve">130 NORTH </w:t>
      </w:r>
      <w:proofErr w:type="spellStart"/>
      <w:r>
        <w:rPr>
          <w:rFonts w:ascii="Microsoft Sans Serif" w:hAnsi="Microsoft Sans Serif" w:cs="Microsoft Sans Serif"/>
        </w:rPr>
        <w:t>18</w:t>
      </w:r>
      <w:r w:rsidRPr="00E233F4">
        <w:rPr>
          <w:rFonts w:ascii="Microsoft Sans Serif" w:hAnsi="Microsoft Sans Serif" w:cs="Microsoft Sans Serif"/>
          <w:vertAlign w:val="superscript"/>
        </w:rPr>
        <w:t>TH</w:t>
      </w:r>
      <w:proofErr w:type="spellEnd"/>
      <w:r>
        <w:rPr>
          <w:rFonts w:ascii="Microsoft Sans Serif" w:hAnsi="Microsoft Sans Serif" w:cs="Microsoft Sans Serif"/>
        </w:rPr>
        <w:t xml:space="preserve"> STREET</w:t>
      </w:r>
    </w:p>
    <w:p w:rsidR="00B238B9" w:rsidRDefault="00B238B9" w:rsidP="00B238B9">
      <w:pPr>
        <w:rPr>
          <w:rFonts w:ascii="Microsoft Sans Serif" w:hAnsi="Microsoft Sans Serif" w:cs="Microsoft Sans Serif"/>
        </w:rPr>
      </w:pPr>
      <w:r>
        <w:rPr>
          <w:rFonts w:ascii="Microsoft Sans Serif" w:hAnsi="Microsoft Sans Serif" w:cs="Microsoft Sans Serif"/>
        </w:rPr>
        <w:t>PHILADELPHIA PA  19130</w:t>
      </w:r>
    </w:p>
    <w:p w:rsidR="00B238B9" w:rsidRDefault="00B238B9" w:rsidP="00B238B9">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B238B9" w:rsidRDefault="00B238B9" w:rsidP="00B238B9">
      <w:pPr>
        <w:rPr>
          <w:rFonts w:ascii="Microsoft Sans Serif" w:hAnsi="Microsoft Sans Serif" w:cs="Microsoft Sans Serif"/>
        </w:rPr>
      </w:pPr>
    </w:p>
    <w:p w:rsidR="00B238B9" w:rsidRDefault="00B238B9" w:rsidP="00B238B9">
      <w:pPr>
        <w:rPr>
          <w:rFonts w:ascii="Microsoft Sans Serif" w:hAnsi="Microsoft Sans Serif" w:cs="Microsoft Sans Serif"/>
          <w:u w:val="double"/>
        </w:rPr>
      </w:pPr>
    </w:p>
    <w:p w:rsidR="00B238B9" w:rsidRDefault="00B238B9" w:rsidP="00B238B9">
      <w:pPr>
        <w:rPr>
          <w:rFonts w:ascii="Microsoft Sans Serif" w:hAnsi="Microsoft Sans Serif" w:cs="Microsoft Sans Serif"/>
          <w:u w:val="double"/>
        </w:rPr>
      </w:pPr>
    </w:p>
    <w:p w:rsidR="00B238B9" w:rsidRDefault="00B238B9" w:rsidP="00B238B9">
      <w:pPr>
        <w:rPr>
          <w:rFonts w:ascii="Microsoft Sans Serif" w:hAnsi="Microsoft Sans Serif" w:cs="Microsoft Sans Serif"/>
          <w:u w:val="double"/>
        </w:rPr>
      </w:pPr>
    </w:p>
    <w:p w:rsidR="00B238B9" w:rsidRDefault="00B238B9" w:rsidP="00B238B9">
      <w:pPr>
        <w:rPr>
          <w:rFonts w:ascii="Microsoft Sans Serif" w:hAnsi="Microsoft Sans Serif" w:cs="Microsoft Sans Serif"/>
          <w:u w:val="double"/>
        </w:rPr>
      </w:pPr>
    </w:p>
    <w:p w:rsidR="00B238B9" w:rsidRPr="00EB18D1" w:rsidRDefault="00B238B9" w:rsidP="00B238B9">
      <w:pPr>
        <w:rPr>
          <w:rFonts w:ascii="Microsoft Sans Serif" w:hAnsi="Microsoft Sans Serif" w:cs="Microsoft Sans Serif"/>
          <w:u w:val="double"/>
        </w:rPr>
      </w:pPr>
      <w:bookmarkStart w:id="0" w:name="_GoBack"/>
      <w:bookmarkEnd w:id="0"/>
      <w:r w:rsidRPr="00EB18D1">
        <w:rPr>
          <w:rFonts w:ascii="Microsoft Sans Serif" w:hAnsi="Microsoft Sans Serif" w:cs="Microsoft Sans Serif"/>
          <w:u w:val="double"/>
        </w:rPr>
        <w:lastRenderedPageBreak/>
        <w:t>KOURTNEY L MYERS ESQUIRE</w:t>
      </w:r>
    </w:p>
    <w:p w:rsidR="00B238B9" w:rsidRPr="00EB18D1" w:rsidRDefault="00B238B9" w:rsidP="00B238B9">
      <w:pPr>
        <w:rPr>
          <w:rFonts w:ascii="Microsoft Sans Serif" w:hAnsi="Microsoft Sans Serif" w:cs="Microsoft Sans Serif"/>
          <w:u w:val="double"/>
        </w:rPr>
      </w:pPr>
      <w:r w:rsidRPr="00EB18D1">
        <w:rPr>
          <w:rFonts w:ascii="Microsoft Sans Serif" w:hAnsi="Microsoft Sans Serif" w:cs="Microsoft Sans Serif"/>
          <w:u w:val="double"/>
        </w:rPr>
        <w:t>PA PUC INVESTIGATION &amp; ENFORCEMENT</w:t>
      </w:r>
    </w:p>
    <w:p w:rsidR="00B238B9" w:rsidRPr="00EB18D1" w:rsidRDefault="00B238B9" w:rsidP="00B238B9">
      <w:pPr>
        <w:rPr>
          <w:rFonts w:ascii="Microsoft Sans Serif" w:hAnsi="Microsoft Sans Serif" w:cs="Microsoft Sans Serif"/>
          <w:u w:val="double"/>
        </w:rPr>
      </w:pPr>
      <w:r w:rsidRPr="00EB18D1">
        <w:rPr>
          <w:rFonts w:ascii="Microsoft Sans Serif" w:hAnsi="Microsoft Sans Serif" w:cs="Microsoft Sans Serif"/>
          <w:u w:val="double"/>
        </w:rPr>
        <w:t>PO BOX 3265</w:t>
      </w:r>
    </w:p>
    <w:p w:rsidR="00B238B9" w:rsidRPr="00EB18D1" w:rsidRDefault="00B238B9" w:rsidP="00B238B9">
      <w:pPr>
        <w:rPr>
          <w:rFonts w:ascii="Microsoft Sans Serif" w:hAnsi="Microsoft Sans Serif" w:cs="Microsoft Sans Serif"/>
          <w:u w:val="double"/>
        </w:rPr>
      </w:pPr>
      <w:r w:rsidRPr="00EB18D1">
        <w:rPr>
          <w:rFonts w:ascii="Microsoft Sans Serif" w:hAnsi="Microsoft Sans Serif" w:cs="Microsoft Sans Serif"/>
          <w:u w:val="double"/>
        </w:rPr>
        <w:t>HARRISBURG PA  17105</w:t>
      </w:r>
    </w:p>
    <w:p w:rsidR="00B238B9" w:rsidRPr="00E233F4" w:rsidRDefault="00B238B9" w:rsidP="00B238B9">
      <w:pPr>
        <w:rPr>
          <w:rFonts w:ascii="Microsoft Sans Serif" w:hAnsi="Microsoft Sans Serif" w:cs="Microsoft Sans Serif"/>
        </w:rPr>
      </w:pPr>
      <w:r>
        <w:rPr>
          <w:rFonts w:ascii="Microsoft Sans Serif" w:hAnsi="Microsoft Sans Serif" w:cs="Microsoft Sans Serif"/>
          <w:b/>
          <w:i/>
          <w:u w:val="single"/>
        </w:rPr>
        <w:t>Accepts eService</w:t>
      </w:r>
    </w:p>
    <w:p w:rsidR="00B238B9" w:rsidRPr="00550B34" w:rsidRDefault="00B238B9" w:rsidP="00444E27"/>
    <w:sectPr w:rsidR="00B238B9" w:rsidRPr="00550B34" w:rsidSect="00B238B9">
      <w:type w:val="continuous"/>
      <w:pgSz w:w="12240" w:h="15840"/>
      <w:pgMar w:top="720" w:right="720" w:bottom="576"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8EE" w:rsidRDefault="005308EE">
      <w:r>
        <w:separator/>
      </w:r>
    </w:p>
  </w:endnote>
  <w:endnote w:type="continuationSeparator" w:id="0">
    <w:p w:rsidR="005308EE" w:rsidRDefault="0053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6D33B5">
    <w:pPr>
      <w:pStyle w:val="Footer"/>
      <w:framePr w:wrap="auto" w:vAnchor="text" w:hAnchor="margin" w:xAlign="center" w:y="1"/>
      <w:rPr>
        <w:rStyle w:val="PageNumber"/>
        <w:sz w:val="23"/>
        <w:szCs w:val="23"/>
      </w:rPr>
    </w:pPr>
  </w:p>
  <w:p w:rsidR="006D33B5" w:rsidRPr="003C02CC" w:rsidRDefault="006D33B5" w:rsidP="00B238B9">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8EE" w:rsidRDefault="005308EE">
      <w:r>
        <w:separator/>
      </w:r>
    </w:p>
  </w:footnote>
  <w:footnote w:type="continuationSeparator" w:id="0">
    <w:p w:rsidR="005308EE" w:rsidRDefault="00530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B7A8B"/>
    <w:multiLevelType w:val="hybridMultilevel"/>
    <w:tmpl w:val="2C4CB718"/>
    <w:lvl w:ilvl="0" w:tplc="92BE1D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8"/>
  </w:num>
  <w:num w:numId="5">
    <w:abstractNumId w:val="4"/>
  </w:num>
  <w:num w:numId="6">
    <w:abstractNumId w:val="22"/>
  </w:num>
  <w:num w:numId="7">
    <w:abstractNumId w:val="1"/>
  </w:num>
  <w:num w:numId="8">
    <w:abstractNumId w:val="13"/>
  </w:num>
  <w:num w:numId="9">
    <w:abstractNumId w:val="7"/>
  </w:num>
  <w:num w:numId="10">
    <w:abstractNumId w:val="21"/>
  </w:num>
  <w:num w:numId="11">
    <w:abstractNumId w:val="16"/>
  </w:num>
  <w:num w:numId="12">
    <w:abstractNumId w:val="6"/>
  </w:num>
  <w:num w:numId="13">
    <w:abstractNumId w:val="15"/>
  </w:num>
  <w:num w:numId="14">
    <w:abstractNumId w:val="0"/>
  </w:num>
  <w:num w:numId="15">
    <w:abstractNumId w:val="17"/>
  </w:num>
  <w:num w:numId="16">
    <w:abstractNumId w:val="10"/>
  </w:num>
  <w:num w:numId="17">
    <w:abstractNumId w:val="12"/>
  </w:num>
  <w:num w:numId="18">
    <w:abstractNumId w:val="5"/>
  </w:num>
  <w:num w:numId="19">
    <w:abstractNumId w:val="14"/>
  </w:num>
  <w:num w:numId="20">
    <w:abstractNumId w:val="3"/>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4AE0"/>
    <w:rsid w:val="000253F8"/>
    <w:rsid w:val="00026FD0"/>
    <w:rsid w:val="00031724"/>
    <w:rsid w:val="00031CED"/>
    <w:rsid w:val="00033858"/>
    <w:rsid w:val="00037E8B"/>
    <w:rsid w:val="00040542"/>
    <w:rsid w:val="000447F9"/>
    <w:rsid w:val="00045CCF"/>
    <w:rsid w:val="00050489"/>
    <w:rsid w:val="00050AF1"/>
    <w:rsid w:val="00054540"/>
    <w:rsid w:val="00054A10"/>
    <w:rsid w:val="00055FCB"/>
    <w:rsid w:val="0006006D"/>
    <w:rsid w:val="00060BB1"/>
    <w:rsid w:val="00063F87"/>
    <w:rsid w:val="00070025"/>
    <w:rsid w:val="00073240"/>
    <w:rsid w:val="00080E54"/>
    <w:rsid w:val="00081A6A"/>
    <w:rsid w:val="000851FC"/>
    <w:rsid w:val="000878EC"/>
    <w:rsid w:val="000941C0"/>
    <w:rsid w:val="000A14E9"/>
    <w:rsid w:val="000A1610"/>
    <w:rsid w:val="000A248E"/>
    <w:rsid w:val="000A37EC"/>
    <w:rsid w:val="000A68BE"/>
    <w:rsid w:val="000A6EC8"/>
    <w:rsid w:val="000A79FD"/>
    <w:rsid w:val="000B2BD1"/>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770C"/>
    <w:rsid w:val="00140883"/>
    <w:rsid w:val="00141DCE"/>
    <w:rsid w:val="001425EE"/>
    <w:rsid w:val="00142EE0"/>
    <w:rsid w:val="00143290"/>
    <w:rsid w:val="001441F9"/>
    <w:rsid w:val="00144EB5"/>
    <w:rsid w:val="00153529"/>
    <w:rsid w:val="001540BB"/>
    <w:rsid w:val="001547B2"/>
    <w:rsid w:val="001611E5"/>
    <w:rsid w:val="001714A2"/>
    <w:rsid w:val="001767DF"/>
    <w:rsid w:val="00181BAB"/>
    <w:rsid w:val="00182ECA"/>
    <w:rsid w:val="00187495"/>
    <w:rsid w:val="00187940"/>
    <w:rsid w:val="001900E6"/>
    <w:rsid w:val="00190843"/>
    <w:rsid w:val="001935F0"/>
    <w:rsid w:val="00193F4C"/>
    <w:rsid w:val="0019509B"/>
    <w:rsid w:val="00197B84"/>
    <w:rsid w:val="001A1495"/>
    <w:rsid w:val="001A397D"/>
    <w:rsid w:val="001A62B0"/>
    <w:rsid w:val="001B2461"/>
    <w:rsid w:val="001B6119"/>
    <w:rsid w:val="001B7656"/>
    <w:rsid w:val="001B7A2B"/>
    <w:rsid w:val="001C23B6"/>
    <w:rsid w:val="001C319A"/>
    <w:rsid w:val="001C4B7B"/>
    <w:rsid w:val="001C7376"/>
    <w:rsid w:val="001C7DC7"/>
    <w:rsid w:val="001C7E2F"/>
    <w:rsid w:val="001D0606"/>
    <w:rsid w:val="001D1113"/>
    <w:rsid w:val="001D1D69"/>
    <w:rsid w:val="001D36BC"/>
    <w:rsid w:val="001D46D2"/>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12459"/>
    <w:rsid w:val="0021277F"/>
    <w:rsid w:val="00216197"/>
    <w:rsid w:val="002164E5"/>
    <w:rsid w:val="00217594"/>
    <w:rsid w:val="0022121D"/>
    <w:rsid w:val="00223B03"/>
    <w:rsid w:val="00224765"/>
    <w:rsid w:val="002251CE"/>
    <w:rsid w:val="0023008A"/>
    <w:rsid w:val="00230E9A"/>
    <w:rsid w:val="0024311B"/>
    <w:rsid w:val="002508B3"/>
    <w:rsid w:val="002516D4"/>
    <w:rsid w:val="00252F51"/>
    <w:rsid w:val="0025436A"/>
    <w:rsid w:val="002605DC"/>
    <w:rsid w:val="0026329B"/>
    <w:rsid w:val="002636A2"/>
    <w:rsid w:val="00266583"/>
    <w:rsid w:val="0027269F"/>
    <w:rsid w:val="00275A41"/>
    <w:rsid w:val="00276158"/>
    <w:rsid w:val="002825EF"/>
    <w:rsid w:val="002860B7"/>
    <w:rsid w:val="002872AD"/>
    <w:rsid w:val="00291D9A"/>
    <w:rsid w:val="00295A8E"/>
    <w:rsid w:val="002967E5"/>
    <w:rsid w:val="002A2D40"/>
    <w:rsid w:val="002A5F90"/>
    <w:rsid w:val="002A6146"/>
    <w:rsid w:val="002A6540"/>
    <w:rsid w:val="002B04F4"/>
    <w:rsid w:val="002B1DB7"/>
    <w:rsid w:val="002B202A"/>
    <w:rsid w:val="002B5A65"/>
    <w:rsid w:val="002C06C1"/>
    <w:rsid w:val="002C13F5"/>
    <w:rsid w:val="002C2C4E"/>
    <w:rsid w:val="002C32C8"/>
    <w:rsid w:val="002C370F"/>
    <w:rsid w:val="002C40FB"/>
    <w:rsid w:val="002C5171"/>
    <w:rsid w:val="002C66E9"/>
    <w:rsid w:val="002D275A"/>
    <w:rsid w:val="002E2B8A"/>
    <w:rsid w:val="002E4F5F"/>
    <w:rsid w:val="002E5F7E"/>
    <w:rsid w:val="002E64EF"/>
    <w:rsid w:val="002E76DB"/>
    <w:rsid w:val="002F05AF"/>
    <w:rsid w:val="002F61D3"/>
    <w:rsid w:val="002F686B"/>
    <w:rsid w:val="003038D5"/>
    <w:rsid w:val="00303920"/>
    <w:rsid w:val="00304A73"/>
    <w:rsid w:val="00311AFC"/>
    <w:rsid w:val="00312F22"/>
    <w:rsid w:val="00316851"/>
    <w:rsid w:val="00316B95"/>
    <w:rsid w:val="00317051"/>
    <w:rsid w:val="00321207"/>
    <w:rsid w:val="003233E4"/>
    <w:rsid w:val="003234C9"/>
    <w:rsid w:val="00325C82"/>
    <w:rsid w:val="00326FA4"/>
    <w:rsid w:val="0032777F"/>
    <w:rsid w:val="00330C99"/>
    <w:rsid w:val="00331314"/>
    <w:rsid w:val="00332070"/>
    <w:rsid w:val="00333129"/>
    <w:rsid w:val="00333A41"/>
    <w:rsid w:val="00334E63"/>
    <w:rsid w:val="00337DC7"/>
    <w:rsid w:val="00342A79"/>
    <w:rsid w:val="00345906"/>
    <w:rsid w:val="00345AF2"/>
    <w:rsid w:val="00347167"/>
    <w:rsid w:val="00350245"/>
    <w:rsid w:val="00353CE7"/>
    <w:rsid w:val="00360A2F"/>
    <w:rsid w:val="0036322E"/>
    <w:rsid w:val="00364A6D"/>
    <w:rsid w:val="00366708"/>
    <w:rsid w:val="00366F51"/>
    <w:rsid w:val="00367E2E"/>
    <w:rsid w:val="00371B8B"/>
    <w:rsid w:val="00371F6E"/>
    <w:rsid w:val="00374FE0"/>
    <w:rsid w:val="0037679C"/>
    <w:rsid w:val="0037752B"/>
    <w:rsid w:val="00380135"/>
    <w:rsid w:val="003815D5"/>
    <w:rsid w:val="003828F7"/>
    <w:rsid w:val="00386B3E"/>
    <w:rsid w:val="0039072F"/>
    <w:rsid w:val="0039566B"/>
    <w:rsid w:val="003A5D44"/>
    <w:rsid w:val="003A5D4E"/>
    <w:rsid w:val="003A64CC"/>
    <w:rsid w:val="003B2470"/>
    <w:rsid w:val="003B2B0E"/>
    <w:rsid w:val="003B2D14"/>
    <w:rsid w:val="003B4C91"/>
    <w:rsid w:val="003B4D8F"/>
    <w:rsid w:val="003C02CC"/>
    <w:rsid w:val="003C406C"/>
    <w:rsid w:val="003C424C"/>
    <w:rsid w:val="003C50EB"/>
    <w:rsid w:val="003C66F8"/>
    <w:rsid w:val="003D419D"/>
    <w:rsid w:val="003D7B43"/>
    <w:rsid w:val="003E04E8"/>
    <w:rsid w:val="003E3839"/>
    <w:rsid w:val="003E44F8"/>
    <w:rsid w:val="003F0F78"/>
    <w:rsid w:val="003F21D9"/>
    <w:rsid w:val="003F49DD"/>
    <w:rsid w:val="003F68D9"/>
    <w:rsid w:val="003F6945"/>
    <w:rsid w:val="003F6F42"/>
    <w:rsid w:val="00402EB0"/>
    <w:rsid w:val="00404CF5"/>
    <w:rsid w:val="00407622"/>
    <w:rsid w:val="00413065"/>
    <w:rsid w:val="00415EAE"/>
    <w:rsid w:val="00421C2E"/>
    <w:rsid w:val="00423069"/>
    <w:rsid w:val="00427BB1"/>
    <w:rsid w:val="004327EC"/>
    <w:rsid w:val="00436D29"/>
    <w:rsid w:val="0044078D"/>
    <w:rsid w:val="004417BA"/>
    <w:rsid w:val="004417F1"/>
    <w:rsid w:val="00444026"/>
    <w:rsid w:val="004441EB"/>
    <w:rsid w:val="004444A1"/>
    <w:rsid w:val="00444E27"/>
    <w:rsid w:val="00446AEA"/>
    <w:rsid w:val="004509B5"/>
    <w:rsid w:val="00451DD1"/>
    <w:rsid w:val="0046363A"/>
    <w:rsid w:val="004677A9"/>
    <w:rsid w:val="0046782D"/>
    <w:rsid w:val="00474A88"/>
    <w:rsid w:val="00476814"/>
    <w:rsid w:val="0048022D"/>
    <w:rsid w:val="00484CA9"/>
    <w:rsid w:val="00485942"/>
    <w:rsid w:val="00487C67"/>
    <w:rsid w:val="0049010E"/>
    <w:rsid w:val="004907E0"/>
    <w:rsid w:val="00491200"/>
    <w:rsid w:val="004A44C7"/>
    <w:rsid w:val="004A6217"/>
    <w:rsid w:val="004A744B"/>
    <w:rsid w:val="004B12AD"/>
    <w:rsid w:val="004B3128"/>
    <w:rsid w:val="004B3986"/>
    <w:rsid w:val="004B4716"/>
    <w:rsid w:val="004B66DA"/>
    <w:rsid w:val="004B6CB6"/>
    <w:rsid w:val="004B73DA"/>
    <w:rsid w:val="004C0C8D"/>
    <w:rsid w:val="004C19EA"/>
    <w:rsid w:val="004C54A1"/>
    <w:rsid w:val="004C5959"/>
    <w:rsid w:val="004D1B9A"/>
    <w:rsid w:val="004D5EDA"/>
    <w:rsid w:val="004D6775"/>
    <w:rsid w:val="004D6F0B"/>
    <w:rsid w:val="004D6F51"/>
    <w:rsid w:val="004E3BB5"/>
    <w:rsid w:val="004E5B21"/>
    <w:rsid w:val="004E5BAC"/>
    <w:rsid w:val="004E665A"/>
    <w:rsid w:val="004E6F0A"/>
    <w:rsid w:val="004F0D0E"/>
    <w:rsid w:val="004F0FF9"/>
    <w:rsid w:val="004F664A"/>
    <w:rsid w:val="005040DC"/>
    <w:rsid w:val="0050525A"/>
    <w:rsid w:val="00506ED2"/>
    <w:rsid w:val="00506F36"/>
    <w:rsid w:val="00511327"/>
    <w:rsid w:val="00511838"/>
    <w:rsid w:val="0051332A"/>
    <w:rsid w:val="005173E3"/>
    <w:rsid w:val="0052063B"/>
    <w:rsid w:val="00522D71"/>
    <w:rsid w:val="00526B7E"/>
    <w:rsid w:val="005308EE"/>
    <w:rsid w:val="00530931"/>
    <w:rsid w:val="0053143A"/>
    <w:rsid w:val="00531C6A"/>
    <w:rsid w:val="0053303C"/>
    <w:rsid w:val="0053542E"/>
    <w:rsid w:val="00535728"/>
    <w:rsid w:val="00535B47"/>
    <w:rsid w:val="00541FA5"/>
    <w:rsid w:val="005457C5"/>
    <w:rsid w:val="00547CC0"/>
    <w:rsid w:val="00550B34"/>
    <w:rsid w:val="005534AB"/>
    <w:rsid w:val="00555AB2"/>
    <w:rsid w:val="00557163"/>
    <w:rsid w:val="0056090B"/>
    <w:rsid w:val="00562740"/>
    <w:rsid w:val="0056328E"/>
    <w:rsid w:val="00564A1C"/>
    <w:rsid w:val="0056671B"/>
    <w:rsid w:val="00566D50"/>
    <w:rsid w:val="00577041"/>
    <w:rsid w:val="00581A90"/>
    <w:rsid w:val="00582CDA"/>
    <w:rsid w:val="0058333F"/>
    <w:rsid w:val="00583F87"/>
    <w:rsid w:val="005877DE"/>
    <w:rsid w:val="00587965"/>
    <w:rsid w:val="00587FE9"/>
    <w:rsid w:val="0059163B"/>
    <w:rsid w:val="0059318E"/>
    <w:rsid w:val="00593CE6"/>
    <w:rsid w:val="00594F19"/>
    <w:rsid w:val="005A0C2C"/>
    <w:rsid w:val="005A268E"/>
    <w:rsid w:val="005A36C7"/>
    <w:rsid w:val="005A3B57"/>
    <w:rsid w:val="005A6A5B"/>
    <w:rsid w:val="005A723E"/>
    <w:rsid w:val="005B063C"/>
    <w:rsid w:val="005B49D8"/>
    <w:rsid w:val="005B6C33"/>
    <w:rsid w:val="005C038C"/>
    <w:rsid w:val="005C1B4B"/>
    <w:rsid w:val="005C7120"/>
    <w:rsid w:val="005D0602"/>
    <w:rsid w:val="005D092D"/>
    <w:rsid w:val="005D470C"/>
    <w:rsid w:val="005E5B28"/>
    <w:rsid w:val="005E66B4"/>
    <w:rsid w:val="005F024B"/>
    <w:rsid w:val="005F179B"/>
    <w:rsid w:val="005F1FD3"/>
    <w:rsid w:val="005F2817"/>
    <w:rsid w:val="005F36A0"/>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2FCA"/>
    <w:rsid w:val="00643063"/>
    <w:rsid w:val="00645312"/>
    <w:rsid w:val="00646D7E"/>
    <w:rsid w:val="0064719F"/>
    <w:rsid w:val="00651DC9"/>
    <w:rsid w:val="00657239"/>
    <w:rsid w:val="00661ABA"/>
    <w:rsid w:val="00661F7B"/>
    <w:rsid w:val="00664B91"/>
    <w:rsid w:val="00665616"/>
    <w:rsid w:val="00666CE7"/>
    <w:rsid w:val="00670AF4"/>
    <w:rsid w:val="00670EBA"/>
    <w:rsid w:val="0067293C"/>
    <w:rsid w:val="00672EC0"/>
    <w:rsid w:val="006747F7"/>
    <w:rsid w:val="006763F3"/>
    <w:rsid w:val="00677021"/>
    <w:rsid w:val="006803CC"/>
    <w:rsid w:val="006816B8"/>
    <w:rsid w:val="00684075"/>
    <w:rsid w:val="006849B4"/>
    <w:rsid w:val="006871DC"/>
    <w:rsid w:val="00694651"/>
    <w:rsid w:val="0069608E"/>
    <w:rsid w:val="0069608F"/>
    <w:rsid w:val="006A2304"/>
    <w:rsid w:val="006A5824"/>
    <w:rsid w:val="006A7A0E"/>
    <w:rsid w:val="006B0982"/>
    <w:rsid w:val="006C040A"/>
    <w:rsid w:val="006C0786"/>
    <w:rsid w:val="006C2C4C"/>
    <w:rsid w:val="006C393A"/>
    <w:rsid w:val="006C5A4D"/>
    <w:rsid w:val="006D0F1E"/>
    <w:rsid w:val="006D1934"/>
    <w:rsid w:val="006D33B5"/>
    <w:rsid w:val="006D48B8"/>
    <w:rsid w:val="006D528C"/>
    <w:rsid w:val="006D5523"/>
    <w:rsid w:val="006E3B8A"/>
    <w:rsid w:val="006E5176"/>
    <w:rsid w:val="006E58BE"/>
    <w:rsid w:val="006E6FAE"/>
    <w:rsid w:val="006F07D3"/>
    <w:rsid w:val="006F0FF6"/>
    <w:rsid w:val="006F14FE"/>
    <w:rsid w:val="006F1BFA"/>
    <w:rsid w:val="006F3A0C"/>
    <w:rsid w:val="006F74A6"/>
    <w:rsid w:val="006F77FC"/>
    <w:rsid w:val="006F7FCB"/>
    <w:rsid w:val="00700291"/>
    <w:rsid w:val="0070083D"/>
    <w:rsid w:val="00700B9E"/>
    <w:rsid w:val="00702513"/>
    <w:rsid w:val="00702A13"/>
    <w:rsid w:val="007041DB"/>
    <w:rsid w:val="007138CC"/>
    <w:rsid w:val="00713D64"/>
    <w:rsid w:val="00714476"/>
    <w:rsid w:val="00716BBA"/>
    <w:rsid w:val="007203E5"/>
    <w:rsid w:val="00722FF8"/>
    <w:rsid w:val="00723CC9"/>
    <w:rsid w:val="00724ABE"/>
    <w:rsid w:val="00725BFC"/>
    <w:rsid w:val="00726EC8"/>
    <w:rsid w:val="007341C8"/>
    <w:rsid w:val="00735291"/>
    <w:rsid w:val="0074212A"/>
    <w:rsid w:val="00746EC7"/>
    <w:rsid w:val="00747E2E"/>
    <w:rsid w:val="00752614"/>
    <w:rsid w:val="00756EAF"/>
    <w:rsid w:val="0075751F"/>
    <w:rsid w:val="00761AAA"/>
    <w:rsid w:val="00763DA0"/>
    <w:rsid w:val="007653FA"/>
    <w:rsid w:val="00771201"/>
    <w:rsid w:val="00772413"/>
    <w:rsid w:val="00774975"/>
    <w:rsid w:val="00780958"/>
    <w:rsid w:val="00783F05"/>
    <w:rsid w:val="00784AE9"/>
    <w:rsid w:val="007876C7"/>
    <w:rsid w:val="00787F5D"/>
    <w:rsid w:val="007945B3"/>
    <w:rsid w:val="007B1227"/>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7C41"/>
    <w:rsid w:val="0082084D"/>
    <w:rsid w:val="00820EA8"/>
    <w:rsid w:val="008253A9"/>
    <w:rsid w:val="00827705"/>
    <w:rsid w:val="00830CF6"/>
    <w:rsid w:val="008413F8"/>
    <w:rsid w:val="008438CF"/>
    <w:rsid w:val="00843D58"/>
    <w:rsid w:val="00845486"/>
    <w:rsid w:val="008454B9"/>
    <w:rsid w:val="00845A5B"/>
    <w:rsid w:val="0084613F"/>
    <w:rsid w:val="00846FB5"/>
    <w:rsid w:val="00850DA2"/>
    <w:rsid w:val="008540FD"/>
    <w:rsid w:val="00854EC8"/>
    <w:rsid w:val="008563EB"/>
    <w:rsid w:val="00861C19"/>
    <w:rsid w:val="0086399C"/>
    <w:rsid w:val="00864D29"/>
    <w:rsid w:val="008733C7"/>
    <w:rsid w:val="00874F41"/>
    <w:rsid w:val="008773BF"/>
    <w:rsid w:val="0088262B"/>
    <w:rsid w:val="0088305E"/>
    <w:rsid w:val="00883E39"/>
    <w:rsid w:val="00884C0B"/>
    <w:rsid w:val="00886427"/>
    <w:rsid w:val="008921ED"/>
    <w:rsid w:val="00894A7C"/>
    <w:rsid w:val="00897507"/>
    <w:rsid w:val="008A048B"/>
    <w:rsid w:val="008A28B8"/>
    <w:rsid w:val="008A6027"/>
    <w:rsid w:val="008A7776"/>
    <w:rsid w:val="008C0504"/>
    <w:rsid w:val="008C0769"/>
    <w:rsid w:val="008C17E3"/>
    <w:rsid w:val="008C2266"/>
    <w:rsid w:val="008C2B8B"/>
    <w:rsid w:val="008C4577"/>
    <w:rsid w:val="008C53F0"/>
    <w:rsid w:val="008C6629"/>
    <w:rsid w:val="008C6C08"/>
    <w:rsid w:val="008C7929"/>
    <w:rsid w:val="008D2A90"/>
    <w:rsid w:val="008D34B8"/>
    <w:rsid w:val="008D59A2"/>
    <w:rsid w:val="008E2CB5"/>
    <w:rsid w:val="008E6D84"/>
    <w:rsid w:val="008E79BF"/>
    <w:rsid w:val="008F755E"/>
    <w:rsid w:val="009065DB"/>
    <w:rsid w:val="00907551"/>
    <w:rsid w:val="00907E35"/>
    <w:rsid w:val="00907E93"/>
    <w:rsid w:val="0091132C"/>
    <w:rsid w:val="009155D9"/>
    <w:rsid w:val="00922597"/>
    <w:rsid w:val="009242C7"/>
    <w:rsid w:val="00926832"/>
    <w:rsid w:val="00932C4C"/>
    <w:rsid w:val="00933A0A"/>
    <w:rsid w:val="00935A17"/>
    <w:rsid w:val="009422A8"/>
    <w:rsid w:val="009435E2"/>
    <w:rsid w:val="0094648D"/>
    <w:rsid w:val="009479D5"/>
    <w:rsid w:val="00951B5E"/>
    <w:rsid w:val="00951BBB"/>
    <w:rsid w:val="00952807"/>
    <w:rsid w:val="00957662"/>
    <w:rsid w:val="00960F5B"/>
    <w:rsid w:val="00961913"/>
    <w:rsid w:val="00963BD5"/>
    <w:rsid w:val="009651D5"/>
    <w:rsid w:val="00965501"/>
    <w:rsid w:val="00967192"/>
    <w:rsid w:val="009701FB"/>
    <w:rsid w:val="00970AF3"/>
    <w:rsid w:val="009712E6"/>
    <w:rsid w:val="00973E46"/>
    <w:rsid w:val="0098199E"/>
    <w:rsid w:val="00985B9C"/>
    <w:rsid w:val="00986603"/>
    <w:rsid w:val="0099051F"/>
    <w:rsid w:val="00991840"/>
    <w:rsid w:val="00994060"/>
    <w:rsid w:val="009971D9"/>
    <w:rsid w:val="009A1902"/>
    <w:rsid w:val="009A241C"/>
    <w:rsid w:val="009A2760"/>
    <w:rsid w:val="009B0651"/>
    <w:rsid w:val="009B23BE"/>
    <w:rsid w:val="009B3671"/>
    <w:rsid w:val="009B76B9"/>
    <w:rsid w:val="009C228F"/>
    <w:rsid w:val="009C25F1"/>
    <w:rsid w:val="009C2A10"/>
    <w:rsid w:val="009C416F"/>
    <w:rsid w:val="009C44F8"/>
    <w:rsid w:val="009C5580"/>
    <w:rsid w:val="009D16D6"/>
    <w:rsid w:val="009D17D2"/>
    <w:rsid w:val="009D2069"/>
    <w:rsid w:val="009D37EA"/>
    <w:rsid w:val="009D7DAC"/>
    <w:rsid w:val="009E1824"/>
    <w:rsid w:val="009E2517"/>
    <w:rsid w:val="009E3F91"/>
    <w:rsid w:val="009E69D3"/>
    <w:rsid w:val="009F01F6"/>
    <w:rsid w:val="009F3DEF"/>
    <w:rsid w:val="009F421F"/>
    <w:rsid w:val="009F57DD"/>
    <w:rsid w:val="009F6BF1"/>
    <w:rsid w:val="00A004FE"/>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172B"/>
    <w:rsid w:val="00A543D6"/>
    <w:rsid w:val="00A545FB"/>
    <w:rsid w:val="00A54F8A"/>
    <w:rsid w:val="00A62BBE"/>
    <w:rsid w:val="00A72819"/>
    <w:rsid w:val="00A732ED"/>
    <w:rsid w:val="00A74AF3"/>
    <w:rsid w:val="00A76336"/>
    <w:rsid w:val="00A76480"/>
    <w:rsid w:val="00A77426"/>
    <w:rsid w:val="00A80EB1"/>
    <w:rsid w:val="00A8749E"/>
    <w:rsid w:val="00A92373"/>
    <w:rsid w:val="00A93FB7"/>
    <w:rsid w:val="00A9604D"/>
    <w:rsid w:val="00AA0F79"/>
    <w:rsid w:val="00AA23BA"/>
    <w:rsid w:val="00AA3B44"/>
    <w:rsid w:val="00AA5A3B"/>
    <w:rsid w:val="00AA65A0"/>
    <w:rsid w:val="00AB35A6"/>
    <w:rsid w:val="00AC073A"/>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8D4"/>
    <w:rsid w:val="00B04A94"/>
    <w:rsid w:val="00B067D4"/>
    <w:rsid w:val="00B105BD"/>
    <w:rsid w:val="00B10BE1"/>
    <w:rsid w:val="00B12632"/>
    <w:rsid w:val="00B13E2F"/>
    <w:rsid w:val="00B14A8E"/>
    <w:rsid w:val="00B150EE"/>
    <w:rsid w:val="00B16B10"/>
    <w:rsid w:val="00B17D2D"/>
    <w:rsid w:val="00B17E29"/>
    <w:rsid w:val="00B22385"/>
    <w:rsid w:val="00B2251B"/>
    <w:rsid w:val="00B22579"/>
    <w:rsid w:val="00B238B9"/>
    <w:rsid w:val="00B253D7"/>
    <w:rsid w:val="00B25A1A"/>
    <w:rsid w:val="00B34D51"/>
    <w:rsid w:val="00B356D9"/>
    <w:rsid w:val="00B3741D"/>
    <w:rsid w:val="00B42052"/>
    <w:rsid w:val="00B42143"/>
    <w:rsid w:val="00B4231E"/>
    <w:rsid w:val="00B4241D"/>
    <w:rsid w:val="00B428B5"/>
    <w:rsid w:val="00B44A3E"/>
    <w:rsid w:val="00B50F61"/>
    <w:rsid w:val="00B53C7F"/>
    <w:rsid w:val="00B606E5"/>
    <w:rsid w:val="00B62154"/>
    <w:rsid w:val="00B6233D"/>
    <w:rsid w:val="00B65A70"/>
    <w:rsid w:val="00B67038"/>
    <w:rsid w:val="00B70E1E"/>
    <w:rsid w:val="00B715DC"/>
    <w:rsid w:val="00B73F8B"/>
    <w:rsid w:val="00B74492"/>
    <w:rsid w:val="00B7459D"/>
    <w:rsid w:val="00B76E4E"/>
    <w:rsid w:val="00B806F4"/>
    <w:rsid w:val="00B83324"/>
    <w:rsid w:val="00B8361F"/>
    <w:rsid w:val="00B8363B"/>
    <w:rsid w:val="00B852ED"/>
    <w:rsid w:val="00B85855"/>
    <w:rsid w:val="00B85A59"/>
    <w:rsid w:val="00B87D27"/>
    <w:rsid w:val="00B87F4C"/>
    <w:rsid w:val="00B905A3"/>
    <w:rsid w:val="00B9621C"/>
    <w:rsid w:val="00B97AB5"/>
    <w:rsid w:val="00BA0600"/>
    <w:rsid w:val="00BA156B"/>
    <w:rsid w:val="00BA19C5"/>
    <w:rsid w:val="00BA5156"/>
    <w:rsid w:val="00BA5877"/>
    <w:rsid w:val="00BA7656"/>
    <w:rsid w:val="00BB03C9"/>
    <w:rsid w:val="00BB0A31"/>
    <w:rsid w:val="00BB1CAC"/>
    <w:rsid w:val="00BB229F"/>
    <w:rsid w:val="00BB28CB"/>
    <w:rsid w:val="00BB36A2"/>
    <w:rsid w:val="00BB5DF1"/>
    <w:rsid w:val="00BB6570"/>
    <w:rsid w:val="00BC1B7C"/>
    <w:rsid w:val="00BC484E"/>
    <w:rsid w:val="00BC5CA3"/>
    <w:rsid w:val="00BC689D"/>
    <w:rsid w:val="00BD1572"/>
    <w:rsid w:val="00BD2783"/>
    <w:rsid w:val="00BE0854"/>
    <w:rsid w:val="00BE152B"/>
    <w:rsid w:val="00BE1ED2"/>
    <w:rsid w:val="00BE726C"/>
    <w:rsid w:val="00BF25F0"/>
    <w:rsid w:val="00BF3079"/>
    <w:rsid w:val="00BF341D"/>
    <w:rsid w:val="00BF3473"/>
    <w:rsid w:val="00BF5D32"/>
    <w:rsid w:val="00BF6876"/>
    <w:rsid w:val="00BF718F"/>
    <w:rsid w:val="00C0065E"/>
    <w:rsid w:val="00C0259F"/>
    <w:rsid w:val="00C11AEF"/>
    <w:rsid w:val="00C12AD7"/>
    <w:rsid w:val="00C13C5A"/>
    <w:rsid w:val="00C16397"/>
    <w:rsid w:val="00C201CA"/>
    <w:rsid w:val="00C23D73"/>
    <w:rsid w:val="00C241A1"/>
    <w:rsid w:val="00C2702D"/>
    <w:rsid w:val="00C27500"/>
    <w:rsid w:val="00C27ADF"/>
    <w:rsid w:val="00C306E8"/>
    <w:rsid w:val="00C33BBB"/>
    <w:rsid w:val="00C33F0C"/>
    <w:rsid w:val="00C3576E"/>
    <w:rsid w:val="00C35956"/>
    <w:rsid w:val="00C407D6"/>
    <w:rsid w:val="00C5657B"/>
    <w:rsid w:val="00C56AEC"/>
    <w:rsid w:val="00C56BA8"/>
    <w:rsid w:val="00C60A73"/>
    <w:rsid w:val="00C610DB"/>
    <w:rsid w:val="00C6203D"/>
    <w:rsid w:val="00C67551"/>
    <w:rsid w:val="00C72120"/>
    <w:rsid w:val="00C7317B"/>
    <w:rsid w:val="00C75DCE"/>
    <w:rsid w:val="00C773A3"/>
    <w:rsid w:val="00C77DA0"/>
    <w:rsid w:val="00C843D7"/>
    <w:rsid w:val="00C90325"/>
    <w:rsid w:val="00C90EDA"/>
    <w:rsid w:val="00C92C0C"/>
    <w:rsid w:val="00CA22A8"/>
    <w:rsid w:val="00CA3396"/>
    <w:rsid w:val="00CA3B90"/>
    <w:rsid w:val="00CA4020"/>
    <w:rsid w:val="00CA73E2"/>
    <w:rsid w:val="00CB1772"/>
    <w:rsid w:val="00CB18E0"/>
    <w:rsid w:val="00CB4220"/>
    <w:rsid w:val="00CB4AB8"/>
    <w:rsid w:val="00CB4DB1"/>
    <w:rsid w:val="00CB748F"/>
    <w:rsid w:val="00CC3542"/>
    <w:rsid w:val="00CC3879"/>
    <w:rsid w:val="00CD3D18"/>
    <w:rsid w:val="00CD68CE"/>
    <w:rsid w:val="00CE08CE"/>
    <w:rsid w:val="00CE0CA0"/>
    <w:rsid w:val="00CE20E9"/>
    <w:rsid w:val="00CE3773"/>
    <w:rsid w:val="00CE6FC5"/>
    <w:rsid w:val="00CE701C"/>
    <w:rsid w:val="00CF0E33"/>
    <w:rsid w:val="00CF4490"/>
    <w:rsid w:val="00CF5705"/>
    <w:rsid w:val="00CF5A8F"/>
    <w:rsid w:val="00D00379"/>
    <w:rsid w:val="00D02279"/>
    <w:rsid w:val="00D06A84"/>
    <w:rsid w:val="00D10467"/>
    <w:rsid w:val="00D10652"/>
    <w:rsid w:val="00D13DB2"/>
    <w:rsid w:val="00D209B6"/>
    <w:rsid w:val="00D21366"/>
    <w:rsid w:val="00D22294"/>
    <w:rsid w:val="00D22442"/>
    <w:rsid w:val="00D2255F"/>
    <w:rsid w:val="00D22EBC"/>
    <w:rsid w:val="00D24374"/>
    <w:rsid w:val="00D24620"/>
    <w:rsid w:val="00D3123C"/>
    <w:rsid w:val="00D3584A"/>
    <w:rsid w:val="00D4089A"/>
    <w:rsid w:val="00D44B05"/>
    <w:rsid w:val="00D51B5E"/>
    <w:rsid w:val="00D55377"/>
    <w:rsid w:val="00D557D5"/>
    <w:rsid w:val="00D57E4B"/>
    <w:rsid w:val="00D601F0"/>
    <w:rsid w:val="00D626EC"/>
    <w:rsid w:val="00D64F50"/>
    <w:rsid w:val="00D65D31"/>
    <w:rsid w:val="00D65F08"/>
    <w:rsid w:val="00D7167B"/>
    <w:rsid w:val="00D73519"/>
    <w:rsid w:val="00D73AE8"/>
    <w:rsid w:val="00D73E83"/>
    <w:rsid w:val="00D80A3E"/>
    <w:rsid w:val="00D84B3D"/>
    <w:rsid w:val="00D92151"/>
    <w:rsid w:val="00D94D3A"/>
    <w:rsid w:val="00D95385"/>
    <w:rsid w:val="00D97C8B"/>
    <w:rsid w:val="00DA0323"/>
    <w:rsid w:val="00DA0C66"/>
    <w:rsid w:val="00DA3FF9"/>
    <w:rsid w:val="00DB112D"/>
    <w:rsid w:val="00DB13BD"/>
    <w:rsid w:val="00DB1971"/>
    <w:rsid w:val="00DB3CE7"/>
    <w:rsid w:val="00DB696C"/>
    <w:rsid w:val="00DC451E"/>
    <w:rsid w:val="00DC5FA1"/>
    <w:rsid w:val="00DC7C98"/>
    <w:rsid w:val="00DD04D4"/>
    <w:rsid w:val="00DD0CE4"/>
    <w:rsid w:val="00DD5CDE"/>
    <w:rsid w:val="00DE3721"/>
    <w:rsid w:val="00DE6607"/>
    <w:rsid w:val="00DF145A"/>
    <w:rsid w:val="00DF1668"/>
    <w:rsid w:val="00DF2742"/>
    <w:rsid w:val="00DF3A9C"/>
    <w:rsid w:val="00DF448C"/>
    <w:rsid w:val="00DF6F53"/>
    <w:rsid w:val="00DF71A5"/>
    <w:rsid w:val="00E061D8"/>
    <w:rsid w:val="00E072E4"/>
    <w:rsid w:val="00E07EE4"/>
    <w:rsid w:val="00E14245"/>
    <w:rsid w:val="00E14396"/>
    <w:rsid w:val="00E14ED8"/>
    <w:rsid w:val="00E20D55"/>
    <w:rsid w:val="00E21F02"/>
    <w:rsid w:val="00E22703"/>
    <w:rsid w:val="00E2272C"/>
    <w:rsid w:val="00E24228"/>
    <w:rsid w:val="00E25125"/>
    <w:rsid w:val="00E27B5F"/>
    <w:rsid w:val="00E334B9"/>
    <w:rsid w:val="00E445D8"/>
    <w:rsid w:val="00E46ACA"/>
    <w:rsid w:val="00E46E1C"/>
    <w:rsid w:val="00E47B07"/>
    <w:rsid w:val="00E50FFA"/>
    <w:rsid w:val="00E526F5"/>
    <w:rsid w:val="00E53FAB"/>
    <w:rsid w:val="00E5528B"/>
    <w:rsid w:val="00E5593B"/>
    <w:rsid w:val="00E62FBF"/>
    <w:rsid w:val="00E63F24"/>
    <w:rsid w:val="00E70A61"/>
    <w:rsid w:val="00E7549F"/>
    <w:rsid w:val="00E77251"/>
    <w:rsid w:val="00E817EE"/>
    <w:rsid w:val="00E818B6"/>
    <w:rsid w:val="00E83487"/>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828"/>
    <w:rsid w:val="00ED4EEA"/>
    <w:rsid w:val="00EF1723"/>
    <w:rsid w:val="00EF26AE"/>
    <w:rsid w:val="00F00D62"/>
    <w:rsid w:val="00F0305C"/>
    <w:rsid w:val="00F03989"/>
    <w:rsid w:val="00F12B16"/>
    <w:rsid w:val="00F139D5"/>
    <w:rsid w:val="00F1692D"/>
    <w:rsid w:val="00F178D1"/>
    <w:rsid w:val="00F23018"/>
    <w:rsid w:val="00F25BF4"/>
    <w:rsid w:val="00F27B16"/>
    <w:rsid w:val="00F32383"/>
    <w:rsid w:val="00F33096"/>
    <w:rsid w:val="00F336A1"/>
    <w:rsid w:val="00F36048"/>
    <w:rsid w:val="00F36AB5"/>
    <w:rsid w:val="00F40A93"/>
    <w:rsid w:val="00F40D25"/>
    <w:rsid w:val="00F441B2"/>
    <w:rsid w:val="00F46A84"/>
    <w:rsid w:val="00F476E8"/>
    <w:rsid w:val="00F522EC"/>
    <w:rsid w:val="00F53AAF"/>
    <w:rsid w:val="00F5660C"/>
    <w:rsid w:val="00F63836"/>
    <w:rsid w:val="00F70BE3"/>
    <w:rsid w:val="00F76819"/>
    <w:rsid w:val="00F808F8"/>
    <w:rsid w:val="00F9081A"/>
    <w:rsid w:val="00F90A9D"/>
    <w:rsid w:val="00FA0DC0"/>
    <w:rsid w:val="00FA0E84"/>
    <w:rsid w:val="00FA5B52"/>
    <w:rsid w:val="00FA66AD"/>
    <w:rsid w:val="00FA73C3"/>
    <w:rsid w:val="00FA7A69"/>
    <w:rsid w:val="00FA7F14"/>
    <w:rsid w:val="00FB17DC"/>
    <w:rsid w:val="00FB25AE"/>
    <w:rsid w:val="00FB49BD"/>
    <w:rsid w:val="00FB4D87"/>
    <w:rsid w:val="00FC4FC1"/>
    <w:rsid w:val="00FD25D2"/>
    <w:rsid w:val="00FD342D"/>
    <w:rsid w:val="00FD4C02"/>
    <w:rsid w:val="00FD636E"/>
    <w:rsid w:val="00FD795C"/>
    <w:rsid w:val="00FE1C67"/>
    <w:rsid w:val="00FE1CDD"/>
    <w:rsid w:val="00FE1D28"/>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204455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0898C-A3C5-4840-A927-07DE366F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Reitenbach, Dawn</cp:lastModifiedBy>
  <cp:revision>3</cp:revision>
  <cp:lastPrinted>2014-12-01T15:03:00Z</cp:lastPrinted>
  <dcterms:created xsi:type="dcterms:W3CDTF">2014-12-01T16:40:00Z</dcterms:created>
  <dcterms:modified xsi:type="dcterms:W3CDTF">2014-12-01T16:43:00Z</dcterms:modified>
</cp:coreProperties>
</file>