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120E0A"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120E0A">
        <w:rPr>
          <w:rFonts w:ascii="Times New Roman" w:eastAsia="Times New Roman" w:hAnsi="Times New Roman" w:cs="Times New Roman"/>
          <w:b/>
          <w:sz w:val="24"/>
          <w:szCs w:val="24"/>
        </w:rPr>
        <w:t>BEFORE THE</w:t>
      </w: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rPr>
        <w:t>PENNSYLVANIA PUBLIC UTILITY COMMISSION</w:t>
      </w: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120E0A" w:rsidRDefault="00600608" w:rsidP="001565B1">
      <w:pPr>
        <w:pStyle w:val="Style"/>
        <w:rPr>
          <w:bCs/>
          <w:color w:val="000000"/>
        </w:rPr>
      </w:pPr>
      <w:r w:rsidRPr="00120E0A">
        <w:rPr>
          <w:bCs/>
          <w:color w:val="000000"/>
        </w:rPr>
        <w:t>Michael Scotto</w:t>
      </w:r>
      <w:r w:rsidR="00D06804" w:rsidRPr="00120E0A">
        <w:rPr>
          <w:bCs/>
          <w:color w:val="000000"/>
        </w:rPr>
        <w:tab/>
      </w:r>
      <w:r w:rsidR="001565B1" w:rsidRPr="00120E0A">
        <w:rPr>
          <w:bCs/>
          <w:color w:val="000000"/>
        </w:rPr>
        <w:tab/>
      </w:r>
      <w:r w:rsidR="001565B1" w:rsidRPr="00120E0A">
        <w:rPr>
          <w:bCs/>
          <w:color w:val="000000"/>
        </w:rPr>
        <w:tab/>
      </w:r>
      <w:r w:rsidR="001565B1" w:rsidRPr="00120E0A">
        <w:rPr>
          <w:bCs/>
          <w:color w:val="000000"/>
        </w:rPr>
        <w:tab/>
      </w:r>
      <w:r w:rsidR="001565B1" w:rsidRPr="00120E0A">
        <w:rPr>
          <w:bCs/>
          <w:color w:val="000000"/>
        </w:rPr>
        <w:tab/>
        <w:t>:</w:t>
      </w:r>
    </w:p>
    <w:p w:rsidR="001565B1" w:rsidRPr="00120E0A" w:rsidRDefault="001565B1" w:rsidP="001565B1">
      <w:pPr>
        <w:pStyle w:val="Style"/>
        <w:rPr>
          <w:bCs/>
          <w:color w:val="000000"/>
        </w:rPr>
      </w:pPr>
      <w:r w:rsidRPr="00120E0A">
        <w:rPr>
          <w:bCs/>
          <w:color w:val="000000"/>
        </w:rPr>
        <w:tab/>
      </w:r>
      <w:r w:rsidRPr="00120E0A">
        <w:rPr>
          <w:bCs/>
          <w:color w:val="000000"/>
        </w:rPr>
        <w:tab/>
      </w:r>
      <w:r w:rsidRPr="00120E0A">
        <w:rPr>
          <w:bCs/>
          <w:color w:val="000000"/>
        </w:rPr>
        <w:tab/>
      </w:r>
      <w:r w:rsidRPr="00120E0A">
        <w:rPr>
          <w:bCs/>
          <w:color w:val="000000"/>
        </w:rPr>
        <w:tab/>
      </w:r>
      <w:r w:rsidRPr="00120E0A">
        <w:rPr>
          <w:bCs/>
          <w:color w:val="000000"/>
        </w:rPr>
        <w:tab/>
      </w:r>
      <w:r w:rsidRPr="00120E0A">
        <w:rPr>
          <w:bCs/>
          <w:color w:val="000000"/>
        </w:rPr>
        <w:tab/>
      </w:r>
      <w:r w:rsidRPr="00120E0A">
        <w:rPr>
          <w:bCs/>
          <w:color w:val="000000"/>
        </w:rPr>
        <w:tab/>
        <w:t>:</w:t>
      </w:r>
    </w:p>
    <w:p w:rsidR="001565B1" w:rsidRPr="00120E0A" w:rsidRDefault="001565B1" w:rsidP="001565B1">
      <w:pPr>
        <w:pStyle w:val="Style"/>
        <w:rPr>
          <w:bCs/>
          <w:color w:val="000000"/>
        </w:rPr>
      </w:pPr>
      <w:r w:rsidRPr="00120E0A">
        <w:rPr>
          <w:bCs/>
          <w:color w:val="000000"/>
        </w:rPr>
        <w:tab/>
        <w:t>v.</w:t>
      </w:r>
      <w:r w:rsidRPr="00120E0A">
        <w:rPr>
          <w:bCs/>
          <w:color w:val="000000"/>
        </w:rPr>
        <w:tab/>
      </w:r>
      <w:r w:rsidRPr="00120E0A">
        <w:rPr>
          <w:bCs/>
          <w:color w:val="000000"/>
        </w:rPr>
        <w:tab/>
      </w:r>
      <w:r w:rsidRPr="00120E0A">
        <w:rPr>
          <w:bCs/>
          <w:color w:val="000000"/>
        </w:rPr>
        <w:tab/>
      </w:r>
      <w:r w:rsidRPr="00120E0A">
        <w:rPr>
          <w:bCs/>
          <w:color w:val="000000"/>
        </w:rPr>
        <w:tab/>
      </w:r>
      <w:r w:rsidRPr="00120E0A">
        <w:rPr>
          <w:bCs/>
          <w:color w:val="000000"/>
        </w:rPr>
        <w:tab/>
      </w:r>
      <w:r w:rsidRPr="00120E0A">
        <w:rPr>
          <w:bCs/>
          <w:color w:val="000000"/>
        </w:rPr>
        <w:tab/>
        <w:t>:</w:t>
      </w:r>
      <w:r w:rsidRPr="00120E0A">
        <w:rPr>
          <w:bCs/>
          <w:color w:val="000000"/>
        </w:rPr>
        <w:tab/>
      </w:r>
      <w:r w:rsidRPr="00120E0A">
        <w:rPr>
          <w:bCs/>
          <w:color w:val="000000"/>
        </w:rPr>
        <w:tab/>
      </w:r>
      <w:r w:rsidR="004F19C8" w:rsidRPr="00120E0A">
        <w:rPr>
          <w:bCs/>
          <w:color w:val="000000"/>
        </w:rPr>
        <w:t>C-201</w:t>
      </w:r>
      <w:r w:rsidR="00600608" w:rsidRPr="00120E0A">
        <w:rPr>
          <w:bCs/>
          <w:color w:val="000000"/>
        </w:rPr>
        <w:t>4-2414070</w:t>
      </w:r>
    </w:p>
    <w:p w:rsidR="001565B1" w:rsidRPr="00120E0A" w:rsidRDefault="001565B1" w:rsidP="001565B1">
      <w:pPr>
        <w:pStyle w:val="Style"/>
        <w:rPr>
          <w:bCs/>
          <w:color w:val="000000"/>
        </w:rPr>
      </w:pPr>
      <w:r w:rsidRPr="00120E0A">
        <w:rPr>
          <w:bCs/>
          <w:color w:val="000000"/>
        </w:rPr>
        <w:tab/>
      </w:r>
      <w:r w:rsidRPr="00120E0A">
        <w:rPr>
          <w:bCs/>
          <w:color w:val="000000"/>
        </w:rPr>
        <w:tab/>
      </w:r>
      <w:r w:rsidRPr="00120E0A">
        <w:rPr>
          <w:bCs/>
          <w:color w:val="000000"/>
        </w:rPr>
        <w:tab/>
      </w:r>
      <w:r w:rsidRPr="00120E0A">
        <w:rPr>
          <w:bCs/>
          <w:color w:val="000000"/>
        </w:rPr>
        <w:tab/>
      </w:r>
      <w:r w:rsidRPr="00120E0A">
        <w:rPr>
          <w:bCs/>
          <w:color w:val="000000"/>
        </w:rPr>
        <w:tab/>
      </w:r>
      <w:r w:rsidRPr="00120E0A">
        <w:rPr>
          <w:bCs/>
          <w:color w:val="000000"/>
        </w:rPr>
        <w:tab/>
      </w:r>
      <w:r w:rsidRPr="00120E0A">
        <w:rPr>
          <w:bCs/>
          <w:color w:val="000000"/>
        </w:rPr>
        <w:tab/>
        <w:t>:</w:t>
      </w:r>
    </w:p>
    <w:p w:rsidR="001565B1" w:rsidRPr="00120E0A" w:rsidRDefault="00600608" w:rsidP="001565B1">
      <w:pPr>
        <w:pStyle w:val="Style"/>
        <w:rPr>
          <w:bCs/>
          <w:color w:val="000000"/>
        </w:rPr>
      </w:pPr>
      <w:r w:rsidRPr="00120E0A">
        <w:rPr>
          <w:bCs/>
          <w:color w:val="000000"/>
        </w:rPr>
        <w:t>PPL Electric Utilities Corporation</w:t>
      </w:r>
      <w:r w:rsidR="001565B1" w:rsidRPr="00120E0A">
        <w:rPr>
          <w:bCs/>
          <w:color w:val="000000"/>
        </w:rPr>
        <w:tab/>
      </w:r>
      <w:r w:rsidR="001565B1" w:rsidRPr="00120E0A">
        <w:rPr>
          <w:bCs/>
          <w:color w:val="000000"/>
        </w:rPr>
        <w:tab/>
      </w:r>
      <w:r w:rsidR="001565B1" w:rsidRPr="00120E0A">
        <w:rPr>
          <w:bCs/>
          <w:color w:val="000000"/>
        </w:rPr>
        <w:tab/>
        <w:t>:</w:t>
      </w:r>
    </w:p>
    <w:p w:rsidR="00BD5884" w:rsidRPr="00120E0A"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u w:val="single"/>
        </w:rPr>
        <w:t>INITIAL DECISION</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Before</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Joel H. Cheskis</w:t>
      </w:r>
    </w:p>
    <w:p w:rsidR="006753FE" w:rsidRPr="00120E0A" w:rsidRDefault="00BD5884" w:rsidP="006753FE">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Administrative Law Judge</w:t>
      </w: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120E0A" w:rsidRDefault="000D1F19" w:rsidP="006753FE">
      <w:pPr>
        <w:autoSpaceDE w:val="0"/>
        <w:autoSpaceDN w:val="0"/>
        <w:spacing w:after="0" w:line="240" w:lineRule="auto"/>
        <w:jc w:val="center"/>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INTRODUCTION</w:t>
      </w: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u w:val="single"/>
        </w:rPr>
      </w:pPr>
    </w:p>
    <w:p w:rsidR="007C5FF3" w:rsidRPr="00120E0A" w:rsidRDefault="007C5FF3" w:rsidP="00710D8A">
      <w:pPr>
        <w:autoSpaceDE w:val="0"/>
        <w:autoSpaceDN w:val="0"/>
        <w:spacing w:after="0" w:line="360" w:lineRule="auto"/>
        <w:rPr>
          <w:rFonts w:ascii="Times New Roman" w:eastAsia="Times New Roman" w:hAnsi="Times New Roman" w:cs="Times New Roman"/>
          <w:sz w:val="24"/>
          <w:szCs w:val="24"/>
        </w:rPr>
      </w:pPr>
    </w:p>
    <w:p w:rsidR="006753FE" w:rsidRPr="00120E0A" w:rsidRDefault="006753FE" w:rsidP="00710D8A">
      <w:pPr>
        <w:autoSpaceDE w:val="0"/>
        <w:autoSpaceDN w:val="0"/>
        <w:spacing w:after="0" w:line="360" w:lineRule="auto"/>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ab/>
      </w:r>
      <w:r w:rsidRPr="00120E0A">
        <w:rPr>
          <w:rFonts w:ascii="Times New Roman" w:eastAsia="Times New Roman" w:hAnsi="Times New Roman" w:cs="Times New Roman"/>
          <w:sz w:val="24"/>
          <w:szCs w:val="24"/>
        </w:rPr>
        <w:tab/>
        <w:t xml:space="preserve">This Decision </w:t>
      </w:r>
      <w:r w:rsidR="005065B2" w:rsidRPr="00120E0A">
        <w:rPr>
          <w:rFonts w:ascii="Times New Roman" w:eastAsia="Times New Roman" w:hAnsi="Times New Roman" w:cs="Times New Roman"/>
          <w:sz w:val="24"/>
          <w:szCs w:val="24"/>
        </w:rPr>
        <w:t xml:space="preserve">grants in part and denies in part </w:t>
      </w:r>
      <w:r w:rsidRPr="00120E0A">
        <w:rPr>
          <w:rFonts w:ascii="Times New Roman" w:eastAsia="Times New Roman" w:hAnsi="Times New Roman" w:cs="Times New Roman"/>
          <w:sz w:val="24"/>
          <w:szCs w:val="24"/>
        </w:rPr>
        <w:t xml:space="preserve">a formal Complaint filed by a customer of a utility who </w:t>
      </w:r>
      <w:r w:rsidR="00FC189E" w:rsidRPr="00120E0A">
        <w:rPr>
          <w:rFonts w:ascii="Times New Roman" w:eastAsia="Times New Roman" w:hAnsi="Times New Roman" w:cs="Times New Roman"/>
          <w:sz w:val="24"/>
          <w:szCs w:val="24"/>
        </w:rPr>
        <w:t xml:space="preserve">complained </w:t>
      </w:r>
      <w:r w:rsidR="00D35E82" w:rsidRPr="00120E0A">
        <w:rPr>
          <w:rFonts w:ascii="Times New Roman" w:eastAsia="Times New Roman" w:hAnsi="Times New Roman" w:cs="Times New Roman"/>
          <w:sz w:val="24"/>
          <w:szCs w:val="24"/>
        </w:rPr>
        <w:t>that</w:t>
      </w:r>
      <w:r w:rsidR="00D72C3F">
        <w:rPr>
          <w:rFonts w:ascii="Times New Roman" w:eastAsia="Times New Roman" w:hAnsi="Times New Roman" w:cs="Times New Roman"/>
          <w:sz w:val="24"/>
          <w:szCs w:val="24"/>
        </w:rPr>
        <w:t>:</w:t>
      </w:r>
      <w:r w:rsidR="00D35E82" w:rsidRPr="00120E0A">
        <w:rPr>
          <w:rFonts w:ascii="Times New Roman" w:eastAsia="Times New Roman" w:hAnsi="Times New Roman" w:cs="Times New Roman"/>
          <w:sz w:val="24"/>
          <w:szCs w:val="24"/>
        </w:rPr>
        <w:t xml:space="preserve"> 1) there are incorrect charges on his bill </w:t>
      </w:r>
      <w:r w:rsidR="00C32E22" w:rsidRPr="00120E0A">
        <w:rPr>
          <w:rFonts w:ascii="Times New Roman" w:eastAsia="Times New Roman" w:hAnsi="Times New Roman" w:cs="Times New Roman"/>
          <w:sz w:val="24"/>
          <w:szCs w:val="24"/>
        </w:rPr>
        <w:t xml:space="preserve">because </w:t>
      </w:r>
      <w:r w:rsidR="00997BEE" w:rsidRPr="00120E0A">
        <w:rPr>
          <w:rFonts w:ascii="Times New Roman" w:eastAsia="Times New Roman" w:hAnsi="Times New Roman" w:cs="Times New Roman"/>
          <w:sz w:val="24"/>
          <w:szCs w:val="24"/>
        </w:rPr>
        <w:t>his meter was not accurate</w:t>
      </w:r>
      <w:r w:rsidR="009060A0" w:rsidRPr="00120E0A">
        <w:rPr>
          <w:rFonts w:ascii="Times New Roman" w:eastAsia="Times New Roman" w:hAnsi="Times New Roman" w:cs="Times New Roman"/>
          <w:sz w:val="24"/>
          <w:szCs w:val="24"/>
        </w:rPr>
        <w:t>, 2) he would like a payment agreement</w:t>
      </w:r>
      <w:r w:rsidR="00997BEE" w:rsidRPr="00120E0A">
        <w:rPr>
          <w:rFonts w:ascii="Times New Roman" w:eastAsia="Times New Roman" w:hAnsi="Times New Roman" w:cs="Times New Roman"/>
          <w:sz w:val="24"/>
          <w:szCs w:val="24"/>
        </w:rPr>
        <w:t xml:space="preserve"> and </w:t>
      </w:r>
      <w:r w:rsidR="00D35E82" w:rsidRPr="00120E0A">
        <w:rPr>
          <w:rFonts w:ascii="Times New Roman" w:eastAsia="Times New Roman" w:hAnsi="Times New Roman" w:cs="Times New Roman"/>
          <w:sz w:val="24"/>
          <w:szCs w:val="24"/>
        </w:rPr>
        <w:t xml:space="preserve">3) the utility inappropriately entered his property to inspect his meter.  </w:t>
      </w:r>
      <w:r w:rsidR="009802B8" w:rsidRPr="00120E0A">
        <w:rPr>
          <w:rFonts w:ascii="Times New Roman" w:eastAsia="Times New Roman" w:hAnsi="Times New Roman" w:cs="Times New Roman"/>
          <w:sz w:val="24"/>
          <w:szCs w:val="24"/>
        </w:rPr>
        <w:t xml:space="preserve">The </w:t>
      </w:r>
      <w:r w:rsidR="005065B2" w:rsidRPr="00120E0A">
        <w:rPr>
          <w:rFonts w:ascii="Times New Roman" w:eastAsia="Times New Roman" w:hAnsi="Times New Roman" w:cs="Times New Roman"/>
          <w:sz w:val="24"/>
          <w:szCs w:val="24"/>
        </w:rPr>
        <w:t xml:space="preserve">portion of the </w:t>
      </w:r>
      <w:r w:rsidR="009802B8" w:rsidRPr="00120E0A">
        <w:rPr>
          <w:rFonts w:ascii="Times New Roman" w:eastAsia="Times New Roman" w:hAnsi="Times New Roman" w:cs="Times New Roman"/>
          <w:sz w:val="24"/>
          <w:szCs w:val="24"/>
        </w:rPr>
        <w:t xml:space="preserve">Complaint </w:t>
      </w:r>
      <w:r w:rsidR="005065B2" w:rsidRPr="00120E0A">
        <w:rPr>
          <w:rFonts w:ascii="Times New Roman" w:eastAsia="Times New Roman" w:hAnsi="Times New Roman" w:cs="Times New Roman"/>
          <w:sz w:val="24"/>
          <w:szCs w:val="24"/>
        </w:rPr>
        <w:t>seeking a payment agreement will be sustained.  However, the portion</w:t>
      </w:r>
      <w:r w:rsidR="002F43CD" w:rsidRPr="00120E0A">
        <w:rPr>
          <w:rFonts w:ascii="Times New Roman" w:eastAsia="Times New Roman" w:hAnsi="Times New Roman" w:cs="Times New Roman"/>
          <w:sz w:val="24"/>
          <w:szCs w:val="24"/>
        </w:rPr>
        <w:t>s</w:t>
      </w:r>
      <w:r w:rsidR="005065B2" w:rsidRPr="00120E0A">
        <w:rPr>
          <w:rFonts w:ascii="Times New Roman" w:eastAsia="Times New Roman" w:hAnsi="Times New Roman" w:cs="Times New Roman"/>
          <w:sz w:val="24"/>
          <w:szCs w:val="24"/>
        </w:rPr>
        <w:t xml:space="preserve"> of the Complaint regarding any incorrect charges or inappropriate actions by the Company </w:t>
      </w:r>
      <w:r w:rsidR="009802B8" w:rsidRPr="00120E0A">
        <w:rPr>
          <w:rFonts w:ascii="Times New Roman" w:eastAsia="Times New Roman" w:hAnsi="Times New Roman" w:cs="Times New Roman"/>
          <w:sz w:val="24"/>
          <w:szCs w:val="24"/>
        </w:rPr>
        <w:t>will be dismissed because t</w:t>
      </w:r>
      <w:r w:rsidR="00710D8A" w:rsidRPr="00120E0A">
        <w:rPr>
          <w:rFonts w:ascii="Times New Roman" w:eastAsia="Times New Roman" w:hAnsi="Times New Roman" w:cs="Times New Roman"/>
          <w:sz w:val="24"/>
          <w:szCs w:val="24"/>
        </w:rPr>
        <w:t xml:space="preserve">he customer </w:t>
      </w:r>
      <w:r w:rsidRPr="00120E0A">
        <w:rPr>
          <w:rFonts w:ascii="Times New Roman" w:eastAsia="Times New Roman" w:hAnsi="Times New Roman" w:cs="Times New Roman"/>
          <w:sz w:val="24"/>
          <w:szCs w:val="24"/>
        </w:rPr>
        <w:t xml:space="preserve">has failed to satisfy </w:t>
      </w:r>
      <w:r w:rsidR="00710D8A" w:rsidRPr="00120E0A">
        <w:rPr>
          <w:rFonts w:ascii="Times New Roman" w:eastAsia="Times New Roman" w:hAnsi="Times New Roman" w:cs="Times New Roman"/>
          <w:sz w:val="24"/>
          <w:szCs w:val="24"/>
        </w:rPr>
        <w:t xml:space="preserve">his </w:t>
      </w:r>
      <w:r w:rsidRPr="00120E0A">
        <w:rPr>
          <w:rFonts w:ascii="Times New Roman" w:eastAsia="Times New Roman" w:hAnsi="Times New Roman" w:cs="Times New Roman"/>
          <w:sz w:val="24"/>
          <w:szCs w:val="24"/>
        </w:rPr>
        <w:t>burden of demonstrating that the Company’s actions violate the Public Utility Code, a Commission Order or regulation or any Commission-approved Company tariff.</w:t>
      </w:r>
    </w:p>
    <w:p w:rsidR="00710D8A" w:rsidRPr="00120E0A" w:rsidRDefault="00710D8A" w:rsidP="0066229D">
      <w:pPr>
        <w:autoSpaceDE w:val="0"/>
        <w:autoSpaceDN w:val="0"/>
        <w:spacing w:after="0" w:line="240" w:lineRule="auto"/>
        <w:rPr>
          <w:rFonts w:ascii="Times New Roman" w:eastAsia="Times New Roman" w:hAnsi="Times New Roman" w:cs="Times New Roman"/>
          <w:sz w:val="24"/>
          <w:szCs w:val="24"/>
        </w:rPr>
      </w:pPr>
    </w:p>
    <w:p w:rsidR="0066229D" w:rsidRPr="00120E0A" w:rsidRDefault="0066229D" w:rsidP="0066229D">
      <w:pPr>
        <w:autoSpaceDE w:val="0"/>
        <w:autoSpaceDN w:val="0"/>
        <w:spacing w:after="0" w:line="240" w:lineRule="auto"/>
        <w:rPr>
          <w:rFonts w:ascii="Times New Roman" w:eastAsia="Times New Roman" w:hAnsi="Times New Roman" w:cs="Times New Roman"/>
          <w:sz w:val="24"/>
          <w:szCs w:val="24"/>
        </w:rPr>
      </w:pPr>
    </w:p>
    <w:p w:rsidR="001F1682" w:rsidRPr="00120E0A" w:rsidRDefault="001F1682" w:rsidP="0066229D">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HISTORY OF THE PROCEEDING</w:t>
      </w:r>
    </w:p>
    <w:p w:rsidR="00A44E7C" w:rsidRPr="00120E0A" w:rsidRDefault="00A44E7C" w:rsidP="00710D8A">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66229D" w:rsidRPr="00120E0A" w:rsidRDefault="0066229D" w:rsidP="00710D8A">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FB2AD8" w:rsidRPr="00120E0A" w:rsidRDefault="00FB2AD8" w:rsidP="00FB2AD8">
      <w:pPr>
        <w:pStyle w:val="ParaTab1"/>
        <w:tabs>
          <w:tab w:val="left" w:pos="2070"/>
        </w:tabs>
        <w:spacing w:line="360" w:lineRule="auto"/>
        <w:rPr>
          <w:rFonts w:ascii="Times New Roman" w:hAnsi="Times New Roman" w:cs="Times New Roman"/>
        </w:rPr>
      </w:pPr>
      <w:r w:rsidRPr="00120E0A">
        <w:rPr>
          <w:rFonts w:ascii="Times New Roman" w:hAnsi="Times New Roman" w:cs="Times New Roman"/>
        </w:rPr>
        <w:t xml:space="preserve">On April 1, 2014, Michael Scotto filed with the Pennsylvania Public Utility Commission (Commission) a formal Complaint against PPL Electric Utilities Corporation (PPL or “the Company”), Docket Number C-2014-2414070.  In his Complaint, Mr. Scotto averred that </w:t>
      </w:r>
      <w:r w:rsidRPr="00120E0A">
        <w:rPr>
          <w:rFonts w:ascii="Times New Roman" w:hAnsi="Times New Roman" w:cs="Times New Roman"/>
        </w:rPr>
        <w:lastRenderedPageBreak/>
        <w:t>there are incorrect charges on his bill and that he would like a payment agreement.  Mr. Scotto noted that his income is below 200% of the federal poverty level and that he should be receiving financial assistance through PPL’s customer assistance program (CAP).  Mr. Scotto added, however, that he was having problems receiving the CAP assistance and also had problems with budget billing.  Mr. Scotto further averred that PPL was incorrectly overcharging him $1,100 and that he was threatened with shutoff.  Mr. Scotto requested that his bills be reviewed for accuracy, he be placed back on CAP and that PPL cease and desist from any attempted shutoffs.</w:t>
      </w:r>
    </w:p>
    <w:p w:rsidR="00FB2AD8" w:rsidRPr="00120E0A" w:rsidRDefault="00FB2AD8" w:rsidP="00FB2AD8">
      <w:pPr>
        <w:pStyle w:val="ParaTab1"/>
        <w:tabs>
          <w:tab w:val="left" w:pos="2070"/>
        </w:tabs>
        <w:spacing w:line="360" w:lineRule="auto"/>
        <w:rPr>
          <w:rFonts w:ascii="Times New Roman" w:hAnsi="Times New Roman" w:cs="Times New Roman"/>
        </w:rPr>
      </w:pPr>
    </w:p>
    <w:p w:rsidR="00FB2AD8" w:rsidRPr="00120E0A" w:rsidRDefault="00FB2AD8" w:rsidP="00FB2AD8">
      <w:pPr>
        <w:pStyle w:val="ParaTab1"/>
        <w:tabs>
          <w:tab w:val="left" w:pos="2070"/>
        </w:tabs>
        <w:spacing w:line="360" w:lineRule="auto"/>
        <w:rPr>
          <w:rFonts w:ascii="Times New Roman" w:hAnsi="Times New Roman" w:cs="Times New Roman"/>
        </w:rPr>
      </w:pPr>
      <w:r w:rsidRPr="00120E0A">
        <w:rPr>
          <w:rFonts w:ascii="Times New Roman" w:hAnsi="Times New Roman" w:cs="Times New Roman"/>
        </w:rPr>
        <w:t>On April 22, 2014, PPL filed an Answer to Mr. Scotto’s Complaint.  In its Answer, PPL denied that there are any incorrect charges on Mr. Scotto’s bill or that it failed to enroll him in CAP.  PPL added that Mr. Scotto was removed from CAP when he exceeded his benefit allotment for the year.  PPL concluded its Answer by requesting that the Commission deny Mr. Scotto’s Complaint.</w:t>
      </w:r>
    </w:p>
    <w:p w:rsidR="00FB2AD8" w:rsidRPr="00120E0A" w:rsidRDefault="00FB2AD8" w:rsidP="00FB2AD8">
      <w:pPr>
        <w:pStyle w:val="ParaTab1"/>
        <w:tabs>
          <w:tab w:val="left" w:pos="2070"/>
        </w:tabs>
        <w:spacing w:line="360" w:lineRule="auto"/>
        <w:rPr>
          <w:rFonts w:ascii="Times New Roman" w:hAnsi="Times New Roman" w:cs="Times New Roman"/>
        </w:rPr>
      </w:pPr>
    </w:p>
    <w:p w:rsidR="00FB2AD8" w:rsidRPr="00120E0A" w:rsidRDefault="00FB2AD8" w:rsidP="00FB2AD8">
      <w:pPr>
        <w:pStyle w:val="ParaTab1"/>
        <w:tabs>
          <w:tab w:val="left" w:pos="2070"/>
        </w:tabs>
        <w:spacing w:line="360" w:lineRule="auto"/>
        <w:rPr>
          <w:rFonts w:ascii="Times New Roman" w:hAnsi="Times New Roman" w:cs="Times New Roman"/>
        </w:rPr>
      </w:pPr>
      <w:r w:rsidRPr="00120E0A">
        <w:rPr>
          <w:rFonts w:ascii="Times New Roman" w:hAnsi="Times New Roman" w:cs="Times New Roman"/>
        </w:rPr>
        <w:t>On May 19, 2014, the Commission issued a Telephonic Hearing Notice scheduling an Initial Telephonic Hearing in this matter for Tuesday, June 24, 2014 at 10:00 a.m. and assigning me as the Presiding Officer.  On May 22, 2014, a Prehearing Order was issued setting forth the various procedural rules that would govern the Hearing.</w:t>
      </w:r>
    </w:p>
    <w:p w:rsidR="00FB2AD8" w:rsidRPr="00120E0A" w:rsidRDefault="00FB2AD8" w:rsidP="00FB2AD8">
      <w:pPr>
        <w:pStyle w:val="ParaTab1"/>
        <w:tabs>
          <w:tab w:val="left" w:pos="2070"/>
        </w:tabs>
        <w:spacing w:line="360" w:lineRule="auto"/>
        <w:rPr>
          <w:rFonts w:ascii="Times New Roman" w:hAnsi="Times New Roman" w:cs="Times New Roman"/>
        </w:rPr>
      </w:pPr>
    </w:p>
    <w:p w:rsidR="00FB2AD8" w:rsidRPr="00120E0A" w:rsidRDefault="00FB2AD8" w:rsidP="00FB2AD8">
      <w:pPr>
        <w:pStyle w:val="ParaTab1"/>
        <w:tabs>
          <w:tab w:val="left" w:pos="2070"/>
        </w:tabs>
        <w:spacing w:line="360" w:lineRule="auto"/>
        <w:rPr>
          <w:rFonts w:ascii="Times New Roman" w:hAnsi="Times New Roman" w:cs="Times New Roman"/>
        </w:rPr>
      </w:pPr>
      <w:r w:rsidRPr="00120E0A">
        <w:rPr>
          <w:rFonts w:ascii="Times New Roman" w:hAnsi="Times New Roman" w:cs="Times New Roman"/>
        </w:rPr>
        <w:t xml:space="preserve">The Hearing convened on June 24, 2014 as scheduled.  Mr. Scotto appeared </w:t>
      </w:r>
      <w:r w:rsidRPr="00120E0A">
        <w:rPr>
          <w:rFonts w:ascii="Times New Roman" w:hAnsi="Times New Roman" w:cs="Times New Roman"/>
          <w:i/>
        </w:rPr>
        <w:t>pro se</w:t>
      </w:r>
      <w:r w:rsidRPr="00120E0A">
        <w:rPr>
          <w:rFonts w:ascii="Times New Roman" w:hAnsi="Times New Roman" w:cs="Times New Roman"/>
        </w:rPr>
        <w:t>.  Graig Schultz, Esquire, appeared on behalf of the Company.  Prior to commencing the Hearing, the parties were offered an opportunity to engage in settlement discussions.  At the conclusion of those discussions, the parties indicated that a settlement had been reached and that a Certificate of Satisfaction would be filed with the Commission formally closing the case.  On June 24, 2014, PPL filed a Certificate of Satisfaction.</w:t>
      </w:r>
    </w:p>
    <w:p w:rsidR="00FB2AD8" w:rsidRPr="00120E0A" w:rsidRDefault="00FB2AD8" w:rsidP="00FB2AD8">
      <w:pPr>
        <w:pStyle w:val="ParaTab1"/>
        <w:tabs>
          <w:tab w:val="left" w:pos="2070"/>
        </w:tabs>
        <w:spacing w:line="360" w:lineRule="auto"/>
        <w:rPr>
          <w:rFonts w:ascii="Times New Roman" w:hAnsi="Times New Roman" w:cs="Times New Roman"/>
        </w:rPr>
      </w:pPr>
    </w:p>
    <w:p w:rsidR="00FB2AD8" w:rsidRPr="00120E0A" w:rsidRDefault="00FB2AD8" w:rsidP="00FB2AD8">
      <w:pPr>
        <w:pStyle w:val="ParaTab1"/>
        <w:tabs>
          <w:tab w:val="left" w:pos="2070"/>
        </w:tabs>
        <w:spacing w:line="360" w:lineRule="auto"/>
        <w:rPr>
          <w:rFonts w:ascii="Times New Roman" w:hAnsi="Times New Roman" w:cs="Times New Roman"/>
        </w:rPr>
      </w:pPr>
      <w:r w:rsidRPr="00120E0A">
        <w:rPr>
          <w:rFonts w:ascii="Times New Roman" w:hAnsi="Times New Roman" w:cs="Times New Roman"/>
        </w:rPr>
        <w:t>On July 2, 2014, however, Mr. Scotto filed an Objection to Certificate of Satisfaction and Settlement.  In this filing, Mr. Scotto indicated that he objects to the settlement and request</w:t>
      </w:r>
      <w:r w:rsidR="009060A0" w:rsidRPr="00120E0A">
        <w:rPr>
          <w:rFonts w:ascii="Times New Roman" w:hAnsi="Times New Roman" w:cs="Times New Roman"/>
        </w:rPr>
        <w:t>ed</w:t>
      </w:r>
      <w:r w:rsidRPr="00120E0A">
        <w:rPr>
          <w:rFonts w:ascii="Times New Roman" w:hAnsi="Times New Roman" w:cs="Times New Roman"/>
        </w:rPr>
        <w:t xml:space="preserve"> his Complaint proceed to a Hearing.  As such, Mr. Scotto exercised his right to object to the Settlement within 10 days of its filing pursuant to Section 5.24(c) of the Commission’s regulations.</w:t>
      </w:r>
    </w:p>
    <w:p w:rsidR="00FB2AD8" w:rsidRPr="00120E0A" w:rsidRDefault="00FB2AD8" w:rsidP="00FB2AD8">
      <w:pPr>
        <w:pStyle w:val="ParaTab1"/>
        <w:tabs>
          <w:tab w:val="left" w:pos="2070"/>
        </w:tabs>
        <w:spacing w:line="360" w:lineRule="auto"/>
        <w:rPr>
          <w:rFonts w:ascii="Times New Roman" w:hAnsi="Times New Roman" w:cs="Times New Roman"/>
        </w:rPr>
      </w:pPr>
    </w:p>
    <w:p w:rsidR="00FB2AD8" w:rsidRPr="00120E0A" w:rsidRDefault="00FB2AD8" w:rsidP="00FB2AD8">
      <w:pPr>
        <w:spacing w:after="0" w:line="360" w:lineRule="auto"/>
        <w:ind w:firstLine="1440"/>
        <w:rPr>
          <w:rFonts w:ascii="Times New Roman" w:hAnsi="Times New Roman" w:cs="Times New Roman"/>
          <w:sz w:val="24"/>
          <w:szCs w:val="24"/>
        </w:rPr>
      </w:pPr>
      <w:r w:rsidRPr="00120E0A">
        <w:rPr>
          <w:rFonts w:ascii="Times New Roman" w:hAnsi="Times New Roman" w:cs="Times New Roman"/>
          <w:sz w:val="24"/>
          <w:szCs w:val="24"/>
        </w:rPr>
        <w:t>As a result, the Commission issued a Telephonic Hearing Notice on July 3, 2014 establishing a Further Telephonic Hearing for Friday, August</w:t>
      </w:r>
      <w:r w:rsidR="00941324">
        <w:rPr>
          <w:rFonts w:ascii="Times New Roman" w:hAnsi="Times New Roman" w:cs="Times New Roman"/>
          <w:sz w:val="24"/>
          <w:szCs w:val="24"/>
        </w:rPr>
        <w:t xml:space="preserve"> 1, 2014 at 10:00 a.m.  On July 8, </w:t>
      </w:r>
      <w:r w:rsidRPr="00120E0A">
        <w:rPr>
          <w:rFonts w:ascii="Times New Roman" w:hAnsi="Times New Roman" w:cs="Times New Roman"/>
          <w:sz w:val="24"/>
          <w:szCs w:val="24"/>
        </w:rPr>
        <w:t>2014, Prehearing Order #2 was issued confirming the scheduling of the Further Telephonic Hearing and informing the parties that the other provisions of the Prehearing Order dated May 22, 2014 remain in effect.</w:t>
      </w:r>
    </w:p>
    <w:p w:rsidR="00FB2AD8" w:rsidRPr="00120E0A" w:rsidRDefault="00FB2AD8" w:rsidP="00FB2AD8">
      <w:pPr>
        <w:spacing w:after="0" w:line="360" w:lineRule="auto"/>
        <w:ind w:firstLine="1440"/>
        <w:rPr>
          <w:rFonts w:ascii="Times New Roman" w:hAnsi="Times New Roman" w:cs="Times New Roman"/>
          <w:sz w:val="24"/>
          <w:szCs w:val="24"/>
        </w:rPr>
      </w:pPr>
    </w:p>
    <w:p w:rsidR="00FB2AD8" w:rsidRPr="00120E0A" w:rsidRDefault="00FB2AD8" w:rsidP="00FB2AD8">
      <w:pPr>
        <w:spacing w:after="0" w:line="360" w:lineRule="auto"/>
        <w:ind w:firstLine="1440"/>
        <w:rPr>
          <w:rFonts w:ascii="Times New Roman" w:hAnsi="Times New Roman" w:cs="Times New Roman"/>
          <w:sz w:val="24"/>
          <w:szCs w:val="24"/>
        </w:rPr>
      </w:pPr>
      <w:r w:rsidRPr="00120E0A">
        <w:rPr>
          <w:rFonts w:ascii="Times New Roman" w:hAnsi="Times New Roman" w:cs="Times New Roman"/>
          <w:sz w:val="24"/>
          <w:szCs w:val="24"/>
        </w:rPr>
        <w:t xml:space="preserve">The Hearing was held in this case on August 1, 2014, as scheduled.  </w:t>
      </w:r>
      <w:r w:rsidR="009060A0" w:rsidRPr="00120E0A">
        <w:rPr>
          <w:rFonts w:ascii="Times New Roman" w:hAnsi="Times New Roman" w:cs="Times New Roman"/>
          <w:sz w:val="24"/>
          <w:szCs w:val="24"/>
        </w:rPr>
        <w:t>Mr.</w:t>
      </w:r>
      <w:r w:rsidRPr="00120E0A">
        <w:rPr>
          <w:rFonts w:ascii="Times New Roman" w:hAnsi="Times New Roman" w:cs="Times New Roman"/>
          <w:sz w:val="24"/>
          <w:szCs w:val="24"/>
        </w:rPr>
        <w:t xml:space="preserve"> Scotto appeared </w:t>
      </w:r>
      <w:r w:rsidRPr="00120E0A">
        <w:rPr>
          <w:rFonts w:ascii="Times New Roman" w:hAnsi="Times New Roman" w:cs="Times New Roman"/>
          <w:i/>
          <w:sz w:val="24"/>
          <w:szCs w:val="24"/>
        </w:rPr>
        <w:t>pro se</w:t>
      </w:r>
      <w:r w:rsidRPr="00120E0A">
        <w:rPr>
          <w:rFonts w:ascii="Times New Roman" w:hAnsi="Times New Roman" w:cs="Times New Roman"/>
          <w:sz w:val="24"/>
          <w:szCs w:val="24"/>
        </w:rPr>
        <w:t xml:space="preserve"> and presented one witness and one exhibit that was admitted into the record.  Kimberly Krupka, Esquire appeared on behalf of PPL and presented one witness who sponsored three exhibits that were admitted into the record.  A transcript of 91 pages was created.</w:t>
      </w:r>
    </w:p>
    <w:p w:rsidR="00FB2AD8" w:rsidRPr="00120E0A" w:rsidRDefault="00FB2AD8" w:rsidP="00FB2AD8">
      <w:pPr>
        <w:spacing w:after="0" w:line="360" w:lineRule="auto"/>
        <w:ind w:firstLine="1440"/>
        <w:rPr>
          <w:rFonts w:ascii="Times New Roman" w:hAnsi="Times New Roman" w:cs="Times New Roman"/>
          <w:sz w:val="24"/>
          <w:szCs w:val="24"/>
        </w:rPr>
      </w:pPr>
    </w:p>
    <w:p w:rsidR="00FB2AD8" w:rsidRPr="00120E0A" w:rsidRDefault="00FB2AD8" w:rsidP="00FB2AD8">
      <w:pPr>
        <w:spacing w:after="0" w:line="360" w:lineRule="auto"/>
        <w:ind w:firstLine="1440"/>
        <w:rPr>
          <w:rFonts w:ascii="Times New Roman" w:hAnsi="Times New Roman" w:cs="Times New Roman"/>
          <w:sz w:val="24"/>
          <w:szCs w:val="24"/>
        </w:rPr>
      </w:pPr>
      <w:r w:rsidRPr="00120E0A">
        <w:rPr>
          <w:rFonts w:ascii="Times New Roman" w:hAnsi="Times New Roman" w:cs="Times New Roman"/>
          <w:sz w:val="24"/>
          <w:szCs w:val="24"/>
        </w:rPr>
        <w:t xml:space="preserve">The record in this case closed on August 26, 2014 when the transcript was submitted to the Commission.  Mr. Scotto’s Complaint is now ready for disposition.  For the reasons discussed below, Mr. Scotto’s Complaint will be </w:t>
      </w:r>
      <w:r w:rsidR="00997BEE" w:rsidRPr="00120E0A">
        <w:rPr>
          <w:rFonts w:ascii="Times New Roman" w:hAnsi="Times New Roman" w:cs="Times New Roman"/>
          <w:sz w:val="24"/>
          <w:szCs w:val="24"/>
        </w:rPr>
        <w:t>granted in part and denied in part</w:t>
      </w:r>
      <w:r w:rsidRPr="00120E0A">
        <w:rPr>
          <w:rFonts w:ascii="Times New Roman" w:hAnsi="Times New Roman" w:cs="Times New Roman"/>
          <w:sz w:val="24"/>
          <w:szCs w:val="24"/>
        </w:rPr>
        <w:t>.</w:t>
      </w:r>
    </w:p>
    <w:p w:rsidR="00FB2AD8" w:rsidRDefault="00FB2AD8" w:rsidP="00F03D4E">
      <w:pPr>
        <w:spacing w:after="0" w:line="240" w:lineRule="auto"/>
        <w:rPr>
          <w:rFonts w:ascii="Times New Roman" w:hAnsi="Times New Roman" w:cs="Times New Roman"/>
          <w:sz w:val="24"/>
          <w:szCs w:val="24"/>
        </w:rPr>
      </w:pPr>
    </w:p>
    <w:p w:rsidR="00F03D4E" w:rsidRPr="00120E0A" w:rsidRDefault="00F03D4E" w:rsidP="00F03D4E">
      <w:pPr>
        <w:spacing w:after="0" w:line="240" w:lineRule="auto"/>
        <w:rPr>
          <w:rFonts w:ascii="Times New Roman" w:hAnsi="Times New Roman" w:cs="Times New Roman"/>
          <w:sz w:val="24"/>
          <w:szCs w:val="24"/>
        </w:rPr>
      </w:pPr>
    </w:p>
    <w:p w:rsidR="00BD5884" w:rsidRPr="00120E0A" w:rsidRDefault="00BD5884" w:rsidP="00F03D4E">
      <w:pPr>
        <w:autoSpaceDE w:val="0"/>
        <w:autoSpaceDN w:val="0"/>
        <w:spacing w:after="0" w:line="360" w:lineRule="auto"/>
        <w:jc w:val="center"/>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FINDINGS OF FACT</w:t>
      </w:r>
    </w:p>
    <w:p w:rsidR="00BD5884" w:rsidRPr="00120E0A" w:rsidRDefault="00BD5884" w:rsidP="003A3D6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The Complainant in this case is Michael Scotto.</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The Respondent in this case is PPL Electric Utilities Corporation.</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The Service Address is 19 Carriage Drive, Wernersville, PA.</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PPL entered Mr. Scotto’s property on June 19, 2014 to replace his electric meter.  Tr. 16-17, 20.</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Mr. Scotto was enrolled in PPL’s CAP.  Tr. 19.</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 xml:space="preserve">There were times during the winters of </w:t>
      </w:r>
      <w:r w:rsidR="0007526F" w:rsidRPr="00120E0A">
        <w:rPr>
          <w:rFonts w:ascii="Times New Roman" w:hAnsi="Times New Roman" w:cs="Times New Roman"/>
          <w:sz w:val="24"/>
          <w:szCs w:val="24"/>
        </w:rPr>
        <w:t>2012-</w:t>
      </w:r>
      <w:r w:rsidRPr="00120E0A">
        <w:rPr>
          <w:rFonts w:ascii="Times New Roman" w:hAnsi="Times New Roman" w:cs="Times New Roman"/>
          <w:sz w:val="24"/>
          <w:szCs w:val="24"/>
        </w:rPr>
        <w:t xml:space="preserve">2013 and </w:t>
      </w:r>
      <w:r w:rsidR="0007526F" w:rsidRPr="00120E0A">
        <w:rPr>
          <w:rFonts w:ascii="Times New Roman" w:hAnsi="Times New Roman" w:cs="Times New Roman"/>
          <w:sz w:val="24"/>
          <w:szCs w:val="24"/>
        </w:rPr>
        <w:t>2013-</w:t>
      </w:r>
      <w:r w:rsidRPr="00120E0A">
        <w:rPr>
          <w:rFonts w:ascii="Times New Roman" w:hAnsi="Times New Roman" w:cs="Times New Roman"/>
          <w:sz w:val="24"/>
          <w:szCs w:val="24"/>
        </w:rPr>
        <w:t>2014 Mr. Scotto was using space heaters to heat his home.  Tr. 23-24.</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Mr. Scotto has a gas furnace in his home.  Tr. 24.</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Mr. Scotto noticed a few days after PPL changed his electric meter from an analog meter to a digital meter on June 19, 2014 that the change was made.  Tr. 27.</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Mr. Scotto did not experience any interruption in service when his meter was changed nor was there any damage to his property.  Tr. 27-28.</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Two people live at the Service Address and the total household income is approximately $900</w:t>
      </w:r>
      <w:r w:rsidR="009060A0" w:rsidRPr="00120E0A">
        <w:rPr>
          <w:rFonts w:ascii="Times New Roman" w:hAnsi="Times New Roman" w:cs="Times New Roman"/>
          <w:sz w:val="24"/>
          <w:szCs w:val="24"/>
        </w:rPr>
        <w:t xml:space="preserve"> per month</w:t>
      </w:r>
      <w:r w:rsidRPr="00120E0A">
        <w:rPr>
          <w:rFonts w:ascii="Times New Roman" w:hAnsi="Times New Roman" w:cs="Times New Roman"/>
          <w:sz w:val="24"/>
          <w:szCs w:val="24"/>
        </w:rPr>
        <w:t>.  Tr. 28-29.</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Scotto Exhibit Number 1 is a compilation of documents including monthly PPL bills for the Service Address and a Statement of Income.  Tr. 29-30; Scotto Exh. No. 1.</w:t>
      </w:r>
    </w:p>
    <w:p w:rsidR="003A3D69" w:rsidRPr="00120E0A" w:rsidRDefault="003A3D69" w:rsidP="003A3D69">
      <w:pPr>
        <w:pStyle w:val="ListParagraph"/>
        <w:spacing w:after="0" w:line="360" w:lineRule="auto"/>
        <w:ind w:left="1440"/>
        <w:rPr>
          <w:rFonts w:ascii="Times New Roman" w:hAnsi="Times New Roman" w:cs="Times New Roman"/>
          <w:sz w:val="24"/>
          <w:szCs w:val="24"/>
        </w:rPr>
      </w:pPr>
    </w:p>
    <w:p w:rsidR="003A3D69" w:rsidRPr="00120E0A" w:rsidRDefault="003A3D69" w:rsidP="008F6D56">
      <w:pPr>
        <w:pStyle w:val="ListParagraph"/>
        <w:numPr>
          <w:ilvl w:val="0"/>
          <w:numId w:val="1"/>
        </w:numPr>
        <w:spacing w:after="0" w:line="360" w:lineRule="auto"/>
        <w:ind w:left="0" w:firstLine="1440"/>
        <w:rPr>
          <w:rFonts w:ascii="Times New Roman" w:hAnsi="Times New Roman" w:cs="Times New Roman"/>
          <w:sz w:val="24"/>
          <w:szCs w:val="24"/>
        </w:rPr>
      </w:pPr>
      <w:r w:rsidRPr="00120E0A">
        <w:rPr>
          <w:rFonts w:ascii="Times New Roman" w:hAnsi="Times New Roman" w:cs="Times New Roman"/>
          <w:sz w:val="24"/>
          <w:szCs w:val="24"/>
        </w:rPr>
        <w:t>Stefan Weidenbach is Mr. Scotto’s husband and lives at the Service Address.  Tr. 33.</w:t>
      </w:r>
    </w:p>
    <w:p w:rsidR="003A3D69" w:rsidRPr="00120E0A" w:rsidRDefault="003A3D69" w:rsidP="008F6D56">
      <w:pPr>
        <w:spacing w:after="0" w:line="360" w:lineRule="auto"/>
        <w:ind w:firstLine="1440"/>
        <w:rPr>
          <w:rFonts w:ascii="Times New Roman" w:hAnsi="Times New Roman" w:cs="Times New Roman"/>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Mr. Weidenbach did not hear anyone from PPL knock or ring the doorbell at their home on June 19, 2014</w:t>
      </w:r>
      <w:r w:rsidR="009060A0" w:rsidRPr="00120E0A">
        <w:rPr>
          <w:rFonts w:ascii="Times New Roman" w:eastAsia="Times New Roman" w:hAnsi="Times New Roman" w:cs="Times New Roman"/>
          <w:spacing w:val="-3"/>
          <w:sz w:val="24"/>
          <w:szCs w:val="24"/>
        </w:rPr>
        <w:t xml:space="preserve"> when they came to access the meter</w:t>
      </w:r>
      <w:r w:rsidRPr="00120E0A">
        <w:rPr>
          <w:rFonts w:ascii="Times New Roman" w:eastAsia="Times New Roman" w:hAnsi="Times New Roman" w:cs="Times New Roman"/>
          <w:spacing w:val="-3"/>
          <w:sz w:val="24"/>
          <w:szCs w:val="24"/>
        </w:rPr>
        <w:t>.  Tr. 35.</w:t>
      </w:r>
    </w:p>
    <w:p w:rsidR="008F6D56" w:rsidRPr="00120E0A" w:rsidRDefault="008F6D56" w:rsidP="008F6D5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Mr. Weidenbach </w:t>
      </w:r>
      <w:r w:rsidR="0007526F" w:rsidRPr="00120E0A">
        <w:rPr>
          <w:rFonts w:ascii="Times New Roman" w:eastAsia="Times New Roman" w:hAnsi="Times New Roman" w:cs="Times New Roman"/>
          <w:spacing w:val="-3"/>
          <w:sz w:val="24"/>
          <w:szCs w:val="24"/>
        </w:rPr>
        <w:t xml:space="preserve">did not notice </w:t>
      </w:r>
      <w:r w:rsidRPr="00120E0A">
        <w:rPr>
          <w:rFonts w:ascii="Times New Roman" w:eastAsia="Times New Roman" w:hAnsi="Times New Roman" w:cs="Times New Roman"/>
          <w:spacing w:val="-3"/>
          <w:sz w:val="24"/>
          <w:szCs w:val="24"/>
        </w:rPr>
        <w:t>any harm or disruption to his property caused by PPL changing the meter.  Tr. 37.</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Kimberly Gerhard </w:t>
      </w:r>
      <w:r w:rsidR="00D72C3F">
        <w:rPr>
          <w:rFonts w:ascii="Times New Roman" w:eastAsia="Times New Roman" w:hAnsi="Times New Roman" w:cs="Times New Roman"/>
          <w:spacing w:val="-3"/>
          <w:sz w:val="24"/>
          <w:szCs w:val="24"/>
        </w:rPr>
        <w:t>has been</w:t>
      </w:r>
      <w:r w:rsidRPr="00120E0A">
        <w:rPr>
          <w:rFonts w:ascii="Times New Roman" w:eastAsia="Times New Roman" w:hAnsi="Times New Roman" w:cs="Times New Roman"/>
          <w:spacing w:val="-3"/>
          <w:sz w:val="24"/>
          <w:szCs w:val="24"/>
        </w:rPr>
        <w:t xml:space="preserve"> a customer service representative for PPL for eleven years and handles collections, high-bill complaints and questions concerning suppliers.  Tr. 40.</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PPL Exhibit Number 1 is the Account Activity Statement for Mr. Scotto’s account showing the amount of the regular monthly bill and the payments, among other things.  PPL Exh. No. 1; Tr. 42.</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The usage </w:t>
      </w:r>
      <w:r w:rsidR="002F43CD" w:rsidRPr="00120E0A">
        <w:rPr>
          <w:rFonts w:ascii="Times New Roman" w:eastAsia="Times New Roman" w:hAnsi="Times New Roman" w:cs="Times New Roman"/>
          <w:spacing w:val="-3"/>
          <w:sz w:val="24"/>
          <w:szCs w:val="24"/>
        </w:rPr>
        <w:t>in the</w:t>
      </w:r>
      <w:r w:rsidRPr="00120E0A">
        <w:rPr>
          <w:rFonts w:ascii="Times New Roman" w:eastAsia="Times New Roman" w:hAnsi="Times New Roman" w:cs="Times New Roman"/>
          <w:spacing w:val="-3"/>
          <w:sz w:val="24"/>
          <w:szCs w:val="24"/>
        </w:rPr>
        <w:t xml:space="preserve"> winter of 2013 was very high compared to the usage in the winter of 2012.  PPL Exh. No. 1; Tr. 43.</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On March 11, 2013, Mr. Scotto’s account began budget billing at a rate of $476 per month.  PPL Exh. No. 1; Tr. 43.</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Mr. Scotto</w:t>
      </w:r>
      <w:r w:rsidR="0007526F" w:rsidRPr="00120E0A">
        <w:rPr>
          <w:rFonts w:ascii="Times New Roman" w:eastAsia="Times New Roman" w:hAnsi="Times New Roman" w:cs="Times New Roman"/>
          <w:spacing w:val="-3"/>
          <w:sz w:val="24"/>
          <w:szCs w:val="24"/>
        </w:rPr>
        <w:t xml:space="preserve">’s use of </w:t>
      </w:r>
      <w:r w:rsidRPr="00120E0A">
        <w:rPr>
          <w:rFonts w:ascii="Times New Roman" w:eastAsia="Times New Roman" w:hAnsi="Times New Roman" w:cs="Times New Roman"/>
          <w:spacing w:val="-3"/>
          <w:sz w:val="24"/>
          <w:szCs w:val="24"/>
        </w:rPr>
        <w:t>space heaters during the winter of 2013 negatively affected the accuracy of the budget billing determination and caused a balance to accrue on Mr. Scotto’s account.  PPL Exh. No. 1; Tr. 44-45.</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Mr. Scotto was enrolled in OnTrack on July 15, 2013.  Tr. 47, 53.</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Mr. Scotto’s </w:t>
      </w:r>
      <w:r w:rsidR="0007526F" w:rsidRPr="00120E0A">
        <w:rPr>
          <w:rFonts w:ascii="Times New Roman" w:eastAsia="Times New Roman" w:hAnsi="Times New Roman" w:cs="Times New Roman"/>
          <w:spacing w:val="-3"/>
          <w:sz w:val="24"/>
          <w:szCs w:val="24"/>
        </w:rPr>
        <w:t xml:space="preserve">OnTrack benefit was reduced from $2,160 to $850 because the </w:t>
      </w:r>
      <w:r w:rsidRPr="00120E0A">
        <w:rPr>
          <w:rFonts w:ascii="Times New Roman" w:eastAsia="Times New Roman" w:hAnsi="Times New Roman" w:cs="Times New Roman"/>
          <w:spacing w:val="-3"/>
          <w:sz w:val="24"/>
          <w:szCs w:val="24"/>
        </w:rPr>
        <w:t xml:space="preserve">home is </w:t>
      </w:r>
      <w:r w:rsidR="00997BEE" w:rsidRPr="00120E0A">
        <w:rPr>
          <w:rFonts w:ascii="Times New Roman" w:eastAsia="Times New Roman" w:hAnsi="Times New Roman" w:cs="Times New Roman"/>
          <w:spacing w:val="-3"/>
          <w:sz w:val="24"/>
          <w:szCs w:val="24"/>
        </w:rPr>
        <w:t xml:space="preserve">heated </w:t>
      </w:r>
      <w:r w:rsidRPr="00120E0A">
        <w:rPr>
          <w:rFonts w:ascii="Times New Roman" w:eastAsia="Times New Roman" w:hAnsi="Times New Roman" w:cs="Times New Roman"/>
          <w:spacing w:val="-3"/>
          <w:sz w:val="24"/>
          <w:szCs w:val="24"/>
        </w:rPr>
        <w:t xml:space="preserve">primarily </w:t>
      </w:r>
      <w:r w:rsidR="00997BEE" w:rsidRPr="00120E0A">
        <w:rPr>
          <w:rFonts w:ascii="Times New Roman" w:eastAsia="Times New Roman" w:hAnsi="Times New Roman" w:cs="Times New Roman"/>
          <w:spacing w:val="-3"/>
          <w:sz w:val="24"/>
          <w:szCs w:val="24"/>
        </w:rPr>
        <w:t xml:space="preserve">with natural </w:t>
      </w:r>
      <w:r w:rsidRPr="00120E0A">
        <w:rPr>
          <w:rFonts w:ascii="Times New Roman" w:eastAsia="Times New Roman" w:hAnsi="Times New Roman" w:cs="Times New Roman"/>
          <w:spacing w:val="-3"/>
          <w:sz w:val="24"/>
          <w:szCs w:val="24"/>
        </w:rPr>
        <w:t>gas.  Tr. 48.</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Mr. Scotto’s OnTrack benefit allotment was $56.50 per month.  Tr. 49.</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Mr. Scotto was removed from the OnTrack program on January 30, 2014 when his benefit allotment was used up.  Tr. 49-50.</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The </w:t>
      </w:r>
      <w:r w:rsidR="00997BEE" w:rsidRPr="00120E0A">
        <w:rPr>
          <w:rFonts w:ascii="Times New Roman" w:eastAsia="Times New Roman" w:hAnsi="Times New Roman" w:cs="Times New Roman"/>
          <w:spacing w:val="-3"/>
          <w:sz w:val="24"/>
          <w:szCs w:val="24"/>
        </w:rPr>
        <w:t xml:space="preserve">outstanding </w:t>
      </w:r>
      <w:r w:rsidRPr="00120E0A">
        <w:rPr>
          <w:rFonts w:ascii="Times New Roman" w:eastAsia="Times New Roman" w:hAnsi="Times New Roman" w:cs="Times New Roman"/>
          <w:spacing w:val="-3"/>
          <w:sz w:val="24"/>
          <w:szCs w:val="24"/>
        </w:rPr>
        <w:t xml:space="preserve">balance </w:t>
      </w:r>
      <w:r w:rsidR="00AB6376">
        <w:rPr>
          <w:rFonts w:ascii="Times New Roman" w:eastAsia="Times New Roman" w:hAnsi="Times New Roman" w:cs="Times New Roman"/>
          <w:spacing w:val="-3"/>
          <w:sz w:val="24"/>
          <w:szCs w:val="24"/>
        </w:rPr>
        <w:t xml:space="preserve">on Mr. Scotto’s account </w:t>
      </w:r>
      <w:r w:rsidR="00997BEE" w:rsidRPr="00120E0A">
        <w:rPr>
          <w:rFonts w:ascii="Times New Roman" w:eastAsia="Times New Roman" w:hAnsi="Times New Roman" w:cs="Times New Roman"/>
          <w:spacing w:val="-3"/>
          <w:sz w:val="24"/>
          <w:szCs w:val="24"/>
        </w:rPr>
        <w:t>at the time of the Hearing was</w:t>
      </w:r>
      <w:r w:rsidRPr="00120E0A">
        <w:rPr>
          <w:rFonts w:ascii="Times New Roman" w:eastAsia="Times New Roman" w:hAnsi="Times New Roman" w:cs="Times New Roman"/>
          <w:spacing w:val="-3"/>
          <w:sz w:val="24"/>
          <w:szCs w:val="24"/>
        </w:rPr>
        <w:t xml:space="preserve"> $3,350.57.  PPL Exh. No. 1; Tr. 51.</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Mr. Scotto could not re-enroll in OnTrack until one year after he first enrolled, July 15, 2014.  Tr. 53.</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PPL Exhibit Number 2 is the Account Contact History that tracks any contacts between the customer and the Company.  PPL Exh. No. 2; Tr. 53.</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lastRenderedPageBreak/>
        <w:t>PPL sent Mr. Scotto an application to re-enroll in OnTrack on July 1, 2014.  PPL Exh. No. 2; Tr. 54.</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PPL does not have any discretion in setting the OnTrack amount.  Tr. 55.</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PPL Exhibit Number 6 is the Report of Meter Accuracy dated June 23, 2014 for Mr. Scotto’s meter.  PPL Exh. No. 6; Tr. 58-59.</w:t>
      </w:r>
    </w:p>
    <w:p w:rsidR="008F6D56" w:rsidRPr="00120E0A" w:rsidRDefault="008F6D56" w:rsidP="008F6D5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8F6D56" w:rsidRPr="00120E0A" w:rsidRDefault="008F6D56" w:rsidP="008F6D5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Mr. Scotto’s meter tested 100% accurate.  PPL Exh. No. 6; Tr. 61.</w:t>
      </w:r>
    </w:p>
    <w:p w:rsidR="008F6D56" w:rsidRPr="00120E0A" w:rsidRDefault="008F6D56" w:rsidP="0006551D">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CF1474" w:rsidRPr="00120E0A" w:rsidRDefault="00CF1474" w:rsidP="0006551D">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u w:val="single"/>
        </w:rPr>
        <w:t>DISCUSSION</w:t>
      </w:r>
    </w:p>
    <w:p w:rsidR="009479FB" w:rsidRPr="00120E0A" w:rsidRDefault="009479FB" w:rsidP="0006551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B3DFD" w:rsidRPr="00120E0A" w:rsidRDefault="001B3DFD" w:rsidP="0006551D">
      <w:pPr>
        <w:tabs>
          <w:tab w:val="left" w:pos="-720"/>
        </w:tabs>
        <w:suppressAutoHyphens/>
        <w:autoSpaceDE w:val="0"/>
        <w:autoSpaceDN w:val="0"/>
        <w:spacing w:after="0" w:line="360" w:lineRule="auto"/>
        <w:rPr>
          <w:rFonts w:ascii="Times New Roman" w:eastAsia="Times New Roman" w:hAnsi="Times New Roman" w:cs="Times New Roman"/>
          <w:b/>
          <w:spacing w:val="-3"/>
          <w:sz w:val="24"/>
          <w:szCs w:val="24"/>
          <w:u w:val="single"/>
        </w:rPr>
      </w:pPr>
      <w:r w:rsidRPr="00120E0A">
        <w:rPr>
          <w:rFonts w:ascii="Times New Roman" w:eastAsia="Times New Roman" w:hAnsi="Times New Roman" w:cs="Times New Roman"/>
          <w:b/>
          <w:spacing w:val="-3"/>
          <w:sz w:val="24"/>
          <w:szCs w:val="24"/>
          <w:u w:val="single"/>
        </w:rPr>
        <w:t>Legal Standard</w:t>
      </w:r>
    </w:p>
    <w:p w:rsidR="001B3DFD" w:rsidRPr="00120E0A" w:rsidRDefault="001B3DFD" w:rsidP="0006551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F1474" w:rsidRPr="00120E0A" w:rsidRDefault="00CF1474" w:rsidP="0006551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Pr="00120E0A">
        <w:rPr>
          <w:rFonts w:ascii="Times New Roman" w:eastAsia="Times New Roman" w:hAnsi="Times New Roman" w:cs="Times New Roman"/>
          <w:sz w:val="24"/>
          <w:szCs w:val="24"/>
          <w:u w:val="single"/>
        </w:rPr>
        <w:t>Se-Ling Hosiery v. Margulies</w:t>
      </w:r>
      <w:r w:rsidRPr="00120E0A">
        <w:rPr>
          <w:rFonts w:ascii="Times New Roman" w:eastAsia="Times New Roman" w:hAnsi="Times New Roman" w:cs="Times New Roman"/>
          <w:sz w:val="24"/>
          <w:szCs w:val="24"/>
        </w:rPr>
        <w:t xml:space="preserve">, 364 Pa. 54, 70 A.2d </w:t>
      </w:r>
      <w:r w:rsidR="007F7AFE" w:rsidRPr="00120E0A">
        <w:rPr>
          <w:rFonts w:ascii="Times New Roman" w:eastAsia="Times New Roman" w:hAnsi="Times New Roman" w:cs="Times New Roman"/>
          <w:sz w:val="24"/>
          <w:szCs w:val="24"/>
        </w:rPr>
        <w:t>854 (1950</w:t>
      </w:r>
      <w:r w:rsidR="00A01D39" w:rsidRPr="00120E0A">
        <w:rPr>
          <w:rFonts w:ascii="Times New Roman" w:eastAsia="Times New Roman" w:hAnsi="Times New Roman" w:cs="Times New Roman"/>
          <w:sz w:val="24"/>
          <w:szCs w:val="24"/>
        </w:rPr>
        <w:t>)</w:t>
      </w:r>
      <w:r w:rsidRPr="00120E0A">
        <w:rPr>
          <w:rFonts w:ascii="Times New Roman" w:eastAsia="Times New Roman" w:hAnsi="Times New Roman" w:cs="Times New Roman"/>
          <w:sz w:val="24"/>
          <w:szCs w:val="24"/>
        </w:rPr>
        <w:t xml:space="preserve">.  In this proceeding, </w:t>
      </w:r>
      <w:r w:rsidR="000234E1" w:rsidRPr="00120E0A">
        <w:rPr>
          <w:rFonts w:ascii="Times New Roman" w:eastAsia="Times New Roman" w:hAnsi="Times New Roman" w:cs="Times New Roman"/>
          <w:sz w:val="24"/>
          <w:szCs w:val="24"/>
        </w:rPr>
        <w:t>Mr.</w:t>
      </w:r>
      <w:r w:rsidR="00582CDF" w:rsidRPr="00120E0A">
        <w:rPr>
          <w:rFonts w:ascii="Times New Roman" w:eastAsia="Times New Roman" w:hAnsi="Times New Roman" w:cs="Times New Roman"/>
          <w:sz w:val="24"/>
          <w:szCs w:val="24"/>
        </w:rPr>
        <w:t xml:space="preserve"> Scotto seeks</w:t>
      </w:r>
      <w:r w:rsidR="00D72C3F">
        <w:rPr>
          <w:rFonts w:ascii="Times New Roman" w:eastAsia="Times New Roman" w:hAnsi="Times New Roman" w:cs="Times New Roman"/>
          <w:sz w:val="24"/>
          <w:szCs w:val="24"/>
        </w:rPr>
        <w:t>:</w:t>
      </w:r>
      <w:r w:rsidR="00582CDF" w:rsidRPr="00120E0A">
        <w:rPr>
          <w:rFonts w:ascii="Times New Roman" w:eastAsia="Times New Roman" w:hAnsi="Times New Roman" w:cs="Times New Roman"/>
          <w:sz w:val="24"/>
          <w:szCs w:val="24"/>
        </w:rPr>
        <w:t xml:space="preserve"> </w:t>
      </w:r>
      <w:r w:rsidR="00DE57C8" w:rsidRPr="00120E0A">
        <w:rPr>
          <w:rFonts w:ascii="Times New Roman" w:eastAsia="Times New Roman" w:hAnsi="Times New Roman" w:cs="Times New Roman"/>
          <w:sz w:val="24"/>
          <w:szCs w:val="24"/>
        </w:rPr>
        <w:t xml:space="preserve">1) </w:t>
      </w:r>
      <w:r w:rsidR="009060A0" w:rsidRPr="00120E0A">
        <w:rPr>
          <w:rFonts w:ascii="Times New Roman" w:eastAsia="Times New Roman" w:hAnsi="Times New Roman" w:cs="Times New Roman"/>
          <w:sz w:val="24"/>
          <w:szCs w:val="24"/>
        </w:rPr>
        <w:t>a review of his bills for accuracy and a reduction if they are found to be inaccurate</w:t>
      </w:r>
      <w:r w:rsidR="00DE57C8" w:rsidRPr="00120E0A">
        <w:rPr>
          <w:rFonts w:ascii="Times New Roman" w:eastAsia="Times New Roman" w:hAnsi="Times New Roman" w:cs="Times New Roman"/>
          <w:sz w:val="24"/>
          <w:szCs w:val="24"/>
        </w:rPr>
        <w:t xml:space="preserve">, 2) </w:t>
      </w:r>
      <w:r w:rsidR="009060A0" w:rsidRPr="00120E0A">
        <w:rPr>
          <w:rFonts w:ascii="Times New Roman" w:eastAsia="Times New Roman" w:hAnsi="Times New Roman" w:cs="Times New Roman"/>
          <w:sz w:val="24"/>
          <w:szCs w:val="24"/>
        </w:rPr>
        <w:t xml:space="preserve">a payment agreement </w:t>
      </w:r>
      <w:r w:rsidR="0007526F" w:rsidRPr="00120E0A">
        <w:rPr>
          <w:rFonts w:ascii="Times New Roman" w:eastAsia="Times New Roman" w:hAnsi="Times New Roman" w:cs="Times New Roman"/>
          <w:sz w:val="24"/>
          <w:szCs w:val="24"/>
        </w:rPr>
        <w:t>and</w:t>
      </w:r>
      <w:r w:rsidR="009060A0" w:rsidRPr="00120E0A">
        <w:rPr>
          <w:rFonts w:ascii="Times New Roman" w:eastAsia="Times New Roman" w:hAnsi="Times New Roman" w:cs="Times New Roman"/>
          <w:sz w:val="24"/>
          <w:szCs w:val="24"/>
        </w:rPr>
        <w:t xml:space="preserve"> to be re-enrolled in the utility’s low-income customer assistance program </w:t>
      </w:r>
      <w:r w:rsidR="00DE57C8" w:rsidRPr="00120E0A">
        <w:rPr>
          <w:rFonts w:ascii="Times New Roman" w:eastAsia="Times New Roman" w:hAnsi="Times New Roman" w:cs="Times New Roman"/>
          <w:sz w:val="24"/>
          <w:szCs w:val="24"/>
        </w:rPr>
        <w:t xml:space="preserve">and 3) a determination that the utility inappropriately entered his property to inspect his meter.  </w:t>
      </w:r>
      <w:r w:rsidR="00046FF6" w:rsidRPr="00120E0A">
        <w:rPr>
          <w:rFonts w:ascii="Times New Roman" w:eastAsia="Times New Roman" w:hAnsi="Times New Roman" w:cs="Times New Roman"/>
          <w:sz w:val="24"/>
          <w:szCs w:val="24"/>
        </w:rPr>
        <w:t>Mr. Scotto</w:t>
      </w:r>
      <w:r w:rsidRPr="00120E0A">
        <w:rPr>
          <w:rFonts w:ascii="Times New Roman" w:eastAsia="Times New Roman" w:hAnsi="Times New Roman" w:cs="Times New Roman"/>
          <w:sz w:val="24"/>
          <w:szCs w:val="24"/>
        </w:rPr>
        <w:t>, therefore, has the burden of proof in this proceeding.</w:t>
      </w:r>
    </w:p>
    <w:p w:rsidR="00CF1474" w:rsidRPr="00120E0A" w:rsidRDefault="00CF1474" w:rsidP="00CF147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F1474" w:rsidRPr="00120E0A" w:rsidRDefault="00CF1474" w:rsidP="00CF1474">
      <w:pPr>
        <w:spacing w:after="0" w:line="360" w:lineRule="auto"/>
        <w:ind w:firstLine="1440"/>
        <w:rPr>
          <w:rFonts w:ascii="Times New Roman" w:eastAsiaTheme="minorEastAsia" w:hAnsi="Times New Roman" w:cs="Times New Roman"/>
          <w:sz w:val="24"/>
          <w:szCs w:val="24"/>
        </w:rPr>
      </w:pPr>
      <w:r w:rsidRPr="00120E0A">
        <w:rPr>
          <w:rFonts w:ascii="Times New Roman" w:eastAsiaTheme="minorEastAsia" w:hAnsi="Times New Roman" w:cs="Times New Roman"/>
          <w:sz w:val="24"/>
          <w:szCs w:val="24"/>
        </w:rPr>
        <w:t xml:space="preserve">If a complainant establishes a </w:t>
      </w:r>
      <w:r w:rsidRPr="00120E0A">
        <w:rPr>
          <w:rFonts w:ascii="Times New Roman" w:eastAsiaTheme="minorEastAsia" w:hAnsi="Times New Roman" w:cs="Times New Roman"/>
          <w:i/>
          <w:sz w:val="24"/>
          <w:szCs w:val="24"/>
        </w:rPr>
        <w:t xml:space="preserve">prima facie </w:t>
      </w:r>
      <w:r w:rsidRPr="00120E0A">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120E0A">
        <w:rPr>
          <w:rFonts w:ascii="Times New Roman" w:eastAsiaTheme="minorEastAsia" w:hAnsi="Times New Roman" w:cs="Times New Roman"/>
          <w:sz w:val="24"/>
          <w:szCs w:val="24"/>
          <w:u w:val="single"/>
        </w:rPr>
        <w:lastRenderedPageBreak/>
        <w:t>Replogle v. Pennsylvania Electric Company</w:t>
      </w:r>
      <w:r w:rsidRPr="00120E0A">
        <w:rPr>
          <w:rFonts w:ascii="Times New Roman" w:eastAsiaTheme="minorEastAsia" w:hAnsi="Times New Roman" w:cs="Times New Roman"/>
          <w:sz w:val="24"/>
          <w:szCs w:val="24"/>
        </w:rPr>
        <w:t xml:space="preserve">, 54 Pa. PUC 528 (1980), and </w:t>
      </w:r>
      <w:r w:rsidRPr="00120E0A">
        <w:rPr>
          <w:rFonts w:ascii="Times New Roman" w:eastAsiaTheme="minorEastAsia" w:hAnsi="Times New Roman" w:cs="Times New Roman"/>
          <w:sz w:val="24"/>
          <w:szCs w:val="24"/>
          <w:u w:val="single"/>
        </w:rPr>
        <w:t>Waldron v. Philadelphia Electric Company</w:t>
      </w:r>
      <w:r w:rsidR="0073393E" w:rsidRPr="00120E0A">
        <w:rPr>
          <w:rFonts w:ascii="Times New Roman" w:eastAsiaTheme="minorEastAsia" w:hAnsi="Times New Roman" w:cs="Times New Roman"/>
          <w:sz w:val="24"/>
          <w:szCs w:val="24"/>
        </w:rPr>
        <w:t>, 54 Pa. PUC 98 (1980</w:t>
      </w:r>
      <w:r w:rsidR="001F3C32" w:rsidRPr="00120E0A">
        <w:rPr>
          <w:rFonts w:ascii="Times New Roman" w:hAnsi="Times New Roman" w:cs="Times New Roman"/>
          <w:sz w:val="24"/>
          <w:szCs w:val="24"/>
        </w:rPr>
        <w:t>) (</w:t>
      </w:r>
      <w:r w:rsidR="001F3C32" w:rsidRPr="00120E0A">
        <w:rPr>
          <w:rFonts w:ascii="Times New Roman" w:hAnsi="Times New Roman" w:cs="Times New Roman"/>
          <w:sz w:val="24"/>
          <w:szCs w:val="24"/>
          <w:u w:val="single"/>
        </w:rPr>
        <w:t>Waldron</w:t>
      </w:r>
      <w:r w:rsidR="001F3C32" w:rsidRPr="00120E0A">
        <w:rPr>
          <w:rFonts w:ascii="Times New Roman" w:hAnsi="Times New Roman" w:cs="Times New Roman"/>
          <w:sz w:val="24"/>
          <w:szCs w:val="24"/>
        </w:rPr>
        <w:t>)</w:t>
      </w:r>
      <w:r w:rsidR="0007526F" w:rsidRPr="00120E0A">
        <w:rPr>
          <w:rFonts w:ascii="Times New Roman" w:hAnsi="Times New Roman" w:cs="Times New Roman"/>
          <w:sz w:val="24"/>
          <w:szCs w:val="24"/>
        </w:rPr>
        <w:t>.</w:t>
      </w:r>
    </w:p>
    <w:p w:rsidR="00CF1474" w:rsidRPr="00120E0A" w:rsidRDefault="00CF1474" w:rsidP="00CF1474">
      <w:pPr>
        <w:spacing w:after="0" w:line="360" w:lineRule="auto"/>
        <w:ind w:firstLine="1440"/>
        <w:rPr>
          <w:rFonts w:ascii="Times New Roman" w:eastAsiaTheme="minorEastAsia" w:hAnsi="Times New Roman" w:cs="Times New Roman"/>
          <w:sz w:val="24"/>
          <w:szCs w:val="24"/>
        </w:rPr>
      </w:pPr>
    </w:p>
    <w:p w:rsidR="00CF1474" w:rsidRPr="00120E0A" w:rsidRDefault="00CF1474" w:rsidP="00CF1474">
      <w:pPr>
        <w:spacing w:after="0" w:line="360" w:lineRule="auto"/>
        <w:ind w:firstLine="1440"/>
        <w:rPr>
          <w:rFonts w:ascii="Times New Roman" w:eastAsiaTheme="minorEastAsia" w:hAnsi="Times New Roman" w:cs="Times New Roman"/>
          <w:sz w:val="24"/>
          <w:szCs w:val="24"/>
        </w:rPr>
      </w:pPr>
      <w:r w:rsidRPr="00120E0A">
        <w:rPr>
          <w:rFonts w:ascii="Times New Roman" w:eastAsiaTheme="minorEastAsia" w:hAnsi="Times New Roman" w:cs="Times New Roman"/>
          <w:sz w:val="24"/>
          <w:szCs w:val="24"/>
        </w:rPr>
        <w:t xml:space="preserve">The decision of the Commission must be supported by substantial evidence.  2 Pa.C.S. § 704.  "Substantial evidence" is such relevant evidence that a reasonable mind might accept as adequate to support a conclusion.  More is required than a mere trace of evidence or a suspicion of the existence of a fact sought to be established.  </w:t>
      </w:r>
      <w:r w:rsidRPr="00120E0A">
        <w:rPr>
          <w:rFonts w:ascii="Times New Roman" w:eastAsiaTheme="minorEastAsia" w:hAnsi="Times New Roman" w:cs="Times New Roman"/>
          <w:sz w:val="24"/>
          <w:szCs w:val="24"/>
          <w:u w:val="single"/>
        </w:rPr>
        <w:t>Norfolk &amp; Western Ry. Co. v. Pa. Pub. Util. Comm’n</w:t>
      </w:r>
      <w:r w:rsidRPr="00120E0A">
        <w:rPr>
          <w:rFonts w:ascii="Times New Roman" w:eastAsiaTheme="minorEastAsia" w:hAnsi="Times New Roman" w:cs="Times New Roman"/>
          <w:sz w:val="24"/>
          <w:szCs w:val="24"/>
        </w:rPr>
        <w:t xml:space="preserve">, 489 Pa. 109, 413 A.2d 1037 (1980); </w:t>
      </w:r>
      <w:r w:rsidRPr="00120E0A">
        <w:rPr>
          <w:rFonts w:ascii="Times New Roman" w:eastAsiaTheme="minorEastAsia" w:hAnsi="Times New Roman" w:cs="Times New Roman"/>
          <w:sz w:val="24"/>
          <w:szCs w:val="24"/>
          <w:u w:val="single"/>
        </w:rPr>
        <w:t>Erie Resistor Corp. v. Unemployment Comp. Bd. of Review</w:t>
      </w:r>
      <w:r w:rsidRPr="00120E0A">
        <w:rPr>
          <w:rFonts w:ascii="Times New Roman" w:eastAsiaTheme="minorEastAsia" w:hAnsi="Times New Roman" w:cs="Times New Roman"/>
          <w:sz w:val="24"/>
          <w:szCs w:val="24"/>
        </w:rPr>
        <w:t xml:space="preserve">, 194 Pa. Superior Ct. 278, 166 A.2d 96 (1961); and </w:t>
      </w:r>
      <w:r w:rsidRPr="00120E0A">
        <w:rPr>
          <w:rFonts w:ascii="Times New Roman" w:eastAsiaTheme="minorEastAsia" w:hAnsi="Times New Roman" w:cs="Times New Roman"/>
          <w:sz w:val="24"/>
          <w:szCs w:val="24"/>
          <w:u w:val="single"/>
        </w:rPr>
        <w:t>Murphy v. Comm., Dept. of Public Welfare, White Haven Center</w:t>
      </w:r>
      <w:r w:rsidRPr="00120E0A">
        <w:rPr>
          <w:rFonts w:ascii="Times New Roman" w:eastAsiaTheme="minorEastAsia" w:hAnsi="Times New Roman" w:cs="Times New Roman"/>
          <w:sz w:val="24"/>
          <w:szCs w:val="24"/>
        </w:rPr>
        <w:t>, 85 Pa. Cmwlth Ct. 23, 480 A.2d 382 (1984).</w:t>
      </w:r>
    </w:p>
    <w:p w:rsidR="00CF1474" w:rsidRPr="00120E0A" w:rsidRDefault="00CF1474" w:rsidP="00CF1474">
      <w:pPr>
        <w:spacing w:after="0" w:line="360" w:lineRule="auto"/>
        <w:ind w:firstLine="1440"/>
        <w:rPr>
          <w:rFonts w:ascii="Times New Roman" w:eastAsiaTheme="minorEastAsia" w:hAnsi="Times New Roman" w:cs="Times New Roman"/>
          <w:sz w:val="24"/>
          <w:szCs w:val="24"/>
        </w:rPr>
      </w:pPr>
    </w:p>
    <w:p w:rsidR="00DE57C8" w:rsidRPr="00120E0A" w:rsidRDefault="00CF1474" w:rsidP="00CF1474">
      <w:pPr>
        <w:pStyle w:val="Style"/>
        <w:spacing w:line="360" w:lineRule="auto"/>
        <w:ind w:firstLine="1440"/>
      </w:pPr>
      <w:r w:rsidRPr="00120E0A">
        <w:t>In this case</w:t>
      </w:r>
      <w:r w:rsidR="000234E1" w:rsidRPr="00120E0A">
        <w:t xml:space="preserve">, </w:t>
      </w:r>
      <w:r w:rsidR="00DE57C8" w:rsidRPr="00120E0A">
        <w:t xml:space="preserve">Mr. </w:t>
      </w:r>
      <w:r w:rsidR="006A0816" w:rsidRPr="00120E0A">
        <w:t>Scotto raised several issues</w:t>
      </w:r>
      <w:r w:rsidR="00DE57C8" w:rsidRPr="00120E0A">
        <w:t xml:space="preserve"> in his Complaint and during the Hearing.  </w:t>
      </w:r>
      <w:r w:rsidR="006A0816" w:rsidRPr="00120E0A">
        <w:t xml:space="preserve">Those issues can generally be organized into three.  </w:t>
      </w:r>
      <w:r w:rsidR="00DE57C8" w:rsidRPr="00120E0A">
        <w:t>First, Mr. Scotto argued that his bills are inaccurate because the meter was faulty.  Second, Mr. Scotto argued that he should be placed into PPL’s customer assistance program (CAP) and receive a payment agreem</w:t>
      </w:r>
      <w:r w:rsidR="006A0816" w:rsidRPr="00120E0A">
        <w:t>ent for his outstanding balance.</w:t>
      </w:r>
      <w:r w:rsidR="00DE57C8" w:rsidRPr="00120E0A">
        <w:t xml:space="preserve">  </w:t>
      </w:r>
      <w:r w:rsidR="009060A0" w:rsidRPr="00120E0A">
        <w:t xml:space="preserve">Third, Mr. Scotto argued that PPL trespassed on his property when accessing his meter.  </w:t>
      </w:r>
      <w:r w:rsidR="00C32E22" w:rsidRPr="00120E0A">
        <w:t>Mr. Scotto</w:t>
      </w:r>
      <w:r w:rsidR="002F43CD" w:rsidRPr="00120E0A">
        <w:t xml:space="preserve"> testified, </w:t>
      </w:r>
      <w:r w:rsidR="00C32E22" w:rsidRPr="00120E0A">
        <w:t xml:space="preserve">presented the testimony of his husband and sponsored several documents that were admitted into the record.  </w:t>
      </w:r>
      <w:r w:rsidR="00DE57C8" w:rsidRPr="00120E0A">
        <w:t xml:space="preserve">In response to Mr. Scotto, PPL presented the testimony of Kimberly Gerhard, a customer service representative </w:t>
      </w:r>
      <w:r w:rsidR="00C32E22" w:rsidRPr="00120E0A">
        <w:t>that</w:t>
      </w:r>
      <w:r w:rsidR="00DE57C8" w:rsidRPr="00120E0A">
        <w:t xml:space="preserve"> handles high-bill complaints and other matters for the Company.  Ms. Gerhard testified in support of the Company’s position that Mr. Scotto’s Complaint is without merit and should be rejected.  Ms. Gerhard sponsored three exhibits that were admitted into the record in support of her testimony.</w:t>
      </w:r>
    </w:p>
    <w:p w:rsidR="00DE57C8" w:rsidRPr="00120E0A" w:rsidRDefault="00DE57C8" w:rsidP="00CF1474">
      <w:pPr>
        <w:pStyle w:val="Style"/>
        <w:spacing w:line="360" w:lineRule="auto"/>
        <w:ind w:firstLine="1440"/>
      </w:pPr>
    </w:p>
    <w:p w:rsidR="006C3D50" w:rsidRPr="00120E0A" w:rsidRDefault="00DE57C8" w:rsidP="00DE57C8">
      <w:pPr>
        <w:pStyle w:val="Style"/>
        <w:spacing w:line="360" w:lineRule="auto"/>
        <w:ind w:firstLine="1440"/>
      </w:pPr>
      <w:r w:rsidRPr="00120E0A">
        <w:t xml:space="preserve">As discussed below, Mr. Scotto’s Complaint will be granted in part and </w:t>
      </w:r>
      <w:r w:rsidR="00C56FA7" w:rsidRPr="00120E0A">
        <w:t>denied</w:t>
      </w:r>
      <w:r w:rsidRPr="00120E0A">
        <w:t xml:space="preserve"> in part.  Mr. Scotto will be given a Commission-ordered payment agreement to alleviate the outstanding balance that has accrued on his account.  However, Mr. Scott</w:t>
      </w:r>
      <w:r w:rsidR="00C56FA7" w:rsidRPr="00120E0A">
        <w:t>o</w:t>
      </w:r>
      <w:r w:rsidRPr="00120E0A">
        <w:t>’s argument regarding the accuracy of the bills or PPL’s actions when accessing his meter will be denied.</w:t>
      </w:r>
    </w:p>
    <w:p w:rsidR="00DE57C8" w:rsidRPr="00120E0A" w:rsidRDefault="00DE57C8" w:rsidP="00DE57C8">
      <w:pPr>
        <w:pStyle w:val="Style"/>
        <w:spacing w:line="360" w:lineRule="auto"/>
      </w:pPr>
    </w:p>
    <w:p w:rsidR="006A24FE" w:rsidRPr="00120E0A" w:rsidRDefault="006A24FE" w:rsidP="00DE57C8">
      <w:pPr>
        <w:pStyle w:val="Style"/>
        <w:spacing w:line="360" w:lineRule="auto"/>
        <w:rPr>
          <w:b/>
          <w:u w:val="single"/>
        </w:rPr>
      </w:pPr>
      <w:r w:rsidRPr="00120E0A">
        <w:rPr>
          <w:b/>
          <w:u w:val="single"/>
        </w:rPr>
        <w:t>Mr. Scotto Has Failed To Demonstrate That His Bills Were Not Accurate</w:t>
      </w:r>
    </w:p>
    <w:p w:rsidR="006A24FE" w:rsidRPr="00120E0A" w:rsidRDefault="006A24FE" w:rsidP="00DE57C8">
      <w:pPr>
        <w:pStyle w:val="Style"/>
        <w:spacing w:line="360" w:lineRule="auto"/>
        <w:rPr>
          <w:b/>
          <w:u w:val="single"/>
        </w:rPr>
      </w:pPr>
    </w:p>
    <w:p w:rsidR="006A24FE" w:rsidRPr="00120E0A" w:rsidRDefault="006A24FE" w:rsidP="006A24FE">
      <w:pPr>
        <w:pStyle w:val="Style"/>
        <w:spacing w:line="360" w:lineRule="auto"/>
      </w:pPr>
      <w:r w:rsidRPr="00120E0A">
        <w:tab/>
      </w:r>
      <w:r w:rsidRPr="00120E0A">
        <w:tab/>
      </w:r>
      <w:r w:rsidR="002C09FD" w:rsidRPr="00120E0A">
        <w:t xml:space="preserve">In his Complaint, </w:t>
      </w:r>
      <w:r w:rsidRPr="00120E0A">
        <w:t xml:space="preserve">Mr. Scotto </w:t>
      </w:r>
      <w:r w:rsidR="009022B1" w:rsidRPr="00120E0A">
        <w:t xml:space="preserve">stated </w:t>
      </w:r>
      <w:r w:rsidR="002C09FD" w:rsidRPr="00120E0A">
        <w:t xml:space="preserve">that </w:t>
      </w:r>
      <w:r w:rsidR="009022B1" w:rsidRPr="00120E0A">
        <w:t xml:space="preserve">“the amounts billed to me are incorrect </w:t>
      </w:r>
      <w:r w:rsidR="009022B1" w:rsidRPr="00120E0A">
        <w:lastRenderedPageBreak/>
        <w:t>and I openly dispute the amounts of energy and billing as a result made on my account.”  During the Hearing, Mr. Scotto testified that “the first point is for the amount of $3,350.57 to which the utility has been unable to verify the actual meter involved.  I do allege and affirm that I believe fully that the meter has an error within it, that PPL made no testing to the meter…”.  Tr. 15.</w:t>
      </w:r>
      <w:r w:rsidR="009A59B5" w:rsidRPr="00120E0A">
        <w:t xml:space="preserve">  In essence, Mr. Scotto complains that his bills are too high.</w:t>
      </w:r>
    </w:p>
    <w:p w:rsidR="006A24FE" w:rsidRPr="00120E0A" w:rsidRDefault="006A24FE" w:rsidP="006A24FE">
      <w:pPr>
        <w:pStyle w:val="Style"/>
        <w:spacing w:line="360" w:lineRule="auto"/>
      </w:pPr>
    </w:p>
    <w:p w:rsidR="009A59B5" w:rsidRPr="00120E0A" w:rsidRDefault="009A59B5" w:rsidP="009A59B5">
      <w:pPr>
        <w:spacing w:after="0" w:line="360" w:lineRule="auto"/>
        <w:ind w:firstLine="1440"/>
        <w:rPr>
          <w:rFonts w:ascii="Times New Roman" w:eastAsia="Times New Roman" w:hAnsi="Times New Roman" w:cs="Times New Roman"/>
          <w:color w:val="000000"/>
          <w:sz w:val="24"/>
          <w:szCs w:val="24"/>
        </w:rPr>
      </w:pPr>
      <w:r w:rsidRPr="00120E0A">
        <w:rPr>
          <w:rFonts w:ascii="Times New Roman" w:eastAsia="Times New Roman" w:hAnsi="Times New Roman" w:cs="Times New Roman"/>
          <w:sz w:val="24"/>
          <w:szCs w:val="24"/>
        </w:rPr>
        <w:t xml:space="preserve">The burden of proof for high bill complaints has been established in </w:t>
      </w:r>
      <w:r w:rsidRPr="00120E0A">
        <w:rPr>
          <w:rFonts w:ascii="Times New Roman" w:hAnsi="Times New Roman" w:cs="Times New Roman"/>
          <w:sz w:val="24"/>
          <w:szCs w:val="24"/>
          <w:u w:val="single"/>
        </w:rPr>
        <w:t>Waldron</w:t>
      </w:r>
      <w:r w:rsidRPr="00120E0A">
        <w:rPr>
          <w:rFonts w:ascii="Times New Roman" w:hAnsi="Times New Roman" w:cs="Times New Roman"/>
          <w:sz w:val="24"/>
          <w:szCs w:val="24"/>
        </w:rPr>
        <w:t xml:space="preserve">, </w:t>
      </w:r>
      <w:r w:rsidRPr="00120E0A">
        <w:rPr>
          <w:rFonts w:ascii="Times New Roman" w:hAnsi="Times New Roman" w:cs="Times New Roman"/>
          <w:i/>
          <w:sz w:val="24"/>
          <w:szCs w:val="24"/>
        </w:rPr>
        <w:t>supra</w:t>
      </w:r>
      <w:r w:rsidRPr="00120E0A">
        <w:rPr>
          <w:rFonts w:ascii="Times New Roman" w:hAnsi="Times New Roman" w:cs="Times New Roman"/>
          <w:sz w:val="24"/>
          <w:szCs w:val="24"/>
        </w:rPr>
        <w:t>,</w:t>
      </w:r>
      <w:r w:rsidRPr="00120E0A">
        <w:rPr>
          <w:rFonts w:ascii="Times New Roman" w:eastAsia="Times New Roman" w:hAnsi="Times New Roman" w:cs="Times New Roman"/>
          <w:i/>
          <w:sz w:val="24"/>
          <w:szCs w:val="24"/>
        </w:rPr>
        <w:t xml:space="preserve"> </w:t>
      </w:r>
      <w:r w:rsidRPr="00120E0A">
        <w:rPr>
          <w:rFonts w:ascii="Times New Roman" w:eastAsia="Times New Roman" w:hAnsi="Times New Roman" w:cs="Times New Roman"/>
          <w:sz w:val="24"/>
          <w:szCs w:val="24"/>
        </w:rPr>
        <w:t xml:space="preserve">and its progeny.  </w:t>
      </w:r>
      <w:r w:rsidRPr="00120E0A">
        <w:rPr>
          <w:rFonts w:ascii="Times New Roman" w:eastAsia="Times New Roman" w:hAnsi="Times New Roman" w:cs="Times New Roman"/>
          <w:i/>
          <w:sz w:val="24"/>
          <w:szCs w:val="24"/>
        </w:rPr>
        <w:t>See</w:t>
      </w:r>
      <w:r w:rsidRPr="00120E0A">
        <w:rPr>
          <w:rFonts w:ascii="Times New Roman" w:eastAsia="Times New Roman" w:hAnsi="Times New Roman" w:cs="Times New Roman"/>
          <w:sz w:val="24"/>
          <w:szCs w:val="24"/>
        </w:rPr>
        <w:t xml:space="preserve">, </w:t>
      </w:r>
      <w:r w:rsidRPr="00120E0A">
        <w:rPr>
          <w:rFonts w:ascii="Times New Roman" w:eastAsia="Times New Roman" w:hAnsi="Times New Roman" w:cs="Times New Roman"/>
          <w:sz w:val="24"/>
          <w:szCs w:val="24"/>
          <w:u w:val="single"/>
        </w:rPr>
        <w:t>Nicolas Montagna d/b/a Montagna Homes v. National Fuel Gas Distribution Corp.</w:t>
      </w:r>
      <w:r w:rsidRPr="00120E0A">
        <w:rPr>
          <w:rFonts w:ascii="Times New Roman" w:eastAsia="Times New Roman" w:hAnsi="Times New Roman" w:cs="Times New Roman"/>
          <w:sz w:val="24"/>
          <w:szCs w:val="24"/>
        </w:rPr>
        <w:t>, Docket Number C-2011-2243674, O</w:t>
      </w:r>
      <w:r w:rsidR="00DB29E5">
        <w:rPr>
          <w:rFonts w:ascii="Times New Roman" w:eastAsia="Times New Roman" w:hAnsi="Times New Roman" w:cs="Times New Roman"/>
          <w:sz w:val="24"/>
          <w:szCs w:val="24"/>
        </w:rPr>
        <w:t>pinion and Order (entered April 12, </w:t>
      </w:r>
      <w:r w:rsidRPr="00120E0A">
        <w:rPr>
          <w:rFonts w:ascii="Times New Roman" w:eastAsia="Times New Roman" w:hAnsi="Times New Roman" w:cs="Times New Roman"/>
          <w:sz w:val="24"/>
          <w:szCs w:val="24"/>
        </w:rPr>
        <w:t xml:space="preserve">2012).  In </w:t>
      </w:r>
      <w:r w:rsidRPr="00120E0A">
        <w:rPr>
          <w:rFonts w:ascii="Times New Roman" w:eastAsia="Times New Roman" w:hAnsi="Times New Roman" w:cs="Times New Roman"/>
          <w:sz w:val="24"/>
          <w:szCs w:val="24"/>
          <w:u w:val="single"/>
        </w:rPr>
        <w:t>Waldron</w:t>
      </w:r>
      <w:r w:rsidRPr="00120E0A">
        <w:rPr>
          <w:rFonts w:ascii="Times New Roman" w:eastAsia="Times New Roman" w:hAnsi="Times New Roman" w:cs="Times New Roman"/>
          <w:sz w:val="24"/>
          <w:szCs w:val="24"/>
        </w:rPr>
        <w:t xml:space="preserve">, the Commission stated that, while the accuracy of the meter is an important factor in resolving billing disputes, it is not the sole criterion.  The Commission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Pr="00120E0A">
        <w:rPr>
          <w:rFonts w:ascii="Times New Roman" w:eastAsia="Times New Roman" w:hAnsi="Times New Roman" w:cs="Times New Roman"/>
          <w:sz w:val="24"/>
          <w:szCs w:val="24"/>
          <w:u w:val="single"/>
        </w:rPr>
        <w:t>Waldron</w:t>
      </w:r>
      <w:r w:rsidRPr="00120E0A">
        <w:rPr>
          <w:rFonts w:ascii="Times New Roman" w:eastAsia="Times New Roman" w:hAnsi="Times New Roman" w:cs="Times New Roman"/>
          <w:sz w:val="24"/>
          <w:szCs w:val="24"/>
        </w:rPr>
        <w:t xml:space="preserve"> at 100; </w:t>
      </w:r>
      <w:r w:rsidRPr="00120E0A">
        <w:rPr>
          <w:rFonts w:ascii="Times New Roman" w:eastAsia="Times New Roman" w:hAnsi="Times New Roman" w:cs="Times New Roman"/>
          <w:i/>
          <w:sz w:val="24"/>
          <w:szCs w:val="24"/>
        </w:rPr>
        <w:t>see also</w:t>
      </w:r>
      <w:r w:rsidRPr="00120E0A">
        <w:rPr>
          <w:rFonts w:ascii="Times New Roman" w:eastAsia="Times New Roman" w:hAnsi="Times New Roman" w:cs="Times New Roman"/>
          <w:sz w:val="24"/>
          <w:szCs w:val="24"/>
        </w:rPr>
        <w:t xml:space="preserve">, </w:t>
      </w:r>
      <w:r w:rsidRPr="00120E0A">
        <w:rPr>
          <w:rFonts w:ascii="Times New Roman" w:eastAsia="Times New Roman" w:hAnsi="Times New Roman" w:cs="Times New Roman"/>
          <w:sz w:val="24"/>
          <w:szCs w:val="24"/>
          <w:u w:val="single"/>
        </w:rPr>
        <w:t>Nehemiah B. Thomas v. PECO</w:t>
      </w:r>
      <w:r w:rsidRPr="00120E0A">
        <w:rPr>
          <w:rFonts w:ascii="Times New Roman" w:eastAsia="Times New Roman" w:hAnsi="Times New Roman" w:cs="Times New Roman"/>
          <w:sz w:val="24"/>
          <w:szCs w:val="24"/>
        </w:rPr>
        <w:t>, Docket No. C-2010-2187197, Order (entered November 15, 2011) (“</w:t>
      </w:r>
      <w:r w:rsidRPr="00120E0A">
        <w:rPr>
          <w:rFonts w:ascii="Times New Roman" w:eastAsia="Times New Roman" w:hAnsi="Times New Roman" w:cs="Times New Roman"/>
          <w:color w:val="000000"/>
          <w:sz w:val="24"/>
          <w:szCs w:val="24"/>
        </w:rPr>
        <w:t xml:space="preserve">the </w:t>
      </w:r>
      <w:r w:rsidRPr="00120E0A">
        <w:rPr>
          <w:rFonts w:ascii="Times New Roman" w:eastAsia="Times New Roman" w:hAnsi="Times New Roman" w:cs="Times New Roman"/>
          <w:color w:val="000000"/>
          <w:sz w:val="24"/>
          <w:szCs w:val="24"/>
          <w:u w:val="single"/>
        </w:rPr>
        <w:t>Waldron</w:t>
      </w:r>
      <w:r w:rsidRPr="00120E0A">
        <w:rPr>
          <w:rFonts w:ascii="Times New Roman" w:eastAsia="Times New Roman" w:hAnsi="Times New Roman" w:cs="Times New Roman"/>
          <w:i/>
          <w:color w:val="000000"/>
          <w:sz w:val="24"/>
          <w:szCs w:val="24"/>
        </w:rPr>
        <w:t xml:space="preserve"> </w:t>
      </w:r>
      <w:r w:rsidRPr="00120E0A">
        <w:rPr>
          <w:rFonts w:ascii="Times New Roman" w:eastAsia="Times New Roman" w:hAnsi="Times New Roman" w:cs="Times New Roman"/>
          <w:color w:val="000000"/>
          <w:sz w:val="24"/>
          <w:szCs w:val="24"/>
        </w:rPr>
        <w:t xml:space="preserve">Rule allows a complainant to establish a </w:t>
      </w:r>
      <w:r w:rsidRPr="00120E0A">
        <w:rPr>
          <w:rFonts w:ascii="Times New Roman" w:eastAsia="Times New Roman" w:hAnsi="Times New Roman" w:cs="Times New Roman"/>
          <w:i/>
          <w:color w:val="000000"/>
          <w:sz w:val="24"/>
          <w:szCs w:val="24"/>
        </w:rPr>
        <w:t xml:space="preserve">prima facie </w:t>
      </w:r>
      <w:r w:rsidRPr="00120E0A">
        <w:rPr>
          <w:rFonts w:ascii="Times New Roman" w:eastAsia="Times New Roman" w:hAnsi="Times New Roman" w:cs="Times New Roman"/>
          <w:color w:val="000000"/>
          <w:sz w:val="24"/>
          <w:szCs w:val="24"/>
        </w:rPr>
        <w:t>case in a “high bill” complaint by showing that the disputed bill is abnormally high when compared to prior usage patterns and his or her pattern of usage has not changed or by providing other relevant evidence showing that the disputed bill is unreasonably high”).</w:t>
      </w:r>
    </w:p>
    <w:p w:rsidR="008A5F2F" w:rsidRPr="00120E0A" w:rsidRDefault="006A24FE" w:rsidP="006A24FE">
      <w:pPr>
        <w:pStyle w:val="Style"/>
        <w:spacing w:line="360" w:lineRule="auto"/>
      </w:pPr>
      <w:r w:rsidRPr="00120E0A">
        <w:tab/>
      </w:r>
      <w:r w:rsidRPr="00120E0A">
        <w:tab/>
      </w:r>
    </w:p>
    <w:p w:rsidR="000A3855" w:rsidRPr="00120E0A" w:rsidRDefault="000A3855" w:rsidP="008A5F2F">
      <w:pPr>
        <w:pStyle w:val="Style"/>
        <w:spacing w:line="360" w:lineRule="auto"/>
        <w:ind w:firstLine="1440"/>
      </w:pPr>
      <w:r w:rsidRPr="00120E0A">
        <w:t>As an initial matter,</w:t>
      </w:r>
      <w:r w:rsidR="001F3C32" w:rsidRPr="00120E0A">
        <w:t xml:space="preserve"> </w:t>
      </w:r>
      <w:r w:rsidRPr="00120E0A">
        <w:t>PPL witness Gerhard testified regarding the testing of Mr. Scotto’s meter</w:t>
      </w:r>
      <w:r w:rsidR="001F3C32" w:rsidRPr="00120E0A">
        <w:t xml:space="preserve"> and sponsored </w:t>
      </w:r>
      <w:r w:rsidRPr="00120E0A">
        <w:t>PPL Exhibit Number 6</w:t>
      </w:r>
      <w:r w:rsidR="001F3C32" w:rsidRPr="00120E0A">
        <w:t xml:space="preserve"> – a </w:t>
      </w:r>
      <w:r w:rsidRPr="00120E0A">
        <w:t xml:space="preserve">Report of Meter Accuracy for the meter at Mr. Scotto’s home.  Tr. 58; PPL Exh. No. 6.  </w:t>
      </w:r>
      <w:r w:rsidR="00E14FDC" w:rsidRPr="00120E0A">
        <w:t>As Ms. Gerhard testified, PPL Exhibit Number 6 demonstrates that Mr. Scotto’s meter was removed on J</w:t>
      </w:r>
      <w:r w:rsidR="00F354DF">
        <w:t>une 19, 2014 and tested on June 23, </w:t>
      </w:r>
      <w:r w:rsidR="00E14FDC" w:rsidRPr="00120E0A">
        <w:t>2014</w:t>
      </w:r>
      <w:r w:rsidR="00DF244E" w:rsidRPr="00120E0A">
        <w:t>.  Tr. 58-59; PPL Exh. No. 6.  Ms. Gerhard further testified that the meter tested with an average accuracy of 100%.  Tr. 61, 69-74; PPL Exh. No. 6.</w:t>
      </w:r>
    </w:p>
    <w:p w:rsidR="001F3C32" w:rsidRPr="00120E0A" w:rsidRDefault="001F3C32" w:rsidP="008A5F2F">
      <w:pPr>
        <w:pStyle w:val="Style"/>
        <w:spacing w:line="360" w:lineRule="auto"/>
        <w:ind w:firstLine="1440"/>
      </w:pPr>
    </w:p>
    <w:p w:rsidR="00C56FA7" w:rsidRPr="00120E0A" w:rsidRDefault="001F3C32" w:rsidP="008A5F2F">
      <w:pPr>
        <w:pStyle w:val="Style"/>
        <w:spacing w:line="360" w:lineRule="auto"/>
        <w:ind w:firstLine="1440"/>
      </w:pPr>
      <w:r w:rsidRPr="00120E0A">
        <w:t xml:space="preserve">As noted above, however, while the accuracy of the meter is an important factor in resolving billing disputes, it is not the sole criterion.  </w:t>
      </w:r>
      <w:r w:rsidRPr="00120E0A">
        <w:rPr>
          <w:u w:val="single"/>
        </w:rPr>
        <w:t>Waldron</w:t>
      </w:r>
      <w:r w:rsidRPr="00120E0A">
        <w:t xml:space="preserve">.  Yet, Mr. Scotto has not presented any evidence to counter the meter accuracy to demonstrate that his bills were too high.  Mr. Scotto, for example, did not testify that the number of occupants residing at the household </w:t>
      </w:r>
      <w:r w:rsidRPr="00120E0A">
        <w:lastRenderedPageBreak/>
        <w:t>changed or that the potential for energy utilization warrant a finding that his bills were too high.  In fact, there</w:t>
      </w:r>
      <w:r w:rsidR="00D76FE8" w:rsidRPr="00120E0A">
        <w:t xml:space="preserve"> is substantial record evidence, in addition to the meter test results, that supports a finding that Mr. Scotto’s bills were accurate.</w:t>
      </w:r>
    </w:p>
    <w:p w:rsidR="00C56FA7" w:rsidRPr="00120E0A" w:rsidRDefault="00C56FA7" w:rsidP="008A5F2F">
      <w:pPr>
        <w:pStyle w:val="Style"/>
        <w:spacing w:line="360" w:lineRule="auto"/>
        <w:ind w:firstLine="1440"/>
      </w:pPr>
    </w:p>
    <w:p w:rsidR="00A056DB" w:rsidRPr="00120E0A" w:rsidRDefault="00A056DB" w:rsidP="00C56FA7">
      <w:pPr>
        <w:pStyle w:val="Style"/>
        <w:spacing w:line="360" w:lineRule="auto"/>
        <w:ind w:firstLine="1440"/>
      </w:pPr>
      <w:r w:rsidRPr="00120E0A">
        <w:t>Notably, Mr. Scotto testified on cross-examination that space heaters were used in the home during the winter</w:t>
      </w:r>
      <w:r w:rsidR="006F76E2" w:rsidRPr="00120E0A">
        <w:t>s of 2012-13 and 2013-14</w:t>
      </w:r>
      <w:r w:rsidRPr="00120E0A">
        <w:t>.  Tr. 23-24</w:t>
      </w:r>
      <w:r w:rsidR="00440FB8" w:rsidRPr="00120E0A">
        <w:t xml:space="preserve">; </w:t>
      </w:r>
      <w:r w:rsidR="00440FB8" w:rsidRPr="00120E0A">
        <w:rPr>
          <w:i/>
        </w:rPr>
        <w:t>see also</w:t>
      </w:r>
      <w:r w:rsidR="00440FB8" w:rsidRPr="00120E0A">
        <w:t>, Tr. 56-57</w:t>
      </w:r>
      <w:r w:rsidRPr="00120E0A">
        <w:t xml:space="preserve">.  </w:t>
      </w:r>
      <w:r w:rsidR="00C56FA7" w:rsidRPr="00120E0A">
        <w:t xml:space="preserve">A </w:t>
      </w:r>
      <w:r w:rsidRPr="00120E0A">
        <w:t xml:space="preserve">year-by-year review of kilowatt usage as articulated in Mr. Scotto’s Account Activity Statement </w:t>
      </w:r>
      <w:r w:rsidR="00C56FA7" w:rsidRPr="00120E0A">
        <w:t>reflects such usage</w:t>
      </w:r>
      <w:r w:rsidRPr="00120E0A">
        <w:t>:</w:t>
      </w:r>
    </w:p>
    <w:p w:rsidR="00A056DB" w:rsidRPr="00120E0A" w:rsidRDefault="00A056DB" w:rsidP="00A056DB">
      <w:pPr>
        <w:pStyle w:val="Style"/>
        <w:spacing w:line="360" w:lineRule="auto"/>
        <w:rPr>
          <w:b/>
        </w:rPr>
      </w:pPr>
    </w:p>
    <w:tbl>
      <w:tblPr>
        <w:tblStyle w:val="TableGrid"/>
        <w:tblW w:w="9576" w:type="dxa"/>
        <w:tblLook w:val="04A0" w:firstRow="1" w:lastRow="0" w:firstColumn="1" w:lastColumn="0" w:noHBand="0" w:noVBand="1"/>
      </w:tblPr>
      <w:tblGrid>
        <w:gridCol w:w="1863"/>
        <w:gridCol w:w="1492"/>
        <w:gridCol w:w="1391"/>
        <w:gridCol w:w="1610"/>
        <w:gridCol w:w="1610"/>
        <w:gridCol w:w="1610"/>
      </w:tblGrid>
      <w:tr w:rsidR="00A056DB" w:rsidRPr="00120E0A" w:rsidTr="009F158D">
        <w:tc>
          <w:tcPr>
            <w:tcW w:w="1863" w:type="dxa"/>
          </w:tcPr>
          <w:p w:rsidR="00A056DB" w:rsidRPr="00120E0A" w:rsidRDefault="00A056DB" w:rsidP="009F158D">
            <w:pPr>
              <w:pStyle w:val="Style"/>
              <w:spacing w:line="360" w:lineRule="auto"/>
              <w:jc w:val="center"/>
              <w:rPr>
                <w:b/>
                <w:u w:val="single"/>
              </w:rPr>
            </w:pPr>
          </w:p>
        </w:tc>
        <w:tc>
          <w:tcPr>
            <w:tcW w:w="1492" w:type="dxa"/>
          </w:tcPr>
          <w:p w:rsidR="00A056DB" w:rsidRPr="00120E0A" w:rsidRDefault="00A056DB" w:rsidP="009F158D">
            <w:pPr>
              <w:pStyle w:val="Style"/>
              <w:spacing w:line="360" w:lineRule="auto"/>
              <w:jc w:val="center"/>
              <w:rPr>
                <w:b/>
                <w:u w:val="single"/>
              </w:rPr>
            </w:pPr>
            <w:r w:rsidRPr="00120E0A">
              <w:rPr>
                <w:b/>
                <w:u w:val="single"/>
              </w:rPr>
              <w:t>2010</w:t>
            </w:r>
          </w:p>
        </w:tc>
        <w:tc>
          <w:tcPr>
            <w:tcW w:w="1391" w:type="dxa"/>
          </w:tcPr>
          <w:p w:rsidR="00A056DB" w:rsidRPr="00120E0A" w:rsidRDefault="00A056DB" w:rsidP="009F158D">
            <w:pPr>
              <w:pStyle w:val="Style"/>
              <w:spacing w:line="360" w:lineRule="auto"/>
              <w:jc w:val="center"/>
              <w:rPr>
                <w:b/>
                <w:u w:val="single"/>
              </w:rPr>
            </w:pPr>
            <w:r w:rsidRPr="00120E0A">
              <w:rPr>
                <w:b/>
                <w:u w:val="single"/>
              </w:rPr>
              <w:t>2011</w:t>
            </w:r>
          </w:p>
        </w:tc>
        <w:tc>
          <w:tcPr>
            <w:tcW w:w="1610" w:type="dxa"/>
          </w:tcPr>
          <w:p w:rsidR="00A056DB" w:rsidRPr="00120E0A" w:rsidRDefault="00A056DB" w:rsidP="009F158D">
            <w:pPr>
              <w:pStyle w:val="Style"/>
              <w:spacing w:line="360" w:lineRule="auto"/>
              <w:jc w:val="center"/>
              <w:rPr>
                <w:b/>
                <w:u w:val="single"/>
              </w:rPr>
            </w:pPr>
            <w:r w:rsidRPr="00120E0A">
              <w:rPr>
                <w:b/>
                <w:u w:val="single"/>
              </w:rPr>
              <w:t>2012</w:t>
            </w:r>
          </w:p>
        </w:tc>
        <w:tc>
          <w:tcPr>
            <w:tcW w:w="1610" w:type="dxa"/>
          </w:tcPr>
          <w:p w:rsidR="00A056DB" w:rsidRPr="00120E0A" w:rsidRDefault="00A056DB" w:rsidP="009F158D">
            <w:pPr>
              <w:pStyle w:val="Style"/>
              <w:spacing w:line="360" w:lineRule="auto"/>
              <w:jc w:val="center"/>
              <w:rPr>
                <w:b/>
                <w:u w:val="single"/>
              </w:rPr>
            </w:pPr>
            <w:r w:rsidRPr="00120E0A">
              <w:rPr>
                <w:b/>
                <w:u w:val="single"/>
              </w:rPr>
              <w:t>2013</w:t>
            </w:r>
          </w:p>
        </w:tc>
        <w:tc>
          <w:tcPr>
            <w:tcW w:w="1610" w:type="dxa"/>
          </w:tcPr>
          <w:p w:rsidR="00A056DB" w:rsidRPr="00120E0A" w:rsidRDefault="00A056DB" w:rsidP="009F158D">
            <w:pPr>
              <w:pStyle w:val="Style"/>
              <w:spacing w:line="360" w:lineRule="auto"/>
              <w:jc w:val="center"/>
              <w:rPr>
                <w:b/>
                <w:u w:val="single"/>
              </w:rPr>
            </w:pPr>
            <w:r w:rsidRPr="00120E0A">
              <w:rPr>
                <w:b/>
                <w:u w:val="single"/>
              </w:rPr>
              <w:t>2014</w:t>
            </w: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January</w:t>
            </w:r>
          </w:p>
        </w:tc>
        <w:tc>
          <w:tcPr>
            <w:tcW w:w="1492" w:type="dxa"/>
          </w:tcPr>
          <w:p w:rsidR="00A056DB" w:rsidRPr="00120E0A" w:rsidRDefault="00A056DB" w:rsidP="009F158D">
            <w:pPr>
              <w:pStyle w:val="Style"/>
              <w:spacing w:line="360" w:lineRule="auto"/>
            </w:pPr>
          </w:p>
        </w:tc>
        <w:tc>
          <w:tcPr>
            <w:tcW w:w="1391" w:type="dxa"/>
          </w:tcPr>
          <w:p w:rsidR="00A056DB" w:rsidRPr="00120E0A" w:rsidRDefault="00A056DB" w:rsidP="009F158D">
            <w:pPr>
              <w:pStyle w:val="Style"/>
              <w:spacing w:line="360" w:lineRule="auto"/>
            </w:pPr>
            <w:r w:rsidRPr="00120E0A">
              <w:t>1688</w:t>
            </w:r>
          </w:p>
        </w:tc>
        <w:tc>
          <w:tcPr>
            <w:tcW w:w="1610" w:type="dxa"/>
          </w:tcPr>
          <w:p w:rsidR="00A056DB" w:rsidRPr="00120E0A" w:rsidRDefault="00A056DB" w:rsidP="009F158D">
            <w:pPr>
              <w:pStyle w:val="Style"/>
              <w:spacing w:line="360" w:lineRule="auto"/>
            </w:pPr>
            <w:r w:rsidRPr="00120E0A">
              <w:t>1536</w:t>
            </w:r>
          </w:p>
        </w:tc>
        <w:tc>
          <w:tcPr>
            <w:tcW w:w="1610" w:type="dxa"/>
          </w:tcPr>
          <w:p w:rsidR="00A056DB" w:rsidRPr="00120E0A" w:rsidRDefault="00A056DB" w:rsidP="009F158D">
            <w:pPr>
              <w:pStyle w:val="Style"/>
              <w:spacing w:line="360" w:lineRule="auto"/>
            </w:pPr>
            <w:r w:rsidRPr="00120E0A">
              <w:t>5332</w:t>
            </w:r>
          </w:p>
        </w:tc>
        <w:tc>
          <w:tcPr>
            <w:tcW w:w="1610" w:type="dxa"/>
          </w:tcPr>
          <w:p w:rsidR="00A056DB" w:rsidRPr="00120E0A" w:rsidRDefault="00A056DB" w:rsidP="009F158D">
            <w:pPr>
              <w:pStyle w:val="Style"/>
              <w:spacing w:line="360" w:lineRule="auto"/>
            </w:pPr>
            <w:r w:rsidRPr="00120E0A">
              <w:t>5022</w:t>
            </w: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February</w:t>
            </w:r>
          </w:p>
        </w:tc>
        <w:tc>
          <w:tcPr>
            <w:tcW w:w="1492" w:type="dxa"/>
          </w:tcPr>
          <w:p w:rsidR="00A056DB" w:rsidRPr="00120E0A" w:rsidRDefault="00A056DB" w:rsidP="009F158D">
            <w:pPr>
              <w:pStyle w:val="Style"/>
              <w:spacing w:line="360" w:lineRule="auto"/>
            </w:pPr>
          </w:p>
        </w:tc>
        <w:tc>
          <w:tcPr>
            <w:tcW w:w="1391" w:type="dxa"/>
          </w:tcPr>
          <w:p w:rsidR="00A056DB" w:rsidRPr="00120E0A" w:rsidRDefault="00A056DB" w:rsidP="009F158D">
            <w:pPr>
              <w:pStyle w:val="Style"/>
              <w:spacing w:line="360" w:lineRule="auto"/>
            </w:pPr>
            <w:r w:rsidRPr="00120E0A">
              <w:t>1196</w:t>
            </w:r>
          </w:p>
        </w:tc>
        <w:tc>
          <w:tcPr>
            <w:tcW w:w="1610" w:type="dxa"/>
          </w:tcPr>
          <w:p w:rsidR="00A056DB" w:rsidRPr="00120E0A" w:rsidRDefault="00A056DB" w:rsidP="009F158D">
            <w:pPr>
              <w:pStyle w:val="Style"/>
              <w:spacing w:line="360" w:lineRule="auto"/>
            </w:pPr>
            <w:r w:rsidRPr="00120E0A">
              <w:t>1249</w:t>
            </w:r>
          </w:p>
        </w:tc>
        <w:tc>
          <w:tcPr>
            <w:tcW w:w="1610" w:type="dxa"/>
          </w:tcPr>
          <w:p w:rsidR="00A056DB" w:rsidRPr="00120E0A" w:rsidRDefault="00A056DB" w:rsidP="009F158D">
            <w:pPr>
              <w:pStyle w:val="Style"/>
              <w:spacing w:line="360" w:lineRule="auto"/>
            </w:pPr>
            <w:r w:rsidRPr="00120E0A">
              <w:t>5540</w:t>
            </w:r>
          </w:p>
        </w:tc>
        <w:tc>
          <w:tcPr>
            <w:tcW w:w="1610" w:type="dxa"/>
          </w:tcPr>
          <w:p w:rsidR="00A056DB" w:rsidRPr="00120E0A" w:rsidRDefault="00A056DB" w:rsidP="009F158D">
            <w:pPr>
              <w:pStyle w:val="Style"/>
              <w:spacing w:line="360" w:lineRule="auto"/>
            </w:pPr>
            <w:r w:rsidRPr="00120E0A">
              <w:t>5654</w:t>
            </w: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 xml:space="preserve">March </w:t>
            </w:r>
          </w:p>
        </w:tc>
        <w:tc>
          <w:tcPr>
            <w:tcW w:w="1492" w:type="dxa"/>
          </w:tcPr>
          <w:p w:rsidR="00A056DB" w:rsidRPr="00120E0A" w:rsidRDefault="00A056DB" w:rsidP="009F158D">
            <w:pPr>
              <w:pStyle w:val="Style"/>
              <w:spacing w:line="360" w:lineRule="auto"/>
            </w:pPr>
          </w:p>
        </w:tc>
        <w:tc>
          <w:tcPr>
            <w:tcW w:w="1391" w:type="dxa"/>
          </w:tcPr>
          <w:p w:rsidR="00A056DB" w:rsidRPr="00120E0A" w:rsidRDefault="00A056DB" w:rsidP="009F158D">
            <w:pPr>
              <w:pStyle w:val="Style"/>
              <w:spacing w:line="360" w:lineRule="auto"/>
            </w:pPr>
            <w:r w:rsidRPr="00120E0A">
              <w:t>1086</w:t>
            </w:r>
          </w:p>
        </w:tc>
        <w:tc>
          <w:tcPr>
            <w:tcW w:w="1610" w:type="dxa"/>
          </w:tcPr>
          <w:p w:rsidR="00A056DB" w:rsidRPr="00120E0A" w:rsidRDefault="00A056DB" w:rsidP="009F158D">
            <w:pPr>
              <w:pStyle w:val="Style"/>
              <w:spacing w:line="360" w:lineRule="auto"/>
            </w:pPr>
            <w:r w:rsidRPr="00120E0A">
              <w:t>1300</w:t>
            </w:r>
          </w:p>
        </w:tc>
        <w:tc>
          <w:tcPr>
            <w:tcW w:w="1610" w:type="dxa"/>
          </w:tcPr>
          <w:p w:rsidR="00A056DB" w:rsidRPr="00120E0A" w:rsidRDefault="00A056DB" w:rsidP="009F158D">
            <w:pPr>
              <w:pStyle w:val="Style"/>
              <w:spacing w:line="360" w:lineRule="auto"/>
            </w:pPr>
            <w:r w:rsidRPr="00120E0A">
              <w:t>5530</w:t>
            </w:r>
          </w:p>
        </w:tc>
        <w:tc>
          <w:tcPr>
            <w:tcW w:w="1610" w:type="dxa"/>
          </w:tcPr>
          <w:p w:rsidR="00A056DB" w:rsidRPr="00120E0A" w:rsidRDefault="00A056DB" w:rsidP="009F158D">
            <w:pPr>
              <w:pStyle w:val="Style"/>
              <w:spacing w:line="360" w:lineRule="auto"/>
            </w:pPr>
            <w:r w:rsidRPr="00120E0A">
              <w:t>5127</w:t>
            </w: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April</w:t>
            </w:r>
          </w:p>
        </w:tc>
        <w:tc>
          <w:tcPr>
            <w:tcW w:w="1492" w:type="dxa"/>
          </w:tcPr>
          <w:p w:rsidR="00A056DB" w:rsidRPr="00120E0A" w:rsidRDefault="00A056DB" w:rsidP="009F158D">
            <w:pPr>
              <w:pStyle w:val="Style"/>
              <w:spacing w:line="360" w:lineRule="auto"/>
            </w:pPr>
          </w:p>
        </w:tc>
        <w:tc>
          <w:tcPr>
            <w:tcW w:w="1391" w:type="dxa"/>
          </w:tcPr>
          <w:p w:rsidR="00A056DB" w:rsidRPr="00120E0A" w:rsidRDefault="00A056DB" w:rsidP="009F158D">
            <w:pPr>
              <w:pStyle w:val="Style"/>
              <w:spacing w:line="360" w:lineRule="auto"/>
            </w:pPr>
            <w:r w:rsidRPr="00120E0A">
              <w:t>1124</w:t>
            </w:r>
          </w:p>
        </w:tc>
        <w:tc>
          <w:tcPr>
            <w:tcW w:w="1610" w:type="dxa"/>
          </w:tcPr>
          <w:p w:rsidR="00A056DB" w:rsidRPr="00120E0A" w:rsidRDefault="00A056DB" w:rsidP="009F158D">
            <w:pPr>
              <w:pStyle w:val="Style"/>
              <w:spacing w:line="360" w:lineRule="auto"/>
            </w:pPr>
            <w:r w:rsidRPr="00120E0A">
              <w:t>1156</w:t>
            </w:r>
          </w:p>
        </w:tc>
        <w:tc>
          <w:tcPr>
            <w:tcW w:w="1610" w:type="dxa"/>
          </w:tcPr>
          <w:p w:rsidR="00A056DB" w:rsidRPr="00120E0A" w:rsidRDefault="00A056DB" w:rsidP="009F158D">
            <w:pPr>
              <w:pStyle w:val="Style"/>
              <w:spacing w:line="360" w:lineRule="auto"/>
            </w:pPr>
            <w:r w:rsidRPr="00120E0A">
              <w:t>4599</w:t>
            </w:r>
          </w:p>
        </w:tc>
        <w:tc>
          <w:tcPr>
            <w:tcW w:w="1610" w:type="dxa"/>
          </w:tcPr>
          <w:p w:rsidR="00A056DB" w:rsidRPr="00120E0A" w:rsidRDefault="00A056DB" w:rsidP="009F158D">
            <w:pPr>
              <w:pStyle w:val="Style"/>
              <w:spacing w:line="360" w:lineRule="auto"/>
            </w:pPr>
            <w:r w:rsidRPr="00120E0A">
              <w:t>1379</w:t>
            </w: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May</w:t>
            </w:r>
          </w:p>
        </w:tc>
        <w:tc>
          <w:tcPr>
            <w:tcW w:w="1492" w:type="dxa"/>
          </w:tcPr>
          <w:p w:rsidR="00A056DB" w:rsidRPr="00120E0A" w:rsidRDefault="00A056DB" w:rsidP="009F158D">
            <w:pPr>
              <w:pStyle w:val="Style"/>
              <w:spacing w:line="360" w:lineRule="auto"/>
            </w:pPr>
          </w:p>
        </w:tc>
        <w:tc>
          <w:tcPr>
            <w:tcW w:w="1391" w:type="dxa"/>
          </w:tcPr>
          <w:p w:rsidR="00A056DB" w:rsidRPr="00120E0A" w:rsidRDefault="00A056DB" w:rsidP="009F158D">
            <w:pPr>
              <w:pStyle w:val="Style"/>
              <w:spacing w:line="360" w:lineRule="auto"/>
            </w:pPr>
            <w:r w:rsidRPr="00120E0A">
              <w:t>960</w:t>
            </w:r>
          </w:p>
        </w:tc>
        <w:tc>
          <w:tcPr>
            <w:tcW w:w="1610" w:type="dxa"/>
          </w:tcPr>
          <w:p w:rsidR="00A056DB" w:rsidRPr="00120E0A" w:rsidRDefault="00A056DB" w:rsidP="009F158D">
            <w:pPr>
              <w:pStyle w:val="Style"/>
              <w:spacing w:line="360" w:lineRule="auto"/>
            </w:pPr>
            <w:r w:rsidRPr="00120E0A">
              <w:t>1885</w:t>
            </w:r>
          </w:p>
        </w:tc>
        <w:tc>
          <w:tcPr>
            <w:tcW w:w="1610" w:type="dxa"/>
          </w:tcPr>
          <w:p w:rsidR="00A056DB" w:rsidRPr="00120E0A" w:rsidRDefault="00A056DB" w:rsidP="009F158D">
            <w:pPr>
              <w:pStyle w:val="Style"/>
              <w:spacing w:line="360" w:lineRule="auto"/>
            </w:pPr>
            <w:r w:rsidRPr="00120E0A">
              <w:t>1930</w:t>
            </w:r>
          </w:p>
        </w:tc>
        <w:tc>
          <w:tcPr>
            <w:tcW w:w="1610" w:type="dxa"/>
          </w:tcPr>
          <w:p w:rsidR="00A056DB" w:rsidRPr="00120E0A" w:rsidRDefault="00A056DB" w:rsidP="009F158D">
            <w:pPr>
              <w:pStyle w:val="Style"/>
              <w:spacing w:line="360" w:lineRule="auto"/>
            </w:pPr>
            <w:r w:rsidRPr="00120E0A">
              <w:t>1346</w:t>
            </w: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June</w:t>
            </w:r>
          </w:p>
        </w:tc>
        <w:tc>
          <w:tcPr>
            <w:tcW w:w="1492" w:type="dxa"/>
          </w:tcPr>
          <w:p w:rsidR="00A056DB" w:rsidRPr="00120E0A" w:rsidRDefault="00A056DB" w:rsidP="009F158D">
            <w:pPr>
              <w:pStyle w:val="Style"/>
              <w:spacing w:line="360" w:lineRule="auto"/>
            </w:pPr>
          </w:p>
        </w:tc>
        <w:tc>
          <w:tcPr>
            <w:tcW w:w="1391" w:type="dxa"/>
          </w:tcPr>
          <w:p w:rsidR="00A056DB" w:rsidRPr="00120E0A" w:rsidRDefault="00A056DB" w:rsidP="009F158D">
            <w:pPr>
              <w:pStyle w:val="Style"/>
              <w:spacing w:line="360" w:lineRule="auto"/>
            </w:pPr>
            <w:r w:rsidRPr="00120E0A">
              <w:t>1012</w:t>
            </w:r>
          </w:p>
        </w:tc>
        <w:tc>
          <w:tcPr>
            <w:tcW w:w="1610" w:type="dxa"/>
          </w:tcPr>
          <w:p w:rsidR="00A056DB" w:rsidRPr="00120E0A" w:rsidRDefault="00A056DB" w:rsidP="009F158D">
            <w:pPr>
              <w:pStyle w:val="Style"/>
              <w:spacing w:line="360" w:lineRule="auto"/>
            </w:pPr>
            <w:r w:rsidRPr="00120E0A">
              <w:t>1750</w:t>
            </w:r>
          </w:p>
        </w:tc>
        <w:tc>
          <w:tcPr>
            <w:tcW w:w="1610" w:type="dxa"/>
          </w:tcPr>
          <w:p w:rsidR="00A056DB" w:rsidRPr="00120E0A" w:rsidRDefault="00A056DB" w:rsidP="009F158D">
            <w:pPr>
              <w:pStyle w:val="Style"/>
              <w:spacing w:line="360" w:lineRule="auto"/>
            </w:pPr>
            <w:r w:rsidRPr="00120E0A">
              <w:t>1608</w:t>
            </w:r>
          </w:p>
        </w:tc>
        <w:tc>
          <w:tcPr>
            <w:tcW w:w="1610" w:type="dxa"/>
          </w:tcPr>
          <w:p w:rsidR="00A056DB" w:rsidRPr="00120E0A" w:rsidRDefault="00A056DB" w:rsidP="009F158D">
            <w:pPr>
              <w:pStyle w:val="Style"/>
              <w:spacing w:line="360" w:lineRule="auto"/>
            </w:pPr>
            <w:r w:rsidRPr="00120E0A">
              <w:t>1227</w:t>
            </w: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July</w:t>
            </w:r>
          </w:p>
        </w:tc>
        <w:tc>
          <w:tcPr>
            <w:tcW w:w="1492" w:type="dxa"/>
          </w:tcPr>
          <w:p w:rsidR="00A056DB" w:rsidRPr="00120E0A" w:rsidRDefault="00A056DB" w:rsidP="009F158D">
            <w:pPr>
              <w:pStyle w:val="Style"/>
              <w:spacing w:line="360" w:lineRule="auto"/>
            </w:pPr>
          </w:p>
        </w:tc>
        <w:tc>
          <w:tcPr>
            <w:tcW w:w="1391" w:type="dxa"/>
          </w:tcPr>
          <w:p w:rsidR="00A056DB" w:rsidRPr="00120E0A" w:rsidRDefault="00A056DB" w:rsidP="009F158D">
            <w:pPr>
              <w:pStyle w:val="Style"/>
              <w:spacing w:line="360" w:lineRule="auto"/>
            </w:pPr>
            <w:r w:rsidRPr="00120E0A">
              <w:t>1452</w:t>
            </w:r>
          </w:p>
        </w:tc>
        <w:tc>
          <w:tcPr>
            <w:tcW w:w="1610" w:type="dxa"/>
          </w:tcPr>
          <w:p w:rsidR="00A056DB" w:rsidRPr="00120E0A" w:rsidRDefault="00A056DB" w:rsidP="009F158D">
            <w:pPr>
              <w:pStyle w:val="Style"/>
              <w:spacing w:line="360" w:lineRule="auto"/>
            </w:pPr>
            <w:r w:rsidRPr="00120E0A">
              <w:t>1806</w:t>
            </w:r>
          </w:p>
        </w:tc>
        <w:tc>
          <w:tcPr>
            <w:tcW w:w="1610" w:type="dxa"/>
          </w:tcPr>
          <w:p w:rsidR="00A056DB" w:rsidRPr="00120E0A" w:rsidRDefault="00A056DB" w:rsidP="009F158D">
            <w:pPr>
              <w:pStyle w:val="Style"/>
              <w:spacing w:line="360" w:lineRule="auto"/>
            </w:pPr>
            <w:r w:rsidRPr="00120E0A">
              <w:t>998</w:t>
            </w:r>
          </w:p>
        </w:tc>
        <w:tc>
          <w:tcPr>
            <w:tcW w:w="1610" w:type="dxa"/>
          </w:tcPr>
          <w:p w:rsidR="00A056DB" w:rsidRPr="00120E0A" w:rsidRDefault="00A056DB" w:rsidP="009F158D">
            <w:pPr>
              <w:pStyle w:val="Style"/>
              <w:spacing w:line="360" w:lineRule="auto"/>
            </w:pPr>
            <w:r w:rsidRPr="00120E0A">
              <w:t>1138</w:t>
            </w: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August</w:t>
            </w:r>
          </w:p>
        </w:tc>
        <w:tc>
          <w:tcPr>
            <w:tcW w:w="1492" w:type="dxa"/>
          </w:tcPr>
          <w:p w:rsidR="00A056DB" w:rsidRPr="00120E0A" w:rsidRDefault="00A056DB" w:rsidP="009F158D">
            <w:pPr>
              <w:pStyle w:val="Style"/>
              <w:spacing w:line="360" w:lineRule="auto"/>
            </w:pPr>
            <w:r w:rsidRPr="00120E0A">
              <w:t>1112</w:t>
            </w:r>
          </w:p>
        </w:tc>
        <w:tc>
          <w:tcPr>
            <w:tcW w:w="1391" w:type="dxa"/>
          </w:tcPr>
          <w:p w:rsidR="00A056DB" w:rsidRPr="00120E0A" w:rsidRDefault="00A056DB" w:rsidP="009F158D">
            <w:pPr>
              <w:pStyle w:val="Style"/>
              <w:spacing w:line="360" w:lineRule="auto"/>
            </w:pPr>
            <w:r w:rsidRPr="00120E0A">
              <w:t>1476</w:t>
            </w:r>
          </w:p>
        </w:tc>
        <w:tc>
          <w:tcPr>
            <w:tcW w:w="1610" w:type="dxa"/>
          </w:tcPr>
          <w:p w:rsidR="00A056DB" w:rsidRPr="00120E0A" w:rsidRDefault="00A056DB" w:rsidP="009F158D">
            <w:pPr>
              <w:pStyle w:val="Style"/>
              <w:spacing w:line="360" w:lineRule="auto"/>
            </w:pPr>
            <w:r w:rsidRPr="00120E0A">
              <w:t>1697</w:t>
            </w:r>
          </w:p>
        </w:tc>
        <w:tc>
          <w:tcPr>
            <w:tcW w:w="1610" w:type="dxa"/>
          </w:tcPr>
          <w:p w:rsidR="00A056DB" w:rsidRPr="00120E0A" w:rsidRDefault="00A056DB" w:rsidP="009F158D">
            <w:pPr>
              <w:pStyle w:val="Style"/>
              <w:spacing w:line="360" w:lineRule="auto"/>
            </w:pPr>
            <w:r w:rsidRPr="00120E0A">
              <w:t>996</w:t>
            </w:r>
          </w:p>
        </w:tc>
        <w:tc>
          <w:tcPr>
            <w:tcW w:w="1610" w:type="dxa"/>
          </w:tcPr>
          <w:p w:rsidR="00A056DB" w:rsidRPr="00120E0A" w:rsidRDefault="00A056DB" w:rsidP="009F158D">
            <w:pPr>
              <w:pStyle w:val="Style"/>
              <w:spacing w:line="360" w:lineRule="auto"/>
            </w:pP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September</w:t>
            </w:r>
          </w:p>
        </w:tc>
        <w:tc>
          <w:tcPr>
            <w:tcW w:w="1492" w:type="dxa"/>
          </w:tcPr>
          <w:p w:rsidR="00A056DB" w:rsidRPr="00120E0A" w:rsidRDefault="00A056DB" w:rsidP="009F158D">
            <w:pPr>
              <w:pStyle w:val="Style"/>
              <w:spacing w:line="360" w:lineRule="auto"/>
            </w:pPr>
            <w:r w:rsidRPr="00120E0A">
              <w:t>979</w:t>
            </w:r>
          </w:p>
        </w:tc>
        <w:tc>
          <w:tcPr>
            <w:tcW w:w="1391" w:type="dxa"/>
          </w:tcPr>
          <w:p w:rsidR="00A056DB" w:rsidRPr="00120E0A" w:rsidRDefault="00A056DB" w:rsidP="009F158D">
            <w:pPr>
              <w:pStyle w:val="Style"/>
              <w:spacing w:line="360" w:lineRule="auto"/>
            </w:pPr>
            <w:r w:rsidRPr="00120E0A">
              <w:t>1391</w:t>
            </w:r>
          </w:p>
        </w:tc>
        <w:tc>
          <w:tcPr>
            <w:tcW w:w="1610" w:type="dxa"/>
          </w:tcPr>
          <w:p w:rsidR="00A056DB" w:rsidRPr="00120E0A" w:rsidRDefault="00A056DB" w:rsidP="009F158D">
            <w:pPr>
              <w:pStyle w:val="Style"/>
              <w:spacing w:line="360" w:lineRule="auto"/>
            </w:pPr>
            <w:r w:rsidRPr="00120E0A">
              <w:t>1482</w:t>
            </w:r>
          </w:p>
        </w:tc>
        <w:tc>
          <w:tcPr>
            <w:tcW w:w="1610" w:type="dxa"/>
          </w:tcPr>
          <w:p w:rsidR="00A056DB" w:rsidRPr="00120E0A" w:rsidRDefault="00A056DB" w:rsidP="009F158D">
            <w:pPr>
              <w:pStyle w:val="Style"/>
              <w:spacing w:line="360" w:lineRule="auto"/>
            </w:pPr>
            <w:r w:rsidRPr="00120E0A">
              <w:t>1111</w:t>
            </w:r>
          </w:p>
        </w:tc>
        <w:tc>
          <w:tcPr>
            <w:tcW w:w="1610" w:type="dxa"/>
          </w:tcPr>
          <w:p w:rsidR="00A056DB" w:rsidRPr="00120E0A" w:rsidRDefault="00A056DB" w:rsidP="009F158D">
            <w:pPr>
              <w:pStyle w:val="Style"/>
              <w:spacing w:line="360" w:lineRule="auto"/>
            </w:pP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October</w:t>
            </w:r>
          </w:p>
        </w:tc>
        <w:tc>
          <w:tcPr>
            <w:tcW w:w="1492" w:type="dxa"/>
          </w:tcPr>
          <w:p w:rsidR="00A056DB" w:rsidRPr="00120E0A" w:rsidRDefault="00A056DB" w:rsidP="009F158D">
            <w:pPr>
              <w:pStyle w:val="Style"/>
              <w:spacing w:line="360" w:lineRule="auto"/>
            </w:pPr>
            <w:r w:rsidRPr="00120E0A">
              <w:t>1206</w:t>
            </w:r>
          </w:p>
        </w:tc>
        <w:tc>
          <w:tcPr>
            <w:tcW w:w="1391" w:type="dxa"/>
          </w:tcPr>
          <w:p w:rsidR="00A056DB" w:rsidRPr="00120E0A" w:rsidRDefault="00A056DB" w:rsidP="009F158D">
            <w:pPr>
              <w:pStyle w:val="Style"/>
              <w:spacing w:line="360" w:lineRule="auto"/>
            </w:pPr>
            <w:r w:rsidRPr="00120E0A">
              <w:t>1506</w:t>
            </w:r>
          </w:p>
        </w:tc>
        <w:tc>
          <w:tcPr>
            <w:tcW w:w="1610" w:type="dxa"/>
          </w:tcPr>
          <w:p w:rsidR="00A056DB" w:rsidRPr="00120E0A" w:rsidRDefault="00A056DB" w:rsidP="009F158D">
            <w:pPr>
              <w:pStyle w:val="Style"/>
              <w:spacing w:line="360" w:lineRule="auto"/>
            </w:pPr>
            <w:r w:rsidRPr="00120E0A">
              <w:t>1765</w:t>
            </w:r>
          </w:p>
        </w:tc>
        <w:tc>
          <w:tcPr>
            <w:tcW w:w="1610" w:type="dxa"/>
          </w:tcPr>
          <w:p w:rsidR="00A056DB" w:rsidRPr="00120E0A" w:rsidRDefault="00A056DB" w:rsidP="009F158D">
            <w:pPr>
              <w:pStyle w:val="Style"/>
              <w:spacing w:line="360" w:lineRule="auto"/>
            </w:pPr>
            <w:r w:rsidRPr="00120E0A">
              <w:t>1510</w:t>
            </w:r>
          </w:p>
        </w:tc>
        <w:tc>
          <w:tcPr>
            <w:tcW w:w="1610" w:type="dxa"/>
          </w:tcPr>
          <w:p w:rsidR="00A056DB" w:rsidRPr="00120E0A" w:rsidRDefault="00A056DB" w:rsidP="009F158D">
            <w:pPr>
              <w:pStyle w:val="Style"/>
              <w:spacing w:line="360" w:lineRule="auto"/>
            </w:pP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November</w:t>
            </w:r>
          </w:p>
        </w:tc>
        <w:tc>
          <w:tcPr>
            <w:tcW w:w="1492" w:type="dxa"/>
          </w:tcPr>
          <w:p w:rsidR="00A056DB" w:rsidRPr="00120E0A" w:rsidRDefault="00A056DB" w:rsidP="009F158D">
            <w:pPr>
              <w:pStyle w:val="Style"/>
              <w:spacing w:line="360" w:lineRule="auto"/>
            </w:pPr>
            <w:r w:rsidRPr="00120E0A">
              <w:t>1118</w:t>
            </w:r>
          </w:p>
        </w:tc>
        <w:tc>
          <w:tcPr>
            <w:tcW w:w="1391" w:type="dxa"/>
          </w:tcPr>
          <w:p w:rsidR="00A056DB" w:rsidRPr="00120E0A" w:rsidRDefault="00A056DB" w:rsidP="009F158D">
            <w:pPr>
              <w:pStyle w:val="Style"/>
              <w:spacing w:line="360" w:lineRule="auto"/>
            </w:pPr>
            <w:r w:rsidRPr="00120E0A">
              <w:t>1252</w:t>
            </w:r>
          </w:p>
        </w:tc>
        <w:tc>
          <w:tcPr>
            <w:tcW w:w="1610" w:type="dxa"/>
          </w:tcPr>
          <w:p w:rsidR="00A056DB" w:rsidRPr="00120E0A" w:rsidRDefault="00A056DB" w:rsidP="009F158D">
            <w:pPr>
              <w:pStyle w:val="Style"/>
              <w:spacing w:line="360" w:lineRule="auto"/>
            </w:pPr>
            <w:r w:rsidRPr="00120E0A">
              <w:t>2507</w:t>
            </w:r>
          </w:p>
        </w:tc>
        <w:tc>
          <w:tcPr>
            <w:tcW w:w="1610" w:type="dxa"/>
          </w:tcPr>
          <w:p w:rsidR="00A056DB" w:rsidRPr="00120E0A" w:rsidRDefault="00A056DB" w:rsidP="009F158D">
            <w:pPr>
              <w:pStyle w:val="Style"/>
              <w:spacing w:line="360" w:lineRule="auto"/>
            </w:pPr>
            <w:r w:rsidRPr="00120E0A">
              <w:t>1674</w:t>
            </w:r>
          </w:p>
        </w:tc>
        <w:tc>
          <w:tcPr>
            <w:tcW w:w="1610" w:type="dxa"/>
          </w:tcPr>
          <w:p w:rsidR="00A056DB" w:rsidRPr="00120E0A" w:rsidRDefault="00A056DB" w:rsidP="009F158D">
            <w:pPr>
              <w:pStyle w:val="Style"/>
              <w:spacing w:line="360" w:lineRule="auto"/>
            </w:pPr>
          </w:p>
        </w:tc>
      </w:tr>
      <w:tr w:rsidR="00A056DB" w:rsidRPr="00120E0A" w:rsidTr="009F158D">
        <w:tc>
          <w:tcPr>
            <w:tcW w:w="1863" w:type="dxa"/>
          </w:tcPr>
          <w:p w:rsidR="00A056DB" w:rsidRPr="00120E0A" w:rsidRDefault="00A056DB" w:rsidP="009F158D">
            <w:pPr>
              <w:pStyle w:val="Style"/>
              <w:spacing w:line="360" w:lineRule="auto"/>
              <w:rPr>
                <w:b/>
              </w:rPr>
            </w:pPr>
            <w:r w:rsidRPr="00120E0A">
              <w:rPr>
                <w:b/>
              </w:rPr>
              <w:t>December</w:t>
            </w:r>
          </w:p>
        </w:tc>
        <w:tc>
          <w:tcPr>
            <w:tcW w:w="1492" w:type="dxa"/>
          </w:tcPr>
          <w:p w:rsidR="00A056DB" w:rsidRPr="00120E0A" w:rsidRDefault="00A056DB" w:rsidP="009F158D">
            <w:pPr>
              <w:pStyle w:val="Style"/>
              <w:spacing w:line="360" w:lineRule="auto"/>
            </w:pPr>
            <w:r w:rsidRPr="00120E0A">
              <w:t>1237</w:t>
            </w:r>
          </w:p>
        </w:tc>
        <w:tc>
          <w:tcPr>
            <w:tcW w:w="1391" w:type="dxa"/>
          </w:tcPr>
          <w:p w:rsidR="00A056DB" w:rsidRPr="00120E0A" w:rsidRDefault="00A056DB" w:rsidP="009F158D">
            <w:pPr>
              <w:pStyle w:val="Style"/>
              <w:spacing w:line="360" w:lineRule="auto"/>
            </w:pPr>
            <w:r w:rsidRPr="00120E0A">
              <w:t>1298</w:t>
            </w:r>
          </w:p>
        </w:tc>
        <w:tc>
          <w:tcPr>
            <w:tcW w:w="1610" w:type="dxa"/>
          </w:tcPr>
          <w:p w:rsidR="00A056DB" w:rsidRPr="00120E0A" w:rsidRDefault="00A056DB" w:rsidP="009F158D">
            <w:pPr>
              <w:pStyle w:val="Style"/>
              <w:spacing w:line="360" w:lineRule="auto"/>
            </w:pPr>
            <w:r w:rsidRPr="00120E0A">
              <w:t>4159</w:t>
            </w:r>
          </w:p>
        </w:tc>
        <w:tc>
          <w:tcPr>
            <w:tcW w:w="1610" w:type="dxa"/>
          </w:tcPr>
          <w:p w:rsidR="00A056DB" w:rsidRPr="00120E0A" w:rsidRDefault="00A056DB" w:rsidP="009F158D">
            <w:pPr>
              <w:pStyle w:val="Style"/>
              <w:spacing w:line="360" w:lineRule="auto"/>
            </w:pPr>
            <w:r w:rsidRPr="00120E0A">
              <w:t>3592</w:t>
            </w:r>
          </w:p>
        </w:tc>
        <w:tc>
          <w:tcPr>
            <w:tcW w:w="1610" w:type="dxa"/>
          </w:tcPr>
          <w:p w:rsidR="00A056DB" w:rsidRPr="00120E0A" w:rsidRDefault="00A056DB" w:rsidP="009F158D">
            <w:pPr>
              <w:pStyle w:val="Style"/>
              <w:spacing w:line="360" w:lineRule="auto"/>
            </w:pPr>
          </w:p>
        </w:tc>
      </w:tr>
    </w:tbl>
    <w:p w:rsidR="00A056DB" w:rsidRPr="00120E0A" w:rsidRDefault="00A056DB" w:rsidP="00CD2014">
      <w:pPr>
        <w:pStyle w:val="Style"/>
      </w:pPr>
    </w:p>
    <w:p w:rsidR="00A056DB" w:rsidRPr="00120E0A" w:rsidRDefault="00A056DB" w:rsidP="00A056DB">
      <w:pPr>
        <w:pStyle w:val="Style"/>
        <w:spacing w:line="360" w:lineRule="auto"/>
      </w:pPr>
      <w:r w:rsidRPr="00120E0A">
        <w:t xml:space="preserve">PPL Exh. No. 1.  </w:t>
      </w:r>
      <w:r w:rsidR="005C2B3B" w:rsidRPr="00120E0A">
        <w:t>This</w:t>
      </w:r>
      <w:r w:rsidRPr="00120E0A">
        <w:t xml:space="preserve"> usage history reveals fairly consistent usage during the warmer months of May through November but a general increase in usage during the winter months of December to April</w:t>
      </w:r>
      <w:r w:rsidR="00C56FA7" w:rsidRPr="00120E0A">
        <w:t xml:space="preserve"> beginning with the winter of 2012-2013 when space heaters were first used in the home</w:t>
      </w:r>
      <w:r w:rsidR="005C2B3B" w:rsidRPr="00120E0A">
        <w:t>.  For example, in January</w:t>
      </w:r>
      <w:r w:rsidR="00F3571B">
        <w:t>,</w:t>
      </w:r>
      <w:r w:rsidR="005C2B3B" w:rsidRPr="00120E0A">
        <w:t xml:space="preserve"> 2012, Mr. Scotto used 1536 kwh </w:t>
      </w:r>
      <w:r w:rsidR="00C56FA7" w:rsidRPr="00120E0A">
        <w:t xml:space="preserve">and </w:t>
      </w:r>
      <w:r w:rsidR="005C2B3B" w:rsidRPr="00120E0A">
        <w:t>in January</w:t>
      </w:r>
      <w:r w:rsidR="00F3571B">
        <w:t>, 2013 Mr. Scotto used </w:t>
      </w:r>
      <w:r w:rsidR="005C2B3B" w:rsidRPr="00120E0A">
        <w:t>5332 but in June</w:t>
      </w:r>
      <w:r w:rsidR="00887F1A">
        <w:t>,</w:t>
      </w:r>
      <w:r w:rsidR="005C2B3B" w:rsidRPr="00120E0A">
        <w:t xml:space="preserve"> 2012 Mr. Scotto used 1750 kwh and in June</w:t>
      </w:r>
      <w:r w:rsidR="00887F1A">
        <w:t>,</w:t>
      </w:r>
      <w:r w:rsidR="005C2B3B" w:rsidRPr="00120E0A">
        <w:t xml:space="preserve"> 2013 Mr. Scotto used 1608 kwh</w:t>
      </w:r>
      <w:r w:rsidRPr="00120E0A">
        <w:t xml:space="preserve">.  The usage history </w:t>
      </w:r>
      <w:r w:rsidR="002F43CD" w:rsidRPr="00120E0A">
        <w:t>supports</w:t>
      </w:r>
      <w:r w:rsidRPr="00120E0A">
        <w:t xml:space="preserve"> the record evidence that demonstrates that the meter </w:t>
      </w:r>
      <w:r w:rsidR="00AB6376">
        <w:t xml:space="preserve">removed from </w:t>
      </w:r>
      <w:r w:rsidRPr="00120E0A">
        <w:t>the home is 100% accurate.</w:t>
      </w:r>
    </w:p>
    <w:p w:rsidR="00A056DB" w:rsidRPr="00120E0A" w:rsidRDefault="00A056DB" w:rsidP="008A5F2F">
      <w:pPr>
        <w:pStyle w:val="Style"/>
        <w:spacing w:line="360" w:lineRule="auto"/>
        <w:ind w:firstLine="1440"/>
      </w:pPr>
    </w:p>
    <w:p w:rsidR="008A5F2F" w:rsidRPr="00120E0A" w:rsidRDefault="00D76FE8" w:rsidP="008A5F2F">
      <w:pPr>
        <w:pStyle w:val="Style"/>
        <w:spacing w:line="360" w:lineRule="auto"/>
        <w:ind w:firstLine="1440"/>
      </w:pPr>
      <w:r w:rsidRPr="00120E0A">
        <w:lastRenderedPageBreak/>
        <w:t xml:space="preserve">PPL witness </w:t>
      </w:r>
      <w:r w:rsidR="009022B1" w:rsidRPr="00120E0A">
        <w:t xml:space="preserve">Gerhard testified </w:t>
      </w:r>
      <w:r w:rsidR="001E6AE2" w:rsidRPr="00120E0A">
        <w:t>regarding Mr. Scotto’s account history</w:t>
      </w:r>
      <w:r w:rsidRPr="00120E0A">
        <w:t xml:space="preserve"> </w:t>
      </w:r>
      <w:r w:rsidR="00A056DB" w:rsidRPr="00120E0A">
        <w:t>noting that</w:t>
      </w:r>
      <w:r w:rsidRPr="00120E0A">
        <w:t xml:space="preserve"> the Account Activity Statement provides detailed information </w:t>
      </w:r>
      <w:r w:rsidR="001E6AE2" w:rsidRPr="00120E0A">
        <w:t xml:space="preserve">regarding the meter reads, the amounts billed and the amounts paid each month </w:t>
      </w:r>
      <w:r w:rsidR="00C97C6E" w:rsidRPr="00120E0A">
        <w:t xml:space="preserve">for the past four years </w:t>
      </w:r>
      <w:r w:rsidR="001E6AE2" w:rsidRPr="00120E0A">
        <w:t xml:space="preserve">on Mr. Scotto’s account.  Tr. 42; PPL Exh. No. 1.  </w:t>
      </w:r>
      <w:r w:rsidR="00C97C6E" w:rsidRPr="00120E0A">
        <w:t>Ms. Gerhard testified that Mr. Scotto’s his</w:t>
      </w:r>
      <w:r w:rsidR="00887F1A">
        <w:t>torical usage for the winter of </w:t>
      </w:r>
      <w:r w:rsidR="00C97C6E" w:rsidRPr="00120E0A">
        <w:t>2013 was very high</w:t>
      </w:r>
      <w:r w:rsidRPr="00120E0A">
        <w:t xml:space="preserve"> compared to the winter of 2012.  Tr. 43.  </w:t>
      </w:r>
      <w:r w:rsidR="002F43CD" w:rsidRPr="00120E0A">
        <w:t xml:space="preserve">Ms. Gerhard testified regarding other factors that caused Mr. Scotto’s bills to increase.  </w:t>
      </w:r>
      <w:r w:rsidRPr="00120E0A">
        <w:t xml:space="preserve">Ms. Gerhard </w:t>
      </w:r>
      <w:r w:rsidR="00C97C6E" w:rsidRPr="00120E0A">
        <w:t xml:space="preserve">discussed </w:t>
      </w:r>
      <w:r w:rsidR="002F43CD" w:rsidRPr="00120E0A">
        <w:t xml:space="preserve">how </w:t>
      </w:r>
      <w:r w:rsidR="00C97C6E" w:rsidRPr="00120E0A">
        <w:t xml:space="preserve">the </w:t>
      </w:r>
      <w:r w:rsidR="00C56FA7" w:rsidRPr="00120E0A">
        <w:t xml:space="preserve">use </w:t>
      </w:r>
      <w:r w:rsidR="00C97C6E" w:rsidRPr="00120E0A">
        <w:t xml:space="preserve">of electric space heaters </w:t>
      </w:r>
      <w:r w:rsidR="00C56FA7" w:rsidRPr="00120E0A">
        <w:t xml:space="preserve">complicated the account because it </w:t>
      </w:r>
      <w:r w:rsidR="00C97C6E" w:rsidRPr="00120E0A">
        <w:t xml:space="preserve">caused </w:t>
      </w:r>
      <w:r w:rsidRPr="00120E0A">
        <w:t xml:space="preserve">Mr. Scotto’s </w:t>
      </w:r>
      <w:r w:rsidR="00C97C6E" w:rsidRPr="00120E0A">
        <w:t xml:space="preserve">budget billing amount to be incorrect which, in turn, resulted in a large balance accruing.  Tr. 45.  </w:t>
      </w:r>
      <w:r w:rsidRPr="00120E0A">
        <w:t xml:space="preserve">Ms. Gerhard noted </w:t>
      </w:r>
      <w:r w:rsidR="00C97C6E" w:rsidRPr="00120E0A">
        <w:t xml:space="preserve">that </w:t>
      </w:r>
      <w:r w:rsidR="00C56FA7" w:rsidRPr="00120E0A">
        <w:t xml:space="preserve">PPL determined that the primary source of heat in the home is </w:t>
      </w:r>
      <w:r w:rsidR="00C97C6E" w:rsidRPr="00120E0A">
        <w:t>natural gas</w:t>
      </w:r>
      <w:r w:rsidR="008A5F2F" w:rsidRPr="00120E0A">
        <w:t xml:space="preserve"> </w:t>
      </w:r>
      <w:r w:rsidR="00C56FA7" w:rsidRPr="00120E0A">
        <w:t xml:space="preserve">which also complicated the account because </w:t>
      </w:r>
      <w:r w:rsidR="008A5F2F" w:rsidRPr="00120E0A">
        <w:t>the benefit allotment Mr. Scotto was given from the OnTrack program</w:t>
      </w:r>
      <w:r w:rsidR="00C56FA7" w:rsidRPr="00120E0A">
        <w:t xml:space="preserve"> was reduced</w:t>
      </w:r>
      <w:r w:rsidR="00C97C6E" w:rsidRPr="00120E0A">
        <w:t xml:space="preserve">.  Tr. </w:t>
      </w:r>
      <w:r w:rsidR="008A5F2F" w:rsidRPr="00120E0A">
        <w:t>48</w:t>
      </w:r>
      <w:r w:rsidR="00C97C6E" w:rsidRPr="00120E0A">
        <w:t>.</w:t>
      </w:r>
      <w:r w:rsidR="008A5F2F" w:rsidRPr="00120E0A">
        <w:t xml:space="preserve">  Ms. Gerhard noted that Mr. Scotto</w:t>
      </w:r>
      <w:r w:rsidR="00C56FA7" w:rsidRPr="00120E0A">
        <w:t>’s monthly bills increased because he</w:t>
      </w:r>
      <w:r w:rsidR="008A5F2F" w:rsidRPr="00120E0A">
        <w:t xml:space="preserve"> reached his maximum allow</w:t>
      </w:r>
      <w:r w:rsidR="00C56FA7" w:rsidRPr="00120E0A">
        <w:t>ed credit from OnTrack.  Tr. 49</w:t>
      </w:r>
      <w:r w:rsidR="005C2B3B" w:rsidRPr="00120E0A">
        <w:t>.</w:t>
      </w:r>
    </w:p>
    <w:p w:rsidR="008A5F2F" w:rsidRPr="00120E0A" w:rsidRDefault="008A5F2F" w:rsidP="006A24FE">
      <w:pPr>
        <w:pStyle w:val="Style"/>
        <w:spacing w:line="360" w:lineRule="auto"/>
      </w:pPr>
    </w:p>
    <w:p w:rsidR="00C56FA7" w:rsidRPr="00120E0A" w:rsidRDefault="008A5F2F" w:rsidP="008A5F2F">
      <w:pPr>
        <w:pStyle w:val="Style"/>
        <w:spacing w:line="360" w:lineRule="auto"/>
        <w:ind w:firstLine="1440"/>
      </w:pPr>
      <w:r w:rsidRPr="00120E0A">
        <w:t>As a result, Mr. Scotto’s usage during the winter</w:t>
      </w:r>
      <w:r w:rsidR="006F76E2" w:rsidRPr="00120E0A">
        <w:t>s</w:t>
      </w:r>
      <w:r w:rsidRPr="00120E0A">
        <w:t xml:space="preserve"> of </w:t>
      </w:r>
      <w:r w:rsidR="006F76E2" w:rsidRPr="00120E0A">
        <w:t xml:space="preserve">2012-13 and </w:t>
      </w:r>
      <w:r w:rsidRPr="00120E0A">
        <w:t>2013</w:t>
      </w:r>
      <w:r w:rsidR="00D76FE8" w:rsidRPr="00120E0A">
        <w:t>-14</w:t>
      </w:r>
      <w:r w:rsidR="006F76E2" w:rsidRPr="00120E0A">
        <w:t xml:space="preserve"> </w:t>
      </w:r>
      <w:r w:rsidR="00C56FA7" w:rsidRPr="00120E0A">
        <w:t xml:space="preserve">increased because of </w:t>
      </w:r>
      <w:r w:rsidRPr="00120E0A">
        <w:t>the use of electric space heaters in a home that is heated primarily by natural gas.  This impacted both the amount of the benefit allotment Mr. Scotto received from OnTrack as well as the budget billing amount applied to Mr. Scotto’s account.</w:t>
      </w:r>
      <w:r w:rsidR="00C97C6E" w:rsidRPr="00120E0A">
        <w:t xml:space="preserve">  </w:t>
      </w:r>
      <w:r w:rsidR="00F8093F" w:rsidRPr="00120E0A">
        <w:t>A review of Mr. Scotto’s Accou</w:t>
      </w:r>
      <w:r w:rsidR="006F76E2" w:rsidRPr="00120E0A">
        <w:t>n</w:t>
      </w:r>
      <w:r w:rsidR="00F8093F" w:rsidRPr="00120E0A">
        <w:t xml:space="preserve">t Activity Statement further reveals that the balance on his account is currently high because he has not made a payment since January, 2014.  Tr.  </w:t>
      </w:r>
      <w:r w:rsidR="006F76E2" w:rsidRPr="00120E0A">
        <w:t>25</w:t>
      </w:r>
      <w:r w:rsidR="00F8093F" w:rsidRPr="00120E0A">
        <w:t>; PPL Exh. No. 1.  Mr. Scotto’s account balance</w:t>
      </w:r>
      <w:r w:rsidR="00C56FA7" w:rsidRPr="00120E0A">
        <w:t>, therefore,</w:t>
      </w:r>
      <w:r w:rsidR="00F8093F" w:rsidRPr="00120E0A">
        <w:t xml:space="preserve"> increased from $986.77 to $3,350.57, including various late charges.</w:t>
      </w:r>
    </w:p>
    <w:p w:rsidR="00C56FA7" w:rsidRPr="00120E0A" w:rsidRDefault="00C56FA7" w:rsidP="008A5F2F">
      <w:pPr>
        <w:pStyle w:val="Style"/>
        <w:spacing w:line="360" w:lineRule="auto"/>
        <w:ind w:firstLine="1440"/>
      </w:pPr>
    </w:p>
    <w:p w:rsidR="006A24FE" w:rsidRPr="00120E0A" w:rsidRDefault="00C56FA7" w:rsidP="00C56FA7">
      <w:pPr>
        <w:pStyle w:val="Style"/>
        <w:spacing w:line="360" w:lineRule="auto"/>
        <w:ind w:firstLine="1440"/>
      </w:pPr>
      <w:r w:rsidRPr="00120E0A">
        <w:t xml:space="preserve">In total, </w:t>
      </w:r>
      <w:r w:rsidR="005C2B3B" w:rsidRPr="00120E0A">
        <w:t>there are several reasons beyond the accuracy of the meter that support a finding that Mr. Scotto’s bills were accurate.</w:t>
      </w:r>
      <w:r w:rsidRPr="00120E0A">
        <w:t xml:space="preserve">  Mr. Scotto has not presented any evidence to rebut the finding that the meter was 100% accurate.  In contrast, r</w:t>
      </w:r>
      <w:r w:rsidR="00236D1E" w:rsidRPr="00120E0A">
        <w:t>ecord evidence demonstrates that the meter at Mr. Scotto’s home tested 100% accurate and other relevant factors in addition to the meter test support a finding that the bills were accurate.</w:t>
      </w:r>
      <w:r w:rsidR="009306CB" w:rsidRPr="00120E0A">
        <w:t xml:space="preserve">  As such, Mr. Scotto’s argument that his bills were too high will be rejected.</w:t>
      </w:r>
    </w:p>
    <w:p w:rsidR="006A24FE" w:rsidRPr="00120E0A" w:rsidRDefault="006A24FE" w:rsidP="006A24FE">
      <w:pPr>
        <w:pStyle w:val="Style"/>
        <w:spacing w:line="360" w:lineRule="auto"/>
      </w:pPr>
    </w:p>
    <w:p w:rsidR="00D72C3F" w:rsidRDefault="00D72C3F">
      <w:pPr>
        <w:spacing w:line="240" w:lineRule="auto"/>
        <w:rPr>
          <w:rFonts w:ascii="Times New Roman" w:eastAsia="Times New Roman" w:hAnsi="Times New Roman" w:cs="Times New Roman"/>
          <w:b/>
          <w:sz w:val="24"/>
          <w:szCs w:val="24"/>
          <w:u w:val="single"/>
        </w:rPr>
      </w:pPr>
      <w:r>
        <w:rPr>
          <w:b/>
          <w:u w:val="single"/>
        </w:rPr>
        <w:br w:type="page"/>
      </w:r>
    </w:p>
    <w:p w:rsidR="00DE57C8" w:rsidRPr="00120E0A" w:rsidRDefault="00DE57C8" w:rsidP="00DE57C8">
      <w:pPr>
        <w:pStyle w:val="Style"/>
        <w:spacing w:line="360" w:lineRule="auto"/>
      </w:pPr>
      <w:r w:rsidRPr="00120E0A">
        <w:rPr>
          <w:b/>
          <w:u w:val="single"/>
        </w:rPr>
        <w:lastRenderedPageBreak/>
        <w:t>Mr. Scotto Is Entitled To A Commission-Ordered Payment Agreement To Alleviate The Outstanding Balance That Accrued On His Account.</w:t>
      </w:r>
    </w:p>
    <w:p w:rsidR="00DE57C8" w:rsidRPr="00120E0A" w:rsidRDefault="00DE57C8" w:rsidP="00DE57C8">
      <w:pPr>
        <w:pStyle w:val="Style"/>
        <w:spacing w:line="360" w:lineRule="auto"/>
      </w:pPr>
    </w:p>
    <w:p w:rsidR="00DE57C8" w:rsidRPr="00120E0A" w:rsidRDefault="006A24FE" w:rsidP="00DE57C8">
      <w:pPr>
        <w:pStyle w:val="Style"/>
        <w:spacing w:line="360" w:lineRule="auto"/>
      </w:pPr>
      <w:r w:rsidRPr="00120E0A">
        <w:tab/>
      </w:r>
      <w:r w:rsidRPr="00120E0A">
        <w:tab/>
      </w:r>
      <w:r w:rsidR="009022B1" w:rsidRPr="00120E0A">
        <w:t xml:space="preserve">In his Complaint, </w:t>
      </w:r>
      <w:r w:rsidRPr="00120E0A">
        <w:t xml:space="preserve">Mr. Scotto </w:t>
      </w:r>
      <w:r w:rsidR="002F43CD" w:rsidRPr="00120E0A">
        <w:t>indicated</w:t>
      </w:r>
      <w:r w:rsidR="006A0816" w:rsidRPr="00120E0A">
        <w:t xml:space="preserve"> on the Complaint form that he would like a payment agreement.  Mr. Scotto added as relief requested in his Complaint </w:t>
      </w:r>
      <w:r w:rsidR="009022B1" w:rsidRPr="00120E0A">
        <w:t xml:space="preserve">that he was struggling to pay his bill and that he falls below 200% of the federal poverty </w:t>
      </w:r>
      <w:r w:rsidR="009306CB" w:rsidRPr="00120E0A">
        <w:t xml:space="preserve">level </w:t>
      </w:r>
      <w:r w:rsidR="009022B1" w:rsidRPr="00120E0A">
        <w:t xml:space="preserve">guidelines (FPL).  Mr. Scotto added that he was placed in PPL’s CAP but was subsequently </w:t>
      </w:r>
      <w:r w:rsidR="009306CB" w:rsidRPr="00120E0A">
        <w:t>removed from the program</w:t>
      </w:r>
      <w:r w:rsidR="009022B1" w:rsidRPr="00120E0A">
        <w:t>.  Mr. Scotto raised additional concerns regarding budget billing and receiving a shut off notice and request</w:t>
      </w:r>
      <w:r w:rsidR="006203F8" w:rsidRPr="00120E0A">
        <w:t>ed</w:t>
      </w:r>
      <w:r w:rsidR="009022B1" w:rsidRPr="00120E0A">
        <w:t xml:space="preserve"> that he be placed </w:t>
      </w:r>
      <w:r w:rsidR="006A0816" w:rsidRPr="00120E0A">
        <w:t xml:space="preserve">back on to the OnTrack program and PPL cease and desist from attempting to terminate his service.  Mr. Scotto also testified during the Hearing that he would like to be </w:t>
      </w:r>
      <w:r w:rsidR="009306CB" w:rsidRPr="00120E0A">
        <w:t xml:space="preserve">re-enrolled </w:t>
      </w:r>
      <w:r w:rsidR="006A0816" w:rsidRPr="00120E0A">
        <w:t>in PPL’s CAP and be given a payment agreement.</w:t>
      </w:r>
    </w:p>
    <w:p w:rsidR="006A24FE" w:rsidRPr="00120E0A" w:rsidRDefault="006A24FE" w:rsidP="00DE57C8">
      <w:pPr>
        <w:pStyle w:val="Style"/>
        <w:spacing w:line="360" w:lineRule="auto"/>
      </w:pPr>
    </w:p>
    <w:p w:rsidR="00991222" w:rsidRPr="00120E0A" w:rsidRDefault="006A24FE" w:rsidP="00991222">
      <w:pPr>
        <w:pStyle w:val="Style"/>
        <w:spacing w:line="360" w:lineRule="auto"/>
      </w:pPr>
      <w:r w:rsidRPr="00120E0A">
        <w:tab/>
      </w:r>
      <w:r w:rsidRPr="00120E0A">
        <w:tab/>
      </w:r>
      <w:r w:rsidR="00991222" w:rsidRPr="00120E0A">
        <w:t>Chapter 14 of the Public Utility Code</w:t>
      </w:r>
      <w:r w:rsidR="002F43CD" w:rsidRPr="00120E0A">
        <w:t xml:space="preserve"> provides</w:t>
      </w:r>
      <w:r w:rsidR="00991222" w:rsidRPr="00120E0A">
        <w:t xml:space="preserve"> the Commission the authority to establish a payment agreement for customers with outstanding bills pursuant to certain guidelines related to total household income and household size.  66 Pa.C.S. § 1405(b).  More specifically, Chapter 14 limits the length of time the Commission can order a Company to allow a customer to resolve an unpaid balance on an account that is subject to a payment agreement based on the gross monthly household income in relation to the federal poverty level.  For example, the Commission may order a Company to allow a customer whose gross monthly household income does not exceed 150% of the federal poverty level a payment </w:t>
      </w:r>
      <w:r w:rsidR="00991222" w:rsidRPr="00120E0A">
        <w:rPr>
          <w:spacing w:val="-3"/>
        </w:rPr>
        <w:t xml:space="preserve">agreement </w:t>
      </w:r>
      <w:r w:rsidR="00991222" w:rsidRPr="00120E0A">
        <w:t>over a period of up to five (5) years.  66 Pa.C.S. § 1405(b)(1).</w:t>
      </w:r>
    </w:p>
    <w:p w:rsidR="00991222" w:rsidRPr="00120E0A" w:rsidRDefault="00991222" w:rsidP="00991222">
      <w:pPr>
        <w:spacing w:after="0" w:line="360" w:lineRule="auto"/>
        <w:ind w:firstLine="1440"/>
        <w:rPr>
          <w:rFonts w:ascii="Times New Roman" w:eastAsiaTheme="minorEastAsia" w:hAnsi="Times New Roman" w:cs="Times New Roman"/>
          <w:sz w:val="24"/>
          <w:szCs w:val="24"/>
        </w:rPr>
      </w:pPr>
    </w:p>
    <w:p w:rsidR="00991222" w:rsidRPr="00120E0A" w:rsidRDefault="00991222" w:rsidP="00991222">
      <w:pPr>
        <w:spacing w:after="0" w:line="360" w:lineRule="auto"/>
        <w:ind w:firstLine="1440"/>
        <w:rPr>
          <w:rFonts w:ascii="Times New Roman" w:eastAsiaTheme="minorEastAsia" w:hAnsi="Times New Roman" w:cs="Times New Roman"/>
          <w:sz w:val="24"/>
          <w:szCs w:val="24"/>
        </w:rPr>
      </w:pPr>
      <w:r w:rsidRPr="00120E0A">
        <w:rPr>
          <w:rFonts w:ascii="Times New Roman" w:eastAsiaTheme="minorEastAsia" w:hAnsi="Times New Roman" w:cs="Times New Roman"/>
          <w:sz w:val="24"/>
          <w:szCs w:val="24"/>
        </w:rPr>
        <w:t xml:space="preserve">In this case, Mr. Scotto testified that the total gross monthly income for his household is approximately $900 and that he lives only with his husband.  Tr. </w:t>
      </w:r>
      <w:r w:rsidR="00E34907" w:rsidRPr="00120E0A">
        <w:rPr>
          <w:rFonts w:ascii="Times New Roman" w:eastAsiaTheme="minorEastAsia" w:hAnsi="Times New Roman" w:cs="Times New Roman"/>
          <w:sz w:val="24"/>
          <w:szCs w:val="24"/>
        </w:rPr>
        <w:t>28</w:t>
      </w:r>
      <w:r w:rsidRPr="00120E0A">
        <w:rPr>
          <w:rFonts w:ascii="Times New Roman" w:eastAsiaTheme="minorEastAsia" w:hAnsi="Times New Roman" w:cs="Times New Roman"/>
          <w:sz w:val="24"/>
          <w:szCs w:val="24"/>
        </w:rPr>
        <w:t>.  The 201</w:t>
      </w:r>
      <w:r w:rsidR="00E34907" w:rsidRPr="00120E0A">
        <w:rPr>
          <w:rFonts w:ascii="Times New Roman" w:eastAsiaTheme="minorEastAsia" w:hAnsi="Times New Roman" w:cs="Times New Roman"/>
          <w:sz w:val="24"/>
          <w:szCs w:val="24"/>
        </w:rPr>
        <w:t>4</w:t>
      </w:r>
      <w:r w:rsidRPr="00120E0A">
        <w:rPr>
          <w:rFonts w:ascii="Times New Roman" w:eastAsiaTheme="minorEastAsia" w:hAnsi="Times New Roman" w:cs="Times New Roman"/>
          <w:sz w:val="24"/>
          <w:szCs w:val="24"/>
        </w:rPr>
        <w:t xml:space="preserve"> United States Department of Health poverty income guidelines provide that 100% of the federal poverty level for a household with </w:t>
      </w:r>
      <w:r w:rsidR="00E34907" w:rsidRPr="00120E0A">
        <w:rPr>
          <w:rFonts w:ascii="Times New Roman" w:eastAsiaTheme="minorEastAsia" w:hAnsi="Times New Roman" w:cs="Times New Roman"/>
          <w:sz w:val="24"/>
          <w:szCs w:val="24"/>
        </w:rPr>
        <w:t xml:space="preserve">two </w:t>
      </w:r>
      <w:r w:rsidRPr="00120E0A">
        <w:rPr>
          <w:rFonts w:ascii="Times New Roman" w:eastAsiaTheme="minorEastAsia" w:hAnsi="Times New Roman" w:cs="Times New Roman"/>
          <w:sz w:val="24"/>
          <w:szCs w:val="24"/>
        </w:rPr>
        <w:t>resident</w:t>
      </w:r>
      <w:r w:rsidR="00E34907" w:rsidRPr="00120E0A">
        <w:rPr>
          <w:rFonts w:ascii="Times New Roman" w:eastAsiaTheme="minorEastAsia" w:hAnsi="Times New Roman" w:cs="Times New Roman"/>
          <w:sz w:val="24"/>
          <w:szCs w:val="24"/>
        </w:rPr>
        <w:t>s</w:t>
      </w:r>
      <w:r w:rsidRPr="00120E0A">
        <w:rPr>
          <w:rFonts w:ascii="Times New Roman" w:eastAsiaTheme="minorEastAsia" w:hAnsi="Times New Roman" w:cs="Times New Roman"/>
          <w:sz w:val="24"/>
          <w:szCs w:val="24"/>
        </w:rPr>
        <w:t xml:space="preserve"> is $</w:t>
      </w:r>
      <w:r w:rsidR="00E34907" w:rsidRPr="00120E0A">
        <w:rPr>
          <w:rFonts w:ascii="Times New Roman" w:eastAsiaTheme="minorEastAsia" w:hAnsi="Times New Roman" w:cs="Times New Roman"/>
          <w:sz w:val="24"/>
          <w:szCs w:val="24"/>
        </w:rPr>
        <w:t xml:space="preserve">1,310.83 </w:t>
      </w:r>
      <w:r w:rsidRPr="00120E0A">
        <w:rPr>
          <w:rFonts w:ascii="Times New Roman" w:eastAsiaTheme="minorEastAsia" w:hAnsi="Times New Roman" w:cs="Times New Roman"/>
          <w:sz w:val="24"/>
          <w:szCs w:val="24"/>
        </w:rPr>
        <w:t>per month.  7</w:t>
      </w:r>
      <w:r w:rsidR="00E34907" w:rsidRPr="00120E0A">
        <w:rPr>
          <w:rFonts w:ascii="Times New Roman" w:eastAsiaTheme="minorEastAsia" w:hAnsi="Times New Roman" w:cs="Times New Roman"/>
          <w:sz w:val="24"/>
          <w:szCs w:val="24"/>
        </w:rPr>
        <w:t>9</w:t>
      </w:r>
      <w:r w:rsidRPr="00120E0A">
        <w:rPr>
          <w:rFonts w:ascii="Times New Roman" w:eastAsiaTheme="minorEastAsia" w:hAnsi="Times New Roman" w:cs="Times New Roman"/>
          <w:sz w:val="24"/>
          <w:szCs w:val="24"/>
        </w:rPr>
        <w:t xml:space="preserve"> Fed. Reg. </w:t>
      </w:r>
      <w:r w:rsidR="00E34907" w:rsidRPr="00120E0A">
        <w:rPr>
          <w:rFonts w:ascii="Times New Roman" w:eastAsiaTheme="minorEastAsia" w:hAnsi="Times New Roman" w:cs="Times New Roman"/>
          <w:sz w:val="24"/>
          <w:szCs w:val="24"/>
        </w:rPr>
        <w:t>3593-3594</w:t>
      </w:r>
      <w:r w:rsidRPr="00120E0A">
        <w:rPr>
          <w:rFonts w:ascii="Times New Roman" w:eastAsiaTheme="minorEastAsia" w:hAnsi="Times New Roman" w:cs="Times New Roman"/>
          <w:sz w:val="24"/>
          <w:szCs w:val="24"/>
        </w:rPr>
        <w:t xml:space="preserve">.  Therefore, Mr. </w:t>
      </w:r>
      <w:r w:rsidR="00E34907" w:rsidRPr="00120E0A">
        <w:rPr>
          <w:rFonts w:ascii="Times New Roman" w:eastAsiaTheme="minorEastAsia" w:hAnsi="Times New Roman" w:cs="Times New Roman"/>
          <w:sz w:val="24"/>
          <w:szCs w:val="24"/>
        </w:rPr>
        <w:t xml:space="preserve">Scotto </w:t>
      </w:r>
      <w:r w:rsidRPr="00120E0A">
        <w:rPr>
          <w:rFonts w:ascii="Times New Roman" w:eastAsiaTheme="minorEastAsia" w:hAnsi="Times New Roman" w:cs="Times New Roman"/>
          <w:sz w:val="24"/>
          <w:szCs w:val="24"/>
        </w:rPr>
        <w:t xml:space="preserve">is at </w:t>
      </w:r>
      <w:r w:rsidR="00C42F98" w:rsidRPr="00120E0A">
        <w:rPr>
          <w:rFonts w:ascii="Times New Roman" w:eastAsiaTheme="minorEastAsia" w:hAnsi="Times New Roman" w:cs="Times New Roman"/>
          <w:sz w:val="24"/>
          <w:szCs w:val="24"/>
        </w:rPr>
        <w:t>69</w:t>
      </w:r>
      <w:r w:rsidRPr="00120E0A">
        <w:rPr>
          <w:rFonts w:ascii="Times New Roman" w:eastAsiaTheme="minorEastAsia" w:hAnsi="Times New Roman" w:cs="Times New Roman"/>
          <w:sz w:val="24"/>
          <w:szCs w:val="24"/>
        </w:rPr>
        <w:t>% of the federal poverty level ($</w:t>
      </w:r>
      <w:r w:rsidR="00C42F98" w:rsidRPr="00120E0A">
        <w:rPr>
          <w:rFonts w:ascii="Times New Roman" w:eastAsiaTheme="minorEastAsia" w:hAnsi="Times New Roman" w:cs="Times New Roman"/>
          <w:sz w:val="24"/>
          <w:szCs w:val="24"/>
        </w:rPr>
        <w:t>900 / $1,310.83 = 68.7</w:t>
      </w:r>
      <w:r w:rsidRPr="00120E0A">
        <w:rPr>
          <w:rFonts w:ascii="Times New Roman" w:eastAsiaTheme="minorEastAsia" w:hAnsi="Times New Roman" w:cs="Times New Roman"/>
          <w:sz w:val="24"/>
          <w:szCs w:val="24"/>
        </w:rPr>
        <w:t xml:space="preserve">).  </w:t>
      </w:r>
      <w:r w:rsidR="00C42F98" w:rsidRPr="00120E0A">
        <w:rPr>
          <w:rFonts w:ascii="Times New Roman" w:eastAsiaTheme="minorEastAsia" w:hAnsi="Times New Roman" w:cs="Times New Roman"/>
          <w:sz w:val="24"/>
          <w:szCs w:val="24"/>
        </w:rPr>
        <w:t xml:space="preserve">As noted above, </w:t>
      </w:r>
      <w:r w:rsidRPr="00120E0A">
        <w:rPr>
          <w:rFonts w:ascii="Times New Roman" w:eastAsiaTheme="minorEastAsia" w:hAnsi="Times New Roman" w:cs="Times New Roman"/>
          <w:sz w:val="24"/>
          <w:szCs w:val="24"/>
        </w:rPr>
        <w:t xml:space="preserve">Section 1405(b) provides that a customer with a gross monthly household income </w:t>
      </w:r>
      <w:r w:rsidR="00C42F98" w:rsidRPr="00120E0A">
        <w:rPr>
          <w:rFonts w:ascii="Times New Roman" w:eastAsiaTheme="minorEastAsia" w:hAnsi="Times New Roman" w:cs="Times New Roman"/>
          <w:sz w:val="24"/>
          <w:szCs w:val="24"/>
        </w:rPr>
        <w:t xml:space="preserve">that does not exceed </w:t>
      </w:r>
      <w:r w:rsidRPr="00120E0A">
        <w:rPr>
          <w:rFonts w:ascii="Times New Roman" w:eastAsiaTheme="minorEastAsia" w:hAnsi="Times New Roman" w:cs="Times New Roman"/>
          <w:sz w:val="24"/>
          <w:szCs w:val="24"/>
        </w:rPr>
        <w:t xml:space="preserve">150% of the federal poverty level is entitled to </w:t>
      </w:r>
      <w:r w:rsidR="00C42F98" w:rsidRPr="00120E0A">
        <w:rPr>
          <w:rFonts w:ascii="Times New Roman" w:eastAsiaTheme="minorEastAsia" w:hAnsi="Times New Roman" w:cs="Times New Roman"/>
          <w:sz w:val="24"/>
          <w:szCs w:val="24"/>
        </w:rPr>
        <w:t xml:space="preserve">five </w:t>
      </w:r>
      <w:r w:rsidRPr="00120E0A">
        <w:rPr>
          <w:rFonts w:ascii="Times New Roman" w:eastAsiaTheme="minorEastAsia" w:hAnsi="Times New Roman" w:cs="Times New Roman"/>
          <w:sz w:val="24"/>
          <w:szCs w:val="24"/>
        </w:rPr>
        <w:t>years to pay an unpaid balance on an account that is subject to a payment agreement ordered by the Commission.  66 Pa.C.S. § 1405(b)(</w:t>
      </w:r>
      <w:r w:rsidR="00C42F98" w:rsidRPr="00120E0A">
        <w:rPr>
          <w:rFonts w:ascii="Times New Roman" w:eastAsiaTheme="minorEastAsia" w:hAnsi="Times New Roman" w:cs="Times New Roman"/>
          <w:sz w:val="24"/>
          <w:szCs w:val="24"/>
        </w:rPr>
        <w:t>1</w:t>
      </w:r>
      <w:r w:rsidRPr="00120E0A">
        <w:rPr>
          <w:rFonts w:ascii="Times New Roman" w:eastAsiaTheme="minorEastAsia" w:hAnsi="Times New Roman" w:cs="Times New Roman"/>
          <w:sz w:val="24"/>
          <w:szCs w:val="24"/>
        </w:rPr>
        <w:t>).</w:t>
      </w:r>
    </w:p>
    <w:p w:rsidR="00444FDF" w:rsidRPr="00120E0A" w:rsidRDefault="00444FDF" w:rsidP="00DE57C8">
      <w:pPr>
        <w:pStyle w:val="Style"/>
        <w:spacing w:line="360" w:lineRule="auto"/>
      </w:pPr>
    </w:p>
    <w:p w:rsidR="006A24FE" w:rsidRPr="00120E0A" w:rsidRDefault="00991222" w:rsidP="009012FA">
      <w:pPr>
        <w:spacing w:after="0" w:line="360" w:lineRule="auto"/>
        <w:ind w:firstLine="1440"/>
        <w:rPr>
          <w:rFonts w:ascii="Times New Roman" w:hAnsi="Times New Roman" w:cs="Times New Roman"/>
          <w:sz w:val="24"/>
          <w:szCs w:val="24"/>
        </w:rPr>
      </w:pPr>
      <w:r w:rsidRPr="00120E0A">
        <w:rPr>
          <w:rFonts w:ascii="Times New Roman" w:hAnsi="Times New Roman" w:cs="Times New Roman"/>
          <w:sz w:val="24"/>
          <w:szCs w:val="24"/>
        </w:rPr>
        <w:t xml:space="preserve">There is no record evidence in this proceeding indicating that Mr. Scotto has previously received a Commission-ordered payment agreement.  </w:t>
      </w:r>
      <w:r w:rsidR="009012FA" w:rsidRPr="00120E0A">
        <w:rPr>
          <w:rFonts w:ascii="Times New Roman" w:hAnsi="Times New Roman" w:cs="Times New Roman"/>
          <w:sz w:val="24"/>
          <w:szCs w:val="24"/>
        </w:rPr>
        <w:t>As such, Mr. Scotto’s request for a payment agreement will be sustained and PPL will be directed to bill Mr. Scotto 1/60</w:t>
      </w:r>
      <w:r w:rsidR="009012FA" w:rsidRPr="00120E0A">
        <w:rPr>
          <w:rFonts w:ascii="Times New Roman" w:hAnsi="Times New Roman" w:cs="Times New Roman"/>
          <w:sz w:val="24"/>
          <w:szCs w:val="24"/>
          <w:vertAlign w:val="superscript"/>
        </w:rPr>
        <w:t>th</w:t>
      </w:r>
      <w:r w:rsidR="009012FA" w:rsidRPr="00120E0A">
        <w:rPr>
          <w:rFonts w:ascii="Times New Roman" w:hAnsi="Times New Roman" w:cs="Times New Roman"/>
          <w:sz w:val="24"/>
          <w:szCs w:val="24"/>
        </w:rPr>
        <w:t xml:space="preserve"> of the outstanding balance each month until the arrearage is satisfied.</w:t>
      </w:r>
    </w:p>
    <w:p w:rsidR="003700EE" w:rsidRPr="00120E0A" w:rsidRDefault="003700EE" w:rsidP="009012FA">
      <w:pPr>
        <w:spacing w:after="0" w:line="360" w:lineRule="auto"/>
        <w:ind w:firstLine="1440"/>
        <w:rPr>
          <w:rFonts w:ascii="Times New Roman" w:hAnsi="Times New Roman" w:cs="Times New Roman"/>
          <w:sz w:val="24"/>
          <w:szCs w:val="24"/>
        </w:rPr>
      </w:pPr>
    </w:p>
    <w:p w:rsidR="001C74FD" w:rsidRPr="00120E0A" w:rsidRDefault="003700EE" w:rsidP="009012FA">
      <w:pPr>
        <w:spacing w:after="0" w:line="360" w:lineRule="auto"/>
        <w:ind w:firstLine="1440"/>
        <w:rPr>
          <w:rFonts w:ascii="Times New Roman" w:hAnsi="Times New Roman" w:cs="Times New Roman"/>
          <w:sz w:val="24"/>
          <w:szCs w:val="24"/>
        </w:rPr>
      </w:pPr>
      <w:r w:rsidRPr="00120E0A">
        <w:rPr>
          <w:rFonts w:ascii="Times New Roman" w:hAnsi="Times New Roman" w:cs="Times New Roman"/>
          <w:sz w:val="24"/>
          <w:szCs w:val="24"/>
        </w:rPr>
        <w:t xml:space="preserve">Mr. Scotto has also requested that he be re-enrolled in the OnTrack program.  </w:t>
      </w:r>
      <w:r w:rsidR="00437035" w:rsidRPr="00120E0A">
        <w:rPr>
          <w:rFonts w:ascii="Times New Roman" w:hAnsi="Times New Roman" w:cs="Times New Roman"/>
          <w:sz w:val="24"/>
          <w:szCs w:val="24"/>
        </w:rPr>
        <w:t xml:space="preserve">Mr. Scotto was first enrolled in </w:t>
      </w:r>
      <w:r w:rsidRPr="00120E0A">
        <w:rPr>
          <w:rFonts w:ascii="Times New Roman" w:hAnsi="Times New Roman" w:cs="Times New Roman"/>
          <w:sz w:val="24"/>
          <w:szCs w:val="24"/>
        </w:rPr>
        <w:t xml:space="preserve">OnTrack </w:t>
      </w:r>
      <w:r w:rsidR="00437035" w:rsidRPr="00120E0A">
        <w:rPr>
          <w:rFonts w:ascii="Times New Roman" w:hAnsi="Times New Roman" w:cs="Times New Roman"/>
          <w:sz w:val="24"/>
          <w:szCs w:val="24"/>
        </w:rPr>
        <w:t xml:space="preserve">on July 15, 2013.  Tr. 47.  As Ms. Gerhard testified, Mr. Scotto’s benefit allotment was reduced from $2,160 to $850 for the winter heating season because the home is heated primarily by natural gas and Mr. Scotto exceed the $850 allotment before the winter heating season ended.  Tr. 48-49.  Ms. Gerhard added, however, that, once a customer utilizes the benefit allotment for the year, they can re-enroll in the OnTrack program one year after the initial enrollment, or July 15, 2014 in Mr. Scotto’s case.  Tr. 53.  </w:t>
      </w:r>
      <w:r w:rsidR="000C1494" w:rsidRPr="00120E0A">
        <w:rPr>
          <w:rFonts w:ascii="Times New Roman" w:hAnsi="Times New Roman" w:cs="Times New Roman"/>
          <w:sz w:val="24"/>
          <w:szCs w:val="24"/>
        </w:rPr>
        <w:t>Ms. Gerhard testified that, as of the time of the Hearing</w:t>
      </w:r>
      <w:r w:rsidR="002F43CD" w:rsidRPr="00120E0A">
        <w:rPr>
          <w:rFonts w:ascii="Times New Roman" w:hAnsi="Times New Roman" w:cs="Times New Roman"/>
          <w:sz w:val="24"/>
          <w:szCs w:val="24"/>
        </w:rPr>
        <w:t xml:space="preserve"> held August 1, 2014</w:t>
      </w:r>
      <w:r w:rsidR="000C1494" w:rsidRPr="00120E0A">
        <w:rPr>
          <w:rFonts w:ascii="Times New Roman" w:hAnsi="Times New Roman" w:cs="Times New Roman"/>
          <w:sz w:val="24"/>
          <w:szCs w:val="24"/>
        </w:rPr>
        <w:t>, PPL had begun the process of enrolling Mr. Scotto in OnTrack pursuant to the July 15, 2014 re-enrollment date.  Tr. 54-55.</w:t>
      </w:r>
    </w:p>
    <w:p w:rsidR="001C74FD" w:rsidRPr="00120E0A" w:rsidRDefault="001C74FD" w:rsidP="009012FA">
      <w:pPr>
        <w:spacing w:after="0" w:line="360" w:lineRule="auto"/>
        <w:ind w:firstLine="1440"/>
        <w:rPr>
          <w:rFonts w:ascii="Times New Roman" w:hAnsi="Times New Roman" w:cs="Times New Roman"/>
          <w:sz w:val="24"/>
          <w:szCs w:val="24"/>
        </w:rPr>
      </w:pPr>
    </w:p>
    <w:p w:rsidR="003700EE" w:rsidRPr="00120E0A" w:rsidRDefault="000C1494" w:rsidP="009012FA">
      <w:pPr>
        <w:spacing w:after="0" w:line="360" w:lineRule="auto"/>
        <w:ind w:firstLine="1440"/>
        <w:rPr>
          <w:rFonts w:ascii="Times New Roman" w:hAnsi="Times New Roman" w:cs="Times New Roman"/>
          <w:sz w:val="24"/>
          <w:szCs w:val="24"/>
        </w:rPr>
      </w:pPr>
      <w:r w:rsidRPr="00120E0A">
        <w:rPr>
          <w:rFonts w:ascii="Times New Roman" w:hAnsi="Times New Roman" w:cs="Times New Roman"/>
          <w:sz w:val="24"/>
          <w:szCs w:val="24"/>
        </w:rPr>
        <w:t>Therefore, record evidence in this proceeding demonstrates</w:t>
      </w:r>
      <w:r w:rsidR="002F43CD" w:rsidRPr="00120E0A">
        <w:rPr>
          <w:rFonts w:ascii="Times New Roman" w:hAnsi="Times New Roman" w:cs="Times New Roman"/>
          <w:sz w:val="24"/>
          <w:szCs w:val="24"/>
        </w:rPr>
        <w:t xml:space="preserve"> that</w:t>
      </w:r>
      <w:r w:rsidRPr="00120E0A">
        <w:rPr>
          <w:rFonts w:ascii="Times New Roman" w:hAnsi="Times New Roman" w:cs="Times New Roman"/>
          <w:sz w:val="24"/>
          <w:szCs w:val="24"/>
        </w:rPr>
        <w:t xml:space="preserve"> it is reasonable to expect that Mr. Scotto was in the process of being re-enrolled in the OnTrack program as of the time of the Hearing and </w:t>
      </w:r>
      <w:r w:rsidR="001C74FD" w:rsidRPr="00120E0A">
        <w:rPr>
          <w:rFonts w:ascii="Times New Roman" w:hAnsi="Times New Roman" w:cs="Times New Roman"/>
          <w:sz w:val="24"/>
          <w:szCs w:val="24"/>
        </w:rPr>
        <w:t xml:space="preserve">is now properly enrolled.  As such, </w:t>
      </w:r>
      <w:r w:rsidRPr="00120E0A">
        <w:rPr>
          <w:rFonts w:ascii="Times New Roman" w:hAnsi="Times New Roman" w:cs="Times New Roman"/>
          <w:sz w:val="24"/>
          <w:szCs w:val="24"/>
        </w:rPr>
        <w:t>this issue is now moot.  To the extent Mr. Scotto has not been re-enrolled in OnTrack as of the time this Decision is issued, he can indicate as such in Exceptions</w:t>
      </w:r>
      <w:r w:rsidR="009306CB" w:rsidRPr="00120E0A">
        <w:rPr>
          <w:rFonts w:ascii="Times New Roman" w:hAnsi="Times New Roman" w:cs="Times New Roman"/>
          <w:sz w:val="24"/>
          <w:szCs w:val="24"/>
        </w:rPr>
        <w:t xml:space="preserve"> to this Decision</w:t>
      </w:r>
      <w:r w:rsidRPr="00120E0A">
        <w:rPr>
          <w:rFonts w:ascii="Times New Roman" w:hAnsi="Times New Roman" w:cs="Times New Roman"/>
          <w:sz w:val="24"/>
          <w:szCs w:val="24"/>
        </w:rPr>
        <w:t>, if he chooses.</w:t>
      </w:r>
    </w:p>
    <w:p w:rsidR="00DE57C8" w:rsidRPr="00120E0A" w:rsidRDefault="00DE57C8" w:rsidP="00DE57C8">
      <w:pPr>
        <w:pStyle w:val="Style"/>
        <w:spacing w:line="360" w:lineRule="auto"/>
      </w:pPr>
    </w:p>
    <w:p w:rsidR="00DE57C8" w:rsidRPr="00120E0A" w:rsidRDefault="00DE57C8" w:rsidP="00DE57C8">
      <w:pPr>
        <w:pStyle w:val="Style"/>
        <w:spacing w:line="360" w:lineRule="auto"/>
        <w:rPr>
          <w:b/>
          <w:u w:val="single"/>
        </w:rPr>
      </w:pPr>
      <w:r w:rsidRPr="00120E0A">
        <w:rPr>
          <w:b/>
          <w:u w:val="single"/>
        </w:rPr>
        <w:t xml:space="preserve">Mr. Scotto Has Failed To Demonstrate That PPL’s Actions </w:t>
      </w:r>
      <w:r w:rsidR="001F2B83" w:rsidRPr="00120E0A">
        <w:rPr>
          <w:b/>
          <w:u w:val="single"/>
        </w:rPr>
        <w:t xml:space="preserve">When Entering His Property </w:t>
      </w:r>
      <w:r w:rsidR="007D1DD1" w:rsidRPr="00120E0A">
        <w:rPr>
          <w:b/>
          <w:u w:val="single"/>
        </w:rPr>
        <w:t xml:space="preserve">To Change The Meter </w:t>
      </w:r>
      <w:r w:rsidRPr="00120E0A">
        <w:rPr>
          <w:b/>
          <w:u w:val="single"/>
        </w:rPr>
        <w:t>Violated The Public Utility Code, A Commission Order Or Regulation Or Any Commission-Approved Tariff.</w:t>
      </w:r>
    </w:p>
    <w:p w:rsidR="00DE57C8" w:rsidRPr="00120E0A" w:rsidRDefault="00DE57C8" w:rsidP="00DE57C8">
      <w:pPr>
        <w:pStyle w:val="Style"/>
        <w:spacing w:line="360" w:lineRule="auto"/>
      </w:pPr>
    </w:p>
    <w:p w:rsidR="006A24FE" w:rsidRPr="00120E0A" w:rsidRDefault="006A24FE" w:rsidP="006A24FE">
      <w:pPr>
        <w:pStyle w:val="Style"/>
        <w:spacing w:line="360" w:lineRule="auto"/>
      </w:pPr>
      <w:r w:rsidRPr="00120E0A">
        <w:tab/>
      </w:r>
      <w:r w:rsidRPr="00120E0A">
        <w:tab/>
      </w:r>
      <w:r w:rsidR="006A0816" w:rsidRPr="00120E0A">
        <w:t xml:space="preserve">During the Hearing, </w:t>
      </w:r>
      <w:r w:rsidRPr="00120E0A">
        <w:t xml:space="preserve">Mr. Scotto </w:t>
      </w:r>
      <w:r w:rsidR="006A0816" w:rsidRPr="00120E0A">
        <w:t xml:space="preserve">testified that </w:t>
      </w:r>
      <w:r w:rsidR="004E6A10" w:rsidRPr="00120E0A">
        <w:t xml:space="preserve">he was complaining about “the issue of eminent domain” and that PPL should make “reasonable and prudent attempts to get permission to come onto the property” to perform certain permitted acts.  Tr. 17.  Mr. Scotto presented his husband, Mr. Weidenbach, as a witness who testified </w:t>
      </w:r>
      <w:r w:rsidR="001276D8" w:rsidRPr="00120E0A">
        <w:t>in support of his pos</w:t>
      </w:r>
      <w:r w:rsidR="001F2B83" w:rsidRPr="00120E0A">
        <w:t>ition that PPL did not indicate</w:t>
      </w:r>
      <w:r w:rsidR="001276D8" w:rsidRPr="00120E0A">
        <w:t xml:space="preserve"> when they would be present on the property to exchange the meter.  Tr. 35.</w:t>
      </w:r>
      <w:r w:rsidR="002F43CD" w:rsidRPr="00120E0A">
        <w:t xml:space="preserve">  </w:t>
      </w:r>
      <w:r w:rsidR="007D1DD1" w:rsidRPr="00120E0A">
        <w:lastRenderedPageBreak/>
        <w:t xml:space="preserve">On cross-examination, Mr. Scotto </w:t>
      </w:r>
      <w:r w:rsidR="00464227" w:rsidRPr="00120E0A">
        <w:t xml:space="preserve">testified that PPL did not knock </w:t>
      </w:r>
      <w:r w:rsidR="007D1DD1" w:rsidRPr="00120E0A">
        <w:t>on his door before changing his meter.  Tr. 26.  Mr. Scotto added that he was home at the time but he did not see any worker on his property.</w:t>
      </w:r>
    </w:p>
    <w:p w:rsidR="00454524" w:rsidRPr="00120E0A" w:rsidRDefault="00454524" w:rsidP="006A24FE">
      <w:pPr>
        <w:pStyle w:val="Style"/>
        <w:spacing w:line="360" w:lineRule="auto"/>
      </w:pPr>
    </w:p>
    <w:p w:rsidR="00E708F4" w:rsidRPr="00120E0A" w:rsidRDefault="00454524" w:rsidP="00E708F4">
      <w:pPr>
        <w:spacing w:after="0" w:line="360" w:lineRule="auto"/>
        <w:rPr>
          <w:rFonts w:ascii="Times New Roman" w:eastAsiaTheme="minorEastAsia" w:hAnsi="Times New Roman" w:cs="Times New Roman"/>
          <w:sz w:val="24"/>
          <w:szCs w:val="24"/>
        </w:rPr>
      </w:pPr>
      <w:r w:rsidRPr="00120E0A">
        <w:rPr>
          <w:rFonts w:ascii="Times New Roman" w:hAnsi="Times New Roman" w:cs="Times New Roman"/>
          <w:sz w:val="24"/>
          <w:szCs w:val="24"/>
        </w:rPr>
        <w:tab/>
      </w:r>
      <w:r w:rsidRPr="00120E0A">
        <w:rPr>
          <w:rFonts w:ascii="Times New Roman" w:hAnsi="Times New Roman" w:cs="Times New Roman"/>
          <w:sz w:val="24"/>
          <w:szCs w:val="24"/>
        </w:rPr>
        <w:tab/>
        <w:t xml:space="preserve">There is no specific Commission regulation or provision of the Public Utility Code that governs specific actions by utility workers when entering a customer’s property to perform a utility service.  </w:t>
      </w:r>
      <w:r w:rsidR="00464227" w:rsidRPr="00120E0A">
        <w:rPr>
          <w:rFonts w:ascii="Times New Roman" w:hAnsi="Times New Roman" w:cs="Times New Roman"/>
          <w:sz w:val="24"/>
          <w:szCs w:val="24"/>
        </w:rPr>
        <w:t>Therefore, i</w:t>
      </w:r>
      <w:r w:rsidRPr="00120E0A">
        <w:rPr>
          <w:rFonts w:ascii="Times New Roman" w:hAnsi="Times New Roman" w:cs="Times New Roman"/>
          <w:sz w:val="24"/>
          <w:szCs w:val="24"/>
        </w:rPr>
        <w:t xml:space="preserve">n such instances, Section 1501 of the Public Utility Code generally applies.  </w:t>
      </w:r>
      <w:r w:rsidR="00E708F4" w:rsidRPr="00120E0A">
        <w:rPr>
          <w:rFonts w:ascii="Times New Roman" w:eastAsiaTheme="minorEastAsia" w:hAnsi="Times New Roman" w:cs="Times New Roman"/>
          <w:sz w:val="24"/>
          <w:szCs w:val="24"/>
        </w:rPr>
        <w:t>Section 1501 provides, in pertinent part:</w:t>
      </w:r>
    </w:p>
    <w:p w:rsidR="00E708F4" w:rsidRPr="00120E0A" w:rsidRDefault="00E708F4" w:rsidP="00E708F4">
      <w:pPr>
        <w:spacing w:after="0" w:line="360" w:lineRule="auto"/>
        <w:rPr>
          <w:rFonts w:ascii="Times New Roman" w:eastAsiaTheme="minorEastAsia" w:hAnsi="Times New Roman" w:cs="Times New Roman"/>
          <w:sz w:val="24"/>
          <w:szCs w:val="24"/>
        </w:rPr>
      </w:pPr>
    </w:p>
    <w:p w:rsidR="00E708F4" w:rsidRPr="00120E0A" w:rsidRDefault="00E708F4" w:rsidP="00E708F4">
      <w:pPr>
        <w:autoSpaceDE w:val="0"/>
        <w:autoSpaceDN w:val="0"/>
        <w:spacing w:after="0" w:line="240" w:lineRule="auto"/>
        <w:ind w:left="1440" w:right="1440"/>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E708F4" w:rsidRPr="00120E0A" w:rsidRDefault="00E708F4" w:rsidP="00E708F4">
      <w:pPr>
        <w:spacing w:after="0" w:line="240" w:lineRule="auto"/>
        <w:rPr>
          <w:rFonts w:ascii="Times New Roman" w:eastAsiaTheme="minorEastAsia" w:hAnsi="Times New Roman" w:cs="Times New Roman"/>
          <w:sz w:val="24"/>
          <w:szCs w:val="24"/>
        </w:rPr>
      </w:pPr>
    </w:p>
    <w:p w:rsidR="00454524" w:rsidRPr="00120E0A" w:rsidRDefault="00454524" w:rsidP="00E708F4">
      <w:pPr>
        <w:pStyle w:val="Style"/>
        <w:spacing w:line="360" w:lineRule="auto"/>
      </w:pPr>
      <w:r w:rsidRPr="00120E0A">
        <w:t xml:space="preserve">66 Pa.C.S. § 1501.  </w:t>
      </w:r>
      <w:r w:rsidR="00464227" w:rsidRPr="00120E0A">
        <w:t>Section 1501 generally requires utilities to provide reasonable service.</w:t>
      </w:r>
    </w:p>
    <w:p w:rsidR="007D1DD1" w:rsidRPr="00120E0A" w:rsidRDefault="007D1DD1" w:rsidP="006A24FE">
      <w:pPr>
        <w:pStyle w:val="Style"/>
        <w:spacing w:line="360" w:lineRule="auto"/>
      </w:pPr>
    </w:p>
    <w:p w:rsidR="007D1DD1" w:rsidRPr="00120E0A" w:rsidRDefault="007D1DD1" w:rsidP="007D1DD1">
      <w:pPr>
        <w:pStyle w:val="Style"/>
        <w:spacing w:line="360" w:lineRule="auto"/>
        <w:ind w:firstLine="1440"/>
      </w:pPr>
      <w:r w:rsidRPr="00120E0A">
        <w:t>Mr. Scotto’s testimony on this issue is not consistent as demonstrated in the following cross examination by counsel for PPL:</w:t>
      </w:r>
    </w:p>
    <w:p w:rsidR="007D1DD1" w:rsidRPr="00120E0A" w:rsidRDefault="007D1DD1" w:rsidP="007D1DD1">
      <w:pPr>
        <w:pStyle w:val="Style"/>
        <w:spacing w:line="360" w:lineRule="auto"/>
      </w:pPr>
    </w:p>
    <w:p w:rsidR="007D1DD1" w:rsidRPr="00120E0A" w:rsidRDefault="007D1DD1" w:rsidP="00F744B6">
      <w:pPr>
        <w:pStyle w:val="Style"/>
        <w:ind w:left="1440" w:right="1440"/>
      </w:pPr>
      <w:r w:rsidRPr="00120E0A">
        <w:t>Q.</w:t>
      </w:r>
      <w:r w:rsidRPr="00120E0A">
        <w:tab/>
        <w:t>Sir, your concern about eminent domain, I just want to make sure I understand it.  Your concern is about the instance on June 19, 2014, when PPL came onto the property to change the meter; correct?</w:t>
      </w:r>
    </w:p>
    <w:p w:rsidR="007D1DD1" w:rsidRPr="00120E0A" w:rsidRDefault="007D1DD1" w:rsidP="00F744B6">
      <w:pPr>
        <w:pStyle w:val="Style"/>
        <w:ind w:left="1440" w:right="1440"/>
      </w:pPr>
    </w:p>
    <w:p w:rsidR="007D1DD1" w:rsidRPr="00120E0A" w:rsidRDefault="007D1DD1" w:rsidP="00F744B6">
      <w:pPr>
        <w:pStyle w:val="Style"/>
        <w:ind w:left="1440" w:right="1440"/>
      </w:pPr>
      <w:r w:rsidRPr="00120E0A">
        <w:t>A.</w:t>
      </w:r>
      <w:r w:rsidRPr="00120E0A">
        <w:tab/>
        <w:t>Yes, correct.  I had great misgivings about that particular event, yes.</w:t>
      </w:r>
    </w:p>
    <w:p w:rsidR="007D1DD1" w:rsidRPr="00120E0A" w:rsidRDefault="007D1DD1" w:rsidP="00F744B6">
      <w:pPr>
        <w:pStyle w:val="Style"/>
        <w:ind w:left="1440" w:right="1440"/>
      </w:pPr>
    </w:p>
    <w:p w:rsidR="007D1DD1" w:rsidRPr="00120E0A" w:rsidRDefault="007D1DD1" w:rsidP="00F744B6">
      <w:pPr>
        <w:pStyle w:val="Style"/>
        <w:ind w:left="1440" w:right="1440"/>
      </w:pPr>
      <w:r w:rsidRPr="00120E0A">
        <w:t>Q.</w:t>
      </w:r>
      <w:r w:rsidRPr="00120E0A">
        <w:tab/>
        <w:t>I’m going to ask you some questions about that, sir.  Before PPL changed your meter, did they knock on your door?</w:t>
      </w:r>
    </w:p>
    <w:p w:rsidR="007D1DD1" w:rsidRPr="00120E0A" w:rsidRDefault="007D1DD1" w:rsidP="00F744B6">
      <w:pPr>
        <w:pStyle w:val="Style"/>
        <w:ind w:left="1440" w:right="1440"/>
      </w:pPr>
    </w:p>
    <w:p w:rsidR="007D1DD1" w:rsidRPr="00120E0A" w:rsidRDefault="007D1DD1" w:rsidP="00F744B6">
      <w:pPr>
        <w:pStyle w:val="Style"/>
        <w:ind w:left="1440" w:right="1440"/>
      </w:pPr>
      <w:r w:rsidRPr="00120E0A">
        <w:t>A.</w:t>
      </w:r>
      <w:r w:rsidRPr="00120E0A">
        <w:tab/>
        <w:t>No.</w:t>
      </w:r>
    </w:p>
    <w:p w:rsidR="007D1DD1" w:rsidRPr="00120E0A" w:rsidRDefault="007D1DD1" w:rsidP="00F744B6">
      <w:pPr>
        <w:pStyle w:val="Style"/>
        <w:ind w:left="1440" w:right="1440"/>
      </w:pPr>
    </w:p>
    <w:p w:rsidR="007D1DD1" w:rsidRPr="00120E0A" w:rsidRDefault="007D1DD1" w:rsidP="00F744B6">
      <w:pPr>
        <w:pStyle w:val="Style"/>
        <w:ind w:left="1440" w:right="1440"/>
      </w:pPr>
      <w:r w:rsidRPr="00120E0A">
        <w:t>Q.</w:t>
      </w:r>
      <w:r w:rsidRPr="00120E0A">
        <w:tab/>
        <w:t>Were you home?</w:t>
      </w:r>
    </w:p>
    <w:p w:rsidR="007D1DD1" w:rsidRPr="00120E0A" w:rsidRDefault="007D1DD1" w:rsidP="00F744B6">
      <w:pPr>
        <w:pStyle w:val="Style"/>
        <w:ind w:left="1440" w:right="1440"/>
      </w:pPr>
    </w:p>
    <w:p w:rsidR="007D1DD1" w:rsidRPr="00120E0A" w:rsidRDefault="007D1DD1" w:rsidP="00F744B6">
      <w:pPr>
        <w:pStyle w:val="Style"/>
        <w:ind w:left="1440" w:right="1440"/>
      </w:pPr>
      <w:r w:rsidRPr="00120E0A">
        <w:t>A.</w:t>
      </w:r>
      <w:r w:rsidRPr="00120E0A">
        <w:tab/>
        <w:t>Yes.</w:t>
      </w:r>
    </w:p>
    <w:p w:rsidR="007D1DD1" w:rsidRPr="00120E0A" w:rsidRDefault="007D1DD1" w:rsidP="00F744B6">
      <w:pPr>
        <w:pStyle w:val="Style"/>
        <w:ind w:left="1440" w:right="1440"/>
      </w:pPr>
    </w:p>
    <w:p w:rsidR="007D1DD1" w:rsidRPr="00120E0A" w:rsidRDefault="007D1DD1" w:rsidP="00F744B6">
      <w:pPr>
        <w:pStyle w:val="Style"/>
        <w:ind w:left="1440" w:right="1440"/>
      </w:pPr>
      <w:r w:rsidRPr="00120E0A">
        <w:t>Q.</w:t>
      </w:r>
      <w:r w:rsidRPr="00120E0A">
        <w:tab/>
        <w:t xml:space="preserve">You were?  Did you go outside to talk to PPL when you </w:t>
      </w:r>
      <w:r w:rsidRPr="00120E0A">
        <w:lastRenderedPageBreak/>
        <w:t>saw them?</w:t>
      </w:r>
    </w:p>
    <w:p w:rsidR="007D1DD1" w:rsidRPr="00120E0A" w:rsidRDefault="007D1DD1" w:rsidP="00F744B6">
      <w:pPr>
        <w:pStyle w:val="Style"/>
        <w:ind w:left="1440" w:right="1440"/>
      </w:pPr>
    </w:p>
    <w:p w:rsidR="007D1DD1" w:rsidRPr="00120E0A" w:rsidRDefault="007D1DD1" w:rsidP="00F744B6">
      <w:pPr>
        <w:pStyle w:val="Style"/>
        <w:ind w:left="1440" w:right="1440"/>
      </w:pPr>
      <w:r w:rsidRPr="00120E0A">
        <w:t>A.</w:t>
      </w:r>
      <w:r w:rsidRPr="00120E0A">
        <w:tab/>
        <w:t xml:space="preserve">I didn’t see them.  I didn’t know they were there.  This is why I have great misgivings.  They just came onto the property, and they appeared almost belligerent.  They just came onto the property like that.  I have great misgivings about the way PPL treats its customers regarding that.  I mean, just because you have – I know that you have a right to read the meter.  I understand that you need sometimes to get to the utility.  However, the way in which you do it, you do not own </w:t>
      </w:r>
      <w:r w:rsidR="00F744B6" w:rsidRPr="00120E0A">
        <w:t>the property.  For the record, I feel that it was done in belligerence, and there was a blatant disregard</w:t>
      </w:r>
      <w:r w:rsidR="00DD3E99">
        <w:t xml:space="preserve"> of the “no trespassing” sign.</w:t>
      </w:r>
    </w:p>
    <w:p w:rsidR="00F744B6" w:rsidRPr="00120E0A" w:rsidRDefault="00F744B6" w:rsidP="00DD3E99">
      <w:pPr>
        <w:pStyle w:val="Style"/>
      </w:pPr>
    </w:p>
    <w:p w:rsidR="00D200E2" w:rsidRPr="00120E0A" w:rsidRDefault="00F744B6" w:rsidP="00D200E2">
      <w:pPr>
        <w:pStyle w:val="Style"/>
        <w:spacing w:line="360" w:lineRule="auto"/>
      </w:pPr>
      <w:r w:rsidRPr="00120E0A">
        <w:t xml:space="preserve">Tr. 26-27.  Mr. Scotto further testified </w:t>
      </w:r>
      <w:r w:rsidR="00D200E2" w:rsidRPr="00120E0A">
        <w:t>that he did not learn that PPL was on his property until a day or two later when he went outside to trim a bush and saw the new meter.  Tr. 27.  Mr. Scotto testified that he did not suffer any interruption of electric service nor was there any damage to his property.  Tr. 27-28.</w:t>
      </w:r>
    </w:p>
    <w:p w:rsidR="00D200E2" w:rsidRPr="00120E0A" w:rsidRDefault="00D200E2" w:rsidP="00D200E2">
      <w:pPr>
        <w:pStyle w:val="Style"/>
        <w:spacing w:line="360" w:lineRule="auto"/>
      </w:pPr>
    </w:p>
    <w:p w:rsidR="007D1DD1" w:rsidRPr="00120E0A" w:rsidRDefault="007150B9" w:rsidP="00D200E2">
      <w:pPr>
        <w:pStyle w:val="Style"/>
        <w:spacing w:line="360" w:lineRule="auto"/>
        <w:ind w:firstLine="1440"/>
      </w:pPr>
      <w:r w:rsidRPr="00120E0A">
        <w:t xml:space="preserve">Mr. Scotto testified that he did not see PPL on his property; yet, he also testified that “they appeared almost belligerent.”  Mr. Scotto suffered neither an interruption in service nor any property damage.  </w:t>
      </w:r>
      <w:r w:rsidR="00706757" w:rsidRPr="00120E0A">
        <w:t xml:space="preserve">The utility worker was performing duties in response to Mr. Scotto’s formal Complaint.  </w:t>
      </w:r>
      <w:r w:rsidRPr="00120E0A">
        <w:t>In the absence of a specific regulation or provision of the Public Utility Code governing utility workers entering a customer’s property for utility purposes</w:t>
      </w:r>
      <w:r w:rsidR="00706757" w:rsidRPr="00120E0A">
        <w:t xml:space="preserve">, it is clear that PPL has not acted unreasonably in violation of Section 1501.  At a minimum, there </w:t>
      </w:r>
      <w:r w:rsidR="00D200E2" w:rsidRPr="00120E0A">
        <w:t xml:space="preserve">is no substantial evidence </w:t>
      </w:r>
      <w:r w:rsidR="007D1DD1" w:rsidRPr="00120E0A">
        <w:t>to make a finding that PPL has violated the Public Utility Code, any Commission Order or regulation or any Commission-approved Company tariff.</w:t>
      </w:r>
      <w:r w:rsidR="00464227" w:rsidRPr="00120E0A">
        <w:t xml:space="preserve">  </w:t>
      </w:r>
      <w:r w:rsidR="00464227" w:rsidRPr="00120E0A">
        <w:rPr>
          <w:i/>
        </w:rPr>
        <w:t>See</w:t>
      </w:r>
      <w:r w:rsidR="00464227" w:rsidRPr="00120E0A">
        <w:t>, 2 Pa.C.S. § 704.</w:t>
      </w:r>
    </w:p>
    <w:p w:rsidR="006A24FE" w:rsidRPr="00120E0A" w:rsidRDefault="006A24FE" w:rsidP="006A24FE">
      <w:pPr>
        <w:pStyle w:val="Style"/>
        <w:spacing w:line="360" w:lineRule="auto"/>
      </w:pPr>
    </w:p>
    <w:p w:rsidR="006A24FE" w:rsidRPr="00120E0A" w:rsidRDefault="006A24FE" w:rsidP="006A24FE">
      <w:pPr>
        <w:pStyle w:val="Style"/>
        <w:spacing w:line="360" w:lineRule="auto"/>
      </w:pPr>
      <w:r w:rsidRPr="00120E0A">
        <w:tab/>
      </w:r>
      <w:r w:rsidRPr="00120E0A">
        <w:tab/>
        <w:t xml:space="preserve">As such, </w:t>
      </w:r>
      <w:r w:rsidR="007D1DD1" w:rsidRPr="00120E0A">
        <w:t>Mr. Scotto has failed to carry his burden of proof with regard to his claim that PPL acted inappropriately when it entered his property to change his meter.  This argument will, therefore, be denied.</w:t>
      </w:r>
    </w:p>
    <w:p w:rsidR="006A24FE" w:rsidRPr="00120E0A" w:rsidRDefault="006A24FE" w:rsidP="006A24FE">
      <w:pPr>
        <w:pStyle w:val="Style"/>
        <w:spacing w:line="360" w:lineRule="auto"/>
      </w:pPr>
    </w:p>
    <w:p w:rsidR="00DE57C8" w:rsidRPr="00120E0A" w:rsidRDefault="00DE57C8" w:rsidP="00DE57C8">
      <w:pPr>
        <w:pStyle w:val="Style"/>
        <w:spacing w:line="360" w:lineRule="auto"/>
      </w:pPr>
      <w:r w:rsidRPr="00120E0A">
        <w:rPr>
          <w:b/>
          <w:u w:val="single"/>
        </w:rPr>
        <w:t>Conclusion</w:t>
      </w:r>
    </w:p>
    <w:p w:rsidR="00F14B9E" w:rsidRPr="00120E0A" w:rsidRDefault="00F14B9E" w:rsidP="00DE57C8">
      <w:pPr>
        <w:pStyle w:val="Style"/>
        <w:spacing w:line="360" w:lineRule="auto"/>
      </w:pPr>
    </w:p>
    <w:p w:rsidR="00F14B9E" w:rsidRPr="00120E0A" w:rsidRDefault="00F14B9E" w:rsidP="00DE57C8">
      <w:pPr>
        <w:pStyle w:val="Style"/>
        <w:spacing w:line="360" w:lineRule="auto"/>
      </w:pPr>
      <w:r w:rsidRPr="00120E0A">
        <w:tab/>
      </w:r>
      <w:r w:rsidRPr="00120E0A">
        <w:tab/>
        <w:t xml:space="preserve">Mr. Scotto has failed to satisfy his burden of demonstrating that his bills were inaccurate.  In response to the meter testing with 100% accuracy, Mr. Scotto failed to </w:t>
      </w:r>
      <w:r w:rsidRPr="00120E0A">
        <w:lastRenderedPageBreak/>
        <w:t>demonstrate other factors that would support a finding that he was not correctly billed.  In fact, there is substantial record evidence to the contrary demonstrating reasons why Mr. Scott</w:t>
      </w:r>
      <w:r w:rsidR="002F43CD" w:rsidRPr="00120E0A">
        <w:t>o</w:t>
      </w:r>
      <w:r w:rsidRPr="00120E0A">
        <w:t>’s bills increased dramatically during the past two winters.  Similarly, Mr. Scotto has failed to satisfy his burden of demonstrating that PPL violated the Public Utility Code, any Commission Order or regulation or any Commission-approved Company tariff when entering his property to change his meter.  In fact, Mr. Scotto did not know PPL entered his property.  Nor did he experience any interruption in service or damage to his property.  Mr. Scotto’s arguments regarding billing accuracy and PPL entering his property will be rejected.</w:t>
      </w:r>
    </w:p>
    <w:p w:rsidR="00F14B9E" w:rsidRPr="00120E0A" w:rsidRDefault="00F14B9E" w:rsidP="00DE57C8">
      <w:pPr>
        <w:pStyle w:val="Style"/>
        <w:spacing w:line="360" w:lineRule="auto"/>
      </w:pPr>
    </w:p>
    <w:p w:rsidR="00FE6A3B" w:rsidRPr="00120E0A" w:rsidRDefault="00F14B9E" w:rsidP="00FE6A3B">
      <w:pPr>
        <w:spacing w:after="0" w:line="360" w:lineRule="auto"/>
        <w:ind w:firstLine="1440"/>
        <w:rPr>
          <w:rFonts w:ascii="Times New Roman" w:hAnsi="Times New Roman" w:cs="Times New Roman"/>
          <w:sz w:val="24"/>
          <w:szCs w:val="24"/>
        </w:rPr>
      </w:pPr>
      <w:r w:rsidRPr="00120E0A">
        <w:rPr>
          <w:rFonts w:ascii="Times New Roman" w:hAnsi="Times New Roman" w:cs="Times New Roman"/>
          <w:sz w:val="24"/>
          <w:szCs w:val="24"/>
        </w:rPr>
        <w:t xml:space="preserve">Mr. Scotto has, however, satisfied his burden to </w:t>
      </w:r>
      <w:r w:rsidR="00FE6A3B" w:rsidRPr="00120E0A">
        <w:rPr>
          <w:rFonts w:ascii="Times New Roman" w:hAnsi="Times New Roman" w:cs="Times New Roman"/>
          <w:sz w:val="24"/>
          <w:szCs w:val="24"/>
        </w:rPr>
        <w:t>demonstrate that he is entitled to</w:t>
      </w:r>
      <w:r w:rsidRPr="00120E0A">
        <w:rPr>
          <w:rFonts w:ascii="Times New Roman" w:hAnsi="Times New Roman" w:cs="Times New Roman"/>
          <w:sz w:val="24"/>
          <w:szCs w:val="24"/>
        </w:rPr>
        <w:t xml:space="preserve"> a Commission-ordered payment agreement</w:t>
      </w:r>
      <w:r w:rsidR="00FE6A3B" w:rsidRPr="00120E0A">
        <w:rPr>
          <w:rFonts w:ascii="Times New Roman" w:hAnsi="Times New Roman" w:cs="Times New Roman"/>
          <w:sz w:val="24"/>
          <w:szCs w:val="24"/>
        </w:rPr>
        <w:t xml:space="preserve"> of </w:t>
      </w:r>
      <w:r w:rsidR="00242E9C" w:rsidRPr="00120E0A">
        <w:rPr>
          <w:rFonts w:ascii="Times New Roman" w:hAnsi="Times New Roman" w:cs="Times New Roman"/>
          <w:sz w:val="24"/>
          <w:szCs w:val="24"/>
        </w:rPr>
        <w:t>up to five years to pay his outstanding balance owed to PPL.  Furthermore</w:t>
      </w:r>
      <w:r w:rsidR="00FE6A3B" w:rsidRPr="00120E0A">
        <w:rPr>
          <w:rFonts w:ascii="Times New Roman" w:hAnsi="Times New Roman" w:cs="Times New Roman"/>
          <w:sz w:val="24"/>
          <w:szCs w:val="24"/>
        </w:rPr>
        <w:t>, record evidence in this proceeding demonstrates it is reasonable to expect that Mr. Scotto is now properly enrolled</w:t>
      </w:r>
      <w:r w:rsidR="00464227" w:rsidRPr="00120E0A">
        <w:rPr>
          <w:rFonts w:ascii="Times New Roman" w:hAnsi="Times New Roman" w:cs="Times New Roman"/>
          <w:sz w:val="24"/>
          <w:szCs w:val="24"/>
        </w:rPr>
        <w:t xml:space="preserve"> in OnTrack</w:t>
      </w:r>
      <w:r w:rsidR="00FE6A3B" w:rsidRPr="00120E0A">
        <w:rPr>
          <w:rFonts w:ascii="Times New Roman" w:hAnsi="Times New Roman" w:cs="Times New Roman"/>
          <w:sz w:val="24"/>
          <w:szCs w:val="24"/>
        </w:rPr>
        <w:t>.  As such, this issue is now moot.  To the extent Mr. Scotto has not been re-enrolled in OnTrack as of the time this Decision is issued, he can indicate as such in Exceptions, if he chooses.</w:t>
      </w:r>
    </w:p>
    <w:p w:rsidR="00F14B9E" w:rsidRPr="00120E0A" w:rsidRDefault="00F14B9E" w:rsidP="00DE57C8">
      <w:pPr>
        <w:pStyle w:val="Style"/>
        <w:spacing w:line="360" w:lineRule="auto"/>
        <w:rPr>
          <w:strike/>
        </w:rPr>
      </w:pPr>
    </w:p>
    <w:p w:rsidR="00F3073F" w:rsidRPr="00120E0A" w:rsidRDefault="00F3073F" w:rsidP="00F3073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120E0A">
        <w:rPr>
          <w:rFonts w:ascii="Times New Roman" w:eastAsia="Times New Roman" w:hAnsi="Times New Roman" w:cs="Times New Roman"/>
          <w:spacing w:val="-3"/>
          <w:sz w:val="24"/>
          <w:szCs w:val="24"/>
          <w:u w:val="single"/>
        </w:rPr>
        <w:t>CONCLUSIONS OF LAW</w:t>
      </w:r>
    </w:p>
    <w:p w:rsidR="00F3073F" w:rsidRPr="00120E0A" w:rsidRDefault="00F3073F" w:rsidP="00F3073F">
      <w:pPr>
        <w:spacing w:after="0" w:line="360" w:lineRule="auto"/>
        <w:rPr>
          <w:rFonts w:ascii="Times New Roman" w:eastAsia="Times New Roman" w:hAnsi="Times New Roman" w:cs="Times New Roman"/>
          <w:sz w:val="24"/>
          <w:szCs w:val="24"/>
        </w:rPr>
      </w:pPr>
    </w:p>
    <w:p w:rsidR="00F3073F" w:rsidRPr="00120E0A"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F3073F" w:rsidRPr="00120E0A" w:rsidRDefault="00F3073F" w:rsidP="00F3073F">
      <w:pPr>
        <w:spacing w:after="0" w:line="360" w:lineRule="auto"/>
        <w:ind w:firstLine="1440"/>
        <w:contextualSpacing/>
        <w:rPr>
          <w:rFonts w:ascii="Times New Roman" w:eastAsiaTheme="minorEastAsia" w:hAnsi="Times New Roman" w:cs="Times New Roman"/>
          <w:sz w:val="24"/>
          <w:szCs w:val="24"/>
        </w:rPr>
      </w:pPr>
    </w:p>
    <w:p w:rsidR="00F3073F" w:rsidRPr="00120E0A"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120E0A">
        <w:rPr>
          <w:rFonts w:ascii="Times New Roman" w:eastAsia="Times New Roman" w:hAnsi="Times New Roman" w:cs="Times New Roman"/>
          <w:sz w:val="24"/>
          <w:szCs w:val="24"/>
          <w:u w:val="single"/>
        </w:rPr>
        <w:t>Se-Ling Hosiery v. Margulies</w:t>
      </w:r>
      <w:r w:rsidRPr="00120E0A">
        <w:rPr>
          <w:rFonts w:ascii="Times New Roman" w:eastAsia="Times New Roman" w:hAnsi="Times New Roman" w:cs="Times New Roman"/>
          <w:sz w:val="24"/>
          <w:szCs w:val="24"/>
        </w:rPr>
        <w:t>, 364 Pa. 54, 70 A.2d 854 (1950).</w:t>
      </w:r>
    </w:p>
    <w:p w:rsidR="00F3073F" w:rsidRPr="00120E0A" w:rsidRDefault="00F3073F" w:rsidP="00F3073F">
      <w:pPr>
        <w:spacing w:after="0" w:line="360" w:lineRule="auto"/>
        <w:ind w:left="1440"/>
        <w:rPr>
          <w:rFonts w:ascii="Times New Roman" w:eastAsia="Times New Roman" w:hAnsi="Times New Roman" w:cs="Times New Roman"/>
          <w:sz w:val="24"/>
          <w:szCs w:val="24"/>
        </w:rPr>
      </w:pPr>
    </w:p>
    <w:p w:rsidR="00F3073F" w:rsidRPr="00120E0A"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 xml:space="preserve">If a complainant establishes a </w:t>
      </w:r>
      <w:r w:rsidRPr="00120E0A">
        <w:rPr>
          <w:rFonts w:ascii="Times New Roman" w:eastAsia="Times New Roman" w:hAnsi="Times New Roman" w:cs="Times New Roman"/>
          <w:i/>
          <w:sz w:val="24"/>
          <w:szCs w:val="24"/>
        </w:rPr>
        <w:t xml:space="preserve">prima facie </w:t>
      </w:r>
      <w:r w:rsidRPr="00120E0A">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w:t>
      </w:r>
      <w:r w:rsidRPr="00120E0A">
        <w:rPr>
          <w:rFonts w:ascii="Times New Roman" w:eastAsia="Times New Roman" w:hAnsi="Times New Roman" w:cs="Times New Roman"/>
          <w:sz w:val="24"/>
          <w:szCs w:val="24"/>
        </w:rPr>
        <w:lastRenderedPageBreak/>
        <w:t xml:space="preserve">complainant.  </w:t>
      </w:r>
      <w:r w:rsidRPr="00120E0A">
        <w:rPr>
          <w:rFonts w:ascii="Times New Roman" w:eastAsia="Times New Roman" w:hAnsi="Times New Roman" w:cs="Times New Roman"/>
          <w:sz w:val="24"/>
          <w:szCs w:val="24"/>
          <w:u w:val="single"/>
        </w:rPr>
        <w:t>Replogle v. Pennsylvania Electric Company</w:t>
      </w:r>
      <w:r w:rsidRPr="00120E0A">
        <w:rPr>
          <w:rFonts w:ascii="Times New Roman" w:eastAsia="Times New Roman" w:hAnsi="Times New Roman" w:cs="Times New Roman"/>
          <w:sz w:val="24"/>
          <w:szCs w:val="24"/>
        </w:rPr>
        <w:t xml:space="preserve">, 54 Pa. PUC 528 (1980), and </w:t>
      </w:r>
      <w:r w:rsidRPr="00120E0A">
        <w:rPr>
          <w:rFonts w:ascii="Times New Roman" w:eastAsia="Times New Roman" w:hAnsi="Times New Roman" w:cs="Times New Roman"/>
          <w:sz w:val="24"/>
          <w:szCs w:val="24"/>
          <w:u w:val="single"/>
        </w:rPr>
        <w:t>Waldron v. Philadelphia Electric Company</w:t>
      </w:r>
      <w:r w:rsidRPr="00120E0A">
        <w:rPr>
          <w:rFonts w:ascii="Times New Roman" w:eastAsia="Times New Roman" w:hAnsi="Times New Roman" w:cs="Times New Roman"/>
          <w:sz w:val="24"/>
          <w:szCs w:val="24"/>
        </w:rPr>
        <w:t>, 54 Pa. PUC 98 (1980).</w:t>
      </w:r>
    </w:p>
    <w:p w:rsidR="00F3073F" w:rsidRPr="00120E0A" w:rsidRDefault="00F3073F" w:rsidP="00F3073F">
      <w:pPr>
        <w:spacing w:after="0" w:line="360" w:lineRule="auto"/>
        <w:ind w:left="720"/>
        <w:contextualSpacing/>
        <w:rPr>
          <w:rFonts w:ascii="Times New Roman" w:eastAsiaTheme="minorEastAsia" w:hAnsi="Times New Roman" w:cs="Times New Roman"/>
          <w:sz w:val="24"/>
          <w:szCs w:val="24"/>
        </w:rPr>
      </w:pPr>
    </w:p>
    <w:p w:rsidR="00F3073F" w:rsidRPr="00120E0A"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The decision of the Commission must be supported by substantial evidence.  2 Pa.C.S. § 704.</w:t>
      </w:r>
    </w:p>
    <w:p w:rsidR="00F3073F" w:rsidRPr="00120E0A" w:rsidRDefault="00F3073F" w:rsidP="00F3073F">
      <w:pPr>
        <w:pStyle w:val="ListParagraph"/>
        <w:spacing w:after="0" w:line="360" w:lineRule="auto"/>
        <w:contextualSpacing w:val="0"/>
        <w:rPr>
          <w:rFonts w:ascii="Times New Roman" w:eastAsia="Times New Roman" w:hAnsi="Times New Roman" w:cs="Times New Roman"/>
          <w:sz w:val="24"/>
          <w:szCs w:val="24"/>
        </w:rPr>
      </w:pPr>
    </w:p>
    <w:p w:rsidR="009B4F5F" w:rsidRPr="00120E0A" w:rsidRDefault="00F3073F" w:rsidP="009B4F5F">
      <w:pPr>
        <w:numPr>
          <w:ilvl w:val="0"/>
          <w:numId w:val="8"/>
        </w:numPr>
        <w:spacing w:after="0" w:line="360" w:lineRule="auto"/>
        <w:ind w:left="0" w:firstLine="1440"/>
        <w:rPr>
          <w:rFonts w:ascii="Times New Roman" w:eastAsiaTheme="minorEastAsia" w:hAnsi="Times New Roman" w:cs="Times New Roman"/>
          <w:sz w:val="24"/>
          <w:szCs w:val="24"/>
        </w:rPr>
      </w:pPr>
      <w:r w:rsidRPr="00120E0A">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120E0A">
        <w:rPr>
          <w:rFonts w:ascii="Times New Roman" w:eastAsia="Times New Roman" w:hAnsi="Times New Roman" w:cs="Times New Roman"/>
          <w:sz w:val="24"/>
          <w:szCs w:val="24"/>
          <w:u w:val="single"/>
        </w:rPr>
        <w:t>Norfolk &amp; Western Ry. Co. v. Pa. Pub. Util. Comm’n</w:t>
      </w:r>
      <w:r w:rsidRPr="00120E0A">
        <w:rPr>
          <w:rFonts w:ascii="Times New Roman" w:eastAsia="Times New Roman" w:hAnsi="Times New Roman" w:cs="Times New Roman"/>
          <w:sz w:val="24"/>
          <w:szCs w:val="24"/>
        </w:rPr>
        <w:t xml:space="preserve">, 489 Pa. 109, 413 A.2d 1037 (1980); </w:t>
      </w:r>
      <w:r w:rsidRPr="00120E0A">
        <w:rPr>
          <w:rFonts w:ascii="Times New Roman" w:eastAsia="Times New Roman" w:hAnsi="Times New Roman" w:cs="Times New Roman"/>
          <w:sz w:val="24"/>
          <w:szCs w:val="24"/>
          <w:u w:val="single"/>
        </w:rPr>
        <w:t>Erie Resistor Corp. v. Unemployment Comp. Bd. of Review</w:t>
      </w:r>
      <w:r w:rsidRPr="00120E0A">
        <w:rPr>
          <w:rFonts w:ascii="Times New Roman" w:eastAsia="Times New Roman" w:hAnsi="Times New Roman" w:cs="Times New Roman"/>
          <w:sz w:val="24"/>
          <w:szCs w:val="24"/>
        </w:rPr>
        <w:t xml:space="preserve">, 194 Pa. Superior Ct. 278, 166 A.2d 96 (1961); and </w:t>
      </w:r>
      <w:r w:rsidRPr="00120E0A">
        <w:rPr>
          <w:rFonts w:ascii="Times New Roman" w:eastAsia="Times New Roman" w:hAnsi="Times New Roman" w:cs="Times New Roman"/>
          <w:sz w:val="24"/>
          <w:szCs w:val="24"/>
          <w:u w:val="single"/>
        </w:rPr>
        <w:t>Murphy v. Comm., Dept. of Public Welfare, White Haven Center</w:t>
      </w:r>
      <w:r w:rsidRPr="00120E0A">
        <w:rPr>
          <w:rFonts w:ascii="Times New Roman" w:eastAsia="Times New Roman" w:hAnsi="Times New Roman" w:cs="Times New Roman"/>
          <w:sz w:val="24"/>
          <w:szCs w:val="24"/>
        </w:rPr>
        <w:t>, 85 Pa. Cmwlth Ct. 23, 480 A.2d 382 (1984).</w:t>
      </w:r>
    </w:p>
    <w:p w:rsidR="009B4F5F" w:rsidRPr="00120E0A" w:rsidRDefault="009B4F5F" w:rsidP="009B4F5F">
      <w:pPr>
        <w:pStyle w:val="ListParagraph"/>
        <w:rPr>
          <w:rFonts w:ascii="Times New Roman" w:eastAsiaTheme="minorEastAsia" w:hAnsi="Times New Roman" w:cs="Times New Roman"/>
          <w:sz w:val="24"/>
          <w:szCs w:val="24"/>
        </w:rPr>
      </w:pPr>
    </w:p>
    <w:p w:rsidR="00234850" w:rsidRPr="00120E0A" w:rsidRDefault="001E69C5" w:rsidP="00234850">
      <w:pPr>
        <w:numPr>
          <w:ilvl w:val="0"/>
          <w:numId w:val="8"/>
        </w:numPr>
        <w:spacing w:after="0" w:line="360" w:lineRule="auto"/>
        <w:ind w:left="0" w:firstLine="1440"/>
        <w:rPr>
          <w:rFonts w:ascii="Times New Roman" w:eastAsiaTheme="minorEastAsia" w:hAnsi="Times New Roman" w:cs="Times New Roman"/>
          <w:sz w:val="24"/>
          <w:szCs w:val="24"/>
        </w:rPr>
      </w:pPr>
      <w:r w:rsidRPr="00120E0A">
        <w:rPr>
          <w:rFonts w:ascii="Times New Roman" w:eastAsia="Times New Roman" w:hAnsi="Times New Roman" w:cs="Times New Roman"/>
          <w:sz w:val="24"/>
          <w:szCs w:val="24"/>
        </w:rPr>
        <w:t xml:space="preserve">While the accuracy of the meter is an important factor in resolving billing disputes, it is not the sole criterion.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r w:rsidRPr="00120E0A">
        <w:rPr>
          <w:rFonts w:ascii="Times New Roman" w:eastAsia="Times New Roman" w:hAnsi="Times New Roman" w:cs="Times New Roman"/>
          <w:sz w:val="24"/>
          <w:szCs w:val="24"/>
          <w:u w:val="single"/>
        </w:rPr>
        <w:t>Waldron v. Philadelphia Electric Company</w:t>
      </w:r>
      <w:r w:rsidRPr="00120E0A">
        <w:rPr>
          <w:rFonts w:ascii="Times New Roman" w:eastAsia="Times New Roman" w:hAnsi="Times New Roman" w:cs="Times New Roman"/>
          <w:sz w:val="24"/>
          <w:szCs w:val="24"/>
        </w:rPr>
        <w:t xml:space="preserve">, 54 Pa. PUC 98, 100 (1980); </w:t>
      </w:r>
      <w:r w:rsidRPr="00120E0A">
        <w:rPr>
          <w:rFonts w:ascii="Times New Roman" w:eastAsia="Times New Roman" w:hAnsi="Times New Roman" w:cs="Times New Roman"/>
          <w:i/>
          <w:sz w:val="24"/>
          <w:szCs w:val="24"/>
        </w:rPr>
        <w:t>see also</w:t>
      </w:r>
      <w:r w:rsidRPr="00120E0A">
        <w:rPr>
          <w:rFonts w:ascii="Times New Roman" w:eastAsia="Times New Roman" w:hAnsi="Times New Roman" w:cs="Times New Roman"/>
          <w:sz w:val="24"/>
          <w:szCs w:val="24"/>
        </w:rPr>
        <w:t xml:space="preserve">, </w:t>
      </w:r>
      <w:r w:rsidRPr="00120E0A">
        <w:rPr>
          <w:rFonts w:ascii="Times New Roman" w:eastAsia="Times New Roman" w:hAnsi="Times New Roman" w:cs="Times New Roman"/>
          <w:sz w:val="24"/>
          <w:szCs w:val="24"/>
          <w:u w:val="single"/>
        </w:rPr>
        <w:t>Nehemiah B. Thomas v. PECO</w:t>
      </w:r>
      <w:r w:rsidRPr="00120E0A">
        <w:rPr>
          <w:rFonts w:ascii="Times New Roman" w:eastAsia="Times New Roman" w:hAnsi="Times New Roman" w:cs="Times New Roman"/>
          <w:sz w:val="24"/>
          <w:szCs w:val="24"/>
        </w:rPr>
        <w:t>, Docket No. C-2010-2187197, Order (entered November 15, 2011).</w:t>
      </w:r>
    </w:p>
    <w:p w:rsidR="00234850" w:rsidRPr="00120E0A" w:rsidRDefault="00234850" w:rsidP="00234850">
      <w:pPr>
        <w:pStyle w:val="ListParagraph"/>
        <w:rPr>
          <w:rFonts w:ascii="Times New Roman" w:hAnsi="Times New Roman" w:cs="Times New Roman"/>
          <w:sz w:val="24"/>
          <w:szCs w:val="24"/>
        </w:rPr>
      </w:pPr>
    </w:p>
    <w:p w:rsidR="00234850" w:rsidRPr="00120E0A" w:rsidRDefault="00234850" w:rsidP="00234850">
      <w:pPr>
        <w:numPr>
          <w:ilvl w:val="0"/>
          <w:numId w:val="8"/>
        </w:numPr>
        <w:spacing w:after="0" w:line="360" w:lineRule="auto"/>
        <w:ind w:left="0" w:firstLine="1440"/>
        <w:rPr>
          <w:rFonts w:ascii="Times New Roman" w:eastAsiaTheme="minorEastAsia" w:hAnsi="Times New Roman" w:cs="Times New Roman"/>
          <w:sz w:val="24"/>
          <w:szCs w:val="24"/>
        </w:rPr>
      </w:pPr>
      <w:r w:rsidRPr="00120E0A">
        <w:rPr>
          <w:rFonts w:ascii="Times New Roman" w:hAnsi="Times New Roman" w:cs="Times New Roman"/>
          <w:sz w:val="24"/>
          <w:szCs w:val="24"/>
        </w:rPr>
        <w:t xml:space="preserve">The Commission may order a Company to allow a customer whose gross monthly household income does not exceed 150% of the federal poverty level a payment </w:t>
      </w:r>
      <w:r w:rsidRPr="00120E0A">
        <w:rPr>
          <w:rFonts w:ascii="Times New Roman" w:hAnsi="Times New Roman" w:cs="Times New Roman"/>
          <w:spacing w:val="-3"/>
          <w:sz w:val="24"/>
          <w:szCs w:val="24"/>
        </w:rPr>
        <w:t xml:space="preserve">agreement </w:t>
      </w:r>
      <w:r w:rsidRPr="00120E0A">
        <w:rPr>
          <w:rFonts w:ascii="Times New Roman" w:hAnsi="Times New Roman" w:cs="Times New Roman"/>
          <w:sz w:val="24"/>
          <w:szCs w:val="24"/>
        </w:rPr>
        <w:t>over a period of up to five (5) years.  66 Pa.C.S. § 1405(b)(1).</w:t>
      </w:r>
    </w:p>
    <w:p w:rsidR="00234850" w:rsidRPr="00120E0A" w:rsidRDefault="00234850" w:rsidP="00234850">
      <w:pPr>
        <w:pStyle w:val="ListParagraph"/>
        <w:rPr>
          <w:rFonts w:ascii="Times New Roman" w:eastAsiaTheme="minorEastAsia" w:hAnsi="Times New Roman" w:cs="Times New Roman"/>
          <w:sz w:val="24"/>
          <w:szCs w:val="24"/>
        </w:rPr>
      </w:pPr>
    </w:p>
    <w:p w:rsidR="00461154" w:rsidRPr="00120E0A" w:rsidRDefault="00234850" w:rsidP="00461154">
      <w:pPr>
        <w:numPr>
          <w:ilvl w:val="0"/>
          <w:numId w:val="8"/>
        </w:numPr>
        <w:spacing w:after="0" w:line="360" w:lineRule="auto"/>
        <w:ind w:left="0" w:firstLine="1440"/>
        <w:rPr>
          <w:rFonts w:ascii="Times New Roman" w:eastAsiaTheme="minorEastAsia" w:hAnsi="Times New Roman" w:cs="Times New Roman"/>
          <w:sz w:val="24"/>
          <w:szCs w:val="24"/>
        </w:rPr>
      </w:pPr>
      <w:r w:rsidRPr="00120E0A">
        <w:rPr>
          <w:rFonts w:ascii="Times New Roman" w:eastAsiaTheme="minorEastAsia" w:hAnsi="Times New Roman" w:cs="Times New Roman"/>
          <w:sz w:val="24"/>
          <w:szCs w:val="24"/>
        </w:rPr>
        <w:t>The 2014 United States Department of Health poverty income guidelines provide that 100% of the federal poverty level for a household with two residents is $1,310.83 per month.  79 Fed. Reg. 3593-3594</w:t>
      </w:r>
      <w:r w:rsidR="00461154" w:rsidRPr="00120E0A">
        <w:rPr>
          <w:rFonts w:ascii="Times New Roman" w:eastAsiaTheme="minorEastAsia" w:hAnsi="Times New Roman" w:cs="Times New Roman"/>
          <w:sz w:val="24"/>
          <w:szCs w:val="24"/>
        </w:rPr>
        <w:t>.</w:t>
      </w:r>
    </w:p>
    <w:p w:rsidR="00461154" w:rsidRPr="00120E0A" w:rsidRDefault="00461154" w:rsidP="00461154">
      <w:pPr>
        <w:pStyle w:val="ListParagraph"/>
        <w:rPr>
          <w:rFonts w:ascii="Times New Roman" w:eastAsia="Times New Roman" w:hAnsi="Times New Roman" w:cs="Times New Roman"/>
          <w:sz w:val="24"/>
          <w:szCs w:val="24"/>
        </w:rPr>
      </w:pPr>
    </w:p>
    <w:p w:rsidR="00461154" w:rsidRPr="00120E0A" w:rsidRDefault="00461154" w:rsidP="00461154">
      <w:pPr>
        <w:numPr>
          <w:ilvl w:val="0"/>
          <w:numId w:val="8"/>
        </w:numPr>
        <w:spacing w:after="0" w:line="360" w:lineRule="auto"/>
        <w:ind w:left="0" w:firstLine="1440"/>
        <w:rPr>
          <w:rFonts w:ascii="Times New Roman" w:eastAsiaTheme="minorEastAsia" w:hAnsi="Times New Roman" w:cs="Times New Roman"/>
          <w:sz w:val="24"/>
          <w:szCs w:val="24"/>
        </w:rPr>
      </w:pPr>
      <w:r w:rsidRPr="00120E0A">
        <w:rPr>
          <w:rFonts w:ascii="Times New Roman" w:eastAsia="Times New Roman" w:hAnsi="Times New Roman" w:cs="Times New Roman"/>
          <w:sz w:val="24"/>
          <w:szCs w:val="24"/>
        </w:rPr>
        <w:lastRenderedPageBreak/>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Pr="00120E0A">
        <w:rPr>
          <w:rFonts w:ascii="Times New Roman" w:hAnsi="Times New Roman" w:cs="Times New Roman"/>
          <w:sz w:val="24"/>
          <w:szCs w:val="24"/>
        </w:rPr>
        <w:t>66 Pa.C.S. § 1501.</w:t>
      </w:r>
    </w:p>
    <w:p w:rsidR="006C4910" w:rsidRPr="00120E0A" w:rsidRDefault="006C4910" w:rsidP="006C4910">
      <w:pPr>
        <w:pStyle w:val="ListParagraph"/>
        <w:rPr>
          <w:rFonts w:ascii="Times New Roman" w:hAnsi="Times New Roman" w:cs="Times New Roman"/>
          <w:sz w:val="24"/>
          <w:szCs w:val="24"/>
        </w:rPr>
      </w:pPr>
    </w:p>
    <w:p w:rsidR="00F3073F" w:rsidRPr="00120E0A" w:rsidRDefault="00461154"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rPr>
        <w:t xml:space="preserve">Mr. Scotto has failed to </w:t>
      </w:r>
      <w:r w:rsidR="00F3073F" w:rsidRPr="00120E0A">
        <w:rPr>
          <w:rFonts w:ascii="Times New Roman" w:eastAsia="Times New Roman" w:hAnsi="Times New Roman" w:cs="Times New Roman"/>
          <w:sz w:val="24"/>
          <w:szCs w:val="24"/>
        </w:rPr>
        <w:t xml:space="preserve">satisfy </w:t>
      </w:r>
      <w:r w:rsidR="006C4910" w:rsidRPr="00120E0A">
        <w:rPr>
          <w:rFonts w:ascii="Times New Roman" w:eastAsia="Times New Roman" w:hAnsi="Times New Roman" w:cs="Times New Roman"/>
          <w:sz w:val="24"/>
          <w:szCs w:val="24"/>
        </w:rPr>
        <w:t xml:space="preserve">his </w:t>
      </w:r>
      <w:r w:rsidR="00F3073F" w:rsidRPr="00120E0A">
        <w:rPr>
          <w:rFonts w:ascii="Times New Roman" w:eastAsia="Times New Roman" w:hAnsi="Times New Roman" w:cs="Times New Roman"/>
          <w:sz w:val="24"/>
          <w:szCs w:val="24"/>
        </w:rPr>
        <w:t xml:space="preserve">burden of proof to demonstrate that </w:t>
      </w:r>
      <w:r w:rsidRPr="00120E0A">
        <w:rPr>
          <w:rFonts w:ascii="Times New Roman" w:eastAsia="Times New Roman" w:hAnsi="Times New Roman" w:cs="Times New Roman"/>
          <w:sz w:val="24"/>
          <w:szCs w:val="24"/>
        </w:rPr>
        <w:t xml:space="preserve">PPL </w:t>
      </w:r>
      <w:r w:rsidR="00F3073F" w:rsidRPr="00120E0A">
        <w:rPr>
          <w:rFonts w:ascii="Times New Roman" w:eastAsia="Times New Roman" w:hAnsi="Times New Roman" w:cs="Times New Roman"/>
          <w:sz w:val="24"/>
          <w:szCs w:val="24"/>
        </w:rPr>
        <w:t>violated in any</w:t>
      </w:r>
      <w:r w:rsidR="00205C77" w:rsidRPr="00120E0A">
        <w:rPr>
          <w:rFonts w:ascii="Times New Roman" w:eastAsia="Times New Roman" w:hAnsi="Times New Roman" w:cs="Times New Roman"/>
          <w:sz w:val="24"/>
          <w:szCs w:val="24"/>
        </w:rPr>
        <w:t xml:space="preserve"> </w:t>
      </w:r>
      <w:r w:rsidR="00F3073F" w:rsidRPr="00120E0A">
        <w:rPr>
          <w:rFonts w:ascii="Times New Roman" w:eastAsia="Times New Roman" w:hAnsi="Times New Roman" w:cs="Times New Roman"/>
          <w:sz w:val="24"/>
          <w:szCs w:val="24"/>
        </w:rPr>
        <w:t>way the Public Utility Code, any Commission Order or regulation or any Commission-approved Company tariff</w:t>
      </w:r>
      <w:r w:rsidRPr="00120E0A">
        <w:rPr>
          <w:rFonts w:ascii="Times New Roman" w:eastAsia="Times New Roman" w:hAnsi="Times New Roman" w:cs="Times New Roman"/>
          <w:sz w:val="24"/>
          <w:szCs w:val="24"/>
        </w:rPr>
        <w:t xml:space="preserve"> with regard to</w:t>
      </w:r>
      <w:r w:rsidR="00335DA8" w:rsidRPr="00120E0A">
        <w:rPr>
          <w:rFonts w:ascii="Times New Roman" w:eastAsia="Times New Roman" w:hAnsi="Times New Roman" w:cs="Times New Roman"/>
          <w:sz w:val="24"/>
          <w:szCs w:val="24"/>
        </w:rPr>
        <w:t xml:space="preserve"> the accuracy of his bill or PPL’s actions when entering his property to remove his meter</w:t>
      </w:r>
      <w:r w:rsidR="00F3073F" w:rsidRPr="00120E0A">
        <w:rPr>
          <w:rFonts w:ascii="Times New Roman" w:eastAsia="Times New Roman" w:hAnsi="Times New Roman" w:cs="Times New Roman"/>
          <w:sz w:val="24"/>
          <w:szCs w:val="24"/>
        </w:rPr>
        <w:t>.</w:t>
      </w:r>
    </w:p>
    <w:p w:rsidR="00461154" w:rsidRPr="00120E0A" w:rsidRDefault="00461154" w:rsidP="00461154">
      <w:pPr>
        <w:pStyle w:val="ListParagraph"/>
        <w:rPr>
          <w:rFonts w:ascii="Times New Roman" w:eastAsia="Times New Roman" w:hAnsi="Times New Roman" w:cs="Times New Roman"/>
          <w:sz w:val="24"/>
          <w:szCs w:val="24"/>
        </w:rPr>
      </w:pPr>
    </w:p>
    <w:p w:rsidR="00461154" w:rsidRPr="00120E0A" w:rsidRDefault="00461154" w:rsidP="009926DF">
      <w:pPr>
        <w:numPr>
          <w:ilvl w:val="0"/>
          <w:numId w:val="8"/>
        </w:numPr>
        <w:spacing w:after="0" w:line="360" w:lineRule="auto"/>
        <w:ind w:left="0" w:firstLine="1440"/>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 xml:space="preserve">Mr. Scotto </w:t>
      </w:r>
      <w:r w:rsidR="00335DA8" w:rsidRPr="00120E0A">
        <w:rPr>
          <w:rFonts w:ascii="Times New Roman" w:eastAsia="Times New Roman" w:hAnsi="Times New Roman" w:cs="Times New Roman"/>
          <w:sz w:val="24"/>
          <w:szCs w:val="24"/>
        </w:rPr>
        <w:t xml:space="preserve">has satisfied his burden of proof to demonstrate that he </w:t>
      </w:r>
      <w:r w:rsidRPr="00120E0A">
        <w:rPr>
          <w:rFonts w:ascii="Times New Roman" w:eastAsia="Times New Roman" w:hAnsi="Times New Roman" w:cs="Times New Roman"/>
          <w:sz w:val="24"/>
          <w:szCs w:val="24"/>
        </w:rPr>
        <w:t xml:space="preserve">is entitled to a </w:t>
      </w:r>
      <w:r w:rsidR="00335DA8" w:rsidRPr="00120E0A">
        <w:rPr>
          <w:rFonts w:ascii="Times New Roman" w:eastAsia="Times New Roman" w:hAnsi="Times New Roman" w:cs="Times New Roman"/>
          <w:sz w:val="24"/>
          <w:szCs w:val="24"/>
        </w:rPr>
        <w:t>payment agreement of up to five years to pay his outstanding balance owed to PPL.</w:t>
      </w:r>
    </w:p>
    <w:p w:rsidR="00F3073F" w:rsidRPr="00120E0A" w:rsidRDefault="00F3073F" w:rsidP="00F3073F">
      <w:pPr>
        <w:spacing w:after="0" w:line="360" w:lineRule="auto"/>
        <w:rPr>
          <w:rFonts w:ascii="Times New Roman" w:eastAsia="Times New Roman" w:hAnsi="Times New Roman" w:cs="Times New Roman"/>
          <w:sz w:val="24"/>
          <w:szCs w:val="24"/>
        </w:rPr>
      </w:pPr>
    </w:p>
    <w:p w:rsidR="00F3073F" w:rsidRPr="00120E0A" w:rsidRDefault="00F3073F" w:rsidP="00F3073F">
      <w:pPr>
        <w:spacing w:line="240" w:lineRule="auto"/>
        <w:jc w:val="center"/>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ORDER</w:t>
      </w:r>
    </w:p>
    <w:p w:rsidR="00234AE1"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7B531D" w:rsidRPr="00120E0A" w:rsidRDefault="007B531D"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20E0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ab/>
      </w:r>
      <w:r w:rsidRPr="00120E0A">
        <w:rPr>
          <w:rFonts w:ascii="Times New Roman" w:eastAsia="Times New Roman" w:hAnsi="Times New Roman" w:cs="Times New Roman"/>
          <w:sz w:val="24"/>
          <w:szCs w:val="24"/>
        </w:rPr>
        <w:tab/>
        <w:t>THEREFORE,</w:t>
      </w:r>
    </w:p>
    <w:p w:rsidR="00911957" w:rsidRPr="00120E0A"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20E0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ab/>
      </w:r>
      <w:r w:rsidRPr="00120E0A">
        <w:rPr>
          <w:rFonts w:ascii="Times New Roman" w:eastAsia="Times New Roman" w:hAnsi="Times New Roman" w:cs="Times New Roman"/>
          <w:sz w:val="24"/>
          <w:szCs w:val="24"/>
        </w:rPr>
        <w:tab/>
        <w:t>IT IS ORDERED:</w:t>
      </w:r>
    </w:p>
    <w:p w:rsidR="00911957" w:rsidRPr="00120E0A"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9B4F5F" w:rsidRPr="00120E0A"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Tha</w:t>
      </w:r>
      <w:r w:rsidR="00865808" w:rsidRPr="00120E0A">
        <w:rPr>
          <w:rFonts w:ascii="Times New Roman" w:eastAsia="Times New Roman" w:hAnsi="Times New Roman" w:cs="Times New Roman"/>
          <w:spacing w:val="-3"/>
          <w:sz w:val="24"/>
          <w:szCs w:val="24"/>
        </w:rPr>
        <w:t>t</w:t>
      </w:r>
      <w:r w:rsidR="00546DAA" w:rsidRPr="00120E0A">
        <w:rPr>
          <w:rFonts w:ascii="Times New Roman" w:eastAsia="Times New Roman" w:hAnsi="Times New Roman" w:cs="Times New Roman"/>
          <w:spacing w:val="-3"/>
          <w:sz w:val="24"/>
          <w:szCs w:val="24"/>
        </w:rPr>
        <w:t xml:space="preserve"> </w:t>
      </w:r>
      <w:r w:rsidR="009B4F5F" w:rsidRPr="00120E0A">
        <w:rPr>
          <w:rFonts w:ascii="Times New Roman" w:eastAsia="Times New Roman" w:hAnsi="Times New Roman" w:cs="Times New Roman"/>
          <w:spacing w:val="-3"/>
          <w:sz w:val="24"/>
          <w:szCs w:val="24"/>
        </w:rPr>
        <w:t>the formal Complaint filed by Michael Scotto against PPL Electric Utilities Corporation at Docket Number C-2014-2414070 dated April 1, 2014 is hereby granted in part and denied in part.</w:t>
      </w:r>
    </w:p>
    <w:p w:rsidR="009B4F5F" w:rsidRPr="00120E0A" w:rsidRDefault="009B4F5F" w:rsidP="009B4F5F">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9B4F5F" w:rsidRPr="00120E0A" w:rsidRDefault="009B4F5F"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That the portion of </w:t>
      </w:r>
      <w:r w:rsidR="0027224F" w:rsidRPr="00120E0A">
        <w:rPr>
          <w:rFonts w:ascii="Times New Roman" w:eastAsia="Times New Roman" w:hAnsi="Times New Roman" w:cs="Times New Roman"/>
          <w:spacing w:val="-3"/>
          <w:sz w:val="24"/>
          <w:szCs w:val="24"/>
        </w:rPr>
        <w:t>the Complaint filed by Michael Scotto against PPL Electric Utilities Corporation</w:t>
      </w:r>
      <w:r w:rsidRPr="00120E0A">
        <w:rPr>
          <w:rFonts w:ascii="Times New Roman" w:eastAsia="Times New Roman" w:hAnsi="Times New Roman" w:cs="Times New Roman"/>
          <w:spacing w:val="-3"/>
          <w:sz w:val="24"/>
          <w:szCs w:val="24"/>
        </w:rPr>
        <w:t xml:space="preserve"> seeking a payment agreement is hereby granted.</w:t>
      </w:r>
    </w:p>
    <w:p w:rsidR="00B7609E" w:rsidRPr="00120E0A" w:rsidRDefault="00B7609E" w:rsidP="007B531D">
      <w:pPr>
        <w:pStyle w:val="ListParagraph"/>
        <w:spacing w:after="0" w:line="360" w:lineRule="auto"/>
        <w:contextualSpacing w:val="0"/>
        <w:rPr>
          <w:rFonts w:ascii="Times New Roman" w:eastAsia="Times New Roman" w:hAnsi="Times New Roman" w:cs="Times New Roman"/>
          <w:spacing w:val="-3"/>
          <w:sz w:val="24"/>
          <w:szCs w:val="24"/>
        </w:rPr>
      </w:pPr>
    </w:p>
    <w:p w:rsidR="00C95ABE" w:rsidRPr="00120E0A" w:rsidRDefault="004875E1" w:rsidP="00C95AB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lastRenderedPageBreak/>
        <w:t>That</w:t>
      </w:r>
      <w:r w:rsidR="00C95ABE" w:rsidRPr="00120E0A">
        <w:rPr>
          <w:rFonts w:ascii="Times New Roman" w:eastAsia="Times New Roman" w:hAnsi="Times New Roman" w:cs="Times New Roman"/>
          <w:spacing w:val="-3"/>
          <w:sz w:val="24"/>
          <w:szCs w:val="24"/>
        </w:rPr>
        <w:t xml:space="preserve"> within thirty (30) days of the date the Commission enters its Order in this case, PPL Electric Utilities Corporation shall tender a bill to Michael Scotto for the unpaid balance of his electric bill.</w:t>
      </w:r>
    </w:p>
    <w:p w:rsidR="00C95ABE" w:rsidRPr="00120E0A" w:rsidRDefault="00C95ABE" w:rsidP="00C95ABE">
      <w:pPr>
        <w:pStyle w:val="ListParagraph"/>
        <w:spacing w:after="0" w:line="360" w:lineRule="auto"/>
        <w:contextualSpacing w:val="0"/>
        <w:rPr>
          <w:rFonts w:ascii="Times New Roman" w:eastAsia="Times New Roman" w:hAnsi="Times New Roman" w:cs="Times New Roman"/>
          <w:spacing w:val="-3"/>
          <w:sz w:val="24"/>
          <w:szCs w:val="24"/>
        </w:rPr>
      </w:pPr>
    </w:p>
    <w:p w:rsidR="00C95ABE" w:rsidRPr="00120E0A" w:rsidRDefault="00C95ABE" w:rsidP="00C95AB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That within thirty (30) days of the date PPL Electric Utilities Corporation tenders the bill described in paragraph 3, Michael Scotto shall pay PPL Electric Utilities Corporation the regular amount of his bills as they come due, plus 1/60</w:t>
      </w:r>
      <w:r w:rsidRPr="00120E0A">
        <w:rPr>
          <w:rFonts w:ascii="Times New Roman" w:eastAsia="Times New Roman" w:hAnsi="Times New Roman" w:cs="Times New Roman"/>
          <w:spacing w:val="-3"/>
          <w:sz w:val="24"/>
          <w:szCs w:val="24"/>
          <w:vertAlign w:val="superscript"/>
        </w:rPr>
        <w:t>th</w:t>
      </w:r>
      <w:r w:rsidRPr="00120E0A">
        <w:rPr>
          <w:rFonts w:ascii="Times New Roman" w:eastAsia="Times New Roman" w:hAnsi="Times New Roman" w:cs="Times New Roman"/>
          <w:spacing w:val="-3"/>
          <w:sz w:val="24"/>
          <w:szCs w:val="24"/>
        </w:rPr>
        <w:t xml:space="preserve"> of the arrearage owed on his account that accrued continuing thereafter on the due date for the payment of each regular monthly bill, until the arrearage on this account has been paid in full.</w:t>
      </w:r>
    </w:p>
    <w:p w:rsidR="00C95ABE" w:rsidRPr="00120E0A" w:rsidRDefault="00C95ABE" w:rsidP="00C95ABE">
      <w:pPr>
        <w:pStyle w:val="ListParagraph"/>
        <w:spacing w:after="0" w:line="360" w:lineRule="auto"/>
        <w:contextualSpacing w:val="0"/>
        <w:rPr>
          <w:rFonts w:ascii="Times New Roman" w:eastAsia="Times New Roman" w:hAnsi="Times New Roman" w:cs="Times New Roman"/>
          <w:spacing w:val="-3"/>
          <w:sz w:val="24"/>
          <w:szCs w:val="24"/>
        </w:rPr>
      </w:pPr>
    </w:p>
    <w:p w:rsidR="00C95ABE" w:rsidRPr="00120E0A" w:rsidRDefault="00C95ABE" w:rsidP="00C95ABE">
      <w:pPr>
        <w:pStyle w:val="BodyText"/>
        <w:numPr>
          <w:ilvl w:val="0"/>
          <w:numId w:val="5"/>
        </w:numPr>
        <w:spacing w:line="360" w:lineRule="auto"/>
        <w:ind w:left="0" w:firstLine="1440"/>
        <w:jc w:val="left"/>
        <w:rPr>
          <w:szCs w:val="24"/>
        </w:rPr>
      </w:pPr>
      <w:r w:rsidRPr="00120E0A">
        <w:rPr>
          <w:szCs w:val="24"/>
        </w:rPr>
        <w:t xml:space="preserve">That, as long as Michael Scotto complies with the terms of this Order, </w:t>
      </w:r>
      <w:r w:rsidRPr="00120E0A">
        <w:rPr>
          <w:spacing w:val="-3"/>
          <w:szCs w:val="24"/>
        </w:rPr>
        <w:t xml:space="preserve">PPL Electric Utilities Corporation </w:t>
      </w:r>
      <w:r w:rsidRPr="00120E0A">
        <w:rPr>
          <w:szCs w:val="24"/>
        </w:rPr>
        <w:t>shall not suspend or terminate his utility service except for valid safety or emergency reasons.</w:t>
      </w:r>
    </w:p>
    <w:p w:rsidR="00C95ABE" w:rsidRPr="00120E0A" w:rsidRDefault="00C95ABE" w:rsidP="00C95ABE">
      <w:pPr>
        <w:pStyle w:val="ListParagraph"/>
        <w:spacing w:after="0" w:line="360" w:lineRule="auto"/>
        <w:ind w:left="0" w:firstLine="1440"/>
        <w:contextualSpacing w:val="0"/>
        <w:rPr>
          <w:rFonts w:ascii="Times New Roman" w:hAnsi="Times New Roman" w:cs="Times New Roman"/>
          <w:sz w:val="24"/>
          <w:szCs w:val="24"/>
        </w:rPr>
      </w:pPr>
    </w:p>
    <w:p w:rsidR="00B7609E" w:rsidRPr="00120E0A" w:rsidRDefault="00C95ABE" w:rsidP="00C95ABE">
      <w:pPr>
        <w:pStyle w:val="BodyText"/>
        <w:numPr>
          <w:ilvl w:val="0"/>
          <w:numId w:val="5"/>
        </w:numPr>
        <w:spacing w:line="360" w:lineRule="auto"/>
        <w:ind w:left="0" w:firstLine="1440"/>
        <w:jc w:val="left"/>
        <w:rPr>
          <w:szCs w:val="24"/>
        </w:rPr>
      </w:pPr>
      <w:r w:rsidRPr="00120E0A">
        <w:rPr>
          <w:szCs w:val="24"/>
        </w:rPr>
        <w:t xml:space="preserve">That if Michael Scotto fails to comply with the terms of this Order, </w:t>
      </w:r>
      <w:r w:rsidRPr="00120E0A">
        <w:rPr>
          <w:spacing w:val="-3"/>
          <w:szCs w:val="24"/>
        </w:rPr>
        <w:t xml:space="preserve">PPL Electric Utilities Corporation </w:t>
      </w:r>
      <w:r w:rsidRPr="00120E0A">
        <w:rPr>
          <w:szCs w:val="24"/>
        </w:rPr>
        <w:t xml:space="preserve">is authorized to suspend or terminate </w:t>
      </w:r>
      <w:r w:rsidR="002F43CD" w:rsidRPr="00120E0A">
        <w:rPr>
          <w:szCs w:val="24"/>
        </w:rPr>
        <w:t>his</w:t>
      </w:r>
      <w:r w:rsidRPr="00120E0A">
        <w:rPr>
          <w:szCs w:val="24"/>
        </w:rPr>
        <w:t xml:space="preserve"> utility service in compliance with all applicable tariff and regulatory requirements, and to take other action permitted by law.</w:t>
      </w:r>
    </w:p>
    <w:p w:rsidR="009B4F5F" w:rsidRPr="00120E0A" w:rsidRDefault="009B4F5F" w:rsidP="009B4F5F">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9B4F5F" w:rsidRPr="00120E0A" w:rsidRDefault="009B4F5F"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That </w:t>
      </w:r>
      <w:r w:rsidR="0027224F" w:rsidRPr="00120E0A">
        <w:rPr>
          <w:rFonts w:ascii="Times New Roman" w:eastAsia="Times New Roman" w:hAnsi="Times New Roman" w:cs="Times New Roman"/>
          <w:spacing w:val="-3"/>
          <w:sz w:val="24"/>
          <w:szCs w:val="24"/>
        </w:rPr>
        <w:t xml:space="preserve">the portion of the Complaint filed by Michael Scotto against PPL Electric Utilities Corporation </w:t>
      </w:r>
      <w:r w:rsidRPr="00120E0A">
        <w:rPr>
          <w:rFonts w:ascii="Times New Roman" w:eastAsia="Times New Roman" w:hAnsi="Times New Roman" w:cs="Times New Roman"/>
          <w:spacing w:val="-3"/>
          <w:sz w:val="24"/>
          <w:szCs w:val="24"/>
        </w:rPr>
        <w:t>seeking</w:t>
      </w:r>
      <w:r w:rsidR="0027224F" w:rsidRPr="00120E0A">
        <w:rPr>
          <w:rFonts w:ascii="Times New Roman" w:eastAsia="Times New Roman" w:hAnsi="Times New Roman" w:cs="Times New Roman"/>
          <w:spacing w:val="-3"/>
          <w:sz w:val="24"/>
          <w:szCs w:val="24"/>
        </w:rPr>
        <w:t xml:space="preserve"> any adjustments to his bill </w:t>
      </w:r>
      <w:r w:rsidRPr="00120E0A">
        <w:rPr>
          <w:rFonts w:ascii="Times New Roman" w:eastAsia="Times New Roman" w:hAnsi="Times New Roman" w:cs="Times New Roman"/>
          <w:spacing w:val="-3"/>
          <w:sz w:val="24"/>
          <w:szCs w:val="24"/>
        </w:rPr>
        <w:t>is hereby denied.</w:t>
      </w:r>
    </w:p>
    <w:p w:rsidR="0027224F" w:rsidRPr="00120E0A" w:rsidRDefault="0027224F" w:rsidP="007B531D">
      <w:pPr>
        <w:pStyle w:val="ListParagraph"/>
        <w:spacing w:after="0" w:line="360" w:lineRule="auto"/>
        <w:contextualSpacing w:val="0"/>
        <w:rPr>
          <w:rFonts w:ascii="Times New Roman" w:eastAsia="Times New Roman" w:hAnsi="Times New Roman" w:cs="Times New Roman"/>
          <w:spacing w:val="-3"/>
          <w:sz w:val="24"/>
          <w:szCs w:val="24"/>
        </w:rPr>
      </w:pPr>
    </w:p>
    <w:p w:rsidR="0027224F" w:rsidRPr="00120E0A" w:rsidRDefault="0027224F"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That the portion of the Complaint filed by Michael Scotto against PPL Electric Utilities Corporation seeking a finding that PPL’s actions in any</w:t>
      </w:r>
      <w:r w:rsidR="00AB6376">
        <w:rPr>
          <w:rFonts w:ascii="Times New Roman" w:eastAsia="Times New Roman" w:hAnsi="Times New Roman" w:cs="Times New Roman"/>
          <w:spacing w:val="-3"/>
          <w:sz w:val="24"/>
          <w:szCs w:val="24"/>
        </w:rPr>
        <w:t xml:space="preserve"> </w:t>
      </w:r>
      <w:r w:rsidRPr="00120E0A">
        <w:rPr>
          <w:rFonts w:ascii="Times New Roman" w:eastAsia="Times New Roman" w:hAnsi="Times New Roman" w:cs="Times New Roman"/>
          <w:spacing w:val="-3"/>
          <w:sz w:val="24"/>
          <w:szCs w:val="24"/>
        </w:rPr>
        <w:t>way violated the Public Utility Code, a Commission Order or regulation or a Commission-approved Company tariff when entering his property to change the meter is hereby denied.</w:t>
      </w:r>
    </w:p>
    <w:p w:rsidR="005513B6" w:rsidRPr="00120E0A" w:rsidRDefault="005513B6" w:rsidP="005513B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120E0A"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That </w:t>
      </w:r>
      <w:r w:rsidR="00BD5884" w:rsidRPr="00120E0A">
        <w:rPr>
          <w:rFonts w:ascii="Times New Roman" w:eastAsia="Times New Roman" w:hAnsi="Times New Roman" w:cs="Times New Roman"/>
          <w:spacing w:val="-3"/>
          <w:sz w:val="24"/>
          <w:szCs w:val="24"/>
        </w:rPr>
        <w:t>this matter be marked closed.</w:t>
      </w:r>
    </w:p>
    <w:p w:rsidR="00F542ED" w:rsidRPr="00120E0A" w:rsidRDefault="00F542ED" w:rsidP="003156FF">
      <w:pPr>
        <w:spacing w:after="0" w:line="360" w:lineRule="auto"/>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Date:</w:t>
      </w:r>
      <w:r w:rsidRPr="00120E0A">
        <w:rPr>
          <w:rFonts w:ascii="Times New Roman" w:eastAsia="Times New Roman" w:hAnsi="Times New Roman" w:cs="Times New Roman"/>
          <w:spacing w:val="-3"/>
          <w:sz w:val="24"/>
          <w:szCs w:val="24"/>
        </w:rPr>
        <w:tab/>
      </w:r>
      <w:r w:rsidR="00600608" w:rsidRPr="00120E0A">
        <w:rPr>
          <w:rFonts w:ascii="Times New Roman" w:eastAsia="Times New Roman" w:hAnsi="Times New Roman" w:cs="Times New Roman"/>
          <w:spacing w:val="-3"/>
          <w:sz w:val="24"/>
          <w:szCs w:val="24"/>
          <w:u w:val="single"/>
        </w:rPr>
        <w:t xml:space="preserve">November </w:t>
      </w:r>
      <w:r w:rsidR="009B4F5F" w:rsidRPr="00120E0A">
        <w:rPr>
          <w:rFonts w:ascii="Times New Roman" w:eastAsia="Times New Roman" w:hAnsi="Times New Roman" w:cs="Times New Roman"/>
          <w:spacing w:val="-3"/>
          <w:sz w:val="24"/>
          <w:szCs w:val="24"/>
          <w:u w:val="single"/>
        </w:rPr>
        <w:t>10</w:t>
      </w:r>
      <w:r w:rsidR="00042E4D" w:rsidRPr="00120E0A">
        <w:rPr>
          <w:rFonts w:ascii="Times New Roman" w:eastAsia="Times New Roman" w:hAnsi="Times New Roman" w:cs="Times New Roman"/>
          <w:spacing w:val="-3"/>
          <w:sz w:val="24"/>
          <w:szCs w:val="24"/>
          <w:u w:val="single"/>
        </w:rPr>
        <w:t>, 2014</w:t>
      </w: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u w:val="single"/>
        </w:rPr>
        <w:t>______</w:t>
      </w:r>
      <w:r w:rsidR="002369D3" w:rsidRPr="00120E0A">
        <w:rPr>
          <w:rFonts w:ascii="Times New Roman" w:eastAsia="Times New Roman" w:hAnsi="Times New Roman" w:cs="Times New Roman"/>
          <w:spacing w:val="-3"/>
          <w:sz w:val="24"/>
          <w:szCs w:val="24"/>
          <w:u w:val="single"/>
        </w:rPr>
        <w:t>/s/</w:t>
      </w:r>
      <w:r w:rsidRPr="00120E0A">
        <w:rPr>
          <w:rFonts w:ascii="Times New Roman" w:eastAsia="Times New Roman" w:hAnsi="Times New Roman" w:cs="Times New Roman"/>
          <w:spacing w:val="-3"/>
          <w:sz w:val="24"/>
          <w:szCs w:val="24"/>
          <w:u w:val="single"/>
        </w:rPr>
        <w:t>______________________</w:t>
      </w:r>
    </w:p>
    <w:p w:rsidR="00BD5884" w:rsidRPr="00120E0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Joel H. Cheskis</w:t>
      </w:r>
    </w:p>
    <w:p w:rsidR="00C0545A" w:rsidRPr="00120E0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Administrative Law Judge</w:t>
      </w:r>
    </w:p>
    <w:sectPr w:rsidR="00C0545A" w:rsidRPr="00120E0A"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6EC" w:rsidRDefault="004516EC" w:rsidP="00CE5CC7">
      <w:pPr>
        <w:spacing w:after="0" w:line="240" w:lineRule="auto"/>
      </w:pPr>
      <w:r>
        <w:separator/>
      </w:r>
    </w:p>
  </w:endnote>
  <w:endnote w:type="continuationSeparator" w:id="0">
    <w:p w:rsidR="004516EC" w:rsidRDefault="004516E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7E642F">
          <w:rPr>
            <w:rFonts w:ascii="Times New Roman" w:hAnsi="Times New Roman" w:cs="Times New Roman"/>
            <w:noProof/>
            <w:sz w:val="20"/>
            <w:szCs w:val="20"/>
          </w:rPr>
          <w:t>18</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6EC" w:rsidRDefault="004516EC" w:rsidP="00CE5CC7">
      <w:pPr>
        <w:spacing w:after="0" w:line="240" w:lineRule="auto"/>
      </w:pPr>
      <w:r>
        <w:separator/>
      </w:r>
    </w:p>
  </w:footnote>
  <w:footnote w:type="continuationSeparator" w:id="0">
    <w:p w:rsidR="004516EC" w:rsidRDefault="004516EC"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9EE"/>
    <w:multiLevelType w:val="hybridMultilevel"/>
    <w:tmpl w:val="3F96D1B0"/>
    <w:lvl w:ilvl="0" w:tplc="9E521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14F9D"/>
    <w:multiLevelType w:val="hybridMultilevel"/>
    <w:tmpl w:val="F62CB25E"/>
    <w:lvl w:ilvl="0" w:tplc="1D6653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2"/>
  </w:num>
  <w:num w:numId="9">
    <w:abstractNumId w:val="7"/>
  </w:num>
  <w:num w:numId="10">
    <w:abstractNumId w:val="9"/>
  </w:num>
  <w:num w:numId="11">
    <w:abstractNumId w:val="1"/>
  </w:num>
  <w:num w:numId="12">
    <w:abstractNumId w:val="4"/>
  </w:num>
  <w:num w:numId="13">
    <w:abstractNumId w:val="8"/>
  </w:num>
  <w:num w:numId="14">
    <w:abstractNumId w:val="10"/>
  </w:num>
  <w:num w:numId="15">
    <w:abstractNumId w:val="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4D80"/>
    <w:rsid w:val="000050FA"/>
    <w:rsid w:val="00006C19"/>
    <w:rsid w:val="00012008"/>
    <w:rsid w:val="0001449E"/>
    <w:rsid w:val="00015520"/>
    <w:rsid w:val="0001590C"/>
    <w:rsid w:val="00021238"/>
    <w:rsid w:val="00021356"/>
    <w:rsid w:val="000234E1"/>
    <w:rsid w:val="00023BCF"/>
    <w:rsid w:val="000251EC"/>
    <w:rsid w:val="00026F1C"/>
    <w:rsid w:val="00026FA5"/>
    <w:rsid w:val="0002728D"/>
    <w:rsid w:val="00027FD1"/>
    <w:rsid w:val="000300F8"/>
    <w:rsid w:val="0003199B"/>
    <w:rsid w:val="00031E4F"/>
    <w:rsid w:val="00034289"/>
    <w:rsid w:val="00036000"/>
    <w:rsid w:val="000363FC"/>
    <w:rsid w:val="00036A54"/>
    <w:rsid w:val="000373AF"/>
    <w:rsid w:val="00041620"/>
    <w:rsid w:val="0004211C"/>
    <w:rsid w:val="00042C56"/>
    <w:rsid w:val="00042E4D"/>
    <w:rsid w:val="00043BDB"/>
    <w:rsid w:val="00045CAF"/>
    <w:rsid w:val="00046FF6"/>
    <w:rsid w:val="00050838"/>
    <w:rsid w:val="000520BE"/>
    <w:rsid w:val="000541D8"/>
    <w:rsid w:val="0005458B"/>
    <w:rsid w:val="00057FE2"/>
    <w:rsid w:val="00060098"/>
    <w:rsid w:val="00060DE0"/>
    <w:rsid w:val="00063319"/>
    <w:rsid w:val="00064527"/>
    <w:rsid w:val="0006470E"/>
    <w:rsid w:val="0006551D"/>
    <w:rsid w:val="00067938"/>
    <w:rsid w:val="000716EA"/>
    <w:rsid w:val="000717FF"/>
    <w:rsid w:val="00072266"/>
    <w:rsid w:val="00072C48"/>
    <w:rsid w:val="00073B78"/>
    <w:rsid w:val="00073B8C"/>
    <w:rsid w:val="000744ED"/>
    <w:rsid w:val="00075133"/>
    <w:rsid w:val="0007526F"/>
    <w:rsid w:val="000771A8"/>
    <w:rsid w:val="0007745D"/>
    <w:rsid w:val="00077BB3"/>
    <w:rsid w:val="00082E77"/>
    <w:rsid w:val="00084D64"/>
    <w:rsid w:val="00087A9F"/>
    <w:rsid w:val="00087AB2"/>
    <w:rsid w:val="000908F0"/>
    <w:rsid w:val="00091B0C"/>
    <w:rsid w:val="00092CB1"/>
    <w:rsid w:val="0009339A"/>
    <w:rsid w:val="00095BD9"/>
    <w:rsid w:val="000971BF"/>
    <w:rsid w:val="000A00B3"/>
    <w:rsid w:val="000A0BF6"/>
    <w:rsid w:val="000A158D"/>
    <w:rsid w:val="000A229F"/>
    <w:rsid w:val="000A3855"/>
    <w:rsid w:val="000A3859"/>
    <w:rsid w:val="000A3A8D"/>
    <w:rsid w:val="000A471D"/>
    <w:rsid w:val="000A4C3C"/>
    <w:rsid w:val="000A4DE8"/>
    <w:rsid w:val="000A4E11"/>
    <w:rsid w:val="000A5D4D"/>
    <w:rsid w:val="000A61C5"/>
    <w:rsid w:val="000A6A82"/>
    <w:rsid w:val="000B14E0"/>
    <w:rsid w:val="000B2F58"/>
    <w:rsid w:val="000B3E1E"/>
    <w:rsid w:val="000B408A"/>
    <w:rsid w:val="000C11A1"/>
    <w:rsid w:val="000C1494"/>
    <w:rsid w:val="000C24A6"/>
    <w:rsid w:val="000C2935"/>
    <w:rsid w:val="000C4F78"/>
    <w:rsid w:val="000C7035"/>
    <w:rsid w:val="000C7826"/>
    <w:rsid w:val="000C7B96"/>
    <w:rsid w:val="000D099A"/>
    <w:rsid w:val="000D139E"/>
    <w:rsid w:val="000D1F19"/>
    <w:rsid w:val="000D47C8"/>
    <w:rsid w:val="000D6AE6"/>
    <w:rsid w:val="000D790B"/>
    <w:rsid w:val="000E1640"/>
    <w:rsid w:val="000E27B2"/>
    <w:rsid w:val="000E33F8"/>
    <w:rsid w:val="000E4E9E"/>
    <w:rsid w:val="000E52D4"/>
    <w:rsid w:val="000E5B74"/>
    <w:rsid w:val="000E5D90"/>
    <w:rsid w:val="000E6530"/>
    <w:rsid w:val="000E6EE9"/>
    <w:rsid w:val="000E7DEB"/>
    <w:rsid w:val="000E7F1C"/>
    <w:rsid w:val="000F030C"/>
    <w:rsid w:val="000F0344"/>
    <w:rsid w:val="000F22E4"/>
    <w:rsid w:val="000F37ED"/>
    <w:rsid w:val="000F4332"/>
    <w:rsid w:val="000F50D8"/>
    <w:rsid w:val="000F55A4"/>
    <w:rsid w:val="000F5BE3"/>
    <w:rsid w:val="000F72BF"/>
    <w:rsid w:val="000F7547"/>
    <w:rsid w:val="00100404"/>
    <w:rsid w:val="00101043"/>
    <w:rsid w:val="00102838"/>
    <w:rsid w:val="00102B78"/>
    <w:rsid w:val="0010559A"/>
    <w:rsid w:val="001059FC"/>
    <w:rsid w:val="0010690D"/>
    <w:rsid w:val="00106B06"/>
    <w:rsid w:val="00106B61"/>
    <w:rsid w:val="00107408"/>
    <w:rsid w:val="001118A2"/>
    <w:rsid w:val="0011578E"/>
    <w:rsid w:val="00115E94"/>
    <w:rsid w:val="00120E0A"/>
    <w:rsid w:val="00121754"/>
    <w:rsid w:val="00126C09"/>
    <w:rsid w:val="00126ED0"/>
    <w:rsid w:val="001276D8"/>
    <w:rsid w:val="00131BE2"/>
    <w:rsid w:val="0013266B"/>
    <w:rsid w:val="001350E9"/>
    <w:rsid w:val="0013679C"/>
    <w:rsid w:val="00137ED0"/>
    <w:rsid w:val="00140069"/>
    <w:rsid w:val="001407AB"/>
    <w:rsid w:val="001419A4"/>
    <w:rsid w:val="0014223C"/>
    <w:rsid w:val="001430B7"/>
    <w:rsid w:val="0014389B"/>
    <w:rsid w:val="001467FE"/>
    <w:rsid w:val="00147CB3"/>
    <w:rsid w:val="00150194"/>
    <w:rsid w:val="0015081F"/>
    <w:rsid w:val="0015275D"/>
    <w:rsid w:val="00153DC7"/>
    <w:rsid w:val="00154C2A"/>
    <w:rsid w:val="001552C8"/>
    <w:rsid w:val="001560CF"/>
    <w:rsid w:val="001565B1"/>
    <w:rsid w:val="00156ABE"/>
    <w:rsid w:val="00157976"/>
    <w:rsid w:val="00160972"/>
    <w:rsid w:val="00163297"/>
    <w:rsid w:val="001664D5"/>
    <w:rsid w:val="00170875"/>
    <w:rsid w:val="001733CC"/>
    <w:rsid w:val="001742E1"/>
    <w:rsid w:val="00174C59"/>
    <w:rsid w:val="00175318"/>
    <w:rsid w:val="00176282"/>
    <w:rsid w:val="00177DB0"/>
    <w:rsid w:val="00182DE8"/>
    <w:rsid w:val="00183941"/>
    <w:rsid w:val="001841F0"/>
    <w:rsid w:val="00187551"/>
    <w:rsid w:val="0018764C"/>
    <w:rsid w:val="001910F7"/>
    <w:rsid w:val="00191567"/>
    <w:rsid w:val="00195C7C"/>
    <w:rsid w:val="001A3D98"/>
    <w:rsid w:val="001A4C9A"/>
    <w:rsid w:val="001A6FDF"/>
    <w:rsid w:val="001A7BA3"/>
    <w:rsid w:val="001B042A"/>
    <w:rsid w:val="001B3CB0"/>
    <w:rsid w:val="001B3DFD"/>
    <w:rsid w:val="001B4273"/>
    <w:rsid w:val="001B4591"/>
    <w:rsid w:val="001B4BBC"/>
    <w:rsid w:val="001B5704"/>
    <w:rsid w:val="001B5A2D"/>
    <w:rsid w:val="001C1617"/>
    <w:rsid w:val="001C4837"/>
    <w:rsid w:val="001C74FD"/>
    <w:rsid w:val="001C7AFE"/>
    <w:rsid w:val="001D0B92"/>
    <w:rsid w:val="001D135D"/>
    <w:rsid w:val="001D2A67"/>
    <w:rsid w:val="001D4441"/>
    <w:rsid w:val="001D6796"/>
    <w:rsid w:val="001D7453"/>
    <w:rsid w:val="001E1F3A"/>
    <w:rsid w:val="001E60EF"/>
    <w:rsid w:val="001E69C5"/>
    <w:rsid w:val="001E6AE2"/>
    <w:rsid w:val="001F0D35"/>
    <w:rsid w:val="001F1682"/>
    <w:rsid w:val="001F1B85"/>
    <w:rsid w:val="001F2B83"/>
    <w:rsid w:val="001F3C32"/>
    <w:rsid w:val="001F6B8C"/>
    <w:rsid w:val="00202808"/>
    <w:rsid w:val="00202DAB"/>
    <w:rsid w:val="00202F76"/>
    <w:rsid w:val="0020436B"/>
    <w:rsid w:val="00205C77"/>
    <w:rsid w:val="002066F2"/>
    <w:rsid w:val="002077E2"/>
    <w:rsid w:val="00207BF2"/>
    <w:rsid w:val="00211938"/>
    <w:rsid w:val="002134C4"/>
    <w:rsid w:val="00213B6F"/>
    <w:rsid w:val="0021418B"/>
    <w:rsid w:val="0021464B"/>
    <w:rsid w:val="002155E5"/>
    <w:rsid w:val="00215947"/>
    <w:rsid w:val="002174FE"/>
    <w:rsid w:val="00217A5E"/>
    <w:rsid w:val="00217D46"/>
    <w:rsid w:val="00220F28"/>
    <w:rsid w:val="002210E3"/>
    <w:rsid w:val="00221E55"/>
    <w:rsid w:val="00222235"/>
    <w:rsid w:val="00222EB4"/>
    <w:rsid w:val="00224E73"/>
    <w:rsid w:val="00226F0D"/>
    <w:rsid w:val="00230803"/>
    <w:rsid w:val="00231EE5"/>
    <w:rsid w:val="002328A0"/>
    <w:rsid w:val="002338E4"/>
    <w:rsid w:val="00234850"/>
    <w:rsid w:val="00234AE1"/>
    <w:rsid w:val="00236196"/>
    <w:rsid w:val="002369D3"/>
    <w:rsid w:val="00236D1E"/>
    <w:rsid w:val="00237B23"/>
    <w:rsid w:val="00237FB5"/>
    <w:rsid w:val="00240068"/>
    <w:rsid w:val="00242E9C"/>
    <w:rsid w:val="002436DC"/>
    <w:rsid w:val="00243987"/>
    <w:rsid w:val="00244684"/>
    <w:rsid w:val="00247BF4"/>
    <w:rsid w:val="00250298"/>
    <w:rsid w:val="0025062F"/>
    <w:rsid w:val="00251315"/>
    <w:rsid w:val="00251970"/>
    <w:rsid w:val="00251E94"/>
    <w:rsid w:val="00252DF9"/>
    <w:rsid w:val="002530D0"/>
    <w:rsid w:val="0025310D"/>
    <w:rsid w:val="00253E7A"/>
    <w:rsid w:val="00255B70"/>
    <w:rsid w:val="00255EC1"/>
    <w:rsid w:val="00255F09"/>
    <w:rsid w:val="00257289"/>
    <w:rsid w:val="00257A54"/>
    <w:rsid w:val="00260C4F"/>
    <w:rsid w:val="00261FBC"/>
    <w:rsid w:val="00263E76"/>
    <w:rsid w:val="0026540F"/>
    <w:rsid w:val="002656E3"/>
    <w:rsid w:val="002663D8"/>
    <w:rsid w:val="00266E8E"/>
    <w:rsid w:val="002711EB"/>
    <w:rsid w:val="00271299"/>
    <w:rsid w:val="0027224F"/>
    <w:rsid w:val="00274ACE"/>
    <w:rsid w:val="00275560"/>
    <w:rsid w:val="00275D5F"/>
    <w:rsid w:val="00284B72"/>
    <w:rsid w:val="00286E73"/>
    <w:rsid w:val="002902FF"/>
    <w:rsid w:val="002907C5"/>
    <w:rsid w:val="00294C65"/>
    <w:rsid w:val="002968DA"/>
    <w:rsid w:val="00296A92"/>
    <w:rsid w:val="00297BEB"/>
    <w:rsid w:val="002A1AE1"/>
    <w:rsid w:val="002A3A28"/>
    <w:rsid w:val="002A526C"/>
    <w:rsid w:val="002A54D6"/>
    <w:rsid w:val="002A5579"/>
    <w:rsid w:val="002B19C8"/>
    <w:rsid w:val="002B23B6"/>
    <w:rsid w:val="002B24CB"/>
    <w:rsid w:val="002B508E"/>
    <w:rsid w:val="002B6F8A"/>
    <w:rsid w:val="002B7BCA"/>
    <w:rsid w:val="002C01B2"/>
    <w:rsid w:val="002C09FD"/>
    <w:rsid w:val="002C0B85"/>
    <w:rsid w:val="002C1169"/>
    <w:rsid w:val="002C2CAC"/>
    <w:rsid w:val="002C4C01"/>
    <w:rsid w:val="002C534D"/>
    <w:rsid w:val="002D09AF"/>
    <w:rsid w:val="002D12C2"/>
    <w:rsid w:val="002D16A5"/>
    <w:rsid w:val="002D1E8D"/>
    <w:rsid w:val="002D270E"/>
    <w:rsid w:val="002D37D4"/>
    <w:rsid w:val="002D39FC"/>
    <w:rsid w:val="002D3A6C"/>
    <w:rsid w:val="002D552A"/>
    <w:rsid w:val="002D59EB"/>
    <w:rsid w:val="002D655B"/>
    <w:rsid w:val="002D6DD3"/>
    <w:rsid w:val="002D7A1E"/>
    <w:rsid w:val="002E0B51"/>
    <w:rsid w:val="002E1645"/>
    <w:rsid w:val="002E3622"/>
    <w:rsid w:val="002E55D3"/>
    <w:rsid w:val="002E6262"/>
    <w:rsid w:val="002E6BEB"/>
    <w:rsid w:val="002F069A"/>
    <w:rsid w:val="002F1232"/>
    <w:rsid w:val="002F14B0"/>
    <w:rsid w:val="002F1BCB"/>
    <w:rsid w:val="002F2517"/>
    <w:rsid w:val="002F36FD"/>
    <w:rsid w:val="002F43CD"/>
    <w:rsid w:val="002F6446"/>
    <w:rsid w:val="003036DD"/>
    <w:rsid w:val="0030374C"/>
    <w:rsid w:val="003037E3"/>
    <w:rsid w:val="00305DC5"/>
    <w:rsid w:val="00307BBA"/>
    <w:rsid w:val="003118AB"/>
    <w:rsid w:val="003133D5"/>
    <w:rsid w:val="003142E6"/>
    <w:rsid w:val="00314D70"/>
    <w:rsid w:val="003156FF"/>
    <w:rsid w:val="00316FBC"/>
    <w:rsid w:val="00317E21"/>
    <w:rsid w:val="003227D9"/>
    <w:rsid w:val="00323140"/>
    <w:rsid w:val="00323BE8"/>
    <w:rsid w:val="00323E6F"/>
    <w:rsid w:val="003240E8"/>
    <w:rsid w:val="00324FF3"/>
    <w:rsid w:val="0032660A"/>
    <w:rsid w:val="00326DFD"/>
    <w:rsid w:val="0032722A"/>
    <w:rsid w:val="00327A00"/>
    <w:rsid w:val="00327CE4"/>
    <w:rsid w:val="00331BC6"/>
    <w:rsid w:val="00331D0E"/>
    <w:rsid w:val="00331F52"/>
    <w:rsid w:val="00334348"/>
    <w:rsid w:val="00334908"/>
    <w:rsid w:val="00334ABF"/>
    <w:rsid w:val="00335B60"/>
    <w:rsid w:val="00335DA8"/>
    <w:rsid w:val="00337203"/>
    <w:rsid w:val="00341891"/>
    <w:rsid w:val="00341BB6"/>
    <w:rsid w:val="00342D4C"/>
    <w:rsid w:val="00343CA6"/>
    <w:rsid w:val="003447A8"/>
    <w:rsid w:val="00346F2E"/>
    <w:rsid w:val="003471D2"/>
    <w:rsid w:val="00347BE6"/>
    <w:rsid w:val="00350CEE"/>
    <w:rsid w:val="003519EE"/>
    <w:rsid w:val="00352D57"/>
    <w:rsid w:val="0035349B"/>
    <w:rsid w:val="0035503E"/>
    <w:rsid w:val="0035507E"/>
    <w:rsid w:val="003554FC"/>
    <w:rsid w:val="00356E4D"/>
    <w:rsid w:val="003572F6"/>
    <w:rsid w:val="00357DA3"/>
    <w:rsid w:val="00361253"/>
    <w:rsid w:val="00361D70"/>
    <w:rsid w:val="00362A3B"/>
    <w:rsid w:val="00362F40"/>
    <w:rsid w:val="003645F4"/>
    <w:rsid w:val="003650DC"/>
    <w:rsid w:val="00366734"/>
    <w:rsid w:val="00367503"/>
    <w:rsid w:val="003700EE"/>
    <w:rsid w:val="00371B92"/>
    <w:rsid w:val="00372F05"/>
    <w:rsid w:val="00374453"/>
    <w:rsid w:val="00377701"/>
    <w:rsid w:val="00381591"/>
    <w:rsid w:val="00381A97"/>
    <w:rsid w:val="003849A6"/>
    <w:rsid w:val="00384A60"/>
    <w:rsid w:val="003851E6"/>
    <w:rsid w:val="003875F3"/>
    <w:rsid w:val="00392A0D"/>
    <w:rsid w:val="0039324C"/>
    <w:rsid w:val="003947D2"/>
    <w:rsid w:val="00394984"/>
    <w:rsid w:val="0039591E"/>
    <w:rsid w:val="0039741D"/>
    <w:rsid w:val="00397B74"/>
    <w:rsid w:val="003A10B4"/>
    <w:rsid w:val="003A1328"/>
    <w:rsid w:val="003A1E9A"/>
    <w:rsid w:val="003A30C3"/>
    <w:rsid w:val="003A395A"/>
    <w:rsid w:val="003A3D69"/>
    <w:rsid w:val="003A5964"/>
    <w:rsid w:val="003B09EF"/>
    <w:rsid w:val="003B19EC"/>
    <w:rsid w:val="003B1A04"/>
    <w:rsid w:val="003B269D"/>
    <w:rsid w:val="003B30D2"/>
    <w:rsid w:val="003B3150"/>
    <w:rsid w:val="003B4356"/>
    <w:rsid w:val="003B608E"/>
    <w:rsid w:val="003B6AFB"/>
    <w:rsid w:val="003C09D0"/>
    <w:rsid w:val="003C0BCC"/>
    <w:rsid w:val="003C2330"/>
    <w:rsid w:val="003C2F62"/>
    <w:rsid w:val="003C4155"/>
    <w:rsid w:val="003C61FF"/>
    <w:rsid w:val="003C6A0B"/>
    <w:rsid w:val="003C738C"/>
    <w:rsid w:val="003C7B7B"/>
    <w:rsid w:val="003C7BFB"/>
    <w:rsid w:val="003D2DE1"/>
    <w:rsid w:val="003D7311"/>
    <w:rsid w:val="003D745B"/>
    <w:rsid w:val="003D7CA0"/>
    <w:rsid w:val="003F08D5"/>
    <w:rsid w:val="003F0973"/>
    <w:rsid w:val="003F1553"/>
    <w:rsid w:val="003F1A9E"/>
    <w:rsid w:val="003F2B4C"/>
    <w:rsid w:val="003F2C07"/>
    <w:rsid w:val="003F37DF"/>
    <w:rsid w:val="003F3921"/>
    <w:rsid w:val="003F4AD8"/>
    <w:rsid w:val="003F552D"/>
    <w:rsid w:val="00402396"/>
    <w:rsid w:val="00403CCF"/>
    <w:rsid w:val="0040505B"/>
    <w:rsid w:val="00407DE3"/>
    <w:rsid w:val="004104EA"/>
    <w:rsid w:val="00410793"/>
    <w:rsid w:val="00411601"/>
    <w:rsid w:val="004118FD"/>
    <w:rsid w:val="00412A4B"/>
    <w:rsid w:val="00413398"/>
    <w:rsid w:val="00414B1E"/>
    <w:rsid w:val="00415A33"/>
    <w:rsid w:val="00417304"/>
    <w:rsid w:val="00420D62"/>
    <w:rsid w:val="0042381E"/>
    <w:rsid w:val="00423D0E"/>
    <w:rsid w:val="0042401A"/>
    <w:rsid w:val="004254C8"/>
    <w:rsid w:val="004255B4"/>
    <w:rsid w:val="00425B3D"/>
    <w:rsid w:val="00425DB3"/>
    <w:rsid w:val="00426BB6"/>
    <w:rsid w:val="004279D6"/>
    <w:rsid w:val="00427CF8"/>
    <w:rsid w:val="0043241D"/>
    <w:rsid w:val="004325FB"/>
    <w:rsid w:val="00432677"/>
    <w:rsid w:val="004329F3"/>
    <w:rsid w:val="00433943"/>
    <w:rsid w:val="004350E0"/>
    <w:rsid w:val="00435218"/>
    <w:rsid w:val="004358AF"/>
    <w:rsid w:val="00437035"/>
    <w:rsid w:val="00437B56"/>
    <w:rsid w:val="00440FB8"/>
    <w:rsid w:val="0044133D"/>
    <w:rsid w:val="00441490"/>
    <w:rsid w:val="004419C8"/>
    <w:rsid w:val="00441DCD"/>
    <w:rsid w:val="00444FDF"/>
    <w:rsid w:val="004454AC"/>
    <w:rsid w:val="004463D6"/>
    <w:rsid w:val="00450EBA"/>
    <w:rsid w:val="004516EC"/>
    <w:rsid w:val="00453EA6"/>
    <w:rsid w:val="00454069"/>
    <w:rsid w:val="00454524"/>
    <w:rsid w:val="00454ADE"/>
    <w:rsid w:val="00461154"/>
    <w:rsid w:val="00464227"/>
    <w:rsid w:val="0046548B"/>
    <w:rsid w:val="0046640B"/>
    <w:rsid w:val="0046776F"/>
    <w:rsid w:val="0047074B"/>
    <w:rsid w:val="004707D5"/>
    <w:rsid w:val="004717AF"/>
    <w:rsid w:val="00473C95"/>
    <w:rsid w:val="004742EE"/>
    <w:rsid w:val="00474D77"/>
    <w:rsid w:val="004767A3"/>
    <w:rsid w:val="0048064E"/>
    <w:rsid w:val="00480826"/>
    <w:rsid w:val="00480B88"/>
    <w:rsid w:val="00484601"/>
    <w:rsid w:val="00484965"/>
    <w:rsid w:val="00485726"/>
    <w:rsid w:val="00485980"/>
    <w:rsid w:val="00485FFF"/>
    <w:rsid w:val="004869D7"/>
    <w:rsid w:val="004875E1"/>
    <w:rsid w:val="0048783E"/>
    <w:rsid w:val="00487B53"/>
    <w:rsid w:val="00491C46"/>
    <w:rsid w:val="00491D68"/>
    <w:rsid w:val="00492093"/>
    <w:rsid w:val="00492753"/>
    <w:rsid w:val="004963A8"/>
    <w:rsid w:val="00496786"/>
    <w:rsid w:val="00497468"/>
    <w:rsid w:val="004A2EEF"/>
    <w:rsid w:val="004A4305"/>
    <w:rsid w:val="004B0500"/>
    <w:rsid w:val="004B2BF7"/>
    <w:rsid w:val="004B33AD"/>
    <w:rsid w:val="004B5A63"/>
    <w:rsid w:val="004B6090"/>
    <w:rsid w:val="004B6257"/>
    <w:rsid w:val="004B66A1"/>
    <w:rsid w:val="004C1116"/>
    <w:rsid w:val="004C1368"/>
    <w:rsid w:val="004C2F0D"/>
    <w:rsid w:val="004C535A"/>
    <w:rsid w:val="004C585E"/>
    <w:rsid w:val="004C5EEE"/>
    <w:rsid w:val="004C6F0F"/>
    <w:rsid w:val="004C76AE"/>
    <w:rsid w:val="004D3179"/>
    <w:rsid w:val="004D3A5D"/>
    <w:rsid w:val="004D4452"/>
    <w:rsid w:val="004D4D94"/>
    <w:rsid w:val="004D52B0"/>
    <w:rsid w:val="004E2B43"/>
    <w:rsid w:val="004E30DB"/>
    <w:rsid w:val="004E42DA"/>
    <w:rsid w:val="004E4CAE"/>
    <w:rsid w:val="004E5077"/>
    <w:rsid w:val="004E68CA"/>
    <w:rsid w:val="004E6A10"/>
    <w:rsid w:val="004E75C6"/>
    <w:rsid w:val="004F0409"/>
    <w:rsid w:val="004F19C8"/>
    <w:rsid w:val="004F2189"/>
    <w:rsid w:val="004F24E7"/>
    <w:rsid w:val="004F3090"/>
    <w:rsid w:val="004F3C38"/>
    <w:rsid w:val="004F4494"/>
    <w:rsid w:val="004F4C98"/>
    <w:rsid w:val="004F6D81"/>
    <w:rsid w:val="004F6ECF"/>
    <w:rsid w:val="0050102A"/>
    <w:rsid w:val="0050183A"/>
    <w:rsid w:val="005020A7"/>
    <w:rsid w:val="0050211C"/>
    <w:rsid w:val="005051B0"/>
    <w:rsid w:val="0050570A"/>
    <w:rsid w:val="005065B2"/>
    <w:rsid w:val="00510E39"/>
    <w:rsid w:val="0051166D"/>
    <w:rsid w:val="00511BAD"/>
    <w:rsid w:val="005136FE"/>
    <w:rsid w:val="0052097B"/>
    <w:rsid w:val="00524329"/>
    <w:rsid w:val="00524C84"/>
    <w:rsid w:val="00526FA7"/>
    <w:rsid w:val="00530E51"/>
    <w:rsid w:val="00532C1C"/>
    <w:rsid w:val="0053404D"/>
    <w:rsid w:val="00537491"/>
    <w:rsid w:val="00537C12"/>
    <w:rsid w:val="00541315"/>
    <w:rsid w:val="005425AD"/>
    <w:rsid w:val="00543DA1"/>
    <w:rsid w:val="005454BE"/>
    <w:rsid w:val="00546DAA"/>
    <w:rsid w:val="00547FAC"/>
    <w:rsid w:val="00550534"/>
    <w:rsid w:val="005513B6"/>
    <w:rsid w:val="00553AE1"/>
    <w:rsid w:val="0055556B"/>
    <w:rsid w:val="00555F32"/>
    <w:rsid w:val="00560D44"/>
    <w:rsid w:val="005617E8"/>
    <w:rsid w:val="00563A2E"/>
    <w:rsid w:val="005661E6"/>
    <w:rsid w:val="00566A1B"/>
    <w:rsid w:val="00570DB6"/>
    <w:rsid w:val="00573643"/>
    <w:rsid w:val="00574154"/>
    <w:rsid w:val="00574597"/>
    <w:rsid w:val="005749CB"/>
    <w:rsid w:val="00575843"/>
    <w:rsid w:val="00577979"/>
    <w:rsid w:val="00577A8C"/>
    <w:rsid w:val="005815E6"/>
    <w:rsid w:val="005817C2"/>
    <w:rsid w:val="00582CDF"/>
    <w:rsid w:val="005835DB"/>
    <w:rsid w:val="00585E8C"/>
    <w:rsid w:val="0058613B"/>
    <w:rsid w:val="00586A65"/>
    <w:rsid w:val="005879C4"/>
    <w:rsid w:val="00587F44"/>
    <w:rsid w:val="00592A96"/>
    <w:rsid w:val="0059533E"/>
    <w:rsid w:val="00596471"/>
    <w:rsid w:val="00597C1A"/>
    <w:rsid w:val="00597CEB"/>
    <w:rsid w:val="00597EF7"/>
    <w:rsid w:val="005A3CAE"/>
    <w:rsid w:val="005A4D40"/>
    <w:rsid w:val="005A7B61"/>
    <w:rsid w:val="005B0E9A"/>
    <w:rsid w:val="005B1533"/>
    <w:rsid w:val="005B2A18"/>
    <w:rsid w:val="005B3E6A"/>
    <w:rsid w:val="005B4311"/>
    <w:rsid w:val="005B4665"/>
    <w:rsid w:val="005B50DA"/>
    <w:rsid w:val="005B5A10"/>
    <w:rsid w:val="005B7C0A"/>
    <w:rsid w:val="005C0434"/>
    <w:rsid w:val="005C2B3B"/>
    <w:rsid w:val="005C301D"/>
    <w:rsid w:val="005C6483"/>
    <w:rsid w:val="005C7F71"/>
    <w:rsid w:val="005D018C"/>
    <w:rsid w:val="005D24B1"/>
    <w:rsid w:val="005D5009"/>
    <w:rsid w:val="005D5C04"/>
    <w:rsid w:val="005D7AB6"/>
    <w:rsid w:val="005D7B32"/>
    <w:rsid w:val="005E0264"/>
    <w:rsid w:val="005E0DA9"/>
    <w:rsid w:val="005E2E09"/>
    <w:rsid w:val="005E2EB8"/>
    <w:rsid w:val="005E5C98"/>
    <w:rsid w:val="005E7111"/>
    <w:rsid w:val="005E75AD"/>
    <w:rsid w:val="005E77E0"/>
    <w:rsid w:val="005E7EAB"/>
    <w:rsid w:val="005F0BA7"/>
    <w:rsid w:val="005F1197"/>
    <w:rsid w:val="005F1D5C"/>
    <w:rsid w:val="005F1E70"/>
    <w:rsid w:val="005F2719"/>
    <w:rsid w:val="005F40DE"/>
    <w:rsid w:val="005F42B8"/>
    <w:rsid w:val="005F437F"/>
    <w:rsid w:val="005F49B7"/>
    <w:rsid w:val="005F4C90"/>
    <w:rsid w:val="005F7C15"/>
    <w:rsid w:val="00600608"/>
    <w:rsid w:val="006031F0"/>
    <w:rsid w:val="0060327F"/>
    <w:rsid w:val="00605239"/>
    <w:rsid w:val="00607B04"/>
    <w:rsid w:val="0061054D"/>
    <w:rsid w:val="00610937"/>
    <w:rsid w:val="00611300"/>
    <w:rsid w:val="00611860"/>
    <w:rsid w:val="006136A7"/>
    <w:rsid w:val="00614592"/>
    <w:rsid w:val="00616ACC"/>
    <w:rsid w:val="00617602"/>
    <w:rsid w:val="00617678"/>
    <w:rsid w:val="0062005A"/>
    <w:rsid w:val="006203F8"/>
    <w:rsid w:val="0062459F"/>
    <w:rsid w:val="00627140"/>
    <w:rsid w:val="0062772E"/>
    <w:rsid w:val="00627753"/>
    <w:rsid w:val="00631D19"/>
    <w:rsid w:val="006331D3"/>
    <w:rsid w:val="006344D3"/>
    <w:rsid w:val="00637D56"/>
    <w:rsid w:val="0064177E"/>
    <w:rsid w:val="00643607"/>
    <w:rsid w:val="00644B50"/>
    <w:rsid w:val="00646741"/>
    <w:rsid w:val="00650AE8"/>
    <w:rsid w:val="00650B04"/>
    <w:rsid w:val="00651784"/>
    <w:rsid w:val="00652400"/>
    <w:rsid w:val="00654603"/>
    <w:rsid w:val="00660EC0"/>
    <w:rsid w:val="0066229D"/>
    <w:rsid w:val="00662E1A"/>
    <w:rsid w:val="0066427F"/>
    <w:rsid w:val="006651C7"/>
    <w:rsid w:val="00665EA8"/>
    <w:rsid w:val="006664E3"/>
    <w:rsid w:val="0066777E"/>
    <w:rsid w:val="006714D8"/>
    <w:rsid w:val="00673927"/>
    <w:rsid w:val="006744FF"/>
    <w:rsid w:val="006753FE"/>
    <w:rsid w:val="00676AC2"/>
    <w:rsid w:val="00680701"/>
    <w:rsid w:val="0068076A"/>
    <w:rsid w:val="00680C2A"/>
    <w:rsid w:val="006812CB"/>
    <w:rsid w:val="00681ABE"/>
    <w:rsid w:val="00682C34"/>
    <w:rsid w:val="00683914"/>
    <w:rsid w:val="006850F0"/>
    <w:rsid w:val="0069084D"/>
    <w:rsid w:val="00690BF1"/>
    <w:rsid w:val="00691849"/>
    <w:rsid w:val="00692187"/>
    <w:rsid w:val="0069743C"/>
    <w:rsid w:val="00697874"/>
    <w:rsid w:val="00697F98"/>
    <w:rsid w:val="006A0024"/>
    <w:rsid w:val="006A0171"/>
    <w:rsid w:val="006A0816"/>
    <w:rsid w:val="006A216A"/>
    <w:rsid w:val="006A24FE"/>
    <w:rsid w:val="006A34AA"/>
    <w:rsid w:val="006A3BDA"/>
    <w:rsid w:val="006A58AE"/>
    <w:rsid w:val="006A5AAF"/>
    <w:rsid w:val="006B17D1"/>
    <w:rsid w:val="006B2BD0"/>
    <w:rsid w:val="006B31B6"/>
    <w:rsid w:val="006B6034"/>
    <w:rsid w:val="006B7016"/>
    <w:rsid w:val="006C223F"/>
    <w:rsid w:val="006C264A"/>
    <w:rsid w:val="006C2F2B"/>
    <w:rsid w:val="006C3D50"/>
    <w:rsid w:val="006C4910"/>
    <w:rsid w:val="006C575A"/>
    <w:rsid w:val="006D1F2D"/>
    <w:rsid w:val="006D2079"/>
    <w:rsid w:val="006D2B0F"/>
    <w:rsid w:val="006D4A33"/>
    <w:rsid w:val="006E0689"/>
    <w:rsid w:val="006E0AEB"/>
    <w:rsid w:val="006E28B6"/>
    <w:rsid w:val="006E2AF0"/>
    <w:rsid w:val="006E3537"/>
    <w:rsid w:val="006E3813"/>
    <w:rsid w:val="006E3C88"/>
    <w:rsid w:val="006E44E2"/>
    <w:rsid w:val="006E4546"/>
    <w:rsid w:val="006E46D9"/>
    <w:rsid w:val="006E57C8"/>
    <w:rsid w:val="006E61D0"/>
    <w:rsid w:val="006E65E3"/>
    <w:rsid w:val="006E675A"/>
    <w:rsid w:val="006F07CB"/>
    <w:rsid w:val="006F2393"/>
    <w:rsid w:val="006F3077"/>
    <w:rsid w:val="006F4D29"/>
    <w:rsid w:val="006F5A5C"/>
    <w:rsid w:val="006F6A17"/>
    <w:rsid w:val="006F76E2"/>
    <w:rsid w:val="00701200"/>
    <w:rsid w:val="00701C45"/>
    <w:rsid w:val="007026AE"/>
    <w:rsid w:val="00705120"/>
    <w:rsid w:val="0070519C"/>
    <w:rsid w:val="00705263"/>
    <w:rsid w:val="0070563A"/>
    <w:rsid w:val="00705B90"/>
    <w:rsid w:val="00706757"/>
    <w:rsid w:val="007072CE"/>
    <w:rsid w:val="0071021E"/>
    <w:rsid w:val="00710942"/>
    <w:rsid w:val="00710D8A"/>
    <w:rsid w:val="007150B9"/>
    <w:rsid w:val="00715BEF"/>
    <w:rsid w:val="00717822"/>
    <w:rsid w:val="0072477D"/>
    <w:rsid w:val="0072505B"/>
    <w:rsid w:val="007257B0"/>
    <w:rsid w:val="00725FAB"/>
    <w:rsid w:val="007272ED"/>
    <w:rsid w:val="00727441"/>
    <w:rsid w:val="0072795D"/>
    <w:rsid w:val="00727CB0"/>
    <w:rsid w:val="0073393E"/>
    <w:rsid w:val="0074068F"/>
    <w:rsid w:val="00741C01"/>
    <w:rsid w:val="00743040"/>
    <w:rsid w:val="00744976"/>
    <w:rsid w:val="00745246"/>
    <w:rsid w:val="00745B5E"/>
    <w:rsid w:val="00745FC5"/>
    <w:rsid w:val="00746037"/>
    <w:rsid w:val="00746A57"/>
    <w:rsid w:val="00750CAD"/>
    <w:rsid w:val="007528E8"/>
    <w:rsid w:val="00753EE4"/>
    <w:rsid w:val="0075471E"/>
    <w:rsid w:val="00754995"/>
    <w:rsid w:val="00754C87"/>
    <w:rsid w:val="007573F7"/>
    <w:rsid w:val="00762FFF"/>
    <w:rsid w:val="0076341D"/>
    <w:rsid w:val="00763B52"/>
    <w:rsid w:val="00765169"/>
    <w:rsid w:val="007661F1"/>
    <w:rsid w:val="0077152B"/>
    <w:rsid w:val="0077202F"/>
    <w:rsid w:val="0077506B"/>
    <w:rsid w:val="00777894"/>
    <w:rsid w:val="00781110"/>
    <w:rsid w:val="0078267D"/>
    <w:rsid w:val="00782DAD"/>
    <w:rsid w:val="007831BB"/>
    <w:rsid w:val="00793371"/>
    <w:rsid w:val="00793B29"/>
    <w:rsid w:val="007940A6"/>
    <w:rsid w:val="00794E50"/>
    <w:rsid w:val="007955F5"/>
    <w:rsid w:val="007A1760"/>
    <w:rsid w:val="007A1FB4"/>
    <w:rsid w:val="007A260F"/>
    <w:rsid w:val="007A39BC"/>
    <w:rsid w:val="007B243D"/>
    <w:rsid w:val="007B3CA6"/>
    <w:rsid w:val="007B48A5"/>
    <w:rsid w:val="007B4F4C"/>
    <w:rsid w:val="007B531D"/>
    <w:rsid w:val="007B6303"/>
    <w:rsid w:val="007C152D"/>
    <w:rsid w:val="007C15DE"/>
    <w:rsid w:val="007C17F2"/>
    <w:rsid w:val="007C1CEA"/>
    <w:rsid w:val="007C28EF"/>
    <w:rsid w:val="007C357D"/>
    <w:rsid w:val="007C3662"/>
    <w:rsid w:val="007C3811"/>
    <w:rsid w:val="007C418B"/>
    <w:rsid w:val="007C5FF3"/>
    <w:rsid w:val="007C6DA5"/>
    <w:rsid w:val="007D1AF3"/>
    <w:rsid w:val="007D1DD1"/>
    <w:rsid w:val="007D52F3"/>
    <w:rsid w:val="007D6339"/>
    <w:rsid w:val="007E032D"/>
    <w:rsid w:val="007E1B47"/>
    <w:rsid w:val="007E3A56"/>
    <w:rsid w:val="007E4736"/>
    <w:rsid w:val="007E528C"/>
    <w:rsid w:val="007E542C"/>
    <w:rsid w:val="007E642F"/>
    <w:rsid w:val="007E66D2"/>
    <w:rsid w:val="007E7648"/>
    <w:rsid w:val="007F03B8"/>
    <w:rsid w:val="007F145D"/>
    <w:rsid w:val="007F22C7"/>
    <w:rsid w:val="007F27AB"/>
    <w:rsid w:val="007F48D2"/>
    <w:rsid w:val="007F58CC"/>
    <w:rsid w:val="007F7AFE"/>
    <w:rsid w:val="0080025E"/>
    <w:rsid w:val="008017DA"/>
    <w:rsid w:val="008044EE"/>
    <w:rsid w:val="008045FC"/>
    <w:rsid w:val="00804625"/>
    <w:rsid w:val="008066CB"/>
    <w:rsid w:val="008067C0"/>
    <w:rsid w:val="008107D7"/>
    <w:rsid w:val="0081125B"/>
    <w:rsid w:val="00811457"/>
    <w:rsid w:val="00811988"/>
    <w:rsid w:val="00811D5B"/>
    <w:rsid w:val="0081233E"/>
    <w:rsid w:val="00814A93"/>
    <w:rsid w:val="0081521B"/>
    <w:rsid w:val="00815D77"/>
    <w:rsid w:val="00822258"/>
    <w:rsid w:val="0082243F"/>
    <w:rsid w:val="008226AE"/>
    <w:rsid w:val="0082359F"/>
    <w:rsid w:val="0082502C"/>
    <w:rsid w:val="008258C6"/>
    <w:rsid w:val="008277C5"/>
    <w:rsid w:val="008300F1"/>
    <w:rsid w:val="00830E20"/>
    <w:rsid w:val="0083220C"/>
    <w:rsid w:val="00833640"/>
    <w:rsid w:val="00833A60"/>
    <w:rsid w:val="008353CC"/>
    <w:rsid w:val="008367AC"/>
    <w:rsid w:val="00836D1A"/>
    <w:rsid w:val="008404F9"/>
    <w:rsid w:val="00842A37"/>
    <w:rsid w:val="0084677D"/>
    <w:rsid w:val="00846D47"/>
    <w:rsid w:val="00852CAF"/>
    <w:rsid w:val="00852F8D"/>
    <w:rsid w:val="0085326C"/>
    <w:rsid w:val="00853633"/>
    <w:rsid w:val="00854F1B"/>
    <w:rsid w:val="00863C28"/>
    <w:rsid w:val="00864F25"/>
    <w:rsid w:val="00865808"/>
    <w:rsid w:val="00865CC2"/>
    <w:rsid w:val="00865F5A"/>
    <w:rsid w:val="00866991"/>
    <w:rsid w:val="00866CAE"/>
    <w:rsid w:val="00867E04"/>
    <w:rsid w:val="00867E83"/>
    <w:rsid w:val="0087024B"/>
    <w:rsid w:val="00872D2F"/>
    <w:rsid w:val="00873E22"/>
    <w:rsid w:val="008755E9"/>
    <w:rsid w:val="008771D0"/>
    <w:rsid w:val="00877B7D"/>
    <w:rsid w:val="00881B27"/>
    <w:rsid w:val="00883912"/>
    <w:rsid w:val="00883AEC"/>
    <w:rsid w:val="00883FE2"/>
    <w:rsid w:val="008843D5"/>
    <w:rsid w:val="00885B67"/>
    <w:rsid w:val="00887E0D"/>
    <w:rsid w:val="00887F1A"/>
    <w:rsid w:val="0089020C"/>
    <w:rsid w:val="008918A0"/>
    <w:rsid w:val="008939FF"/>
    <w:rsid w:val="00896E97"/>
    <w:rsid w:val="008973ED"/>
    <w:rsid w:val="008A1FFF"/>
    <w:rsid w:val="008A2439"/>
    <w:rsid w:val="008A245C"/>
    <w:rsid w:val="008A2997"/>
    <w:rsid w:val="008A3974"/>
    <w:rsid w:val="008A57DE"/>
    <w:rsid w:val="008A5C18"/>
    <w:rsid w:val="008A5F2F"/>
    <w:rsid w:val="008A6058"/>
    <w:rsid w:val="008A753D"/>
    <w:rsid w:val="008A75A3"/>
    <w:rsid w:val="008B14EC"/>
    <w:rsid w:val="008B228F"/>
    <w:rsid w:val="008B52C4"/>
    <w:rsid w:val="008B7056"/>
    <w:rsid w:val="008C0182"/>
    <w:rsid w:val="008C31E3"/>
    <w:rsid w:val="008C4764"/>
    <w:rsid w:val="008C60D9"/>
    <w:rsid w:val="008C7E98"/>
    <w:rsid w:val="008D06F0"/>
    <w:rsid w:val="008D0FA1"/>
    <w:rsid w:val="008D1121"/>
    <w:rsid w:val="008D3834"/>
    <w:rsid w:val="008D48C2"/>
    <w:rsid w:val="008D4FB0"/>
    <w:rsid w:val="008D695A"/>
    <w:rsid w:val="008D7F92"/>
    <w:rsid w:val="008E1C43"/>
    <w:rsid w:val="008E250A"/>
    <w:rsid w:val="008E2FC7"/>
    <w:rsid w:val="008E36AC"/>
    <w:rsid w:val="008E459A"/>
    <w:rsid w:val="008E6661"/>
    <w:rsid w:val="008E67DF"/>
    <w:rsid w:val="008F0029"/>
    <w:rsid w:val="008F0EF7"/>
    <w:rsid w:val="008F157F"/>
    <w:rsid w:val="008F1865"/>
    <w:rsid w:val="008F1C94"/>
    <w:rsid w:val="008F6945"/>
    <w:rsid w:val="008F69FA"/>
    <w:rsid w:val="008F6D56"/>
    <w:rsid w:val="009012FA"/>
    <w:rsid w:val="00901C92"/>
    <w:rsid w:val="00902013"/>
    <w:rsid w:val="009022B1"/>
    <w:rsid w:val="00902850"/>
    <w:rsid w:val="00902B5D"/>
    <w:rsid w:val="009050EC"/>
    <w:rsid w:val="009060A0"/>
    <w:rsid w:val="00906524"/>
    <w:rsid w:val="009069B4"/>
    <w:rsid w:val="00907C3C"/>
    <w:rsid w:val="00911957"/>
    <w:rsid w:val="009156A6"/>
    <w:rsid w:val="009164E0"/>
    <w:rsid w:val="00917833"/>
    <w:rsid w:val="00917F4C"/>
    <w:rsid w:val="00920DC8"/>
    <w:rsid w:val="00923AF5"/>
    <w:rsid w:val="00924178"/>
    <w:rsid w:val="00924241"/>
    <w:rsid w:val="009243D1"/>
    <w:rsid w:val="00925B17"/>
    <w:rsid w:val="00926C2F"/>
    <w:rsid w:val="00926F3C"/>
    <w:rsid w:val="009273C8"/>
    <w:rsid w:val="00927814"/>
    <w:rsid w:val="00927F17"/>
    <w:rsid w:val="009306CB"/>
    <w:rsid w:val="0093274D"/>
    <w:rsid w:val="00932A73"/>
    <w:rsid w:val="00934B99"/>
    <w:rsid w:val="00935498"/>
    <w:rsid w:val="00935DA2"/>
    <w:rsid w:val="0093665C"/>
    <w:rsid w:val="0093706C"/>
    <w:rsid w:val="00941324"/>
    <w:rsid w:val="00943CCE"/>
    <w:rsid w:val="009473B8"/>
    <w:rsid w:val="009479FB"/>
    <w:rsid w:val="00950569"/>
    <w:rsid w:val="00950BDF"/>
    <w:rsid w:val="0095116B"/>
    <w:rsid w:val="00951ACD"/>
    <w:rsid w:val="0095318D"/>
    <w:rsid w:val="009533F1"/>
    <w:rsid w:val="00954B65"/>
    <w:rsid w:val="009563F2"/>
    <w:rsid w:val="00956A55"/>
    <w:rsid w:val="0095798F"/>
    <w:rsid w:val="0096185D"/>
    <w:rsid w:val="00961D70"/>
    <w:rsid w:val="009620DA"/>
    <w:rsid w:val="0096231A"/>
    <w:rsid w:val="00962C93"/>
    <w:rsid w:val="0096465F"/>
    <w:rsid w:val="00966208"/>
    <w:rsid w:val="00967007"/>
    <w:rsid w:val="009672E1"/>
    <w:rsid w:val="00971E89"/>
    <w:rsid w:val="00972824"/>
    <w:rsid w:val="00972B9F"/>
    <w:rsid w:val="009737C4"/>
    <w:rsid w:val="00974B34"/>
    <w:rsid w:val="00975505"/>
    <w:rsid w:val="00977903"/>
    <w:rsid w:val="009802B8"/>
    <w:rsid w:val="00980441"/>
    <w:rsid w:val="0098272A"/>
    <w:rsid w:val="00983581"/>
    <w:rsid w:val="009839D1"/>
    <w:rsid w:val="00984F78"/>
    <w:rsid w:val="00985301"/>
    <w:rsid w:val="00985E0A"/>
    <w:rsid w:val="00991222"/>
    <w:rsid w:val="009926DF"/>
    <w:rsid w:val="00993907"/>
    <w:rsid w:val="00993C57"/>
    <w:rsid w:val="00994D80"/>
    <w:rsid w:val="009950E9"/>
    <w:rsid w:val="00995492"/>
    <w:rsid w:val="00996475"/>
    <w:rsid w:val="00996D30"/>
    <w:rsid w:val="0099724B"/>
    <w:rsid w:val="00997BEE"/>
    <w:rsid w:val="009A100A"/>
    <w:rsid w:val="009A1044"/>
    <w:rsid w:val="009A17BD"/>
    <w:rsid w:val="009A4E45"/>
    <w:rsid w:val="009A54E8"/>
    <w:rsid w:val="009A59B5"/>
    <w:rsid w:val="009B2BFA"/>
    <w:rsid w:val="009B40ED"/>
    <w:rsid w:val="009B474B"/>
    <w:rsid w:val="009B4F5F"/>
    <w:rsid w:val="009B4F8C"/>
    <w:rsid w:val="009B5F37"/>
    <w:rsid w:val="009B64B7"/>
    <w:rsid w:val="009B7C70"/>
    <w:rsid w:val="009C1CA8"/>
    <w:rsid w:val="009C2EFA"/>
    <w:rsid w:val="009C3172"/>
    <w:rsid w:val="009C6CF2"/>
    <w:rsid w:val="009C7531"/>
    <w:rsid w:val="009C7A47"/>
    <w:rsid w:val="009D182C"/>
    <w:rsid w:val="009D1BEE"/>
    <w:rsid w:val="009D3F87"/>
    <w:rsid w:val="009D512E"/>
    <w:rsid w:val="009D5F62"/>
    <w:rsid w:val="009E151B"/>
    <w:rsid w:val="009E319C"/>
    <w:rsid w:val="009E3A3D"/>
    <w:rsid w:val="009E477E"/>
    <w:rsid w:val="009E68DC"/>
    <w:rsid w:val="009E6B19"/>
    <w:rsid w:val="009F093D"/>
    <w:rsid w:val="009F12D2"/>
    <w:rsid w:val="009F16B1"/>
    <w:rsid w:val="009F1804"/>
    <w:rsid w:val="009F420E"/>
    <w:rsid w:val="009F60CA"/>
    <w:rsid w:val="009F6142"/>
    <w:rsid w:val="009F6494"/>
    <w:rsid w:val="00A01D39"/>
    <w:rsid w:val="00A0261A"/>
    <w:rsid w:val="00A02AC7"/>
    <w:rsid w:val="00A02DE0"/>
    <w:rsid w:val="00A0324F"/>
    <w:rsid w:val="00A0403B"/>
    <w:rsid w:val="00A056DB"/>
    <w:rsid w:val="00A06935"/>
    <w:rsid w:val="00A076BD"/>
    <w:rsid w:val="00A10720"/>
    <w:rsid w:val="00A14F15"/>
    <w:rsid w:val="00A20043"/>
    <w:rsid w:val="00A22067"/>
    <w:rsid w:val="00A2505F"/>
    <w:rsid w:val="00A26B37"/>
    <w:rsid w:val="00A278E9"/>
    <w:rsid w:val="00A306ED"/>
    <w:rsid w:val="00A30F8C"/>
    <w:rsid w:val="00A31D0B"/>
    <w:rsid w:val="00A3420F"/>
    <w:rsid w:val="00A343E4"/>
    <w:rsid w:val="00A3532E"/>
    <w:rsid w:val="00A364E3"/>
    <w:rsid w:val="00A375A0"/>
    <w:rsid w:val="00A3780F"/>
    <w:rsid w:val="00A378FD"/>
    <w:rsid w:val="00A41811"/>
    <w:rsid w:val="00A41992"/>
    <w:rsid w:val="00A426E7"/>
    <w:rsid w:val="00A439F4"/>
    <w:rsid w:val="00A43C77"/>
    <w:rsid w:val="00A43E30"/>
    <w:rsid w:val="00A43F8D"/>
    <w:rsid w:val="00A44E7C"/>
    <w:rsid w:val="00A45050"/>
    <w:rsid w:val="00A453B3"/>
    <w:rsid w:val="00A463AB"/>
    <w:rsid w:val="00A473C0"/>
    <w:rsid w:val="00A478D2"/>
    <w:rsid w:val="00A47949"/>
    <w:rsid w:val="00A502A1"/>
    <w:rsid w:val="00A51A83"/>
    <w:rsid w:val="00A52784"/>
    <w:rsid w:val="00A52B7B"/>
    <w:rsid w:val="00A627EE"/>
    <w:rsid w:val="00A63662"/>
    <w:rsid w:val="00A64CC0"/>
    <w:rsid w:val="00A66215"/>
    <w:rsid w:val="00A66AAF"/>
    <w:rsid w:val="00A71339"/>
    <w:rsid w:val="00A7212A"/>
    <w:rsid w:val="00A724B5"/>
    <w:rsid w:val="00A740C6"/>
    <w:rsid w:val="00A76E9D"/>
    <w:rsid w:val="00A77106"/>
    <w:rsid w:val="00A82B4D"/>
    <w:rsid w:val="00A83A1F"/>
    <w:rsid w:val="00A83E15"/>
    <w:rsid w:val="00A853A5"/>
    <w:rsid w:val="00A867A8"/>
    <w:rsid w:val="00A90BF9"/>
    <w:rsid w:val="00A9177B"/>
    <w:rsid w:val="00A920D0"/>
    <w:rsid w:val="00A92E64"/>
    <w:rsid w:val="00A942B4"/>
    <w:rsid w:val="00A946B3"/>
    <w:rsid w:val="00A95415"/>
    <w:rsid w:val="00A95C6A"/>
    <w:rsid w:val="00A95FDF"/>
    <w:rsid w:val="00A97667"/>
    <w:rsid w:val="00AA0377"/>
    <w:rsid w:val="00AA2137"/>
    <w:rsid w:val="00AA4035"/>
    <w:rsid w:val="00AA4C88"/>
    <w:rsid w:val="00AA5A23"/>
    <w:rsid w:val="00AA5C10"/>
    <w:rsid w:val="00AA6924"/>
    <w:rsid w:val="00AA69B1"/>
    <w:rsid w:val="00AA716D"/>
    <w:rsid w:val="00AA73B4"/>
    <w:rsid w:val="00AB0700"/>
    <w:rsid w:val="00AB0BDF"/>
    <w:rsid w:val="00AB3392"/>
    <w:rsid w:val="00AB363E"/>
    <w:rsid w:val="00AB4C78"/>
    <w:rsid w:val="00AB4FF3"/>
    <w:rsid w:val="00AB5FD0"/>
    <w:rsid w:val="00AB6376"/>
    <w:rsid w:val="00AB7222"/>
    <w:rsid w:val="00AC1AC2"/>
    <w:rsid w:val="00AC4315"/>
    <w:rsid w:val="00AC6910"/>
    <w:rsid w:val="00AC6BB3"/>
    <w:rsid w:val="00AC70E1"/>
    <w:rsid w:val="00AD09A2"/>
    <w:rsid w:val="00AD1252"/>
    <w:rsid w:val="00AD1C3D"/>
    <w:rsid w:val="00AD4209"/>
    <w:rsid w:val="00AE297F"/>
    <w:rsid w:val="00AE3174"/>
    <w:rsid w:val="00AE375D"/>
    <w:rsid w:val="00AE41BA"/>
    <w:rsid w:val="00AE45B2"/>
    <w:rsid w:val="00AF08B5"/>
    <w:rsid w:val="00AF324C"/>
    <w:rsid w:val="00AF3AA3"/>
    <w:rsid w:val="00B0002F"/>
    <w:rsid w:val="00B01B66"/>
    <w:rsid w:val="00B0218E"/>
    <w:rsid w:val="00B02A05"/>
    <w:rsid w:val="00B0323D"/>
    <w:rsid w:val="00B06B5C"/>
    <w:rsid w:val="00B07EE2"/>
    <w:rsid w:val="00B10487"/>
    <w:rsid w:val="00B15D98"/>
    <w:rsid w:val="00B22884"/>
    <w:rsid w:val="00B23C94"/>
    <w:rsid w:val="00B23D35"/>
    <w:rsid w:val="00B27F2C"/>
    <w:rsid w:val="00B32585"/>
    <w:rsid w:val="00B32882"/>
    <w:rsid w:val="00B32C82"/>
    <w:rsid w:val="00B345DD"/>
    <w:rsid w:val="00B35D5E"/>
    <w:rsid w:val="00B36A23"/>
    <w:rsid w:val="00B428D0"/>
    <w:rsid w:val="00B43318"/>
    <w:rsid w:val="00B43335"/>
    <w:rsid w:val="00B439FA"/>
    <w:rsid w:val="00B45A1C"/>
    <w:rsid w:val="00B47318"/>
    <w:rsid w:val="00B51DBC"/>
    <w:rsid w:val="00B51F72"/>
    <w:rsid w:val="00B54560"/>
    <w:rsid w:val="00B55EBD"/>
    <w:rsid w:val="00B572E3"/>
    <w:rsid w:val="00B61DD5"/>
    <w:rsid w:val="00B631E1"/>
    <w:rsid w:val="00B639AC"/>
    <w:rsid w:val="00B63AA1"/>
    <w:rsid w:val="00B64200"/>
    <w:rsid w:val="00B65E4F"/>
    <w:rsid w:val="00B6765D"/>
    <w:rsid w:val="00B71C17"/>
    <w:rsid w:val="00B72014"/>
    <w:rsid w:val="00B758A5"/>
    <w:rsid w:val="00B7609E"/>
    <w:rsid w:val="00B77077"/>
    <w:rsid w:val="00B7718B"/>
    <w:rsid w:val="00B8019A"/>
    <w:rsid w:val="00B8129C"/>
    <w:rsid w:val="00B832C1"/>
    <w:rsid w:val="00B83C06"/>
    <w:rsid w:val="00B8575B"/>
    <w:rsid w:val="00B86726"/>
    <w:rsid w:val="00B87762"/>
    <w:rsid w:val="00B90D8A"/>
    <w:rsid w:val="00B912C7"/>
    <w:rsid w:val="00B91D78"/>
    <w:rsid w:val="00B93300"/>
    <w:rsid w:val="00B94B42"/>
    <w:rsid w:val="00B95A1B"/>
    <w:rsid w:val="00B97282"/>
    <w:rsid w:val="00BA00F9"/>
    <w:rsid w:val="00BA0F13"/>
    <w:rsid w:val="00BA1758"/>
    <w:rsid w:val="00BA194D"/>
    <w:rsid w:val="00BA2214"/>
    <w:rsid w:val="00BA3BA4"/>
    <w:rsid w:val="00BA4006"/>
    <w:rsid w:val="00BA516C"/>
    <w:rsid w:val="00BA604D"/>
    <w:rsid w:val="00BA6119"/>
    <w:rsid w:val="00BA69AA"/>
    <w:rsid w:val="00BB0A85"/>
    <w:rsid w:val="00BB0C65"/>
    <w:rsid w:val="00BB2A15"/>
    <w:rsid w:val="00BB3E8A"/>
    <w:rsid w:val="00BB43DC"/>
    <w:rsid w:val="00BB6D07"/>
    <w:rsid w:val="00BB6F22"/>
    <w:rsid w:val="00BB7765"/>
    <w:rsid w:val="00BC0815"/>
    <w:rsid w:val="00BC0A46"/>
    <w:rsid w:val="00BC0DD0"/>
    <w:rsid w:val="00BC1B80"/>
    <w:rsid w:val="00BC25EF"/>
    <w:rsid w:val="00BC398C"/>
    <w:rsid w:val="00BC464B"/>
    <w:rsid w:val="00BC7056"/>
    <w:rsid w:val="00BD0AD6"/>
    <w:rsid w:val="00BD0CA0"/>
    <w:rsid w:val="00BD1C86"/>
    <w:rsid w:val="00BD229E"/>
    <w:rsid w:val="00BD2E78"/>
    <w:rsid w:val="00BD378B"/>
    <w:rsid w:val="00BD5884"/>
    <w:rsid w:val="00BE0590"/>
    <w:rsid w:val="00BE24A5"/>
    <w:rsid w:val="00BE2F25"/>
    <w:rsid w:val="00BE312A"/>
    <w:rsid w:val="00BE43DD"/>
    <w:rsid w:val="00BE510C"/>
    <w:rsid w:val="00BE6E20"/>
    <w:rsid w:val="00BE6E45"/>
    <w:rsid w:val="00BE75EB"/>
    <w:rsid w:val="00BF0086"/>
    <w:rsid w:val="00BF20A0"/>
    <w:rsid w:val="00BF33F0"/>
    <w:rsid w:val="00BF4919"/>
    <w:rsid w:val="00BF4C56"/>
    <w:rsid w:val="00BF617C"/>
    <w:rsid w:val="00C00FB5"/>
    <w:rsid w:val="00C019DF"/>
    <w:rsid w:val="00C02123"/>
    <w:rsid w:val="00C027CB"/>
    <w:rsid w:val="00C02F10"/>
    <w:rsid w:val="00C02F6D"/>
    <w:rsid w:val="00C03BB3"/>
    <w:rsid w:val="00C03E27"/>
    <w:rsid w:val="00C0545A"/>
    <w:rsid w:val="00C063FF"/>
    <w:rsid w:val="00C06821"/>
    <w:rsid w:val="00C07530"/>
    <w:rsid w:val="00C10B4A"/>
    <w:rsid w:val="00C125F9"/>
    <w:rsid w:val="00C128D7"/>
    <w:rsid w:val="00C13328"/>
    <w:rsid w:val="00C13D01"/>
    <w:rsid w:val="00C14504"/>
    <w:rsid w:val="00C147A1"/>
    <w:rsid w:val="00C17107"/>
    <w:rsid w:val="00C21345"/>
    <w:rsid w:val="00C231D2"/>
    <w:rsid w:val="00C2390A"/>
    <w:rsid w:val="00C23B22"/>
    <w:rsid w:val="00C23C8E"/>
    <w:rsid w:val="00C24283"/>
    <w:rsid w:val="00C245F9"/>
    <w:rsid w:val="00C24A4F"/>
    <w:rsid w:val="00C26A92"/>
    <w:rsid w:val="00C279A3"/>
    <w:rsid w:val="00C32B73"/>
    <w:rsid w:val="00C32E22"/>
    <w:rsid w:val="00C3436C"/>
    <w:rsid w:val="00C351B6"/>
    <w:rsid w:val="00C363F0"/>
    <w:rsid w:val="00C40F2F"/>
    <w:rsid w:val="00C41A13"/>
    <w:rsid w:val="00C42F98"/>
    <w:rsid w:val="00C43586"/>
    <w:rsid w:val="00C43E11"/>
    <w:rsid w:val="00C45B80"/>
    <w:rsid w:val="00C461A8"/>
    <w:rsid w:val="00C52D56"/>
    <w:rsid w:val="00C564A4"/>
    <w:rsid w:val="00C56FA7"/>
    <w:rsid w:val="00C62B9B"/>
    <w:rsid w:val="00C62E8D"/>
    <w:rsid w:val="00C63943"/>
    <w:rsid w:val="00C63FE0"/>
    <w:rsid w:val="00C64533"/>
    <w:rsid w:val="00C66749"/>
    <w:rsid w:val="00C67619"/>
    <w:rsid w:val="00C702E7"/>
    <w:rsid w:val="00C74B17"/>
    <w:rsid w:val="00C76074"/>
    <w:rsid w:val="00C761EA"/>
    <w:rsid w:val="00C7696E"/>
    <w:rsid w:val="00C76D81"/>
    <w:rsid w:val="00C76DB7"/>
    <w:rsid w:val="00C823DA"/>
    <w:rsid w:val="00C82FBE"/>
    <w:rsid w:val="00C83A4F"/>
    <w:rsid w:val="00C855DB"/>
    <w:rsid w:val="00C872FE"/>
    <w:rsid w:val="00C87499"/>
    <w:rsid w:val="00C87E0F"/>
    <w:rsid w:val="00C87F3B"/>
    <w:rsid w:val="00C9137D"/>
    <w:rsid w:val="00C924E4"/>
    <w:rsid w:val="00C942BD"/>
    <w:rsid w:val="00C9435A"/>
    <w:rsid w:val="00C958C5"/>
    <w:rsid w:val="00C95ABE"/>
    <w:rsid w:val="00C964FA"/>
    <w:rsid w:val="00C97C6E"/>
    <w:rsid w:val="00CA4DD6"/>
    <w:rsid w:val="00CA6A81"/>
    <w:rsid w:val="00CB0900"/>
    <w:rsid w:val="00CB0BE1"/>
    <w:rsid w:val="00CB214E"/>
    <w:rsid w:val="00CB5F92"/>
    <w:rsid w:val="00CB662E"/>
    <w:rsid w:val="00CB7042"/>
    <w:rsid w:val="00CB706A"/>
    <w:rsid w:val="00CB738F"/>
    <w:rsid w:val="00CC07A3"/>
    <w:rsid w:val="00CC2837"/>
    <w:rsid w:val="00CC3A18"/>
    <w:rsid w:val="00CC56CB"/>
    <w:rsid w:val="00CD06A8"/>
    <w:rsid w:val="00CD0A41"/>
    <w:rsid w:val="00CD0F73"/>
    <w:rsid w:val="00CD1116"/>
    <w:rsid w:val="00CD1AA8"/>
    <w:rsid w:val="00CD1CAF"/>
    <w:rsid w:val="00CD2014"/>
    <w:rsid w:val="00CD3FD8"/>
    <w:rsid w:val="00CD410E"/>
    <w:rsid w:val="00CD5EBC"/>
    <w:rsid w:val="00CE142A"/>
    <w:rsid w:val="00CE19CD"/>
    <w:rsid w:val="00CE33E5"/>
    <w:rsid w:val="00CE38B4"/>
    <w:rsid w:val="00CE502A"/>
    <w:rsid w:val="00CE521C"/>
    <w:rsid w:val="00CE5CC7"/>
    <w:rsid w:val="00CF1474"/>
    <w:rsid w:val="00CF297B"/>
    <w:rsid w:val="00CF30CB"/>
    <w:rsid w:val="00CF5367"/>
    <w:rsid w:val="00CF6EF5"/>
    <w:rsid w:val="00D0089C"/>
    <w:rsid w:val="00D02C66"/>
    <w:rsid w:val="00D0369B"/>
    <w:rsid w:val="00D04CF9"/>
    <w:rsid w:val="00D05307"/>
    <w:rsid w:val="00D06804"/>
    <w:rsid w:val="00D077FF"/>
    <w:rsid w:val="00D07B25"/>
    <w:rsid w:val="00D07F9C"/>
    <w:rsid w:val="00D12AF9"/>
    <w:rsid w:val="00D13B3B"/>
    <w:rsid w:val="00D15116"/>
    <w:rsid w:val="00D1525D"/>
    <w:rsid w:val="00D16ADD"/>
    <w:rsid w:val="00D16CBD"/>
    <w:rsid w:val="00D1788F"/>
    <w:rsid w:val="00D200E2"/>
    <w:rsid w:val="00D2063B"/>
    <w:rsid w:val="00D208F3"/>
    <w:rsid w:val="00D20B32"/>
    <w:rsid w:val="00D20F0C"/>
    <w:rsid w:val="00D26057"/>
    <w:rsid w:val="00D26E70"/>
    <w:rsid w:val="00D27721"/>
    <w:rsid w:val="00D308C4"/>
    <w:rsid w:val="00D30AAA"/>
    <w:rsid w:val="00D31454"/>
    <w:rsid w:val="00D34765"/>
    <w:rsid w:val="00D34B2A"/>
    <w:rsid w:val="00D35336"/>
    <w:rsid w:val="00D3542C"/>
    <w:rsid w:val="00D35E82"/>
    <w:rsid w:val="00D37318"/>
    <w:rsid w:val="00D37F01"/>
    <w:rsid w:val="00D401D6"/>
    <w:rsid w:val="00D41E8F"/>
    <w:rsid w:val="00D433ED"/>
    <w:rsid w:val="00D436AB"/>
    <w:rsid w:val="00D44A40"/>
    <w:rsid w:val="00D44AFD"/>
    <w:rsid w:val="00D44DDD"/>
    <w:rsid w:val="00D45D81"/>
    <w:rsid w:val="00D4728E"/>
    <w:rsid w:val="00D50486"/>
    <w:rsid w:val="00D51BF1"/>
    <w:rsid w:val="00D5466E"/>
    <w:rsid w:val="00D553A5"/>
    <w:rsid w:val="00D55B6E"/>
    <w:rsid w:val="00D55EB3"/>
    <w:rsid w:val="00D56134"/>
    <w:rsid w:val="00D56D6F"/>
    <w:rsid w:val="00D575F0"/>
    <w:rsid w:val="00D60253"/>
    <w:rsid w:val="00D606DB"/>
    <w:rsid w:val="00D612EC"/>
    <w:rsid w:val="00D61495"/>
    <w:rsid w:val="00D61910"/>
    <w:rsid w:val="00D63380"/>
    <w:rsid w:val="00D672AE"/>
    <w:rsid w:val="00D67AFA"/>
    <w:rsid w:val="00D7131A"/>
    <w:rsid w:val="00D71990"/>
    <w:rsid w:val="00D72C3F"/>
    <w:rsid w:val="00D735EF"/>
    <w:rsid w:val="00D7416D"/>
    <w:rsid w:val="00D76081"/>
    <w:rsid w:val="00D76FE8"/>
    <w:rsid w:val="00D77E67"/>
    <w:rsid w:val="00D80482"/>
    <w:rsid w:val="00D808F3"/>
    <w:rsid w:val="00D80F0D"/>
    <w:rsid w:val="00D8325F"/>
    <w:rsid w:val="00D84CB4"/>
    <w:rsid w:val="00D86427"/>
    <w:rsid w:val="00D87EA3"/>
    <w:rsid w:val="00D921F9"/>
    <w:rsid w:val="00D9321F"/>
    <w:rsid w:val="00D94C8C"/>
    <w:rsid w:val="00D95200"/>
    <w:rsid w:val="00D96B63"/>
    <w:rsid w:val="00DA0589"/>
    <w:rsid w:val="00DA0B77"/>
    <w:rsid w:val="00DA2120"/>
    <w:rsid w:val="00DA2779"/>
    <w:rsid w:val="00DA5AD9"/>
    <w:rsid w:val="00DA5B82"/>
    <w:rsid w:val="00DA5D77"/>
    <w:rsid w:val="00DA5E72"/>
    <w:rsid w:val="00DA681F"/>
    <w:rsid w:val="00DA71C7"/>
    <w:rsid w:val="00DA7482"/>
    <w:rsid w:val="00DA7784"/>
    <w:rsid w:val="00DB0162"/>
    <w:rsid w:val="00DB038D"/>
    <w:rsid w:val="00DB1FB1"/>
    <w:rsid w:val="00DB29E5"/>
    <w:rsid w:val="00DB4D39"/>
    <w:rsid w:val="00DB6FE5"/>
    <w:rsid w:val="00DB7CB9"/>
    <w:rsid w:val="00DB7DCE"/>
    <w:rsid w:val="00DC1351"/>
    <w:rsid w:val="00DC1CF1"/>
    <w:rsid w:val="00DC247D"/>
    <w:rsid w:val="00DC2644"/>
    <w:rsid w:val="00DC30F6"/>
    <w:rsid w:val="00DC5309"/>
    <w:rsid w:val="00DC7E50"/>
    <w:rsid w:val="00DD3E99"/>
    <w:rsid w:val="00DD46C7"/>
    <w:rsid w:val="00DD6211"/>
    <w:rsid w:val="00DD62EB"/>
    <w:rsid w:val="00DE0669"/>
    <w:rsid w:val="00DE2EC1"/>
    <w:rsid w:val="00DE3EC8"/>
    <w:rsid w:val="00DE3ED8"/>
    <w:rsid w:val="00DE47E2"/>
    <w:rsid w:val="00DE57C8"/>
    <w:rsid w:val="00DF1A35"/>
    <w:rsid w:val="00DF21C7"/>
    <w:rsid w:val="00DF244E"/>
    <w:rsid w:val="00DF3643"/>
    <w:rsid w:val="00DF37DD"/>
    <w:rsid w:val="00DF3F25"/>
    <w:rsid w:val="00DF43B6"/>
    <w:rsid w:val="00DF4B46"/>
    <w:rsid w:val="00DF575B"/>
    <w:rsid w:val="00DF5EF7"/>
    <w:rsid w:val="00DF6F49"/>
    <w:rsid w:val="00E00860"/>
    <w:rsid w:val="00E02339"/>
    <w:rsid w:val="00E02757"/>
    <w:rsid w:val="00E02FE1"/>
    <w:rsid w:val="00E03F06"/>
    <w:rsid w:val="00E043E2"/>
    <w:rsid w:val="00E0536A"/>
    <w:rsid w:val="00E05B56"/>
    <w:rsid w:val="00E068F0"/>
    <w:rsid w:val="00E06D88"/>
    <w:rsid w:val="00E11707"/>
    <w:rsid w:val="00E11DD5"/>
    <w:rsid w:val="00E121D1"/>
    <w:rsid w:val="00E14277"/>
    <w:rsid w:val="00E14B34"/>
    <w:rsid w:val="00E14FDC"/>
    <w:rsid w:val="00E15215"/>
    <w:rsid w:val="00E16A7F"/>
    <w:rsid w:val="00E16E54"/>
    <w:rsid w:val="00E170D0"/>
    <w:rsid w:val="00E231C6"/>
    <w:rsid w:val="00E23564"/>
    <w:rsid w:val="00E23803"/>
    <w:rsid w:val="00E245A2"/>
    <w:rsid w:val="00E2634F"/>
    <w:rsid w:val="00E26A1D"/>
    <w:rsid w:val="00E33259"/>
    <w:rsid w:val="00E34907"/>
    <w:rsid w:val="00E34D89"/>
    <w:rsid w:val="00E3523B"/>
    <w:rsid w:val="00E3547F"/>
    <w:rsid w:val="00E36E35"/>
    <w:rsid w:val="00E406D8"/>
    <w:rsid w:val="00E4218D"/>
    <w:rsid w:val="00E42D9B"/>
    <w:rsid w:val="00E456DE"/>
    <w:rsid w:val="00E457DF"/>
    <w:rsid w:val="00E45A4C"/>
    <w:rsid w:val="00E46C69"/>
    <w:rsid w:val="00E47321"/>
    <w:rsid w:val="00E50A0B"/>
    <w:rsid w:val="00E50E0D"/>
    <w:rsid w:val="00E52387"/>
    <w:rsid w:val="00E52577"/>
    <w:rsid w:val="00E52951"/>
    <w:rsid w:val="00E54147"/>
    <w:rsid w:val="00E55789"/>
    <w:rsid w:val="00E60B9E"/>
    <w:rsid w:val="00E61084"/>
    <w:rsid w:val="00E61FAF"/>
    <w:rsid w:val="00E62AE2"/>
    <w:rsid w:val="00E62D34"/>
    <w:rsid w:val="00E6438B"/>
    <w:rsid w:val="00E64B0B"/>
    <w:rsid w:val="00E65C09"/>
    <w:rsid w:val="00E66541"/>
    <w:rsid w:val="00E7031D"/>
    <w:rsid w:val="00E708F4"/>
    <w:rsid w:val="00E70DE4"/>
    <w:rsid w:val="00E714EF"/>
    <w:rsid w:val="00E71A5B"/>
    <w:rsid w:val="00E73F3D"/>
    <w:rsid w:val="00E74F08"/>
    <w:rsid w:val="00E779CB"/>
    <w:rsid w:val="00E8057E"/>
    <w:rsid w:val="00E83940"/>
    <w:rsid w:val="00E8597E"/>
    <w:rsid w:val="00E87167"/>
    <w:rsid w:val="00E921CB"/>
    <w:rsid w:val="00E93E04"/>
    <w:rsid w:val="00E94A28"/>
    <w:rsid w:val="00E94ACE"/>
    <w:rsid w:val="00E9504D"/>
    <w:rsid w:val="00EA0D92"/>
    <w:rsid w:val="00EA0D96"/>
    <w:rsid w:val="00EA23FB"/>
    <w:rsid w:val="00EA2A91"/>
    <w:rsid w:val="00EA6874"/>
    <w:rsid w:val="00EB2786"/>
    <w:rsid w:val="00EB54D2"/>
    <w:rsid w:val="00EB556F"/>
    <w:rsid w:val="00EB751D"/>
    <w:rsid w:val="00EC0EF9"/>
    <w:rsid w:val="00EC1D78"/>
    <w:rsid w:val="00EC3589"/>
    <w:rsid w:val="00EC3957"/>
    <w:rsid w:val="00EC4A1F"/>
    <w:rsid w:val="00EC5A1A"/>
    <w:rsid w:val="00EC795A"/>
    <w:rsid w:val="00EC7F74"/>
    <w:rsid w:val="00ED0111"/>
    <w:rsid w:val="00ED0626"/>
    <w:rsid w:val="00ED17F1"/>
    <w:rsid w:val="00ED23DC"/>
    <w:rsid w:val="00ED3A9F"/>
    <w:rsid w:val="00ED3DF7"/>
    <w:rsid w:val="00ED4253"/>
    <w:rsid w:val="00ED4DDB"/>
    <w:rsid w:val="00ED530A"/>
    <w:rsid w:val="00ED5F4D"/>
    <w:rsid w:val="00ED70E8"/>
    <w:rsid w:val="00ED733E"/>
    <w:rsid w:val="00ED7767"/>
    <w:rsid w:val="00ED7C30"/>
    <w:rsid w:val="00EE1DDC"/>
    <w:rsid w:val="00EE35C7"/>
    <w:rsid w:val="00EE4581"/>
    <w:rsid w:val="00EE4C92"/>
    <w:rsid w:val="00EE66EC"/>
    <w:rsid w:val="00EF14C3"/>
    <w:rsid w:val="00EF1789"/>
    <w:rsid w:val="00EF198F"/>
    <w:rsid w:val="00EF27DC"/>
    <w:rsid w:val="00EF2C1F"/>
    <w:rsid w:val="00EF2E9C"/>
    <w:rsid w:val="00EF47D5"/>
    <w:rsid w:val="00EF4863"/>
    <w:rsid w:val="00EF5F8C"/>
    <w:rsid w:val="00EF6002"/>
    <w:rsid w:val="00EF6E29"/>
    <w:rsid w:val="00EF7C9E"/>
    <w:rsid w:val="00F01B6F"/>
    <w:rsid w:val="00F0239E"/>
    <w:rsid w:val="00F02554"/>
    <w:rsid w:val="00F03089"/>
    <w:rsid w:val="00F03D4E"/>
    <w:rsid w:val="00F03E1A"/>
    <w:rsid w:val="00F0458B"/>
    <w:rsid w:val="00F0566E"/>
    <w:rsid w:val="00F05E8D"/>
    <w:rsid w:val="00F074A9"/>
    <w:rsid w:val="00F10523"/>
    <w:rsid w:val="00F114D9"/>
    <w:rsid w:val="00F11C8C"/>
    <w:rsid w:val="00F1360A"/>
    <w:rsid w:val="00F1367D"/>
    <w:rsid w:val="00F14015"/>
    <w:rsid w:val="00F14B9E"/>
    <w:rsid w:val="00F14F06"/>
    <w:rsid w:val="00F15272"/>
    <w:rsid w:val="00F162D5"/>
    <w:rsid w:val="00F1632D"/>
    <w:rsid w:val="00F20F1C"/>
    <w:rsid w:val="00F21774"/>
    <w:rsid w:val="00F21829"/>
    <w:rsid w:val="00F23696"/>
    <w:rsid w:val="00F247F2"/>
    <w:rsid w:val="00F268A2"/>
    <w:rsid w:val="00F305B6"/>
    <w:rsid w:val="00F30719"/>
    <w:rsid w:val="00F3073F"/>
    <w:rsid w:val="00F320D3"/>
    <w:rsid w:val="00F32513"/>
    <w:rsid w:val="00F344BA"/>
    <w:rsid w:val="00F346A3"/>
    <w:rsid w:val="00F354DF"/>
    <w:rsid w:val="00F35636"/>
    <w:rsid w:val="00F3571B"/>
    <w:rsid w:val="00F35932"/>
    <w:rsid w:val="00F43000"/>
    <w:rsid w:val="00F4367E"/>
    <w:rsid w:val="00F43EF0"/>
    <w:rsid w:val="00F44D02"/>
    <w:rsid w:val="00F47C19"/>
    <w:rsid w:val="00F50CAD"/>
    <w:rsid w:val="00F542ED"/>
    <w:rsid w:val="00F5559E"/>
    <w:rsid w:val="00F55896"/>
    <w:rsid w:val="00F56839"/>
    <w:rsid w:val="00F57511"/>
    <w:rsid w:val="00F579C1"/>
    <w:rsid w:val="00F57E00"/>
    <w:rsid w:val="00F60E56"/>
    <w:rsid w:val="00F6222C"/>
    <w:rsid w:val="00F64354"/>
    <w:rsid w:val="00F65691"/>
    <w:rsid w:val="00F70295"/>
    <w:rsid w:val="00F709D7"/>
    <w:rsid w:val="00F70A0A"/>
    <w:rsid w:val="00F70DB9"/>
    <w:rsid w:val="00F7137A"/>
    <w:rsid w:val="00F71692"/>
    <w:rsid w:val="00F71B31"/>
    <w:rsid w:val="00F744B6"/>
    <w:rsid w:val="00F762AC"/>
    <w:rsid w:val="00F7785E"/>
    <w:rsid w:val="00F80521"/>
    <w:rsid w:val="00F8093F"/>
    <w:rsid w:val="00F80B3C"/>
    <w:rsid w:val="00F8122D"/>
    <w:rsid w:val="00F825D3"/>
    <w:rsid w:val="00F8375A"/>
    <w:rsid w:val="00F84138"/>
    <w:rsid w:val="00F85475"/>
    <w:rsid w:val="00F869A2"/>
    <w:rsid w:val="00F901D2"/>
    <w:rsid w:val="00F9121C"/>
    <w:rsid w:val="00F92AD4"/>
    <w:rsid w:val="00F936F1"/>
    <w:rsid w:val="00F9458F"/>
    <w:rsid w:val="00F9597F"/>
    <w:rsid w:val="00F96B6B"/>
    <w:rsid w:val="00FA4063"/>
    <w:rsid w:val="00FA406A"/>
    <w:rsid w:val="00FA5EDC"/>
    <w:rsid w:val="00FB02D3"/>
    <w:rsid w:val="00FB1A82"/>
    <w:rsid w:val="00FB237B"/>
    <w:rsid w:val="00FB2AD8"/>
    <w:rsid w:val="00FB2DC4"/>
    <w:rsid w:val="00FB4492"/>
    <w:rsid w:val="00FB4B2D"/>
    <w:rsid w:val="00FB4CB4"/>
    <w:rsid w:val="00FB766E"/>
    <w:rsid w:val="00FB7845"/>
    <w:rsid w:val="00FC189E"/>
    <w:rsid w:val="00FC3356"/>
    <w:rsid w:val="00FC4F95"/>
    <w:rsid w:val="00FC543F"/>
    <w:rsid w:val="00FC58AE"/>
    <w:rsid w:val="00FC58F8"/>
    <w:rsid w:val="00FC6815"/>
    <w:rsid w:val="00FC6B1E"/>
    <w:rsid w:val="00FD0470"/>
    <w:rsid w:val="00FD3CBF"/>
    <w:rsid w:val="00FD7BD2"/>
    <w:rsid w:val="00FE1CE0"/>
    <w:rsid w:val="00FE4F2B"/>
    <w:rsid w:val="00FE6A3B"/>
    <w:rsid w:val="00FE7167"/>
    <w:rsid w:val="00FE74D6"/>
    <w:rsid w:val="00FF3AE1"/>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0BC8B-DC4B-4CB1-9ED3-F8EA69EA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4963</Words>
  <Characters>28293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2014-11-07T16:29:00Z</cp:lastPrinted>
  <dcterms:created xsi:type="dcterms:W3CDTF">2014-11-21T14:40:00Z</dcterms:created>
  <dcterms:modified xsi:type="dcterms:W3CDTF">2014-11-21T14:40:00Z</dcterms:modified>
</cp:coreProperties>
</file>