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1B595D" w:rsidTr="00D353B7">
        <w:tc>
          <w:tcPr>
            <w:tcW w:w="4878" w:type="dxa"/>
          </w:tcPr>
          <w:p w:rsidR="00F514FB" w:rsidRPr="00A8734C" w:rsidRDefault="00F514FB" w:rsidP="004D1313">
            <w:pPr>
              <w:widowControl/>
              <w:rPr>
                <w:sz w:val="26"/>
                <w:szCs w:val="26"/>
              </w:rPr>
            </w:pPr>
          </w:p>
        </w:tc>
        <w:tc>
          <w:tcPr>
            <w:tcW w:w="4608" w:type="dxa"/>
          </w:tcPr>
          <w:p w:rsidR="00F514FB" w:rsidRPr="001B595D" w:rsidRDefault="00DD5D3F" w:rsidP="004D1313">
            <w:pPr>
              <w:widowControl/>
              <w:jc w:val="right"/>
              <w:rPr>
                <w:sz w:val="26"/>
                <w:szCs w:val="26"/>
              </w:rPr>
            </w:pPr>
            <w:r w:rsidRPr="001B595D">
              <w:rPr>
                <w:sz w:val="26"/>
                <w:szCs w:val="26"/>
              </w:rPr>
              <w:t xml:space="preserve">Public Meeting held </w:t>
            </w:r>
            <w:r w:rsidR="001B595D" w:rsidRPr="001B595D">
              <w:rPr>
                <w:sz w:val="26"/>
                <w:szCs w:val="26"/>
              </w:rPr>
              <w:t>October 2</w:t>
            </w:r>
            <w:r w:rsidR="00CB3106">
              <w:rPr>
                <w:sz w:val="26"/>
                <w:szCs w:val="26"/>
              </w:rPr>
              <w:t>3</w:t>
            </w:r>
            <w:r w:rsidR="000E6A73" w:rsidRPr="001B595D">
              <w:rPr>
                <w:sz w:val="26"/>
                <w:szCs w:val="26"/>
              </w:rPr>
              <w:t>, 2014</w:t>
            </w:r>
          </w:p>
          <w:p w:rsidR="00F514FB" w:rsidRPr="001B595D" w:rsidRDefault="00F514FB" w:rsidP="004D1313">
            <w:pPr>
              <w:widowControl/>
              <w:jc w:val="right"/>
              <w:rPr>
                <w:sz w:val="26"/>
                <w:szCs w:val="26"/>
              </w:rPr>
            </w:pPr>
          </w:p>
          <w:p w:rsidR="00F514FB" w:rsidRPr="001B595D" w:rsidRDefault="00F514FB" w:rsidP="004D1313">
            <w:pPr>
              <w:widowControl/>
              <w:jc w:val="right"/>
              <w:rPr>
                <w:sz w:val="26"/>
                <w:szCs w:val="26"/>
              </w:rPr>
            </w:pPr>
          </w:p>
        </w:tc>
      </w:tr>
      <w:tr w:rsidR="00F514FB" w:rsidRPr="001B595D" w:rsidTr="00D353B7">
        <w:tc>
          <w:tcPr>
            <w:tcW w:w="4878" w:type="dxa"/>
          </w:tcPr>
          <w:p w:rsidR="00F514FB" w:rsidRPr="001B595D" w:rsidRDefault="00F514FB" w:rsidP="004D1313">
            <w:pPr>
              <w:widowControl/>
              <w:rPr>
                <w:sz w:val="26"/>
                <w:szCs w:val="26"/>
              </w:rPr>
            </w:pPr>
            <w:r w:rsidRPr="001B595D">
              <w:rPr>
                <w:sz w:val="26"/>
                <w:szCs w:val="26"/>
              </w:rPr>
              <w:t>Commissioners Present:</w:t>
            </w:r>
          </w:p>
          <w:p w:rsidR="00F514FB" w:rsidRPr="001B595D" w:rsidRDefault="00F514FB" w:rsidP="004D1313">
            <w:pPr>
              <w:widowControl/>
              <w:rPr>
                <w:sz w:val="26"/>
                <w:szCs w:val="26"/>
              </w:rPr>
            </w:pPr>
          </w:p>
          <w:p w:rsidR="00F514FB" w:rsidRPr="001B595D" w:rsidRDefault="00F514FB" w:rsidP="004D1313">
            <w:pPr>
              <w:widowControl/>
              <w:tabs>
                <w:tab w:val="left" w:pos="705"/>
              </w:tabs>
              <w:ind w:firstLine="720"/>
              <w:rPr>
                <w:sz w:val="26"/>
                <w:szCs w:val="26"/>
              </w:rPr>
            </w:pPr>
            <w:r w:rsidRPr="001B595D">
              <w:rPr>
                <w:sz w:val="26"/>
                <w:szCs w:val="26"/>
              </w:rPr>
              <w:t xml:space="preserve">Robert F. </w:t>
            </w:r>
            <w:proofErr w:type="spellStart"/>
            <w:r w:rsidRPr="001B595D">
              <w:rPr>
                <w:sz w:val="26"/>
                <w:szCs w:val="26"/>
              </w:rPr>
              <w:t>Powelson</w:t>
            </w:r>
            <w:proofErr w:type="spellEnd"/>
            <w:r w:rsidRPr="001B595D">
              <w:rPr>
                <w:sz w:val="26"/>
                <w:szCs w:val="26"/>
              </w:rPr>
              <w:t>, Chairman</w:t>
            </w:r>
          </w:p>
          <w:p w:rsidR="00F514FB" w:rsidRPr="001B595D" w:rsidRDefault="00F514FB" w:rsidP="004D1313">
            <w:pPr>
              <w:widowControl/>
              <w:tabs>
                <w:tab w:val="left" w:pos="705"/>
              </w:tabs>
              <w:ind w:firstLine="720"/>
              <w:rPr>
                <w:sz w:val="26"/>
                <w:szCs w:val="26"/>
              </w:rPr>
            </w:pPr>
            <w:r w:rsidRPr="001B595D">
              <w:rPr>
                <w:sz w:val="26"/>
                <w:szCs w:val="26"/>
              </w:rPr>
              <w:t>John F. Coleman, Jr., Vice Chairman</w:t>
            </w:r>
          </w:p>
          <w:p w:rsidR="00F514FB" w:rsidRPr="001B595D" w:rsidRDefault="00F514FB" w:rsidP="004D1313">
            <w:pPr>
              <w:widowControl/>
              <w:tabs>
                <w:tab w:val="left" w:pos="705"/>
              </w:tabs>
              <w:ind w:firstLine="720"/>
              <w:rPr>
                <w:sz w:val="26"/>
                <w:szCs w:val="26"/>
              </w:rPr>
            </w:pPr>
            <w:r w:rsidRPr="001B595D">
              <w:rPr>
                <w:sz w:val="26"/>
                <w:szCs w:val="26"/>
              </w:rPr>
              <w:t xml:space="preserve">James H. </w:t>
            </w:r>
            <w:proofErr w:type="spellStart"/>
            <w:r w:rsidRPr="001B595D">
              <w:rPr>
                <w:sz w:val="26"/>
                <w:szCs w:val="26"/>
              </w:rPr>
              <w:t>Cawley</w:t>
            </w:r>
            <w:proofErr w:type="spellEnd"/>
          </w:p>
          <w:p w:rsidR="00F514FB" w:rsidRPr="001B595D" w:rsidRDefault="00F514FB" w:rsidP="004D1313">
            <w:pPr>
              <w:widowControl/>
              <w:tabs>
                <w:tab w:val="left" w:pos="705"/>
              </w:tabs>
              <w:ind w:firstLine="720"/>
              <w:rPr>
                <w:sz w:val="26"/>
                <w:szCs w:val="26"/>
              </w:rPr>
            </w:pPr>
            <w:r w:rsidRPr="001B595D">
              <w:rPr>
                <w:sz w:val="26"/>
                <w:szCs w:val="26"/>
              </w:rPr>
              <w:t xml:space="preserve">Pamela A. </w:t>
            </w:r>
            <w:proofErr w:type="spellStart"/>
            <w:r w:rsidRPr="001B595D">
              <w:rPr>
                <w:sz w:val="26"/>
                <w:szCs w:val="26"/>
              </w:rPr>
              <w:t>Witmer</w:t>
            </w:r>
            <w:proofErr w:type="spellEnd"/>
          </w:p>
          <w:p w:rsidR="0028500A" w:rsidRPr="001B595D" w:rsidRDefault="0028500A" w:rsidP="004D1313">
            <w:pPr>
              <w:widowControl/>
              <w:tabs>
                <w:tab w:val="left" w:pos="705"/>
              </w:tabs>
              <w:ind w:firstLine="720"/>
              <w:rPr>
                <w:sz w:val="26"/>
                <w:szCs w:val="26"/>
              </w:rPr>
            </w:pPr>
            <w:r w:rsidRPr="001B595D">
              <w:rPr>
                <w:sz w:val="26"/>
                <w:szCs w:val="26"/>
              </w:rPr>
              <w:t>Gladys M. Brown</w:t>
            </w:r>
          </w:p>
          <w:p w:rsidR="00F514FB" w:rsidRPr="001B595D" w:rsidRDefault="00F514FB" w:rsidP="004D1313">
            <w:pPr>
              <w:widowControl/>
              <w:rPr>
                <w:sz w:val="26"/>
                <w:szCs w:val="26"/>
              </w:rPr>
            </w:pPr>
          </w:p>
          <w:p w:rsidR="00F514FB" w:rsidRPr="001B595D" w:rsidRDefault="00F514FB" w:rsidP="004D1313">
            <w:pPr>
              <w:widowControl/>
              <w:rPr>
                <w:sz w:val="26"/>
                <w:szCs w:val="26"/>
              </w:rPr>
            </w:pPr>
          </w:p>
        </w:tc>
        <w:tc>
          <w:tcPr>
            <w:tcW w:w="4608" w:type="dxa"/>
          </w:tcPr>
          <w:p w:rsidR="00F514FB" w:rsidRPr="001B595D" w:rsidRDefault="00F514FB" w:rsidP="004D1313">
            <w:pPr>
              <w:widowControl/>
              <w:jc w:val="right"/>
              <w:rPr>
                <w:sz w:val="26"/>
                <w:szCs w:val="26"/>
              </w:rPr>
            </w:pPr>
          </w:p>
          <w:p w:rsidR="00F514FB" w:rsidRPr="001B595D" w:rsidRDefault="00F514FB" w:rsidP="004D1313">
            <w:pPr>
              <w:widowControl/>
              <w:jc w:val="right"/>
              <w:rPr>
                <w:sz w:val="26"/>
                <w:szCs w:val="26"/>
              </w:rPr>
            </w:pPr>
          </w:p>
        </w:tc>
      </w:tr>
      <w:tr w:rsidR="00F514FB" w:rsidRPr="001B595D" w:rsidTr="00D353B7">
        <w:tc>
          <w:tcPr>
            <w:tcW w:w="4878" w:type="dxa"/>
          </w:tcPr>
          <w:p w:rsidR="00F514FB" w:rsidRPr="001B595D" w:rsidRDefault="001B595D" w:rsidP="004D1313">
            <w:pPr>
              <w:widowControl/>
              <w:rPr>
                <w:sz w:val="26"/>
                <w:szCs w:val="26"/>
              </w:rPr>
            </w:pPr>
            <w:r w:rsidRPr="001B595D">
              <w:rPr>
                <w:sz w:val="26"/>
                <w:szCs w:val="26"/>
              </w:rPr>
              <w:t>Theresa Brown-Albert</w:t>
            </w:r>
          </w:p>
          <w:p w:rsidR="00F514FB" w:rsidRPr="001B595D" w:rsidRDefault="00F514FB" w:rsidP="004D1313">
            <w:pPr>
              <w:widowControl/>
              <w:rPr>
                <w:sz w:val="26"/>
                <w:szCs w:val="26"/>
              </w:rPr>
            </w:pPr>
          </w:p>
        </w:tc>
        <w:tc>
          <w:tcPr>
            <w:tcW w:w="4608" w:type="dxa"/>
          </w:tcPr>
          <w:p w:rsidR="00F514FB" w:rsidRPr="001B595D" w:rsidRDefault="001B595D" w:rsidP="004D1313">
            <w:pPr>
              <w:widowControl/>
              <w:jc w:val="right"/>
              <w:rPr>
                <w:sz w:val="26"/>
                <w:szCs w:val="26"/>
              </w:rPr>
            </w:pPr>
            <w:r w:rsidRPr="001B595D">
              <w:rPr>
                <w:sz w:val="26"/>
                <w:szCs w:val="26"/>
              </w:rPr>
              <w:t>F-2013-2342492</w:t>
            </w:r>
          </w:p>
        </w:tc>
      </w:tr>
      <w:tr w:rsidR="00F514FB" w:rsidRPr="001B595D" w:rsidTr="00D353B7">
        <w:tc>
          <w:tcPr>
            <w:tcW w:w="4878" w:type="dxa"/>
          </w:tcPr>
          <w:p w:rsidR="00F514FB" w:rsidRPr="001B595D" w:rsidRDefault="00F514FB" w:rsidP="004D1313">
            <w:pPr>
              <w:widowControl/>
              <w:ind w:firstLine="900"/>
              <w:rPr>
                <w:sz w:val="26"/>
                <w:szCs w:val="26"/>
              </w:rPr>
            </w:pPr>
            <w:r w:rsidRPr="001B595D">
              <w:rPr>
                <w:sz w:val="26"/>
                <w:szCs w:val="26"/>
              </w:rPr>
              <w:t>v.</w:t>
            </w:r>
          </w:p>
          <w:p w:rsidR="00F514FB" w:rsidRPr="001B595D" w:rsidRDefault="00F514FB" w:rsidP="004D1313">
            <w:pPr>
              <w:widowControl/>
              <w:ind w:firstLine="1440"/>
              <w:rPr>
                <w:sz w:val="26"/>
                <w:szCs w:val="26"/>
              </w:rPr>
            </w:pPr>
          </w:p>
        </w:tc>
        <w:tc>
          <w:tcPr>
            <w:tcW w:w="4608" w:type="dxa"/>
          </w:tcPr>
          <w:p w:rsidR="00F514FB" w:rsidRPr="001B595D" w:rsidRDefault="00F514FB" w:rsidP="004D1313">
            <w:pPr>
              <w:widowControl/>
              <w:rPr>
                <w:sz w:val="26"/>
                <w:szCs w:val="26"/>
              </w:rPr>
            </w:pPr>
          </w:p>
        </w:tc>
      </w:tr>
      <w:tr w:rsidR="00F514FB" w:rsidRPr="001B595D" w:rsidTr="00D353B7">
        <w:tc>
          <w:tcPr>
            <w:tcW w:w="4878" w:type="dxa"/>
          </w:tcPr>
          <w:p w:rsidR="00F514FB" w:rsidRPr="001B595D" w:rsidRDefault="001B595D" w:rsidP="004D1313">
            <w:pPr>
              <w:widowControl/>
              <w:rPr>
                <w:sz w:val="26"/>
                <w:szCs w:val="26"/>
              </w:rPr>
            </w:pPr>
            <w:r w:rsidRPr="001B595D">
              <w:rPr>
                <w:sz w:val="26"/>
                <w:szCs w:val="26"/>
              </w:rPr>
              <w:t>PPL Electric Utilities Corporation</w:t>
            </w:r>
          </w:p>
        </w:tc>
        <w:tc>
          <w:tcPr>
            <w:tcW w:w="4608" w:type="dxa"/>
          </w:tcPr>
          <w:p w:rsidR="00F514FB" w:rsidRPr="001B595D" w:rsidRDefault="00F514FB" w:rsidP="004D1313">
            <w:pPr>
              <w:widowControl/>
              <w:rPr>
                <w:sz w:val="26"/>
                <w:szCs w:val="26"/>
              </w:rPr>
            </w:pPr>
          </w:p>
        </w:tc>
      </w:tr>
    </w:tbl>
    <w:p w:rsidR="00F514FB" w:rsidRPr="001B595D" w:rsidRDefault="00F514FB" w:rsidP="004D1313">
      <w:pPr>
        <w:widowControl/>
        <w:rPr>
          <w:sz w:val="26"/>
          <w:szCs w:val="26"/>
        </w:rPr>
      </w:pPr>
    </w:p>
    <w:p w:rsidR="00F514FB" w:rsidRPr="001B595D" w:rsidRDefault="00F514FB" w:rsidP="004D1313">
      <w:pPr>
        <w:widowControl/>
        <w:rPr>
          <w:sz w:val="26"/>
          <w:szCs w:val="26"/>
        </w:rPr>
      </w:pPr>
    </w:p>
    <w:p w:rsidR="00F514FB" w:rsidRPr="001B595D" w:rsidRDefault="00F514FB" w:rsidP="004D1313">
      <w:pPr>
        <w:widowControl/>
        <w:jc w:val="center"/>
        <w:rPr>
          <w:b/>
          <w:sz w:val="26"/>
          <w:szCs w:val="26"/>
        </w:rPr>
      </w:pPr>
      <w:r w:rsidRPr="001B595D">
        <w:rPr>
          <w:b/>
          <w:sz w:val="26"/>
          <w:szCs w:val="26"/>
        </w:rPr>
        <w:t>OPINION AND ORDER</w:t>
      </w:r>
    </w:p>
    <w:p w:rsidR="00F514FB" w:rsidRPr="001B595D" w:rsidRDefault="00F514FB" w:rsidP="004D1313">
      <w:pPr>
        <w:widowControl/>
        <w:jc w:val="center"/>
        <w:rPr>
          <w:b/>
          <w:sz w:val="26"/>
          <w:szCs w:val="26"/>
        </w:rPr>
      </w:pPr>
    </w:p>
    <w:p w:rsidR="00F514FB" w:rsidRPr="001B595D" w:rsidRDefault="00F514FB" w:rsidP="004D1313">
      <w:pPr>
        <w:widowControl/>
        <w:jc w:val="center"/>
        <w:rPr>
          <w:b/>
          <w:sz w:val="26"/>
          <w:szCs w:val="26"/>
        </w:rPr>
      </w:pPr>
    </w:p>
    <w:p w:rsidR="00F514FB" w:rsidRPr="001B595D" w:rsidRDefault="00F514FB" w:rsidP="004D1313">
      <w:pPr>
        <w:widowControl/>
        <w:rPr>
          <w:b/>
          <w:sz w:val="26"/>
          <w:szCs w:val="26"/>
        </w:rPr>
      </w:pPr>
      <w:r w:rsidRPr="001B595D">
        <w:rPr>
          <w:b/>
          <w:sz w:val="26"/>
          <w:szCs w:val="26"/>
        </w:rPr>
        <w:t>BY THE COMMISSION:</w:t>
      </w:r>
    </w:p>
    <w:p w:rsidR="00F514FB" w:rsidRPr="001B595D" w:rsidRDefault="00F514FB" w:rsidP="004D1313">
      <w:pPr>
        <w:widowControl/>
        <w:rPr>
          <w:sz w:val="26"/>
          <w:szCs w:val="26"/>
        </w:rPr>
      </w:pPr>
    </w:p>
    <w:p w:rsidR="00F514FB" w:rsidRPr="001B595D" w:rsidRDefault="00F514FB" w:rsidP="004D1313">
      <w:pPr>
        <w:widowControl/>
        <w:rPr>
          <w:sz w:val="26"/>
          <w:szCs w:val="26"/>
        </w:rPr>
      </w:pPr>
    </w:p>
    <w:p w:rsidR="00CA43A5" w:rsidRPr="00501C6A" w:rsidRDefault="00CA43A5" w:rsidP="004D1313">
      <w:pPr>
        <w:widowControl/>
        <w:spacing w:line="360" w:lineRule="auto"/>
        <w:ind w:firstLine="1440"/>
        <w:rPr>
          <w:sz w:val="26"/>
          <w:szCs w:val="26"/>
        </w:rPr>
      </w:pPr>
      <w:r w:rsidRPr="00182AF3">
        <w:rPr>
          <w:sz w:val="26"/>
          <w:szCs w:val="26"/>
        </w:rPr>
        <w:t xml:space="preserve">Before the Pennsylvania Public Utility Commission (Commission) for consideration and disposition </w:t>
      </w:r>
      <w:r w:rsidR="00671E4C" w:rsidRPr="00182AF3">
        <w:rPr>
          <w:color w:val="000000"/>
          <w:sz w:val="26"/>
        </w:rPr>
        <w:t xml:space="preserve">are the Exceptions </w:t>
      </w:r>
      <w:r w:rsidR="00A16587" w:rsidRPr="00182AF3">
        <w:rPr>
          <w:color w:val="000000"/>
          <w:sz w:val="26"/>
        </w:rPr>
        <w:t xml:space="preserve">of </w:t>
      </w:r>
      <w:r w:rsidR="00182AF3" w:rsidRPr="00182AF3">
        <w:rPr>
          <w:color w:val="000000"/>
          <w:sz w:val="26"/>
        </w:rPr>
        <w:t>Theresa Brown-Albert</w:t>
      </w:r>
      <w:r w:rsidR="00A16587" w:rsidRPr="00182AF3">
        <w:rPr>
          <w:color w:val="000000"/>
          <w:sz w:val="26"/>
        </w:rPr>
        <w:t xml:space="preserve"> </w:t>
      </w:r>
      <w:r w:rsidR="00671E4C" w:rsidRPr="00182AF3">
        <w:rPr>
          <w:color w:val="000000"/>
          <w:sz w:val="26"/>
        </w:rPr>
        <w:t>(</w:t>
      </w:r>
      <w:r w:rsidR="00EF4058" w:rsidRPr="00182AF3">
        <w:rPr>
          <w:color w:val="000000"/>
          <w:sz w:val="26"/>
        </w:rPr>
        <w:t>C</w:t>
      </w:r>
      <w:r w:rsidR="00FE733C" w:rsidRPr="00182AF3">
        <w:rPr>
          <w:color w:val="000000"/>
          <w:sz w:val="26"/>
        </w:rPr>
        <w:t>o</w:t>
      </w:r>
      <w:r w:rsidR="00182AF3" w:rsidRPr="00182AF3">
        <w:rPr>
          <w:color w:val="000000"/>
          <w:sz w:val="26"/>
        </w:rPr>
        <w:t xml:space="preserve">mplainant) filed on April </w:t>
      </w:r>
      <w:r w:rsidR="00182AF3" w:rsidRPr="00501C6A">
        <w:rPr>
          <w:color w:val="000000"/>
          <w:sz w:val="26"/>
        </w:rPr>
        <w:t>28, 2014</w:t>
      </w:r>
      <w:r w:rsidR="00671E4C" w:rsidRPr="00501C6A">
        <w:rPr>
          <w:color w:val="000000"/>
          <w:sz w:val="26"/>
        </w:rPr>
        <w:t>,</w:t>
      </w:r>
      <w:r w:rsidR="007526AB" w:rsidRPr="00501C6A">
        <w:rPr>
          <w:color w:val="000000"/>
          <w:sz w:val="26"/>
        </w:rPr>
        <w:t xml:space="preserve"> to the Initial Decision </w:t>
      </w:r>
      <w:r w:rsidR="0085046A" w:rsidRPr="00501C6A">
        <w:rPr>
          <w:color w:val="000000"/>
          <w:sz w:val="26"/>
        </w:rPr>
        <w:t>of Administrative Law J</w:t>
      </w:r>
      <w:r w:rsidR="00182AF3" w:rsidRPr="00501C6A">
        <w:rPr>
          <w:color w:val="000000"/>
          <w:sz w:val="26"/>
        </w:rPr>
        <w:t>udge (ALJ) Dennis J. Buckley</w:t>
      </w:r>
      <w:r w:rsidR="00671E4C" w:rsidRPr="00501C6A">
        <w:rPr>
          <w:color w:val="000000"/>
          <w:sz w:val="26"/>
        </w:rPr>
        <w:t>, w</w:t>
      </w:r>
      <w:r w:rsidR="00346C47" w:rsidRPr="00501C6A">
        <w:rPr>
          <w:color w:val="000000"/>
          <w:sz w:val="26"/>
        </w:rPr>
        <w:t xml:space="preserve">hich was issued on </w:t>
      </w:r>
      <w:r w:rsidR="00182AF3" w:rsidRPr="00501C6A">
        <w:rPr>
          <w:color w:val="000000"/>
          <w:sz w:val="26"/>
        </w:rPr>
        <w:t>April 15, 2014</w:t>
      </w:r>
      <w:r w:rsidR="00671E4C" w:rsidRPr="00501C6A">
        <w:rPr>
          <w:color w:val="000000"/>
          <w:sz w:val="26"/>
        </w:rPr>
        <w:t>, in</w:t>
      </w:r>
      <w:r w:rsidR="0035728C" w:rsidRPr="00501C6A">
        <w:rPr>
          <w:color w:val="000000"/>
          <w:sz w:val="26"/>
        </w:rPr>
        <w:t xml:space="preserve"> the above-captioned proceeding</w:t>
      </w:r>
      <w:r w:rsidR="00671E4C" w:rsidRPr="00501C6A">
        <w:rPr>
          <w:color w:val="000000"/>
          <w:sz w:val="26"/>
        </w:rPr>
        <w:t>.</w:t>
      </w:r>
      <w:r w:rsidR="00D8327E">
        <w:rPr>
          <w:rStyle w:val="FootnoteReference"/>
          <w:color w:val="000000"/>
          <w:sz w:val="26"/>
        </w:rPr>
        <w:footnoteReference w:id="1"/>
      </w:r>
      <w:r w:rsidR="00671E4C" w:rsidRPr="00501C6A">
        <w:rPr>
          <w:color w:val="000000"/>
          <w:sz w:val="26"/>
        </w:rPr>
        <w:t xml:space="preserve">  </w:t>
      </w:r>
      <w:r w:rsidR="00A053F6" w:rsidRPr="00501C6A">
        <w:rPr>
          <w:color w:val="000000"/>
          <w:sz w:val="26"/>
        </w:rPr>
        <w:t>Replies to the Complainant</w:t>
      </w:r>
      <w:r w:rsidR="00C23D6B">
        <w:rPr>
          <w:color w:val="000000"/>
          <w:sz w:val="26"/>
        </w:rPr>
        <w:t>’</w:t>
      </w:r>
      <w:r w:rsidR="00A053F6" w:rsidRPr="00501C6A">
        <w:rPr>
          <w:color w:val="000000"/>
          <w:sz w:val="26"/>
        </w:rPr>
        <w:t>s</w:t>
      </w:r>
      <w:r w:rsidR="002C79B8" w:rsidRPr="00501C6A">
        <w:rPr>
          <w:color w:val="000000"/>
          <w:sz w:val="26"/>
        </w:rPr>
        <w:t xml:space="preserve"> Exceptions</w:t>
      </w:r>
      <w:r w:rsidR="00271FC3" w:rsidRPr="00501C6A">
        <w:rPr>
          <w:color w:val="000000"/>
          <w:sz w:val="26"/>
        </w:rPr>
        <w:t xml:space="preserve"> were</w:t>
      </w:r>
      <w:r w:rsidR="00182AF3" w:rsidRPr="00501C6A">
        <w:rPr>
          <w:color w:val="000000"/>
          <w:sz w:val="26"/>
        </w:rPr>
        <w:t xml:space="preserve"> filed by PPL Electric </w:t>
      </w:r>
      <w:r w:rsidR="00182AF3" w:rsidRPr="00501C6A">
        <w:rPr>
          <w:color w:val="000000"/>
          <w:sz w:val="26"/>
        </w:rPr>
        <w:lastRenderedPageBreak/>
        <w:t>Utilities Corporation (PPL or the Company) on May 12, 2014</w:t>
      </w:r>
      <w:r w:rsidR="00271FC3" w:rsidRPr="00501C6A">
        <w:rPr>
          <w:color w:val="000000"/>
          <w:sz w:val="26"/>
        </w:rPr>
        <w:t xml:space="preserve">.  </w:t>
      </w:r>
      <w:r w:rsidRPr="00501C6A">
        <w:rPr>
          <w:sz w:val="26"/>
          <w:szCs w:val="26"/>
        </w:rPr>
        <w:t>For the reason</w:t>
      </w:r>
      <w:r w:rsidR="002E5E87" w:rsidRPr="00501C6A">
        <w:rPr>
          <w:sz w:val="26"/>
          <w:szCs w:val="26"/>
        </w:rPr>
        <w:t>s stated below, we will</w:t>
      </w:r>
      <w:r w:rsidR="007D7FAB">
        <w:rPr>
          <w:sz w:val="26"/>
          <w:szCs w:val="26"/>
        </w:rPr>
        <w:t xml:space="preserve"> grant, in part, and</w:t>
      </w:r>
      <w:r w:rsidR="002E5E87" w:rsidRPr="00501C6A">
        <w:rPr>
          <w:sz w:val="26"/>
          <w:szCs w:val="26"/>
        </w:rPr>
        <w:t xml:space="preserve"> deny</w:t>
      </w:r>
      <w:r w:rsidR="007D7FAB">
        <w:rPr>
          <w:sz w:val="26"/>
          <w:szCs w:val="26"/>
        </w:rPr>
        <w:t>, in part,</w:t>
      </w:r>
      <w:r w:rsidR="002E5E87" w:rsidRPr="00501C6A">
        <w:rPr>
          <w:sz w:val="26"/>
          <w:szCs w:val="26"/>
        </w:rPr>
        <w:t xml:space="preserve"> the Complainant</w:t>
      </w:r>
      <w:r w:rsidR="00C23D6B">
        <w:rPr>
          <w:sz w:val="26"/>
          <w:szCs w:val="26"/>
        </w:rPr>
        <w:t>’</w:t>
      </w:r>
      <w:r w:rsidR="002E5E87" w:rsidRPr="00501C6A">
        <w:rPr>
          <w:sz w:val="26"/>
          <w:szCs w:val="26"/>
        </w:rPr>
        <w:t>s Exceptions</w:t>
      </w:r>
      <w:r w:rsidR="007D7FAB">
        <w:rPr>
          <w:sz w:val="26"/>
          <w:szCs w:val="26"/>
        </w:rPr>
        <w:t>,</w:t>
      </w:r>
      <w:r w:rsidR="00A15050" w:rsidRPr="00501C6A">
        <w:rPr>
          <w:sz w:val="26"/>
          <w:szCs w:val="26"/>
        </w:rPr>
        <w:t xml:space="preserve"> </w:t>
      </w:r>
      <w:r w:rsidR="007D7FAB">
        <w:rPr>
          <w:sz w:val="26"/>
          <w:szCs w:val="26"/>
        </w:rPr>
        <w:t xml:space="preserve">vacate </w:t>
      </w:r>
      <w:r w:rsidR="0040377C" w:rsidRPr="00501C6A">
        <w:rPr>
          <w:sz w:val="26"/>
          <w:szCs w:val="26"/>
        </w:rPr>
        <w:t>the ALJ</w:t>
      </w:r>
      <w:r w:rsidR="00C23D6B">
        <w:rPr>
          <w:sz w:val="26"/>
          <w:szCs w:val="26"/>
        </w:rPr>
        <w:t>’</w:t>
      </w:r>
      <w:r w:rsidR="0040377C" w:rsidRPr="00501C6A">
        <w:rPr>
          <w:sz w:val="26"/>
          <w:szCs w:val="26"/>
        </w:rPr>
        <w:t>s Initial Decision</w:t>
      </w:r>
      <w:r w:rsidR="007D7FAB">
        <w:rPr>
          <w:sz w:val="26"/>
          <w:szCs w:val="26"/>
        </w:rPr>
        <w:t>, and remand this proceeding to the Office of Administrative Law Judge (OALJ) for further hearing</w:t>
      </w:r>
      <w:r w:rsidR="00501C6A" w:rsidRPr="00501C6A">
        <w:rPr>
          <w:sz w:val="26"/>
          <w:szCs w:val="26"/>
        </w:rPr>
        <w:t xml:space="preserve">, </w:t>
      </w:r>
      <w:r w:rsidR="007D7FAB">
        <w:rPr>
          <w:sz w:val="26"/>
          <w:szCs w:val="26"/>
        </w:rPr>
        <w:t>consistent with</w:t>
      </w:r>
      <w:r w:rsidR="00501C6A" w:rsidRPr="00501C6A">
        <w:rPr>
          <w:sz w:val="26"/>
          <w:szCs w:val="26"/>
        </w:rPr>
        <w:t xml:space="preserve"> this Opinion and Order</w:t>
      </w:r>
      <w:r w:rsidR="0040377C" w:rsidRPr="00501C6A">
        <w:rPr>
          <w:sz w:val="26"/>
          <w:szCs w:val="26"/>
        </w:rPr>
        <w:t>.</w:t>
      </w:r>
      <w:r w:rsidR="00A15050" w:rsidRPr="00501C6A">
        <w:rPr>
          <w:sz w:val="26"/>
          <w:szCs w:val="26"/>
        </w:rPr>
        <w:t xml:space="preserve"> </w:t>
      </w:r>
    </w:p>
    <w:p w:rsidR="00CA43A5" w:rsidRPr="00501C6A" w:rsidRDefault="00CA43A5" w:rsidP="004D1313">
      <w:pPr>
        <w:widowControl/>
        <w:spacing w:line="360" w:lineRule="auto"/>
        <w:rPr>
          <w:sz w:val="26"/>
          <w:szCs w:val="26"/>
        </w:rPr>
      </w:pPr>
    </w:p>
    <w:p w:rsidR="000A0142" w:rsidRPr="008B348A" w:rsidRDefault="000A0142" w:rsidP="004D1313">
      <w:pPr>
        <w:keepNext/>
        <w:widowControl/>
        <w:spacing w:line="360" w:lineRule="auto"/>
        <w:jc w:val="center"/>
        <w:rPr>
          <w:b/>
          <w:sz w:val="26"/>
          <w:szCs w:val="26"/>
        </w:rPr>
      </w:pPr>
      <w:bookmarkStart w:id="0" w:name="OLE_LINK1"/>
      <w:bookmarkStart w:id="1" w:name="OLE_LINK2"/>
      <w:r w:rsidRPr="008B348A">
        <w:rPr>
          <w:b/>
          <w:sz w:val="26"/>
          <w:szCs w:val="26"/>
        </w:rPr>
        <w:t>History of the Proceeding</w:t>
      </w:r>
    </w:p>
    <w:p w:rsidR="000A0142" w:rsidRPr="008B348A" w:rsidRDefault="000A0142" w:rsidP="004D1313">
      <w:pPr>
        <w:keepNext/>
        <w:widowControl/>
        <w:rPr>
          <w:b/>
          <w:sz w:val="26"/>
          <w:szCs w:val="26"/>
          <w:u w:val="single"/>
        </w:rPr>
      </w:pPr>
    </w:p>
    <w:p w:rsidR="00230A11" w:rsidRPr="008439F8" w:rsidRDefault="008433D2" w:rsidP="000609F5">
      <w:pPr>
        <w:widowControl/>
        <w:spacing w:line="360" w:lineRule="auto"/>
        <w:rPr>
          <w:sz w:val="26"/>
          <w:szCs w:val="26"/>
        </w:rPr>
      </w:pPr>
      <w:r w:rsidRPr="008B348A">
        <w:rPr>
          <w:sz w:val="26"/>
          <w:szCs w:val="26"/>
        </w:rPr>
        <w:tab/>
      </w:r>
      <w:r w:rsidRPr="008B348A">
        <w:rPr>
          <w:sz w:val="26"/>
          <w:szCs w:val="26"/>
        </w:rPr>
        <w:tab/>
      </w:r>
      <w:r w:rsidR="00182AF3" w:rsidRPr="008B348A">
        <w:rPr>
          <w:sz w:val="26"/>
          <w:szCs w:val="26"/>
        </w:rPr>
        <w:t>On December 31</w:t>
      </w:r>
      <w:r w:rsidR="00984616" w:rsidRPr="008B348A">
        <w:rPr>
          <w:sz w:val="26"/>
          <w:szCs w:val="26"/>
        </w:rPr>
        <w:t>, 201</w:t>
      </w:r>
      <w:r w:rsidR="000609F5" w:rsidRPr="008B348A">
        <w:rPr>
          <w:sz w:val="26"/>
          <w:szCs w:val="26"/>
        </w:rPr>
        <w:t>2</w:t>
      </w:r>
      <w:r w:rsidR="007C17D3" w:rsidRPr="008B348A">
        <w:rPr>
          <w:sz w:val="26"/>
          <w:szCs w:val="26"/>
        </w:rPr>
        <w:t>, the Complainant fil</w:t>
      </w:r>
      <w:r w:rsidR="00F73B5B" w:rsidRPr="008B348A">
        <w:rPr>
          <w:sz w:val="26"/>
          <w:szCs w:val="26"/>
        </w:rPr>
        <w:t>ed a Formal Complaint (Complaint</w:t>
      </w:r>
      <w:r w:rsidR="007C17D3" w:rsidRPr="008B348A">
        <w:rPr>
          <w:sz w:val="26"/>
          <w:szCs w:val="26"/>
        </w:rPr>
        <w:t>)</w:t>
      </w:r>
      <w:r w:rsidR="00000CE2" w:rsidRPr="008B348A">
        <w:rPr>
          <w:sz w:val="26"/>
          <w:szCs w:val="26"/>
        </w:rPr>
        <w:t xml:space="preserve"> aga</w:t>
      </w:r>
      <w:r w:rsidR="00182AF3" w:rsidRPr="008B348A">
        <w:rPr>
          <w:sz w:val="26"/>
          <w:szCs w:val="26"/>
        </w:rPr>
        <w:t>inst PPL</w:t>
      </w:r>
      <w:r w:rsidR="00D56D07" w:rsidRPr="008B348A">
        <w:rPr>
          <w:sz w:val="26"/>
          <w:szCs w:val="26"/>
        </w:rPr>
        <w:t xml:space="preserve">, </w:t>
      </w:r>
      <w:r w:rsidR="005461BC" w:rsidRPr="008B348A">
        <w:rPr>
          <w:sz w:val="26"/>
          <w:szCs w:val="26"/>
        </w:rPr>
        <w:t xml:space="preserve">in which </w:t>
      </w:r>
      <w:r w:rsidR="00230A11" w:rsidRPr="008B348A">
        <w:rPr>
          <w:sz w:val="26"/>
          <w:szCs w:val="26"/>
        </w:rPr>
        <w:t xml:space="preserve">she </w:t>
      </w:r>
      <w:r w:rsidR="00341F2F" w:rsidRPr="008B348A">
        <w:rPr>
          <w:sz w:val="26"/>
          <w:szCs w:val="26"/>
        </w:rPr>
        <w:t>alleged</w:t>
      </w:r>
      <w:r w:rsidR="00230A11" w:rsidRPr="008B348A">
        <w:rPr>
          <w:sz w:val="26"/>
          <w:szCs w:val="26"/>
        </w:rPr>
        <w:t xml:space="preserve"> tha</w:t>
      </w:r>
      <w:r w:rsidR="00E332A7" w:rsidRPr="008B348A">
        <w:rPr>
          <w:sz w:val="26"/>
          <w:szCs w:val="26"/>
        </w:rPr>
        <w:t>t</w:t>
      </w:r>
      <w:r w:rsidR="008B348A" w:rsidRPr="008B348A">
        <w:rPr>
          <w:sz w:val="26"/>
          <w:szCs w:val="26"/>
        </w:rPr>
        <w:t xml:space="preserve"> there were incorrect charges on her bill</w:t>
      </w:r>
      <w:r w:rsidR="00126E93" w:rsidRPr="008B348A">
        <w:rPr>
          <w:sz w:val="26"/>
          <w:szCs w:val="26"/>
        </w:rPr>
        <w:t>.</w:t>
      </w:r>
      <w:r w:rsidR="00D56D07" w:rsidRPr="008B348A">
        <w:rPr>
          <w:rStyle w:val="FootnoteReference"/>
          <w:sz w:val="26"/>
          <w:szCs w:val="26"/>
        </w:rPr>
        <w:footnoteReference w:id="2"/>
      </w:r>
      <w:r w:rsidR="00E332A7" w:rsidRPr="008B348A">
        <w:rPr>
          <w:sz w:val="26"/>
          <w:szCs w:val="26"/>
        </w:rPr>
        <w:t xml:space="preserve">  </w:t>
      </w:r>
      <w:r w:rsidR="008B348A">
        <w:rPr>
          <w:sz w:val="26"/>
          <w:szCs w:val="26"/>
        </w:rPr>
        <w:t xml:space="preserve">Specifically, the Complainant </w:t>
      </w:r>
      <w:r w:rsidR="001F0B96">
        <w:rPr>
          <w:sz w:val="26"/>
          <w:szCs w:val="26"/>
        </w:rPr>
        <w:t xml:space="preserve">contended </w:t>
      </w:r>
      <w:r w:rsidR="006D447C">
        <w:rPr>
          <w:sz w:val="26"/>
          <w:szCs w:val="26"/>
        </w:rPr>
        <w:t>that PPL improp</w:t>
      </w:r>
      <w:r w:rsidR="00F60384">
        <w:rPr>
          <w:sz w:val="26"/>
          <w:szCs w:val="26"/>
        </w:rPr>
        <w:t>erly transferred charges</w:t>
      </w:r>
      <w:r w:rsidR="006D447C">
        <w:rPr>
          <w:sz w:val="26"/>
          <w:szCs w:val="26"/>
        </w:rPr>
        <w:t xml:space="preserve"> to her account from the accounts of other individuals, for which the Complainant claimed no responsibility.</w:t>
      </w:r>
      <w:r w:rsidR="002E6355">
        <w:rPr>
          <w:sz w:val="26"/>
          <w:szCs w:val="26"/>
        </w:rPr>
        <w:t xml:space="preserve">  The Complainant requested that PPL be directed to remo</w:t>
      </w:r>
      <w:r w:rsidR="00F60384">
        <w:rPr>
          <w:sz w:val="26"/>
          <w:szCs w:val="26"/>
        </w:rPr>
        <w:t>ve the alleged incorrect charges</w:t>
      </w:r>
      <w:r w:rsidR="002E6355">
        <w:rPr>
          <w:sz w:val="26"/>
          <w:szCs w:val="26"/>
        </w:rPr>
        <w:t xml:space="preserve"> from her account, and to assign those amo</w:t>
      </w:r>
      <w:r w:rsidR="00B661DC">
        <w:rPr>
          <w:sz w:val="26"/>
          <w:szCs w:val="26"/>
        </w:rPr>
        <w:t xml:space="preserve">unts to the individuals </w:t>
      </w:r>
      <w:r w:rsidR="002E6355">
        <w:rPr>
          <w:sz w:val="26"/>
          <w:szCs w:val="26"/>
        </w:rPr>
        <w:t>responsible for them.  The Complain</w:t>
      </w:r>
      <w:r w:rsidR="00A0779F">
        <w:rPr>
          <w:sz w:val="26"/>
          <w:szCs w:val="26"/>
        </w:rPr>
        <w:t xml:space="preserve">ant also requested that </w:t>
      </w:r>
      <w:r w:rsidR="002E6355">
        <w:rPr>
          <w:sz w:val="26"/>
          <w:szCs w:val="26"/>
        </w:rPr>
        <w:t xml:space="preserve">PPL </w:t>
      </w:r>
      <w:r w:rsidR="00A0779F">
        <w:rPr>
          <w:sz w:val="26"/>
          <w:szCs w:val="26"/>
        </w:rPr>
        <w:t xml:space="preserve">be required </w:t>
      </w:r>
      <w:r w:rsidR="002E6355">
        <w:rPr>
          <w:sz w:val="26"/>
          <w:szCs w:val="26"/>
        </w:rPr>
        <w:t>to</w:t>
      </w:r>
      <w:r w:rsidR="00A0779F">
        <w:rPr>
          <w:sz w:val="26"/>
          <w:szCs w:val="26"/>
        </w:rPr>
        <w:t xml:space="preserve"> </w:t>
      </w:r>
      <w:r w:rsidR="00A0779F" w:rsidRPr="008439F8">
        <w:rPr>
          <w:sz w:val="26"/>
          <w:szCs w:val="26"/>
        </w:rPr>
        <w:t>hono</w:t>
      </w:r>
      <w:r w:rsidR="00B661DC">
        <w:rPr>
          <w:sz w:val="26"/>
          <w:szCs w:val="26"/>
        </w:rPr>
        <w:t xml:space="preserve">r her </w:t>
      </w:r>
      <w:proofErr w:type="spellStart"/>
      <w:r w:rsidR="00B661DC">
        <w:rPr>
          <w:sz w:val="26"/>
          <w:szCs w:val="26"/>
        </w:rPr>
        <w:t>OnTrack</w:t>
      </w:r>
      <w:proofErr w:type="spellEnd"/>
      <w:r w:rsidR="00B661DC">
        <w:rPr>
          <w:sz w:val="26"/>
          <w:szCs w:val="26"/>
        </w:rPr>
        <w:t xml:space="preserve"> agreement with the Company</w:t>
      </w:r>
      <w:r w:rsidR="00A0779F" w:rsidRPr="008439F8">
        <w:rPr>
          <w:sz w:val="26"/>
          <w:szCs w:val="26"/>
        </w:rPr>
        <w:t>.</w:t>
      </w:r>
    </w:p>
    <w:p w:rsidR="008B348A" w:rsidRPr="008439F8" w:rsidRDefault="008B348A" w:rsidP="008E0179">
      <w:pPr>
        <w:widowControl/>
        <w:spacing w:line="360" w:lineRule="auto"/>
        <w:rPr>
          <w:sz w:val="26"/>
          <w:szCs w:val="26"/>
        </w:rPr>
      </w:pPr>
    </w:p>
    <w:p w:rsidR="00907110" w:rsidRPr="008439F8" w:rsidRDefault="003A3D1C" w:rsidP="00E332A7">
      <w:pPr>
        <w:widowControl/>
        <w:spacing w:line="360" w:lineRule="auto"/>
        <w:rPr>
          <w:sz w:val="26"/>
          <w:szCs w:val="26"/>
        </w:rPr>
      </w:pPr>
      <w:r w:rsidRPr="008439F8">
        <w:rPr>
          <w:sz w:val="26"/>
          <w:szCs w:val="26"/>
        </w:rPr>
        <w:tab/>
      </w:r>
      <w:r w:rsidRPr="008439F8">
        <w:rPr>
          <w:sz w:val="26"/>
          <w:szCs w:val="26"/>
        </w:rPr>
        <w:tab/>
      </w:r>
      <w:r w:rsidR="00E332A7" w:rsidRPr="008439F8">
        <w:rPr>
          <w:sz w:val="26"/>
          <w:szCs w:val="26"/>
        </w:rPr>
        <w:t>On January 30</w:t>
      </w:r>
      <w:r w:rsidRPr="008439F8">
        <w:rPr>
          <w:sz w:val="26"/>
          <w:szCs w:val="26"/>
        </w:rPr>
        <w:t xml:space="preserve">, </w:t>
      </w:r>
      <w:r w:rsidR="00E332A7" w:rsidRPr="008439F8">
        <w:rPr>
          <w:sz w:val="26"/>
          <w:szCs w:val="26"/>
        </w:rPr>
        <w:t>2013, PPL</w:t>
      </w:r>
      <w:r w:rsidR="002A1164" w:rsidRPr="008439F8">
        <w:rPr>
          <w:sz w:val="26"/>
          <w:szCs w:val="26"/>
        </w:rPr>
        <w:t xml:space="preserve"> filed an Answer</w:t>
      </w:r>
      <w:r w:rsidR="00F84E2D" w:rsidRPr="008439F8">
        <w:rPr>
          <w:sz w:val="26"/>
          <w:szCs w:val="26"/>
        </w:rPr>
        <w:t>,</w:t>
      </w:r>
      <w:r w:rsidR="00E82B77" w:rsidRPr="008439F8">
        <w:rPr>
          <w:sz w:val="26"/>
          <w:szCs w:val="26"/>
        </w:rPr>
        <w:t xml:space="preserve"> in which it </w:t>
      </w:r>
      <w:r w:rsidR="00F84E2D" w:rsidRPr="008439F8">
        <w:rPr>
          <w:sz w:val="26"/>
          <w:szCs w:val="26"/>
        </w:rPr>
        <w:t>denied the material allegations of the Complaint</w:t>
      </w:r>
      <w:r w:rsidR="00C63275">
        <w:rPr>
          <w:sz w:val="26"/>
          <w:szCs w:val="26"/>
        </w:rPr>
        <w:t>.  PPL asserted that the Complainant wa</w:t>
      </w:r>
      <w:r w:rsidR="008439F8" w:rsidRPr="008439F8">
        <w:rPr>
          <w:sz w:val="26"/>
          <w:szCs w:val="26"/>
        </w:rPr>
        <w:t>s responsible for all charges billed to her</w:t>
      </w:r>
      <w:r w:rsidR="00F84E2D" w:rsidRPr="008439F8">
        <w:rPr>
          <w:sz w:val="26"/>
          <w:szCs w:val="26"/>
        </w:rPr>
        <w:t>.</w:t>
      </w:r>
      <w:r w:rsidR="00A14E09" w:rsidRPr="008439F8">
        <w:rPr>
          <w:sz w:val="26"/>
          <w:szCs w:val="26"/>
        </w:rPr>
        <w:t xml:space="preserve">  </w:t>
      </w:r>
    </w:p>
    <w:p w:rsidR="003E0BCF" w:rsidRPr="000407DB" w:rsidRDefault="003E0BCF" w:rsidP="008E0179">
      <w:pPr>
        <w:widowControl/>
        <w:spacing w:line="360" w:lineRule="auto"/>
        <w:rPr>
          <w:sz w:val="26"/>
          <w:szCs w:val="26"/>
        </w:rPr>
      </w:pPr>
    </w:p>
    <w:p w:rsidR="00C47438" w:rsidRPr="0088756F" w:rsidRDefault="00EE3556" w:rsidP="008E0179">
      <w:pPr>
        <w:widowControl/>
        <w:spacing w:line="360" w:lineRule="auto"/>
        <w:rPr>
          <w:sz w:val="26"/>
          <w:szCs w:val="26"/>
        </w:rPr>
      </w:pPr>
      <w:r w:rsidRPr="000407DB">
        <w:rPr>
          <w:sz w:val="26"/>
          <w:szCs w:val="26"/>
        </w:rPr>
        <w:tab/>
      </w:r>
      <w:r w:rsidRPr="000407DB">
        <w:rPr>
          <w:sz w:val="26"/>
          <w:szCs w:val="26"/>
        </w:rPr>
        <w:tab/>
      </w:r>
      <w:r w:rsidR="000407DB" w:rsidRPr="000407DB">
        <w:rPr>
          <w:sz w:val="26"/>
          <w:szCs w:val="26"/>
        </w:rPr>
        <w:t>On March 13, 2013, a telephonic</w:t>
      </w:r>
      <w:r w:rsidR="003508D7" w:rsidRPr="000407DB">
        <w:rPr>
          <w:sz w:val="26"/>
          <w:szCs w:val="26"/>
        </w:rPr>
        <w:t xml:space="preserve"> evidentiary hearing was convened</w:t>
      </w:r>
      <w:r w:rsidR="000407DB" w:rsidRPr="000407DB">
        <w:rPr>
          <w:sz w:val="26"/>
          <w:szCs w:val="26"/>
        </w:rPr>
        <w:t xml:space="preserve"> before ALJ Buckley</w:t>
      </w:r>
      <w:r w:rsidR="003508D7" w:rsidRPr="000407DB">
        <w:rPr>
          <w:sz w:val="26"/>
          <w:szCs w:val="26"/>
        </w:rPr>
        <w:t xml:space="preserve">.  </w:t>
      </w:r>
      <w:r w:rsidR="00817450" w:rsidRPr="000407DB">
        <w:rPr>
          <w:sz w:val="26"/>
          <w:szCs w:val="26"/>
        </w:rPr>
        <w:t>The Complainant appeared</w:t>
      </w:r>
      <w:r w:rsidR="00817450">
        <w:rPr>
          <w:sz w:val="26"/>
          <w:szCs w:val="26"/>
        </w:rPr>
        <w:t xml:space="preserve"> </w:t>
      </w:r>
      <w:r w:rsidR="00817450" w:rsidRPr="000407DB">
        <w:rPr>
          <w:i/>
          <w:sz w:val="26"/>
          <w:szCs w:val="26"/>
        </w:rPr>
        <w:t>pro se,</w:t>
      </w:r>
      <w:r w:rsidR="00817450" w:rsidRPr="000407DB">
        <w:rPr>
          <w:sz w:val="26"/>
          <w:szCs w:val="26"/>
        </w:rPr>
        <w:t xml:space="preserve"> testified on her own behalf, and introduced </w:t>
      </w:r>
      <w:r w:rsidR="00817450" w:rsidRPr="0088756F">
        <w:rPr>
          <w:sz w:val="26"/>
          <w:szCs w:val="26"/>
        </w:rPr>
        <w:t xml:space="preserve">six exhibits, all of which were admitted into the record.  </w:t>
      </w:r>
      <w:r w:rsidR="0088756F" w:rsidRPr="0088756F">
        <w:rPr>
          <w:sz w:val="26"/>
          <w:szCs w:val="26"/>
        </w:rPr>
        <w:t>PPL</w:t>
      </w:r>
      <w:r w:rsidR="00D2714A" w:rsidRPr="0088756F">
        <w:rPr>
          <w:sz w:val="26"/>
          <w:szCs w:val="26"/>
        </w:rPr>
        <w:t xml:space="preserve"> was represented by counsel</w:t>
      </w:r>
      <w:r w:rsidR="00982B12" w:rsidRPr="0088756F">
        <w:rPr>
          <w:sz w:val="26"/>
          <w:szCs w:val="26"/>
        </w:rPr>
        <w:t xml:space="preserve"> </w:t>
      </w:r>
      <w:r w:rsidR="00080A8B" w:rsidRPr="0088756F">
        <w:rPr>
          <w:sz w:val="26"/>
          <w:szCs w:val="26"/>
        </w:rPr>
        <w:t xml:space="preserve">and </w:t>
      </w:r>
      <w:r w:rsidR="0088756F" w:rsidRPr="0088756F">
        <w:rPr>
          <w:sz w:val="26"/>
          <w:szCs w:val="26"/>
        </w:rPr>
        <w:t xml:space="preserve">presented the testimony of </w:t>
      </w:r>
      <w:r w:rsidR="00D8327E">
        <w:rPr>
          <w:sz w:val="26"/>
          <w:szCs w:val="26"/>
        </w:rPr>
        <w:t>one witness</w:t>
      </w:r>
      <w:r w:rsidR="0088756F" w:rsidRPr="0088756F">
        <w:rPr>
          <w:sz w:val="26"/>
          <w:szCs w:val="26"/>
        </w:rPr>
        <w:t>, a customer service representative for PPL</w:t>
      </w:r>
      <w:r w:rsidR="00080A8B" w:rsidRPr="0088756F">
        <w:rPr>
          <w:sz w:val="26"/>
          <w:szCs w:val="26"/>
        </w:rPr>
        <w:t xml:space="preserve">.  </w:t>
      </w:r>
      <w:r w:rsidR="0088756F" w:rsidRPr="0088756F">
        <w:rPr>
          <w:sz w:val="26"/>
          <w:szCs w:val="26"/>
        </w:rPr>
        <w:t>PPL</w:t>
      </w:r>
      <w:r w:rsidR="00080A8B" w:rsidRPr="0088756F">
        <w:rPr>
          <w:sz w:val="26"/>
          <w:szCs w:val="26"/>
        </w:rPr>
        <w:t xml:space="preserve"> also </w:t>
      </w:r>
      <w:r w:rsidR="0088756F" w:rsidRPr="0088756F">
        <w:rPr>
          <w:sz w:val="26"/>
          <w:szCs w:val="26"/>
        </w:rPr>
        <w:t>introduced fifteen</w:t>
      </w:r>
      <w:r w:rsidR="000A0104" w:rsidRPr="0088756F">
        <w:rPr>
          <w:sz w:val="26"/>
          <w:szCs w:val="26"/>
        </w:rPr>
        <w:t xml:space="preserve"> exhibits, all</w:t>
      </w:r>
      <w:r w:rsidR="003508D7" w:rsidRPr="0088756F">
        <w:rPr>
          <w:sz w:val="26"/>
          <w:szCs w:val="26"/>
        </w:rPr>
        <w:t xml:space="preserve"> of which were admitted into the record.  </w:t>
      </w:r>
      <w:r w:rsidR="003508D7" w:rsidRPr="0088756F">
        <w:rPr>
          <w:sz w:val="26"/>
          <w:szCs w:val="26"/>
        </w:rPr>
        <w:lastRenderedPageBreak/>
        <w:t>The heari</w:t>
      </w:r>
      <w:r w:rsidR="00C47438" w:rsidRPr="0088756F">
        <w:rPr>
          <w:sz w:val="26"/>
          <w:szCs w:val="26"/>
        </w:rPr>
        <w:t>ng gener</w:t>
      </w:r>
      <w:r w:rsidR="0088756F" w:rsidRPr="0088756F">
        <w:rPr>
          <w:sz w:val="26"/>
          <w:szCs w:val="26"/>
        </w:rPr>
        <w:t>ated a transcript of seventy-five</w:t>
      </w:r>
      <w:r w:rsidR="00C47438" w:rsidRPr="0088756F">
        <w:rPr>
          <w:sz w:val="26"/>
          <w:szCs w:val="26"/>
        </w:rPr>
        <w:t xml:space="preserve"> pages.</w:t>
      </w:r>
      <w:r w:rsidR="006450EA">
        <w:rPr>
          <w:sz w:val="26"/>
          <w:szCs w:val="26"/>
        </w:rPr>
        <w:t xml:space="preserve">  The record closed o</w:t>
      </w:r>
      <w:r w:rsidR="00445680">
        <w:rPr>
          <w:sz w:val="26"/>
          <w:szCs w:val="26"/>
        </w:rPr>
        <w:t>n M</w:t>
      </w:r>
      <w:r w:rsidR="006450EA">
        <w:rPr>
          <w:sz w:val="26"/>
          <w:szCs w:val="26"/>
        </w:rPr>
        <w:t>arch 28, 2013</w:t>
      </w:r>
      <w:r w:rsidR="00445680">
        <w:rPr>
          <w:sz w:val="26"/>
          <w:szCs w:val="26"/>
        </w:rPr>
        <w:t>.</w:t>
      </w:r>
    </w:p>
    <w:p w:rsidR="005D3B15" w:rsidRPr="00742C0C" w:rsidRDefault="005D3B15" w:rsidP="008E0179">
      <w:pPr>
        <w:widowControl/>
        <w:spacing w:line="360" w:lineRule="auto"/>
        <w:rPr>
          <w:sz w:val="26"/>
          <w:szCs w:val="26"/>
        </w:rPr>
      </w:pPr>
    </w:p>
    <w:p w:rsidR="0082695B" w:rsidRDefault="0085246F" w:rsidP="0082695B">
      <w:pPr>
        <w:widowControl/>
        <w:spacing w:line="360" w:lineRule="auto"/>
        <w:rPr>
          <w:color w:val="000000"/>
          <w:sz w:val="26"/>
        </w:rPr>
      </w:pPr>
      <w:r w:rsidRPr="00742C0C">
        <w:rPr>
          <w:sz w:val="26"/>
          <w:szCs w:val="26"/>
        </w:rPr>
        <w:tab/>
      </w:r>
      <w:r w:rsidRPr="00742C0C">
        <w:rPr>
          <w:sz w:val="26"/>
          <w:szCs w:val="26"/>
        </w:rPr>
        <w:tab/>
      </w:r>
      <w:r w:rsidR="00D020B8" w:rsidRPr="006450EA">
        <w:rPr>
          <w:sz w:val="26"/>
          <w:szCs w:val="26"/>
        </w:rPr>
        <w:t xml:space="preserve">On </w:t>
      </w:r>
      <w:r w:rsidR="00742C0C" w:rsidRPr="006450EA">
        <w:rPr>
          <w:color w:val="000000"/>
          <w:sz w:val="26"/>
        </w:rPr>
        <w:t>April 15, 2014</w:t>
      </w:r>
      <w:r w:rsidR="00D020B8" w:rsidRPr="006450EA">
        <w:rPr>
          <w:color w:val="000000"/>
          <w:sz w:val="26"/>
        </w:rPr>
        <w:t xml:space="preserve">, the Commission issued </w:t>
      </w:r>
      <w:r w:rsidR="00CE3E6E" w:rsidRPr="006450EA">
        <w:rPr>
          <w:color w:val="000000"/>
          <w:sz w:val="26"/>
        </w:rPr>
        <w:t>ALJ Buckley</w:t>
      </w:r>
      <w:r w:rsidR="00C23D6B">
        <w:rPr>
          <w:color w:val="000000"/>
          <w:sz w:val="26"/>
        </w:rPr>
        <w:t>’</w:t>
      </w:r>
      <w:r w:rsidR="00CE3E6E">
        <w:rPr>
          <w:color w:val="000000"/>
          <w:sz w:val="26"/>
        </w:rPr>
        <w:t xml:space="preserve">s </w:t>
      </w:r>
      <w:r w:rsidR="004D2E50" w:rsidRPr="006450EA">
        <w:rPr>
          <w:color w:val="000000"/>
          <w:sz w:val="26"/>
        </w:rPr>
        <w:t>Init</w:t>
      </w:r>
      <w:r w:rsidR="00742C0C" w:rsidRPr="006450EA">
        <w:rPr>
          <w:color w:val="000000"/>
          <w:sz w:val="26"/>
        </w:rPr>
        <w:t>ial Decision</w:t>
      </w:r>
      <w:r w:rsidR="00D020B8" w:rsidRPr="006450EA">
        <w:rPr>
          <w:color w:val="000000"/>
          <w:sz w:val="26"/>
        </w:rPr>
        <w:t>, which dis</w:t>
      </w:r>
      <w:r w:rsidR="00360B65" w:rsidRPr="006450EA">
        <w:rPr>
          <w:color w:val="000000"/>
          <w:sz w:val="26"/>
        </w:rPr>
        <w:t xml:space="preserve">missed the Complaint.  </w:t>
      </w:r>
      <w:r w:rsidR="006450EA" w:rsidRPr="006450EA">
        <w:rPr>
          <w:color w:val="000000"/>
          <w:sz w:val="26"/>
        </w:rPr>
        <w:t>I.D. at 7</w:t>
      </w:r>
      <w:r w:rsidR="004B5366" w:rsidRPr="006450EA">
        <w:rPr>
          <w:color w:val="000000"/>
          <w:sz w:val="26"/>
        </w:rPr>
        <w:t>.</w:t>
      </w:r>
      <w:r w:rsidR="0082695B">
        <w:rPr>
          <w:color w:val="000000"/>
          <w:sz w:val="26"/>
        </w:rPr>
        <w:t xml:space="preserve"> </w:t>
      </w:r>
      <w:r w:rsidR="0082695B" w:rsidRPr="0082695B">
        <w:rPr>
          <w:color w:val="000000"/>
          <w:sz w:val="26"/>
        </w:rPr>
        <w:t xml:space="preserve"> </w:t>
      </w:r>
      <w:r w:rsidR="0082695B">
        <w:rPr>
          <w:color w:val="000000"/>
          <w:sz w:val="26"/>
        </w:rPr>
        <w:t>As previously noted, the Complainant filed Exceptions</w:t>
      </w:r>
      <w:r w:rsidR="0082695B" w:rsidRPr="00423E40">
        <w:rPr>
          <w:color w:val="000000"/>
          <w:sz w:val="26"/>
          <w:vertAlign w:val="superscript"/>
        </w:rPr>
        <w:footnoteReference w:id="3"/>
      </w:r>
      <w:r w:rsidR="0082695B">
        <w:rPr>
          <w:color w:val="000000"/>
          <w:sz w:val="26"/>
        </w:rPr>
        <w:t xml:space="preserve"> to the Initial Decision on April 28, 2014, and PPL filed Replies to Exceptions on May 12, 2014.  </w:t>
      </w:r>
    </w:p>
    <w:p w:rsidR="00267F5D" w:rsidRPr="000A50E0" w:rsidRDefault="00267F5D" w:rsidP="008E0179">
      <w:pPr>
        <w:widowControl/>
        <w:spacing w:line="360" w:lineRule="auto"/>
        <w:rPr>
          <w:color w:val="000000"/>
          <w:sz w:val="26"/>
        </w:rPr>
      </w:pPr>
    </w:p>
    <w:bookmarkEnd w:id="0"/>
    <w:bookmarkEnd w:id="1"/>
    <w:p w:rsidR="00B17635" w:rsidRPr="000A50E0" w:rsidRDefault="00CA43A5" w:rsidP="009F2542">
      <w:pPr>
        <w:keepNext/>
        <w:keepLines/>
        <w:widowControl/>
        <w:spacing w:line="360" w:lineRule="auto"/>
        <w:jc w:val="center"/>
        <w:rPr>
          <w:b/>
          <w:sz w:val="26"/>
          <w:szCs w:val="26"/>
        </w:rPr>
      </w:pPr>
      <w:r w:rsidRPr="000A50E0">
        <w:rPr>
          <w:b/>
          <w:sz w:val="26"/>
          <w:szCs w:val="26"/>
        </w:rPr>
        <w:t>Discussion</w:t>
      </w:r>
    </w:p>
    <w:p w:rsidR="009F2542" w:rsidRPr="000A50E0" w:rsidRDefault="009F2542" w:rsidP="009F2542">
      <w:pPr>
        <w:keepNext/>
        <w:keepLines/>
        <w:widowControl/>
        <w:spacing w:line="360" w:lineRule="auto"/>
        <w:jc w:val="center"/>
        <w:rPr>
          <w:sz w:val="26"/>
          <w:szCs w:val="26"/>
        </w:rPr>
      </w:pPr>
    </w:p>
    <w:p w:rsidR="00CB244C" w:rsidRPr="000A50E0" w:rsidRDefault="00CB244C" w:rsidP="008E0179">
      <w:pPr>
        <w:keepNext/>
        <w:keepLines/>
        <w:widowControl/>
        <w:rPr>
          <w:b/>
          <w:sz w:val="26"/>
          <w:szCs w:val="26"/>
        </w:rPr>
      </w:pPr>
      <w:r w:rsidRPr="000A50E0">
        <w:rPr>
          <w:b/>
          <w:sz w:val="26"/>
          <w:szCs w:val="26"/>
        </w:rPr>
        <w:t>Legal Standards</w:t>
      </w:r>
    </w:p>
    <w:p w:rsidR="00CB244C" w:rsidRPr="000A50E0" w:rsidRDefault="00CB244C" w:rsidP="008E0179">
      <w:pPr>
        <w:keepNext/>
        <w:keepLines/>
        <w:widowControl/>
        <w:spacing w:line="360" w:lineRule="auto"/>
        <w:rPr>
          <w:sz w:val="26"/>
          <w:szCs w:val="26"/>
        </w:rPr>
      </w:pPr>
    </w:p>
    <w:p w:rsidR="00CB244C" w:rsidRPr="000A50E0" w:rsidRDefault="00CB244C" w:rsidP="004D1313">
      <w:pPr>
        <w:widowControl/>
        <w:spacing w:line="360" w:lineRule="auto"/>
        <w:ind w:firstLine="1440"/>
        <w:rPr>
          <w:sz w:val="26"/>
          <w:szCs w:val="26"/>
        </w:rPr>
      </w:pPr>
      <w:r w:rsidRPr="000A50E0">
        <w:rPr>
          <w:sz w:val="26"/>
          <w:szCs w:val="26"/>
        </w:rPr>
        <w:t>As the proponent of a rule or order, the Complainant in this proceeding bears the burden of proof pursuant to Section 332(a) of the</w:t>
      </w:r>
      <w:r w:rsidR="005746E9" w:rsidRPr="000A50E0">
        <w:rPr>
          <w:sz w:val="26"/>
          <w:szCs w:val="26"/>
        </w:rPr>
        <w:t xml:space="preserve"> Public Utility</w:t>
      </w:r>
      <w:r w:rsidRPr="000A50E0">
        <w:rPr>
          <w:sz w:val="26"/>
          <w:szCs w:val="26"/>
        </w:rPr>
        <w:t xml:space="preserve"> Code</w:t>
      </w:r>
      <w:r w:rsidR="005746E9" w:rsidRPr="000A50E0">
        <w:rPr>
          <w:sz w:val="26"/>
          <w:szCs w:val="26"/>
        </w:rPr>
        <w:t xml:space="preserve"> (Code)</w:t>
      </w:r>
      <w:r w:rsidR="00C76AF3" w:rsidRPr="000A50E0">
        <w:rPr>
          <w:sz w:val="26"/>
          <w:szCs w:val="26"/>
        </w:rPr>
        <w:t xml:space="preserve">, </w:t>
      </w:r>
      <w:r w:rsidRPr="000A50E0">
        <w:rPr>
          <w:sz w:val="26"/>
          <w:szCs w:val="26"/>
        </w:rPr>
        <w:t>66 Pa. C.S. § 332(a).  To establish a sufficient case and satisfy the burden of proof, the Complaina</w:t>
      </w:r>
      <w:r w:rsidR="00A02D14" w:rsidRPr="000A50E0">
        <w:rPr>
          <w:sz w:val="26"/>
          <w:szCs w:val="26"/>
        </w:rPr>
        <w:t>nt must show that</w:t>
      </w:r>
      <w:r w:rsidR="00E1494A" w:rsidRPr="000A50E0">
        <w:rPr>
          <w:sz w:val="26"/>
          <w:szCs w:val="26"/>
        </w:rPr>
        <w:t xml:space="preserve"> P</w:t>
      </w:r>
      <w:r w:rsidR="000A50E0" w:rsidRPr="000A50E0">
        <w:rPr>
          <w:sz w:val="26"/>
          <w:szCs w:val="26"/>
        </w:rPr>
        <w:t>PL</w:t>
      </w:r>
      <w:r w:rsidR="00DF102A" w:rsidRPr="000A50E0">
        <w:rPr>
          <w:sz w:val="26"/>
          <w:szCs w:val="26"/>
        </w:rPr>
        <w:t xml:space="preserve"> is</w:t>
      </w:r>
      <w:r w:rsidRPr="000A50E0">
        <w:rPr>
          <w:sz w:val="26"/>
          <w:szCs w:val="26"/>
        </w:rPr>
        <w:t xml:space="preserve"> responsible or accountable for the problem described in the Complaint.  </w:t>
      </w:r>
      <w:r w:rsidRPr="000A50E0">
        <w:rPr>
          <w:i/>
          <w:sz w:val="26"/>
          <w:szCs w:val="26"/>
        </w:rPr>
        <w:t>Patterson v. The Bell Telephone Company of Pennsylvania</w:t>
      </w:r>
      <w:r w:rsidRPr="000A50E0">
        <w:rPr>
          <w:sz w:val="26"/>
          <w:szCs w:val="26"/>
        </w:rPr>
        <w:t xml:space="preserve">, 72 Pa. P.U.C. 196 (1990).  Such a showing must be by a preponderance of the evidence.  </w:t>
      </w:r>
      <w:r w:rsidRPr="000A50E0">
        <w:rPr>
          <w:i/>
          <w:iCs/>
          <w:sz w:val="26"/>
          <w:szCs w:val="26"/>
        </w:rPr>
        <w:t xml:space="preserve">Samuel J. </w:t>
      </w:r>
      <w:proofErr w:type="spellStart"/>
      <w:r w:rsidRPr="000A50E0">
        <w:rPr>
          <w:i/>
          <w:iCs/>
          <w:sz w:val="26"/>
          <w:szCs w:val="26"/>
        </w:rPr>
        <w:t>Lansberry</w:t>
      </w:r>
      <w:proofErr w:type="spellEnd"/>
      <w:r w:rsidRPr="000A50E0">
        <w:rPr>
          <w:i/>
          <w:iCs/>
          <w:sz w:val="26"/>
          <w:szCs w:val="26"/>
        </w:rPr>
        <w:t>, Inc. v. Pa. PUC</w:t>
      </w:r>
      <w:r w:rsidRPr="000A50E0">
        <w:rPr>
          <w:sz w:val="26"/>
          <w:szCs w:val="26"/>
        </w:rPr>
        <w:t xml:space="preserve">, 578 A.2d 600 (Pa. </w:t>
      </w:r>
      <w:proofErr w:type="spellStart"/>
      <w:r w:rsidRPr="000A50E0">
        <w:rPr>
          <w:sz w:val="26"/>
          <w:szCs w:val="26"/>
        </w:rPr>
        <w:t>Cmwlth</w:t>
      </w:r>
      <w:proofErr w:type="spellEnd"/>
      <w:r w:rsidRPr="000A50E0">
        <w:rPr>
          <w:sz w:val="26"/>
          <w:szCs w:val="26"/>
        </w:rPr>
        <w:t xml:space="preserve">. 1990), </w:t>
      </w:r>
      <w:proofErr w:type="spellStart"/>
      <w:r w:rsidRPr="000A50E0">
        <w:rPr>
          <w:i/>
          <w:sz w:val="26"/>
          <w:szCs w:val="26"/>
        </w:rPr>
        <w:t>alloc</w:t>
      </w:r>
      <w:proofErr w:type="spellEnd"/>
      <w:r w:rsidRPr="000A50E0">
        <w:rPr>
          <w:i/>
          <w:sz w:val="26"/>
          <w:szCs w:val="26"/>
        </w:rPr>
        <w:t>. denied,</w:t>
      </w:r>
      <w:r w:rsidRPr="000A50E0">
        <w:rPr>
          <w:sz w:val="26"/>
          <w:szCs w:val="26"/>
        </w:rPr>
        <w:t xml:space="preserve"> 529 Pa. 654, 602 A.2d 863 (1992).  That is, the Complainant</w:t>
      </w:r>
      <w:r w:rsidR="00C23D6B">
        <w:rPr>
          <w:sz w:val="26"/>
          <w:szCs w:val="26"/>
        </w:rPr>
        <w:t>’</w:t>
      </w:r>
      <w:r w:rsidRPr="000A50E0">
        <w:rPr>
          <w:sz w:val="26"/>
          <w:szCs w:val="26"/>
        </w:rPr>
        <w:t xml:space="preserve">s evidence must be more convincing, by even the smallest amount, than </w:t>
      </w:r>
      <w:r w:rsidR="00C76AF3" w:rsidRPr="000A50E0">
        <w:rPr>
          <w:sz w:val="26"/>
          <w:szCs w:val="26"/>
        </w:rPr>
        <w:t>that presented by</w:t>
      </w:r>
      <w:r w:rsidR="00E1494A" w:rsidRPr="000A50E0">
        <w:rPr>
          <w:sz w:val="26"/>
          <w:szCs w:val="26"/>
        </w:rPr>
        <w:t xml:space="preserve"> P</w:t>
      </w:r>
      <w:r w:rsidR="000A50E0" w:rsidRPr="000A50E0">
        <w:rPr>
          <w:sz w:val="26"/>
          <w:szCs w:val="26"/>
        </w:rPr>
        <w:t>PL</w:t>
      </w:r>
      <w:r w:rsidRPr="000A50E0">
        <w:rPr>
          <w:sz w:val="26"/>
          <w:szCs w:val="26"/>
        </w:rPr>
        <w:t xml:space="preserve">.  </w:t>
      </w:r>
      <w:r w:rsidRPr="000A50E0">
        <w:rPr>
          <w:i/>
          <w:sz w:val="26"/>
          <w:szCs w:val="26"/>
        </w:rPr>
        <w:t>Se-Ling Hosiery, Inc. v. Margulies</w:t>
      </w:r>
      <w:r w:rsidRPr="000A50E0">
        <w:rPr>
          <w:sz w:val="26"/>
          <w:szCs w:val="26"/>
        </w:rPr>
        <w:t>, 364 Pa. 45, 70 A.2d 854 (1950).  Additionally, this Commission</w:t>
      </w:r>
      <w:r w:rsidR="00C23D6B">
        <w:rPr>
          <w:sz w:val="26"/>
          <w:szCs w:val="26"/>
        </w:rPr>
        <w:t>’</w:t>
      </w:r>
      <w:r w:rsidRPr="000A50E0">
        <w:rPr>
          <w:sz w:val="26"/>
          <w:szCs w:val="26"/>
        </w:rPr>
        <w:t xml:space="preserve">s decision must be supported by substantial evidence in the record.  More is required than a </w:t>
      </w:r>
      <w:r w:rsidRPr="000A50E0">
        <w:rPr>
          <w:sz w:val="26"/>
          <w:szCs w:val="26"/>
        </w:rPr>
        <w:lastRenderedPageBreak/>
        <w:t xml:space="preserve">mere trace of evidence or a suspicion of the existence of a fact sought to be established.  </w:t>
      </w:r>
      <w:r w:rsidRPr="000A50E0">
        <w:rPr>
          <w:i/>
          <w:sz w:val="26"/>
          <w:szCs w:val="26"/>
        </w:rPr>
        <w:t xml:space="preserve">Norfolk &amp; Western Ry. Co. v. Pa. PUC, </w:t>
      </w:r>
      <w:r w:rsidRPr="000A50E0">
        <w:rPr>
          <w:sz w:val="26"/>
          <w:szCs w:val="26"/>
        </w:rPr>
        <w:t>489 Pa. 109, 413 A.2d 1037 (1980).</w:t>
      </w:r>
    </w:p>
    <w:p w:rsidR="00BA3351" w:rsidRPr="000A50E0" w:rsidRDefault="00BA3351" w:rsidP="004D1313">
      <w:pPr>
        <w:widowControl/>
        <w:spacing w:line="360" w:lineRule="auto"/>
        <w:ind w:firstLine="1440"/>
        <w:rPr>
          <w:sz w:val="26"/>
          <w:szCs w:val="26"/>
        </w:rPr>
      </w:pPr>
    </w:p>
    <w:p w:rsidR="00CB244C" w:rsidRPr="000A50E0" w:rsidRDefault="00A02D14" w:rsidP="004D1313">
      <w:pPr>
        <w:widowControl/>
        <w:spacing w:line="360" w:lineRule="auto"/>
        <w:ind w:firstLine="1440"/>
        <w:rPr>
          <w:rStyle w:val="Hyperlink"/>
          <w:rFonts w:ascii="Times New (W1)" w:hAnsi="Times New (W1)"/>
          <w:iCs/>
          <w:color w:val="auto"/>
          <w:sz w:val="26"/>
          <w:u w:val="none"/>
        </w:rPr>
      </w:pPr>
      <w:r w:rsidRPr="000A50E0">
        <w:rPr>
          <w:sz w:val="26"/>
        </w:rPr>
        <w:t>Upon the presentation by the C</w:t>
      </w:r>
      <w:r w:rsidR="00CB244C" w:rsidRPr="000A50E0">
        <w:rPr>
          <w:sz w:val="26"/>
        </w:rPr>
        <w:t xml:space="preserve">omplainant of evidence sufficient to initially satisfy the burden of proof, the burden of going forward with the evidence to rebut the evidence of the </w:t>
      </w:r>
      <w:r w:rsidR="002A5EB0" w:rsidRPr="000A50E0">
        <w:rPr>
          <w:sz w:val="26"/>
        </w:rPr>
        <w:t>Complainant</w:t>
      </w:r>
      <w:r w:rsidR="004B3F02" w:rsidRPr="000A50E0">
        <w:rPr>
          <w:sz w:val="26"/>
        </w:rPr>
        <w:t xml:space="preserve"> shifts to P</w:t>
      </w:r>
      <w:r w:rsidR="000A50E0" w:rsidRPr="000A50E0">
        <w:rPr>
          <w:sz w:val="26"/>
        </w:rPr>
        <w:t>PL</w:t>
      </w:r>
      <w:r w:rsidR="00CB244C" w:rsidRPr="000A50E0">
        <w:rPr>
          <w:sz w:val="26"/>
        </w:rPr>
        <w:t xml:space="preserve">. </w:t>
      </w:r>
      <w:r w:rsidR="001D3751" w:rsidRPr="000A50E0">
        <w:rPr>
          <w:sz w:val="26"/>
        </w:rPr>
        <w:t xml:space="preserve"> </w:t>
      </w:r>
      <w:r w:rsidR="00CB244C" w:rsidRPr="000A50E0">
        <w:rPr>
          <w:sz w:val="26"/>
        </w:rPr>
        <w:t xml:space="preserve">If the evidence presented by </w:t>
      </w:r>
      <w:r w:rsidR="004B3F02" w:rsidRPr="000A50E0">
        <w:rPr>
          <w:sz w:val="26"/>
        </w:rPr>
        <w:t>P</w:t>
      </w:r>
      <w:r w:rsidR="000A50E0" w:rsidRPr="000A50E0">
        <w:rPr>
          <w:sz w:val="26"/>
        </w:rPr>
        <w:t>PL</w:t>
      </w:r>
      <w:r w:rsidR="005A72DB" w:rsidRPr="000A50E0">
        <w:rPr>
          <w:sz w:val="26"/>
        </w:rPr>
        <w:t xml:space="preserve"> is of co</w:t>
      </w:r>
      <w:r w:rsidR="005A72DB" w:rsidRPr="000A50E0">
        <w:rPr>
          <w:sz w:val="26"/>
        </w:rPr>
        <w:noBreakHyphen/>
      </w:r>
      <w:r w:rsidR="00CB244C" w:rsidRPr="000A50E0">
        <w:rPr>
          <w:sz w:val="26"/>
        </w:rPr>
        <w:t xml:space="preserve">equal value or </w:t>
      </w:r>
      <w:r w:rsidR="00C23D6B">
        <w:rPr>
          <w:sz w:val="26"/>
        </w:rPr>
        <w:t>“</w:t>
      </w:r>
      <w:r w:rsidR="00CB244C" w:rsidRPr="000A50E0">
        <w:rPr>
          <w:sz w:val="26"/>
        </w:rPr>
        <w:t>weight,</w:t>
      </w:r>
      <w:r w:rsidR="00C23D6B">
        <w:rPr>
          <w:sz w:val="26"/>
        </w:rPr>
        <w:t>”</w:t>
      </w:r>
      <w:r w:rsidR="00CB244C" w:rsidRPr="000A50E0">
        <w:rPr>
          <w:sz w:val="26"/>
        </w:rPr>
        <w:t xml:space="preserve"> the burden of pro</w:t>
      </w:r>
      <w:r w:rsidRPr="000A50E0">
        <w:rPr>
          <w:sz w:val="26"/>
        </w:rPr>
        <w:t xml:space="preserve">of has not been satisfied. </w:t>
      </w:r>
      <w:r w:rsidR="00A77AC1" w:rsidRPr="000A50E0">
        <w:rPr>
          <w:sz w:val="26"/>
        </w:rPr>
        <w:t xml:space="preserve"> </w:t>
      </w:r>
      <w:r w:rsidRPr="000A50E0">
        <w:rPr>
          <w:sz w:val="26"/>
        </w:rPr>
        <w:t>The C</w:t>
      </w:r>
      <w:r w:rsidR="00CB244C" w:rsidRPr="000A50E0">
        <w:rPr>
          <w:sz w:val="26"/>
        </w:rPr>
        <w:t>omplainant now has to provide some additional evidence</w:t>
      </w:r>
      <w:r w:rsidR="006A1AFD" w:rsidRPr="000A50E0">
        <w:rPr>
          <w:sz w:val="26"/>
        </w:rPr>
        <w:t xml:space="preserve"> </w:t>
      </w:r>
      <w:r w:rsidR="009151EE" w:rsidRPr="000A50E0">
        <w:rPr>
          <w:sz w:val="26"/>
        </w:rPr>
        <w:t xml:space="preserve">to </w:t>
      </w:r>
      <w:r w:rsidR="000A50E0" w:rsidRPr="000A50E0">
        <w:rPr>
          <w:sz w:val="26"/>
        </w:rPr>
        <w:t>rebut that of PPL</w:t>
      </w:r>
      <w:r w:rsidR="00CB244C" w:rsidRPr="000A50E0">
        <w:rPr>
          <w:sz w:val="26"/>
        </w:rPr>
        <w:t xml:space="preserve">. </w:t>
      </w:r>
      <w:r w:rsidR="00CB244C" w:rsidRPr="000A50E0">
        <w:rPr>
          <w:iCs/>
          <w:sz w:val="26"/>
        </w:rPr>
        <w:t xml:space="preserve"> </w:t>
      </w:r>
      <w:hyperlink r:id="rId9" w:history="1">
        <w:r w:rsidR="00CB244C" w:rsidRPr="000A50E0">
          <w:rPr>
            <w:rStyle w:val="Hyperlink"/>
            <w:rFonts w:ascii="Times New (W1)" w:hAnsi="Times New (W1)"/>
            <w:i/>
            <w:iCs/>
            <w:color w:val="auto"/>
            <w:sz w:val="26"/>
            <w:u w:val="none"/>
          </w:rPr>
          <w:t>Burleson v. Pa. PUC,</w:t>
        </w:r>
        <w:r w:rsidR="00CB244C" w:rsidRPr="000A50E0">
          <w:rPr>
            <w:rStyle w:val="Hyperlink"/>
            <w:rFonts w:ascii="Times New (W1)" w:hAnsi="Times New (W1)"/>
            <w:iCs/>
            <w:color w:val="auto"/>
            <w:sz w:val="26"/>
            <w:u w:val="none"/>
          </w:rPr>
          <w:t xml:space="preserve"> 443 A.2d 1373 (Pa. </w:t>
        </w:r>
        <w:proofErr w:type="spellStart"/>
        <w:r w:rsidR="00CB244C" w:rsidRPr="000A50E0">
          <w:rPr>
            <w:rStyle w:val="Hyperlink"/>
            <w:rFonts w:ascii="Times New (W1)" w:hAnsi="Times New (W1)"/>
            <w:iCs/>
            <w:color w:val="auto"/>
            <w:sz w:val="26"/>
            <w:u w:val="none"/>
          </w:rPr>
          <w:t>Cmwlth</w:t>
        </w:r>
        <w:proofErr w:type="spellEnd"/>
        <w:r w:rsidR="00CB244C" w:rsidRPr="000A50E0">
          <w:rPr>
            <w:rStyle w:val="Hyperlink"/>
            <w:rFonts w:ascii="Times New (W1)" w:hAnsi="Times New (W1)"/>
            <w:iCs/>
            <w:color w:val="auto"/>
            <w:sz w:val="26"/>
            <w:u w:val="none"/>
          </w:rPr>
          <w:t xml:space="preserve">. 1982), </w:t>
        </w:r>
        <w:proofErr w:type="spellStart"/>
        <w:r w:rsidR="00CB244C" w:rsidRPr="000A50E0">
          <w:rPr>
            <w:rStyle w:val="Hyperlink"/>
            <w:rFonts w:ascii="Times New (W1)" w:hAnsi="Times New (W1)"/>
            <w:i/>
            <w:iCs/>
            <w:color w:val="auto"/>
            <w:sz w:val="26"/>
            <w:u w:val="none"/>
          </w:rPr>
          <w:t>aff</w:t>
        </w:r>
        <w:r w:rsidR="00C23D6B">
          <w:rPr>
            <w:rStyle w:val="Hyperlink"/>
            <w:rFonts w:ascii="Times New (W1)" w:hAnsi="Times New (W1)"/>
            <w:i/>
            <w:iCs/>
            <w:color w:val="auto"/>
            <w:sz w:val="26"/>
            <w:u w:val="none"/>
          </w:rPr>
          <w:t>’</w:t>
        </w:r>
        <w:r w:rsidR="00CB244C" w:rsidRPr="000A50E0">
          <w:rPr>
            <w:rStyle w:val="Hyperlink"/>
            <w:rFonts w:ascii="Times New (W1)" w:hAnsi="Times New (W1)"/>
            <w:i/>
            <w:iCs/>
            <w:color w:val="auto"/>
            <w:sz w:val="26"/>
            <w:u w:val="none"/>
          </w:rPr>
          <w:t>d</w:t>
        </w:r>
        <w:proofErr w:type="spellEnd"/>
        <w:r w:rsidR="00CB244C" w:rsidRPr="000A50E0">
          <w:rPr>
            <w:rStyle w:val="Hyperlink"/>
            <w:rFonts w:ascii="Times New (W1)" w:hAnsi="Times New (W1)"/>
            <w:i/>
            <w:iCs/>
            <w:color w:val="auto"/>
            <w:sz w:val="26"/>
            <w:u w:val="none"/>
          </w:rPr>
          <w:t>,</w:t>
        </w:r>
        <w:r w:rsidR="00CB244C" w:rsidRPr="000A50E0">
          <w:rPr>
            <w:rStyle w:val="Hyperlink"/>
            <w:rFonts w:ascii="Times New (W1)" w:hAnsi="Times New (W1)"/>
            <w:iCs/>
            <w:color w:val="auto"/>
            <w:sz w:val="26"/>
            <w:u w:val="none"/>
          </w:rPr>
          <w:t xml:space="preserve"> 501 Pa. 433, 461 A.2d 1234 (1983).</w:t>
        </w:r>
      </w:hyperlink>
    </w:p>
    <w:p w:rsidR="004B3F02" w:rsidRPr="000A50E0" w:rsidRDefault="004B3F02" w:rsidP="004D1313">
      <w:pPr>
        <w:widowControl/>
        <w:spacing w:line="360" w:lineRule="auto"/>
        <w:ind w:firstLine="1440"/>
        <w:rPr>
          <w:rFonts w:ascii="Times New (W1)" w:hAnsi="Times New (W1)"/>
          <w:i/>
          <w:sz w:val="26"/>
        </w:rPr>
      </w:pPr>
    </w:p>
    <w:p w:rsidR="002B748C" w:rsidRPr="000A50E0" w:rsidRDefault="00CB244C" w:rsidP="004D1313">
      <w:pPr>
        <w:widowControl/>
        <w:spacing w:line="360" w:lineRule="auto"/>
        <w:ind w:firstLine="1440"/>
        <w:rPr>
          <w:sz w:val="26"/>
        </w:rPr>
      </w:pPr>
      <w:r w:rsidRPr="000A50E0">
        <w:rPr>
          <w:sz w:val="26"/>
        </w:rPr>
        <w:t xml:space="preserve">While the burden of going forward with the evidence may </w:t>
      </w:r>
      <w:r w:rsidRPr="000A50E0">
        <w:rPr>
          <w:rStyle w:val="term1"/>
          <w:b w:val="0"/>
          <w:bCs w:val="0"/>
          <w:sz w:val="26"/>
        </w:rPr>
        <w:t>shift</w:t>
      </w:r>
      <w:r w:rsidRPr="000A50E0">
        <w:rPr>
          <w:sz w:val="26"/>
        </w:rPr>
        <w:t xml:space="preserve"> back and forth during a proceeding, the </w:t>
      </w:r>
      <w:r w:rsidRPr="000A50E0">
        <w:rPr>
          <w:rStyle w:val="term1"/>
          <w:b w:val="0"/>
          <w:bCs w:val="0"/>
          <w:sz w:val="26"/>
        </w:rPr>
        <w:t>burden of proof</w:t>
      </w:r>
      <w:r w:rsidRPr="000A50E0">
        <w:rPr>
          <w:sz w:val="26"/>
        </w:rPr>
        <w:t xml:space="preserve"> never </w:t>
      </w:r>
      <w:r w:rsidRPr="000A50E0">
        <w:rPr>
          <w:rStyle w:val="term1"/>
          <w:b w:val="0"/>
          <w:bCs w:val="0"/>
          <w:sz w:val="26"/>
        </w:rPr>
        <w:t xml:space="preserve">shifts. </w:t>
      </w:r>
      <w:r w:rsidR="00366549" w:rsidRPr="000A50E0">
        <w:rPr>
          <w:rStyle w:val="term1"/>
          <w:b w:val="0"/>
          <w:bCs w:val="0"/>
          <w:sz w:val="26"/>
        </w:rPr>
        <w:t xml:space="preserve"> </w:t>
      </w:r>
      <w:r w:rsidRPr="000A50E0">
        <w:rPr>
          <w:rStyle w:val="term1"/>
          <w:b w:val="0"/>
          <w:bCs w:val="0"/>
          <w:sz w:val="26"/>
        </w:rPr>
        <w:t>The burden of proof</w:t>
      </w:r>
      <w:r w:rsidRPr="000A50E0">
        <w:rPr>
          <w:sz w:val="26"/>
        </w:rPr>
        <w:t xml:space="preserve"> always remains on the party seeking affirmative relief from the Commission.  </w:t>
      </w:r>
      <w:proofErr w:type="spellStart"/>
      <w:r w:rsidRPr="000A50E0">
        <w:rPr>
          <w:i/>
          <w:sz w:val="26"/>
        </w:rPr>
        <w:t>Milkie</w:t>
      </w:r>
      <w:proofErr w:type="spellEnd"/>
      <w:r w:rsidRPr="000A50E0">
        <w:rPr>
          <w:i/>
          <w:sz w:val="26"/>
        </w:rPr>
        <w:t xml:space="preserve"> v. Pa. PUC, </w:t>
      </w:r>
      <w:r w:rsidRPr="000A50E0">
        <w:rPr>
          <w:sz w:val="26"/>
        </w:rPr>
        <w:t xml:space="preserve">768 A.2d 1217 (Pa. </w:t>
      </w:r>
      <w:proofErr w:type="spellStart"/>
      <w:r w:rsidRPr="000A50E0">
        <w:rPr>
          <w:sz w:val="26"/>
        </w:rPr>
        <w:t>Cmwlth</w:t>
      </w:r>
      <w:proofErr w:type="spellEnd"/>
      <w:r w:rsidRPr="000A50E0">
        <w:rPr>
          <w:sz w:val="26"/>
        </w:rPr>
        <w:t>. 2001).</w:t>
      </w:r>
    </w:p>
    <w:p w:rsidR="00F138C2" w:rsidRPr="00F007C1" w:rsidRDefault="00F138C2" w:rsidP="004D1313">
      <w:pPr>
        <w:widowControl/>
        <w:spacing w:line="360" w:lineRule="auto"/>
        <w:rPr>
          <w:sz w:val="26"/>
          <w:szCs w:val="26"/>
          <w:highlight w:val="green"/>
        </w:rPr>
      </w:pPr>
    </w:p>
    <w:p w:rsidR="00006F35" w:rsidRPr="00A031AA" w:rsidRDefault="00006F35" w:rsidP="004D1313">
      <w:pPr>
        <w:widowControl/>
        <w:spacing w:line="360" w:lineRule="auto"/>
        <w:ind w:firstLine="1440"/>
        <w:rPr>
          <w:sz w:val="26"/>
          <w:szCs w:val="26"/>
        </w:rPr>
      </w:pPr>
      <w:r w:rsidRPr="00A031AA">
        <w:rPr>
          <w:sz w:val="26"/>
          <w:szCs w:val="26"/>
        </w:rPr>
        <w:t>Before addressing the Exceptions, we note that any issue or Exception that we do not specifically delineate shall be deemed to have been duly considered and denie</w:t>
      </w:r>
      <w:r w:rsidR="00B6715A" w:rsidRPr="00A031AA">
        <w:rPr>
          <w:sz w:val="26"/>
          <w:szCs w:val="26"/>
        </w:rPr>
        <w:t>d without further discussion.  It is well settled that t</w:t>
      </w:r>
      <w:r w:rsidRPr="00A031AA">
        <w:rPr>
          <w:sz w:val="26"/>
          <w:szCs w:val="26"/>
        </w:rPr>
        <w:t>he Commission is not required to consider expressly or at length each contention or argument raised by the parties</w:t>
      </w:r>
      <w:r w:rsidR="002A6750" w:rsidRPr="00A031AA">
        <w:rPr>
          <w:sz w:val="26"/>
          <w:szCs w:val="26"/>
        </w:rPr>
        <w:t xml:space="preserve">.  </w:t>
      </w:r>
      <w:hyperlink r:id="rId10" w:history="1">
        <w:r w:rsidR="009F1A08" w:rsidRPr="00A031AA">
          <w:rPr>
            <w:rStyle w:val="Emphasis"/>
            <w:sz w:val="26"/>
            <w:szCs w:val="26"/>
          </w:rPr>
          <w:t>Consolidated Ra</w:t>
        </w:r>
        <w:r w:rsidR="009F1A08" w:rsidRPr="00A031AA">
          <w:rPr>
            <w:rStyle w:val="Emphasis"/>
            <w:color w:val="000000"/>
            <w:sz w:val="26"/>
            <w:szCs w:val="26"/>
          </w:rPr>
          <w:t>il Corp. v. Pa. </w:t>
        </w:r>
        <w:r w:rsidR="002A6750" w:rsidRPr="00A031AA">
          <w:rPr>
            <w:rStyle w:val="Emphasis"/>
            <w:color w:val="000000"/>
            <w:sz w:val="26"/>
            <w:szCs w:val="26"/>
          </w:rPr>
          <w:t xml:space="preserve">PUC, </w:t>
        </w:r>
        <w:r w:rsidR="002A6750" w:rsidRPr="00A031AA">
          <w:rPr>
            <w:rStyle w:val="Hyperlink"/>
            <w:color w:val="000000"/>
            <w:sz w:val="26"/>
            <w:szCs w:val="26"/>
            <w:u w:val="none"/>
          </w:rPr>
          <w:t xml:space="preserve">625 A.2d 741 (Pa. </w:t>
        </w:r>
        <w:proofErr w:type="spellStart"/>
        <w:r w:rsidR="002A6750" w:rsidRPr="00A031AA">
          <w:rPr>
            <w:rStyle w:val="Hyperlink"/>
            <w:color w:val="000000"/>
            <w:sz w:val="26"/>
            <w:szCs w:val="26"/>
            <w:u w:val="none"/>
          </w:rPr>
          <w:t>Cmwlth</w:t>
        </w:r>
        <w:proofErr w:type="spellEnd"/>
        <w:r w:rsidR="002A6750" w:rsidRPr="00A031AA">
          <w:rPr>
            <w:rStyle w:val="Hyperlink"/>
            <w:color w:val="000000"/>
            <w:sz w:val="26"/>
            <w:szCs w:val="26"/>
            <w:u w:val="none"/>
          </w:rPr>
          <w:t>. 1993);</w:t>
        </w:r>
      </w:hyperlink>
      <w:r w:rsidR="002A6750" w:rsidRPr="00A031AA">
        <w:rPr>
          <w:color w:val="000000"/>
          <w:sz w:val="26"/>
          <w:szCs w:val="26"/>
        </w:rPr>
        <w:t xml:space="preserve"> </w:t>
      </w:r>
      <w:r w:rsidR="002A6750" w:rsidRPr="00A031AA">
        <w:rPr>
          <w:i/>
          <w:color w:val="000000"/>
          <w:sz w:val="26"/>
          <w:szCs w:val="26"/>
        </w:rPr>
        <w:t xml:space="preserve">also </w:t>
      </w:r>
      <w:r w:rsidR="002A6750" w:rsidRPr="00A031AA">
        <w:rPr>
          <w:rStyle w:val="Emphasis"/>
          <w:color w:val="000000"/>
          <w:sz w:val="26"/>
          <w:szCs w:val="26"/>
        </w:rPr>
        <w:t xml:space="preserve">see, generally, </w:t>
      </w:r>
      <w:hyperlink r:id="rId11" w:history="1">
        <w:r w:rsidR="002A6750" w:rsidRPr="00A031AA">
          <w:rPr>
            <w:rStyle w:val="Emphasis"/>
            <w:color w:val="000000"/>
            <w:sz w:val="26"/>
            <w:szCs w:val="26"/>
          </w:rPr>
          <w:t>University of Pennsylvania v. Pa. PUC</w:t>
        </w:r>
        <w:r w:rsidR="002A6750" w:rsidRPr="00A031AA">
          <w:rPr>
            <w:rStyle w:val="Hyperlink"/>
            <w:color w:val="000000"/>
            <w:sz w:val="26"/>
            <w:szCs w:val="26"/>
            <w:u w:val="none"/>
          </w:rPr>
          <w:t xml:space="preserve">, 485 A.2d 1217 (Pa. </w:t>
        </w:r>
        <w:proofErr w:type="spellStart"/>
        <w:r w:rsidR="002A6750" w:rsidRPr="00A031AA">
          <w:rPr>
            <w:rStyle w:val="Hyperlink"/>
            <w:color w:val="000000"/>
            <w:sz w:val="26"/>
            <w:szCs w:val="26"/>
            <w:u w:val="none"/>
          </w:rPr>
          <w:t>Cmwlth</w:t>
        </w:r>
        <w:proofErr w:type="spellEnd"/>
        <w:r w:rsidR="002A6750" w:rsidRPr="00A031AA">
          <w:rPr>
            <w:rStyle w:val="Hyperlink"/>
            <w:color w:val="000000"/>
            <w:sz w:val="26"/>
            <w:szCs w:val="26"/>
            <w:u w:val="none"/>
          </w:rPr>
          <w:t>. 1984).</w:t>
        </w:r>
      </w:hyperlink>
      <w:r w:rsidR="00214B3E" w:rsidRPr="00A031AA">
        <w:rPr>
          <w:sz w:val="26"/>
          <w:szCs w:val="26"/>
        </w:rPr>
        <w:t xml:space="preserve"> </w:t>
      </w:r>
    </w:p>
    <w:p w:rsidR="00D16AC3" w:rsidRPr="00A031AA" w:rsidRDefault="00D16AC3" w:rsidP="00C83083">
      <w:pPr>
        <w:widowControl/>
        <w:spacing w:line="360" w:lineRule="auto"/>
        <w:rPr>
          <w:sz w:val="26"/>
          <w:szCs w:val="26"/>
        </w:rPr>
      </w:pPr>
    </w:p>
    <w:p w:rsidR="00006F35" w:rsidRPr="00A031AA" w:rsidRDefault="00D7780F" w:rsidP="00C83083">
      <w:pPr>
        <w:keepNext/>
        <w:widowControl/>
        <w:spacing w:line="360" w:lineRule="auto"/>
        <w:rPr>
          <w:b/>
          <w:sz w:val="26"/>
          <w:szCs w:val="26"/>
        </w:rPr>
      </w:pPr>
      <w:r w:rsidRPr="00A031AA">
        <w:rPr>
          <w:b/>
          <w:sz w:val="26"/>
          <w:szCs w:val="26"/>
        </w:rPr>
        <w:t>ALJ</w:t>
      </w:r>
      <w:r w:rsidR="00C23D6B">
        <w:rPr>
          <w:b/>
          <w:sz w:val="26"/>
          <w:szCs w:val="26"/>
        </w:rPr>
        <w:t>’</w:t>
      </w:r>
      <w:r w:rsidR="00006F35" w:rsidRPr="00A031AA">
        <w:rPr>
          <w:b/>
          <w:sz w:val="26"/>
          <w:szCs w:val="26"/>
        </w:rPr>
        <w:t xml:space="preserve">s </w:t>
      </w:r>
      <w:r w:rsidR="00800499" w:rsidRPr="00A031AA">
        <w:rPr>
          <w:b/>
          <w:sz w:val="26"/>
          <w:szCs w:val="26"/>
        </w:rPr>
        <w:t>Initial Decision</w:t>
      </w:r>
    </w:p>
    <w:p w:rsidR="00006F35" w:rsidRPr="00A031AA" w:rsidRDefault="00006F35" w:rsidP="00C83083">
      <w:pPr>
        <w:keepNext/>
        <w:rPr>
          <w:sz w:val="26"/>
          <w:szCs w:val="26"/>
        </w:rPr>
      </w:pPr>
    </w:p>
    <w:p w:rsidR="00A031AA" w:rsidRPr="00AB005D" w:rsidRDefault="00A031AA" w:rsidP="00A031AA">
      <w:pPr>
        <w:widowControl/>
        <w:spacing w:line="360" w:lineRule="auto"/>
        <w:ind w:firstLine="1440"/>
        <w:rPr>
          <w:sz w:val="26"/>
          <w:szCs w:val="26"/>
        </w:rPr>
      </w:pPr>
      <w:r w:rsidRPr="00A031AA">
        <w:rPr>
          <w:sz w:val="26"/>
          <w:szCs w:val="26"/>
        </w:rPr>
        <w:t xml:space="preserve">ALJ Buckley made fourteen Findings of Fact and reached five Conclusions of Law.  I.D. at 2-4, 6-7.  The Findings of Fact and Conclusions of Law are incorporated herein by reference and are adopted without comment unless they are either expressly or </w:t>
      </w:r>
      <w:r w:rsidRPr="00AB005D">
        <w:rPr>
          <w:sz w:val="26"/>
          <w:szCs w:val="26"/>
        </w:rPr>
        <w:t>by necessary implication rejected or modified by this Opinion and Order.</w:t>
      </w:r>
    </w:p>
    <w:p w:rsidR="00A031AA" w:rsidRPr="00AB005D" w:rsidRDefault="00A031AA" w:rsidP="000A1962">
      <w:pPr>
        <w:rPr>
          <w:sz w:val="26"/>
          <w:szCs w:val="26"/>
        </w:rPr>
      </w:pPr>
    </w:p>
    <w:p w:rsidR="00C82737" w:rsidRPr="00AB005D" w:rsidRDefault="00C83083" w:rsidP="000A1962">
      <w:pPr>
        <w:widowControl/>
        <w:spacing w:line="360" w:lineRule="auto"/>
        <w:rPr>
          <w:sz w:val="26"/>
          <w:szCs w:val="26"/>
        </w:rPr>
      </w:pPr>
      <w:r w:rsidRPr="00AB005D">
        <w:rPr>
          <w:sz w:val="26"/>
          <w:szCs w:val="26"/>
        </w:rPr>
        <w:lastRenderedPageBreak/>
        <w:tab/>
      </w:r>
      <w:r w:rsidRPr="00AB005D">
        <w:rPr>
          <w:sz w:val="26"/>
          <w:szCs w:val="26"/>
        </w:rPr>
        <w:tab/>
      </w:r>
      <w:r w:rsidR="006708B0" w:rsidRPr="00AB005D">
        <w:rPr>
          <w:sz w:val="26"/>
          <w:szCs w:val="26"/>
        </w:rPr>
        <w:t>In</w:t>
      </w:r>
      <w:r w:rsidR="003351EB" w:rsidRPr="00AB005D">
        <w:rPr>
          <w:sz w:val="26"/>
          <w:szCs w:val="26"/>
        </w:rPr>
        <w:t xml:space="preserve"> his Initial Decision, ALJ Buckley</w:t>
      </w:r>
      <w:r w:rsidR="00372D90" w:rsidRPr="00AB005D">
        <w:rPr>
          <w:sz w:val="26"/>
          <w:szCs w:val="26"/>
        </w:rPr>
        <w:t xml:space="preserve"> </w:t>
      </w:r>
      <w:r w:rsidR="00160E6E">
        <w:rPr>
          <w:sz w:val="26"/>
          <w:szCs w:val="26"/>
        </w:rPr>
        <w:t>stated</w:t>
      </w:r>
      <w:r w:rsidR="00C63275">
        <w:rPr>
          <w:sz w:val="26"/>
          <w:szCs w:val="26"/>
        </w:rPr>
        <w:t xml:space="preserve"> that the Complainant</w:t>
      </w:r>
      <w:r w:rsidR="00C23D6B">
        <w:rPr>
          <w:sz w:val="26"/>
          <w:szCs w:val="26"/>
        </w:rPr>
        <w:t>’</w:t>
      </w:r>
      <w:r w:rsidR="00C63275">
        <w:rPr>
          <w:sz w:val="26"/>
          <w:szCs w:val="26"/>
        </w:rPr>
        <w:t>s residence</w:t>
      </w:r>
      <w:r w:rsidR="00FD43B6">
        <w:rPr>
          <w:sz w:val="26"/>
          <w:szCs w:val="26"/>
        </w:rPr>
        <w:t xml:space="preserve"> at 3985 Locust Grove R</w:t>
      </w:r>
      <w:r w:rsidR="00160E6E">
        <w:rPr>
          <w:sz w:val="26"/>
          <w:szCs w:val="26"/>
        </w:rPr>
        <w:t>oad, Columbia, Pennsylvania (</w:t>
      </w:r>
      <w:r w:rsidR="00D8327E">
        <w:rPr>
          <w:sz w:val="26"/>
          <w:szCs w:val="26"/>
        </w:rPr>
        <w:t>S</w:t>
      </w:r>
      <w:r w:rsidR="00160E6E">
        <w:rPr>
          <w:sz w:val="26"/>
          <w:szCs w:val="26"/>
        </w:rPr>
        <w:t xml:space="preserve">ervice </w:t>
      </w:r>
      <w:r w:rsidR="00D8327E">
        <w:rPr>
          <w:sz w:val="26"/>
          <w:szCs w:val="26"/>
        </w:rPr>
        <w:t>A</w:t>
      </w:r>
      <w:r w:rsidR="00160E6E">
        <w:rPr>
          <w:sz w:val="26"/>
          <w:szCs w:val="26"/>
        </w:rPr>
        <w:t>ddress)</w:t>
      </w:r>
      <w:r w:rsidR="00C63275">
        <w:rPr>
          <w:sz w:val="26"/>
          <w:szCs w:val="26"/>
        </w:rPr>
        <w:t xml:space="preserve"> had three separate electric meters</w:t>
      </w:r>
      <w:r w:rsidR="004751EF">
        <w:rPr>
          <w:sz w:val="26"/>
          <w:szCs w:val="26"/>
        </w:rPr>
        <w:t>, which were associat</w:t>
      </w:r>
      <w:r w:rsidR="00160E6E">
        <w:rPr>
          <w:sz w:val="26"/>
          <w:szCs w:val="26"/>
        </w:rPr>
        <w:t xml:space="preserve">ed with accounts that </w:t>
      </w:r>
      <w:r w:rsidR="00C33F68">
        <w:rPr>
          <w:sz w:val="26"/>
          <w:szCs w:val="26"/>
        </w:rPr>
        <w:t>had been</w:t>
      </w:r>
      <w:r w:rsidR="00160E6E">
        <w:rPr>
          <w:sz w:val="26"/>
          <w:szCs w:val="26"/>
        </w:rPr>
        <w:t xml:space="preserve"> previously held</w:t>
      </w:r>
      <w:r w:rsidR="004751EF">
        <w:rPr>
          <w:sz w:val="26"/>
          <w:szCs w:val="26"/>
        </w:rPr>
        <w:t xml:space="preserve"> in the names of</w:t>
      </w:r>
      <w:r w:rsidR="0067461D">
        <w:rPr>
          <w:sz w:val="26"/>
          <w:szCs w:val="26"/>
        </w:rPr>
        <w:t xml:space="preserve"> other family members who </w:t>
      </w:r>
      <w:r w:rsidR="004751EF">
        <w:rPr>
          <w:sz w:val="26"/>
          <w:szCs w:val="26"/>
        </w:rPr>
        <w:t>resided with the Complainant at various times.</w:t>
      </w:r>
      <w:r w:rsidR="009A7E31">
        <w:rPr>
          <w:sz w:val="26"/>
          <w:szCs w:val="26"/>
        </w:rPr>
        <w:t xml:space="preserve">  The ALJ</w:t>
      </w:r>
      <w:r w:rsidR="00160E6E">
        <w:rPr>
          <w:sz w:val="26"/>
          <w:szCs w:val="26"/>
        </w:rPr>
        <w:t xml:space="preserve"> </w:t>
      </w:r>
      <w:r w:rsidR="009A7E31">
        <w:rPr>
          <w:sz w:val="26"/>
          <w:szCs w:val="26"/>
        </w:rPr>
        <w:t>noted the Complainant</w:t>
      </w:r>
      <w:r w:rsidR="00C23D6B">
        <w:rPr>
          <w:sz w:val="26"/>
          <w:szCs w:val="26"/>
        </w:rPr>
        <w:t>’</w:t>
      </w:r>
      <w:r w:rsidR="009A7E31">
        <w:rPr>
          <w:sz w:val="26"/>
          <w:szCs w:val="26"/>
        </w:rPr>
        <w:t xml:space="preserve">s argument that </w:t>
      </w:r>
      <w:r w:rsidR="00C82737">
        <w:rPr>
          <w:sz w:val="26"/>
          <w:szCs w:val="26"/>
        </w:rPr>
        <w:t xml:space="preserve">PPL </w:t>
      </w:r>
      <w:r w:rsidR="009A7E31">
        <w:rPr>
          <w:sz w:val="26"/>
          <w:szCs w:val="26"/>
        </w:rPr>
        <w:t>erred by ultimately transferring the</w:t>
      </w:r>
      <w:r w:rsidR="00C82737">
        <w:rPr>
          <w:sz w:val="26"/>
          <w:szCs w:val="26"/>
        </w:rPr>
        <w:t xml:space="preserve"> final</w:t>
      </w:r>
      <w:r w:rsidR="009A7E31">
        <w:rPr>
          <w:sz w:val="26"/>
          <w:szCs w:val="26"/>
        </w:rPr>
        <w:t xml:space="preserve"> balances associated with </w:t>
      </w:r>
      <w:r w:rsidR="001E6313">
        <w:rPr>
          <w:sz w:val="26"/>
          <w:szCs w:val="26"/>
        </w:rPr>
        <w:t>these accounts to the Complainant</w:t>
      </w:r>
      <w:r w:rsidR="00C82737">
        <w:rPr>
          <w:sz w:val="26"/>
          <w:szCs w:val="26"/>
        </w:rPr>
        <w:t>, rather than</w:t>
      </w:r>
      <w:r w:rsidR="00D0746F">
        <w:rPr>
          <w:sz w:val="26"/>
          <w:szCs w:val="26"/>
        </w:rPr>
        <w:t xml:space="preserve"> billing them</w:t>
      </w:r>
      <w:r w:rsidR="00C82737">
        <w:rPr>
          <w:sz w:val="26"/>
          <w:szCs w:val="26"/>
        </w:rPr>
        <w:t xml:space="preserve"> to the Complainant</w:t>
      </w:r>
      <w:r w:rsidR="00C23D6B">
        <w:rPr>
          <w:sz w:val="26"/>
          <w:szCs w:val="26"/>
        </w:rPr>
        <w:t>’</w:t>
      </w:r>
      <w:r w:rsidR="00C82737">
        <w:rPr>
          <w:sz w:val="26"/>
          <w:szCs w:val="26"/>
        </w:rPr>
        <w:t>s estranged husband and to the estate of the Complainant</w:t>
      </w:r>
      <w:r w:rsidR="00C23D6B">
        <w:rPr>
          <w:sz w:val="26"/>
          <w:szCs w:val="26"/>
        </w:rPr>
        <w:t>’</w:t>
      </w:r>
      <w:r w:rsidR="00C82737">
        <w:rPr>
          <w:sz w:val="26"/>
          <w:szCs w:val="26"/>
        </w:rPr>
        <w:t>s deceased mot</w:t>
      </w:r>
      <w:r w:rsidR="00036D2C">
        <w:rPr>
          <w:sz w:val="26"/>
          <w:szCs w:val="26"/>
        </w:rPr>
        <w:t xml:space="preserve">her-in-law, </w:t>
      </w:r>
      <w:r w:rsidR="00160E6E">
        <w:rPr>
          <w:sz w:val="26"/>
          <w:szCs w:val="26"/>
        </w:rPr>
        <w:t xml:space="preserve">who </w:t>
      </w:r>
      <w:r w:rsidR="006879E6">
        <w:rPr>
          <w:sz w:val="26"/>
          <w:szCs w:val="26"/>
        </w:rPr>
        <w:t>had</w:t>
      </w:r>
      <w:r w:rsidR="00160E6E">
        <w:rPr>
          <w:sz w:val="26"/>
          <w:szCs w:val="26"/>
        </w:rPr>
        <w:t xml:space="preserve"> previously</w:t>
      </w:r>
      <w:r w:rsidR="006879E6">
        <w:rPr>
          <w:sz w:val="26"/>
          <w:szCs w:val="26"/>
        </w:rPr>
        <w:t xml:space="preserve"> resided at the </w:t>
      </w:r>
      <w:r w:rsidR="00C75E14">
        <w:rPr>
          <w:sz w:val="26"/>
          <w:szCs w:val="26"/>
        </w:rPr>
        <w:t>Service Address</w:t>
      </w:r>
      <w:r w:rsidR="006879E6">
        <w:rPr>
          <w:sz w:val="26"/>
          <w:szCs w:val="26"/>
        </w:rPr>
        <w:t xml:space="preserve">, and </w:t>
      </w:r>
      <w:r w:rsidR="00036D2C">
        <w:rPr>
          <w:sz w:val="26"/>
          <w:szCs w:val="26"/>
        </w:rPr>
        <w:t xml:space="preserve">in whose names the accounts originally </w:t>
      </w:r>
      <w:r w:rsidR="00CE3E6E">
        <w:rPr>
          <w:sz w:val="26"/>
          <w:szCs w:val="26"/>
        </w:rPr>
        <w:t xml:space="preserve">were </w:t>
      </w:r>
      <w:r w:rsidR="00036D2C">
        <w:rPr>
          <w:sz w:val="26"/>
          <w:szCs w:val="26"/>
        </w:rPr>
        <w:t>opened.</w:t>
      </w:r>
      <w:r w:rsidR="00692DF1">
        <w:rPr>
          <w:sz w:val="26"/>
          <w:szCs w:val="26"/>
        </w:rPr>
        <w:t xml:space="preserve">  However, the ALJ found that the Complainant provided no evidence that she was incorrectly billed, or that PPL erred or violated the law by transferring the outstanding balances to the Complainant.</w:t>
      </w:r>
      <w:r w:rsidR="006F5214">
        <w:rPr>
          <w:sz w:val="26"/>
          <w:szCs w:val="26"/>
        </w:rPr>
        <w:t xml:space="preserve">  I.D. at 5.</w:t>
      </w:r>
    </w:p>
    <w:p w:rsidR="00C82737" w:rsidRDefault="00C82737" w:rsidP="000A1962">
      <w:pPr>
        <w:widowControl/>
        <w:spacing w:line="360" w:lineRule="auto"/>
        <w:rPr>
          <w:sz w:val="26"/>
          <w:szCs w:val="26"/>
        </w:rPr>
      </w:pPr>
    </w:p>
    <w:p w:rsidR="009F21E2" w:rsidRDefault="009F21E2" w:rsidP="000A1962">
      <w:pPr>
        <w:widowControl/>
        <w:spacing w:line="360" w:lineRule="auto"/>
        <w:rPr>
          <w:sz w:val="26"/>
          <w:szCs w:val="26"/>
        </w:rPr>
      </w:pPr>
      <w:r>
        <w:rPr>
          <w:sz w:val="26"/>
          <w:szCs w:val="26"/>
        </w:rPr>
        <w:tab/>
      </w:r>
      <w:r>
        <w:rPr>
          <w:sz w:val="26"/>
          <w:szCs w:val="26"/>
        </w:rPr>
        <w:tab/>
        <w:t>The ALJ stated that, while the Complainant</w:t>
      </w:r>
      <w:r w:rsidR="00C23D6B">
        <w:rPr>
          <w:sz w:val="26"/>
          <w:szCs w:val="26"/>
        </w:rPr>
        <w:t>’</w:t>
      </w:r>
      <w:r>
        <w:rPr>
          <w:sz w:val="26"/>
          <w:szCs w:val="26"/>
        </w:rPr>
        <w:t>s residence may have had three separate meters, the Complaina</w:t>
      </w:r>
      <w:r w:rsidR="00EA7E8A">
        <w:rPr>
          <w:sz w:val="26"/>
          <w:szCs w:val="26"/>
        </w:rPr>
        <w:t>nt repeatedly testified that her</w:t>
      </w:r>
      <w:r>
        <w:rPr>
          <w:sz w:val="26"/>
          <w:szCs w:val="26"/>
        </w:rPr>
        <w:t xml:space="preserve"> residence was a single-family home, and was not used as a rental property.  </w:t>
      </w:r>
      <w:r w:rsidRPr="009F21E2">
        <w:rPr>
          <w:i/>
          <w:sz w:val="26"/>
          <w:szCs w:val="26"/>
        </w:rPr>
        <w:t>Id</w:t>
      </w:r>
      <w:r>
        <w:rPr>
          <w:sz w:val="26"/>
          <w:szCs w:val="26"/>
        </w:rPr>
        <w:t>. at 5 (citing Tr. at 9, 17</w:t>
      </w:r>
      <w:r w:rsidR="00CE3E6E">
        <w:rPr>
          <w:sz w:val="26"/>
          <w:szCs w:val="26"/>
        </w:rPr>
        <w:noBreakHyphen/>
      </w:r>
      <w:r>
        <w:rPr>
          <w:sz w:val="26"/>
          <w:szCs w:val="26"/>
        </w:rPr>
        <w:t>18, 27</w:t>
      </w:r>
      <w:r w:rsidR="00CE3E6E">
        <w:rPr>
          <w:sz w:val="26"/>
          <w:szCs w:val="26"/>
        </w:rPr>
        <w:noBreakHyphen/>
      </w:r>
      <w:r>
        <w:rPr>
          <w:sz w:val="26"/>
          <w:szCs w:val="26"/>
        </w:rPr>
        <w:t>28).</w:t>
      </w:r>
      <w:r w:rsidR="00EA7E8A">
        <w:rPr>
          <w:sz w:val="26"/>
          <w:szCs w:val="26"/>
        </w:rPr>
        <w:t xml:space="preserve">  Thus, the ALJ rejected the Complainant</w:t>
      </w:r>
      <w:r w:rsidR="00C23D6B">
        <w:rPr>
          <w:sz w:val="26"/>
          <w:szCs w:val="26"/>
        </w:rPr>
        <w:t>’</w:t>
      </w:r>
      <w:r w:rsidR="00EA7E8A">
        <w:rPr>
          <w:sz w:val="26"/>
          <w:szCs w:val="26"/>
        </w:rPr>
        <w:t>s argument that she should not be held co-responsible for the electricity usage o</w:t>
      </w:r>
      <w:r w:rsidR="00EB79E5">
        <w:rPr>
          <w:sz w:val="26"/>
          <w:szCs w:val="26"/>
        </w:rPr>
        <w:t>f her estranged husband and now-deceased</w:t>
      </w:r>
      <w:r w:rsidR="00EA7E8A">
        <w:rPr>
          <w:sz w:val="26"/>
          <w:szCs w:val="26"/>
        </w:rPr>
        <w:t xml:space="preserve"> mother-in-law, both of whom had lived with the Complainant at her residence.  </w:t>
      </w:r>
      <w:r w:rsidR="00CE3E6E">
        <w:rPr>
          <w:sz w:val="26"/>
          <w:szCs w:val="26"/>
        </w:rPr>
        <w:t xml:space="preserve">The ALJ determined that </w:t>
      </w:r>
      <w:r w:rsidR="007C3C80">
        <w:rPr>
          <w:sz w:val="26"/>
          <w:szCs w:val="26"/>
        </w:rPr>
        <w:t>whatever understanding the Complainant had with her</w:t>
      </w:r>
      <w:r w:rsidR="00155EEB">
        <w:rPr>
          <w:sz w:val="26"/>
          <w:szCs w:val="26"/>
        </w:rPr>
        <w:t xml:space="preserve"> husband or mother-in-law regarding responsibility for the electric bill was a private agreement among family members, and PPL was neither privy to, nor bound by, any such agreement.  I.D. at 5.</w:t>
      </w:r>
    </w:p>
    <w:p w:rsidR="00155EEB" w:rsidRDefault="00155EEB" w:rsidP="000A1962">
      <w:pPr>
        <w:widowControl/>
        <w:spacing w:line="360" w:lineRule="auto"/>
        <w:rPr>
          <w:sz w:val="26"/>
          <w:szCs w:val="26"/>
        </w:rPr>
      </w:pPr>
    </w:p>
    <w:p w:rsidR="00155EEB" w:rsidRDefault="00155EEB" w:rsidP="000A1962">
      <w:pPr>
        <w:widowControl/>
        <w:spacing w:line="360" w:lineRule="auto"/>
        <w:rPr>
          <w:sz w:val="26"/>
          <w:szCs w:val="26"/>
        </w:rPr>
      </w:pPr>
      <w:r>
        <w:rPr>
          <w:sz w:val="26"/>
          <w:szCs w:val="26"/>
        </w:rPr>
        <w:tab/>
      </w:r>
      <w:r>
        <w:rPr>
          <w:sz w:val="26"/>
          <w:szCs w:val="26"/>
        </w:rPr>
        <w:tab/>
        <w:t>With regard to the transfer of accounts, t</w:t>
      </w:r>
      <w:r w:rsidR="001927AD">
        <w:rPr>
          <w:sz w:val="26"/>
          <w:szCs w:val="26"/>
        </w:rPr>
        <w:t xml:space="preserve">he ALJ noted that </w:t>
      </w:r>
      <w:r>
        <w:rPr>
          <w:sz w:val="26"/>
          <w:szCs w:val="26"/>
        </w:rPr>
        <w:t xml:space="preserve">Commission Regulations provide, in pertinent part, that </w:t>
      </w:r>
      <w:r w:rsidR="00C23D6B">
        <w:rPr>
          <w:sz w:val="26"/>
          <w:szCs w:val="26"/>
        </w:rPr>
        <w:t>“</w:t>
      </w:r>
      <w:r w:rsidRPr="00155EEB">
        <w:rPr>
          <w:sz w:val="26"/>
          <w:szCs w:val="26"/>
        </w:rPr>
        <w:t>[</w:t>
      </w:r>
      <w:proofErr w:type="spellStart"/>
      <w:r w:rsidRPr="00155EEB">
        <w:rPr>
          <w:sz w:val="26"/>
          <w:szCs w:val="26"/>
        </w:rPr>
        <w:t>i</w:t>
      </w:r>
      <w:proofErr w:type="spellEnd"/>
      <w:r w:rsidRPr="00155EEB">
        <w:rPr>
          <w:sz w:val="26"/>
          <w:szCs w:val="26"/>
        </w:rPr>
        <w:t xml:space="preserve">]n the event of discontinuance or termination of service at a residence or dwelling in accordance with this chapter, a public utility may transfer an unpaid balance to a new residential service account of the same </w:t>
      </w:r>
      <w:r w:rsidRPr="00155EEB">
        <w:rPr>
          <w:sz w:val="26"/>
          <w:szCs w:val="26"/>
        </w:rPr>
        <w:lastRenderedPageBreak/>
        <w:t>customer.</w:t>
      </w:r>
      <w:r w:rsidR="00C23D6B">
        <w:rPr>
          <w:sz w:val="26"/>
          <w:szCs w:val="26"/>
        </w:rPr>
        <w:t>”</w:t>
      </w:r>
      <w:r>
        <w:rPr>
          <w:sz w:val="26"/>
          <w:szCs w:val="26"/>
        </w:rPr>
        <w:t xml:space="preserve">  </w:t>
      </w:r>
      <w:r w:rsidRPr="00155EEB">
        <w:rPr>
          <w:i/>
          <w:sz w:val="26"/>
          <w:szCs w:val="26"/>
        </w:rPr>
        <w:t>Id</w:t>
      </w:r>
      <w:r>
        <w:rPr>
          <w:sz w:val="26"/>
          <w:szCs w:val="26"/>
        </w:rPr>
        <w:t xml:space="preserve">. at 6 (quoting 52 Pa. Code § 56.16(b)).  The ALJ further noted </w:t>
      </w:r>
      <w:r w:rsidR="00887AEF">
        <w:rPr>
          <w:sz w:val="26"/>
          <w:szCs w:val="26"/>
        </w:rPr>
        <w:t xml:space="preserve">that the Regulations define </w:t>
      </w:r>
      <w:r w:rsidR="00C23D6B">
        <w:rPr>
          <w:sz w:val="26"/>
          <w:szCs w:val="26"/>
        </w:rPr>
        <w:t>“</w:t>
      </w:r>
      <w:r w:rsidR="00887AEF">
        <w:rPr>
          <w:sz w:val="26"/>
          <w:szCs w:val="26"/>
        </w:rPr>
        <w:t>customer</w:t>
      </w:r>
      <w:r w:rsidR="00C23D6B">
        <w:rPr>
          <w:sz w:val="26"/>
          <w:szCs w:val="26"/>
        </w:rPr>
        <w:t>”</w:t>
      </w:r>
      <w:r w:rsidR="00887AEF">
        <w:rPr>
          <w:sz w:val="26"/>
          <w:szCs w:val="26"/>
        </w:rPr>
        <w:t xml:space="preserve"> as follows:</w:t>
      </w:r>
    </w:p>
    <w:p w:rsidR="00887AEF" w:rsidRPr="00155EEB" w:rsidRDefault="00887AEF" w:rsidP="000A1962">
      <w:pPr>
        <w:widowControl/>
        <w:spacing w:line="360" w:lineRule="auto"/>
        <w:rPr>
          <w:sz w:val="26"/>
          <w:szCs w:val="26"/>
        </w:rPr>
      </w:pPr>
    </w:p>
    <w:p w:rsidR="00887AEF" w:rsidRPr="00887AEF" w:rsidRDefault="00887AEF" w:rsidP="000A1962">
      <w:pPr>
        <w:widowControl/>
        <w:ind w:left="1440" w:right="1440"/>
        <w:rPr>
          <w:sz w:val="26"/>
          <w:szCs w:val="26"/>
        </w:rPr>
      </w:pPr>
      <w:r w:rsidRPr="00887AEF">
        <w:rPr>
          <w:sz w:val="26"/>
          <w:szCs w:val="26"/>
        </w:rPr>
        <w:t xml:space="preserve">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w:t>
      </w:r>
      <w:r w:rsidR="00C23D6B">
        <w:rPr>
          <w:sz w:val="26"/>
          <w:szCs w:val="26"/>
        </w:rPr>
        <w:t xml:space="preserve"> </w:t>
      </w:r>
      <w:r w:rsidRPr="00887AEF">
        <w:rPr>
          <w:sz w:val="26"/>
          <w:szCs w:val="26"/>
        </w:rPr>
        <w:t>A natural person remains a customer after discontinuance or termination until the final bill for service is past due.</w:t>
      </w:r>
    </w:p>
    <w:p w:rsidR="00155EEB" w:rsidRDefault="00155EEB" w:rsidP="000A1962">
      <w:pPr>
        <w:widowControl/>
        <w:spacing w:line="360" w:lineRule="auto"/>
        <w:rPr>
          <w:sz w:val="26"/>
          <w:szCs w:val="26"/>
        </w:rPr>
      </w:pPr>
    </w:p>
    <w:p w:rsidR="00C82737" w:rsidRDefault="00887AEF" w:rsidP="000A1962">
      <w:pPr>
        <w:widowControl/>
        <w:spacing w:line="360" w:lineRule="auto"/>
        <w:rPr>
          <w:sz w:val="26"/>
          <w:szCs w:val="26"/>
        </w:rPr>
      </w:pPr>
      <w:r>
        <w:rPr>
          <w:sz w:val="26"/>
          <w:szCs w:val="26"/>
        </w:rPr>
        <w:t xml:space="preserve">I.D. at 6 (quoting from 52 Pa. Code § 56.2).  </w:t>
      </w:r>
      <w:r w:rsidR="00870E03">
        <w:rPr>
          <w:sz w:val="26"/>
          <w:szCs w:val="26"/>
        </w:rPr>
        <w:t>Thus, the ALJ found that the Complainant failed to prove by a preponderance of the evidence that she was incorrectly billed, or that PPL had failed to maintain adequate, efficient, safe and reasonable service and facilities as required by the Code.  Accordingly, the ALJ concluded that the Complaint must be dismissed.  I.D. at 6.</w:t>
      </w:r>
    </w:p>
    <w:p w:rsidR="00C82737" w:rsidRPr="00AB005D" w:rsidRDefault="00C82737" w:rsidP="000A1962">
      <w:pPr>
        <w:widowControl/>
        <w:spacing w:line="360" w:lineRule="auto"/>
        <w:rPr>
          <w:sz w:val="26"/>
          <w:szCs w:val="26"/>
        </w:rPr>
      </w:pPr>
    </w:p>
    <w:p w:rsidR="00456B54" w:rsidRPr="00AB005D" w:rsidRDefault="00456B54" w:rsidP="00BA7136">
      <w:pPr>
        <w:keepNext/>
        <w:keepLines/>
        <w:widowControl/>
        <w:spacing w:line="360" w:lineRule="auto"/>
        <w:rPr>
          <w:b/>
          <w:sz w:val="26"/>
          <w:szCs w:val="26"/>
        </w:rPr>
      </w:pPr>
      <w:r w:rsidRPr="00AB005D">
        <w:rPr>
          <w:b/>
          <w:sz w:val="26"/>
          <w:szCs w:val="26"/>
        </w:rPr>
        <w:t>Exceptions</w:t>
      </w:r>
      <w:r w:rsidR="004E42DA" w:rsidRPr="00AB005D">
        <w:rPr>
          <w:b/>
          <w:sz w:val="26"/>
          <w:szCs w:val="26"/>
        </w:rPr>
        <w:t xml:space="preserve"> and Replies</w:t>
      </w:r>
    </w:p>
    <w:p w:rsidR="00456B54" w:rsidRPr="00AB005D" w:rsidRDefault="00456B54" w:rsidP="00BA7136">
      <w:pPr>
        <w:keepNext/>
        <w:keepLines/>
        <w:widowControl/>
        <w:spacing w:line="360" w:lineRule="auto"/>
        <w:rPr>
          <w:sz w:val="26"/>
          <w:szCs w:val="26"/>
        </w:rPr>
      </w:pPr>
    </w:p>
    <w:p w:rsidR="00456B54" w:rsidRDefault="000973A2" w:rsidP="00AB005D">
      <w:pPr>
        <w:widowControl/>
        <w:spacing w:line="360" w:lineRule="auto"/>
        <w:rPr>
          <w:sz w:val="26"/>
          <w:szCs w:val="26"/>
        </w:rPr>
      </w:pPr>
      <w:r w:rsidRPr="00AB005D">
        <w:rPr>
          <w:sz w:val="26"/>
          <w:szCs w:val="26"/>
        </w:rPr>
        <w:tab/>
      </w:r>
      <w:r w:rsidRPr="00AB005D">
        <w:rPr>
          <w:sz w:val="26"/>
          <w:szCs w:val="26"/>
        </w:rPr>
        <w:tab/>
      </w:r>
      <w:r w:rsidR="0088313D" w:rsidRPr="005012B0">
        <w:rPr>
          <w:sz w:val="26"/>
          <w:szCs w:val="26"/>
        </w:rPr>
        <w:t>In her</w:t>
      </w:r>
      <w:r w:rsidR="00513441" w:rsidRPr="005012B0">
        <w:rPr>
          <w:sz w:val="26"/>
          <w:szCs w:val="26"/>
        </w:rPr>
        <w:t xml:space="preserve"> Exceptions, the Complainant </w:t>
      </w:r>
      <w:r w:rsidR="00A90EDF">
        <w:rPr>
          <w:sz w:val="26"/>
          <w:szCs w:val="26"/>
        </w:rPr>
        <w:t xml:space="preserve">first contends that she </w:t>
      </w:r>
      <w:r w:rsidR="000A1962">
        <w:rPr>
          <w:sz w:val="26"/>
          <w:szCs w:val="26"/>
        </w:rPr>
        <w:t>never</w:t>
      </w:r>
      <w:r w:rsidR="00A90EDF">
        <w:rPr>
          <w:sz w:val="26"/>
          <w:szCs w:val="26"/>
        </w:rPr>
        <w:t xml:space="preserve"> receive</w:t>
      </w:r>
      <w:r w:rsidR="000A1962">
        <w:rPr>
          <w:sz w:val="26"/>
          <w:szCs w:val="26"/>
        </w:rPr>
        <w:t>d</w:t>
      </w:r>
      <w:r w:rsidR="00A90EDF">
        <w:rPr>
          <w:sz w:val="26"/>
          <w:szCs w:val="26"/>
        </w:rPr>
        <w:t xml:space="preserve"> notice of the telephonic hearing, or any information regarding the hearing procedure, until seven days after the date of the hearing.</w:t>
      </w:r>
      <w:r w:rsidR="00A90EDF">
        <w:rPr>
          <w:rStyle w:val="FootnoteReference"/>
          <w:sz w:val="26"/>
          <w:szCs w:val="26"/>
        </w:rPr>
        <w:footnoteReference w:id="4"/>
      </w:r>
      <w:r w:rsidR="00A90EDF">
        <w:rPr>
          <w:sz w:val="26"/>
          <w:szCs w:val="26"/>
        </w:rPr>
        <w:t xml:space="preserve">  The Complainant states that </w:t>
      </w:r>
      <w:r w:rsidR="001C4470">
        <w:rPr>
          <w:sz w:val="26"/>
          <w:szCs w:val="26"/>
        </w:rPr>
        <w:t xml:space="preserve">she was informed of the scheduled hearing by a PPL representative, who called her one day prior to the hearing date to discuss the possibility of a settlement of the proceeding.  </w:t>
      </w:r>
      <w:r w:rsidR="009E7CE0">
        <w:rPr>
          <w:sz w:val="26"/>
          <w:szCs w:val="26"/>
        </w:rPr>
        <w:t>Therefore, the Complainant argues that</w:t>
      </w:r>
      <w:r w:rsidR="009E7CE0" w:rsidRPr="00C23D6B">
        <w:rPr>
          <w:sz w:val="26"/>
          <w:szCs w:val="26"/>
        </w:rPr>
        <w:t xml:space="preserve"> </w:t>
      </w:r>
      <w:r w:rsidR="009E7CE0">
        <w:rPr>
          <w:sz w:val="26"/>
          <w:szCs w:val="26"/>
        </w:rPr>
        <w:t xml:space="preserve">prior to the date of the hearing, she had no knowledge of the hearing procedures, and no understanding of what documentation or evidence she needed to support her case.  </w:t>
      </w:r>
      <w:r w:rsidR="00E41952">
        <w:rPr>
          <w:sz w:val="26"/>
          <w:szCs w:val="26"/>
        </w:rPr>
        <w:t>The Complainant asserts that she had to participate in the telephonic hearing while standing on the street outside of her place of employment</w:t>
      </w:r>
      <w:r w:rsidR="008C1270">
        <w:rPr>
          <w:sz w:val="26"/>
          <w:szCs w:val="26"/>
        </w:rPr>
        <w:t xml:space="preserve">, contending with </w:t>
      </w:r>
      <w:r w:rsidR="008C1270">
        <w:rPr>
          <w:sz w:val="26"/>
          <w:szCs w:val="26"/>
        </w:rPr>
        <w:lastRenderedPageBreak/>
        <w:t>traffic noise</w:t>
      </w:r>
      <w:r w:rsidR="00E41952">
        <w:rPr>
          <w:sz w:val="26"/>
          <w:szCs w:val="26"/>
        </w:rPr>
        <w:t xml:space="preserve"> and other distractions.</w:t>
      </w:r>
      <w:r w:rsidR="008C1270">
        <w:rPr>
          <w:sz w:val="26"/>
          <w:szCs w:val="26"/>
        </w:rPr>
        <w:t xml:space="preserve">  </w:t>
      </w:r>
      <w:r w:rsidR="00E41952">
        <w:rPr>
          <w:sz w:val="26"/>
          <w:szCs w:val="26"/>
        </w:rPr>
        <w:t>Thus, the Complainant states that she was not given a fair opportunity to prepare for the hearing.  Exc. at 1.</w:t>
      </w:r>
    </w:p>
    <w:p w:rsidR="00E41952" w:rsidRDefault="00E41952" w:rsidP="00AB005D">
      <w:pPr>
        <w:widowControl/>
        <w:spacing w:line="360" w:lineRule="auto"/>
        <w:rPr>
          <w:sz w:val="26"/>
          <w:szCs w:val="26"/>
        </w:rPr>
      </w:pPr>
    </w:p>
    <w:p w:rsidR="00F47CA1" w:rsidRDefault="007D348B" w:rsidP="00AB005D">
      <w:pPr>
        <w:widowControl/>
        <w:spacing w:line="360" w:lineRule="auto"/>
        <w:rPr>
          <w:sz w:val="26"/>
          <w:szCs w:val="26"/>
        </w:rPr>
      </w:pPr>
      <w:r>
        <w:rPr>
          <w:sz w:val="26"/>
          <w:szCs w:val="26"/>
        </w:rPr>
        <w:tab/>
      </w:r>
      <w:r>
        <w:rPr>
          <w:sz w:val="26"/>
          <w:szCs w:val="26"/>
        </w:rPr>
        <w:tab/>
        <w:t>The Complainant next contends that PPL</w:t>
      </w:r>
      <w:r w:rsidR="00C23D6B">
        <w:rPr>
          <w:sz w:val="26"/>
          <w:szCs w:val="26"/>
        </w:rPr>
        <w:t>’</w:t>
      </w:r>
      <w:r>
        <w:rPr>
          <w:sz w:val="26"/>
          <w:szCs w:val="26"/>
        </w:rPr>
        <w:t xml:space="preserve">s records </w:t>
      </w:r>
      <w:r w:rsidR="00FA1E4A">
        <w:rPr>
          <w:sz w:val="26"/>
          <w:szCs w:val="26"/>
        </w:rPr>
        <w:t xml:space="preserve">regarding the accounts at issue in this proceeding are inaccurate, and that they were altered by PPL </w:t>
      </w:r>
      <w:r w:rsidR="00C23D6B">
        <w:rPr>
          <w:sz w:val="26"/>
          <w:szCs w:val="26"/>
        </w:rPr>
        <w:t>“</w:t>
      </w:r>
      <w:r w:rsidR="00FA1E4A">
        <w:rPr>
          <w:sz w:val="26"/>
          <w:szCs w:val="26"/>
        </w:rPr>
        <w:t>to meet the demands of their claim.</w:t>
      </w:r>
      <w:r w:rsidR="00C23D6B">
        <w:rPr>
          <w:sz w:val="26"/>
          <w:szCs w:val="26"/>
        </w:rPr>
        <w:t>”</w:t>
      </w:r>
      <w:r w:rsidR="00FA1E4A">
        <w:rPr>
          <w:sz w:val="26"/>
          <w:szCs w:val="26"/>
        </w:rPr>
        <w:t xml:space="preserve">  </w:t>
      </w:r>
      <w:r w:rsidR="00FA1E4A" w:rsidRPr="00FA1E4A">
        <w:rPr>
          <w:i/>
          <w:sz w:val="26"/>
          <w:szCs w:val="26"/>
        </w:rPr>
        <w:t>Id</w:t>
      </w:r>
      <w:r w:rsidR="00FA1E4A">
        <w:rPr>
          <w:sz w:val="26"/>
          <w:szCs w:val="26"/>
        </w:rPr>
        <w:t xml:space="preserve">.  </w:t>
      </w:r>
      <w:r w:rsidR="00724543">
        <w:rPr>
          <w:sz w:val="26"/>
          <w:szCs w:val="26"/>
        </w:rPr>
        <w:t>The Complainant appears to argue that PPL</w:t>
      </w:r>
      <w:r w:rsidR="00C23D6B">
        <w:rPr>
          <w:sz w:val="26"/>
          <w:szCs w:val="26"/>
        </w:rPr>
        <w:t>’</w:t>
      </w:r>
      <w:r w:rsidR="00724543">
        <w:rPr>
          <w:sz w:val="26"/>
          <w:szCs w:val="26"/>
        </w:rPr>
        <w:t xml:space="preserve">s records reflect that multiple accounts were incorrectly assigned to the same meter during the same time period, </w:t>
      </w:r>
      <w:r w:rsidR="00F47CA1">
        <w:rPr>
          <w:sz w:val="26"/>
          <w:szCs w:val="26"/>
        </w:rPr>
        <w:t>and that the Complainant is now</w:t>
      </w:r>
      <w:r w:rsidR="00517BB5">
        <w:rPr>
          <w:sz w:val="26"/>
          <w:szCs w:val="26"/>
        </w:rPr>
        <w:t xml:space="preserve"> being held</w:t>
      </w:r>
      <w:r w:rsidR="00F47CA1">
        <w:rPr>
          <w:sz w:val="26"/>
          <w:szCs w:val="26"/>
        </w:rPr>
        <w:t xml:space="preserve"> responsible for those accounts.  </w:t>
      </w:r>
      <w:r w:rsidR="00F47CA1" w:rsidRPr="00F47CA1">
        <w:rPr>
          <w:i/>
          <w:sz w:val="26"/>
          <w:szCs w:val="26"/>
        </w:rPr>
        <w:t>Id</w:t>
      </w:r>
      <w:r w:rsidR="00F47CA1">
        <w:rPr>
          <w:sz w:val="26"/>
          <w:szCs w:val="26"/>
        </w:rPr>
        <w:t xml:space="preserve">.  </w:t>
      </w:r>
    </w:p>
    <w:p w:rsidR="00F47CA1" w:rsidRDefault="00F47CA1" w:rsidP="00AB005D">
      <w:pPr>
        <w:widowControl/>
        <w:spacing w:line="360" w:lineRule="auto"/>
        <w:rPr>
          <w:sz w:val="26"/>
          <w:szCs w:val="26"/>
        </w:rPr>
      </w:pPr>
    </w:p>
    <w:p w:rsidR="007D348B" w:rsidRDefault="00F47CA1" w:rsidP="00AB005D">
      <w:pPr>
        <w:widowControl/>
        <w:spacing w:line="360" w:lineRule="auto"/>
        <w:rPr>
          <w:sz w:val="26"/>
          <w:szCs w:val="26"/>
        </w:rPr>
      </w:pPr>
      <w:r>
        <w:rPr>
          <w:sz w:val="26"/>
          <w:szCs w:val="26"/>
        </w:rPr>
        <w:tab/>
      </w:r>
      <w:r>
        <w:rPr>
          <w:sz w:val="26"/>
          <w:szCs w:val="26"/>
        </w:rPr>
        <w:tab/>
        <w:t>The Complainant also avers that, after filing for bankruptcy in 2008, she was enrolled in PPL</w:t>
      </w:r>
      <w:r w:rsidR="00C23D6B">
        <w:rPr>
          <w:sz w:val="26"/>
          <w:szCs w:val="26"/>
        </w:rPr>
        <w:t>’</w:t>
      </w:r>
      <w:r>
        <w:rPr>
          <w:sz w:val="26"/>
          <w:szCs w:val="26"/>
        </w:rPr>
        <w:t xml:space="preserve">s </w:t>
      </w:r>
      <w:proofErr w:type="spellStart"/>
      <w:r>
        <w:rPr>
          <w:sz w:val="26"/>
          <w:szCs w:val="26"/>
        </w:rPr>
        <w:t>OnTrack</w:t>
      </w:r>
      <w:proofErr w:type="spellEnd"/>
      <w:r>
        <w:rPr>
          <w:sz w:val="26"/>
          <w:szCs w:val="26"/>
        </w:rPr>
        <w:t xml:space="preserve"> Program, which, the Complainant states, </w:t>
      </w:r>
      <w:r w:rsidR="00C23D6B">
        <w:rPr>
          <w:sz w:val="26"/>
          <w:szCs w:val="26"/>
        </w:rPr>
        <w:t>“</w:t>
      </w:r>
      <w:r>
        <w:rPr>
          <w:sz w:val="26"/>
          <w:szCs w:val="26"/>
        </w:rPr>
        <w:t>absorbed all service charges and afforded a stable monthly payment.</w:t>
      </w:r>
      <w:r w:rsidR="00C23D6B">
        <w:rPr>
          <w:sz w:val="26"/>
          <w:szCs w:val="26"/>
        </w:rPr>
        <w:t>”</w:t>
      </w:r>
      <w:r>
        <w:rPr>
          <w:sz w:val="26"/>
          <w:szCs w:val="26"/>
        </w:rPr>
        <w:t xml:space="preserve"> </w:t>
      </w:r>
      <w:r w:rsidR="00517BB5">
        <w:rPr>
          <w:sz w:val="26"/>
          <w:szCs w:val="26"/>
        </w:rPr>
        <w:t xml:space="preserve"> The Complainant appears to question why PPL is holding her responsible for charges that she believes should not have been assigned to her under the terms of the </w:t>
      </w:r>
      <w:proofErr w:type="spellStart"/>
      <w:r w:rsidR="00517BB5">
        <w:rPr>
          <w:sz w:val="26"/>
          <w:szCs w:val="26"/>
        </w:rPr>
        <w:t>OnTrack</w:t>
      </w:r>
      <w:proofErr w:type="spellEnd"/>
      <w:r w:rsidR="00517BB5">
        <w:rPr>
          <w:sz w:val="26"/>
          <w:szCs w:val="26"/>
        </w:rPr>
        <w:t xml:space="preserve"> agreement.  </w:t>
      </w:r>
      <w:r w:rsidR="002C15B5">
        <w:rPr>
          <w:sz w:val="26"/>
          <w:szCs w:val="26"/>
        </w:rPr>
        <w:t>The Complainant also appears to question</w:t>
      </w:r>
      <w:r w:rsidR="00517BB5">
        <w:rPr>
          <w:sz w:val="26"/>
          <w:szCs w:val="26"/>
        </w:rPr>
        <w:t xml:space="preserve"> why PPL</w:t>
      </w:r>
      <w:r w:rsidR="002C15B5">
        <w:rPr>
          <w:sz w:val="26"/>
          <w:szCs w:val="26"/>
        </w:rPr>
        <w:t xml:space="preserve"> did not hold her husband and late mother-in-law responsible for the balances associated with the accounts that were held in their names, and asks whether flawed or inaccurate record-keeping on the part of PPL was to blame.  </w:t>
      </w:r>
      <w:r w:rsidR="002C15B5" w:rsidRPr="002C15B5">
        <w:rPr>
          <w:i/>
          <w:sz w:val="26"/>
          <w:szCs w:val="26"/>
        </w:rPr>
        <w:t>Id</w:t>
      </w:r>
      <w:r w:rsidR="002C15B5">
        <w:rPr>
          <w:sz w:val="26"/>
          <w:szCs w:val="26"/>
        </w:rPr>
        <w:t>. at 1-2.</w:t>
      </w:r>
    </w:p>
    <w:p w:rsidR="002C15B5" w:rsidRDefault="002C15B5" w:rsidP="00AB005D">
      <w:pPr>
        <w:widowControl/>
        <w:spacing w:line="360" w:lineRule="auto"/>
        <w:rPr>
          <w:sz w:val="26"/>
          <w:szCs w:val="26"/>
        </w:rPr>
      </w:pPr>
    </w:p>
    <w:p w:rsidR="00AB005D" w:rsidRDefault="0004175F" w:rsidP="004D1313">
      <w:pPr>
        <w:widowControl/>
        <w:spacing w:line="360" w:lineRule="auto"/>
        <w:rPr>
          <w:sz w:val="26"/>
          <w:szCs w:val="26"/>
        </w:rPr>
      </w:pPr>
      <w:r>
        <w:rPr>
          <w:sz w:val="26"/>
          <w:szCs w:val="26"/>
        </w:rPr>
        <w:tab/>
      </w:r>
      <w:r>
        <w:rPr>
          <w:sz w:val="26"/>
          <w:szCs w:val="26"/>
        </w:rPr>
        <w:tab/>
        <w:t>Finally, the Complainant states that she</w:t>
      </w:r>
      <w:r w:rsidR="00EE52BE">
        <w:rPr>
          <w:sz w:val="26"/>
          <w:szCs w:val="26"/>
        </w:rPr>
        <w:t xml:space="preserve"> is aware of her need to sustain</w:t>
      </w:r>
      <w:r>
        <w:rPr>
          <w:sz w:val="26"/>
          <w:szCs w:val="26"/>
        </w:rPr>
        <w:t xml:space="preserve"> the burden of proof in this proceeding.  The Complainant contends that, despite being placed at a disadvantage as a r</w:t>
      </w:r>
      <w:r w:rsidR="00695768">
        <w:rPr>
          <w:sz w:val="26"/>
          <w:szCs w:val="26"/>
        </w:rPr>
        <w:t>esult of her failure to receive</w:t>
      </w:r>
      <w:r w:rsidR="009E0685">
        <w:rPr>
          <w:sz w:val="26"/>
          <w:szCs w:val="26"/>
        </w:rPr>
        <w:t xml:space="preserve"> timely notice of</w:t>
      </w:r>
      <w:r w:rsidR="00695768">
        <w:rPr>
          <w:sz w:val="26"/>
          <w:szCs w:val="26"/>
        </w:rPr>
        <w:t xml:space="preserve"> the scheduled telephonic hearing, </w:t>
      </w:r>
      <w:r w:rsidR="00C23D6B">
        <w:rPr>
          <w:sz w:val="26"/>
          <w:szCs w:val="26"/>
        </w:rPr>
        <w:t>“</w:t>
      </w:r>
      <w:r w:rsidR="00695768">
        <w:rPr>
          <w:sz w:val="26"/>
          <w:szCs w:val="26"/>
        </w:rPr>
        <w:t>there is enough information to establish doubt in regard to PPL</w:t>
      </w:r>
      <w:r w:rsidR="00C23D6B">
        <w:rPr>
          <w:sz w:val="26"/>
          <w:szCs w:val="26"/>
        </w:rPr>
        <w:t>’</w:t>
      </w:r>
      <w:r w:rsidR="00695768">
        <w:rPr>
          <w:sz w:val="26"/>
          <w:szCs w:val="26"/>
        </w:rPr>
        <w:t>s demands.</w:t>
      </w:r>
      <w:r w:rsidR="00C23D6B">
        <w:rPr>
          <w:sz w:val="26"/>
          <w:szCs w:val="26"/>
        </w:rPr>
        <w:t>”</w:t>
      </w:r>
      <w:r w:rsidR="00695768">
        <w:rPr>
          <w:sz w:val="26"/>
          <w:szCs w:val="26"/>
        </w:rPr>
        <w:t xml:space="preserve">  </w:t>
      </w:r>
      <w:r w:rsidR="00695768" w:rsidRPr="00695768">
        <w:rPr>
          <w:i/>
          <w:sz w:val="26"/>
          <w:szCs w:val="26"/>
        </w:rPr>
        <w:t>Id</w:t>
      </w:r>
      <w:r w:rsidR="00695768">
        <w:rPr>
          <w:sz w:val="26"/>
          <w:szCs w:val="26"/>
        </w:rPr>
        <w:t xml:space="preserve">. at 2.  The Complainant concludes that it is obvious that </w:t>
      </w:r>
      <w:r w:rsidR="009E709E">
        <w:rPr>
          <w:sz w:val="26"/>
          <w:szCs w:val="26"/>
        </w:rPr>
        <w:t>the ALJ</w:t>
      </w:r>
      <w:r w:rsidR="00C23D6B">
        <w:rPr>
          <w:sz w:val="26"/>
          <w:szCs w:val="26"/>
        </w:rPr>
        <w:t>’</w:t>
      </w:r>
      <w:r w:rsidR="009E709E">
        <w:rPr>
          <w:sz w:val="26"/>
          <w:szCs w:val="26"/>
        </w:rPr>
        <w:t>s decision regarding her</w:t>
      </w:r>
      <w:r w:rsidR="006F148A">
        <w:rPr>
          <w:sz w:val="26"/>
          <w:szCs w:val="26"/>
        </w:rPr>
        <w:t xml:space="preserve"> C</w:t>
      </w:r>
      <w:r w:rsidR="00EE52BE">
        <w:rPr>
          <w:sz w:val="26"/>
          <w:szCs w:val="26"/>
        </w:rPr>
        <w:t>omplaint was biased, and therefore</w:t>
      </w:r>
      <w:r w:rsidR="003F4FFC">
        <w:rPr>
          <w:sz w:val="26"/>
          <w:szCs w:val="26"/>
        </w:rPr>
        <w:t>,</w:t>
      </w:r>
      <w:r w:rsidR="00EE52BE">
        <w:rPr>
          <w:sz w:val="26"/>
          <w:szCs w:val="26"/>
        </w:rPr>
        <w:t xml:space="preserve"> </w:t>
      </w:r>
      <w:r w:rsidR="009E709E">
        <w:rPr>
          <w:sz w:val="26"/>
          <w:szCs w:val="26"/>
        </w:rPr>
        <w:t xml:space="preserve">requests that the Commission review her case.  </w:t>
      </w:r>
      <w:r w:rsidR="009E709E" w:rsidRPr="009E709E">
        <w:rPr>
          <w:i/>
          <w:sz w:val="26"/>
          <w:szCs w:val="26"/>
        </w:rPr>
        <w:t>Id</w:t>
      </w:r>
      <w:r w:rsidR="009E709E">
        <w:rPr>
          <w:sz w:val="26"/>
          <w:szCs w:val="26"/>
        </w:rPr>
        <w:t>.</w:t>
      </w:r>
    </w:p>
    <w:p w:rsidR="009E709E" w:rsidRPr="005012B0" w:rsidRDefault="009E709E" w:rsidP="004D1313">
      <w:pPr>
        <w:widowControl/>
        <w:spacing w:line="360" w:lineRule="auto"/>
        <w:rPr>
          <w:sz w:val="26"/>
          <w:szCs w:val="26"/>
        </w:rPr>
      </w:pPr>
    </w:p>
    <w:p w:rsidR="002C44E1" w:rsidRDefault="002F37D3" w:rsidP="004D1313">
      <w:pPr>
        <w:widowControl/>
        <w:spacing w:line="360" w:lineRule="auto"/>
        <w:rPr>
          <w:sz w:val="26"/>
          <w:szCs w:val="26"/>
        </w:rPr>
      </w:pPr>
      <w:r w:rsidRPr="005012B0">
        <w:rPr>
          <w:sz w:val="26"/>
          <w:szCs w:val="26"/>
        </w:rPr>
        <w:lastRenderedPageBreak/>
        <w:tab/>
      </w:r>
      <w:r w:rsidRPr="005012B0">
        <w:rPr>
          <w:sz w:val="26"/>
          <w:szCs w:val="26"/>
        </w:rPr>
        <w:tab/>
        <w:t>In its Replies</w:t>
      </w:r>
      <w:r w:rsidR="008C41F3">
        <w:rPr>
          <w:sz w:val="26"/>
          <w:szCs w:val="26"/>
        </w:rPr>
        <w:t xml:space="preserve"> to the Complainant</w:t>
      </w:r>
      <w:r w:rsidR="00C23D6B">
        <w:rPr>
          <w:sz w:val="26"/>
          <w:szCs w:val="26"/>
        </w:rPr>
        <w:t>’</w:t>
      </w:r>
      <w:r w:rsidR="008C41F3">
        <w:rPr>
          <w:sz w:val="26"/>
          <w:szCs w:val="26"/>
        </w:rPr>
        <w:t>s Exceptions</w:t>
      </w:r>
      <w:r w:rsidR="00AB005D" w:rsidRPr="005012B0">
        <w:rPr>
          <w:sz w:val="26"/>
          <w:szCs w:val="26"/>
        </w:rPr>
        <w:t>, PPL</w:t>
      </w:r>
      <w:r w:rsidR="006B6C95" w:rsidRPr="005012B0">
        <w:rPr>
          <w:sz w:val="26"/>
          <w:szCs w:val="26"/>
        </w:rPr>
        <w:t xml:space="preserve"> </w:t>
      </w:r>
      <w:r w:rsidR="00A65900" w:rsidRPr="005012B0">
        <w:rPr>
          <w:sz w:val="26"/>
          <w:szCs w:val="26"/>
        </w:rPr>
        <w:t xml:space="preserve">asserts that </w:t>
      </w:r>
      <w:r w:rsidR="008C41F3">
        <w:rPr>
          <w:sz w:val="26"/>
          <w:szCs w:val="26"/>
        </w:rPr>
        <w:t>there is no evidence of record that either the hearing notice or the ALJ</w:t>
      </w:r>
      <w:r w:rsidR="00C23D6B">
        <w:rPr>
          <w:sz w:val="26"/>
          <w:szCs w:val="26"/>
        </w:rPr>
        <w:t>’</w:t>
      </w:r>
      <w:r w:rsidR="008C41F3">
        <w:rPr>
          <w:sz w:val="26"/>
          <w:szCs w:val="26"/>
        </w:rPr>
        <w:t>s Prehearing Order was returned to the Commission as undeliverable, or otherwise was not properly provided to the Complainant.</w:t>
      </w:r>
      <w:r w:rsidR="00D537BE">
        <w:rPr>
          <w:sz w:val="26"/>
          <w:szCs w:val="26"/>
        </w:rPr>
        <w:t xml:space="preserve">  In addition, PPL states that it provided notice to the Complainant through telephone calls, and through the provision of proposed exhibits.  PPL avers</w:t>
      </w:r>
      <w:r w:rsidR="0010406E">
        <w:rPr>
          <w:sz w:val="26"/>
          <w:szCs w:val="26"/>
        </w:rPr>
        <w:t xml:space="preserve"> that</w:t>
      </w:r>
      <w:r w:rsidR="00D537BE">
        <w:rPr>
          <w:sz w:val="26"/>
          <w:szCs w:val="26"/>
        </w:rPr>
        <w:t xml:space="preserve"> it mailed exhibits to the Complainant via Federal Express overnight delivery on March 5, 2013, and that the cover letter for the exhibits stated the date and time for the hearing.  PPL also notes that the Complainant participated in the hearing and offered six exhibits into evidence.  Thus, PPL contends that the Complainant was provided with due process.</w:t>
      </w:r>
      <w:r w:rsidR="0091756A">
        <w:rPr>
          <w:sz w:val="26"/>
          <w:szCs w:val="26"/>
        </w:rPr>
        <w:t xml:space="preserve">  R. Exc. at 1-2.</w:t>
      </w:r>
    </w:p>
    <w:p w:rsidR="0091756A" w:rsidRDefault="0091756A" w:rsidP="004D1313">
      <w:pPr>
        <w:widowControl/>
        <w:spacing w:line="360" w:lineRule="auto"/>
        <w:rPr>
          <w:sz w:val="26"/>
          <w:szCs w:val="26"/>
        </w:rPr>
      </w:pPr>
    </w:p>
    <w:p w:rsidR="0091756A" w:rsidRDefault="00581F6C" w:rsidP="004D1313">
      <w:pPr>
        <w:widowControl/>
        <w:spacing w:line="360" w:lineRule="auto"/>
        <w:rPr>
          <w:sz w:val="26"/>
          <w:szCs w:val="26"/>
        </w:rPr>
      </w:pPr>
      <w:r>
        <w:rPr>
          <w:sz w:val="26"/>
          <w:szCs w:val="26"/>
        </w:rPr>
        <w:tab/>
      </w:r>
      <w:r>
        <w:rPr>
          <w:sz w:val="26"/>
          <w:szCs w:val="26"/>
        </w:rPr>
        <w:tab/>
        <w:t>With regard to the Complainant</w:t>
      </w:r>
      <w:r w:rsidR="00C23D6B">
        <w:rPr>
          <w:sz w:val="26"/>
          <w:szCs w:val="26"/>
        </w:rPr>
        <w:t>’</w:t>
      </w:r>
      <w:r>
        <w:rPr>
          <w:sz w:val="26"/>
          <w:szCs w:val="26"/>
        </w:rPr>
        <w:t>s contention that the records provided by PPL in this case were inaccurate or had been altered, PPL asserts that there is no evidence of record to support such a contention.  Moreover, PPL states that the Complainant</w:t>
      </w:r>
      <w:r w:rsidR="00C23D6B">
        <w:rPr>
          <w:sz w:val="26"/>
          <w:szCs w:val="26"/>
        </w:rPr>
        <w:t>’</w:t>
      </w:r>
      <w:r>
        <w:rPr>
          <w:sz w:val="26"/>
          <w:szCs w:val="26"/>
        </w:rPr>
        <w:t xml:space="preserve">s Exceptions do not explain how the records had allegedly been altered.  </w:t>
      </w:r>
      <w:r w:rsidRPr="00581F6C">
        <w:rPr>
          <w:i/>
          <w:sz w:val="26"/>
          <w:szCs w:val="26"/>
        </w:rPr>
        <w:t>Id</w:t>
      </w:r>
      <w:r>
        <w:rPr>
          <w:sz w:val="26"/>
          <w:szCs w:val="26"/>
        </w:rPr>
        <w:t>. at 2.</w:t>
      </w:r>
    </w:p>
    <w:p w:rsidR="00581F6C" w:rsidRDefault="00581F6C" w:rsidP="004D1313">
      <w:pPr>
        <w:widowControl/>
        <w:spacing w:line="360" w:lineRule="auto"/>
        <w:rPr>
          <w:sz w:val="26"/>
          <w:szCs w:val="26"/>
        </w:rPr>
      </w:pPr>
    </w:p>
    <w:p w:rsidR="00581F6C" w:rsidRPr="005012B0" w:rsidRDefault="00161ADD" w:rsidP="004D1313">
      <w:pPr>
        <w:widowControl/>
        <w:spacing w:line="360" w:lineRule="auto"/>
        <w:rPr>
          <w:sz w:val="26"/>
          <w:szCs w:val="26"/>
        </w:rPr>
      </w:pPr>
      <w:r>
        <w:rPr>
          <w:sz w:val="26"/>
          <w:szCs w:val="26"/>
        </w:rPr>
        <w:tab/>
      </w:r>
      <w:r>
        <w:rPr>
          <w:sz w:val="26"/>
          <w:szCs w:val="26"/>
        </w:rPr>
        <w:tab/>
        <w:t>PPL also contests the Complainant</w:t>
      </w:r>
      <w:r w:rsidR="00C23D6B">
        <w:rPr>
          <w:sz w:val="26"/>
          <w:szCs w:val="26"/>
        </w:rPr>
        <w:t>’</w:t>
      </w:r>
      <w:r>
        <w:rPr>
          <w:sz w:val="26"/>
          <w:szCs w:val="26"/>
        </w:rPr>
        <w:t>s assertion that she should not be held responsible for the outstanding balances relating to the accounts that were in the names</w:t>
      </w:r>
      <w:r w:rsidR="00914410">
        <w:rPr>
          <w:sz w:val="26"/>
          <w:szCs w:val="26"/>
        </w:rPr>
        <w:t xml:space="preserve"> of the Complainant</w:t>
      </w:r>
      <w:r w:rsidR="00C23D6B">
        <w:rPr>
          <w:sz w:val="26"/>
          <w:szCs w:val="26"/>
        </w:rPr>
        <w:t>’</w:t>
      </w:r>
      <w:r w:rsidR="00914410">
        <w:rPr>
          <w:sz w:val="26"/>
          <w:szCs w:val="26"/>
        </w:rPr>
        <w:t>s husband and mother-in-law, both of</w:t>
      </w:r>
      <w:r>
        <w:rPr>
          <w:sz w:val="26"/>
          <w:szCs w:val="26"/>
        </w:rPr>
        <w:t xml:space="preserve"> who</w:t>
      </w:r>
      <w:r w:rsidR="00914410">
        <w:rPr>
          <w:sz w:val="26"/>
          <w:szCs w:val="26"/>
        </w:rPr>
        <w:t>m had</w:t>
      </w:r>
      <w:r>
        <w:rPr>
          <w:sz w:val="26"/>
          <w:szCs w:val="26"/>
        </w:rPr>
        <w:t xml:space="preserve"> resided with the Complainant.  PPL notes the Complainant</w:t>
      </w:r>
      <w:r w:rsidR="00C23D6B">
        <w:rPr>
          <w:sz w:val="26"/>
          <w:szCs w:val="26"/>
        </w:rPr>
        <w:t>’</w:t>
      </w:r>
      <w:r>
        <w:rPr>
          <w:sz w:val="26"/>
          <w:szCs w:val="26"/>
        </w:rPr>
        <w:t xml:space="preserve">s testimony that her residence was a single family home, and that, while the residence was informally divided into multiple apartments with separate meters, it was never used as an apartment complex.  </w:t>
      </w:r>
      <w:r w:rsidRPr="00914410">
        <w:rPr>
          <w:i/>
          <w:sz w:val="26"/>
          <w:szCs w:val="26"/>
        </w:rPr>
        <w:t>Id</w:t>
      </w:r>
      <w:r>
        <w:rPr>
          <w:sz w:val="26"/>
          <w:szCs w:val="26"/>
        </w:rPr>
        <w:t>. at 2-3 (citing Tr. at 8-9).</w:t>
      </w:r>
      <w:r w:rsidR="00914410">
        <w:rPr>
          <w:sz w:val="26"/>
          <w:szCs w:val="26"/>
        </w:rPr>
        <w:t xml:space="preserve">  PPL contends that it was not bound by any agreement the Complainant may have had with her mother-in-law regarding the payment of electric bills.  PPL argues that Act 201, otherwise known as the Responsible Utility Customer Protection Act, permits the Company to seek payment from any adult individual residing in the home at the time s</w:t>
      </w:r>
      <w:r w:rsidR="00003C52">
        <w:rPr>
          <w:sz w:val="26"/>
          <w:szCs w:val="26"/>
        </w:rPr>
        <w:t>ervice was provided.  Thus, according to PPL, when the Complainant</w:t>
      </w:r>
      <w:r w:rsidR="00C23D6B">
        <w:rPr>
          <w:sz w:val="26"/>
          <w:szCs w:val="26"/>
        </w:rPr>
        <w:t>’</w:t>
      </w:r>
      <w:r w:rsidR="00003C52">
        <w:rPr>
          <w:sz w:val="26"/>
          <w:szCs w:val="26"/>
        </w:rPr>
        <w:t>s mother-in-law passed away and the Complainant</w:t>
      </w:r>
      <w:r w:rsidR="00C23D6B">
        <w:rPr>
          <w:sz w:val="26"/>
          <w:szCs w:val="26"/>
        </w:rPr>
        <w:t>’</w:t>
      </w:r>
      <w:r w:rsidR="00003C52">
        <w:rPr>
          <w:sz w:val="26"/>
          <w:szCs w:val="26"/>
        </w:rPr>
        <w:t xml:space="preserve">s husband vacated the </w:t>
      </w:r>
      <w:r w:rsidR="00003C52">
        <w:rPr>
          <w:sz w:val="26"/>
          <w:szCs w:val="26"/>
        </w:rPr>
        <w:lastRenderedPageBreak/>
        <w:t>premises, the balances associated with their respective accounts were properly transferred to accounts held in the Complainant</w:t>
      </w:r>
      <w:r w:rsidR="00C23D6B">
        <w:rPr>
          <w:sz w:val="26"/>
          <w:szCs w:val="26"/>
        </w:rPr>
        <w:t>’</w:t>
      </w:r>
      <w:r w:rsidR="00003C52">
        <w:rPr>
          <w:sz w:val="26"/>
          <w:szCs w:val="26"/>
        </w:rPr>
        <w:t>s name.  R. Exc. at 3 (citing 52 Pa. Code § 56.16(b).</w:t>
      </w:r>
    </w:p>
    <w:p w:rsidR="00AB005D" w:rsidRPr="005012B0" w:rsidRDefault="00AB005D" w:rsidP="004D1313">
      <w:pPr>
        <w:widowControl/>
        <w:spacing w:line="360" w:lineRule="auto"/>
        <w:rPr>
          <w:sz w:val="26"/>
          <w:szCs w:val="26"/>
        </w:rPr>
      </w:pPr>
    </w:p>
    <w:p w:rsidR="00B9551C" w:rsidRPr="005012B0" w:rsidRDefault="00B9551C" w:rsidP="00CB45F4">
      <w:pPr>
        <w:keepNext/>
        <w:widowControl/>
        <w:spacing w:line="360" w:lineRule="auto"/>
        <w:rPr>
          <w:b/>
          <w:sz w:val="26"/>
          <w:szCs w:val="26"/>
        </w:rPr>
      </w:pPr>
      <w:r w:rsidRPr="005012B0">
        <w:rPr>
          <w:b/>
          <w:sz w:val="26"/>
          <w:szCs w:val="26"/>
        </w:rPr>
        <w:t>Disposition</w:t>
      </w:r>
    </w:p>
    <w:p w:rsidR="00C2205A" w:rsidRPr="005012B0" w:rsidRDefault="00C2205A" w:rsidP="00CB45F4">
      <w:pPr>
        <w:keepNext/>
        <w:widowControl/>
        <w:spacing w:line="360" w:lineRule="auto"/>
        <w:rPr>
          <w:sz w:val="26"/>
          <w:szCs w:val="26"/>
        </w:rPr>
      </w:pPr>
    </w:p>
    <w:p w:rsidR="0025508E" w:rsidRPr="00C63D98" w:rsidRDefault="007867C0" w:rsidP="007867C0">
      <w:pPr>
        <w:keepNext/>
        <w:widowControl/>
        <w:spacing w:line="360" w:lineRule="auto"/>
        <w:rPr>
          <w:sz w:val="26"/>
          <w:szCs w:val="26"/>
        </w:rPr>
      </w:pPr>
      <w:r>
        <w:rPr>
          <w:sz w:val="26"/>
          <w:szCs w:val="26"/>
        </w:rPr>
        <w:tab/>
      </w:r>
      <w:r>
        <w:rPr>
          <w:sz w:val="26"/>
          <w:szCs w:val="26"/>
        </w:rPr>
        <w:tab/>
      </w:r>
      <w:r w:rsidRPr="007867C0">
        <w:rPr>
          <w:sz w:val="26"/>
          <w:szCs w:val="26"/>
        </w:rPr>
        <w:t>Before addres</w:t>
      </w:r>
      <w:r>
        <w:rPr>
          <w:sz w:val="26"/>
          <w:szCs w:val="26"/>
        </w:rPr>
        <w:t>s</w:t>
      </w:r>
      <w:r w:rsidRPr="007867C0">
        <w:rPr>
          <w:sz w:val="26"/>
          <w:szCs w:val="26"/>
        </w:rPr>
        <w:t>ing</w:t>
      </w:r>
      <w:r w:rsidR="007451D7" w:rsidRPr="007867C0">
        <w:rPr>
          <w:sz w:val="26"/>
          <w:szCs w:val="26"/>
        </w:rPr>
        <w:t xml:space="preserve"> the </w:t>
      </w:r>
      <w:r w:rsidR="001034E9" w:rsidRPr="007867C0">
        <w:rPr>
          <w:sz w:val="26"/>
          <w:szCs w:val="26"/>
        </w:rPr>
        <w:t>Complainant</w:t>
      </w:r>
      <w:r w:rsidR="00C23D6B">
        <w:rPr>
          <w:sz w:val="26"/>
          <w:szCs w:val="26"/>
        </w:rPr>
        <w:t>’</w:t>
      </w:r>
      <w:r w:rsidR="001034E9" w:rsidRPr="007867C0">
        <w:rPr>
          <w:sz w:val="26"/>
          <w:szCs w:val="26"/>
        </w:rPr>
        <w:t>s contenti</w:t>
      </w:r>
      <w:r w:rsidR="00AC0B3A" w:rsidRPr="007867C0">
        <w:rPr>
          <w:sz w:val="26"/>
          <w:szCs w:val="26"/>
        </w:rPr>
        <w:t>on that PPL improperly billed her for service</w:t>
      </w:r>
      <w:r w:rsidR="007B7463" w:rsidRPr="007867C0">
        <w:rPr>
          <w:sz w:val="26"/>
          <w:szCs w:val="26"/>
        </w:rPr>
        <w:t xml:space="preserve"> for which she was</w:t>
      </w:r>
      <w:r w:rsidR="001034E9" w:rsidRPr="007867C0">
        <w:rPr>
          <w:sz w:val="26"/>
          <w:szCs w:val="26"/>
        </w:rPr>
        <w:t xml:space="preserve"> not responsible</w:t>
      </w:r>
      <w:r w:rsidRPr="007867C0">
        <w:rPr>
          <w:sz w:val="26"/>
          <w:szCs w:val="26"/>
        </w:rPr>
        <w:t>, we will first describe</w:t>
      </w:r>
      <w:r w:rsidR="00597C7C" w:rsidRPr="007867C0">
        <w:rPr>
          <w:sz w:val="26"/>
          <w:szCs w:val="26"/>
        </w:rPr>
        <w:t xml:space="preserve"> the </w:t>
      </w:r>
      <w:r w:rsidR="00597C7C" w:rsidRPr="001D5AA0">
        <w:rPr>
          <w:sz w:val="26"/>
          <w:szCs w:val="26"/>
        </w:rPr>
        <w:t>arrangement under which the Complainant receives electric service</w:t>
      </w:r>
      <w:r w:rsidR="00BE1765" w:rsidRPr="001D5AA0">
        <w:rPr>
          <w:sz w:val="26"/>
          <w:szCs w:val="26"/>
        </w:rPr>
        <w:t xml:space="preserve"> at the </w:t>
      </w:r>
      <w:r w:rsidR="0037262C" w:rsidRPr="001D5AA0">
        <w:rPr>
          <w:sz w:val="26"/>
          <w:szCs w:val="26"/>
        </w:rPr>
        <w:t>S</w:t>
      </w:r>
      <w:r w:rsidR="00BE1765" w:rsidRPr="001D5AA0">
        <w:rPr>
          <w:sz w:val="26"/>
          <w:szCs w:val="26"/>
        </w:rPr>
        <w:t xml:space="preserve">ervice </w:t>
      </w:r>
      <w:r w:rsidR="0037262C" w:rsidRPr="001D5AA0">
        <w:rPr>
          <w:sz w:val="26"/>
          <w:szCs w:val="26"/>
        </w:rPr>
        <w:t>A</w:t>
      </w:r>
      <w:r w:rsidR="00BE1765" w:rsidRPr="001D5AA0">
        <w:rPr>
          <w:sz w:val="26"/>
          <w:szCs w:val="26"/>
        </w:rPr>
        <w:t>ddress</w:t>
      </w:r>
      <w:r w:rsidR="00597C7C" w:rsidRPr="001D5AA0">
        <w:rPr>
          <w:sz w:val="26"/>
          <w:szCs w:val="26"/>
        </w:rPr>
        <w:t xml:space="preserve">.  </w:t>
      </w:r>
      <w:r w:rsidR="001034E9" w:rsidRPr="001D5AA0">
        <w:rPr>
          <w:sz w:val="26"/>
          <w:szCs w:val="26"/>
        </w:rPr>
        <w:t xml:space="preserve">The Complainant </w:t>
      </w:r>
      <w:r w:rsidR="00C63EBF" w:rsidRPr="001D5AA0">
        <w:rPr>
          <w:sz w:val="26"/>
          <w:szCs w:val="26"/>
        </w:rPr>
        <w:t>testified that she lived in a single-family reside</w:t>
      </w:r>
      <w:r w:rsidR="007B7463" w:rsidRPr="001D5AA0">
        <w:rPr>
          <w:sz w:val="26"/>
          <w:szCs w:val="26"/>
        </w:rPr>
        <w:t>nce that was physically divided into separate sections, with each section</w:t>
      </w:r>
      <w:r w:rsidR="001D5AA0" w:rsidRPr="001D5AA0">
        <w:rPr>
          <w:sz w:val="26"/>
          <w:szCs w:val="26"/>
        </w:rPr>
        <w:t xml:space="preserve"> having a separate entrance and</w:t>
      </w:r>
      <w:r w:rsidR="00465965" w:rsidRPr="001D5AA0">
        <w:rPr>
          <w:sz w:val="26"/>
          <w:szCs w:val="26"/>
        </w:rPr>
        <w:t xml:space="preserve"> served by its own indivi</w:t>
      </w:r>
      <w:r w:rsidR="003417C7" w:rsidRPr="001D5AA0">
        <w:rPr>
          <w:sz w:val="26"/>
          <w:szCs w:val="26"/>
        </w:rPr>
        <w:t xml:space="preserve">dual electric meter.  </w:t>
      </w:r>
      <w:r w:rsidR="003417C7" w:rsidRPr="00290F08">
        <w:rPr>
          <w:sz w:val="26"/>
          <w:szCs w:val="26"/>
        </w:rPr>
        <w:t>T</w:t>
      </w:r>
      <w:r w:rsidR="00465965" w:rsidRPr="00290F08">
        <w:rPr>
          <w:sz w:val="26"/>
          <w:szCs w:val="26"/>
        </w:rPr>
        <w:t>he Complainant</w:t>
      </w:r>
      <w:r w:rsidR="003417C7" w:rsidRPr="00290F08">
        <w:rPr>
          <w:sz w:val="26"/>
          <w:szCs w:val="26"/>
        </w:rPr>
        <w:t xml:space="preserve"> stated her belief that the previous owner of the house may have had tenants living at the premises, but </w:t>
      </w:r>
      <w:r w:rsidR="00465965" w:rsidRPr="00290F08">
        <w:rPr>
          <w:sz w:val="26"/>
          <w:szCs w:val="26"/>
        </w:rPr>
        <w:t>emphasized that she</w:t>
      </w:r>
      <w:r w:rsidR="003417C7" w:rsidRPr="00290F08">
        <w:rPr>
          <w:sz w:val="26"/>
          <w:szCs w:val="26"/>
        </w:rPr>
        <w:t>, herself,</w:t>
      </w:r>
      <w:r w:rsidR="00465965" w:rsidRPr="00290F08">
        <w:rPr>
          <w:sz w:val="26"/>
          <w:szCs w:val="26"/>
        </w:rPr>
        <w:t xml:space="preserve"> did not use the house as a rental property.  Tr. at 9, 17-18, 27-28.</w:t>
      </w:r>
      <w:r w:rsidR="00404C6E" w:rsidRPr="00290F08">
        <w:rPr>
          <w:sz w:val="26"/>
          <w:szCs w:val="26"/>
        </w:rPr>
        <w:t xml:space="preserve">  </w:t>
      </w:r>
      <w:r w:rsidR="00D24614" w:rsidRPr="00290F08">
        <w:rPr>
          <w:sz w:val="26"/>
          <w:szCs w:val="26"/>
        </w:rPr>
        <w:t>T</w:t>
      </w:r>
      <w:r w:rsidR="00ED6D18" w:rsidRPr="00290F08">
        <w:rPr>
          <w:sz w:val="26"/>
          <w:szCs w:val="26"/>
        </w:rPr>
        <w:t>he record indicates that t</w:t>
      </w:r>
      <w:r w:rsidR="00D24614" w:rsidRPr="00290F08">
        <w:rPr>
          <w:sz w:val="26"/>
          <w:szCs w:val="26"/>
        </w:rPr>
        <w:t>hree of the meters serving the residence were associated with areas of the hou</w:t>
      </w:r>
      <w:r w:rsidR="006F148A" w:rsidRPr="00290F08">
        <w:rPr>
          <w:sz w:val="26"/>
          <w:szCs w:val="26"/>
        </w:rPr>
        <w:t>se referred to as Apartments 1</w:t>
      </w:r>
      <w:r w:rsidR="00D24614" w:rsidRPr="00290F08">
        <w:rPr>
          <w:sz w:val="26"/>
          <w:szCs w:val="26"/>
        </w:rPr>
        <w:t xml:space="preserve">, </w:t>
      </w:r>
      <w:r w:rsidR="006F148A" w:rsidRPr="00290F08">
        <w:rPr>
          <w:sz w:val="26"/>
          <w:szCs w:val="26"/>
        </w:rPr>
        <w:t>2, and 3</w:t>
      </w:r>
      <w:r w:rsidR="00ED6D18" w:rsidRPr="00290F08">
        <w:rPr>
          <w:sz w:val="26"/>
          <w:szCs w:val="26"/>
        </w:rPr>
        <w:t xml:space="preserve">, respectively, while a </w:t>
      </w:r>
      <w:r w:rsidR="00ED6D18" w:rsidRPr="00C63D98">
        <w:rPr>
          <w:sz w:val="26"/>
          <w:szCs w:val="26"/>
        </w:rPr>
        <w:t>fourth meter</w:t>
      </w:r>
      <w:r w:rsidR="00D24614" w:rsidRPr="00C63D98">
        <w:rPr>
          <w:sz w:val="26"/>
          <w:szCs w:val="26"/>
        </w:rPr>
        <w:t xml:space="preserve"> had no apartm</w:t>
      </w:r>
      <w:r w:rsidR="00F9231F" w:rsidRPr="00C63D98">
        <w:rPr>
          <w:sz w:val="26"/>
          <w:szCs w:val="26"/>
        </w:rPr>
        <w:t xml:space="preserve">ent number associated with it.  </w:t>
      </w:r>
      <w:r w:rsidR="00DB3DFB" w:rsidRPr="00C63D98">
        <w:rPr>
          <w:sz w:val="26"/>
          <w:szCs w:val="26"/>
        </w:rPr>
        <w:t>The Complainant was billed for e</w:t>
      </w:r>
      <w:r w:rsidR="00F9231F" w:rsidRPr="00C63D98">
        <w:rPr>
          <w:sz w:val="26"/>
          <w:szCs w:val="26"/>
        </w:rPr>
        <w:t>lectric</w:t>
      </w:r>
      <w:r w:rsidR="008D2408" w:rsidRPr="00C63D98">
        <w:rPr>
          <w:sz w:val="26"/>
          <w:szCs w:val="26"/>
        </w:rPr>
        <w:t xml:space="preserve"> service </w:t>
      </w:r>
      <w:r w:rsidR="003F41A9" w:rsidRPr="00C63D98">
        <w:rPr>
          <w:sz w:val="26"/>
          <w:szCs w:val="26"/>
        </w:rPr>
        <w:t>associated with each</w:t>
      </w:r>
      <w:r w:rsidR="00ED6D18" w:rsidRPr="00C63D98">
        <w:rPr>
          <w:sz w:val="26"/>
          <w:szCs w:val="26"/>
        </w:rPr>
        <w:t xml:space="preserve"> meter </w:t>
      </w:r>
      <w:r w:rsidR="00DB3DFB" w:rsidRPr="00C63D98">
        <w:rPr>
          <w:sz w:val="26"/>
          <w:szCs w:val="26"/>
        </w:rPr>
        <w:t>pursuant to a number of different accounts that were established in her name</w:t>
      </w:r>
      <w:r w:rsidR="003F41A9" w:rsidRPr="00C63D98">
        <w:rPr>
          <w:sz w:val="26"/>
          <w:szCs w:val="26"/>
        </w:rPr>
        <w:t xml:space="preserve"> </w:t>
      </w:r>
      <w:r w:rsidR="00537947" w:rsidRPr="00C63D98">
        <w:rPr>
          <w:sz w:val="26"/>
          <w:szCs w:val="26"/>
        </w:rPr>
        <w:t xml:space="preserve">at various times </w:t>
      </w:r>
      <w:r w:rsidR="00395719" w:rsidRPr="00C63D98">
        <w:rPr>
          <w:sz w:val="26"/>
          <w:szCs w:val="26"/>
        </w:rPr>
        <w:t xml:space="preserve">throughout the </w:t>
      </w:r>
      <w:r w:rsidR="005A4DE1" w:rsidRPr="00C63D98">
        <w:rPr>
          <w:sz w:val="26"/>
          <w:szCs w:val="26"/>
        </w:rPr>
        <w:t>period in which the Complainan</w:t>
      </w:r>
      <w:r w:rsidR="004A3AD5" w:rsidRPr="00C63D98">
        <w:rPr>
          <w:sz w:val="26"/>
          <w:szCs w:val="26"/>
        </w:rPr>
        <w:t xml:space="preserve">t resided at the </w:t>
      </w:r>
      <w:r w:rsidR="00C75E14" w:rsidRPr="00C63D98">
        <w:rPr>
          <w:sz w:val="26"/>
          <w:szCs w:val="26"/>
        </w:rPr>
        <w:t>Service Address</w:t>
      </w:r>
      <w:r w:rsidR="005A4DE1" w:rsidRPr="00C63D98">
        <w:rPr>
          <w:sz w:val="26"/>
          <w:szCs w:val="26"/>
        </w:rPr>
        <w:t>.</w:t>
      </w:r>
      <w:r w:rsidR="00395719" w:rsidRPr="00C63D98">
        <w:rPr>
          <w:sz w:val="26"/>
          <w:szCs w:val="26"/>
        </w:rPr>
        <w:t xml:space="preserve">  </w:t>
      </w:r>
      <w:r w:rsidR="0025508E" w:rsidRPr="00C63D98">
        <w:rPr>
          <w:sz w:val="26"/>
          <w:szCs w:val="26"/>
        </w:rPr>
        <w:t xml:space="preserve">Tr. at 31-47; </w:t>
      </w:r>
      <w:r w:rsidR="00AD7223" w:rsidRPr="00C63D98">
        <w:rPr>
          <w:sz w:val="26"/>
          <w:szCs w:val="26"/>
        </w:rPr>
        <w:t xml:space="preserve">PPL </w:t>
      </w:r>
      <w:proofErr w:type="spellStart"/>
      <w:r w:rsidR="00AD7223" w:rsidRPr="00C63D98">
        <w:rPr>
          <w:sz w:val="26"/>
          <w:szCs w:val="26"/>
        </w:rPr>
        <w:t>Exhs</w:t>
      </w:r>
      <w:proofErr w:type="spellEnd"/>
      <w:r w:rsidR="00AD7223" w:rsidRPr="00C63D98">
        <w:rPr>
          <w:sz w:val="26"/>
          <w:szCs w:val="26"/>
        </w:rPr>
        <w:t>. 1</w:t>
      </w:r>
      <w:r w:rsidR="008726BA" w:rsidRPr="00C63D98">
        <w:rPr>
          <w:sz w:val="26"/>
          <w:szCs w:val="26"/>
        </w:rPr>
        <w:t xml:space="preserve">A, 2I, 1E, 2F, 1F, 2C, 1G, 2E, </w:t>
      </w:r>
      <w:r w:rsidR="00AD7223" w:rsidRPr="00C63D98">
        <w:rPr>
          <w:sz w:val="26"/>
          <w:szCs w:val="26"/>
        </w:rPr>
        <w:t>1I, 2D, 1J, 2B, 1K, 2A.</w:t>
      </w:r>
      <w:r w:rsidR="00CC1AEB" w:rsidRPr="00C63D98">
        <w:rPr>
          <w:rStyle w:val="FootnoteReference"/>
          <w:sz w:val="26"/>
          <w:szCs w:val="26"/>
        </w:rPr>
        <w:footnoteReference w:id="5"/>
      </w:r>
    </w:p>
    <w:p w:rsidR="0025508E" w:rsidRPr="00C63D98" w:rsidRDefault="0025508E" w:rsidP="005B5D33">
      <w:pPr>
        <w:widowControl/>
        <w:spacing w:line="360" w:lineRule="auto"/>
        <w:rPr>
          <w:sz w:val="26"/>
          <w:szCs w:val="26"/>
        </w:rPr>
      </w:pPr>
    </w:p>
    <w:p w:rsidR="00385FAC" w:rsidRPr="00385FAC" w:rsidRDefault="00A45DBE" w:rsidP="00C55C7D">
      <w:pPr>
        <w:widowControl/>
        <w:spacing w:line="360" w:lineRule="auto"/>
        <w:rPr>
          <w:sz w:val="26"/>
          <w:szCs w:val="26"/>
        </w:rPr>
      </w:pPr>
      <w:r w:rsidRPr="00395DF7">
        <w:rPr>
          <w:sz w:val="26"/>
          <w:szCs w:val="26"/>
        </w:rPr>
        <w:tab/>
      </w:r>
      <w:r w:rsidRPr="00395DF7">
        <w:rPr>
          <w:sz w:val="26"/>
          <w:szCs w:val="26"/>
        </w:rPr>
        <w:tab/>
      </w:r>
      <w:r w:rsidR="00A95CA5" w:rsidRPr="00395DF7">
        <w:rPr>
          <w:sz w:val="26"/>
          <w:szCs w:val="26"/>
        </w:rPr>
        <w:t>During the period from approximately May 2009 until August 2010, the Complainant</w:t>
      </w:r>
      <w:r w:rsidR="00C23D6B">
        <w:rPr>
          <w:sz w:val="26"/>
          <w:szCs w:val="26"/>
        </w:rPr>
        <w:t>’</w:t>
      </w:r>
      <w:r w:rsidR="00A95CA5" w:rsidRPr="00395DF7">
        <w:rPr>
          <w:sz w:val="26"/>
          <w:szCs w:val="26"/>
        </w:rPr>
        <w:t>s mother-in-law, Doris Logan, resided in the area of the ho</w:t>
      </w:r>
      <w:r w:rsidR="006F148A" w:rsidRPr="00395DF7">
        <w:rPr>
          <w:sz w:val="26"/>
          <w:szCs w:val="26"/>
        </w:rPr>
        <w:t>use referred to as Apartment 1</w:t>
      </w:r>
      <w:r w:rsidR="00A95CA5" w:rsidRPr="00395DF7">
        <w:rPr>
          <w:sz w:val="26"/>
          <w:szCs w:val="26"/>
        </w:rPr>
        <w:t>, and the account for e</w:t>
      </w:r>
      <w:r w:rsidR="00D4394A" w:rsidRPr="00395DF7">
        <w:rPr>
          <w:sz w:val="26"/>
          <w:szCs w:val="26"/>
        </w:rPr>
        <w:t>lectric service</w:t>
      </w:r>
      <w:r w:rsidR="006F148A" w:rsidRPr="00395DF7">
        <w:rPr>
          <w:sz w:val="26"/>
          <w:szCs w:val="26"/>
        </w:rPr>
        <w:t xml:space="preserve"> to Apartment 1</w:t>
      </w:r>
      <w:r w:rsidR="00D4394A" w:rsidRPr="00395DF7">
        <w:rPr>
          <w:sz w:val="26"/>
          <w:szCs w:val="26"/>
        </w:rPr>
        <w:t xml:space="preserve"> was held in </w:t>
      </w:r>
      <w:r w:rsidR="00A95CA5" w:rsidRPr="00395DF7">
        <w:rPr>
          <w:sz w:val="26"/>
          <w:szCs w:val="26"/>
        </w:rPr>
        <w:t>Ms. Logan</w:t>
      </w:r>
      <w:r w:rsidR="00C23D6B">
        <w:rPr>
          <w:sz w:val="26"/>
          <w:szCs w:val="26"/>
        </w:rPr>
        <w:t>’</w:t>
      </w:r>
      <w:r w:rsidR="00A95CA5" w:rsidRPr="00395DF7">
        <w:rPr>
          <w:sz w:val="26"/>
          <w:szCs w:val="26"/>
        </w:rPr>
        <w:t xml:space="preserve">s </w:t>
      </w:r>
      <w:r w:rsidR="00A95CA5" w:rsidRPr="00395DF7">
        <w:rPr>
          <w:sz w:val="26"/>
          <w:szCs w:val="26"/>
        </w:rPr>
        <w:lastRenderedPageBreak/>
        <w:t>name during that time.</w:t>
      </w:r>
      <w:r w:rsidR="00657DB9" w:rsidRPr="00395DF7">
        <w:rPr>
          <w:sz w:val="26"/>
          <w:szCs w:val="26"/>
        </w:rPr>
        <w:t xml:space="preserve">  Tr. at 12, </w:t>
      </w:r>
      <w:r w:rsidR="00735064" w:rsidRPr="00395DF7">
        <w:rPr>
          <w:sz w:val="26"/>
          <w:szCs w:val="26"/>
        </w:rPr>
        <w:t>18-</w:t>
      </w:r>
      <w:r w:rsidR="009A1596" w:rsidRPr="00395DF7">
        <w:rPr>
          <w:sz w:val="26"/>
          <w:szCs w:val="26"/>
        </w:rPr>
        <w:t xml:space="preserve">19, 26-28; </w:t>
      </w:r>
      <w:r w:rsidR="00BE29FA" w:rsidRPr="00395DF7">
        <w:rPr>
          <w:sz w:val="26"/>
          <w:szCs w:val="26"/>
        </w:rPr>
        <w:t xml:space="preserve">Complainant </w:t>
      </w:r>
      <w:proofErr w:type="spellStart"/>
      <w:r w:rsidR="00BE29FA" w:rsidRPr="00395DF7">
        <w:rPr>
          <w:sz w:val="26"/>
          <w:szCs w:val="26"/>
        </w:rPr>
        <w:t>Exhs</w:t>
      </w:r>
      <w:proofErr w:type="spellEnd"/>
      <w:r w:rsidR="00BE29FA" w:rsidRPr="00395DF7">
        <w:rPr>
          <w:sz w:val="26"/>
          <w:szCs w:val="26"/>
        </w:rPr>
        <w:t xml:space="preserve">. 3, 4, 5; </w:t>
      </w:r>
      <w:r w:rsidR="00735064" w:rsidRPr="00395DF7">
        <w:rPr>
          <w:sz w:val="26"/>
          <w:szCs w:val="26"/>
        </w:rPr>
        <w:t xml:space="preserve">PPL </w:t>
      </w:r>
      <w:proofErr w:type="spellStart"/>
      <w:r w:rsidR="00735064" w:rsidRPr="00395DF7">
        <w:rPr>
          <w:sz w:val="26"/>
          <w:szCs w:val="26"/>
        </w:rPr>
        <w:t>Exh</w:t>
      </w:r>
      <w:proofErr w:type="spellEnd"/>
      <w:r w:rsidR="00735064" w:rsidRPr="00395DF7">
        <w:rPr>
          <w:sz w:val="26"/>
          <w:szCs w:val="26"/>
        </w:rPr>
        <w:t>. 2E at 2</w:t>
      </w:r>
      <w:r w:rsidR="008D2408" w:rsidRPr="00395DF7">
        <w:rPr>
          <w:sz w:val="26"/>
          <w:szCs w:val="26"/>
        </w:rPr>
        <w:t>.</w:t>
      </w:r>
      <w:r w:rsidR="00A6047B" w:rsidRPr="00395DF7">
        <w:rPr>
          <w:sz w:val="26"/>
          <w:szCs w:val="26"/>
        </w:rPr>
        <w:t xml:space="preserve">  In addition, the record </w:t>
      </w:r>
      <w:r w:rsidR="008D2408" w:rsidRPr="00395DF7">
        <w:rPr>
          <w:sz w:val="26"/>
          <w:szCs w:val="26"/>
        </w:rPr>
        <w:t xml:space="preserve">indicates that </w:t>
      </w:r>
      <w:r w:rsidR="008631D5" w:rsidRPr="00395DF7">
        <w:rPr>
          <w:sz w:val="26"/>
          <w:szCs w:val="26"/>
        </w:rPr>
        <w:t>the Complainant</w:t>
      </w:r>
      <w:r w:rsidR="00C23D6B">
        <w:rPr>
          <w:sz w:val="26"/>
          <w:szCs w:val="26"/>
        </w:rPr>
        <w:t>’</w:t>
      </w:r>
      <w:r w:rsidR="008631D5" w:rsidRPr="00395DF7">
        <w:rPr>
          <w:sz w:val="26"/>
          <w:szCs w:val="26"/>
        </w:rPr>
        <w:t xml:space="preserve">s husband, Troy </w:t>
      </w:r>
      <w:proofErr w:type="spellStart"/>
      <w:r w:rsidR="008631D5" w:rsidRPr="00395DF7">
        <w:rPr>
          <w:sz w:val="26"/>
          <w:szCs w:val="26"/>
        </w:rPr>
        <w:t>Donellie</w:t>
      </w:r>
      <w:proofErr w:type="spellEnd"/>
      <w:r w:rsidR="008631D5" w:rsidRPr="00395DF7">
        <w:rPr>
          <w:sz w:val="26"/>
          <w:szCs w:val="26"/>
        </w:rPr>
        <w:t xml:space="preserve"> Albert, resided in </w:t>
      </w:r>
      <w:r w:rsidR="006F148A" w:rsidRPr="00395DF7">
        <w:rPr>
          <w:sz w:val="26"/>
          <w:szCs w:val="26"/>
        </w:rPr>
        <w:t>Apartment 1</w:t>
      </w:r>
      <w:r w:rsidR="008D2408" w:rsidRPr="00395DF7">
        <w:rPr>
          <w:sz w:val="26"/>
          <w:szCs w:val="26"/>
        </w:rPr>
        <w:t xml:space="preserve"> </w:t>
      </w:r>
      <w:r w:rsidR="008631D5" w:rsidRPr="00395DF7">
        <w:rPr>
          <w:sz w:val="26"/>
          <w:szCs w:val="26"/>
        </w:rPr>
        <w:t xml:space="preserve">for a time period of approximately one year, ending September 2012, and received electric service </w:t>
      </w:r>
      <w:r w:rsidR="008D2408" w:rsidRPr="00395DF7">
        <w:rPr>
          <w:sz w:val="26"/>
          <w:szCs w:val="26"/>
        </w:rPr>
        <w:t>pursuan</w:t>
      </w:r>
      <w:r w:rsidR="008631D5" w:rsidRPr="00395DF7">
        <w:rPr>
          <w:sz w:val="26"/>
          <w:szCs w:val="26"/>
        </w:rPr>
        <w:t>t to an account held in his name</w:t>
      </w:r>
      <w:r w:rsidR="00944695" w:rsidRPr="00395DF7">
        <w:rPr>
          <w:sz w:val="26"/>
          <w:szCs w:val="26"/>
        </w:rPr>
        <w:t>.</w:t>
      </w:r>
      <w:r w:rsidR="00DB12D7" w:rsidRPr="00395DF7">
        <w:rPr>
          <w:sz w:val="26"/>
          <w:szCs w:val="26"/>
        </w:rPr>
        <w:t xml:space="preserve">  Tr. at 14, 44; Complainant </w:t>
      </w:r>
      <w:proofErr w:type="spellStart"/>
      <w:r w:rsidR="00DB12D7" w:rsidRPr="00395DF7">
        <w:rPr>
          <w:sz w:val="26"/>
          <w:szCs w:val="26"/>
        </w:rPr>
        <w:t>Exh</w:t>
      </w:r>
      <w:proofErr w:type="spellEnd"/>
      <w:r w:rsidR="00DB12D7" w:rsidRPr="00395DF7">
        <w:rPr>
          <w:sz w:val="26"/>
          <w:szCs w:val="26"/>
        </w:rPr>
        <w:t>. 2.</w:t>
      </w:r>
      <w:r w:rsidR="004818B4" w:rsidRPr="00395DF7">
        <w:rPr>
          <w:sz w:val="26"/>
          <w:szCs w:val="26"/>
        </w:rPr>
        <w:t xml:space="preserve">  </w:t>
      </w:r>
      <w:r w:rsidR="00ED026B" w:rsidRPr="00395DF7">
        <w:rPr>
          <w:sz w:val="26"/>
          <w:szCs w:val="26"/>
        </w:rPr>
        <w:t xml:space="preserve">The Complainant </w:t>
      </w:r>
      <w:r w:rsidR="006A6E3A" w:rsidRPr="00395DF7">
        <w:rPr>
          <w:sz w:val="26"/>
          <w:szCs w:val="26"/>
        </w:rPr>
        <w:t>objects to the fact that PPL</w:t>
      </w:r>
      <w:r w:rsidR="008631D5" w:rsidRPr="00395DF7">
        <w:rPr>
          <w:sz w:val="26"/>
          <w:szCs w:val="26"/>
        </w:rPr>
        <w:t xml:space="preserve"> transferred the balance of Ms. Logan</w:t>
      </w:r>
      <w:r w:rsidR="00C23D6B">
        <w:rPr>
          <w:sz w:val="26"/>
          <w:szCs w:val="26"/>
        </w:rPr>
        <w:t>’</w:t>
      </w:r>
      <w:r w:rsidR="008631D5" w:rsidRPr="00395DF7">
        <w:rPr>
          <w:sz w:val="26"/>
          <w:szCs w:val="26"/>
        </w:rPr>
        <w:t>s account to the Complainant after Ms. Logan passed away, rather than charging the balance to Ms. Logan</w:t>
      </w:r>
      <w:r w:rsidR="00C23D6B">
        <w:rPr>
          <w:sz w:val="26"/>
          <w:szCs w:val="26"/>
        </w:rPr>
        <w:t>’</w:t>
      </w:r>
      <w:r w:rsidR="008631D5" w:rsidRPr="00395DF7">
        <w:rPr>
          <w:sz w:val="26"/>
          <w:szCs w:val="26"/>
        </w:rPr>
        <w:t xml:space="preserve">s estate.  Tr. at 12.  Similarly, the Complainant </w:t>
      </w:r>
      <w:r w:rsidR="006A6E3A" w:rsidRPr="00395DF7">
        <w:rPr>
          <w:sz w:val="26"/>
          <w:szCs w:val="26"/>
        </w:rPr>
        <w:t>objects to the fact that</w:t>
      </w:r>
      <w:r w:rsidR="008631D5" w:rsidRPr="00395DF7">
        <w:rPr>
          <w:sz w:val="26"/>
          <w:szCs w:val="26"/>
        </w:rPr>
        <w:t xml:space="preserve"> PPL transferred the balance of Mr. Albert</w:t>
      </w:r>
      <w:r w:rsidR="00C23D6B">
        <w:rPr>
          <w:sz w:val="26"/>
          <w:szCs w:val="26"/>
        </w:rPr>
        <w:t>’</w:t>
      </w:r>
      <w:r w:rsidR="008631D5" w:rsidRPr="00395DF7">
        <w:rPr>
          <w:sz w:val="26"/>
          <w:szCs w:val="26"/>
        </w:rPr>
        <w:t xml:space="preserve">s account to the Complainant after </w:t>
      </w:r>
      <w:r w:rsidR="000B5095" w:rsidRPr="00385FAC">
        <w:rPr>
          <w:sz w:val="26"/>
          <w:szCs w:val="26"/>
        </w:rPr>
        <w:t>Mr. Albert</w:t>
      </w:r>
      <w:r w:rsidR="008631D5" w:rsidRPr="00385FAC">
        <w:rPr>
          <w:sz w:val="26"/>
          <w:szCs w:val="26"/>
        </w:rPr>
        <w:t xml:space="preserve"> moved from the </w:t>
      </w:r>
      <w:r w:rsidR="00C75E14" w:rsidRPr="00385FAC">
        <w:rPr>
          <w:sz w:val="26"/>
          <w:szCs w:val="26"/>
        </w:rPr>
        <w:t>Service Address</w:t>
      </w:r>
      <w:r w:rsidR="004818B4" w:rsidRPr="00385FAC">
        <w:rPr>
          <w:sz w:val="26"/>
          <w:szCs w:val="26"/>
        </w:rPr>
        <w:t>, rather than issuing</w:t>
      </w:r>
      <w:r w:rsidR="000B5095" w:rsidRPr="00385FAC">
        <w:rPr>
          <w:sz w:val="26"/>
          <w:szCs w:val="26"/>
        </w:rPr>
        <w:t xml:space="preserve"> a fina</w:t>
      </w:r>
      <w:r w:rsidR="00B67966" w:rsidRPr="00385FAC">
        <w:rPr>
          <w:sz w:val="26"/>
          <w:szCs w:val="26"/>
        </w:rPr>
        <w:t>l bill in his name</w:t>
      </w:r>
      <w:r w:rsidR="008631D5" w:rsidRPr="00385FAC">
        <w:rPr>
          <w:sz w:val="26"/>
          <w:szCs w:val="26"/>
        </w:rPr>
        <w:t xml:space="preserve">.  </w:t>
      </w:r>
      <w:r w:rsidR="008631D5" w:rsidRPr="00385FAC">
        <w:rPr>
          <w:i/>
          <w:sz w:val="26"/>
          <w:szCs w:val="26"/>
        </w:rPr>
        <w:t>Id</w:t>
      </w:r>
      <w:r w:rsidR="00385FAC" w:rsidRPr="00385FAC">
        <w:rPr>
          <w:sz w:val="26"/>
          <w:szCs w:val="26"/>
        </w:rPr>
        <w:t>. at 14.</w:t>
      </w:r>
    </w:p>
    <w:p w:rsidR="00385FAC" w:rsidRPr="00385FAC" w:rsidRDefault="00385FAC" w:rsidP="00C55C7D">
      <w:pPr>
        <w:widowControl/>
        <w:spacing w:line="360" w:lineRule="auto"/>
        <w:rPr>
          <w:sz w:val="26"/>
          <w:szCs w:val="26"/>
        </w:rPr>
      </w:pPr>
    </w:p>
    <w:p w:rsidR="00385FAC" w:rsidRDefault="00385FAC" w:rsidP="00C55C7D">
      <w:pPr>
        <w:widowControl/>
        <w:spacing w:line="360" w:lineRule="auto"/>
        <w:rPr>
          <w:sz w:val="26"/>
          <w:szCs w:val="26"/>
        </w:rPr>
      </w:pPr>
      <w:r w:rsidRPr="00385FAC">
        <w:rPr>
          <w:sz w:val="26"/>
          <w:szCs w:val="26"/>
        </w:rPr>
        <w:tab/>
      </w:r>
      <w:r w:rsidRPr="00385FAC">
        <w:rPr>
          <w:sz w:val="26"/>
          <w:szCs w:val="26"/>
        </w:rPr>
        <w:tab/>
        <w:t>As the ALJ pointed out</w:t>
      </w:r>
      <w:r w:rsidR="003E6C92" w:rsidRPr="00385FAC">
        <w:rPr>
          <w:sz w:val="26"/>
          <w:szCs w:val="26"/>
        </w:rPr>
        <w:t>, Commission Regulations</w:t>
      </w:r>
      <w:r>
        <w:rPr>
          <w:sz w:val="26"/>
          <w:szCs w:val="26"/>
        </w:rPr>
        <w:t xml:space="preserve"> provide for the transfer of an unpaid balance to another </w:t>
      </w:r>
      <w:r w:rsidR="00C23D6B">
        <w:rPr>
          <w:sz w:val="26"/>
          <w:szCs w:val="26"/>
        </w:rPr>
        <w:t>“</w:t>
      </w:r>
      <w:r>
        <w:rPr>
          <w:sz w:val="26"/>
          <w:szCs w:val="26"/>
        </w:rPr>
        <w:t>customer</w:t>
      </w:r>
      <w:r w:rsidR="00C23D6B">
        <w:rPr>
          <w:sz w:val="26"/>
          <w:szCs w:val="26"/>
        </w:rPr>
        <w:t>”</w:t>
      </w:r>
      <w:r>
        <w:rPr>
          <w:sz w:val="26"/>
          <w:szCs w:val="26"/>
        </w:rPr>
        <w:t xml:space="preserve"> as follows:</w:t>
      </w:r>
    </w:p>
    <w:p w:rsidR="00385FAC" w:rsidRDefault="00385FAC" w:rsidP="00C55C7D">
      <w:pPr>
        <w:widowControl/>
        <w:spacing w:line="360" w:lineRule="auto"/>
        <w:rPr>
          <w:sz w:val="26"/>
          <w:szCs w:val="26"/>
        </w:rPr>
      </w:pPr>
    </w:p>
    <w:p w:rsidR="00F1560A" w:rsidRDefault="00F1560A" w:rsidP="00F1560A">
      <w:pPr>
        <w:widowControl/>
        <w:ind w:left="1440" w:right="1440"/>
        <w:rPr>
          <w:sz w:val="26"/>
          <w:szCs w:val="26"/>
        </w:rPr>
      </w:pPr>
      <w:r>
        <w:rPr>
          <w:sz w:val="26"/>
          <w:szCs w:val="26"/>
        </w:rPr>
        <w:t>I</w:t>
      </w:r>
      <w:r w:rsidRPr="00155EEB">
        <w:rPr>
          <w:sz w:val="26"/>
          <w:szCs w:val="26"/>
        </w:rPr>
        <w:t>n the event of discontinuance or termination of service at a residence or dwelling in accordance with this chapter, a public utility may transfer an unpaid balance to a new residential servic</w:t>
      </w:r>
      <w:r>
        <w:rPr>
          <w:sz w:val="26"/>
          <w:szCs w:val="26"/>
        </w:rPr>
        <w:t xml:space="preserve">e account of the same </w:t>
      </w:r>
      <w:r w:rsidRPr="00F1560A">
        <w:rPr>
          <w:i/>
          <w:sz w:val="26"/>
          <w:szCs w:val="26"/>
        </w:rPr>
        <w:t>customer</w:t>
      </w:r>
      <w:r>
        <w:rPr>
          <w:sz w:val="26"/>
          <w:szCs w:val="26"/>
        </w:rPr>
        <w:t xml:space="preserve">.  </w:t>
      </w:r>
    </w:p>
    <w:p w:rsidR="00F1560A" w:rsidRDefault="00F1560A" w:rsidP="00F1560A">
      <w:pPr>
        <w:widowControl/>
        <w:spacing w:line="360" w:lineRule="auto"/>
        <w:rPr>
          <w:sz w:val="26"/>
          <w:szCs w:val="26"/>
        </w:rPr>
      </w:pPr>
    </w:p>
    <w:p w:rsidR="00F1560A" w:rsidRDefault="00F1560A" w:rsidP="00F1560A">
      <w:pPr>
        <w:widowControl/>
        <w:spacing w:line="360" w:lineRule="auto"/>
        <w:rPr>
          <w:sz w:val="26"/>
          <w:szCs w:val="26"/>
        </w:rPr>
      </w:pPr>
      <w:r>
        <w:rPr>
          <w:sz w:val="26"/>
          <w:szCs w:val="26"/>
        </w:rPr>
        <w:t>52 Pa. Code § 56.16(b) (emphasis added)</w:t>
      </w:r>
      <w:r w:rsidR="003F5116">
        <w:rPr>
          <w:sz w:val="26"/>
          <w:szCs w:val="26"/>
        </w:rPr>
        <w:t>.  In addition, our</w:t>
      </w:r>
      <w:r>
        <w:rPr>
          <w:sz w:val="26"/>
          <w:szCs w:val="26"/>
        </w:rPr>
        <w:t xml:space="preserve"> Regulations define </w:t>
      </w:r>
      <w:r w:rsidR="00C23D6B">
        <w:rPr>
          <w:sz w:val="26"/>
          <w:szCs w:val="26"/>
        </w:rPr>
        <w:t>“</w:t>
      </w:r>
      <w:r>
        <w:rPr>
          <w:sz w:val="26"/>
          <w:szCs w:val="26"/>
        </w:rPr>
        <w:t>customer</w:t>
      </w:r>
      <w:r w:rsidR="00C23D6B">
        <w:rPr>
          <w:sz w:val="26"/>
          <w:szCs w:val="26"/>
        </w:rPr>
        <w:t>”</w:t>
      </w:r>
      <w:r>
        <w:rPr>
          <w:sz w:val="26"/>
          <w:szCs w:val="26"/>
        </w:rPr>
        <w:t xml:space="preserve"> as follows:</w:t>
      </w:r>
    </w:p>
    <w:p w:rsidR="00F1560A" w:rsidRPr="00155EEB" w:rsidRDefault="00F1560A" w:rsidP="00F1560A">
      <w:pPr>
        <w:widowControl/>
        <w:spacing w:line="360" w:lineRule="auto"/>
        <w:rPr>
          <w:sz w:val="26"/>
          <w:szCs w:val="26"/>
        </w:rPr>
      </w:pPr>
    </w:p>
    <w:p w:rsidR="00F1560A" w:rsidRPr="00887AEF" w:rsidRDefault="00F1560A" w:rsidP="00F1560A">
      <w:pPr>
        <w:widowControl/>
        <w:ind w:left="1440" w:right="1440"/>
        <w:rPr>
          <w:sz w:val="26"/>
          <w:szCs w:val="26"/>
        </w:rPr>
      </w:pPr>
      <w:r w:rsidRPr="00887AEF">
        <w:rPr>
          <w:sz w:val="26"/>
          <w:szCs w:val="26"/>
        </w:rPr>
        <w:t xml:space="preserve">A natural person at least 18 years of age in whose name a residential service account is listed and who is primarily responsible for payment of bills rendered for the service </w:t>
      </w:r>
      <w:r w:rsidRPr="003F5116">
        <w:rPr>
          <w:i/>
          <w:sz w:val="26"/>
          <w:szCs w:val="26"/>
        </w:rPr>
        <w:t>or an adult occupant whose name appears on the mortgage, deed or lease of the property for which the residential public utility service is requested</w:t>
      </w:r>
      <w:r w:rsidRPr="00887AEF">
        <w:rPr>
          <w:sz w:val="26"/>
          <w:szCs w:val="26"/>
        </w:rPr>
        <w:t>. A natural person remains a customer after discontinuance or termination until the final bill for service is past due.</w:t>
      </w:r>
    </w:p>
    <w:p w:rsidR="00F1560A" w:rsidRDefault="00F1560A" w:rsidP="00F1560A">
      <w:pPr>
        <w:widowControl/>
        <w:spacing w:line="360" w:lineRule="auto"/>
        <w:rPr>
          <w:sz w:val="26"/>
          <w:szCs w:val="26"/>
        </w:rPr>
      </w:pPr>
    </w:p>
    <w:p w:rsidR="00385FAC" w:rsidRDefault="003F5116" w:rsidP="00F1560A">
      <w:pPr>
        <w:widowControl/>
        <w:spacing w:line="360" w:lineRule="auto"/>
        <w:rPr>
          <w:sz w:val="26"/>
          <w:szCs w:val="26"/>
        </w:rPr>
      </w:pPr>
      <w:r>
        <w:rPr>
          <w:sz w:val="26"/>
          <w:szCs w:val="26"/>
        </w:rPr>
        <w:t>52 Pa. Code § 56.2 (emphasis added)</w:t>
      </w:r>
      <w:r w:rsidR="00F1560A">
        <w:rPr>
          <w:sz w:val="26"/>
          <w:szCs w:val="26"/>
        </w:rPr>
        <w:t xml:space="preserve">.  </w:t>
      </w:r>
      <w:r w:rsidR="00664F03">
        <w:rPr>
          <w:sz w:val="26"/>
          <w:szCs w:val="26"/>
        </w:rPr>
        <w:t>This definition is</w:t>
      </w:r>
      <w:r w:rsidR="004A0E80">
        <w:rPr>
          <w:sz w:val="26"/>
          <w:szCs w:val="26"/>
        </w:rPr>
        <w:t xml:space="preserve"> consistent with the definition of </w:t>
      </w:r>
      <w:r w:rsidR="00C23D6B">
        <w:rPr>
          <w:sz w:val="26"/>
          <w:szCs w:val="26"/>
        </w:rPr>
        <w:t>“</w:t>
      </w:r>
      <w:r w:rsidR="004A0E80">
        <w:rPr>
          <w:sz w:val="26"/>
          <w:szCs w:val="26"/>
        </w:rPr>
        <w:t>customer</w:t>
      </w:r>
      <w:r w:rsidR="00C23D6B">
        <w:rPr>
          <w:sz w:val="26"/>
          <w:szCs w:val="26"/>
        </w:rPr>
        <w:t>”</w:t>
      </w:r>
      <w:r w:rsidR="004A0E80">
        <w:rPr>
          <w:sz w:val="26"/>
          <w:szCs w:val="26"/>
        </w:rPr>
        <w:t xml:space="preserve"> in Chapter 14 of the Code.  66 Pa. C.S. § 1403.</w:t>
      </w:r>
    </w:p>
    <w:p w:rsidR="000260C6" w:rsidRDefault="000260C6" w:rsidP="00F1560A">
      <w:pPr>
        <w:widowControl/>
        <w:spacing w:line="360" w:lineRule="auto"/>
        <w:rPr>
          <w:sz w:val="26"/>
          <w:szCs w:val="26"/>
        </w:rPr>
      </w:pPr>
    </w:p>
    <w:p w:rsidR="000260C6" w:rsidRDefault="000260C6" w:rsidP="00F1560A">
      <w:pPr>
        <w:widowControl/>
        <w:spacing w:line="360" w:lineRule="auto"/>
        <w:rPr>
          <w:sz w:val="26"/>
          <w:szCs w:val="26"/>
        </w:rPr>
      </w:pPr>
      <w:r>
        <w:rPr>
          <w:sz w:val="26"/>
          <w:szCs w:val="26"/>
        </w:rPr>
        <w:tab/>
      </w:r>
      <w:r>
        <w:rPr>
          <w:sz w:val="26"/>
          <w:szCs w:val="26"/>
        </w:rPr>
        <w:tab/>
        <w:t xml:space="preserve">Our Regulations aim to hold responsible for payment those who actually benefit from the service and have some legal connection to the dwelling where the service has been rendered, whether or not that individual is the person in whose name the service has been placed.  </w:t>
      </w:r>
      <w:r w:rsidR="00370512">
        <w:rPr>
          <w:sz w:val="26"/>
          <w:szCs w:val="26"/>
        </w:rPr>
        <w:t xml:space="preserve">Thus, for example, outside the context of a situation involving foreign load, the owner of a dwelling is not a </w:t>
      </w:r>
      <w:r w:rsidR="00C23D6B">
        <w:rPr>
          <w:sz w:val="26"/>
          <w:szCs w:val="26"/>
        </w:rPr>
        <w:t>“</w:t>
      </w:r>
      <w:r w:rsidR="00370512">
        <w:rPr>
          <w:sz w:val="26"/>
          <w:szCs w:val="26"/>
        </w:rPr>
        <w:t>customer,</w:t>
      </w:r>
      <w:r w:rsidR="00C23D6B">
        <w:rPr>
          <w:sz w:val="26"/>
          <w:szCs w:val="26"/>
        </w:rPr>
        <w:t>”</w:t>
      </w:r>
      <w:r w:rsidR="00370512">
        <w:rPr>
          <w:sz w:val="26"/>
          <w:szCs w:val="26"/>
        </w:rPr>
        <w:t xml:space="preserve"> and hence, not responsible for the electric bill of an individual occupying the dwelling, </w:t>
      </w:r>
      <w:r w:rsidR="009954DC">
        <w:rPr>
          <w:sz w:val="26"/>
          <w:szCs w:val="26"/>
        </w:rPr>
        <w:t xml:space="preserve">if the owner is not the account holder or the occupant of the dwelling.  Requiring those who have benefitted to pay for the service under our Regulation reflects the equitable remedy of </w:t>
      </w:r>
      <w:r w:rsidR="009954DC" w:rsidRPr="009954DC">
        <w:rPr>
          <w:i/>
          <w:sz w:val="26"/>
          <w:szCs w:val="26"/>
        </w:rPr>
        <w:t xml:space="preserve">quantum </w:t>
      </w:r>
      <w:proofErr w:type="spellStart"/>
      <w:r w:rsidR="009954DC" w:rsidRPr="009954DC">
        <w:rPr>
          <w:i/>
          <w:sz w:val="26"/>
          <w:szCs w:val="26"/>
        </w:rPr>
        <w:t>meruit</w:t>
      </w:r>
      <w:proofErr w:type="spellEnd"/>
      <w:r w:rsidR="009954DC">
        <w:rPr>
          <w:sz w:val="26"/>
          <w:szCs w:val="26"/>
        </w:rPr>
        <w:t>, meaning that no one who benefits by the labor and materials of another should be unjustly enriched thereby.</w:t>
      </w:r>
    </w:p>
    <w:p w:rsidR="00A26E0D" w:rsidRDefault="00A26E0D" w:rsidP="00F1560A">
      <w:pPr>
        <w:widowControl/>
        <w:spacing w:line="360" w:lineRule="auto"/>
        <w:rPr>
          <w:sz w:val="26"/>
          <w:szCs w:val="26"/>
        </w:rPr>
      </w:pPr>
    </w:p>
    <w:p w:rsidR="00A26E0D" w:rsidRDefault="00A26E0D" w:rsidP="00F1560A">
      <w:pPr>
        <w:widowControl/>
        <w:spacing w:line="360" w:lineRule="auto"/>
        <w:rPr>
          <w:sz w:val="26"/>
          <w:szCs w:val="26"/>
        </w:rPr>
      </w:pPr>
      <w:r>
        <w:rPr>
          <w:sz w:val="26"/>
          <w:szCs w:val="26"/>
        </w:rPr>
        <w:tab/>
      </w:r>
      <w:r>
        <w:rPr>
          <w:sz w:val="26"/>
          <w:szCs w:val="26"/>
        </w:rPr>
        <w:tab/>
      </w:r>
      <w:r w:rsidRPr="00A26E0D">
        <w:rPr>
          <w:sz w:val="26"/>
          <w:szCs w:val="26"/>
        </w:rPr>
        <w:t>The record reflects that the Complainant is the owner of the residence located at the Service Address</w:t>
      </w:r>
      <w:r w:rsidR="00A73509">
        <w:rPr>
          <w:sz w:val="26"/>
          <w:szCs w:val="26"/>
        </w:rPr>
        <w:t>, and resided at the residence at the time the billing dispute arose</w:t>
      </w:r>
      <w:r w:rsidRPr="00A26E0D">
        <w:rPr>
          <w:sz w:val="26"/>
          <w:szCs w:val="26"/>
        </w:rPr>
        <w:t xml:space="preserve">.  Tr. at </w:t>
      </w:r>
      <w:r w:rsidR="00A73509">
        <w:rPr>
          <w:sz w:val="26"/>
          <w:szCs w:val="26"/>
        </w:rPr>
        <w:t xml:space="preserve">8, </w:t>
      </w:r>
      <w:r w:rsidRPr="00A26E0D">
        <w:rPr>
          <w:sz w:val="26"/>
          <w:szCs w:val="26"/>
        </w:rPr>
        <w:t xml:space="preserve">45; PPL </w:t>
      </w:r>
      <w:proofErr w:type="spellStart"/>
      <w:r w:rsidRPr="00A26E0D">
        <w:rPr>
          <w:sz w:val="26"/>
          <w:szCs w:val="26"/>
        </w:rPr>
        <w:t>Exh</w:t>
      </w:r>
      <w:proofErr w:type="spellEnd"/>
      <w:r w:rsidRPr="00A26E0D">
        <w:rPr>
          <w:sz w:val="26"/>
          <w:szCs w:val="26"/>
        </w:rPr>
        <w:t>. 4A.</w:t>
      </w:r>
      <w:r>
        <w:rPr>
          <w:sz w:val="26"/>
          <w:szCs w:val="26"/>
        </w:rPr>
        <w:t xml:space="preserve">  </w:t>
      </w:r>
      <w:r w:rsidRPr="00A26E0D">
        <w:rPr>
          <w:sz w:val="26"/>
          <w:szCs w:val="26"/>
        </w:rPr>
        <w:t>However, the Initial Decision does not answer the question</w:t>
      </w:r>
      <w:r>
        <w:rPr>
          <w:sz w:val="26"/>
          <w:szCs w:val="26"/>
        </w:rPr>
        <w:t xml:space="preserve"> </w:t>
      </w:r>
      <w:r w:rsidR="00F7022D">
        <w:rPr>
          <w:sz w:val="26"/>
          <w:szCs w:val="26"/>
        </w:rPr>
        <w:t>of whether the Complainant actually benefitt</w:t>
      </w:r>
      <w:r w:rsidR="00A73509">
        <w:rPr>
          <w:sz w:val="26"/>
          <w:szCs w:val="26"/>
        </w:rPr>
        <w:t xml:space="preserve">ed from the service provided to </w:t>
      </w:r>
      <w:r w:rsidR="005B2420">
        <w:rPr>
          <w:sz w:val="26"/>
          <w:szCs w:val="26"/>
        </w:rPr>
        <w:t xml:space="preserve">her </w:t>
      </w:r>
      <w:r w:rsidR="005B2785">
        <w:rPr>
          <w:sz w:val="26"/>
          <w:szCs w:val="26"/>
        </w:rPr>
        <w:t xml:space="preserve">now-deceased </w:t>
      </w:r>
      <w:r w:rsidR="005B2420">
        <w:rPr>
          <w:sz w:val="26"/>
          <w:szCs w:val="26"/>
        </w:rPr>
        <w:t xml:space="preserve">mother-in-law and estranged husband during the respective time periods in which they resided in Apartment 1 at the Service Address.  Rather, the ALJ relies </w:t>
      </w:r>
      <w:r w:rsidR="00F7022D">
        <w:rPr>
          <w:sz w:val="26"/>
          <w:szCs w:val="26"/>
        </w:rPr>
        <w:t>solely on the Complainant</w:t>
      </w:r>
      <w:r w:rsidR="00C23D6B">
        <w:rPr>
          <w:sz w:val="26"/>
          <w:szCs w:val="26"/>
        </w:rPr>
        <w:t>’</w:t>
      </w:r>
      <w:r w:rsidR="00F7022D">
        <w:rPr>
          <w:sz w:val="26"/>
          <w:szCs w:val="26"/>
        </w:rPr>
        <w:t>s status as the owner of the property to impose li</w:t>
      </w:r>
      <w:r w:rsidR="005B2785">
        <w:rPr>
          <w:sz w:val="26"/>
          <w:szCs w:val="26"/>
        </w:rPr>
        <w:t xml:space="preserve">ability for the </w:t>
      </w:r>
      <w:r w:rsidR="00284972">
        <w:rPr>
          <w:sz w:val="26"/>
          <w:szCs w:val="26"/>
        </w:rPr>
        <w:t>unpaid balances relating to the accounts of</w:t>
      </w:r>
      <w:r w:rsidR="005B2785">
        <w:rPr>
          <w:sz w:val="26"/>
          <w:szCs w:val="26"/>
        </w:rPr>
        <w:t xml:space="preserve"> </w:t>
      </w:r>
      <w:r w:rsidR="00F7022D">
        <w:rPr>
          <w:sz w:val="26"/>
          <w:szCs w:val="26"/>
        </w:rPr>
        <w:t>the Complainant</w:t>
      </w:r>
      <w:r w:rsidR="00C23D6B">
        <w:rPr>
          <w:sz w:val="26"/>
          <w:szCs w:val="26"/>
        </w:rPr>
        <w:t>’</w:t>
      </w:r>
      <w:r w:rsidR="00F7022D">
        <w:rPr>
          <w:sz w:val="26"/>
          <w:szCs w:val="26"/>
        </w:rPr>
        <w:t>s</w:t>
      </w:r>
      <w:r w:rsidR="005B2420" w:rsidRPr="005B2420">
        <w:rPr>
          <w:sz w:val="26"/>
          <w:szCs w:val="26"/>
        </w:rPr>
        <w:t xml:space="preserve"> </w:t>
      </w:r>
      <w:r w:rsidR="005B2420">
        <w:rPr>
          <w:sz w:val="26"/>
          <w:szCs w:val="26"/>
        </w:rPr>
        <w:t>mother-in-law and</w:t>
      </w:r>
      <w:r w:rsidR="00F7022D">
        <w:rPr>
          <w:sz w:val="26"/>
          <w:szCs w:val="26"/>
        </w:rPr>
        <w:t xml:space="preserve"> estranged hu</w:t>
      </w:r>
      <w:r w:rsidR="005B2420">
        <w:rPr>
          <w:sz w:val="26"/>
          <w:szCs w:val="26"/>
        </w:rPr>
        <w:t>sband</w:t>
      </w:r>
      <w:r w:rsidR="00F7022D">
        <w:rPr>
          <w:sz w:val="26"/>
          <w:szCs w:val="26"/>
        </w:rPr>
        <w:t>, in addition to the</w:t>
      </w:r>
      <w:r w:rsidR="00284972">
        <w:rPr>
          <w:sz w:val="26"/>
          <w:szCs w:val="26"/>
        </w:rPr>
        <w:t xml:space="preserve"> balances relating to</w:t>
      </w:r>
      <w:r w:rsidR="00F7022D">
        <w:rPr>
          <w:sz w:val="26"/>
          <w:szCs w:val="26"/>
        </w:rPr>
        <w:t xml:space="preserve"> accounts </w:t>
      </w:r>
      <w:r w:rsidR="00284972">
        <w:rPr>
          <w:sz w:val="26"/>
          <w:szCs w:val="26"/>
        </w:rPr>
        <w:t>for</w:t>
      </w:r>
      <w:r w:rsidR="00E7523D">
        <w:rPr>
          <w:sz w:val="26"/>
          <w:szCs w:val="26"/>
        </w:rPr>
        <w:t xml:space="preserve"> service provided to the Complainant.  </w:t>
      </w:r>
      <w:r w:rsidR="005B2420">
        <w:rPr>
          <w:sz w:val="26"/>
          <w:szCs w:val="26"/>
        </w:rPr>
        <w:t>Moreover, there is nothing in the record indicating that the Complainant benefited from</w:t>
      </w:r>
      <w:r w:rsidR="005B2785">
        <w:rPr>
          <w:sz w:val="26"/>
          <w:szCs w:val="26"/>
        </w:rPr>
        <w:t xml:space="preserve"> the service relating to the accounts of her mother-in-law and estranged husband.</w:t>
      </w:r>
      <w:r w:rsidR="00284972">
        <w:rPr>
          <w:sz w:val="26"/>
          <w:szCs w:val="26"/>
        </w:rPr>
        <w:t xml:space="preserve">  Therefore, additional facts are needed to determine whether the Complainant benefitted from the service, </w:t>
      </w:r>
      <w:r w:rsidR="00A17C99">
        <w:rPr>
          <w:sz w:val="26"/>
          <w:szCs w:val="26"/>
        </w:rPr>
        <w:t>and thus</w:t>
      </w:r>
      <w:r w:rsidR="00284972">
        <w:rPr>
          <w:sz w:val="26"/>
          <w:szCs w:val="26"/>
        </w:rPr>
        <w:t xml:space="preserve">, qualified as a </w:t>
      </w:r>
      <w:r w:rsidR="00C23D6B">
        <w:rPr>
          <w:sz w:val="26"/>
          <w:szCs w:val="26"/>
        </w:rPr>
        <w:t>“</w:t>
      </w:r>
      <w:r w:rsidR="00284972">
        <w:rPr>
          <w:sz w:val="26"/>
          <w:szCs w:val="26"/>
        </w:rPr>
        <w:t>customer</w:t>
      </w:r>
      <w:r w:rsidR="00C23D6B">
        <w:rPr>
          <w:sz w:val="26"/>
          <w:szCs w:val="26"/>
        </w:rPr>
        <w:t>”</w:t>
      </w:r>
      <w:r w:rsidR="00284972">
        <w:rPr>
          <w:sz w:val="26"/>
          <w:szCs w:val="26"/>
        </w:rPr>
        <w:t xml:space="preserve"> under our Regulations.</w:t>
      </w:r>
      <w:r w:rsidR="00AB4034">
        <w:rPr>
          <w:sz w:val="26"/>
          <w:szCs w:val="26"/>
        </w:rPr>
        <w:t xml:space="preserve">  Accordingly, we will remand this matter to the Office of Administrativ</w:t>
      </w:r>
      <w:r w:rsidR="00EE6D16">
        <w:rPr>
          <w:sz w:val="26"/>
          <w:szCs w:val="26"/>
        </w:rPr>
        <w:t xml:space="preserve">e Law Judge for further hearing, in order to ascertain whether the Complainant received any benefit from the electric service provided to her mother-in-law and estranged </w:t>
      </w:r>
      <w:r w:rsidR="00EE6D16">
        <w:rPr>
          <w:sz w:val="26"/>
          <w:szCs w:val="26"/>
        </w:rPr>
        <w:lastRenderedPageBreak/>
        <w:t>husband during the time period</w:t>
      </w:r>
      <w:r w:rsidR="005E2D5B">
        <w:rPr>
          <w:sz w:val="26"/>
          <w:szCs w:val="26"/>
        </w:rPr>
        <w:t>s</w:t>
      </w:r>
      <w:r w:rsidR="00443EBB">
        <w:rPr>
          <w:sz w:val="26"/>
          <w:szCs w:val="26"/>
        </w:rPr>
        <w:t xml:space="preserve"> in which tho</w:t>
      </w:r>
      <w:r w:rsidR="00EE6D16">
        <w:rPr>
          <w:sz w:val="26"/>
          <w:szCs w:val="26"/>
        </w:rPr>
        <w:t>se individuals resided in Apartment 1 at the Service Address.</w:t>
      </w:r>
      <w:r w:rsidR="00E834EA">
        <w:rPr>
          <w:rStyle w:val="FootnoteReference"/>
          <w:sz w:val="26"/>
          <w:szCs w:val="26"/>
        </w:rPr>
        <w:footnoteReference w:id="6"/>
      </w:r>
    </w:p>
    <w:p w:rsidR="00CB6612" w:rsidRDefault="00CB6612" w:rsidP="00F1560A">
      <w:pPr>
        <w:widowControl/>
        <w:spacing w:line="360" w:lineRule="auto"/>
        <w:rPr>
          <w:sz w:val="26"/>
          <w:szCs w:val="26"/>
        </w:rPr>
      </w:pPr>
    </w:p>
    <w:p w:rsidR="00E60BE6" w:rsidRPr="00CB6612" w:rsidRDefault="00CB6612" w:rsidP="00C55C7D">
      <w:pPr>
        <w:widowControl/>
        <w:spacing w:line="360" w:lineRule="auto"/>
        <w:rPr>
          <w:sz w:val="26"/>
          <w:szCs w:val="26"/>
        </w:rPr>
      </w:pPr>
      <w:r>
        <w:rPr>
          <w:sz w:val="26"/>
          <w:szCs w:val="26"/>
        </w:rPr>
        <w:tab/>
      </w:r>
      <w:r>
        <w:rPr>
          <w:sz w:val="26"/>
          <w:szCs w:val="26"/>
        </w:rPr>
        <w:tab/>
        <w:t>In addition to the Complainant</w:t>
      </w:r>
      <w:r w:rsidR="00C23D6B">
        <w:rPr>
          <w:sz w:val="26"/>
          <w:szCs w:val="26"/>
        </w:rPr>
        <w:t>’</w:t>
      </w:r>
      <w:r>
        <w:rPr>
          <w:sz w:val="26"/>
          <w:szCs w:val="26"/>
        </w:rPr>
        <w:t xml:space="preserve">s objections regarding the transfer of unpaid balances to her </w:t>
      </w:r>
      <w:r w:rsidRPr="00CB6612">
        <w:rPr>
          <w:sz w:val="26"/>
          <w:szCs w:val="26"/>
        </w:rPr>
        <w:t>accounts relating to service provided to her deceased mother-in-law and estranged husband, t</w:t>
      </w:r>
      <w:r w:rsidR="00E60BE6" w:rsidRPr="00CB6612">
        <w:rPr>
          <w:sz w:val="26"/>
          <w:szCs w:val="26"/>
        </w:rPr>
        <w:t>he Complainant also appears to contend that PPL found other accounts that were linked to her name, and improperly transferred various amounts from t</w:t>
      </w:r>
      <w:r w:rsidRPr="00CB6612">
        <w:rPr>
          <w:sz w:val="26"/>
          <w:szCs w:val="26"/>
        </w:rPr>
        <w:t>hese accounts to her</w:t>
      </w:r>
      <w:r w:rsidR="00E60BE6" w:rsidRPr="00CB6612">
        <w:rPr>
          <w:sz w:val="26"/>
          <w:szCs w:val="26"/>
        </w:rPr>
        <w:t>.  The Complainant indicated that she did not know the source of these accounts, and denied having any responsibility for them.  Tr. at 10-</w:t>
      </w:r>
      <w:r w:rsidR="00E23622" w:rsidRPr="00CB6612">
        <w:rPr>
          <w:sz w:val="26"/>
          <w:szCs w:val="26"/>
        </w:rPr>
        <w:t>11, 13, 16-17.  However, the Complainant provided no evidence to support her contention</w:t>
      </w:r>
      <w:r w:rsidR="00E45D3B">
        <w:rPr>
          <w:sz w:val="26"/>
          <w:szCs w:val="26"/>
        </w:rPr>
        <w:t xml:space="preserve"> in this regard</w:t>
      </w:r>
      <w:r w:rsidR="00E23622" w:rsidRPr="00CB6612">
        <w:rPr>
          <w:sz w:val="26"/>
          <w:szCs w:val="26"/>
        </w:rPr>
        <w:t xml:space="preserve">.  </w:t>
      </w:r>
      <w:r w:rsidR="00E60537" w:rsidRPr="00CB6612">
        <w:rPr>
          <w:sz w:val="26"/>
          <w:szCs w:val="26"/>
        </w:rPr>
        <w:t>PPL provided a number</w:t>
      </w:r>
      <w:r w:rsidR="007E4D75" w:rsidRPr="00CB6612">
        <w:rPr>
          <w:sz w:val="26"/>
          <w:szCs w:val="26"/>
        </w:rPr>
        <w:t xml:space="preserve"> of exhibits documenting account activity</w:t>
      </w:r>
      <w:r w:rsidR="00E33359" w:rsidRPr="00CB6612">
        <w:rPr>
          <w:sz w:val="26"/>
          <w:szCs w:val="26"/>
        </w:rPr>
        <w:t xml:space="preserve"> and customer contacts</w:t>
      </w:r>
      <w:r w:rsidR="00E60537" w:rsidRPr="00CB6612">
        <w:rPr>
          <w:sz w:val="26"/>
          <w:szCs w:val="26"/>
        </w:rPr>
        <w:t xml:space="preserve"> </w:t>
      </w:r>
      <w:r w:rsidR="00C64B2E" w:rsidRPr="00CB6612">
        <w:rPr>
          <w:sz w:val="26"/>
          <w:szCs w:val="26"/>
        </w:rPr>
        <w:t xml:space="preserve">relating to the various accounts </w:t>
      </w:r>
      <w:r w:rsidR="004E3279" w:rsidRPr="00CB6612">
        <w:rPr>
          <w:sz w:val="26"/>
          <w:szCs w:val="26"/>
        </w:rPr>
        <w:t xml:space="preserve">under which the Complainant </w:t>
      </w:r>
      <w:r w:rsidR="00C64B2E" w:rsidRPr="00CB6612">
        <w:rPr>
          <w:sz w:val="26"/>
          <w:szCs w:val="26"/>
        </w:rPr>
        <w:t xml:space="preserve">received </w:t>
      </w:r>
      <w:r w:rsidR="004E3279" w:rsidRPr="00CB6612">
        <w:rPr>
          <w:sz w:val="26"/>
          <w:szCs w:val="26"/>
        </w:rPr>
        <w:t xml:space="preserve">electric service at the </w:t>
      </w:r>
      <w:r w:rsidR="00C75E14" w:rsidRPr="00CB6612">
        <w:rPr>
          <w:sz w:val="26"/>
          <w:szCs w:val="26"/>
        </w:rPr>
        <w:t>Service Address</w:t>
      </w:r>
      <w:r w:rsidR="004E3279" w:rsidRPr="00CB6612">
        <w:rPr>
          <w:sz w:val="26"/>
          <w:szCs w:val="26"/>
        </w:rPr>
        <w:t xml:space="preserve">, as well as a detailed explanation of the accounts in question.  Tr. at 31-47; PPL </w:t>
      </w:r>
      <w:proofErr w:type="spellStart"/>
      <w:r w:rsidR="004E3279" w:rsidRPr="00CB6612">
        <w:rPr>
          <w:sz w:val="26"/>
          <w:szCs w:val="26"/>
        </w:rPr>
        <w:t>Exhs</w:t>
      </w:r>
      <w:proofErr w:type="spellEnd"/>
      <w:r w:rsidR="004E3279" w:rsidRPr="00CB6612">
        <w:rPr>
          <w:sz w:val="26"/>
          <w:szCs w:val="26"/>
        </w:rPr>
        <w:t>. 1A,</w:t>
      </w:r>
      <w:r w:rsidR="00E33359" w:rsidRPr="00CB6612">
        <w:rPr>
          <w:sz w:val="26"/>
          <w:szCs w:val="26"/>
        </w:rPr>
        <w:t xml:space="preserve"> 2I,</w:t>
      </w:r>
      <w:r w:rsidR="004E3279" w:rsidRPr="00CB6612">
        <w:rPr>
          <w:sz w:val="26"/>
          <w:szCs w:val="26"/>
        </w:rPr>
        <w:t xml:space="preserve"> 1E,</w:t>
      </w:r>
      <w:r w:rsidR="00E33359" w:rsidRPr="00CB6612">
        <w:rPr>
          <w:sz w:val="26"/>
          <w:szCs w:val="26"/>
        </w:rPr>
        <w:t xml:space="preserve"> 2F,</w:t>
      </w:r>
      <w:r w:rsidR="004E3279" w:rsidRPr="00CB6612">
        <w:rPr>
          <w:sz w:val="26"/>
          <w:szCs w:val="26"/>
        </w:rPr>
        <w:t xml:space="preserve"> 1F,</w:t>
      </w:r>
      <w:r w:rsidR="00E33359" w:rsidRPr="00CB6612">
        <w:rPr>
          <w:sz w:val="26"/>
          <w:szCs w:val="26"/>
        </w:rPr>
        <w:t xml:space="preserve"> 2C,</w:t>
      </w:r>
      <w:r w:rsidR="004E3279" w:rsidRPr="00CB6612">
        <w:rPr>
          <w:sz w:val="26"/>
          <w:szCs w:val="26"/>
        </w:rPr>
        <w:t xml:space="preserve"> 1G,</w:t>
      </w:r>
      <w:r w:rsidR="00E33359" w:rsidRPr="00CB6612">
        <w:rPr>
          <w:sz w:val="26"/>
          <w:szCs w:val="26"/>
        </w:rPr>
        <w:t xml:space="preserve"> 2E, </w:t>
      </w:r>
      <w:r w:rsidR="004E3279" w:rsidRPr="00CB6612">
        <w:rPr>
          <w:sz w:val="26"/>
          <w:szCs w:val="26"/>
        </w:rPr>
        <w:t xml:space="preserve"> 1I,</w:t>
      </w:r>
      <w:r w:rsidR="00E33359" w:rsidRPr="00CB6612">
        <w:rPr>
          <w:sz w:val="26"/>
          <w:szCs w:val="26"/>
        </w:rPr>
        <w:t xml:space="preserve"> 2D,</w:t>
      </w:r>
      <w:r w:rsidR="004E3279" w:rsidRPr="00CB6612">
        <w:rPr>
          <w:sz w:val="26"/>
          <w:szCs w:val="26"/>
        </w:rPr>
        <w:t xml:space="preserve"> 1J,</w:t>
      </w:r>
      <w:r w:rsidR="00E33359" w:rsidRPr="00CB6612">
        <w:rPr>
          <w:sz w:val="26"/>
          <w:szCs w:val="26"/>
        </w:rPr>
        <w:t xml:space="preserve"> 2B,</w:t>
      </w:r>
      <w:r w:rsidR="004E3279" w:rsidRPr="00CB6612">
        <w:rPr>
          <w:sz w:val="26"/>
          <w:szCs w:val="26"/>
        </w:rPr>
        <w:t xml:space="preserve"> 1K</w:t>
      </w:r>
      <w:r w:rsidR="00E33359" w:rsidRPr="00CB6612">
        <w:rPr>
          <w:sz w:val="26"/>
          <w:szCs w:val="26"/>
        </w:rPr>
        <w:t>, 2A</w:t>
      </w:r>
      <w:r w:rsidR="004E3279" w:rsidRPr="00CB6612">
        <w:rPr>
          <w:sz w:val="26"/>
          <w:szCs w:val="26"/>
        </w:rPr>
        <w:t>.</w:t>
      </w:r>
      <w:r w:rsidR="00E23622" w:rsidRPr="00CB6612">
        <w:rPr>
          <w:sz w:val="26"/>
          <w:szCs w:val="26"/>
        </w:rPr>
        <w:t xml:space="preserve">  We find nothing in the information provided by PPL to indicate</w:t>
      </w:r>
      <w:r w:rsidR="004E3279" w:rsidRPr="00CB6612">
        <w:rPr>
          <w:sz w:val="26"/>
          <w:szCs w:val="26"/>
        </w:rPr>
        <w:t xml:space="preserve"> that </w:t>
      </w:r>
      <w:r w:rsidR="00E23622" w:rsidRPr="00CB6612">
        <w:rPr>
          <w:sz w:val="26"/>
          <w:szCs w:val="26"/>
        </w:rPr>
        <w:t>the Company</w:t>
      </w:r>
      <w:r w:rsidR="00A56F8C" w:rsidRPr="00CB6612">
        <w:rPr>
          <w:sz w:val="26"/>
          <w:szCs w:val="26"/>
        </w:rPr>
        <w:t xml:space="preserve"> impro</w:t>
      </w:r>
      <w:r w:rsidR="00E23622" w:rsidRPr="00CB6612">
        <w:rPr>
          <w:sz w:val="26"/>
          <w:szCs w:val="26"/>
        </w:rPr>
        <w:t>perly transferre</w:t>
      </w:r>
      <w:r w:rsidR="00BA152A" w:rsidRPr="00CB6612">
        <w:rPr>
          <w:sz w:val="26"/>
          <w:szCs w:val="26"/>
        </w:rPr>
        <w:t>d charges</w:t>
      </w:r>
      <w:r w:rsidR="00E23622" w:rsidRPr="00CB6612">
        <w:rPr>
          <w:sz w:val="26"/>
          <w:szCs w:val="26"/>
        </w:rPr>
        <w:t xml:space="preserve"> to the Complainant</w:t>
      </w:r>
      <w:r w:rsidRPr="00CB6612">
        <w:rPr>
          <w:sz w:val="26"/>
          <w:szCs w:val="26"/>
        </w:rPr>
        <w:t xml:space="preserve"> from unknown sources.  </w:t>
      </w:r>
      <w:r w:rsidR="00A56F8C" w:rsidRPr="00CB6612">
        <w:rPr>
          <w:sz w:val="26"/>
          <w:szCs w:val="26"/>
        </w:rPr>
        <w:t>Moreover, we find no evi</w:t>
      </w:r>
      <w:r w:rsidR="00EE0CF5" w:rsidRPr="00CB6612">
        <w:rPr>
          <w:sz w:val="26"/>
          <w:szCs w:val="26"/>
        </w:rPr>
        <w:t>dence to support the Complainant</w:t>
      </w:r>
      <w:r w:rsidR="00C23D6B">
        <w:rPr>
          <w:sz w:val="26"/>
          <w:szCs w:val="26"/>
        </w:rPr>
        <w:t>’</w:t>
      </w:r>
      <w:r w:rsidR="00EE0CF5" w:rsidRPr="00CB6612">
        <w:rPr>
          <w:sz w:val="26"/>
          <w:szCs w:val="26"/>
        </w:rPr>
        <w:t>s assertions</w:t>
      </w:r>
      <w:r w:rsidR="00A56F8C" w:rsidRPr="00CB6612">
        <w:rPr>
          <w:sz w:val="26"/>
          <w:szCs w:val="26"/>
        </w:rPr>
        <w:t xml:space="preserve"> that PPL</w:t>
      </w:r>
      <w:r w:rsidR="00EE0CF5" w:rsidRPr="00CB6612">
        <w:rPr>
          <w:sz w:val="26"/>
          <w:szCs w:val="26"/>
        </w:rPr>
        <w:t xml:space="preserve"> failed to keep accurate records regarding the Complainant</w:t>
      </w:r>
      <w:r w:rsidR="00C23D6B">
        <w:rPr>
          <w:sz w:val="26"/>
          <w:szCs w:val="26"/>
        </w:rPr>
        <w:t>’</w:t>
      </w:r>
      <w:r w:rsidR="00EE0CF5" w:rsidRPr="00CB6612">
        <w:rPr>
          <w:sz w:val="26"/>
          <w:szCs w:val="26"/>
        </w:rPr>
        <w:t>s accounts, or</w:t>
      </w:r>
      <w:r w:rsidR="00A56F8C" w:rsidRPr="00CB6612">
        <w:rPr>
          <w:sz w:val="26"/>
          <w:szCs w:val="26"/>
        </w:rPr>
        <w:t xml:space="preserve"> altered its </w:t>
      </w:r>
      <w:r w:rsidR="00EE0CF5" w:rsidRPr="00CB6612">
        <w:rPr>
          <w:sz w:val="26"/>
          <w:szCs w:val="26"/>
        </w:rPr>
        <w:t>records in any way</w:t>
      </w:r>
      <w:r w:rsidR="00A56F8C" w:rsidRPr="00CB6612">
        <w:rPr>
          <w:sz w:val="26"/>
          <w:szCs w:val="26"/>
        </w:rPr>
        <w:t>.</w:t>
      </w:r>
    </w:p>
    <w:p w:rsidR="005A4DE1" w:rsidRPr="00CB6612" w:rsidRDefault="005A4DE1" w:rsidP="005B5D33">
      <w:pPr>
        <w:widowControl/>
        <w:spacing w:line="360" w:lineRule="auto"/>
        <w:rPr>
          <w:sz w:val="26"/>
          <w:szCs w:val="26"/>
        </w:rPr>
      </w:pPr>
    </w:p>
    <w:p w:rsidR="003E6C92" w:rsidRPr="00CB6612" w:rsidRDefault="001D5372" w:rsidP="005B5D33">
      <w:pPr>
        <w:widowControl/>
        <w:spacing w:line="360" w:lineRule="auto"/>
        <w:rPr>
          <w:sz w:val="26"/>
          <w:szCs w:val="26"/>
        </w:rPr>
      </w:pPr>
      <w:r w:rsidRPr="00CB6612">
        <w:rPr>
          <w:sz w:val="26"/>
          <w:szCs w:val="26"/>
        </w:rPr>
        <w:tab/>
      </w:r>
      <w:r w:rsidRPr="00CB6612">
        <w:rPr>
          <w:sz w:val="26"/>
          <w:szCs w:val="26"/>
        </w:rPr>
        <w:tab/>
        <w:t>Finally, w</w:t>
      </w:r>
      <w:r w:rsidR="003D7161" w:rsidRPr="00CB6612">
        <w:rPr>
          <w:sz w:val="26"/>
          <w:szCs w:val="26"/>
        </w:rPr>
        <w:t>ith regard to the Complainant</w:t>
      </w:r>
      <w:r w:rsidR="00C23D6B">
        <w:rPr>
          <w:sz w:val="26"/>
          <w:szCs w:val="26"/>
        </w:rPr>
        <w:t>’</w:t>
      </w:r>
      <w:r w:rsidR="009F22FF" w:rsidRPr="00CB6612">
        <w:rPr>
          <w:sz w:val="26"/>
          <w:szCs w:val="26"/>
        </w:rPr>
        <w:t xml:space="preserve">s concerns that she was improperly billed under the terms of her </w:t>
      </w:r>
      <w:proofErr w:type="spellStart"/>
      <w:r w:rsidR="009F22FF" w:rsidRPr="00CB6612">
        <w:rPr>
          <w:sz w:val="26"/>
          <w:szCs w:val="26"/>
        </w:rPr>
        <w:t>O</w:t>
      </w:r>
      <w:r w:rsidR="00951FA6" w:rsidRPr="00CB6612">
        <w:rPr>
          <w:sz w:val="26"/>
          <w:szCs w:val="26"/>
        </w:rPr>
        <w:t>nTrack</w:t>
      </w:r>
      <w:proofErr w:type="spellEnd"/>
      <w:r w:rsidR="00951FA6" w:rsidRPr="00CB6612">
        <w:rPr>
          <w:sz w:val="26"/>
          <w:szCs w:val="26"/>
        </w:rPr>
        <w:t xml:space="preserve"> agreement with PPL, the record indicates that </w:t>
      </w:r>
      <w:r w:rsidR="005D4B13" w:rsidRPr="00CB6612">
        <w:rPr>
          <w:sz w:val="26"/>
          <w:szCs w:val="26"/>
        </w:rPr>
        <w:t xml:space="preserve">PPL had inadvertently billed the Complainant an amount of $77 that had been forgiven under the terms of the </w:t>
      </w:r>
      <w:proofErr w:type="spellStart"/>
      <w:r w:rsidR="005D4B13" w:rsidRPr="00CB6612">
        <w:rPr>
          <w:sz w:val="26"/>
          <w:szCs w:val="26"/>
        </w:rPr>
        <w:t>OnTrack</w:t>
      </w:r>
      <w:proofErr w:type="spellEnd"/>
      <w:r w:rsidR="005D4B13" w:rsidRPr="00CB6612">
        <w:rPr>
          <w:sz w:val="26"/>
          <w:szCs w:val="26"/>
        </w:rPr>
        <w:t xml:space="preserve"> agreement.  However, this issue was resolved, and the Complainant</w:t>
      </w:r>
      <w:r w:rsidR="00C23D6B">
        <w:rPr>
          <w:sz w:val="26"/>
          <w:szCs w:val="26"/>
        </w:rPr>
        <w:t>’</w:t>
      </w:r>
      <w:r w:rsidR="005D4B13" w:rsidRPr="00CB6612">
        <w:rPr>
          <w:sz w:val="26"/>
          <w:szCs w:val="26"/>
        </w:rPr>
        <w:t>s account was subsequently credited for th</w:t>
      </w:r>
      <w:r w:rsidR="003020A5" w:rsidRPr="00CB6612">
        <w:rPr>
          <w:sz w:val="26"/>
          <w:szCs w:val="26"/>
        </w:rPr>
        <w:t>e amount of $77.  Tr. at 15</w:t>
      </w:r>
      <w:r w:rsidR="003020A5" w:rsidRPr="00CB6612">
        <w:rPr>
          <w:sz w:val="26"/>
          <w:szCs w:val="26"/>
        </w:rPr>
        <w:noBreakHyphen/>
        <w:t>16, </w:t>
      </w:r>
      <w:r w:rsidR="005D4B13" w:rsidRPr="00CB6612">
        <w:rPr>
          <w:sz w:val="26"/>
          <w:szCs w:val="26"/>
        </w:rPr>
        <w:t xml:space="preserve">36; Complainant </w:t>
      </w:r>
      <w:proofErr w:type="spellStart"/>
      <w:r w:rsidR="005D4B13" w:rsidRPr="00CB6612">
        <w:rPr>
          <w:sz w:val="26"/>
          <w:szCs w:val="26"/>
        </w:rPr>
        <w:t>Exh</w:t>
      </w:r>
      <w:proofErr w:type="spellEnd"/>
      <w:r w:rsidR="005D4B13" w:rsidRPr="00CB6612">
        <w:rPr>
          <w:sz w:val="26"/>
          <w:szCs w:val="26"/>
        </w:rPr>
        <w:t xml:space="preserve">. </w:t>
      </w:r>
      <w:r w:rsidR="0061402C" w:rsidRPr="00CB6612">
        <w:rPr>
          <w:sz w:val="26"/>
          <w:szCs w:val="26"/>
        </w:rPr>
        <w:t xml:space="preserve">1; PPL </w:t>
      </w:r>
      <w:proofErr w:type="spellStart"/>
      <w:r w:rsidR="0061402C" w:rsidRPr="00CB6612">
        <w:rPr>
          <w:sz w:val="26"/>
          <w:szCs w:val="26"/>
        </w:rPr>
        <w:t>Exhs</w:t>
      </w:r>
      <w:proofErr w:type="spellEnd"/>
      <w:r w:rsidR="0061402C" w:rsidRPr="00CB6612">
        <w:rPr>
          <w:sz w:val="26"/>
          <w:szCs w:val="26"/>
        </w:rPr>
        <w:t xml:space="preserve">. 1E, 2F, 1J, 2B.  </w:t>
      </w:r>
      <w:r w:rsidR="00B31968" w:rsidRPr="00CB6612">
        <w:rPr>
          <w:sz w:val="26"/>
          <w:szCs w:val="26"/>
        </w:rPr>
        <w:t xml:space="preserve">The record does not reflect </w:t>
      </w:r>
      <w:r w:rsidR="00B31968" w:rsidRPr="00CB6612">
        <w:rPr>
          <w:sz w:val="26"/>
          <w:szCs w:val="26"/>
        </w:rPr>
        <w:lastRenderedPageBreak/>
        <w:t xml:space="preserve">any other instances in which the Complainant was improperly charged in violation of her </w:t>
      </w:r>
      <w:proofErr w:type="spellStart"/>
      <w:r w:rsidR="00B31968" w:rsidRPr="00CB6612">
        <w:rPr>
          <w:sz w:val="26"/>
          <w:szCs w:val="26"/>
        </w:rPr>
        <w:t>OnTrack</w:t>
      </w:r>
      <w:proofErr w:type="spellEnd"/>
      <w:r w:rsidR="00B31968" w:rsidRPr="00CB6612">
        <w:rPr>
          <w:sz w:val="26"/>
          <w:szCs w:val="26"/>
        </w:rPr>
        <w:t xml:space="preserve"> agreement.</w:t>
      </w:r>
    </w:p>
    <w:p w:rsidR="00F6310A" w:rsidRPr="00CB6612" w:rsidRDefault="00F6310A" w:rsidP="0079508F">
      <w:pPr>
        <w:widowControl/>
        <w:spacing w:line="360" w:lineRule="auto"/>
        <w:rPr>
          <w:sz w:val="26"/>
          <w:szCs w:val="26"/>
        </w:rPr>
      </w:pPr>
    </w:p>
    <w:p w:rsidR="00A423C4" w:rsidRPr="00642A9A" w:rsidRDefault="00A423C4" w:rsidP="004D1313">
      <w:pPr>
        <w:keepNext/>
        <w:widowControl/>
        <w:spacing w:line="360" w:lineRule="auto"/>
        <w:jc w:val="center"/>
        <w:rPr>
          <w:b/>
          <w:sz w:val="26"/>
          <w:szCs w:val="26"/>
        </w:rPr>
      </w:pPr>
      <w:r w:rsidRPr="00642A9A">
        <w:rPr>
          <w:b/>
          <w:sz w:val="26"/>
          <w:szCs w:val="26"/>
        </w:rPr>
        <w:t>Conclusion</w:t>
      </w:r>
    </w:p>
    <w:p w:rsidR="00A423C4" w:rsidRPr="00642A9A" w:rsidRDefault="00A423C4" w:rsidP="004D1313">
      <w:pPr>
        <w:keepNext/>
        <w:widowControl/>
        <w:spacing w:line="360" w:lineRule="auto"/>
        <w:ind w:firstLine="1440"/>
        <w:rPr>
          <w:sz w:val="26"/>
          <w:szCs w:val="26"/>
        </w:rPr>
      </w:pPr>
    </w:p>
    <w:p w:rsidR="009C432A" w:rsidRPr="00642A9A" w:rsidRDefault="009C432A" w:rsidP="009C432A">
      <w:pPr>
        <w:keepNext/>
        <w:widowControl/>
        <w:spacing w:line="360" w:lineRule="auto"/>
        <w:ind w:firstLine="1440"/>
        <w:rPr>
          <w:sz w:val="26"/>
          <w:szCs w:val="26"/>
        </w:rPr>
      </w:pPr>
      <w:r w:rsidRPr="00642A9A">
        <w:rPr>
          <w:sz w:val="26"/>
          <w:szCs w:val="26"/>
        </w:rPr>
        <w:t>In light of the above dis</w:t>
      </w:r>
      <w:r w:rsidR="00642A9A" w:rsidRPr="00642A9A">
        <w:rPr>
          <w:sz w:val="26"/>
          <w:szCs w:val="26"/>
        </w:rPr>
        <w:t>cussion, we shall:  (1) grant, in part, and deny, in part, the</w:t>
      </w:r>
      <w:r w:rsidRPr="00642A9A">
        <w:rPr>
          <w:sz w:val="26"/>
          <w:szCs w:val="26"/>
        </w:rPr>
        <w:t xml:space="preserve"> Complainant</w:t>
      </w:r>
      <w:r w:rsidR="00C23D6B">
        <w:rPr>
          <w:sz w:val="26"/>
          <w:szCs w:val="26"/>
        </w:rPr>
        <w:t>’</w:t>
      </w:r>
      <w:r w:rsidRPr="00642A9A">
        <w:rPr>
          <w:sz w:val="26"/>
          <w:szCs w:val="26"/>
        </w:rPr>
        <w:t>s Exceptions</w:t>
      </w:r>
      <w:r w:rsidR="00642A9A" w:rsidRPr="00642A9A">
        <w:rPr>
          <w:sz w:val="26"/>
          <w:szCs w:val="26"/>
        </w:rPr>
        <w:t>, con</w:t>
      </w:r>
      <w:r w:rsidR="00642A9A">
        <w:rPr>
          <w:sz w:val="26"/>
          <w:szCs w:val="26"/>
        </w:rPr>
        <w:t>sistent with this Opinion and Or</w:t>
      </w:r>
      <w:r w:rsidR="00642A9A" w:rsidRPr="00642A9A">
        <w:rPr>
          <w:sz w:val="26"/>
          <w:szCs w:val="26"/>
        </w:rPr>
        <w:t>der</w:t>
      </w:r>
      <w:r w:rsidR="00642A9A">
        <w:rPr>
          <w:sz w:val="26"/>
          <w:szCs w:val="26"/>
        </w:rPr>
        <w:t xml:space="preserve">; (2) </w:t>
      </w:r>
      <w:r w:rsidR="007D7FAB">
        <w:rPr>
          <w:sz w:val="26"/>
          <w:szCs w:val="26"/>
        </w:rPr>
        <w:t>vacate</w:t>
      </w:r>
      <w:r w:rsidR="007D7FAB" w:rsidRPr="00642A9A">
        <w:rPr>
          <w:sz w:val="26"/>
          <w:szCs w:val="26"/>
        </w:rPr>
        <w:t xml:space="preserve"> </w:t>
      </w:r>
      <w:r w:rsidRPr="00642A9A">
        <w:rPr>
          <w:sz w:val="26"/>
          <w:szCs w:val="26"/>
        </w:rPr>
        <w:t>the Init</w:t>
      </w:r>
      <w:r w:rsidR="00642A9A">
        <w:rPr>
          <w:sz w:val="26"/>
          <w:szCs w:val="26"/>
        </w:rPr>
        <w:t>ial Decision,</w:t>
      </w:r>
      <w:r w:rsidR="00642A9A" w:rsidRPr="00642A9A">
        <w:rPr>
          <w:sz w:val="26"/>
          <w:szCs w:val="26"/>
        </w:rPr>
        <w:t xml:space="preserve"> con</w:t>
      </w:r>
      <w:r w:rsidR="00642A9A">
        <w:rPr>
          <w:sz w:val="26"/>
          <w:szCs w:val="26"/>
        </w:rPr>
        <w:t>sistent with this Opinion and Or</w:t>
      </w:r>
      <w:r w:rsidR="00642A9A" w:rsidRPr="00642A9A">
        <w:rPr>
          <w:sz w:val="26"/>
          <w:szCs w:val="26"/>
        </w:rPr>
        <w:t>der</w:t>
      </w:r>
      <w:r w:rsidR="00642A9A">
        <w:rPr>
          <w:sz w:val="26"/>
          <w:szCs w:val="26"/>
        </w:rPr>
        <w:t xml:space="preserve">; and (3) remand this proceeding to the </w:t>
      </w:r>
      <w:r w:rsidR="007D7FAB">
        <w:rPr>
          <w:sz w:val="26"/>
          <w:szCs w:val="26"/>
        </w:rPr>
        <w:t>OALJ</w:t>
      </w:r>
      <w:r w:rsidR="00642A9A">
        <w:rPr>
          <w:sz w:val="26"/>
          <w:szCs w:val="26"/>
        </w:rPr>
        <w:t xml:space="preserve"> for further hearing</w:t>
      </w:r>
      <w:r w:rsidR="00190781">
        <w:rPr>
          <w:sz w:val="26"/>
          <w:szCs w:val="26"/>
        </w:rPr>
        <w:t xml:space="preserve"> </w:t>
      </w:r>
      <w:r w:rsidR="004036B6" w:rsidRPr="005E73F1">
        <w:rPr>
          <w:sz w:val="26"/>
          <w:szCs w:val="26"/>
        </w:rPr>
        <w:t>and the issuance of an Initial Decision on Remand,</w:t>
      </w:r>
      <w:r w:rsidR="004036B6">
        <w:rPr>
          <w:sz w:val="26"/>
          <w:szCs w:val="26"/>
        </w:rPr>
        <w:t xml:space="preserve"> </w:t>
      </w:r>
      <w:r w:rsidR="00190781">
        <w:rPr>
          <w:sz w:val="26"/>
          <w:szCs w:val="26"/>
        </w:rPr>
        <w:t>consistent with this Opinion and Order;</w:t>
      </w:r>
      <w:r w:rsidRPr="00642A9A">
        <w:rPr>
          <w:sz w:val="26"/>
          <w:szCs w:val="26"/>
        </w:rPr>
        <w:t xml:space="preserve"> </w:t>
      </w:r>
      <w:r w:rsidRPr="00642A9A">
        <w:rPr>
          <w:b/>
          <w:sz w:val="26"/>
          <w:szCs w:val="26"/>
        </w:rPr>
        <w:t>THEREFORE,</w:t>
      </w:r>
      <w:r w:rsidRPr="00642A9A">
        <w:rPr>
          <w:sz w:val="26"/>
          <w:szCs w:val="26"/>
        </w:rPr>
        <w:t xml:space="preserve"> </w:t>
      </w:r>
    </w:p>
    <w:p w:rsidR="009C432A" w:rsidRPr="00642A9A" w:rsidRDefault="009C432A" w:rsidP="009C432A">
      <w:pPr>
        <w:widowControl/>
        <w:spacing w:line="360" w:lineRule="auto"/>
        <w:rPr>
          <w:sz w:val="26"/>
          <w:szCs w:val="26"/>
        </w:rPr>
      </w:pPr>
    </w:p>
    <w:p w:rsidR="009C432A" w:rsidRPr="00190781" w:rsidRDefault="009C432A" w:rsidP="009C432A">
      <w:pPr>
        <w:keepNext/>
        <w:widowControl/>
        <w:ind w:firstLine="1440"/>
        <w:rPr>
          <w:b/>
          <w:sz w:val="26"/>
          <w:szCs w:val="26"/>
        </w:rPr>
      </w:pPr>
      <w:r w:rsidRPr="00190781">
        <w:rPr>
          <w:b/>
          <w:sz w:val="26"/>
          <w:szCs w:val="26"/>
        </w:rPr>
        <w:t>IT IS ORDERED:</w:t>
      </w:r>
    </w:p>
    <w:p w:rsidR="009C432A" w:rsidRPr="00190781" w:rsidRDefault="009C432A" w:rsidP="009C432A">
      <w:pPr>
        <w:keepNext/>
        <w:widowControl/>
        <w:spacing w:line="360" w:lineRule="auto"/>
        <w:rPr>
          <w:sz w:val="26"/>
          <w:szCs w:val="26"/>
        </w:rPr>
      </w:pPr>
    </w:p>
    <w:p w:rsidR="009C432A" w:rsidRPr="00190781" w:rsidRDefault="009C432A" w:rsidP="009C432A">
      <w:pPr>
        <w:keepNext/>
        <w:widowControl/>
        <w:numPr>
          <w:ilvl w:val="0"/>
          <w:numId w:val="1"/>
        </w:numPr>
        <w:tabs>
          <w:tab w:val="clear" w:pos="2160"/>
          <w:tab w:val="num" w:pos="0"/>
        </w:tabs>
        <w:spacing w:line="360" w:lineRule="auto"/>
        <w:ind w:left="0" w:firstLine="1440"/>
        <w:rPr>
          <w:sz w:val="26"/>
          <w:szCs w:val="26"/>
        </w:rPr>
      </w:pPr>
      <w:r w:rsidRPr="00190781">
        <w:rPr>
          <w:sz w:val="26"/>
          <w:szCs w:val="26"/>
        </w:rPr>
        <w:t>That the</w:t>
      </w:r>
      <w:r w:rsidRPr="00190781">
        <w:rPr>
          <w:color w:val="000000"/>
          <w:sz w:val="26"/>
        </w:rPr>
        <w:t xml:space="preserve"> Exceptions </w:t>
      </w:r>
      <w:r w:rsidR="00D9360A" w:rsidRPr="00190781">
        <w:rPr>
          <w:color w:val="000000"/>
          <w:sz w:val="26"/>
        </w:rPr>
        <w:t>of Theresa Brown-Albert</w:t>
      </w:r>
      <w:r w:rsidRPr="00190781">
        <w:rPr>
          <w:color w:val="000000"/>
          <w:sz w:val="26"/>
        </w:rPr>
        <w:t xml:space="preserve">, </w:t>
      </w:r>
      <w:r w:rsidR="00D9360A" w:rsidRPr="00190781">
        <w:rPr>
          <w:color w:val="000000"/>
          <w:sz w:val="26"/>
        </w:rPr>
        <w:t>filed on April 28</w:t>
      </w:r>
      <w:r w:rsidRPr="00190781">
        <w:rPr>
          <w:color w:val="000000"/>
          <w:sz w:val="26"/>
        </w:rPr>
        <w:t>, 2014, to the Initial Decision of Administ</w:t>
      </w:r>
      <w:r w:rsidR="00D9360A" w:rsidRPr="00190781">
        <w:rPr>
          <w:color w:val="000000"/>
          <w:sz w:val="26"/>
        </w:rPr>
        <w:t>rative Law Judge Dennis J. Buckley</w:t>
      </w:r>
      <w:r w:rsidRPr="00190781">
        <w:rPr>
          <w:color w:val="000000"/>
          <w:sz w:val="26"/>
        </w:rPr>
        <w:t>, are</w:t>
      </w:r>
      <w:r w:rsidR="00190781" w:rsidRPr="00190781">
        <w:rPr>
          <w:color w:val="000000"/>
          <w:sz w:val="26"/>
        </w:rPr>
        <w:t xml:space="preserve"> granted, in part, and</w:t>
      </w:r>
      <w:r w:rsidRPr="00190781">
        <w:rPr>
          <w:sz w:val="26"/>
          <w:szCs w:val="26"/>
        </w:rPr>
        <w:t xml:space="preserve"> denied</w:t>
      </w:r>
      <w:r w:rsidR="00190781" w:rsidRPr="00190781">
        <w:rPr>
          <w:sz w:val="26"/>
          <w:szCs w:val="26"/>
        </w:rPr>
        <w:t>, in part, consistent with this Opinion and Order</w:t>
      </w:r>
      <w:r w:rsidRPr="00190781">
        <w:rPr>
          <w:sz w:val="26"/>
          <w:szCs w:val="26"/>
        </w:rPr>
        <w:t>.</w:t>
      </w:r>
    </w:p>
    <w:p w:rsidR="009C432A" w:rsidRPr="00190781" w:rsidRDefault="009C432A" w:rsidP="009C432A">
      <w:pPr>
        <w:widowControl/>
        <w:spacing w:line="360" w:lineRule="auto"/>
        <w:ind w:left="1440"/>
        <w:rPr>
          <w:sz w:val="26"/>
          <w:szCs w:val="26"/>
        </w:rPr>
      </w:pPr>
    </w:p>
    <w:p w:rsidR="009C432A" w:rsidRPr="00190781" w:rsidRDefault="009C432A" w:rsidP="009C432A">
      <w:pPr>
        <w:widowControl/>
        <w:numPr>
          <w:ilvl w:val="0"/>
          <w:numId w:val="1"/>
        </w:numPr>
        <w:tabs>
          <w:tab w:val="clear" w:pos="2160"/>
          <w:tab w:val="num" w:pos="0"/>
        </w:tabs>
        <w:spacing w:line="360" w:lineRule="auto"/>
        <w:ind w:left="0" w:firstLine="1440"/>
        <w:rPr>
          <w:sz w:val="26"/>
          <w:szCs w:val="26"/>
        </w:rPr>
      </w:pPr>
      <w:r w:rsidRPr="00190781">
        <w:rPr>
          <w:sz w:val="26"/>
          <w:szCs w:val="26"/>
        </w:rPr>
        <w:t xml:space="preserve">That the Initial Decision of Administrative Law </w:t>
      </w:r>
      <w:r w:rsidRPr="00190781">
        <w:rPr>
          <w:color w:val="000000"/>
          <w:sz w:val="26"/>
        </w:rPr>
        <w:t xml:space="preserve">Judge </w:t>
      </w:r>
      <w:r w:rsidR="00D9360A" w:rsidRPr="00190781">
        <w:rPr>
          <w:color w:val="000000"/>
          <w:sz w:val="26"/>
        </w:rPr>
        <w:t>Dennis</w:t>
      </w:r>
      <w:r w:rsidR="009E7CE0">
        <w:rPr>
          <w:color w:val="000000"/>
          <w:sz w:val="26"/>
        </w:rPr>
        <w:t> </w:t>
      </w:r>
      <w:r w:rsidR="00D9360A" w:rsidRPr="00190781">
        <w:rPr>
          <w:color w:val="000000"/>
          <w:sz w:val="26"/>
        </w:rPr>
        <w:t>J</w:t>
      </w:r>
      <w:r w:rsidR="009E7CE0">
        <w:rPr>
          <w:color w:val="000000"/>
          <w:sz w:val="40"/>
        </w:rPr>
        <w:t>. </w:t>
      </w:r>
      <w:r w:rsidR="00D9360A" w:rsidRPr="00190781">
        <w:rPr>
          <w:color w:val="000000"/>
          <w:sz w:val="26"/>
        </w:rPr>
        <w:t>Buckley</w:t>
      </w:r>
      <w:r w:rsidRPr="00190781">
        <w:rPr>
          <w:sz w:val="26"/>
          <w:szCs w:val="26"/>
        </w:rPr>
        <w:t xml:space="preserve">, issued </w:t>
      </w:r>
      <w:r w:rsidR="00D9360A" w:rsidRPr="00190781">
        <w:rPr>
          <w:sz w:val="26"/>
          <w:szCs w:val="26"/>
        </w:rPr>
        <w:t>on April 15</w:t>
      </w:r>
      <w:r w:rsidR="00190781" w:rsidRPr="00190781">
        <w:rPr>
          <w:sz w:val="26"/>
          <w:szCs w:val="26"/>
        </w:rPr>
        <w:t xml:space="preserve">, 2014, is </w:t>
      </w:r>
      <w:r w:rsidR="007D7FAB">
        <w:rPr>
          <w:sz w:val="26"/>
          <w:szCs w:val="26"/>
        </w:rPr>
        <w:t>vacated</w:t>
      </w:r>
      <w:r w:rsidR="00190781" w:rsidRPr="00190781">
        <w:rPr>
          <w:sz w:val="26"/>
          <w:szCs w:val="26"/>
        </w:rPr>
        <w:t xml:space="preserve">, consistent with </w:t>
      </w:r>
      <w:r w:rsidRPr="00190781">
        <w:rPr>
          <w:sz w:val="26"/>
          <w:szCs w:val="26"/>
        </w:rPr>
        <w:t>this Opinion and Order.</w:t>
      </w:r>
    </w:p>
    <w:p w:rsidR="009C432A" w:rsidRPr="00190781" w:rsidRDefault="009C432A" w:rsidP="009C432A">
      <w:pPr>
        <w:widowControl/>
        <w:spacing w:line="360" w:lineRule="auto"/>
        <w:rPr>
          <w:sz w:val="26"/>
          <w:szCs w:val="26"/>
        </w:rPr>
      </w:pPr>
    </w:p>
    <w:p w:rsidR="009C432A" w:rsidRPr="005E2D5B" w:rsidRDefault="009C432A" w:rsidP="003862CD">
      <w:pPr>
        <w:pStyle w:val="ListParagraph"/>
        <w:keepNext/>
        <w:widowControl/>
        <w:numPr>
          <w:ilvl w:val="0"/>
          <w:numId w:val="1"/>
        </w:numPr>
        <w:spacing w:line="360" w:lineRule="auto"/>
        <w:ind w:left="0" w:firstLine="1440"/>
        <w:rPr>
          <w:sz w:val="26"/>
          <w:szCs w:val="26"/>
        </w:rPr>
      </w:pPr>
      <w:r w:rsidRPr="005E2D5B">
        <w:rPr>
          <w:sz w:val="26"/>
          <w:szCs w:val="26"/>
        </w:rPr>
        <w:lastRenderedPageBreak/>
        <w:t>T</w:t>
      </w:r>
      <w:r w:rsidR="00190781" w:rsidRPr="005E2D5B">
        <w:rPr>
          <w:sz w:val="26"/>
          <w:szCs w:val="26"/>
        </w:rPr>
        <w:t xml:space="preserve">hat this proceeding at Docket No. F-2013-2342492 </w:t>
      </w:r>
      <w:r w:rsidR="005E2D5B" w:rsidRPr="005E2D5B">
        <w:rPr>
          <w:sz w:val="26"/>
          <w:szCs w:val="26"/>
        </w:rPr>
        <w:t xml:space="preserve">is remanded to the Office of Administrative Law Judge for further hearing </w:t>
      </w:r>
      <w:r w:rsidR="004036B6" w:rsidRPr="005E73F1">
        <w:rPr>
          <w:sz w:val="26"/>
          <w:szCs w:val="26"/>
        </w:rPr>
        <w:t>and the issuance of an Initial Decision on Remand,</w:t>
      </w:r>
      <w:r w:rsidR="004036B6">
        <w:rPr>
          <w:sz w:val="26"/>
          <w:szCs w:val="26"/>
        </w:rPr>
        <w:t xml:space="preserve"> </w:t>
      </w:r>
      <w:r w:rsidR="005E2D5B" w:rsidRPr="005E2D5B">
        <w:rPr>
          <w:sz w:val="26"/>
          <w:szCs w:val="26"/>
        </w:rPr>
        <w:t>in order to determine whether the Complainant received any benefit from the electric service provided by PPL Electric Utilities Corporation to the Complainant</w:t>
      </w:r>
      <w:r w:rsidR="00C23D6B">
        <w:rPr>
          <w:sz w:val="26"/>
          <w:szCs w:val="26"/>
        </w:rPr>
        <w:t>’</w:t>
      </w:r>
      <w:r w:rsidR="005E2D5B" w:rsidRPr="005E2D5B">
        <w:rPr>
          <w:sz w:val="26"/>
          <w:szCs w:val="26"/>
        </w:rPr>
        <w:t>s mother-in-law and estranged husband duri</w:t>
      </w:r>
      <w:r w:rsidR="00443EBB">
        <w:rPr>
          <w:sz w:val="26"/>
          <w:szCs w:val="26"/>
        </w:rPr>
        <w:t>ng the time periods in which tho</w:t>
      </w:r>
      <w:r w:rsidR="005E2D5B" w:rsidRPr="005E2D5B">
        <w:rPr>
          <w:sz w:val="26"/>
          <w:szCs w:val="26"/>
        </w:rPr>
        <w:t xml:space="preserve">se individuals resided in Apartment 1 at </w:t>
      </w:r>
      <w:r w:rsidR="005E2D5B">
        <w:rPr>
          <w:sz w:val="26"/>
          <w:szCs w:val="26"/>
        </w:rPr>
        <w:t>3985 Locust Grove Road, Columbia, Pennsylvania.</w:t>
      </w:r>
    </w:p>
    <w:p w:rsidR="009C432A" w:rsidRPr="00E57320" w:rsidRDefault="009C432A" w:rsidP="003862CD">
      <w:pPr>
        <w:keepNext/>
        <w:widowControl/>
        <w:rPr>
          <w:sz w:val="26"/>
          <w:szCs w:val="26"/>
        </w:rPr>
      </w:pPr>
    </w:p>
    <w:p w:rsidR="00107A0C" w:rsidRPr="00E57320" w:rsidRDefault="00107A0C" w:rsidP="003862CD">
      <w:pPr>
        <w:keepNext/>
        <w:widowControl/>
        <w:rPr>
          <w:sz w:val="26"/>
          <w:szCs w:val="26"/>
        </w:rPr>
      </w:pPr>
    </w:p>
    <w:p w:rsidR="00CA43A5" w:rsidRPr="00E57320" w:rsidRDefault="00574A6D" w:rsidP="003862CD">
      <w:pPr>
        <w:keepNext/>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7AD5FEA0" wp14:editId="7E9628A5">
            <wp:simplePos x="0" y="0"/>
            <wp:positionH relativeFrom="column">
              <wp:posOffset>2864485</wp:posOffset>
            </wp:positionH>
            <wp:positionV relativeFrom="paragraph">
              <wp:posOffset>105410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E57320">
        <w:rPr>
          <w:b/>
          <w:sz w:val="26"/>
          <w:szCs w:val="26"/>
        </w:rPr>
        <w:t>BY THE COMMISSION,</w:t>
      </w:r>
    </w:p>
    <w:p w:rsidR="00CA43A5" w:rsidRPr="00E57320" w:rsidRDefault="00CA43A5" w:rsidP="003862CD">
      <w:pPr>
        <w:keepNext/>
        <w:widowControl/>
        <w:tabs>
          <w:tab w:val="left" w:pos="-720"/>
        </w:tabs>
        <w:rPr>
          <w:sz w:val="26"/>
          <w:szCs w:val="26"/>
        </w:rPr>
      </w:pPr>
    </w:p>
    <w:p w:rsidR="00CA43A5" w:rsidRDefault="00CA43A5" w:rsidP="003862CD">
      <w:pPr>
        <w:keepNext/>
        <w:widowControl/>
        <w:tabs>
          <w:tab w:val="left" w:pos="-720"/>
        </w:tabs>
        <w:rPr>
          <w:sz w:val="26"/>
          <w:szCs w:val="26"/>
        </w:rPr>
      </w:pPr>
    </w:p>
    <w:p w:rsidR="009A7553" w:rsidRPr="00E57320" w:rsidRDefault="009A7553" w:rsidP="003862CD">
      <w:pPr>
        <w:keepNext/>
        <w:widowControl/>
        <w:tabs>
          <w:tab w:val="left" w:pos="-720"/>
        </w:tabs>
        <w:rPr>
          <w:sz w:val="26"/>
          <w:szCs w:val="26"/>
        </w:rPr>
      </w:pPr>
    </w:p>
    <w:p w:rsidR="00107A0C" w:rsidRPr="00E57320" w:rsidRDefault="00107A0C" w:rsidP="003862CD">
      <w:pPr>
        <w:keepNext/>
        <w:widowControl/>
        <w:tabs>
          <w:tab w:val="left" w:pos="-720"/>
        </w:tabs>
        <w:rPr>
          <w:sz w:val="26"/>
          <w:szCs w:val="26"/>
        </w:rPr>
      </w:pPr>
    </w:p>
    <w:p w:rsidR="00CA43A5" w:rsidRPr="005C2650" w:rsidRDefault="00564565" w:rsidP="003862CD">
      <w:pPr>
        <w:keepNext/>
        <w:widowControl/>
        <w:tabs>
          <w:tab w:val="left" w:pos="-720"/>
        </w:tabs>
        <w:ind w:firstLine="5040"/>
        <w:rPr>
          <w:b/>
          <w:sz w:val="26"/>
          <w:szCs w:val="26"/>
        </w:rPr>
      </w:pPr>
      <w:r w:rsidRPr="00E57320">
        <w:rPr>
          <w:sz w:val="26"/>
          <w:szCs w:val="26"/>
        </w:rPr>
        <w:t>Rosemary Chiavetta</w:t>
      </w:r>
    </w:p>
    <w:p w:rsidR="00CA43A5" w:rsidRPr="005C2650" w:rsidRDefault="00CA43A5" w:rsidP="003862CD">
      <w:pPr>
        <w:keepNext/>
        <w:widowControl/>
        <w:tabs>
          <w:tab w:val="left" w:pos="-720"/>
        </w:tabs>
        <w:ind w:firstLine="5040"/>
        <w:rPr>
          <w:sz w:val="26"/>
          <w:szCs w:val="26"/>
        </w:rPr>
      </w:pPr>
      <w:r w:rsidRPr="005C2650">
        <w:rPr>
          <w:sz w:val="26"/>
          <w:szCs w:val="26"/>
        </w:rPr>
        <w:t>Secretary</w:t>
      </w:r>
    </w:p>
    <w:p w:rsidR="00CA43A5" w:rsidRPr="005C2650" w:rsidRDefault="00CA43A5" w:rsidP="003862CD">
      <w:pPr>
        <w:keepNext/>
        <w:widowControl/>
        <w:tabs>
          <w:tab w:val="left" w:pos="-720"/>
        </w:tabs>
        <w:rPr>
          <w:sz w:val="26"/>
          <w:szCs w:val="26"/>
        </w:rPr>
      </w:pPr>
    </w:p>
    <w:p w:rsidR="00CA43A5" w:rsidRPr="005C2650" w:rsidRDefault="00CA43A5" w:rsidP="003862CD">
      <w:pPr>
        <w:keepNext/>
        <w:widowControl/>
        <w:tabs>
          <w:tab w:val="left" w:pos="-720"/>
        </w:tabs>
        <w:rPr>
          <w:sz w:val="26"/>
          <w:szCs w:val="26"/>
        </w:rPr>
      </w:pPr>
      <w:r w:rsidRPr="005C2650">
        <w:rPr>
          <w:sz w:val="26"/>
          <w:szCs w:val="26"/>
        </w:rPr>
        <w:t>(SEAL)</w:t>
      </w:r>
    </w:p>
    <w:p w:rsidR="00CA43A5" w:rsidRPr="005C2650" w:rsidRDefault="00CA43A5" w:rsidP="003862CD">
      <w:pPr>
        <w:keepNext/>
        <w:widowControl/>
        <w:tabs>
          <w:tab w:val="left" w:pos="-720"/>
        </w:tabs>
        <w:rPr>
          <w:sz w:val="26"/>
          <w:szCs w:val="26"/>
        </w:rPr>
      </w:pPr>
    </w:p>
    <w:p w:rsidR="00CA43A5" w:rsidRPr="005C2650" w:rsidRDefault="00CA43A5" w:rsidP="003862CD">
      <w:pPr>
        <w:keepNext/>
        <w:widowControl/>
        <w:tabs>
          <w:tab w:val="left" w:pos="-720"/>
        </w:tabs>
        <w:rPr>
          <w:sz w:val="26"/>
          <w:szCs w:val="26"/>
        </w:rPr>
      </w:pPr>
      <w:r w:rsidRPr="005C2650">
        <w:rPr>
          <w:sz w:val="26"/>
          <w:szCs w:val="26"/>
        </w:rPr>
        <w:t xml:space="preserve">ORDER ADOPTED: </w:t>
      </w:r>
      <w:r w:rsidR="005C2650">
        <w:rPr>
          <w:sz w:val="26"/>
          <w:szCs w:val="26"/>
        </w:rPr>
        <w:t>October 2</w:t>
      </w:r>
      <w:r w:rsidR="00CB3106">
        <w:rPr>
          <w:sz w:val="26"/>
          <w:szCs w:val="26"/>
        </w:rPr>
        <w:t>3</w:t>
      </w:r>
      <w:r w:rsidR="006A0DB1" w:rsidRPr="005C2650">
        <w:rPr>
          <w:sz w:val="26"/>
          <w:szCs w:val="26"/>
        </w:rPr>
        <w:t>, 2014</w:t>
      </w:r>
    </w:p>
    <w:p w:rsidR="00107A0C" w:rsidRPr="005C2650" w:rsidRDefault="00107A0C" w:rsidP="003862CD">
      <w:pPr>
        <w:keepNext/>
        <w:widowControl/>
        <w:tabs>
          <w:tab w:val="left" w:pos="-720"/>
        </w:tabs>
        <w:rPr>
          <w:sz w:val="26"/>
          <w:szCs w:val="26"/>
        </w:rPr>
      </w:pPr>
    </w:p>
    <w:p w:rsidR="00344804" w:rsidRPr="00CA43A5" w:rsidRDefault="00CA43A5" w:rsidP="003862CD">
      <w:pPr>
        <w:keepNext/>
        <w:widowControl/>
        <w:tabs>
          <w:tab w:val="left" w:pos="-720"/>
        </w:tabs>
        <w:rPr>
          <w:sz w:val="26"/>
          <w:szCs w:val="26"/>
        </w:rPr>
      </w:pPr>
      <w:r w:rsidRPr="005C2650">
        <w:rPr>
          <w:sz w:val="26"/>
          <w:szCs w:val="26"/>
        </w:rPr>
        <w:t xml:space="preserve">ORDER ENTERED:  </w:t>
      </w:r>
      <w:r w:rsidR="00574A6D">
        <w:rPr>
          <w:sz w:val="26"/>
          <w:szCs w:val="26"/>
        </w:rPr>
        <w:t>December 3, 2014</w:t>
      </w:r>
      <w:bookmarkStart w:id="2" w:name="_GoBack"/>
      <w:bookmarkEnd w:id="2"/>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E8" w:rsidRDefault="00ED7EE8" w:rsidP="00F7174B">
      <w:r>
        <w:separator/>
      </w:r>
    </w:p>
  </w:endnote>
  <w:endnote w:type="continuationSeparator" w:id="0">
    <w:p w:rsidR="00ED7EE8" w:rsidRDefault="00ED7EE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574A6D">
          <w:rPr>
            <w:noProof/>
            <w:sz w:val="26"/>
            <w:szCs w:val="26"/>
          </w:rPr>
          <w:t>14</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E8" w:rsidRDefault="00ED7EE8" w:rsidP="00F7174B">
      <w:r>
        <w:separator/>
      </w:r>
    </w:p>
  </w:footnote>
  <w:footnote w:type="continuationSeparator" w:id="0">
    <w:p w:rsidR="00ED7EE8" w:rsidRDefault="00ED7EE8" w:rsidP="00F7174B">
      <w:r>
        <w:continuationSeparator/>
      </w:r>
    </w:p>
  </w:footnote>
  <w:footnote w:id="1">
    <w:p w:rsidR="00D8327E" w:rsidRPr="00D8327E" w:rsidRDefault="00D8327E" w:rsidP="000B2A4A">
      <w:pPr>
        <w:pStyle w:val="FootnoteText"/>
        <w:ind w:firstLine="720"/>
        <w:rPr>
          <w:sz w:val="26"/>
          <w:szCs w:val="26"/>
        </w:rPr>
      </w:pPr>
      <w:r w:rsidRPr="00D8327E">
        <w:rPr>
          <w:rStyle w:val="FootnoteReference"/>
          <w:sz w:val="26"/>
          <w:szCs w:val="26"/>
        </w:rPr>
        <w:footnoteRef/>
      </w:r>
      <w:r>
        <w:rPr>
          <w:sz w:val="26"/>
          <w:szCs w:val="26"/>
        </w:rPr>
        <w:tab/>
        <w:t xml:space="preserve">On </w:t>
      </w:r>
      <w:r w:rsidR="004D16E8">
        <w:rPr>
          <w:sz w:val="26"/>
          <w:szCs w:val="26"/>
        </w:rPr>
        <w:t>May 1, 2014</w:t>
      </w:r>
      <w:r>
        <w:rPr>
          <w:sz w:val="26"/>
          <w:szCs w:val="26"/>
        </w:rPr>
        <w:t>, the Commission’s Secretary’s Bureau issued a letter to the Parties stating that the Complainant’s timely filed Exceptions did not contain a certificate of service or other indication that</w:t>
      </w:r>
      <w:r w:rsidR="002A32CC">
        <w:rPr>
          <w:sz w:val="26"/>
          <w:szCs w:val="26"/>
        </w:rPr>
        <w:t xml:space="preserve"> the Complainant</w:t>
      </w:r>
      <w:r>
        <w:rPr>
          <w:sz w:val="26"/>
          <w:szCs w:val="26"/>
        </w:rPr>
        <w:t xml:space="preserve"> served the Respondent with the Exceptions.  Thus, the Secretary’s Bureau enclosed a service copy of the Exceptions</w:t>
      </w:r>
      <w:r w:rsidR="002A32CC">
        <w:rPr>
          <w:sz w:val="26"/>
          <w:szCs w:val="26"/>
        </w:rPr>
        <w:t xml:space="preserve"> with the Secretarial Letter</w:t>
      </w:r>
      <w:r>
        <w:rPr>
          <w:sz w:val="26"/>
          <w:szCs w:val="26"/>
        </w:rPr>
        <w:t>.</w:t>
      </w:r>
    </w:p>
  </w:footnote>
  <w:footnote w:id="2">
    <w:p w:rsidR="00D56D07" w:rsidRPr="00185F18" w:rsidRDefault="00D56D07" w:rsidP="00D56D07">
      <w:pPr>
        <w:widowControl/>
        <w:rPr>
          <w:sz w:val="26"/>
          <w:szCs w:val="26"/>
        </w:rPr>
      </w:pPr>
      <w:r w:rsidRPr="00185F18">
        <w:rPr>
          <w:sz w:val="26"/>
          <w:szCs w:val="26"/>
        </w:rPr>
        <w:tab/>
      </w:r>
      <w:r w:rsidRPr="00185F18">
        <w:rPr>
          <w:rStyle w:val="FootnoteReference"/>
          <w:sz w:val="26"/>
          <w:szCs w:val="26"/>
        </w:rPr>
        <w:footnoteRef/>
      </w:r>
      <w:r w:rsidRPr="00185F18">
        <w:rPr>
          <w:sz w:val="26"/>
          <w:szCs w:val="26"/>
        </w:rPr>
        <w:tab/>
        <w:t>The</w:t>
      </w:r>
      <w:r>
        <w:rPr>
          <w:sz w:val="26"/>
          <w:szCs w:val="26"/>
        </w:rPr>
        <w:t xml:space="preserve"> Complaint, which </w:t>
      </w:r>
      <w:r w:rsidR="00E332A7">
        <w:rPr>
          <w:sz w:val="26"/>
          <w:szCs w:val="26"/>
        </w:rPr>
        <w:t>was served on PPL on January 10, 2013</w:t>
      </w:r>
      <w:r>
        <w:rPr>
          <w:sz w:val="26"/>
          <w:szCs w:val="26"/>
        </w:rPr>
        <w:t>, is</w:t>
      </w:r>
      <w:r w:rsidRPr="00D56D07">
        <w:rPr>
          <w:sz w:val="26"/>
          <w:szCs w:val="26"/>
        </w:rPr>
        <w:t xml:space="preserve"> </w:t>
      </w:r>
      <w:r w:rsidR="00E332A7">
        <w:rPr>
          <w:sz w:val="26"/>
          <w:szCs w:val="26"/>
        </w:rPr>
        <w:t>a timely appeal from a November 26</w:t>
      </w:r>
      <w:r w:rsidRPr="00185F18">
        <w:rPr>
          <w:sz w:val="26"/>
          <w:szCs w:val="26"/>
        </w:rPr>
        <w:t>, 2012 decision issued by the Commission’s B</w:t>
      </w:r>
      <w:r>
        <w:rPr>
          <w:sz w:val="26"/>
          <w:szCs w:val="26"/>
        </w:rPr>
        <w:t>ureau of Consumer Services</w:t>
      </w:r>
      <w:r w:rsidR="00E332A7">
        <w:rPr>
          <w:sz w:val="26"/>
          <w:szCs w:val="26"/>
        </w:rPr>
        <w:t xml:space="preserve"> at Case No. 3010341</w:t>
      </w:r>
      <w:r w:rsidRPr="00185F18">
        <w:rPr>
          <w:sz w:val="26"/>
          <w:szCs w:val="26"/>
        </w:rPr>
        <w:t>.</w:t>
      </w:r>
    </w:p>
    <w:p w:rsidR="00D56D07" w:rsidRDefault="00D56D07" w:rsidP="00D56D07">
      <w:pPr>
        <w:pStyle w:val="FootnoteText"/>
        <w:rPr>
          <w:sz w:val="26"/>
          <w:szCs w:val="26"/>
        </w:rPr>
      </w:pPr>
    </w:p>
    <w:p w:rsidR="00D56D07" w:rsidRPr="009E6D4A" w:rsidRDefault="00D56D07" w:rsidP="00D56D07">
      <w:pPr>
        <w:pStyle w:val="FootnoteText"/>
        <w:spacing w:line="60" w:lineRule="auto"/>
        <w:rPr>
          <w:sz w:val="26"/>
          <w:szCs w:val="26"/>
        </w:rPr>
      </w:pPr>
    </w:p>
  </w:footnote>
  <w:footnote w:id="3">
    <w:p w:rsidR="0082695B" w:rsidRPr="00947BFD" w:rsidRDefault="0082695B" w:rsidP="0082695B">
      <w:pPr>
        <w:pStyle w:val="FootnoteText"/>
        <w:keepLines/>
        <w:tabs>
          <w:tab w:val="left" w:pos="720"/>
          <w:tab w:val="left" w:pos="1440"/>
        </w:tabs>
      </w:pPr>
      <w:r w:rsidRPr="009D5A47">
        <w:tab/>
      </w:r>
      <w:r w:rsidRPr="009D5A47">
        <w:rPr>
          <w:rStyle w:val="FootnoteReference"/>
          <w:sz w:val="26"/>
          <w:szCs w:val="26"/>
        </w:rPr>
        <w:footnoteRef/>
      </w:r>
      <w:r w:rsidRPr="009D5A47">
        <w:rPr>
          <w:sz w:val="26"/>
          <w:szCs w:val="26"/>
        </w:rPr>
        <w:tab/>
        <w:t>We note</w:t>
      </w:r>
      <w:r w:rsidRPr="009D5A47">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w:t>
      </w:r>
      <w:proofErr w:type="gramStart"/>
      <w:r w:rsidRPr="009D5A47">
        <w:rPr>
          <w:sz w:val="26"/>
        </w:rPr>
        <w:t>52 Pa. Code § 5.533(b).</w:t>
      </w:r>
      <w:proofErr w:type="gramEnd"/>
      <w:r w:rsidRPr="009D5A47">
        <w:rPr>
          <w:sz w:val="26"/>
        </w:rPr>
        <w:t xml:space="preserve">  Nevert</w:t>
      </w:r>
      <w:r>
        <w:rPr>
          <w:sz w:val="26"/>
        </w:rPr>
        <w:t>heless, because the Complainant is</w:t>
      </w:r>
      <w:r w:rsidRPr="009D5A47">
        <w:rPr>
          <w:sz w:val="26"/>
        </w:rPr>
        <w:t xml:space="preserve">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w:t>
      </w:r>
      <w:proofErr w:type="gramStart"/>
      <w:r w:rsidRPr="009D5A47">
        <w:rPr>
          <w:sz w:val="26"/>
        </w:rPr>
        <w:t>52 Pa. Code § 1.2(a).</w:t>
      </w:r>
      <w:proofErr w:type="gramEnd"/>
    </w:p>
  </w:footnote>
  <w:footnote w:id="4">
    <w:p w:rsidR="00A90EDF" w:rsidRPr="00A90EDF" w:rsidRDefault="00A90EDF">
      <w:pPr>
        <w:pStyle w:val="FootnoteText"/>
        <w:rPr>
          <w:sz w:val="26"/>
          <w:szCs w:val="26"/>
        </w:rPr>
      </w:pPr>
      <w:r>
        <w:rPr>
          <w:sz w:val="26"/>
          <w:szCs w:val="26"/>
        </w:rPr>
        <w:tab/>
      </w:r>
      <w:r w:rsidRPr="00A90EDF">
        <w:rPr>
          <w:rStyle w:val="FootnoteReference"/>
          <w:sz w:val="26"/>
          <w:szCs w:val="26"/>
        </w:rPr>
        <w:footnoteRef/>
      </w:r>
      <w:r>
        <w:rPr>
          <w:sz w:val="26"/>
          <w:szCs w:val="26"/>
        </w:rPr>
        <w:tab/>
      </w:r>
      <w:r w:rsidR="001C4470">
        <w:rPr>
          <w:sz w:val="26"/>
          <w:szCs w:val="26"/>
        </w:rPr>
        <w:t xml:space="preserve">The Complainant </w:t>
      </w:r>
      <w:r w:rsidR="00514AD1">
        <w:rPr>
          <w:sz w:val="26"/>
          <w:szCs w:val="26"/>
        </w:rPr>
        <w:t xml:space="preserve">further </w:t>
      </w:r>
      <w:r w:rsidR="001C4470">
        <w:rPr>
          <w:sz w:val="26"/>
          <w:szCs w:val="26"/>
        </w:rPr>
        <w:t>states</w:t>
      </w:r>
      <w:r>
        <w:rPr>
          <w:sz w:val="26"/>
          <w:szCs w:val="26"/>
        </w:rPr>
        <w:t xml:space="preserve"> that she received a dupl</w:t>
      </w:r>
      <w:r w:rsidR="003968A0">
        <w:rPr>
          <w:sz w:val="26"/>
          <w:szCs w:val="26"/>
        </w:rPr>
        <w:t>icate of the documents providing</w:t>
      </w:r>
      <w:r>
        <w:rPr>
          <w:sz w:val="26"/>
          <w:szCs w:val="26"/>
        </w:rPr>
        <w:t xml:space="preserve"> the hearing information a few days after receiving the original packet of information.  </w:t>
      </w:r>
      <w:proofErr w:type="gramStart"/>
      <w:r>
        <w:rPr>
          <w:sz w:val="26"/>
          <w:szCs w:val="26"/>
        </w:rPr>
        <w:t>Exc. at 1.</w:t>
      </w:r>
      <w:proofErr w:type="gramEnd"/>
    </w:p>
  </w:footnote>
  <w:footnote w:id="5">
    <w:p w:rsidR="00CC1AEB" w:rsidRPr="00755131" w:rsidRDefault="00CC1AEB" w:rsidP="00495E7D">
      <w:pPr>
        <w:pStyle w:val="FootnoteText"/>
        <w:keepLines/>
        <w:widowControl/>
        <w:rPr>
          <w:sz w:val="26"/>
          <w:szCs w:val="26"/>
        </w:rPr>
      </w:pPr>
      <w:r>
        <w:rPr>
          <w:sz w:val="26"/>
          <w:szCs w:val="26"/>
        </w:rPr>
        <w:tab/>
      </w:r>
      <w:r w:rsidRPr="00755131">
        <w:rPr>
          <w:rStyle w:val="FootnoteReference"/>
          <w:sz w:val="26"/>
          <w:szCs w:val="26"/>
        </w:rPr>
        <w:footnoteRef/>
      </w:r>
      <w:r>
        <w:rPr>
          <w:sz w:val="26"/>
          <w:szCs w:val="26"/>
        </w:rPr>
        <w:tab/>
        <w:t xml:space="preserve">In his Finding of Fact No. 14, the ALJ stated that </w:t>
      </w:r>
      <w:r w:rsidR="001D5AA0">
        <w:rPr>
          <w:sz w:val="26"/>
          <w:szCs w:val="26"/>
        </w:rPr>
        <w:t xml:space="preserve">all amounts for </w:t>
      </w:r>
      <w:r w:rsidR="00D81DAC">
        <w:rPr>
          <w:sz w:val="26"/>
          <w:szCs w:val="26"/>
        </w:rPr>
        <w:t>electric service used at the Service Address</w:t>
      </w:r>
      <w:r w:rsidR="001D5AA0">
        <w:rPr>
          <w:sz w:val="26"/>
          <w:szCs w:val="26"/>
        </w:rPr>
        <w:t xml:space="preserve"> and owed by the Complainant</w:t>
      </w:r>
      <w:r w:rsidR="00D81DAC">
        <w:rPr>
          <w:sz w:val="26"/>
          <w:szCs w:val="26"/>
        </w:rPr>
        <w:t xml:space="preserve"> we</w:t>
      </w:r>
      <w:r w:rsidR="008200E1">
        <w:rPr>
          <w:sz w:val="26"/>
          <w:szCs w:val="26"/>
        </w:rPr>
        <w:t>re ultimately transferred to a single</w:t>
      </w:r>
      <w:r w:rsidR="00D81DAC">
        <w:rPr>
          <w:sz w:val="26"/>
          <w:szCs w:val="26"/>
        </w:rPr>
        <w:t xml:space="preserve"> account</w:t>
      </w:r>
      <w:r>
        <w:rPr>
          <w:sz w:val="26"/>
          <w:szCs w:val="26"/>
        </w:rPr>
        <w:t xml:space="preserve">.  I.D. at 4 (citing Tr. at 46, 62; PPL </w:t>
      </w:r>
      <w:proofErr w:type="spellStart"/>
      <w:r>
        <w:rPr>
          <w:sz w:val="26"/>
          <w:szCs w:val="26"/>
        </w:rPr>
        <w:t>Exh</w:t>
      </w:r>
      <w:proofErr w:type="spellEnd"/>
      <w:r>
        <w:rPr>
          <w:sz w:val="26"/>
          <w:szCs w:val="26"/>
        </w:rPr>
        <w:t>. 2-A.</w:t>
      </w:r>
      <w:r w:rsidR="004D16E8">
        <w:rPr>
          <w:sz w:val="26"/>
          <w:szCs w:val="26"/>
        </w:rPr>
        <w:t>)</w:t>
      </w:r>
      <w:r>
        <w:rPr>
          <w:sz w:val="26"/>
          <w:szCs w:val="26"/>
        </w:rPr>
        <w:t xml:space="preserve">  However, the record indicates that, at the time of the hearing, the Complainant was receiving service under four separate accounts, each of which carried a different balance.  </w:t>
      </w:r>
      <w:proofErr w:type="gramStart"/>
      <w:r>
        <w:rPr>
          <w:sz w:val="26"/>
          <w:szCs w:val="26"/>
        </w:rPr>
        <w:t>Tr. at 36, 42, 45-</w:t>
      </w:r>
      <w:r w:rsidR="00330E37">
        <w:rPr>
          <w:sz w:val="26"/>
          <w:szCs w:val="26"/>
        </w:rPr>
        <w:t>47;</w:t>
      </w:r>
      <w:r>
        <w:rPr>
          <w:sz w:val="26"/>
          <w:szCs w:val="26"/>
        </w:rPr>
        <w:t xml:space="preserve"> PPL </w:t>
      </w:r>
      <w:proofErr w:type="spellStart"/>
      <w:r>
        <w:rPr>
          <w:sz w:val="26"/>
          <w:szCs w:val="26"/>
        </w:rPr>
        <w:t>Exhs</w:t>
      </w:r>
      <w:proofErr w:type="spellEnd"/>
      <w:r>
        <w:rPr>
          <w:sz w:val="26"/>
          <w:szCs w:val="26"/>
        </w:rPr>
        <w:t>.</w:t>
      </w:r>
      <w:proofErr w:type="gramEnd"/>
      <w:r>
        <w:rPr>
          <w:sz w:val="26"/>
          <w:szCs w:val="26"/>
        </w:rPr>
        <w:t xml:space="preserve"> </w:t>
      </w:r>
      <w:proofErr w:type="gramStart"/>
      <w:r>
        <w:rPr>
          <w:sz w:val="26"/>
          <w:szCs w:val="26"/>
        </w:rPr>
        <w:t>1F,</w:t>
      </w:r>
      <w:r w:rsidRPr="00751075">
        <w:rPr>
          <w:sz w:val="26"/>
          <w:szCs w:val="26"/>
        </w:rPr>
        <w:t xml:space="preserve"> </w:t>
      </w:r>
      <w:r>
        <w:rPr>
          <w:sz w:val="26"/>
          <w:szCs w:val="26"/>
        </w:rPr>
        <w:t>1I, 1J, 1K.</w:t>
      </w:r>
      <w:proofErr w:type="gramEnd"/>
    </w:p>
  </w:footnote>
  <w:footnote w:id="6">
    <w:p w:rsidR="00E834EA" w:rsidRPr="00E834EA" w:rsidRDefault="00E834EA" w:rsidP="00E834EA">
      <w:pPr>
        <w:pStyle w:val="FootnoteText"/>
        <w:keepLines/>
        <w:widowControl/>
        <w:rPr>
          <w:sz w:val="26"/>
          <w:szCs w:val="26"/>
        </w:rPr>
      </w:pPr>
      <w:r>
        <w:rPr>
          <w:sz w:val="26"/>
          <w:szCs w:val="26"/>
        </w:rPr>
        <w:tab/>
      </w:r>
      <w:r w:rsidRPr="00E834EA">
        <w:rPr>
          <w:rStyle w:val="FootnoteReference"/>
          <w:sz w:val="26"/>
          <w:szCs w:val="26"/>
        </w:rPr>
        <w:footnoteRef/>
      </w:r>
      <w:r>
        <w:rPr>
          <w:sz w:val="26"/>
          <w:szCs w:val="26"/>
        </w:rPr>
        <w:tab/>
        <w:t>Because we are remanding this matter for further hearing, we do not find it necessary to address the Complainant’s Exceptions regarding her contention that she was not given a fair opportunity to prepare for the initial telephonic hearing due to a failure</w:t>
      </w:r>
      <w:r w:rsidR="0029356B">
        <w:rPr>
          <w:sz w:val="26"/>
          <w:szCs w:val="26"/>
        </w:rPr>
        <w:t xml:space="preserve"> to receive timely notice of that</w:t>
      </w:r>
      <w:r>
        <w:rPr>
          <w:sz w:val="26"/>
          <w:szCs w:val="26"/>
        </w:rPr>
        <w:t xml:space="preserve"> hearing.  The</w:t>
      </w:r>
      <w:r w:rsidR="0029356B">
        <w:rPr>
          <w:sz w:val="26"/>
          <w:szCs w:val="26"/>
        </w:rPr>
        <w:t xml:space="preserve"> additional hearing will afford the Complainant a new</w:t>
      </w:r>
      <w:r>
        <w:rPr>
          <w:sz w:val="26"/>
          <w:szCs w:val="26"/>
        </w:rPr>
        <w:t xml:space="preserve"> opportunity to provide further evidence rega</w:t>
      </w:r>
      <w:r w:rsidR="0029356B">
        <w:rPr>
          <w:sz w:val="26"/>
          <w:szCs w:val="26"/>
        </w:rPr>
        <w:t>rding the issue in question.</w:t>
      </w:r>
      <w:r>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65FB"/>
    <w:rsid w:val="00006685"/>
    <w:rsid w:val="00006A65"/>
    <w:rsid w:val="00006F35"/>
    <w:rsid w:val="00006FEE"/>
    <w:rsid w:val="0000721A"/>
    <w:rsid w:val="000075A6"/>
    <w:rsid w:val="00007AF7"/>
    <w:rsid w:val="00007ECA"/>
    <w:rsid w:val="0001221F"/>
    <w:rsid w:val="000124ED"/>
    <w:rsid w:val="00013358"/>
    <w:rsid w:val="00014E95"/>
    <w:rsid w:val="00015314"/>
    <w:rsid w:val="000154E2"/>
    <w:rsid w:val="00016D57"/>
    <w:rsid w:val="000171BD"/>
    <w:rsid w:val="00017852"/>
    <w:rsid w:val="00017F8B"/>
    <w:rsid w:val="000205EA"/>
    <w:rsid w:val="000206EB"/>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C6"/>
    <w:rsid w:val="000267E5"/>
    <w:rsid w:val="00026CD2"/>
    <w:rsid w:val="0003055F"/>
    <w:rsid w:val="0003093F"/>
    <w:rsid w:val="00030A62"/>
    <w:rsid w:val="00030F6D"/>
    <w:rsid w:val="000314B7"/>
    <w:rsid w:val="00032635"/>
    <w:rsid w:val="0003325E"/>
    <w:rsid w:val="00033512"/>
    <w:rsid w:val="000338FE"/>
    <w:rsid w:val="0003393B"/>
    <w:rsid w:val="00033D2F"/>
    <w:rsid w:val="00033EFA"/>
    <w:rsid w:val="0003417F"/>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1A5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6C5"/>
    <w:rsid w:val="000669D9"/>
    <w:rsid w:val="000669FF"/>
    <w:rsid w:val="00066ADC"/>
    <w:rsid w:val="00066EE5"/>
    <w:rsid w:val="00066FFF"/>
    <w:rsid w:val="00067260"/>
    <w:rsid w:val="0006784C"/>
    <w:rsid w:val="00070469"/>
    <w:rsid w:val="00070EFA"/>
    <w:rsid w:val="000715E8"/>
    <w:rsid w:val="00071A6D"/>
    <w:rsid w:val="0007209F"/>
    <w:rsid w:val="00072808"/>
    <w:rsid w:val="0007521D"/>
    <w:rsid w:val="000753F6"/>
    <w:rsid w:val="00075D7D"/>
    <w:rsid w:val="00076514"/>
    <w:rsid w:val="00076F35"/>
    <w:rsid w:val="00076F6C"/>
    <w:rsid w:val="000770D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179E"/>
    <w:rsid w:val="000F1DC2"/>
    <w:rsid w:val="000F2397"/>
    <w:rsid w:val="000F27FE"/>
    <w:rsid w:val="000F2DE3"/>
    <w:rsid w:val="000F4307"/>
    <w:rsid w:val="000F551B"/>
    <w:rsid w:val="000F717E"/>
    <w:rsid w:val="00100639"/>
    <w:rsid w:val="001006A8"/>
    <w:rsid w:val="00100F06"/>
    <w:rsid w:val="00101387"/>
    <w:rsid w:val="0010147F"/>
    <w:rsid w:val="0010158F"/>
    <w:rsid w:val="001017F6"/>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3C7"/>
    <w:rsid w:val="00130BA7"/>
    <w:rsid w:val="00130EA9"/>
    <w:rsid w:val="00131482"/>
    <w:rsid w:val="00131919"/>
    <w:rsid w:val="0013266A"/>
    <w:rsid w:val="0013269E"/>
    <w:rsid w:val="00134395"/>
    <w:rsid w:val="00135157"/>
    <w:rsid w:val="00135480"/>
    <w:rsid w:val="00135670"/>
    <w:rsid w:val="001358B2"/>
    <w:rsid w:val="00135972"/>
    <w:rsid w:val="001360FC"/>
    <w:rsid w:val="00136C22"/>
    <w:rsid w:val="00137B55"/>
    <w:rsid w:val="001400A9"/>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682B"/>
    <w:rsid w:val="001770B0"/>
    <w:rsid w:val="00177F78"/>
    <w:rsid w:val="00180601"/>
    <w:rsid w:val="00181222"/>
    <w:rsid w:val="00182478"/>
    <w:rsid w:val="00182607"/>
    <w:rsid w:val="0018274A"/>
    <w:rsid w:val="00182AF3"/>
    <w:rsid w:val="001831AC"/>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539E"/>
    <w:rsid w:val="001B5865"/>
    <w:rsid w:val="001B595D"/>
    <w:rsid w:val="001B59F0"/>
    <w:rsid w:val="001B6382"/>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F37"/>
    <w:rsid w:val="001E5807"/>
    <w:rsid w:val="001E60EE"/>
    <w:rsid w:val="001E621D"/>
    <w:rsid w:val="001E6313"/>
    <w:rsid w:val="001E662B"/>
    <w:rsid w:val="001E6ACA"/>
    <w:rsid w:val="001E7091"/>
    <w:rsid w:val="001E7299"/>
    <w:rsid w:val="001F0025"/>
    <w:rsid w:val="001F0509"/>
    <w:rsid w:val="001F0B96"/>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B16"/>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EBA"/>
    <w:rsid w:val="00245E1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60A"/>
    <w:rsid w:val="002A0783"/>
    <w:rsid w:val="002A0915"/>
    <w:rsid w:val="002A0D42"/>
    <w:rsid w:val="002A1164"/>
    <w:rsid w:val="002A2BEB"/>
    <w:rsid w:val="002A32CC"/>
    <w:rsid w:val="002A4450"/>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F06"/>
    <w:rsid w:val="002E4A4B"/>
    <w:rsid w:val="002E4B04"/>
    <w:rsid w:val="002E5839"/>
    <w:rsid w:val="002E5E87"/>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885"/>
    <w:rsid w:val="00303B99"/>
    <w:rsid w:val="00303D6C"/>
    <w:rsid w:val="0030682C"/>
    <w:rsid w:val="00306D1F"/>
    <w:rsid w:val="0030714F"/>
    <w:rsid w:val="003073E2"/>
    <w:rsid w:val="00307549"/>
    <w:rsid w:val="00307DDF"/>
    <w:rsid w:val="00310F4C"/>
    <w:rsid w:val="003114C6"/>
    <w:rsid w:val="00311AE6"/>
    <w:rsid w:val="00311F63"/>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BA8"/>
    <w:rsid w:val="00340D19"/>
    <w:rsid w:val="0034168D"/>
    <w:rsid w:val="0034178B"/>
    <w:rsid w:val="003417C7"/>
    <w:rsid w:val="00341F2F"/>
    <w:rsid w:val="003428C3"/>
    <w:rsid w:val="00342956"/>
    <w:rsid w:val="00342D6A"/>
    <w:rsid w:val="00343230"/>
    <w:rsid w:val="0034395C"/>
    <w:rsid w:val="00343EC0"/>
    <w:rsid w:val="00344804"/>
    <w:rsid w:val="00344D49"/>
    <w:rsid w:val="00345372"/>
    <w:rsid w:val="00346162"/>
    <w:rsid w:val="003468E7"/>
    <w:rsid w:val="00346C47"/>
    <w:rsid w:val="003473C2"/>
    <w:rsid w:val="00347863"/>
    <w:rsid w:val="00347A1F"/>
    <w:rsid w:val="003508D7"/>
    <w:rsid w:val="003510FF"/>
    <w:rsid w:val="003518C8"/>
    <w:rsid w:val="00351A51"/>
    <w:rsid w:val="00352BC7"/>
    <w:rsid w:val="0035338B"/>
    <w:rsid w:val="003533B5"/>
    <w:rsid w:val="00353CE3"/>
    <w:rsid w:val="003542D3"/>
    <w:rsid w:val="00354B2F"/>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D90"/>
    <w:rsid w:val="003732C1"/>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10DD"/>
    <w:rsid w:val="00381421"/>
    <w:rsid w:val="0038188D"/>
    <w:rsid w:val="00381FEF"/>
    <w:rsid w:val="00382B40"/>
    <w:rsid w:val="003840E0"/>
    <w:rsid w:val="003841E8"/>
    <w:rsid w:val="00384AEA"/>
    <w:rsid w:val="00384F64"/>
    <w:rsid w:val="00385502"/>
    <w:rsid w:val="00385526"/>
    <w:rsid w:val="003857E9"/>
    <w:rsid w:val="00385FAC"/>
    <w:rsid w:val="003862CD"/>
    <w:rsid w:val="003863E7"/>
    <w:rsid w:val="003866CA"/>
    <w:rsid w:val="00386D03"/>
    <w:rsid w:val="003878C9"/>
    <w:rsid w:val="003904F7"/>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783"/>
    <w:rsid w:val="003C6A69"/>
    <w:rsid w:val="003C73F9"/>
    <w:rsid w:val="003C768D"/>
    <w:rsid w:val="003C77B2"/>
    <w:rsid w:val="003C7EC4"/>
    <w:rsid w:val="003D1F70"/>
    <w:rsid w:val="003D2152"/>
    <w:rsid w:val="003D234E"/>
    <w:rsid w:val="003D2AC7"/>
    <w:rsid w:val="003D2DE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861"/>
    <w:rsid w:val="004222F5"/>
    <w:rsid w:val="00422309"/>
    <w:rsid w:val="00422C55"/>
    <w:rsid w:val="00423004"/>
    <w:rsid w:val="00423830"/>
    <w:rsid w:val="0042431A"/>
    <w:rsid w:val="00425698"/>
    <w:rsid w:val="00425B5A"/>
    <w:rsid w:val="00425ED2"/>
    <w:rsid w:val="004263AE"/>
    <w:rsid w:val="00426C84"/>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62F7"/>
    <w:rsid w:val="0044636A"/>
    <w:rsid w:val="00451116"/>
    <w:rsid w:val="00451656"/>
    <w:rsid w:val="00453C7E"/>
    <w:rsid w:val="00454835"/>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3390"/>
    <w:rsid w:val="004C44E9"/>
    <w:rsid w:val="004C4E4F"/>
    <w:rsid w:val="004C516F"/>
    <w:rsid w:val="004C6198"/>
    <w:rsid w:val="004C650A"/>
    <w:rsid w:val="004C68A0"/>
    <w:rsid w:val="004C692A"/>
    <w:rsid w:val="004C748A"/>
    <w:rsid w:val="004C7B23"/>
    <w:rsid w:val="004D1201"/>
    <w:rsid w:val="004D1313"/>
    <w:rsid w:val="004D16E8"/>
    <w:rsid w:val="004D1D85"/>
    <w:rsid w:val="004D2D46"/>
    <w:rsid w:val="004D2E4E"/>
    <w:rsid w:val="004D2E50"/>
    <w:rsid w:val="004D3590"/>
    <w:rsid w:val="004D35BD"/>
    <w:rsid w:val="004D38D2"/>
    <w:rsid w:val="004D3A9D"/>
    <w:rsid w:val="004D4277"/>
    <w:rsid w:val="004D4C2B"/>
    <w:rsid w:val="004D4CB2"/>
    <w:rsid w:val="004D54CF"/>
    <w:rsid w:val="004D5EDC"/>
    <w:rsid w:val="004D60F8"/>
    <w:rsid w:val="004D6AC4"/>
    <w:rsid w:val="004D7316"/>
    <w:rsid w:val="004E02AB"/>
    <w:rsid w:val="004E20B2"/>
    <w:rsid w:val="004E248A"/>
    <w:rsid w:val="004E2F87"/>
    <w:rsid w:val="004E3279"/>
    <w:rsid w:val="004E3C56"/>
    <w:rsid w:val="004E42DA"/>
    <w:rsid w:val="004E4662"/>
    <w:rsid w:val="004E47EC"/>
    <w:rsid w:val="004E4B84"/>
    <w:rsid w:val="004E514F"/>
    <w:rsid w:val="004E6D0A"/>
    <w:rsid w:val="004E6D2A"/>
    <w:rsid w:val="004E6E06"/>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432"/>
    <w:rsid w:val="005031DD"/>
    <w:rsid w:val="00504834"/>
    <w:rsid w:val="00504B4E"/>
    <w:rsid w:val="00504C7A"/>
    <w:rsid w:val="0050520C"/>
    <w:rsid w:val="00505489"/>
    <w:rsid w:val="00505AEE"/>
    <w:rsid w:val="00505C40"/>
    <w:rsid w:val="00505C62"/>
    <w:rsid w:val="005060D7"/>
    <w:rsid w:val="0050632E"/>
    <w:rsid w:val="00506D07"/>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4453"/>
    <w:rsid w:val="005746E9"/>
    <w:rsid w:val="005749CC"/>
    <w:rsid w:val="00574A6D"/>
    <w:rsid w:val="00574DB8"/>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7001"/>
    <w:rsid w:val="005A72DB"/>
    <w:rsid w:val="005A72FC"/>
    <w:rsid w:val="005A7537"/>
    <w:rsid w:val="005A7937"/>
    <w:rsid w:val="005B0388"/>
    <w:rsid w:val="005B0C34"/>
    <w:rsid w:val="005B109A"/>
    <w:rsid w:val="005B197F"/>
    <w:rsid w:val="005B2420"/>
    <w:rsid w:val="005B2785"/>
    <w:rsid w:val="005B28C5"/>
    <w:rsid w:val="005B2B60"/>
    <w:rsid w:val="005B36EF"/>
    <w:rsid w:val="005B41E2"/>
    <w:rsid w:val="005B4219"/>
    <w:rsid w:val="005B536B"/>
    <w:rsid w:val="005B53AF"/>
    <w:rsid w:val="005B55F4"/>
    <w:rsid w:val="005B5C29"/>
    <w:rsid w:val="005B5D1F"/>
    <w:rsid w:val="005B5D33"/>
    <w:rsid w:val="005B6E15"/>
    <w:rsid w:val="005C0A3A"/>
    <w:rsid w:val="005C1BBA"/>
    <w:rsid w:val="005C1FB0"/>
    <w:rsid w:val="005C2650"/>
    <w:rsid w:val="005C2FD5"/>
    <w:rsid w:val="005C30ED"/>
    <w:rsid w:val="005C31EB"/>
    <w:rsid w:val="005C399D"/>
    <w:rsid w:val="005C3CA7"/>
    <w:rsid w:val="005C3F5A"/>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50DF"/>
    <w:rsid w:val="005F5324"/>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F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162"/>
    <w:rsid w:val="00627A9E"/>
    <w:rsid w:val="00630852"/>
    <w:rsid w:val="00631D5D"/>
    <w:rsid w:val="00631FEE"/>
    <w:rsid w:val="00633A95"/>
    <w:rsid w:val="00634719"/>
    <w:rsid w:val="006348F3"/>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587"/>
    <w:rsid w:val="006837CF"/>
    <w:rsid w:val="00683D97"/>
    <w:rsid w:val="00684C3A"/>
    <w:rsid w:val="00684FCA"/>
    <w:rsid w:val="0068524B"/>
    <w:rsid w:val="0068582B"/>
    <w:rsid w:val="00685E4A"/>
    <w:rsid w:val="00686B5C"/>
    <w:rsid w:val="00686F01"/>
    <w:rsid w:val="006879E6"/>
    <w:rsid w:val="00690276"/>
    <w:rsid w:val="0069030C"/>
    <w:rsid w:val="00690B8A"/>
    <w:rsid w:val="006915C8"/>
    <w:rsid w:val="00691BBF"/>
    <w:rsid w:val="0069268A"/>
    <w:rsid w:val="00692850"/>
    <w:rsid w:val="00692DC9"/>
    <w:rsid w:val="00692DF1"/>
    <w:rsid w:val="0069347D"/>
    <w:rsid w:val="00693600"/>
    <w:rsid w:val="00693B5B"/>
    <w:rsid w:val="00693D0C"/>
    <w:rsid w:val="0069418C"/>
    <w:rsid w:val="00694A7A"/>
    <w:rsid w:val="00694FE9"/>
    <w:rsid w:val="00695271"/>
    <w:rsid w:val="00695768"/>
    <w:rsid w:val="00695D55"/>
    <w:rsid w:val="00696997"/>
    <w:rsid w:val="00697B6F"/>
    <w:rsid w:val="006A02D6"/>
    <w:rsid w:val="006A0DB1"/>
    <w:rsid w:val="006A1AFD"/>
    <w:rsid w:val="006A1E82"/>
    <w:rsid w:val="006A1FE8"/>
    <w:rsid w:val="006A22B6"/>
    <w:rsid w:val="006A2854"/>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EEC"/>
    <w:rsid w:val="006C319D"/>
    <w:rsid w:val="006C352C"/>
    <w:rsid w:val="006C3732"/>
    <w:rsid w:val="006C3FEA"/>
    <w:rsid w:val="006C4D9B"/>
    <w:rsid w:val="006C4FEE"/>
    <w:rsid w:val="006C65E9"/>
    <w:rsid w:val="006C6666"/>
    <w:rsid w:val="006C69E7"/>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69BD"/>
    <w:rsid w:val="006E6BBE"/>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31B"/>
    <w:rsid w:val="006F56B6"/>
    <w:rsid w:val="006F5AE6"/>
    <w:rsid w:val="006F5C09"/>
    <w:rsid w:val="006F62BC"/>
    <w:rsid w:val="006F670F"/>
    <w:rsid w:val="006F70BD"/>
    <w:rsid w:val="0070023A"/>
    <w:rsid w:val="007008AF"/>
    <w:rsid w:val="00700EE1"/>
    <w:rsid w:val="00702493"/>
    <w:rsid w:val="007034D1"/>
    <w:rsid w:val="00704310"/>
    <w:rsid w:val="007051D8"/>
    <w:rsid w:val="00705B01"/>
    <w:rsid w:val="00706A77"/>
    <w:rsid w:val="007078A9"/>
    <w:rsid w:val="0071035D"/>
    <w:rsid w:val="007109A0"/>
    <w:rsid w:val="00710D88"/>
    <w:rsid w:val="00711670"/>
    <w:rsid w:val="007122F9"/>
    <w:rsid w:val="00712806"/>
    <w:rsid w:val="0071382F"/>
    <w:rsid w:val="00714652"/>
    <w:rsid w:val="00714A8A"/>
    <w:rsid w:val="00714B44"/>
    <w:rsid w:val="00714F3B"/>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830"/>
    <w:rsid w:val="00772177"/>
    <w:rsid w:val="0077265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345F"/>
    <w:rsid w:val="00793CC0"/>
    <w:rsid w:val="00794177"/>
    <w:rsid w:val="0079508F"/>
    <w:rsid w:val="007955F3"/>
    <w:rsid w:val="007958ED"/>
    <w:rsid w:val="007960DD"/>
    <w:rsid w:val="007963BD"/>
    <w:rsid w:val="007966E6"/>
    <w:rsid w:val="00797A64"/>
    <w:rsid w:val="007A0505"/>
    <w:rsid w:val="007A0A90"/>
    <w:rsid w:val="007A1190"/>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B30"/>
    <w:rsid w:val="007C20B1"/>
    <w:rsid w:val="007C2DB5"/>
    <w:rsid w:val="007C2E2A"/>
    <w:rsid w:val="007C3003"/>
    <w:rsid w:val="007C385F"/>
    <w:rsid w:val="007C3C80"/>
    <w:rsid w:val="007C3F53"/>
    <w:rsid w:val="007C4DB0"/>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F3E"/>
    <w:rsid w:val="007E4641"/>
    <w:rsid w:val="007E4778"/>
    <w:rsid w:val="007E4D75"/>
    <w:rsid w:val="007E5504"/>
    <w:rsid w:val="007E5D6C"/>
    <w:rsid w:val="007E6838"/>
    <w:rsid w:val="007E7FA7"/>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36A"/>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60B"/>
    <w:rsid w:val="008466C5"/>
    <w:rsid w:val="00846C55"/>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B6E"/>
    <w:rsid w:val="008C6C1C"/>
    <w:rsid w:val="008C73E8"/>
    <w:rsid w:val="008D0258"/>
    <w:rsid w:val="008D08DC"/>
    <w:rsid w:val="008D0EE3"/>
    <w:rsid w:val="008D12D7"/>
    <w:rsid w:val="008D2363"/>
    <w:rsid w:val="008D2408"/>
    <w:rsid w:val="008D2AC2"/>
    <w:rsid w:val="008D429B"/>
    <w:rsid w:val="008D45B1"/>
    <w:rsid w:val="008D4689"/>
    <w:rsid w:val="008D48FF"/>
    <w:rsid w:val="008D50EA"/>
    <w:rsid w:val="008D53A4"/>
    <w:rsid w:val="008D61A7"/>
    <w:rsid w:val="008D62A9"/>
    <w:rsid w:val="008D64F1"/>
    <w:rsid w:val="008E0007"/>
    <w:rsid w:val="008E0179"/>
    <w:rsid w:val="008E0374"/>
    <w:rsid w:val="008E1426"/>
    <w:rsid w:val="008E145C"/>
    <w:rsid w:val="008E16B0"/>
    <w:rsid w:val="008E1AA7"/>
    <w:rsid w:val="008E1D5A"/>
    <w:rsid w:val="008E2D53"/>
    <w:rsid w:val="008E3E4B"/>
    <w:rsid w:val="008E43A6"/>
    <w:rsid w:val="008E45E7"/>
    <w:rsid w:val="008E4923"/>
    <w:rsid w:val="008E4EF9"/>
    <w:rsid w:val="008E557B"/>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3FB"/>
    <w:rsid w:val="00922B82"/>
    <w:rsid w:val="0092363C"/>
    <w:rsid w:val="009238F7"/>
    <w:rsid w:val="00923C63"/>
    <w:rsid w:val="00923E1F"/>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1F9"/>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67A"/>
    <w:rsid w:val="009A6DB2"/>
    <w:rsid w:val="009A7553"/>
    <w:rsid w:val="009A759F"/>
    <w:rsid w:val="009A79BB"/>
    <w:rsid w:val="009A7C0F"/>
    <w:rsid w:val="009A7E31"/>
    <w:rsid w:val="009B03DF"/>
    <w:rsid w:val="009B0675"/>
    <w:rsid w:val="009B069F"/>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2A9B"/>
    <w:rsid w:val="00A02D14"/>
    <w:rsid w:val="00A031AA"/>
    <w:rsid w:val="00A053F6"/>
    <w:rsid w:val="00A057DA"/>
    <w:rsid w:val="00A057FA"/>
    <w:rsid w:val="00A0598C"/>
    <w:rsid w:val="00A05C7D"/>
    <w:rsid w:val="00A066AE"/>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4394"/>
    <w:rsid w:val="00A2448F"/>
    <w:rsid w:val="00A258FB"/>
    <w:rsid w:val="00A25BCD"/>
    <w:rsid w:val="00A26060"/>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5DBE"/>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B005D"/>
    <w:rsid w:val="00AB008E"/>
    <w:rsid w:val="00AB01BE"/>
    <w:rsid w:val="00AB056E"/>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F0"/>
    <w:rsid w:val="00AC54A8"/>
    <w:rsid w:val="00AC5BF4"/>
    <w:rsid w:val="00AC5F91"/>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A9B"/>
    <w:rsid w:val="00B14BD1"/>
    <w:rsid w:val="00B14BDB"/>
    <w:rsid w:val="00B14E49"/>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421"/>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908A3"/>
    <w:rsid w:val="00B90B39"/>
    <w:rsid w:val="00B90DEF"/>
    <w:rsid w:val="00B90DF3"/>
    <w:rsid w:val="00B9144F"/>
    <w:rsid w:val="00B91478"/>
    <w:rsid w:val="00B93FF5"/>
    <w:rsid w:val="00B94552"/>
    <w:rsid w:val="00B94786"/>
    <w:rsid w:val="00B95189"/>
    <w:rsid w:val="00B9551C"/>
    <w:rsid w:val="00B957A5"/>
    <w:rsid w:val="00B95A7E"/>
    <w:rsid w:val="00B9607E"/>
    <w:rsid w:val="00B97DE2"/>
    <w:rsid w:val="00BA0D64"/>
    <w:rsid w:val="00BA152A"/>
    <w:rsid w:val="00BA1F69"/>
    <w:rsid w:val="00BA202C"/>
    <w:rsid w:val="00BA20B1"/>
    <w:rsid w:val="00BA2A13"/>
    <w:rsid w:val="00BA2B9C"/>
    <w:rsid w:val="00BA3351"/>
    <w:rsid w:val="00BA44ED"/>
    <w:rsid w:val="00BA4B5C"/>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53F9"/>
    <w:rsid w:val="00BB5743"/>
    <w:rsid w:val="00BB5E6F"/>
    <w:rsid w:val="00BB6D2B"/>
    <w:rsid w:val="00BB716E"/>
    <w:rsid w:val="00BB7613"/>
    <w:rsid w:val="00BB79BD"/>
    <w:rsid w:val="00BC0EA7"/>
    <w:rsid w:val="00BC10E6"/>
    <w:rsid w:val="00BC1220"/>
    <w:rsid w:val="00BC1250"/>
    <w:rsid w:val="00BC3211"/>
    <w:rsid w:val="00BC3516"/>
    <w:rsid w:val="00BC39E9"/>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DA5"/>
    <w:rsid w:val="00C0303B"/>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11B"/>
    <w:rsid w:val="00C5248F"/>
    <w:rsid w:val="00C53422"/>
    <w:rsid w:val="00C54D1E"/>
    <w:rsid w:val="00C54DFD"/>
    <w:rsid w:val="00C55AC6"/>
    <w:rsid w:val="00C55B40"/>
    <w:rsid w:val="00C55C7D"/>
    <w:rsid w:val="00C560BC"/>
    <w:rsid w:val="00C56FB5"/>
    <w:rsid w:val="00C57857"/>
    <w:rsid w:val="00C57AB0"/>
    <w:rsid w:val="00C57D74"/>
    <w:rsid w:val="00C60128"/>
    <w:rsid w:val="00C60ED4"/>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8F7"/>
    <w:rsid w:val="00C70CFF"/>
    <w:rsid w:val="00C7191A"/>
    <w:rsid w:val="00C71954"/>
    <w:rsid w:val="00C71A6A"/>
    <w:rsid w:val="00C71F2A"/>
    <w:rsid w:val="00C724D8"/>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CA5"/>
    <w:rsid w:val="00C819B7"/>
    <w:rsid w:val="00C81C5B"/>
    <w:rsid w:val="00C81DE1"/>
    <w:rsid w:val="00C82414"/>
    <w:rsid w:val="00C8255A"/>
    <w:rsid w:val="00C82737"/>
    <w:rsid w:val="00C82819"/>
    <w:rsid w:val="00C82D00"/>
    <w:rsid w:val="00C83083"/>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43A5"/>
    <w:rsid w:val="00CA4EFA"/>
    <w:rsid w:val="00CA515E"/>
    <w:rsid w:val="00CA5AB3"/>
    <w:rsid w:val="00CA5FDE"/>
    <w:rsid w:val="00CA7C0B"/>
    <w:rsid w:val="00CA7FE7"/>
    <w:rsid w:val="00CB0C94"/>
    <w:rsid w:val="00CB1041"/>
    <w:rsid w:val="00CB15D2"/>
    <w:rsid w:val="00CB18EB"/>
    <w:rsid w:val="00CB18FC"/>
    <w:rsid w:val="00CB1DCF"/>
    <w:rsid w:val="00CB2039"/>
    <w:rsid w:val="00CB217B"/>
    <w:rsid w:val="00CB244C"/>
    <w:rsid w:val="00CB28AA"/>
    <w:rsid w:val="00CB3106"/>
    <w:rsid w:val="00CB45B6"/>
    <w:rsid w:val="00CB45F4"/>
    <w:rsid w:val="00CB4616"/>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4614"/>
    <w:rsid w:val="00D24991"/>
    <w:rsid w:val="00D24B8F"/>
    <w:rsid w:val="00D2555A"/>
    <w:rsid w:val="00D25B17"/>
    <w:rsid w:val="00D2656C"/>
    <w:rsid w:val="00D2714A"/>
    <w:rsid w:val="00D30254"/>
    <w:rsid w:val="00D3039D"/>
    <w:rsid w:val="00D30ED2"/>
    <w:rsid w:val="00D31778"/>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41FF"/>
    <w:rsid w:val="00D7587C"/>
    <w:rsid w:val="00D769B9"/>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60A"/>
    <w:rsid w:val="00D93D91"/>
    <w:rsid w:val="00D94136"/>
    <w:rsid w:val="00D95091"/>
    <w:rsid w:val="00D95CB0"/>
    <w:rsid w:val="00D966F5"/>
    <w:rsid w:val="00D96D38"/>
    <w:rsid w:val="00D96E1A"/>
    <w:rsid w:val="00D973B2"/>
    <w:rsid w:val="00D9779A"/>
    <w:rsid w:val="00D97968"/>
    <w:rsid w:val="00D97BAA"/>
    <w:rsid w:val="00DA0435"/>
    <w:rsid w:val="00DA0AA0"/>
    <w:rsid w:val="00DA149D"/>
    <w:rsid w:val="00DA1902"/>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563"/>
    <w:rsid w:val="00DB165A"/>
    <w:rsid w:val="00DB169E"/>
    <w:rsid w:val="00DB18A0"/>
    <w:rsid w:val="00DB1B04"/>
    <w:rsid w:val="00DB2AC0"/>
    <w:rsid w:val="00DB2E03"/>
    <w:rsid w:val="00DB39A0"/>
    <w:rsid w:val="00DB3DFB"/>
    <w:rsid w:val="00DB3E83"/>
    <w:rsid w:val="00DB422A"/>
    <w:rsid w:val="00DB4568"/>
    <w:rsid w:val="00DB4754"/>
    <w:rsid w:val="00DB4F28"/>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9C9"/>
    <w:rsid w:val="00DD113B"/>
    <w:rsid w:val="00DD24BD"/>
    <w:rsid w:val="00DD2711"/>
    <w:rsid w:val="00DD2CC2"/>
    <w:rsid w:val="00DD332A"/>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C73"/>
    <w:rsid w:val="00E055E3"/>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67D3"/>
    <w:rsid w:val="00E175A7"/>
    <w:rsid w:val="00E20168"/>
    <w:rsid w:val="00E20695"/>
    <w:rsid w:val="00E20740"/>
    <w:rsid w:val="00E20E92"/>
    <w:rsid w:val="00E21106"/>
    <w:rsid w:val="00E21FA5"/>
    <w:rsid w:val="00E22C01"/>
    <w:rsid w:val="00E23622"/>
    <w:rsid w:val="00E23B80"/>
    <w:rsid w:val="00E2448F"/>
    <w:rsid w:val="00E245DA"/>
    <w:rsid w:val="00E24645"/>
    <w:rsid w:val="00E24817"/>
    <w:rsid w:val="00E24A2B"/>
    <w:rsid w:val="00E24CD6"/>
    <w:rsid w:val="00E26BB0"/>
    <w:rsid w:val="00E27177"/>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E11"/>
    <w:rsid w:val="00E350CD"/>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ED5"/>
    <w:rsid w:val="00E921F3"/>
    <w:rsid w:val="00E92854"/>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E8A"/>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3151"/>
    <w:rsid w:val="00EC3331"/>
    <w:rsid w:val="00EC45E0"/>
    <w:rsid w:val="00EC49CE"/>
    <w:rsid w:val="00EC4A6B"/>
    <w:rsid w:val="00EC4C0D"/>
    <w:rsid w:val="00EC518F"/>
    <w:rsid w:val="00EC537B"/>
    <w:rsid w:val="00EC5B5B"/>
    <w:rsid w:val="00EC677E"/>
    <w:rsid w:val="00EC6E37"/>
    <w:rsid w:val="00EC7071"/>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CE6"/>
    <w:rsid w:val="00ED5536"/>
    <w:rsid w:val="00ED56CF"/>
    <w:rsid w:val="00ED5B5C"/>
    <w:rsid w:val="00ED6B5A"/>
    <w:rsid w:val="00ED6D18"/>
    <w:rsid w:val="00ED70BD"/>
    <w:rsid w:val="00ED7934"/>
    <w:rsid w:val="00ED7D28"/>
    <w:rsid w:val="00ED7EE8"/>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434F"/>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3036"/>
    <w:rsid w:val="00F1321A"/>
    <w:rsid w:val="00F1340F"/>
    <w:rsid w:val="00F13821"/>
    <w:rsid w:val="00F138C2"/>
    <w:rsid w:val="00F141A4"/>
    <w:rsid w:val="00F1560A"/>
    <w:rsid w:val="00F15E45"/>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B4B"/>
    <w:rsid w:val="00F514FB"/>
    <w:rsid w:val="00F52B73"/>
    <w:rsid w:val="00F52B7B"/>
    <w:rsid w:val="00F53C92"/>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953"/>
    <w:rsid w:val="00F72A85"/>
    <w:rsid w:val="00F72B0D"/>
    <w:rsid w:val="00F73B5B"/>
    <w:rsid w:val="00F73BBF"/>
    <w:rsid w:val="00F749AF"/>
    <w:rsid w:val="00F74D3B"/>
    <w:rsid w:val="00F75686"/>
    <w:rsid w:val="00F76A4E"/>
    <w:rsid w:val="00F76E6E"/>
    <w:rsid w:val="00F77765"/>
    <w:rsid w:val="00F77907"/>
    <w:rsid w:val="00F77EC3"/>
    <w:rsid w:val="00F8049C"/>
    <w:rsid w:val="00F816B4"/>
    <w:rsid w:val="00F8182B"/>
    <w:rsid w:val="00F823C6"/>
    <w:rsid w:val="00F82EB4"/>
    <w:rsid w:val="00F842C0"/>
    <w:rsid w:val="00F84E26"/>
    <w:rsid w:val="00F84E2D"/>
    <w:rsid w:val="00F84FB1"/>
    <w:rsid w:val="00F85141"/>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5ED"/>
    <w:rsid w:val="00F94824"/>
    <w:rsid w:val="00F94C4E"/>
    <w:rsid w:val="00F94D42"/>
    <w:rsid w:val="00F951A5"/>
    <w:rsid w:val="00F9596E"/>
    <w:rsid w:val="00F95989"/>
    <w:rsid w:val="00F96798"/>
    <w:rsid w:val="00F96907"/>
    <w:rsid w:val="00F96919"/>
    <w:rsid w:val="00FA0A7C"/>
    <w:rsid w:val="00FA10F4"/>
    <w:rsid w:val="00FA18D9"/>
    <w:rsid w:val="00FA1E4A"/>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2F01-7E8F-4054-A209-ECC8821A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3533</Words>
  <Characters>20143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3</cp:revision>
  <cp:lastPrinted>2014-12-03T15:59:00Z</cp:lastPrinted>
  <dcterms:created xsi:type="dcterms:W3CDTF">2014-11-18T14:43:00Z</dcterms:created>
  <dcterms:modified xsi:type="dcterms:W3CDTF">2014-12-03T15:59:00Z</dcterms:modified>
</cp:coreProperties>
</file>