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3B5" w:rsidRPr="00550B34" w:rsidRDefault="006D33B5" w:rsidP="00E22703">
      <w:pPr>
        <w:jc w:val="center"/>
        <w:rPr>
          <w:b/>
          <w:bCs/>
        </w:rPr>
      </w:pPr>
      <w:r w:rsidRPr="00550B34">
        <w:rPr>
          <w:b/>
          <w:bCs/>
        </w:rPr>
        <w:t>BEFORE THE</w:t>
      </w:r>
    </w:p>
    <w:p w:rsidR="006D33B5" w:rsidRPr="00550B34" w:rsidRDefault="006D33B5" w:rsidP="00E22703">
      <w:pPr>
        <w:jc w:val="center"/>
        <w:rPr>
          <w:b/>
          <w:bCs/>
        </w:rPr>
      </w:pPr>
      <w:r w:rsidRPr="00550B34">
        <w:rPr>
          <w:b/>
          <w:bCs/>
        </w:rPr>
        <w:t>PENNSYLVANIA PUBLIC UTILITY COMMISSION</w:t>
      </w:r>
    </w:p>
    <w:p w:rsidR="00E22703" w:rsidRPr="00550B34" w:rsidRDefault="00E22703" w:rsidP="00555AB2">
      <w:pPr>
        <w:rPr>
          <w:bCs/>
        </w:rPr>
      </w:pPr>
    </w:p>
    <w:p w:rsidR="00E22703" w:rsidRPr="00550B34" w:rsidRDefault="00E22703" w:rsidP="00555AB2">
      <w:pPr>
        <w:rPr>
          <w:bCs/>
        </w:rPr>
      </w:pPr>
    </w:p>
    <w:p w:rsidR="00E22703" w:rsidRPr="00550B34" w:rsidRDefault="00E22703" w:rsidP="00555AB2">
      <w:pPr>
        <w:rPr>
          <w:bCs/>
        </w:rPr>
      </w:pPr>
    </w:p>
    <w:p w:rsidR="00D65D31" w:rsidRPr="00D65D31" w:rsidRDefault="00897507" w:rsidP="00D65D31">
      <w:pPr>
        <w:widowControl w:val="0"/>
        <w:adjustRightInd w:val="0"/>
        <w:rPr>
          <w:bCs/>
          <w:color w:val="000000"/>
        </w:rPr>
      </w:pPr>
      <w:proofErr w:type="gramStart"/>
      <w:r>
        <w:rPr>
          <w:bCs/>
          <w:color w:val="000000"/>
        </w:rPr>
        <w:t xml:space="preserve">Commonwealth of Pennsylvania, </w:t>
      </w:r>
      <w:r>
        <w:rPr>
          <w:bCs/>
          <w:i/>
          <w:color w:val="000000"/>
        </w:rPr>
        <w:t>et al.</w:t>
      </w:r>
      <w:proofErr w:type="gramEnd"/>
      <w:r w:rsidR="00D65D31" w:rsidRPr="00D65D31">
        <w:rPr>
          <w:bCs/>
          <w:color w:val="000000"/>
        </w:rPr>
        <w:tab/>
      </w:r>
      <w:r w:rsidR="00D65D31"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D65D31" w:rsidP="00D65D31">
      <w:pPr>
        <w:widowControl w:val="0"/>
        <w:adjustRightInd w:val="0"/>
        <w:rPr>
          <w:bCs/>
          <w:color w:val="000000"/>
        </w:rPr>
      </w:pPr>
      <w:r w:rsidRPr="00D65D31">
        <w:rPr>
          <w:bCs/>
          <w:color w:val="000000"/>
        </w:rPr>
        <w:tab/>
        <w:t>v.</w:t>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r w:rsidRPr="00D65D31">
        <w:rPr>
          <w:bCs/>
          <w:color w:val="000000"/>
        </w:rPr>
        <w:tab/>
      </w:r>
      <w:r w:rsidRPr="00D65D31">
        <w:rPr>
          <w:bCs/>
          <w:color w:val="000000"/>
        </w:rPr>
        <w:tab/>
        <w:t>C-201</w:t>
      </w:r>
      <w:r w:rsidR="00897507">
        <w:rPr>
          <w:bCs/>
          <w:color w:val="000000"/>
        </w:rPr>
        <w:t>4-</w:t>
      </w:r>
      <w:r w:rsidR="001A582D">
        <w:rPr>
          <w:bCs/>
          <w:color w:val="000000"/>
        </w:rPr>
        <w:t>2427657</w:t>
      </w:r>
    </w:p>
    <w:p w:rsidR="00D65D31" w:rsidRPr="00D65D31" w:rsidRDefault="00D65D31" w:rsidP="00D65D31">
      <w:pPr>
        <w:widowControl w:val="0"/>
        <w:adjustRightInd w:val="0"/>
        <w:rPr>
          <w:bCs/>
          <w:color w:val="000000"/>
        </w:rPr>
      </w:pP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r>
      <w:r w:rsidRPr="00D65D31">
        <w:rPr>
          <w:bCs/>
          <w:color w:val="000000"/>
        </w:rPr>
        <w:tab/>
        <w:t>:</w:t>
      </w:r>
    </w:p>
    <w:p w:rsidR="00D65D31" w:rsidRPr="00D65D31" w:rsidRDefault="001A582D" w:rsidP="00D65D31">
      <w:pPr>
        <w:widowControl w:val="0"/>
        <w:adjustRightInd w:val="0"/>
        <w:rPr>
          <w:bCs/>
          <w:color w:val="000000"/>
        </w:rPr>
      </w:pPr>
      <w:r>
        <w:rPr>
          <w:bCs/>
          <w:color w:val="000000"/>
        </w:rPr>
        <w:t>IDT Energy, Inc.</w:t>
      </w:r>
      <w:r w:rsidR="00897507">
        <w:rPr>
          <w:bCs/>
          <w:color w:val="000000"/>
        </w:rPr>
        <w:tab/>
      </w:r>
      <w:r w:rsidR="00897507">
        <w:rPr>
          <w:bCs/>
          <w:color w:val="000000"/>
        </w:rPr>
        <w:tab/>
      </w:r>
      <w:r w:rsidR="00D65D31" w:rsidRPr="00D65D31">
        <w:rPr>
          <w:bCs/>
          <w:color w:val="000000"/>
        </w:rPr>
        <w:tab/>
      </w:r>
      <w:r w:rsidR="00D65D31" w:rsidRPr="00D65D31">
        <w:rPr>
          <w:bCs/>
          <w:color w:val="000000"/>
        </w:rPr>
        <w:tab/>
      </w:r>
      <w:r w:rsidR="00D65D31" w:rsidRPr="00D65D31">
        <w:rPr>
          <w:bCs/>
          <w:color w:val="000000"/>
        </w:rPr>
        <w:tab/>
        <w:t>:</w:t>
      </w:r>
    </w:p>
    <w:p w:rsidR="00D65D31" w:rsidRPr="00D65D31" w:rsidRDefault="00D65D31" w:rsidP="00D65D31">
      <w:pPr>
        <w:tabs>
          <w:tab w:val="left" w:pos="-720"/>
        </w:tabs>
        <w:suppressAutoHyphens/>
        <w:jc w:val="both"/>
        <w:rPr>
          <w:spacing w:val="-3"/>
        </w:rPr>
      </w:pPr>
    </w:p>
    <w:p w:rsidR="00D65D31" w:rsidRPr="00D65D31" w:rsidRDefault="00D65D31" w:rsidP="00D65D31">
      <w:pPr>
        <w:tabs>
          <w:tab w:val="left" w:pos="-720"/>
          <w:tab w:val="left" w:pos="5040"/>
        </w:tabs>
        <w:suppressAutoHyphens/>
        <w:jc w:val="both"/>
        <w:rPr>
          <w:spacing w:val="-3"/>
        </w:rPr>
      </w:pPr>
    </w:p>
    <w:p w:rsidR="0062545F" w:rsidRPr="00550B34" w:rsidRDefault="0062545F" w:rsidP="0062545F">
      <w:pPr>
        <w:tabs>
          <w:tab w:val="left" w:pos="-720"/>
        </w:tabs>
        <w:suppressAutoHyphens/>
        <w:rPr>
          <w:spacing w:val="-3"/>
        </w:rPr>
      </w:pPr>
    </w:p>
    <w:p w:rsidR="0062545F" w:rsidRDefault="0062545F" w:rsidP="0062545F">
      <w:pPr>
        <w:tabs>
          <w:tab w:val="center" w:pos="4680"/>
        </w:tabs>
        <w:suppressAutoHyphens/>
        <w:jc w:val="center"/>
        <w:rPr>
          <w:b/>
          <w:bCs/>
          <w:spacing w:val="-3"/>
          <w:u w:val="single"/>
        </w:rPr>
      </w:pPr>
      <w:r w:rsidRPr="00550B34">
        <w:rPr>
          <w:b/>
          <w:bCs/>
          <w:spacing w:val="-3"/>
          <w:u w:val="single"/>
        </w:rPr>
        <w:t>ORDER</w:t>
      </w:r>
    </w:p>
    <w:p w:rsidR="00DD04D4" w:rsidRPr="00550B34" w:rsidRDefault="00DD04D4" w:rsidP="00C401DB">
      <w:pPr>
        <w:tabs>
          <w:tab w:val="center" w:pos="4680"/>
        </w:tabs>
        <w:suppressAutoHyphens/>
        <w:jc w:val="center"/>
        <w:rPr>
          <w:b/>
          <w:bCs/>
          <w:spacing w:val="-3"/>
          <w:u w:val="single"/>
        </w:rPr>
      </w:pPr>
      <w:r w:rsidRPr="008C2B8B">
        <w:rPr>
          <w:b/>
          <w:bCs/>
          <w:spacing w:val="-3"/>
          <w:u w:val="single"/>
        </w:rPr>
        <w:t>GRANTING</w:t>
      </w:r>
      <w:r w:rsidR="008C2B8B">
        <w:rPr>
          <w:b/>
          <w:bCs/>
          <w:spacing w:val="-3"/>
          <w:u w:val="single"/>
        </w:rPr>
        <w:t xml:space="preserve"> </w:t>
      </w:r>
      <w:r w:rsidR="00C401DB">
        <w:rPr>
          <w:b/>
          <w:bCs/>
          <w:spacing w:val="-3"/>
          <w:u w:val="single"/>
        </w:rPr>
        <w:t>MOTION FOR CONTINUANCE</w:t>
      </w:r>
    </w:p>
    <w:p w:rsidR="0062545F" w:rsidRPr="00550B34" w:rsidRDefault="0062545F" w:rsidP="0062545F">
      <w:pPr>
        <w:tabs>
          <w:tab w:val="center" w:pos="4680"/>
        </w:tabs>
        <w:suppressAutoHyphens/>
        <w:jc w:val="center"/>
        <w:rPr>
          <w:b/>
          <w:bCs/>
          <w:spacing w:val="-3"/>
          <w:u w:val="single"/>
        </w:rPr>
      </w:pPr>
    </w:p>
    <w:p w:rsidR="0062545F" w:rsidRPr="00550B34" w:rsidRDefault="0062545F" w:rsidP="0062545F">
      <w:pPr>
        <w:tabs>
          <w:tab w:val="center" w:pos="4680"/>
        </w:tabs>
        <w:suppressAutoHyphens/>
        <w:jc w:val="center"/>
        <w:rPr>
          <w:b/>
          <w:bCs/>
          <w:spacing w:val="-3"/>
        </w:rPr>
      </w:pPr>
    </w:p>
    <w:p w:rsidR="00B62154" w:rsidRDefault="00897507" w:rsidP="0094648D">
      <w:pPr>
        <w:widowControl w:val="0"/>
        <w:adjustRightInd w:val="0"/>
        <w:spacing w:line="360" w:lineRule="auto"/>
        <w:ind w:firstLine="1440"/>
        <w:rPr>
          <w:bCs/>
          <w:color w:val="000000"/>
        </w:rPr>
      </w:pPr>
      <w:r>
        <w:rPr>
          <w:bCs/>
          <w:color w:val="000000"/>
        </w:rPr>
        <w:t xml:space="preserve">On </w:t>
      </w:r>
      <w:r w:rsidR="00C610DB">
        <w:rPr>
          <w:bCs/>
          <w:color w:val="000000"/>
        </w:rPr>
        <w:t>June 20, 2014, the Commonwealth of Pennsylvania, by Atto</w:t>
      </w:r>
      <w:r w:rsidR="00366F51">
        <w:rPr>
          <w:bCs/>
          <w:color w:val="000000"/>
        </w:rPr>
        <w:t>rney General Kathleen G. Kane, t</w:t>
      </w:r>
      <w:r w:rsidR="00C610DB">
        <w:rPr>
          <w:bCs/>
          <w:color w:val="000000"/>
        </w:rPr>
        <w:t>hrough the Bureau of Consumer Protection (OAG)</w:t>
      </w:r>
      <w:r w:rsidR="006A3278">
        <w:rPr>
          <w:bCs/>
          <w:color w:val="000000"/>
        </w:rPr>
        <w:t>,</w:t>
      </w:r>
      <w:r w:rsidR="00C610DB">
        <w:rPr>
          <w:bCs/>
          <w:color w:val="000000"/>
        </w:rPr>
        <w:t xml:space="preserve"> and Tanya J. McCloskey, Acting Consumer Advocate (OCA) (collectively referred to as “the Joint Complainants”) filed</w:t>
      </w:r>
      <w:r w:rsidR="00F12B16">
        <w:rPr>
          <w:bCs/>
          <w:color w:val="000000"/>
        </w:rPr>
        <w:t xml:space="preserve"> with the Pennsylvania Public Utility Commission (Commission)</w:t>
      </w:r>
      <w:r w:rsidR="00C610DB">
        <w:rPr>
          <w:bCs/>
          <w:color w:val="000000"/>
        </w:rPr>
        <w:t xml:space="preserve"> a formal Complaint against</w:t>
      </w:r>
      <w:r w:rsidR="001A582D">
        <w:rPr>
          <w:bCs/>
          <w:color w:val="000000"/>
        </w:rPr>
        <w:t xml:space="preserve"> </w:t>
      </w:r>
      <w:r w:rsidR="00682F21">
        <w:rPr>
          <w:bCs/>
          <w:color w:val="000000"/>
        </w:rPr>
        <w:t xml:space="preserve">IDT Energy, Inc. </w:t>
      </w:r>
      <w:r w:rsidR="00C610DB">
        <w:rPr>
          <w:bCs/>
          <w:color w:val="000000"/>
        </w:rPr>
        <w:t>(</w:t>
      </w:r>
      <w:r w:rsidR="00682F21">
        <w:rPr>
          <w:bCs/>
          <w:color w:val="000000"/>
        </w:rPr>
        <w:t xml:space="preserve">IDT </w:t>
      </w:r>
      <w:r w:rsidR="00C610DB">
        <w:rPr>
          <w:bCs/>
          <w:color w:val="000000"/>
        </w:rPr>
        <w:t xml:space="preserve">or “the Company”), </w:t>
      </w:r>
      <w:r w:rsidR="00366F51">
        <w:rPr>
          <w:bCs/>
          <w:color w:val="000000"/>
        </w:rPr>
        <w:t xml:space="preserve">at </w:t>
      </w:r>
      <w:r w:rsidR="00C610DB">
        <w:rPr>
          <w:bCs/>
          <w:color w:val="000000"/>
        </w:rPr>
        <w:t>Docket Number C-2014-</w:t>
      </w:r>
      <w:r w:rsidR="00682F21">
        <w:rPr>
          <w:bCs/>
          <w:color w:val="000000"/>
        </w:rPr>
        <w:t>2427657</w:t>
      </w:r>
      <w:r w:rsidR="00C610DB">
        <w:rPr>
          <w:bCs/>
          <w:color w:val="000000"/>
        </w:rPr>
        <w:t xml:space="preserve">.  </w:t>
      </w:r>
      <w:r w:rsidR="00366F51">
        <w:rPr>
          <w:bCs/>
          <w:color w:val="000000"/>
        </w:rPr>
        <w:t>T</w:t>
      </w:r>
      <w:r w:rsidR="00C610DB">
        <w:rPr>
          <w:bCs/>
          <w:color w:val="000000"/>
        </w:rPr>
        <w:t xml:space="preserve">he Joint Complainants averred that they had received numerous contacts and complaints from consumers related to variable rates charged by </w:t>
      </w:r>
      <w:r w:rsidR="00682F21">
        <w:rPr>
          <w:bCs/>
          <w:color w:val="000000"/>
        </w:rPr>
        <w:t>IDT</w:t>
      </w:r>
      <w:r w:rsidR="00C610DB">
        <w:rPr>
          <w:bCs/>
          <w:color w:val="000000"/>
        </w:rPr>
        <w:t xml:space="preserve">, including approximately </w:t>
      </w:r>
      <w:r w:rsidR="00682F21">
        <w:rPr>
          <w:bCs/>
          <w:color w:val="000000"/>
        </w:rPr>
        <w:t xml:space="preserve">47 </w:t>
      </w:r>
      <w:r w:rsidR="00C610DB">
        <w:rPr>
          <w:bCs/>
          <w:color w:val="000000"/>
        </w:rPr>
        <w:t xml:space="preserve">formal complaints filed by consumers at the Commission.  As a result, the Joint Complainants averred </w:t>
      </w:r>
      <w:r w:rsidR="00682F21">
        <w:rPr>
          <w:bCs/>
          <w:color w:val="000000"/>
        </w:rPr>
        <w:t xml:space="preserve">seven </w:t>
      </w:r>
      <w:r w:rsidR="00C610DB">
        <w:rPr>
          <w:bCs/>
          <w:color w:val="000000"/>
        </w:rPr>
        <w:t xml:space="preserve">separate counts against </w:t>
      </w:r>
      <w:r w:rsidR="00682F21">
        <w:rPr>
          <w:bCs/>
          <w:color w:val="000000"/>
        </w:rPr>
        <w:t>IDT</w:t>
      </w:r>
      <w:r w:rsidR="00C610DB">
        <w:rPr>
          <w:bCs/>
          <w:color w:val="000000"/>
        </w:rPr>
        <w:t>, including</w:t>
      </w:r>
      <w:r w:rsidR="00CA22A8">
        <w:rPr>
          <w:bCs/>
          <w:color w:val="000000"/>
        </w:rPr>
        <w:t xml:space="preserve">, </w:t>
      </w:r>
      <w:r w:rsidR="00366F51">
        <w:rPr>
          <w:bCs/>
          <w:color w:val="000000"/>
        </w:rPr>
        <w:t>but not limited to</w:t>
      </w:r>
      <w:r w:rsidR="00CA22A8">
        <w:rPr>
          <w:bCs/>
          <w:color w:val="000000"/>
        </w:rPr>
        <w:t>, making misleading and deceptive promises of savings, slamming</w:t>
      </w:r>
      <w:r w:rsidR="00682F21">
        <w:rPr>
          <w:bCs/>
          <w:color w:val="000000"/>
        </w:rPr>
        <w:t xml:space="preserve">, </w:t>
      </w:r>
      <w:proofErr w:type="gramStart"/>
      <w:r w:rsidR="00682F21">
        <w:rPr>
          <w:bCs/>
          <w:color w:val="000000"/>
        </w:rPr>
        <w:t>lack</w:t>
      </w:r>
      <w:proofErr w:type="gramEnd"/>
      <w:r w:rsidR="00682F21">
        <w:rPr>
          <w:bCs/>
          <w:color w:val="000000"/>
        </w:rPr>
        <w:t xml:space="preserve"> of good faith handling of complaints</w:t>
      </w:r>
      <w:r w:rsidR="00CA22A8">
        <w:rPr>
          <w:bCs/>
          <w:color w:val="000000"/>
        </w:rPr>
        <w:t xml:space="preserve"> and failing to provide accurate pricing information.</w:t>
      </w:r>
      <w:r w:rsidR="00B104BF">
        <w:rPr>
          <w:bCs/>
          <w:color w:val="000000"/>
        </w:rPr>
        <w:t xml:space="preserve"> </w:t>
      </w:r>
      <w:r w:rsidR="00CA22A8">
        <w:rPr>
          <w:bCs/>
          <w:color w:val="000000"/>
        </w:rPr>
        <w:t xml:space="preserve"> The Joint Complainants </w:t>
      </w:r>
      <w:r w:rsidR="00B62154">
        <w:rPr>
          <w:bCs/>
          <w:color w:val="000000"/>
        </w:rPr>
        <w:t>made several requests</w:t>
      </w:r>
      <w:r w:rsidR="00436D29">
        <w:rPr>
          <w:bCs/>
          <w:color w:val="000000"/>
        </w:rPr>
        <w:t xml:space="preserve"> for relief</w:t>
      </w:r>
      <w:r w:rsidR="00B62154">
        <w:rPr>
          <w:bCs/>
          <w:color w:val="000000"/>
        </w:rPr>
        <w:t>, including providing restitution and prohibit</w:t>
      </w:r>
      <w:r w:rsidR="00D3584A">
        <w:rPr>
          <w:bCs/>
          <w:color w:val="000000"/>
        </w:rPr>
        <w:t>ing</w:t>
      </w:r>
      <w:r w:rsidR="00B62154">
        <w:rPr>
          <w:bCs/>
          <w:color w:val="000000"/>
        </w:rPr>
        <w:t xml:space="preserve"> dece</w:t>
      </w:r>
      <w:r w:rsidR="00B104BF">
        <w:rPr>
          <w:bCs/>
          <w:color w:val="000000"/>
        </w:rPr>
        <w:t>ptive practices in the future.</w:t>
      </w:r>
    </w:p>
    <w:p w:rsidR="00B62154" w:rsidRDefault="00B62154" w:rsidP="0094648D">
      <w:pPr>
        <w:widowControl w:val="0"/>
        <w:adjustRightInd w:val="0"/>
        <w:spacing w:line="360" w:lineRule="auto"/>
        <w:ind w:firstLine="1440"/>
        <w:rPr>
          <w:bCs/>
          <w:color w:val="000000"/>
        </w:rPr>
      </w:pPr>
    </w:p>
    <w:p w:rsidR="00DE488C" w:rsidRDefault="00B62154" w:rsidP="0094648D">
      <w:pPr>
        <w:widowControl w:val="0"/>
        <w:adjustRightInd w:val="0"/>
        <w:spacing w:line="360" w:lineRule="auto"/>
        <w:ind w:firstLine="1440"/>
        <w:rPr>
          <w:bCs/>
          <w:color w:val="000000"/>
        </w:rPr>
      </w:pPr>
      <w:r>
        <w:rPr>
          <w:bCs/>
          <w:color w:val="000000"/>
        </w:rPr>
        <w:t xml:space="preserve">On July 10, 2014, </w:t>
      </w:r>
      <w:r w:rsidR="00682F21">
        <w:rPr>
          <w:bCs/>
          <w:color w:val="000000"/>
        </w:rPr>
        <w:t xml:space="preserve">IDT </w:t>
      </w:r>
      <w:r>
        <w:rPr>
          <w:bCs/>
          <w:color w:val="000000"/>
        </w:rPr>
        <w:t xml:space="preserve">filed an Answer and New Matter in response to the Complaint.  In its Answer, </w:t>
      </w:r>
      <w:r w:rsidR="00682F21">
        <w:rPr>
          <w:bCs/>
          <w:color w:val="000000"/>
        </w:rPr>
        <w:t xml:space="preserve">IDT </w:t>
      </w:r>
      <w:r>
        <w:rPr>
          <w:bCs/>
          <w:color w:val="000000"/>
        </w:rPr>
        <w:t xml:space="preserve">admitted or denied the various averments made by the Joint Complainants.  In particular, </w:t>
      </w:r>
      <w:r w:rsidR="00DE488C">
        <w:rPr>
          <w:bCs/>
          <w:color w:val="000000"/>
        </w:rPr>
        <w:t xml:space="preserve">IDT specifically denied that its employees, agents and/or representatives have engaged or continue to engage in activities that are fraudulent, deceptive or in violation of the Commission’s regulations and orders or the </w:t>
      </w:r>
      <w:r w:rsidR="00973C43">
        <w:rPr>
          <w:bCs/>
          <w:color w:val="000000"/>
        </w:rPr>
        <w:t>Unfair Trade Practices/Consumer Protection Law</w:t>
      </w:r>
      <w:r w:rsidR="00DE488C">
        <w:rPr>
          <w:bCs/>
          <w:color w:val="000000"/>
        </w:rPr>
        <w:t xml:space="preserve">.  </w:t>
      </w:r>
      <w:r>
        <w:rPr>
          <w:bCs/>
          <w:color w:val="000000"/>
        </w:rPr>
        <w:t xml:space="preserve">In its New Matter, </w:t>
      </w:r>
      <w:r w:rsidR="00DE488C">
        <w:rPr>
          <w:bCs/>
          <w:color w:val="000000"/>
        </w:rPr>
        <w:t xml:space="preserve">IDT averred, </w:t>
      </w:r>
      <w:r w:rsidR="00DE488C">
        <w:rPr>
          <w:bCs/>
          <w:color w:val="000000"/>
        </w:rPr>
        <w:lastRenderedPageBreak/>
        <w:t xml:space="preserve">among other things, that customers </w:t>
      </w:r>
      <w:r w:rsidR="001B2B1F">
        <w:rPr>
          <w:bCs/>
          <w:color w:val="000000"/>
        </w:rPr>
        <w:t xml:space="preserve">received high bills in January and February of 2014 because of volatility in the wholesale energy market resulting from the very cold weather that resulted in record breaking use of natural gas and electricity. </w:t>
      </w:r>
      <w:r w:rsidR="00B104BF">
        <w:rPr>
          <w:bCs/>
          <w:color w:val="000000"/>
        </w:rPr>
        <w:t xml:space="preserve"> </w:t>
      </w:r>
      <w:r w:rsidR="001B2B1F">
        <w:rPr>
          <w:bCs/>
          <w:color w:val="000000"/>
        </w:rPr>
        <w:t>IDT provided additional averments and concluded by requesting that the Complaint be dismissed with prejudice.</w:t>
      </w:r>
    </w:p>
    <w:p w:rsidR="001B2B1F" w:rsidRDefault="001B2B1F" w:rsidP="0094648D">
      <w:pPr>
        <w:widowControl w:val="0"/>
        <w:adjustRightInd w:val="0"/>
        <w:spacing w:line="360" w:lineRule="auto"/>
        <w:ind w:firstLine="1440"/>
        <w:rPr>
          <w:bCs/>
          <w:color w:val="000000"/>
        </w:rPr>
      </w:pPr>
    </w:p>
    <w:p w:rsidR="00784CC6" w:rsidRDefault="001B2B1F" w:rsidP="0094648D">
      <w:pPr>
        <w:widowControl w:val="0"/>
        <w:adjustRightInd w:val="0"/>
        <w:spacing w:line="360" w:lineRule="auto"/>
        <w:ind w:firstLine="1440"/>
        <w:rPr>
          <w:bCs/>
          <w:color w:val="000000"/>
        </w:rPr>
      </w:pPr>
      <w:r>
        <w:rPr>
          <w:bCs/>
          <w:color w:val="000000"/>
        </w:rPr>
        <w:t>Also on July 10, 2014, IDT filed Preliminary Objections in response to the Complaint.  In its Preliminary Objection</w:t>
      </w:r>
      <w:r w:rsidR="00784CC6">
        <w:rPr>
          <w:bCs/>
          <w:color w:val="000000"/>
        </w:rPr>
        <w:t>s</w:t>
      </w:r>
      <w:r>
        <w:rPr>
          <w:bCs/>
          <w:color w:val="000000"/>
        </w:rPr>
        <w:t>, IDT argued that three of the seven Counts averred in the Complaint should be dismissed or stricken with prejudice</w:t>
      </w:r>
      <w:r w:rsidR="00784CC6">
        <w:rPr>
          <w:bCs/>
          <w:color w:val="000000"/>
        </w:rPr>
        <w:t>,</w:t>
      </w:r>
      <w:r>
        <w:rPr>
          <w:bCs/>
          <w:color w:val="000000"/>
        </w:rPr>
        <w:t xml:space="preserve"> and the request for an Order providing restitution should be denied</w:t>
      </w:r>
      <w:r w:rsidR="00784CC6">
        <w:rPr>
          <w:bCs/>
          <w:color w:val="000000"/>
        </w:rPr>
        <w:t xml:space="preserve">, because </w:t>
      </w:r>
      <w:r w:rsidR="00973C43">
        <w:rPr>
          <w:bCs/>
          <w:color w:val="000000"/>
        </w:rPr>
        <w:t xml:space="preserve">they </w:t>
      </w:r>
      <w:r w:rsidR="00784CC6">
        <w:rPr>
          <w:bCs/>
          <w:color w:val="000000"/>
        </w:rPr>
        <w:t>are legally insufficient or include impertinent material</w:t>
      </w:r>
      <w:r>
        <w:rPr>
          <w:bCs/>
          <w:color w:val="000000"/>
        </w:rPr>
        <w:t>.</w:t>
      </w:r>
      <w:r w:rsidR="00784CC6">
        <w:rPr>
          <w:bCs/>
          <w:color w:val="000000"/>
        </w:rPr>
        <w:t xml:space="preserve">  On July 21, 2014, the Joint Complainants filed an Answer to IDT’s Preliminary Objections.  In their Answer, the Joint Complainants </w:t>
      </w:r>
      <w:r w:rsidR="00CA199A">
        <w:rPr>
          <w:bCs/>
          <w:color w:val="000000"/>
        </w:rPr>
        <w:t>argued that IDT’s Preliminary Objections are unsupported and should be overruled.  The Joint Complainants argued that it is clear and free from doubt that the Complaint is legally sufficient an</w:t>
      </w:r>
      <w:r w:rsidR="00B104BF">
        <w:rPr>
          <w:bCs/>
          <w:color w:val="000000"/>
        </w:rPr>
        <w:t xml:space="preserve">d contains pertinent material.  On August 20, 2014, an Order </w:t>
      </w:r>
      <w:proofErr w:type="gramStart"/>
      <w:r w:rsidR="00B104BF">
        <w:rPr>
          <w:bCs/>
          <w:color w:val="000000"/>
        </w:rPr>
        <w:t>Granting</w:t>
      </w:r>
      <w:proofErr w:type="gramEnd"/>
      <w:r w:rsidR="00B104BF">
        <w:rPr>
          <w:bCs/>
          <w:color w:val="000000"/>
        </w:rPr>
        <w:t xml:space="preserve"> in Part and Denying in Part Preliminary Objections was issued striking portions of the Complaint.</w:t>
      </w:r>
    </w:p>
    <w:p w:rsidR="006C63D0" w:rsidRDefault="006C63D0" w:rsidP="0094648D">
      <w:pPr>
        <w:widowControl w:val="0"/>
        <w:adjustRightInd w:val="0"/>
        <w:spacing w:line="360" w:lineRule="auto"/>
        <w:ind w:firstLine="1440"/>
        <w:rPr>
          <w:bCs/>
          <w:color w:val="000000"/>
        </w:rPr>
      </w:pPr>
    </w:p>
    <w:p w:rsidR="00F40A39" w:rsidRDefault="00F40A39" w:rsidP="00F40A39">
      <w:pPr>
        <w:widowControl w:val="0"/>
        <w:adjustRightInd w:val="0"/>
        <w:spacing w:line="360" w:lineRule="auto"/>
        <w:ind w:firstLine="1440"/>
        <w:rPr>
          <w:bCs/>
          <w:color w:val="000000"/>
        </w:rPr>
      </w:pPr>
      <w:r>
        <w:rPr>
          <w:bCs/>
          <w:color w:val="000000"/>
        </w:rPr>
        <w:t>On August 25, 2014, an Initial Prehearing Conference was convened where various procedural issues were discussed.  Following the Initial Prehearing Conference, Procedural Order #2 was issued establishing 1) that the Joint Complainants would submit written direct testimony of consumer witnesses it intends to present in this proceeding by Friday, October 31, 2014; 2) that evidentiary hearings for purposes of admitting the written direct testimony of the consumer witnesses subject to cross examination and timely objections will be held December 8-12, 2014; and, 3) a Further Prehearing Conference will be held in this matter on December 30, 2014.</w:t>
      </w:r>
    </w:p>
    <w:p w:rsidR="00F40A39" w:rsidRDefault="00F40A39" w:rsidP="00F40A39">
      <w:pPr>
        <w:widowControl w:val="0"/>
        <w:adjustRightInd w:val="0"/>
        <w:spacing w:line="360" w:lineRule="auto"/>
        <w:ind w:firstLine="1440"/>
        <w:rPr>
          <w:bCs/>
          <w:color w:val="000000"/>
        </w:rPr>
      </w:pPr>
    </w:p>
    <w:p w:rsidR="00A761C1" w:rsidRDefault="00F40A39" w:rsidP="00A761C1">
      <w:pPr>
        <w:widowControl w:val="0"/>
        <w:adjustRightInd w:val="0"/>
        <w:spacing w:line="360" w:lineRule="auto"/>
        <w:ind w:firstLine="1440"/>
        <w:rPr>
          <w:bCs/>
          <w:color w:val="000000"/>
        </w:rPr>
      </w:pPr>
      <w:r>
        <w:rPr>
          <w:bCs/>
          <w:color w:val="000000"/>
        </w:rPr>
        <w:t xml:space="preserve">On October 31, 2014, the Joint Complainants submitted written direct testimony of </w:t>
      </w:r>
      <w:r w:rsidR="00A761C1">
        <w:rPr>
          <w:bCs/>
          <w:color w:val="000000"/>
        </w:rPr>
        <w:t xml:space="preserve">215 </w:t>
      </w:r>
      <w:r>
        <w:rPr>
          <w:bCs/>
          <w:color w:val="000000"/>
        </w:rPr>
        <w:t xml:space="preserve">consumer witnesses it intends to present in this proceeding comprising </w:t>
      </w:r>
      <w:r w:rsidR="00A761C1">
        <w:rPr>
          <w:bCs/>
          <w:color w:val="000000"/>
        </w:rPr>
        <w:t>nearly 4,000 pages.</w:t>
      </w:r>
    </w:p>
    <w:p w:rsidR="00A761C1" w:rsidRDefault="00A761C1" w:rsidP="00A761C1">
      <w:pPr>
        <w:widowControl w:val="0"/>
        <w:adjustRightInd w:val="0"/>
        <w:spacing w:line="360" w:lineRule="auto"/>
        <w:ind w:firstLine="1440"/>
        <w:rPr>
          <w:bCs/>
          <w:color w:val="000000"/>
        </w:rPr>
      </w:pPr>
    </w:p>
    <w:p w:rsidR="00A761C1" w:rsidRDefault="00A761C1" w:rsidP="00A761C1">
      <w:pPr>
        <w:widowControl w:val="0"/>
        <w:adjustRightInd w:val="0"/>
        <w:spacing w:line="360" w:lineRule="auto"/>
        <w:ind w:firstLine="1440"/>
        <w:rPr>
          <w:bCs/>
          <w:color w:val="000000"/>
        </w:rPr>
      </w:pPr>
      <w:r>
        <w:rPr>
          <w:bCs/>
          <w:color w:val="000000"/>
        </w:rPr>
        <w:t>On November 3, 2014, Procedural Order #3 was issued directing IDT to:  1) indicate to the parties and the Presiding Officers by November 24, 2014 which customers it intends to cross examine, 2) file any Motions to Strike testimony by December 1, 2014 and 3) disseminate copies of all exhibits it intends to utilize at hearing by December 4, 2014.  Pursuant to Procedural Order #3, IDT indicated on November 24, 2014 that it intends to cross examine all but one of the 215 consumers who submitted written direct testimony.</w:t>
      </w:r>
    </w:p>
    <w:p w:rsidR="00A761C1" w:rsidRDefault="00A761C1" w:rsidP="00A761C1">
      <w:pPr>
        <w:widowControl w:val="0"/>
        <w:adjustRightInd w:val="0"/>
        <w:spacing w:line="360" w:lineRule="auto"/>
        <w:ind w:firstLine="1440"/>
        <w:rPr>
          <w:bCs/>
          <w:color w:val="000000"/>
        </w:rPr>
      </w:pPr>
    </w:p>
    <w:p w:rsidR="006C63D0" w:rsidRDefault="00A761C1" w:rsidP="0094648D">
      <w:pPr>
        <w:widowControl w:val="0"/>
        <w:adjustRightInd w:val="0"/>
        <w:spacing w:line="360" w:lineRule="auto"/>
        <w:ind w:firstLine="1440"/>
        <w:rPr>
          <w:bCs/>
          <w:color w:val="000000"/>
        </w:rPr>
      </w:pPr>
      <w:r>
        <w:rPr>
          <w:bCs/>
          <w:color w:val="000000"/>
        </w:rPr>
        <w:t xml:space="preserve">On November 26, 2014, IDT filed a Motion for Continuance of Evidentiary Hearings scheduled for December 8-12, 2014.  In its Motion, IDT argued </w:t>
      </w:r>
      <w:r w:rsidR="00B71848">
        <w:rPr>
          <w:bCs/>
          <w:color w:val="000000"/>
        </w:rPr>
        <w:t>that good cause exists to grant a continuance in light of the volume of material that was only recently exchanged by the parties, the number of witnesses proposed by the Joint Complainants and the short time frame afforded by IDT to prepare adequately for cross examination.  IDT provided details in its Motion of its efforts thus far in anticipation of the Hearings that lead to its realization that it needs more time to complete the investigation and analysis of each of the customer’s testimony and related activities in preparation for the Hearings.</w:t>
      </w:r>
      <w:r w:rsidR="00094150">
        <w:rPr>
          <w:bCs/>
          <w:color w:val="000000"/>
        </w:rPr>
        <w:t xml:space="preserve">  IDT further argued that due process considerations mandate that IDT be afforded adequate time to prepare its defense, especially since the Complaint seeks extensive sanctions against IDT up to and including revocation of its license.  IDT added that additional time will further enable a more efficient use of Hearing time and allow parties to continue to devote time to settlement discussions.  IDT requested the Hearings be rescheduled to February, 2015.</w:t>
      </w:r>
    </w:p>
    <w:p w:rsidR="00094150" w:rsidRDefault="00094150" w:rsidP="0094648D">
      <w:pPr>
        <w:widowControl w:val="0"/>
        <w:adjustRightInd w:val="0"/>
        <w:spacing w:line="360" w:lineRule="auto"/>
        <w:ind w:firstLine="1440"/>
        <w:rPr>
          <w:bCs/>
          <w:color w:val="000000"/>
        </w:rPr>
      </w:pPr>
    </w:p>
    <w:p w:rsidR="00094150" w:rsidRDefault="00B016B8" w:rsidP="0094648D">
      <w:pPr>
        <w:widowControl w:val="0"/>
        <w:adjustRightInd w:val="0"/>
        <w:spacing w:line="360" w:lineRule="auto"/>
        <w:ind w:firstLine="1440"/>
        <w:rPr>
          <w:bCs/>
          <w:color w:val="000000"/>
        </w:rPr>
      </w:pPr>
      <w:r>
        <w:rPr>
          <w:bCs/>
          <w:color w:val="000000"/>
        </w:rPr>
        <w:t xml:space="preserve">Section 1.15(b) of the Commission’s regulations allows for continuances of hearings for “good cause shown.”  </w:t>
      </w:r>
      <w:proofErr w:type="gramStart"/>
      <w:r>
        <w:rPr>
          <w:bCs/>
          <w:color w:val="000000"/>
        </w:rPr>
        <w:t>52 Pa.Code § 1.15(b).</w:t>
      </w:r>
      <w:proofErr w:type="gramEnd"/>
      <w:r>
        <w:rPr>
          <w:bCs/>
          <w:color w:val="000000"/>
        </w:rPr>
        <w:t xml:space="preserve">  In this case,</w:t>
      </w:r>
      <w:r w:rsidR="00E85543">
        <w:rPr>
          <w:bCs/>
          <w:color w:val="000000"/>
        </w:rPr>
        <w:t xml:space="preserve"> the Joint Complainants indicated in the Complaint that 47 formal complaints were filed by consumers with the Commission.  In their Prehearing Memorandum submitted in advance of the August 25, 2014 Prehearing Conference, the Joint Complainants indicated that </w:t>
      </w:r>
      <w:r w:rsidR="009C45FB">
        <w:rPr>
          <w:bCs/>
          <w:color w:val="000000"/>
        </w:rPr>
        <w:t>they intend to call over 300 potential consumer fact witnesses to present testimony in person, by affidavit and telephonically.  As noted above, on October 31, 2014, the Joint Complainants submitted direct testimony of 215 consumer witnesses comprising nearly 4,000 pages.</w:t>
      </w:r>
      <w:r w:rsidR="00785D07">
        <w:rPr>
          <w:bCs/>
          <w:color w:val="000000"/>
        </w:rPr>
        <w:t xml:space="preserve">  As IDT noted in its Motion, the Company has worked diligently to prepare for the Hearings, including comparing the witnesses’ testimony to its own records, identifying documents that could be used as cross examination exhibits, listening to third party verification recordings and prepar</w:t>
      </w:r>
      <w:r w:rsidR="007B5F06">
        <w:rPr>
          <w:bCs/>
          <w:color w:val="000000"/>
        </w:rPr>
        <w:t>ing</w:t>
      </w:r>
      <w:r w:rsidR="00785D07">
        <w:rPr>
          <w:bCs/>
          <w:color w:val="000000"/>
        </w:rPr>
        <w:t xml:space="preserve"> cro</w:t>
      </w:r>
      <w:r w:rsidR="007B5F06">
        <w:rPr>
          <w:bCs/>
          <w:color w:val="000000"/>
        </w:rPr>
        <w:t>ss examination of each witness</w:t>
      </w:r>
      <w:r w:rsidR="00785D07">
        <w:rPr>
          <w:bCs/>
          <w:color w:val="000000"/>
        </w:rPr>
        <w:t>, among other things.  IDT further indicated that their efforts were delayed due to answers to discovery provided on encrypted software.  IDT has undertaken these efforts in addition to responding to discovery requests directed to the Company and consider</w:t>
      </w:r>
      <w:r w:rsidR="007B5F06">
        <w:rPr>
          <w:bCs/>
          <w:color w:val="000000"/>
        </w:rPr>
        <w:t>ing</w:t>
      </w:r>
      <w:r w:rsidR="00785D07">
        <w:rPr>
          <w:bCs/>
          <w:color w:val="000000"/>
        </w:rPr>
        <w:t xml:space="preserve"> possible settlement of the matter.</w:t>
      </w:r>
    </w:p>
    <w:p w:rsidR="00B016B8" w:rsidRDefault="00B016B8" w:rsidP="0094648D">
      <w:pPr>
        <w:widowControl w:val="0"/>
        <w:adjustRightInd w:val="0"/>
        <w:spacing w:line="360" w:lineRule="auto"/>
        <w:ind w:firstLine="1440"/>
        <w:rPr>
          <w:bCs/>
          <w:color w:val="000000"/>
        </w:rPr>
      </w:pPr>
    </w:p>
    <w:p w:rsidR="00B016B8" w:rsidRDefault="007B5F06" w:rsidP="0094648D">
      <w:pPr>
        <w:widowControl w:val="0"/>
        <w:adjustRightInd w:val="0"/>
        <w:spacing w:line="360" w:lineRule="auto"/>
        <w:ind w:firstLine="1440"/>
        <w:rPr>
          <w:bCs/>
          <w:color w:val="000000"/>
        </w:rPr>
      </w:pPr>
      <w:r>
        <w:rPr>
          <w:bCs/>
          <w:color w:val="000000"/>
        </w:rPr>
        <w:t>N</w:t>
      </w:r>
      <w:r w:rsidR="00B016B8">
        <w:rPr>
          <w:bCs/>
          <w:color w:val="000000"/>
        </w:rPr>
        <w:t>o party opposed the Motion for Continuance filed by IDT.</w:t>
      </w:r>
    </w:p>
    <w:p w:rsidR="00B016B8" w:rsidRDefault="00B016B8" w:rsidP="0094648D">
      <w:pPr>
        <w:widowControl w:val="0"/>
        <w:adjustRightInd w:val="0"/>
        <w:spacing w:line="360" w:lineRule="auto"/>
        <w:ind w:firstLine="1440"/>
        <w:rPr>
          <w:bCs/>
          <w:color w:val="000000"/>
        </w:rPr>
      </w:pPr>
    </w:p>
    <w:p w:rsidR="00B016B8" w:rsidRDefault="00B016B8" w:rsidP="0094648D">
      <w:pPr>
        <w:widowControl w:val="0"/>
        <w:adjustRightInd w:val="0"/>
        <w:spacing w:line="360" w:lineRule="auto"/>
        <w:ind w:firstLine="1440"/>
        <w:rPr>
          <w:bCs/>
          <w:color w:val="000000"/>
        </w:rPr>
      </w:pPr>
      <w:r>
        <w:rPr>
          <w:bCs/>
          <w:color w:val="000000"/>
        </w:rPr>
        <w:t xml:space="preserve">In light of the time sensitive nature of IDT’s Motion, the Motion was preliminarily granted via email on December 1, 2014.  The purpose of this Order is to formally grant the Motion with additional detail.  The evidentiary Hearings scheduled for December 8-12, 2014 and the Further Prehearing Conference scheduled for December 30, 2014 </w:t>
      </w:r>
      <w:proofErr w:type="gramStart"/>
      <w:r>
        <w:rPr>
          <w:bCs/>
          <w:color w:val="000000"/>
        </w:rPr>
        <w:t>are</w:t>
      </w:r>
      <w:proofErr w:type="gramEnd"/>
      <w:r>
        <w:rPr>
          <w:bCs/>
          <w:color w:val="000000"/>
        </w:rPr>
        <w:t xml:space="preserve"> hereby cancelled.</w:t>
      </w:r>
    </w:p>
    <w:p w:rsidR="00B016B8" w:rsidRDefault="00B016B8" w:rsidP="0094648D">
      <w:pPr>
        <w:widowControl w:val="0"/>
        <w:adjustRightInd w:val="0"/>
        <w:spacing w:line="360" w:lineRule="auto"/>
        <w:ind w:firstLine="1440"/>
        <w:rPr>
          <w:bCs/>
          <w:color w:val="000000"/>
        </w:rPr>
      </w:pPr>
    </w:p>
    <w:p w:rsidR="00D2429D" w:rsidRDefault="00B016B8" w:rsidP="00D2429D">
      <w:pPr>
        <w:autoSpaceDE/>
        <w:autoSpaceDN/>
        <w:spacing w:line="360" w:lineRule="auto"/>
        <w:ind w:firstLine="1440"/>
      </w:pPr>
      <w:r>
        <w:rPr>
          <w:bCs/>
          <w:color w:val="000000"/>
        </w:rPr>
        <w:t xml:space="preserve">IDT’s Motion will be granted because good cause has been shown.  In particular, </w:t>
      </w:r>
      <w:r w:rsidR="00785D07">
        <w:rPr>
          <w:bCs/>
          <w:color w:val="000000"/>
        </w:rPr>
        <w:t xml:space="preserve">the increase in the number of potential </w:t>
      </w:r>
      <w:r w:rsidR="00D2429D">
        <w:rPr>
          <w:bCs/>
          <w:color w:val="000000"/>
        </w:rPr>
        <w:t xml:space="preserve">consumer </w:t>
      </w:r>
      <w:r w:rsidR="00785D07">
        <w:rPr>
          <w:bCs/>
          <w:color w:val="000000"/>
        </w:rPr>
        <w:t xml:space="preserve">witnesses </w:t>
      </w:r>
      <w:r w:rsidR="00D2429D">
        <w:rPr>
          <w:bCs/>
          <w:color w:val="000000"/>
        </w:rPr>
        <w:t xml:space="preserve">from 47 to 215 warrants allowing IDT additional time to prepare for the Hearings.  Although IDT was on notice as of the Prehearing Conference that the number of potential consumer witnesses may increase to over 300, the volume of the written testimony comprised nearly 4,000 pages.  IDT also indicated that it experienced a delay in being able to access certain responses to discovery.  As a result, it is reasonable to allow IDT additional time to review the pre-served testimony and prepare for hearings.  </w:t>
      </w:r>
      <w:r w:rsidR="00D2429D">
        <w:t xml:space="preserve">Additionally, granting </w:t>
      </w:r>
      <w:r w:rsidR="00DA51BC">
        <w:t>IDT’s</w:t>
      </w:r>
      <w:r w:rsidR="00D2429D">
        <w:t xml:space="preserve"> Motion will allow the parties additional time to expedite the hearings because, as discussed further below, the parties are being directed to coordinate the most efficient means for admitting the pre-served testimony subject to cross-examination and timely motions.  Granting </w:t>
      </w:r>
      <w:r w:rsidR="00DA51BC">
        <w:t xml:space="preserve">IDT’s </w:t>
      </w:r>
      <w:r w:rsidR="00D2429D">
        <w:t xml:space="preserve">Motion will allow the parties more time to do this.  Granting </w:t>
      </w:r>
      <w:r w:rsidR="00DA51BC">
        <w:t xml:space="preserve">IDT’s </w:t>
      </w:r>
      <w:r w:rsidR="00D2429D">
        <w:t xml:space="preserve">Motion will also allow for additional time for the Commission to act on Petitions for Interlocutory Review that </w:t>
      </w:r>
      <w:proofErr w:type="gramStart"/>
      <w:r w:rsidR="00D2429D">
        <w:t>remain</w:t>
      </w:r>
      <w:proofErr w:type="gramEnd"/>
      <w:r w:rsidR="00D2429D">
        <w:t xml:space="preserve"> outstanding.  Commission action on those Petitions may also help expedite the hearings that are being continued.  Finally, </w:t>
      </w:r>
      <w:r w:rsidR="00DA51BC">
        <w:t xml:space="preserve">IDT indicated </w:t>
      </w:r>
      <w:r w:rsidR="00D2429D">
        <w:t>that continuing the hearings will allow additional time for the parties to engage in meaningful settlement discussions.</w:t>
      </w:r>
    </w:p>
    <w:p w:rsidR="00D2429D" w:rsidRDefault="00D2429D" w:rsidP="00D2429D">
      <w:pPr>
        <w:autoSpaceDE/>
        <w:autoSpaceDN/>
        <w:spacing w:line="360" w:lineRule="auto"/>
        <w:ind w:firstLine="1440"/>
      </w:pPr>
    </w:p>
    <w:p w:rsidR="00D2429D" w:rsidRDefault="00D2429D" w:rsidP="00D2429D">
      <w:pPr>
        <w:autoSpaceDE/>
        <w:autoSpaceDN/>
        <w:spacing w:line="360" w:lineRule="auto"/>
        <w:ind w:firstLine="1440"/>
      </w:pPr>
      <w:r>
        <w:t xml:space="preserve">The parties are directed to coordinate the most efficient means for admitting the pre-served consumer testimony into the record, subject to cross-examination and any timely motions.  This includes entering into any Stipulations or waiving the need to cross-examine any witnesses.  To help expedite the evidentiary hearings, </w:t>
      </w:r>
      <w:r w:rsidR="00DA51BC">
        <w:t xml:space="preserve">IDT </w:t>
      </w:r>
      <w:r>
        <w:t xml:space="preserve">will indicate to the Presiding Officers and the parties no later than </w:t>
      </w:r>
      <w:r w:rsidR="00C57C68">
        <w:t xml:space="preserve">February 2, 2015 </w:t>
      </w:r>
      <w:r>
        <w:t xml:space="preserve">which customers it intends to cross-examine.  All other consumer witness testimony pre-served on October </w:t>
      </w:r>
      <w:r w:rsidR="00DA51BC">
        <w:t>31</w:t>
      </w:r>
      <w:r>
        <w:t xml:space="preserve">, 2014 will be admitted without cross-examination.  Additionally, </w:t>
      </w:r>
      <w:r w:rsidR="00DA51BC">
        <w:t xml:space="preserve">IDT </w:t>
      </w:r>
      <w:r>
        <w:t xml:space="preserve">will circulate to the Presiding Officers and the parties no later than </w:t>
      </w:r>
      <w:r w:rsidR="00C57C68">
        <w:t>February 6</w:t>
      </w:r>
      <w:r>
        <w:t xml:space="preserve">, 2015 the exhibits it intends to use during the evidentiary hearings.  Any Motions to Strike testimony will be filed no later than </w:t>
      </w:r>
      <w:r w:rsidR="00C57C68">
        <w:t>February 2</w:t>
      </w:r>
      <w:r>
        <w:t>, 2015.  The parties are directed to indicate which witnesses, if any, they intend to present in-person, with all other witnesses being presented telephonically.  The parties are encouraged to engage in any other activity that will help expedite the ev</w:t>
      </w:r>
      <w:r w:rsidR="00C57C68">
        <w:t>identiary hearings scheduled for February 17-20</w:t>
      </w:r>
      <w:r>
        <w:t>, 2015.  The parties are advised that it is unlikely that a further continuance of these evidentiary hearings will be granted, absent exigent circumstances.</w:t>
      </w:r>
    </w:p>
    <w:p w:rsidR="00D2429D" w:rsidRDefault="00D2429D" w:rsidP="00D2429D">
      <w:pPr>
        <w:autoSpaceDE/>
        <w:autoSpaceDN/>
        <w:spacing w:line="360" w:lineRule="auto"/>
        <w:ind w:firstLine="1440"/>
      </w:pPr>
    </w:p>
    <w:p w:rsidR="004C024E" w:rsidRDefault="004C024E" w:rsidP="004C024E">
      <w:pPr>
        <w:autoSpaceDE/>
        <w:autoSpaceDN/>
        <w:spacing w:line="360" w:lineRule="auto"/>
        <w:ind w:firstLine="1440"/>
        <w:rPr>
          <w:rFonts w:eastAsiaTheme="minorEastAsia"/>
        </w:rPr>
      </w:pPr>
      <w:r>
        <w:t xml:space="preserve">The parties are also reminded that </w:t>
      </w:r>
      <w:r w:rsidRPr="00602E28">
        <w:t xml:space="preserve">Commission policy promotes settlements.  </w:t>
      </w:r>
      <w:proofErr w:type="gramStart"/>
      <w:r w:rsidRPr="00602E28">
        <w:t>52 Pa.Code § 5.231(a).</w:t>
      </w:r>
      <w:proofErr w:type="gramEnd"/>
      <w:r w:rsidRPr="00602E28">
        <w:t xml:space="preserve">  The parties are encouraged to </w:t>
      </w:r>
      <w:r>
        <w:t>continue</w:t>
      </w:r>
      <w:r w:rsidRPr="00602E28">
        <w:t xml:space="preserve"> settlement discussions as early as possible.  Even if the parties are unable to settle this case, they may still resolve some of the questions or issues during their discussions.  If the parties reach an agreement on all issues, a formal hearing will not be necessary and the scheduled hearing will be cancelled.  Any settlement, however, must be supported by substantial record evidence.  </w:t>
      </w:r>
      <w:proofErr w:type="gramStart"/>
      <w:r w:rsidRPr="00602E28">
        <w:rPr>
          <w:rFonts w:eastAsiaTheme="minorEastAsia"/>
        </w:rPr>
        <w:t>2 Pa.C.S.</w:t>
      </w:r>
      <w:proofErr w:type="gramEnd"/>
      <w:r w:rsidRPr="00602E28">
        <w:rPr>
          <w:rFonts w:eastAsiaTheme="minorEastAsia"/>
        </w:rPr>
        <w:t xml:space="preserve"> § 704.  </w:t>
      </w:r>
      <w:r>
        <w:rPr>
          <w:rFonts w:eastAsiaTheme="minorEastAsia"/>
        </w:rPr>
        <w:t>The parties are directed to advise the Presiding Officers of all future settlement activity.</w:t>
      </w:r>
    </w:p>
    <w:p w:rsidR="004C024E" w:rsidRDefault="004C024E" w:rsidP="004C024E">
      <w:pPr>
        <w:spacing w:line="360" w:lineRule="auto"/>
        <w:jc w:val="center"/>
      </w:pPr>
    </w:p>
    <w:p w:rsidR="00B016B8" w:rsidRPr="003A5AD2" w:rsidRDefault="00B016B8" w:rsidP="004C024E">
      <w:pPr>
        <w:spacing w:line="360" w:lineRule="auto"/>
        <w:jc w:val="center"/>
      </w:pPr>
    </w:p>
    <w:p w:rsidR="00C57C68" w:rsidRDefault="00C57C68" w:rsidP="004C024E">
      <w:pPr>
        <w:spacing w:line="360" w:lineRule="auto"/>
        <w:jc w:val="center"/>
        <w:rPr>
          <w:u w:val="single"/>
        </w:rPr>
      </w:pPr>
    </w:p>
    <w:p w:rsidR="004C024E" w:rsidRPr="00700B9E" w:rsidRDefault="004C024E" w:rsidP="004C024E">
      <w:pPr>
        <w:spacing w:line="360" w:lineRule="auto"/>
        <w:jc w:val="center"/>
      </w:pPr>
      <w:r w:rsidRPr="00700B9E">
        <w:rPr>
          <w:u w:val="single"/>
        </w:rPr>
        <w:t>ORDER</w:t>
      </w:r>
    </w:p>
    <w:p w:rsidR="004C024E" w:rsidRDefault="004C024E" w:rsidP="004C024E">
      <w:pPr>
        <w:spacing w:line="360" w:lineRule="auto"/>
      </w:pPr>
    </w:p>
    <w:p w:rsidR="004C024E" w:rsidRPr="00700B9E" w:rsidRDefault="004C024E" w:rsidP="004C024E">
      <w:pPr>
        <w:spacing w:line="360" w:lineRule="auto"/>
      </w:pPr>
    </w:p>
    <w:p w:rsidR="004C024E" w:rsidRPr="00700B9E" w:rsidRDefault="004C024E" w:rsidP="004C024E">
      <w:pPr>
        <w:spacing w:line="360" w:lineRule="auto"/>
        <w:ind w:firstLine="1440"/>
        <w:rPr>
          <w:bCs/>
        </w:rPr>
      </w:pPr>
      <w:r w:rsidRPr="00700B9E">
        <w:rPr>
          <w:bCs/>
        </w:rPr>
        <w:t>THEREFORE,</w:t>
      </w:r>
    </w:p>
    <w:p w:rsidR="004C024E" w:rsidRPr="00700B9E" w:rsidRDefault="004C024E" w:rsidP="004C024E">
      <w:pPr>
        <w:spacing w:line="360" w:lineRule="auto"/>
        <w:ind w:firstLine="1440"/>
      </w:pPr>
    </w:p>
    <w:p w:rsidR="004C024E" w:rsidRPr="00700B9E" w:rsidRDefault="004C024E" w:rsidP="004C024E">
      <w:pPr>
        <w:spacing w:line="360" w:lineRule="auto"/>
        <w:ind w:firstLine="1440"/>
        <w:rPr>
          <w:bCs/>
        </w:rPr>
      </w:pPr>
      <w:r w:rsidRPr="00700B9E">
        <w:rPr>
          <w:bCs/>
        </w:rPr>
        <w:t>IT IS ORDERED:</w:t>
      </w:r>
    </w:p>
    <w:p w:rsidR="004C024E" w:rsidRPr="00700B9E" w:rsidRDefault="004C024E" w:rsidP="004C024E">
      <w:pPr>
        <w:spacing w:line="360" w:lineRule="auto"/>
        <w:ind w:firstLine="1440"/>
        <w:rPr>
          <w:bCs/>
        </w:rPr>
      </w:pPr>
    </w:p>
    <w:p w:rsidR="004C024E" w:rsidRDefault="004C024E" w:rsidP="004C024E">
      <w:pPr>
        <w:pStyle w:val="ListParagraph"/>
        <w:numPr>
          <w:ilvl w:val="0"/>
          <w:numId w:val="11"/>
        </w:numPr>
        <w:spacing w:line="360" w:lineRule="auto"/>
        <w:ind w:left="0" w:firstLine="1440"/>
      </w:pPr>
      <w:r w:rsidRPr="00700B9E">
        <w:t xml:space="preserve">That the </w:t>
      </w:r>
      <w:r>
        <w:t xml:space="preserve">Motion for Continuance filed by </w:t>
      </w:r>
      <w:r w:rsidR="002453CC">
        <w:rPr>
          <w:bCs/>
          <w:color w:val="000000"/>
        </w:rPr>
        <w:t xml:space="preserve">IDT Energy, Inc. </w:t>
      </w:r>
      <w:r>
        <w:t xml:space="preserve">on </w:t>
      </w:r>
      <w:r w:rsidR="002453CC">
        <w:t>November 26</w:t>
      </w:r>
      <w:r>
        <w:t>, 2014 in the above-captioned proceeding is hereby granted.</w:t>
      </w:r>
    </w:p>
    <w:p w:rsidR="004C024E" w:rsidRDefault="004C024E" w:rsidP="004C024E">
      <w:pPr>
        <w:pStyle w:val="ListParagraph"/>
        <w:spacing w:line="360" w:lineRule="auto"/>
        <w:ind w:left="1440"/>
      </w:pPr>
    </w:p>
    <w:p w:rsidR="004C024E" w:rsidRDefault="004C024E" w:rsidP="004C024E">
      <w:pPr>
        <w:pStyle w:val="ListParagraph"/>
        <w:numPr>
          <w:ilvl w:val="0"/>
          <w:numId w:val="11"/>
        </w:numPr>
        <w:spacing w:line="360" w:lineRule="auto"/>
        <w:ind w:left="0" w:firstLine="1440"/>
      </w:pPr>
      <w:r>
        <w:t xml:space="preserve">That the evidentiary hearings scheduled for </w:t>
      </w:r>
      <w:r w:rsidR="002453CC">
        <w:t>December 8-</w:t>
      </w:r>
      <w:r>
        <w:t xml:space="preserve">12, 2014 are cancelled and rescheduled for </w:t>
      </w:r>
      <w:r w:rsidR="00C57C68">
        <w:t>February 17-20</w:t>
      </w:r>
      <w:r>
        <w:t>, 2015.</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 xml:space="preserve">That the Further Prehearing Conference scheduled for </w:t>
      </w:r>
      <w:r w:rsidR="002453CC">
        <w:t xml:space="preserve">December 30, 2014 </w:t>
      </w:r>
      <w:r w:rsidR="00C57C68">
        <w:t>is cancelled.</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That the parties are directed to coordinate the most efficient means for admitting the pre-served consumer testimony into the record, subject to cross-examination and timely objections, including entering into any Stipulations or waiving the need for cross examination.</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 xml:space="preserve">That </w:t>
      </w:r>
      <w:r w:rsidR="002453CC">
        <w:rPr>
          <w:bCs/>
          <w:color w:val="000000"/>
        </w:rPr>
        <w:t xml:space="preserve">IDT Energy, Inc. </w:t>
      </w:r>
      <w:r>
        <w:t xml:space="preserve">will indicate to the Presiding Officers and other parties no later than </w:t>
      </w:r>
      <w:r w:rsidR="00C57C68">
        <w:t>February 2, 2015</w:t>
      </w:r>
      <w:r>
        <w:t xml:space="preserve"> which customers it intends to cross-examine.</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 xml:space="preserve">That </w:t>
      </w:r>
      <w:r w:rsidR="002453CC">
        <w:rPr>
          <w:bCs/>
          <w:color w:val="000000"/>
        </w:rPr>
        <w:t xml:space="preserve">IDT Energy, Inc. </w:t>
      </w:r>
      <w:r>
        <w:t xml:space="preserve">will circulate to the Presiding Officers and the other parties no later than </w:t>
      </w:r>
      <w:r w:rsidR="00C57C68">
        <w:t xml:space="preserve">February 6, 2015 </w:t>
      </w:r>
      <w:r>
        <w:t>the exhibits it intends to use during the evidentiary hearings.</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 xml:space="preserve">That </w:t>
      </w:r>
      <w:r w:rsidR="002453CC">
        <w:rPr>
          <w:bCs/>
          <w:color w:val="000000"/>
        </w:rPr>
        <w:t xml:space="preserve">IDT Energy, Inc. </w:t>
      </w:r>
      <w:r>
        <w:t xml:space="preserve">will file no later than </w:t>
      </w:r>
      <w:r w:rsidR="00C57C68">
        <w:t xml:space="preserve">February 2, 2015 </w:t>
      </w:r>
      <w:r>
        <w:t>any Motions to Strike pre-served consumer testimony.</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That the parties are advised that it is unlikely that a further continuance of these evidentiary hearings will be granted, absent exigent circumstances.</w:t>
      </w:r>
    </w:p>
    <w:p w:rsidR="004C024E" w:rsidRDefault="004C024E" w:rsidP="004C024E">
      <w:pPr>
        <w:pStyle w:val="ListParagraph"/>
      </w:pPr>
    </w:p>
    <w:p w:rsidR="004C024E" w:rsidRDefault="004C024E" w:rsidP="004C024E">
      <w:pPr>
        <w:pStyle w:val="ListParagraph"/>
        <w:numPr>
          <w:ilvl w:val="0"/>
          <w:numId w:val="11"/>
        </w:numPr>
        <w:spacing w:line="360" w:lineRule="auto"/>
        <w:ind w:left="0" w:firstLine="1440"/>
      </w:pPr>
      <w:r>
        <w:t>That the parties are encouraged to continue settlement discussions and are directed to advise the Presiding Officers of all future settlement activity.</w:t>
      </w:r>
    </w:p>
    <w:p w:rsidR="004C024E" w:rsidRDefault="004C024E" w:rsidP="004C024E">
      <w:pPr>
        <w:pStyle w:val="ListParagraph"/>
      </w:pPr>
    </w:p>
    <w:p w:rsidR="00C773A3" w:rsidRPr="00700B9E" w:rsidRDefault="00C773A3" w:rsidP="00444E27"/>
    <w:p w:rsidR="00444E27" w:rsidRPr="00550B34" w:rsidRDefault="00444E27" w:rsidP="00444E27"/>
    <w:p w:rsidR="00897507" w:rsidRPr="00550B34" w:rsidRDefault="00444E27" w:rsidP="00897507">
      <w:pPr>
        <w:rPr>
          <w:u w:val="single"/>
        </w:rPr>
      </w:pPr>
      <w:r w:rsidRPr="00550B34">
        <w:t xml:space="preserve">Date: </w:t>
      </w:r>
      <w:r w:rsidR="00B104BF">
        <w:rPr>
          <w:u w:val="single"/>
        </w:rPr>
        <w:t xml:space="preserve">December </w:t>
      </w:r>
      <w:r w:rsidR="00C57C68">
        <w:rPr>
          <w:u w:val="single"/>
        </w:rPr>
        <w:t>9</w:t>
      </w:r>
      <w:r w:rsidRPr="00550B34">
        <w:rPr>
          <w:u w:val="single"/>
        </w:rPr>
        <w:t>, 201</w:t>
      </w:r>
      <w:r w:rsidR="004417F1">
        <w:rPr>
          <w:u w:val="single"/>
        </w:rPr>
        <w:t>4</w:t>
      </w:r>
      <w:r w:rsidRPr="00550B34">
        <w:tab/>
      </w:r>
      <w:r w:rsidRPr="00550B34">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r w:rsidR="00897507" w:rsidRPr="00550B34">
        <w:rPr>
          <w:u w:val="single"/>
        </w:rPr>
        <w:tab/>
      </w:r>
    </w:p>
    <w:p w:rsidR="00897507" w:rsidRPr="00550B34" w:rsidRDefault="00897507" w:rsidP="00897507">
      <w:r w:rsidRPr="00550B34">
        <w:tab/>
      </w:r>
      <w:r w:rsidRPr="00550B34">
        <w:tab/>
      </w:r>
      <w:r w:rsidRPr="00550B34">
        <w:tab/>
      </w:r>
      <w:r w:rsidRPr="00550B34">
        <w:tab/>
      </w:r>
      <w:r w:rsidRPr="00550B34">
        <w:tab/>
      </w:r>
      <w:r>
        <w:t>Elizabeth Barnes</w:t>
      </w:r>
    </w:p>
    <w:p w:rsidR="00897507" w:rsidRPr="00550B34" w:rsidRDefault="00897507" w:rsidP="00897507">
      <w:r w:rsidRPr="00550B34">
        <w:tab/>
      </w:r>
      <w:r w:rsidRPr="00550B34">
        <w:tab/>
      </w:r>
      <w:r w:rsidRPr="00550B34">
        <w:tab/>
      </w:r>
      <w:r w:rsidRPr="00550B34">
        <w:tab/>
      </w:r>
      <w:r w:rsidRPr="00550B34">
        <w:tab/>
        <w:t>Administrative Law Judge</w:t>
      </w:r>
    </w:p>
    <w:p w:rsidR="00897507" w:rsidRDefault="00897507" w:rsidP="00444E27">
      <w:pPr>
        <w:rPr>
          <w:u w:val="single"/>
        </w:rPr>
      </w:pPr>
    </w:p>
    <w:p w:rsidR="00897507" w:rsidRDefault="00897507" w:rsidP="00444E27">
      <w:pPr>
        <w:rPr>
          <w:u w:val="single"/>
        </w:rPr>
      </w:pPr>
    </w:p>
    <w:p w:rsidR="00897507" w:rsidRDefault="00897507" w:rsidP="00444E27">
      <w:pPr>
        <w:rPr>
          <w:u w:val="single"/>
        </w:rPr>
      </w:pPr>
    </w:p>
    <w:p w:rsidR="00444E27" w:rsidRPr="00550B34" w:rsidRDefault="00897507" w:rsidP="00444E27">
      <w:pPr>
        <w:rPr>
          <w:u w:val="single"/>
        </w:rPr>
      </w:pPr>
      <w:r>
        <w:tab/>
      </w:r>
      <w:r>
        <w:tab/>
      </w:r>
      <w:r>
        <w:tab/>
      </w:r>
      <w:r>
        <w:tab/>
      </w:r>
      <w: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r w:rsidR="00444E27" w:rsidRPr="00550B34">
        <w:rPr>
          <w:u w:val="single"/>
        </w:rPr>
        <w:tab/>
      </w:r>
    </w:p>
    <w:p w:rsidR="00444E27" w:rsidRPr="00550B34" w:rsidRDefault="00444E27" w:rsidP="00444E27">
      <w:r w:rsidRPr="00550B34">
        <w:tab/>
      </w:r>
      <w:r w:rsidRPr="00550B34">
        <w:tab/>
      </w:r>
      <w:r w:rsidRPr="00550B34">
        <w:tab/>
      </w:r>
      <w:r w:rsidRPr="00550B34">
        <w:tab/>
      </w:r>
      <w:r w:rsidRPr="00550B34">
        <w:tab/>
      </w:r>
      <w:r w:rsidR="0062545F" w:rsidRPr="00550B34">
        <w:t xml:space="preserve">Joel H. Cheskis </w:t>
      </w:r>
    </w:p>
    <w:p w:rsidR="00444E27" w:rsidRDefault="00444E27" w:rsidP="00444E27">
      <w:r w:rsidRPr="00550B34">
        <w:tab/>
      </w:r>
      <w:r w:rsidRPr="00550B34">
        <w:tab/>
      </w:r>
      <w:r w:rsidRPr="00550B34">
        <w:tab/>
      </w:r>
      <w:r w:rsidRPr="00550B34">
        <w:tab/>
      </w:r>
      <w:r w:rsidRPr="00550B34">
        <w:tab/>
        <w:t>Administrative Law Judge</w:t>
      </w:r>
    </w:p>
    <w:p w:rsidR="004D7C76" w:rsidRDefault="004D7C76" w:rsidP="00444E27">
      <w:pPr>
        <w:sectPr w:rsidR="004D7C76" w:rsidSect="00713D64">
          <w:footerReference w:type="default" r:id="rId9"/>
          <w:pgSz w:w="12240" w:h="15840"/>
          <w:pgMar w:top="1440" w:right="1800" w:bottom="1440" w:left="1800" w:header="720" w:footer="720" w:gutter="0"/>
          <w:cols w:space="720"/>
          <w:titlePg/>
        </w:sectPr>
      </w:pPr>
    </w:p>
    <w:p w:rsidR="004D7C76" w:rsidRDefault="004D7C76" w:rsidP="004D7C76">
      <w:pPr>
        <w:rPr>
          <w:rFonts w:ascii="Microsoft Sans Serif" w:hAnsi="Microsoft Sans Serif" w:cs="Microsoft Sans Serif"/>
          <w:b/>
          <w:u w:val="single"/>
        </w:rPr>
      </w:pPr>
      <w:r>
        <w:rPr>
          <w:rFonts w:ascii="Microsoft Sans Serif" w:hAnsi="Microsoft Sans Serif" w:cs="Microsoft Sans Serif"/>
          <w:b/>
          <w:u w:val="single"/>
        </w:rPr>
        <w:t>C-2014-2427657 - ATTORNEY GENERAL PA &amp; OFFICE OF CONSUMER ADVOCATE v. IDT ENERGY INC</w:t>
      </w:r>
    </w:p>
    <w:p w:rsidR="004D7C76" w:rsidRDefault="004D7C76" w:rsidP="004D7C76">
      <w:pPr>
        <w:rPr>
          <w:rFonts w:ascii="Microsoft Sans Serif" w:hAnsi="Microsoft Sans Serif" w:cs="Microsoft Sans Serif"/>
          <w:b/>
          <w:u w:val="single"/>
        </w:rPr>
      </w:pPr>
    </w:p>
    <w:p w:rsidR="004D7C76" w:rsidRDefault="004D7C76" w:rsidP="004D7C76">
      <w:pPr>
        <w:rPr>
          <w:rFonts w:ascii="Microsoft Sans Serif" w:hAnsi="Microsoft Sans Serif" w:cs="Microsoft Sans Serif"/>
          <w:b/>
          <w:i/>
          <w:u w:val="single"/>
        </w:rPr>
      </w:pPr>
      <w:r>
        <w:rPr>
          <w:rFonts w:ascii="Microsoft Sans Serif" w:hAnsi="Microsoft Sans Serif" w:cs="Microsoft Sans Serif"/>
          <w:b/>
          <w:i/>
          <w:u w:val="single"/>
        </w:rPr>
        <w:t xml:space="preserve">REVISED 12/8/14 </w:t>
      </w:r>
      <w:r>
        <w:rPr>
          <w:rFonts w:ascii="Microsoft Sans Serif" w:hAnsi="Microsoft Sans Serif" w:cs="Microsoft Sans Serif"/>
          <w:i/>
        </w:rPr>
        <w:t>(</w:t>
      </w:r>
      <w:proofErr w:type="spellStart"/>
      <w:r>
        <w:rPr>
          <w:rFonts w:ascii="Microsoft Sans Serif" w:hAnsi="Microsoft Sans Serif" w:cs="Microsoft Sans Serif"/>
          <w:i/>
        </w:rPr>
        <w:t>sih</w:t>
      </w:r>
      <w:proofErr w:type="spellEnd"/>
      <w:r>
        <w:rPr>
          <w:rFonts w:ascii="Microsoft Sans Serif" w:hAnsi="Microsoft Sans Serif" w:cs="Microsoft Sans Serif"/>
          <w:i/>
        </w:rPr>
        <w:t>)</w:t>
      </w:r>
    </w:p>
    <w:p w:rsidR="004D7C76" w:rsidRDefault="004D7C76" w:rsidP="004D7C76">
      <w:pPr>
        <w:rPr>
          <w:rFonts w:ascii="Microsoft Sans Serif" w:hAnsi="Microsoft Sans Serif" w:cs="Microsoft Sans Serif"/>
          <w:b/>
          <w:i/>
          <w:u w:val="single"/>
        </w:rPr>
      </w:pPr>
    </w:p>
    <w:p w:rsidR="004D7C76" w:rsidRDefault="004D7C76" w:rsidP="004D7C76">
      <w:pPr>
        <w:rPr>
          <w:rFonts w:ascii="Microsoft Sans Serif" w:hAnsi="Microsoft Sans Serif" w:cs="Microsoft Sans Serif"/>
        </w:rPr>
      </w:pPr>
      <w:r>
        <w:rPr>
          <w:rFonts w:ascii="Microsoft Sans Serif" w:hAnsi="Microsoft Sans Serif" w:cs="Microsoft Sans Serif"/>
        </w:rPr>
        <w:t>JOHN M ABEL ESQUIRE</w:t>
      </w:r>
    </w:p>
    <w:p w:rsidR="004D7C76" w:rsidRDefault="004D7C76" w:rsidP="004D7C76">
      <w:pPr>
        <w:rPr>
          <w:rFonts w:ascii="Microsoft Sans Serif" w:hAnsi="Microsoft Sans Serif" w:cs="Microsoft Sans Serif"/>
        </w:rPr>
      </w:pPr>
      <w:r>
        <w:rPr>
          <w:rFonts w:ascii="Microsoft Sans Serif" w:hAnsi="Microsoft Sans Serif" w:cs="Microsoft Sans Serif"/>
        </w:rPr>
        <w:t>MARGARITA TULMAN ESQUIRE</w:t>
      </w:r>
    </w:p>
    <w:p w:rsidR="004D7C76" w:rsidRDefault="004D7C76" w:rsidP="004D7C76">
      <w:pPr>
        <w:rPr>
          <w:rFonts w:ascii="Microsoft Sans Serif" w:hAnsi="Microsoft Sans Serif" w:cs="Microsoft Sans Serif"/>
        </w:rPr>
      </w:pPr>
      <w:r>
        <w:rPr>
          <w:rFonts w:ascii="Microsoft Sans Serif" w:hAnsi="Microsoft Sans Serif" w:cs="Microsoft Sans Serif"/>
        </w:rPr>
        <w:t>PA OFFICE OF ATTORNEY GENERAL</w:t>
      </w:r>
    </w:p>
    <w:p w:rsidR="004D7C76" w:rsidRDefault="004D7C76" w:rsidP="004D7C76">
      <w:pPr>
        <w:rPr>
          <w:rFonts w:ascii="Microsoft Sans Serif" w:hAnsi="Microsoft Sans Serif" w:cs="Microsoft Sans Serif"/>
        </w:rPr>
      </w:pPr>
      <w:r>
        <w:rPr>
          <w:rFonts w:ascii="Microsoft Sans Serif" w:hAnsi="Microsoft Sans Serif" w:cs="Microsoft Sans Serif"/>
        </w:rPr>
        <w:t>BUREAU OF CONSUMER PROTECTION</w:t>
      </w:r>
    </w:p>
    <w:p w:rsidR="004D7C76" w:rsidRDefault="004D7C76" w:rsidP="004D7C76">
      <w:pPr>
        <w:rPr>
          <w:rFonts w:ascii="Microsoft Sans Serif" w:hAnsi="Microsoft Sans Serif" w:cs="Microsoft Sans Serif"/>
        </w:rPr>
      </w:pPr>
      <w:r>
        <w:rPr>
          <w:rFonts w:ascii="Microsoft Sans Serif" w:hAnsi="Microsoft Sans Serif" w:cs="Microsoft Sans Serif"/>
        </w:rPr>
        <w:t>15</w:t>
      </w:r>
      <w:r>
        <w:rPr>
          <w:rFonts w:ascii="Microsoft Sans Serif" w:hAnsi="Microsoft Sans Serif" w:cs="Microsoft Sans Serif"/>
          <w:vertAlign w:val="superscript"/>
        </w:rPr>
        <w:t>TH</w:t>
      </w:r>
      <w:r>
        <w:rPr>
          <w:rFonts w:ascii="Microsoft Sans Serif" w:hAnsi="Microsoft Sans Serif" w:cs="Microsoft Sans Serif"/>
        </w:rPr>
        <w:t xml:space="preserve"> FL STRAWBERRY SQUARE</w:t>
      </w:r>
    </w:p>
    <w:p w:rsidR="004D7C76" w:rsidRDefault="004D7C76" w:rsidP="004D7C76">
      <w:pPr>
        <w:rPr>
          <w:rFonts w:ascii="Microsoft Sans Serif" w:hAnsi="Microsoft Sans Serif" w:cs="Microsoft Sans Serif"/>
        </w:rPr>
      </w:pPr>
      <w:r>
        <w:rPr>
          <w:rFonts w:ascii="Microsoft Sans Serif" w:hAnsi="Microsoft Sans Serif" w:cs="Microsoft Sans Serif"/>
        </w:rPr>
        <w:t>HARRISBURG PA  17120</w:t>
      </w:r>
    </w:p>
    <w:p w:rsidR="004D7C76" w:rsidRDefault="004D7C76" w:rsidP="004D7C76">
      <w:pPr>
        <w:rPr>
          <w:rFonts w:ascii="Microsoft Sans Serif" w:hAnsi="Microsoft Sans Serif" w:cs="Microsoft Sans Serif"/>
        </w:rPr>
      </w:pPr>
    </w:p>
    <w:p w:rsidR="004D7C76" w:rsidRDefault="004D7C76" w:rsidP="004D7C76">
      <w:pPr>
        <w:rPr>
          <w:rFonts w:ascii="Microsoft Sans Serif" w:hAnsi="Microsoft Sans Serif" w:cs="Microsoft Sans Serif"/>
        </w:rPr>
      </w:pPr>
      <w:r>
        <w:rPr>
          <w:rFonts w:ascii="Microsoft Sans Serif" w:hAnsi="Microsoft Sans Serif" w:cs="Microsoft Sans Serif"/>
        </w:rPr>
        <w:t>CANDIS A TUNILO ESQUIRE</w:t>
      </w:r>
    </w:p>
    <w:p w:rsidR="004D7C76" w:rsidRDefault="004D7C76" w:rsidP="004D7C76">
      <w:pPr>
        <w:rPr>
          <w:rFonts w:ascii="Microsoft Sans Serif" w:hAnsi="Microsoft Sans Serif" w:cs="Microsoft Sans Serif"/>
        </w:rPr>
      </w:pPr>
      <w:r>
        <w:rPr>
          <w:rFonts w:ascii="Microsoft Sans Serif" w:hAnsi="Microsoft Sans Serif" w:cs="Microsoft Sans Serif"/>
        </w:rPr>
        <w:t>KRISTINE E ROBINSON ESQUIRE</w:t>
      </w:r>
    </w:p>
    <w:p w:rsidR="004D7C76" w:rsidRDefault="004D7C76" w:rsidP="004D7C76">
      <w:pPr>
        <w:rPr>
          <w:rFonts w:ascii="Microsoft Sans Serif" w:hAnsi="Microsoft Sans Serif" w:cs="Microsoft Sans Serif"/>
        </w:rPr>
      </w:pPr>
      <w:r>
        <w:rPr>
          <w:rFonts w:ascii="Microsoft Sans Serif" w:hAnsi="Microsoft Sans Serif" w:cs="Microsoft Sans Serif"/>
        </w:rPr>
        <w:t>OFFICE OF CONSUMER ADVOCATE</w:t>
      </w:r>
    </w:p>
    <w:p w:rsidR="004D7C76" w:rsidRDefault="004D7C76" w:rsidP="004D7C76">
      <w:pPr>
        <w:rPr>
          <w:rFonts w:ascii="Microsoft Sans Serif" w:hAnsi="Microsoft Sans Serif" w:cs="Microsoft Sans Serif"/>
        </w:rPr>
      </w:pPr>
      <w:r>
        <w:rPr>
          <w:rFonts w:ascii="Microsoft Sans Serif" w:hAnsi="Microsoft Sans Serif" w:cs="Microsoft Sans Serif"/>
        </w:rPr>
        <w:t>5</w:t>
      </w:r>
      <w:r>
        <w:rPr>
          <w:rFonts w:ascii="Microsoft Sans Serif" w:hAnsi="Microsoft Sans Serif" w:cs="Microsoft Sans Serif"/>
          <w:vertAlign w:val="superscript"/>
        </w:rPr>
        <w:t>TH</w:t>
      </w:r>
      <w:r>
        <w:rPr>
          <w:rFonts w:ascii="Microsoft Sans Serif" w:hAnsi="Microsoft Sans Serif" w:cs="Microsoft Sans Serif"/>
        </w:rPr>
        <w:t xml:space="preserve"> FLOOR FORUM PLACE</w:t>
      </w:r>
      <w:bookmarkStart w:id="0" w:name="_GoBack"/>
      <w:bookmarkEnd w:id="0"/>
    </w:p>
    <w:p w:rsidR="004D7C76" w:rsidRDefault="004D7C76" w:rsidP="004D7C76">
      <w:pPr>
        <w:rPr>
          <w:rFonts w:ascii="Microsoft Sans Serif" w:hAnsi="Microsoft Sans Serif" w:cs="Microsoft Sans Serif"/>
        </w:rPr>
      </w:pPr>
      <w:r>
        <w:rPr>
          <w:rFonts w:ascii="Microsoft Sans Serif" w:hAnsi="Microsoft Sans Serif" w:cs="Microsoft Sans Serif"/>
        </w:rPr>
        <w:t>555 WALNUT STREET</w:t>
      </w:r>
    </w:p>
    <w:p w:rsidR="004D7C76" w:rsidRDefault="004D7C76" w:rsidP="004D7C76">
      <w:pPr>
        <w:rPr>
          <w:rFonts w:ascii="Microsoft Sans Serif" w:hAnsi="Microsoft Sans Serif" w:cs="Microsoft Sans Serif"/>
        </w:rPr>
      </w:pPr>
      <w:r>
        <w:rPr>
          <w:rFonts w:ascii="Microsoft Sans Serif" w:hAnsi="Microsoft Sans Serif" w:cs="Microsoft Sans Serif"/>
        </w:rPr>
        <w:t>HARRISBURG PA  17101-1923</w:t>
      </w:r>
    </w:p>
    <w:p w:rsidR="004D7C76" w:rsidRDefault="004D7C76" w:rsidP="004D7C76">
      <w:pPr>
        <w:rPr>
          <w:rFonts w:ascii="Microsoft Sans Serif" w:hAnsi="Microsoft Sans Serif" w:cs="Microsoft Sans Serif"/>
        </w:rPr>
      </w:pPr>
    </w:p>
    <w:p w:rsidR="004D7C76" w:rsidRDefault="004D7C76" w:rsidP="004D7C76">
      <w:pPr>
        <w:rPr>
          <w:rFonts w:ascii="Microsoft Sans Serif" w:hAnsi="Microsoft Sans Serif" w:cs="Microsoft Sans Serif"/>
        </w:rPr>
      </w:pPr>
      <w:r>
        <w:rPr>
          <w:rFonts w:ascii="Microsoft Sans Serif" w:hAnsi="Microsoft Sans Serif" w:cs="Microsoft Sans Serif"/>
        </w:rPr>
        <w:t>SHARON WEBB ESQUIRE</w:t>
      </w:r>
    </w:p>
    <w:p w:rsidR="004D7C76" w:rsidRDefault="004D7C76" w:rsidP="004D7C76">
      <w:pPr>
        <w:rPr>
          <w:rFonts w:ascii="Microsoft Sans Serif" w:hAnsi="Microsoft Sans Serif" w:cs="Microsoft Sans Serif"/>
        </w:rPr>
      </w:pPr>
      <w:r>
        <w:rPr>
          <w:rFonts w:ascii="Microsoft Sans Serif" w:hAnsi="Microsoft Sans Serif" w:cs="Microsoft Sans Serif"/>
        </w:rPr>
        <w:t>OFFICE OF SMALL BUSINESS ADVOCATE</w:t>
      </w:r>
    </w:p>
    <w:p w:rsidR="004D7C76" w:rsidRDefault="004D7C76" w:rsidP="004D7C76">
      <w:pPr>
        <w:rPr>
          <w:rFonts w:ascii="Microsoft Sans Serif" w:hAnsi="Microsoft Sans Serif" w:cs="Microsoft Sans Serif"/>
        </w:rPr>
      </w:pPr>
      <w:r>
        <w:rPr>
          <w:rFonts w:ascii="Microsoft Sans Serif" w:hAnsi="Microsoft Sans Serif" w:cs="Microsoft Sans Serif"/>
        </w:rPr>
        <w:t>SUITE 1102</w:t>
      </w:r>
    </w:p>
    <w:p w:rsidR="004D7C76" w:rsidRDefault="004D7C76" w:rsidP="004D7C76">
      <w:pPr>
        <w:rPr>
          <w:rFonts w:ascii="Microsoft Sans Serif" w:hAnsi="Microsoft Sans Serif" w:cs="Microsoft Sans Serif"/>
        </w:rPr>
      </w:pPr>
      <w:r>
        <w:rPr>
          <w:rFonts w:ascii="Microsoft Sans Serif" w:hAnsi="Microsoft Sans Serif" w:cs="Microsoft Sans Serif"/>
        </w:rPr>
        <w:t xml:space="preserve">300 NORTH SECOND </w:t>
      </w:r>
      <w:proofErr w:type="gramStart"/>
      <w:r>
        <w:rPr>
          <w:rFonts w:ascii="Microsoft Sans Serif" w:hAnsi="Microsoft Sans Serif" w:cs="Microsoft Sans Serif"/>
        </w:rPr>
        <w:t>STREET</w:t>
      </w:r>
      <w:proofErr w:type="gramEnd"/>
    </w:p>
    <w:p w:rsidR="004D7C76" w:rsidRDefault="004D7C76" w:rsidP="004D7C76">
      <w:pPr>
        <w:rPr>
          <w:rFonts w:ascii="Microsoft Sans Serif" w:hAnsi="Microsoft Sans Serif" w:cs="Microsoft Sans Serif"/>
        </w:rPr>
      </w:pPr>
      <w:r>
        <w:rPr>
          <w:rFonts w:ascii="Microsoft Sans Serif" w:hAnsi="Microsoft Sans Serif" w:cs="Microsoft Sans Serif"/>
        </w:rPr>
        <w:t>HARRISBURG PA  17101</w:t>
      </w:r>
    </w:p>
    <w:p w:rsidR="004D7C76" w:rsidRDefault="004D7C76" w:rsidP="004D7C76">
      <w:pPr>
        <w:rPr>
          <w:rFonts w:ascii="Microsoft Sans Serif" w:hAnsi="Microsoft Sans Serif" w:cs="Microsoft Sans Serif"/>
        </w:rPr>
      </w:pPr>
      <w:r>
        <w:rPr>
          <w:rFonts w:ascii="Microsoft Sans Serif" w:hAnsi="Microsoft Sans Serif" w:cs="Microsoft Sans Serif"/>
        </w:rPr>
        <w:t>717-783-2525</w:t>
      </w:r>
    </w:p>
    <w:p w:rsidR="004D7C76" w:rsidRDefault="004D7C76" w:rsidP="004D7C76">
      <w:pPr>
        <w:rPr>
          <w:rFonts w:ascii="Microsoft Sans Serif" w:hAnsi="Microsoft Sans Serif" w:cs="Microsoft Sans Serif"/>
        </w:rPr>
      </w:pPr>
    </w:p>
    <w:p w:rsidR="004D7C76" w:rsidRDefault="004D7C76" w:rsidP="004D7C76">
      <w:pPr>
        <w:rPr>
          <w:rFonts w:ascii="Microsoft Sans Serif" w:hAnsi="Microsoft Sans Serif" w:cs="Microsoft Sans Serif"/>
        </w:rPr>
      </w:pPr>
      <w:r>
        <w:rPr>
          <w:rFonts w:ascii="Microsoft Sans Serif" w:hAnsi="Microsoft Sans Serif" w:cs="Microsoft Sans Serif"/>
        </w:rPr>
        <w:t>STEPHANIE WIMER ESQUIRE</w:t>
      </w:r>
    </w:p>
    <w:p w:rsidR="004D7C76" w:rsidRDefault="004D7C76" w:rsidP="004D7C76">
      <w:pPr>
        <w:rPr>
          <w:rFonts w:ascii="Microsoft Sans Serif" w:hAnsi="Microsoft Sans Serif" w:cs="Microsoft Sans Serif"/>
        </w:rPr>
      </w:pPr>
      <w:r>
        <w:rPr>
          <w:rFonts w:ascii="Microsoft Sans Serif" w:hAnsi="Microsoft Sans Serif" w:cs="Microsoft Sans Serif"/>
        </w:rPr>
        <w:t>KOURTNEY MYERS ESQUIRE</w:t>
      </w:r>
    </w:p>
    <w:p w:rsidR="004D7C76" w:rsidRDefault="004D7C76" w:rsidP="004D7C76">
      <w:pPr>
        <w:rPr>
          <w:rFonts w:ascii="Microsoft Sans Serif" w:hAnsi="Microsoft Sans Serif" w:cs="Microsoft Sans Serif"/>
        </w:rPr>
      </w:pPr>
      <w:r>
        <w:rPr>
          <w:rFonts w:ascii="Microsoft Sans Serif" w:hAnsi="Microsoft Sans Serif" w:cs="Microsoft Sans Serif"/>
        </w:rPr>
        <w:t>PA PUC LAW BUREAU BI&amp;E</w:t>
      </w:r>
    </w:p>
    <w:p w:rsidR="004D7C76" w:rsidRDefault="004D7C76" w:rsidP="004D7C76">
      <w:pPr>
        <w:rPr>
          <w:rFonts w:ascii="Microsoft Sans Serif" w:hAnsi="Microsoft Sans Serif" w:cs="Microsoft Sans Serif"/>
        </w:rPr>
      </w:pPr>
      <w:r>
        <w:rPr>
          <w:rFonts w:ascii="Microsoft Sans Serif" w:hAnsi="Microsoft Sans Serif" w:cs="Microsoft Sans Serif"/>
        </w:rPr>
        <w:t>PO BOX 3265</w:t>
      </w:r>
    </w:p>
    <w:p w:rsidR="004D7C76" w:rsidRDefault="004D7C76" w:rsidP="004D7C76">
      <w:pPr>
        <w:rPr>
          <w:rFonts w:ascii="Microsoft Sans Serif" w:hAnsi="Microsoft Sans Serif" w:cs="Microsoft Sans Serif"/>
        </w:rPr>
      </w:pPr>
      <w:r>
        <w:rPr>
          <w:rFonts w:ascii="Microsoft Sans Serif" w:hAnsi="Microsoft Sans Serif" w:cs="Microsoft Sans Serif"/>
        </w:rPr>
        <w:t>HARRISBURG PA  17105-3265</w:t>
      </w:r>
    </w:p>
    <w:p w:rsidR="004D7C76" w:rsidRDefault="004D7C76" w:rsidP="004D7C7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D7C76" w:rsidRDefault="004D7C76" w:rsidP="004D7C76">
      <w:pPr>
        <w:rPr>
          <w:rFonts w:ascii="Microsoft Sans Serif" w:eastAsiaTheme="minorEastAsia" w:hAnsi="Microsoft Sans Serif" w:cs="Microsoft Sans Serif"/>
        </w:rPr>
      </w:pPr>
    </w:p>
    <w:p w:rsidR="004D7C76" w:rsidRDefault="004D7C76" w:rsidP="004D7C76">
      <w:pPr>
        <w:rPr>
          <w:rFonts w:ascii="Microsoft Sans Serif" w:hAnsi="Microsoft Sans Serif" w:cs="Microsoft Sans Serif"/>
        </w:rPr>
      </w:pPr>
      <w:r>
        <w:rPr>
          <w:rFonts w:ascii="Microsoft Sans Serif" w:hAnsi="Microsoft Sans Serif" w:cs="Microsoft Sans Serif"/>
        </w:rPr>
        <w:t>MICHAEL SWINDLER ESQUIRE</w:t>
      </w:r>
    </w:p>
    <w:p w:rsidR="004D7C76" w:rsidRDefault="004D7C76" w:rsidP="004D7C76">
      <w:pPr>
        <w:rPr>
          <w:rFonts w:ascii="Microsoft Sans Serif" w:hAnsi="Microsoft Sans Serif" w:cs="Microsoft Sans Serif"/>
        </w:rPr>
      </w:pPr>
      <w:r>
        <w:rPr>
          <w:rFonts w:ascii="Microsoft Sans Serif" w:hAnsi="Microsoft Sans Serif" w:cs="Microsoft Sans Serif"/>
        </w:rPr>
        <w:t>PA PUC BI&amp;E</w:t>
      </w:r>
    </w:p>
    <w:p w:rsidR="004D7C76" w:rsidRDefault="004D7C76" w:rsidP="004D7C76">
      <w:pPr>
        <w:rPr>
          <w:rFonts w:ascii="Microsoft Sans Serif" w:hAnsi="Microsoft Sans Serif" w:cs="Microsoft Sans Serif"/>
        </w:rPr>
      </w:pPr>
      <w:r>
        <w:rPr>
          <w:rFonts w:ascii="Microsoft Sans Serif" w:hAnsi="Microsoft Sans Serif" w:cs="Microsoft Sans Serif"/>
        </w:rPr>
        <w:t>PO BOX 3265</w:t>
      </w:r>
    </w:p>
    <w:p w:rsidR="004D7C76" w:rsidRDefault="004D7C76" w:rsidP="004D7C76">
      <w:pPr>
        <w:rPr>
          <w:rFonts w:ascii="Microsoft Sans Serif" w:hAnsi="Microsoft Sans Serif" w:cs="Microsoft Sans Serif"/>
        </w:rPr>
      </w:pPr>
      <w:r>
        <w:rPr>
          <w:rFonts w:ascii="Microsoft Sans Serif" w:hAnsi="Microsoft Sans Serif" w:cs="Microsoft Sans Serif"/>
        </w:rPr>
        <w:t>HARRISBURG PA  17105-3265</w:t>
      </w:r>
    </w:p>
    <w:p w:rsidR="004D7C76" w:rsidRDefault="004D7C76" w:rsidP="004D7C7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D7C76" w:rsidRDefault="004D7C76" w:rsidP="004D7C76">
      <w:pPr>
        <w:rPr>
          <w:rFonts w:ascii="Microsoft Sans Serif" w:eastAsiaTheme="minorEastAsia" w:hAnsi="Microsoft Sans Serif" w:cs="Microsoft Sans Serif"/>
        </w:rPr>
      </w:pPr>
    </w:p>
    <w:p w:rsidR="004D7C76" w:rsidRDefault="004D7C76" w:rsidP="004D7C76">
      <w:pPr>
        <w:rPr>
          <w:rFonts w:ascii="Microsoft Sans Serif" w:hAnsi="Microsoft Sans Serif" w:cs="Microsoft Sans Serif"/>
        </w:rPr>
      </w:pPr>
      <w:r>
        <w:rPr>
          <w:rFonts w:ascii="Microsoft Sans Serif" w:hAnsi="Microsoft Sans Serif" w:cs="Microsoft Sans Serif"/>
        </w:rPr>
        <w:t>MICHAEL A GRUIN ESQUIRE</w:t>
      </w:r>
    </w:p>
    <w:p w:rsidR="004D7C76" w:rsidRDefault="004D7C76" w:rsidP="004D7C76">
      <w:pPr>
        <w:rPr>
          <w:rFonts w:ascii="Microsoft Sans Serif" w:hAnsi="Microsoft Sans Serif" w:cs="Microsoft Sans Serif"/>
        </w:rPr>
      </w:pPr>
      <w:r>
        <w:rPr>
          <w:rFonts w:ascii="Microsoft Sans Serif" w:hAnsi="Microsoft Sans Serif" w:cs="Microsoft Sans Serif"/>
        </w:rPr>
        <w:t>17 NORTH 2</w:t>
      </w:r>
      <w:r>
        <w:rPr>
          <w:rFonts w:ascii="Microsoft Sans Serif" w:hAnsi="Microsoft Sans Serif" w:cs="Microsoft Sans Serif"/>
          <w:vertAlign w:val="superscript"/>
        </w:rPr>
        <w:t>ND</w:t>
      </w:r>
      <w:r>
        <w:rPr>
          <w:rFonts w:ascii="Microsoft Sans Serif" w:hAnsi="Microsoft Sans Serif" w:cs="Microsoft Sans Serif"/>
        </w:rPr>
        <w:t xml:space="preserve"> STREET 16</w:t>
      </w:r>
      <w:r>
        <w:rPr>
          <w:rFonts w:ascii="Microsoft Sans Serif" w:hAnsi="Microsoft Sans Serif" w:cs="Microsoft Sans Serif"/>
          <w:vertAlign w:val="superscript"/>
        </w:rPr>
        <w:t>TH</w:t>
      </w:r>
      <w:r>
        <w:rPr>
          <w:rFonts w:ascii="Microsoft Sans Serif" w:hAnsi="Microsoft Sans Serif" w:cs="Microsoft Sans Serif"/>
        </w:rPr>
        <w:t xml:space="preserve"> </w:t>
      </w:r>
      <w:proofErr w:type="gramStart"/>
      <w:r>
        <w:rPr>
          <w:rFonts w:ascii="Microsoft Sans Serif" w:hAnsi="Microsoft Sans Serif" w:cs="Microsoft Sans Serif"/>
        </w:rPr>
        <w:t>FLOOR</w:t>
      </w:r>
      <w:proofErr w:type="gramEnd"/>
    </w:p>
    <w:p w:rsidR="004D7C76" w:rsidRDefault="004D7C76" w:rsidP="004D7C76">
      <w:pPr>
        <w:rPr>
          <w:rFonts w:ascii="Microsoft Sans Serif" w:hAnsi="Microsoft Sans Serif" w:cs="Microsoft Sans Serif"/>
        </w:rPr>
      </w:pPr>
      <w:r>
        <w:rPr>
          <w:rFonts w:ascii="Microsoft Sans Serif" w:hAnsi="Microsoft Sans Serif" w:cs="Microsoft Sans Serif"/>
        </w:rPr>
        <w:t>HARRISBURG PA  17101</w:t>
      </w:r>
    </w:p>
    <w:p w:rsidR="004D7C76" w:rsidRDefault="004D7C76" w:rsidP="004D7C76">
      <w:pPr>
        <w:rPr>
          <w:rFonts w:ascii="Microsoft Sans Serif" w:hAnsi="Microsoft Sans Serif" w:cs="Microsoft Sans Serif"/>
          <w:b/>
          <w:i/>
          <w:u w:val="single"/>
        </w:rPr>
      </w:pPr>
      <w:r>
        <w:rPr>
          <w:rFonts w:ascii="Microsoft Sans Serif" w:hAnsi="Microsoft Sans Serif" w:cs="Microsoft Sans Serif"/>
          <w:b/>
          <w:i/>
          <w:u w:val="single"/>
        </w:rPr>
        <w:t>Accepts eService</w:t>
      </w:r>
    </w:p>
    <w:p w:rsidR="004D7C76" w:rsidRPr="00550B34" w:rsidRDefault="004D7C76" w:rsidP="00444E27"/>
    <w:sectPr w:rsidR="004D7C76" w:rsidRPr="00550B34" w:rsidSect="00713D64">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943" w:rsidRDefault="003D5943">
      <w:r>
        <w:separator/>
      </w:r>
    </w:p>
  </w:endnote>
  <w:endnote w:type="continuationSeparator" w:id="0">
    <w:p w:rsidR="003D5943" w:rsidRDefault="003D5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8E5597">
      <w:rPr>
        <w:rStyle w:val="PageNumber"/>
        <w:noProof/>
        <w:sz w:val="23"/>
        <w:szCs w:val="23"/>
      </w:rPr>
      <w:t>7</w:t>
    </w:r>
    <w:r w:rsidRPr="003C02CC">
      <w:rPr>
        <w:rStyle w:val="PageNumber"/>
        <w:sz w:val="23"/>
        <w:szCs w:val="23"/>
      </w:rPr>
      <w:fldChar w:fldCharType="end"/>
    </w:r>
  </w:p>
  <w:p w:rsidR="006D33B5" w:rsidRPr="003C02CC" w:rsidRDefault="006D33B5">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943" w:rsidRDefault="003D5943">
      <w:r>
        <w:separator/>
      </w:r>
    </w:p>
  </w:footnote>
  <w:footnote w:type="continuationSeparator" w:id="0">
    <w:p w:rsidR="003D5943" w:rsidRDefault="003D59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09A6"/>
    <w:multiLevelType w:val="hybridMultilevel"/>
    <w:tmpl w:val="1584CEC8"/>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ECF35A7"/>
    <w:multiLevelType w:val="hybridMultilevel"/>
    <w:tmpl w:val="9F5ACEAA"/>
    <w:lvl w:ilvl="0" w:tplc="F66C1C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
    <w:nsid w:val="33EC3359"/>
    <w:multiLevelType w:val="hybridMultilevel"/>
    <w:tmpl w:val="03541CCA"/>
    <w:lvl w:ilvl="0" w:tplc="C63208E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FD76190"/>
    <w:multiLevelType w:val="hybridMultilevel"/>
    <w:tmpl w:val="8690D42A"/>
    <w:lvl w:ilvl="0" w:tplc="13B0AE06">
      <w:start w:val="2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A15F7C"/>
    <w:multiLevelType w:val="hybridMultilevel"/>
    <w:tmpl w:val="A6768F16"/>
    <w:lvl w:ilvl="0" w:tplc="6610EE5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58352BCA"/>
    <w:multiLevelType w:val="hybridMultilevel"/>
    <w:tmpl w:val="C30EA7C8"/>
    <w:lvl w:ilvl="0" w:tplc="AF921A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5B341EE0"/>
    <w:multiLevelType w:val="hybridMultilevel"/>
    <w:tmpl w:val="859AD3A8"/>
    <w:lvl w:ilvl="0" w:tplc="B92A31C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54445D"/>
    <w:multiLevelType w:val="hybridMultilevel"/>
    <w:tmpl w:val="AC30221E"/>
    <w:lvl w:ilvl="0" w:tplc="E2C647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F9F200E"/>
    <w:multiLevelType w:val="hybridMultilevel"/>
    <w:tmpl w:val="AAC85AFE"/>
    <w:lvl w:ilvl="0" w:tplc="568A5628">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66F3386A"/>
    <w:multiLevelType w:val="hybridMultilevel"/>
    <w:tmpl w:val="F7F2C9D4"/>
    <w:lvl w:ilvl="0" w:tplc="7CBCC1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183FC4"/>
    <w:multiLevelType w:val="hybridMultilevel"/>
    <w:tmpl w:val="94E47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037C22"/>
    <w:multiLevelType w:val="hybridMultilevel"/>
    <w:tmpl w:val="51B03476"/>
    <w:lvl w:ilvl="0" w:tplc="6568A0A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num>
  <w:num w:numId="2">
    <w:abstractNumId w:val="8"/>
  </w:num>
  <w:num w:numId="3">
    <w:abstractNumId w:val="2"/>
  </w:num>
  <w:num w:numId="4">
    <w:abstractNumId w:val="17"/>
  </w:num>
  <w:num w:numId="5">
    <w:abstractNumId w:val="4"/>
  </w:num>
  <w:num w:numId="6">
    <w:abstractNumId w:val="21"/>
  </w:num>
  <w:num w:numId="7">
    <w:abstractNumId w:val="1"/>
  </w:num>
  <w:num w:numId="8">
    <w:abstractNumId w:val="12"/>
  </w:num>
  <w:num w:numId="9">
    <w:abstractNumId w:val="7"/>
  </w:num>
  <w:num w:numId="10">
    <w:abstractNumId w:val="20"/>
  </w:num>
  <w:num w:numId="11">
    <w:abstractNumId w:val="15"/>
  </w:num>
  <w:num w:numId="12">
    <w:abstractNumId w:val="6"/>
  </w:num>
  <w:num w:numId="13">
    <w:abstractNumId w:val="14"/>
  </w:num>
  <w:num w:numId="14">
    <w:abstractNumId w:val="0"/>
  </w:num>
  <w:num w:numId="15">
    <w:abstractNumId w:val="16"/>
  </w:num>
  <w:num w:numId="16">
    <w:abstractNumId w:val="10"/>
  </w:num>
  <w:num w:numId="17">
    <w:abstractNumId w:val="11"/>
  </w:num>
  <w:num w:numId="18">
    <w:abstractNumId w:val="5"/>
  </w:num>
  <w:num w:numId="19">
    <w:abstractNumId w:val="13"/>
  </w:num>
  <w:num w:numId="20">
    <w:abstractNumId w:val="3"/>
  </w:num>
  <w:num w:numId="21">
    <w:abstractNumId w:val="1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117EE"/>
    <w:rsid w:val="00016BEB"/>
    <w:rsid w:val="00017C0F"/>
    <w:rsid w:val="000253F8"/>
    <w:rsid w:val="00030AC9"/>
    <w:rsid w:val="00031CED"/>
    <w:rsid w:val="00033858"/>
    <w:rsid w:val="00037E8B"/>
    <w:rsid w:val="00040542"/>
    <w:rsid w:val="000447F9"/>
    <w:rsid w:val="00046A20"/>
    <w:rsid w:val="00050489"/>
    <w:rsid w:val="00050AF1"/>
    <w:rsid w:val="00054540"/>
    <w:rsid w:val="00054A10"/>
    <w:rsid w:val="00055FCB"/>
    <w:rsid w:val="00060BB1"/>
    <w:rsid w:val="00063F87"/>
    <w:rsid w:val="00073240"/>
    <w:rsid w:val="00080E54"/>
    <w:rsid w:val="00081A6A"/>
    <w:rsid w:val="000851FC"/>
    <w:rsid w:val="000878EC"/>
    <w:rsid w:val="00094150"/>
    <w:rsid w:val="000A1610"/>
    <w:rsid w:val="000A248E"/>
    <w:rsid w:val="000B2BD1"/>
    <w:rsid w:val="000B3915"/>
    <w:rsid w:val="000B6D6C"/>
    <w:rsid w:val="000C3A73"/>
    <w:rsid w:val="000C5271"/>
    <w:rsid w:val="000C541F"/>
    <w:rsid w:val="000C5888"/>
    <w:rsid w:val="000D2CCA"/>
    <w:rsid w:val="000D4032"/>
    <w:rsid w:val="000D4575"/>
    <w:rsid w:val="000D5C6A"/>
    <w:rsid w:val="000D67B4"/>
    <w:rsid w:val="000D6D75"/>
    <w:rsid w:val="000E6B3B"/>
    <w:rsid w:val="000F0A49"/>
    <w:rsid w:val="000F53C0"/>
    <w:rsid w:val="000F7691"/>
    <w:rsid w:val="00100249"/>
    <w:rsid w:val="001011A4"/>
    <w:rsid w:val="001019BE"/>
    <w:rsid w:val="00104073"/>
    <w:rsid w:val="00104D08"/>
    <w:rsid w:val="001066C1"/>
    <w:rsid w:val="00107108"/>
    <w:rsid w:val="00111D05"/>
    <w:rsid w:val="00113C98"/>
    <w:rsid w:val="001143EE"/>
    <w:rsid w:val="00116479"/>
    <w:rsid w:val="00116C62"/>
    <w:rsid w:val="00122A9C"/>
    <w:rsid w:val="001270B6"/>
    <w:rsid w:val="0012726E"/>
    <w:rsid w:val="00127B48"/>
    <w:rsid w:val="00130568"/>
    <w:rsid w:val="00132928"/>
    <w:rsid w:val="0013576E"/>
    <w:rsid w:val="0013770C"/>
    <w:rsid w:val="00140883"/>
    <w:rsid w:val="00141DCE"/>
    <w:rsid w:val="00142EE0"/>
    <w:rsid w:val="00143290"/>
    <w:rsid w:val="001441F9"/>
    <w:rsid w:val="00144EB5"/>
    <w:rsid w:val="00144FB3"/>
    <w:rsid w:val="00153529"/>
    <w:rsid w:val="001547B2"/>
    <w:rsid w:val="001611E5"/>
    <w:rsid w:val="00161B02"/>
    <w:rsid w:val="001714A2"/>
    <w:rsid w:val="001767DF"/>
    <w:rsid w:val="00181BAB"/>
    <w:rsid w:val="00182ECA"/>
    <w:rsid w:val="00187495"/>
    <w:rsid w:val="00187940"/>
    <w:rsid w:val="0019006F"/>
    <w:rsid w:val="001900E6"/>
    <w:rsid w:val="00190843"/>
    <w:rsid w:val="00193F4C"/>
    <w:rsid w:val="0019509B"/>
    <w:rsid w:val="00197B84"/>
    <w:rsid w:val="001A1495"/>
    <w:rsid w:val="001A397D"/>
    <w:rsid w:val="001A582D"/>
    <w:rsid w:val="001A62B0"/>
    <w:rsid w:val="001B2B1F"/>
    <w:rsid w:val="001B6119"/>
    <w:rsid w:val="001B7656"/>
    <w:rsid w:val="001C23B6"/>
    <w:rsid w:val="001C4B7B"/>
    <w:rsid w:val="001C7376"/>
    <w:rsid w:val="001C7DC7"/>
    <w:rsid w:val="001C7E2F"/>
    <w:rsid w:val="001D0606"/>
    <w:rsid w:val="001D1D69"/>
    <w:rsid w:val="001D36BC"/>
    <w:rsid w:val="001D48D9"/>
    <w:rsid w:val="001D5FA3"/>
    <w:rsid w:val="001E0583"/>
    <w:rsid w:val="001E1EC3"/>
    <w:rsid w:val="001E1EE6"/>
    <w:rsid w:val="001E41F1"/>
    <w:rsid w:val="001E755C"/>
    <w:rsid w:val="001F24B7"/>
    <w:rsid w:val="001F3A9F"/>
    <w:rsid w:val="001F3D60"/>
    <w:rsid w:val="001F59C0"/>
    <w:rsid w:val="0020025C"/>
    <w:rsid w:val="00201F77"/>
    <w:rsid w:val="002026C5"/>
    <w:rsid w:val="0020309A"/>
    <w:rsid w:val="002060AC"/>
    <w:rsid w:val="002069A1"/>
    <w:rsid w:val="00212459"/>
    <w:rsid w:val="0021277F"/>
    <w:rsid w:val="002164E5"/>
    <w:rsid w:val="00217594"/>
    <w:rsid w:val="0022121D"/>
    <w:rsid w:val="00223B03"/>
    <w:rsid w:val="00224765"/>
    <w:rsid w:val="002251CE"/>
    <w:rsid w:val="0023008A"/>
    <w:rsid w:val="002370A8"/>
    <w:rsid w:val="0024311B"/>
    <w:rsid w:val="002453CC"/>
    <w:rsid w:val="002508B3"/>
    <w:rsid w:val="00252F51"/>
    <w:rsid w:val="0025436A"/>
    <w:rsid w:val="0025764E"/>
    <w:rsid w:val="0026329B"/>
    <w:rsid w:val="002636A2"/>
    <w:rsid w:val="00266583"/>
    <w:rsid w:val="0027269F"/>
    <w:rsid w:val="00276158"/>
    <w:rsid w:val="002825EF"/>
    <w:rsid w:val="002860B7"/>
    <w:rsid w:val="002872AD"/>
    <w:rsid w:val="00291D9A"/>
    <w:rsid w:val="002967E5"/>
    <w:rsid w:val="002A0B43"/>
    <w:rsid w:val="002A57A0"/>
    <w:rsid w:val="002A5F90"/>
    <w:rsid w:val="002A6146"/>
    <w:rsid w:val="002A6540"/>
    <w:rsid w:val="002B04F4"/>
    <w:rsid w:val="002B1DB7"/>
    <w:rsid w:val="002B5A65"/>
    <w:rsid w:val="002C06C1"/>
    <w:rsid w:val="002C13F5"/>
    <w:rsid w:val="002C2C4E"/>
    <w:rsid w:val="002C32C8"/>
    <w:rsid w:val="002C370F"/>
    <w:rsid w:val="002C40FB"/>
    <w:rsid w:val="002C6347"/>
    <w:rsid w:val="002C66E9"/>
    <w:rsid w:val="002D275A"/>
    <w:rsid w:val="002D3F43"/>
    <w:rsid w:val="002E2B8A"/>
    <w:rsid w:val="002E4F5F"/>
    <w:rsid w:val="002E5F7E"/>
    <w:rsid w:val="002E64EF"/>
    <w:rsid w:val="002E76DB"/>
    <w:rsid w:val="002F05AF"/>
    <w:rsid w:val="002F61D3"/>
    <w:rsid w:val="00302908"/>
    <w:rsid w:val="003038D5"/>
    <w:rsid w:val="00304A73"/>
    <w:rsid w:val="00312F22"/>
    <w:rsid w:val="00316851"/>
    <w:rsid w:val="00317051"/>
    <w:rsid w:val="00321207"/>
    <w:rsid w:val="003234C9"/>
    <w:rsid w:val="00325C82"/>
    <w:rsid w:val="00326FA4"/>
    <w:rsid w:val="00327B53"/>
    <w:rsid w:val="00330C99"/>
    <w:rsid w:val="00331314"/>
    <w:rsid w:val="00331B71"/>
    <w:rsid w:val="00333A41"/>
    <w:rsid w:val="00334E63"/>
    <w:rsid w:val="00337DC7"/>
    <w:rsid w:val="0034101E"/>
    <w:rsid w:val="00342A79"/>
    <w:rsid w:val="00345906"/>
    <w:rsid w:val="00345AF2"/>
    <w:rsid w:val="00347167"/>
    <w:rsid w:val="00353CE7"/>
    <w:rsid w:val="00360A2F"/>
    <w:rsid w:val="0036322E"/>
    <w:rsid w:val="00363613"/>
    <w:rsid w:val="00364A6D"/>
    <w:rsid w:val="00366708"/>
    <w:rsid w:val="00366F51"/>
    <w:rsid w:val="00367E2E"/>
    <w:rsid w:val="00371B8B"/>
    <w:rsid w:val="00371F6E"/>
    <w:rsid w:val="00374FE0"/>
    <w:rsid w:val="0037679C"/>
    <w:rsid w:val="0037752B"/>
    <w:rsid w:val="00380135"/>
    <w:rsid w:val="003828F7"/>
    <w:rsid w:val="00386B3E"/>
    <w:rsid w:val="0039072F"/>
    <w:rsid w:val="0039566B"/>
    <w:rsid w:val="003A5D44"/>
    <w:rsid w:val="003A5D4E"/>
    <w:rsid w:val="003A64CC"/>
    <w:rsid w:val="003B2470"/>
    <w:rsid w:val="003B2B0E"/>
    <w:rsid w:val="003B2D14"/>
    <w:rsid w:val="003B4C91"/>
    <w:rsid w:val="003B4D8F"/>
    <w:rsid w:val="003C02CC"/>
    <w:rsid w:val="003C0CC4"/>
    <w:rsid w:val="003C424C"/>
    <w:rsid w:val="003C50EB"/>
    <w:rsid w:val="003C5E8A"/>
    <w:rsid w:val="003C66F8"/>
    <w:rsid w:val="003D419D"/>
    <w:rsid w:val="003D5943"/>
    <w:rsid w:val="003E04E8"/>
    <w:rsid w:val="003E3839"/>
    <w:rsid w:val="003E44F8"/>
    <w:rsid w:val="003F0F78"/>
    <w:rsid w:val="003F21D9"/>
    <w:rsid w:val="003F49DD"/>
    <w:rsid w:val="003F68D9"/>
    <w:rsid w:val="003F6945"/>
    <w:rsid w:val="00402EB0"/>
    <w:rsid w:val="00407622"/>
    <w:rsid w:val="004105C9"/>
    <w:rsid w:val="00413065"/>
    <w:rsid w:val="00415EAE"/>
    <w:rsid w:val="00420AC1"/>
    <w:rsid w:val="00421C2E"/>
    <w:rsid w:val="00423069"/>
    <w:rsid w:val="00427BB1"/>
    <w:rsid w:val="004327EC"/>
    <w:rsid w:val="00436D29"/>
    <w:rsid w:val="0044078D"/>
    <w:rsid w:val="004417F1"/>
    <w:rsid w:val="00444026"/>
    <w:rsid w:val="004441EB"/>
    <w:rsid w:val="00444E27"/>
    <w:rsid w:val="004464B4"/>
    <w:rsid w:val="00446AEA"/>
    <w:rsid w:val="004509B5"/>
    <w:rsid w:val="00451DD1"/>
    <w:rsid w:val="0046363A"/>
    <w:rsid w:val="004677A9"/>
    <w:rsid w:val="0046782D"/>
    <w:rsid w:val="00476814"/>
    <w:rsid w:val="0048022D"/>
    <w:rsid w:val="00484CA9"/>
    <w:rsid w:val="00485942"/>
    <w:rsid w:val="00487C67"/>
    <w:rsid w:val="0049010E"/>
    <w:rsid w:val="004907E0"/>
    <w:rsid w:val="00491200"/>
    <w:rsid w:val="004A44C7"/>
    <w:rsid w:val="004A6217"/>
    <w:rsid w:val="004A744B"/>
    <w:rsid w:val="004B12AD"/>
    <w:rsid w:val="004B3128"/>
    <w:rsid w:val="004B66DA"/>
    <w:rsid w:val="004B73DA"/>
    <w:rsid w:val="004C024E"/>
    <w:rsid w:val="004C0C8D"/>
    <w:rsid w:val="004C19EA"/>
    <w:rsid w:val="004C54A1"/>
    <w:rsid w:val="004C5959"/>
    <w:rsid w:val="004D1B9A"/>
    <w:rsid w:val="004D5EDA"/>
    <w:rsid w:val="004D6775"/>
    <w:rsid w:val="004D7C76"/>
    <w:rsid w:val="004E3BB5"/>
    <w:rsid w:val="004E5B21"/>
    <w:rsid w:val="004E665A"/>
    <w:rsid w:val="004E6F0A"/>
    <w:rsid w:val="004F0FF9"/>
    <w:rsid w:val="004F664A"/>
    <w:rsid w:val="005040DC"/>
    <w:rsid w:val="0050525A"/>
    <w:rsid w:val="00506ED2"/>
    <w:rsid w:val="00506F36"/>
    <w:rsid w:val="00511327"/>
    <w:rsid w:val="00511838"/>
    <w:rsid w:val="0051332A"/>
    <w:rsid w:val="005173E3"/>
    <w:rsid w:val="0052063B"/>
    <w:rsid w:val="00522D71"/>
    <w:rsid w:val="00526B7E"/>
    <w:rsid w:val="0053143A"/>
    <w:rsid w:val="00531C6A"/>
    <w:rsid w:val="0053303C"/>
    <w:rsid w:val="0053542E"/>
    <w:rsid w:val="00535728"/>
    <w:rsid w:val="00535B47"/>
    <w:rsid w:val="00541FA5"/>
    <w:rsid w:val="00543310"/>
    <w:rsid w:val="00546BA5"/>
    <w:rsid w:val="00550B34"/>
    <w:rsid w:val="005534AB"/>
    <w:rsid w:val="00555AB2"/>
    <w:rsid w:val="0056090B"/>
    <w:rsid w:val="00562740"/>
    <w:rsid w:val="0056328E"/>
    <w:rsid w:val="00564A1C"/>
    <w:rsid w:val="0056671B"/>
    <w:rsid w:val="00566D50"/>
    <w:rsid w:val="00577041"/>
    <w:rsid w:val="00582CDA"/>
    <w:rsid w:val="0058333F"/>
    <w:rsid w:val="00583F87"/>
    <w:rsid w:val="005877DE"/>
    <w:rsid w:val="00587965"/>
    <w:rsid w:val="0059163B"/>
    <w:rsid w:val="0059318E"/>
    <w:rsid w:val="00593CE6"/>
    <w:rsid w:val="005A0C2C"/>
    <w:rsid w:val="005A268E"/>
    <w:rsid w:val="005A36C7"/>
    <w:rsid w:val="005A3B57"/>
    <w:rsid w:val="005A6A5B"/>
    <w:rsid w:val="005B063C"/>
    <w:rsid w:val="005B1546"/>
    <w:rsid w:val="005B3BF1"/>
    <w:rsid w:val="005B49D8"/>
    <w:rsid w:val="005B5069"/>
    <w:rsid w:val="005B6C33"/>
    <w:rsid w:val="005C038C"/>
    <w:rsid w:val="005C1B4B"/>
    <w:rsid w:val="005C4171"/>
    <w:rsid w:val="005C7120"/>
    <w:rsid w:val="005D0602"/>
    <w:rsid w:val="005D092D"/>
    <w:rsid w:val="005D470C"/>
    <w:rsid w:val="005E5B28"/>
    <w:rsid w:val="005F0B7A"/>
    <w:rsid w:val="005F179B"/>
    <w:rsid w:val="005F1FD3"/>
    <w:rsid w:val="005F2817"/>
    <w:rsid w:val="005F3E44"/>
    <w:rsid w:val="005F5D43"/>
    <w:rsid w:val="005F7C7E"/>
    <w:rsid w:val="006031D8"/>
    <w:rsid w:val="006044E1"/>
    <w:rsid w:val="0060777D"/>
    <w:rsid w:val="006151E8"/>
    <w:rsid w:val="00617F66"/>
    <w:rsid w:val="006235A7"/>
    <w:rsid w:val="0062545F"/>
    <w:rsid w:val="00626332"/>
    <w:rsid w:val="006273A0"/>
    <w:rsid w:val="00634D85"/>
    <w:rsid w:val="00634E59"/>
    <w:rsid w:val="006373C8"/>
    <w:rsid w:val="006416F6"/>
    <w:rsid w:val="006427BE"/>
    <w:rsid w:val="00643063"/>
    <w:rsid w:val="00645312"/>
    <w:rsid w:val="00646D7E"/>
    <w:rsid w:val="0064719F"/>
    <w:rsid w:val="00651DC9"/>
    <w:rsid w:val="00657239"/>
    <w:rsid w:val="00661ABA"/>
    <w:rsid w:val="00661F7B"/>
    <w:rsid w:val="00664B91"/>
    <w:rsid w:val="00665616"/>
    <w:rsid w:val="00666CE7"/>
    <w:rsid w:val="00670EBA"/>
    <w:rsid w:val="006722A0"/>
    <w:rsid w:val="0067293C"/>
    <w:rsid w:val="00672EC0"/>
    <w:rsid w:val="006747F7"/>
    <w:rsid w:val="006763F3"/>
    <w:rsid w:val="00677021"/>
    <w:rsid w:val="006803CC"/>
    <w:rsid w:val="006816B8"/>
    <w:rsid w:val="00682F21"/>
    <w:rsid w:val="00684075"/>
    <w:rsid w:val="006849B4"/>
    <w:rsid w:val="006871DC"/>
    <w:rsid w:val="00694651"/>
    <w:rsid w:val="0069608E"/>
    <w:rsid w:val="0069608F"/>
    <w:rsid w:val="006A2304"/>
    <w:rsid w:val="006A3278"/>
    <w:rsid w:val="006A5824"/>
    <w:rsid w:val="006A7A0E"/>
    <w:rsid w:val="006B0982"/>
    <w:rsid w:val="006C2C4C"/>
    <w:rsid w:val="006C393A"/>
    <w:rsid w:val="006C5A4D"/>
    <w:rsid w:val="006C63D0"/>
    <w:rsid w:val="006D0F1E"/>
    <w:rsid w:val="006D1934"/>
    <w:rsid w:val="006D33B5"/>
    <w:rsid w:val="006D48B8"/>
    <w:rsid w:val="006D528C"/>
    <w:rsid w:val="006D5523"/>
    <w:rsid w:val="006E3B8A"/>
    <w:rsid w:val="006E6FAE"/>
    <w:rsid w:val="006F0FF6"/>
    <w:rsid w:val="006F1BFA"/>
    <w:rsid w:val="006F3A0C"/>
    <w:rsid w:val="006F74A6"/>
    <w:rsid w:val="006F77FC"/>
    <w:rsid w:val="006F7FCB"/>
    <w:rsid w:val="00700291"/>
    <w:rsid w:val="00700B9E"/>
    <w:rsid w:val="00702513"/>
    <w:rsid w:val="00702A13"/>
    <w:rsid w:val="007041DB"/>
    <w:rsid w:val="00705C2B"/>
    <w:rsid w:val="007138CC"/>
    <w:rsid w:val="00713D64"/>
    <w:rsid w:val="00714476"/>
    <w:rsid w:val="00716BBA"/>
    <w:rsid w:val="007203E5"/>
    <w:rsid w:val="00723CC9"/>
    <w:rsid w:val="00724ABE"/>
    <w:rsid w:val="00725BFC"/>
    <w:rsid w:val="00726EC8"/>
    <w:rsid w:val="00735291"/>
    <w:rsid w:val="0074212A"/>
    <w:rsid w:val="00746EC7"/>
    <w:rsid w:val="00752614"/>
    <w:rsid w:val="0075751F"/>
    <w:rsid w:val="0076088E"/>
    <w:rsid w:val="00761AAA"/>
    <w:rsid w:val="00763DA0"/>
    <w:rsid w:val="007653FA"/>
    <w:rsid w:val="00771201"/>
    <w:rsid w:val="00771A87"/>
    <w:rsid w:val="00771ABF"/>
    <w:rsid w:val="00774975"/>
    <w:rsid w:val="0077624A"/>
    <w:rsid w:val="00780958"/>
    <w:rsid w:val="00783F05"/>
    <w:rsid w:val="00784AE9"/>
    <w:rsid w:val="00784CC6"/>
    <w:rsid w:val="00785D07"/>
    <w:rsid w:val="007876C7"/>
    <w:rsid w:val="00787F5D"/>
    <w:rsid w:val="007945B3"/>
    <w:rsid w:val="007B135C"/>
    <w:rsid w:val="007B19DA"/>
    <w:rsid w:val="007B2C93"/>
    <w:rsid w:val="007B5F06"/>
    <w:rsid w:val="007B76C4"/>
    <w:rsid w:val="007C4FD4"/>
    <w:rsid w:val="007C6559"/>
    <w:rsid w:val="007D0AF7"/>
    <w:rsid w:val="007F19A5"/>
    <w:rsid w:val="007F24B0"/>
    <w:rsid w:val="007F2A67"/>
    <w:rsid w:val="007F2D04"/>
    <w:rsid w:val="007F6BDD"/>
    <w:rsid w:val="007F6F2B"/>
    <w:rsid w:val="007F7EA4"/>
    <w:rsid w:val="00801014"/>
    <w:rsid w:val="008027C4"/>
    <w:rsid w:val="00802923"/>
    <w:rsid w:val="008116AF"/>
    <w:rsid w:val="00817C41"/>
    <w:rsid w:val="0082084D"/>
    <w:rsid w:val="00820EA8"/>
    <w:rsid w:val="008253A9"/>
    <w:rsid w:val="00830CF6"/>
    <w:rsid w:val="008413F8"/>
    <w:rsid w:val="008438CF"/>
    <w:rsid w:val="00843D58"/>
    <w:rsid w:val="00845486"/>
    <w:rsid w:val="008454B9"/>
    <w:rsid w:val="00845A5B"/>
    <w:rsid w:val="0084613F"/>
    <w:rsid w:val="00846C8B"/>
    <w:rsid w:val="008540FD"/>
    <w:rsid w:val="00854EC8"/>
    <w:rsid w:val="00861C19"/>
    <w:rsid w:val="0086399C"/>
    <w:rsid w:val="008733C7"/>
    <w:rsid w:val="00874F41"/>
    <w:rsid w:val="008773BF"/>
    <w:rsid w:val="0088262B"/>
    <w:rsid w:val="00883E39"/>
    <w:rsid w:val="00884C0B"/>
    <w:rsid w:val="00886427"/>
    <w:rsid w:val="008921ED"/>
    <w:rsid w:val="00894A7C"/>
    <w:rsid w:val="00897507"/>
    <w:rsid w:val="008A048B"/>
    <w:rsid w:val="008A28B8"/>
    <w:rsid w:val="008A6027"/>
    <w:rsid w:val="008A7776"/>
    <w:rsid w:val="008C0504"/>
    <w:rsid w:val="008C17E3"/>
    <w:rsid w:val="008C2266"/>
    <w:rsid w:val="008C2B8B"/>
    <w:rsid w:val="008C53F0"/>
    <w:rsid w:val="008C6629"/>
    <w:rsid w:val="008C6C08"/>
    <w:rsid w:val="008C7929"/>
    <w:rsid w:val="008D2A90"/>
    <w:rsid w:val="008D34B8"/>
    <w:rsid w:val="008D59A2"/>
    <w:rsid w:val="008E5597"/>
    <w:rsid w:val="008E6D84"/>
    <w:rsid w:val="008E74FB"/>
    <w:rsid w:val="008E79BF"/>
    <w:rsid w:val="008F755E"/>
    <w:rsid w:val="009059EE"/>
    <w:rsid w:val="009065DB"/>
    <w:rsid w:val="00907551"/>
    <w:rsid w:val="00907E93"/>
    <w:rsid w:val="0091132C"/>
    <w:rsid w:val="00914D2A"/>
    <w:rsid w:val="00922597"/>
    <w:rsid w:val="009242C7"/>
    <w:rsid w:val="00926832"/>
    <w:rsid w:val="00933A0A"/>
    <w:rsid w:val="00935A17"/>
    <w:rsid w:val="009422A8"/>
    <w:rsid w:val="009435E2"/>
    <w:rsid w:val="0094648D"/>
    <w:rsid w:val="009479D5"/>
    <w:rsid w:val="00951B5E"/>
    <w:rsid w:val="00951BBB"/>
    <w:rsid w:val="00952807"/>
    <w:rsid w:val="00957662"/>
    <w:rsid w:val="00960F5B"/>
    <w:rsid w:val="00961913"/>
    <w:rsid w:val="009651D5"/>
    <w:rsid w:val="00967192"/>
    <w:rsid w:val="009701FB"/>
    <w:rsid w:val="00970AF3"/>
    <w:rsid w:val="009712E6"/>
    <w:rsid w:val="00973C43"/>
    <w:rsid w:val="00973E46"/>
    <w:rsid w:val="0098199E"/>
    <w:rsid w:val="00985B9C"/>
    <w:rsid w:val="00986603"/>
    <w:rsid w:val="0099051F"/>
    <w:rsid w:val="00991840"/>
    <w:rsid w:val="00994060"/>
    <w:rsid w:val="009971D9"/>
    <w:rsid w:val="009A241C"/>
    <w:rsid w:val="009A2760"/>
    <w:rsid w:val="009B0651"/>
    <w:rsid w:val="009B3671"/>
    <w:rsid w:val="009C228F"/>
    <w:rsid w:val="009C25F1"/>
    <w:rsid w:val="009C2A10"/>
    <w:rsid w:val="009C416F"/>
    <w:rsid w:val="009C44F8"/>
    <w:rsid w:val="009C45FB"/>
    <w:rsid w:val="009C5580"/>
    <w:rsid w:val="009D16D6"/>
    <w:rsid w:val="009D17D2"/>
    <w:rsid w:val="009D2069"/>
    <w:rsid w:val="009D37EA"/>
    <w:rsid w:val="009D7DAC"/>
    <w:rsid w:val="009E1824"/>
    <w:rsid w:val="009E2517"/>
    <w:rsid w:val="009E69D3"/>
    <w:rsid w:val="009F01F6"/>
    <w:rsid w:val="009F3DEF"/>
    <w:rsid w:val="009F421F"/>
    <w:rsid w:val="009F57DD"/>
    <w:rsid w:val="009F6BF1"/>
    <w:rsid w:val="00A004FE"/>
    <w:rsid w:val="00A02870"/>
    <w:rsid w:val="00A050EC"/>
    <w:rsid w:val="00A06973"/>
    <w:rsid w:val="00A07A16"/>
    <w:rsid w:val="00A17814"/>
    <w:rsid w:val="00A21C65"/>
    <w:rsid w:val="00A24EEC"/>
    <w:rsid w:val="00A30723"/>
    <w:rsid w:val="00A319FB"/>
    <w:rsid w:val="00A33DC1"/>
    <w:rsid w:val="00A4123B"/>
    <w:rsid w:val="00A43247"/>
    <w:rsid w:val="00A442D1"/>
    <w:rsid w:val="00A452AA"/>
    <w:rsid w:val="00A45F35"/>
    <w:rsid w:val="00A543D6"/>
    <w:rsid w:val="00A545FB"/>
    <w:rsid w:val="00A54F8A"/>
    <w:rsid w:val="00A62BBE"/>
    <w:rsid w:val="00A7346E"/>
    <w:rsid w:val="00A74AF3"/>
    <w:rsid w:val="00A761C1"/>
    <w:rsid w:val="00A76336"/>
    <w:rsid w:val="00A76480"/>
    <w:rsid w:val="00A77426"/>
    <w:rsid w:val="00A80EB1"/>
    <w:rsid w:val="00A8749E"/>
    <w:rsid w:val="00A92373"/>
    <w:rsid w:val="00A93FB7"/>
    <w:rsid w:val="00AA23BA"/>
    <w:rsid w:val="00AA3B44"/>
    <w:rsid w:val="00AA5A3B"/>
    <w:rsid w:val="00AB2FF3"/>
    <w:rsid w:val="00AB35A6"/>
    <w:rsid w:val="00AB56B8"/>
    <w:rsid w:val="00AC425C"/>
    <w:rsid w:val="00AC54DB"/>
    <w:rsid w:val="00AC56B3"/>
    <w:rsid w:val="00AC6D5D"/>
    <w:rsid w:val="00AD2E4C"/>
    <w:rsid w:val="00AD6AC6"/>
    <w:rsid w:val="00AE7C1B"/>
    <w:rsid w:val="00AF43A3"/>
    <w:rsid w:val="00AF4DD8"/>
    <w:rsid w:val="00AF5EBD"/>
    <w:rsid w:val="00AF6655"/>
    <w:rsid w:val="00AF754F"/>
    <w:rsid w:val="00B01228"/>
    <w:rsid w:val="00B01460"/>
    <w:rsid w:val="00B016B8"/>
    <w:rsid w:val="00B02D2A"/>
    <w:rsid w:val="00B04A94"/>
    <w:rsid w:val="00B067D4"/>
    <w:rsid w:val="00B104BF"/>
    <w:rsid w:val="00B105BD"/>
    <w:rsid w:val="00B10BE1"/>
    <w:rsid w:val="00B12632"/>
    <w:rsid w:val="00B13E2F"/>
    <w:rsid w:val="00B150EE"/>
    <w:rsid w:val="00B16B10"/>
    <w:rsid w:val="00B17D2D"/>
    <w:rsid w:val="00B17E29"/>
    <w:rsid w:val="00B22385"/>
    <w:rsid w:val="00B2251B"/>
    <w:rsid w:val="00B22579"/>
    <w:rsid w:val="00B22843"/>
    <w:rsid w:val="00B25A1A"/>
    <w:rsid w:val="00B34D51"/>
    <w:rsid w:val="00B356D9"/>
    <w:rsid w:val="00B42052"/>
    <w:rsid w:val="00B42143"/>
    <w:rsid w:val="00B4231E"/>
    <w:rsid w:val="00B4241D"/>
    <w:rsid w:val="00B428B5"/>
    <w:rsid w:val="00B44A3E"/>
    <w:rsid w:val="00B4774F"/>
    <w:rsid w:val="00B507E3"/>
    <w:rsid w:val="00B50F61"/>
    <w:rsid w:val="00B5327E"/>
    <w:rsid w:val="00B606E5"/>
    <w:rsid w:val="00B62154"/>
    <w:rsid w:val="00B6233B"/>
    <w:rsid w:val="00B6233D"/>
    <w:rsid w:val="00B65A70"/>
    <w:rsid w:val="00B70E1E"/>
    <w:rsid w:val="00B715DC"/>
    <w:rsid w:val="00B71848"/>
    <w:rsid w:val="00B73F8B"/>
    <w:rsid w:val="00B74492"/>
    <w:rsid w:val="00B7459D"/>
    <w:rsid w:val="00B76E4E"/>
    <w:rsid w:val="00B806F4"/>
    <w:rsid w:val="00B83324"/>
    <w:rsid w:val="00B8363B"/>
    <w:rsid w:val="00B852ED"/>
    <w:rsid w:val="00B85A59"/>
    <w:rsid w:val="00B87D27"/>
    <w:rsid w:val="00B87F4C"/>
    <w:rsid w:val="00B905A3"/>
    <w:rsid w:val="00B9621C"/>
    <w:rsid w:val="00B97AB5"/>
    <w:rsid w:val="00BA0600"/>
    <w:rsid w:val="00BA156B"/>
    <w:rsid w:val="00BA19C5"/>
    <w:rsid w:val="00BA5156"/>
    <w:rsid w:val="00BA5877"/>
    <w:rsid w:val="00BA7656"/>
    <w:rsid w:val="00BB0A31"/>
    <w:rsid w:val="00BB229F"/>
    <w:rsid w:val="00BB28CB"/>
    <w:rsid w:val="00BB45A8"/>
    <w:rsid w:val="00BB5DF1"/>
    <w:rsid w:val="00BB6570"/>
    <w:rsid w:val="00BC1B7C"/>
    <w:rsid w:val="00BC484E"/>
    <w:rsid w:val="00BC5CA3"/>
    <w:rsid w:val="00BC689D"/>
    <w:rsid w:val="00BD2783"/>
    <w:rsid w:val="00BD4038"/>
    <w:rsid w:val="00BE0854"/>
    <w:rsid w:val="00BE1ED2"/>
    <w:rsid w:val="00BE726C"/>
    <w:rsid w:val="00BF25F0"/>
    <w:rsid w:val="00BF3079"/>
    <w:rsid w:val="00BF341D"/>
    <w:rsid w:val="00BF3473"/>
    <w:rsid w:val="00BF5D32"/>
    <w:rsid w:val="00BF6876"/>
    <w:rsid w:val="00BF718F"/>
    <w:rsid w:val="00C0065E"/>
    <w:rsid w:val="00C12AD7"/>
    <w:rsid w:val="00C13C5A"/>
    <w:rsid w:val="00C16397"/>
    <w:rsid w:val="00C201CA"/>
    <w:rsid w:val="00C23D73"/>
    <w:rsid w:val="00C241A1"/>
    <w:rsid w:val="00C27500"/>
    <w:rsid w:val="00C27ADF"/>
    <w:rsid w:val="00C306E8"/>
    <w:rsid w:val="00C313ED"/>
    <w:rsid w:val="00C33F0C"/>
    <w:rsid w:val="00C3576E"/>
    <w:rsid w:val="00C35956"/>
    <w:rsid w:val="00C401DB"/>
    <w:rsid w:val="00C407D6"/>
    <w:rsid w:val="00C477A6"/>
    <w:rsid w:val="00C5657B"/>
    <w:rsid w:val="00C56AEC"/>
    <w:rsid w:val="00C57C68"/>
    <w:rsid w:val="00C60A73"/>
    <w:rsid w:val="00C610DB"/>
    <w:rsid w:val="00C6203D"/>
    <w:rsid w:val="00C67551"/>
    <w:rsid w:val="00C72120"/>
    <w:rsid w:val="00C75DCE"/>
    <w:rsid w:val="00C773A3"/>
    <w:rsid w:val="00C77DA0"/>
    <w:rsid w:val="00C843D7"/>
    <w:rsid w:val="00C90325"/>
    <w:rsid w:val="00C90EDA"/>
    <w:rsid w:val="00C92C0C"/>
    <w:rsid w:val="00CA199A"/>
    <w:rsid w:val="00CA22A8"/>
    <w:rsid w:val="00CA3396"/>
    <w:rsid w:val="00CA3B90"/>
    <w:rsid w:val="00CA4020"/>
    <w:rsid w:val="00CA73E2"/>
    <w:rsid w:val="00CB1772"/>
    <w:rsid w:val="00CB18E0"/>
    <w:rsid w:val="00CB4220"/>
    <w:rsid w:val="00CB4DB1"/>
    <w:rsid w:val="00CB748F"/>
    <w:rsid w:val="00CC3542"/>
    <w:rsid w:val="00CC3879"/>
    <w:rsid w:val="00CD3D18"/>
    <w:rsid w:val="00CD68CE"/>
    <w:rsid w:val="00CE08CE"/>
    <w:rsid w:val="00CE20E9"/>
    <w:rsid w:val="00CE3773"/>
    <w:rsid w:val="00CE6FC5"/>
    <w:rsid w:val="00CE701C"/>
    <w:rsid w:val="00CF09BD"/>
    <w:rsid w:val="00CF0E33"/>
    <w:rsid w:val="00CF4490"/>
    <w:rsid w:val="00CF5705"/>
    <w:rsid w:val="00CF5A8F"/>
    <w:rsid w:val="00D00379"/>
    <w:rsid w:val="00D007B0"/>
    <w:rsid w:val="00D02279"/>
    <w:rsid w:val="00D061AD"/>
    <w:rsid w:val="00D10467"/>
    <w:rsid w:val="00D10652"/>
    <w:rsid w:val="00D13DB2"/>
    <w:rsid w:val="00D20868"/>
    <w:rsid w:val="00D209B6"/>
    <w:rsid w:val="00D22294"/>
    <w:rsid w:val="00D22442"/>
    <w:rsid w:val="00D2255F"/>
    <w:rsid w:val="00D22EBC"/>
    <w:rsid w:val="00D2429D"/>
    <w:rsid w:val="00D24374"/>
    <w:rsid w:val="00D24620"/>
    <w:rsid w:val="00D3123C"/>
    <w:rsid w:val="00D3584A"/>
    <w:rsid w:val="00D44B05"/>
    <w:rsid w:val="00D51B5E"/>
    <w:rsid w:val="00D5252A"/>
    <w:rsid w:val="00D55377"/>
    <w:rsid w:val="00D557D5"/>
    <w:rsid w:val="00D57E4B"/>
    <w:rsid w:val="00D601F0"/>
    <w:rsid w:val="00D626EC"/>
    <w:rsid w:val="00D64F50"/>
    <w:rsid w:val="00D65D31"/>
    <w:rsid w:val="00D7167B"/>
    <w:rsid w:val="00D73519"/>
    <w:rsid w:val="00D73AE8"/>
    <w:rsid w:val="00D73E83"/>
    <w:rsid w:val="00D80A3E"/>
    <w:rsid w:val="00D84B3D"/>
    <w:rsid w:val="00D92151"/>
    <w:rsid w:val="00D94D3A"/>
    <w:rsid w:val="00D95385"/>
    <w:rsid w:val="00DA0323"/>
    <w:rsid w:val="00DA0C66"/>
    <w:rsid w:val="00DA3FF9"/>
    <w:rsid w:val="00DA51BC"/>
    <w:rsid w:val="00DB112D"/>
    <w:rsid w:val="00DB13BD"/>
    <w:rsid w:val="00DB1971"/>
    <w:rsid w:val="00DC451E"/>
    <w:rsid w:val="00DC5FA1"/>
    <w:rsid w:val="00DC7C98"/>
    <w:rsid w:val="00DD04D4"/>
    <w:rsid w:val="00DD0CE4"/>
    <w:rsid w:val="00DE3721"/>
    <w:rsid w:val="00DE488C"/>
    <w:rsid w:val="00DF1668"/>
    <w:rsid w:val="00DF2742"/>
    <w:rsid w:val="00DF3A9C"/>
    <w:rsid w:val="00DF448C"/>
    <w:rsid w:val="00DF71A5"/>
    <w:rsid w:val="00E061D8"/>
    <w:rsid w:val="00E07EE4"/>
    <w:rsid w:val="00E14245"/>
    <w:rsid w:val="00E14396"/>
    <w:rsid w:val="00E170E3"/>
    <w:rsid w:val="00E20D55"/>
    <w:rsid w:val="00E21F02"/>
    <w:rsid w:val="00E22703"/>
    <w:rsid w:val="00E2272C"/>
    <w:rsid w:val="00E24228"/>
    <w:rsid w:val="00E25125"/>
    <w:rsid w:val="00E27B5F"/>
    <w:rsid w:val="00E33C99"/>
    <w:rsid w:val="00E3545E"/>
    <w:rsid w:val="00E445D8"/>
    <w:rsid w:val="00E46ACA"/>
    <w:rsid w:val="00E47B07"/>
    <w:rsid w:val="00E50FFA"/>
    <w:rsid w:val="00E526F5"/>
    <w:rsid w:val="00E53FAB"/>
    <w:rsid w:val="00E5528B"/>
    <w:rsid w:val="00E5593B"/>
    <w:rsid w:val="00E63F24"/>
    <w:rsid w:val="00E70A61"/>
    <w:rsid w:val="00E77251"/>
    <w:rsid w:val="00E817EE"/>
    <w:rsid w:val="00E818B6"/>
    <w:rsid w:val="00E82102"/>
    <w:rsid w:val="00E83487"/>
    <w:rsid w:val="00E85543"/>
    <w:rsid w:val="00E87CF0"/>
    <w:rsid w:val="00E9187B"/>
    <w:rsid w:val="00E91EAA"/>
    <w:rsid w:val="00E92FD0"/>
    <w:rsid w:val="00E93B0A"/>
    <w:rsid w:val="00E93D93"/>
    <w:rsid w:val="00EA5C78"/>
    <w:rsid w:val="00EB045D"/>
    <w:rsid w:val="00EB41C4"/>
    <w:rsid w:val="00EC1909"/>
    <w:rsid w:val="00EC1DDA"/>
    <w:rsid w:val="00EC2835"/>
    <w:rsid w:val="00EC4455"/>
    <w:rsid w:val="00EC77BB"/>
    <w:rsid w:val="00EC7E13"/>
    <w:rsid w:val="00ED1828"/>
    <w:rsid w:val="00ED4EEA"/>
    <w:rsid w:val="00EE1389"/>
    <w:rsid w:val="00EE19FF"/>
    <w:rsid w:val="00EF1723"/>
    <w:rsid w:val="00EF26AE"/>
    <w:rsid w:val="00F00D62"/>
    <w:rsid w:val="00F0305C"/>
    <w:rsid w:val="00F03989"/>
    <w:rsid w:val="00F12B16"/>
    <w:rsid w:val="00F139D5"/>
    <w:rsid w:val="00F1692D"/>
    <w:rsid w:val="00F23018"/>
    <w:rsid w:val="00F25BF4"/>
    <w:rsid w:val="00F27B16"/>
    <w:rsid w:val="00F32383"/>
    <w:rsid w:val="00F33096"/>
    <w:rsid w:val="00F336A1"/>
    <w:rsid w:val="00F40A39"/>
    <w:rsid w:val="00F40D25"/>
    <w:rsid w:val="00F41BB8"/>
    <w:rsid w:val="00F441B2"/>
    <w:rsid w:val="00F45DEB"/>
    <w:rsid w:val="00F46A84"/>
    <w:rsid w:val="00F476E8"/>
    <w:rsid w:val="00F5660C"/>
    <w:rsid w:val="00F63836"/>
    <w:rsid w:val="00F75AE8"/>
    <w:rsid w:val="00F76819"/>
    <w:rsid w:val="00F808F8"/>
    <w:rsid w:val="00F9081A"/>
    <w:rsid w:val="00F90A9D"/>
    <w:rsid w:val="00FA0DC0"/>
    <w:rsid w:val="00FA0E84"/>
    <w:rsid w:val="00FA5B52"/>
    <w:rsid w:val="00FA66AD"/>
    <w:rsid w:val="00FA73C3"/>
    <w:rsid w:val="00FA7A69"/>
    <w:rsid w:val="00FA7F14"/>
    <w:rsid w:val="00FB4D87"/>
    <w:rsid w:val="00FC4FC1"/>
    <w:rsid w:val="00FD25D2"/>
    <w:rsid w:val="00FD342D"/>
    <w:rsid w:val="00FD4C02"/>
    <w:rsid w:val="00FD4ED2"/>
    <w:rsid w:val="00FD636E"/>
    <w:rsid w:val="00FD795C"/>
    <w:rsid w:val="00FE1C67"/>
    <w:rsid w:val="00FE1CDD"/>
    <w:rsid w:val="00FF4F5F"/>
    <w:rsid w:val="00FF7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Caption">
    <w:name w:val="caption"/>
    <w:basedOn w:val="Normal"/>
    <w:next w:val="Normal"/>
    <w:qFormat/>
    <w:rsid w:val="00D626EC"/>
    <w:rPr>
      <w:rFonts w:ascii="CG Times" w:hAnsi="CG Times" w:cs="CG Times"/>
    </w:rPr>
  </w:style>
  <w:style w:type="table" w:styleId="TableGrid">
    <w:name w:val="Table Grid"/>
    <w:basedOn w:val="TableNormal"/>
    <w:rsid w:val="00D94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444E27"/>
    <w:rPr>
      <w:sz w:val="24"/>
      <w:szCs w:val="24"/>
    </w:rPr>
  </w:style>
  <w:style w:type="paragraph" w:customStyle="1" w:styleId="Style">
    <w:name w:val="Style"/>
    <w:rsid w:val="004F664A"/>
    <w:pPr>
      <w:widowControl w:val="0"/>
      <w:autoSpaceDE w:val="0"/>
      <w:autoSpaceDN w:val="0"/>
      <w:adjustRightInd w:val="0"/>
    </w:pPr>
    <w:rPr>
      <w:sz w:val="24"/>
      <w:szCs w:val="24"/>
    </w:rPr>
  </w:style>
  <w:style w:type="paragraph" w:styleId="BalloonText">
    <w:name w:val="Balloon Text"/>
    <w:basedOn w:val="Normal"/>
    <w:link w:val="BalloonTextChar"/>
    <w:rsid w:val="00BA7656"/>
    <w:rPr>
      <w:rFonts w:ascii="Tahoma" w:hAnsi="Tahoma" w:cs="Tahoma"/>
      <w:sz w:val="16"/>
      <w:szCs w:val="16"/>
    </w:rPr>
  </w:style>
  <w:style w:type="character" w:customStyle="1" w:styleId="BalloonTextChar">
    <w:name w:val="Balloon Text Char"/>
    <w:basedOn w:val="DefaultParagraphFont"/>
    <w:link w:val="BalloonText"/>
    <w:rsid w:val="00BA7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297597">
      <w:bodyDiv w:val="1"/>
      <w:marLeft w:val="0"/>
      <w:marRight w:val="0"/>
      <w:marTop w:val="0"/>
      <w:marBottom w:val="0"/>
      <w:divBdr>
        <w:top w:val="none" w:sz="0" w:space="0" w:color="auto"/>
        <w:left w:val="none" w:sz="0" w:space="0" w:color="auto"/>
        <w:bottom w:val="none" w:sz="0" w:space="0" w:color="auto"/>
        <w:right w:val="none" w:sz="0" w:space="0" w:color="auto"/>
      </w:divBdr>
    </w:div>
    <w:div w:id="148500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41469-974A-4CE9-8385-91E3ABC44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shoffner</cp:lastModifiedBy>
  <cp:revision>3</cp:revision>
  <cp:lastPrinted>2014-12-09T18:56:00Z</cp:lastPrinted>
  <dcterms:created xsi:type="dcterms:W3CDTF">2014-12-09T18:55:00Z</dcterms:created>
  <dcterms:modified xsi:type="dcterms:W3CDTF">2014-12-09T19:09:00Z</dcterms:modified>
</cp:coreProperties>
</file>