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496592" w:rsidRDefault="009304FE" w:rsidP="009304FE">
      <w:pPr>
        <w:jc w:val="center"/>
        <w:rPr>
          <w:b/>
          <w:sz w:val="26"/>
          <w:szCs w:val="26"/>
        </w:rPr>
      </w:pPr>
      <w:r w:rsidRPr="00496592">
        <w:rPr>
          <w:b/>
          <w:sz w:val="26"/>
          <w:szCs w:val="26"/>
        </w:rPr>
        <w:t>PENNSYLVANIA</w:t>
      </w:r>
    </w:p>
    <w:p w:rsidR="009304FE" w:rsidRPr="00496592" w:rsidRDefault="009304FE" w:rsidP="009304FE">
      <w:pPr>
        <w:jc w:val="center"/>
        <w:rPr>
          <w:b/>
          <w:sz w:val="26"/>
          <w:szCs w:val="26"/>
        </w:rPr>
      </w:pPr>
      <w:r w:rsidRPr="00496592">
        <w:rPr>
          <w:b/>
          <w:sz w:val="26"/>
          <w:szCs w:val="26"/>
        </w:rPr>
        <w:t>PUBLIC UTILITY COMMISSION</w:t>
      </w:r>
    </w:p>
    <w:p w:rsidR="009304FE" w:rsidRPr="00496592" w:rsidRDefault="009304FE" w:rsidP="009304FE">
      <w:pPr>
        <w:jc w:val="center"/>
        <w:rPr>
          <w:b/>
          <w:sz w:val="26"/>
          <w:szCs w:val="26"/>
        </w:rPr>
      </w:pPr>
      <w:r w:rsidRPr="00496592">
        <w:rPr>
          <w:b/>
          <w:sz w:val="26"/>
          <w:szCs w:val="26"/>
        </w:rPr>
        <w:t>Harrisburg, PA 17105-3265</w:t>
      </w:r>
    </w:p>
    <w:p w:rsidR="009304FE" w:rsidRPr="00496592" w:rsidRDefault="009304FE" w:rsidP="009304FE">
      <w:pPr>
        <w:rPr>
          <w:sz w:val="26"/>
          <w:szCs w:val="26"/>
        </w:rPr>
      </w:pPr>
    </w:p>
    <w:p w:rsidR="00B01F47" w:rsidRPr="00496592" w:rsidRDefault="00B01F47" w:rsidP="009304FE">
      <w:pPr>
        <w:rPr>
          <w:sz w:val="26"/>
          <w:szCs w:val="26"/>
        </w:rPr>
      </w:pPr>
    </w:p>
    <w:p w:rsidR="009304FE" w:rsidRPr="00496592" w:rsidRDefault="009304FE" w:rsidP="00CB7C08">
      <w:pPr>
        <w:jc w:val="right"/>
        <w:rPr>
          <w:sz w:val="26"/>
          <w:szCs w:val="26"/>
        </w:rPr>
      </w:pPr>
      <w:r w:rsidRPr="00496592">
        <w:rPr>
          <w:sz w:val="26"/>
          <w:szCs w:val="26"/>
        </w:rPr>
        <w:t xml:space="preserve">Public Meeting held </w:t>
      </w:r>
      <w:r w:rsidR="002E5FCA" w:rsidRPr="00496592">
        <w:rPr>
          <w:sz w:val="26"/>
          <w:szCs w:val="26"/>
        </w:rPr>
        <w:t>November 13</w:t>
      </w:r>
      <w:r w:rsidR="009C65B2" w:rsidRPr="00496592">
        <w:rPr>
          <w:sz w:val="26"/>
          <w:szCs w:val="26"/>
        </w:rPr>
        <w:t>, 201</w:t>
      </w:r>
      <w:r w:rsidR="002E5FCA" w:rsidRPr="00496592">
        <w:rPr>
          <w:sz w:val="26"/>
          <w:szCs w:val="26"/>
        </w:rPr>
        <w:t>4</w:t>
      </w:r>
      <w:r w:rsidR="00B01F47" w:rsidRPr="00496592">
        <w:rPr>
          <w:sz w:val="26"/>
          <w:szCs w:val="26"/>
        </w:rPr>
        <w:t xml:space="preserve"> </w:t>
      </w:r>
    </w:p>
    <w:p w:rsidR="009304FE" w:rsidRPr="00496592" w:rsidRDefault="009304FE" w:rsidP="009304FE">
      <w:pPr>
        <w:rPr>
          <w:sz w:val="26"/>
          <w:szCs w:val="26"/>
        </w:rPr>
      </w:pPr>
    </w:p>
    <w:p w:rsidR="00B01F47" w:rsidRPr="00496592" w:rsidRDefault="00B01F47" w:rsidP="009304FE">
      <w:pPr>
        <w:rPr>
          <w:sz w:val="26"/>
          <w:szCs w:val="26"/>
        </w:rPr>
      </w:pPr>
    </w:p>
    <w:p w:rsidR="00D5566B" w:rsidRPr="00496592" w:rsidRDefault="00D5566B" w:rsidP="00D5566B">
      <w:pPr>
        <w:rPr>
          <w:sz w:val="26"/>
          <w:szCs w:val="26"/>
        </w:rPr>
      </w:pPr>
      <w:r w:rsidRPr="00496592">
        <w:rPr>
          <w:sz w:val="26"/>
          <w:szCs w:val="26"/>
        </w:rPr>
        <w:t>Commissioners Present:</w:t>
      </w:r>
    </w:p>
    <w:p w:rsidR="00D5566B" w:rsidRPr="00496592" w:rsidRDefault="00D5566B" w:rsidP="00D5566B">
      <w:pPr>
        <w:rPr>
          <w:sz w:val="26"/>
          <w:szCs w:val="26"/>
        </w:rPr>
      </w:pPr>
    </w:p>
    <w:p w:rsidR="00D5566B" w:rsidRPr="00496592" w:rsidRDefault="00D5566B" w:rsidP="00D5566B">
      <w:pPr>
        <w:tabs>
          <w:tab w:val="left" w:pos="705"/>
        </w:tabs>
        <w:ind w:firstLine="720"/>
        <w:rPr>
          <w:sz w:val="26"/>
          <w:szCs w:val="26"/>
        </w:rPr>
      </w:pPr>
      <w:r w:rsidRPr="00496592">
        <w:rPr>
          <w:sz w:val="26"/>
          <w:szCs w:val="26"/>
        </w:rPr>
        <w:t xml:space="preserve">Robert F. </w:t>
      </w:r>
      <w:proofErr w:type="spellStart"/>
      <w:r w:rsidRPr="00496592">
        <w:rPr>
          <w:sz w:val="26"/>
          <w:szCs w:val="26"/>
        </w:rPr>
        <w:t>Powelson</w:t>
      </w:r>
      <w:proofErr w:type="spellEnd"/>
      <w:r w:rsidRPr="00496592">
        <w:rPr>
          <w:sz w:val="26"/>
          <w:szCs w:val="26"/>
        </w:rPr>
        <w:t>, Chairman</w:t>
      </w:r>
    </w:p>
    <w:p w:rsidR="00D5566B" w:rsidRPr="00496592" w:rsidRDefault="00D5566B" w:rsidP="00D5566B">
      <w:pPr>
        <w:tabs>
          <w:tab w:val="left" w:pos="705"/>
        </w:tabs>
        <w:ind w:firstLine="720"/>
        <w:rPr>
          <w:sz w:val="26"/>
          <w:szCs w:val="26"/>
        </w:rPr>
      </w:pPr>
      <w:r w:rsidRPr="00496592">
        <w:rPr>
          <w:sz w:val="26"/>
          <w:szCs w:val="26"/>
        </w:rPr>
        <w:t>John F. Coleman, Jr., Vice Chairman</w:t>
      </w:r>
    </w:p>
    <w:p w:rsidR="00D5566B" w:rsidRPr="00496592" w:rsidRDefault="00D5566B" w:rsidP="00D5566B">
      <w:pPr>
        <w:tabs>
          <w:tab w:val="left" w:pos="705"/>
        </w:tabs>
        <w:ind w:firstLine="720"/>
        <w:rPr>
          <w:sz w:val="26"/>
          <w:szCs w:val="26"/>
        </w:rPr>
      </w:pPr>
      <w:r w:rsidRPr="00496592">
        <w:rPr>
          <w:sz w:val="26"/>
          <w:szCs w:val="26"/>
        </w:rPr>
        <w:t xml:space="preserve">James H. </w:t>
      </w:r>
      <w:proofErr w:type="spellStart"/>
      <w:r w:rsidRPr="00496592">
        <w:rPr>
          <w:sz w:val="26"/>
          <w:szCs w:val="26"/>
        </w:rPr>
        <w:t>Cawley</w:t>
      </w:r>
      <w:proofErr w:type="spellEnd"/>
    </w:p>
    <w:p w:rsidR="00D5566B" w:rsidRPr="00496592" w:rsidRDefault="00D5566B" w:rsidP="00D5566B">
      <w:pPr>
        <w:tabs>
          <w:tab w:val="left" w:pos="705"/>
        </w:tabs>
        <w:ind w:firstLine="720"/>
        <w:rPr>
          <w:sz w:val="26"/>
          <w:szCs w:val="26"/>
        </w:rPr>
      </w:pPr>
      <w:r w:rsidRPr="00496592">
        <w:rPr>
          <w:sz w:val="26"/>
          <w:szCs w:val="26"/>
        </w:rPr>
        <w:t xml:space="preserve">Pamela A. </w:t>
      </w:r>
      <w:proofErr w:type="spellStart"/>
      <w:r w:rsidRPr="00496592">
        <w:rPr>
          <w:sz w:val="26"/>
          <w:szCs w:val="26"/>
        </w:rPr>
        <w:t>Witmer</w:t>
      </w:r>
      <w:proofErr w:type="spellEnd"/>
    </w:p>
    <w:p w:rsidR="00D5566B" w:rsidRPr="00496592" w:rsidRDefault="00D5566B" w:rsidP="00D5566B">
      <w:pPr>
        <w:tabs>
          <w:tab w:val="left" w:pos="705"/>
        </w:tabs>
        <w:ind w:firstLine="720"/>
        <w:rPr>
          <w:sz w:val="26"/>
          <w:szCs w:val="26"/>
        </w:rPr>
      </w:pPr>
      <w:r w:rsidRPr="00496592">
        <w:rPr>
          <w:sz w:val="26"/>
          <w:szCs w:val="26"/>
        </w:rPr>
        <w:t>Gladys M. Brown</w:t>
      </w:r>
    </w:p>
    <w:p w:rsidR="00D5566B" w:rsidRPr="00496592" w:rsidRDefault="00D5566B" w:rsidP="00D5566B">
      <w:pPr>
        <w:rPr>
          <w:sz w:val="26"/>
          <w:szCs w:val="26"/>
        </w:rPr>
      </w:pPr>
    </w:p>
    <w:p w:rsidR="00AB0F2F" w:rsidRPr="00496592" w:rsidRDefault="00AB0F2F" w:rsidP="009304FE"/>
    <w:p w:rsidR="009304FE" w:rsidRPr="00496592" w:rsidRDefault="009304FE" w:rsidP="009304FE"/>
    <w:p w:rsidR="00E050C0" w:rsidRPr="00496592" w:rsidRDefault="002E5FCA" w:rsidP="00E050C0">
      <w:pPr>
        <w:tabs>
          <w:tab w:val="left" w:pos="-720"/>
          <w:tab w:val="left" w:pos="0"/>
        </w:tabs>
        <w:suppressAutoHyphens/>
        <w:rPr>
          <w:sz w:val="26"/>
          <w:szCs w:val="26"/>
        </w:rPr>
      </w:pPr>
      <w:r w:rsidRPr="00496592">
        <w:rPr>
          <w:sz w:val="26"/>
          <w:szCs w:val="26"/>
        </w:rPr>
        <w:t>Kevin Washington</w:t>
      </w:r>
      <w:r w:rsidR="009E1660" w:rsidRPr="00496592">
        <w:rPr>
          <w:sz w:val="26"/>
          <w:szCs w:val="26"/>
        </w:rPr>
        <w:tab/>
      </w:r>
      <w:r w:rsidR="009E1660" w:rsidRPr="00496592">
        <w:rPr>
          <w:sz w:val="26"/>
          <w:szCs w:val="26"/>
        </w:rPr>
        <w:tab/>
      </w:r>
      <w:r w:rsidR="009E1660" w:rsidRPr="00496592">
        <w:rPr>
          <w:sz w:val="26"/>
          <w:szCs w:val="26"/>
        </w:rPr>
        <w:tab/>
      </w:r>
      <w:r w:rsidR="009E1660" w:rsidRPr="00496592">
        <w:rPr>
          <w:sz w:val="26"/>
          <w:szCs w:val="26"/>
        </w:rPr>
        <w:tab/>
      </w:r>
      <w:r w:rsidR="009E1660" w:rsidRPr="00496592">
        <w:rPr>
          <w:sz w:val="26"/>
          <w:szCs w:val="26"/>
        </w:rPr>
        <w:tab/>
      </w:r>
      <w:r w:rsidR="009E1660" w:rsidRPr="00496592">
        <w:rPr>
          <w:sz w:val="26"/>
          <w:szCs w:val="26"/>
        </w:rPr>
        <w:tab/>
      </w:r>
      <w:r w:rsidR="00356356" w:rsidRPr="00496592">
        <w:rPr>
          <w:sz w:val="26"/>
          <w:szCs w:val="26"/>
        </w:rPr>
        <w:tab/>
      </w:r>
      <w:r w:rsidR="00356356" w:rsidRPr="00496592">
        <w:rPr>
          <w:sz w:val="26"/>
          <w:szCs w:val="26"/>
        </w:rPr>
        <w:tab/>
      </w:r>
      <w:r w:rsidR="001523CA" w:rsidRPr="00496592">
        <w:rPr>
          <w:sz w:val="26"/>
          <w:szCs w:val="26"/>
        </w:rPr>
        <w:t xml:space="preserve">     </w:t>
      </w:r>
      <w:r w:rsidR="00D5566B" w:rsidRPr="00496592">
        <w:rPr>
          <w:sz w:val="26"/>
          <w:szCs w:val="26"/>
        </w:rPr>
        <w:t>C-2013-23</w:t>
      </w:r>
      <w:r w:rsidRPr="00496592">
        <w:rPr>
          <w:sz w:val="26"/>
          <w:szCs w:val="26"/>
        </w:rPr>
        <w:t>88427</w:t>
      </w:r>
    </w:p>
    <w:p w:rsidR="00E050C0" w:rsidRPr="00496592" w:rsidRDefault="00E050C0" w:rsidP="00E050C0">
      <w:pPr>
        <w:tabs>
          <w:tab w:val="left" w:pos="-720"/>
          <w:tab w:val="left" w:pos="0"/>
        </w:tabs>
        <w:suppressAutoHyphens/>
        <w:rPr>
          <w:sz w:val="26"/>
          <w:szCs w:val="26"/>
        </w:rPr>
      </w:pPr>
    </w:p>
    <w:p w:rsidR="00E050C0" w:rsidRPr="00496592" w:rsidRDefault="00E050C0" w:rsidP="00E050C0">
      <w:pPr>
        <w:tabs>
          <w:tab w:val="left" w:pos="-720"/>
          <w:tab w:val="left" w:pos="0"/>
        </w:tabs>
        <w:suppressAutoHyphens/>
        <w:rPr>
          <w:sz w:val="26"/>
          <w:szCs w:val="26"/>
        </w:rPr>
      </w:pPr>
      <w:r w:rsidRPr="00496592">
        <w:rPr>
          <w:sz w:val="26"/>
          <w:szCs w:val="26"/>
        </w:rPr>
        <w:tab/>
      </w:r>
      <w:proofErr w:type="gramStart"/>
      <w:r w:rsidRPr="00496592">
        <w:rPr>
          <w:sz w:val="26"/>
          <w:szCs w:val="26"/>
        </w:rPr>
        <w:t>v</w:t>
      </w:r>
      <w:proofErr w:type="gramEnd"/>
      <w:r w:rsidRPr="00496592">
        <w:rPr>
          <w:sz w:val="26"/>
          <w:szCs w:val="26"/>
        </w:rPr>
        <w:t>.</w:t>
      </w:r>
    </w:p>
    <w:p w:rsidR="00E050C0" w:rsidRPr="00496592" w:rsidRDefault="00E050C0" w:rsidP="00E050C0">
      <w:pPr>
        <w:tabs>
          <w:tab w:val="left" w:pos="-720"/>
          <w:tab w:val="left" w:pos="0"/>
        </w:tabs>
        <w:suppressAutoHyphens/>
        <w:rPr>
          <w:sz w:val="26"/>
          <w:szCs w:val="26"/>
        </w:rPr>
      </w:pPr>
    </w:p>
    <w:p w:rsidR="009304FE" w:rsidRPr="00496592" w:rsidRDefault="002E5FCA" w:rsidP="00E050C0">
      <w:pPr>
        <w:tabs>
          <w:tab w:val="left" w:pos="-720"/>
          <w:tab w:val="left" w:pos="0"/>
        </w:tabs>
        <w:suppressAutoHyphens/>
        <w:rPr>
          <w:sz w:val="26"/>
          <w:szCs w:val="26"/>
        </w:rPr>
      </w:pPr>
      <w:r w:rsidRPr="00496592">
        <w:rPr>
          <w:sz w:val="26"/>
          <w:szCs w:val="26"/>
        </w:rPr>
        <w:t>Philadelphia Gas Works</w:t>
      </w:r>
    </w:p>
    <w:p w:rsidR="009304FE" w:rsidRPr="00496592" w:rsidRDefault="009304FE" w:rsidP="009304FE">
      <w:pPr>
        <w:rPr>
          <w:sz w:val="26"/>
          <w:szCs w:val="26"/>
        </w:rPr>
      </w:pPr>
    </w:p>
    <w:p w:rsidR="009304FE" w:rsidRPr="00496592" w:rsidRDefault="009304FE" w:rsidP="009304FE">
      <w:pPr>
        <w:tabs>
          <w:tab w:val="left" w:pos="-720"/>
        </w:tabs>
        <w:suppressAutoHyphens/>
        <w:rPr>
          <w:sz w:val="26"/>
        </w:rPr>
      </w:pPr>
    </w:p>
    <w:p w:rsidR="009304FE" w:rsidRPr="00496592" w:rsidRDefault="009304FE" w:rsidP="009304FE">
      <w:pPr>
        <w:tabs>
          <w:tab w:val="center" w:pos="4680"/>
        </w:tabs>
        <w:suppressAutoHyphens/>
        <w:jc w:val="center"/>
        <w:rPr>
          <w:b/>
          <w:sz w:val="26"/>
        </w:rPr>
      </w:pPr>
      <w:r w:rsidRPr="00496592">
        <w:rPr>
          <w:b/>
          <w:sz w:val="26"/>
        </w:rPr>
        <w:t>OPINION AND ORDER</w:t>
      </w:r>
    </w:p>
    <w:p w:rsidR="00CA6BAF" w:rsidRPr="00496592" w:rsidRDefault="00CA6BAF" w:rsidP="009304FE">
      <w:pPr>
        <w:tabs>
          <w:tab w:val="left" w:pos="-720"/>
        </w:tabs>
        <w:suppressAutoHyphens/>
        <w:spacing w:line="360" w:lineRule="auto"/>
        <w:rPr>
          <w:b/>
          <w:sz w:val="26"/>
        </w:rPr>
      </w:pPr>
    </w:p>
    <w:p w:rsidR="009304FE" w:rsidRPr="00496592" w:rsidRDefault="009304FE" w:rsidP="009304FE">
      <w:pPr>
        <w:tabs>
          <w:tab w:val="left" w:pos="-720"/>
        </w:tabs>
        <w:suppressAutoHyphens/>
        <w:spacing w:line="360" w:lineRule="auto"/>
        <w:rPr>
          <w:sz w:val="26"/>
        </w:rPr>
      </w:pPr>
      <w:r w:rsidRPr="00496592">
        <w:rPr>
          <w:b/>
          <w:sz w:val="26"/>
        </w:rPr>
        <w:t>BY THE COMMISSION:</w:t>
      </w:r>
    </w:p>
    <w:p w:rsidR="009304FE" w:rsidRPr="00496592" w:rsidRDefault="009304FE" w:rsidP="009304FE">
      <w:pPr>
        <w:rPr>
          <w:sz w:val="26"/>
          <w:szCs w:val="26"/>
        </w:rPr>
      </w:pPr>
    </w:p>
    <w:p w:rsidR="0067105F" w:rsidRPr="00496592" w:rsidRDefault="00AE655A" w:rsidP="0019214E">
      <w:pPr>
        <w:spacing w:line="360" w:lineRule="auto"/>
        <w:rPr>
          <w:sz w:val="26"/>
          <w:szCs w:val="26"/>
        </w:rPr>
      </w:pPr>
      <w:r w:rsidRPr="00496592">
        <w:rPr>
          <w:sz w:val="26"/>
          <w:szCs w:val="26"/>
        </w:rPr>
        <w:tab/>
      </w:r>
      <w:r w:rsidRPr="00496592">
        <w:rPr>
          <w:sz w:val="26"/>
          <w:szCs w:val="26"/>
        </w:rPr>
        <w:tab/>
      </w:r>
      <w:r w:rsidR="009304FE" w:rsidRPr="00496592">
        <w:rPr>
          <w:sz w:val="26"/>
          <w:szCs w:val="26"/>
        </w:rPr>
        <w:t xml:space="preserve">Before the Pennsylvania Public Utility Commission (Commission) for consideration and disposition </w:t>
      </w:r>
      <w:r w:rsidR="00AA3F68" w:rsidRPr="00496592">
        <w:rPr>
          <w:sz w:val="26"/>
          <w:szCs w:val="26"/>
        </w:rPr>
        <w:t xml:space="preserve">is the Initial Decision (I.D.) of Administrative Law Judge (ALJ) </w:t>
      </w:r>
      <w:r w:rsidR="00545087" w:rsidRPr="00496592">
        <w:rPr>
          <w:sz w:val="26"/>
          <w:szCs w:val="26"/>
        </w:rPr>
        <w:t>Angela T. Jones</w:t>
      </w:r>
      <w:r w:rsidR="00AA3F68" w:rsidRPr="00496592">
        <w:rPr>
          <w:sz w:val="26"/>
          <w:szCs w:val="26"/>
        </w:rPr>
        <w:t xml:space="preserve">, issued on </w:t>
      </w:r>
      <w:r w:rsidR="00545087" w:rsidRPr="00496592">
        <w:rPr>
          <w:sz w:val="26"/>
          <w:szCs w:val="26"/>
        </w:rPr>
        <w:t>September 16, 2014</w:t>
      </w:r>
      <w:r w:rsidR="00A50430" w:rsidRPr="00496592">
        <w:rPr>
          <w:sz w:val="26"/>
          <w:szCs w:val="26"/>
        </w:rPr>
        <w:t>,</w:t>
      </w:r>
      <w:r w:rsidR="00B206E5" w:rsidRPr="00496592">
        <w:rPr>
          <w:sz w:val="26"/>
          <w:szCs w:val="26"/>
        </w:rPr>
        <w:t xml:space="preserve"> in the above-captioned proceeding.  </w:t>
      </w:r>
      <w:r w:rsidR="00700E59" w:rsidRPr="00496592">
        <w:rPr>
          <w:sz w:val="26"/>
          <w:szCs w:val="26"/>
        </w:rPr>
        <w:t xml:space="preserve">Exceptions have not been filed.  </w:t>
      </w:r>
      <w:r w:rsidR="00BE7433" w:rsidRPr="00496592">
        <w:rPr>
          <w:sz w:val="26"/>
          <w:szCs w:val="26"/>
        </w:rPr>
        <w:t xml:space="preserve">However, we </w:t>
      </w:r>
      <w:r w:rsidR="00545087" w:rsidRPr="00496592">
        <w:rPr>
          <w:sz w:val="26"/>
          <w:szCs w:val="26"/>
        </w:rPr>
        <w:t xml:space="preserve">have </w:t>
      </w:r>
      <w:r w:rsidR="00BE7433" w:rsidRPr="00496592">
        <w:rPr>
          <w:sz w:val="26"/>
          <w:szCs w:val="26"/>
        </w:rPr>
        <w:t xml:space="preserve">exercised our right to review </w:t>
      </w:r>
      <w:r w:rsidR="008B24E5" w:rsidRPr="00496592">
        <w:rPr>
          <w:sz w:val="26"/>
          <w:szCs w:val="26"/>
        </w:rPr>
        <w:t>the Initial Decision pursuant to Section 332(h) of the Public Utility Code (Code), 66 Pa. C.S. §</w:t>
      </w:r>
      <w:r w:rsidR="00356356" w:rsidRPr="00496592">
        <w:rPr>
          <w:sz w:val="26"/>
          <w:szCs w:val="26"/>
        </w:rPr>
        <w:t> </w:t>
      </w:r>
      <w:r w:rsidR="008B24E5" w:rsidRPr="00496592">
        <w:rPr>
          <w:sz w:val="26"/>
          <w:szCs w:val="26"/>
        </w:rPr>
        <w:t xml:space="preserve">332(h).  For the reasons stated below, we </w:t>
      </w:r>
      <w:r w:rsidR="009C1908" w:rsidRPr="00496592">
        <w:rPr>
          <w:sz w:val="26"/>
          <w:szCs w:val="26"/>
        </w:rPr>
        <w:t xml:space="preserve">shall </w:t>
      </w:r>
      <w:r w:rsidR="00306310" w:rsidRPr="00496592">
        <w:rPr>
          <w:sz w:val="26"/>
          <w:szCs w:val="26"/>
        </w:rPr>
        <w:t>modify the ALJ’s Initial Decision</w:t>
      </w:r>
      <w:r w:rsidR="00B239E0" w:rsidRPr="00496592">
        <w:rPr>
          <w:sz w:val="26"/>
          <w:szCs w:val="26"/>
        </w:rPr>
        <w:t xml:space="preserve"> and remand this matter, in part, to the Office of Administrative Law Judge</w:t>
      </w:r>
      <w:r w:rsidR="00243312">
        <w:rPr>
          <w:sz w:val="26"/>
          <w:szCs w:val="26"/>
        </w:rPr>
        <w:t xml:space="preserve"> (OALJ)</w:t>
      </w:r>
      <w:r w:rsidR="00B239E0" w:rsidRPr="00496592">
        <w:rPr>
          <w:sz w:val="26"/>
          <w:szCs w:val="26"/>
        </w:rPr>
        <w:t xml:space="preserve"> for disposition and/or further proceedings as may be necessary,</w:t>
      </w:r>
      <w:r w:rsidR="00356356" w:rsidRPr="00496592">
        <w:rPr>
          <w:sz w:val="26"/>
          <w:szCs w:val="26"/>
        </w:rPr>
        <w:t xml:space="preserve"> </w:t>
      </w:r>
      <w:r w:rsidR="005C1345" w:rsidRPr="00496592">
        <w:rPr>
          <w:sz w:val="26"/>
          <w:szCs w:val="26"/>
        </w:rPr>
        <w:t>consisten</w:t>
      </w:r>
      <w:r w:rsidR="00356356" w:rsidRPr="00496592">
        <w:rPr>
          <w:sz w:val="26"/>
          <w:szCs w:val="26"/>
        </w:rPr>
        <w:t>t with this Opinion and Order.</w:t>
      </w:r>
    </w:p>
    <w:p w:rsidR="009304FE" w:rsidRPr="00496592" w:rsidRDefault="00F55BED" w:rsidP="00356356">
      <w:pPr>
        <w:keepNext/>
        <w:spacing w:line="360" w:lineRule="auto"/>
        <w:jc w:val="center"/>
        <w:rPr>
          <w:b/>
          <w:sz w:val="26"/>
          <w:szCs w:val="26"/>
        </w:rPr>
      </w:pPr>
      <w:r w:rsidRPr="00496592">
        <w:rPr>
          <w:b/>
          <w:sz w:val="26"/>
          <w:szCs w:val="26"/>
        </w:rPr>
        <w:lastRenderedPageBreak/>
        <w:t>History of the Proceeding</w:t>
      </w:r>
    </w:p>
    <w:p w:rsidR="00B32735" w:rsidRPr="00496592" w:rsidRDefault="00B32735" w:rsidP="00356356">
      <w:pPr>
        <w:keepNext/>
        <w:spacing w:line="360" w:lineRule="auto"/>
        <w:jc w:val="center"/>
        <w:rPr>
          <w:b/>
          <w:sz w:val="26"/>
          <w:szCs w:val="26"/>
        </w:rPr>
      </w:pPr>
    </w:p>
    <w:p w:rsidR="00545087" w:rsidRPr="00496592" w:rsidRDefault="00545087" w:rsidP="00653FDD">
      <w:pPr>
        <w:spacing w:line="360" w:lineRule="auto"/>
        <w:ind w:firstLine="1440"/>
        <w:rPr>
          <w:sz w:val="26"/>
        </w:rPr>
      </w:pPr>
      <w:r w:rsidRPr="00496592">
        <w:rPr>
          <w:sz w:val="26"/>
        </w:rPr>
        <w:t>On October 15, 2013</w:t>
      </w:r>
      <w:r w:rsidR="00912D1D">
        <w:rPr>
          <w:sz w:val="26"/>
        </w:rPr>
        <w:t>,</w:t>
      </w:r>
      <w:r w:rsidRPr="00496592">
        <w:rPr>
          <w:sz w:val="26"/>
        </w:rPr>
        <w:t xml:space="preserve"> Kevin Washington (Complainant) filed a Formal Complaint (Complaint) against Philadelphia G</w:t>
      </w:r>
      <w:r w:rsidR="00CA6EB9" w:rsidRPr="00496592">
        <w:rPr>
          <w:sz w:val="26"/>
        </w:rPr>
        <w:t xml:space="preserve">as Works (PGW), alleging, </w:t>
      </w:r>
      <w:r w:rsidR="00CA6EB9" w:rsidRPr="00496592">
        <w:rPr>
          <w:i/>
          <w:sz w:val="26"/>
        </w:rPr>
        <w:t>inter alia</w:t>
      </w:r>
      <w:r w:rsidR="00CA6EB9" w:rsidRPr="00496592">
        <w:rPr>
          <w:sz w:val="26"/>
        </w:rPr>
        <w:t>, that PGW failed to reinstate his April 15, 2013 Company</w:t>
      </w:r>
      <w:r w:rsidR="00F65898">
        <w:rPr>
          <w:sz w:val="26"/>
        </w:rPr>
        <w:t>-</w:t>
      </w:r>
      <w:r w:rsidR="00CA6EB9" w:rsidRPr="00496592">
        <w:rPr>
          <w:sz w:val="26"/>
        </w:rPr>
        <w:t>issued payment arrangement after he made a $700 payment as directed,</w:t>
      </w:r>
      <w:r w:rsidR="00510C1C" w:rsidRPr="00496592">
        <w:rPr>
          <w:sz w:val="26"/>
        </w:rPr>
        <w:t xml:space="preserve"> and instead terminated his gas service.  The Complainant argued that he was never told to call PGW to have his payment arrangement reinstated after making th</w:t>
      </w:r>
      <w:r w:rsidR="0096325E">
        <w:rPr>
          <w:sz w:val="26"/>
        </w:rPr>
        <w:t>is</w:t>
      </w:r>
      <w:r w:rsidR="00510C1C" w:rsidRPr="00496592">
        <w:rPr>
          <w:sz w:val="26"/>
        </w:rPr>
        <w:t xml:space="preserve"> $700 payment.  As relief, the Complainant requested that the Commission direct PGW to restore his gas service and reinstate his payment arrangement.  </w:t>
      </w:r>
      <w:r w:rsidR="002D02BC" w:rsidRPr="00496592">
        <w:rPr>
          <w:sz w:val="26"/>
        </w:rPr>
        <w:t xml:space="preserve">Additionally, the Complainant requested that PGW be held responsible and accountable for its operational errors.  </w:t>
      </w:r>
      <w:proofErr w:type="gramStart"/>
      <w:r w:rsidR="00510C1C" w:rsidRPr="00496592">
        <w:rPr>
          <w:sz w:val="26"/>
        </w:rPr>
        <w:t>Complaint at ¶4.</w:t>
      </w:r>
      <w:proofErr w:type="gramEnd"/>
    </w:p>
    <w:p w:rsidR="00510C1C" w:rsidRPr="00496592" w:rsidRDefault="00510C1C" w:rsidP="00653FDD">
      <w:pPr>
        <w:spacing w:line="360" w:lineRule="auto"/>
        <w:ind w:firstLine="1440"/>
        <w:rPr>
          <w:sz w:val="26"/>
        </w:rPr>
      </w:pPr>
    </w:p>
    <w:p w:rsidR="00606C89" w:rsidRPr="00496592" w:rsidRDefault="00510C1C" w:rsidP="00606C89">
      <w:pPr>
        <w:spacing w:line="360" w:lineRule="auto"/>
        <w:ind w:firstLine="1440"/>
        <w:rPr>
          <w:sz w:val="26"/>
          <w:szCs w:val="26"/>
        </w:rPr>
      </w:pPr>
      <w:r w:rsidRPr="00496592">
        <w:rPr>
          <w:sz w:val="26"/>
        </w:rPr>
        <w:t>On November 6, 2013, PGW filed an Answer addressing the material allegations</w:t>
      </w:r>
      <w:r w:rsidR="006F5B3E">
        <w:rPr>
          <w:sz w:val="26"/>
        </w:rPr>
        <w:t xml:space="preserve"> of</w:t>
      </w:r>
      <w:r w:rsidRPr="00496592">
        <w:rPr>
          <w:sz w:val="26"/>
        </w:rPr>
        <w:t xml:space="preserve"> the Complaint.  PGW admitted that it issued a notice to shut off gas service at the Complainant’s Service Address</w:t>
      </w:r>
      <w:r w:rsidR="00606C89" w:rsidRPr="00496592">
        <w:rPr>
          <w:sz w:val="26"/>
          <w:szCs w:val="26"/>
        </w:rPr>
        <w:t xml:space="preserve">, to be performed on or up to </w:t>
      </w:r>
      <w:r w:rsidR="00A47E4B" w:rsidRPr="00496592">
        <w:rPr>
          <w:sz w:val="26"/>
          <w:szCs w:val="26"/>
        </w:rPr>
        <w:t>sixty</w:t>
      </w:r>
      <w:r w:rsidR="00606C89" w:rsidRPr="00496592">
        <w:rPr>
          <w:sz w:val="26"/>
          <w:szCs w:val="26"/>
        </w:rPr>
        <w:t xml:space="preserve"> days after July</w:t>
      </w:r>
      <w:r w:rsidR="008E315E">
        <w:rPr>
          <w:sz w:val="26"/>
          <w:szCs w:val="26"/>
        </w:rPr>
        <w:t> </w:t>
      </w:r>
      <w:r w:rsidR="00606C89" w:rsidRPr="00496592">
        <w:rPr>
          <w:sz w:val="26"/>
          <w:szCs w:val="26"/>
        </w:rPr>
        <w:t>29, 2013.  PGW ad</w:t>
      </w:r>
      <w:r w:rsidR="00A47E4B" w:rsidRPr="00496592">
        <w:rPr>
          <w:sz w:val="26"/>
          <w:szCs w:val="26"/>
        </w:rPr>
        <w:t>mitted that a payment of $700</w:t>
      </w:r>
      <w:r w:rsidR="00606C89" w:rsidRPr="00496592">
        <w:rPr>
          <w:sz w:val="26"/>
          <w:szCs w:val="26"/>
        </w:rPr>
        <w:t xml:space="preserve"> was posted to the Complainant’s account on July 26, 2013.  PGW admitted that Complainant’s gas service was terminated on August 14, 2013.  </w:t>
      </w:r>
      <w:r w:rsidR="00A47E4B" w:rsidRPr="00496592">
        <w:rPr>
          <w:sz w:val="26"/>
          <w:szCs w:val="26"/>
        </w:rPr>
        <w:t>Additionally, PGW asserted</w:t>
      </w:r>
      <w:r w:rsidR="00606C89" w:rsidRPr="00496592">
        <w:rPr>
          <w:sz w:val="26"/>
          <w:szCs w:val="26"/>
        </w:rPr>
        <w:t xml:space="preserve"> that Complainant had </w:t>
      </w:r>
      <w:r w:rsidR="00A47E4B" w:rsidRPr="00496592">
        <w:rPr>
          <w:sz w:val="26"/>
          <w:szCs w:val="26"/>
        </w:rPr>
        <w:t>twenty-seven</w:t>
      </w:r>
      <w:r w:rsidR="00606C89" w:rsidRPr="00496592">
        <w:rPr>
          <w:sz w:val="26"/>
          <w:szCs w:val="26"/>
        </w:rPr>
        <w:t xml:space="preserve"> broken payment agreements on his account.  </w:t>
      </w:r>
      <w:r w:rsidR="007D6847" w:rsidRPr="00496592">
        <w:rPr>
          <w:sz w:val="26"/>
          <w:szCs w:val="26"/>
        </w:rPr>
        <w:t xml:space="preserve">PGW </w:t>
      </w:r>
      <w:r w:rsidR="00606C89" w:rsidRPr="00496592">
        <w:rPr>
          <w:sz w:val="26"/>
          <w:szCs w:val="26"/>
        </w:rPr>
        <w:t xml:space="preserve">stated that it required the full account balance of $2,588.94, plus </w:t>
      </w:r>
      <w:r w:rsidR="0096325E">
        <w:rPr>
          <w:sz w:val="26"/>
          <w:szCs w:val="26"/>
        </w:rPr>
        <w:t xml:space="preserve">a </w:t>
      </w:r>
      <w:r w:rsidR="00606C89" w:rsidRPr="00496592">
        <w:rPr>
          <w:sz w:val="26"/>
          <w:szCs w:val="26"/>
        </w:rPr>
        <w:t>$123.23 reconnection fee,</w:t>
      </w:r>
      <w:r w:rsidR="00606C89" w:rsidRPr="00496592">
        <w:rPr>
          <w:rStyle w:val="FootnoteReference"/>
        </w:rPr>
        <w:footnoteReference w:id="1"/>
      </w:r>
      <w:r w:rsidR="00606C89" w:rsidRPr="00496592">
        <w:rPr>
          <w:sz w:val="26"/>
          <w:szCs w:val="26"/>
        </w:rPr>
        <w:t xml:space="preserve"> plus </w:t>
      </w:r>
      <w:r w:rsidR="008E315E">
        <w:rPr>
          <w:sz w:val="26"/>
          <w:szCs w:val="26"/>
        </w:rPr>
        <w:t xml:space="preserve">one </w:t>
      </w:r>
      <w:r w:rsidR="00606C89" w:rsidRPr="00496592">
        <w:rPr>
          <w:sz w:val="26"/>
          <w:szCs w:val="26"/>
        </w:rPr>
        <w:t xml:space="preserve">half </w:t>
      </w:r>
      <w:r w:rsidR="007D6847" w:rsidRPr="00496592">
        <w:rPr>
          <w:sz w:val="26"/>
          <w:szCs w:val="26"/>
        </w:rPr>
        <w:t xml:space="preserve">of a </w:t>
      </w:r>
      <w:r w:rsidR="00606C89" w:rsidRPr="00496592">
        <w:rPr>
          <w:sz w:val="26"/>
          <w:szCs w:val="26"/>
        </w:rPr>
        <w:t>security deposit</w:t>
      </w:r>
      <w:r w:rsidR="007D6847" w:rsidRPr="00496592">
        <w:rPr>
          <w:sz w:val="26"/>
          <w:szCs w:val="26"/>
        </w:rPr>
        <w:t>,</w:t>
      </w:r>
      <w:r w:rsidR="00606C89" w:rsidRPr="00496592">
        <w:rPr>
          <w:sz w:val="26"/>
          <w:szCs w:val="26"/>
        </w:rPr>
        <w:t xml:space="preserve"> or $117.00</w:t>
      </w:r>
      <w:r w:rsidR="007D6847" w:rsidRPr="00496592">
        <w:rPr>
          <w:sz w:val="26"/>
          <w:szCs w:val="26"/>
        </w:rPr>
        <w:t>,</w:t>
      </w:r>
      <w:r w:rsidR="00606C89" w:rsidRPr="00496592">
        <w:rPr>
          <w:rStyle w:val="FootnoteReference"/>
        </w:rPr>
        <w:footnoteReference w:id="2"/>
      </w:r>
      <w:r w:rsidR="00606C89" w:rsidRPr="00496592">
        <w:rPr>
          <w:sz w:val="26"/>
          <w:szCs w:val="26"/>
        </w:rPr>
        <w:t xml:space="preserve"> for the first month</w:t>
      </w:r>
      <w:r w:rsidR="0096325E">
        <w:rPr>
          <w:sz w:val="26"/>
          <w:szCs w:val="26"/>
        </w:rPr>
        <w:t>,</w:t>
      </w:r>
      <w:r w:rsidR="00606C89" w:rsidRPr="00496592">
        <w:rPr>
          <w:sz w:val="26"/>
          <w:szCs w:val="26"/>
        </w:rPr>
        <w:t xml:space="preserve"> </w:t>
      </w:r>
      <w:r w:rsidR="0096325E">
        <w:rPr>
          <w:sz w:val="26"/>
          <w:szCs w:val="26"/>
        </w:rPr>
        <w:t>for a total of</w:t>
      </w:r>
      <w:r w:rsidR="00606C89" w:rsidRPr="00496592">
        <w:rPr>
          <w:sz w:val="26"/>
          <w:szCs w:val="26"/>
        </w:rPr>
        <w:t xml:space="preserve"> $2,829.17 to restore service.  </w:t>
      </w:r>
      <w:r w:rsidR="007D6847" w:rsidRPr="00496592">
        <w:rPr>
          <w:sz w:val="26"/>
          <w:szCs w:val="26"/>
        </w:rPr>
        <w:t>PGW noted that b</w:t>
      </w:r>
      <w:r w:rsidR="00606C89" w:rsidRPr="00496592">
        <w:rPr>
          <w:sz w:val="26"/>
          <w:szCs w:val="26"/>
        </w:rPr>
        <w:t>y decision dated September 5, 2013, the Commission’s Bureau of Consumer Services (BCS) found that the Complainant had to pay $2,826.14 for service to be restored.</w:t>
      </w:r>
      <w:r w:rsidR="00AA39D0" w:rsidRPr="00496592">
        <w:rPr>
          <w:sz w:val="26"/>
          <w:szCs w:val="26"/>
        </w:rPr>
        <w:t xml:space="preserve">  PGW requested that the Commission dismiss the Complaint.</w:t>
      </w:r>
      <w:r w:rsidR="002D02BC" w:rsidRPr="00496592">
        <w:rPr>
          <w:sz w:val="26"/>
          <w:szCs w:val="26"/>
        </w:rPr>
        <w:t xml:space="preserve">  </w:t>
      </w:r>
      <w:proofErr w:type="gramStart"/>
      <w:r w:rsidR="002D02BC" w:rsidRPr="00496592">
        <w:rPr>
          <w:sz w:val="26"/>
          <w:szCs w:val="26"/>
        </w:rPr>
        <w:t>Answer at 2-3.</w:t>
      </w:r>
      <w:proofErr w:type="gramEnd"/>
    </w:p>
    <w:p w:rsidR="002D02BC" w:rsidRPr="00496592" w:rsidRDefault="002D02BC" w:rsidP="00606C89">
      <w:pPr>
        <w:spacing w:line="360" w:lineRule="auto"/>
        <w:ind w:firstLine="1440"/>
      </w:pPr>
    </w:p>
    <w:p w:rsidR="00606C89" w:rsidRPr="00496592" w:rsidRDefault="00606C89" w:rsidP="00606C89">
      <w:pPr>
        <w:spacing w:line="360" w:lineRule="auto"/>
        <w:ind w:firstLine="1440"/>
        <w:rPr>
          <w:sz w:val="26"/>
          <w:szCs w:val="26"/>
        </w:rPr>
      </w:pPr>
      <w:r w:rsidRPr="00496592">
        <w:rPr>
          <w:sz w:val="26"/>
          <w:szCs w:val="26"/>
        </w:rPr>
        <w:t xml:space="preserve">By letter dated November 14, 2013, </w:t>
      </w:r>
      <w:r w:rsidR="00AA39D0" w:rsidRPr="00496592">
        <w:rPr>
          <w:sz w:val="26"/>
          <w:szCs w:val="26"/>
        </w:rPr>
        <w:t>PGW</w:t>
      </w:r>
      <w:r w:rsidRPr="00496592">
        <w:rPr>
          <w:sz w:val="26"/>
          <w:szCs w:val="26"/>
        </w:rPr>
        <w:t xml:space="preserve"> </w:t>
      </w:r>
      <w:r w:rsidR="00AA39D0" w:rsidRPr="00496592">
        <w:rPr>
          <w:sz w:val="26"/>
          <w:szCs w:val="26"/>
        </w:rPr>
        <w:t>averr</w:t>
      </w:r>
      <w:r w:rsidRPr="00496592">
        <w:rPr>
          <w:sz w:val="26"/>
          <w:szCs w:val="26"/>
        </w:rPr>
        <w:t xml:space="preserve">ed that </w:t>
      </w:r>
      <w:r w:rsidR="00AA39D0" w:rsidRPr="00496592">
        <w:rPr>
          <w:sz w:val="26"/>
          <w:szCs w:val="26"/>
        </w:rPr>
        <w:t>it reached</w:t>
      </w:r>
      <w:r w:rsidR="002865F5">
        <w:rPr>
          <w:sz w:val="26"/>
          <w:szCs w:val="26"/>
        </w:rPr>
        <w:t xml:space="preserve"> a</w:t>
      </w:r>
      <w:r w:rsidR="00AA39D0" w:rsidRPr="00496592">
        <w:rPr>
          <w:sz w:val="26"/>
          <w:szCs w:val="26"/>
        </w:rPr>
        <w:t xml:space="preserve"> settlement with the Complainant and that </w:t>
      </w:r>
      <w:r w:rsidRPr="00496592">
        <w:rPr>
          <w:sz w:val="26"/>
          <w:szCs w:val="26"/>
        </w:rPr>
        <w:t>the Complaint was satisfied pursuant to</w:t>
      </w:r>
      <w:r w:rsidR="00AA39D0" w:rsidRPr="00496592">
        <w:rPr>
          <w:sz w:val="26"/>
          <w:szCs w:val="26"/>
        </w:rPr>
        <w:t xml:space="preserve"> our regulations at </w:t>
      </w:r>
      <w:r w:rsidRPr="00496592">
        <w:rPr>
          <w:sz w:val="26"/>
          <w:szCs w:val="26"/>
        </w:rPr>
        <w:t>52 Pa.</w:t>
      </w:r>
      <w:r w:rsidR="00AA39D0" w:rsidRPr="00496592">
        <w:rPr>
          <w:sz w:val="26"/>
          <w:szCs w:val="26"/>
        </w:rPr>
        <w:t xml:space="preserve"> </w:t>
      </w:r>
      <w:r w:rsidRPr="00496592">
        <w:rPr>
          <w:sz w:val="26"/>
          <w:szCs w:val="26"/>
        </w:rPr>
        <w:t xml:space="preserve">Code §5.24(b).  </w:t>
      </w:r>
      <w:r w:rsidR="00AA39D0" w:rsidRPr="00496592">
        <w:rPr>
          <w:sz w:val="26"/>
          <w:szCs w:val="26"/>
        </w:rPr>
        <w:t>PGW stated</w:t>
      </w:r>
      <w:r w:rsidRPr="00496592">
        <w:rPr>
          <w:sz w:val="26"/>
          <w:szCs w:val="26"/>
        </w:rPr>
        <w:t xml:space="preserve"> </w:t>
      </w:r>
      <w:r w:rsidR="00AA39D0" w:rsidRPr="00496592">
        <w:rPr>
          <w:sz w:val="26"/>
          <w:szCs w:val="26"/>
        </w:rPr>
        <w:t>that no</w:t>
      </w:r>
      <w:r w:rsidRPr="00496592">
        <w:rPr>
          <w:sz w:val="26"/>
          <w:szCs w:val="26"/>
        </w:rPr>
        <w:t xml:space="preserve"> further Commission action </w:t>
      </w:r>
      <w:r w:rsidR="00AA39D0" w:rsidRPr="00496592">
        <w:rPr>
          <w:sz w:val="26"/>
          <w:szCs w:val="26"/>
        </w:rPr>
        <w:t xml:space="preserve">was </w:t>
      </w:r>
      <w:r w:rsidRPr="00496592">
        <w:rPr>
          <w:sz w:val="26"/>
          <w:szCs w:val="26"/>
        </w:rPr>
        <w:t xml:space="preserve">necessary for this Complaint.  </w:t>
      </w:r>
    </w:p>
    <w:p w:rsidR="00606C89" w:rsidRPr="00496592" w:rsidRDefault="00606C89" w:rsidP="00606C89">
      <w:pPr>
        <w:spacing w:line="360" w:lineRule="auto"/>
        <w:ind w:firstLine="1440"/>
        <w:rPr>
          <w:sz w:val="26"/>
          <w:szCs w:val="26"/>
        </w:rPr>
      </w:pPr>
    </w:p>
    <w:p w:rsidR="00606C89" w:rsidRPr="00496592" w:rsidRDefault="00AA39D0" w:rsidP="00606C89">
      <w:pPr>
        <w:spacing w:line="360" w:lineRule="auto"/>
        <w:ind w:firstLine="1440"/>
        <w:rPr>
          <w:sz w:val="26"/>
          <w:szCs w:val="26"/>
        </w:rPr>
      </w:pPr>
      <w:r w:rsidRPr="00496592">
        <w:rPr>
          <w:sz w:val="26"/>
          <w:szCs w:val="26"/>
        </w:rPr>
        <w:t>On</w:t>
      </w:r>
      <w:r w:rsidR="00606C89" w:rsidRPr="00496592">
        <w:rPr>
          <w:sz w:val="26"/>
          <w:szCs w:val="26"/>
        </w:rPr>
        <w:t xml:space="preserve"> January 8, 2014, </w:t>
      </w:r>
      <w:r w:rsidRPr="00496592">
        <w:rPr>
          <w:sz w:val="26"/>
          <w:szCs w:val="26"/>
        </w:rPr>
        <w:t xml:space="preserve">the </w:t>
      </w:r>
      <w:r w:rsidR="00606C89" w:rsidRPr="00496592">
        <w:rPr>
          <w:sz w:val="26"/>
          <w:szCs w:val="26"/>
        </w:rPr>
        <w:t xml:space="preserve">Complainant </w:t>
      </w:r>
      <w:r w:rsidRPr="00496592">
        <w:rPr>
          <w:sz w:val="26"/>
          <w:szCs w:val="26"/>
        </w:rPr>
        <w:t>filed correspondence asserting that</w:t>
      </w:r>
      <w:r w:rsidR="00606C89" w:rsidRPr="00496592">
        <w:rPr>
          <w:sz w:val="26"/>
          <w:szCs w:val="26"/>
        </w:rPr>
        <w:t xml:space="preserve"> he never received anything in writing to </w:t>
      </w:r>
      <w:r w:rsidRPr="00496592">
        <w:rPr>
          <w:sz w:val="26"/>
          <w:szCs w:val="26"/>
        </w:rPr>
        <w:t>settle his</w:t>
      </w:r>
      <w:r w:rsidR="00606C89" w:rsidRPr="00496592">
        <w:rPr>
          <w:sz w:val="26"/>
          <w:szCs w:val="26"/>
        </w:rPr>
        <w:t xml:space="preserve"> Complaint.  </w:t>
      </w:r>
      <w:r w:rsidRPr="00496592">
        <w:rPr>
          <w:sz w:val="26"/>
          <w:szCs w:val="26"/>
        </w:rPr>
        <w:t xml:space="preserve">The </w:t>
      </w:r>
      <w:r w:rsidR="00606C89" w:rsidRPr="00496592">
        <w:rPr>
          <w:sz w:val="26"/>
          <w:szCs w:val="26"/>
        </w:rPr>
        <w:t xml:space="preserve">Complainant stated he has been without gas service since July 2013, and requested that the Commission reopen his case and schedule a hearing expeditiously.  </w:t>
      </w:r>
    </w:p>
    <w:p w:rsidR="00606C89" w:rsidRPr="00496592" w:rsidRDefault="00606C89" w:rsidP="00606C89">
      <w:pPr>
        <w:spacing w:line="360" w:lineRule="auto"/>
        <w:ind w:firstLine="1440"/>
        <w:rPr>
          <w:sz w:val="26"/>
          <w:szCs w:val="26"/>
        </w:rPr>
      </w:pPr>
    </w:p>
    <w:p w:rsidR="00606C89" w:rsidRPr="00496592" w:rsidRDefault="00606C89" w:rsidP="00606C89">
      <w:pPr>
        <w:spacing w:line="360" w:lineRule="auto"/>
        <w:ind w:firstLine="1440"/>
        <w:rPr>
          <w:sz w:val="26"/>
          <w:szCs w:val="26"/>
        </w:rPr>
      </w:pPr>
      <w:r w:rsidRPr="00496592">
        <w:rPr>
          <w:sz w:val="26"/>
          <w:szCs w:val="26"/>
        </w:rPr>
        <w:t xml:space="preserve">By Secretarial letter dated January 14, 2014, the </w:t>
      </w:r>
      <w:r w:rsidR="002D02BC" w:rsidRPr="00496592">
        <w:rPr>
          <w:sz w:val="26"/>
          <w:szCs w:val="26"/>
        </w:rPr>
        <w:t>Commission’s Secretary noted that PGW had</w:t>
      </w:r>
      <w:r w:rsidRPr="00496592">
        <w:rPr>
          <w:sz w:val="26"/>
          <w:szCs w:val="26"/>
        </w:rPr>
        <w:t xml:space="preserve"> filed</w:t>
      </w:r>
      <w:r w:rsidR="002D02BC" w:rsidRPr="00496592">
        <w:rPr>
          <w:sz w:val="26"/>
          <w:szCs w:val="26"/>
        </w:rPr>
        <w:t xml:space="preserve"> a certificate of satisfaction</w:t>
      </w:r>
      <w:r w:rsidRPr="00496592">
        <w:rPr>
          <w:sz w:val="26"/>
          <w:szCs w:val="26"/>
        </w:rPr>
        <w:t xml:space="preserve"> with the Commission regarding this Complaint.  The Secretary also noted that the Complainant did not file an objection to the </w:t>
      </w:r>
      <w:r w:rsidR="002D02BC" w:rsidRPr="00496592">
        <w:rPr>
          <w:sz w:val="26"/>
          <w:szCs w:val="26"/>
        </w:rPr>
        <w:t>certificate of satisfaction</w:t>
      </w:r>
      <w:r w:rsidRPr="00496592">
        <w:rPr>
          <w:sz w:val="26"/>
          <w:szCs w:val="26"/>
        </w:rPr>
        <w:t xml:space="preserve"> within </w:t>
      </w:r>
      <w:r w:rsidR="00BB5F47">
        <w:rPr>
          <w:sz w:val="26"/>
          <w:szCs w:val="26"/>
        </w:rPr>
        <w:t>ten</w:t>
      </w:r>
      <w:r w:rsidRPr="00496592">
        <w:rPr>
          <w:sz w:val="26"/>
          <w:szCs w:val="26"/>
        </w:rPr>
        <w:t xml:space="preserve"> days.  However, the </w:t>
      </w:r>
      <w:r w:rsidR="002D02BC" w:rsidRPr="00496592">
        <w:rPr>
          <w:sz w:val="26"/>
          <w:szCs w:val="26"/>
        </w:rPr>
        <w:t>certificate of satisfaction</w:t>
      </w:r>
      <w:r w:rsidRPr="00496592">
        <w:rPr>
          <w:sz w:val="26"/>
          <w:szCs w:val="26"/>
        </w:rPr>
        <w:t xml:space="preserve"> indicated that a copy was sent to “Kevin Young” rather than the Complainant, Kevin Washington.  The Secretary found that the Complainant never had an opportunity to object to the filing of the </w:t>
      </w:r>
      <w:r w:rsidR="002D02BC" w:rsidRPr="00496592">
        <w:rPr>
          <w:sz w:val="26"/>
          <w:szCs w:val="26"/>
        </w:rPr>
        <w:t>certificate of satisfaction</w:t>
      </w:r>
      <w:r w:rsidRPr="00496592">
        <w:rPr>
          <w:sz w:val="26"/>
          <w:szCs w:val="26"/>
        </w:rPr>
        <w:t xml:space="preserve"> because of the error in service of the certificate.  </w:t>
      </w:r>
      <w:r w:rsidR="002D02BC" w:rsidRPr="00496592">
        <w:rPr>
          <w:sz w:val="26"/>
          <w:szCs w:val="26"/>
        </w:rPr>
        <w:t>Because PGW erred in serving this certificate</w:t>
      </w:r>
      <w:r w:rsidRPr="00496592">
        <w:rPr>
          <w:sz w:val="26"/>
          <w:szCs w:val="26"/>
        </w:rPr>
        <w:t xml:space="preserve">, the Secretary granted the Complainant’s request to reopen the Complaint.   </w:t>
      </w:r>
    </w:p>
    <w:p w:rsidR="00AA39D0" w:rsidRPr="00496592" w:rsidRDefault="00AA39D0" w:rsidP="00606C89">
      <w:pPr>
        <w:spacing w:line="360" w:lineRule="auto"/>
        <w:ind w:firstLine="1440"/>
        <w:rPr>
          <w:sz w:val="26"/>
          <w:szCs w:val="26"/>
        </w:rPr>
      </w:pPr>
    </w:p>
    <w:p w:rsidR="00606C89" w:rsidRPr="00496592" w:rsidRDefault="00606C89" w:rsidP="00653FDD">
      <w:pPr>
        <w:spacing w:line="360" w:lineRule="auto"/>
        <w:ind w:firstLine="1440"/>
        <w:rPr>
          <w:sz w:val="26"/>
        </w:rPr>
      </w:pPr>
      <w:r w:rsidRPr="00496592">
        <w:rPr>
          <w:sz w:val="26"/>
        </w:rPr>
        <w:t xml:space="preserve">On March 13, 2014, a hearing was held in this matter.  The Complainant </w:t>
      </w:r>
      <w:proofErr w:type="gramStart"/>
      <w:r w:rsidRPr="00496592">
        <w:rPr>
          <w:sz w:val="26"/>
        </w:rPr>
        <w:t>appeared</w:t>
      </w:r>
      <w:r w:rsidR="00384C7C" w:rsidRPr="00496592">
        <w:rPr>
          <w:sz w:val="26"/>
        </w:rPr>
        <w:t>,</w:t>
      </w:r>
      <w:proofErr w:type="gramEnd"/>
      <w:r w:rsidR="00384C7C" w:rsidRPr="00496592">
        <w:rPr>
          <w:sz w:val="26"/>
        </w:rPr>
        <w:t xml:space="preserve"> </w:t>
      </w:r>
      <w:r w:rsidR="00384C7C" w:rsidRPr="00496592">
        <w:rPr>
          <w:i/>
          <w:sz w:val="26"/>
        </w:rPr>
        <w:t>pro</w:t>
      </w:r>
      <w:r w:rsidRPr="00496592">
        <w:rPr>
          <w:i/>
          <w:sz w:val="26"/>
        </w:rPr>
        <w:t xml:space="preserve"> se</w:t>
      </w:r>
      <w:r w:rsidRPr="00496592">
        <w:rPr>
          <w:sz w:val="26"/>
        </w:rPr>
        <w:t>, testified on his</w:t>
      </w:r>
      <w:r w:rsidR="00BB5F47">
        <w:rPr>
          <w:sz w:val="26"/>
        </w:rPr>
        <w:t xml:space="preserve"> own</w:t>
      </w:r>
      <w:r w:rsidRPr="00496592">
        <w:rPr>
          <w:sz w:val="26"/>
        </w:rPr>
        <w:t xml:space="preserve"> behalf, and submitted two exhibits which were admitted into the record.  PGW was represented by counsel, presented the testimony of one witness, and submitted seven </w:t>
      </w:r>
      <w:r w:rsidR="002D02BC" w:rsidRPr="00496592">
        <w:rPr>
          <w:sz w:val="26"/>
        </w:rPr>
        <w:t>exhibits</w:t>
      </w:r>
      <w:r w:rsidRPr="00496592">
        <w:rPr>
          <w:sz w:val="26"/>
        </w:rPr>
        <w:t>, all of which were admitted into the record.  The hearing resulted in a transcript of 143 pages and the record closed on April 14, 2014</w:t>
      </w:r>
      <w:r w:rsidR="002D02BC" w:rsidRPr="00496592">
        <w:rPr>
          <w:sz w:val="26"/>
        </w:rPr>
        <w:t>.</w:t>
      </w:r>
      <w:r w:rsidRPr="00496592">
        <w:rPr>
          <w:sz w:val="26"/>
        </w:rPr>
        <w:t xml:space="preserve"> </w:t>
      </w:r>
    </w:p>
    <w:p w:rsidR="00545087" w:rsidRPr="00496592" w:rsidRDefault="00545087" w:rsidP="00653FDD">
      <w:pPr>
        <w:spacing w:line="360" w:lineRule="auto"/>
        <w:ind w:firstLine="1440"/>
        <w:rPr>
          <w:sz w:val="26"/>
        </w:rPr>
      </w:pPr>
    </w:p>
    <w:p w:rsidR="00BB09EF" w:rsidRPr="00496592" w:rsidRDefault="00BB09EF" w:rsidP="00653FDD">
      <w:pPr>
        <w:spacing w:line="360" w:lineRule="auto"/>
        <w:ind w:firstLine="1440"/>
        <w:rPr>
          <w:sz w:val="26"/>
        </w:rPr>
      </w:pPr>
      <w:r w:rsidRPr="00496592">
        <w:rPr>
          <w:sz w:val="26"/>
        </w:rPr>
        <w:t xml:space="preserve">In </w:t>
      </w:r>
      <w:r w:rsidR="00B84E4A" w:rsidRPr="00496592">
        <w:rPr>
          <w:sz w:val="26"/>
        </w:rPr>
        <w:t>the</w:t>
      </w:r>
      <w:r w:rsidRPr="00496592">
        <w:rPr>
          <w:sz w:val="26"/>
        </w:rPr>
        <w:t xml:space="preserve"> Initial Decision, issued on </w:t>
      </w:r>
      <w:r w:rsidR="002D02BC" w:rsidRPr="00496592">
        <w:rPr>
          <w:sz w:val="26"/>
        </w:rPr>
        <w:t>September 16, 2014</w:t>
      </w:r>
      <w:r w:rsidRPr="00496592">
        <w:rPr>
          <w:sz w:val="26"/>
        </w:rPr>
        <w:t xml:space="preserve">, ALJ </w:t>
      </w:r>
      <w:r w:rsidR="002D02BC" w:rsidRPr="00496592">
        <w:rPr>
          <w:sz w:val="26"/>
        </w:rPr>
        <w:t>Jones</w:t>
      </w:r>
      <w:r w:rsidR="00B84E4A" w:rsidRPr="00496592">
        <w:rPr>
          <w:sz w:val="26"/>
        </w:rPr>
        <w:t xml:space="preserve"> </w:t>
      </w:r>
      <w:r w:rsidR="00B56942" w:rsidRPr="00496592">
        <w:rPr>
          <w:sz w:val="26"/>
        </w:rPr>
        <w:t>sustained</w:t>
      </w:r>
      <w:r w:rsidRPr="00496592">
        <w:rPr>
          <w:sz w:val="26"/>
        </w:rPr>
        <w:t xml:space="preserve"> the Complaint, in part, and denied it</w:t>
      </w:r>
      <w:r w:rsidR="00EA7B45" w:rsidRPr="00496592">
        <w:rPr>
          <w:sz w:val="26"/>
        </w:rPr>
        <w:t>,</w:t>
      </w:r>
      <w:r w:rsidRPr="00496592">
        <w:rPr>
          <w:sz w:val="26"/>
        </w:rPr>
        <w:t xml:space="preserve"> in part, finding that the Complainant did not </w:t>
      </w:r>
      <w:r w:rsidR="002D02BC" w:rsidRPr="00496592">
        <w:rPr>
          <w:sz w:val="26"/>
        </w:rPr>
        <w:t xml:space="preserve">meet </w:t>
      </w:r>
      <w:r w:rsidR="002D02BC" w:rsidRPr="00496592">
        <w:rPr>
          <w:sz w:val="26"/>
        </w:rPr>
        <w:lastRenderedPageBreak/>
        <w:t>his burden of proving that PGW should restore his gas service and reinstate his Company-issued payment arrangement</w:t>
      </w:r>
      <w:r w:rsidRPr="00496592">
        <w:rPr>
          <w:sz w:val="26"/>
        </w:rPr>
        <w:t xml:space="preserve">.  However, the ALJ </w:t>
      </w:r>
      <w:r w:rsidR="002D02BC" w:rsidRPr="00496592">
        <w:rPr>
          <w:sz w:val="26"/>
        </w:rPr>
        <w:t>sustain</w:t>
      </w:r>
      <w:r w:rsidRPr="00496592">
        <w:rPr>
          <w:sz w:val="26"/>
        </w:rPr>
        <w:t>ed the Complainant’s</w:t>
      </w:r>
      <w:r w:rsidR="002D02BC" w:rsidRPr="00496592">
        <w:rPr>
          <w:sz w:val="26"/>
        </w:rPr>
        <w:t xml:space="preserve"> allegations regarding PGW’s operational errors</w:t>
      </w:r>
      <w:r w:rsidRPr="00496592">
        <w:rPr>
          <w:sz w:val="26"/>
        </w:rPr>
        <w:t xml:space="preserve">.  </w:t>
      </w:r>
      <w:proofErr w:type="gramStart"/>
      <w:r w:rsidRPr="00496592">
        <w:rPr>
          <w:sz w:val="26"/>
        </w:rPr>
        <w:t>I.D. at</w:t>
      </w:r>
      <w:r w:rsidR="00EA7B45" w:rsidRPr="00496592">
        <w:rPr>
          <w:sz w:val="26"/>
        </w:rPr>
        <w:t> </w:t>
      </w:r>
      <w:r w:rsidRPr="00496592">
        <w:rPr>
          <w:sz w:val="26"/>
        </w:rPr>
        <w:t>2</w:t>
      </w:r>
      <w:r w:rsidR="002D02BC" w:rsidRPr="00496592">
        <w:rPr>
          <w:sz w:val="26"/>
        </w:rPr>
        <w:t>7</w:t>
      </w:r>
      <w:r w:rsidRPr="00496592">
        <w:rPr>
          <w:sz w:val="26"/>
        </w:rPr>
        <w:t>.</w:t>
      </w:r>
      <w:proofErr w:type="gramEnd"/>
    </w:p>
    <w:p w:rsidR="00E91337" w:rsidRPr="00496592" w:rsidRDefault="00E91337" w:rsidP="00653FDD">
      <w:pPr>
        <w:spacing w:line="360" w:lineRule="auto"/>
        <w:ind w:firstLine="1440"/>
        <w:rPr>
          <w:sz w:val="26"/>
        </w:rPr>
      </w:pPr>
    </w:p>
    <w:p w:rsidR="001A1AD3" w:rsidRPr="00496592" w:rsidRDefault="004419DA" w:rsidP="00791EEE">
      <w:pPr>
        <w:jc w:val="center"/>
        <w:rPr>
          <w:b/>
          <w:sz w:val="26"/>
          <w:szCs w:val="26"/>
        </w:rPr>
      </w:pPr>
      <w:r w:rsidRPr="00496592">
        <w:rPr>
          <w:b/>
          <w:sz w:val="26"/>
          <w:szCs w:val="26"/>
        </w:rPr>
        <w:t>Discussion</w:t>
      </w:r>
    </w:p>
    <w:p w:rsidR="00D5673B" w:rsidRDefault="00D5673B" w:rsidP="00BB5F47">
      <w:pPr>
        <w:spacing w:line="360" w:lineRule="auto"/>
        <w:rPr>
          <w:sz w:val="26"/>
          <w:szCs w:val="26"/>
        </w:rPr>
      </w:pPr>
    </w:p>
    <w:p w:rsidR="00BB5F47" w:rsidRPr="00BB5F47" w:rsidRDefault="00BB5F47" w:rsidP="00BB5F47">
      <w:pPr>
        <w:spacing w:line="360" w:lineRule="auto"/>
        <w:rPr>
          <w:b/>
          <w:sz w:val="26"/>
          <w:szCs w:val="26"/>
        </w:rPr>
      </w:pPr>
      <w:r w:rsidRPr="00BB5F47">
        <w:rPr>
          <w:b/>
          <w:sz w:val="26"/>
          <w:szCs w:val="26"/>
        </w:rPr>
        <w:t>Standard of Review</w:t>
      </w:r>
    </w:p>
    <w:p w:rsidR="00BB5F47" w:rsidRPr="00496592" w:rsidRDefault="00BB5F47" w:rsidP="00BB5F47">
      <w:pPr>
        <w:spacing w:line="360" w:lineRule="auto"/>
        <w:rPr>
          <w:sz w:val="26"/>
          <w:szCs w:val="26"/>
        </w:rPr>
      </w:pPr>
    </w:p>
    <w:p w:rsidR="00FB0336" w:rsidRPr="00496592" w:rsidRDefault="001448EA" w:rsidP="001448EA">
      <w:pPr>
        <w:spacing w:line="360" w:lineRule="auto"/>
        <w:ind w:firstLine="1440"/>
        <w:rPr>
          <w:rFonts w:ascii="Times New (W1)" w:hAnsi="Times New (W1)"/>
          <w:sz w:val="26"/>
        </w:rPr>
      </w:pPr>
      <w:r w:rsidRPr="00496592">
        <w:rPr>
          <w:rFonts w:ascii="Times New (W1)" w:hAnsi="Times New (W1)"/>
          <w:sz w:val="26"/>
          <w:szCs w:val="26"/>
        </w:rPr>
        <w:t>As the proponent of a rule or order, the Complainant in this proceeding bears the burden of proof pursuant to Section 332(a) of the Code</w:t>
      </w:r>
      <w:r w:rsidR="00BB5F47">
        <w:rPr>
          <w:rFonts w:ascii="Times New (W1)" w:hAnsi="Times New (W1)"/>
          <w:sz w:val="26"/>
          <w:szCs w:val="26"/>
        </w:rPr>
        <w:t>,</w:t>
      </w:r>
      <w:r w:rsidRPr="00496592">
        <w:rPr>
          <w:rFonts w:ascii="Times New (W1)" w:hAnsi="Times New (W1)"/>
          <w:sz w:val="26"/>
          <w:szCs w:val="26"/>
        </w:rPr>
        <w:t xml:space="preserve">  66 Pa. C.S. § 332(a).  To establish a sufficient case and satisfy the burden of proof, the Complainant must show that </w:t>
      </w:r>
      <w:r w:rsidR="003653F6" w:rsidRPr="00496592">
        <w:rPr>
          <w:rFonts w:ascii="Times New (W1)" w:hAnsi="Times New (W1)"/>
          <w:sz w:val="26"/>
          <w:szCs w:val="26"/>
        </w:rPr>
        <w:t>PGW</w:t>
      </w:r>
      <w:r w:rsidRPr="00496592">
        <w:rPr>
          <w:rFonts w:ascii="Times New (W1)" w:hAnsi="Times New (W1)"/>
          <w:sz w:val="26"/>
          <w:szCs w:val="26"/>
        </w:rPr>
        <w:t xml:space="preserve"> is responsible or accountable for the problem described in the Complaint.  </w:t>
      </w:r>
      <w:proofErr w:type="gramStart"/>
      <w:r w:rsidRPr="00496592">
        <w:rPr>
          <w:rFonts w:ascii="Times New (W1)" w:hAnsi="Times New (W1)"/>
          <w:i/>
          <w:sz w:val="26"/>
          <w:szCs w:val="26"/>
        </w:rPr>
        <w:t>Patterson v. Bell Telephone Company of Pennsylvania</w:t>
      </w:r>
      <w:r w:rsidRPr="00496592">
        <w:rPr>
          <w:rFonts w:ascii="Times New (W1)" w:hAnsi="Times New (W1)"/>
          <w:sz w:val="26"/>
          <w:szCs w:val="26"/>
        </w:rPr>
        <w:t>, 72 Pa. P.U.C. 196 (1990).</w:t>
      </w:r>
      <w:proofErr w:type="gramEnd"/>
      <w:r w:rsidRPr="00496592">
        <w:rPr>
          <w:rFonts w:ascii="Times New (W1)" w:hAnsi="Times New (W1)"/>
          <w:sz w:val="26"/>
          <w:szCs w:val="26"/>
        </w:rPr>
        <w:t xml:space="preserve">  Such a showing must be by a preponderance of the evidence.  </w:t>
      </w:r>
      <w:proofErr w:type="gramStart"/>
      <w:r w:rsidRPr="00496592">
        <w:rPr>
          <w:rFonts w:ascii="Times New (W1)" w:hAnsi="Times New (W1)"/>
          <w:i/>
          <w:iCs/>
          <w:sz w:val="26"/>
          <w:szCs w:val="26"/>
        </w:rPr>
        <w:t xml:space="preserve">Samuel J. </w:t>
      </w:r>
      <w:proofErr w:type="spellStart"/>
      <w:r w:rsidRPr="00496592">
        <w:rPr>
          <w:rFonts w:ascii="Times New (W1)" w:hAnsi="Times New (W1)"/>
          <w:i/>
          <w:iCs/>
          <w:sz w:val="26"/>
          <w:szCs w:val="26"/>
        </w:rPr>
        <w:t>Lansberry</w:t>
      </w:r>
      <w:proofErr w:type="spellEnd"/>
      <w:r w:rsidRPr="00496592">
        <w:rPr>
          <w:rFonts w:ascii="Times New (W1)" w:hAnsi="Times New (W1)"/>
          <w:i/>
          <w:iCs/>
          <w:sz w:val="26"/>
          <w:szCs w:val="26"/>
        </w:rPr>
        <w:t>, Inc. v. Pa. PUC</w:t>
      </w:r>
      <w:r w:rsidRPr="00496592">
        <w:rPr>
          <w:rFonts w:ascii="Times New (W1)" w:hAnsi="Times New (W1)"/>
          <w:sz w:val="26"/>
          <w:szCs w:val="26"/>
        </w:rPr>
        <w:t xml:space="preserve">, 578 A.2d 600 (Pa. </w:t>
      </w:r>
      <w:proofErr w:type="spellStart"/>
      <w:r w:rsidRPr="00496592">
        <w:rPr>
          <w:rFonts w:ascii="Times New (W1)" w:hAnsi="Times New (W1)"/>
          <w:sz w:val="26"/>
          <w:szCs w:val="26"/>
        </w:rPr>
        <w:t>Cmwlth</w:t>
      </w:r>
      <w:proofErr w:type="spellEnd"/>
      <w:r w:rsidRPr="00496592">
        <w:rPr>
          <w:rFonts w:ascii="Times New (W1)" w:hAnsi="Times New (W1)"/>
          <w:sz w:val="26"/>
          <w:szCs w:val="26"/>
        </w:rPr>
        <w:t xml:space="preserve">. 1990), </w:t>
      </w:r>
      <w:proofErr w:type="spellStart"/>
      <w:r w:rsidRPr="00496592">
        <w:rPr>
          <w:rFonts w:ascii="Times New (W1)" w:hAnsi="Times New (W1)"/>
          <w:i/>
          <w:sz w:val="26"/>
          <w:szCs w:val="26"/>
        </w:rPr>
        <w:t>alloc</w:t>
      </w:r>
      <w:proofErr w:type="spellEnd"/>
      <w:r w:rsidRPr="00496592">
        <w:rPr>
          <w:rFonts w:ascii="Times New (W1)" w:hAnsi="Times New (W1)"/>
          <w:i/>
          <w:sz w:val="26"/>
          <w:szCs w:val="26"/>
        </w:rPr>
        <w:t>.</w:t>
      </w:r>
      <w:proofErr w:type="gramEnd"/>
      <w:r w:rsidRPr="00496592">
        <w:rPr>
          <w:rFonts w:ascii="Times New (W1)" w:hAnsi="Times New (W1)"/>
          <w:i/>
          <w:sz w:val="26"/>
          <w:szCs w:val="26"/>
        </w:rPr>
        <w:t xml:space="preserve"> </w:t>
      </w:r>
      <w:proofErr w:type="gramStart"/>
      <w:r w:rsidRPr="00496592">
        <w:rPr>
          <w:rFonts w:ascii="Times New (W1)" w:hAnsi="Times New (W1)"/>
          <w:i/>
          <w:sz w:val="26"/>
          <w:szCs w:val="26"/>
        </w:rPr>
        <w:t>denied</w:t>
      </w:r>
      <w:proofErr w:type="gramEnd"/>
      <w:r w:rsidRPr="00496592">
        <w:rPr>
          <w:rFonts w:ascii="Times New (W1)" w:hAnsi="Times New (W1)"/>
          <w:i/>
          <w:sz w:val="26"/>
          <w:szCs w:val="26"/>
        </w:rPr>
        <w:t>,</w:t>
      </w:r>
      <w:r w:rsidRPr="00496592">
        <w:rPr>
          <w:rFonts w:ascii="Times New (W1)" w:hAnsi="Times New (W1)"/>
          <w:sz w:val="26"/>
          <w:szCs w:val="26"/>
        </w:rPr>
        <w:t xml:space="preserve"> 529 Pa. 654, 602 A.2d 863 (1992).  That is, the Complainant’s evidence must be more convincing, by even the smallest amount, than that presented by </w:t>
      </w:r>
      <w:r w:rsidR="00BB09EF" w:rsidRPr="00496592">
        <w:rPr>
          <w:rFonts w:ascii="Times New (W1)" w:hAnsi="Times New (W1)"/>
          <w:sz w:val="26"/>
          <w:szCs w:val="26"/>
        </w:rPr>
        <w:t>P</w:t>
      </w:r>
      <w:r w:rsidR="003653F6" w:rsidRPr="00496592">
        <w:rPr>
          <w:rFonts w:ascii="Times New (W1)" w:hAnsi="Times New (W1)"/>
          <w:sz w:val="26"/>
          <w:szCs w:val="26"/>
        </w:rPr>
        <w:t>GW</w:t>
      </w:r>
      <w:r w:rsidRPr="00496592">
        <w:rPr>
          <w:rFonts w:ascii="Times New (W1)" w:hAnsi="Times New (W1)"/>
          <w:sz w:val="26"/>
          <w:szCs w:val="26"/>
        </w:rPr>
        <w:t xml:space="preserve">.  </w:t>
      </w:r>
      <w:proofErr w:type="gramStart"/>
      <w:r w:rsidRPr="00496592">
        <w:rPr>
          <w:rFonts w:ascii="Times New (W1)" w:hAnsi="Times New (W1)"/>
          <w:i/>
          <w:sz w:val="26"/>
          <w:szCs w:val="26"/>
        </w:rPr>
        <w:t>Se-Ling Hosiery</w:t>
      </w:r>
      <w:r w:rsidR="00180E89" w:rsidRPr="00496592">
        <w:rPr>
          <w:rFonts w:ascii="Times New (W1)" w:hAnsi="Times New (W1)"/>
          <w:i/>
          <w:sz w:val="26"/>
          <w:szCs w:val="26"/>
        </w:rPr>
        <w:t>, Inc.</w:t>
      </w:r>
      <w:r w:rsidRPr="00496592">
        <w:rPr>
          <w:rFonts w:ascii="Times New (W1)" w:hAnsi="Times New (W1)"/>
          <w:i/>
          <w:sz w:val="26"/>
          <w:szCs w:val="26"/>
        </w:rPr>
        <w:t xml:space="preserve"> v. Margulies</w:t>
      </w:r>
      <w:r w:rsidRPr="00496592">
        <w:rPr>
          <w:rFonts w:ascii="Times New (W1)" w:hAnsi="Times New (W1)"/>
          <w:sz w:val="26"/>
          <w:szCs w:val="26"/>
        </w:rPr>
        <w:t>, 364 Pa. 45, 70 A.2d 854 (1950).</w:t>
      </w:r>
      <w:proofErr w:type="gramEnd"/>
      <w:r w:rsidRPr="00496592">
        <w:rPr>
          <w:rFonts w:ascii="Times New (W1)" w:hAnsi="Times New (W1)"/>
          <w:sz w:val="26"/>
          <w:szCs w:val="26"/>
        </w:rPr>
        <w:t xml:space="preserve">  Additionally, this Commission’s </w:t>
      </w:r>
      <w:r w:rsidRPr="00496592">
        <w:rPr>
          <w:rFonts w:ascii="Times New (W1)" w:hAnsi="Times New (W1)"/>
          <w:sz w:val="26"/>
        </w:rPr>
        <w:t xml:space="preserve">decision must be supported by substantial evidence in the record.  More is required than a mere trace of evidence or a suspicion of the existence of a fact sought to be established.  </w:t>
      </w:r>
      <w:proofErr w:type="gramStart"/>
      <w:r w:rsidRPr="00496592">
        <w:rPr>
          <w:rFonts w:ascii="Times New (W1)" w:hAnsi="Times New (W1)"/>
          <w:i/>
          <w:sz w:val="26"/>
        </w:rPr>
        <w:t xml:space="preserve">Norfolk &amp; Western Ry. Co. v. Pa. PUC, </w:t>
      </w:r>
      <w:r w:rsidRPr="00496592">
        <w:rPr>
          <w:rFonts w:ascii="Times New (W1)" w:hAnsi="Times New (W1)"/>
          <w:sz w:val="26"/>
        </w:rPr>
        <w:t>489 Pa. 109, 413 A.2d 1037 (1980).</w:t>
      </w:r>
      <w:proofErr w:type="gramEnd"/>
      <w:r w:rsidR="00F00E17" w:rsidRPr="00496592">
        <w:rPr>
          <w:rFonts w:ascii="Times New (W1)" w:hAnsi="Times New (W1)"/>
          <w:sz w:val="26"/>
        </w:rPr>
        <w:t xml:space="preserve">  </w:t>
      </w:r>
    </w:p>
    <w:p w:rsidR="00FB0336" w:rsidRPr="00496592" w:rsidRDefault="00FB0336" w:rsidP="001448EA">
      <w:pPr>
        <w:spacing w:line="360" w:lineRule="auto"/>
        <w:ind w:firstLine="1440"/>
        <w:rPr>
          <w:rFonts w:ascii="Times New (W1)" w:hAnsi="Times New (W1)"/>
          <w:sz w:val="26"/>
        </w:rPr>
      </w:pPr>
    </w:p>
    <w:p w:rsidR="00FB0336" w:rsidRPr="00496592" w:rsidRDefault="00FB0336" w:rsidP="00FB0336">
      <w:pPr>
        <w:spacing w:line="360" w:lineRule="auto"/>
        <w:ind w:firstLine="1440"/>
        <w:rPr>
          <w:sz w:val="26"/>
        </w:rPr>
      </w:pPr>
      <w:r w:rsidRPr="00496592">
        <w:rPr>
          <w:sz w:val="26"/>
        </w:rPr>
        <w:t xml:space="preserve">Upon the presentation by the Complainant of evidence sufficient to initially satisfy the burden of proof, the burden of going forward with the evidence to rebut the evidence of the Complainant shifts to </w:t>
      </w:r>
      <w:r w:rsidR="00BB09EF" w:rsidRPr="00496592">
        <w:rPr>
          <w:sz w:val="26"/>
        </w:rPr>
        <w:t>P</w:t>
      </w:r>
      <w:r w:rsidR="003653F6" w:rsidRPr="00496592">
        <w:rPr>
          <w:sz w:val="26"/>
        </w:rPr>
        <w:t>GW</w:t>
      </w:r>
      <w:r w:rsidRPr="00496592">
        <w:rPr>
          <w:sz w:val="26"/>
        </w:rPr>
        <w:t>.  I</w:t>
      </w:r>
      <w:r w:rsidR="003653F6" w:rsidRPr="00496592">
        <w:rPr>
          <w:sz w:val="26"/>
        </w:rPr>
        <w:t>f the evidence presented by PGW</w:t>
      </w:r>
      <w:r w:rsidRPr="00496592">
        <w:rPr>
          <w:sz w:val="26"/>
        </w:rPr>
        <w:t xml:space="preserve"> is of co-equal weight, the Complainant has not satisfied the burden of proof.  The Complainant now has to provide some additional evidence to rebut the evidence of </w:t>
      </w:r>
      <w:r w:rsidR="00BB09EF" w:rsidRPr="00496592">
        <w:rPr>
          <w:sz w:val="26"/>
        </w:rPr>
        <w:t>P</w:t>
      </w:r>
      <w:r w:rsidR="003653F6" w:rsidRPr="00496592">
        <w:rPr>
          <w:sz w:val="26"/>
        </w:rPr>
        <w:t>GW</w:t>
      </w:r>
      <w:r w:rsidRPr="00496592">
        <w:rPr>
          <w:sz w:val="26"/>
        </w:rPr>
        <w:t xml:space="preserve">. </w:t>
      </w:r>
      <w:r w:rsidRPr="00496592">
        <w:rPr>
          <w:iCs/>
          <w:sz w:val="26"/>
        </w:rPr>
        <w:t xml:space="preserve"> </w:t>
      </w:r>
      <w:hyperlink r:id="rId9" w:history="1">
        <w:r w:rsidRPr="00496592">
          <w:rPr>
            <w:rFonts w:eastAsiaTheme="majorEastAsia"/>
            <w:i/>
            <w:iCs/>
            <w:sz w:val="26"/>
          </w:rPr>
          <w:t>Burleson v. Pa. PUC</w:t>
        </w:r>
        <w:r w:rsidRPr="00496592">
          <w:rPr>
            <w:rFonts w:eastAsiaTheme="majorEastAsia"/>
            <w:iCs/>
            <w:sz w:val="26"/>
          </w:rPr>
          <w:t xml:space="preserve">, 443 A.2d 1373 (Pa. </w:t>
        </w:r>
        <w:proofErr w:type="spellStart"/>
        <w:r w:rsidRPr="00496592">
          <w:rPr>
            <w:rFonts w:eastAsiaTheme="majorEastAsia"/>
            <w:iCs/>
            <w:sz w:val="26"/>
          </w:rPr>
          <w:t>Cmwlth</w:t>
        </w:r>
        <w:proofErr w:type="spellEnd"/>
        <w:r w:rsidRPr="00496592">
          <w:rPr>
            <w:rFonts w:eastAsiaTheme="majorEastAsia"/>
            <w:iCs/>
            <w:sz w:val="26"/>
          </w:rPr>
          <w:t xml:space="preserve">. 1982), </w:t>
        </w:r>
        <w:proofErr w:type="spellStart"/>
        <w:r w:rsidRPr="00496592">
          <w:rPr>
            <w:rFonts w:eastAsiaTheme="majorEastAsia"/>
            <w:i/>
            <w:iCs/>
            <w:sz w:val="26"/>
          </w:rPr>
          <w:t>aff’d</w:t>
        </w:r>
        <w:proofErr w:type="spellEnd"/>
        <w:r w:rsidRPr="00496592">
          <w:rPr>
            <w:rFonts w:eastAsiaTheme="majorEastAsia"/>
            <w:iCs/>
            <w:sz w:val="26"/>
          </w:rPr>
          <w:t>, 501 Pa. 433, 461 A.2d 1234 (1983).</w:t>
        </w:r>
      </w:hyperlink>
      <w:r w:rsidRPr="00496592">
        <w:rPr>
          <w:rFonts w:eastAsiaTheme="majorEastAsia"/>
          <w:iCs/>
          <w:sz w:val="26"/>
        </w:rPr>
        <w:t xml:space="preserve">  </w:t>
      </w:r>
      <w:r w:rsidRPr="00496592">
        <w:rPr>
          <w:sz w:val="26"/>
        </w:rPr>
        <w:t xml:space="preserve">While the burden of </w:t>
      </w:r>
      <w:r w:rsidR="005618BC" w:rsidRPr="00496592">
        <w:rPr>
          <w:sz w:val="26"/>
        </w:rPr>
        <w:t>going forward with the evidence</w:t>
      </w:r>
      <w:r w:rsidRPr="00496592">
        <w:rPr>
          <w:sz w:val="26"/>
        </w:rPr>
        <w:t xml:space="preserve"> may </w:t>
      </w:r>
      <w:r w:rsidRPr="00496592">
        <w:rPr>
          <w:rFonts w:eastAsiaTheme="majorEastAsia"/>
          <w:sz w:val="26"/>
        </w:rPr>
        <w:t>shift</w:t>
      </w:r>
      <w:r w:rsidRPr="00496592">
        <w:rPr>
          <w:sz w:val="26"/>
        </w:rPr>
        <w:t xml:space="preserve"> back and forth during a </w:t>
      </w:r>
      <w:r w:rsidRPr="00496592">
        <w:rPr>
          <w:sz w:val="26"/>
        </w:rPr>
        <w:lastRenderedPageBreak/>
        <w:t xml:space="preserve">proceeding, the </w:t>
      </w:r>
      <w:r w:rsidRPr="00496592">
        <w:rPr>
          <w:rFonts w:eastAsiaTheme="majorEastAsia"/>
          <w:sz w:val="26"/>
        </w:rPr>
        <w:t>burden of proof</w:t>
      </w:r>
      <w:r w:rsidRPr="00496592">
        <w:rPr>
          <w:sz w:val="26"/>
        </w:rPr>
        <w:t xml:space="preserve"> never </w:t>
      </w:r>
      <w:r w:rsidRPr="00496592">
        <w:rPr>
          <w:rFonts w:eastAsiaTheme="majorEastAsia"/>
          <w:sz w:val="26"/>
        </w:rPr>
        <w:t>shifts.  The burden of proof</w:t>
      </w:r>
      <w:r w:rsidRPr="00496592">
        <w:rPr>
          <w:sz w:val="26"/>
        </w:rPr>
        <w:t xml:space="preserve"> always remains on the party seeking affirmative relief from the Commission.  </w:t>
      </w:r>
      <w:proofErr w:type="spellStart"/>
      <w:proofErr w:type="gramStart"/>
      <w:r w:rsidRPr="00496592">
        <w:rPr>
          <w:i/>
          <w:sz w:val="26"/>
        </w:rPr>
        <w:t>Milkie</w:t>
      </w:r>
      <w:proofErr w:type="spellEnd"/>
      <w:r w:rsidRPr="00496592">
        <w:rPr>
          <w:i/>
          <w:sz w:val="26"/>
        </w:rPr>
        <w:t xml:space="preserve"> v. Pa. PUC, </w:t>
      </w:r>
      <w:r w:rsidRPr="00496592">
        <w:rPr>
          <w:sz w:val="26"/>
        </w:rPr>
        <w:t xml:space="preserve">768 A.2d 1217 (Pa. </w:t>
      </w:r>
      <w:proofErr w:type="spellStart"/>
      <w:r w:rsidRPr="00496592">
        <w:rPr>
          <w:sz w:val="26"/>
        </w:rPr>
        <w:t>Cmwlth</w:t>
      </w:r>
      <w:proofErr w:type="spellEnd"/>
      <w:r w:rsidRPr="00496592">
        <w:rPr>
          <w:sz w:val="26"/>
        </w:rPr>
        <w:t>. 2001).</w:t>
      </w:r>
      <w:proofErr w:type="gramEnd"/>
    </w:p>
    <w:p w:rsidR="001448EA" w:rsidRPr="00496592" w:rsidRDefault="001448EA" w:rsidP="00EA7B45">
      <w:pPr>
        <w:spacing w:line="360" w:lineRule="auto"/>
        <w:ind w:firstLine="1440"/>
        <w:rPr>
          <w:sz w:val="26"/>
          <w:szCs w:val="26"/>
        </w:rPr>
      </w:pPr>
    </w:p>
    <w:p w:rsidR="0027458E" w:rsidRPr="00496592" w:rsidRDefault="009542EE" w:rsidP="00DA2CEC">
      <w:pPr>
        <w:spacing w:line="360" w:lineRule="auto"/>
        <w:ind w:firstLine="1440"/>
        <w:rPr>
          <w:sz w:val="26"/>
          <w:szCs w:val="26"/>
        </w:rPr>
      </w:pPr>
      <w:r w:rsidRPr="00496592">
        <w:rPr>
          <w:sz w:val="26"/>
          <w:szCs w:val="26"/>
        </w:rPr>
        <w:t xml:space="preserve">The ALJ </w:t>
      </w:r>
      <w:r w:rsidR="003440BD" w:rsidRPr="00496592">
        <w:rPr>
          <w:sz w:val="26"/>
          <w:szCs w:val="26"/>
        </w:rPr>
        <w:t xml:space="preserve">made </w:t>
      </w:r>
      <w:r w:rsidR="00D14CED" w:rsidRPr="00496592">
        <w:rPr>
          <w:sz w:val="26"/>
          <w:szCs w:val="26"/>
        </w:rPr>
        <w:t>fifty-six</w:t>
      </w:r>
      <w:r w:rsidR="003440BD" w:rsidRPr="00496592">
        <w:rPr>
          <w:sz w:val="26"/>
          <w:szCs w:val="26"/>
        </w:rPr>
        <w:t xml:space="preserve"> Findings of Fact and </w:t>
      </w:r>
      <w:r w:rsidR="00400A4D" w:rsidRPr="00496592">
        <w:rPr>
          <w:sz w:val="26"/>
          <w:szCs w:val="26"/>
        </w:rPr>
        <w:t xml:space="preserve">reached </w:t>
      </w:r>
      <w:r w:rsidR="00D14CED" w:rsidRPr="00496592">
        <w:rPr>
          <w:sz w:val="26"/>
          <w:szCs w:val="26"/>
        </w:rPr>
        <w:t>six</w:t>
      </w:r>
      <w:r w:rsidR="003440BD" w:rsidRPr="00496592">
        <w:rPr>
          <w:sz w:val="26"/>
          <w:szCs w:val="26"/>
        </w:rPr>
        <w:t xml:space="preserve"> Conclusions of Law.  I.D. at </w:t>
      </w:r>
      <w:r w:rsidR="00D14CED" w:rsidRPr="00496592">
        <w:rPr>
          <w:sz w:val="26"/>
          <w:szCs w:val="26"/>
        </w:rPr>
        <w:t>4-12</w:t>
      </w:r>
      <w:r w:rsidR="003440BD" w:rsidRPr="00496592">
        <w:rPr>
          <w:sz w:val="26"/>
          <w:szCs w:val="26"/>
        </w:rPr>
        <w:t xml:space="preserve">, </w:t>
      </w:r>
      <w:r w:rsidR="00D14CED" w:rsidRPr="00496592">
        <w:rPr>
          <w:sz w:val="26"/>
          <w:szCs w:val="26"/>
        </w:rPr>
        <w:t>26-27</w:t>
      </w:r>
      <w:r w:rsidR="003440BD" w:rsidRPr="00496592">
        <w:rPr>
          <w:sz w:val="26"/>
          <w:szCs w:val="26"/>
        </w:rPr>
        <w:t>.  We shall adopt and incorporate herein by reference the ALJ’s Findings of Fact and Conclusions of Law, unless they are reversed or modified by this Opinion and Order, either expressly or by necessary implication. </w:t>
      </w:r>
    </w:p>
    <w:p w:rsidR="004E66DA" w:rsidRPr="00496592" w:rsidRDefault="004E66DA" w:rsidP="00DA2CEC">
      <w:pPr>
        <w:spacing w:line="360" w:lineRule="auto"/>
        <w:ind w:firstLine="1440"/>
        <w:rPr>
          <w:sz w:val="26"/>
          <w:szCs w:val="26"/>
        </w:rPr>
      </w:pPr>
    </w:p>
    <w:p w:rsidR="00F57512" w:rsidRPr="00496592" w:rsidRDefault="00F57512" w:rsidP="004E66DA">
      <w:pPr>
        <w:spacing w:line="360" w:lineRule="auto"/>
        <w:rPr>
          <w:b/>
          <w:sz w:val="26"/>
          <w:szCs w:val="26"/>
        </w:rPr>
      </w:pPr>
      <w:r w:rsidRPr="00496592">
        <w:rPr>
          <w:b/>
          <w:sz w:val="26"/>
          <w:szCs w:val="26"/>
        </w:rPr>
        <w:t>ALJ’s Initial Decision</w:t>
      </w:r>
    </w:p>
    <w:p w:rsidR="00F57512" w:rsidRPr="00496592" w:rsidRDefault="00F57512" w:rsidP="004E66DA">
      <w:pPr>
        <w:spacing w:line="360" w:lineRule="auto"/>
        <w:rPr>
          <w:b/>
          <w:sz w:val="26"/>
          <w:szCs w:val="26"/>
        </w:rPr>
      </w:pPr>
    </w:p>
    <w:p w:rsidR="00E02101" w:rsidRPr="00496592" w:rsidRDefault="00E02101" w:rsidP="00E02101">
      <w:pPr>
        <w:ind w:left="810" w:hanging="810"/>
        <w:rPr>
          <w:sz w:val="26"/>
          <w:szCs w:val="26"/>
        </w:rPr>
      </w:pPr>
      <w:r w:rsidRPr="00496592">
        <w:rPr>
          <w:sz w:val="26"/>
          <w:szCs w:val="26"/>
        </w:rPr>
        <w:t>1.</w:t>
      </w:r>
      <w:r w:rsidRPr="00496592">
        <w:rPr>
          <w:sz w:val="26"/>
          <w:szCs w:val="26"/>
        </w:rPr>
        <w:tab/>
      </w:r>
      <w:r w:rsidR="00685C7C">
        <w:rPr>
          <w:sz w:val="26"/>
          <w:szCs w:val="26"/>
        </w:rPr>
        <w:t>Notice to</w:t>
      </w:r>
      <w:r w:rsidRPr="00496592">
        <w:rPr>
          <w:sz w:val="26"/>
          <w:szCs w:val="26"/>
        </w:rPr>
        <w:t xml:space="preserve"> Complainant to contact PGW after making a catch-up payment</w:t>
      </w:r>
    </w:p>
    <w:p w:rsidR="00E02101" w:rsidRPr="00496592" w:rsidRDefault="00E02101" w:rsidP="004E66DA">
      <w:pPr>
        <w:spacing w:line="360" w:lineRule="auto"/>
        <w:rPr>
          <w:sz w:val="26"/>
          <w:szCs w:val="26"/>
        </w:rPr>
      </w:pPr>
    </w:p>
    <w:p w:rsidR="00E02101" w:rsidRPr="00496592" w:rsidRDefault="00E02101" w:rsidP="00E02101">
      <w:pPr>
        <w:spacing w:line="360" w:lineRule="auto"/>
        <w:ind w:firstLine="1440"/>
        <w:rPr>
          <w:sz w:val="26"/>
          <w:szCs w:val="26"/>
        </w:rPr>
      </w:pPr>
      <w:r w:rsidRPr="00496592">
        <w:rPr>
          <w:sz w:val="26"/>
          <w:szCs w:val="26"/>
        </w:rPr>
        <w:t>The ALJ noted that the Complainant failed to comply with a Commission</w:t>
      </w:r>
      <w:r w:rsidR="005802BE">
        <w:rPr>
          <w:sz w:val="26"/>
          <w:szCs w:val="26"/>
        </w:rPr>
        <w:t>-</w:t>
      </w:r>
      <w:r w:rsidRPr="00496592">
        <w:rPr>
          <w:sz w:val="26"/>
          <w:szCs w:val="26"/>
        </w:rPr>
        <w:t>issued payment arrangement set forth by BCS in 2012 and</w:t>
      </w:r>
      <w:r w:rsidR="00BB5F47">
        <w:rPr>
          <w:sz w:val="26"/>
          <w:szCs w:val="26"/>
        </w:rPr>
        <w:t xml:space="preserve"> that he</w:t>
      </w:r>
      <w:r w:rsidRPr="00496592">
        <w:rPr>
          <w:sz w:val="26"/>
          <w:szCs w:val="26"/>
        </w:rPr>
        <w:t xml:space="preserve"> has failed to keep twenty-seven Company</w:t>
      </w:r>
      <w:r w:rsidR="00F65898">
        <w:rPr>
          <w:sz w:val="26"/>
          <w:szCs w:val="26"/>
        </w:rPr>
        <w:t>-</w:t>
      </w:r>
      <w:r w:rsidRPr="00496592">
        <w:rPr>
          <w:sz w:val="26"/>
          <w:szCs w:val="26"/>
        </w:rPr>
        <w:t xml:space="preserve">issued </w:t>
      </w:r>
      <w:r w:rsidR="00912D1D">
        <w:rPr>
          <w:sz w:val="26"/>
          <w:szCs w:val="26"/>
        </w:rPr>
        <w:t>p</w:t>
      </w:r>
      <w:r w:rsidRPr="00496592">
        <w:rPr>
          <w:sz w:val="26"/>
          <w:szCs w:val="26"/>
        </w:rPr>
        <w:t>ayment arrangements.</w:t>
      </w:r>
      <w:r w:rsidR="00991AB9" w:rsidRPr="00496592">
        <w:rPr>
          <w:sz w:val="26"/>
          <w:szCs w:val="26"/>
        </w:rPr>
        <w:t xml:space="preserve">  Specific to the matter before us, the ALJ noted that the Complainant became tardy on a payment arrangement PGW issued to him o</w:t>
      </w:r>
      <w:r w:rsidR="00E07F1E" w:rsidRPr="00496592">
        <w:rPr>
          <w:sz w:val="26"/>
          <w:szCs w:val="26"/>
        </w:rPr>
        <w:t>n April 15, 2013</w:t>
      </w:r>
      <w:r w:rsidR="00882EE2" w:rsidRPr="00496592">
        <w:rPr>
          <w:sz w:val="26"/>
          <w:szCs w:val="26"/>
        </w:rPr>
        <w:t>, resulting in PGW issuing a ten-day shutoff notice to the Service Address</w:t>
      </w:r>
      <w:r w:rsidR="0080499E" w:rsidRPr="00496592">
        <w:rPr>
          <w:sz w:val="26"/>
          <w:szCs w:val="26"/>
        </w:rPr>
        <w:t xml:space="preserve">.  </w:t>
      </w:r>
      <w:r w:rsidR="008F7A75" w:rsidRPr="00496592">
        <w:rPr>
          <w:sz w:val="26"/>
          <w:szCs w:val="26"/>
        </w:rPr>
        <w:t xml:space="preserve">Upon receiving this notice, the Complainant contacted PGW and was </w:t>
      </w:r>
      <w:r w:rsidR="00BB5F47">
        <w:rPr>
          <w:sz w:val="26"/>
          <w:szCs w:val="26"/>
        </w:rPr>
        <w:t>informed</w:t>
      </w:r>
      <w:r w:rsidR="008F7A75" w:rsidRPr="00496592">
        <w:rPr>
          <w:sz w:val="26"/>
          <w:szCs w:val="26"/>
        </w:rPr>
        <w:t xml:space="preserve"> that to avoid having his gas service </w:t>
      </w:r>
      <w:r w:rsidR="00BB5F47">
        <w:rPr>
          <w:sz w:val="26"/>
          <w:szCs w:val="26"/>
        </w:rPr>
        <w:t>terminated,</w:t>
      </w:r>
      <w:r w:rsidR="008F7A75" w:rsidRPr="00496592">
        <w:rPr>
          <w:sz w:val="26"/>
          <w:szCs w:val="26"/>
        </w:rPr>
        <w:t xml:space="preserve"> he needed to pay a catch-up amount of $700, consisting of the monthly budget bills of $175 that had not been paid between April and July 2013 under the April 15, 2013 payment arrangement.  The Complainant paid this amount as directed.  </w:t>
      </w:r>
      <w:r w:rsidR="00430B86" w:rsidRPr="00496592">
        <w:rPr>
          <w:sz w:val="26"/>
          <w:szCs w:val="26"/>
        </w:rPr>
        <w:t xml:space="preserve">As noted, </w:t>
      </w:r>
      <w:r w:rsidR="00430B86" w:rsidRPr="00496592">
        <w:rPr>
          <w:i/>
          <w:sz w:val="26"/>
          <w:szCs w:val="26"/>
        </w:rPr>
        <w:t>supra,</w:t>
      </w:r>
      <w:r w:rsidR="00430B86" w:rsidRPr="00496592">
        <w:rPr>
          <w:sz w:val="26"/>
          <w:szCs w:val="26"/>
        </w:rPr>
        <w:t xml:space="preserve"> PGW, nonetheless,</w:t>
      </w:r>
      <w:r w:rsidR="008F7A75" w:rsidRPr="00496592">
        <w:rPr>
          <w:sz w:val="26"/>
          <w:szCs w:val="26"/>
        </w:rPr>
        <w:t xml:space="preserve"> terminated the Complainant’s gas service</w:t>
      </w:r>
      <w:r w:rsidR="00430B86" w:rsidRPr="00496592">
        <w:rPr>
          <w:sz w:val="26"/>
          <w:szCs w:val="26"/>
        </w:rPr>
        <w:t xml:space="preserve"> because he did not contact the </w:t>
      </w:r>
      <w:r w:rsidR="00BA6D7A">
        <w:rPr>
          <w:sz w:val="26"/>
          <w:szCs w:val="26"/>
        </w:rPr>
        <w:t>C</w:t>
      </w:r>
      <w:r w:rsidR="00430B86" w:rsidRPr="00496592">
        <w:rPr>
          <w:sz w:val="26"/>
          <w:szCs w:val="26"/>
        </w:rPr>
        <w:t xml:space="preserve">ompany </w:t>
      </w:r>
      <w:r w:rsidR="00BB5F47">
        <w:rPr>
          <w:sz w:val="26"/>
          <w:szCs w:val="26"/>
        </w:rPr>
        <w:t>to reinstate the</w:t>
      </w:r>
      <w:r w:rsidR="00430B86" w:rsidRPr="00496592">
        <w:rPr>
          <w:sz w:val="26"/>
          <w:szCs w:val="26"/>
        </w:rPr>
        <w:t xml:space="preserve"> payment arrangement</w:t>
      </w:r>
      <w:r w:rsidR="008F7A75" w:rsidRPr="00496592">
        <w:rPr>
          <w:sz w:val="26"/>
          <w:szCs w:val="26"/>
        </w:rPr>
        <w:t xml:space="preserve">. </w:t>
      </w:r>
      <w:r w:rsidR="00991AB9" w:rsidRPr="00496592">
        <w:rPr>
          <w:sz w:val="26"/>
          <w:szCs w:val="26"/>
        </w:rPr>
        <w:t xml:space="preserve"> </w:t>
      </w:r>
      <w:r w:rsidR="008256EC" w:rsidRPr="00496592">
        <w:rPr>
          <w:sz w:val="26"/>
          <w:szCs w:val="26"/>
        </w:rPr>
        <w:t>I.D. at 14-16</w:t>
      </w:r>
    </w:p>
    <w:p w:rsidR="00E07F1E" w:rsidRPr="00496592" w:rsidRDefault="00E07F1E" w:rsidP="00E02101">
      <w:pPr>
        <w:spacing w:line="360" w:lineRule="auto"/>
        <w:ind w:firstLine="1440"/>
        <w:rPr>
          <w:sz w:val="26"/>
          <w:szCs w:val="26"/>
        </w:rPr>
      </w:pPr>
    </w:p>
    <w:p w:rsidR="00E07F1E" w:rsidRPr="00496592" w:rsidRDefault="00E07F1E" w:rsidP="00E02101">
      <w:pPr>
        <w:spacing w:line="360" w:lineRule="auto"/>
        <w:ind w:firstLine="1440"/>
        <w:rPr>
          <w:sz w:val="26"/>
          <w:szCs w:val="26"/>
        </w:rPr>
      </w:pPr>
      <w:r w:rsidRPr="00496592">
        <w:rPr>
          <w:sz w:val="26"/>
          <w:szCs w:val="26"/>
        </w:rPr>
        <w:t xml:space="preserve">The ALJ found that PGW failed to satisfy </w:t>
      </w:r>
      <w:r w:rsidR="00B91C30" w:rsidRPr="00496592">
        <w:rPr>
          <w:sz w:val="26"/>
          <w:szCs w:val="26"/>
        </w:rPr>
        <w:t>actual notice to the Complainant that he was to contact the Company upon paying the $700 to</w:t>
      </w:r>
      <w:r w:rsidR="0099250D" w:rsidRPr="00496592">
        <w:rPr>
          <w:sz w:val="26"/>
          <w:szCs w:val="26"/>
        </w:rPr>
        <w:t xml:space="preserve"> catch </w:t>
      </w:r>
      <w:r w:rsidR="003C25B9" w:rsidRPr="00496592">
        <w:rPr>
          <w:sz w:val="26"/>
          <w:szCs w:val="26"/>
        </w:rPr>
        <w:t>up on missed payments in order to</w:t>
      </w:r>
      <w:r w:rsidR="00B91C30" w:rsidRPr="00496592">
        <w:rPr>
          <w:sz w:val="26"/>
          <w:szCs w:val="26"/>
        </w:rPr>
        <w:t xml:space="preserve"> reinstate the payment arrangement. </w:t>
      </w:r>
      <w:r w:rsidR="003C25B9" w:rsidRPr="00496592">
        <w:rPr>
          <w:sz w:val="26"/>
          <w:szCs w:val="26"/>
        </w:rPr>
        <w:t xml:space="preserve"> The ALJ found no record </w:t>
      </w:r>
      <w:r w:rsidR="003C25B9" w:rsidRPr="00496592">
        <w:rPr>
          <w:sz w:val="26"/>
          <w:szCs w:val="26"/>
        </w:rPr>
        <w:lastRenderedPageBreak/>
        <w:t xml:space="preserve">evidence that the Complainant was told to contact PGW.  </w:t>
      </w:r>
      <w:r w:rsidR="00B91C30" w:rsidRPr="00496592">
        <w:rPr>
          <w:sz w:val="26"/>
          <w:szCs w:val="26"/>
        </w:rPr>
        <w:t xml:space="preserve">The ALJ opined that because the Complainant paid the $700 as requested, it was reasonable for the Complainant to expect that his gas service would be restored and that his payment arrangement would be reinstated.  </w:t>
      </w:r>
      <w:r w:rsidR="003C25B9" w:rsidRPr="00496592">
        <w:rPr>
          <w:sz w:val="26"/>
          <w:szCs w:val="26"/>
        </w:rPr>
        <w:t xml:space="preserve">Further, the ALJ noted that </w:t>
      </w:r>
      <w:r w:rsidR="009C7371" w:rsidRPr="00496592">
        <w:rPr>
          <w:sz w:val="26"/>
          <w:szCs w:val="26"/>
        </w:rPr>
        <w:t xml:space="preserve">PGW has since changed its procedure for entering payment arrangements such that its customers no longer </w:t>
      </w:r>
      <w:r w:rsidR="00882EE2" w:rsidRPr="00496592">
        <w:rPr>
          <w:sz w:val="26"/>
          <w:szCs w:val="26"/>
        </w:rPr>
        <w:t xml:space="preserve">must </w:t>
      </w:r>
      <w:r w:rsidR="009C7371" w:rsidRPr="00496592">
        <w:rPr>
          <w:sz w:val="26"/>
          <w:szCs w:val="26"/>
        </w:rPr>
        <w:t>contact the Company upon making catch-up payments.</w:t>
      </w:r>
      <w:r w:rsidR="008256EC" w:rsidRPr="00496592">
        <w:rPr>
          <w:sz w:val="26"/>
          <w:szCs w:val="26"/>
        </w:rPr>
        <w:t xml:space="preserve"> </w:t>
      </w:r>
      <w:r w:rsidR="008256EC" w:rsidRPr="00496592">
        <w:rPr>
          <w:i/>
          <w:sz w:val="26"/>
          <w:szCs w:val="26"/>
        </w:rPr>
        <w:t>Id.</w:t>
      </w:r>
      <w:r w:rsidR="008256EC" w:rsidRPr="00496592">
        <w:rPr>
          <w:sz w:val="26"/>
          <w:szCs w:val="26"/>
        </w:rPr>
        <w:t xml:space="preserve"> at 17-18.</w:t>
      </w:r>
    </w:p>
    <w:p w:rsidR="00003E97" w:rsidRPr="00496592" w:rsidRDefault="00003E97" w:rsidP="00E02101">
      <w:pPr>
        <w:spacing w:line="360" w:lineRule="auto"/>
        <w:ind w:firstLine="1440"/>
        <w:rPr>
          <w:sz w:val="26"/>
          <w:szCs w:val="26"/>
        </w:rPr>
      </w:pPr>
    </w:p>
    <w:p w:rsidR="00003E97" w:rsidRPr="00496592" w:rsidRDefault="00003E97" w:rsidP="00003E97">
      <w:pPr>
        <w:spacing w:line="360" w:lineRule="auto"/>
        <w:rPr>
          <w:sz w:val="26"/>
          <w:szCs w:val="26"/>
        </w:rPr>
      </w:pPr>
      <w:r w:rsidRPr="00496592">
        <w:rPr>
          <w:sz w:val="26"/>
          <w:szCs w:val="26"/>
        </w:rPr>
        <w:t>2.</w:t>
      </w:r>
      <w:r w:rsidRPr="00496592">
        <w:rPr>
          <w:sz w:val="26"/>
          <w:szCs w:val="26"/>
        </w:rPr>
        <w:tab/>
      </w:r>
      <w:r w:rsidR="008804AB">
        <w:rPr>
          <w:sz w:val="26"/>
          <w:szCs w:val="26"/>
        </w:rPr>
        <w:t>Breach of</w:t>
      </w:r>
      <w:r w:rsidRPr="00496592">
        <w:rPr>
          <w:sz w:val="26"/>
          <w:szCs w:val="26"/>
        </w:rPr>
        <w:t xml:space="preserve"> the payment </w:t>
      </w:r>
      <w:r w:rsidR="0080394E" w:rsidRPr="00496592">
        <w:rPr>
          <w:sz w:val="26"/>
          <w:szCs w:val="26"/>
        </w:rPr>
        <w:t>arrangement</w:t>
      </w:r>
    </w:p>
    <w:p w:rsidR="00003E97" w:rsidRPr="00496592" w:rsidRDefault="00003E97" w:rsidP="0096670B">
      <w:pPr>
        <w:spacing w:line="360" w:lineRule="auto"/>
        <w:ind w:firstLine="1440"/>
        <w:rPr>
          <w:sz w:val="26"/>
          <w:szCs w:val="26"/>
        </w:rPr>
      </w:pPr>
    </w:p>
    <w:p w:rsidR="0096670B" w:rsidRPr="00496592" w:rsidRDefault="0096670B" w:rsidP="0096670B">
      <w:pPr>
        <w:spacing w:line="360" w:lineRule="auto"/>
        <w:ind w:firstLine="1440"/>
        <w:rPr>
          <w:sz w:val="26"/>
          <w:szCs w:val="26"/>
        </w:rPr>
      </w:pPr>
      <w:r w:rsidRPr="00496592">
        <w:rPr>
          <w:sz w:val="26"/>
          <w:szCs w:val="26"/>
        </w:rPr>
        <w:t>The ALJ next addressed PGW’s reasoning for terminating the Complainant’s service.  Specifically, PGW asserted that the Complainant was required to pay $105 towards a security deposit from the Commission</w:t>
      </w:r>
      <w:r w:rsidR="005802BE">
        <w:rPr>
          <w:sz w:val="26"/>
          <w:szCs w:val="26"/>
        </w:rPr>
        <w:t>-</w:t>
      </w:r>
      <w:r w:rsidRPr="00496592">
        <w:rPr>
          <w:sz w:val="26"/>
          <w:szCs w:val="26"/>
        </w:rPr>
        <w:t>issued payment arrangement he broke in 2012.  Therefore, PGW argued that the $700 payment the Complainant made was not sufficient because only $595 was applicable to the catch-up amount necessary to avoid termination of gas service.</w:t>
      </w:r>
      <w:r w:rsidR="0080394E" w:rsidRPr="00496592">
        <w:rPr>
          <w:sz w:val="26"/>
          <w:szCs w:val="26"/>
        </w:rPr>
        <w:t xml:space="preserve">  </w:t>
      </w:r>
      <w:proofErr w:type="gramStart"/>
      <w:r w:rsidR="0080394E" w:rsidRPr="00496592">
        <w:rPr>
          <w:sz w:val="26"/>
          <w:szCs w:val="26"/>
        </w:rPr>
        <w:t>I.D. at 18.</w:t>
      </w:r>
      <w:proofErr w:type="gramEnd"/>
    </w:p>
    <w:p w:rsidR="0096670B" w:rsidRPr="00496592" w:rsidRDefault="0096670B" w:rsidP="0096670B">
      <w:pPr>
        <w:spacing w:line="360" w:lineRule="auto"/>
        <w:ind w:firstLine="1440"/>
        <w:rPr>
          <w:sz w:val="26"/>
          <w:szCs w:val="26"/>
        </w:rPr>
      </w:pPr>
    </w:p>
    <w:p w:rsidR="00E301A6" w:rsidRPr="00496592" w:rsidRDefault="0080394E" w:rsidP="0096670B">
      <w:pPr>
        <w:spacing w:line="360" w:lineRule="auto"/>
        <w:ind w:firstLine="1440"/>
        <w:rPr>
          <w:sz w:val="26"/>
          <w:szCs w:val="26"/>
        </w:rPr>
      </w:pPr>
      <w:r w:rsidRPr="00496592">
        <w:rPr>
          <w:sz w:val="26"/>
          <w:szCs w:val="26"/>
        </w:rPr>
        <w:t>The ALJ noted that the Complainant broke his Commission</w:t>
      </w:r>
      <w:r w:rsidR="005802BE">
        <w:rPr>
          <w:sz w:val="26"/>
          <w:szCs w:val="26"/>
        </w:rPr>
        <w:t>-</w:t>
      </w:r>
      <w:r w:rsidRPr="00496592">
        <w:rPr>
          <w:sz w:val="26"/>
          <w:szCs w:val="26"/>
        </w:rPr>
        <w:t>issued payment agreement in 2012 when he failed to pay the requested billed amount for a security deposit.  However, the ALJ found that the Company</w:t>
      </w:r>
      <w:r w:rsidR="00F65898">
        <w:rPr>
          <w:sz w:val="26"/>
          <w:szCs w:val="26"/>
        </w:rPr>
        <w:t>-</w:t>
      </w:r>
      <w:r w:rsidRPr="00496592">
        <w:rPr>
          <w:sz w:val="26"/>
          <w:szCs w:val="26"/>
        </w:rPr>
        <w:t>issued payment arrangement issued on April 15, 2013</w:t>
      </w:r>
      <w:r w:rsidR="00685C7C">
        <w:rPr>
          <w:sz w:val="26"/>
          <w:szCs w:val="26"/>
        </w:rPr>
        <w:t>,</w:t>
      </w:r>
      <w:r w:rsidRPr="00496592">
        <w:rPr>
          <w:sz w:val="26"/>
          <w:szCs w:val="26"/>
        </w:rPr>
        <w:t xml:space="preserve"> is independent of the Commission</w:t>
      </w:r>
      <w:r w:rsidR="005802BE">
        <w:rPr>
          <w:sz w:val="26"/>
          <w:szCs w:val="26"/>
        </w:rPr>
        <w:t>-</w:t>
      </w:r>
      <w:r w:rsidRPr="00496592">
        <w:rPr>
          <w:sz w:val="26"/>
          <w:szCs w:val="26"/>
        </w:rPr>
        <w:t>issued arrangement.  The ALJ also found that the catch-up amount of $700, as communicated to the Complainant, consisted only of the missed monthly budget billed amount from the Company</w:t>
      </w:r>
      <w:r w:rsidR="00F65898">
        <w:rPr>
          <w:sz w:val="26"/>
          <w:szCs w:val="26"/>
        </w:rPr>
        <w:t>-</w:t>
      </w:r>
      <w:r w:rsidRPr="00496592">
        <w:rPr>
          <w:sz w:val="26"/>
          <w:szCs w:val="26"/>
        </w:rPr>
        <w:t>issued payment arrangement.  Accordingly, the ALJ concluded that the Complainant did not break the April 15, 2013 payment arrangement by only paying $700, as he was informed that this was the amount due to reinstate a PGW</w:t>
      </w:r>
      <w:r w:rsidR="00F65898">
        <w:rPr>
          <w:sz w:val="26"/>
          <w:szCs w:val="26"/>
        </w:rPr>
        <w:t>-</w:t>
      </w:r>
      <w:r w:rsidRPr="00496592">
        <w:rPr>
          <w:sz w:val="26"/>
          <w:szCs w:val="26"/>
        </w:rPr>
        <w:t xml:space="preserve">issued payment arrangement.  </w:t>
      </w:r>
      <w:r w:rsidR="00E301A6" w:rsidRPr="00496592">
        <w:rPr>
          <w:sz w:val="26"/>
          <w:szCs w:val="26"/>
        </w:rPr>
        <w:t>Instead, the ALJ found that it was PGW that breached this payment arrangement.</w:t>
      </w:r>
      <w:r w:rsidR="006D4457" w:rsidRPr="00496592">
        <w:rPr>
          <w:sz w:val="26"/>
          <w:szCs w:val="26"/>
        </w:rPr>
        <w:t xml:space="preserve">  I.D. at 18-20.  </w:t>
      </w:r>
    </w:p>
    <w:p w:rsidR="00E301A6" w:rsidRPr="00496592" w:rsidRDefault="00E301A6" w:rsidP="0096670B">
      <w:pPr>
        <w:spacing w:line="360" w:lineRule="auto"/>
        <w:ind w:firstLine="1440"/>
        <w:rPr>
          <w:sz w:val="26"/>
          <w:szCs w:val="26"/>
        </w:rPr>
      </w:pPr>
    </w:p>
    <w:p w:rsidR="00003E97" w:rsidRPr="00496592" w:rsidRDefault="00E301A6" w:rsidP="00003E97">
      <w:pPr>
        <w:spacing w:line="360" w:lineRule="auto"/>
        <w:ind w:firstLine="1440"/>
        <w:rPr>
          <w:sz w:val="26"/>
          <w:szCs w:val="26"/>
        </w:rPr>
      </w:pPr>
      <w:r w:rsidRPr="00496592">
        <w:rPr>
          <w:sz w:val="26"/>
          <w:szCs w:val="26"/>
        </w:rPr>
        <w:t>Nonetheless, the ALJ</w:t>
      </w:r>
      <w:r w:rsidR="009D66E6" w:rsidRPr="00496592">
        <w:rPr>
          <w:sz w:val="26"/>
          <w:szCs w:val="26"/>
        </w:rPr>
        <w:t xml:space="preserve"> </w:t>
      </w:r>
      <w:r w:rsidR="006D4457" w:rsidRPr="00496592">
        <w:rPr>
          <w:sz w:val="26"/>
          <w:szCs w:val="26"/>
        </w:rPr>
        <w:t xml:space="preserve">noted that under Section 1405(d) of the Code, 66 Pa. C.S. § 1405(d), the Commission cannot order PGW to reinstate the April 15, 2013 </w:t>
      </w:r>
      <w:r w:rsidR="006D4457" w:rsidRPr="00496592">
        <w:rPr>
          <w:sz w:val="26"/>
          <w:szCs w:val="26"/>
        </w:rPr>
        <w:lastRenderedPageBreak/>
        <w:t>Company</w:t>
      </w:r>
      <w:r w:rsidR="00F65898">
        <w:rPr>
          <w:sz w:val="26"/>
          <w:szCs w:val="26"/>
        </w:rPr>
        <w:t>-</w:t>
      </w:r>
      <w:r w:rsidR="006D4457" w:rsidRPr="00496592">
        <w:rPr>
          <w:sz w:val="26"/>
          <w:szCs w:val="26"/>
        </w:rPr>
        <w:t xml:space="preserve">issued arrangement because the Complainant has defaulted on a Commission-issued payment arrangement and has experienced neither a change in income </w:t>
      </w:r>
      <w:r w:rsidR="008503D2" w:rsidRPr="00496592">
        <w:rPr>
          <w:sz w:val="26"/>
          <w:szCs w:val="26"/>
        </w:rPr>
        <w:t>n</w:t>
      </w:r>
      <w:r w:rsidR="006D4457" w:rsidRPr="00496592">
        <w:rPr>
          <w:sz w:val="26"/>
          <w:szCs w:val="26"/>
        </w:rPr>
        <w:t xml:space="preserve">or a change in circumstance.  Further, the ALJ pointed out that the Complainant has demonstrated a poor payment history and a history of default.  Consequently, the ALJ determined that it was reasonable not to exercise equity for the Complainant by restoring him to the position he held prior to PGW’s breach of the April 15, 2013 </w:t>
      </w:r>
      <w:r w:rsidR="00112B05">
        <w:rPr>
          <w:sz w:val="26"/>
          <w:szCs w:val="26"/>
        </w:rPr>
        <w:t>p</w:t>
      </w:r>
      <w:r w:rsidR="006D4457" w:rsidRPr="00496592">
        <w:rPr>
          <w:sz w:val="26"/>
          <w:szCs w:val="26"/>
        </w:rPr>
        <w:t xml:space="preserve">ayment </w:t>
      </w:r>
      <w:r w:rsidR="00112B05">
        <w:rPr>
          <w:sz w:val="26"/>
          <w:szCs w:val="26"/>
        </w:rPr>
        <w:t>a</w:t>
      </w:r>
      <w:r w:rsidR="006D4457" w:rsidRPr="00496592">
        <w:rPr>
          <w:sz w:val="26"/>
          <w:szCs w:val="26"/>
        </w:rPr>
        <w:t xml:space="preserve">rrangement. </w:t>
      </w:r>
      <w:r w:rsidR="009D66E6" w:rsidRPr="00496592">
        <w:rPr>
          <w:sz w:val="26"/>
          <w:szCs w:val="26"/>
        </w:rPr>
        <w:t xml:space="preserve"> </w:t>
      </w:r>
      <w:r w:rsidR="008503D2" w:rsidRPr="00496592">
        <w:rPr>
          <w:sz w:val="26"/>
          <w:szCs w:val="26"/>
        </w:rPr>
        <w:t>Instead, the ALJ ruled that in order to have his gas service restored at his Service Address, the Complainant must pay PGW in the amount of $2,829.17.</w:t>
      </w:r>
      <w:r w:rsidR="008503D2" w:rsidRPr="00496592">
        <w:rPr>
          <w:rStyle w:val="FootnoteReference"/>
        </w:rPr>
        <w:footnoteReference w:id="3"/>
      </w:r>
      <w:r w:rsidR="008503D2" w:rsidRPr="00496592">
        <w:rPr>
          <w:sz w:val="26"/>
          <w:szCs w:val="26"/>
        </w:rPr>
        <w:t xml:space="preserve">  </w:t>
      </w:r>
      <w:proofErr w:type="gramStart"/>
      <w:r w:rsidR="006D4457" w:rsidRPr="00496592">
        <w:rPr>
          <w:sz w:val="26"/>
          <w:szCs w:val="26"/>
        </w:rPr>
        <w:t>I.D. 20</w:t>
      </w:r>
      <w:r w:rsidR="004A6548">
        <w:rPr>
          <w:sz w:val="26"/>
          <w:szCs w:val="26"/>
        </w:rPr>
        <w:t> </w:t>
      </w:r>
      <w:r w:rsidR="006D4457" w:rsidRPr="00496592">
        <w:rPr>
          <w:sz w:val="26"/>
          <w:szCs w:val="26"/>
        </w:rPr>
        <w:t>21</w:t>
      </w:r>
      <w:r w:rsidR="008503D2" w:rsidRPr="00496592">
        <w:rPr>
          <w:sz w:val="26"/>
          <w:szCs w:val="26"/>
        </w:rPr>
        <w:t>.</w:t>
      </w:r>
      <w:proofErr w:type="gramEnd"/>
    </w:p>
    <w:p w:rsidR="00003E97" w:rsidRPr="00496592" w:rsidRDefault="00003E97" w:rsidP="00003E97">
      <w:pPr>
        <w:spacing w:line="360" w:lineRule="auto"/>
        <w:rPr>
          <w:sz w:val="26"/>
          <w:szCs w:val="26"/>
        </w:rPr>
      </w:pPr>
    </w:p>
    <w:p w:rsidR="00003E97" w:rsidRPr="00496592" w:rsidRDefault="00003E97" w:rsidP="00003E97">
      <w:pPr>
        <w:spacing w:line="360" w:lineRule="auto"/>
        <w:rPr>
          <w:sz w:val="26"/>
          <w:szCs w:val="26"/>
        </w:rPr>
      </w:pPr>
      <w:r w:rsidRPr="00496592">
        <w:rPr>
          <w:sz w:val="26"/>
          <w:szCs w:val="26"/>
        </w:rPr>
        <w:t>3.</w:t>
      </w:r>
      <w:r w:rsidRPr="00496592">
        <w:rPr>
          <w:sz w:val="26"/>
          <w:szCs w:val="26"/>
        </w:rPr>
        <w:tab/>
        <w:t xml:space="preserve">Processing the </w:t>
      </w:r>
      <w:r w:rsidR="008804AB">
        <w:rPr>
          <w:sz w:val="26"/>
          <w:szCs w:val="26"/>
        </w:rPr>
        <w:t>c</w:t>
      </w:r>
      <w:r w:rsidRPr="00496592">
        <w:rPr>
          <w:sz w:val="26"/>
          <w:szCs w:val="26"/>
        </w:rPr>
        <w:t xml:space="preserve">ertificate of </w:t>
      </w:r>
      <w:r w:rsidR="008804AB">
        <w:rPr>
          <w:sz w:val="26"/>
          <w:szCs w:val="26"/>
        </w:rPr>
        <w:t>s</w:t>
      </w:r>
      <w:r w:rsidRPr="00496592">
        <w:rPr>
          <w:sz w:val="26"/>
          <w:szCs w:val="26"/>
        </w:rPr>
        <w:t>atisfaction</w:t>
      </w:r>
    </w:p>
    <w:p w:rsidR="00B602BD" w:rsidRPr="00496592" w:rsidRDefault="00B602BD" w:rsidP="00B602BD">
      <w:pPr>
        <w:spacing w:line="360" w:lineRule="auto"/>
        <w:ind w:firstLine="720"/>
        <w:rPr>
          <w:sz w:val="26"/>
          <w:szCs w:val="26"/>
        </w:rPr>
      </w:pPr>
    </w:p>
    <w:p w:rsidR="00003E97" w:rsidRPr="00496592" w:rsidRDefault="00B602BD" w:rsidP="006F2193">
      <w:pPr>
        <w:spacing w:line="360" w:lineRule="auto"/>
        <w:ind w:firstLine="1440"/>
        <w:rPr>
          <w:sz w:val="26"/>
          <w:szCs w:val="26"/>
        </w:rPr>
      </w:pPr>
      <w:r w:rsidRPr="00496592">
        <w:rPr>
          <w:sz w:val="26"/>
          <w:szCs w:val="26"/>
        </w:rPr>
        <w:t xml:space="preserve">The ALJ also addressed the </w:t>
      </w:r>
      <w:r w:rsidR="007F57A4">
        <w:rPr>
          <w:sz w:val="26"/>
          <w:szCs w:val="26"/>
        </w:rPr>
        <w:t>l</w:t>
      </w:r>
      <w:r w:rsidRPr="00496592">
        <w:rPr>
          <w:sz w:val="26"/>
          <w:szCs w:val="26"/>
        </w:rPr>
        <w:t xml:space="preserve">etter PGW </w:t>
      </w:r>
      <w:r w:rsidR="00F65F24" w:rsidRPr="00496592">
        <w:rPr>
          <w:sz w:val="26"/>
          <w:szCs w:val="26"/>
        </w:rPr>
        <w:t>filed</w:t>
      </w:r>
      <w:r w:rsidRPr="00496592">
        <w:rPr>
          <w:sz w:val="26"/>
          <w:szCs w:val="26"/>
        </w:rPr>
        <w:t xml:space="preserve"> arguing that the Parties had reached a settlement in the instant case.  </w:t>
      </w:r>
      <w:r w:rsidR="00624410" w:rsidRPr="00496592">
        <w:rPr>
          <w:sz w:val="26"/>
          <w:szCs w:val="26"/>
        </w:rPr>
        <w:t xml:space="preserve">PGW’s witness </w:t>
      </w:r>
      <w:r w:rsidR="007F57A4">
        <w:rPr>
          <w:sz w:val="26"/>
          <w:szCs w:val="26"/>
        </w:rPr>
        <w:t xml:space="preserve">testified that an </w:t>
      </w:r>
      <w:r w:rsidR="00624410" w:rsidRPr="00496592">
        <w:rPr>
          <w:sz w:val="26"/>
          <w:szCs w:val="26"/>
        </w:rPr>
        <w:t xml:space="preserve">oral settlement </w:t>
      </w:r>
      <w:r w:rsidR="007F57A4">
        <w:rPr>
          <w:sz w:val="26"/>
          <w:szCs w:val="26"/>
        </w:rPr>
        <w:t xml:space="preserve">was reached </w:t>
      </w:r>
      <w:r w:rsidR="00624410" w:rsidRPr="00496592">
        <w:rPr>
          <w:sz w:val="26"/>
          <w:szCs w:val="26"/>
        </w:rPr>
        <w:t>by telephone conversation.  In contrast, the Complainant argued that no settlement was reached and that he agreed only to have paperwork sent to him to review the settlement.  Further, the Complainant argued that he never received a letter stating that there was a settlement or what the terms of the settlement were. Tr</w:t>
      </w:r>
      <w:r w:rsidR="00112B05">
        <w:rPr>
          <w:sz w:val="26"/>
          <w:szCs w:val="26"/>
        </w:rPr>
        <w:t>.</w:t>
      </w:r>
      <w:r w:rsidR="00624410" w:rsidRPr="00496592">
        <w:rPr>
          <w:sz w:val="26"/>
          <w:szCs w:val="26"/>
        </w:rPr>
        <w:t xml:space="preserve"> at 45-47.</w:t>
      </w:r>
    </w:p>
    <w:p w:rsidR="00624410" w:rsidRPr="00496592" w:rsidRDefault="00624410" w:rsidP="006F2193">
      <w:pPr>
        <w:spacing w:line="360" w:lineRule="auto"/>
        <w:ind w:firstLine="1440"/>
        <w:rPr>
          <w:sz w:val="26"/>
          <w:szCs w:val="26"/>
        </w:rPr>
      </w:pPr>
    </w:p>
    <w:p w:rsidR="00624410" w:rsidRPr="00496592" w:rsidRDefault="006F2193" w:rsidP="006F2193">
      <w:pPr>
        <w:spacing w:line="360" w:lineRule="auto"/>
        <w:ind w:firstLine="1440"/>
        <w:rPr>
          <w:sz w:val="26"/>
          <w:szCs w:val="26"/>
        </w:rPr>
      </w:pPr>
      <w:r w:rsidRPr="00496592">
        <w:rPr>
          <w:sz w:val="26"/>
          <w:szCs w:val="26"/>
        </w:rPr>
        <w:t xml:space="preserve">The ALJ ruled in favor of the Complainant, finding his testimony that no settlement was reached to be credible.  The ALJ pointed to the Complainant’s actions, including the fact that he called the Commission regarding the status of his Complaint and the date of his evidentiary hearing, as supportive of the Complainant’s argument that there was no settlement.  Further, the ALJ pointed out that PGW could give no rationale for why a name </w:t>
      </w:r>
      <w:r w:rsidR="00C96FFD">
        <w:rPr>
          <w:sz w:val="26"/>
          <w:szCs w:val="26"/>
        </w:rPr>
        <w:t xml:space="preserve">different </w:t>
      </w:r>
      <w:r w:rsidRPr="00496592">
        <w:rPr>
          <w:sz w:val="26"/>
          <w:szCs w:val="26"/>
        </w:rPr>
        <w:t xml:space="preserve">than the Complainant’s was copied on the certificate of </w:t>
      </w:r>
      <w:r w:rsidRPr="00496592">
        <w:rPr>
          <w:sz w:val="26"/>
          <w:szCs w:val="26"/>
        </w:rPr>
        <w:lastRenderedPageBreak/>
        <w:t>satisfaction.  Accordingly, the ALJ found that PGW did not correctly process the certificate of satisfaction.</w:t>
      </w:r>
      <w:r w:rsidR="00572A0E" w:rsidRPr="00496592">
        <w:rPr>
          <w:sz w:val="26"/>
          <w:szCs w:val="26"/>
        </w:rPr>
        <w:t xml:space="preserve">  I.D. at 22-23.</w:t>
      </w:r>
    </w:p>
    <w:p w:rsidR="00003E97" w:rsidRPr="00496592" w:rsidRDefault="00003E97" w:rsidP="00003E97">
      <w:pPr>
        <w:spacing w:line="360" w:lineRule="auto"/>
        <w:rPr>
          <w:sz w:val="26"/>
          <w:szCs w:val="26"/>
        </w:rPr>
      </w:pPr>
    </w:p>
    <w:p w:rsidR="00003E97" w:rsidRPr="00496592" w:rsidRDefault="00003E97" w:rsidP="00003E97">
      <w:pPr>
        <w:ind w:left="810" w:hanging="810"/>
        <w:rPr>
          <w:sz w:val="26"/>
          <w:szCs w:val="26"/>
        </w:rPr>
      </w:pPr>
      <w:r w:rsidRPr="00496592">
        <w:rPr>
          <w:sz w:val="26"/>
          <w:szCs w:val="26"/>
        </w:rPr>
        <w:t>4.</w:t>
      </w:r>
      <w:r w:rsidRPr="00496592">
        <w:rPr>
          <w:sz w:val="26"/>
          <w:szCs w:val="26"/>
        </w:rPr>
        <w:tab/>
      </w:r>
      <w:r w:rsidR="008804AB">
        <w:rPr>
          <w:sz w:val="26"/>
          <w:szCs w:val="26"/>
        </w:rPr>
        <w:t>R</w:t>
      </w:r>
      <w:r w:rsidRPr="00496592">
        <w:rPr>
          <w:sz w:val="26"/>
          <w:szCs w:val="26"/>
        </w:rPr>
        <w:t xml:space="preserve">esponsibility for </w:t>
      </w:r>
      <w:r w:rsidR="008804AB">
        <w:rPr>
          <w:sz w:val="26"/>
          <w:szCs w:val="26"/>
        </w:rPr>
        <w:t xml:space="preserve">and </w:t>
      </w:r>
      <w:r w:rsidRPr="00496592">
        <w:rPr>
          <w:sz w:val="26"/>
          <w:szCs w:val="26"/>
        </w:rPr>
        <w:t>consequence</w:t>
      </w:r>
      <w:r w:rsidR="008804AB">
        <w:rPr>
          <w:sz w:val="26"/>
          <w:szCs w:val="26"/>
        </w:rPr>
        <w:t>s</w:t>
      </w:r>
      <w:r w:rsidRPr="00496592">
        <w:rPr>
          <w:sz w:val="26"/>
          <w:szCs w:val="26"/>
        </w:rPr>
        <w:t xml:space="preserve"> of PGW’s operational errors</w:t>
      </w:r>
    </w:p>
    <w:p w:rsidR="00E02101" w:rsidRPr="00496592" w:rsidRDefault="00E02101" w:rsidP="00003E97">
      <w:pPr>
        <w:spacing w:line="360" w:lineRule="auto"/>
        <w:ind w:firstLine="1440"/>
        <w:rPr>
          <w:sz w:val="26"/>
          <w:szCs w:val="26"/>
        </w:rPr>
      </w:pPr>
    </w:p>
    <w:p w:rsidR="008256EC" w:rsidRPr="00496592" w:rsidRDefault="00351917" w:rsidP="00003E97">
      <w:pPr>
        <w:spacing w:line="360" w:lineRule="auto"/>
        <w:ind w:firstLine="1440"/>
        <w:rPr>
          <w:sz w:val="26"/>
          <w:szCs w:val="26"/>
        </w:rPr>
      </w:pPr>
      <w:r w:rsidRPr="00496592">
        <w:rPr>
          <w:sz w:val="26"/>
          <w:szCs w:val="26"/>
        </w:rPr>
        <w:t>Based on the above, t</w:t>
      </w:r>
      <w:r w:rsidR="008256EC" w:rsidRPr="00496592">
        <w:rPr>
          <w:sz w:val="26"/>
          <w:szCs w:val="26"/>
        </w:rPr>
        <w:t>he ALJ found that PGW committed the following operational errors:</w:t>
      </w:r>
    </w:p>
    <w:p w:rsidR="008256EC" w:rsidRPr="00496592" w:rsidRDefault="008256EC" w:rsidP="00003E97">
      <w:pPr>
        <w:spacing w:line="360" w:lineRule="auto"/>
        <w:ind w:firstLine="1440"/>
        <w:rPr>
          <w:sz w:val="26"/>
          <w:szCs w:val="26"/>
        </w:rPr>
      </w:pPr>
    </w:p>
    <w:p w:rsidR="001F23BA" w:rsidRPr="00496592" w:rsidRDefault="001F23BA" w:rsidP="001469A0">
      <w:pPr>
        <w:ind w:left="2160" w:right="1440" w:hanging="720"/>
        <w:rPr>
          <w:sz w:val="26"/>
          <w:szCs w:val="26"/>
        </w:rPr>
      </w:pPr>
      <w:r w:rsidRPr="00496592">
        <w:rPr>
          <w:sz w:val="26"/>
          <w:szCs w:val="26"/>
        </w:rPr>
        <w:t>(1)</w:t>
      </w:r>
      <w:r w:rsidR="001469A0">
        <w:rPr>
          <w:sz w:val="26"/>
          <w:szCs w:val="26"/>
        </w:rPr>
        <w:tab/>
      </w:r>
      <w:r w:rsidRPr="00496592">
        <w:rPr>
          <w:sz w:val="26"/>
          <w:szCs w:val="26"/>
        </w:rPr>
        <w:t>PGW did not correctly process the $700 payment made by the Complainant;</w:t>
      </w:r>
    </w:p>
    <w:p w:rsidR="001F23BA" w:rsidRPr="00496592" w:rsidRDefault="001F23BA" w:rsidP="001F23BA">
      <w:pPr>
        <w:ind w:left="1800" w:right="1440" w:hanging="360"/>
        <w:rPr>
          <w:sz w:val="26"/>
          <w:szCs w:val="26"/>
        </w:rPr>
      </w:pPr>
    </w:p>
    <w:p w:rsidR="001F23BA" w:rsidRPr="00496592" w:rsidRDefault="001F23BA" w:rsidP="001469A0">
      <w:pPr>
        <w:ind w:left="2160" w:right="1440" w:hanging="720"/>
        <w:rPr>
          <w:sz w:val="26"/>
          <w:szCs w:val="26"/>
        </w:rPr>
      </w:pPr>
      <w:r w:rsidRPr="00496592">
        <w:rPr>
          <w:sz w:val="26"/>
          <w:szCs w:val="26"/>
        </w:rPr>
        <w:t>(2)</w:t>
      </w:r>
      <w:r w:rsidR="001469A0">
        <w:rPr>
          <w:sz w:val="26"/>
          <w:szCs w:val="26"/>
        </w:rPr>
        <w:tab/>
      </w:r>
      <w:r w:rsidRPr="00496592">
        <w:rPr>
          <w:sz w:val="26"/>
          <w:szCs w:val="26"/>
        </w:rPr>
        <w:t>PGW did not provide effective actual notice to the Complainant that further contact with the Company was needed if he desired to be reinstated on his most recent payment arrangement; and</w:t>
      </w:r>
    </w:p>
    <w:p w:rsidR="001F23BA" w:rsidRPr="00496592" w:rsidRDefault="001F23BA" w:rsidP="001F23BA">
      <w:pPr>
        <w:ind w:left="1890" w:right="1440" w:hanging="450"/>
        <w:rPr>
          <w:sz w:val="26"/>
          <w:szCs w:val="26"/>
        </w:rPr>
      </w:pPr>
    </w:p>
    <w:p w:rsidR="001F23BA" w:rsidRPr="00496592" w:rsidRDefault="001F23BA" w:rsidP="001469A0">
      <w:pPr>
        <w:ind w:left="2160" w:right="1440" w:hanging="720"/>
        <w:rPr>
          <w:sz w:val="26"/>
          <w:szCs w:val="26"/>
        </w:rPr>
      </w:pPr>
      <w:r w:rsidRPr="00496592">
        <w:rPr>
          <w:sz w:val="26"/>
          <w:szCs w:val="26"/>
        </w:rPr>
        <w:t xml:space="preserve">(3) </w:t>
      </w:r>
      <w:r w:rsidR="001469A0">
        <w:rPr>
          <w:sz w:val="26"/>
          <w:szCs w:val="26"/>
        </w:rPr>
        <w:tab/>
      </w:r>
      <w:r w:rsidRPr="00496592">
        <w:rPr>
          <w:sz w:val="26"/>
          <w:szCs w:val="26"/>
        </w:rPr>
        <w:t>PGW did not process the certificate of satisfaction correctly</w:t>
      </w:r>
    </w:p>
    <w:p w:rsidR="001F23BA" w:rsidRPr="00496592" w:rsidRDefault="001F23BA" w:rsidP="001F23BA">
      <w:pPr>
        <w:spacing w:line="360" w:lineRule="auto"/>
        <w:rPr>
          <w:sz w:val="26"/>
          <w:szCs w:val="26"/>
        </w:rPr>
      </w:pPr>
    </w:p>
    <w:p w:rsidR="00A53B44" w:rsidRPr="00496592" w:rsidRDefault="001F23BA" w:rsidP="000C5833">
      <w:pPr>
        <w:spacing w:line="360" w:lineRule="auto"/>
        <w:rPr>
          <w:sz w:val="26"/>
          <w:szCs w:val="26"/>
        </w:rPr>
      </w:pPr>
      <w:proofErr w:type="gramStart"/>
      <w:r w:rsidRPr="00496592">
        <w:rPr>
          <w:sz w:val="26"/>
          <w:szCs w:val="26"/>
        </w:rPr>
        <w:t>I.D. at 23.</w:t>
      </w:r>
      <w:proofErr w:type="gramEnd"/>
      <w:r w:rsidRPr="00496592">
        <w:rPr>
          <w:sz w:val="26"/>
          <w:szCs w:val="26"/>
        </w:rPr>
        <w:t xml:space="preserve">  The ALJ opined that PGW should be held responsible and accountable for these operational errors.  </w:t>
      </w:r>
      <w:proofErr w:type="gramStart"/>
      <w:r w:rsidR="000C5833" w:rsidRPr="00496592">
        <w:rPr>
          <w:i/>
          <w:sz w:val="26"/>
          <w:szCs w:val="26"/>
        </w:rPr>
        <w:t>Id.</w:t>
      </w:r>
      <w:r w:rsidR="000C5833" w:rsidRPr="00496592">
        <w:rPr>
          <w:sz w:val="26"/>
          <w:szCs w:val="26"/>
        </w:rPr>
        <w:t xml:space="preserve"> at 24.</w:t>
      </w:r>
      <w:proofErr w:type="gramEnd"/>
      <w:r w:rsidR="000C5833" w:rsidRPr="00496592">
        <w:rPr>
          <w:sz w:val="26"/>
          <w:szCs w:val="26"/>
        </w:rPr>
        <w:t xml:space="preserve">  The ALJ pointed to Section 3301(a) of the Code, 66 Pa. C.S. § 3301(a), which provides for the imposition of civil penalties on public utilities for acts of negligence in violation of the Code.  Additionally, the ALJ pointed to the policy statement outlined in our Regulations at 52 Pa. Code § 69.1201(a) as controlling </w:t>
      </w:r>
      <w:r w:rsidR="007C5796" w:rsidRPr="00496592">
        <w:rPr>
          <w:sz w:val="26"/>
          <w:szCs w:val="26"/>
        </w:rPr>
        <w:t xml:space="preserve">in determining </w:t>
      </w:r>
      <w:r w:rsidR="000C5833" w:rsidRPr="00496592">
        <w:rPr>
          <w:sz w:val="26"/>
          <w:szCs w:val="26"/>
        </w:rPr>
        <w:t>the amount of a civil penalty that is assessable.  However, the</w:t>
      </w:r>
      <w:r w:rsidR="007347C0" w:rsidRPr="00496592">
        <w:rPr>
          <w:sz w:val="26"/>
          <w:szCs w:val="26"/>
        </w:rPr>
        <w:t xml:space="preserve"> ALJ found that the record lack</w:t>
      </w:r>
      <w:r w:rsidR="008804AB">
        <w:rPr>
          <w:sz w:val="26"/>
          <w:szCs w:val="26"/>
        </w:rPr>
        <w:t>ed</w:t>
      </w:r>
      <w:r w:rsidR="007347C0" w:rsidRPr="00496592">
        <w:rPr>
          <w:sz w:val="26"/>
          <w:szCs w:val="26"/>
        </w:rPr>
        <w:t xml:space="preserve"> sufficient evidence necessary to perform an analysis consistent with </w:t>
      </w:r>
      <w:r w:rsidR="000C5833" w:rsidRPr="00496592">
        <w:rPr>
          <w:sz w:val="26"/>
          <w:szCs w:val="26"/>
        </w:rPr>
        <w:t>this section of our Regulations</w:t>
      </w:r>
      <w:r w:rsidR="007347C0" w:rsidRPr="00496592">
        <w:rPr>
          <w:sz w:val="26"/>
          <w:szCs w:val="26"/>
        </w:rPr>
        <w:t xml:space="preserve"> for the purpose of determining if fining PGW </w:t>
      </w:r>
      <w:r w:rsidR="000C5833" w:rsidRPr="00496592">
        <w:rPr>
          <w:sz w:val="26"/>
          <w:szCs w:val="26"/>
        </w:rPr>
        <w:t xml:space="preserve">for its operational errors in the instant case </w:t>
      </w:r>
      <w:r w:rsidR="008804AB">
        <w:rPr>
          <w:sz w:val="26"/>
          <w:szCs w:val="26"/>
        </w:rPr>
        <w:t>was</w:t>
      </w:r>
      <w:r w:rsidR="007347C0" w:rsidRPr="00496592">
        <w:rPr>
          <w:sz w:val="26"/>
          <w:szCs w:val="26"/>
        </w:rPr>
        <w:t xml:space="preserve"> warranted, and if so, in what amount.  Therefore, the ALJ recommended that Commission Staff, including staff from BCS and the L</w:t>
      </w:r>
      <w:r w:rsidR="00112B05">
        <w:rPr>
          <w:sz w:val="26"/>
          <w:szCs w:val="26"/>
        </w:rPr>
        <w:t>aw</w:t>
      </w:r>
      <w:r w:rsidR="007347C0" w:rsidRPr="00496592">
        <w:rPr>
          <w:sz w:val="26"/>
          <w:szCs w:val="26"/>
        </w:rPr>
        <w:t xml:space="preserve"> Bureau, investigate and provide a recommendation regarding PGW’s operations in the communication of settlements, the processing of certificates of satisfaction, and the </w:t>
      </w:r>
      <w:r w:rsidR="007347C0" w:rsidRPr="00496592">
        <w:rPr>
          <w:sz w:val="26"/>
          <w:szCs w:val="26"/>
        </w:rPr>
        <w:lastRenderedPageBreak/>
        <w:t xml:space="preserve">provision of notice to customers regarding the reinstatement of payment arrangements.  </w:t>
      </w:r>
      <w:r w:rsidR="000C5833" w:rsidRPr="00496592">
        <w:rPr>
          <w:i/>
          <w:sz w:val="26"/>
          <w:szCs w:val="26"/>
        </w:rPr>
        <w:t>Id.</w:t>
      </w:r>
      <w:r w:rsidR="007347C0" w:rsidRPr="00496592">
        <w:rPr>
          <w:sz w:val="26"/>
          <w:szCs w:val="26"/>
        </w:rPr>
        <w:t xml:space="preserve"> at </w:t>
      </w:r>
      <w:r w:rsidR="000C5833" w:rsidRPr="00496592">
        <w:rPr>
          <w:sz w:val="26"/>
          <w:szCs w:val="26"/>
        </w:rPr>
        <w:t>25-</w:t>
      </w:r>
      <w:r w:rsidR="007347C0" w:rsidRPr="00496592">
        <w:rPr>
          <w:sz w:val="26"/>
          <w:szCs w:val="26"/>
        </w:rPr>
        <w:t>26.</w:t>
      </w:r>
    </w:p>
    <w:p w:rsidR="00411FC9" w:rsidRPr="00496592" w:rsidRDefault="00411FC9" w:rsidP="00F57512">
      <w:pPr>
        <w:spacing w:line="360" w:lineRule="auto"/>
        <w:rPr>
          <w:sz w:val="26"/>
          <w:szCs w:val="26"/>
        </w:rPr>
      </w:pPr>
    </w:p>
    <w:p w:rsidR="00867150" w:rsidRPr="00496592" w:rsidRDefault="00867150" w:rsidP="00587D7D">
      <w:pPr>
        <w:spacing w:line="360" w:lineRule="auto"/>
        <w:rPr>
          <w:b/>
          <w:sz w:val="26"/>
        </w:rPr>
      </w:pPr>
      <w:r w:rsidRPr="00496592">
        <w:rPr>
          <w:b/>
          <w:sz w:val="26"/>
        </w:rPr>
        <w:t>Disposition</w:t>
      </w:r>
    </w:p>
    <w:p w:rsidR="00AC275F" w:rsidRPr="00496592" w:rsidRDefault="00AC275F" w:rsidP="00411FC9">
      <w:pPr>
        <w:spacing w:line="360" w:lineRule="auto"/>
        <w:rPr>
          <w:sz w:val="26"/>
          <w:szCs w:val="26"/>
        </w:rPr>
      </w:pPr>
    </w:p>
    <w:p w:rsidR="00AC241B" w:rsidRPr="00496592" w:rsidRDefault="00411FC9" w:rsidP="00AC241B">
      <w:pPr>
        <w:spacing w:line="360" w:lineRule="auto"/>
        <w:ind w:firstLine="1440"/>
        <w:rPr>
          <w:sz w:val="26"/>
          <w:szCs w:val="26"/>
        </w:rPr>
      </w:pPr>
      <w:r w:rsidRPr="00496592">
        <w:rPr>
          <w:sz w:val="26"/>
          <w:szCs w:val="26"/>
        </w:rPr>
        <w:t xml:space="preserve">On consideration of the positions of the Parties and the record evidence, we shall modify the Initial Decision of ALJ </w:t>
      </w:r>
      <w:r w:rsidR="00C04450" w:rsidRPr="00496592">
        <w:rPr>
          <w:sz w:val="26"/>
          <w:szCs w:val="26"/>
        </w:rPr>
        <w:t>Jones consistent with the discussion herein</w:t>
      </w:r>
      <w:r w:rsidRPr="00496592">
        <w:rPr>
          <w:sz w:val="26"/>
          <w:szCs w:val="26"/>
        </w:rPr>
        <w:t xml:space="preserve">.  </w:t>
      </w:r>
      <w:r w:rsidR="00AC241B" w:rsidRPr="00496592">
        <w:rPr>
          <w:sz w:val="26"/>
          <w:szCs w:val="26"/>
        </w:rPr>
        <w:t xml:space="preserve">At the outset, we </w:t>
      </w:r>
      <w:r w:rsidR="00C215E6" w:rsidRPr="00496592">
        <w:rPr>
          <w:sz w:val="26"/>
          <w:szCs w:val="26"/>
        </w:rPr>
        <w:t xml:space="preserve">find sufficient evidence in the record to support the ALJ’s conclusion that PGW failed to properly process the certificate of satisfaction.  Specifically, the record indicates </w:t>
      </w:r>
      <w:r w:rsidR="001469A0">
        <w:rPr>
          <w:sz w:val="26"/>
          <w:szCs w:val="26"/>
        </w:rPr>
        <w:t xml:space="preserve">that the Complainant admitted to </w:t>
      </w:r>
      <w:r w:rsidR="00C215E6" w:rsidRPr="00496592">
        <w:rPr>
          <w:sz w:val="26"/>
          <w:szCs w:val="26"/>
        </w:rPr>
        <w:t>agreeing to review a proposed settlement between him and PGW.  However, the Complainant contended that PGW never mailed the settlement to him.  Review of the settlement document indicates the use of the name “Kevin Young” instead of the Complainant’s name.</w:t>
      </w:r>
    </w:p>
    <w:p w:rsidR="00AC241B" w:rsidRPr="00496592" w:rsidRDefault="00AC241B" w:rsidP="00AC241B">
      <w:pPr>
        <w:spacing w:line="360" w:lineRule="auto"/>
        <w:ind w:firstLine="1440"/>
        <w:rPr>
          <w:sz w:val="26"/>
          <w:szCs w:val="26"/>
        </w:rPr>
      </w:pPr>
    </w:p>
    <w:p w:rsidR="00D769AA" w:rsidRPr="00496592" w:rsidRDefault="00B239E0" w:rsidP="00AC241B">
      <w:pPr>
        <w:spacing w:line="360" w:lineRule="auto"/>
        <w:ind w:firstLine="1440"/>
        <w:rPr>
          <w:sz w:val="26"/>
          <w:szCs w:val="26"/>
        </w:rPr>
      </w:pPr>
      <w:r w:rsidRPr="00496592">
        <w:rPr>
          <w:sz w:val="26"/>
          <w:szCs w:val="26"/>
        </w:rPr>
        <w:t xml:space="preserve">We </w:t>
      </w:r>
      <w:r w:rsidR="00C215E6" w:rsidRPr="00496592">
        <w:rPr>
          <w:sz w:val="26"/>
          <w:szCs w:val="26"/>
        </w:rPr>
        <w:t xml:space="preserve">likewise </w:t>
      </w:r>
      <w:r w:rsidRPr="00496592">
        <w:rPr>
          <w:sz w:val="26"/>
          <w:szCs w:val="26"/>
        </w:rPr>
        <w:t>concur with the ALJ that there is n</w:t>
      </w:r>
      <w:r w:rsidR="00AC241B" w:rsidRPr="00496592">
        <w:rPr>
          <w:sz w:val="26"/>
          <w:szCs w:val="26"/>
        </w:rPr>
        <w:t>o evidence that the Complainant had notice that he was obligated to contact the Company in order to be reinstated on a payment agreement after</w:t>
      </w:r>
      <w:r w:rsidR="00035509">
        <w:rPr>
          <w:sz w:val="26"/>
          <w:szCs w:val="26"/>
        </w:rPr>
        <w:t xml:space="preserve"> he</w:t>
      </w:r>
      <w:r w:rsidR="00AC241B" w:rsidRPr="00496592">
        <w:rPr>
          <w:sz w:val="26"/>
          <w:szCs w:val="26"/>
        </w:rPr>
        <w:t xml:space="preserve"> paid the $700.  Instead, the record indicates that PGW sent a ten-day shut-off notice to the Service </w:t>
      </w:r>
      <w:r w:rsidR="00035509">
        <w:rPr>
          <w:sz w:val="26"/>
          <w:szCs w:val="26"/>
        </w:rPr>
        <w:t>A</w:t>
      </w:r>
      <w:r w:rsidR="00AC241B" w:rsidRPr="00496592">
        <w:rPr>
          <w:sz w:val="26"/>
          <w:szCs w:val="26"/>
        </w:rPr>
        <w:t xml:space="preserve">ddress on July 15, 2013.  Subsequently, the Complainant contacted the Company to determine what amount he owed to catch-up and maintain his status on his payment agreement.  The Company informed him that he needed to pay $700 to do so.  </w:t>
      </w:r>
      <w:r w:rsidR="008F7A75" w:rsidRPr="00496592">
        <w:rPr>
          <w:sz w:val="26"/>
          <w:szCs w:val="26"/>
        </w:rPr>
        <w:t xml:space="preserve">On July 26, 2013, </w:t>
      </w:r>
      <w:r w:rsidR="00035509">
        <w:rPr>
          <w:sz w:val="26"/>
          <w:szCs w:val="26"/>
        </w:rPr>
        <w:t>t</w:t>
      </w:r>
      <w:r w:rsidR="00AC241B" w:rsidRPr="00496592">
        <w:rPr>
          <w:sz w:val="26"/>
          <w:szCs w:val="26"/>
        </w:rPr>
        <w:t xml:space="preserve">he Complainant </w:t>
      </w:r>
      <w:r w:rsidR="008F7A75" w:rsidRPr="00496592">
        <w:rPr>
          <w:sz w:val="26"/>
          <w:szCs w:val="26"/>
        </w:rPr>
        <w:t xml:space="preserve">visited a PGW district office and </w:t>
      </w:r>
      <w:r w:rsidR="00AC241B" w:rsidRPr="00496592">
        <w:rPr>
          <w:sz w:val="26"/>
          <w:szCs w:val="26"/>
        </w:rPr>
        <w:t>made the $700 payment as directed</w:t>
      </w:r>
      <w:r w:rsidR="0040386F" w:rsidRPr="00496592">
        <w:rPr>
          <w:sz w:val="26"/>
          <w:szCs w:val="26"/>
        </w:rPr>
        <w:t>.</w:t>
      </w:r>
      <w:r w:rsidR="00AC241B" w:rsidRPr="00496592">
        <w:rPr>
          <w:sz w:val="26"/>
          <w:szCs w:val="26"/>
        </w:rPr>
        <w:t xml:space="preserve">  However, after this payment was made, PGW did not reinstate the Complainant</w:t>
      </w:r>
      <w:r w:rsidR="008804AB">
        <w:rPr>
          <w:sz w:val="26"/>
          <w:szCs w:val="26"/>
        </w:rPr>
        <w:t>’s</w:t>
      </w:r>
      <w:r w:rsidR="00AC241B" w:rsidRPr="00496592">
        <w:rPr>
          <w:sz w:val="26"/>
          <w:szCs w:val="26"/>
        </w:rPr>
        <w:t xml:space="preserve"> previous payment arrangement.  Instead, the Company terminated service on August 14, 2013.  Similarly, we agree with the ALJ’s determination that PGW failed to correctly process the $700 made by the Complainant.  </w:t>
      </w:r>
      <w:r w:rsidR="00C04450" w:rsidRPr="00496592">
        <w:rPr>
          <w:sz w:val="26"/>
          <w:szCs w:val="26"/>
        </w:rPr>
        <w:t>Contrary to its communications to the Complainant, the record indicates that PGW allocated $105 of the payment to a past due security balance.  The Company</w:t>
      </w:r>
      <w:r w:rsidR="00F203A0">
        <w:rPr>
          <w:sz w:val="26"/>
          <w:szCs w:val="26"/>
        </w:rPr>
        <w:t>,</w:t>
      </w:r>
      <w:r w:rsidR="00C04450" w:rsidRPr="00496592">
        <w:rPr>
          <w:sz w:val="26"/>
          <w:szCs w:val="26"/>
        </w:rPr>
        <w:t xml:space="preserve"> therefore</w:t>
      </w:r>
      <w:r w:rsidR="00F203A0">
        <w:rPr>
          <w:sz w:val="26"/>
          <w:szCs w:val="26"/>
        </w:rPr>
        <w:t>,</w:t>
      </w:r>
      <w:r w:rsidR="00C04450" w:rsidRPr="00496592">
        <w:rPr>
          <w:sz w:val="26"/>
          <w:szCs w:val="26"/>
        </w:rPr>
        <w:t xml:space="preserve"> only processed $595 toward the </w:t>
      </w:r>
      <w:r w:rsidR="00AC241B" w:rsidRPr="00496592">
        <w:rPr>
          <w:sz w:val="26"/>
          <w:szCs w:val="26"/>
        </w:rPr>
        <w:t xml:space="preserve">$700 </w:t>
      </w:r>
      <w:r w:rsidR="00C04450" w:rsidRPr="00496592">
        <w:rPr>
          <w:sz w:val="26"/>
          <w:szCs w:val="26"/>
        </w:rPr>
        <w:t xml:space="preserve">catch-up amount.  </w:t>
      </w:r>
    </w:p>
    <w:p w:rsidR="00D769AA" w:rsidRPr="00496592" w:rsidRDefault="00D769AA" w:rsidP="00411FC9">
      <w:pPr>
        <w:spacing w:line="360" w:lineRule="auto"/>
        <w:ind w:firstLine="1440"/>
        <w:rPr>
          <w:sz w:val="26"/>
          <w:szCs w:val="26"/>
        </w:rPr>
      </w:pPr>
    </w:p>
    <w:p w:rsidR="00D769AA" w:rsidRPr="00496592" w:rsidRDefault="00DD7DBC" w:rsidP="00411FC9">
      <w:pPr>
        <w:spacing w:line="360" w:lineRule="auto"/>
        <w:ind w:firstLine="1440"/>
        <w:rPr>
          <w:sz w:val="26"/>
          <w:szCs w:val="26"/>
        </w:rPr>
      </w:pPr>
      <w:r w:rsidRPr="00496592">
        <w:rPr>
          <w:sz w:val="26"/>
          <w:szCs w:val="26"/>
        </w:rPr>
        <w:lastRenderedPageBreak/>
        <w:t xml:space="preserve">However, we are of the opinion that the ALJ has erred in her decision not to exercise equity for the Complainant.  </w:t>
      </w:r>
      <w:r w:rsidR="00D769AA" w:rsidRPr="00496592">
        <w:rPr>
          <w:sz w:val="26"/>
          <w:szCs w:val="26"/>
        </w:rPr>
        <w:t>In deliberating whether or not to reinstate the Company</w:t>
      </w:r>
      <w:r w:rsidR="00F65898">
        <w:rPr>
          <w:sz w:val="26"/>
          <w:szCs w:val="26"/>
        </w:rPr>
        <w:t>-</w:t>
      </w:r>
      <w:r w:rsidR="00B239E0" w:rsidRPr="00496592">
        <w:rPr>
          <w:sz w:val="26"/>
          <w:szCs w:val="26"/>
        </w:rPr>
        <w:t>issued</w:t>
      </w:r>
      <w:r w:rsidR="00D769AA" w:rsidRPr="00496592">
        <w:rPr>
          <w:sz w:val="26"/>
          <w:szCs w:val="26"/>
        </w:rPr>
        <w:t xml:space="preserve"> payment arrangement, the ALJ found that PGW did not comply with the terms of the July 24, 2013 verbal agreement it made with the Complainant regarding payment of the $700</w:t>
      </w:r>
      <w:r w:rsidR="00A87D4F" w:rsidRPr="00496592">
        <w:rPr>
          <w:sz w:val="26"/>
          <w:szCs w:val="26"/>
        </w:rPr>
        <w:t xml:space="preserve"> and the reinstatement of the payment arrangement.  The ALJ </w:t>
      </w:r>
      <w:r w:rsidR="00B901B6">
        <w:rPr>
          <w:sz w:val="26"/>
          <w:szCs w:val="26"/>
        </w:rPr>
        <w:t>f</w:t>
      </w:r>
      <w:r w:rsidR="00A87D4F" w:rsidRPr="00496592">
        <w:rPr>
          <w:sz w:val="26"/>
          <w:szCs w:val="26"/>
        </w:rPr>
        <w:t>urther submit</w:t>
      </w:r>
      <w:r w:rsidR="00715913">
        <w:rPr>
          <w:sz w:val="26"/>
          <w:szCs w:val="26"/>
        </w:rPr>
        <w:t>ted</w:t>
      </w:r>
      <w:r w:rsidR="00A87D4F" w:rsidRPr="00496592">
        <w:rPr>
          <w:sz w:val="26"/>
          <w:szCs w:val="26"/>
        </w:rPr>
        <w:t xml:space="preserve"> that equity would restore the Complainant </w:t>
      </w:r>
      <w:r w:rsidR="008804AB">
        <w:rPr>
          <w:sz w:val="26"/>
          <w:szCs w:val="26"/>
        </w:rPr>
        <w:t>to</w:t>
      </w:r>
      <w:r w:rsidR="00A87D4F" w:rsidRPr="00496592">
        <w:rPr>
          <w:sz w:val="26"/>
          <w:szCs w:val="26"/>
        </w:rPr>
        <w:t xml:space="preserve"> the position he held prior to PGW’s breach of the verbal agreement.  </w:t>
      </w:r>
      <w:r w:rsidR="00B901B6">
        <w:rPr>
          <w:sz w:val="26"/>
          <w:szCs w:val="26"/>
        </w:rPr>
        <w:t>Nonetheless</w:t>
      </w:r>
      <w:r w:rsidR="00A87D4F" w:rsidRPr="00496592">
        <w:rPr>
          <w:sz w:val="26"/>
          <w:szCs w:val="26"/>
        </w:rPr>
        <w:t>, the ALJ determine</w:t>
      </w:r>
      <w:r w:rsidR="00715913">
        <w:rPr>
          <w:sz w:val="26"/>
          <w:szCs w:val="26"/>
        </w:rPr>
        <w:t>d</w:t>
      </w:r>
      <w:r w:rsidR="00A87D4F" w:rsidRPr="00496592">
        <w:rPr>
          <w:sz w:val="26"/>
          <w:szCs w:val="26"/>
        </w:rPr>
        <w:t xml:space="preserve"> that given the Complainant’s failure to demonstrate a good faith payment history, it </w:t>
      </w:r>
      <w:r w:rsidR="008804AB">
        <w:rPr>
          <w:sz w:val="26"/>
          <w:szCs w:val="26"/>
        </w:rPr>
        <w:t>was</w:t>
      </w:r>
      <w:r w:rsidR="00A87D4F" w:rsidRPr="00496592">
        <w:rPr>
          <w:sz w:val="26"/>
          <w:szCs w:val="26"/>
        </w:rPr>
        <w:t xml:space="preserve"> reasonable in this case not </w:t>
      </w:r>
      <w:r w:rsidR="008804AB">
        <w:rPr>
          <w:sz w:val="26"/>
          <w:szCs w:val="26"/>
        </w:rPr>
        <w:t xml:space="preserve">to </w:t>
      </w:r>
      <w:r w:rsidR="00A87D4F" w:rsidRPr="00496592">
        <w:rPr>
          <w:sz w:val="26"/>
          <w:szCs w:val="26"/>
        </w:rPr>
        <w:t>exercise equity.  We disagree</w:t>
      </w:r>
      <w:r w:rsidR="00C04450" w:rsidRPr="00496592">
        <w:rPr>
          <w:sz w:val="26"/>
          <w:szCs w:val="26"/>
        </w:rPr>
        <w:t xml:space="preserve">.  </w:t>
      </w:r>
      <w:r w:rsidR="00A87D4F" w:rsidRPr="00496592">
        <w:rPr>
          <w:sz w:val="26"/>
          <w:szCs w:val="26"/>
        </w:rPr>
        <w:t>In the instant case, the Company offered to reinstate the Complainant’s payment arrangement if a $700 payment was made.  The Complainant complied with PGW’s request.  Equity demands that PGW live up to its end of the bargain.  We are mindful that the Complainant has the type of payment history which would normally prevent this Commission from ordering a payment arrangement.  Nonetheless, reinstatement in this case does not constitute a Commission</w:t>
      </w:r>
      <w:r w:rsidR="00F65898">
        <w:rPr>
          <w:sz w:val="26"/>
          <w:szCs w:val="26"/>
        </w:rPr>
        <w:t>-</w:t>
      </w:r>
      <w:r w:rsidR="00A87D4F" w:rsidRPr="00496592">
        <w:rPr>
          <w:sz w:val="26"/>
          <w:szCs w:val="26"/>
        </w:rPr>
        <w:t>ordered payment arrangement.  Rather, it involves rectifying an unreasonable business practice and instructing PGW to deliver on a promise mad</w:t>
      </w:r>
      <w:r w:rsidR="0040386F" w:rsidRPr="00496592">
        <w:rPr>
          <w:sz w:val="26"/>
          <w:szCs w:val="26"/>
        </w:rPr>
        <w:t xml:space="preserve">e to a customer.  </w:t>
      </w:r>
      <w:proofErr w:type="gramStart"/>
      <w:r w:rsidR="0040386F" w:rsidRPr="00496592">
        <w:rPr>
          <w:sz w:val="26"/>
          <w:szCs w:val="26"/>
        </w:rPr>
        <w:t>66 Pa. C.S. §</w:t>
      </w:r>
      <w:r w:rsidR="00A87D4F" w:rsidRPr="00496592">
        <w:rPr>
          <w:sz w:val="26"/>
          <w:szCs w:val="26"/>
        </w:rPr>
        <w:t>1501</w:t>
      </w:r>
      <w:r w:rsidR="005D49F6" w:rsidRPr="00496592">
        <w:rPr>
          <w:sz w:val="26"/>
          <w:szCs w:val="26"/>
        </w:rPr>
        <w:t>.</w:t>
      </w:r>
      <w:proofErr w:type="gramEnd"/>
      <w:r w:rsidR="005D49F6" w:rsidRPr="00496592">
        <w:rPr>
          <w:sz w:val="26"/>
          <w:szCs w:val="26"/>
        </w:rPr>
        <w:t xml:space="preserve">  Accordingly, we shall modify the Initial Decision and direct PGW to place the Complainant back on to the payment arrangement it established with the Complainant on April 15, 2013.</w:t>
      </w:r>
    </w:p>
    <w:p w:rsidR="00B34121" w:rsidRPr="00496592" w:rsidRDefault="00B34121" w:rsidP="00411FC9">
      <w:pPr>
        <w:spacing w:line="360" w:lineRule="auto"/>
        <w:ind w:firstLine="1440"/>
        <w:rPr>
          <w:sz w:val="26"/>
          <w:szCs w:val="26"/>
        </w:rPr>
      </w:pPr>
    </w:p>
    <w:p w:rsidR="00B34121" w:rsidRPr="00496592" w:rsidRDefault="00B34121" w:rsidP="00411FC9">
      <w:pPr>
        <w:spacing w:line="360" w:lineRule="auto"/>
        <w:ind w:firstLine="1440"/>
        <w:rPr>
          <w:sz w:val="26"/>
          <w:szCs w:val="26"/>
        </w:rPr>
      </w:pPr>
      <w:r w:rsidRPr="00496592">
        <w:rPr>
          <w:sz w:val="26"/>
          <w:szCs w:val="26"/>
        </w:rPr>
        <w:t>The ALJ also conclude</w:t>
      </w:r>
      <w:r w:rsidR="00715913">
        <w:rPr>
          <w:sz w:val="26"/>
          <w:szCs w:val="26"/>
        </w:rPr>
        <w:t>d</w:t>
      </w:r>
      <w:r w:rsidRPr="00496592">
        <w:rPr>
          <w:sz w:val="26"/>
          <w:szCs w:val="26"/>
        </w:rPr>
        <w:t xml:space="preserve"> that the record in this Complaint </w:t>
      </w:r>
      <w:r w:rsidR="008804AB">
        <w:rPr>
          <w:sz w:val="26"/>
          <w:szCs w:val="26"/>
        </w:rPr>
        <w:t>did</w:t>
      </w:r>
      <w:r w:rsidRPr="00496592">
        <w:rPr>
          <w:sz w:val="26"/>
          <w:szCs w:val="26"/>
        </w:rPr>
        <w:t xml:space="preserve"> not contain sufficient evidence necessary to determine if a civil penalty </w:t>
      </w:r>
      <w:r w:rsidR="008804AB">
        <w:rPr>
          <w:sz w:val="26"/>
          <w:szCs w:val="26"/>
        </w:rPr>
        <w:t>were</w:t>
      </w:r>
      <w:r w:rsidRPr="00496592">
        <w:rPr>
          <w:sz w:val="26"/>
          <w:szCs w:val="26"/>
        </w:rPr>
        <w:t xml:space="preserve"> warranted for PGW’s operational errors.  As such, the ALJ recommend</w:t>
      </w:r>
      <w:r w:rsidR="00715913">
        <w:rPr>
          <w:sz w:val="26"/>
          <w:szCs w:val="26"/>
        </w:rPr>
        <w:t>ed</w:t>
      </w:r>
      <w:r w:rsidRPr="00496592">
        <w:rPr>
          <w:sz w:val="26"/>
          <w:szCs w:val="26"/>
        </w:rPr>
        <w:t xml:space="preserve"> that this case be further investigated by the Commission Staff.  We </w:t>
      </w:r>
      <w:r w:rsidR="00C215E6" w:rsidRPr="00496592">
        <w:rPr>
          <w:sz w:val="26"/>
          <w:szCs w:val="26"/>
        </w:rPr>
        <w:t>do not agree</w:t>
      </w:r>
      <w:r w:rsidRPr="00496592">
        <w:rPr>
          <w:sz w:val="26"/>
          <w:szCs w:val="26"/>
        </w:rPr>
        <w:t xml:space="preserve"> with </w:t>
      </w:r>
      <w:r w:rsidR="0040386F" w:rsidRPr="00496592">
        <w:rPr>
          <w:sz w:val="26"/>
          <w:szCs w:val="26"/>
        </w:rPr>
        <w:t>this recommendation</w:t>
      </w:r>
      <w:r w:rsidRPr="00496592">
        <w:rPr>
          <w:sz w:val="26"/>
          <w:szCs w:val="26"/>
        </w:rPr>
        <w:t xml:space="preserve">.  We are of the opinion that a presiding officer has the authority to determine if a fine is necessary and in the public interest, and if so, what amount would be prudent.  If further fact finding is deemed necessary, a hearing should be held.  In our view, </w:t>
      </w:r>
      <w:r w:rsidR="00B239E0" w:rsidRPr="00496592">
        <w:rPr>
          <w:sz w:val="26"/>
          <w:szCs w:val="26"/>
        </w:rPr>
        <w:t>referring this matter to</w:t>
      </w:r>
      <w:r w:rsidRPr="00496592">
        <w:rPr>
          <w:sz w:val="26"/>
          <w:szCs w:val="26"/>
        </w:rPr>
        <w:t xml:space="preserve"> Commission </w:t>
      </w:r>
      <w:r w:rsidR="00B239E0" w:rsidRPr="00496592">
        <w:rPr>
          <w:sz w:val="26"/>
          <w:szCs w:val="26"/>
        </w:rPr>
        <w:t xml:space="preserve">staff is not appropriate.  Therefore, we shall remand this matter to the </w:t>
      </w:r>
      <w:r w:rsidR="00F15635">
        <w:rPr>
          <w:sz w:val="26"/>
          <w:szCs w:val="26"/>
        </w:rPr>
        <w:t>O</w:t>
      </w:r>
      <w:r w:rsidR="00B239E0" w:rsidRPr="00496592">
        <w:rPr>
          <w:sz w:val="26"/>
          <w:szCs w:val="26"/>
        </w:rPr>
        <w:t xml:space="preserve">ALJ </w:t>
      </w:r>
      <w:r w:rsidR="00B239E0" w:rsidRPr="00496592">
        <w:rPr>
          <w:sz w:val="26"/>
          <w:szCs w:val="26"/>
        </w:rPr>
        <w:lastRenderedPageBreak/>
        <w:t>for disposition and/or further proceedings, as may be necessary to determine whether a fine is necessary and in the public interest.</w:t>
      </w:r>
    </w:p>
    <w:p w:rsidR="00AC275F" w:rsidRPr="00496592" w:rsidRDefault="00AC275F" w:rsidP="00CC7EF4">
      <w:pPr>
        <w:spacing w:line="360" w:lineRule="auto"/>
        <w:jc w:val="center"/>
        <w:rPr>
          <w:b/>
          <w:sz w:val="26"/>
          <w:szCs w:val="26"/>
        </w:rPr>
      </w:pPr>
    </w:p>
    <w:p w:rsidR="00956972" w:rsidRPr="00496592" w:rsidRDefault="00956972" w:rsidP="00CC7EF4">
      <w:pPr>
        <w:spacing w:line="360" w:lineRule="auto"/>
        <w:jc w:val="center"/>
        <w:rPr>
          <w:b/>
          <w:sz w:val="26"/>
          <w:szCs w:val="26"/>
        </w:rPr>
      </w:pPr>
      <w:r w:rsidRPr="00496592">
        <w:rPr>
          <w:b/>
          <w:sz w:val="26"/>
          <w:szCs w:val="26"/>
        </w:rPr>
        <w:t>Conclusion</w:t>
      </w:r>
    </w:p>
    <w:p w:rsidR="006C56A5" w:rsidRPr="00496592" w:rsidRDefault="006C56A5" w:rsidP="00385898">
      <w:pPr>
        <w:spacing w:line="360" w:lineRule="auto"/>
        <w:rPr>
          <w:sz w:val="26"/>
          <w:szCs w:val="26"/>
        </w:rPr>
      </w:pPr>
    </w:p>
    <w:p w:rsidR="00956972" w:rsidRPr="00496592" w:rsidRDefault="006C56A5" w:rsidP="007E3501">
      <w:pPr>
        <w:spacing w:line="360" w:lineRule="auto"/>
        <w:rPr>
          <w:sz w:val="26"/>
          <w:szCs w:val="26"/>
        </w:rPr>
      </w:pPr>
      <w:r w:rsidRPr="00496592">
        <w:rPr>
          <w:sz w:val="26"/>
          <w:szCs w:val="26"/>
        </w:rPr>
        <w:tab/>
      </w:r>
      <w:r w:rsidRPr="00496592">
        <w:rPr>
          <w:sz w:val="26"/>
          <w:szCs w:val="26"/>
        </w:rPr>
        <w:tab/>
      </w:r>
      <w:r w:rsidR="0023377F" w:rsidRPr="00496592">
        <w:rPr>
          <w:sz w:val="26"/>
          <w:szCs w:val="26"/>
        </w:rPr>
        <w:t xml:space="preserve">Based on our review of the </w:t>
      </w:r>
      <w:r w:rsidR="008B496B" w:rsidRPr="00496592">
        <w:rPr>
          <w:sz w:val="26"/>
          <w:szCs w:val="26"/>
        </w:rPr>
        <w:t>record</w:t>
      </w:r>
      <w:r w:rsidR="003928E1" w:rsidRPr="00496592">
        <w:rPr>
          <w:sz w:val="26"/>
          <w:szCs w:val="26"/>
        </w:rPr>
        <w:t xml:space="preserve">, the ALJ’s Initial Decision, </w:t>
      </w:r>
      <w:r w:rsidR="0023377F" w:rsidRPr="00496592">
        <w:rPr>
          <w:sz w:val="26"/>
          <w:szCs w:val="26"/>
        </w:rPr>
        <w:t>and the applicable</w:t>
      </w:r>
      <w:r w:rsidR="003928E1" w:rsidRPr="00496592">
        <w:rPr>
          <w:sz w:val="26"/>
          <w:szCs w:val="26"/>
        </w:rPr>
        <w:t xml:space="preserve"> </w:t>
      </w:r>
      <w:r w:rsidR="0023377F" w:rsidRPr="00496592">
        <w:rPr>
          <w:sz w:val="26"/>
          <w:szCs w:val="26"/>
        </w:rPr>
        <w:t>law,</w:t>
      </w:r>
      <w:r w:rsidR="00474DBB" w:rsidRPr="00496592">
        <w:rPr>
          <w:sz w:val="26"/>
          <w:szCs w:val="26"/>
        </w:rPr>
        <w:t xml:space="preserve"> </w:t>
      </w:r>
      <w:r w:rsidR="00FD497B" w:rsidRPr="00496592">
        <w:rPr>
          <w:sz w:val="26"/>
          <w:szCs w:val="26"/>
        </w:rPr>
        <w:t>w</w:t>
      </w:r>
      <w:r w:rsidR="00B265B1" w:rsidRPr="00496592">
        <w:rPr>
          <w:sz w:val="26"/>
          <w:szCs w:val="26"/>
        </w:rPr>
        <w:t xml:space="preserve">e </w:t>
      </w:r>
      <w:r w:rsidR="00502D50" w:rsidRPr="00496592">
        <w:rPr>
          <w:sz w:val="26"/>
          <w:szCs w:val="26"/>
        </w:rPr>
        <w:t>shall</w:t>
      </w:r>
      <w:r w:rsidR="0019318F" w:rsidRPr="00496592">
        <w:rPr>
          <w:sz w:val="26"/>
          <w:szCs w:val="26"/>
        </w:rPr>
        <w:t xml:space="preserve"> </w:t>
      </w:r>
      <w:r w:rsidR="008D1155" w:rsidRPr="00496592">
        <w:rPr>
          <w:sz w:val="26"/>
          <w:szCs w:val="26"/>
        </w:rPr>
        <w:t>reverse</w:t>
      </w:r>
      <w:r w:rsidR="006652C6" w:rsidRPr="00496592">
        <w:rPr>
          <w:sz w:val="26"/>
          <w:szCs w:val="26"/>
        </w:rPr>
        <w:t xml:space="preserve"> the A</w:t>
      </w:r>
      <w:r w:rsidR="0023377F" w:rsidRPr="00496592">
        <w:rPr>
          <w:sz w:val="26"/>
          <w:szCs w:val="26"/>
        </w:rPr>
        <w:t>LJ’s Initial Decision</w:t>
      </w:r>
      <w:r w:rsidR="0019251E" w:rsidRPr="00496592">
        <w:rPr>
          <w:sz w:val="26"/>
          <w:szCs w:val="26"/>
        </w:rPr>
        <w:t xml:space="preserve">, </w:t>
      </w:r>
      <w:r w:rsidR="008D1155" w:rsidRPr="00496592">
        <w:rPr>
          <w:sz w:val="26"/>
          <w:szCs w:val="26"/>
        </w:rPr>
        <w:t xml:space="preserve">in part, and direct PGW to </w:t>
      </w:r>
      <w:r w:rsidR="004737D8">
        <w:rPr>
          <w:sz w:val="26"/>
          <w:szCs w:val="26"/>
        </w:rPr>
        <w:t xml:space="preserve">restore </w:t>
      </w:r>
      <w:r w:rsidR="008D1155" w:rsidRPr="00496592">
        <w:rPr>
          <w:sz w:val="26"/>
          <w:szCs w:val="26"/>
        </w:rPr>
        <w:t>the Complainant</w:t>
      </w:r>
      <w:r w:rsidR="004737D8">
        <w:rPr>
          <w:sz w:val="26"/>
          <w:szCs w:val="26"/>
        </w:rPr>
        <w:t>’s</w:t>
      </w:r>
      <w:r w:rsidR="008D1155" w:rsidRPr="00496592">
        <w:rPr>
          <w:sz w:val="26"/>
          <w:szCs w:val="26"/>
        </w:rPr>
        <w:t xml:space="preserve"> April 15, 2013 payment arrangement.  We likewise shall remand the </w:t>
      </w:r>
      <w:r w:rsidR="004737D8">
        <w:rPr>
          <w:sz w:val="26"/>
          <w:szCs w:val="26"/>
        </w:rPr>
        <w:t>issue</w:t>
      </w:r>
      <w:r w:rsidR="008D1155" w:rsidRPr="00496592">
        <w:rPr>
          <w:sz w:val="26"/>
          <w:szCs w:val="26"/>
        </w:rPr>
        <w:t xml:space="preserve"> </w:t>
      </w:r>
      <w:r w:rsidR="00C96FFD">
        <w:rPr>
          <w:sz w:val="26"/>
          <w:szCs w:val="26"/>
        </w:rPr>
        <w:t xml:space="preserve">of </w:t>
      </w:r>
      <w:r w:rsidR="008D1155" w:rsidRPr="00496592">
        <w:rPr>
          <w:sz w:val="26"/>
          <w:szCs w:val="26"/>
        </w:rPr>
        <w:t>whether a fine is necessary and in the public interest to the OALJ for disposition and/or further proceedings as deemed necessary</w:t>
      </w:r>
      <w:r w:rsidR="00905434" w:rsidRPr="00496592">
        <w:rPr>
          <w:sz w:val="26"/>
          <w:szCs w:val="26"/>
        </w:rPr>
        <w:t>;</w:t>
      </w:r>
      <w:r w:rsidR="00956972" w:rsidRPr="00496592">
        <w:rPr>
          <w:sz w:val="26"/>
          <w:szCs w:val="26"/>
        </w:rPr>
        <w:t xml:space="preserve"> </w:t>
      </w:r>
      <w:r w:rsidR="00956972" w:rsidRPr="00496592">
        <w:rPr>
          <w:b/>
          <w:sz w:val="26"/>
          <w:szCs w:val="26"/>
        </w:rPr>
        <w:t>THEREFORE,</w:t>
      </w:r>
      <w:r w:rsidR="00956972" w:rsidRPr="00496592">
        <w:rPr>
          <w:sz w:val="26"/>
          <w:szCs w:val="26"/>
        </w:rPr>
        <w:t xml:space="preserve"> </w:t>
      </w:r>
    </w:p>
    <w:p w:rsidR="001A1AD3" w:rsidRPr="00496592" w:rsidRDefault="001A1AD3" w:rsidP="001A1AD3">
      <w:pPr>
        <w:spacing w:line="360" w:lineRule="auto"/>
        <w:rPr>
          <w:sz w:val="26"/>
          <w:szCs w:val="26"/>
        </w:rPr>
      </w:pPr>
    </w:p>
    <w:p w:rsidR="001A1AD3" w:rsidRPr="00496592" w:rsidRDefault="001A1AD3" w:rsidP="001A1AD3">
      <w:pPr>
        <w:spacing w:line="360" w:lineRule="auto"/>
        <w:rPr>
          <w:b/>
          <w:sz w:val="26"/>
          <w:szCs w:val="26"/>
        </w:rPr>
      </w:pPr>
      <w:r w:rsidRPr="00496592">
        <w:rPr>
          <w:sz w:val="26"/>
          <w:szCs w:val="26"/>
        </w:rPr>
        <w:tab/>
      </w:r>
      <w:r w:rsidRPr="00496592">
        <w:rPr>
          <w:sz w:val="26"/>
          <w:szCs w:val="26"/>
        </w:rPr>
        <w:tab/>
      </w:r>
      <w:r w:rsidRPr="00496592">
        <w:rPr>
          <w:b/>
          <w:sz w:val="26"/>
          <w:szCs w:val="26"/>
        </w:rPr>
        <w:t>IT IS ORDERED:</w:t>
      </w:r>
    </w:p>
    <w:p w:rsidR="001A1AD3" w:rsidRPr="00496592" w:rsidRDefault="001A1AD3" w:rsidP="001A1AD3">
      <w:pPr>
        <w:spacing w:line="360" w:lineRule="auto"/>
        <w:rPr>
          <w:sz w:val="26"/>
          <w:szCs w:val="26"/>
        </w:rPr>
      </w:pPr>
    </w:p>
    <w:p w:rsidR="00F97807" w:rsidRPr="00496592" w:rsidRDefault="001A1AD3" w:rsidP="00F97807">
      <w:pPr>
        <w:spacing w:line="360" w:lineRule="auto"/>
        <w:rPr>
          <w:sz w:val="26"/>
          <w:szCs w:val="26"/>
        </w:rPr>
      </w:pPr>
      <w:r w:rsidRPr="00496592">
        <w:rPr>
          <w:sz w:val="26"/>
          <w:szCs w:val="26"/>
        </w:rPr>
        <w:tab/>
      </w:r>
      <w:r w:rsidRPr="00496592">
        <w:rPr>
          <w:sz w:val="26"/>
          <w:szCs w:val="26"/>
        </w:rPr>
        <w:tab/>
      </w:r>
      <w:r w:rsidR="0019251E" w:rsidRPr="00496592">
        <w:rPr>
          <w:sz w:val="26"/>
          <w:szCs w:val="26"/>
        </w:rPr>
        <w:t>1</w:t>
      </w:r>
      <w:r w:rsidR="00431F78" w:rsidRPr="00496592">
        <w:rPr>
          <w:sz w:val="26"/>
          <w:szCs w:val="26"/>
        </w:rPr>
        <w:t>.</w:t>
      </w:r>
      <w:r w:rsidR="00431F78" w:rsidRPr="00496592">
        <w:rPr>
          <w:b/>
          <w:sz w:val="26"/>
          <w:szCs w:val="26"/>
        </w:rPr>
        <w:tab/>
      </w:r>
      <w:r w:rsidR="00431F78" w:rsidRPr="00496592">
        <w:rPr>
          <w:sz w:val="26"/>
          <w:szCs w:val="26"/>
        </w:rPr>
        <w:t xml:space="preserve">That the </w:t>
      </w:r>
      <w:r w:rsidR="00527A20" w:rsidRPr="00496592">
        <w:rPr>
          <w:sz w:val="26"/>
          <w:szCs w:val="26"/>
        </w:rPr>
        <w:t xml:space="preserve">Initial Decision of </w:t>
      </w:r>
      <w:r w:rsidR="00C05103" w:rsidRPr="00496592">
        <w:rPr>
          <w:sz w:val="26"/>
          <w:szCs w:val="26"/>
        </w:rPr>
        <w:t xml:space="preserve">Administrative Law </w:t>
      </w:r>
      <w:r w:rsidR="00B809EB" w:rsidRPr="00496592">
        <w:rPr>
          <w:sz w:val="26"/>
          <w:szCs w:val="26"/>
        </w:rPr>
        <w:t xml:space="preserve">Judge </w:t>
      </w:r>
      <w:r w:rsidR="00572A0E" w:rsidRPr="00496592">
        <w:rPr>
          <w:sz w:val="26"/>
          <w:szCs w:val="26"/>
        </w:rPr>
        <w:t>Angela</w:t>
      </w:r>
      <w:r w:rsidR="00FA2673">
        <w:rPr>
          <w:sz w:val="26"/>
          <w:szCs w:val="26"/>
        </w:rPr>
        <w:t> </w:t>
      </w:r>
      <w:r w:rsidR="00572A0E" w:rsidRPr="00496592">
        <w:rPr>
          <w:sz w:val="26"/>
          <w:szCs w:val="26"/>
        </w:rPr>
        <w:t>T.</w:t>
      </w:r>
      <w:r w:rsidR="00FA2673">
        <w:rPr>
          <w:sz w:val="26"/>
          <w:szCs w:val="26"/>
        </w:rPr>
        <w:t> </w:t>
      </w:r>
      <w:r w:rsidR="00572A0E" w:rsidRPr="00496592">
        <w:rPr>
          <w:sz w:val="26"/>
          <w:szCs w:val="26"/>
        </w:rPr>
        <w:t>Jones</w:t>
      </w:r>
      <w:r w:rsidR="00B809EB" w:rsidRPr="00496592">
        <w:rPr>
          <w:sz w:val="26"/>
          <w:szCs w:val="26"/>
        </w:rPr>
        <w:t xml:space="preserve">, issued </w:t>
      </w:r>
      <w:r w:rsidR="00572A0E" w:rsidRPr="00496592">
        <w:rPr>
          <w:sz w:val="26"/>
          <w:szCs w:val="26"/>
        </w:rPr>
        <w:t>September 16, 2014</w:t>
      </w:r>
      <w:r w:rsidR="006652C6" w:rsidRPr="00496592">
        <w:rPr>
          <w:sz w:val="26"/>
          <w:szCs w:val="26"/>
        </w:rPr>
        <w:t>,</w:t>
      </w:r>
      <w:r w:rsidR="008E45DB" w:rsidRPr="00496592">
        <w:rPr>
          <w:sz w:val="26"/>
          <w:szCs w:val="26"/>
        </w:rPr>
        <w:t xml:space="preserve"> </w:t>
      </w:r>
      <w:r w:rsidR="00572A0E" w:rsidRPr="00496592">
        <w:rPr>
          <w:sz w:val="26"/>
          <w:szCs w:val="26"/>
        </w:rPr>
        <w:t>is reversed in part, consistent with</w:t>
      </w:r>
      <w:r w:rsidR="00243CC9" w:rsidRPr="00496592">
        <w:rPr>
          <w:sz w:val="26"/>
          <w:szCs w:val="26"/>
        </w:rPr>
        <w:t xml:space="preserve"> this Opinion and Order</w:t>
      </w:r>
      <w:r w:rsidR="00EF782F" w:rsidRPr="00496592">
        <w:rPr>
          <w:sz w:val="26"/>
          <w:szCs w:val="26"/>
        </w:rPr>
        <w:t>.</w:t>
      </w:r>
    </w:p>
    <w:p w:rsidR="00120C2F" w:rsidRPr="00496592" w:rsidRDefault="00120C2F" w:rsidP="00F97807">
      <w:pPr>
        <w:spacing w:line="360" w:lineRule="auto"/>
        <w:rPr>
          <w:sz w:val="26"/>
          <w:szCs w:val="26"/>
        </w:rPr>
      </w:pPr>
    </w:p>
    <w:p w:rsidR="00CC45DD" w:rsidRPr="00496592" w:rsidRDefault="0019251E" w:rsidP="00766448">
      <w:pPr>
        <w:spacing w:line="360" w:lineRule="auto"/>
        <w:ind w:firstLine="1440"/>
        <w:rPr>
          <w:sz w:val="26"/>
          <w:szCs w:val="26"/>
        </w:rPr>
      </w:pPr>
      <w:r w:rsidRPr="00496592">
        <w:rPr>
          <w:sz w:val="26"/>
          <w:szCs w:val="26"/>
        </w:rPr>
        <w:t>2</w:t>
      </w:r>
      <w:r w:rsidR="00120C2F" w:rsidRPr="00496592">
        <w:rPr>
          <w:sz w:val="26"/>
          <w:szCs w:val="26"/>
        </w:rPr>
        <w:t>.</w:t>
      </w:r>
      <w:r w:rsidR="00120C2F" w:rsidRPr="00496592">
        <w:rPr>
          <w:sz w:val="26"/>
          <w:szCs w:val="26"/>
        </w:rPr>
        <w:tab/>
      </w:r>
      <w:r w:rsidR="00DA3BAC" w:rsidRPr="00496592">
        <w:rPr>
          <w:sz w:val="26"/>
          <w:szCs w:val="26"/>
        </w:rPr>
        <w:t xml:space="preserve">That </w:t>
      </w:r>
      <w:r w:rsidR="00572A0E" w:rsidRPr="00496592">
        <w:rPr>
          <w:sz w:val="26"/>
          <w:szCs w:val="26"/>
        </w:rPr>
        <w:t>the Formal Complaint filed by Kevin Washington against Philadelphia Gas Works at Docket No. C-2013-2388427 is granted consistent with this Opinion and Order.</w:t>
      </w:r>
    </w:p>
    <w:p w:rsidR="00CC45DD" w:rsidRPr="00496592" w:rsidRDefault="00CC45DD" w:rsidP="00766448">
      <w:pPr>
        <w:spacing w:line="360" w:lineRule="auto"/>
        <w:ind w:firstLine="1440"/>
        <w:rPr>
          <w:sz w:val="26"/>
          <w:szCs w:val="26"/>
        </w:rPr>
      </w:pPr>
    </w:p>
    <w:p w:rsidR="00DA70E4" w:rsidRPr="00496592" w:rsidRDefault="00CC45DD" w:rsidP="00F567F8">
      <w:pPr>
        <w:spacing w:line="360" w:lineRule="auto"/>
        <w:ind w:firstLine="1440"/>
        <w:rPr>
          <w:sz w:val="26"/>
          <w:szCs w:val="26"/>
        </w:rPr>
      </w:pPr>
      <w:r w:rsidRPr="00496592">
        <w:rPr>
          <w:sz w:val="26"/>
          <w:szCs w:val="26"/>
        </w:rPr>
        <w:t>3.</w:t>
      </w:r>
      <w:r w:rsidRPr="00496592">
        <w:rPr>
          <w:sz w:val="26"/>
          <w:szCs w:val="26"/>
        </w:rPr>
        <w:tab/>
      </w:r>
      <w:r w:rsidR="004C2A0D" w:rsidRPr="00496592">
        <w:rPr>
          <w:sz w:val="26"/>
          <w:szCs w:val="26"/>
        </w:rPr>
        <w:t xml:space="preserve">That </w:t>
      </w:r>
      <w:r w:rsidR="00572A0E" w:rsidRPr="00496592">
        <w:rPr>
          <w:sz w:val="26"/>
          <w:szCs w:val="26"/>
        </w:rPr>
        <w:t xml:space="preserve">Philadelphia Gas Works be directed to </w:t>
      </w:r>
      <w:r w:rsidR="004737D8">
        <w:rPr>
          <w:sz w:val="26"/>
          <w:szCs w:val="26"/>
        </w:rPr>
        <w:t xml:space="preserve">restore </w:t>
      </w:r>
      <w:r w:rsidR="00572A0E" w:rsidRPr="00496592">
        <w:rPr>
          <w:sz w:val="26"/>
          <w:szCs w:val="26"/>
        </w:rPr>
        <w:t>Kevin Washington</w:t>
      </w:r>
      <w:r w:rsidR="004737D8">
        <w:rPr>
          <w:sz w:val="26"/>
          <w:szCs w:val="26"/>
        </w:rPr>
        <w:t>’s</w:t>
      </w:r>
      <w:r w:rsidR="00572A0E" w:rsidRPr="00496592">
        <w:rPr>
          <w:sz w:val="26"/>
          <w:szCs w:val="26"/>
        </w:rPr>
        <w:t xml:space="preserve"> Company</w:t>
      </w:r>
      <w:r w:rsidR="00F65898">
        <w:rPr>
          <w:sz w:val="26"/>
          <w:szCs w:val="26"/>
        </w:rPr>
        <w:t>-</w:t>
      </w:r>
      <w:r w:rsidR="00572A0E" w:rsidRPr="00496592">
        <w:rPr>
          <w:sz w:val="26"/>
          <w:szCs w:val="26"/>
        </w:rPr>
        <w:t>issued payment arrangement established on April 15, 2013.</w:t>
      </w:r>
    </w:p>
    <w:p w:rsidR="00DA70E4" w:rsidRPr="00496592" w:rsidRDefault="00DA70E4" w:rsidP="001A1AD3">
      <w:pPr>
        <w:spacing w:line="360" w:lineRule="auto"/>
        <w:rPr>
          <w:sz w:val="26"/>
          <w:szCs w:val="26"/>
        </w:rPr>
      </w:pPr>
    </w:p>
    <w:p w:rsidR="00496592" w:rsidRPr="00496592" w:rsidRDefault="00496592" w:rsidP="001A1AD3">
      <w:pPr>
        <w:spacing w:line="360" w:lineRule="auto"/>
        <w:rPr>
          <w:sz w:val="26"/>
          <w:szCs w:val="26"/>
        </w:rPr>
      </w:pPr>
    </w:p>
    <w:p w:rsidR="005D74D6" w:rsidRPr="00496592" w:rsidRDefault="00DA70E4" w:rsidP="00F567F8">
      <w:pPr>
        <w:keepNext/>
        <w:spacing w:line="360" w:lineRule="auto"/>
        <w:rPr>
          <w:sz w:val="26"/>
          <w:szCs w:val="26"/>
        </w:rPr>
      </w:pPr>
      <w:r w:rsidRPr="00496592">
        <w:rPr>
          <w:sz w:val="26"/>
          <w:szCs w:val="26"/>
        </w:rPr>
        <w:lastRenderedPageBreak/>
        <w:tab/>
      </w:r>
      <w:r w:rsidRPr="00496592">
        <w:rPr>
          <w:sz w:val="26"/>
          <w:szCs w:val="26"/>
        </w:rPr>
        <w:tab/>
      </w:r>
      <w:r w:rsidR="006F7ABC" w:rsidRPr="00496592">
        <w:rPr>
          <w:sz w:val="26"/>
          <w:szCs w:val="26"/>
        </w:rPr>
        <w:t>4</w:t>
      </w:r>
      <w:r w:rsidR="00C8216D" w:rsidRPr="00496592">
        <w:rPr>
          <w:sz w:val="26"/>
          <w:szCs w:val="26"/>
        </w:rPr>
        <w:t>.</w:t>
      </w:r>
      <w:r w:rsidR="00C8216D" w:rsidRPr="00496592">
        <w:rPr>
          <w:sz w:val="26"/>
          <w:szCs w:val="26"/>
        </w:rPr>
        <w:tab/>
      </w:r>
      <w:r w:rsidR="00496592" w:rsidRPr="00496592">
        <w:rPr>
          <w:sz w:val="26"/>
          <w:szCs w:val="26"/>
        </w:rPr>
        <w:t>That this proceeding be remanded to the Office of Administrative Law Judge for</w:t>
      </w:r>
      <w:r w:rsidR="00E66A27">
        <w:rPr>
          <w:sz w:val="26"/>
          <w:szCs w:val="26"/>
        </w:rPr>
        <w:t xml:space="preserve"> disposition and/or</w:t>
      </w:r>
      <w:r w:rsidR="00496592" w:rsidRPr="00496592">
        <w:rPr>
          <w:sz w:val="26"/>
          <w:szCs w:val="26"/>
        </w:rPr>
        <w:t xml:space="preserve"> further hearings, if necessary, </w:t>
      </w:r>
      <w:r w:rsidR="00FA2673">
        <w:rPr>
          <w:sz w:val="26"/>
          <w:szCs w:val="26"/>
        </w:rPr>
        <w:t xml:space="preserve">and the issuance of an Initial Decision on Remand, </w:t>
      </w:r>
      <w:r w:rsidR="00496592" w:rsidRPr="00496592">
        <w:rPr>
          <w:sz w:val="26"/>
          <w:szCs w:val="26"/>
        </w:rPr>
        <w:t xml:space="preserve">consistent with this Opinion and Order. </w:t>
      </w:r>
      <w:r w:rsidR="00E13204" w:rsidRPr="00496592">
        <w:rPr>
          <w:sz w:val="26"/>
          <w:szCs w:val="26"/>
        </w:rPr>
        <w:t xml:space="preserve"> </w:t>
      </w:r>
    </w:p>
    <w:p w:rsidR="00572A0E" w:rsidRPr="00496592" w:rsidRDefault="00572A0E" w:rsidP="00F567F8">
      <w:pPr>
        <w:keepNext/>
        <w:spacing w:line="360" w:lineRule="auto"/>
        <w:rPr>
          <w:sz w:val="26"/>
          <w:szCs w:val="26"/>
        </w:rPr>
      </w:pPr>
    </w:p>
    <w:p w:rsidR="00503B2F" w:rsidRPr="00496592" w:rsidRDefault="00683978" w:rsidP="0019251E">
      <w:pPr>
        <w:spacing w:line="360" w:lineRule="auto"/>
        <w:rPr>
          <w:sz w:val="26"/>
        </w:rPr>
      </w:pPr>
      <w:r>
        <w:rPr>
          <w:noProof/>
        </w:rPr>
        <w:drawing>
          <wp:anchor distT="0" distB="0" distL="114300" distR="114300" simplePos="0" relativeHeight="251658240" behindDoc="1" locked="0" layoutInCell="1" allowOverlap="1" wp14:anchorId="03896BF4" wp14:editId="49FF15DB">
            <wp:simplePos x="0" y="0"/>
            <wp:positionH relativeFrom="column">
              <wp:posOffset>3028950</wp:posOffset>
            </wp:positionH>
            <wp:positionV relativeFrom="paragraph">
              <wp:posOffset>232410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E7206" w:rsidRPr="00496592">
        <w:rPr>
          <w:sz w:val="26"/>
          <w:szCs w:val="26"/>
        </w:rPr>
        <w:tab/>
      </w:r>
      <w:r w:rsidR="002E7206" w:rsidRPr="00496592">
        <w:rPr>
          <w:sz w:val="26"/>
          <w:szCs w:val="26"/>
        </w:rPr>
        <w:tab/>
      </w:r>
      <w:r w:rsidR="001A1AD3" w:rsidRPr="00496592">
        <w:rPr>
          <w:sz w:val="26"/>
          <w:szCs w:val="26"/>
        </w:rPr>
        <w:tab/>
      </w:r>
      <w:r w:rsidR="001A1AD3" w:rsidRPr="00496592">
        <w:rPr>
          <w:sz w:val="26"/>
          <w:szCs w:val="26"/>
        </w:rPr>
        <w:tab/>
      </w:r>
      <w:r w:rsidR="0019251E" w:rsidRPr="00496592">
        <w:rPr>
          <w:sz w:val="26"/>
          <w:szCs w:val="26"/>
        </w:rPr>
        <w:tab/>
      </w:r>
      <w:r w:rsidR="001A1AD3" w:rsidRPr="00496592">
        <w:rPr>
          <w:sz w:val="26"/>
          <w:szCs w:val="26"/>
        </w:rPr>
        <w:tab/>
      </w:r>
      <w:r w:rsidR="001A1AD3" w:rsidRPr="00496592">
        <w:rPr>
          <w:sz w:val="26"/>
          <w:szCs w:val="26"/>
        </w:rPr>
        <w:tab/>
      </w:r>
      <w:r w:rsidR="00503B2F" w:rsidRPr="00496592">
        <w:rPr>
          <w:b/>
          <w:sz w:val="26"/>
        </w:rPr>
        <w:t>BY THE COMMISSION,</w:t>
      </w: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r w:rsidRPr="00496592">
        <w:rPr>
          <w:sz w:val="26"/>
        </w:rPr>
        <w:tab/>
      </w:r>
      <w:r w:rsidRPr="00496592">
        <w:rPr>
          <w:sz w:val="26"/>
        </w:rPr>
        <w:tab/>
      </w:r>
      <w:r w:rsidRPr="00496592">
        <w:rPr>
          <w:sz w:val="26"/>
        </w:rPr>
        <w:tab/>
      </w:r>
      <w:r w:rsidRPr="00496592">
        <w:rPr>
          <w:sz w:val="26"/>
        </w:rPr>
        <w:tab/>
      </w:r>
      <w:r w:rsidRPr="00496592">
        <w:rPr>
          <w:sz w:val="26"/>
        </w:rPr>
        <w:tab/>
      </w:r>
      <w:r w:rsidRPr="00496592">
        <w:rPr>
          <w:sz w:val="26"/>
        </w:rPr>
        <w:tab/>
      </w:r>
      <w:r w:rsidRPr="00496592">
        <w:rPr>
          <w:sz w:val="26"/>
        </w:rPr>
        <w:tab/>
        <w:t>Rosemary Chiavetta</w:t>
      </w:r>
    </w:p>
    <w:p w:rsidR="00503B2F" w:rsidRPr="00496592" w:rsidRDefault="00503B2F" w:rsidP="00503B2F">
      <w:pPr>
        <w:tabs>
          <w:tab w:val="left" w:pos="-720"/>
        </w:tabs>
        <w:suppressAutoHyphens/>
        <w:rPr>
          <w:sz w:val="26"/>
        </w:rPr>
      </w:pPr>
      <w:r w:rsidRPr="00496592">
        <w:rPr>
          <w:sz w:val="26"/>
        </w:rPr>
        <w:tab/>
      </w:r>
      <w:r w:rsidRPr="00496592">
        <w:rPr>
          <w:sz w:val="26"/>
        </w:rPr>
        <w:tab/>
      </w:r>
      <w:r w:rsidRPr="00496592">
        <w:rPr>
          <w:sz w:val="26"/>
        </w:rPr>
        <w:tab/>
      </w:r>
      <w:r w:rsidRPr="00496592">
        <w:rPr>
          <w:sz w:val="26"/>
        </w:rPr>
        <w:tab/>
      </w:r>
      <w:r w:rsidRPr="00496592">
        <w:rPr>
          <w:sz w:val="26"/>
        </w:rPr>
        <w:tab/>
      </w:r>
      <w:r w:rsidRPr="00496592">
        <w:rPr>
          <w:sz w:val="26"/>
        </w:rPr>
        <w:tab/>
      </w:r>
      <w:r w:rsidRPr="00496592">
        <w:rPr>
          <w:sz w:val="26"/>
        </w:rPr>
        <w:tab/>
        <w:t>Secretary</w:t>
      </w:r>
    </w:p>
    <w:p w:rsidR="00EC7358" w:rsidRPr="00496592" w:rsidRDefault="00EC7358" w:rsidP="00503B2F">
      <w:pPr>
        <w:tabs>
          <w:tab w:val="left" w:pos="-720"/>
        </w:tabs>
        <w:suppressAutoHyphens/>
        <w:rPr>
          <w:sz w:val="26"/>
        </w:rPr>
      </w:pP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r w:rsidRPr="00496592">
        <w:rPr>
          <w:sz w:val="26"/>
        </w:rPr>
        <w:t>(SEAL)</w:t>
      </w: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r w:rsidRPr="00496592">
        <w:rPr>
          <w:sz w:val="26"/>
        </w:rPr>
        <w:t>ORDER ADOPTED:</w:t>
      </w:r>
      <w:r w:rsidR="00FF14E7" w:rsidRPr="00496592">
        <w:rPr>
          <w:sz w:val="26"/>
        </w:rPr>
        <w:t xml:space="preserve">  </w:t>
      </w:r>
      <w:r w:rsidR="002E5FCA" w:rsidRPr="00496592">
        <w:rPr>
          <w:sz w:val="26"/>
        </w:rPr>
        <w:t>November 13, 2014</w:t>
      </w:r>
    </w:p>
    <w:p w:rsidR="00503B2F" w:rsidRPr="00496592" w:rsidRDefault="00503B2F" w:rsidP="00503B2F">
      <w:pPr>
        <w:tabs>
          <w:tab w:val="left" w:pos="-720"/>
        </w:tabs>
        <w:suppressAutoHyphens/>
        <w:rPr>
          <w:sz w:val="26"/>
        </w:rPr>
      </w:pPr>
    </w:p>
    <w:p w:rsidR="009304FE" w:rsidRPr="00496592" w:rsidRDefault="00DD3119" w:rsidP="00A85CF2">
      <w:pPr>
        <w:tabs>
          <w:tab w:val="left" w:pos="-720"/>
        </w:tabs>
        <w:suppressAutoHyphens/>
      </w:pPr>
      <w:r w:rsidRPr="00496592">
        <w:rPr>
          <w:sz w:val="26"/>
        </w:rPr>
        <w:t xml:space="preserve">ORDER ENTERED:  </w:t>
      </w:r>
      <w:r w:rsidR="00683978">
        <w:rPr>
          <w:sz w:val="26"/>
        </w:rPr>
        <w:t>December 10, 2014</w:t>
      </w:r>
      <w:bookmarkStart w:id="0" w:name="_GoBack"/>
      <w:bookmarkEnd w:id="0"/>
    </w:p>
    <w:sectPr w:rsidR="009304FE" w:rsidRPr="00496592"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53" w:rsidRDefault="00DD3C53">
      <w:r>
        <w:separator/>
      </w:r>
    </w:p>
  </w:endnote>
  <w:endnote w:type="continuationSeparator" w:id="0">
    <w:p w:rsidR="00DD3C53" w:rsidRDefault="00DD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A0" w:rsidRDefault="00F203A0"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3A0" w:rsidRDefault="00F20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A0" w:rsidRDefault="00F203A0"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3978">
      <w:rPr>
        <w:rStyle w:val="PageNumber"/>
        <w:noProof/>
      </w:rPr>
      <w:t>12</w:t>
    </w:r>
    <w:r>
      <w:rPr>
        <w:rStyle w:val="PageNumber"/>
      </w:rPr>
      <w:fldChar w:fldCharType="end"/>
    </w:r>
  </w:p>
  <w:p w:rsidR="00F203A0" w:rsidRDefault="00F20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53" w:rsidRDefault="00DD3C53">
      <w:r>
        <w:separator/>
      </w:r>
    </w:p>
  </w:footnote>
  <w:footnote w:type="continuationSeparator" w:id="0">
    <w:p w:rsidR="00DD3C53" w:rsidRDefault="00DD3C53">
      <w:r>
        <w:continuationSeparator/>
      </w:r>
    </w:p>
  </w:footnote>
  <w:footnote w:id="1">
    <w:p w:rsidR="00F203A0" w:rsidRPr="00D00273" w:rsidRDefault="00F203A0" w:rsidP="00606C89">
      <w:pPr>
        <w:pStyle w:val="FootnoteText"/>
        <w:rPr>
          <w:rFonts w:ascii="Times New Roman" w:hAnsi="Times New Roman"/>
        </w:rPr>
      </w:pPr>
      <w:r>
        <w:tab/>
      </w:r>
      <w:r>
        <w:rPr>
          <w:rStyle w:val="FootnoteReference"/>
        </w:rPr>
        <w:footnoteRef/>
      </w:r>
      <w:r>
        <w:t xml:space="preserve"> </w:t>
      </w:r>
      <w:r>
        <w:tab/>
      </w:r>
      <w:r w:rsidRPr="00470759">
        <w:rPr>
          <w:rFonts w:ascii="Times New Roman" w:hAnsi="Times New Roman"/>
          <w:sz w:val="26"/>
          <w:szCs w:val="26"/>
        </w:rPr>
        <w:t>Pursuant to 66 Pa.</w:t>
      </w:r>
      <w:r w:rsidR="00C55A3B">
        <w:rPr>
          <w:rFonts w:ascii="Times New Roman" w:hAnsi="Times New Roman"/>
          <w:sz w:val="26"/>
          <w:szCs w:val="26"/>
        </w:rPr>
        <w:t xml:space="preserve"> </w:t>
      </w:r>
      <w:r w:rsidRPr="00470759">
        <w:rPr>
          <w:rFonts w:ascii="Times New Roman" w:hAnsi="Times New Roman"/>
          <w:sz w:val="26"/>
          <w:szCs w:val="26"/>
        </w:rPr>
        <w:t>C.S. § 1407 a public utility may require a reconnection fee and full payment of any outstanding balance to restore service.</w:t>
      </w:r>
    </w:p>
  </w:footnote>
  <w:footnote w:id="2">
    <w:p w:rsidR="00F203A0" w:rsidRPr="00272F94" w:rsidRDefault="00F203A0" w:rsidP="00606C89">
      <w:pPr>
        <w:pStyle w:val="FootnoteText"/>
        <w:rPr>
          <w:rFonts w:ascii="Times New Roman" w:hAnsi="Times New Roman"/>
        </w:rPr>
      </w:pPr>
      <w:r>
        <w:tab/>
      </w:r>
      <w:r>
        <w:rPr>
          <w:rStyle w:val="FootnoteReference"/>
        </w:rPr>
        <w:footnoteRef/>
      </w:r>
      <w:r>
        <w:t xml:space="preserve"> </w:t>
      </w:r>
      <w:r>
        <w:tab/>
      </w:r>
      <w:r w:rsidRPr="00470759">
        <w:rPr>
          <w:rFonts w:ascii="Times New Roman" w:hAnsi="Times New Roman"/>
          <w:sz w:val="26"/>
          <w:szCs w:val="26"/>
        </w:rPr>
        <w:t>Pursuant to 66 Pa.</w:t>
      </w:r>
      <w:r w:rsidR="00C55A3B">
        <w:rPr>
          <w:rFonts w:ascii="Times New Roman" w:hAnsi="Times New Roman"/>
          <w:sz w:val="26"/>
          <w:szCs w:val="26"/>
        </w:rPr>
        <w:t xml:space="preserve"> </w:t>
      </w:r>
      <w:r w:rsidRPr="00470759">
        <w:rPr>
          <w:rFonts w:ascii="Times New Roman" w:hAnsi="Times New Roman"/>
          <w:sz w:val="26"/>
          <w:szCs w:val="26"/>
        </w:rPr>
        <w:t>C.S. § 1404(a</w:t>
      </w:r>
      <w:proofErr w:type="gramStart"/>
      <w:r w:rsidRPr="00470759">
        <w:rPr>
          <w:rFonts w:ascii="Times New Roman" w:hAnsi="Times New Roman"/>
          <w:sz w:val="26"/>
          <w:szCs w:val="26"/>
        </w:rPr>
        <w:t>)(</w:t>
      </w:r>
      <w:proofErr w:type="gramEnd"/>
      <w:r w:rsidRPr="00470759">
        <w:rPr>
          <w:rFonts w:ascii="Times New Roman" w:hAnsi="Times New Roman"/>
          <w:sz w:val="26"/>
          <w:szCs w:val="26"/>
        </w:rPr>
        <w:t>1)(v) a public utility may require a deposit from an applicant that was a customer whose service was terminated for failure to comply with a payment agreement.  The total security deposit is $234.00.</w:t>
      </w:r>
      <w:r>
        <w:rPr>
          <w:rFonts w:ascii="Times New Roman" w:hAnsi="Times New Roman"/>
        </w:rPr>
        <w:t xml:space="preserve">    </w:t>
      </w:r>
    </w:p>
  </w:footnote>
  <w:footnote w:id="3">
    <w:p w:rsidR="00F203A0" w:rsidRPr="008503D2" w:rsidRDefault="00F203A0">
      <w:pPr>
        <w:pStyle w:val="FootnoteText"/>
        <w:rPr>
          <w:rFonts w:ascii="Times New Roman" w:hAnsi="Times New Roman"/>
          <w:sz w:val="26"/>
          <w:szCs w:val="26"/>
        </w:rPr>
      </w:pPr>
      <w:r>
        <w:tab/>
      </w:r>
      <w:r w:rsidRPr="008503D2">
        <w:rPr>
          <w:rStyle w:val="FootnoteReference"/>
          <w:rFonts w:ascii="Times New Roman" w:hAnsi="Times New Roman"/>
        </w:rPr>
        <w:footnoteRef/>
      </w:r>
      <w:r w:rsidRPr="008503D2">
        <w:rPr>
          <w:rFonts w:ascii="Times New Roman" w:hAnsi="Times New Roman"/>
          <w:sz w:val="26"/>
          <w:szCs w:val="26"/>
        </w:rPr>
        <w:t xml:space="preserve"> </w:t>
      </w:r>
      <w:r w:rsidRPr="008503D2">
        <w:rPr>
          <w:rFonts w:ascii="Times New Roman" w:hAnsi="Times New Roman"/>
          <w:sz w:val="26"/>
          <w:szCs w:val="26"/>
        </w:rPr>
        <w:tab/>
      </w:r>
      <w:r>
        <w:rPr>
          <w:rFonts w:ascii="Times New Roman" w:hAnsi="Times New Roman"/>
          <w:sz w:val="26"/>
          <w:szCs w:val="26"/>
        </w:rPr>
        <w:t xml:space="preserve">As noted under the History of Proceeding, </w:t>
      </w:r>
      <w:r>
        <w:rPr>
          <w:rFonts w:ascii="Times New Roman" w:hAnsi="Times New Roman"/>
          <w:i/>
          <w:sz w:val="26"/>
          <w:szCs w:val="26"/>
        </w:rPr>
        <w:t>supra,</w:t>
      </w:r>
      <w:r>
        <w:rPr>
          <w:rFonts w:ascii="Times New Roman" w:hAnsi="Times New Roman"/>
          <w:sz w:val="26"/>
          <w:szCs w:val="26"/>
        </w:rPr>
        <w:t xml:space="preserve"> this amount consists of an outstanding balance of $2,588.94, a reconnection fee of $123.23, and a one-half security deposit of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3E97"/>
    <w:rsid w:val="00004C36"/>
    <w:rsid w:val="000063E9"/>
    <w:rsid w:val="000064C2"/>
    <w:rsid w:val="00006E37"/>
    <w:rsid w:val="00007106"/>
    <w:rsid w:val="000074DC"/>
    <w:rsid w:val="00010322"/>
    <w:rsid w:val="0001099D"/>
    <w:rsid w:val="00011888"/>
    <w:rsid w:val="00011BF3"/>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5509"/>
    <w:rsid w:val="0003588B"/>
    <w:rsid w:val="00035F25"/>
    <w:rsid w:val="00037182"/>
    <w:rsid w:val="000378DC"/>
    <w:rsid w:val="0004071F"/>
    <w:rsid w:val="000416ED"/>
    <w:rsid w:val="00044438"/>
    <w:rsid w:val="0004679E"/>
    <w:rsid w:val="000472A4"/>
    <w:rsid w:val="000510D0"/>
    <w:rsid w:val="000510FD"/>
    <w:rsid w:val="000535F0"/>
    <w:rsid w:val="000537BC"/>
    <w:rsid w:val="00053CED"/>
    <w:rsid w:val="000541A0"/>
    <w:rsid w:val="00054407"/>
    <w:rsid w:val="00054F7A"/>
    <w:rsid w:val="00055EF9"/>
    <w:rsid w:val="00057057"/>
    <w:rsid w:val="000573BD"/>
    <w:rsid w:val="000610F9"/>
    <w:rsid w:val="00061284"/>
    <w:rsid w:val="00061850"/>
    <w:rsid w:val="000629CD"/>
    <w:rsid w:val="000634BD"/>
    <w:rsid w:val="0006405C"/>
    <w:rsid w:val="0006449F"/>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601"/>
    <w:rsid w:val="00076F62"/>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796"/>
    <w:rsid w:val="00092ABD"/>
    <w:rsid w:val="00094D6F"/>
    <w:rsid w:val="00096187"/>
    <w:rsid w:val="000966DC"/>
    <w:rsid w:val="00097048"/>
    <w:rsid w:val="0009781B"/>
    <w:rsid w:val="000A1364"/>
    <w:rsid w:val="000A2F11"/>
    <w:rsid w:val="000A35F4"/>
    <w:rsid w:val="000A4C46"/>
    <w:rsid w:val="000A6EB3"/>
    <w:rsid w:val="000A770A"/>
    <w:rsid w:val="000A7F96"/>
    <w:rsid w:val="000A7FDE"/>
    <w:rsid w:val="000B2688"/>
    <w:rsid w:val="000B2A1C"/>
    <w:rsid w:val="000B2B80"/>
    <w:rsid w:val="000B3FB4"/>
    <w:rsid w:val="000B4F29"/>
    <w:rsid w:val="000B5487"/>
    <w:rsid w:val="000B5DF8"/>
    <w:rsid w:val="000B71E3"/>
    <w:rsid w:val="000B77E2"/>
    <w:rsid w:val="000B7E7F"/>
    <w:rsid w:val="000C33A1"/>
    <w:rsid w:val="000C4BFD"/>
    <w:rsid w:val="000C5833"/>
    <w:rsid w:val="000C608B"/>
    <w:rsid w:val="000C6C92"/>
    <w:rsid w:val="000C742F"/>
    <w:rsid w:val="000D0BAC"/>
    <w:rsid w:val="000D0D75"/>
    <w:rsid w:val="000D1965"/>
    <w:rsid w:val="000D1DF8"/>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112D8"/>
    <w:rsid w:val="0011244B"/>
    <w:rsid w:val="00112B05"/>
    <w:rsid w:val="0011311C"/>
    <w:rsid w:val="001133C8"/>
    <w:rsid w:val="00114D80"/>
    <w:rsid w:val="00115FD9"/>
    <w:rsid w:val="001160BA"/>
    <w:rsid w:val="00116D79"/>
    <w:rsid w:val="00120C2F"/>
    <w:rsid w:val="00122E0F"/>
    <w:rsid w:val="00123068"/>
    <w:rsid w:val="001234F1"/>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E3D"/>
    <w:rsid w:val="00137A60"/>
    <w:rsid w:val="001401EC"/>
    <w:rsid w:val="00141877"/>
    <w:rsid w:val="00141882"/>
    <w:rsid w:val="00141DF0"/>
    <w:rsid w:val="0014205C"/>
    <w:rsid w:val="00142D1D"/>
    <w:rsid w:val="00142D3A"/>
    <w:rsid w:val="00143F43"/>
    <w:rsid w:val="00144166"/>
    <w:rsid w:val="001448EA"/>
    <w:rsid w:val="00144E09"/>
    <w:rsid w:val="001457F2"/>
    <w:rsid w:val="00145EDC"/>
    <w:rsid w:val="001469A0"/>
    <w:rsid w:val="00146E12"/>
    <w:rsid w:val="00147415"/>
    <w:rsid w:val="00150989"/>
    <w:rsid w:val="001509E0"/>
    <w:rsid w:val="001523CA"/>
    <w:rsid w:val="0015662E"/>
    <w:rsid w:val="001572C5"/>
    <w:rsid w:val="0016005F"/>
    <w:rsid w:val="001606BC"/>
    <w:rsid w:val="00160F0A"/>
    <w:rsid w:val="0016115A"/>
    <w:rsid w:val="00162A88"/>
    <w:rsid w:val="001636E2"/>
    <w:rsid w:val="001638A3"/>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1347"/>
    <w:rsid w:val="001827DB"/>
    <w:rsid w:val="00183D96"/>
    <w:rsid w:val="00185B5E"/>
    <w:rsid w:val="001865B9"/>
    <w:rsid w:val="00186887"/>
    <w:rsid w:val="00187BC6"/>
    <w:rsid w:val="0019214E"/>
    <w:rsid w:val="0019251E"/>
    <w:rsid w:val="0019318F"/>
    <w:rsid w:val="00193EF0"/>
    <w:rsid w:val="00197920"/>
    <w:rsid w:val="00197C2F"/>
    <w:rsid w:val="00197F3D"/>
    <w:rsid w:val="001A0516"/>
    <w:rsid w:val="001A18D5"/>
    <w:rsid w:val="001A1AD3"/>
    <w:rsid w:val="001A3C6A"/>
    <w:rsid w:val="001A3D65"/>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4225"/>
    <w:rsid w:val="001E5B8E"/>
    <w:rsid w:val="001E7402"/>
    <w:rsid w:val="001F0488"/>
    <w:rsid w:val="001F23BA"/>
    <w:rsid w:val="001F3BF4"/>
    <w:rsid w:val="001F3C68"/>
    <w:rsid w:val="001F4194"/>
    <w:rsid w:val="001F49F1"/>
    <w:rsid w:val="001F55D5"/>
    <w:rsid w:val="001F5F40"/>
    <w:rsid w:val="001F75D6"/>
    <w:rsid w:val="001F79C6"/>
    <w:rsid w:val="001F7B55"/>
    <w:rsid w:val="00200D0C"/>
    <w:rsid w:val="00203F27"/>
    <w:rsid w:val="00205242"/>
    <w:rsid w:val="00205B95"/>
    <w:rsid w:val="0020640C"/>
    <w:rsid w:val="00206D03"/>
    <w:rsid w:val="00207449"/>
    <w:rsid w:val="00207453"/>
    <w:rsid w:val="0020784E"/>
    <w:rsid w:val="00210868"/>
    <w:rsid w:val="00210BB0"/>
    <w:rsid w:val="0021230D"/>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3016"/>
    <w:rsid w:val="00243312"/>
    <w:rsid w:val="0024349F"/>
    <w:rsid w:val="00243CC9"/>
    <w:rsid w:val="00243D31"/>
    <w:rsid w:val="00244528"/>
    <w:rsid w:val="002450F3"/>
    <w:rsid w:val="00245B0C"/>
    <w:rsid w:val="002469C9"/>
    <w:rsid w:val="00247332"/>
    <w:rsid w:val="00250E63"/>
    <w:rsid w:val="00251D73"/>
    <w:rsid w:val="00252313"/>
    <w:rsid w:val="00252626"/>
    <w:rsid w:val="00253CC7"/>
    <w:rsid w:val="00254099"/>
    <w:rsid w:val="00254560"/>
    <w:rsid w:val="00254840"/>
    <w:rsid w:val="00255125"/>
    <w:rsid w:val="002556E9"/>
    <w:rsid w:val="002564D7"/>
    <w:rsid w:val="00256A4C"/>
    <w:rsid w:val="0025718D"/>
    <w:rsid w:val="00260276"/>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3C80"/>
    <w:rsid w:val="0028448D"/>
    <w:rsid w:val="00284F6E"/>
    <w:rsid w:val="002851CE"/>
    <w:rsid w:val="002854BF"/>
    <w:rsid w:val="00285856"/>
    <w:rsid w:val="00285EB1"/>
    <w:rsid w:val="002865F5"/>
    <w:rsid w:val="00286C9A"/>
    <w:rsid w:val="00287BE6"/>
    <w:rsid w:val="00290876"/>
    <w:rsid w:val="002911A8"/>
    <w:rsid w:val="00291657"/>
    <w:rsid w:val="002916BB"/>
    <w:rsid w:val="002919FB"/>
    <w:rsid w:val="00296493"/>
    <w:rsid w:val="00297040"/>
    <w:rsid w:val="00297213"/>
    <w:rsid w:val="002A0E82"/>
    <w:rsid w:val="002A17A4"/>
    <w:rsid w:val="002A3250"/>
    <w:rsid w:val="002A3A6E"/>
    <w:rsid w:val="002A3AC8"/>
    <w:rsid w:val="002A5399"/>
    <w:rsid w:val="002A740E"/>
    <w:rsid w:val="002A782B"/>
    <w:rsid w:val="002B0089"/>
    <w:rsid w:val="002B03EA"/>
    <w:rsid w:val="002B31AD"/>
    <w:rsid w:val="002B3767"/>
    <w:rsid w:val="002B4B0D"/>
    <w:rsid w:val="002B6B0C"/>
    <w:rsid w:val="002C011D"/>
    <w:rsid w:val="002C116F"/>
    <w:rsid w:val="002C2053"/>
    <w:rsid w:val="002C4014"/>
    <w:rsid w:val="002C4311"/>
    <w:rsid w:val="002C61A7"/>
    <w:rsid w:val="002C6681"/>
    <w:rsid w:val="002D02BC"/>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5FCA"/>
    <w:rsid w:val="002E6F2D"/>
    <w:rsid w:val="002E7206"/>
    <w:rsid w:val="002F0238"/>
    <w:rsid w:val="002F1287"/>
    <w:rsid w:val="002F14FA"/>
    <w:rsid w:val="002F3B92"/>
    <w:rsid w:val="002F4D5E"/>
    <w:rsid w:val="002F50FB"/>
    <w:rsid w:val="002F5F71"/>
    <w:rsid w:val="002F6563"/>
    <w:rsid w:val="002F716A"/>
    <w:rsid w:val="00300561"/>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7C48"/>
    <w:rsid w:val="00337DFD"/>
    <w:rsid w:val="00340AB1"/>
    <w:rsid w:val="00340B42"/>
    <w:rsid w:val="00340E96"/>
    <w:rsid w:val="00342149"/>
    <w:rsid w:val="003428C1"/>
    <w:rsid w:val="003440BD"/>
    <w:rsid w:val="00344581"/>
    <w:rsid w:val="003459E2"/>
    <w:rsid w:val="00346964"/>
    <w:rsid w:val="003471B4"/>
    <w:rsid w:val="00350442"/>
    <w:rsid w:val="00350B3E"/>
    <w:rsid w:val="00351917"/>
    <w:rsid w:val="00352BC7"/>
    <w:rsid w:val="00353BBC"/>
    <w:rsid w:val="00353F42"/>
    <w:rsid w:val="0035474E"/>
    <w:rsid w:val="00354EEE"/>
    <w:rsid w:val="00356356"/>
    <w:rsid w:val="00356A26"/>
    <w:rsid w:val="003573EB"/>
    <w:rsid w:val="00357A93"/>
    <w:rsid w:val="00357B6E"/>
    <w:rsid w:val="00362AC9"/>
    <w:rsid w:val="003653F6"/>
    <w:rsid w:val="003669C8"/>
    <w:rsid w:val="00366C32"/>
    <w:rsid w:val="00367224"/>
    <w:rsid w:val="00370193"/>
    <w:rsid w:val="003704B1"/>
    <w:rsid w:val="003708CD"/>
    <w:rsid w:val="00372E6D"/>
    <w:rsid w:val="00373021"/>
    <w:rsid w:val="00373109"/>
    <w:rsid w:val="00373918"/>
    <w:rsid w:val="003742CF"/>
    <w:rsid w:val="003745DB"/>
    <w:rsid w:val="0037549D"/>
    <w:rsid w:val="0037692B"/>
    <w:rsid w:val="003807E7"/>
    <w:rsid w:val="0038091E"/>
    <w:rsid w:val="00381C7A"/>
    <w:rsid w:val="003821C2"/>
    <w:rsid w:val="00383324"/>
    <w:rsid w:val="00383585"/>
    <w:rsid w:val="00384B25"/>
    <w:rsid w:val="00384C7C"/>
    <w:rsid w:val="00385898"/>
    <w:rsid w:val="0039007A"/>
    <w:rsid w:val="003902DE"/>
    <w:rsid w:val="003908FE"/>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23C6"/>
    <w:rsid w:val="003C25B9"/>
    <w:rsid w:val="003C31AF"/>
    <w:rsid w:val="003C384E"/>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D1D"/>
    <w:rsid w:val="003D584F"/>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78A2"/>
    <w:rsid w:val="00400A4D"/>
    <w:rsid w:val="0040233B"/>
    <w:rsid w:val="004023F4"/>
    <w:rsid w:val="00402479"/>
    <w:rsid w:val="0040386F"/>
    <w:rsid w:val="00404C07"/>
    <w:rsid w:val="004051BE"/>
    <w:rsid w:val="004059A2"/>
    <w:rsid w:val="00406D11"/>
    <w:rsid w:val="00411FC9"/>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0B86"/>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6BCB"/>
    <w:rsid w:val="00447592"/>
    <w:rsid w:val="004551AB"/>
    <w:rsid w:val="00455C99"/>
    <w:rsid w:val="004572B4"/>
    <w:rsid w:val="00457386"/>
    <w:rsid w:val="004610A5"/>
    <w:rsid w:val="00461752"/>
    <w:rsid w:val="00461AC0"/>
    <w:rsid w:val="00461E0C"/>
    <w:rsid w:val="004622AF"/>
    <w:rsid w:val="00463C5C"/>
    <w:rsid w:val="004659EF"/>
    <w:rsid w:val="0046799A"/>
    <w:rsid w:val="00470759"/>
    <w:rsid w:val="004715B6"/>
    <w:rsid w:val="0047307A"/>
    <w:rsid w:val="004737D8"/>
    <w:rsid w:val="00473CA5"/>
    <w:rsid w:val="00474DBB"/>
    <w:rsid w:val="00474F36"/>
    <w:rsid w:val="00474FC8"/>
    <w:rsid w:val="00475639"/>
    <w:rsid w:val="004758A1"/>
    <w:rsid w:val="004760F2"/>
    <w:rsid w:val="004761B9"/>
    <w:rsid w:val="00476B76"/>
    <w:rsid w:val="004800AD"/>
    <w:rsid w:val="004854BF"/>
    <w:rsid w:val="0048674B"/>
    <w:rsid w:val="0048747D"/>
    <w:rsid w:val="00492432"/>
    <w:rsid w:val="00492787"/>
    <w:rsid w:val="004938FA"/>
    <w:rsid w:val="00493959"/>
    <w:rsid w:val="004949D0"/>
    <w:rsid w:val="00496592"/>
    <w:rsid w:val="0049771B"/>
    <w:rsid w:val="0049798B"/>
    <w:rsid w:val="00497A76"/>
    <w:rsid w:val="00497BCA"/>
    <w:rsid w:val="004A0DC5"/>
    <w:rsid w:val="004A228E"/>
    <w:rsid w:val="004A2A28"/>
    <w:rsid w:val="004A35EA"/>
    <w:rsid w:val="004A41B7"/>
    <w:rsid w:val="004A5287"/>
    <w:rsid w:val="004A53EA"/>
    <w:rsid w:val="004A572B"/>
    <w:rsid w:val="004A5730"/>
    <w:rsid w:val="004A6496"/>
    <w:rsid w:val="004A6548"/>
    <w:rsid w:val="004A7831"/>
    <w:rsid w:val="004B1011"/>
    <w:rsid w:val="004B14C4"/>
    <w:rsid w:val="004B1F17"/>
    <w:rsid w:val="004B30C3"/>
    <w:rsid w:val="004B35DC"/>
    <w:rsid w:val="004C2A0D"/>
    <w:rsid w:val="004C40E8"/>
    <w:rsid w:val="004C4F45"/>
    <w:rsid w:val="004C54A0"/>
    <w:rsid w:val="004C5B03"/>
    <w:rsid w:val="004C749A"/>
    <w:rsid w:val="004C7AC4"/>
    <w:rsid w:val="004D08F5"/>
    <w:rsid w:val="004D12A1"/>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10C1C"/>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087"/>
    <w:rsid w:val="00545FB5"/>
    <w:rsid w:val="005460F4"/>
    <w:rsid w:val="005469D0"/>
    <w:rsid w:val="00550B49"/>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A0E"/>
    <w:rsid w:val="00572F46"/>
    <w:rsid w:val="005802BE"/>
    <w:rsid w:val="00580871"/>
    <w:rsid w:val="0058183A"/>
    <w:rsid w:val="0058351F"/>
    <w:rsid w:val="00584D1A"/>
    <w:rsid w:val="005850E9"/>
    <w:rsid w:val="00585605"/>
    <w:rsid w:val="00585FF4"/>
    <w:rsid w:val="00587D7D"/>
    <w:rsid w:val="00590A8E"/>
    <w:rsid w:val="005921ED"/>
    <w:rsid w:val="00592536"/>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5271"/>
    <w:rsid w:val="005C55BC"/>
    <w:rsid w:val="005C7A23"/>
    <w:rsid w:val="005D090E"/>
    <w:rsid w:val="005D33F7"/>
    <w:rsid w:val="005D40C7"/>
    <w:rsid w:val="005D436B"/>
    <w:rsid w:val="005D4382"/>
    <w:rsid w:val="005D49F6"/>
    <w:rsid w:val="005D4D4F"/>
    <w:rsid w:val="005D5B48"/>
    <w:rsid w:val="005D60FF"/>
    <w:rsid w:val="005D6922"/>
    <w:rsid w:val="005D74D6"/>
    <w:rsid w:val="005D75C3"/>
    <w:rsid w:val="005E0C51"/>
    <w:rsid w:val="005E214B"/>
    <w:rsid w:val="005E24EC"/>
    <w:rsid w:val="005E50A3"/>
    <w:rsid w:val="005E5393"/>
    <w:rsid w:val="005E56CB"/>
    <w:rsid w:val="005E649E"/>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6C89"/>
    <w:rsid w:val="00607554"/>
    <w:rsid w:val="00607CD1"/>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4410"/>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D41"/>
    <w:rsid w:val="00680324"/>
    <w:rsid w:val="00680C89"/>
    <w:rsid w:val="006811E0"/>
    <w:rsid w:val="006836BF"/>
    <w:rsid w:val="00683978"/>
    <w:rsid w:val="0068534E"/>
    <w:rsid w:val="00685438"/>
    <w:rsid w:val="00685C47"/>
    <w:rsid w:val="00685C7C"/>
    <w:rsid w:val="00686195"/>
    <w:rsid w:val="0068734F"/>
    <w:rsid w:val="006873CB"/>
    <w:rsid w:val="006878D9"/>
    <w:rsid w:val="006906C5"/>
    <w:rsid w:val="00690B33"/>
    <w:rsid w:val="00690F25"/>
    <w:rsid w:val="00692A55"/>
    <w:rsid w:val="00693910"/>
    <w:rsid w:val="00694864"/>
    <w:rsid w:val="00694B21"/>
    <w:rsid w:val="00695654"/>
    <w:rsid w:val="006A0461"/>
    <w:rsid w:val="006A0550"/>
    <w:rsid w:val="006A0B82"/>
    <w:rsid w:val="006A172E"/>
    <w:rsid w:val="006A29BE"/>
    <w:rsid w:val="006A4113"/>
    <w:rsid w:val="006A47FE"/>
    <w:rsid w:val="006A4C05"/>
    <w:rsid w:val="006A5CFC"/>
    <w:rsid w:val="006A5DB1"/>
    <w:rsid w:val="006A780B"/>
    <w:rsid w:val="006A7DB6"/>
    <w:rsid w:val="006A7FE0"/>
    <w:rsid w:val="006B1632"/>
    <w:rsid w:val="006B23FF"/>
    <w:rsid w:val="006B247F"/>
    <w:rsid w:val="006B3C0B"/>
    <w:rsid w:val="006B460D"/>
    <w:rsid w:val="006B59EF"/>
    <w:rsid w:val="006C0F2D"/>
    <w:rsid w:val="006C2D84"/>
    <w:rsid w:val="006C3710"/>
    <w:rsid w:val="006C56A5"/>
    <w:rsid w:val="006C58A2"/>
    <w:rsid w:val="006C5BFF"/>
    <w:rsid w:val="006C5D46"/>
    <w:rsid w:val="006C5DAF"/>
    <w:rsid w:val="006C65F1"/>
    <w:rsid w:val="006C73DE"/>
    <w:rsid w:val="006D0207"/>
    <w:rsid w:val="006D04EE"/>
    <w:rsid w:val="006D250A"/>
    <w:rsid w:val="006D3169"/>
    <w:rsid w:val="006D3773"/>
    <w:rsid w:val="006D4457"/>
    <w:rsid w:val="006D590F"/>
    <w:rsid w:val="006D60A4"/>
    <w:rsid w:val="006D6D22"/>
    <w:rsid w:val="006D6E56"/>
    <w:rsid w:val="006E0ACD"/>
    <w:rsid w:val="006E19CA"/>
    <w:rsid w:val="006E270D"/>
    <w:rsid w:val="006E3777"/>
    <w:rsid w:val="006E3E10"/>
    <w:rsid w:val="006E50F1"/>
    <w:rsid w:val="006E7B1A"/>
    <w:rsid w:val="006F0018"/>
    <w:rsid w:val="006F2193"/>
    <w:rsid w:val="006F32C7"/>
    <w:rsid w:val="006F381F"/>
    <w:rsid w:val="006F4482"/>
    <w:rsid w:val="006F45BC"/>
    <w:rsid w:val="006F472E"/>
    <w:rsid w:val="006F59DE"/>
    <w:rsid w:val="006F5B3E"/>
    <w:rsid w:val="006F5C13"/>
    <w:rsid w:val="006F7ABC"/>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913"/>
    <w:rsid w:val="00715A44"/>
    <w:rsid w:val="00715D19"/>
    <w:rsid w:val="00716C70"/>
    <w:rsid w:val="00716DBB"/>
    <w:rsid w:val="00717887"/>
    <w:rsid w:val="00717AA6"/>
    <w:rsid w:val="00720090"/>
    <w:rsid w:val="007227BD"/>
    <w:rsid w:val="00723F00"/>
    <w:rsid w:val="0072487D"/>
    <w:rsid w:val="007258B9"/>
    <w:rsid w:val="007262BB"/>
    <w:rsid w:val="007302CD"/>
    <w:rsid w:val="00732C4E"/>
    <w:rsid w:val="00733D05"/>
    <w:rsid w:val="0073478E"/>
    <w:rsid w:val="007347C0"/>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0967"/>
    <w:rsid w:val="00771098"/>
    <w:rsid w:val="00773BDD"/>
    <w:rsid w:val="00774460"/>
    <w:rsid w:val="00776EC9"/>
    <w:rsid w:val="00780290"/>
    <w:rsid w:val="00780296"/>
    <w:rsid w:val="00780707"/>
    <w:rsid w:val="00780935"/>
    <w:rsid w:val="00780972"/>
    <w:rsid w:val="00780E2F"/>
    <w:rsid w:val="00781C27"/>
    <w:rsid w:val="00787B2C"/>
    <w:rsid w:val="00787B36"/>
    <w:rsid w:val="00787D24"/>
    <w:rsid w:val="007906AE"/>
    <w:rsid w:val="00791EEE"/>
    <w:rsid w:val="007946EB"/>
    <w:rsid w:val="0079538E"/>
    <w:rsid w:val="0079543C"/>
    <w:rsid w:val="00795F8D"/>
    <w:rsid w:val="00796AEA"/>
    <w:rsid w:val="007A1316"/>
    <w:rsid w:val="007A1DC5"/>
    <w:rsid w:val="007A20AD"/>
    <w:rsid w:val="007A28CD"/>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B734A"/>
    <w:rsid w:val="007C0EAB"/>
    <w:rsid w:val="007C2AE2"/>
    <w:rsid w:val="007C2F4E"/>
    <w:rsid w:val="007C31CC"/>
    <w:rsid w:val="007C32C3"/>
    <w:rsid w:val="007C3745"/>
    <w:rsid w:val="007C3E46"/>
    <w:rsid w:val="007C47D0"/>
    <w:rsid w:val="007C4AB5"/>
    <w:rsid w:val="007C5796"/>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847"/>
    <w:rsid w:val="007D6BBA"/>
    <w:rsid w:val="007D6C48"/>
    <w:rsid w:val="007D71F7"/>
    <w:rsid w:val="007E000F"/>
    <w:rsid w:val="007E156E"/>
    <w:rsid w:val="007E2E70"/>
    <w:rsid w:val="007E3501"/>
    <w:rsid w:val="007E4C3F"/>
    <w:rsid w:val="007E52B4"/>
    <w:rsid w:val="007E65B1"/>
    <w:rsid w:val="007F05C7"/>
    <w:rsid w:val="007F0FF4"/>
    <w:rsid w:val="007F2683"/>
    <w:rsid w:val="007F2956"/>
    <w:rsid w:val="007F2E32"/>
    <w:rsid w:val="007F57A4"/>
    <w:rsid w:val="007F6940"/>
    <w:rsid w:val="007F6A11"/>
    <w:rsid w:val="008002AA"/>
    <w:rsid w:val="008015EA"/>
    <w:rsid w:val="008018EF"/>
    <w:rsid w:val="0080230D"/>
    <w:rsid w:val="008036FD"/>
    <w:rsid w:val="0080383D"/>
    <w:rsid w:val="0080394E"/>
    <w:rsid w:val="0080499E"/>
    <w:rsid w:val="00807429"/>
    <w:rsid w:val="00810827"/>
    <w:rsid w:val="008127D6"/>
    <w:rsid w:val="00814E45"/>
    <w:rsid w:val="00815227"/>
    <w:rsid w:val="00815360"/>
    <w:rsid w:val="00817B2A"/>
    <w:rsid w:val="00817DA7"/>
    <w:rsid w:val="0082161C"/>
    <w:rsid w:val="00821B16"/>
    <w:rsid w:val="0082231F"/>
    <w:rsid w:val="00823378"/>
    <w:rsid w:val="008243DF"/>
    <w:rsid w:val="0082459D"/>
    <w:rsid w:val="00824CA7"/>
    <w:rsid w:val="00824CEF"/>
    <w:rsid w:val="008254AB"/>
    <w:rsid w:val="008256EC"/>
    <w:rsid w:val="00825B95"/>
    <w:rsid w:val="00826480"/>
    <w:rsid w:val="00830148"/>
    <w:rsid w:val="008316AD"/>
    <w:rsid w:val="00831795"/>
    <w:rsid w:val="00831855"/>
    <w:rsid w:val="00832D13"/>
    <w:rsid w:val="0083362F"/>
    <w:rsid w:val="00835315"/>
    <w:rsid w:val="00835AEB"/>
    <w:rsid w:val="00836BE5"/>
    <w:rsid w:val="00836F2D"/>
    <w:rsid w:val="00840D0F"/>
    <w:rsid w:val="0084200E"/>
    <w:rsid w:val="00842A84"/>
    <w:rsid w:val="00842FDE"/>
    <w:rsid w:val="008445D4"/>
    <w:rsid w:val="008446F1"/>
    <w:rsid w:val="00846FF0"/>
    <w:rsid w:val="00847CD0"/>
    <w:rsid w:val="008503D2"/>
    <w:rsid w:val="00854B56"/>
    <w:rsid w:val="00855374"/>
    <w:rsid w:val="0085728C"/>
    <w:rsid w:val="00857A42"/>
    <w:rsid w:val="00857F65"/>
    <w:rsid w:val="00860737"/>
    <w:rsid w:val="008611A4"/>
    <w:rsid w:val="00861FD7"/>
    <w:rsid w:val="0086249A"/>
    <w:rsid w:val="00862B1B"/>
    <w:rsid w:val="00862B56"/>
    <w:rsid w:val="0086363F"/>
    <w:rsid w:val="008639C9"/>
    <w:rsid w:val="008667AD"/>
    <w:rsid w:val="00866D13"/>
    <w:rsid w:val="00867150"/>
    <w:rsid w:val="00874DEF"/>
    <w:rsid w:val="00876D09"/>
    <w:rsid w:val="00877308"/>
    <w:rsid w:val="0088013C"/>
    <w:rsid w:val="008804AB"/>
    <w:rsid w:val="00881882"/>
    <w:rsid w:val="00882AC7"/>
    <w:rsid w:val="00882CC5"/>
    <w:rsid w:val="00882EE2"/>
    <w:rsid w:val="008835E3"/>
    <w:rsid w:val="00884452"/>
    <w:rsid w:val="008905D7"/>
    <w:rsid w:val="008934C7"/>
    <w:rsid w:val="008957C4"/>
    <w:rsid w:val="00895B87"/>
    <w:rsid w:val="00895EB5"/>
    <w:rsid w:val="008960B7"/>
    <w:rsid w:val="00896285"/>
    <w:rsid w:val="008962F2"/>
    <w:rsid w:val="00896352"/>
    <w:rsid w:val="00896511"/>
    <w:rsid w:val="00896657"/>
    <w:rsid w:val="0089692A"/>
    <w:rsid w:val="00896F35"/>
    <w:rsid w:val="008975E7"/>
    <w:rsid w:val="008A08D2"/>
    <w:rsid w:val="008A0DE1"/>
    <w:rsid w:val="008A2E7B"/>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465E"/>
    <w:rsid w:val="008C4CE4"/>
    <w:rsid w:val="008C5AA7"/>
    <w:rsid w:val="008C6787"/>
    <w:rsid w:val="008C73D6"/>
    <w:rsid w:val="008D049A"/>
    <w:rsid w:val="008D0C62"/>
    <w:rsid w:val="008D1155"/>
    <w:rsid w:val="008D20C1"/>
    <w:rsid w:val="008D2CD6"/>
    <w:rsid w:val="008D4939"/>
    <w:rsid w:val="008D50C8"/>
    <w:rsid w:val="008D790B"/>
    <w:rsid w:val="008D7FC7"/>
    <w:rsid w:val="008E0C04"/>
    <w:rsid w:val="008E0FE3"/>
    <w:rsid w:val="008E2737"/>
    <w:rsid w:val="008E315E"/>
    <w:rsid w:val="008E3D60"/>
    <w:rsid w:val="008E45DB"/>
    <w:rsid w:val="008E4DCD"/>
    <w:rsid w:val="008E4E47"/>
    <w:rsid w:val="008E6098"/>
    <w:rsid w:val="008E7390"/>
    <w:rsid w:val="008E7B58"/>
    <w:rsid w:val="008F05C2"/>
    <w:rsid w:val="008F1D7A"/>
    <w:rsid w:val="008F1E28"/>
    <w:rsid w:val="008F1F00"/>
    <w:rsid w:val="008F41ED"/>
    <w:rsid w:val="008F42BB"/>
    <w:rsid w:val="008F47D1"/>
    <w:rsid w:val="008F6D2B"/>
    <w:rsid w:val="008F7005"/>
    <w:rsid w:val="008F7A75"/>
    <w:rsid w:val="00901E6F"/>
    <w:rsid w:val="0090291C"/>
    <w:rsid w:val="009043BE"/>
    <w:rsid w:val="00905434"/>
    <w:rsid w:val="00905C39"/>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2D1D"/>
    <w:rsid w:val="00913539"/>
    <w:rsid w:val="0091586C"/>
    <w:rsid w:val="009160E0"/>
    <w:rsid w:val="00917DA1"/>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25E"/>
    <w:rsid w:val="00963876"/>
    <w:rsid w:val="00964CD3"/>
    <w:rsid w:val="00966051"/>
    <w:rsid w:val="0096670B"/>
    <w:rsid w:val="00970E28"/>
    <w:rsid w:val="00973088"/>
    <w:rsid w:val="00974568"/>
    <w:rsid w:val="0097493A"/>
    <w:rsid w:val="00974BBF"/>
    <w:rsid w:val="0097619C"/>
    <w:rsid w:val="009765DF"/>
    <w:rsid w:val="00977973"/>
    <w:rsid w:val="00981F79"/>
    <w:rsid w:val="009834E9"/>
    <w:rsid w:val="00983A72"/>
    <w:rsid w:val="009850EF"/>
    <w:rsid w:val="009868FC"/>
    <w:rsid w:val="00986D78"/>
    <w:rsid w:val="00987FE0"/>
    <w:rsid w:val="00990566"/>
    <w:rsid w:val="00991A16"/>
    <w:rsid w:val="00991AA5"/>
    <w:rsid w:val="00991AB9"/>
    <w:rsid w:val="00992029"/>
    <w:rsid w:val="0099250D"/>
    <w:rsid w:val="00993BEE"/>
    <w:rsid w:val="00995CC1"/>
    <w:rsid w:val="009961EE"/>
    <w:rsid w:val="0099682E"/>
    <w:rsid w:val="00996FC8"/>
    <w:rsid w:val="00997386"/>
    <w:rsid w:val="009A0BF1"/>
    <w:rsid w:val="009A23A4"/>
    <w:rsid w:val="009A2E64"/>
    <w:rsid w:val="009A3BAF"/>
    <w:rsid w:val="009A43AF"/>
    <w:rsid w:val="009A4914"/>
    <w:rsid w:val="009A4ED0"/>
    <w:rsid w:val="009A6EF9"/>
    <w:rsid w:val="009B0086"/>
    <w:rsid w:val="009B044D"/>
    <w:rsid w:val="009B0DF1"/>
    <w:rsid w:val="009B32BB"/>
    <w:rsid w:val="009B41FE"/>
    <w:rsid w:val="009B4416"/>
    <w:rsid w:val="009B4B28"/>
    <w:rsid w:val="009B4E8F"/>
    <w:rsid w:val="009B5E0E"/>
    <w:rsid w:val="009B75B8"/>
    <w:rsid w:val="009B7FCB"/>
    <w:rsid w:val="009C07DF"/>
    <w:rsid w:val="009C0E2E"/>
    <w:rsid w:val="009C1047"/>
    <w:rsid w:val="009C1908"/>
    <w:rsid w:val="009C190C"/>
    <w:rsid w:val="009C2436"/>
    <w:rsid w:val="009C65B2"/>
    <w:rsid w:val="009C7371"/>
    <w:rsid w:val="009C77A0"/>
    <w:rsid w:val="009C79CB"/>
    <w:rsid w:val="009C7C61"/>
    <w:rsid w:val="009D1640"/>
    <w:rsid w:val="009D21D0"/>
    <w:rsid w:val="009D2D1D"/>
    <w:rsid w:val="009D2FBA"/>
    <w:rsid w:val="009D351E"/>
    <w:rsid w:val="009D42B9"/>
    <w:rsid w:val="009D5768"/>
    <w:rsid w:val="009D66E6"/>
    <w:rsid w:val="009D6D73"/>
    <w:rsid w:val="009D73AC"/>
    <w:rsid w:val="009D7787"/>
    <w:rsid w:val="009E02C9"/>
    <w:rsid w:val="009E1660"/>
    <w:rsid w:val="009E1F68"/>
    <w:rsid w:val="009E2A96"/>
    <w:rsid w:val="009E2CAC"/>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6818"/>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284"/>
    <w:rsid w:val="00A3596C"/>
    <w:rsid w:val="00A36B1D"/>
    <w:rsid w:val="00A36D6B"/>
    <w:rsid w:val="00A36E14"/>
    <w:rsid w:val="00A40446"/>
    <w:rsid w:val="00A40A8F"/>
    <w:rsid w:val="00A41B06"/>
    <w:rsid w:val="00A4277B"/>
    <w:rsid w:val="00A42E39"/>
    <w:rsid w:val="00A43468"/>
    <w:rsid w:val="00A437BB"/>
    <w:rsid w:val="00A4716C"/>
    <w:rsid w:val="00A47E4B"/>
    <w:rsid w:val="00A50430"/>
    <w:rsid w:val="00A50BF4"/>
    <w:rsid w:val="00A50DA6"/>
    <w:rsid w:val="00A511E6"/>
    <w:rsid w:val="00A52978"/>
    <w:rsid w:val="00A52C86"/>
    <w:rsid w:val="00A53130"/>
    <w:rsid w:val="00A53B44"/>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4F96"/>
    <w:rsid w:val="00A80B08"/>
    <w:rsid w:val="00A81E64"/>
    <w:rsid w:val="00A82AD7"/>
    <w:rsid w:val="00A8326A"/>
    <w:rsid w:val="00A8367E"/>
    <w:rsid w:val="00A84536"/>
    <w:rsid w:val="00A84FC0"/>
    <w:rsid w:val="00A8510A"/>
    <w:rsid w:val="00A85226"/>
    <w:rsid w:val="00A857A7"/>
    <w:rsid w:val="00A85CF2"/>
    <w:rsid w:val="00A860D4"/>
    <w:rsid w:val="00A87D4F"/>
    <w:rsid w:val="00A92240"/>
    <w:rsid w:val="00A92D24"/>
    <w:rsid w:val="00A9350D"/>
    <w:rsid w:val="00A940EA"/>
    <w:rsid w:val="00A94442"/>
    <w:rsid w:val="00A944A8"/>
    <w:rsid w:val="00A94FA2"/>
    <w:rsid w:val="00A973D1"/>
    <w:rsid w:val="00A97F64"/>
    <w:rsid w:val="00AA0D13"/>
    <w:rsid w:val="00AA2F56"/>
    <w:rsid w:val="00AA32F4"/>
    <w:rsid w:val="00AA39D0"/>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41B"/>
    <w:rsid w:val="00AC275F"/>
    <w:rsid w:val="00AC2919"/>
    <w:rsid w:val="00AC3088"/>
    <w:rsid w:val="00AC3473"/>
    <w:rsid w:val="00AC3CC5"/>
    <w:rsid w:val="00AC4230"/>
    <w:rsid w:val="00AC4746"/>
    <w:rsid w:val="00AC5FB9"/>
    <w:rsid w:val="00AC6001"/>
    <w:rsid w:val="00AC6CAC"/>
    <w:rsid w:val="00AC6F04"/>
    <w:rsid w:val="00AC7080"/>
    <w:rsid w:val="00AC7204"/>
    <w:rsid w:val="00AD07F3"/>
    <w:rsid w:val="00AD1FB6"/>
    <w:rsid w:val="00AD20E2"/>
    <w:rsid w:val="00AD22B6"/>
    <w:rsid w:val="00AD2ADC"/>
    <w:rsid w:val="00AD2B54"/>
    <w:rsid w:val="00AD46E9"/>
    <w:rsid w:val="00AD5C38"/>
    <w:rsid w:val="00AD73AB"/>
    <w:rsid w:val="00AD76C7"/>
    <w:rsid w:val="00AD7C13"/>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A00"/>
    <w:rsid w:val="00B10F4E"/>
    <w:rsid w:val="00B11E5B"/>
    <w:rsid w:val="00B146AF"/>
    <w:rsid w:val="00B1511A"/>
    <w:rsid w:val="00B15D08"/>
    <w:rsid w:val="00B16E7E"/>
    <w:rsid w:val="00B17456"/>
    <w:rsid w:val="00B204F4"/>
    <w:rsid w:val="00B20655"/>
    <w:rsid w:val="00B206E5"/>
    <w:rsid w:val="00B20AC4"/>
    <w:rsid w:val="00B21FFE"/>
    <w:rsid w:val="00B229D6"/>
    <w:rsid w:val="00B239E0"/>
    <w:rsid w:val="00B23CE9"/>
    <w:rsid w:val="00B24127"/>
    <w:rsid w:val="00B24658"/>
    <w:rsid w:val="00B25D81"/>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4121"/>
    <w:rsid w:val="00B35695"/>
    <w:rsid w:val="00B40231"/>
    <w:rsid w:val="00B40C7A"/>
    <w:rsid w:val="00B419E0"/>
    <w:rsid w:val="00B4266C"/>
    <w:rsid w:val="00B42A6D"/>
    <w:rsid w:val="00B42ABB"/>
    <w:rsid w:val="00B42F5F"/>
    <w:rsid w:val="00B440CC"/>
    <w:rsid w:val="00B45042"/>
    <w:rsid w:val="00B45348"/>
    <w:rsid w:val="00B453FA"/>
    <w:rsid w:val="00B46895"/>
    <w:rsid w:val="00B508E9"/>
    <w:rsid w:val="00B50A01"/>
    <w:rsid w:val="00B50EFF"/>
    <w:rsid w:val="00B513A5"/>
    <w:rsid w:val="00B52B1B"/>
    <w:rsid w:val="00B531F1"/>
    <w:rsid w:val="00B547FB"/>
    <w:rsid w:val="00B548C8"/>
    <w:rsid w:val="00B555ED"/>
    <w:rsid w:val="00B55B97"/>
    <w:rsid w:val="00B56942"/>
    <w:rsid w:val="00B56E5D"/>
    <w:rsid w:val="00B5729D"/>
    <w:rsid w:val="00B5735F"/>
    <w:rsid w:val="00B573B5"/>
    <w:rsid w:val="00B57E11"/>
    <w:rsid w:val="00B602BD"/>
    <w:rsid w:val="00B61727"/>
    <w:rsid w:val="00B6173F"/>
    <w:rsid w:val="00B64C58"/>
    <w:rsid w:val="00B66BAE"/>
    <w:rsid w:val="00B66CCF"/>
    <w:rsid w:val="00B67590"/>
    <w:rsid w:val="00B6764B"/>
    <w:rsid w:val="00B70517"/>
    <w:rsid w:val="00B7116C"/>
    <w:rsid w:val="00B7181E"/>
    <w:rsid w:val="00B719B0"/>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4E4A"/>
    <w:rsid w:val="00B86396"/>
    <w:rsid w:val="00B866CA"/>
    <w:rsid w:val="00B9003F"/>
    <w:rsid w:val="00B901B6"/>
    <w:rsid w:val="00B903FE"/>
    <w:rsid w:val="00B912BF"/>
    <w:rsid w:val="00B9185F"/>
    <w:rsid w:val="00B918B1"/>
    <w:rsid w:val="00B91C30"/>
    <w:rsid w:val="00B91E89"/>
    <w:rsid w:val="00B92D56"/>
    <w:rsid w:val="00B934B4"/>
    <w:rsid w:val="00B93DAD"/>
    <w:rsid w:val="00B9411D"/>
    <w:rsid w:val="00B94551"/>
    <w:rsid w:val="00B94598"/>
    <w:rsid w:val="00B951C0"/>
    <w:rsid w:val="00B95A7D"/>
    <w:rsid w:val="00B96A3D"/>
    <w:rsid w:val="00BA188B"/>
    <w:rsid w:val="00BA4EA6"/>
    <w:rsid w:val="00BA657A"/>
    <w:rsid w:val="00BA6D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5F47"/>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720D"/>
    <w:rsid w:val="00BE0162"/>
    <w:rsid w:val="00BE07AC"/>
    <w:rsid w:val="00BE0929"/>
    <w:rsid w:val="00BE1981"/>
    <w:rsid w:val="00BE1985"/>
    <w:rsid w:val="00BE19FB"/>
    <w:rsid w:val="00BE2DFC"/>
    <w:rsid w:val="00BE33C9"/>
    <w:rsid w:val="00BE37E1"/>
    <w:rsid w:val="00BE448A"/>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28B5"/>
    <w:rsid w:val="00C02DFA"/>
    <w:rsid w:val="00C03981"/>
    <w:rsid w:val="00C04218"/>
    <w:rsid w:val="00C04450"/>
    <w:rsid w:val="00C04F43"/>
    <w:rsid w:val="00C05103"/>
    <w:rsid w:val="00C06242"/>
    <w:rsid w:val="00C0704F"/>
    <w:rsid w:val="00C07844"/>
    <w:rsid w:val="00C07AD3"/>
    <w:rsid w:val="00C100E8"/>
    <w:rsid w:val="00C10BBC"/>
    <w:rsid w:val="00C12C16"/>
    <w:rsid w:val="00C1369E"/>
    <w:rsid w:val="00C139C7"/>
    <w:rsid w:val="00C13ED1"/>
    <w:rsid w:val="00C14024"/>
    <w:rsid w:val="00C1408E"/>
    <w:rsid w:val="00C14801"/>
    <w:rsid w:val="00C14D24"/>
    <w:rsid w:val="00C15225"/>
    <w:rsid w:val="00C152B8"/>
    <w:rsid w:val="00C16120"/>
    <w:rsid w:val="00C16966"/>
    <w:rsid w:val="00C16E1E"/>
    <w:rsid w:val="00C215E6"/>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28D3"/>
    <w:rsid w:val="00C45358"/>
    <w:rsid w:val="00C45513"/>
    <w:rsid w:val="00C4681F"/>
    <w:rsid w:val="00C51391"/>
    <w:rsid w:val="00C55A3B"/>
    <w:rsid w:val="00C56CDC"/>
    <w:rsid w:val="00C56DC5"/>
    <w:rsid w:val="00C577BF"/>
    <w:rsid w:val="00C609DF"/>
    <w:rsid w:val="00C6107C"/>
    <w:rsid w:val="00C6111C"/>
    <w:rsid w:val="00C65A7D"/>
    <w:rsid w:val="00C65E9D"/>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6FFD"/>
    <w:rsid w:val="00C97BC9"/>
    <w:rsid w:val="00C97FC8"/>
    <w:rsid w:val="00CA0625"/>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A6EB9"/>
    <w:rsid w:val="00CB0B66"/>
    <w:rsid w:val="00CB0FE1"/>
    <w:rsid w:val="00CB1C25"/>
    <w:rsid w:val="00CB3617"/>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575"/>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CED"/>
    <w:rsid w:val="00D14EF9"/>
    <w:rsid w:val="00D151DF"/>
    <w:rsid w:val="00D15AE9"/>
    <w:rsid w:val="00D21282"/>
    <w:rsid w:val="00D217EE"/>
    <w:rsid w:val="00D21CD0"/>
    <w:rsid w:val="00D222D0"/>
    <w:rsid w:val="00D2291E"/>
    <w:rsid w:val="00D2292C"/>
    <w:rsid w:val="00D229F9"/>
    <w:rsid w:val="00D2377A"/>
    <w:rsid w:val="00D23D51"/>
    <w:rsid w:val="00D24A7F"/>
    <w:rsid w:val="00D26528"/>
    <w:rsid w:val="00D30E85"/>
    <w:rsid w:val="00D325CD"/>
    <w:rsid w:val="00D32B20"/>
    <w:rsid w:val="00D32E71"/>
    <w:rsid w:val="00D33BAD"/>
    <w:rsid w:val="00D33F51"/>
    <w:rsid w:val="00D3501F"/>
    <w:rsid w:val="00D36224"/>
    <w:rsid w:val="00D40999"/>
    <w:rsid w:val="00D416AA"/>
    <w:rsid w:val="00D41FF6"/>
    <w:rsid w:val="00D4491E"/>
    <w:rsid w:val="00D45FDF"/>
    <w:rsid w:val="00D50742"/>
    <w:rsid w:val="00D50EE4"/>
    <w:rsid w:val="00D53BB6"/>
    <w:rsid w:val="00D540B2"/>
    <w:rsid w:val="00D54954"/>
    <w:rsid w:val="00D54BCD"/>
    <w:rsid w:val="00D55558"/>
    <w:rsid w:val="00D5566B"/>
    <w:rsid w:val="00D556A2"/>
    <w:rsid w:val="00D55FDF"/>
    <w:rsid w:val="00D5616B"/>
    <w:rsid w:val="00D5673B"/>
    <w:rsid w:val="00D56769"/>
    <w:rsid w:val="00D56F3D"/>
    <w:rsid w:val="00D57E6D"/>
    <w:rsid w:val="00D63483"/>
    <w:rsid w:val="00D63FC0"/>
    <w:rsid w:val="00D65037"/>
    <w:rsid w:val="00D66349"/>
    <w:rsid w:val="00D66661"/>
    <w:rsid w:val="00D66F4D"/>
    <w:rsid w:val="00D73425"/>
    <w:rsid w:val="00D74447"/>
    <w:rsid w:val="00D7563C"/>
    <w:rsid w:val="00D75B68"/>
    <w:rsid w:val="00D75DD0"/>
    <w:rsid w:val="00D76810"/>
    <w:rsid w:val="00D769AA"/>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1B1"/>
    <w:rsid w:val="00DA1938"/>
    <w:rsid w:val="00DA2CEC"/>
    <w:rsid w:val="00DA3675"/>
    <w:rsid w:val="00DA3BAC"/>
    <w:rsid w:val="00DA4B4A"/>
    <w:rsid w:val="00DA5597"/>
    <w:rsid w:val="00DA5DF4"/>
    <w:rsid w:val="00DA6967"/>
    <w:rsid w:val="00DA70E4"/>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1918"/>
    <w:rsid w:val="00DD3119"/>
    <w:rsid w:val="00DD3C53"/>
    <w:rsid w:val="00DD3E1A"/>
    <w:rsid w:val="00DD461A"/>
    <w:rsid w:val="00DD479B"/>
    <w:rsid w:val="00DD4AD2"/>
    <w:rsid w:val="00DD58FD"/>
    <w:rsid w:val="00DD5FC9"/>
    <w:rsid w:val="00DD6697"/>
    <w:rsid w:val="00DD6A5C"/>
    <w:rsid w:val="00DD6F0B"/>
    <w:rsid w:val="00DD7963"/>
    <w:rsid w:val="00DD7DBC"/>
    <w:rsid w:val="00DE06B7"/>
    <w:rsid w:val="00DE06E8"/>
    <w:rsid w:val="00DE0726"/>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2C75"/>
    <w:rsid w:val="00DF2DAE"/>
    <w:rsid w:val="00DF4141"/>
    <w:rsid w:val="00DF4AA9"/>
    <w:rsid w:val="00DF6AC2"/>
    <w:rsid w:val="00DF7AAA"/>
    <w:rsid w:val="00E007AE"/>
    <w:rsid w:val="00E01407"/>
    <w:rsid w:val="00E02101"/>
    <w:rsid w:val="00E02E7F"/>
    <w:rsid w:val="00E04197"/>
    <w:rsid w:val="00E045C7"/>
    <w:rsid w:val="00E050C0"/>
    <w:rsid w:val="00E05189"/>
    <w:rsid w:val="00E05801"/>
    <w:rsid w:val="00E05C7D"/>
    <w:rsid w:val="00E06113"/>
    <w:rsid w:val="00E064FC"/>
    <w:rsid w:val="00E07E27"/>
    <w:rsid w:val="00E07F1E"/>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89"/>
    <w:rsid w:val="00E23D74"/>
    <w:rsid w:val="00E240F1"/>
    <w:rsid w:val="00E245C5"/>
    <w:rsid w:val="00E25274"/>
    <w:rsid w:val="00E26111"/>
    <w:rsid w:val="00E2649B"/>
    <w:rsid w:val="00E266C1"/>
    <w:rsid w:val="00E26E0C"/>
    <w:rsid w:val="00E301A6"/>
    <w:rsid w:val="00E302B8"/>
    <w:rsid w:val="00E31C44"/>
    <w:rsid w:val="00E32765"/>
    <w:rsid w:val="00E34401"/>
    <w:rsid w:val="00E34CCD"/>
    <w:rsid w:val="00E3553E"/>
    <w:rsid w:val="00E35C31"/>
    <w:rsid w:val="00E3700C"/>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6557C"/>
    <w:rsid w:val="00E66A27"/>
    <w:rsid w:val="00E72523"/>
    <w:rsid w:val="00E73C65"/>
    <w:rsid w:val="00E741A1"/>
    <w:rsid w:val="00E743EC"/>
    <w:rsid w:val="00E74D5E"/>
    <w:rsid w:val="00E77ADD"/>
    <w:rsid w:val="00E83AD0"/>
    <w:rsid w:val="00E849FB"/>
    <w:rsid w:val="00E84AE9"/>
    <w:rsid w:val="00E865EA"/>
    <w:rsid w:val="00E912EB"/>
    <w:rsid w:val="00E91331"/>
    <w:rsid w:val="00E91337"/>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A7B45"/>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5899"/>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5C27"/>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13F8"/>
    <w:rsid w:val="00F12408"/>
    <w:rsid w:val="00F12DC2"/>
    <w:rsid w:val="00F139DD"/>
    <w:rsid w:val="00F13AE9"/>
    <w:rsid w:val="00F147F9"/>
    <w:rsid w:val="00F14F83"/>
    <w:rsid w:val="00F1522A"/>
    <w:rsid w:val="00F15635"/>
    <w:rsid w:val="00F1579D"/>
    <w:rsid w:val="00F15AA1"/>
    <w:rsid w:val="00F167EB"/>
    <w:rsid w:val="00F16828"/>
    <w:rsid w:val="00F1720D"/>
    <w:rsid w:val="00F177E3"/>
    <w:rsid w:val="00F203A0"/>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67F8"/>
    <w:rsid w:val="00F5729E"/>
    <w:rsid w:val="00F57512"/>
    <w:rsid w:val="00F57956"/>
    <w:rsid w:val="00F60783"/>
    <w:rsid w:val="00F60984"/>
    <w:rsid w:val="00F620AF"/>
    <w:rsid w:val="00F62172"/>
    <w:rsid w:val="00F64418"/>
    <w:rsid w:val="00F647C8"/>
    <w:rsid w:val="00F65036"/>
    <w:rsid w:val="00F65147"/>
    <w:rsid w:val="00F652BB"/>
    <w:rsid w:val="00F65898"/>
    <w:rsid w:val="00F65F24"/>
    <w:rsid w:val="00F6694C"/>
    <w:rsid w:val="00F66AF2"/>
    <w:rsid w:val="00F6700A"/>
    <w:rsid w:val="00F70645"/>
    <w:rsid w:val="00F717AF"/>
    <w:rsid w:val="00F74101"/>
    <w:rsid w:val="00F74D99"/>
    <w:rsid w:val="00F803E8"/>
    <w:rsid w:val="00F8097F"/>
    <w:rsid w:val="00F8178D"/>
    <w:rsid w:val="00F83BAD"/>
    <w:rsid w:val="00F86732"/>
    <w:rsid w:val="00F86CD7"/>
    <w:rsid w:val="00F87775"/>
    <w:rsid w:val="00F923D8"/>
    <w:rsid w:val="00F93027"/>
    <w:rsid w:val="00F94597"/>
    <w:rsid w:val="00F945B3"/>
    <w:rsid w:val="00F948A6"/>
    <w:rsid w:val="00F95BA3"/>
    <w:rsid w:val="00F96208"/>
    <w:rsid w:val="00F96664"/>
    <w:rsid w:val="00F97807"/>
    <w:rsid w:val="00FA1E4A"/>
    <w:rsid w:val="00FA2673"/>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14FE"/>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D7BC-7BA0-40A6-8F87-4B5ED87C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3</cp:revision>
  <cp:lastPrinted>2014-12-10T13:06:00Z</cp:lastPrinted>
  <dcterms:created xsi:type="dcterms:W3CDTF">2014-12-09T15:10:00Z</dcterms:created>
  <dcterms:modified xsi:type="dcterms:W3CDTF">2014-12-10T13:06:00Z</dcterms:modified>
</cp:coreProperties>
</file>