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BF" w:rsidRPr="00973E75" w:rsidRDefault="007B41BF" w:rsidP="00B62CAC">
      <w:pPr>
        <w:widowControl/>
        <w:tabs>
          <w:tab w:val="center" w:pos="4680"/>
        </w:tabs>
        <w:suppressAutoHyphens/>
        <w:jc w:val="center"/>
        <w:rPr>
          <w:b/>
          <w:sz w:val="26"/>
          <w:szCs w:val="26"/>
        </w:rPr>
      </w:pPr>
      <w:r w:rsidRPr="00973E75">
        <w:rPr>
          <w:b/>
          <w:sz w:val="26"/>
          <w:szCs w:val="26"/>
        </w:rPr>
        <w:t>PENNSYLVANIA</w:t>
      </w:r>
    </w:p>
    <w:p w:rsidR="007B41BF" w:rsidRPr="00973E75" w:rsidRDefault="007B41BF" w:rsidP="00B62CAC">
      <w:pPr>
        <w:widowControl/>
        <w:tabs>
          <w:tab w:val="center" w:pos="4680"/>
        </w:tabs>
        <w:suppressAutoHyphens/>
        <w:jc w:val="center"/>
        <w:rPr>
          <w:sz w:val="26"/>
          <w:szCs w:val="26"/>
        </w:rPr>
      </w:pPr>
      <w:r w:rsidRPr="00973E75">
        <w:rPr>
          <w:b/>
          <w:sz w:val="26"/>
          <w:szCs w:val="26"/>
        </w:rPr>
        <w:t>PUBLIC UTILITY COMMISSION</w:t>
      </w:r>
    </w:p>
    <w:p w:rsidR="007B41BF" w:rsidRPr="00973E75" w:rsidRDefault="007B41BF" w:rsidP="00B62CAC">
      <w:pPr>
        <w:widowControl/>
        <w:tabs>
          <w:tab w:val="center" w:pos="4680"/>
        </w:tabs>
        <w:suppressAutoHyphens/>
        <w:jc w:val="center"/>
        <w:rPr>
          <w:sz w:val="26"/>
          <w:szCs w:val="26"/>
        </w:rPr>
      </w:pPr>
      <w:r w:rsidRPr="00973E75">
        <w:rPr>
          <w:b/>
          <w:sz w:val="26"/>
          <w:szCs w:val="26"/>
        </w:rPr>
        <w:t>Harrisburg, PA 17105-3265</w:t>
      </w:r>
    </w:p>
    <w:p w:rsidR="007B41BF" w:rsidRPr="00973E75" w:rsidRDefault="007B41BF" w:rsidP="00B62CA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973E75" w:rsidRPr="00973E75" w:rsidTr="00835180">
        <w:tc>
          <w:tcPr>
            <w:tcW w:w="5058" w:type="dxa"/>
          </w:tcPr>
          <w:p w:rsidR="007B41BF" w:rsidRPr="00973E75" w:rsidRDefault="007B41BF" w:rsidP="00B62CAC">
            <w:pPr>
              <w:widowControl/>
              <w:jc w:val="both"/>
              <w:rPr>
                <w:sz w:val="26"/>
                <w:szCs w:val="26"/>
              </w:rPr>
            </w:pPr>
          </w:p>
        </w:tc>
        <w:tc>
          <w:tcPr>
            <w:tcW w:w="4428" w:type="dxa"/>
          </w:tcPr>
          <w:p w:rsidR="007B41BF" w:rsidRPr="00973E75" w:rsidRDefault="007B41BF" w:rsidP="00B62CAC">
            <w:pPr>
              <w:widowControl/>
              <w:ind w:left="-720"/>
              <w:jc w:val="right"/>
              <w:rPr>
                <w:sz w:val="26"/>
                <w:szCs w:val="26"/>
              </w:rPr>
            </w:pPr>
            <w:r w:rsidRPr="00973E75">
              <w:rPr>
                <w:sz w:val="26"/>
                <w:szCs w:val="26"/>
              </w:rPr>
              <w:t xml:space="preserve"> Publi </w:t>
            </w:r>
            <w:r w:rsidR="00896A36">
              <w:rPr>
                <w:sz w:val="26"/>
                <w:szCs w:val="26"/>
              </w:rPr>
              <w:t xml:space="preserve">Public </w:t>
            </w:r>
            <w:r w:rsidRPr="00973E75">
              <w:rPr>
                <w:sz w:val="26"/>
                <w:szCs w:val="26"/>
              </w:rPr>
              <w:t xml:space="preserve">Meeting held </w:t>
            </w:r>
            <w:r w:rsidR="00EB2DB6">
              <w:rPr>
                <w:sz w:val="26"/>
                <w:szCs w:val="26"/>
              </w:rPr>
              <w:t>November 1</w:t>
            </w:r>
            <w:r w:rsidR="008F040A">
              <w:rPr>
                <w:sz w:val="26"/>
                <w:szCs w:val="26"/>
              </w:rPr>
              <w:t>3,</w:t>
            </w:r>
            <w:r w:rsidR="00EB2DB6">
              <w:rPr>
                <w:sz w:val="26"/>
                <w:szCs w:val="26"/>
              </w:rPr>
              <w:t xml:space="preserve"> 2014</w:t>
            </w:r>
          </w:p>
        </w:tc>
      </w:tr>
      <w:tr w:rsidR="00973E75" w:rsidRPr="00973E75" w:rsidTr="00835180">
        <w:tc>
          <w:tcPr>
            <w:tcW w:w="5058" w:type="dxa"/>
          </w:tcPr>
          <w:p w:rsidR="00896A36" w:rsidRDefault="00896A36" w:rsidP="00B62CAC">
            <w:pPr>
              <w:widowControl/>
              <w:rPr>
                <w:sz w:val="26"/>
                <w:szCs w:val="26"/>
              </w:rPr>
            </w:pPr>
          </w:p>
          <w:p w:rsidR="007B41BF" w:rsidRPr="00973E75" w:rsidRDefault="007B41BF" w:rsidP="00B62CAC">
            <w:pPr>
              <w:widowControl/>
              <w:rPr>
                <w:sz w:val="26"/>
                <w:szCs w:val="26"/>
              </w:rPr>
            </w:pPr>
            <w:r w:rsidRPr="00973E75">
              <w:rPr>
                <w:sz w:val="26"/>
                <w:szCs w:val="26"/>
              </w:rPr>
              <w:t>Commissioners Present:</w:t>
            </w:r>
          </w:p>
          <w:p w:rsidR="007B41BF" w:rsidRPr="00973E75" w:rsidRDefault="007B41BF" w:rsidP="00B62CAC">
            <w:pPr>
              <w:widowControl/>
              <w:rPr>
                <w:sz w:val="26"/>
                <w:szCs w:val="26"/>
              </w:rPr>
            </w:pPr>
          </w:p>
          <w:p w:rsidR="007B41BF" w:rsidRPr="00973E75" w:rsidRDefault="007B41BF" w:rsidP="00B62CAC">
            <w:pPr>
              <w:widowControl/>
              <w:tabs>
                <w:tab w:val="left" w:pos="705"/>
              </w:tabs>
              <w:ind w:firstLine="720"/>
              <w:rPr>
                <w:sz w:val="26"/>
                <w:szCs w:val="26"/>
              </w:rPr>
            </w:pPr>
            <w:r w:rsidRPr="00973E75">
              <w:rPr>
                <w:sz w:val="26"/>
                <w:szCs w:val="26"/>
              </w:rPr>
              <w:t>Robert F. Powelson, Chairman</w:t>
            </w:r>
          </w:p>
          <w:p w:rsidR="007B41BF" w:rsidRPr="00973E75" w:rsidRDefault="007B41BF" w:rsidP="00B62CAC">
            <w:pPr>
              <w:widowControl/>
              <w:tabs>
                <w:tab w:val="left" w:pos="705"/>
              </w:tabs>
              <w:ind w:firstLine="720"/>
              <w:rPr>
                <w:sz w:val="26"/>
                <w:szCs w:val="26"/>
              </w:rPr>
            </w:pPr>
            <w:r w:rsidRPr="00973E75">
              <w:rPr>
                <w:sz w:val="26"/>
                <w:szCs w:val="26"/>
              </w:rPr>
              <w:t>John F. Coleman, Jr., Vice Chairman</w:t>
            </w:r>
          </w:p>
          <w:p w:rsidR="007B41BF" w:rsidRPr="00973E75" w:rsidRDefault="007B41BF" w:rsidP="00B62CAC">
            <w:pPr>
              <w:widowControl/>
              <w:tabs>
                <w:tab w:val="left" w:pos="705"/>
              </w:tabs>
              <w:ind w:firstLine="720"/>
              <w:rPr>
                <w:sz w:val="26"/>
                <w:szCs w:val="26"/>
              </w:rPr>
            </w:pPr>
            <w:r w:rsidRPr="00973E75">
              <w:rPr>
                <w:sz w:val="26"/>
                <w:szCs w:val="26"/>
              </w:rPr>
              <w:t>James H. Cawley</w:t>
            </w:r>
          </w:p>
          <w:p w:rsidR="007B41BF" w:rsidRPr="00973E75" w:rsidRDefault="007B41BF" w:rsidP="00B62CAC">
            <w:pPr>
              <w:widowControl/>
              <w:tabs>
                <w:tab w:val="left" w:pos="705"/>
              </w:tabs>
              <w:ind w:firstLine="720"/>
              <w:rPr>
                <w:sz w:val="26"/>
                <w:szCs w:val="26"/>
              </w:rPr>
            </w:pPr>
            <w:r w:rsidRPr="00973E75">
              <w:rPr>
                <w:sz w:val="26"/>
                <w:szCs w:val="26"/>
              </w:rPr>
              <w:t>Pamela A. Witmer</w:t>
            </w:r>
          </w:p>
          <w:p w:rsidR="007B41BF" w:rsidRPr="00973E75" w:rsidRDefault="007B41BF" w:rsidP="00B62CAC">
            <w:pPr>
              <w:widowControl/>
              <w:tabs>
                <w:tab w:val="left" w:pos="705"/>
              </w:tabs>
              <w:ind w:firstLine="720"/>
              <w:rPr>
                <w:sz w:val="26"/>
                <w:szCs w:val="26"/>
              </w:rPr>
            </w:pPr>
            <w:r w:rsidRPr="00973E75">
              <w:rPr>
                <w:sz w:val="26"/>
                <w:szCs w:val="26"/>
              </w:rPr>
              <w:t>Gladys M. Brown</w:t>
            </w:r>
          </w:p>
          <w:p w:rsidR="007B41BF" w:rsidRPr="00973E75" w:rsidRDefault="007B41BF" w:rsidP="00B62CAC">
            <w:pPr>
              <w:widowControl/>
              <w:rPr>
                <w:sz w:val="26"/>
                <w:szCs w:val="26"/>
              </w:rPr>
            </w:pPr>
          </w:p>
          <w:p w:rsidR="007B41BF" w:rsidRPr="00973E75" w:rsidRDefault="007B41BF" w:rsidP="00B62CAC">
            <w:pPr>
              <w:widowControl/>
              <w:rPr>
                <w:sz w:val="26"/>
                <w:szCs w:val="26"/>
              </w:rPr>
            </w:pPr>
          </w:p>
        </w:tc>
        <w:tc>
          <w:tcPr>
            <w:tcW w:w="4428" w:type="dxa"/>
          </w:tcPr>
          <w:p w:rsidR="007B41BF" w:rsidRPr="00973E75" w:rsidRDefault="007B41BF" w:rsidP="00B62CAC">
            <w:pPr>
              <w:widowControl/>
              <w:jc w:val="right"/>
              <w:rPr>
                <w:sz w:val="26"/>
                <w:szCs w:val="26"/>
              </w:rPr>
            </w:pPr>
          </w:p>
          <w:p w:rsidR="007B41BF" w:rsidRPr="00973E75" w:rsidRDefault="007B41BF" w:rsidP="00B62CAC">
            <w:pPr>
              <w:widowControl/>
              <w:jc w:val="right"/>
              <w:rPr>
                <w:sz w:val="26"/>
                <w:szCs w:val="26"/>
              </w:rPr>
            </w:pPr>
          </w:p>
        </w:tc>
      </w:tr>
    </w:tbl>
    <w:p w:rsidR="007B41BF" w:rsidRPr="00973E75" w:rsidRDefault="007B41BF" w:rsidP="00B62CAC">
      <w:pPr>
        <w:widowControl/>
        <w:adjustRightInd w:val="0"/>
        <w:rPr>
          <w:bCs/>
          <w:sz w:val="26"/>
          <w:szCs w:val="26"/>
        </w:rPr>
      </w:pPr>
      <w:r w:rsidRPr="00973E75">
        <w:rPr>
          <w:bCs/>
          <w:sz w:val="26"/>
          <w:szCs w:val="26"/>
        </w:rPr>
        <w:t xml:space="preserve">FES Industrial &amp; Commercial Customer Coalition </w:t>
      </w:r>
      <w:r w:rsidRPr="00973E75">
        <w:rPr>
          <w:bCs/>
          <w:sz w:val="26"/>
          <w:szCs w:val="26"/>
        </w:rPr>
        <w:tab/>
      </w:r>
      <w:r w:rsidRPr="00973E75">
        <w:rPr>
          <w:bCs/>
          <w:sz w:val="26"/>
          <w:szCs w:val="26"/>
        </w:rPr>
        <w:tab/>
      </w:r>
      <w:r w:rsidR="00AE2061" w:rsidRPr="00973E75">
        <w:rPr>
          <w:bCs/>
          <w:sz w:val="26"/>
          <w:szCs w:val="26"/>
        </w:rPr>
        <w:t xml:space="preserve">                C-2014-2425989</w:t>
      </w:r>
    </w:p>
    <w:p w:rsidR="007B41BF" w:rsidRPr="00973E75" w:rsidRDefault="007B41BF" w:rsidP="00B62CAC">
      <w:pPr>
        <w:widowControl/>
        <w:adjustRightInd w:val="0"/>
        <w:rPr>
          <w:bCs/>
          <w:sz w:val="26"/>
          <w:szCs w:val="26"/>
        </w:rPr>
      </w:pPr>
    </w:p>
    <w:p w:rsidR="007B41BF" w:rsidRPr="00973E75" w:rsidRDefault="00B62CAC" w:rsidP="00B62CAC">
      <w:pPr>
        <w:widowControl/>
        <w:adjustRightInd w:val="0"/>
        <w:rPr>
          <w:bCs/>
          <w:sz w:val="26"/>
          <w:szCs w:val="26"/>
        </w:rPr>
      </w:pPr>
      <w:r>
        <w:rPr>
          <w:bCs/>
          <w:sz w:val="26"/>
          <w:szCs w:val="26"/>
        </w:rPr>
        <w:tab/>
      </w:r>
      <w:r>
        <w:rPr>
          <w:bCs/>
          <w:sz w:val="26"/>
          <w:szCs w:val="26"/>
        </w:rPr>
        <w:tab/>
      </w:r>
      <w:proofErr w:type="gramStart"/>
      <w:r>
        <w:rPr>
          <w:bCs/>
          <w:sz w:val="26"/>
          <w:szCs w:val="26"/>
        </w:rPr>
        <w:t>v</w:t>
      </w:r>
      <w:proofErr w:type="gramEnd"/>
      <w:r>
        <w:rPr>
          <w:bCs/>
          <w:sz w:val="26"/>
          <w:szCs w:val="26"/>
        </w:rPr>
        <w:t>.</w:t>
      </w:r>
      <w:r>
        <w:rPr>
          <w:bCs/>
          <w:sz w:val="26"/>
          <w:szCs w:val="26"/>
        </w:rPr>
        <w:tab/>
      </w:r>
      <w:r>
        <w:rPr>
          <w:bCs/>
          <w:sz w:val="26"/>
          <w:szCs w:val="26"/>
        </w:rPr>
        <w:tab/>
      </w:r>
      <w:r>
        <w:rPr>
          <w:bCs/>
          <w:sz w:val="26"/>
          <w:szCs w:val="26"/>
        </w:rPr>
        <w:tab/>
      </w:r>
    </w:p>
    <w:p w:rsidR="007B41BF" w:rsidRPr="00973E75" w:rsidRDefault="007B41BF" w:rsidP="00B62CAC">
      <w:pPr>
        <w:widowControl/>
        <w:adjustRightInd w:val="0"/>
        <w:rPr>
          <w:bCs/>
          <w:sz w:val="26"/>
          <w:szCs w:val="26"/>
        </w:rPr>
      </w:pPr>
    </w:p>
    <w:p w:rsidR="007B41BF" w:rsidRPr="00973E75" w:rsidRDefault="007B41BF" w:rsidP="00B62CAC">
      <w:pPr>
        <w:widowControl/>
        <w:adjustRightInd w:val="0"/>
        <w:rPr>
          <w:bCs/>
          <w:sz w:val="26"/>
          <w:szCs w:val="26"/>
        </w:rPr>
      </w:pPr>
      <w:r w:rsidRPr="00973E75">
        <w:rPr>
          <w:bCs/>
          <w:sz w:val="26"/>
          <w:szCs w:val="26"/>
        </w:rPr>
        <w:t>FirstE</w:t>
      </w:r>
      <w:r w:rsidR="00B62CAC">
        <w:rPr>
          <w:bCs/>
          <w:sz w:val="26"/>
          <w:szCs w:val="26"/>
        </w:rPr>
        <w:t>nergy Solutions Corporation</w:t>
      </w:r>
      <w:r w:rsidR="00B62CAC">
        <w:rPr>
          <w:bCs/>
          <w:sz w:val="26"/>
          <w:szCs w:val="26"/>
        </w:rPr>
        <w:tab/>
      </w:r>
    </w:p>
    <w:p w:rsidR="007B41BF" w:rsidRPr="00973E75" w:rsidRDefault="007B41BF" w:rsidP="00B62CAC">
      <w:pPr>
        <w:widowControl/>
        <w:rPr>
          <w:sz w:val="26"/>
          <w:szCs w:val="26"/>
        </w:rPr>
      </w:pPr>
    </w:p>
    <w:p w:rsidR="007B41BF" w:rsidRPr="00973E75" w:rsidRDefault="007B41BF" w:rsidP="00B62CAC">
      <w:pPr>
        <w:widowControl/>
        <w:rPr>
          <w:sz w:val="26"/>
          <w:szCs w:val="26"/>
        </w:rPr>
      </w:pPr>
    </w:p>
    <w:p w:rsidR="007B41BF" w:rsidRPr="00973E75" w:rsidRDefault="007B41BF" w:rsidP="00B62CAC">
      <w:pPr>
        <w:widowControl/>
        <w:jc w:val="center"/>
        <w:rPr>
          <w:b/>
          <w:sz w:val="26"/>
          <w:szCs w:val="26"/>
        </w:rPr>
      </w:pPr>
      <w:r w:rsidRPr="00973E75">
        <w:rPr>
          <w:b/>
          <w:sz w:val="26"/>
          <w:szCs w:val="26"/>
        </w:rPr>
        <w:t xml:space="preserve">OPINION </w:t>
      </w:r>
      <w:smartTag w:uri="urn:schemas-microsoft-com:office:smarttags" w:element="stockticker">
        <w:r w:rsidRPr="00973E75">
          <w:rPr>
            <w:b/>
            <w:sz w:val="26"/>
            <w:szCs w:val="26"/>
          </w:rPr>
          <w:t>AND</w:t>
        </w:r>
      </w:smartTag>
      <w:r w:rsidRPr="00973E75">
        <w:rPr>
          <w:b/>
          <w:sz w:val="26"/>
          <w:szCs w:val="26"/>
        </w:rPr>
        <w:t xml:space="preserve"> ORDER</w:t>
      </w:r>
    </w:p>
    <w:p w:rsidR="007B41BF" w:rsidRDefault="007B41BF" w:rsidP="00B62CAC">
      <w:pPr>
        <w:widowControl/>
        <w:rPr>
          <w:sz w:val="26"/>
          <w:szCs w:val="26"/>
        </w:rPr>
      </w:pPr>
    </w:p>
    <w:p w:rsidR="00B62CAC" w:rsidRPr="00973E75" w:rsidRDefault="00B62CAC" w:rsidP="00B62CAC">
      <w:pPr>
        <w:widowControl/>
        <w:rPr>
          <w:sz w:val="26"/>
          <w:szCs w:val="26"/>
        </w:rPr>
      </w:pPr>
    </w:p>
    <w:p w:rsidR="007B41BF" w:rsidRPr="00973E75" w:rsidRDefault="007B41BF" w:rsidP="00B62CAC">
      <w:pPr>
        <w:widowControl/>
        <w:spacing w:line="360" w:lineRule="auto"/>
        <w:ind w:firstLine="1440"/>
        <w:rPr>
          <w:sz w:val="26"/>
        </w:rPr>
      </w:pPr>
      <w:r w:rsidRPr="00973E75">
        <w:rPr>
          <w:sz w:val="26"/>
          <w:szCs w:val="26"/>
        </w:rPr>
        <w:t>Before the Pennsylvania Public Utility Commission (Commission) for consideration and disposition is</w:t>
      </w:r>
      <w:r w:rsidRPr="00973E75">
        <w:rPr>
          <w:sz w:val="26"/>
        </w:rPr>
        <w:t xml:space="preserve"> the Petition for Interlocutory Review and Answer to Material Questions (Petition) filed by FirstEnergy Solutions Corporation (FES) on August 26, 2014, requesting interlocutory review and answer to two questions that have arisen in connection with the August 6, 2014, First Interim Order - Disposition of Preliminary Objections (Interim Order), of Administrative Law Judge (ALJ) Katrina L. Dunderdale issued in the above-captioned proceeding.  </w:t>
      </w:r>
    </w:p>
    <w:p w:rsidR="007B41BF" w:rsidRPr="00973E75" w:rsidRDefault="007B41BF" w:rsidP="00B62CAC">
      <w:pPr>
        <w:widowControl/>
        <w:spacing w:line="360" w:lineRule="auto"/>
        <w:ind w:firstLine="1440"/>
        <w:rPr>
          <w:sz w:val="26"/>
        </w:rPr>
      </w:pPr>
    </w:p>
    <w:p w:rsidR="007B41BF" w:rsidRPr="00973E75" w:rsidRDefault="007B41BF" w:rsidP="00B62CAC">
      <w:pPr>
        <w:widowControl/>
        <w:tabs>
          <w:tab w:val="left" w:pos="990"/>
        </w:tabs>
        <w:spacing w:line="360" w:lineRule="auto"/>
        <w:ind w:firstLine="1440"/>
        <w:rPr>
          <w:sz w:val="26"/>
        </w:rPr>
      </w:pPr>
      <w:r w:rsidRPr="00973E75">
        <w:rPr>
          <w:sz w:val="26"/>
        </w:rPr>
        <w:t xml:space="preserve">This matter involves the Formal Complaint (Complaint) of the </w:t>
      </w:r>
      <w:r w:rsidRPr="00973E75">
        <w:rPr>
          <w:bCs/>
          <w:sz w:val="26"/>
          <w:szCs w:val="26"/>
        </w:rPr>
        <w:t xml:space="preserve">FES Industrial &amp; Commercial Customer Coalition (FES ICCC or Complainants) wherein FES has been named Respondent.  </w:t>
      </w:r>
      <w:r w:rsidRPr="00973E75">
        <w:rPr>
          <w:sz w:val="26"/>
        </w:rPr>
        <w:t xml:space="preserve">The Interim Order denied </w:t>
      </w:r>
      <w:r w:rsidR="008C4F86" w:rsidRPr="00973E75">
        <w:rPr>
          <w:sz w:val="26"/>
        </w:rPr>
        <w:t>P</w:t>
      </w:r>
      <w:r w:rsidRPr="00973E75">
        <w:rPr>
          <w:sz w:val="26"/>
        </w:rPr>
        <w:t xml:space="preserve">reliminary </w:t>
      </w:r>
      <w:r w:rsidR="008C4F86" w:rsidRPr="00973E75">
        <w:rPr>
          <w:sz w:val="26"/>
        </w:rPr>
        <w:t>O</w:t>
      </w:r>
      <w:r w:rsidRPr="00973E75">
        <w:rPr>
          <w:sz w:val="26"/>
        </w:rPr>
        <w:t>bjections to</w:t>
      </w:r>
      <w:r w:rsidR="00B62CAC">
        <w:rPr>
          <w:sz w:val="26"/>
        </w:rPr>
        <w:t xml:space="preserve"> the Complaint filed by FES.</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In its Petition, FES raises the following questions for the Commission’s interlocutory review and answer: </w:t>
      </w:r>
    </w:p>
    <w:p w:rsidR="007B41BF" w:rsidRPr="00973E75" w:rsidRDefault="007B41BF" w:rsidP="00B62CAC">
      <w:pPr>
        <w:widowControl/>
        <w:ind w:right="1440"/>
        <w:rPr>
          <w:sz w:val="26"/>
          <w:szCs w:val="26"/>
        </w:rPr>
      </w:pPr>
    </w:p>
    <w:p w:rsidR="007B41BF" w:rsidRPr="00973E75" w:rsidRDefault="007B41BF" w:rsidP="00B62CAC">
      <w:pPr>
        <w:pStyle w:val="ListParagraph"/>
        <w:widowControl/>
        <w:numPr>
          <w:ilvl w:val="0"/>
          <w:numId w:val="1"/>
        </w:numPr>
        <w:ind w:left="2160" w:right="1440" w:hanging="720"/>
        <w:rPr>
          <w:sz w:val="26"/>
          <w:szCs w:val="26"/>
        </w:rPr>
      </w:pPr>
      <w:r w:rsidRPr="00973E75">
        <w:rPr>
          <w:sz w:val="26"/>
          <w:szCs w:val="26"/>
        </w:rPr>
        <w:t xml:space="preserve">Does the Commission lack subject matter jurisdiction to interpret a provision of an </w:t>
      </w:r>
      <w:r w:rsidR="00341E29">
        <w:rPr>
          <w:sz w:val="26"/>
          <w:szCs w:val="26"/>
        </w:rPr>
        <w:t>[Electric Generation Supplier’s</w:t>
      </w:r>
      <w:r w:rsidR="00094985">
        <w:rPr>
          <w:sz w:val="26"/>
          <w:szCs w:val="26"/>
        </w:rPr>
        <w:t xml:space="preserve"> (EGS’s)</w:t>
      </w:r>
      <w:r w:rsidR="00341E29">
        <w:rPr>
          <w:sz w:val="26"/>
          <w:szCs w:val="26"/>
        </w:rPr>
        <w:t xml:space="preserve">] </w:t>
      </w:r>
      <w:r w:rsidRPr="00973E75">
        <w:rPr>
          <w:sz w:val="26"/>
          <w:szCs w:val="26"/>
        </w:rPr>
        <w:t>retail customer supply contract as requested?</w:t>
      </w:r>
    </w:p>
    <w:p w:rsidR="007B41BF" w:rsidRPr="00973E75" w:rsidRDefault="007B41BF" w:rsidP="00B62CAC">
      <w:pPr>
        <w:widowControl/>
        <w:ind w:right="1440"/>
        <w:rPr>
          <w:sz w:val="26"/>
          <w:szCs w:val="26"/>
        </w:rPr>
      </w:pPr>
    </w:p>
    <w:p w:rsidR="007B41BF" w:rsidRPr="00973E75" w:rsidRDefault="007B41BF" w:rsidP="00B62CAC">
      <w:pPr>
        <w:pStyle w:val="ListParagraph"/>
        <w:widowControl/>
        <w:numPr>
          <w:ilvl w:val="0"/>
          <w:numId w:val="1"/>
        </w:numPr>
        <w:ind w:left="2160" w:right="1440" w:hanging="720"/>
        <w:rPr>
          <w:sz w:val="26"/>
          <w:szCs w:val="26"/>
        </w:rPr>
      </w:pPr>
      <w:r w:rsidRPr="00973E75">
        <w:rPr>
          <w:sz w:val="26"/>
          <w:szCs w:val="26"/>
        </w:rPr>
        <w:t xml:space="preserve">Does the Commission’s lack of primary jurisdiction require, at minimum, a stay of the current proceedings pending action by a civil court of competent jurisdiction?  </w:t>
      </w:r>
    </w:p>
    <w:p w:rsidR="007B41BF" w:rsidRPr="00973E75" w:rsidRDefault="007B41BF" w:rsidP="00B62CAC">
      <w:pPr>
        <w:widowControl/>
        <w:spacing w:line="360" w:lineRule="auto"/>
        <w:ind w:right="1440"/>
        <w:rPr>
          <w:sz w:val="26"/>
          <w:szCs w:val="26"/>
        </w:rPr>
      </w:pPr>
    </w:p>
    <w:p w:rsidR="007B41BF" w:rsidRPr="00973E75" w:rsidRDefault="007B41BF" w:rsidP="00B62CAC">
      <w:pPr>
        <w:widowControl/>
        <w:spacing w:line="360" w:lineRule="auto"/>
        <w:ind w:firstLine="1440"/>
        <w:rPr>
          <w:sz w:val="26"/>
        </w:rPr>
      </w:pPr>
      <w:r w:rsidRPr="00973E75">
        <w:rPr>
          <w:sz w:val="26"/>
        </w:rPr>
        <w:t>FES requests that both questions be considered and answered in the affirmative.</w:t>
      </w:r>
      <w:r w:rsidR="000577C5" w:rsidRPr="00973E75">
        <w:rPr>
          <w:sz w:val="26"/>
        </w:rPr>
        <w:t xml:space="preserve">  </w:t>
      </w:r>
      <w:r w:rsidR="004358EF" w:rsidRPr="00973E75">
        <w:rPr>
          <w:sz w:val="26"/>
        </w:rPr>
        <w:t>FES further requests that the Complaint be dismissed or, in the alternative, that the proceedings be stayed pending review by a c</w:t>
      </w:r>
      <w:r w:rsidR="00B62CAC">
        <w:rPr>
          <w:sz w:val="26"/>
        </w:rPr>
        <w:t>ourt of competent jurisdiction.</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bCs/>
          <w:sz w:val="26"/>
          <w:szCs w:val="26"/>
        </w:rPr>
      </w:pPr>
      <w:r w:rsidRPr="00973E75">
        <w:rPr>
          <w:sz w:val="26"/>
        </w:rPr>
        <w:t xml:space="preserve">On September 5, 2014, FES filed its Brief in support of the Petition.  Also on September 5, 2014, the </w:t>
      </w:r>
      <w:r w:rsidRPr="00973E75">
        <w:rPr>
          <w:bCs/>
          <w:sz w:val="26"/>
          <w:szCs w:val="26"/>
        </w:rPr>
        <w:t>FES ICCC filed a Brief in opposition to the Petition.</w:t>
      </w:r>
    </w:p>
    <w:p w:rsidR="007B41BF" w:rsidRPr="00973E75" w:rsidRDefault="007B41BF" w:rsidP="00B62CAC">
      <w:pPr>
        <w:widowControl/>
        <w:spacing w:line="360" w:lineRule="auto"/>
        <w:ind w:firstLine="1440"/>
        <w:rPr>
          <w:bCs/>
          <w:sz w:val="26"/>
          <w:szCs w:val="26"/>
        </w:rPr>
      </w:pPr>
    </w:p>
    <w:p w:rsidR="000577C5" w:rsidRPr="00973E75" w:rsidRDefault="000577C5" w:rsidP="00B62CAC">
      <w:pPr>
        <w:widowControl/>
        <w:spacing w:line="360" w:lineRule="auto"/>
        <w:ind w:firstLine="1440"/>
        <w:rPr>
          <w:bCs/>
          <w:sz w:val="26"/>
          <w:szCs w:val="26"/>
        </w:rPr>
      </w:pPr>
      <w:r w:rsidRPr="00973E75">
        <w:rPr>
          <w:bCs/>
          <w:sz w:val="26"/>
          <w:szCs w:val="26"/>
        </w:rPr>
        <w:t>For the reasons set forth herein, we will consider the material questions</w:t>
      </w:r>
      <w:r w:rsidR="00341E29">
        <w:rPr>
          <w:bCs/>
          <w:sz w:val="26"/>
          <w:szCs w:val="26"/>
        </w:rPr>
        <w:t>.  Upon review and consideration, Material Question No. 1 shall be answered in the affirmative.</w:t>
      </w:r>
      <w:r w:rsidRPr="00973E75">
        <w:rPr>
          <w:bCs/>
          <w:sz w:val="26"/>
          <w:szCs w:val="26"/>
        </w:rPr>
        <w:t xml:space="preserve">  </w:t>
      </w:r>
      <w:r w:rsidR="00341E29">
        <w:rPr>
          <w:bCs/>
          <w:sz w:val="26"/>
          <w:szCs w:val="26"/>
        </w:rPr>
        <w:t xml:space="preserve">Material Question No. 2 shall be answered in the negative.  </w:t>
      </w:r>
      <w:r w:rsidR="004358EF" w:rsidRPr="00973E75">
        <w:rPr>
          <w:bCs/>
          <w:sz w:val="26"/>
          <w:szCs w:val="26"/>
        </w:rPr>
        <w:t xml:space="preserve">We </w:t>
      </w:r>
      <w:r w:rsidR="00341E29">
        <w:rPr>
          <w:bCs/>
          <w:sz w:val="26"/>
          <w:szCs w:val="26"/>
        </w:rPr>
        <w:t xml:space="preserve">shall, therefore, </w:t>
      </w:r>
      <w:r w:rsidR="004358EF" w:rsidRPr="00973E75">
        <w:rPr>
          <w:bCs/>
          <w:sz w:val="26"/>
          <w:szCs w:val="26"/>
        </w:rPr>
        <w:t xml:space="preserve">deny the </w:t>
      </w:r>
      <w:r w:rsidR="00341E29">
        <w:rPr>
          <w:bCs/>
          <w:sz w:val="26"/>
          <w:szCs w:val="26"/>
        </w:rPr>
        <w:t xml:space="preserve">FES </w:t>
      </w:r>
      <w:r w:rsidR="004358EF" w:rsidRPr="00973E75">
        <w:rPr>
          <w:bCs/>
          <w:sz w:val="26"/>
          <w:szCs w:val="26"/>
        </w:rPr>
        <w:t xml:space="preserve">request for a stay pending review by a court of competent jurisdiction.  </w:t>
      </w:r>
      <w:r w:rsidR="00417975" w:rsidRPr="00973E75">
        <w:rPr>
          <w:bCs/>
          <w:sz w:val="26"/>
          <w:szCs w:val="26"/>
        </w:rPr>
        <w:t>Instead, t</w:t>
      </w:r>
      <w:r w:rsidRPr="00973E75">
        <w:rPr>
          <w:bCs/>
          <w:sz w:val="26"/>
          <w:szCs w:val="26"/>
        </w:rPr>
        <w:t>he case will be returned to the Office of Administrative Law Judge (OALJ) for such further proceedings as may be deemed necessary</w:t>
      </w:r>
      <w:r w:rsidR="00341E29">
        <w:rPr>
          <w:bCs/>
          <w:sz w:val="26"/>
          <w:szCs w:val="26"/>
        </w:rPr>
        <w:t>, consistent with the discussion in this Opinion and Order</w:t>
      </w:r>
      <w:r w:rsidRPr="00973E75">
        <w:rPr>
          <w:bCs/>
          <w:sz w:val="26"/>
          <w:szCs w:val="26"/>
        </w:rPr>
        <w:t xml:space="preserve">. </w:t>
      </w:r>
    </w:p>
    <w:p w:rsidR="000577C5" w:rsidRPr="00973E75" w:rsidRDefault="000577C5" w:rsidP="00B62CAC">
      <w:pPr>
        <w:widowControl/>
        <w:spacing w:line="360" w:lineRule="auto"/>
        <w:ind w:firstLine="1440"/>
        <w:rPr>
          <w:bCs/>
          <w:sz w:val="26"/>
          <w:szCs w:val="26"/>
        </w:rPr>
      </w:pPr>
    </w:p>
    <w:p w:rsidR="007B41BF" w:rsidRPr="00973E75" w:rsidRDefault="007B41BF" w:rsidP="00B62CAC">
      <w:pPr>
        <w:widowControl/>
        <w:spacing w:line="360" w:lineRule="auto"/>
        <w:rPr>
          <w:bCs/>
          <w:sz w:val="26"/>
          <w:szCs w:val="26"/>
        </w:rPr>
      </w:pPr>
    </w:p>
    <w:p w:rsidR="007B41BF" w:rsidRPr="00973E75" w:rsidRDefault="007B41BF" w:rsidP="00B62CAC">
      <w:pPr>
        <w:keepNext/>
        <w:widowControl/>
        <w:spacing w:line="360" w:lineRule="auto"/>
        <w:jc w:val="center"/>
        <w:rPr>
          <w:b/>
          <w:sz w:val="26"/>
        </w:rPr>
      </w:pPr>
      <w:r w:rsidRPr="00973E75">
        <w:rPr>
          <w:b/>
          <w:sz w:val="26"/>
        </w:rPr>
        <w:lastRenderedPageBreak/>
        <w:t>Background</w:t>
      </w:r>
    </w:p>
    <w:p w:rsidR="007B41BF" w:rsidRPr="00973E75" w:rsidRDefault="007B41BF" w:rsidP="00B62CAC">
      <w:pPr>
        <w:keepNext/>
        <w:widowControl/>
        <w:spacing w:line="360" w:lineRule="auto"/>
        <w:ind w:firstLine="1440"/>
        <w:rPr>
          <w:sz w:val="26"/>
        </w:rPr>
      </w:pPr>
    </w:p>
    <w:p w:rsidR="007B41BF" w:rsidRPr="00973E75" w:rsidRDefault="007B41BF" w:rsidP="00B62CAC">
      <w:pPr>
        <w:widowControl/>
        <w:spacing w:line="360" w:lineRule="auto"/>
        <w:ind w:firstLine="1440"/>
        <w:rPr>
          <w:bCs/>
          <w:sz w:val="26"/>
          <w:szCs w:val="26"/>
        </w:rPr>
      </w:pPr>
      <w:r w:rsidRPr="00973E75">
        <w:rPr>
          <w:bCs/>
          <w:sz w:val="26"/>
          <w:szCs w:val="26"/>
        </w:rPr>
        <w:t xml:space="preserve">FES is an EGS, licensed to provide EGS service in Pennsylvania pursuant to the provisions of 66 Pa. C.S. § 2809.  </w:t>
      </w:r>
      <w:r w:rsidRPr="00973E75">
        <w:rPr>
          <w:bCs/>
          <w:i/>
          <w:sz w:val="26"/>
          <w:szCs w:val="26"/>
        </w:rPr>
        <w:t xml:space="preserve">See </w:t>
      </w:r>
      <w:r w:rsidRPr="00973E75">
        <w:rPr>
          <w:bCs/>
          <w:sz w:val="26"/>
          <w:szCs w:val="26"/>
        </w:rPr>
        <w:t xml:space="preserve">Docket No. </w:t>
      </w:r>
      <w:proofErr w:type="gramStart"/>
      <w:r w:rsidRPr="00973E75">
        <w:rPr>
          <w:bCs/>
          <w:sz w:val="26"/>
          <w:szCs w:val="26"/>
        </w:rPr>
        <w:t>A-110078.</w:t>
      </w:r>
      <w:proofErr w:type="gramEnd"/>
      <w:r w:rsidRPr="00973E75">
        <w:rPr>
          <w:bCs/>
          <w:sz w:val="26"/>
          <w:szCs w:val="26"/>
        </w:rPr>
        <w:t xml:space="preserve">   </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bCs/>
          <w:sz w:val="26"/>
          <w:szCs w:val="26"/>
        </w:rPr>
      </w:pPr>
      <w:r w:rsidRPr="00973E75">
        <w:rPr>
          <w:bCs/>
          <w:sz w:val="26"/>
          <w:szCs w:val="26"/>
        </w:rPr>
        <w:t xml:space="preserve">The FES ICCC is an </w:t>
      </w:r>
      <w:r w:rsidRPr="00973E75">
        <w:rPr>
          <w:bCs/>
          <w:i/>
          <w:sz w:val="26"/>
          <w:szCs w:val="26"/>
        </w:rPr>
        <w:t>ad hoc</w:t>
      </w:r>
      <w:r w:rsidRPr="00973E75">
        <w:rPr>
          <w:bCs/>
          <w:sz w:val="26"/>
          <w:szCs w:val="26"/>
        </w:rPr>
        <w:t xml:space="preserve"> group of energy intensive, large commercial and industrial customers who receive electric generation supply from FES under fixed price agreements.  </w:t>
      </w:r>
      <w:r w:rsidRPr="00973E75">
        <w:rPr>
          <w:bCs/>
          <w:i/>
          <w:sz w:val="26"/>
          <w:szCs w:val="26"/>
        </w:rPr>
        <w:t xml:space="preserve">See </w:t>
      </w:r>
      <w:r w:rsidRPr="00973E75">
        <w:rPr>
          <w:bCs/>
          <w:sz w:val="26"/>
          <w:szCs w:val="26"/>
        </w:rPr>
        <w:t xml:space="preserve">Complaint at 5.  The membership of the FES ICCC was attached as an appendix to its Complaint and it reserved the right to modify and/or amend this appendix throughout the course of these proceedings, as necessary.  </w:t>
      </w:r>
      <w:proofErr w:type="gramStart"/>
      <w:r w:rsidRPr="00973E75">
        <w:rPr>
          <w:bCs/>
          <w:i/>
          <w:sz w:val="26"/>
          <w:szCs w:val="26"/>
        </w:rPr>
        <w:t>Id</w:t>
      </w:r>
      <w:r w:rsidRPr="00973E75">
        <w:rPr>
          <w:bCs/>
          <w:sz w:val="26"/>
          <w:szCs w:val="26"/>
        </w:rPr>
        <w:t>. n.15.</w:t>
      </w:r>
      <w:proofErr w:type="gramEnd"/>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bCs/>
          <w:sz w:val="26"/>
          <w:szCs w:val="26"/>
        </w:rPr>
      </w:pPr>
      <w:r w:rsidRPr="00973E75">
        <w:rPr>
          <w:bCs/>
          <w:sz w:val="26"/>
          <w:szCs w:val="26"/>
        </w:rPr>
        <w:t>The Complaint of the FES ICCC was filed in response to a March 2014 “Notice of Pass-Through Event” sent from FES to the FES ICCC members.</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bCs/>
          <w:sz w:val="26"/>
          <w:szCs w:val="26"/>
        </w:rPr>
      </w:pPr>
      <w:r w:rsidRPr="00973E75">
        <w:rPr>
          <w:bCs/>
          <w:sz w:val="26"/>
          <w:szCs w:val="26"/>
        </w:rPr>
        <w:t xml:space="preserve">The gravamen of the FES ICCC Complaint </w:t>
      </w:r>
      <w:r w:rsidR="002F6DB3" w:rsidRPr="00973E75">
        <w:rPr>
          <w:bCs/>
          <w:sz w:val="26"/>
          <w:szCs w:val="26"/>
        </w:rPr>
        <w:t xml:space="preserve">is an </w:t>
      </w:r>
      <w:r w:rsidRPr="00973E75">
        <w:rPr>
          <w:bCs/>
          <w:sz w:val="26"/>
          <w:szCs w:val="26"/>
        </w:rPr>
        <w:t>allegation that FES has violated Commission Regulations</w:t>
      </w:r>
      <w:r w:rsidRPr="00973E75">
        <w:rPr>
          <w:rStyle w:val="FootnoteReference"/>
          <w:bCs/>
          <w:sz w:val="26"/>
          <w:szCs w:val="26"/>
        </w:rPr>
        <w:footnoteReference w:id="1"/>
      </w:r>
      <w:r w:rsidRPr="00973E75">
        <w:rPr>
          <w:bCs/>
          <w:sz w:val="26"/>
          <w:szCs w:val="26"/>
        </w:rPr>
        <w:t xml:space="preserve"> in notifying FES ICCC’s members of its intent to invoke a “</w:t>
      </w:r>
      <w:r w:rsidR="004B118B" w:rsidRPr="00973E75">
        <w:rPr>
          <w:bCs/>
          <w:sz w:val="26"/>
          <w:szCs w:val="26"/>
        </w:rPr>
        <w:t>P</w:t>
      </w:r>
      <w:r w:rsidRPr="00973E75">
        <w:rPr>
          <w:bCs/>
          <w:sz w:val="26"/>
          <w:szCs w:val="26"/>
        </w:rPr>
        <w:t>ass-</w:t>
      </w:r>
      <w:r w:rsidR="004B118B" w:rsidRPr="00973E75">
        <w:rPr>
          <w:bCs/>
          <w:sz w:val="26"/>
          <w:szCs w:val="26"/>
        </w:rPr>
        <w:t>T</w:t>
      </w:r>
      <w:r w:rsidRPr="00973E75">
        <w:rPr>
          <w:bCs/>
          <w:sz w:val="26"/>
          <w:szCs w:val="26"/>
        </w:rPr>
        <w:t xml:space="preserve">hrough” </w:t>
      </w:r>
      <w:r w:rsidR="004B118B" w:rsidRPr="00973E75">
        <w:rPr>
          <w:bCs/>
          <w:sz w:val="26"/>
          <w:szCs w:val="26"/>
        </w:rPr>
        <w:t>P</w:t>
      </w:r>
      <w:r w:rsidRPr="00973E75">
        <w:rPr>
          <w:bCs/>
          <w:sz w:val="26"/>
          <w:szCs w:val="26"/>
        </w:rPr>
        <w:t xml:space="preserve">rovision in its fixed price contracts so as to collect, via a surcharge, certain “ancillary” costs.  </w:t>
      </w:r>
      <w:r w:rsidRPr="00973E75">
        <w:rPr>
          <w:bCs/>
          <w:i/>
          <w:sz w:val="26"/>
          <w:szCs w:val="26"/>
        </w:rPr>
        <w:t>See</w:t>
      </w:r>
      <w:r w:rsidRPr="00973E75">
        <w:rPr>
          <w:bCs/>
          <w:sz w:val="26"/>
          <w:szCs w:val="26"/>
        </w:rPr>
        <w:t xml:space="preserve"> Complaint at ¶¶ 23-33.  These ancillary costs are, </w:t>
      </w:r>
      <w:r w:rsidRPr="00973E75">
        <w:rPr>
          <w:bCs/>
          <w:i/>
          <w:sz w:val="26"/>
          <w:szCs w:val="26"/>
        </w:rPr>
        <w:t>inter alia</w:t>
      </w:r>
      <w:r w:rsidRPr="00973E75">
        <w:rPr>
          <w:bCs/>
          <w:sz w:val="26"/>
          <w:szCs w:val="26"/>
        </w:rPr>
        <w:t>, costs which FES represents are wholesale generation costs that have been passed through to it from the Pennsylvania New Jersey Maryland, LLC (PJM) Regional Transmission Organization (RTO).</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bCs/>
          <w:sz w:val="26"/>
          <w:szCs w:val="26"/>
        </w:rPr>
      </w:pPr>
      <w:r w:rsidRPr="00973E75">
        <w:rPr>
          <w:bCs/>
          <w:sz w:val="26"/>
          <w:szCs w:val="26"/>
        </w:rPr>
        <w:t xml:space="preserve">The FES ICCC maintains, </w:t>
      </w:r>
      <w:r w:rsidRPr="00973E75">
        <w:rPr>
          <w:bCs/>
          <w:i/>
          <w:sz w:val="26"/>
          <w:szCs w:val="26"/>
        </w:rPr>
        <w:t>inter alia</w:t>
      </w:r>
      <w:r w:rsidRPr="00973E75">
        <w:rPr>
          <w:bCs/>
          <w:sz w:val="26"/>
          <w:szCs w:val="26"/>
        </w:rPr>
        <w:t xml:space="preserve">, that its customers have negotiated to include such ancillary costs in their fixed price agreements with FES and have paid a risk premium to FES so as to avoid the market volatility FES attributes to the incurrence of these ancillary costs, and to ensure budget certainty.  </w:t>
      </w:r>
      <w:proofErr w:type="gramStart"/>
      <w:r w:rsidRPr="00973E75">
        <w:rPr>
          <w:bCs/>
          <w:sz w:val="26"/>
          <w:szCs w:val="26"/>
        </w:rPr>
        <w:t>Complaint at</w:t>
      </w:r>
      <w:r w:rsidRPr="00973E75">
        <w:rPr>
          <w:b/>
          <w:bCs/>
          <w:sz w:val="26"/>
          <w:szCs w:val="26"/>
        </w:rPr>
        <w:t xml:space="preserve"> </w:t>
      </w:r>
      <w:r w:rsidRPr="00973E75">
        <w:rPr>
          <w:bCs/>
          <w:sz w:val="26"/>
          <w:szCs w:val="26"/>
        </w:rPr>
        <w:t>¶ 10, 32.</w:t>
      </w:r>
      <w:proofErr w:type="gramEnd"/>
      <w:r w:rsidRPr="00973E75">
        <w:rPr>
          <w:bCs/>
          <w:sz w:val="26"/>
          <w:szCs w:val="26"/>
        </w:rPr>
        <w:t xml:space="preserve">  The </w:t>
      </w:r>
      <w:r w:rsidRPr="00973E75">
        <w:rPr>
          <w:bCs/>
          <w:sz w:val="26"/>
          <w:szCs w:val="26"/>
        </w:rPr>
        <w:lastRenderedPageBreak/>
        <w:t>Complainants assert that the FES March 2014 Notice of a Pass-Through</w:t>
      </w:r>
      <w:r w:rsidRPr="00973E75">
        <w:rPr>
          <w:b/>
          <w:bCs/>
          <w:sz w:val="26"/>
          <w:szCs w:val="26"/>
        </w:rPr>
        <w:t xml:space="preserve"> </w:t>
      </w:r>
      <w:r w:rsidRPr="00973E75">
        <w:rPr>
          <w:bCs/>
          <w:sz w:val="26"/>
          <w:szCs w:val="26"/>
        </w:rPr>
        <w:t xml:space="preserve">Event is not applicable to their agreements.  </w:t>
      </w:r>
      <w:proofErr w:type="gramStart"/>
      <w:r w:rsidRPr="00973E75">
        <w:rPr>
          <w:bCs/>
          <w:sz w:val="26"/>
          <w:szCs w:val="26"/>
        </w:rPr>
        <w:t>Complaint at</w:t>
      </w:r>
      <w:r w:rsidRPr="00973E75">
        <w:rPr>
          <w:b/>
          <w:bCs/>
          <w:sz w:val="26"/>
          <w:szCs w:val="26"/>
        </w:rPr>
        <w:t xml:space="preserve"> </w:t>
      </w:r>
      <w:r w:rsidRPr="00973E75">
        <w:rPr>
          <w:bCs/>
          <w:sz w:val="26"/>
          <w:szCs w:val="26"/>
        </w:rPr>
        <w:t>¶ 15.</w:t>
      </w:r>
      <w:proofErr w:type="gramEnd"/>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bCs/>
          <w:sz w:val="26"/>
          <w:szCs w:val="26"/>
        </w:rPr>
      </w:pPr>
      <w:r w:rsidRPr="00973E75">
        <w:rPr>
          <w:bCs/>
          <w:sz w:val="26"/>
          <w:szCs w:val="26"/>
        </w:rPr>
        <w:t>For relief, the FES ICCC requests that the Commission stay its members’ liability to FES for the proposed charges (Pass-Through Event surcharge); and prohibit FES from collecting from FES ICCC members the costs billed to t</w:t>
      </w:r>
      <w:r w:rsidR="000028AA" w:rsidRPr="00973E75">
        <w:rPr>
          <w:bCs/>
          <w:sz w:val="26"/>
          <w:szCs w:val="26"/>
        </w:rPr>
        <w:t>hem</w:t>
      </w:r>
      <w:r w:rsidRPr="00973E75">
        <w:rPr>
          <w:bCs/>
          <w:sz w:val="26"/>
          <w:szCs w:val="26"/>
        </w:rPr>
        <w:t xml:space="preserve"> by PJM for ancillary costs during January 2014 via the Pass-Through Event clause under the terms of its members’ fixed price agreements.  </w:t>
      </w:r>
      <w:proofErr w:type="gramStart"/>
      <w:r w:rsidRPr="00973E75">
        <w:rPr>
          <w:bCs/>
          <w:sz w:val="26"/>
          <w:szCs w:val="26"/>
        </w:rPr>
        <w:t xml:space="preserve">Complaint at </w:t>
      </w:r>
      <w:r w:rsidR="000028AA" w:rsidRPr="00973E75">
        <w:rPr>
          <w:bCs/>
          <w:sz w:val="26"/>
          <w:szCs w:val="26"/>
        </w:rPr>
        <w:t xml:space="preserve">¶ </w:t>
      </w:r>
      <w:r w:rsidRPr="00973E75">
        <w:rPr>
          <w:bCs/>
          <w:sz w:val="26"/>
          <w:szCs w:val="26"/>
        </w:rPr>
        <w:t>16.</w:t>
      </w:r>
      <w:proofErr w:type="gramEnd"/>
      <w:r w:rsidRPr="00973E75">
        <w:rPr>
          <w:bCs/>
          <w:sz w:val="26"/>
          <w:szCs w:val="26"/>
        </w:rPr>
        <w:t xml:space="preserve">       </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jc w:val="center"/>
        <w:rPr>
          <w:b/>
          <w:bCs/>
          <w:sz w:val="26"/>
          <w:szCs w:val="26"/>
        </w:rPr>
      </w:pPr>
      <w:r w:rsidRPr="00973E75">
        <w:rPr>
          <w:b/>
          <w:bCs/>
          <w:sz w:val="26"/>
          <w:szCs w:val="26"/>
        </w:rPr>
        <w:t>History of the Proceedings</w:t>
      </w:r>
    </w:p>
    <w:p w:rsidR="007B41BF" w:rsidRPr="00973E75" w:rsidRDefault="007B41BF" w:rsidP="00B62CAC">
      <w:pPr>
        <w:widowControl/>
        <w:spacing w:line="360" w:lineRule="auto"/>
        <w:jc w:val="center"/>
        <w:rPr>
          <w:b/>
          <w:bCs/>
          <w:sz w:val="26"/>
          <w:szCs w:val="26"/>
        </w:rPr>
      </w:pPr>
    </w:p>
    <w:p w:rsidR="007B41BF" w:rsidRPr="00973E75" w:rsidRDefault="007B41BF" w:rsidP="00B62CAC">
      <w:pPr>
        <w:widowControl/>
        <w:spacing w:line="360" w:lineRule="auto"/>
        <w:ind w:firstLine="1440"/>
        <w:rPr>
          <w:sz w:val="26"/>
          <w:szCs w:val="26"/>
        </w:rPr>
      </w:pPr>
      <w:r w:rsidRPr="00973E75">
        <w:rPr>
          <w:sz w:val="26"/>
          <w:szCs w:val="26"/>
        </w:rPr>
        <w:t>On June 9, 2014, the FES ICCC filed its Complaint.  As noted, Complainants seek a stay of the FES proposed action to implement a “</w:t>
      </w:r>
      <w:r w:rsidR="004B118B" w:rsidRPr="00973E75">
        <w:rPr>
          <w:sz w:val="26"/>
          <w:szCs w:val="26"/>
        </w:rPr>
        <w:t>P</w:t>
      </w:r>
      <w:r w:rsidRPr="00973E75">
        <w:rPr>
          <w:sz w:val="26"/>
          <w:szCs w:val="26"/>
        </w:rPr>
        <w:t>ass-</w:t>
      </w:r>
      <w:r w:rsidR="004B118B" w:rsidRPr="00973E75">
        <w:rPr>
          <w:sz w:val="26"/>
          <w:szCs w:val="26"/>
        </w:rPr>
        <w:t>T</w:t>
      </w:r>
      <w:r w:rsidRPr="00973E75">
        <w:rPr>
          <w:sz w:val="26"/>
          <w:szCs w:val="26"/>
        </w:rPr>
        <w:t xml:space="preserve">hrough </w:t>
      </w:r>
      <w:r w:rsidR="004B118B" w:rsidRPr="00973E75">
        <w:rPr>
          <w:sz w:val="26"/>
          <w:szCs w:val="26"/>
        </w:rPr>
        <w:t>E</w:t>
      </w:r>
      <w:r w:rsidRPr="00973E75">
        <w:rPr>
          <w:sz w:val="26"/>
          <w:szCs w:val="26"/>
        </w:rPr>
        <w:t xml:space="preserve">vent” clause in the fixed-price agreements with FES ICCC members due to FES’ incurrence of “ancillary costs” in January 2014.  Through its </w:t>
      </w:r>
      <w:r w:rsidR="001B3032" w:rsidRPr="00973E75">
        <w:rPr>
          <w:sz w:val="26"/>
          <w:szCs w:val="26"/>
        </w:rPr>
        <w:t>C</w:t>
      </w:r>
      <w:r w:rsidRPr="00973E75">
        <w:rPr>
          <w:sz w:val="26"/>
          <w:szCs w:val="26"/>
        </w:rPr>
        <w:t xml:space="preserve">omplaint, the FES ICCC requests the issuance of a directive from the Commission that FES is not permitted to implement such charges.  </w:t>
      </w:r>
      <w:r w:rsidR="001B3032" w:rsidRPr="00973E75">
        <w:rPr>
          <w:sz w:val="26"/>
          <w:szCs w:val="26"/>
        </w:rPr>
        <w:t xml:space="preserve">The </w:t>
      </w:r>
      <w:r w:rsidRPr="00973E75">
        <w:rPr>
          <w:sz w:val="26"/>
          <w:szCs w:val="26"/>
        </w:rPr>
        <w:t>Complainants additionally request that the Commission review the appropriateness of FES’ licensure as an EGS in Pennsylvania</w:t>
      </w:r>
      <w:r w:rsidRPr="00973E75">
        <w:rPr>
          <w:sz w:val="24"/>
          <w:szCs w:val="24"/>
        </w:rPr>
        <w:t xml:space="preserve">.  </w:t>
      </w:r>
      <w:proofErr w:type="gramStart"/>
      <w:r w:rsidRPr="00973E75">
        <w:rPr>
          <w:sz w:val="26"/>
          <w:szCs w:val="26"/>
        </w:rPr>
        <w:t>Interim Order at 1.</w:t>
      </w:r>
      <w:proofErr w:type="gramEnd"/>
      <w:r w:rsidRPr="00973E75">
        <w:rPr>
          <w:sz w:val="26"/>
          <w:szCs w:val="26"/>
        </w:rPr>
        <w:t xml:space="preserve">   </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On June 17, 2014, the Office of Consumer Advocate (OCA) filed a Notice of Intervention and Public Statement.  The OCA agreed with the FES ICCC that the Commission needs to issue a determination to provide guidance to the </w:t>
      </w:r>
      <w:r w:rsidR="001B3032" w:rsidRPr="00973E75">
        <w:rPr>
          <w:sz w:val="26"/>
          <w:szCs w:val="26"/>
        </w:rPr>
        <w:t>P</w:t>
      </w:r>
      <w:r w:rsidRPr="00973E75">
        <w:rPr>
          <w:sz w:val="26"/>
          <w:szCs w:val="26"/>
        </w:rPr>
        <w:t>arties, to consumers, and to all electric generation suppliers concerning whether an EGS has the right to impose a RTO Expense Surcharge on industrial and/or commercial ratepayers but not on residential ratepayers.</w:t>
      </w:r>
      <w:r w:rsidR="00FF79D8">
        <w:rPr>
          <w:rStyle w:val="FootnoteReference"/>
          <w:sz w:val="26"/>
          <w:szCs w:val="26"/>
        </w:rPr>
        <w:footnoteReference w:id="2"/>
      </w:r>
      <w:r w:rsidRPr="00973E75">
        <w:rPr>
          <w:sz w:val="26"/>
          <w:szCs w:val="26"/>
        </w:rPr>
        <w:t xml:space="preserve">  The OCA’s interest in this proceeding is to ensure that consumers’ interests are represented.</w:t>
      </w:r>
      <w:r w:rsidRPr="00973E75">
        <w:rPr>
          <w:sz w:val="24"/>
          <w:szCs w:val="24"/>
        </w:rPr>
        <w:t xml:space="preserve">  </w:t>
      </w:r>
      <w:proofErr w:type="gramStart"/>
      <w:r w:rsidRPr="00973E75">
        <w:rPr>
          <w:sz w:val="26"/>
          <w:szCs w:val="26"/>
        </w:rPr>
        <w:t>Interim Order at 1.</w:t>
      </w:r>
      <w:proofErr w:type="gramEnd"/>
      <w:r w:rsidRPr="00973E75">
        <w:rPr>
          <w:sz w:val="26"/>
          <w:szCs w:val="26"/>
        </w:rPr>
        <w:t xml:space="preserve">  </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On July 1, 2014, FES filed an Answer with New Matter, and Preliminary Objections.  In its Answer, FES admitted it is imposing a surcharge on industrial and commercial ratepayers but FES replied that the charges were contemplated in the fixed-price contracts.  </w:t>
      </w:r>
      <w:proofErr w:type="gramStart"/>
      <w:r w:rsidRPr="00973E75">
        <w:rPr>
          <w:sz w:val="26"/>
          <w:szCs w:val="26"/>
        </w:rPr>
        <w:t>Interim Order at 1.</w:t>
      </w:r>
      <w:proofErr w:type="gramEnd"/>
      <w:r w:rsidRPr="00973E75">
        <w:rPr>
          <w:sz w:val="26"/>
          <w:szCs w:val="26"/>
        </w:rPr>
        <w:t xml:space="preserve">  In New Matter, FES asserted that the Commission lacks “subject matter jurisdiction to decide disputes involving private contractual matters between EGSs and their customers.”  FES asks the Commission to dismiss the Formal Complaint.  Interim Order at 1-2.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On July 11, 2014, the FES ICCC filed an Answer to FES’ Preliminary Objections.  The FES ICCC asserted </w:t>
      </w:r>
      <w:r w:rsidR="005961D8" w:rsidRPr="00973E75">
        <w:rPr>
          <w:sz w:val="26"/>
          <w:szCs w:val="26"/>
        </w:rPr>
        <w:t>FES</w:t>
      </w:r>
      <w:r w:rsidRPr="00973E75">
        <w:rPr>
          <w:sz w:val="26"/>
          <w:szCs w:val="26"/>
        </w:rPr>
        <w:t xml:space="preserve"> does meet the definition of a “public utility” and the Commission has subject matter jurisdiction over the contracts between FES and small business customers.</w:t>
      </w:r>
      <w:r w:rsidRPr="00973E75">
        <w:rPr>
          <w:rStyle w:val="FootnoteReference"/>
          <w:sz w:val="26"/>
          <w:szCs w:val="26"/>
        </w:rPr>
        <w:footnoteReference w:id="3"/>
      </w:r>
      <w:r w:rsidRPr="00973E75">
        <w:rPr>
          <w:sz w:val="26"/>
          <w:szCs w:val="26"/>
        </w:rPr>
        <w:t xml:space="preserve">  The FES ICCC requests that the Commission exercise its authority to oversee EGSs in order to determine if an electric generation supplier (in this case, FES) engaged in deceptive and potentially fraudulent billing practices.  </w:t>
      </w:r>
      <w:proofErr w:type="gramStart"/>
      <w:r w:rsidRPr="00973E75">
        <w:rPr>
          <w:sz w:val="26"/>
          <w:szCs w:val="26"/>
        </w:rPr>
        <w:t>Interim Order at 2.</w:t>
      </w:r>
      <w:proofErr w:type="gramEnd"/>
    </w:p>
    <w:p w:rsidR="007B41BF" w:rsidRPr="00973E75" w:rsidRDefault="007B41BF" w:rsidP="00B62CAC">
      <w:pPr>
        <w:widowControl/>
        <w:spacing w:line="360" w:lineRule="auto"/>
        <w:ind w:firstLine="1440"/>
        <w:rPr>
          <w:sz w:val="26"/>
          <w:szCs w:val="26"/>
        </w:rPr>
      </w:pPr>
    </w:p>
    <w:p w:rsidR="007B41BF" w:rsidRPr="00973E75" w:rsidRDefault="007B41BF" w:rsidP="00B62CAC">
      <w:pPr>
        <w:pStyle w:val="FootnoteText"/>
        <w:widowControl/>
        <w:spacing w:line="360" w:lineRule="auto"/>
        <w:ind w:firstLine="1440"/>
        <w:rPr>
          <w:sz w:val="26"/>
          <w:szCs w:val="26"/>
        </w:rPr>
      </w:pPr>
      <w:r w:rsidRPr="00973E75">
        <w:rPr>
          <w:sz w:val="26"/>
          <w:szCs w:val="26"/>
        </w:rPr>
        <w:t>Also on July 11, 2014, the OCA filed an Answer to the Preliminary Objections of FES.  The OCA asserted that the integrity of the retail electric market in Pennsylvania hinges on the Commission</w:t>
      </w:r>
      <w:r w:rsidR="005961D8" w:rsidRPr="00973E75">
        <w:rPr>
          <w:sz w:val="26"/>
          <w:szCs w:val="26"/>
        </w:rPr>
        <w:t>’s ability</w:t>
      </w:r>
      <w:r w:rsidRPr="00973E75">
        <w:rPr>
          <w:sz w:val="26"/>
          <w:szCs w:val="26"/>
        </w:rPr>
        <w:t xml:space="preserve"> to not only license and authorize a particular EGS to enter into the retail electric market but also </w:t>
      </w:r>
      <w:r w:rsidR="005961D8" w:rsidRPr="00973E75">
        <w:rPr>
          <w:sz w:val="26"/>
          <w:szCs w:val="26"/>
        </w:rPr>
        <w:t>its</w:t>
      </w:r>
      <w:r w:rsidRPr="00973E75">
        <w:rPr>
          <w:sz w:val="26"/>
          <w:szCs w:val="26"/>
        </w:rPr>
        <w:t xml:space="preserve"> authority to ensure that the same EGS provides, </w:t>
      </w:r>
      <w:r w:rsidRPr="00973E75">
        <w:rPr>
          <w:i/>
          <w:sz w:val="26"/>
          <w:szCs w:val="26"/>
        </w:rPr>
        <w:t>inter alia</w:t>
      </w:r>
      <w:r w:rsidRPr="00973E75">
        <w:rPr>
          <w:sz w:val="26"/>
          <w:szCs w:val="26"/>
        </w:rPr>
        <w:t xml:space="preserve">, adequate and accurate information to customers in an understandable format that enables a consumer to compare prices and services.  The OCA cited the Commission proceeding in </w:t>
      </w:r>
      <w:r w:rsidRPr="00973E75">
        <w:rPr>
          <w:i/>
          <w:sz w:val="26"/>
          <w:szCs w:val="26"/>
        </w:rPr>
        <w:t xml:space="preserve">Use of Fixed Price Labels for Products with a Pass-Through Clause, </w:t>
      </w:r>
      <w:r w:rsidRPr="00973E75">
        <w:rPr>
          <w:sz w:val="26"/>
          <w:szCs w:val="26"/>
        </w:rPr>
        <w:t>Docket No. M-2013-2362961 (Order entered November 14, 2013) (</w:t>
      </w:r>
      <w:r w:rsidR="00393059" w:rsidRPr="00393059">
        <w:rPr>
          <w:i/>
          <w:sz w:val="26"/>
          <w:szCs w:val="26"/>
        </w:rPr>
        <w:t>Fixed-Price</w:t>
      </w:r>
      <w:r w:rsidRPr="00973E75">
        <w:rPr>
          <w:i/>
          <w:sz w:val="26"/>
          <w:szCs w:val="26"/>
        </w:rPr>
        <w:t xml:space="preserve"> Order</w:t>
      </w:r>
      <w:r w:rsidRPr="00973E75">
        <w:rPr>
          <w:sz w:val="26"/>
          <w:szCs w:val="26"/>
        </w:rPr>
        <w:t>),</w:t>
      </w:r>
      <w:r w:rsidRPr="00973E75">
        <w:t xml:space="preserve"> </w:t>
      </w:r>
      <w:r w:rsidRPr="00973E75">
        <w:rPr>
          <w:sz w:val="26"/>
          <w:szCs w:val="26"/>
        </w:rPr>
        <w:t xml:space="preserve">and pointed out that FES participated in that proceeding and did not dispute the Commission’s jurisdiction.  </w:t>
      </w:r>
      <w:proofErr w:type="gramStart"/>
      <w:r w:rsidRPr="00973E75">
        <w:rPr>
          <w:sz w:val="26"/>
          <w:szCs w:val="26"/>
        </w:rPr>
        <w:t>Interim Order at 2.</w:t>
      </w:r>
      <w:proofErr w:type="gramEnd"/>
      <w:r w:rsidRPr="00973E75">
        <w:rPr>
          <w:sz w:val="26"/>
          <w:szCs w:val="26"/>
        </w:rPr>
        <w:t xml:space="preserve">  The OCA stated the subject </w:t>
      </w:r>
      <w:r w:rsidRPr="00973E75">
        <w:rPr>
          <w:sz w:val="26"/>
          <w:szCs w:val="26"/>
        </w:rPr>
        <w:lastRenderedPageBreak/>
        <w:t xml:space="preserve">matter of this case concerns the billing practices of FES and whether the Commission should permit FES to pass through to fixed-price customers these additional fees billed to FES by the PJM Interconnection for ancillary services.  The OCA asserted the Commission’s jurisdiction is pursuant to 66 Pa. C.S. § 2809(b).  </w:t>
      </w:r>
      <w:r w:rsidRPr="00973E75">
        <w:rPr>
          <w:i/>
          <w:sz w:val="26"/>
          <w:szCs w:val="26"/>
        </w:rPr>
        <w:t>Id</w:t>
      </w:r>
      <w:r w:rsidRPr="00973E75">
        <w:rPr>
          <w:sz w:val="26"/>
          <w:szCs w:val="26"/>
        </w:rPr>
        <w:t>.</w:t>
      </w:r>
    </w:p>
    <w:p w:rsidR="007B41BF" w:rsidRPr="00973E75" w:rsidRDefault="007B41BF" w:rsidP="00B62CAC">
      <w:pPr>
        <w:pStyle w:val="FootnoteText"/>
        <w:widowControl/>
        <w:spacing w:line="360" w:lineRule="auto"/>
        <w:rPr>
          <w:sz w:val="26"/>
          <w:szCs w:val="26"/>
        </w:rPr>
      </w:pPr>
    </w:p>
    <w:p w:rsidR="00393059" w:rsidRDefault="007B41BF" w:rsidP="00B62CAC">
      <w:pPr>
        <w:pStyle w:val="FootnoteText"/>
        <w:widowControl/>
        <w:spacing w:line="360" w:lineRule="auto"/>
        <w:ind w:firstLine="1440"/>
        <w:rPr>
          <w:sz w:val="26"/>
          <w:szCs w:val="26"/>
        </w:rPr>
      </w:pPr>
      <w:r w:rsidRPr="00973E75">
        <w:rPr>
          <w:sz w:val="26"/>
          <w:szCs w:val="26"/>
        </w:rPr>
        <w:t>The Interim Order of ALJ Dunderdale was issued on August 6, 2014.  The Petition and Briefs in support and in opposition were filed as noted.</w:t>
      </w:r>
    </w:p>
    <w:p w:rsidR="00393059" w:rsidRDefault="00393059" w:rsidP="00B62CAC">
      <w:pPr>
        <w:pStyle w:val="FootnoteText"/>
        <w:widowControl/>
        <w:spacing w:line="360" w:lineRule="auto"/>
        <w:ind w:firstLine="1440"/>
        <w:rPr>
          <w:sz w:val="26"/>
          <w:szCs w:val="26"/>
        </w:rPr>
      </w:pPr>
    </w:p>
    <w:p w:rsidR="007B41BF" w:rsidRPr="00973E75" w:rsidRDefault="00393059" w:rsidP="00B62CAC">
      <w:pPr>
        <w:pStyle w:val="FootnoteText"/>
        <w:widowControl/>
        <w:spacing w:line="360" w:lineRule="auto"/>
        <w:ind w:firstLine="1440"/>
        <w:rPr>
          <w:sz w:val="26"/>
          <w:szCs w:val="26"/>
        </w:rPr>
      </w:pPr>
      <w:r w:rsidRPr="00973E75">
        <w:rPr>
          <w:sz w:val="26"/>
        </w:rPr>
        <w:t xml:space="preserve">By Secretarial Letter of September 9, 2014, we waived the thirty (30) day period for consideration of petitions for interlocutory review pursuant to 52 Pa. Code </w:t>
      </w:r>
      <w:r w:rsidR="00C614AD">
        <w:rPr>
          <w:sz w:val="26"/>
        </w:rPr>
        <w:br/>
      </w:r>
      <w:r w:rsidRPr="00973E75">
        <w:rPr>
          <w:sz w:val="26"/>
        </w:rPr>
        <w:t xml:space="preserve">§ 5.303.  </w:t>
      </w:r>
      <w:r w:rsidRPr="00973E75">
        <w:rPr>
          <w:i/>
          <w:sz w:val="26"/>
        </w:rPr>
        <w:t>See</w:t>
      </w:r>
      <w:r w:rsidRPr="00973E75">
        <w:rPr>
          <w:sz w:val="26"/>
        </w:rPr>
        <w:t xml:space="preserve"> 52 Pa. Code </w:t>
      </w:r>
      <w:r w:rsidRPr="00973E75">
        <w:rPr>
          <w:sz w:val="26"/>
          <w:szCs w:val="26"/>
        </w:rPr>
        <w:t xml:space="preserve">§ 1.2(c); </w:t>
      </w:r>
      <w:r w:rsidRPr="00973E75">
        <w:rPr>
          <w:i/>
          <w:sz w:val="26"/>
          <w:szCs w:val="26"/>
        </w:rPr>
        <w:t>also,</w:t>
      </w:r>
      <w:r w:rsidRPr="00973E75">
        <w:rPr>
          <w:sz w:val="26"/>
          <w:szCs w:val="26"/>
        </w:rPr>
        <w:t xml:space="preserve"> </w:t>
      </w:r>
      <w:r w:rsidRPr="00973E75">
        <w:rPr>
          <w:i/>
          <w:sz w:val="26"/>
          <w:szCs w:val="26"/>
        </w:rPr>
        <w:t>C.S. Warthman Funeral Home, et al. v. GTE North, Inc.</w:t>
      </w:r>
      <w:r w:rsidRPr="00973E75">
        <w:rPr>
          <w:sz w:val="26"/>
          <w:szCs w:val="26"/>
        </w:rPr>
        <w:t xml:space="preserve">, Docket No. </w:t>
      </w:r>
      <w:proofErr w:type="gramStart"/>
      <w:r w:rsidRPr="00973E75">
        <w:rPr>
          <w:sz w:val="26"/>
          <w:szCs w:val="26"/>
        </w:rPr>
        <w:t>C-00924416 (Order entered June 4, 1993).</w:t>
      </w:r>
      <w:proofErr w:type="gramEnd"/>
      <w:r w:rsidRPr="00973E75">
        <w:rPr>
          <w:sz w:val="26"/>
          <w:szCs w:val="26"/>
        </w:rPr>
        <w:t xml:space="preserve">  </w:t>
      </w:r>
      <w:r w:rsidR="007B41BF" w:rsidRPr="00973E75">
        <w:rPr>
          <w:sz w:val="26"/>
          <w:szCs w:val="26"/>
        </w:rPr>
        <w:t xml:space="preserve">  </w:t>
      </w:r>
    </w:p>
    <w:p w:rsidR="007B41BF" w:rsidRPr="00973E75" w:rsidRDefault="007B41BF" w:rsidP="00B62CAC">
      <w:pPr>
        <w:pStyle w:val="FootnoteText"/>
        <w:widowControl/>
        <w:spacing w:line="360" w:lineRule="auto"/>
        <w:ind w:firstLine="1440"/>
        <w:rPr>
          <w:sz w:val="26"/>
          <w:szCs w:val="26"/>
        </w:rPr>
      </w:pPr>
    </w:p>
    <w:p w:rsidR="007B41BF" w:rsidRPr="00973E75" w:rsidRDefault="007B41BF" w:rsidP="00B62CAC">
      <w:pPr>
        <w:pStyle w:val="FootnoteText"/>
        <w:widowControl/>
        <w:spacing w:line="360" w:lineRule="auto"/>
        <w:jc w:val="center"/>
        <w:rPr>
          <w:b/>
          <w:sz w:val="26"/>
          <w:szCs w:val="26"/>
        </w:rPr>
      </w:pPr>
      <w:r w:rsidRPr="00973E75">
        <w:rPr>
          <w:b/>
          <w:sz w:val="26"/>
          <w:szCs w:val="26"/>
        </w:rPr>
        <w:t>Discussion</w:t>
      </w:r>
    </w:p>
    <w:p w:rsidR="007B41BF" w:rsidRPr="00973E75" w:rsidRDefault="007B41BF" w:rsidP="00B62CAC">
      <w:pPr>
        <w:pStyle w:val="FootnoteText"/>
        <w:widowControl/>
        <w:spacing w:line="360" w:lineRule="auto"/>
        <w:jc w:val="center"/>
        <w:rPr>
          <w:sz w:val="26"/>
          <w:szCs w:val="26"/>
        </w:rPr>
      </w:pPr>
    </w:p>
    <w:p w:rsidR="007B41BF" w:rsidRPr="00973E75" w:rsidRDefault="007B41BF" w:rsidP="00B62CAC">
      <w:pPr>
        <w:widowControl/>
        <w:spacing w:line="360" w:lineRule="auto"/>
        <w:ind w:firstLine="1440"/>
        <w:rPr>
          <w:b/>
          <w:bCs/>
          <w:sz w:val="26"/>
          <w:szCs w:val="26"/>
        </w:rPr>
      </w:pPr>
      <w:r w:rsidRPr="00973E75">
        <w:rPr>
          <w:sz w:val="26"/>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973E75">
          <w:rPr>
            <w:i/>
            <w:iCs/>
            <w:sz w:val="26"/>
            <w:szCs w:val="26"/>
          </w:rPr>
          <w:t xml:space="preserve">Consolidated Rail Corp. v. Pa. PUC, </w:t>
        </w:r>
        <w:r w:rsidRPr="00973E75">
          <w:rPr>
            <w:sz w:val="26"/>
            <w:szCs w:val="26"/>
          </w:rPr>
          <w:t>625 A.2d 741 (Pa. Cmwlth. 1993);</w:t>
        </w:r>
      </w:hyperlink>
      <w:r w:rsidRPr="00973E75">
        <w:rPr>
          <w:sz w:val="26"/>
          <w:szCs w:val="26"/>
        </w:rPr>
        <w:t xml:space="preserve"> </w:t>
      </w:r>
      <w:r w:rsidRPr="00973E75">
        <w:rPr>
          <w:i/>
          <w:sz w:val="26"/>
          <w:szCs w:val="26"/>
        </w:rPr>
        <w:t xml:space="preserve">also </w:t>
      </w:r>
      <w:r w:rsidRPr="00973E75">
        <w:rPr>
          <w:i/>
          <w:iCs/>
          <w:sz w:val="26"/>
          <w:szCs w:val="26"/>
        </w:rPr>
        <w:t xml:space="preserve">see, generally, </w:t>
      </w:r>
      <w:hyperlink r:id="rId10" w:history="1">
        <w:r w:rsidRPr="00973E75">
          <w:rPr>
            <w:i/>
            <w:iCs/>
            <w:sz w:val="26"/>
            <w:szCs w:val="26"/>
          </w:rPr>
          <w:t>University of Pennsylvania v. Pa. PUC</w:t>
        </w:r>
        <w:r w:rsidRPr="00973E75">
          <w:rPr>
            <w:sz w:val="26"/>
            <w:szCs w:val="26"/>
          </w:rPr>
          <w:t>, 485 A.2d 1217 (Pa. Cmwlth. 1984).</w:t>
        </w:r>
      </w:hyperlink>
    </w:p>
    <w:p w:rsidR="007B41BF" w:rsidRPr="00973E75" w:rsidRDefault="007B41BF" w:rsidP="00B62CAC">
      <w:pPr>
        <w:widowControl/>
        <w:spacing w:line="360" w:lineRule="auto"/>
        <w:rPr>
          <w:b/>
          <w:bCs/>
          <w:sz w:val="26"/>
          <w:szCs w:val="26"/>
        </w:rPr>
      </w:pPr>
    </w:p>
    <w:p w:rsidR="007B41BF" w:rsidRPr="00973E75" w:rsidRDefault="007B41BF" w:rsidP="00B62CAC">
      <w:pPr>
        <w:widowControl/>
        <w:spacing w:line="360" w:lineRule="auto"/>
        <w:rPr>
          <w:b/>
          <w:bCs/>
          <w:sz w:val="26"/>
          <w:szCs w:val="26"/>
        </w:rPr>
      </w:pPr>
      <w:r w:rsidRPr="00973E75">
        <w:rPr>
          <w:b/>
          <w:bCs/>
          <w:sz w:val="26"/>
          <w:szCs w:val="26"/>
        </w:rPr>
        <w:t xml:space="preserve">Common Questions of Law and Fact With Docket </w:t>
      </w:r>
      <w:r w:rsidR="0029011C" w:rsidRPr="00973E75">
        <w:rPr>
          <w:b/>
          <w:bCs/>
          <w:sz w:val="26"/>
          <w:szCs w:val="26"/>
        </w:rPr>
        <w:t xml:space="preserve">No. </w:t>
      </w:r>
      <w:r w:rsidRPr="00973E75">
        <w:rPr>
          <w:b/>
          <w:bCs/>
          <w:sz w:val="26"/>
          <w:szCs w:val="26"/>
        </w:rPr>
        <w:t xml:space="preserve">P-2014-24215556 </w:t>
      </w:r>
    </w:p>
    <w:p w:rsidR="007B41BF" w:rsidRPr="00973E75" w:rsidRDefault="007B41BF" w:rsidP="00B62CAC">
      <w:pPr>
        <w:widowControl/>
        <w:spacing w:line="360" w:lineRule="auto"/>
        <w:ind w:firstLine="1440"/>
        <w:rPr>
          <w:bCs/>
          <w:sz w:val="26"/>
          <w:szCs w:val="26"/>
        </w:rPr>
      </w:pPr>
    </w:p>
    <w:p w:rsidR="007B41BF" w:rsidRPr="00973E75" w:rsidRDefault="007B41BF" w:rsidP="00B62CAC">
      <w:pPr>
        <w:widowControl/>
        <w:spacing w:line="360" w:lineRule="auto"/>
        <w:ind w:firstLine="1440"/>
        <w:rPr>
          <w:sz w:val="26"/>
          <w:szCs w:val="26"/>
        </w:rPr>
      </w:pPr>
      <w:r w:rsidRPr="00973E75">
        <w:rPr>
          <w:bCs/>
          <w:sz w:val="26"/>
          <w:szCs w:val="26"/>
        </w:rPr>
        <w:t xml:space="preserve">This Complaint is related to </w:t>
      </w:r>
      <w:r w:rsidRPr="00973E75">
        <w:rPr>
          <w:bCs/>
          <w:i/>
          <w:sz w:val="26"/>
          <w:szCs w:val="26"/>
        </w:rPr>
        <w:t>In re John R. Evans, Office of Small Business Advocate (OSBA) - Petition for Declaratory Order v. FirstEnergy Solutions Corp.</w:t>
      </w:r>
      <w:r w:rsidRPr="00973E75">
        <w:rPr>
          <w:bCs/>
          <w:sz w:val="26"/>
          <w:szCs w:val="26"/>
        </w:rPr>
        <w:t xml:space="preserve">, Docket No. </w:t>
      </w:r>
      <w:r w:rsidRPr="00973E75">
        <w:rPr>
          <w:sz w:val="26"/>
          <w:szCs w:val="26"/>
        </w:rPr>
        <w:t>P-2014-2421556 (</w:t>
      </w:r>
      <w:r w:rsidRPr="00973E75">
        <w:rPr>
          <w:i/>
          <w:sz w:val="26"/>
          <w:szCs w:val="26"/>
        </w:rPr>
        <w:t>OSBA Declaratory Order Petition</w:t>
      </w:r>
      <w:r w:rsidRPr="00973E75">
        <w:rPr>
          <w:sz w:val="26"/>
          <w:szCs w:val="26"/>
        </w:rPr>
        <w:t xml:space="preserve">), because </w:t>
      </w:r>
      <w:r w:rsidRPr="00973E75">
        <w:rPr>
          <w:bCs/>
          <w:sz w:val="26"/>
          <w:szCs w:val="26"/>
        </w:rPr>
        <w:t xml:space="preserve">of common </w:t>
      </w:r>
      <w:r w:rsidRPr="00973E75">
        <w:rPr>
          <w:bCs/>
          <w:sz w:val="26"/>
          <w:szCs w:val="26"/>
        </w:rPr>
        <w:lastRenderedPageBreak/>
        <w:t>questions of law and of fact.</w:t>
      </w:r>
      <w:r w:rsidRPr="00973E75">
        <w:rPr>
          <w:rStyle w:val="FootnoteReference"/>
          <w:sz w:val="26"/>
          <w:szCs w:val="26"/>
        </w:rPr>
        <w:footnoteReference w:id="4"/>
      </w:r>
      <w:r w:rsidRPr="00973E75">
        <w:rPr>
          <w:sz w:val="26"/>
          <w:szCs w:val="26"/>
        </w:rPr>
        <w:t xml:space="preserve">  We also note that the Respondent, FES, is the same in both this Complaint proceeding and in the </w:t>
      </w:r>
      <w:r w:rsidRPr="00973E75">
        <w:rPr>
          <w:i/>
          <w:sz w:val="26"/>
          <w:szCs w:val="26"/>
        </w:rPr>
        <w:t>OSBA Declaratory Order Petition</w:t>
      </w:r>
      <w:r w:rsidRPr="00973E75">
        <w:rPr>
          <w:sz w:val="26"/>
          <w:szCs w:val="26"/>
        </w:rPr>
        <w:t>.</w:t>
      </w:r>
      <w:r w:rsidRPr="00973E75">
        <w:rPr>
          <w:rStyle w:val="FootnoteReference"/>
          <w:sz w:val="26"/>
          <w:szCs w:val="26"/>
        </w:rPr>
        <w:footnoteReference w:id="5"/>
      </w:r>
      <w:r w:rsidRPr="00973E75">
        <w:rPr>
          <w:sz w:val="26"/>
          <w:szCs w:val="26"/>
        </w:rPr>
        <w:t xml:space="preserve">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In the </w:t>
      </w:r>
      <w:r w:rsidRPr="00973E75">
        <w:rPr>
          <w:i/>
          <w:sz w:val="26"/>
          <w:szCs w:val="26"/>
        </w:rPr>
        <w:t xml:space="preserve">OSBA Declaratory Order Petition, </w:t>
      </w:r>
      <w:r w:rsidRPr="00973E75">
        <w:rPr>
          <w:sz w:val="26"/>
          <w:szCs w:val="26"/>
        </w:rPr>
        <w:t>filed May 15, 2014, the OSBA seeks a Commission order pursuant to the authority of Section 331(f) of the Public Utility Code (Code), 66 Pa. C.S. § 331(f), declaring that FES is not permitted to recover certain “ancillary services costs” as a “</w:t>
      </w:r>
      <w:r w:rsidR="004B118B" w:rsidRPr="00973E75">
        <w:rPr>
          <w:sz w:val="26"/>
          <w:szCs w:val="26"/>
        </w:rPr>
        <w:t>P</w:t>
      </w:r>
      <w:r w:rsidRPr="00973E75">
        <w:rPr>
          <w:sz w:val="26"/>
          <w:szCs w:val="26"/>
        </w:rPr>
        <w:t>ass-</w:t>
      </w:r>
      <w:r w:rsidR="004B118B" w:rsidRPr="00973E75">
        <w:rPr>
          <w:sz w:val="26"/>
          <w:szCs w:val="26"/>
        </w:rPr>
        <w:t>T</w:t>
      </w:r>
      <w:r w:rsidRPr="00973E75">
        <w:rPr>
          <w:sz w:val="26"/>
          <w:szCs w:val="26"/>
        </w:rPr>
        <w:t xml:space="preserve">hrough </w:t>
      </w:r>
      <w:r w:rsidR="004B118B" w:rsidRPr="00973E75">
        <w:rPr>
          <w:sz w:val="26"/>
          <w:szCs w:val="26"/>
        </w:rPr>
        <w:t>E</w:t>
      </w:r>
      <w:r w:rsidRPr="00973E75">
        <w:rPr>
          <w:sz w:val="26"/>
          <w:szCs w:val="26"/>
        </w:rPr>
        <w:t xml:space="preserve">vent” under the terms of its fixed price contracts with its customers.  </w:t>
      </w:r>
      <w:r w:rsidRPr="00973E75">
        <w:rPr>
          <w:i/>
          <w:sz w:val="26"/>
          <w:szCs w:val="26"/>
        </w:rPr>
        <w:t xml:space="preserve">See </w:t>
      </w:r>
      <w:r w:rsidRPr="00973E75">
        <w:rPr>
          <w:sz w:val="26"/>
          <w:szCs w:val="26"/>
        </w:rPr>
        <w:t xml:space="preserve">OSBA Petition at 7.  For relief, the OSBA Petition seeks a directive that FES refund any ancillary services costs FES has recovered from customers to date, with interest.  </w:t>
      </w:r>
      <w:r w:rsidRPr="00973E75">
        <w:rPr>
          <w:i/>
          <w:sz w:val="26"/>
          <w:szCs w:val="26"/>
        </w:rPr>
        <w:t>Id</w:t>
      </w:r>
      <w:r w:rsidRPr="00973E75">
        <w:rPr>
          <w:sz w:val="26"/>
          <w:szCs w:val="26"/>
        </w:rPr>
        <w: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The </w:t>
      </w:r>
      <w:r w:rsidRPr="00973E75">
        <w:rPr>
          <w:i/>
          <w:sz w:val="26"/>
          <w:szCs w:val="26"/>
        </w:rPr>
        <w:t xml:space="preserve">OSBA Declaratory Order Petition </w:t>
      </w:r>
      <w:r w:rsidRPr="00973E75">
        <w:rPr>
          <w:sz w:val="26"/>
          <w:szCs w:val="26"/>
        </w:rPr>
        <w:t xml:space="preserve">proceeding was assigned to the </w:t>
      </w:r>
      <w:r w:rsidR="003924F4" w:rsidRPr="00973E75">
        <w:rPr>
          <w:sz w:val="26"/>
          <w:szCs w:val="26"/>
        </w:rPr>
        <w:t xml:space="preserve">OALJ </w:t>
      </w:r>
      <w:r w:rsidRPr="00973E75">
        <w:rPr>
          <w:sz w:val="26"/>
          <w:szCs w:val="26"/>
        </w:rPr>
        <w:t xml:space="preserve">and on July 22, 2014, the ALJ issued an Interim Order denying FES’ preliminary objections filed in that matter.  In response to that Interim Order, FES also filed a petition requesting interlocutory review and answer to material questions.  In the </w:t>
      </w:r>
      <w:r w:rsidRPr="00973E75">
        <w:rPr>
          <w:i/>
          <w:sz w:val="26"/>
          <w:szCs w:val="26"/>
        </w:rPr>
        <w:t>OSBA Declaratory Order Petition</w:t>
      </w:r>
      <w:r w:rsidRPr="00973E75">
        <w:rPr>
          <w:sz w:val="26"/>
          <w:szCs w:val="26"/>
        </w:rPr>
        <w:t xml:space="preserve"> proceeding, FES requests interlocutory review of the following questions:</w:t>
      </w:r>
    </w:p>
    <w:p w:rsidR="007B41BF" w:rsidRPr="00973E75" w:rsidRDefault="007B41BF" w:rsidP="00B62CAC">
      <w:pPr>
        <w:widowControl/>
        <w:spacing w:line="360" w:lineRule="auto"/>
        <w:ind w:firstLine="1440"/>
        <w:rPr>
          <w:sz w:val="26"/>
          <w:szCs w:val="26"/>
        </w:rPr>
      </w:pPr>
    </w:p>
    <w:p w:rsidR="007B41BF" w:rsidRPr="00973E75" w:rsidRDefault="007B41BF" w:rsidP="00B62CAC">
      <w:pPr>
        <w:pStyle w:val="ListParagraph"/>
        <w:widowControl/>
        <w:numPr>
          <w:ilvl w:val="0"/>
          <w:numId w:val="3"/>
        </w:numPr>
        <w:ind w:left="1440" w:right="1440"/>
        <w:rPr>
          <w:sz w:val="26"/>
          <w:szCs w:val="26"/>
        </w:rPr>
      </w:pPr>
      <w:r w:rsidRPr="00973E75">
        <w:rPr>
          <w:sz w:val="26"/>
          <w:szCs w:val="26"/>
        </w:rPr>
        <w:t xml:space="preserve"> Does the Commission lack subject matter jurisdiction to grant the OSBA Petition requesting a declaratory order interpreting a provision of an EGS retail customer supply contract?</w:t>
      </w:r>
    </w:p>
    <w:p w:rsidR="007B41BF" w:rsidRPr="00973E75" w:rsidRDefault="007B41BF" w:rsidP="00B62CAC">
      <w:pPr>
        <w:widowControl/>
        <w:spacing w:line="360" w:lineRule="auto"/>
        <w:ind w:left="1440" w:right="1440" w:firstLine="1440"/>
        <w:rPr>
          <w:sz w:val="26"/>
          <w:szCs w:val="26"/>
        </w:rPr>
      </w:pPr>
    </w:p>
    <w:p w:rsidR="007B41BF" w:rsidRPr="00973E75" w:rsidRDefault="007B41BF" w:rsidP="00B62CAC">
      <w:pPr>
        <w:pStyle w:val="ListParagraph"/>
        <w:widowControl/>
        <w:numPr>
          <w:ilvl w:val="0"/>
          <w:numId w:val="3"/>
        </w:numPr>
        <w:ind w:left="1440" w:right="1440"/>
        <w:rPr>
          <w:sz w:val="26"/>
        </w:rPr>
      </w:pPr>
      <w:r w:rsidRPr="00973E75">
        <w:rPr>
          <w:sz w:val="26"/>
        </w:rPr>
        <w:t xml:space="preserve"> Did the ALJ’s Order imprope</w:t>
      </w:r>
      <w:r w:rsidR="00B62CAC">
        <w:rPr>
          <w:sz w:val="26"/>
        </w:rPr>
        <w:t xml:space="preserve">rly expand the scope of the </w:t>
      </w:r>
      <w:r w:rsidRPr="00973E75">
        <w:rPr>
          <w:sz w:val="26"/>
        </w:rPr>
        <w:t>requested relief of the OSBA Petition?</w:t>
      </w:r>
      <w:r w:rsidRPr="00973E75">
        <w:rPr>
          <w:sz w:val="26"/>
          <w:szCs w:val="26"/>
        </w:rPr>
        <w:t xml:space="preserve"> </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Although the issues raised by the FES ICCC Complaint are substantially similar to those involved in the </w:t>
      </w:r>
      <w:r w:rsidRPr="00973E75">
        <w:rPr>
          <w:i/>
          <w:sz w:val="26"/>
          <w:szCs w:val="26"/>
        </w:rPr>
        <w:t>OSBA Declaratory Order Petition</w:t>
      </w:r>
      <w:r w:rsidRPr="00973E75">
        <w:rPr>
          <w:sz w:val="26"/>
          <w:szCs w:val="26"/>
        </w:rPr>
        <w:t xml:space="preserve">, and our reasons for </w:t>
      </w:r>
      <w:r w:rsidRPr="00973E75">
        <w:rPr>
          <w:sz w:val="26"/>
          <w:szCs w:val="26"/>
        </w:rPr>
        <w:lastRenderedPageBreak/>
        <w:t xml:space="preserve">granting interlocutory review are, also, substantially  similar, we observe two differences in the proceedings.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First, the FES ICCC is an </w:t>
      </w:r>
      <w:r w:rsidRPr="00973E75">
        <w:rPr>
          <w:i/>
          <w:sz w:val="26"/>
          <w:szCs w:val="26"/>
        </w:rPr>
        <w:t xml:space="preserve">ad hoc </w:t>
      </w:r>
      <w:r w:rsidRPr="00973E75">
        <w:rPr>
          <w:sz w:val="26"/>
          <w:szCs w:val="26"/>
        </w:rPr>
        <w:t>association of large, industrial and commercial EGS customers.  The definitions of “customer” and “consumer” in our regulations at 52 Pa. Code § 5.42, do not make a distinction between large users and smaller, typically residential users, or small business users.  However, Sections 54.4, 54.5, 54.7(c)</w:t>
      </w:r>
      <w:r w:rsidR="003924F4" w:rsidRPr="00973E75">
        <w:rPr>
          <w:sz w:val="26"/>
          <w:szCs w:val="26"/>
        </w:rPr>
        <w:t>,</w:t>
      </w:r>
      <w:r w:rsidRPr="00973E75">
        <w:rPr>
          <w:sz w:val="26"/>
          <w:szCs w:val="26"/>
        </w:rPr>
        <w:t xml:space="preserve"> 54.9(1)</w:t>
      </w:r>
      <w:r w:rsidR="003924F4" w:rsidRPr="00973E75">
        <w:rPr>
          <w:sz w:val="26"/>
          <w:szCs w:val="26"/>
        </w:rPr>
        <w:t>,</w:t>
      </w:r>
      <w:r w:rsidRPr="00973E75">
        <w:rPr>
          <w:sz w:val="26"/>
          <w:szCs w:val="26"/>
        </w:rPr>
        <w:t xml:space="preserve"> and 54.10 of our Regulations, 52 Pa. Code §§ 54.4, 54.5, 54.7(c), 54.9(1), and 54.10, specifically address residential </w:t>
      </w:r>
      <w:r w:rsidR="00B62CAC">
        <w:rPr>
          <w:sz w:val="26"/>
          <w:szCs w:val="26"/>
        </w:rPr>
        <w:t xml:space="preserve">and small business customers.  </w:t>
      </w:r>
      <w:r w:rsidRPr="00973E75">
        <w:rPr>
          <w:sz w:val="26"/>
          <w:szCs w:val="26"/>
        </w:rPr>
        <w:t>Notwithstanding, Section 701 of the Code, 66 Pa. C.S. § 701, permits any person, having an interest in the subject matter, to file a formal complaint in writing with the Commission setting forth any act or thing done or omitted to be done by any public utility</w:t>
      </w:r>
      <w:r w:rsidRPr="00973E75">
        <w:rPr>
          <w:rStyle w:val="FootnoteReference"/>
          <w:sz w:val="26"/>
          <w:szCs w:val="26"/>
        </w:rPr>
        <w:footnoteReference w:id="6"/>
      </w:r>
      <w:r w:rsidRPr="00973E75">
        <w:rPr>
          <w:sz w:val="26"/>
          <w:szCs w:val="26"/>
        </w:rPr>
        <w:t xml:space="preserve"> in violation, or claimed violation, of any law which the Commission has jurisdiction to administer.  </w:t>
      </w:r>
      <w:r w:rsidRPr="00973E75">
        <w:rPr>
          <w:i/>
          <w:sz w:val="26"/>
          <w:szCs w:val="26"/>
        </w:rPr>
        <w:t>See</w:t>
      </w:r>
      <w:r w:rsidRPr="00973E75">
        <w:rPr>
          <w:sz w:val="26"/>
          <w:szCs w:val="26"/>
        </w:rPr>
        <w:t xml:space="preserve"> Interim Order at 6.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on the foregoing, while the relative size of the customer and the level of sophistication </w:t>
      </w:r>
      <w:proofErr w:type="gramStart"/>
      <w:r w:rsidRPr="00973E75">
        <w:rPr>
          <w:sz w:val="26"/>
          <w:szCs w:val="26"/>
        </w:rPr>
        <w:t>is</w:t>
      </w:r>
      <w:proofErr w:type="gramEnd"/>
      <w:r w:rsidRPr="00973E75">
        <w:rPr>
          <w:sz w:val="26"/>
          <w:szCs w:val="26"/>
        </w:rPr>
        <w:t xml:space="preserve">, presumably, higher for large users who are members of the large commercial/business, and industrial customer class, this distinction does not affect our conclusion that the standards for interlocutory Commission review are met in this </w:t>
      </w:r>
      <w:r w:rsidRPr="00973E75">
        <w:rPr>
          <w:sz w:val="26"/>
          <w:szCs w:val="26"/>
        </w:rPr>
        <w:lastRenderedPageBreak/>
        <w:t>matter.</w:t>
      </w:r>
      <w:r w:rsidRPr="00973E75">
        <w:rPr>
          <w:rStyle w:val="FootnoteReference"/>
          <w:sz w:val="26"/>
          <w:szCs w:val="26"/>
        </w:rPr>
        <w:footnoteReference w:id="7"/>
      </w:r>
      <w:r w:rsidRPr="00973E75">
        <w:rPr>
          <w:sz w:val="26"/>
          <w:szCs w:val="26"/>
        </w:rPr>
        <w:t xml:space="preserve">  As discussed, below, there are compelling reasons and extraordinary circumstances that arise which support our grant of interlocutory review.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Second, in the </w:t>
      </w:r>
      <w:r w:rsidRPr="00973E75">
        <w:rPr>
          <w:i/>
          <w:sz w:val="26"/>
          <w:szCs w:val="26"/>
        </w:rPr>
        <w:t xml:space="preserve">OSBA Declaratory Order Petition, </w:t>
      </w:r>
      <w:r w:rsidRPr="00973E75">
        <w:rPr>
          <w:sz w:val="26"/>
          <w:szCs w:val="26"/>
        </w:rPr>
        <w:t xml:space="preserve">FES, as the proponent of an order seeking interlocutory review, </w:t>
      </w:r>
      <w:r w:rsidR="003924F4" w:rsidRPr="00973E75">
        <w:rPr>
          <w:sz w:val="26"/>
          <w:szCs w:val="26"/>
        </w:rPr>
        <w:t xml:space="preserve">only </w:t>
      </w:r>
      <w:r w:rsidRPr="00973E75">
        <w:rPr>
          <w:sz w:val="26"/>
          <w:szCs w:val="26"/>
        </w:rPr>
        <w:t xml:space="preserve">requested that the Commission stay proceedings in that case pending action on its request for interlocutory review.  </w:t>
      </w:r>
      <w:r w:rsidRPr="00973E75">
        <w:rPr>
          <w:i/>
          <w:sz w:val="26"/>
          <w:szCs w:val="26"/>
        </w:rPr>
        <w:t>See OSBA Declaratory Order Petition</w:t>
      </w:r>
      <w:r w:rsidRPr="00973E75">
        <w:rPr>
          <w:sz w:val="26"/>
          <w:szCs w:val="26"/>
        </w:rPr>
        <w:t xml:space="preserve">, FES Petition, at 7; FES Brief in </w:t>
      </w:r>
      <w:r w:rsidR="00BC76F6" w:rsidRPr="00973E75">
        <w:rPr>
          <w:sz w:val="26"/>
          <w:szCs w:val="26"/>
        </w:rPr>
        <w:t>S</w:t>
      </w:r>
      <w:r w:rsidRPr="00973E75">
        <w:rPr>
          <w:sz w:val="26"/>
          <w:szCs w:val="26"/>
        </w:rPr>
        <w:t xml:space="preserve">upport at 12.  In this Complaint, FES </w:t>
      </w:r>
      <w:r w:rsidR="00373840" w:rsidRPr="00973E75">
        <w:rPr>
          <w:sz w:val="26"/>
          <w:szCs w:val="26"/>
        </w:rPr>
        <w:t xml:space="preserve">also </w:t>
      </w:r>
      <w:r w:rsidRPr="00973E75">
        <w:rPr>
          <w:sz w:val="26"/>
          <w:szCs w:val="26"/>
        </w:rPr>
        <w:t>request</w:t>
      </w:r>
      <w:r w:rsidR="00373840" w:rsidRPr="00973E75">
        <w:rPr>
          <w:sz w:val="26"/>
          <w:szCs w:val="26"/>
        </w:rPr>
        <w:t>s</w:t>
      </w:r>
      <w:r w:rsidRPr="00973E75">
        <w:rPr>
          <w:sz w:val="26"/>
          <w:szCs w:val="26"/>
        </w:rPr>
        <w:t xml:space="preserve"> a stay of Commission proceedings, pending action by a “civil court of competent jurisdiction</w:t>
      </w:r>
      <w:r w:rsidR="00BF5D71" w:rsidRPr="00973E75">
        <w:rPr>
          <w:sz w:val="26"/>
          <w:szCs w:val="26"/>
        </w:rPr>
        <w:t>.</w:t>
      </w:r>
      <w:r w:rsidRPr="00973E75">
        <w:rPr>
          <w:sz w:val="26"/>
          <w:szCs w:val="26"/>
        </w:rPr>
        <w:t xml:space="preserve">”  </w:t>
      </w:r>
      <w:r w:rsidRPr="00973E75">
        <w:rPr>
          <w:i/>
          <w:sz w:val="26"/>
          <w:szCs w:val="26"/>
        </w:rPr>
        <w:t xml:space="preserve">See </w:t>
      </w:r>
      <w:r w:rsidRPr="00973E75">
        <w:rPr>
          <w:sz w:val="26"/>
          <w:szCs w:val="26"/>
        </w:rPr>
        <w:t xml:space="preserve">FES Brief at 8-9.  FES has raised the question of a stay of </w:t>
      </w:r>
      <w:r w:rsidR="00BC76F6" w:rsidRPr="00973E75">
        <w:rPr>
          <w:sz w:val="26"/>
          <w:szCs w:val="26"/>
        </w:rPr>
        <w:t xml:space="preserve">Commission </w:t>
      </w:r>
      <w:r w:rsidRPr="00973E75">
        <w:rPr>
          <w:sz w:val="26"/>
          <w:szCs w:val="26"/>
        </w:rPr>
        <w:t xml:space="preserve">proceedings </w:t>
      </w:r>
      <w:r w:rsidR="00BC76F6" w:rsidRPr="00973E75">
        <w:rPr>
          <w:sz w:val="26"/>
          <w:szCs w:val="26"/>
        </w:rPr>
        <w:t xml:space="preserve">pending judicial proceedings </w:t>
      </w:r>
      <w:r w:rsidRPr="00973E75">
        <w:rPr>
          <w:sz w:val="26"/>
          <w:szCs w:val="26"/>
        </w:rPr>
        <w:t>as one of the questions it raises for interlocutory review.  We, therefore, address th</w:t>
      </w:r>
      <w:r w:rsidR="00BC76F6" w:rsidRPr="00973E75">
        <w:rPr>
          <w:sz w:val="26"/>
          <w:szCs w:val="26"/>
        </w:rPr>
        <w:t>at</w:t>
      </w:r>
      <w:r w:rsidRPr="00973E75">
        <w:rPr>
          <w:sz w:val="26"/>
          <w:szCs w:val="26"/>
        </w:rPr>
        <w:t xml:space="preserve"> request for a stay in this Opinion and Order     </w:t>
      </w:r>
    </w:p>
    <w:p w:rsidR="007B41BF" w:rsidRPr="00973E75" w:rsidRDefault="007B41BF" w:rsidP="00B62CAC">
      <w:pPr>
        <w:widowControl/>
        <w:spacing w:line="360" w:lineRule="auto"/>
        <w:ind w:firstLine="1440"/>
        <w:rPr>
          <w:sz w:val="26"/>
          <w:szCs w:val="26"/>
        </w:rPr>
      </w:pPr>
    </w:p>
    <w:p w:rsidR="007B41BF" w:rsidRPr="00973E75" w:rsidRDefault="007B41BF" w:rsidP="00B62CAC">
      <w:pPr>
        <w:keepNext/>
        <w:widowControl/>
        <w:spacing w:line="360" w:lineRule="auto"/>
        <w:rPr>
          <w:sz w:val="26"/>
          <w:szCs w:val="26"/>
        </w:rPr>
      </w:pPr>
      <w:r w:rsidRPr="00973E75">
        <w:rPr>
          <w:b/>
          <w:sz w:val="26"/>
          <w:szCs w:val="26"/>
        </w:rPr>
        <w:t>Legal Standards for Interlocutory Review</w:t>
      </w:r>
    </w:p>
    <w:p w:rsidR="007B41BF" w:rsidRPr="00973E75" w:rsidRDefault="007B41BF" w:rsidP="00B62CAC">
      <w:pPr>
        <w:widowControl/>
        <w:spacing w:line="360" w:lineRule="auto"/>
        <w:jc w:val="center"/>
        <w:rPr>
          <w:sz w:val="26"/>
          <w:szCs w:val="26"/>
        </w:rPr>
      </w:pPr>
    </w:p>
    <w:p w:rsidR="007B41BF" w:rsidRPr="00973E75" w:rsidRDefault="00393059" w:rsidP="00B62CAC">
      <w:pPr>
        <w:widowControl/>
        <w:spacing w:line="360" w:lineRule="auto"/>
        <w:ind w:firstLine="1440"/>
        <w:rPr>
          <w:sz w:val="26"/>
          <w:szCs w:val="26"/>
        </w:rPr>
      </w:pPr>
      <w:r>
        <w:rPr>
          <w:sz w:val="26"/>
        </w:rPr>
        <w:t xml:space="preserve">The legal standards for interlocutory review are set forth at 52 Pa. Code </w:t>
      </w:r>
      <w:r w:rsidR="00C614AD">
        <w:rPr>
          <w:sz w:val="26"/>
        </w:rPr>
        <w:t>§</w:t>
      </w:r>
      <w:r w:rsidR="00B62CAC">
        <w:rPr>
          <w:sz w:val="26"/>
        </w:rPr>
        <w:t> </w:t>
      </w:r>
      <w:r>
        <w:rPr>
          <w:sz w:val="26"/>
        </w:rPr>
        <w:t xml:space="preserve">5.302(a) and by Commission precedent.  Section </w:t>
      </w:r>
      <w:r w:rsidR="007B41BF" w:rsidRPr="00973E75">
        <w:rPr>
          <w:sz w:val="26"/>
          <w:szCs w:val="26"/>
        </w:rPr>
        <w:t>5.302</w:t>
      </w:r>
      <w:r>
        <w:rPr>
          <w:sz w:val="26"/>
          <w:szCs w:val="26"/>
        </w:rPr>
        <w:t xml:space="preserve"> of our </w:t>
      </w:r>
      <w:r w:rsidR="007D7530">
        <w:rPr>
          <w:sz w:val="26"/>
          <w:szCs w:val="26"/>
        </w:rPr>
        <w:t>R</w:t>
      </w:r>
      <w:r>
        <w:rPr>
          <w:sz w:val="26"/>
          <w:szCs w:val="26"/>
        </w:rPr>
        <w:t>egulations requires that the petitioning party “</w:t>
      </w:r>
      <w:r w:rsidR="007B41BF" w:rsidRPr="00973E75">
        <w:rPr>
          <w:sz w:val="26"/>
          <w:szCs w:val="26"/>
        </w:rPr>
        <w:t>state</w:t>
      </w:r>
      <w:r>
        <w:rPr>
          <w:sz w:val="26"/>
          <w:szCs w:val="26"/>
        </w:rPr>
        <w:t xml:space="preserve"> . . . </w:t>
      </w:r>
      <w:r w:rsidR="007B41BF" w:rsidRPr="00973E75">
        <w:rPr>
          <w:sz w:val="26"/>
          <w:szCs w:val="26"/>
        </w:rPr>
        <w:t>the compelling reasons why interlocutory review will prevent substantial prejudice or expedite the conduct of the proceeding.</w:t>
      </w:r>
      <w:r>
        <w:rPr>
          <w:sz w:val="26"/>
          <w:szCs w:val="26"/>
        </w:rPr>
        <w:t xml:space="preserve">”  Moreover, the Commission has determined that granting interlocutory review is appropriate when it would prevent substantial prejudice or expedite the conduct of the proceeding.  </w:t>
      </w:r>
      <w:r>
        <w:rPr>
          <w:i/>
          <w:sz w:val="26"/>
          <w:szCs w:val="26"/>
        </w:rPr>
        <w:t xml:space="preserve">Pa. PUC </w:t>
      </w:r>
      <w:r>
        <w:rPr>
          <w:i/>
          <w:sz w:val="26"/>
          <w:szCs w:val="26"/>
        </w:rPr>
        <w:lastRenderedPageBreak/>
        <w:t xml:space="preserve">v. Philadelphia Gas Works, </w:t>
      </w:r>
      <w:r>
        <w:rPr>
          <w:sz w:val="26"/>
          <w:szCs w:val="26"/>
        </w:rPr>
        <w:t xml:space="preserve">Docket Nos. P-2009-2097639, </w:t>
      </w:r>
      <w:r>
        <w:rPr>
          <w:i/>
          <w:sz w:val="26"/>
          <w:szCs w:val="26"/>
        </w:rPr>
        <w:t xml:space="preserve">et al. </w:t>
      </w:r>
      <w:r>
        <w:rPr>
          <w:sz w:val="26"/>
          <w:szCs w:val="26"/>
        </w:rPr>
        <w:t>(</w:t>
      </w:r>
      <w:r w:rsidR="007D7530">
        <w:rPr>
          <w:sz w:val="26"/>
          <w:szCs w:val="26"/>
        </w:rPr>
        <w:t>O</w:t>
      </w:r>
      <w:r>
        <w:rPr>
          <w:sz w:val="26"/>
          <w:szCs w:val="26"/>
        </w:rPr>
        <w:t>rder entered April 15, 2010)</w:t>
      </w:r>
      <w:r w:rsidR="00884A97">
        <w:rPr>
          <w:sz w:val="26"/>
          <w:szCs w:val="26"/>
        </w:rPr>
        <w:t xml:space="preserve"> (</w:t>
      </w:r>
      <w:r w:rsidR="00884A97">
        <w:rPr>
          <w:i/>
          <w:sz w:val="26"/>
          <w:szCs w:val="26"/>
        </w:rPr>
        <w:t>PGW Order</w:t>
      </w:r>
      <w:r w:rsidR="00884A97">
        <w:rPr>
          <w:sz w:val="26"/>
          <w:szCs w:val="26"/>
        </w:rPr>
        <w:t>)</w:t>
      </w:r>
      <w:r>
        <w:rPr>
          <w:sz w:val="26"/>
          <w:szCs w:val="26"/>
        </w:rPr>
        <w:t>.</w:t>
      </w:r>
      <w:r>
        <w:rPr>
          <w:i/>
          <w:sz w:val="26"/>
          <w:szCs w:val="26"/>
        </w:rPr>
        <w:t xml:space="preserve"> </w:t>
      </w:r>
      <w:r>
        <w:rPr>
          <w:sz w:val="26"/>
          <w:szCs w:val="26"/>
        </w:rPr>
        <w:t xml:space="preserve"> </w:t>
      </w:r>
      <w:r w:rsidR="007B41BF" w:rsidRPr="00973E75">
        <w:rPr>
          <w:sz w:val="26"/>
          <w:szCs w:val="26"/>
        </w:rPr>
        <w:t xml:space="preserve"> </w:t>
      </w:r>
    </w:p>
    <w:p w:rsidR="007B41BF" w:rsidRPr="00973E75" w:rsidRDefault="007B41BF" w:rsidP="00B62CAC">
      <w:pPr>
        <w:widowControl/>
        <w:spacing w:line="360" w:lineRule="auto"/>
        <w:ind w:firstLine="1440"/>
        <w:rPr>
          <w:sz w:val="26"/>
          <w:szCs w:val="26"/>
        </w:rPr>
      </w:pPr>
      <w:r w:rsidRPr="00973E75">
        <w:rPr>
          <w:sz w:val="26"/>
          <w:szCs w:val="26"/>
        </w:rPr>
        <w:t xml:space="preserve"> </w:t>
      </w:r>
    </w:p>
    <w:p w:rsidR="007B41BF" w:rsidRPr="00973E75" w:rsidRDefault="007B41BF" w:rsidP="00B62CAC">
      <w:pPr>
        <w:widowControl/>
        <w:spacing w:line="360" w:lineRule="auto"/>
        <w:ind w:firstLine="1440"/>
        <w:rPr>
          <w:sz w:val="26"/>
          <w:szCs w:val="26"/>
        </w:rPr>
      </w:pPr>
      <w:r w:rsidRPr="00973E75">
        <w:rPr>
          <w:sz w:val="26"/>
          <w:szCs w:val="26"/>
        </w:rPr>
        <w:t xml:space="preserve">The pertinent consideration regarding petitions for interlocutory review and answer to material question is whether such review is necessary in order to prevent substantial prejudice.  We have construed “substantial” prejudice to mean that the error and any prejudice flowing therefrom could not be satisfactorily cured during the normal Commission review process.  </w:t>
      </w:r>
      <w:proofErr w:type="gramStart"/>
      <w:r w:rsidRPr="00973E75">
        <w:rPr>
          <w:bCs/>
          <w:i/>
          <w:iCs/>
          <w:sz w:val="26"/>
          <w:szCs w:val="26"/>
        </w:rPr>
        <w:t>Joint Application of Bell Atlantic Corp. and GTE Corp.,</w:t>
      </w:r>
      <w:r w:rsidRPr="00973E75">
        <w:rPr>
          <w:bCs/>
          <w:sz w:val="26"/>
          <w:szCs w:val="26"/>
        </w:rPr>
        <w:t xml:space="preserve"> Docket No</w:t>
      </w:r>
      <w:r w:rsidR="00494DBE" w:rsidRPr="00973E75">
        <w:rPr>
          <w:bCs/>
          <w:sz w:val="26"/>
          <w:szCs w:val="26"/>
        </w:rPr>
        <w:t>s</w:t>
      </w:r>
      <w:r w:rsidRPr="00973E75">
        <w:rPr>
          <w:bCs/>
          <w:sz w:val="26"/>
          <w:szCs w:val="26"/>
        </w:rPr>
        <w:t>.</w:t>
      </w:r>
      <w:proofErr w:type="gramEnd"/>
      <w:r w:rsidRPr="00973E75">
        <w:rPr>
          <w:bCs/>
          <w:sz w:val="26"/>
          <w:szCs w:val="26"/>
        </w:rPr>
        <w:t xml:space="preserve"> </w:t>
      </w:r>
      <w:proofErr w:type="gramStart"/>
      <w:r w:rsidRPr="00973E75">
        <w:rPr>
          <w:bCs/>
          <w:sz w:val="26"/>
          <w:szCs w:val="26"/>
        </w:rPr>
        <w:t xml:space="preserve">A-310200F0002, </w:t>
      </w:r>
      <w:r w:rsidRPr="00973E75">
        <w:rPr>
          <w:bCs/>
          <w:i/>
          <w:iCs/>
          <w:sz w:val="26"/>
          <w:szCs w:val="26"/>
        </w:rPr>
        <w:t>et al.</w:t>
      </w:r>
      <w:r w:rsidRPr="00973E75">
        <w:rPr>
          <w:bCs/>
          <w:sz w:val="26"/>
          <w:szCs w:val="26"/>
        </w:rPr>
        <w:t xml:space="preserve"> (Order entered June 14, 1999); </w:t>
      </w:r>
      <w:r w:rsidRPr="00973E75">
        <w:rPr>
          <w:bCs/>
          <w:i/>
          <w:iCs/>
          <w:sz w:val="26"/>
          <w:szCs w:val="26"/>
        </w:rPr>
        <w:t>Pa. PUC v. Frontier Communications of Pa. Inc.,</w:t>
      </w:r>
      <w:r w:rsidRPr="00973E75">
        <w:rPr>
          <w:bCs/>
          <w:sz w:val="26"/>
          <w:szCs w:val="26"/>
        </w:rPr>
        <w:t xml:space="preserve"> Docket No.</w:t>
      </w:r>
      <w:proofErr w:type="gramEnd"/>
      <w:r w:rsidRPr="00973E75">
        <w:rPr>
          <w:bCs/>
          <w:sz w:val="26"/>
          <w:szCs w:val="26"/>
        </w:rPr>
        <w:t xml:space="preserve"> R</w:t>
      </w:r>
      <w:r w:rsidRPr="00973E75">
        <w:rPr>
          <w:bCs/>
          <w:sz w:val="26"/>
          <w:szCs w:val="26"/>
        </w:rPr>
        <w:noBreakHyphen/>
        <w:t xml:space="preserve">00984411 (Order entered February 11, 1999); </w:t>
      </w:r>
      <w:r w:rsidRPr="00973E75">
        <w:rPr>
          <w:bCs/>
          <w:i/>
          <w:sz w:val="26"/>
          <w:szCs w:val="26"/>
        </w:rPr>
        <w:t>In</w:t>
      </w:r>
      <w:r w:rsidRPr="00973E75">
        <w:rPr>
          <w:bCs/>
          <w:sz w:val="26"/>
          <w:szCs w:val="26"/>
        </w:rPr>
        <w:t xml:space="preserve"> </w:t>
      </w:r>
      <w:r w:rsidRPr="00973E75">
        <w:rPr>
          <w:bCs/>
          <w:i/>
          <w:sz w:val="26"/>
          <w:szCs w:val="26"/>
        </w:rPr>
        <w:t>r</w:t>
      </w:r>
      <w:r w:rsidRPr="00973E75">
        <w:rPr>
          <w:i/>
          <w:sz w:val="26"/>
          <w:szCs w:val="26"/>
        </w:rPr>
        <w:t>e: Knights Limousine Service, Inc</w:t>
      </w:r>
      <w:r w:rsidRPr="00973E75">
        <w:rPr>
          <w:sz w:val="26"/>
          <w:szCs w:val="26"/>
        </w:rPr>
        <w:t xml:space="preserve">., 59 Pa. P.U.C. 538 (1985).  </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The correctness of the Presiding Officer’s ruling involved in a request for interlocutory Commission review of a material question is not a determinative issue when we set out to examine whether a petitioner has fulfilled the regulatory requirements.  </w:t>
      </w:r>
      <w:proofErr w:type="gramStart"/>
      <w:r w:rsidRPr="00973E75">
        <w:rPr>
          <w:i/>
          <w:sz w:val="26"/>
          <w:szCs w:val="26"/>
        </w:rPr>
        <w:t xml:space="preserve">Saucon Creek Assoc., Inc. v. Borough of Hellertown, </w:t>
      </w:r>
      <w:r w:rsidRPr="00973E75">
        <w:rPr>
          <w:sz w:val="26"/>
          <w:szCs w:val="26"/>
        </w:rPr>
        <w:t>69 Pa. P.U.C. 467 (1989).</w:t>
      </w:r>
      <w:proofErr w:type="gramEnd"/>
      <w:r w:rsidRPr="00973E75">
        <w:rPr>
          <w:rStyle w:val="FootnoteReference"/>
          <w:sz w:val="26"/>
          <w:szCs w:val="26"/>
        </w:rPr>
        <w:footnoteReference w:id="8"/>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973E75">
        <w:rPr>
          <w:i/>
          <w:sz w:val="26"/>
          <w:szCs w:val="26"/>
        </w:rPr>
        <w:t>See</w:t>
      </w:r>
      <w:r w:rsidRPr="00973E75">
        <w:rPr>
          <w:sz w:val="26"/>
          <w:szCs w:val="26"/>
        </w:rPr>
        <w:t xml:space="preserve"> </w:t>
      </w:r>
      <w:r w:rsidRPr="00973E75">
        <w:rPr>
          <w:i/>
          <w:sz w:val="26"/>
          <w:szCs w:val="26"/>
        </w:rPr>
        <w:t>Re:  Philadelphia Gas Works Universal Service and Energy Conservation Plan</w:t>
      </w:r>
      <w:r w:rsidRPr="00973E75">
        <w:rPr>
          <w:sz w:val="26"/>
          <w:szCs w:val="26"/>
        </w:rPr>
        <w:t>, Docket No. M-00072021 (Order entered October 23, 2009) at 3.</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lastRenderedPageBreak/>
        <w:t xml:space="preserve">The interlocutory review standard has been interpreted in </w:t>
      </w:r>
      <w:r w:rsidRPr="00973E75">
        <w:rPr>
          <w:i/>
          <w:sz w:val="26"/>
          <w:szCs w:val="26"/>
        </w:rPr>
        <w:t>In re: Application of Knights Limousine Service, Inc.</w:t>
      </w:r>
      <w:r w:rsidRPr="00973E75">
        <w:rPr>
          <w:sz w:val="26"/>
          <w:szCs w:val="26"/>
        </w:rPr>
        <w:t xml:space="preserve">, </w:t>
      </w:r>
      <w:r w:rsidRPr="00973E75">
        <w:rPr>
          <w:i/>
          <w:sz w:val="26"/>
          <w:szCs w:val="26"/>
        </w:rPr>
        <w:t>supra</w:t>
      </w:r>
      <w:r w:rsidRPr="00973E75">
        <w:rPr>
          <w:sz w:val="26"/>
          <w:szCs w:val="26"/>
        </w:rPr>
        <w:t xml:space="preserve">, where the Commission stated that it does not routinely grant interlocutory review except upon a showing by the petitioner of extraordinary circumstances or compelling reasons.  We have determined that such a showing 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00884A97">
        <w:rPr>
          <w:i/>
          <w:sz w:val="26"/>
          <w:szCs w:val="26"/>
        </w:rPr>
        <w:t>PGW Order, supra</w:t>
      </w:r>
      <w:r w:rsidRPr="00973E75">
        <w:rPr>
          <w:sz w:val="26"/>
          <w:szCs w:val="26"/>
        </w:rPr>
        <w: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Pursuant to 52 Pa. Code § 5.303(a), on consideration of a petition for interlocutory review and answer to a material question, the Commission has the authority to either: (1) continue, revoke or grant a stay of proceedings if necessary to protect the substantial rights of the </w:t>
      </w:r>
      <w:r w:rsidR="00383631" w:rsidRPr="00973E75">
        <w:rPr>
          <w:sz w:val="26"/>
          <w:szCs w:val="26"/>
        </w:rPr>
        <w:t>P</w:t>
      </w:r>
      <w:r w:rsidRPr="00973E75">
        <w:rPr>
          <w:sz w:val="26"/>
          <w:szCs w:val="26"/>
        </w:rPr>
        <w:t>arties; (2) determine that the petition was improper and return the matter to the presiding officer; (3) decline to answer the question; (4) answer the question.</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It is with due consideration to the above-cited principles that we consider the material questions raised by FES.</w:t>
      </w:r>
    </w:p>
    <w:p w:rsidR="007B41BF" w:rsidRPr="00973E75" w:rsidRDefault="007B41BF" w:rsidP="00B62CAC">
      <w:pPr>
        <w:widowControl/>
        <w:spacing w:line="360" w:lineRule="auto"/>
        <w:rPr>
          <w:b/>
          <w:sz w:val="26"/>
          <w:szCs w:val="26"/>
        </w:rPr>
      </w:pPr>
    </w:p>
    <w:p w:rsidR="007B41BF" w:rsidRPr="00973E75" w:rsidRDefault="007B41BF" w:rsidP="00B62CAC">
      <w:pPr>
        <w:widowControl/>
        <w:spacing w:line="360" w:lineRule="auto"/>
        <w:rPr>
          <w:b/>
          <w:sz w:val="26"/>
          <w:szCs w:val="26"/>
        </w:rPr>
      </w:pPr>
      <w:r w:rsidRPr="00973E75">
        <w:rPr>
          <w:b/>
          <w:sz w:val="26"/>
          <w:szCs w:val="26"/>
        </w:rPr>
        <w:t>ALJ Disposition of Preliminary Objections</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 On consideration of the </w:t>
      </w:r>
      <w:r w:rsidR="00383631" w:rsidRPr="00973E75">
        <w:rPr>
          <w:sz w:val="26"/>
          <w:szCs w:val="26"/>
        </w:rPr>
        <w:t>P</w:t>
      </w:r>
      <w:r w:rsidRPr="00973E75">
        <w:rPr>
          <w:sz w:val="26"/>
          <w:szCs w:val="26"/>
        </w:rPr>
        <w:t xml:space="preserve">reliminary </w:t>
      </w:r>
      <w:r w:rsidR="00383631" w:rsidRPr="00973E75">
        <w:rPr>
          <w:sz w:val="26"/>
          <w:szCs w:val="26"/>
        </w:rPr>
        <w:t>O</w:t>
      </w:r>
      <w:r w:rsidRPr="00973E75">
        <w:rPr>
          <w:sz w:val="26"/>
          <w:szCs w:val="26"/>
        </w:rPr>
        <w:t xml:space="preserve">bjections of FES and the responses of the Parties, ALJ Dunderdale denied (overruled) the </w:t>
      </w:r>
      <w:r w:rsidR="00383631" w:rsidRPr="00973E75">
        <w:rPr>
          <w:sz w:val="26"/>
          <w:szCs w:val="26"/>
        </w:rPr>
        <w:t>P</w:t>
      </w:r>
      <w:r w:rsidRPr="00973E75">
        <w:rPr>
          <w:sz w:val="26"/>
          <w:szCs w:val="26"/>
        </w:rPr>
        <w:t xml:space="preserve">reliminary </w:t>
      </w:r>
      <w:r w:rsidR="00383631" w:rsidRPr="00973E75">
        <w:rPr>
          <w:sz w:val="26"/>
          <w:szCs w:val="26"/>
        </w:rPr>
        <w:t>O</w:t>
      </w:r>
      <w:r w:rsidRPr="00973E75">
        <w:rPr>
          <w:sz w:val="26"/>
          <w:szCs w:val="26"/>
        </w:rPr>
        <w:t>bjections.  The pertinent reasoning of the Interim Order is reprinted below:</w:t>
      </w:r>
    </w:p>
    <w:p w:rsidR="007B41BF" w:rsidRPr="00973E75" w:rsidRDefault="007B41BF" w:rsidP="00B62CAC">
      <w:pPr>
        <w:widowControl/>
        <w:spacing w:line="360" w:lineRule="auto"/>
        <w:jc w:val="center"/>
        <w:rPr>
          <w:sz w:val="26"/>
          <w:szCs w:val="26"/>
        </w:rPr>
      </w:pPr>
    </w:p>
    <w:p w:rsidR="007B41BF" w:rsidRPr="00973E75" w:rsidRDefault="007B41BF" w:rsidP="00B62CAC">
      <w:pPr>
        <w:widowControl/>
        <w:ind w:left="1440" w:right="1440" w:firstLine="720"/>
        <w:rPr>
          <w:sz w:val="26"/>
          <w:szCs w:val="26"/>
        </w:rPr>
      </w:pPr>
      <w:r w:rsidRPr="00973E75">
        <w:rPr>
          <w:sz w:val="26"/>
          <w:szCs w:val="26"/>
        </w:rPr>
        <w:t xml:space="preserve">Upon review of the applicable statutes and regulations, and in light of the Commission’s Final Order in </w:t>
      </w:r>
      <w:r w:rsidRPr="00973E75">
        <w:rPr>
          <w:i/>
          <w:sz w:val="26"/>
          <w:szCs w:val="26"/>
        </w:rPr>
        <w:t>Use of Fixed Price Labels for Products With a Pass-Through Clause</w:t>
      </w:r>
      <w:r w:rsidRPr="00973E75">
        <w:rPr>
          <w:sz w:val="26"/>
          <w:szCs w:val="26"/>
        </w:rPr>
        <w:t xml:space="preserve">, Docket No. M-2013-2362961 (Order entered November 14, </w:t>
      </w:r>
      <w:r w:rsidRPr="00973E75">
        <w:rPr>
          <w:sz w:val="26"/>
          <w:szCs w:val="26"/>
        </w:rPr>
        <w:lastRenderedPageBreak/>
        <w:t xml:space="preserve">2013), FES’s Preliminary Objections must be denied on the grounds alleged – lack of jurisdiction over contracts and lack of primary jurisdiction.  As a matter of law, the formal complaint does not fail on its face solely on the argument the Commission lacks the jurisdiction to consider a contract provision for how an EGS bills a ratepayer; and when an EGS can vary what it bills a ratepayer.  The case authority cited by FES does not hold, as FES asserted, that the Commission has conceded it lacks subject matter jurisdiction over the terms of a contract with industrial and commercial ratepayers.  Further, the Commission did not concede it lacks authority to review how ratepayers are billed.  To the contrary, the Commission has held consistently that its subject matter jurisdiction includes, </w:t>
      </w:r>
      <w:r w:rsidRPr="00973E75">
        <w:rPr>
          <w:i/>
          <w:sz w:val="26"/>
          <w:szCs w:val="26"/>
        </w:rPr>
        <w:t>inter alia</w:t>
      </w:r>
      <w:r w:rsidRPr="00973E75">
        <w:rPr>
          <w:sz w:val="26"/>
          <w:szCs w:val="26"/>
        </w:rPr>
        <w:t xml:space="preserve">, the authority to impose reasonable and necessary requirements upon an EGS if needed to maintain the quality of service experienced with the EGS as co-equal with the quality of service experienced with the </w:t>
      </w:r>
      <w:r w:rsidR="00D01085" w:rsidRPr="00973E75">
        <w:rPr>
          <w:sz w:val="26"/>
          <w:szCs w:val="26"/>
        </w:rPr>
        <w:t>[</w:t>
      </w:r>
      <w:r w:rsidRPr="00973E75">
        <w:rPr>
          <w:sz w:val="26"/>
          <w:szCs w:val="26"/>
        </w:rPr>
        <w:t>ED</w:t>
      </w:r>
      <w:r w:rsidR="00D01085" w:rsidRPr="00973E75">
        <w:rPr>
          <w:sz w:val="26"/>
          <w:szCs w:val="26"/>
        </w:rPr>
        <w:t>C]</w:t>
      </w:r>
      <w:r w:rsidRPr="00973E75">
        <w:rPr>
          <w:sz w:val="26"/>
          <w:szCs w:val="26"/>
        </w:rPr>
        <w:t xml:space="preserve">.  </w:t>
      </w:r>
    </w:p>
    <w:p w:rsidR="007B41BF" w:rsidRPr="00973E75" w:rsidRDefault="007B41BF" w:rsidP="00B62CAC">
      <w:pPr>
        <w:widowControl/>
        <w:ind w:left="1440" w:right="1440" w:firstLine="720"/>
        <w:rPr>
          <w:sz w:val="26"/>
          <w:szCs w:val="26"/>
        </w:rPr>
      </w:pPr>
    </w:p>
    <w:p w:rsidR="007B41BF" w:rsidRPr="00973E75" w:rsidRDefault="007B41BF" w:rsidP="00B62CAC">
      <w:pPr>
        <w:widowControl/>
        <w:ind w:left="1440" w:right="1440" w:firstLine="720"/>
        <w:rPr>
          <w:sz w:val="26"/>
          <w:szCs w:val="26"/>
        </w:rPr>
      </w:pPr>
      <w:r w:rsidRPr="00973E75">
        <w:rPr>
          <w:sz w:val="26"/>
          <w:szCs w:val="26"/>
        </w:rPr>
        <w:t xml:space="preserve">At its core, the formal complaint concerns whether a supplier may apply an allegedly arbitrary variable charge to a fixed price supply contract for industrial and commercial ratepayers.  This issue is a complicated issue that the Commission is uniquely qualified to accurately ascertain which path is consistent with the Commission’s statutes and regulations.  Complainant should be permitted to make the argument, through the pendency of this proceeding, that FES violated the Commission’s regulatory and statutory provisions that suppliers, </w:t>
      </w:r>
      <w:r w:rsidRPr="00973E75">
        <w:rPr>
          <w:i/>
          <w:sz w:val="26"/>
          <w:szCs w:val="26"/>
        </w:rPr>
        <w:t>inter alia</w:t>
      </w:r>
      <w:r w:rsidRPr="00973E75">
        <w:rPr>
          <w:sz w:val="26"/>
          <w:szCs w:val="26"/>
        </w:rPr>
        <w:t xml:space="preserve">, must provide adequate and accurate customer information to enable customers, including industrial and commercial customers, to make informed choices regarding the purchase of all electricity services and to have that information provided in an understandable format that enables the ratepayer to compare prices and services.  </w:t>
      </w:r>
    </w:p>
    <w:p w:rsidR="007B41BF" w:rsidRPr="00973E75" w:rsidRDefault="007B41BF" w:rsidP="00B62CAC">
      <w:pPr>
        <w:widowControl/>
        <w:ind w:left="720" w:right="720" w:firstLine="720"/>
        <w:rPr>
          <w:sz w:val="26"/>
          <w:szCs w:val="26"/>
        </w:rPr>
      </w:pPr>
    </w:p>
    <w:p w:rsidR="007B41BF" w:rsidRPr="00973E75" w:rsidRDefault="007B41BF" w:rsidP="00B62CAC">
      <w:pPr>
        <w:widowControl/>
        <w:spacing w:line="360" w:lineRule="auto"/>
        <w:rPr>
          <w:sz w:val="26"/>
          <w:szCs w:val="26"/>
        </w:rPr>
      </w:pPr>
      <w:r w:rsidRPr="00973E75">
        <w:rPr>
          <w:sz w:val="26"/>
          <w:szCs w:val="26"/>
        </w:rPr>
        <w:t>Interim Order at 8-9.</w:t>
      </w:r>
    </w:p>
    <w:p w:rsidR="00D01085" w:rsidRPr="00973E75" w:rsidRDefault="00D01085" w:rsidP="00B62CAC">
      <w:pPr>
        <w:widowControl/>
        <w:spacing w:line="360" w:lineRule="auto"/>
        <w:rPr>
          <w:sz w:val="26"/>
          <w:szCs w:val="26"/>
        </w:rPr>
      </w:pPr>
    </w:p>
    <w:p w:rsidR="007B41BF" w:rsidRPr="00973E75" w:rsidRDefault="007B41BF" w:rsidP="00B62CAC">
      <w:pPr>
        <w:keepNext/>
        <w:keepLines/>
        <w:widowControl/>
        <w:spacing w:line="360" w:lineRule="auto"/>
        <w:rPr>
          <w:b/>
          <w:sz w:val="26"/>
          <w:szCs w:val="26"/>
        </w:rPr>
      </w:pPr>
      <w:r w:rsidRPr="00973E75">
        <w:rPr>
          <w:b/>
          <w:sz w:val="26"/>
          <w:szCs w:val="26"/>
        </w:rPr>
        <w:lastRenderedPageBreak/>
        <w:t>Positions of the Parties</w:t>
      </w:r>
    </w:p>
    <w:p w:rsidR="007B41BF" w:rsidRPr="00973E75" w:rsidRDefault="007B41BF" w:rsidP="00B62CAC">
      <w:pPr>
        <w:keepNext/>
        <w:keepLines/>
        <w:widowControl/>
        <w:spacing w:line="360" w:lineRule="auto"/>
        <w:rPr>
          <w:b/>
          <w:sz w:val="26"/>
          <w:szCs w:val="26"/>
        </w:rPr>
      </w:pPr>
    </w:p>
    <w:p w:rsidR="007B41BF" w:rsidRPr="00973E75" w:rsidRDefault="007B41BF" w:rsidP="00B62CAC">
      <w:pPr>
        <w:keepNext/>
        <w:keepLines/>
        <w:widowControl/>
        <w:spacing w:line="360" w:lineRule="auto"/>
        <w:ind w:firstLine="1440"/>
        <w:rPr>
          <w:b/>
          <w:sz w:val="26"/>
          <w:szCs w:val="26"/>
        </w:rPr>
      </w:pPr>
      <w:r w:rsidRPr="00973E75">
        <w:rPr>
          <w:b/>
          <w:sz w:val="26"/>
          <w:szCs w:val="26"/>
        </w:rPr>
        <w:t>FES</w:t>
      </w:r>
    </w:p>
    <w:p w:rsidR="00D01085" w:rsidRPr="00973E75" w:rsidRDefault="00D01085" w:rsidP="00B62CAC">
      <w:pPr>
        <w:keepNext/>
        <w:keepLines/>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In its Brief, FES focuses almost entirely upon the merits of its Preliminary Objections.  </w:t>
      </w:r>
      <w:r w:rsidR="00CD1EA9" w:rsidRPr="00973E75">
        <w:rPr>
          <w:sz w:val="26"/>
        </w:rPr>
        <w:t>According to FES, t</w:t>
      </w:r>
      <w:r w:rsidRPr="00973E75">
        <w:rPr>
          <w:sz w:val="26"/>
        </w:rPr>
        <w:t xml:space="preserve">he merits are that the FES ICCC Complaint should be dismissed based on the lack of Commission jurisdiction over the subject matter.  FES Brief at 4-8.  </w:t>
      </w:r>
    </w:p>
    <w:p w:rsidR="00956A0A" w:rsidRDefault="00956A0A" w:rsidP="00B62CAC">
      <w:pPr>
        <w:widowControl/>
        <w:spacing w:line="360" w:lineRule="auto"/>
        <w:ind w:firstLine="1440"/>
        <w:rPr>
          <w:sz w:val="26"/>
        </w:rPr>
      </w:pPr>
    </w:p>
    <w:p w:rsidR="00CD1EA9" w:rsidRPr="00973E75" w:rsidRDefault="007B41BF" w:rsidP="00B62CAC">
      <w:pPr>
        <w:widowControl/>
        <w:spacing w:line="360" w:lineRule="auto"/>
        <w:ind w:firstLine="1440"/>
        <w:rPr>
          <w:sz w:val="26"/>
        </w:rPr>
      </w:pPr>
      <w:r w:rsidRPr="00973E75">
        <w:rPr>
          <w:sz w:val="26"/>
        </w:rPr>
        <w:t>FES cite</w:t>
      </w:r>
      <w:r w:rsidR="00956A0A">
        <w:rPr>
          <w:sz w:val="26"/>
        </w:rPr>
        <w:t xml:space="preserve">s, </w:t>
      </w:r>
      <w:r w:rsidR="00956A0A">
        <w:rPr>
          <w:i/>
          <w:sz w:val="26"/>
        </w:rPr>
        <w:t>inter alia</w:t>
      </w:r>
      <w:r w:rsidR="00956A0A">
        <w:rPr>
          <w:sz w:val="26"/>
        </w:rPr>
        <w:t>,</w:t>
      </w:r>
      <w:r w:rsidRPr="00973E75">
        <w:rPr>
          <w:sz w:val="26"/>
        </w:rPr>
        <w:t xml:space="preserve"> </w:t>
      </w:r>
      <w:r w:rsidRPr="00973E75">
        <w:rPr>
          <w:i/>
          <w:sz w:val="26"/>
        </w:rPr>
        <w:t>Lyness v. State Bd. of Medicine</w:t>
      </w:r>
      <w:r w:rsidRPr="00973E75">
        <w:rPr>
          <w:sz w:val="26"/>
        </w:rPr>
        <w:t>, 529 Pa. 535, 605 A</w:t>
      </w:r>
      <w:r w:rsidR="00663FC9">
        <w:rPr>
          <w:sz w:val="26"/>
        </w:rPr>
        <w:t>.</w:t>
      </w:r>
      <w:r w:rsidRPr="00973E75">
        <w:rPr>
          <w:sz w:val="26"/>
        </w:rPr>
        <w:t xml:space="preserve">2d 1204 (1992), for the argument that, </w:t>
      </w:r>
    </w:p>
    <w:p w:rsidR="00CD1EA9" w:rsidRPr="00973E75" w:rsidRDefault="00CD1EA9" w:rsidP="00B62CAC">
      <w:pPr>
        <w:widowControl/>
        <w:spacing w:line="360" w:lineRule="auto"/>
        <w:ind w:firstLine="1440"/>
        <w:rPr>
          <w:sz w:val="26"/>
        </w:rPr>
      </w:pPr>
    </w:p>
    <w:p w:rsidR="00CD1EA9" w:rsidRPr="00973E75" w:rsidRDefault="00CD1EA9" w:rsidP="00B62CAC">
      <w:pPr>
        <w:widowControl/>
        <w:ind w:left="1440" w:right="1440" w:firstLine="720"/>
        <w:rPr>
          <w:sz w:val="26"/>
        </w:rPr>
      </w:pPr>
      <w:r w:rsidRPr="00973E75">
        <w:rPr>
          <w:sz w:val="26"/>
        </w:rPr>
        <w:t>I</w:t>
      </w:r>
      <w:r w:rsidR="007B41BF" w:rsidRPr="00973E75">
        <w:rPr>
          <w:sz w:val="26"/>
        </w:rPr>
        <w:t>f the Commission takes this action [granting interlocutory review and answer</w:t>
      </w:r>
      <w:r w:rsidRPr="00973E75">
        <w:rPr>
          <w:sz w:val="26"/>
        </w:rPr>
        <w:t>ing</w:t>
      </w:r>
      <w:r w:rsidR="007B41BF" w:rsidRPr="00973E75">
        <w:rPr>
          <w:sz w:val="26"/>
        </w:rPr>
        <w:t xml:space="preserve"> its material questions</w:t>
      </w:r>
      <w:r w:rsidRPr="00973E75">
        <w:rPr>
          <w:sz w:val="26"/>
        </w:rPr>
        <w:t>,</w:t>
      </w:r>
      <w:r w:rsidR="007B41BF" w:rsidRPr="00973E75">
        <w:rPr>
          <w:sz w:val="26"/>
        </w:rPr>
        <w:t xml:space="preserve">] it can prevent significant prejudice to FES.  If this case proceeds, FES will have been denied basic due process as it is axiomatic that a party cannot, consistent with due process, be compelled to defend itself in a forum that does not have proper jurisdiction of the issue.  </w:t>
      </w:r>
    </w:p>
    <w:p w:rsidR="00CD1EA9" w:rsidRPr="00973E75" w:rsidRDefault="00CD1EA9" w:rsidP="00B62CAC">
      <w:pPr>
        <w:widowControl/>
        <w:spacing w:line="360" w:lineRule="auto"/>
        <w:ind w:firstLine="1440"/>
        <w:rPr>
          <w:sz w:val="26"/>
        </w:rPr>
      </w:pPr>
    </w:p>
    <w:p w:rsidR="007B41BF" w:rsidRPr="00973E75" w:rsidRDefault="007B41BF" w:rsidP="00B62CAC">
      <w:pPr>
        <w:widowControl/>
        <w:spacing w:line="360" w:lineRule="auto"/>
        <w:rPr>
          <w:sz w:val="26"/>
        </w:rPr>
      </w:pPr>
      <w:proofErr w:type="gramStart"/>
      <w:r w:rsidRPr="00973E75">
        <w:rPr>
          <w:sz w:val="26"/>
        </w:rPr>
        <w:t>FES Brief at 2.</w:t>
      </w:r>
      <w:proofErr w:type="gramEnd"/>
      <w:r w:rsidRPr="00973E75">
        <w:rPr>
          <w:sz w:val="26"/>
        </w:rPr>
        <w:t xml:space="preserve">  </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FES also cites </w:t>
      </w:r>
      <w:r w:rsidRPr="00973E75">
        <w:rPr>
          <w:i/>
          <w:sz w:val="26"/>
        </w:rPr>
        <w:t xml:space="preserve">Lyness </w:t>
      </w:r>
      <w:r w:rsidRPr="00973E75">
        <w:rPr>
          <w:sz w:val="26"/>
        </w:rPr>
        <w:t>at page 9 of its Brief to support its argument that a stay of Commission proceedings</w:t>
      </w:r>
      <w:r w:rsidR="00CD1EA9" w:rsidRPr="00973E75">
        <w:rPr>
          <w:sz w:val="26"/>
        </w:rPr>
        <w:t xml:space="preserve"> </w:t>
      </w:r>
      <w:r w:rsidRPr="00973E75">
        <w:rPr>
          <w:sz w:val="26"/>
        </w:rPr>
        <w:t>is appropriate</w:t>
      </w:r>
      <w:r w:rsidR="00CD1EA9" w:rsidRPr="00973E75">
        <w:rPr>
          <w:sz w:val="26"/>
        </w:rPr>
        <w:t xml:space="preserve"> pending review by a court of competent jurisdiction</w:t>
      </w:r>
      <w:r w:rsidR="00B62CAC">
        <w:rPr>
          <w:sz w:val="26"/>
        </w:rPr>
        <w:t>.</w:t>
      </w:r>
    </w:p>
    <w:p w:rsidR="007B41BF" w:rsidRPr="00973E75" w:rsidRDefault="007B41BF" w:rsidP="00B62CAC">
      <w:pPr>
        <w:widowControl/>
        <w:spacing w:line="360" w:lineRule="auto"/>
        <w:ind w:firstLine="1440"/>
        <w:rPr>
          <w:sz w:val="26"/>
        </w:rPr>
      </w:pPr>
    </w:p>
    <w:p w:rsidR="00233E1C" w:rsidRPr="00973E75" w:rsidRDefault="007B41BF" w:rsidP="00B62CAC">
      <w:pPr>
        <w:widowControl/>
        <w:spacing w:line="360" w:lineRule="auto"/>
        <w:ind w:firstLine="1440"/>
        <w:rPr>
          <w:sz w:val="26"/>
        </w:rPr>
      </w:pPr>
      <w:r w:rsidRPr="00973E75">
        <w:rPr>
          <w:sz w:val="26"/>
        </w:rPr>
        <w:t xml:space="preserve">Concerning the merits of its Preliminary Objections, FES describes the essential issues raised by the Complaint as follows: </w:t>
      </w:r>
    </w:p>
    <w:p w:rsidR="00233E1C" w:rsidRPr="00973E75" w:rsidRDefault="00233E1C" w:rsidP="00B62CAC">
      <w:pPr>
        <w:widowControl/>
        <w:spacing w:line="360" w:lineRule="auto"/>
        <w:ind w:firstLine="1440"/>
        <w:rPr>
          <w:sz w:val="26"/>
        </w:rPr>
      </w:pPr>
    </w:p>
    <w:p w:rsidR="00233E1C" w:rsidRPr="00973E75" w:rsidRDefault="007B41BF" w:rsidP="00B62CAC">
      <w:pPr>
        <w:widowControl/>
        <w:spacing w:after="200"/>
        <w:ind w:left="1440" w:right="1440"/>
        <w:rPr>
          <w:sz w:val="26"/>
        </w:rPr>
      </w:pPr>
      <w:r w:rsidRPr="00973E75">
        <w:rPr>
          <w:sz w:val="26"/>
        </w:rPr>
        <w:t xml:space="preserve">. . . FES ICCC does not dispute that the contracts contained the pass-through provisions authorizing the pass-through of certain PJM charges, nor that PJM imposed the charges at </w:t>
      </w:r>
      <w:r w:rsidRPr="00973E75">
        <w:rPr>
          <w:sz w:val="26"/>
        </w:rPr>
        <w:lastRenderedPageBreak/>
        <w:t xml:space="preserve">issue on FES due to PJM’s actions in response to the historically cold weather of January 2014.  Rather, FES ICCC only disputes that the pass-through clause authorizes FES to pass through to the FES ICCC members the specific PJM charges at issue.  If a court of competent jurisdiction determines that FES properly invoked the pass through provisions in these cases, then the rest of the Complainant’s allegations fail.  </w:t>
      </w:r>
    </w:p>
    <w:p w:rsidR="00233E1C" w:rsidRPr="00973E75" w:rsidRDefault="00233E1C" w:rsidP="00B62CAC">
      <w:pPr>
        <w:widowControl/>
        <w:spacing w:line="360" w:lineRule="auto"/>
        <w:ind w:firstLine="1440"/>
        <w:rPr>
          <w:sz w:val="26"/>
        </w:rPr>
      </w:pPr>
    </w:p>
    <w:p w:rsidR="007B41BF" w:rsidRPr="00973E75" w:rsidRDefault="007B41BF" w:rsidP="00B62CAC">
      <w:pPr>
        <w:widowControl/>
        <w:spacing w:line="360" w:lineRule="auto"/>
        <w:rPr>
          <w:sz w:val="26"/>
        </w:rPr>
      </w:pPr>
      <w:proofErr w:type="gramStart"/>
      <w:r w:rsidRPr="00973E75">
        <w:rPr>
          <w:sz w:val="26"/>
        </w:rPr>
        <w:t>FES Brief at 4.</w:t>
      </w:r>
      <w:proofErr w:type="gramEnd"/>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FES repeats its primary position, and supplements this position with caselaw, that the dispute in this Complaint is over its authority to invoke the “</w:t>
      </w:r>
      <w:r w:rsidR="004B118B" w:rsidRPr="00973E75">
        <w:rPr>
          <w:sz w:val="26"/>
        </w:rPr>
        <w:t>P</w:t>
      </w:r>
      <w:r w:rsidRPr="00973E75">
        <w:rPr>
          <w:sz w:val="26"/>
        </w:rPr>
        <w:t>ass-</w:t>
      </w:r>
      <w:r w:rsidR="004B118B" w:rsidRPr="00973E75">
        <w:rPr>
          <w:sz w:val="26"/>
        </w:rPr>
        <w:t>T</w:t>
      </w:r>
      <w:r w:rsidRPr="00973E75">
        <w:rPr>
          <w:sz w:val="26"/>
        </w:rPr>
        <w:t xml:space="preserve">hrough” </w:t>
      </w:r>
      <w:r w:rsidR="004B118B" w:rsidRPr="00973E75">
        <w:rPr>
          <w:sz w:val="26"/>
        </w:rPr>
        <w:t>Provision</w:t>
      </w:r>
      <w:r w:rsidRPr="00973E75">
        <w:rPr>
          <w:sz w:val="26"/>
        </w:rPr>
        <w:t xml:space="preserve"> in its EGS supplier contracts.  This, according to FES, is a private contractual dispute.  It argues that the dispute is a private contractual matter and, as such, the Commission does not have the authority to interpret the terms of a private contract, or settle disputes arising thereunder.  </w:t>
      </w:r>
      <w:r w:rsidRPr="00973E75">
        <w:rPr>
          <w:i/>
          <w:sz w:val="26"/>
        </w:rPr>
        <w:t>See</w:t>
      </w:r>
      <w:r w:rsidRPr="00973E75">
        <w:rPr>
          <w:sz w:val="26"/>
        </w:rPr>
        <w:t xml:space="preserve"> FES Brief at 5, citing </w:t>
      </w:r>
      <w:r w:rsidRPr="00973E75">
        <w:rPr>
          <w:i/>
          <w:sz w:val="26"/>
        </w:rPr>
        <w:t>Allport Water Auth. v. Winburne Water Co.</w:t>
      </w:r>
      <w:r w:rsidRPr="00973E75">
        <w:rPr>
          <w:sz w:val="26"/>
        </w:rPr>
        <w:t xml:space="preserve">, 393 A.2d 673 (Pa. Super. </w:t>
      </w:r>
      <w:proofErr w:type="gramStart"/>
      <w:r w:rsidRPr="00973E75">
        <w:rPr>
          <w:sz w:val="26"/>
        </w:rPr>
        <w:t>Ct. 1978)</w:t>
      </w:r>
      <w:r w:rsidR="00D52D5A" w:rsidRPr="00973E75">
        <w:rPr>
          <w:sz w:val="26"/>
        </w:rPr>
        <w:t>;</w:t>
      </w:r>
      <w:r w:rsidRPr="00973E75">
        <w:rPr>
          <w:sz w:val="26"/>
        </w:rPr>
        <w:t xml:space="preserve"> </w:t>
      </w:r>
      <w:r w:rsidRPr="00973E75">
        <w:rPr>
          <w:i/>
          <w:sz w:val="26"/>
        </w:rPr>
        <w:t>Behrend v. Bell Tel. Co.</w:t>
      </w:r>
      <w:r w:rsidRPr="00973E75">
        <w:rPr>
          <w:sz w:val="26"/>
        </w:rPr>
        <w:t>, 363 A.2d 1162 (Pa. Super.</w:t>
      </w:r>
      <w:proofErr w:type="gramEnd"/>
      <w:r w:rsidRPr="00973E75">
        <w:rPr>
          <w:sz w:val="26"/>
        </w:rPr>
        <w:t xml:space="preserve"> Ct. 1976), </w:t>
      </w:r>
      <w:r w:rsidRPr="00973E75">
        <w:rPr>
          <w:i/>
          <w:sz w:val="26"/>
        </w:rPr>
        <w:t>subsequent history omitted</w:t>
      </w:r>
      <w:r w:rsidR="00D52D5A" w:rsidRPr="00973E75">
        <w:rPr>
          <w:sz w:val="26"/>
        </w:rPr>
        <w:t>;</w:t>
      </w:r>
      <w:r w:rsidRPr="00973E75">
        <w:rPr>
          <w:sz w:val="26"/>
        </w:rPr>
        <w:t xml:space="preserve"> </w:t>
      </w:r>
      <w:r w:rsidRPr="00973E75">
        <w:rPr>
          <w:i/>
          <w:sz w:val="26"/>
        </w:rPr>
        <w:t>Adams, et al. v. Pa. PUC</w:t>
      </w:r>
      <w:r w:rsidRPr="00973E75">
        <w:rPr>
          <w:sz w:val="26"/>
        </w:rPr>
        <w:t>, 819 A.2d 631 (Pa. Cmwlth. 2003)</w:t>
      </w:r>
      <w:r w:rsidR="00D52D5A" w:rsidRPr="00973E75">
        <w:rPr>
          <w:sz w:val="26"/>
        </w:rPr>
        <w:t>;</w:t>
      </w:r>
      <w:r w:rsidRPr="00973E75">
        <w:rPr>
          <w:sz w:val="26"/>
        </w:rPr>
        <w:t xml:space="preserve"> </w:t>
      </w:r>
      <w:r w:rsidRPr="00973E75">
        <w:rPr>
          <w:i/>
          <w:sz w:val="26"/>
        </w:rPr>
        <w:t>Leveto v. Nat’l Fuel Gas Dist. Co.</w:t>
      </w:r>
      <w:r w:rsidRPr="00973E75">
        <w:rPr>
          <w:sz w:val="26"/>
        </w:rPr>
        <w:t xml:space="preserve">, 366 A.2d 270 (Pa. Super. </w:t>
      </w:r>
      <w:proofErr w:type="gramStart"/>
      <w:r w:rsidRPr="00973E75">
        <w:rPr>
          <w:sz w:val="26"/>
        </w:rPr>
        <w:t>Ct. 1976)</w:t>
      </w:r>
      <w:r w:rsidR="00D52D5A" w:rsidRPr="00973E75">
        <w:rPr>
          <w:sz w:val="26"/>
        </w:rPr>
        <w:t>;</w:t>
      </w:r>
      <w:r w:rsidRPr="00973E75">
        <w:rPr>
          <w:sz w:val="26"/>
        </w:rPr>
        <w:t xml:space="preserve"> and </w:t>
      </w:r>
      <w:r w:rsidRPr="00973E75">
        <w:rPr>
          <w:i/>
          <w:sz w:val="26"/>
        </w:rPr>
        <w:t>Litman v. Peoples Natural Gas Co.</w:t>
      </w:r>
      <w:r w:rsidRPr="00973E75">
        <w:rPr>
          <w:sz w:val="26"/>
        </w:rPr>
        <w:t>, 449 A.2d 720 (Pa. Super.</w:t>
      </w:r>
      <w:proofErr w:type="gramEnd"/>
      <w:r w:rsidRPr="00973E75">
        <w:rPr>
          <w:sz w:val="26"/>
        </w:rPr>
        <w:t xml:space="preserve"> </w:t>
      </w:r>
      <w:proofErr w:type="gramStart"/>
      <w:r w:rsidRPr="00973E75">
        <w:rPr>
          <w:sz w:val="26"/>
        </w:rPr>
        <w:t>Ct. 1982).</w:t>
      </w:r>
      <w:proofErr w:type="gramEnd"/>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FES further cites</w:t>
      </w:r>
      <w:r w:rsidR="00742F5F" w:rsidRPr="00973E75">
        <w:rPr>
          <w:sz w:val="26"/>
        </w:rPr>
        <w:t>,</w:t>
      </w:r>
      <w:r w:rsidRPr="00973E75">
        <w:rPr>
          <w:sz w:val="26"/>
        </w:rPr>
        <w:t xml:space="preserve"> as a specific example </w:t>
      </w:r>
      <w:r w:rsidR="00742F5F" w:rsidRPr="00973E75">
        <w:rPr>
          <w:sz w:val="26"/>
        </w:rPr>
        <w:t xml:space="preserve">of </w:t>
      </w:r>
      <w:r w:rsidRPr="00973E75">
        <w:rPr>
          <w:sz w:val="26"/>
        </w:rPr>
        <w:t xml:space="preserve">the exercise of jurisdiction of the Courts of Common Pleas over a contractual dispute between an EGS and its customer, the case of </w:t>
      </w:r>
      <w:r w:rsidRPr="00973E75">
        <w:rPr>
          <w:i/>
          <w:sz w:val="26"/>
        </w:rPr>
        <w:t>Tech Met, Inc., et al. v. Strategic Energy, LLC</w:t>
      </w:r>
      <w:r w:rsidRPr="00973E75">
        <w:rPr>
          <w:sz w:val="26"/>
        </w:rPr>
        <w:t xml:space="preserve"> (Court of Common Pleas Allegheny County – Civil Division), Docket No. GD-05-030407 (June 4, 2014).  </w:t>
      </w:r>
      <w:proofErr w:type="gramStart"/>
      <w:r w:rsidRPr="00973E75">
        <w:rPr>
          <w:sz w:val="26"/>
        </w:rPr>
        <w:t>FES Brief at 5.</w:t>
      </w:r>
      <w:proofErr w:type="gramEnd"/>
      <w:r w:rsidRPr="00973E75">
        <w:rPr>
          <w:sz w:val="26"/>
        </w:rPr>
        <w:t xml:space="preserve"> </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FES acknowledges the doctrine of primary jurisdiction.  Yet, FES argues that this doctrine supports the issuance of a stay of Commission proceedings pending </w:t>
      </w:r>
      <w:r w:rsidRPr="00973E75">
        <w:rPr>
          <w:sz w:val="26"/>
        </w:rPr>
        <w:lastRenderedPageBreak/>
        <w:t>action by a civil court of competent jurisdiction.  FES Brief</w:t>
      </w:r>
      <w:r w:rsidRPr="00973E75">
        <w:rPr>
          <w:i/>
          <w:sz w:val="26"/>
        </w:rPr>
        <w:t xml:space="preserve"> </w:t>
      </w:r>
      <w:r w:rsidRPr="00973E75">
        <w:rPr>
          <w:sz w:val="26"/>
        </w:rPr>
        <w:t xml:space="preserve">at 8-9.  Significantly, FES cites </w:t>
      </w:r>
      <w:r w:rsidRPr="00973E75">
        <w:rPr>
          <w:i/>
          <w:sz w:val="26"/>
        </w:rPr>
        <w:t>Ostrov v. I. F. T., Inc.</w:t>
      </w:r>
      <w:r w:rsidRPr="00973E75">
        <w:rPr>
          <w:sz w:val="26"/>
        </w:rPr>
        <w:t xml:space="preserve">, </w:t>
      </w:r>
      <w:proofErr w:type="gramStart"/>
      <w:r w:rsidRPr="00973E75">
        <w:rPr>
          <w:sz w:val="26"/>
        </w:rPr>
        <w:t>586</w:t>
      </w:r>
      <w:proofErr w:type="gramEnd"/>
      <w:r w:rsidRPr="00973E75">
        <w:rPr>
          <w:sz w:val="26"/>
        </w:rPr>
        <w:t xml:space="preserve"> A.2d 409 (Pa. Super. </w:t>
      </w:r>
      <w:proofErr w:type="gramStart"/>
      <w:r w:rsidRPr="00973E75">
        <w:rPr>
          <w:sz w:val="26"/>
        </w:rPr>
        <w:t>Ct. 1991) (</w:t>
      </w:r>
      <w:r w:rsidRPr="00973E75">
        <w:rPr>
          <w:i/>
          <w:sz w:val="26"/>
        </w:rPr>
        <w:t>Ostrov</w:t>
      </w:r>
      <w:r w:rsidRPr="00973E75">
        <w:rPr>
          <w:sz w:val="26"/>
        </w:rPr>
        <w:t>)</w:t>
      </w:r>
      <w:r w:rsidR="00504F8D" w:rsidRPr="00973E75">
        <w:rPr>
          <w:sz w:val="26"/>
        </w:rPr>
        <w:t>;</w:t>
      </w:r>
      <w:r w:rsidRPr="00973E75">
        <w:rPr>
          <w:sz w:val="26"/>
        </w:rPr>
        <w:t xml:space="preserve"> </w:t>
      </w:r>
      <w:r w:rsidRPr="00973E75">
        <w:rPr>
          <w:i/>
          <w:sz w:val="26"/>
        </w:rPr>
        <w:t>In re Insurance Stacking Litigation</w:t>
      </w:r>
      <w:r w:rsidRPr="00973E75">
        <w:rPr>
          <w:sz w:val="26"/>
        </w:rPr>
        <w:t>, 754 A.2d 702 (Pa. Super.</w:t>
      </w:r>
      <w:proofErr w:type="gramEnd"/>
      <w:r w:rsidRPr="00973E75">
        <w:rPr>
          <w:sz w:val="26"/>
        </w:rPr>
        <w:t xml:space="preserve"> Ct. 2002)</w:t>
      </w:r>
      <w:r w:rsidR="00504F8D" w:rsidRPr="00973E75">
        <w:rPr>
          <w:sz w:val="26"/>
        </w:rPr>
        <w:t>;</w:t>
      </w:r>
      <w:r w:rsidRPr="00973E75">
        <w:rPr>
          <w:sz w:val="26"/>
        </w:rPr>
        <w:t xml:space="preserve"> and </w:t>
      </w:r>
      <w:r w:rsidRPr="00973E75">
        <w:rPr>
          <w:i/>
          <w:sz w:val="26"/>
        </w:rPr>
        <w:t>Pettko v. Pa. American Water Co.</w:t>
      </w:r>
      <w:r w:rsidRPr="00973E75">
        <w:rPr>
          <w:sz w:val="26"/>
        </w:rPr>
        <w:t xml:space="preserve">, 39 A.3d 473 (Pa. Cmwlth. 2012) </w:t>
      </w:r>
      <w:r w:rsidRPr="00973E75">
        <w:rPr>
          <w:i/>
          <w:sz w:val="26"/>
        </w:rPr>
        <w:t xml:space="preserve">appeal denied </w:t>
      </w:r>
      <w:r w:rsidRPr="00973E75">
        <w:rPr>
          <w:sz w:val="26"/>
        </w:rPr>
        <w:t>616 Pa. 670, 51 A.3d 839 (2012) (</w:t>
      </w:r>
      <w:r w:rsidRPr="00973E75">
        <w:rPr>
          <w:i/>
          <w:sz w:val="26"/>
        </w:rPr>
        <w:t>Pettko</w:t>
      </w:r>
      <w:r w:rsidRPr="00973E75">
        <w:rPr>
          <w:sz w:val="26"/>
        </w:rPr>
        <w:t>), in support of this argument.</w:t>
      </w:r>
    </w:p>
    <w:p w:rsidR="007B41BF" w:rsidRPr="00973E75" w:rsidRDefault="007B41BF" w:rsidP="00B62CAC">
      <w:pPr>
        <w:widowControl/>
        <w:spacing w:line="360" w:lineRule="auto"/>
        <w:ind w:firstLine="1440"/>
        <w:rPr>
          <w:sz w:val="26"/>
        </w:rPr>
      </w:pPr>
    </w:p>
    <w:p w:rsidR="008F47C7" w:rsidRPr="00973E75" w:rsidRDefault="007B41BF" w:rsidP="00B62CAC">
      <w:pPr>
        <w:widowControl/>
        <w:spacing w:line="360" w:lineRule="auto"/>
        <w:ind w:firstLine="1440"/>
        <w:rPr>
          <w:sz w:val="26"/>
        </w:rPr>
      </w:pPr>
      <w:r w:rsidRPr="00973E75">
        <w:rPr>
          <w:sz w:val="26"/>
        </w:rPr>
        <w:t xml:space="preserve">Key to FES’ position is the statement that </w:t>
      </w:r>
    </w:p>
    <w:p w:rsidR="008F47C7" w:rsidRPr="00973E75" w:rsidRDefault="008F47C7" w:rsidP="00B62CAC">
      <w:pPr>
        <w:widowControl/>
        <w:spacing w:line="360" w:lineRule="auto"/>
        <w:ind w:firstLine="1440"/>
        <w:rPr>
          <w:sz w:val="26"/>
        </w:rPr>
      </w:pPr>
    </w:p>
    <w:p w:rsidR="008F47C7" w:rsidRPr="00973E75" w:rsidRDefault="007B41BF" w:rsidP="00B62CAC">
      <w:pPr>
        <w:widowControl/>
        <w:ind w:left="1440" w:right="1440"/>
        <w:rPr>
          <w:sz w:val="26"/>
        </w:rPr>
      </w:pPr>
      <w:r w:rsidRPr="00973E75">
        <w:rPr>
          <w:sz w:val="26"/>
        </w:rPr>
        <w:t xml:space="preserve">. . . </w:t>
      </w:r>
      <w:proofErr w:type="gramStart"/>
      <w:r w:rsidRPr="00973E75">
        <w:rPr>
          <w:sz w:val="26"/>
        </w:rPr>
        <w:t>the</w:t>
      </w:r>
      <w:proofErr w:type="gramEnd"/>
      <w:r w:rsidRPr="00973E75">
        <w:rPr>
          <w:sz w:val="26"/>
        </w:rPr>
        <w:t xml:space="preserve"> resolution of the Complaint depends upon no Commission rule or regulation, but rather the interpretation of provisions within private contracts between non-utility entities.  Indeed, the application of any Commission rule or regulation is predicated upon a judicial finding regarding the propriety of FES’ invocation of the pass-through provisions.  </w:t>
      </w:r>
    </w:p>
    <w:p w:rsidR="008F47C7" w:rsidRPr="00973E75" w:rsidRDefault="008F47C7" w:rsidP="00B62CAC">
      <w:pPr>
        <w:widowControl/>
        <w:spacing w:line="360" w:lineRule="auto"/>
        <w:ind w:firstLine="1440"/>
        <w:rPr>
          <w:sz w:val="26"/>
        </w:rPr>
      </w:pPr>
    </w:p>
    <w:p w:rsidR="007B41BF" w:rsidRPr="00973E75" w:rsidRDefault="00B62CAC" w:rsidP="00B62CAC">
      <w:pPr>
        <w:widowControl/>
        <w:spacing w:line="360" w:lineRule="auto"/>
        <w:rPr>
          <w:sz w:val="26"/>
        </w:rPr>
      </w:pPr>
      <w:proofErr w:type="gramStart"/>
      <w:r>
        <w:rPr>
          <w:sz w:val="26"/>
        </w:rPr>
        <w:t>FES Brief at 8.</w:t>
      </w:r>
      <w:proofErr w:type="gramEnd"/>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b/>
          <w:sz w:val="26"/>
        </w:rPr>
      </w:pPr>
      <w:r w:rsidRPr="00973E75">
        <w:rPr>
          <w:b/>
          <w:sz w:val="26"/>
        </w:rPr>
        <w:t>FES ICCC</w:t>
      </w:r>
    </w:p>
    <w:p w:rsidR="001D3EB0" w:rsidRPr="00973E75" w:rsidRDefault="001D3EB0" w:rsidP="00B62CAC">
      <w:pPr>
        <w:widowControl/>
        <w:spacing w:line="360" w:lineRule="auto"/>
        <w:ind w:firstLine="1440"/>
        <w:rPr>
          <w:b/>
          <w:sz w:val="26"/>
        </w:rPr>
      </w:pPr>
    </w:p>
    <w:p w:rsidR="007B41BF" w:rsidRPr="00973E75" w:rsidRDefault="007B41BF" w:rsidP="00B62CAC">
      <w:pPr>
        <w:widowControl/>
        <w:spacing w:line="360" w:lineRule="auto"/>
        <w:ind w:firstLine="1440"/>
        <w:rPr>
          <w:sz w:val="26"/>
        </w:rPr>
      </w:pPr>
      <w:r w:rsidRPr="00973E75">
        <w:rPr>
          <w:sz w:val="26"/>
        </w:rPr>
        <w:t xml:space="preserve">The FES ICCC emphasizes this Commission’s Opinion and Orders in </w:t>
      </w:r>
      <w:r w:rsidRPr="00973E75">
        <w:rPr>
          <w:i/>
          <w:sz w:val="26"/>
        </w:rPr>
        <w:t>Pa. PUC v. Snyder Brothers, Inc.</w:t>
      </w:r>
      <w:r w:rsidRPr="00973E75">
        <w:rPr>
          <w:sz w:val="26"/>
        </w:rPr>
        <w:t>, Docket No. C-2014-2402746 (Order entered July 24, 2014)</w:t>
      </w:r>
      <w:r w:rsidR="00BA56CC" w:rsidRPr="00973E75">
        <w:rPr>
          <w:sz w:val="26"/>
        </w:rPr>
        <w:t>;</w:t>
      </w:r>
      <w:r w:rsidRPr="00973E75">
        <w:rPr>
          <w:sz w:val="26"/>
        </w:rPr>
        <w:t xml:space="preserve"> </w:t>
      </w:r>
      <w:r w:rsidRPr="00973E75">
        <w:rPr>
          <w:i/>
          <w:sz w:val="26"/>
        </w:rPr>
        <w:t>Joint Application of Bell Atlantic and GTE Corporation</w:t>
      </w:r>
      <w:r w:rsidRPr="00973E75">
        <w:rPr>
          <w:sz w:val="26"/>
        </w:rPr>
        <w:t>, 92 Pa. P.U.C. 493 (June 14, 1999)</w:t>
      </w:r>
      <w:r w:rsidR="00BA56CC" w:rsidRPr="00973E75">
        <w:rPr>
          <w:sz w:val="26"/>
        </w:rPr>
        <w:t>;</w:t>
      </w:r>
      <w:r w:rsidRPr="00973E75">
        <w:rPr>
          <w:sz w:val="26"/>
        </w:rPr>
        <w:t xml:space="preserve"> and </w:t>
      </w:r>
      <w:r w:rsidRPr="00973E75">
        <w:rPr>
          <w:i/>
          <w:sz w:val="26"/>
        </w:rPr>
        <w:t>Application of Raiser-PA LLC</w:t>
      </w:r>
      <w:r w:rsidRPr="00973E75">
        <w:rPr>
          <w:sz w:val="26"/>
        </w:rPr>
        <w:t>, Docket No. P-2014-2431743 (Order entered July 24, 2014)</w:t>
      </w:r>
      <w:proofErr w:type="gramStart"/>
      <w:r w:rsidRPr="00973E75">
        <w:rPr>
          <w:sz w:val="26"/>
        </w:rPr>
        <w:t>,</w:t>
      </w:r>
      <w:proofErr w:type="gramEnd"/>
      <w:r w:rsidRPr="00973E75">
        <w:rPr>
          <w:sz w:val="26"/>
        </w:rPr>
        <w:t xml:space="preserve"> to</w:t>
      </w:r>
      <w:r w:rsidRPr="00973E75">
        <w:rPr>
          <w:i/>
          <w:sz w:val="26"/>
        </w:rPr>
        <w:t xml:space="preserve"> </w:t>
      </w:r>
      <w:r w:rsidRPr="00973E75">
        <w:rPr>
          <w:sz w:val="26"/>
        </w:rPr>
        <w:t xml:space="preserve">take the position that FES has not met the threshold criterion for obtaining interlocutory review.  </w:t>
      </w:r>
      <w:r w:rsidRPr="00973E75">
        <w:rPr>
          <w:i/>
          <w:sz w:val="26"/>
        </w:rPr>
        <w:t>See</w:t>
      </w:r>
      <w:r w:rsidRPr="00973E75">
        <w:rPr>
          <w:sz w:val="26"/>
        </w:rPr>
        <w:t xml:space="preserve"> FES ICCC Brief at 2-3.      </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Specifically, the FES ICCC cites </w:t>
      </w:r>
      <w:r w:rsidRPr="00973E75">
        <w:rPr>
          <w:i/>
          <w:sz w:val="26"/>
        </w:rPr>
        <w:t>Petition of West Penn Power Company</w:t>
      </w:r>
      <w:r w:rsidRPr="00973E75">
        <w:rPr>
          <w:sz w:val="26"/>
        </w:rPr>
        <w:t xml:space="preserve">, Docket No. P-2010-2158084 (Order entered November 8, 2010) to argue that the consideration of desiring to avoid the time and expense of litigation in an, alleged, improper forum, is not generally acceptable as a basis for interlocutory Commission </w:t>
      </w:r>
      <w:r w:rsidRPr="00973E75">
        <w:rPr>
          <w:sz w:val="26"/>
        </w:rPr>
        <w:lastRenderedPageBreak/>
        <w:t xml:space="preserve">review.  </w:t>
      </w:r>
      <w:proofErr w:type="gramStart"/>
      <w:r w:rsidRPr="00973E75">
        <w:rPr>
          <w:sz w:val="26"/>
        </w:rPr>
        <w:t>FES ICCC Brief at 4.</w:t>
      </w:r>
      <w:proofErr w:type="gramEnd"/>
      <w:r w:rsidRPr="00973E75">
        <w:rPr>
          <w:sz w:val="26"/>
        </w:rPr>
        <w:t xml:space="preserve">  The time and expense of litigation does not, argues the FES ICCC, create substantial prejudice for FES.  </w:t>
      </w:r>
      <w:r w:rsidRPr="00973E75">
        <w:rPr>
          <w:i/>
          <w:sz w:val="26"/>
        </w:rPr>
        <w:t>Id</w:t>
      </w:r>
      <w:r w:rsidRPr="00973E75">
        <w:rPr>
          <w:sz w:val="26"/>
        </w:rPr>
        <w:t xml:space="preserve">.   </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 xml:space="preserve">The FES ICCC also argues its position on the merits of the questions raised. The Complainants assert that, should the FES Petition be granted, the questions should be answered in the negative.  The FES ICCC replies that, while this proceeding may involve contracts entered into between its members and FES, the issue before the Commission is whether FES’ billing practices conform to Pennsylvania statutes, regulations, and policies applicable to EGSs licensed by the Commission.  </w:t>
      </w:r>
      <w:proofErr w:type="gramStart"/>
      <w:r w:rsidRPr="00973E75">
        <w:rPr>
          <w:sz w:val="26"/>
        </w:rPr>
        <w:t>FES ICCC Brief at 5.</w:t>
      </w:r>
      <w:proofErr w:type="gramEnd"/>
    </w:p>
    <w:p w:rsidR="007B41BF" w:rsidRPr="00973E75" w:rsidRDefault="007B41BF" w:rsidP="00B62CAC">
      <w:pPr>
        <w:widowControl/>
        <w:spacing w:line="360" w:lineRule="auto"/>
        <w:ind w:firstLine="1440"/>
        <w:rPr>
          <w:sz w:val="26"/>
        </w:rPr>
      </w:pPr>
    </w:p>
    <w:p w:rsidR="007B41BF" w:rsidRPr="00973E75" w:rsidRDefault="007C7B83" w:rsidP="00B62CAC">
      <w:pPr>
        <w:widowControl/>
        <w:spacing w:line="360" w:lineRule="auto"/>
        <w:ind w:firstLine="1440"/>
        <w:rPr>
          <w:sz w:val="26"/>
        </w:rPr>
      </w:pPr>
      <w:r>
        <w:rPr>
          <w:sz w:val="26"/>
        </w:rPr>
        <w:br/>
      </w:r>
      <w:r>
        <w:rPr>
          <w:sz w:val="26"/>
        </w:rPr>
        <w:tab/>
      </w:r>
      <w:r>
        <w:rPr>
          <w:sz w:val="26"/>
        </w:rPr>
        <w:tab/>
      </w:r>
      <w:r w:rsidR="007B41BF" w:rsidRPr="00973E75">
        <w:rPr>
          <w:sz w:val="26"/>
        </w:rPr>
        <w:t>The FES ICCC goes on to argue that Section 2809 of the Code, 66 Pa. C.S. § 2809, provides sufficient authority over FES, as an EGS, to enable the Commission to determine whether FES’ attempt to use the Pass-</w:t>
      </w:r>
      <w:r w:rsidR="00105F42" w:rsidRPr="00973E75">
        <w:rPr>
          <w:sz w:val="26"/>
        </w:rPr>
        <w:t>T</w:t>
      </w:r>
      <w:r w:rsidR="007B41BF" w:rsidRPr="00973E75">
        <w:rPr>
          <w:sz w:val="26"/>
        </w:rPr>
        <w:t xml:space="preserve">hrough </w:t>
      </w:r>
      <w:r w:rsidR="00105F42" w:rsidRPr="00973E75">
        <w:rPr>
          <w:sz w:val="26"/>
        </w:rPr>
        <w:t>P</w:t>
      </w:r>
      <w:r w:rsidR="007B41BF" w:rsidRPr="00973E75">
        <w:rPr>
          <w:sz w:val="26"/>
        </w:rPr>
        <w:t xml:space="preserve">rovision in the agreements is proper when it is asserted that no </w:t>
      </w:r>
      <w:r w:rsidR="00105F42" w:rsidRPr="00973E75">
        <w:rPr>
          <w:sz w:val="26"/>
        </w:rPr>
        <w:t>P</w:t>
      </w:r>
      <w:r w:rsidR="007B41BF" w:rsidRPr="00973E75">
        <w:rPr>
          <w:sz w:val="26"/>
        </w:rPr>
        <w:t>ass-</w:t>
      </w:r>
      <w:r w:rsidR="00105F42" w:rsidRPr="00973E75">
        <w:rPr>
          <w:sz w:val="26"/>
        </w:rPr>
        <w:t>T</w:t>
      </w:r>
      <w:r w:rsidR="007B41BF" w:rsidRPr="00973E75">
        <w:rPr>
          <w:sz w:val="26"/>
        </w:rPr>
        <w:t xml:space="preserve">hrough </w:t>
      </w:r>
      <w:r w:rsidR="00105F42" w:rsidRPr="00973E75">
        <w:rPr>
          <w:sz w:val="26"/>
        </w:rPr>
        <w:t>E</w:t>
      </w:r>
      <w:r w:rsidR="007B41BF" w:rsidRPr="00973E75">
        <w:rPr>
          <w:sz w:val="26"/>
        </w:rPr>
        <w:t xml:space="preserve">vent has occurred.  The proposed action of FES is, according to the FES ICCC, contrary to the requirements of the Electricity Generation Customer Choice and Competition Act (Act), 66 Pa. C.S. §§ 2801-2812, and creates confusion for customers attempting to obtain a fixed price contract.  </w:t>
      </w:r>
      <w:proofErr w:type="gramStart"/>
      <w:r w:rsidR="007B41BF" w:rsidRPr="00973E75">
        <w:rPr>
          <w:sz w:val="26"/>
        </w:rPr>
        <w:t>FES ICCC Brief at 7.</w:t>
      </w:r>
      <w:proofErr w:type="gramEnd"/>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rPr>
      </w:pPr>
      <w:r w:rsidRPr="00973E75">
        <w:rPr>
          <w:sz w:val="26"/>
        </w:rPr>
        <w:t>The FES ICCC also points out that Chapter 54 of the Commission’s Regulations, 52 Pa. Code §</w:t>
      </w:r>
      <w:r w:rsidR="00595CF9" w:rsidRPr="00973E75">
        <w:rPr>
          <w:sz w:val="26"/>
        </w:rPr>
        <w:t>§</w:t>
      </w:r>
      <w:r w:rsidRPr="00973E75">
        <w:rPr>
          <w:sz w:val="26"/>
        </w:rPr>
        <w:t xml:space="preserve"> 54</w:t>
      </w:r>
      <w:r w:rsidR="00595CF9" w:rsidRPr="00973E75">
        <w:rPr>
          <w:sz w:val="26"/>
        </w:rPr>
        <w:t>.1 – 54.204</w:t>
      </w:r>
      <w:r w:rsidRPr="00973E75">
        <w:rPr>
          <w:sz w:val="26"/>
        </w:rPr>
        <w:t xml:space="preserve">, applies to all customer classes - with the exception of Sections 54.4 - 54.9, which apply to residential and business customers who are provided “additional customer safeguards.”  </w:t>
      </w:r>
      <w:proofErr w:type="gramStart"/>
      <w:r w:rsidRPr="00973E75">
        <w:rPr>
          <w:sz w:val="26"/>
        </w:rPr>
        <w:t>FES ICC</w:t>
      </w:r>
      <w:r w:rsidR="00663FC9">
        <w:rPr>
          <w:sz w:val="26"/>
        </w:rPr>
        <w:t>C</w:t>
      </w:r>
      <w:r w:rsidRPr="00973E75">
        <w:rPr>
          <w:sz w:val="26"/>
        </w:rPr>
        <w:t xml:space="preserve"> Brief at 7 n. 2.</w:t>
      </w:r>
      <w:proofErr w:type="gramEnd"/>
      <w:r w:rsidRPr="00973E75">
        <w:rPr>
          <w:sz w:val="26"/>
        </w:rPr>
        <w:t xml:space="preserve">    </w:t>
      </w:r>
    </w:p>
    <w:p w:rsidR="007B41BF" w:rsidRPr="00973E75" w:rsidRDefault="007B41BF" w:rsidP="00B62CAC">
      <w:pPr>
        <w:widowControl/>
        <w:spacing w:line="360" w:lineRule="auto"/>
        <w:ind w:firstLine="1440"/>
        <w:rPr>
          <w:sz w:val="26"/>
        </w:rPr>
      </w:pPr>
    </w:p>
    <w:p w:rsidR="007B41BF" w:rsidRPr="00973E75" w:rsidRDefault="007B41BF" w:rsidP="00B62CAC">
      <w:pPr>
        <w:widowControl/>
        <w:spacing w:line="360" w:lineRule="auto"/>
        <w:ind w:firstLine="1440"/>
        <w:rPr>
          <w:sz w:val="26"/>
          <w:szCs w:val="26"/>
        </w:rPr>
      </w:pPr>
      <w:r w:rsidRPr="00973E75">
        <w:rPr>
          <w:sz w:val="26"/>
        </w:rPr>
        <w:lastRenderedPageBreak/>
        <w:t xml:space="preserve">The FES ICCC further points to the Commission’s </w:t>
      </w:r>
      <w:r w:rsidR="006D2C31">
        <w:rPr>
          <w:i/>
          <w:sz w:val="26"/>
          <w:szCs w:val="26"/>
        </w:rPr>
        <w:t>Fixed-Price</w:t>
      </w:r>
      <w:r w:rsidRPr="00973E75">
        <w:rPr>
          <w:i/>
          <w:sz w:val="26"/>
          <w:szCs w:val="26"/>
        </w:rPr>
        <w:t xml:space="preserve"> Order</w:t>
      </w:r>
      <w:r w:rsidRPr="00973E75">
        <w:rPr>
          <w:sz w:val="26"/>
          <w:szCs w:val="26"/>
        </w:rPr>
        <w:t>, as support for Commission jurisdiction over its Complaint.  FES ICCC Brief at 8-9.</w:t>
      </w:r>
      <w:r w:rsidRPr="00973E75">
        <w:rPr>
          <w:rStyle w:val="FootnoteReference"/>
          <w:sz w:val="26"/>
          <w:szCs w:val="26"/>
        </w:rPr>
        <w:footnoteReference w:id="9"/>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The FES ICCC concedes that the Commission generally does not have jurisdiction over ordinary contract disputes involving breach of contract claims.  </w:t>
      </w:r>
      <w:proofErr w:type="gramStart"/>
      <w:r w:rsidRPr="00973E75">
        <w:rPr>
          <w:sz w:val="26"/>
          <w:szCs w:val="26"/>
        </w:rPr>
        <w:t>FES ICCC Brief at 9.</w:t>
      </w:r>
      <w:proofErr w:type="gramEnd"/>
      <w:r w:rsidRPr="00973E75">
        <w:rPr>
          <w:sz w:val="26"/>
          <w:szCs w:val="26"/>
        </w:rPr>
        <w:t xml:space="preserve">  However, the Complainants assert that the Commission may review and interpret contracts to the extent necessary to carry out its statutory duties, including ensuring that EGSs conform to the requirements of the Act and the regulations promulgated thereunder.  </w:t>
      </w:r>
      <w:r w:rsidRPr="00973E75">
        <w:rPr>
          <w:i/>
          <w:sz w:val="26"/>
          <w:szCs w:val="26"/>
        </w:rPr>
        <w:t>Id</w:t>
      </w:r>
      <w:r w:rsidRPr="00973E75">
        <w:rPr>
          <w:sz w:val="26"/>
          <w:szCs w:val="26"/>
        </w:rPr>
        <w: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The FES ICCC cites a case arising under the Natural Gas Choice and Competition Act, 66 Pa. C.S. §§ 2201-2212 (Gas Act), that it views </w:t>
      </w:r>
      <w:r w:rsidR="00595CF9" w:rsidRPr="00973E75">
        <w:rPr>
          <w:sz w:val="26"/>
          <w:szCs w:val="26"/>
        </w:rPr>
        <w:t xml:space="preserve">as </w:t>
      </w:r>
      <w:r w:rsidRPr="00973E75">
        <w:rPr>
          <w:sz w:val="26"/>
          <w:szCs w:val="26"/>
        </w:rPr>
        <w:t xml:space="preserve">presenting an analogous scenario to the proposed exercise of Commission jurisdiction it seeks in the instant Complaint.  FES ICCC Brief at 9-10, citing </w:t>
      </w:r>
      <w:r w:rsidRPr="00973E75">
        <w:rPr>
          <w:i/>
          <w:sz w:val="26"/>
          <w:szCs w:val="26"/>
        </w:rPr>
        <w:t>Schmidt v. Dominion Retail, Inc.</w:t>
      </w:r>
      <w:r w:rsidRPr="00973E75">
        <w:rPr>
          <w:sz w:val="26"/>
          <w:szCs w:val="26"/>
        </w:rPr>
        <w:t>, Docket No. C-20066726 (Order entered February 22, 2007) (</w:t>
      </w:r>
      <w:r w:rsidRPr="00973E75">
        <w:rPr>
          <w:i/>
          <w:sz w:val="26"/>
          <w:szCs w:val="26"/>
        </w:rPr>
        <w:t>Schmidt</w:t>
      </w:r>
      <w:r w:rsidRPr="00973E75">
        <w:rPr>
          <w:sz w:val="26"/>
          <w:szCs w:val="26"/>
        </w:rPr>
        <w:t xml:space="preserve">).  </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The FES ICCC also cites </w:t>
      </w:r>
      <w:r w:rsidRPr="00973E75">
        <w:rPr>
          <w:i/>
          <w:sz w:val="26"/>
          <w:szCs w:val="26"/>
        </w:rPr>
        <w:t>ARIPPA v. Pa. PUC</w:t>
      </w:r>
      <w:r w:rsidRPr="00973E75">
        <w:rPr>
          <w:sz w:val="26"/>
          <w:szCs w:val="26"/>
        </w:rPr>
        <w:t xml:space="preserve">, 966 A.2d 1204 (Pa. Cmwlth. 2009), for the proposition that courts have recognized that the Commission does have the jurisdiction to consider contractual issues that require the peculiar expertise of the agency.  </w:t>
      </w:r>
      <w:proofErr w:type="gramStart"/>
      <w:r w:rsidRPr="00973E75">
        <w:rPr>
          <w:sz w:val="26"/>
          <w:szCs w:val="26"/>
        </w:rPr>
        <w:t xml:space="preserve">FES ICCC Brief at 10 and citations; </w:t>
      </w:r>
      <w:r w:rsidRPr="00973E75">
        <w:rPr>
          <w:i/>
          <w:sz w:val="26"/>
          <w:szCs w:val="26"/>
        </w:rPr>
        <w:t>also</w:t>
      </w:r>
      <w:r w:rsidRPr="00973E75">
        <w:rPr>
          <w:sz w:val="26"/>
          <w:szCs w:val="26"/>
        </w:rPr>
        <w:t xml:space="preserve"> </w:t>
      </w:r>
      <w:r w:rsidRPr="00973E75">
        <w:rPr>
          <w:i/>
          <w:sz w:val="26"/>
          <w:szCs w:val="26"/>
        </w:rPr>
        <w:t>Petition of Verizon</w:t>
      </w:r>
      <w:r w:rsidRPr="00973E75">
        <w:rPr>
          <w:sz w:val="26"/>
          <w:szCs w:val="26"/>
        </w:rPr>
        <w:t>, Docket No.</w:t>
      </w:r>
      <w:proofErr w:type="gramEnd"/>
      <w:r w:rsidRPr="00973E75">
        <w:rPr>
          <w:sz w:val="26"/>
          <w:szCs w:val="26"/>
        </w:rPr>
        <w:t xml:space="preserve"> </w:t>
      </w:r>
      <w:r w:rsidR="004A6158" w:rsidRPr="00973E75">
        <w:rPr>
          <w:sz w:val="26"/>
          <w:szCs w:val="26"/>
        </w:rPr>
        <w:br/>
      </w:r>
      <w:r w:rsidRPr="00973E75">
        <w:rPr>
          <w:sz w:val="26"/>
          <w:szCs w:val="26"/>
        </w:rPr>
        <w:t xml:space="preserve">P-00042088 (Order entered July 9, 2004).  </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on the foregoing, the Complainants request the Commission interpret certain provisions of the fixed-price contracts between its members and FES to determine whether FES has run afoul of the Commission’s EGS billing requirements through using </w:t>
      </w:r>
      <w:r w:rsidRPr="00973E75">
        <w:rPr>
          <w:sz w:val="26"/>
          <w:szCs w:val="26"/>
        </w:rPr>
        <w:lastRenderedPageBreak/>
        <w:t xml:space="preserve">deceptive and, possibly, fraudulent billing practices.  </w:t>
      </w:r>
      <w:proofErr w:type="gramStart"/>
      <w:r w:rsidRPr="00973E75">
        <w:rPr>
          <w:sz w:val="26"/>
          <w:szCs w:val="26"/>
        </w:rPr>
        <w:t>FES ICCC Brief at 11.</w:t>
      </w:r>
      <w:proofErr w:type="gramEnd"/>
      <w:r w:rsidRPr="00973E75">
        <w:rPr>
          <w:sz w:val="26"/>
          <w:szCs w:val="26"/>
        </w:rPr>
        <w:t xml:space="preserve">  This is to be distinguished, in the view of the FES ICCC, from an ordinary contract claim.  </w:t>
      </w:r>
      <w:r w:rsidRPr="00973E75">
        <w:rPr>
          <w:i/>
          <w:sz w:val="26"/>
          <w:szCs w:val="26"/>
        </w:rPr>
        <w:t>Id</w:t>
      </w:r>
      <w:r w:rsidRPr="00973E75">
        <w:rPr>
          <w:sz w:val="26"/>
          <w:szCs w:val="26"/>
        </w:rPr>
        <w: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In response to the FES claims concerning the lack of primary jurisdiction, the FES ICCC argues that the doctrine of primary jurisdiction applies where the proceedings before the administrative agency cannot make a party whole.  </w:t>
      </w:r>
      <w:proofErr w:type="gramStart"/>
      <w:r w:rsidRPr="00973E75">
        <w:rPr>
          <w:sz w:val="26"/>
          <w:szCs w:val="26"/>
        </w:rPr>
        <w:t>FES ICCC Brief at 12.</w:t>
      </w:r>
      <w:proofErr w:type="gramEnd"/>
      <w:r w:rsidRPr="00973E75">
        <w:rPr>
          <w:sz w:val="26"/>
          <w:szCs w:val="26"/>
        </w:rPr>
        <w:t xml:space="preserve">  The Complainants assert that this is not the case</w:t>
      </w:r>
      <w:r w:rsidR="004A6158" w:rsidRPr="00973E75">
        <w:rPr>
          <w:sz w:val="26"/>
          <w:szCs w:val="26"/>
        </w:rPr>
        <w:t xml:space="preserve"> here</w:t>
      </w:r>
      <w:r w:rsidRPr="00973E75">
        <w:rPr>
          <w:sz w:val="26"/>
          <w:szCs w:val="26"/>
        </w:rPr>
        <w:t xml:space="preserve">.  They argue that the Commission has the jurisdiction to grant the relief sought in their Complaint.  </w:t>
      </w:r>
      <w:r w:rsidRPr="00973E75">
        <w:rPr>
          <w:i/>
          <w:sz w:val="26"/>
          <w:szCs w:val="26"/>
        </w:rPr>
        <w:t>Id</w:t>
      </w:r>
      <w:r w:rsidRPr="00973E75">
        <w:rPr>
          <w:sz w:val="26"/>
          <w:szCs w:val="26"/>
        </w:rPr>
        <w: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Should the doctrine of primary jurisdiction apply to its Complaint, the FES ICCC relies upon </w:t>
      </w:r>
      <w:r w:rsidRPr="00973E75">
        <w:rPr>
          <w:i/>
          <w:sz w:val="26"/>
          <w:szCs w:val="26"/>
        </w:rPr>
        <w:t>Ostrov</w:t>
      </w:r>
      <w:r w:rsidRPr="00973E75">
        <w:rPr>
          <w:sz w:val="26"/>
          <w:szCs w:val="26"/>
        </w:rPr>
        <w:t xml:space="preserve">, </w:t>
      </w:r>
      <w:r w:rsidRPr="00973E75">
        <w:rPr>
          <w:i/>
          <w:sz w:val="26"/>
          <w:szCs w:val="26"/>
        </w:rPr>
        <w:t>supra</w:t>
      </w:r>
      <w:r w:rsidRPr="00973E75">
        <w:rPr>
          <w:sz w:val="26"/>
          <w:szCs w:val="26"/>
        </w:rPr>
        <w:t>,</w:t>
      </w:r>
      <w:r w:rsidRPr="00973E75">
        <w:rPr>
          <w:i/>
          <w:sz w:val="26"/>
          <w:szCs w:val="26"/>
        </w:rPr>
        <w:t xml:space="preserve"> </w:t>
      </w:r>
      <w:r w:rsidRPr="00973E75">
        <w:rPr>
          <w:sz w:val="26"/>
          <w:szCs w:val="26"/>
        </w:rPr>
        <w:t xml:space="preserve">to argue that the civil courts would likely be required to defer to the Commission under the circumstances of this case.  </w:t>
      </w:r>
      <w:r w:rsidRPr="00973E75">
        <w:rPr>
          <w:i/>
          <w:sz w:val="26"/>
          <w:szCs w:val="26"/>
        </w:rPr>
        <w:t xml:space="preserve">See </w:t>
      </w:r>
      <w:r w:rsidR="00B62CAC">
        <w:rPr>
          <w:sz w:val="26"/>
          <w:szCs w:val="26"/>
        </w:rPr>
        <w:t>FES ICCC Brief at 12-14.</w:t>
      </w:r>
    </w:p>
    <w:p w:rsidR="00D65103" w:rsidRDefault="00D65103" w:rsidP="00B62CAC">
      <w:pPr>
        <w:widowControl/>
        <w:spacing w:after="200" w:line="276" w:lineRule="auto"/>
        <w:rPr>
          <w:sz w:val="26"/>
        </w:rPr>
      </w:pPr>
    </w:p>
    <w:p w:rsidR="007B41BF" w:rsidRPr="00973E75" w:rsidRDefault="007B41BF" w:rsidP="00B62CAC">
      <w:pPr>
        <w:widowControl/>
        <w:spacing w:after="200" w:line="276" w:lineRule="auto"/>
        <w:ind w:left="720" w:hanging="720"/>
        <w:rPr>
          <w:b/>
          <w:sz w:val="26"/>
        </w:rPr>
      </w:pPr>
      <w:r w:rsidRPr="00973E75">
        <w:rPr>
          <w:b/>
          <w:sz w:val="26"/>
        </w:rPr>
        <w:t>Disposition</w:t>
      </w:r>
    </w:p>
    <w:p w:rsidR="007B41BF" w:rsidRPr="00973E75" w:rsidRDefault="007B41BF" w:rsidP="00B62CAC">
      <w:pPr>
        <w:widowControl/>
        <w:spacing w:line="360" w:lineRule="auto"/>
        <w:ind w:firstLine="1440"/>
        <w:rPr>
          <w:b/>
          <w:sz w:val="26"/>
        </w:rPr>
      </w:pPr>
    </w:p>
    <w:p w:rsidR="007B41BF" w:rsidRPr="00973E75" w:rsidRDefault="007B41BF" w:rsidP="00B62CAC">
      <w:pPr>
        <w:widowControl/>
        <w:spacing w:line="360" w:lineRule="auto"/>
        <w:ind w:firstLine="1440"/>
        <w:rPr>
          <w:b/>
          <w:sz w:val="26"/>
          <w:szCs w:val="26"/>
        </w:rPr>
      </w:pPr>
      <w:r w:rsidRPr="00973E75">
        <w:rPr>
          <w:b/>
          <w:sz w:val="26"/>
          <w:szCs w:val="26"/>
        </w:rPr>
        <w:t>The Standards for Interlocutory Review Have Been Met</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on our review of the Petition, briefs and submittals, we conclude that the Petition meets the standards for interlocutory review.  </w:t>
      </w:r>
      <w:r w:rsidR="00956A0A">
        <w:rPr>
          <w:sz w:val="26"/>
          <w:szCs w:val="26"/>
        </w:rPr>
        <w:t xml:space="preserve">Due to the uncertainty regarding the Commission’s jurisdiction, we determine that granting interlocutory review and answering the material questions raised will provide valuable guidance to both the Parties and the presiding ALJ, thereby expediting the conduct of the proceeding.  </w:t>
      </w:r>
      <w:r w:rsidRPr="00973E75">
        <w:rPr>
          <w:sz w:val="26"/>
          <w:szCs w:val="26"/>
        </w:rPr>
        <w:t xml:space="preserve">We </w:t>
      </w:r>
      <w:r w:rsidR="00956A0A">
        <w:rPr>
          <w:sz w:val="26"/>
          <w:szCs w:val="26"/>
        </w:rPr>
        <w:t xml:space="preserve">also </w:t>
      </w:r>
      <w:r w:rsidRPr="00973E75">
        <w:rPr>
          <w:sz w:val="26"/>
          <w:szCs w:val="26"/>
        </w:rPr>
        <w:t xml:space="preserve">find that Commission review of the Petition at this time will prevent substantial prejudice to the Parties </w:t>
      </w:r>
      <w:r w:rsidR="00956A0A">
        <w:rPr>
          <w:sz w:val="26"/>
          <w:szCs w:val="26"/>
        </w:rPr>
        <w:t xml:space="preserve">in addition to </w:t>
      </w:r>
      <w:r w:rsidRPr="00973E75">
        <w:rPr>
          <w:sz w:val="26"/>
          <w:szCs w:val="26"/>
        </w:rPr>
        <w:t>expedit</w:t>
      </w:r>
      <w:r w:rsidR="00956A0A">
        <w:rPr>
          <w:sz w:val="26"/>
          <w:szCs w:val="26"/>
        </w:rPr>
        <w:t>ing</w:t>
      </w:r>
      <w:r w:rsidRPr="00973E75">
        <w:rPr>
          <w:sz w:val="26"/>
          <w:szCs w:val="26"/>
        </w:rPr>
        <w:t xml:space="preserve"> the conduct of the proceeding due to the extraordinary and compelling nature of the subject matter involved.  As noted, we have taken official notice of the context in which this dispute comes before the Commission </w:t>
      </w:r>
      <w:r w:rsidRPr="00973E75">
        <w:rPr>
          <w:sz w:val="26"/>
          <w:szCs w:val="26"/>
        </w:rPr>
        <w:lastRenderedPageBreak/>
        <w:t xml:space="preserve">and the pendency of related proceedings involving common questions of law and of fact, and a partial common identity of the </w:t>
      </w:r>
      <w:r w:rsidR="00F5462D" w:rsidRPr="00973E75">
        <w:rPr>
          <w:sz w:val="26"/>
          <w:szCs w:val="26"/>
        </w:rPr>
        <w:t>P</w:t>
      </w:r>
      <w:r w:rsidRPr="00973E75">
        <w:rPr>
          <w:sz w:val="26"/>
          <w:szCs w:val="26"/>
        </w:rPr>
        <w:t>arties.</w:t>
      </w:r>
      <w:r w:rsidRPr="00973E75">
        <w:rPr>
          <w:rStyle w:val="FootnoteReference"/>
          <w:sz w:val="26"/>
          <w:szCs w:val="26"/>
        </w:rPr>
        <w:footnoteReference w:id="10"/>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tabs>
          <w:tab w:val="center" w:pos="0"/>
          <w:tab w:val="left" w:pos="720"/>
        </w:tabs>
        <w:spacing w:line="360" w:lineRule="auto"/>
        <w:ind w:firstLine="1440"/>
        <w:rPr>
          <w:sz w:val="26"/>
          <w:szCs w:val="26"/>
        </w:rPr>
      </w:pPr>
      <w:r w:rsidRPr="00973E75">
        <w:rPr>
          <w:sz w:val="26"/>
          <w:szCs w:val="26"/>
        </w:rPr>
        <w:t>Given the context in which these questions are raised, we conclude that answering the questions now, rather than later, in the due course of the proceedings,</w:t>
      </w:r>
      <w:r w:rsidR="00F5462D" w:rsidRPr="00973E75">
        <w:rPr>
          <w:sz w:val="26"/>
          <w:szCs w:val="26"/>
        </w:rPr>
        <w:t xml:space="preserve"> would prevent substantial prejudice and expedite the conduct of the proceeding</w:t>
      </w:r>
      <w:r w:rsidRPr="00973E75">
        <w:rPr>
          <w:sz w:val="26"/>
          <w:szCs w:val="26"/>
        </w:rPr>
        <w:t xml:space="preserve">.  </w:t>
      </w:r>
    </w:p>
    <w:p w:rsidR="007B41BF" w:rsidRPr="00973E75" w:rsidRDefault="007B41BF" w:rsidP="00B62CAC">
      <w:pPr>
        <w:widowControl/>
        <w:spacing w:line="360" w:lineRule="auto"/>
        <w:rPr>
          <w:sz w:val="26"/>
          <w:szCs w:val="26"/>
        </w:rPr>
      </w:pPr>
    </w:p>
    <w:p w:rsidR="007B41BF" w:rsidRPr="00973E75" w:rsidRDefault="007B41BF" w:rsidP="00B62CAC">
      <w:pPr>
        <w:widowControl/>
        <w:tabs>
          <w:tab w:val="center" w:pos="0"/>
          <w:tab w:val="left" w:pos="720"/>
        </w:tabs>
        <w:spacing w:line="360" w:lineRule="auto"/>
        <w:ind w:firstLine="1440"/>
        <w:rPr>
          <w:sz w:val="26"/>
          <w:szCs w:val="26"/>
        </w:rPr>
      </w:pPr>
      <w:r w:rsidRPr="00973E75">
        <w:rPr>
          <w:sz w:val="26"/>
          <w:szCs w:val="26"/>
        </w:rPr>
        <w:t xml:space="preserve">Based on the foregoing we shall grant the FES Petition and answer the questions submitted.  We consider and answer </w:t>
      </w:r>
      <w:r w:rsidR="00956A0A">
        <w:rPr>
          <w:sz w:val="26"/>
          <w:szCs w:val="26"/>
        </w:rPr>
        <w:t xml:space="preserve">the </w:t>
      </w:r>
      <w:r w:rsidRPr="00973E75">
        <w:rPr>
          <w:sz w:val="26"/>
          <w:szCs w:val="26"/>
        </w:rPr>
        <w:t xml:space="preserve">questions </w:t>
      </w:r>
      <w:r w:rsidR="00956A0A">
        <w:rPr>
          <w:sz w:val="26"/>
          <w:szCs w:val="26"/>
        </w:rPr>
        <w:t>consistent with our discussion, below.</w:t>
      </w:r>
    </w:p>
    <w:p w:rsidR="007B41BF" w:rsidRPr="00973E75" w:rsidRDefault="007B41BF" w:rsidP="00B62CAC">
      <w:pPr>
        <w:widowControl/>
        <w:tabs>
          <w:tab w:val="center" w:pos="0"/>
          <w:tab w:val="left" w:pos="720"/>
        </w:tabs>
        <w:spacing w:line="360" w:lineRule="auto"/>
        <w:ind w:firstLine="1440"/>
        <w:rPr>
          <w:sz w:val="26"/>
          <w:szCs w:val="26"/>
        </w:rPr>
      </w:pPr>
    </w:p>
    <w:p w:rsidR="007B41BF" w:rsidRPr="00973E75" w:rsidRDefault="007B41BF" w:rsidP="00B62CAC">
      <w:pPr>
        <w:widowControl/>
        <w:spacing w:after="200" w:line="276" w:lineRule="auto"/>
        <w:ind w:firstLine="1440"/>
        <w:rPr>
          <w:b/>
          <w:sz w:val="26"/>
          <w:szCs w:val="26"/>
        </w:rPr>
      </w:pPr>
      <w:r w:rsidRPr="00973E75">
        <w:rPr>
          <w:b/>
          <w:sz w:val="26"/>
          <w:szCs w:val="26"/>
        </w:rPr>
        <w:t xml:space="preserve">Material Question No. 1 is </w:t>
      </w:r>
      <w:proofErr w:type="gramStart"/>
      <w:r w:rsidRPr="00973E75">
        <w:rPr>
          <w:b/>
          <w:sz w:val="26"/>
          <w:szCs w:val="26"/>
        </w:rPr>
        <w:t>Answered</w:t>
      </w:r>
      <w:proofErr w:type="gramEnd"/>
      <w:r w:rsidRPr="00973E75">
        <w:rPr>
          <w:b/>
          <w:sz w:val="26"/>
          <w:szCs w:val="26"/>
        </w:rPr>
        <w:t xml:space="preserve"> in the </w:t>
      </w:r>
      <w:r w:rsidR="00956A0A">
        <w:rPr>
          <w:b/>
          <w:sz w:val="26"/>
          <w:szCs w:val="26"/>
        </w:rPr>
        <w:t>Affirmative</w:t>
      </w:r>
    </w:p>
    <w:p w:rsidR="007B41BF" w:rsidRPr="00973E75" w:rsidRDefault="007B41BF" w:rsidP="00B62CAC">
      <w:pPr>
        <w:widowControl/>
        <w:spacing w:line="360" w:lineRule="auto"/>
        <w:ind w:firstLine="1440"/>
        <w:rPr>
          <w:b/>
          <w:sz w:val="26"/>
          <w:szCs w:val="26"/>
        </w:rPr>
      </w:pPr>
    </w:p>
    <w:p w:rsidR="007B41BF" w:rsidRPr="00973E75" w:rsidRDefault="007B41BF" w:rsidP="00B62CAC">
      <w:pPr>
        <w:widowControl/>
        <w:spacing w:line="360" w:lineRule="auto"/>
        <w:ind w:firstLine="1440"/>
        <w:rPr>
          <w:sz w:val="26"/>
          <w:szCs w:val="26"/>
        </w:rPr>
      </w:pPr>
      <w:r w:rsidRPr="00973E75">
        <w:rPr>
          <w:sz w:val="26"/>
          <w:szCs w:val="26"/>
        </w:rPr>
        <w:t>Material Question No. 1 is:</w:t>
      </w:r>
    </w:p>
    <w:p w:rsidR="007B41BF" w:rsidRPr="00973E75" w:rsidRDefault="007B41BF" w:rsidP="00B62CAC">
      <w:pPr>
        <w:widowControl/>
        <w:spacing w:line="360" w:lineRule="auto"/>
        <w:ind w:firstLine="1440"/>
        <w:rPr>
          <w:sz w:val="26"/>
          <w:szCs w:val="26"/>
        </w:rPr>
      </w:pPr>
    </w:p>
    <w:p w:rsidR="007B41BF" w:rsidRPr="00973E75" w:rsidRDefault="007B41BF" w:rsidP="00B62CAC">
      <w:pPr>
        <w:pStyle w:val="ListParagraph"/>
        <w:widowControl/>
        <w:numPr>
          <w:ilvl w:val="0"/>
          <w:numId w:val="4"/>
        </w:numPr>
        <w:ind w:right="1440"/>
        <w:rPr>
          <w:sz w:val="26"/>
          <w:szCs w:val="26"/>
        </w:rPr>
      </w:pPr>
      <w:r w:rsidRPr="00973E75">
        <w:rPr>
          <w:sz w:val="26"/>
          <w:szCs w:val="26"/>
        </w:rPr>
        <w:t>Does the Commission lack subject matter jurisdiction to interpret a provision of an EGS’s retail customer supply contract as requested?</w:t>
      </w:r>
    </w:p>
    <w:p w:rsidR="007B41BF" w:rsidRPr="00973E75" w:rsidRDefault="007B41BF" w:rsidP="00B62CAC">
      <w:pPr>
        <w:widowControl/>
        <w:ind w:left="1440" w:right="1440"/>
        <w:rPr>
          <w:sz w:val="26"/>
          <w:szCs w:val="26"/>
        </w:rPr>
      </w:pPr>
    </w:p>
    <w:p w:rsidR="007B41BF" w:rsidRPr="00973E75" w:rsidRDefault="007B41BF" w:rsidP="00B62CAC">
      <w:pPr>
        <w:widowControl/>
        <w:ind w:right="720"/>
        <w:rPr>
          <w:sz w:val="26"/>
          <w:szCs w:val="26"/>
        </w:rPr>
      </w:pPr>
    </w:p>
    <w:p w:rsidR="00942CE7" w:rsidRDefault="007B41BF" w:rsidP="00B62CAC">
      <w:pPr>
        <w:widowControl/>
        <w:spacing w:line="360" w:lineRule="auto"/>
        <w:ind w:firstLine="1440"/>
        <w:rPr>
          <w:sz w:val="26"/>
          <w:szCs w:val="26"/>
        </w:rPr>
      </w:pPr>
      <w:r w:rsidRPr="00973E75">
        <w:rPr>
          <w:sz w:val="26"/>
          <w:szCs w:val="26"/>
        </w:rPr>
        <w:t xml:space="preserve">On consideration of the positions of the Parties and the applicable law, we shall answer this question in the </w:t>
      </w:r>
      <w:r w:rsidR="00956A0A">
        <w:rPr>
          <w:sz w:val="26"/>
          <w:szCs w:val="26"/>
        </w:rPr>
        <w:t>affirmative</w:t>
      </w:r>
      <w:r w:rsidRPr="00973E75">
        <w:rPr>
          <w:sz w:val="26"/>
          <w:szCs w:val="26"/>
        </w:rPr>
        <w:t>.</w:t>
      </w:r>
      <w:r w:rsidR="00894A30">
        <w:rPr>
          <w:sz w:val="26"/>
          <w:szCs w:val="26"/>
        </w:rPr>
        <w:t xml:space="preserve">  It is a basic tenet of Public Utility Law that the Commission only has those powers that are enumerated to it.  </w:t>
      </w:r>
      <w:proofErr w:type="gramStart"/>
      <w:r w:rsidR="00894A30">
        <w:rPr>
          <w:i/>
          <w:sz w:val="26"/>
          <w:szCs w:val="26"/>
        </w:rPr>
        <w:t>Feingold v. Bell Tel. Co. of Pa.</w:t>
      </w:r>
      <w:r w:rsidR="00894A30">
        <w:rPr>
          <w:sz w:val="26"/>
          <w:szCs w:val="26"/>
        </w:rPr>
        <w:t>, 477 Pa. 1, 383 A.2d 791 (1977).</w:t>
      </w:r>
      <w:proofErr w:type="gramEnd"/>
      <w:r w:rsidR="00894A30">
        <w:rPr>
          <w:sz w:val="26"/>
          <w:szCs w:val="26"/>
        </w:rPr>
        <w:t xml:space="preserve">  A review of the Code, 66 Pa. C. S. §§ 2807</w:t>
      </w:r>
      <w:r w:rsidR="00061FD9">
        <w:rPr>
          <w:sz w:val="26"/>
          <w:szCs w:val="26"/>
        </w:rPr>
        <w:t>,</w:t>
      </w:r>
      <w:r w:rsidR="00894A30">
        <w:rPr>
          <w:sz w:val="26"/>
          <w:szCs w:val="26"/>
        </w:rPr>
        <w:t xml:space="preserve"> </w:t>
      </w:r>
      <w:r w:rsidR="00894A30">
        <w:rPr>
          <w:sz w:val="26"/>
          <w:szCs w:val="26"/>
        </w:rPr>
        <w:lastRenderedPageBreak/>
        <w:t xml:space="preserve">2809, and related case law makes it clear that Commission jurisdiction does not extend to interpreting the terms and conditions of a contract between an EGS and a customer to determine whether a breach has occurred, or setting the rates an EGS can charge.  As we have observed in other proceedings, </w:t>
      </w:r>
      <w:r w:rsidR="00BA40CD">
        <w:rPr>
          <w:sz w:val="26"/>
          <w:szCs w:val="26"/>
        </w:rPr>
        <w:t xml:space="preserve">what </w:t>
      </w:r>
      <w:r w:rsidR="00894A30">
        <w:rPr>
          <w:sz w:val="26"/>
          <w:szCs w:val="26"/>
        </w:rPr>
        <w:t xml:space="preserve">the Commission can </w:t>
      </w:r>
      <w:r w:rsidR="00BA40CD">
        <w:rPr>
          <w:sz w:val="26"/>
          <w:szCs w:val="26"/>
        </w:rPr>
        <w:t xml:space="preserve">do is </w:t>
      </w:r>
      <w:r w:rsidR="00894A30">
        <w:rPr>
          <w:sz w:val="26"/>
          <w:szCs w:val="26"/>
        </w:rPr>
        <w:t>ensure that an EGS is abiding by the standards of conduct and disclosure,</w:t>
      </w:r>
      <w:r w:rsidR="00894A30">
        <w:rPr>
          <w:rStyle w:val="FootnoteReference"/>
          <w:sz w:val="26"/>
          <w:szCs w:val="26"/>
        </w:rPr>
        <w:footnoteReference w:id="11"/>
      </w:r>
      <w:r w:rsidR="00894A30">
        <w:rPr>
          <w:sz w:val="26"/>
          <w:szCs w:val="26"/>
        </w:rPr>
        <w:t xml:space="preserve"> the marketing and sales Regulations,</w:t>
      </w:r>
      <w:r w:rsidR="00894A30">
        <w:rPr>
          <w:rStyle w:val="FootnoteReference"/>
          <w:sz w:val="26"/>
          <w:szCs w:val="26"/>
        </w:rPr>
        <w:footnoteReference w:id="12"/>
      </w:r>
      <w:r w:rsidR="00894A30">
        <w:rPr>
          <w:sz w:val="26"/>
          <w:szCs w:val="26"/>
        </w:rPr>
        <w:t xml:space="preserve"> </w:t>
      </w:r>
      <w:r w:rsidR="00061FD9">
        <w:rPr>
          <w:sz w:val="26"/>
          <w:szCs w:val="26"/>
        </w:rPr>
        <w:t xml:space="preserve">and </w:t>
      </w:r>
      <w:r w:rsidR="00894A30">
        <w:rPr>
          <w:sz w:val="26"/>
          <w:szCs w:val="26"/>
        </w:rPr>
        <w:t>the contract expiration/change-of-terms notice requirements</w:t>
      </w:r>
      <w:r w:rsidR="00061FD9">
        <w:rPr>
          <w:sz w:val="26"/>
          <w:szCs w:val="26"/>
        </w:rPr>
        <w:t>;</w:t>
      </w:r>
      <w:r w:rsidR="00894A30">
        <w:rPr>
          <w:rStyle w:val="FootnoteReference"/>
          <w:sz w:val="26"/>
          <w:szCs w:val="26"/>
        </w:rPr>
        <w:footnoteReference w:id="13"/>
      </w:r>
      <w:r w:rsidR="00894A30">
        <w:rPr>
          <w:sz w:val="26"/>
          <w:szCs w:val="26"/>
        </w:rPr>
        <w:t xml:space="preserve"> and that the rate billed by an EGS was calculated in accordance with those materials.</w:t>
      </w:r>
    </w:p>
    <w:p w:rsidR="008179F0" w:rsidRDefault="008179F0"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on the foregoing, we conclude that </w:t>
      </w:r>
      <w:r w:rsidR="00942CE7">
        <w:rPr>
          <w:sz w:val="26"/>
          <w:szCs w:val="26"/>
        </w:rPr>
        <w:t xml:space="preserve">Material Question No. 1 should be answered in the affirmative, consistent with our discussion concerning the lack of Commission jurisdiction and authority to interpret the terms and conditions of the contract between an EGS and a customer concerning whether a breach has occurred. </w:t>
      </w:r>
      <w:r w:rsidRPr="00973E75">
        <w:rPr>
          <w:sz w:val="26"/>
          <w:szCs w:val="26"/>
        </w:rPr>
        <w:t xml:space="preserve"> </w:t>
      </w:r>
    </w:p>
    <w:p w:rsidR="007B41BF" w:rsidRPr="00973E75" w:rsidRDefault="007B41BF" w:rsidP="00B62CAC">
      <w:pPr>
        <w:widowControl/>
        <w:spacing w:line="360" w:lineRule="auto"/>
        <w:ind w:firstLine="1440"/>
        <w:rPr>
          <w:b/>
          <w:sz w:val="26"/>
          <w:szCs w:val="26"/>
        </w:rPr>
      </w:pPr>
      <w:r w:rsidRPr="00973E75">
        <w:rPr>
          <w:sz w:val="26"/>
          <w:szCs w:val="26"/>
        </w:rPr>
        <w:t xml:space="preserve"> </w:t>
      </w:r>
    </w:p>
    <w:p w:rsidR="007B41BF" w:rsidRPr="00973E75" w:rsidRDefault="007B41BF" w:rsidP="00B62CAC">
      <w:pPr>
        <w:widowControl/>
        <w:spacing w:line="360" w:lineRule="auto"/>
        <w:ind w:firstLine="1440"/>
        <w:rPr>
          <w:b/>
          <w:sz w:val="26"/>
          <w:szCs w:val="26"/>
        </w:rPr>
      </w:pPr>
      <w:r w:rsidRPr="00973E75">
        <w:rPr>
          <w:b/>
          <w:sz w:val="26"/>
          <w:szCs w:val="26"/>
        </w:rPr>
        <w:t xml:space="preserve">Material Question No. 2 is </w:t>
      </w:r>
      <w:proofErr w:type="gramStart"/>
      <w:r w:rsidRPr="00973E75">
        <w:rPr>
          <w:b/>
          <w:sz w:val="26"/>
          <w:szCs w:val="26"/>
        </w:rPr>
        <w:t>Answered</w:t>
      </w:r>
      <w:proofErr w:type="gramEnd"/>
      <w:r w:rsidRPr="00973E75">
        <w:rPr>
          <w:b/>
          <w:sz w:val="26"/>
          <w:szCs w:val="26"/>
        </w:rPr>
        <w:t xml:space="preserve"> in the Negative</w:t>
      </w:r>
    </w:p>
    <w:p w:rsidR="007B41BF" w:rsidRPr="00973E75" w:rsidRDefault="007B41BF" w:rsidP="00B62CAC">
      <w:pPr>
        <w:widowControl/>
        <w:ind w:left="720" w:right="720"/>
        <w:rPr>
          <w:sz w:val="26"/>
        </w:rPr>
      </w:pPr>
    </w:p>
    <w:p w:rsidR="007B41BF" w:rsidRPr="00973E75" w:rsidRDefault="007B41BF" w:rsidP="00B62CAC">
      <w:pPr>
        <w:widowControl/>
        <w:spacing w:line="360" w:lineRule="auto"/>
        <w:ind w:firstLine="1440"/>
        <w:rPr>
          <w:sz w:val="26"/>
          <w:szCs w:val="26"/>
        </w:rPr>
      </w:pPr>
      <w:r w:rsidRPr="00973E75">
        <w:rPr>
          <w:sz w:val="26"/>
          <w:szCs w:val="26"/>
        </w:rPr>
        <w:t>Material Question No. 2 is reprinted below:</w:t>
      </w:r>
    </w:p>
    <w:p w:rsidR="007B41BF" w:rsidRPr="00973E75" w:rsidRDefault="007B41BF" w:rsidP="00B62CAC">
      <w:pPr>
        <w:widowControl/>
        <w:ind w:firstLine="1440"/>
        <w:rPr>
          <w:sz w:val="26"/>
        </w:rPr>
      </w:pPr>
    </w:p>
    <w:p w:rsidR="007B41BF" w:rsidRPr="00973E75" w:rsidRDefault="007B41BF" w:rsidP="00B62CAC">
      <w:pPr>
        <w:pStyle w:val="ListParagraph"/>
        <w:widowControl/>
        <w:numPr>
          <w:ilvl w:val="0"/>
          <w:numId w:val="4"/>
        </w:numPr>
        <w:ind w:right="1440"/>
        <w:rPr>
          <w:sz w:val="26"/>
          <w:szCs w:val="26"/>
        </w:rPr>
      </w:pPr>
      <w:r w:rsidRPr="00973E75">
        <w:rPr>
          <w:sz w:val="26"/>
          <w:szCs w:val="26"/>
        </w:rPr>
        <w:t xml:space="preserve">Does the Commission’s lack of primary jurisdiction require, at minimum, a stay of the current proceedings pending action by a civil court of competent jurisdiction?  </w:t>
      </w:r>
    </w:p>
    <w:p w:rsidR="007B41BF" w:rsidRPr="00973E75" w:rsidRDefault="007B41BF" w:rsidP="00B62CAC">
      <w:pPr>
        <w:pStyle w:val="ListParagraph"/>
        <w:widowControl/>
        <w:spacing w:line="360" w:lineRule="auto"/>
        <w:ind w:left="1440" w:right="1440"/>
        <w:rPr>
          <w:sz w:val="26"/>
        </w:rPr>
      </w:pPr>
    </w:p>
    <w:p w:rsidR="00942CE7" w:rsidRDefault="007B41BF" w:rsidP="00B62CAC">
      <w:pPr>
        <w:widowControl/>
        <w:spacing w:line="360" w:lineRule="auto"/>
        <w:ind w:firstLine="1440"/>
        <w:rPr>
          <w:sz w:val="26"/>
          <w:szCs w:val="26"/>
        </w:rPr>
      </w:pPr>
      <w:r w:rsidRPr="00973E75">
        <w:rPr>
          <w:sz w:val="26"/>
          <w:szCs w:val="26"/>
        </w:rPr>
        <w:t>On consideration of the positions of the Parties and the applicable law, we</w:t>
      </w:r>
      <w:r w:rsidR="009659FC">
        <w:rPr>
          <w:sz w:val="26"/>
          <w:szCs w:val="26"/>
        </w:rPr>
        <w:t xml:space="preserve"> shall</w:t>
      </w:r>
      <w:r w:rsidRPr="00973E75">
        <w:rPr>
          <w:sz w:val="26"/>
          <w:szCs w:val="26"/>
        </w:rPr>
        <w:t xml:space="preserve"> answer the second FES question in the negative</w:t>
      </w:r>
      <w:r w:rsidR="00942CE7">
        <w:rPr>
          <w:sz w:val="26"/>
          <w:szCs w:val="26"/>
        </w:rPr>
        <w:t xml:space="preserve"> as it is based on a faulty premise: that the Commission lacks jurisdiction over the Formal Complaint</w:t>
      </w:r>
      <w:r w:rsidRPr="00973E75">
        <w:rPr>
          <w:sz w:val="26"/>
          <w:szCs w:val="26"/>
        </w:rPr>
        <w:t>.</w:t>
      </w:r>
    </w:p>
    <w:p w:rsidR="00942CE7" w:rsidRDefault="00942CE7" w:rsidP="00B62CAC">
      <w:pPr>
        <w:widowControl/>
        <w:spacing w:line="360" w:lineRule="auto"/>
        <w:ind w:firstLine="1440"/>
        <w:rPr>
          <w:sz w:val="26"/>
          <w:szCs w:val="26"/>
        </w:rPr>
      </w:pPr>
    </w:p>
    <w:p w:rsidR="00662AE9" w:rsidRDefault="00662AE9" w:rsidP="00B62CAC">
      <w:pPr>
        <w:widowControl/>
        <w:spacing w:line="360" w:lineRule="auto"/>
        <w:ind w:firstLine="1440"/>
        <w:rPr>
          <w:sz w:val="26"/>
          <w:szCs w:val="26"/>
        </w:rPr>
      </w:pPr>
      <w:r>
        <w:rPr>
          <w:sz w:val="26"/>
          <w:szCs w:val="26"/>
        </w:rPr>
        <w:lastRenderedPageBreak/>
        <w:t>Primary jurisdiction applies where an</w:t>
      </w:r>
      <w:r w:rsidRPr="00AB5834">
        <w:rPr>
          <w:sz w:val="26"/>
          <w:szCs w:val="26"/>
        </w:rPr>
        <w:t xml:space="preserve"> administrative agency cannot provide a means of complete redress to the complaining party and yet</w:t>
      </w:r>
      <w:r>
        <w:rPr>
          <w:sz w:val="26"/>
          <w:szCs w:val="26"/>
        </w:rPr>
        <w:t>,</w:t>
      </w:r>
      <w:r w:rsidRPr="00AB5834">
        <w:rPr>
          <w:sz w:val="26"/>
          <w:szCs w:val="26"/>
        </w:rPr>
        <w:t xml:space="preserve"> the dispute involves issues that are clearly better resolved in the first instance by the administrative agency charged with regulating the subject matter of the dispute.  The doctrine requires a court to transfer an issue that involves administrative expertise to the administrative agency charged with exercising that discretion and creates a workable relationship between the courts and administrative agencies wherein, in appropriate circumstances, the courts can have the benefit of the agency’s views on issues within the agency’s competence.</w:t>
      </w:r>
      <w:r>
        <w:rPr>
          <w:rStyle w:val="FootnoteReference"/>
          <w:sz w:val="26"/>
          <w:szCs w:val="26"/>
        </w:rPr>
        <w:footnoteReference w:id="14"/>
      </w:r>
      <w:r w:rsidRPr="00AB5834">
        <w:rPr>
          <w:sz w:val="26"/>
          <w:szCs w:val="26"/>
        </w:rPr>
        <w:t xml:space="preserve">  </w:t>
      </w:r>
    </w:p>
    <w:p w:rsidR="00E11BE1" w:rsidRDefault="00E11BE1" w:rsidP="00B62CAC">
      <w:pPr>
        <w:widowControl/>
        <w:spacing w:line="360" w:lineRule="auto"/>
        <w:ind w:firstLine="1440"/>
        <w:rPr>
          <w:sz w:val="26"/>
          <w:szCs w:val="26"/>
        </w:rPr>
      </w:pPr>
    </w:p>
    <w:p w:rsidR="00BF1D5A" w:rsidRDefault="004B286F" w:rsidP="00B62CAC">
      <w:pPr>
        <w:widowControl/>
        <w:spacing w:line="360" w:lineRule="auto"/>
        <w:ind w:firstLine="1440"/>
        <w:rPr>
          <w:sz w:val="26"/>
          <w:szCs w:val="26"/>
        </w:rPr>
      </w:pPr>
      <w:r>
        <w:rPr>
          <w:sz w:val="26"/>
          <w:szCs w:val="26"/>
        </w:rPr>
        <w:t>P</w:t>
      </w:r>
      <w:r w:rsidR="00662AE9">
        <w:rPr>
          <w:sz w:val="26"/>
          <w:szCs w:val="26"/>
        </w:rPr>
        <w:t xml:space="preserve">rimary jurisdiction does not apply </w:t>
      </w:r>
      <w:r w:rsidR="003B3D05">
        <w:rPr>
          <w:sz w:val="26"/>
          <w:szCs w:val="26"/>
        </w:rPr>
        <w:t xml:space="preserve">here </w:t>
      </w:r>
      <w:r w:rsidR="00662AE9">
        <w:rPr>
          <w:sz w:val="26"/>
          <w:szCs w:val="26"/>
        </w:rPr>
        <w:t xml:space="preserve">because the Commission has subject matter jurisdiction to determine whether the Code and/or its regulations have been violated, as alleged in the Complaint, and has the authority to redress any such demonstrated violations.  </w:t>
      </w:r>
    </w:p>
    <w:p w:rsidR="00BF1D5A" w:rsidRDefault="00BF1D5A" w:rsidP="00B62CAC">
      <w:pPr>
        <w:widowControl/>
        <w:spacing w:line="360" w:lineRule="auto"/>
        <w:ind w:firstLine="1440"/>
        <w:rPr>
          <w:sz w:val="26"/>
          <w:szCs w:val="26"/>
        </w:rPr>
      </w:pPr>
    </w:p>
    <w:p w:rsidR="009659FC" w:rsidRDefault="00942CE7" w:rsidP="00B62CAC">
      <w:pPr>
        <w:widowControl/>
        <w:spacing w:line="360" w:lineRule="auto"/>
        <w:ind w:firstLine="1440"/>
        <w:rPr>
          <w:sz w:val="26"/>
          <w:szCs w:val="26"/>
        </w:rPr>
      </w:pPr>
      <w:r>
        <w:rPr>
          <w:sz w:val="26"/>
          <w:szCs w:val="26"/>
        </w:rPr>
        <w:t xml:space="preserve">The FES ICCC </w:t>
      </w:r>
      <w:r w:rsidR="0063564B">
        <w:rPr>
          <w:sz w:val="26"/>
          <w:szCs w:val="26"/>
        </w:rPr>
        <w:t>C</w:t>
      </w:r>
      <w:r>
        <w:rPr>
          <w:sz w:val="26"/>
          <w:szCs w:val="26"/>
        </w:rPr>
        <w:t>omplaint raises issues beyond contract interpretation; allegations that FES’ actions violated Section 2807(d</w:t>
      </w:r>
      <w:proofErr w:type="gramStart"/>
      <w:r>
        <w:rPr>
          <w:sz w:val="26"/>
          <w:szCs w:val="26"/>
        </w:rPr>
        <w:t>)(</w:t>
      </w:r>
      <w:proofErr w:type="gramEnd"/>
      <w:r>
        <w:rPr>
          <w:sz w:val="26"/>
          <w:szCs w:val="26"/>
        </w:rPr>
        <w:t xml:space="preserve">2) of the Code, 66 Pa. C.S. </w:t>
      </w:r>
      <w:r w:rsidR="003F184B">
        <w:rPr>
          <w:sz w:val="26"/>
          <w:szCs w:val="26"/>
        </w:rPr>
        <w:br/>
      </w:r>
      <w:r>
        <w:rPr>
          <w:sz w:val="26"/>
          <w:szCs w:val="26"/>
        </w:rPr>
        <w:t>§ 2807(d)(2)</w:t>
      </w:r>
      <w:r w:rsidR="0063564B">
        <w:rPr>
          <w:sz w:val="26"/>
          <w:szCs w:val="26"/>
        </w:rPr>
        <w:t>,</w:t>
      </w:r>
      <w:r>
        <w:rPr>
          <w:sz w:val="26"/>
          <w:szCs w:val="26"/>
        </w:rPr>
        <w:t xml:space="preserve"> and Section 54.43(1) of the Commission’s Regulations, 52 Pa. Code </w:t>
      </w:r>
      <w:r w:rsidR="003F184B">
        <w:rPr>
          <w:sz w:val="26"/>
          <w:szCs w:val="26"/>
        </w:rPr>
        <w:br/>
      </w:r>
      <w:r>
        <w:rPr>
          <w:sz w:val="26"/>
          <w:szCs w:val="26"/>
        </w:rPr>
        <w:t xml:space="preserve">§ 54.43(1), are included.  Under these sections, FES is required to provide adequate and accurate information to customers, including commercial and industrial customers, regarding its services. </w:t>
      </w:r>
      <w:r w:rsidR="000147A2">
        <w:rPr>
          <w:sz w:val="26"/>
          <w:szCs w:val="26"/>
        </w:rPr>
        <w:t xml:space="preserve"> </w:t>
      </w:r>
      <w:r>
        <w:rPr>
          <w:sz w:val="26"/>
          <w:szCs w:val="26"/>
        </w:rPr>
        <w:t>The FES ICCC also raises the issue of whether FES has violated Section 54.43(f) of the Commission’s Regulations, 52 Pa. Code § 54.43(f), under which FES is responsible for any fraudulent or deceptive billing acts.</w:t>
      </w:r>
      <w:r>
        <w:rPr>
          <w:rStyle w:val="FootnoteReference"/>
          <w:sz w:val="26"/>
          <w:szCs w:val="26"/>
        </w:rPr>
        <w:footnoteReference w:id="15"/>
      </w:r>
      <w:r>
        <w:rPr>
          <w:sz w:val="26"/>
          <w:szCs w:val="26"/>
        </w:rPr>
        <w:t xml:space="preserve"> </w:t>
      </w:r>
      <w:r w:rsidR="009659FC">
        <w:rPr>
          <w:sz w:val="26"/>
          <w:szCs w:val="26"/>
        </w:rPr>
        <w:t xml:space="preserve">  Therefore, we conclude </w:t>
      </w:r>
      <w:r w:rsidR="009659FC">
        <w:rPr>
          <w:sz w:val="26"/>
          <w:szCs w:val="26"/>
        </w:rPr>
        <w:lastRenderedPageBreak/>
        <w:t>that the FES ICCC Complaint has raised issues that are within the Commission’s subject matter jurisdiction.</w:t>
      </w:r>
    </w:p>
    <w:p w:rsidR="0063564B" w:rsidRDefault="0063564B" w:rsidP="00B62CAC">
      <w:pPr>
        <w:widowControl/>
        <w:spacing w:line="360" w:lineRule="auto"/>
        <w:ind w:firstLine="1440"/>
        <w:rPr>
          <w:sz w:val="26"/>
          <w:szCs w:val="26"/>
        </w:rPr>
      </w:pPr>
    </w:p>
    <w:p w:rsidR="00662AE9" w:rsidRDefault="00662AE9" w:rsidP="00B62CAC">
      <w:pPr>
        <w:widowControl/>
        <w:spacing w:line="360" w:lineRule="auto"/>
        <w:ind w:firstLine="1440"/>
        <w:rPr>
          <w:sz w:val="26"/>
          <w:szCs w:val="26"/>
        </w:rPr>
      </w:pPr>
      <w:r>
        <w:rPr>
          <w:sz w:val="26"/>
          <w:szCs w:val="26"/>
        </w:rPr>
        <w:t>Even assuming primary jurisdiction were applicable</w:t>
      </w:r>
      <w:r w:rsidR="00C72E24">
        <w:rPr>
          <w:sz w:val="26"/>
          <w:szCs w:val="26"/>
        </w:rPr>
        <w:t xml:space="preserve"> here</w:t>
      </w:r>
      <w:r>
        <w:rPr>
          <w:sz w:val="26"/>
          <w:szCs w:val="26"/>
        </w:rPr>
        <w:t>, this</w:t>
      </w:r>
      <w:r w:rsidRPr="00D06721">
        <w:rPr>
          <w:sz w:val="26"/>
          <w:szCs w:val="26"/>
        </w:rPr>
        <w:t xml:space="preserve"> matter </w:t>
      </w:r>
      <w:r>
        <w:rPr>
          <w:sz w:val="26"/>
          <w:szCs w:val="26"/>
        </w:rPr>
        <w:t>is still properly</w:t>
      </w:r>
      <w:r w:rsidRPr="00D06721">
        <w:rPr>
          <w:sz w:val="26"/>
          <w:szCs w:val="26"/>
        </w:rPr>
        <w:t xml:space="preserve"> before the Commission.  </w:t>
      </w:r>
      <w:r w:rsidR="003B3D05">
        <w:rPr>
          <w:sz w:val="26"/>
          <w:szCs w:val="26"/>
        </w:rPr>
        <w:t xml:space="preserve">Based on the nature of the allegations </w:t>
      </w:r>
      <w:r w:rsidR="00C72E24">
        <w:rPr>
          <w:sz w:val="26"/>
          <w:szCs w:val="26"/>
        </w:rPr>
        <w:t xml:space="preserve">raised </w:t>
      </w:r>
      <w:r w:rsidR="003B3D05">
        <w:rPr>
          <w:sz w:val="26"/>
          <w:szCs w:val="26"/>
        </w:rPr>
        <w:t xml:space="preserve">here, we believe </w:t>
      </w:r>
      <w:r w:rsidRPr="00D06721">
        <w:rPr>
          <w:sz w:val="26"/>
          <w:szCs w:val="26"/>
        </w:rPr>
        <w:t>a civil court</w:t>
      </w:r>
      <w:r w:rsidR="00F54A49">
        <w:rPr>
          <w:sz w:val="26"/>
          <w:szCs w:val="26"/>
        </w:rPr>
        <w:t xml:space="preserve"> </w:t>
      </w:r>
      <w:r w:rsidRPr="00D06721">
        <w:rPr>
          <w:sz w:val="26"/>
          <w:szCs w:val="26"/>
        </w:rPr>
        <w:t xml:space="preserve">would defer to the Commission and its particular </w:t>
      </w:r>
      <w:r>
        <w:rPr>
          <w:sz w:val="26"/>
          <w:szCs w:val="26"/>
        </w:rPr>
        <w:t>expertise to address the FES ICC</w:t>
      </w:r>
      <w:r w:rsidR="003F184B">
        <w:rPr>
          <w:sz w:val="26"/>
          <w:szCs w:val="26"/>
        </w:rPr>
        <w:t>C</w:t>
      </w:r>
      <w:r>
        <w:rPr>
          <w:sz w:val="26"/>
          <w:szCs w:val="26"/>
        </w:rPr>
        <w:t xml:space="preserve"> Complaint in the first instance</w:t>
      </w:r>
      <w:r w:rsidRPr="00D06721">
        <w:rPr>
          <w:sz w:val="26"/>
          <w:szCs w:val="26"/>
        </w:rPr>
        <w:t>.</w:t>
      </w:r>
      <w:r>
        <w:rPr>
          <w:sz w:val="26"/>
          <w:szCs w:val="26"/>
        </w:rPr>
        <w:t xml:space="preserve">  </w:t>
      </w:r>
    </w:p>
    <w:p w:rsidR="00662AE9" w:rsidRDefault="00662AE9" w:rsidP="00B62CAC">
      <w:pPr>
        <w:widowControl/>
        <w:spacing w:line="360" w:lineRule="auto"/>
        <w:ind w:firstLine="1440"/>
        <w:rPr>
          <w:sz w:val="26"/>
          <w:szCs w:val="26"/>
        </w:rPr>
      </w:pPr>
    </w:p>
    <w:p w:rsidR="007B41BF" w:rsidRPr="00973E75" w:rsidRDefault="009659FC" w:rsidP="00B62CAC">
      <w:pPr>
        <w:widowControl/>
        <w:spacing w:line="360" w:lineRule="auto"/>
        <w:ind w:firstLine="1440"/>
        <w:rPr>
          <w:sz w:val="26"/>
          <w:szCs w:val="26"/>
        </w:rPr>
      </w:pPr>
      <w:r>
        <w:rPr>
          <w:sz w:val="26"/>
          <w:szCs w:val="26"/>
        </w:rPr>
        <w:t xml:space="preserve">As the FES ICCC has sufficiently raised issues that implicate the Commission’s jurisdiction, this matter should be remanded to the </w:t>
      </w:r>
      <w:r w:rsidR="0063564B">
        <w:rPr>
          <w:sz w:val="26"/>
          <w:szCs w:val="26"/>
        </w:rPr>
        <w:t>OALJ</w:t>
      </w:r>
      <w:r>
        <w:rPr>
          <w:sz w:val="26"/>
          <w:szCs w:val="26"/>
        </w:rPr>
        <w:t xml:space="preserve"> for further proceedings as may be necessary, consistent with this Opinion and Order.</w:t>
      </w:r>
    </w:p>
    <w:p w:rsidR="00E11BE1" w:rsidRDefault="00E11BE1" w:rsidP="00B62CAC">
      <w:pPr>
        <w:widowControl/>
        <w:spacing w:line="360" w:lineRule="auto"/>
        <w:ind w:firstLine="1440"/>
        <w:rPr>
          <w:sz w:val="26"/>
          <w:szCs w:val="26"/>
        </w:rPr>
      </w:pPr>
    </w:p>
    <w:p w:rsidR="007B41BF" w:rsidRDefault="009659FC" w:rsidP="00B62CAC">
      <w:pPr>
        <w:widowControl/>
        <w:spacing w:line="360" w:lineRule="auto"/>
        <w:ind w:firstLine="1440"/>
        <w:rPr>
          <w:sz w:val="26"/>
          <w:szCs w:val="26"/>
        </w:rPr>
      </w:pPr>
      <w:r>
        <w:rPr>
          <w:sz w:val="26"/>
          <w:szCs w:val="26"/>
        </w:rPr>
        <w:t>Finally, we have noted that t</w:t>
      </w:r>
      <w:r w:rsidR="007B41BF" w:rsidRPr="00973E75">
        <w:rPr>
          <w:sz w:val="26"/>
          <w:szCs w:val="26"/>
        </w:rPr>
        <w:t>he FES Petition include</w:t>
      </w:r>
      <w:r>
        <w:rPr>
          <w:sz w:val="26"/>
          <w:szCs w:val="26"/>
        </w:rPr>
        <w:t>d</w:t>
      </w:r>
      <w:r w:rsidR="007B41BF" w:rsidRPr="00973E75">
        <w:rPr>
          <w:sz w:val="26"/>
          <w:szCs w:val="26"/>
        </w:rPr>
        <w:t xml:space="preserve"> a request for a Stay pending action by a civil court of competent jurisdiction.  FES asserts that a Stay is necessary based on due process concerns</w:t>
      </w:r>
      <w:r w:rsidR="00835180" w:rsidRPr="00973E75">
        <w:rPr>
          <w:sz w:val="26"/>
          <w:szCs w:val="26"/>
        </w:rPr>
        <w:t>,</w:t>
      </w:r>
      <w:r w:rsidR="007B41BF" w:rsidRPr="00973E75">
        <w:rPr>
          <w:sz w:val="26"/>
          <w:szCs w:val="26"/>
        </w:rPr>
        <w:t xml:space="preserve"> citin</w:t>
      </w:r>
      <w:r w:rsidR="00835180" w:rsidRPr="00973E75">
        <w:rPr>
          <w:sz w:val="26"/>
          <w:szCs w:val="26"/>
        </w:rPr>
        <w:t>g</w:t>
      </w:r>
      <w:r w:rsidR="007B41BF" w:rsidRPr="00973E75">
        <w:rPr>
          <w:sz w:val="26"/>
          <w:szCs w:val="26"/>
        </w:rPr>
        <w:t xml:space="preserve"> the case of </w:t>
      </w:r>
      <w:r w:rsidR="007B41BF" w:rsidRPr="00973E75">
        <w:rPr>
          <w:i/>
          <w:sz w:val="26"/>
          <w:szCs w:val="26"/>
        </w:rPr>
        <w:t>Lyness</w:t>
      </w:r>
      <w:r w:rsidR="007B41BF" w:rsidRPr="00973E75">
        <w:rPr>
          <w:sz w:val="26"/>
          <w:szCs w:val="26"/>
        </w:rPr>
        <w:t>.</w:t>
      </w:r>
      <w:r w:rsidR="003B3D05">
        <w:rPr>
          <w:sz w:val="26"/>
          <w:szCs w:val="26"/>
        </w:rPr>
        <w:t xml:space="preserve">  </w:t>
      </w:r>
    </w:p>
    <w:p w:rsidR="00662AE9" w:rsidRPr="00973E75" w:rsidRDefault="00662AE9"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Section 332(a) of the Code, </w:t>
      </w:r>
      <w:hyperlink r:id="rId11" w:history="1">
        <w:r w:rsidRPr="00973E75">
          <w:rPr>
            <w:rStyle w:val="Hyperlink"/>
            <w:color w:val="auto"/>
            <w:sz w:val="26"/>
            <w:szCs w:val="26"/>
            <w:u w:val="none"/>
          </w:rPr>
          <w:t>66 Pa. C.S. § 332(a)</w:t>
        </w:r>
      </w:hyperlink>
      <w:r w:rsidRPr="00973E75">
        <w:rPr>
          <w:sz w:val="26"/>
          <w:szCs w:val="26"/>
        </w:rPr>
        <w:t>, provides that the party seeking a rule or order from the Commission has the burden of proof in that proceeding.  FES, therefore, has the burden of proof to establish the requisite grounds for a Stay.</w:t>
      </w:r>
      <w:r w:rsidRPr="00973E75">
        <w:rPr>
          <w:sz w:val="26"/>
          <w:szCs w:val="26"/>
        </w:rPr>
        <w:br/>
      </w:r>
    </w:p>
    <w:p w:rsidR="008E476B" w:rsidRDefault="007B41BF" w:rsidP="00B62CAC">
      <w:pPr>
        <w:widowControl/>
        <w:spacing w:line="360" w:lineRule="auto"/>
        <w:ind w:firstLine="1440"/>
        <w:rPr>
          <w:i/>
          <w:iCs/>
          <w:sz w:val="26"/>
          <w:szCs w:val="26"/>
        </w:rPr>
      </w:pPr>
      <w:r w:rsidRPr="00973E75">
        <w:rPr>
          <w:sz w:val="26"/>
          <w:szCs w:val="26"/>
        </w:rPr>
        <w:t xml:space="preserve">The requirements for a Stay are well-established pursuant to  </w:t>
      </w:r>
      <w:hyperlink r:id="rId12" w:history="1">
        <w:r w:rsidRPr="00973E75">
          <w:rPr>
            <w:rStyle w:val="Hyperlink"/>
            <w:i/>
            <w:iCs/>
            <w:color w:val="auto"/>
            <w:sz w:val="26"/>
            <w:szCs w:val="26"/>
            <w:u w:val="none"/>
          </w:rPr>
          <w:t>Pa. PUC v. Process Gas Consumers Group</w:t>
        </w:r>
        <w:r w:rsidRPr="00973E75">
          <w:rPr>
            <w:rStyle w:val="Hyperlink"/>
            <w:color w:val="auto"/>
            <w:sz w:val="26"/>
            <w:szCs w:val="26"/>
            <w:u w:val="none"/>
          </w:rPr>
          <w:t>, 502 Pa. 545, 467 A.2d 805 (1983)</w:t>
        </w:r>
      </w:hyperlink>
      <w:r w:rsidRPr="00973E75">
        <w:rPr>
          <w:sz w:val="26"/>
          <w:szCs w:val="26"/>
        </w:rPr>
        <w:t xml:space="preserve"> </w:t>
      </w:r>
      <w:r w:rsidRPr="00973E75">
        <w:rPr>
          <w:i/>
          <w:iCs/>
          <w:sz w:val="26"/>
          <w:szCs w:val="26"/>
        </w:rPr>
        <w:t xml:space="preserve">rev'd on other </w:t>
      </w:r>
    </w:p>
    <w:p w:rsidR="009E1E87" w:rsidRPr="00973E75" w:rsidRDefault="007B41BF" w:rsidP="00B62CAC">
      <w:pPr>
        <w:widowControl/>
        <w:spacing w:line="360" w:lineRule="auto"/>
        <w:rPr>
          <w:sz w:val="26"/>
          <w:szCs w:val="26"/>
        </w:rPr>
      </w:pPr>
      <w:proofErr w:type="gramStart"/>
      <w:r w:rsidRPr="00973E75">
        <w:rPr>
          <w:i/>
          <w:iCs/>
          <w:sz w:val="26"/>
          <w:szCs w:val="26"/>
        </w:rPr>
        <w:t>grounds</w:t>
      </w:r>
      <w:proofErr w:type="gramEnd"/>
      <w:r w:rsidRPr="00973E75">
        <w:rPr>
          <w:iCs/>
          <w:sz w:val="26"/>
          <w:szCs w:val="26"/>
        </w:rPr>
        <w:t>,</w:t>
      </w:r>
      <w:r w:rsidRPr="00973E75">
        <w:rPr>
          <w:sz w:val="26"/>
          <w:szCs w:val="26"/>
        </w:rPr>
        <w:t xml:space="preserve"> </w:t>
      </w:r>
      <w:hyperlink r:id="rId13" w:history="1">
        <w:r w:rsidRPr="00973E75">
          <w:rPr>
            <w:rStyle w:val="term1"/>
            <w:b w:val="0"/>
            <w:sz w:val="26"/>
            <w:szCs w:val="26"/>
          </w:rPr>
          <w:t>511 Pa. 88, 511 A.2d 1315 (1986)</w:t>
        </w:r>
      </w:hyperlink>
      <w:r w:rsidRPr="00973E75">
        <w:rPr>
          <w:sz w:val="26"/>
          <w:szCs w:val="26"/>
        </w:rPr>
        <w:t xml:space="preserve"> (</w:t>
      </w:r>
      <w:r w:rsidRPr="00973E75">
        <w:rPr>
          <w:i/>
          <w:sz w:val="26"/>
          <w:szCs w:val="26"/>
        </w:rPr>
        <w:t xml:space="preserve">Process </w:t>
      </w:r>
      <w:r w:rsidRPr="00973E75">
        <w:rPr>
          <w:sz w:val="26"/>
          <w:szCs w:val="26"/>
        </w:rPr>
        <w:t>Gas).</w:t>
      </w:r>
      <w:r w:rsidRPr="00973E75">
        <w:rPr>
          <w:rStyle w:val="FootnoteReference"/>
          <w:sz w:val="26"/>
          <w:szCs w:val="26"/>
        </w:rPr>
        <w:footnoteReference w:id="16"/>
      </w:r>
      <w:r w:rsidRPr="00973E75">
        <w:rPr>
          <w:sz w:val="26"/>
          <w:szCs w:val="26"/>
        </w:rPr>
        <w:t xml:space="preserve">  </w:t>
      </w:r>
      <w:r w:rsidR="009E1E87" w:rsidRPr="00973E75">
        <w:rPr>
          <w:sz w:val="26"/>
          <w:szCs w:val="26"/>
        </w:rPr>
        <w:t xml:space="preserve">The four stay criteria set forth in </w:t>
      </w:r>
      <w:r w:rsidR="009E1E87" w:rsidRPr="00973E75">
        <w:rPr>
          <w:i/>
          <w:iCs/>
          <w:sz w:val="26"/>
          <w:szCs w:val="26"/>
        </w:rPr>
        <w:t>Process Gas</w:t>
      </w:r>
      <w:r w:rsidR="009E1E87" w:rsidRPr="00973E75">
        <w:rPr>
          <w:sz w:val="26"/>
          <w:szCs w:val="26"/>
        </w:rPr>
        <w:t xml:space="preserve"> are:</w:t>
      </w:r>
    </w:p>
    <w:p w:rsidR="009E1E87" w:rsidRPr="00973E75" w:rsidRDefault="009E1E87" w:rsidP="00B62CAC">
      <w:pPr>
        <w:widowControl/>
        <w:spacing w:line="360" w:lineRule="auto"/>
        <w:ind w:firstLine="1440"/>
        <w:rPr>
          <w:sz w:val="26"/>
          <w:szCs w:val="26"/>
        </w:rPr>
      </w:pPr>
      <w:r w:rsidRPr="00973E75">
        <w:rPr>
          <w:sz w:val="26"/>
          <w:szCs w:val="26"/>
        </w:rPr>
        <w:t xml:space="preserve"> </w:t>
      </w:r>
    </w:p>
    <w:p w:rsidR="007C7B83" w:rsidRDefault="009E1E87" w:rsidP="00B62CAC">
      <w:pPr>
        <w:widowControl/>
        <w:ind w:left="1440" w:right="1440"/>
        <w:rPr>
          <w:sz w:val="26"/>
          <w:szCs w:val="26"/>
        </w:rPr>
      </w:pPr>
      <w:r w:rsidRPr="00973E75">
        <w:rPr>
          <w:sz w:val="26"/>
          <w:szCs w:val="26"/>
        </w:rPr>
        <w:lastRenderedPageBreak/>
        <w:t>1. The petitione</w:t>
      </w:r>
      <w:r>
        <w:rPr>
          <w:sz w:val="26"/>
          <w:szCs w:val="26"/>
        </w:rPr>
        <w:t>r makes a strong showing that it</w:t>
      </w:r>
      <w:r w:rsidRPr="00973E75">
        <w:rPr>
          <w:sz w:val="26"/>
          <w:szCs w:val="26"/>
        </w:rPr>
        <w:t xml:space="preserve"> is likely to prevail on the merits.</w:t>
      </w:r>
      <w:r w:rsidRPr="00973E75">
        <w:rPr>
          <w:sz w:val="26"/>
          <w:szCs w:val="26"/>
        </w:rPr>
        <w:br/>
      </w:r>
      <w:r w:rsidRPr="00973E75">
        <w:rPr>
          <w:sz w:val="26"/>
          <w:szCs w:val="26"/>
        </w:rPr>
        <w:br/>
        <w:t xml:space="preserve">2. The petitioner has shown that without the requested relief, </w:t>
      </w:r>
      <w:r>
        <w:rPr>
          <w:sz w:val="26"/>
          <w:szCs w:val="26"/>
        </w:rPr>
        <w:t>it</w:t>
      </w:r>
      <w:r w:rsidRPr="00973E75">
        <w:rPr>
          <w:sz w:val="26"/>
          <w:szCs w:val="26"/>
        </w:rPr>
        <w:t xml:space="preserve"> will suffer irreparable injury.</w:t>
      </w:r>
      <w:r w:rsidRPr="00973E75">
        <w:rPr>
          <w:sz w:val="26"/>
          <w:szCs w:val="26"/>
        </w:rPr>
        <w:br/>
      </w:r>
      <w:r w:rsidRPr="00973E75">
        <w:rPr>
          <w:sz w:val="26"/>
          <w:szCs w:val="26"/>
        </w:rPr>
        <w:br/>
        <w:t>3. The issuance of a stay will not substantially harm other interested parties in the proceedings.</w:t>
      </w:r>
      <w:r w:rsidRPr="00973E75">
        <w:rPr>
          <w:sz w:val="26"/>
          <w:szCs w:val="26"/>
        </w:rPr>
        <w:br/>
      </w:r>
    </w:p>
    <w:p w:rsidR="009E1E87" w:rsidRPr="00973E75" w:rsidRDefault="009E1E87" w:rsidP="00B62CAC">
      <w:pPr>
        <w:widowControl/>
        <w:ind w:left="1440" w:right="1440"/>
        <w:rPr>
          <w:sz w:val="26"/>
          <w:szCs w:val="26"/>
        </w:rPr>
      </w:pPr>
      <w:r w:rsidRPr="00973E75">
        <w:rPr>
          <w:sz w:val="26"/>
          <w:szCs w:val="26"/>
        </w:rPr>
        <w:t>4. The issuance of a stay will not adversely affect the public interest.</w:t>
      </w:r>
    </w:p>
    <w:p w:rsidR="009E1E87" w:rsidRPr="00973E75" w:rsidRDefault="009E1E87" w:rsidP="00B62CAC">
      <w:pPr>
        <w:widowControl/>
        <w:spacing w:line="360" w:lineRule="auto"/>
        <w:rPr>
          <w:sz w:val="26"/>
          <w:szCs w:val="26"/>
        </w:rPr>
      </w:pPr>
      <w:r w:rsidRPr="00973E75">
        <w:rPr>
          <w:sz w:val="26"/>
          <w:szCs w:val="26"/>
        </w:rPr>
        <w:br/>
      </w:r>
      <w:hyperlink r:id="rId14" w:history="1">
        <w:r w:rsidRPr="00973E75">
          <w:rPr>
            <w:rStyle w:val="Hyperlink"/>
            <w:i/>
            <w:iCs/>
            <w:color w:val="auto"/>
            <w:sz w:val="26"/>
            <w:szCs w:val="26"/>
            <w:u w:val="none"/>
          </w:rPr>
          <w:t>Process Gas</w:t>
        </w:r>
        <w:r w:rsidRPr="00973E75">
          <w:rPr>
            <w:rStyle w:val="Hyperlink"/>
            <w:color w:val="auto"/>
            <w:sz w:val="26"/>
            <w:szCs w:val="26"/>
            <w:u w:val="none"/>
          </w:rPr>
          <w:t>, 502 Pa. at 552-553.</w:t>
        </w:r>
      </w:hyperlink>
      <w:r w:rsidRPr="00973E75">
        <w:rPr>
          <w:sz w:val="26"/>
          <w:szCs w:val="26"/>
        </w:rPr>
        <w:t xml:space="preserve"> </w:t>
      </w:r>
    </w:p>
    <w:p w:rsidR="007B41BF" w:rsidRPr="00973E75" w:rsidRDefault="007B41BF" w:rsidP="00B62CAC">
      <w:pPr>
        <w:widowControl/>
        <w:spacing w:line="360" w:lineRule="auto"/>
        <w:rPr>
          <w:sz w:val="26"/>
          <w:szCs w:val="26"/>
        </w:rPr>
      </w:pPr>
    </w:p>
    <w:p w:rsidR="009659FC" w:rsidRDefault="007B41BF" w:rsidP="00B62CAC">
      <w:pPr>
        <w:widowControl/>
        <w:spacing w:line="360" w:lineRule="auto"/>
        <w:ind w:firstLine="1440"/>
        <w:rPr>
          <w:sz w:val="26"/>
          <w:szCs w:val="26"/>
        </w:rPr>
      </w:pPr>
      <w:r w:rsidRPr="00973E75">
        <w:rPr>
          <w:sz w:val="26"/>
          <w:szCs w:val="26"/>
        </w:rPr>
        <w:t xml:space="preserve">We do not find any basis in the record to </w:t>
      </w:r>
      <w:r w:rsidR="00835180" w:rsidRPr="00973E75">
        <w:rPr>
          <w:sz w:val="26"/>
          <w:szCs w:val="26"/>
        </w:rPr>
        <w:t xml:space="preserve">find that </w:t>
      </w:r>
      <w:r w:rsidR="00C92366" w:rsidRPr="00973E75">
        <w:rPr>
          <w:sz w:val="26"/>
          <w:szCs w:val="26"/>
        </w:rPr>
        <w:t xml:space="preserve">each of </w:t>
      </w:r>
      <w:r w:rsidRPr="00973E75">
        <w:rPr>
          <w:sz w:val="26"/>
          <w:szCs w:val="26"/>
        </w:rPr>
        <w:t xml:space="preserve">the </w:t>
      </w:r>
      <w:r w:rsidRPr="00973E75">
        <w:rPr>
          <w:i/>
          <w:sz w:val="26"/>
          <w:szCs w:val="26"/>
        </w:rPr>
        <w:t xml:space="preserve">Process Gas </w:t>
      </w:r>
      <w:r w:rsidRPr="00973E75">
        <w:rPr>
          <w:sz w:val="26"/>
          <w:szCs w:val="26"/>
        </w:rPr>
        <w:t xml:space="preserve">criteria </w:t>
      </w:r>
      <w:r w:rsidR="00C92366" w:rsidRPr="00973E75">
        <w:rPr>
          <w:sz w:val="26"/>
          <w:szCs w:val="26"/>
        </w:rPr>
        <w:t>has</w:t>
      </w:r>
      <w:r w:rsidR="00835180" w:rsidRPr="00973E75">
        <w:rPr>
          <w:sz w:val="26"/>
          <w:szCs w:val="26"/>
        </w:rPr>
        <w:t xml:space="preserve"> been satisfied.  </w:t>
      </w:r>
      <w:r w:rsidRPr="00973E75">
        <w:rPr>
          <w:sz w:val="26"/>
          <w:szCs w:val="26"/>
        </w:rPr>
        <w:t xml:space="preserve">We are familiar with the position of FES concerning the merits of this dispute.  However, we can find no </w:t>
      </w:r>
      <w:r w:rsidR="005348BD" w:rsidRPr="00973E75">
        <w:rPr>
          <w:sz w:val="26"/>
          <w:szCs w:val="26"/>
        </w:rPr>
        <w:t xml:space="preserve">facts or argument addressing </w:t>
      </w:r>
      <w:r w:rsidRPr="00973E75">
        <w:rPr>
          <w:sz w:val="26"/>
          <w:szCs w:val="26"/>
        </w:rPr>
        <w:t>the remaining criteria</w:t>
      </w:r>
      <w:r w:rsidR="009659FC">
        <w:rPr>
          <w:sz w:val="26"/>
          <w:szCs w:val="26"/>
        </w:rPr>
        <w:t xml:space="preserve"> of </w:t>
      </w:r>
      <w:r w:rsidR="009659FC">
        <w:rPr>
          <w:i/>
          <w:sz w:val="26"/>
          <w:szCs w:val="26"/>
        </w:rPr>
        <w:t>Process Gas.</w:t>
      </w:r>
      <w:r w:rsidRPr="00973E75">
        <w:rPr>
          <w:sz w:val="26"/>
          <w:szCs w:val="26"/>
        </w:rPr>
        <w:t xml:space="preserve">  </w:t>
      </w:r>
    </w:p>
    <w:p w:rsidR="00E11BE1" w:rsidRDefault="00E11BE1" w:rsidP="00B62CAC">
      <w:pPr>
        <w:widowControl/>
        <w:spacing w:line="360" w:lineRule="auto"/>
        <w:ind w:firstLine="1440"/>
        <w:rPr>
          <w:sz w:val="26"/>
          <w:szCs w:val="26"/>
        </w:rPr>
      </w:pPr>
    </w:p>
    <w:p w:rsidR="007B41BF" w:rsidRPr="00973E75" w:rsidRDefault="009659FC" w:rsidP="00B62CAC">
      <w:pPr>
        <w:widowControl/>
        <w:spacing w:line="360" w:lineRule="auto"/>
        <w:ind w:firstLine="1440"/>
        <w:rPr>
          <w:sz w:val="26"/>
          <w:szCs w:val="26"/>
        </w:rPr>
      </w:pPr>
      <w:r>
        <w:rPr>
          <w:sz w:val="26"/>
          <w:szCs w:val="26"/>
        </w:rPr>
        <w:t>Ba</w:t>
      </w:r>
      <w:r w:rsidR="007B41BF" w:rsidRPr="00973E75">
        <w:rPr>
          <w:sz w:val="26"/>
          <w:szCs w:val="26"/>
        </w:rPr>
        <w:t>sed on the foregoing, we answer Material Que</w:t>
      </w:r>
      <w:r w:rsidR="00B62CAC">
        <w:rPr>
          <w:sz w:val="26"/>
          <w:szCs w:val="26"/>
        </w:rPr>
        <w:t>stion No. 2 in the negative.</w:t>
      </w:r>
    </w:p>
    <w:p w:rsidR="007B41BF" w:rsidRPr="00973E75" w:rsidRDefault="007B41BF" w:rsidP="00B62CAC">
      <w:pPr>
        <w:widowControl/>
        <w:spacing w:line="360" w:lineRule="auto"/>
        <w:ind w:firstLine="1440"/>
        <w:rPr>
          <w:sz w:val="26"/>
          <w:szCs w:val="26"/>
        </w:rPr>
      </w:pPr>
      <w:r w:rsidRPr="00973E75">
        <w:rPr>
          <w:sz w:val="26"/>
          <w:szCs w:val="26"/>
        </w:rPr>
        <w:t xml:space="preserve"> </w:t>
      </w:r>
    </w:p>
    <w:p w:rsidR="007B41BF" w:rsidRPr="00973E75" w:rsidRDefault="007B41BF" w:rsidP="00B62CAC">
      <w:pPr>
        <w:widowControl/>
        <w:spacing w:line="360" w:lineRule="auto"/>
        <w:jc w:val="center"/>
        <w:rPr>
          <w:b/>
          <w:sz w:val="26"/>
          <w:szCs w:val="26"/>
        </w:rPr>
      </w:pPr>
      <w:r w:rsidRPr="00973E75">
        <w:rPr>
          <w:b/>
          <w:sz w:val="26"/>
          <w:szCs w:val="26"/>
        </w:rPr>
        <w:t>Conclusion</w:t>
      </w:r>
    </w:p>
    <w:p w:rsidR="007B41BF" w:rsidRPr="00973E75" w:rsidRDefault="007B41BF" w:rsidP="00B62CAC">
      <w:pPr>
        <w:widowControl/>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Based upon the foregoing discussion, we shall grant the FES Petition for Review and Answer the Material Questions raised, consistent with this Opinion and Order; </w:t>
      </w:r>
      <w:r w:rsidRPr="00973E75">
        <w:rPr>
          <w:b/>
          <w:sz w:val="26"/>
          <w:szCs w:val="26"/>
        </w:rPr>
        <w:t>THEREFORE,</w:t>
      </w:r>
      <w:r w:rsidRPr="00973E75">
        <w:rPr>
          <w:sz w:val="26"/>
          <w:szCs w:val="26"/>
        </w:rPr>
        <w:t xml:space="preserve"> </w:t>
      </w:r>
    </w:p>
    <w:p w:rsidR="007B41BF" w:rsidRPr="00973E75" w:rsidRDefault="007B41BF" w:rsidP="00B62CAC">
      <w:pPr>
        <w:widowControl/>
        <w:spacing w:line="360" w:lineRule="auto"/>
        <w:rPr>
          <w:sz w:val="26"/>
          <w:szCs w:val="26"/>
        </w:rPr>
      </w:pPr>
    </w:p>
    <w:p w:rsidR="007B41BF" w:rsidRPr="00973E75" w:rsidRDefault="007B41BF" w:rsidP="00B62CAC">
      <w:pPr>
        <w:widowControl/>
        <w:spacing w:line="360" w:lineRule="auto"/>
        <w:ind w:firstLine="1440"/>
        <w:rPr>
          <w:b/>
          <w:sz w:val="26"/>
          <w:szCs w:val="26"/>
        </w:rPr>
      </w:pPr>
      <w:r w:rsidRPr="00973E75">
        <w:rPr>
          <w:b/>
          <w:sz w:val="26"/>
          <w:szCs w:val="26"/>
        </w:rPr>
        <w:t>IT IS ORDERED:</w:t>
      </w:r>
    </w:p>
    <w:p w:rsidR="007B41BF" w:rsidRPr="00973E75" w:rsidRDefault="007B41BF" w:rsidP="00B62CAC">
      <w:pPr>
        <w:widowControl/>
        <w:spacing w:line="360" w:lineRule="auto"/>
        <w:rPr>
          <w:sz w:val="26"/>
          <w:szCs w:val="26"/>
        </w:rPr>
      </w:pPr>
    </w:p>
    <w:p w:rsidR="007B41BF" w:rsidRPr="00973E75" w:rsidRDefault="007B41BF" w:rsidP="00B62CAC">
      <w:pPr>
        <w:widowControl/>
        <w:numPr>
          <w:ilvl w:val="0"/>
          <w:numId w:val="5"/>
        </w:numPr>
        <w:tabs>
          <w:tab w:val="clear" w:pos="2160"/>
          <w:tab w:val="num" w:pos="0"/>
        </w:tabs>
        <w:spacing w:line="360" w:lineRule="auto"/>
        <w:ind w:left="0" w:firstLine="1440"/>
        <w:rPr>
          <w:sz w:val="26"/>
          <w:szCs w:val="26"/>
        </w:rPr>
      </w:pPr>
      <w:r w:rsidRPr="00973E75">
        <w:rPr>
          <w:sz w:val="26"/>
          <w:szCs w:val="26"/>
        </w:rPr>
        <w:t>That the Petition for Interlocutory Review and Answer to Material Questions, filed by FirstEnergy Solutions Corporation on August 26, 2014, is, hereby, granted.</w:t>
      </w:r>
    </w:p>
    <w:p w:rsidR="007B41BF" w:rsidRPr="00973E75" w:rsidRDefault="007B41BF" w:rsidP="00B62CAC">
      <w:pPr>
        <w:widowControl/>
        <w:tabs>
          <w:tab w:val="center" w:pos="0"/>
          <w:tab w:val="left" w:pos="720"/>
        </w:tabs>
        <w:spacing w:line="360" w:lineRule="auto"/>
        <w:ind w:firstLine="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2.</w:t>
      </w:r>
      <w:r w:rsidRPr="00973E75">
        <w:rPr>
          <w:sz w:val="26"/>
          <w:szCs w:val="26"/>
        </w:rPr>
        <w:tab/>
        <w:t xml:space="preserve">That the following question is answered in the </w:t>
      </w:r>
      <w:r w:rsidR="009659FC">
        <w:rPr>
          <w:sz w:val="26"/>
          <w:szCs w:val="26"/>
        </w:rPr>
        <w:t>affirmative, consistent with the discussion in this Opinion and Order</w:t>
      </w:r>
      <w:r w:rsidRPr="00973E75">
        <w:rPr>
          <w:sz w:val="26"/>
          <w:szCs w:val="26"/>
        </w:rPr>
        <w:t>:</w:t>
      </w:r>
    </w:p>
    <w:p w:rsidR="007B41BF" w:rsidRPr="00973E75" w:rsidRDefault="007B41BF" w:rsidP="00B62CAC">
      <w:pPr>
        <w:widowControl/>
        <w:spacing w:line="360" w:lineRule="auto"/>
        <w:ind w:left="1440"/>
        <w:rPr>
          <w:sz w:val="26"/>
          <w:szCs w:val="26"/>
        </w:rPr>
      </w:pPr>
    </w:p>
    <w:p w:rsidR="007B41BF" w:rsidRPr="00973E75" w:rsidRDefault="007B41BF" w:rsidP="00B62CAC">
      <w:pPr>
        <w:widowControl/>
        <w:ind w:left="2160" w:right="1440"/>
        <w:rPr>
          <w:sz w:val="26"/>
          <w:szCs w:val="26"/>
        </w:rPr>
      </w:pPr>
      <w:r w:rsidRPr="00973E75">
        <w:rPr>
          <w:sz w:val="26"/>
          <w:szCs w:val="26"/>
        </w:rPr>
        <w:t>Does the Commission lack subject matter jurisdiction to interpret a provision of an EGS’s retail customer supply contract as requested?</w:t>
      </w:r>
    </w:p>
    <w:p w:rsidR="007B41BF" w:rsidRPr="00973E75" w:rsidRDefault="007B41BF" w:rsidP="00B62CAC">
      <w:pPr>
        <w:widowControl/>
        <w:spacing w:line="360" w:lineRule="auto"/>
        <w:ind w:left="2160" w:right="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3.</w:t>
      </w:r>
      <w:r w:rsidRPr="00973E75">
        <w:rPr>
          <w:sz w:val="26"/>
          <w:szCs w:val="26"/>
        </w:rPr>
        <w:tab/>
        <w:t>That the following question is answered in the negative</w:t>
      </w:r>
      <w:r w:rsidR="009659FC">
        <w:rPr>
          <w:sz w:val="26"/>
          <w:szCs w:val="26"/>
        </w:rPr>
        <w:t>, consistent with the discussion in this Opinion and Order</w:t>
      </w:r>
      <w:r w:rsidRPr="00973E75">
        <w:rPr>
          <w:sz w:val="26"/>
          <w:szCs w:val="26"/>
        </w:rPr>
        <w:t>:</w:t>
      </w:r>
    </w:p>
    <w:p w:rsidR="007B41BF" w:rsidRPr="00973E75" w:rsidRDefault="007B41BF" w:rsidP="00B62CAC">
      <w:pPr>
        <w:widowControl/>
        <w:spacing w:line="360" w:lineRule="auto"/>
        <w:rPr>
          <w:sz w:val="26"/>
          <w:szCs w:val="26"/>
        </w:rPr>
      </w:pPr>
    </w:p>
    <w:p w:rsidR="007B41BF" w:rsidRPr="00973E75" w:rsidRDefault="007B41BF" w:rsidP="00B62CAC">
      <w:pPr>
        <w:widowControl/>
        <w:ind w:left="2160" w:right="1440"/>
        <w:rPr>
          <w:sz w:val="26"/>
          <w:szCs w:val="26"/>
        </w:rPr>
      </w:pPr>
      <w:r w:rsidRPr="00973E75">
        <w:rPr>
          <w:sz w:val="26"/>
          <w:szCs w:val="26"/>
        </w:rPr>
        <w:t xml:space="preserve">Does the Commission’s lack of primary jurisdiction require, at minimum, a stay of the current proceedings pending action by a civil court of competent jurisdiction?  </w:t>
      </w:r>
    </w:p>
    <w:p w:rsidR="008E476B" w:rsidRDefault="008E476B" w:rsidP="00B62CAC">
      <w:pPr>
        <w:widowControl/>
        <w:spacing w:line="360" w:lineRule="auto"/>
        <w:ind w:left="2160" w:right="1440"/>
        <w:rPr>
          <w:sz w:val="26"/>
          <w:szCs w:val="26"/>
        </w:rPr>
      </w:pPr>
    </w:p>
    <w:p w:rsidR="007B41BF" w:rsidRPr="00973E75" w:rsidRDefault="007B41BF" w:rsidP="00B62CAC">
      <w:pPr>
        <w:widowControl/>
        <w:spacing w:line="360" w:lineRule="auto"/>
        <w:ind w:firstLine="1440"/>
        <w:rPr>
          <w:sz w:val="26"/>
          <w:szCs w:val="26"/>
        </w:rPr>
      </w:pPr>
      <w:r w:rsidRPr="00973E75">
        <w:rPr>
          <w:sz w:val="26"/>
          <w:szCs w:val="26"/>
        </w:rPr>
        <w:t xml:space="preserve">4.  </w:t>
      </w:r>
      <w:r w:rsidRPr="00973E75">
        <w:rPr>
          <w:sz w:val="26"/>
          <w:szCs w:val="26"/>
        </w:rPr>
        <w:tab/>
        <w:t xml:space="preserve">That this matter is returned to the Office of Administrative Law Judge for such further proceedings as may be necessary.  </w:t>
      </w:r>
    </w:p>
    <w:p w:rsidR="007B41BF" w:rsidRPr="00973E75" w:rsidRDefault="007B41BF" w:rsidP="00B62CAC">
      <w:pPr>
        <w:widowControl/>
        <w:spacing w:line="360" w:lineRule="auto"/>
        <w:ind w:left="1440"/>
        <w:rPr>
          <w:sz w:val="26"/>
          <w:szCs w:val="26"/>
        </w:rPr>
      </w:pPr>
    </w:p>
    <w:p w:rsidR="007B41BF" w:rsidRPr="00973E75" w:rsidRDefault="007B41BF" w:rsidP="00B62CAC">
      <w:pPr>
        <w:widowControl/>
        <w:tabs>
          <w:tab w:val="left" w:pos="-720"/>
        </w:tabs>
        <w:ind w:firstLine="5040"/>
        <w:rPr>
          <w:sz w:val="26"/>
          <w:szCs w:val="26"/>
        </w:rPr>
      </w:pPr>
      <w:r w:rsidRPr="00973E75">
        <w:rPr>
          <w:b/>
          <w:sz w:val="26"/>
          <w:szCs w:val="26"/>
        </w:rPr>
        <w:t>BY THE COMMISSION,</w:t>
      </w:r>
    </w:p>
    <w:p w:rsidR="007B41BF" w:rsidRPr="00973E75" w:rsidRDefault="009A7A7C" w:rsidP="00B62CAC">
      <w:pPr>
        <w:widowControl/>
        <w:tabs>
          <w:tab w:val="left" w:pos="-720"/>
        </w:tabs>
        <w:rPr>
          <w:sz w:val="26"/>
          <w:szCs w:val="26"/>
        </w:rPr>
      </w:pPr>
      <w:r>
        <w:rPr>
          <w:noProof/>
        </w:rPr>
        <w:drawing>
          <wp:anchor distT="0" distB="0" distL="114300" distR="114300" simplePos="0" relativeHeight="251658240" behindDoc="1" locked="0" layoutInCell="1" allowOverlap="1" wp14:anchorId="25FAC009" wp14:editId="1FA5F343">
            <wp:simplePos x="0" y="0"/>
            <wp:positionH relativeFrom="column">
              <wp:posOffset>2971800</wp:posOffset>
            </wp:positionH>
            <wp:positionV relativeFrom="paragraph">
              <wp:posOffset>42545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B41BF" w:rsidRDefault="007B41BF" w:rsidP="00B62CAC">
      <w:pPr>
        <w:widowControl/>
        <w:tabs>
          <w:tab w:val="left" w:pos="-720"/>
        </w:tabs>
        <w:rPr>
          <w:sz w:val="26"/>
          <w:szCs w:val="26"/>
        </w:rPr>
      </w:pPr>
    </w:p>
    <w:p w:rsidR="00B62CAC" w:rsidRPr="00973E75" w:rsidRDefault="00B62CAC" w:rsidP="00B62CAC">
      <w:pPr>
        <w:widowControl/>
        <w:tabs>
          <w:tab w:val="left" w:pos="-720"/>
        </w:tabs>
        <w:rPr>
          <w:sz w:val="26"/>
          <w:szCs w:val="26"/>
        </w:rPr>
      </w:pP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ind w:firstLine="5040"/>
        <w:rPr>
          <w:b/>
          <w:sz w:val="26"/>
          <w:szCs w:val="26"/>
        </w:rPr>
      </w:pPr>
      <w:r w:rsidRPr="00973E75">
        <w:rPr>
          <w:sz w:val="26"/>
          <w:szCs w:val="26"/>
        </w:rPr>
        <w:t>Rosemary Chiavetta</w:t>
      </w:r>
    </w:p>
    <w:p w:rsidR="007B41BF" w:rsidRPr="00973E75" w:rsidRDefault="007B41BF" w:rsidP="00B62CAC">
      <w:pPr>
        <w:widowControl/>
        <w:tabs>
          <w:tab w:val="left" w:pos="-720"/>
        </w:tabs>
        <w:ind w:firstLine="5040"/>
        <w:rPr>
          <w:sz w:val="26"/>
          <w:szCs w:val="26"/>
        </w:rPr>
      </w:pPr>
      <w:r w:rsidRPr="00973E75">
        <w:rPr>
          <w:sz w:val="26"/>
          <w:szCs w:val="26"/>
        </w:rPr>
        <w:t>Secretary</w:t>
      </w: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rPr>
          <w:sz w:val="26"/>
          <w:szCs w:val="26"/>
        </w:rPr>
      </w:pPr>
      <w:r w:rsidRPr="00973E75">
        <w:rPr>
          <w:sz w:val="26"/>
          <w:szCs w:val="26"/>
        </w:rPr>
        <w:t>(SEAL)</w:t>
      </w: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rPr>
          <w:sz w:val="26"/>
          <w:szCs w:val="26"/>
        </w:rPr>
      </w:pPr>
      <w:r w:rsidRPr="00973E75">
        <w:rPr>
          <w:sz w:val="26"/>
          <w:szCs w:val="26"/>
        </w:rPr>
        <w:t xml:space="preserve">ORDER ADOPTED: </w:t>
      </w:r>
      <w:r w:rsidR="00EB2DB6">
        <w:rPr>
          <w:sz w:val="26"/>
          <w:szCs w:val="26"/>
        </w:rPr>
        <w:t xml:space="preserve"> November 13, 2014</w:t>
      </w:r>
    </w:p>
    <w:p w:rsidR="007B41BF" w:rsidRPr="00973E75" w:rsidRDefault="007B41BF" w:rsidP="00B62CAC">
      <w:pPr>
        <w:widowControl/>
        <w:tabs>
          <w:tab w:val="left" w:pos="-720"/>
        </w:tabs>
        <w:rPr>
          <w:sz w:val="26"/>
          <w:szCs w:val="26"/>
        </w:rPr>
      </w:pPr>
    </w:p>
    <w:p w:rsidR="007B41BF" w:rsidRPr="00973E75" w:rsidRDefault="007B41BF" w:rsidP="00B62CAC">
      <w:pPr>
        <w:widowControl/>
        <w:tabs>
          <w:tab w:val="left" w:pos="-720"/>
        </w:tabs>
        <w:rPr>
          <w:sz w:val="26"/>
          <w:szCs w:val="26"/>
        </w:rPr>
      </w:pPr>
      <w:r w:rsidRPr="00973E75">
        <w:rPr>
          <w:sz w:val="26"/>
          <w:szCs w:val="26"/>
        </w:rPr>
        <w:t xml:space="preserve">ORDER ENTERED:  </w:t>
      </w:r>
      <w:r w:rsidR="009A7A7C">
        <w:rPr>
          <w:sz w:val="26"/>
          <w:szCs w:val="26"/>
        </w:rPr>
        <w:t>December 12, 2014</w:t>
      </w:r>
      <w:bookmarkStart w:id="0" w:name="_GoBack"/>
      <w:bookmarkEnd w:id="0"/>
    </w:p>
    <w:p w:rsidR="007B41BF" w:rsidRPr="00973E75" w:rsidRDefault="007B41BF" w:rsidP="00B62CAC">
      <w:pPr>
        <w:widowControl/>
        <w:spacing w:line="360" w:lineRule="auto"/>
        <w:ind w:firstLine="1440"/>
        <w:rPr>
          <w:sz w:val="26"/>
        </w:rPr>
      </w:pPr>
      <w:r w:rsidRPr="00973E75">
        <w:rPr>
          <w:sz w:val="26"/>
        </w:rPr>
        <w:t xml:space="preserve"> </w:t>
      </w:r>
      <w:r w:rsidRPr="00973E75">
        <w:rPr>
          <w:b/>
          <w:sz w:val="26"/>
        </w:rPr>
        <w:t xml:space="preserve"> </w:t>
      </w:r>
    </w:p>
    <w:sectPr w:rsidR="007B41BF" w:rsidRPr="00973E75" w:rsidSect="00973E7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7C" w:rsidRDefault="0042747C" w:rsidP="007B41BF">
      <w:r>
        <w:separator/>
      </w:r>
    </w:p>
  </w:endnote>
  <w:endnote w:type="continuationSeparator" w:id="0">
    <w:p w:rsidR="0042747C" w:rsidRDefault="0042747C" w:rsidP="007B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764598"/>
      <w:docPartObj>
        <w:docPartGallery w:val="Page Numbers (Bottom of Page)"/>
        <w:docPartUnique/>
      </w:docPartObj>
    </w:sdtPr>
    <w:sdtEndPr>
      <w:rPr>
        <w:noProof/>
      </w:rPr>
    </w:sdtEndPr>
    <w:sdtContent>
      <w:p w:rsidR="00942CE7" w:rsidRDefault="00942CE7">
        <w:pPr>
          <w:pStyle w:val="Footer"/>
          <w:jc w:val="center"/>
        </w:pPr>
        <w:r w:rsidRPr="00973E75">
          <w:rPr>
            <w:sz w:val="26"/>
            <w:szCs w:val="26"/>
          </w:rPr>
          <w:fldChar w:fldCharType="begin"/>
        </w:r>
        <w:r w:rsidRPr="00973E75">
          <w:rPr>
            <w:sz w:val="26"/>
            <w:szCs w:val="26"/>
          </w:rPr>
          <w:instrText xml:space="preserve"> PAGE   \* MERGEFORMAT </w:instrText>
        </w:r>
        <w:r w:rsidRPr="00973E75">
          <w:rPr>
            <w:sz w:val="26"/>
            <w:szCs w:val="26"/>
          </w:rPr>
          <w:fldChar w:fldCharType="separate"/>
        </w:r>
        <w:r w:rsidR="009A7A7C">
          <w:rPr>
            <w:noProof/>
            <w:sz w:val="26"/>
            <w:szCs w:val="26"/>
          </w:rPr>
          <w:t>24</w:t>
        </w:r>
        <w:r w:rsidRPr="00973E75">
          <w:rPr>
            <w:noProof/>
            <w:sz w:val="26"/>
            <w:szCs w:val="26"/>
          </w:rPr>
          <w:fldChar w:fldCharType="end"/>
        </w:r>
      </w:p>
    </w:sdtContent>
  </w:sdt>
  <w:p w:rsidR="00942CE7" w:rsidRDefault="00942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7C" w:rsidRDefault="0042747C" w:rsidP="007B41BF">
      <w:r>
        <w:separator/>
      </w:r>
    </w:p>
  </w:footnote>
  <w:footnote w:type="continuationSeparator" w:id="0">
    <w:p w:rsidR="0042747C" w:rsidRDefault="0042747C" w:rsidP="007B41BF">
      <w:r>
        <w:continuationSeparator/>
      </w:r>
    </w:p>
  </w:footnote>
  <w:footnote w:id="1">
    <w:p w:rsidR="00942CE7" w:rsidRDefault="00942CE7" w:rsidP="007B41BF">
      <w:pPr>
        <w:pStyle w:val="FootnoteText"/>
        <w:ind w:firstLine="720"/>
      </w:pPr>
      <w:r>
        <w:rPr>
          <w:rStyle w:val="FootnoteReference"/>
        </w:rPr>
        <w:footnoteRef/>
      </w:r>
      <w:r>
        <w:t xml:space="preserve">   </w:t>
      </w:r>
      <w:r>
        <w:tab/>
      </w:r>
      <w:r w:rsidRPr="00F41F4D">
        <w:rPr>
          <w:sz w:val="26"/>
          <w:szCs w:val="26"/>
        </w:rPr>
        <w:t>The Complaint cites</w:t>
      </w:r>
      <w:r>
        <w:rPr>
          <w:sz w:val="26"/>
          <w:szCs w:val="26"/>
        </w:rPr>
        <w:t xml:space="preserve">, </w:t>
      </w:r>
      <w:r>
        <w:rPr>
          <w:i/>
          <w:sz w:val="26"/>
          <w:szCs w:val="26"/>
        </w:rPr>
        <w:t>inter alia</w:t>
      </w:r>
      <w:r>
        <w:rPr>
          <w:sz w:val="26"/>
          <w:szCs w:val="26"/>
        </w:rPr>
        <w:t>,</w:t>
      </w:r>
      <w:r>
        <w:t xml:space="preserve"> </w:t>
      </w:r>
      <w:r w:rsidRPr="00E81E35">
        <w:rPr>
          <w:sz w:val="26"/>
          <w:szCs w:val="26"/>
        </w:rPr>
        <w:t>52 Pa. Code § 54.4</w:t>
      </w:r>
      <w:r>
        <w:rPr>
          <w:sz w:val="26"/>
          <w:szCs w:val="26"/>
        </w:rPr>
        <w:t xml:space="preserve"> of the Commission’s Regulations, notwithstanding certain of our Regulations specifically apply to residential and small business customers. </w:t>
      </w:r>
    </w:p>
  </w:footnote>
  <w:footnote w:id="2">
    <w:p w:rsidR="00942CE7" w:rsidRPr="00EB2DB6" w:rsidRDefault="00942CE7" w:rsidP="00EB2DB6">
      <w:pPr>
        <w:pStyle w:val="FootnoteText"/>
        <w:ind w:firstLine="720"/>
        <w:rPr>
          <w:sz w:val="26"/>
          <w:szCs w:val="26"/>
        </w:rPr>
      </w:pPr>
      <w:r>
        <w:rPr>
          <w:rStyle w:val="FootnoteReference"/>
        </w:rPr>
        <w:footnoteRef/>
      </w:r>
      <w:r>
        <w:tab/>
      </w:r>
      <w:r>
        <w:rPr>
          <w:sz w:val="26"/>
          <w:szCs w:val="26"/>
        </w:rPr>
        <w:t xml:space="preserve">FES ICCC alleged that FES waived the surcharge for residential ratepayers.  </w:t>
      </w:r>
      <w:r w:rsidRPr="00B84DE3">
        <w:rPr>
          <w:i/>
          <w:sz w:val="26"/>
          <w:szCs w:val="26"/>
        </w:rPr>
        <w:t>See</w:t>
      </w:r>
      <w:r>
        <w:rPr>
          <w:sz w:val="26"/>
          <w:szCs w:val="26"/>
        </w:rPr>
        <w:t xml:space="preserve"> Complaint at 5 n. 14.</w:t>
      </w:r>
    </w:p>
  </w:footnote>
  <w:footnote w:id="3">
    <w:p w:rsidR="00942CE7" w:rsidRPr="00CD45D0" w:rsidRDefault="00942CE7" w:rsidP="007B41BF">
      <w:pPr>
        <w:pStyle w:val="FootnoteText"/>
        <w:ind w:firstLine="720"/>
        <w:rPr>
          <w:sz w:val="26"/>
          <w:szCs w:val="26"/>
        </w:rPr>
      </w:pPr>
      <w:r>
        <w:rPr>
          <w:rStyle w:val="FootnoteReference"/>
        </w:rPr>
        <w:footnoteRef/>
      </w:r>
      <w:r>
        <w:t xml:space="preserve">   </w:t>
      </w:r>
      <w:r>
        <w:tab/>
      </w:r>
      <w:r w:rsidRPr="00CD45D0">
        <w:rPr>
          <w:sz w:val="26"/>
          <w:szCs w:val="26"/>
        </w:rPr>
        <w:t xml:space="preserve">The Interim Order, summarizing the position of the </w:t>
      </w:r>
      <w:r>
        <w:rPr>
          <w:sz w:val="26"/>
          <w:szCs w:val="26"/>
        </w:rPr>
        <w:t>FES ICCC,</w:t>
      </w:r>
      <w:r w:rsidRPr="00CD45D0">
        <w:rPr>
          <w:sz w:val="26"/>
          <w:szCs w:val="26"/>
        </w:rPr>
        <w:t xml:space="preserve"> references “small business” customers.  </w:t>
      </w:r>
      <w:proofErr w:type="gramStart"/>
      <w:r w:rsidRPr="00CD45D0">
        <w:rPr>
          <w:sz w:val="26"/>
          <w:szCs w:val="26"/>
        </w:rPr>
        <w:t>Interim Order at</w:t>
      </w:r>
      <w:r>
        <w:rPr>
          <w:sz w:val="26"/>
          <w:szCs w:val="26"/>
        </w:rPr>
        <w:t xml:space="preserve"> 2</w:t>
      </w:r>
      <w:r w:rsidRPr="00CD45D0">
        <w:rPr>
          <w:sz w:val="26"/>
          <w:szCs w:val="26"/>
        </w:rPr>
        <w:t>.</w:t>
      </w:r>
      <w:proofErr w:type="gramEnd"/>
    </w:p>
  </w:footnote>
  <w:footnote w:id="4">
    <w:p w:rsidR="00942CE7" w:rsidRPr="00FB3EBE" w:rsidRDefault="00942CE7" w:rsidP="007B41BF">
      <w:pPr>
        <w:pStyle w:val="FootnoteText"/>
        <w:ind w:firstLine="720"/>
        <w:rPr>
          <w:sz w:val="26"/>
          <w:szCs w:val="26"/>
        </w:rPr>
      </w:pPr>
      <w:r>
        <w:rPr>
          <w:rStyle w:val="FootnoteReference"/>
        </w:rPr>
        <w:footnoteRef/>
      </w:r>
      <w:r>
        <w:t xml:space="preserve">   </w:t>
      </w:r>
      <w:r>
        <w:tab/>
      </w:r>
      <w:r w:rsidRPr="00FB3EBE">
        <w:rPr>
          <w:sz w:val="26"/>
          <w:szCs w:val="26"/>
        </w:rPr>
        <w:t>ALJ Dunderdale is the Presiding Officer in t</w:t>
      </w:r>
      <w:r>
        <w:rPr>
          <w:sz w:val="26"/>
          <w:szCs w:val="26"/>
        </w:rPr>
        <w:t xml:space="preserve">he </w:t>
      </w:r>
      <w:r>
        <w:rPr>
          <w:i/>
          <w:sz w:val="26"/>
          <w:szCs w:val="26"/>
        </w:rPr>
        <w:t xml:space="preserve">OSBA Declaratory Order Petition </w:t>
      </w:r>
      <w:r>
        <w:rPr>
          <w:sz w:val="26"/>
          <w:szCs w:val="26"/>
        </w:rPr>
        <w:t>proceeding</w:t>
      </w:r>
      <w:r w:rsidRPr="00FB3EBE">
        <w:rPr>
          <w:sz w:val="26"/>
          <w:szCs w:val="26"/>
        </w:rPr>
        <w:t>.</w:t>
      </w:r>
    </w:p>
  </w:footnote>
  <w:footnote w:id="5">
    <w:p w:rsidR="00942CE7" w:rsidRDefault="00942CE7" w:rsidP="007B41BF">
      <w:pPr>
        <w:pStyle w:val="FootnoteText"/>
        <w:ind w:firstLine="720"/>
      </w:pPr>
      <w:r>
        <w:rPr>
          <w:rStyle w:val="FootnoteReference"/>
        </w:rPr>
        <w:footnoteRef/>
      </w:r>
      <w:r>
        <w:t xml:space="preserve">   </w:t>
      </w:r>
      <w:r>
        <w:tab/>
      </w:r>
      <w:r w:rsidRPr="006A5C60">
        <w:rPr>
          <w:sz w:val="26"/>
          <w:szCs w:val="26"/>
        </w:rPr>
        <w:t xml:space="preserve">The </w:t>
      </w:r>
      <w:r w:rsidRPr="000036E0">
        <w:rPr>
          <w:sz w:val="26"/>
          <w:szCs w:val="26"/>
        </w:rPr>
        <w:t xml:space="preserve">FES ICCC petitioned to intervene in the </w:t>
      </w:r>
      <w:r w:rsidRPr="00CD45D0">
        <w:rPr>
          <w:i/>
          <w:sz w:val="26"/>
          <w:szCs w:val="26"/>
        </w:rPr>
        <w:t>OSBA Declaratory Order Petition</w:t>
      </w:r>
      <w:r w:rsidRPr="000036E0">
        <w:rPr>
          <w:sz w:val="26"/>
          <w:szCs w:val="26"/>
        </w:rPr>
        <w:t xml:space="preserve"> proceed</w:t>
      </w:r>
      <w:r>
        <w:rPr>
          <w:sz w:val="26"/>
          <w:szCs w:val="26"/>
        </w:rPr>
        <w:t>ing</w:t>
      </w:r>
      <w:r w:rsidRPr="000036E0">
        <w:rPr>
          <w:sz w:val="26"/>
          <w:szCs w:val="26"/>
        </w:rPr>
        <w:t>.</w:t>
      </w:r>
      <w:r>
        <w:rPr>
          <w:sz w:val="26"/>
          <w:szCs w:val="26"/>
        </w:rPr>
        <w:t xml:space="preserve">  The FES ICCC petition to intervene was granted.   </w:t>
      </w:r>
    </w:p>
  </w:footnote>
  <w:footnote w:id="6">
    <w:p w:rsidR="00942CE7" w:rsidRDefault="00942CE7" w:rsidP="00B62CAC">
      <w:pPr>
        <w:pStyle w:val="FootnoteText"/>
        <w:keepNext/>
        <w:keepLines/>
        <w:ind w:firstLine="720"/>
      </w:pPr>
      <w:r>
        <w:rPr>
          <w:rStyle w:val="FootnoteReference"/>
        </w:rPr>
        <w:footnoteRef/>
      </w:r>
      <w:r>
        <w:t xml:space="preserve">   </w:t>
      </w:r>
      <w:r>
        <w:tab/>
      </w:r>
      <w:r w:rsidRPr="000036E0">
        <w:rPr>
          <w:sz w:val="26"/>
          <w:szCs w:val="26"/>
        </w:rPr>
        <w:t>We acknowledge the argument of FES, as with other EGS companies, that they are not “public utilities” for all purposes under the Code</w:t>
      </w:r>
      <w:r>
        <w:rPr>
          <w:sz w:val="26"/>
          <w:szCs w:val="26"/>
        </w:rPr>
        <w:t xml:space="preserve">, 66 Pa. C.S. §§ 101, </w:t>
      </w:r>
      <w:r>
        <w:rPr>
          <w:i/>
          <w:sz w:val="26"/>
          <w:szCs w:val="26"/>
        </w:rPr>
        <w:t>et seq</w:t>
      </w:r>
      <w:r w:rsidRPr="000036E0">
        <w:rPr>
          <w:sz w:val="26"/>
          <w:szCs w:val="26"/>
        </w:rPr>
        <w:t>.</w:t>
      </w:r>
      <w:r>
        <w:t xml:space="preserve"> </w:t>
      </w:r>
    </w:p>
  </w:footnote>
  <w:footnote w:id="7">
    <w:p w:rsidR="00942CE7" w:rsidRPr="00F970FD" w:rsidRDefault="00942CE7" w:rsidP="00B62CAC">
      <w:pPr>
        <w:pStyle w:val="FootnoteText"/>
        <w:keepNext/>
        <w:keepLines/>
        <w:ind w:firstLine="720"/>
        <w:rPr>
          <w:sz w:val="26"/>
          <w:szCs w:val="26"/>
        </w:rPr>
      </w:pPr>
      <w:r>
        <w:rPr>
          <w:rStyle w:val="FootnoteReference"/>
        </w:rPr>
        <w:footnoteRef/>
      </w:r>
      <w:r>
        <w:t xml:space="preserve">  </w:t>
      </w:r>
      <w:r>
        <w:tab/>
        <w:t xml:space="preserve"> </w:t>
      </w:r>
      <w:r w:rsidRPr="00F970FD">
        <w:rPr>
          <w:sz w:val="26"/>
          <w:szCs w:val="26"/>
        </w:rPr>
        <w:t>FES</w:t>
      </w:r>
      <w:r>
        <w:rPr>
          <w:sz w:val="26"/>
          <w:szCs w:val="26"/>
        </w:rPr>
        <w:t xml:space="preserve"> takes issue, </w:t>
      </w:r>
      <w:r>
        <w:rPr>
          <w:i/>
          <w:sz w:val="26"/>
          <w:szCs w:val="26"/>
        </w:rPr>
        <w:t>inter alia</w:t>
      </w:r>
      <w:r>
        <w:rPr>
          <w:sz w:val="26"/>
          <w:szCs w:val="26"/>
        </w:rPr>
        <w:t xml:space="preserve">, with perceived inconsistent representations to this Commission by the FES ICCC regarding the level of sophistication of its members.  FES asserts that, in this proceeding, the FES ICCC suggests that its members may be unsophisticated and susceptible to deceptive practices regarding the “Pass-Through Event” provision in their contracts.  FES points out that this position is to be contrasted with the statements of seven of the eleven FES ICCC members who were participants in the Commission proceeding, </w:t>
      </w:r>
      <w:r>
        <w:rPr>
          <w:i/>
          <w:sz w:val="26"/>
          <w:szCs w:val="26"/>
        </w:rPr>
        <w:t>Joint Petition of Metropolitan Edison, et al. for Approval of their Default Service Programs</w:t>
      </w:r>
      <w:r>
        <w:rPr>
          <w:sz w:val="26"/>
          <w:szCs w:val="26"/>
        </w:rPr>
        <w:t xml:space="preserve">, Docket Nos. P-2013-2391368, </w:t>
      </w:r>
      <w:r w:rsidRPr="00973E75">
        <w:rPr>
          <w:i/>
          <w:sz w:val="26"/>
          <w:szCs w:val="26"/>
        </w:rPr>
        <w:t>et al.</w:t>
      </w:r>
      <w:r>
        <w:rPr>
          <w:sz w:val="26"/>
          <w:szCs w:val="26"/>
        </w:rPr>
        <w:t xml:space="preserve"> (Recommended Decision issued May 6, 2014).  </w:t>
      </w:r>
      <w:r>
        <w:rPr>
          <w:i/>
          <w:sz w:val="26"/>
          <w:szCs w:val="26"/>
        </w:rPr>
        <w:t>See</w:t>
      </w:r>
      <w:r>
        <w:rPr>
          <w:sz w:val="26"/>
          <w:szCs w:val="26"/>
        </w:rPr>
        <w:t xml:space="preserve"> FES New Matter at ¶¶ 47-56.  In this docket, certain of the FES ICCC members argued that they were sophisticated purchasers of energy who use competitively negotiated supply cont</w:t>
      </w:r>
      <w:r w:rsidR="00B62CAC">
        <w:rPr>
          <w:sz w:val="26"/>
          <w:szCs w:val="26"/>
        </w:rPr>
        <w:t xml:space="preserve">racts.  </w:t>
      </w:r>
      <w:proofErr w:type="gramStart"/>
      <w:r w:rsidR="00B62CAC">
        <w:rPr>
          <w:sz w:val="26"/>
          <w:szCs w:val="26"/>
        </w:rPr>
        <w:t>FES New Matter at ¶ 55.</w:t>
      </w:r>
      <w:proofErr w:type="gramEnd"/>
    </w:p>
  </w:footnote>
  <w:footnote w:id="8">
    <w:p w:rsidR="00942CE7" w:rsidRPr="006A314A" w:rsidRDefault="00942CE7" w:rsidP="007B41BF">
      <w:pPr>
        <w:rPr>
          <w:sz w:val="26"/>
          <w:szCs w:val="26"/>
        </w:rPr>
      </w:pPr>
      <w:r>
        <w:tab/>
      </w:r>
      <w:r>
        <w:rPr>
          <w:rStyle w:val="FootnoteReference"/>
        </w:rPr>
        <w:footnoteRef/>
      </w:r>
      <w:r>
        <w:t xml:space="preserve"> </w:t>
      </w:r>
      <w:r>
        <w:tab/>
      </w:r>
      <w:r w:rsidRPr="006A314A">
        <w:rPr>
          <w:sz w:val="26"/>
          <w:szCs w:val="26"/>
        </w:rPr>
        <w:t>Our rules governing interlocutory review found at 52 Pa. Code §§ 5.301-5.303, replaced rules that formerly governed interlocutory review which were found at 52 Pa. Code § 3.191.  The Commission’s past holdings under the former rules regarding the requisite criteria for interlocutory review are still valid.  69 Pa. P.U.C. at 468-469.</w:t>
      </w:r>
    </w:p>
    <w:p w:rsidR="00942CE7" w:rsidRDefault="00942CE7" w:rsidP="007B41BF">
      <w:pPr>
        <w:pStyle w:val="FootnoteText"/>
      </w:pPr>
    </w:p>
  </w:footnote>
  <w:footnote w:id="9">
    <w:p w:rsidR="00942CE7" w:rsidRPr="005947AC" w:rsidRDefault="00942CE7" w:rsidP="00B62CAC">
      <w:pPr>
        <w:pStyle w:val="FootnoteText"/>
        <w:keepNext/>
        <w:keepLines/>
        <w:widowControl/>
        <w:ind w:firstLine="720"/>
        <w:rPr>
          <w:sz w:val="26"/>
          <w:szCs w:val="26"/>
        </w:rPr>
      </w:pPr>
      <w:r>
        <w:rPr>
          <w:rStyle w:val="FootnoteReference"/>
        </w:rPr>
        <w:footnoteRef/>
      </w:r>
      <w:r>
        <w:t xml:space="preserve">  </w:t>
      </w:r>
      <w:r>
        <w:tab/>
      </w:r>
      <w:r w:rsidRPr="005947AC">
        <w:rPr>
          <w:sz w:val="26"/>
          <w:szCs w:val="26"/>
        </w:rPr>
        <w:t>FES</w:t>
      </w:r>
      <w:r>
        <w:rPr>
          <w:sz w:val="26"/>
          <w:szCs w:val="26"/>
        </w:rPr>
        <w:t xml:space="preserve">, in opposition to the position of the FES ICCC, has argued that the OCA initially raised the Commission’s </w:t>
      </w:r>
      <w:r>
        <w:rPr>
          <w:i/>
          <w:sz w:val="26"/>
          <w:szCs w:val="26"/>
        </w:rPr>
        <w:t>Fixed-Price Order</w:t>
      </w:r>
      <w:r>
        <w:rPr>
          <w:sz w:val="26"/>
          <w:szCs w:val="26"/>
        </w:rPr>
        <w:t xml:space="preserve"> in its arguments in support of Commission jurisdiction in this dispute.   </w:t>
      </w:r>
    </w:p>
  </w:footnote>
  <w:footnote w:id="10">
    <w:p w:rsidR="00942CE7" w:rsidRDefault="00942CE7" w:rsidP="00B62CAC">
      <w:pPr>
        <w:pStyle w:val="FootnoteText"/>
        <w:keepNext/>
        <w:keepLines/>
        <w:ind w:firstLine="720"/>
      </w:pPr>
      <w:r>
        <w:rPr>
          <w:rStyle w:val="FootnoteReference"/>
        </w:rPr>
        <w:footnoteRef/>
      </w:r>
      <w:r>
        <w:t xml:space="preserve">  </w:t>
      </w:r>
      <w:r>
        <w:tab/>
      </w:r>
      <w:r w:rsidRPr="00E758EA">
        <w:rPr>
          <w:sz w:val="26"/>
          <w:szCs w:val="26"/>
        </w:rPr>
        <w:t xml:space="preserve">We </w:t>
      </w:r>
      <w:r>
        <w:rPr>
          <w:sz w:val="26"/>
          <w:szCs w:val="26"/>
        </w:rPr>
        <w:t xml:space="preserve">further take official notice that there are also pending before the Commission formal complaints filed by the Pennsylvania Office of Attorney General (OAG) and the OCA, raising legal claims, </w:t>
      </w:r>
      <w:r>
        <w:rPr>
          <w:i/>
          <w:sz w:val="26"/>
          <w:szCs w:val="26"/>
        </w:rPr>
        <w:t>inter alia</w:t>
      </w:r>
      <w:r>
        <w:rPr>
          <w:sz w:val="26"/>
          <w:szCs w:val="26"/>
        </w:rPr>
        <w:t xml:space="preserve">, of a violation of Commission Regulations involving accurate disclosure information, against EGS companies marketing variable rate generation service products in Pennsylvania.  </w:t>
      </w:r>
      <w:r>
        <w:rPr>
          <w:i/>
          <w:sz w:val="26"/>
          <w:szCs w:val="26"/>
        </w:rPr>
        <w:t>See</w:t>
      </w:r>
      <w:r>
        <w:rPr>
          <w:sz w:val="26"/>
          <w:szCs w:val="26"/>
        </w:rPr>
        <w:t xml:space="preserve"> </w:t>
      </w:r>
      <w:r>
        <w:rPr>
          <w:i/>
          <w:sz w:val="26"/>
          <w:szCs w:val="26"/>
        </w:rPr>
        <w:t>Comm. of Pa. v. Respond Power, LLC</w:t>
      </w:r>
      <w:r>
        <w:rPr>
          <w:sz w:val="26"/>
          <w:szCs w:val="26"/>
        </w:rPr>
        <w:t xml:space="preserve">, Docket No. C-2014-2427659; </w:t>
      </w:r>
      <w:r>
        <w:rPr>
          <w:i/>
          <w:sz w:val="26"/>
          <w:szCs w:val="26"/>
        </w:rPr>
        <w:t>Comm. of Pa. v. Blue Pilot Energy, LLC</w:t>
      </w:r>
      <w:r>
        <w:rPr>
          <w:sz w:val="26"/>
          <w:szCs w:val="26"/>
        </w:rPr>
        <w:t xml:space="preserve">, Docket No. </w:t>
      </w:r>
      <w:r w:rsidRPr="000C584C">
        <w:rPr>
          <w:bCs/>
          <w:color w:val="000000"/>
          <w:sz w:val="26"/>
          <w:szCs w:val="26"/>
        </w:rPr>
        <w:t>C-2014-242765</w:t>
      </w:r>
      <w:r>
        <w:rPr>
          <w:bCs/>
          <w:color w:val="000000"/>
          <w:sz w:val="26"/>
          <w:szCs w:val="26"/>
        </w:rPr>
        <w:t>5</w:t>
      </w:r>
      <w:r>
        <w:rPr>
          <w:sz w:val="26"/>
          <w:szCs w:val="26"/>
        </w:rPr>
        <w:t xml:space="preserve">; </w:t>
      </w:r>
      <w:r>
        <w:rPr>
          <w:i/>
          <w:sz w:val="26"/>
          <w:szCs w:val="26"/>
        </w:rPr>
        <w:t>Comm. of Pa. v. Energy Services Providers, Inc., d/b/a Pennsylvania Gas &amp; Electric,</w:t>
      </w:r>
      <w:r>
        <w:rPr>
          <w:sz w:val="26"/>
          <w:szCs w:val="26"/>
        </w:rPr>
        <w:t xml:space="preserve"> Docket No. C-2014-2427656, and </w:t>
      </w:r>
      <w:r>
        <w:rPr>
          <w:i/>
          <w:sz w:val="26"/>
          <w:szCs w:val="26"/>
        </w:rPr>
        <w:t>Comm. of Pa. v. IDT Energy, Inc.</w:t>
      </w:r>
      <w:r>
        <w:rPr>
          <w:sz w:val="26"/>
          <w:szCs w:val="26"/>
        </w:rPr>
        <w:t xml:space="preserve">, Docket No. </w:t>
      </w:r>
      <w:proofErr w:type="gramStart"/>
      <w:r w:rsidRPr="000C584C">
        <w:rPr>
          <w:bCs/>
          <w:color w:val="000000"/>
          <w:sz w:val="26"/>
          <w:szCs w:val="26"/>
        </w:rPr>
        <w:t>C-2014-2427657</w:t>
      </w:r>
      <w:r>
        <w:rPr>
          <w:bCs/>
          <w:color w:val="000000"/>
          <w:sz w:val="26"/>
          <w:szCs w:val="26"/>
        </w:rPr>
        <w:t>.</w:t>
      </w:r>
      <w:proofErr w:type="gramEnd"/>
      <w:r>
        <w:rPr>
          <w:sz w:val="26"/>
          <w:szCs w:val="26"/>
        </w:rPr>
        <w:t xml:space="preserve">   </w:t>
      </w:r>
    </w:p>
  </w:footnote>
  <w:footnote w:id="11">
    <w:p w:rsidR="00942CE7" w:rsidRPr="00A154E3" w:rsidRDefault="00942CE7" w:rsidP="00894A30">
      <w:pPr>
        <w:pStyle w:val="FootnoteText"/>
        <w:ind w:firstLine="720"/>
        <w:rPr>
          <w:sz w:val="26"/>
          <w:szCs w:val="26"/>
        </w:rPr>
      </w:pPr>
      <w:r>
        <w:rPr>
          <w:rStyle w:val="FootnoteReference"/>
        </w:rPr>
        <w:footnoteRef/>
      </w:r>
      <w:r>
        <w:t xml:space="preserve"> </w:t>
      </w:r>
      <w:r>
        <w:tab/>
      </w:r>
      <w:proofErr w:type="gramStart"/>
      <w:r w:rsidRPr="00A154E3">
        <w:rPr>
          <w:sz w:val="26"/>
          <w:szCs w:val="26"/>
        </w:rPr>
        <w:t>52 Pa. Code § 54.5</w:t>
      </w:r>
      <w:r w:rsidR="00D03F60">
        <w:rPr>
          <w:sz w:val="26"/>
          <w:szCs w:val="26"/>
        </w:rPr>
        <w:t xml:space="preserve"> (applicable to residential and small business customers only)</w:t>
      </w:r>
      <w:r w:rsidRPr="00A154E3">
        <w:rPr>
          <w:sz w:val="26"/>
          <w:szCs w:val="26"/>
        </w:rPr>
        <w:t>.</w:t>
      </w:r>
      <w:proofErr w:type="gramEnd"/>
    </w:p>
  </w:footnote>
  <w:footnote w:id="12">
    <w:p w:rsidR="00942CE7" w:rsidRPr="00F30ED3" w:rsidRDefault="00942CE7" w:rsidP="00894A30">
      <w:pPr>
        <w:pStyle w:val="FootnoteText"/>
        <w:ind w:firstLine="720"/>
        <w:rPr>
          <w:sz w:val="26"/>
          <w:szCs w:val="26"/>
        </w:rPr>
      </w:pPr>
      <w:r>
        <w:rPr>
          <w:rStyle w:val="FootnoteReference"/>
        </w:rPr>
        <w:footnoteRef/>
      </w:r>
      <w:r>
        <w:t xml:space="preserve"> </w:t>
      </w:r>
      <w:r>
        <w:tab/>
      </w:r>
      <w:proofErr w:type="gramStart"/>
      <w:r w:rsidRPr="00F30ED3">
        <w:rPr>
          <w:sz w:val="26"/>
          <w:szCs w:val="26"/>
        </w:rPr>
        <w:t>52 Pa. Code §§ 54.3, 54.6, and 54.7</w:t>
      </w:r>
      <w:r w:rsidR="001D7A9C">
        <w:rPr>
          <w:sz w:val="26"/>
          <w:szCs w:val="26"/>
        </w:rPr>
        <w:t xml:space="preserve"> (</w:t>
      </w:r>
      <w:r w:rsidR="000A45F1">
        <w:rPr>
          <w:sz w:val="26"/>
          <w:szCs w:val="26"/>
        </w:rPr>
        <w:t>Sections 54.6 and</w:t>
      </w:r>
      <w:r w:rsidR="008202E2">
        <w:rPr>
          <w:sz w:val="26"/>
          <w:szCs w:val="26"/>
        </w:rPr>
        <w:t xml:space="preserve"> 54.7 are </w:t>
      </w:r>
      <w:r w:rsidR="001D7A9C">
        <w:rPr>
          <w:sz w:val="26"/>
          <w:szCs w:val="26"/>
        </w:rPr>
        <w:t>applicable to r</w:t>
      </w:r>
      <w:r w:rsidR="00D03F60">
        <w:rPr>
          <w:sz w:val="26"/>
          <w:szCs w:val="26"/>
        </w:rPr>
        <w:t>esidential and small business customers</w:t>
      </w:r>
      <w:r w:rsidR="008202E2">
        <w:rPr>
          <w:sz w:val="26"/>
          <w:szCs w:val="26"/>
        </w:rPr>
        <w:t xml:space="preserve"> only</w:t>
      </w:r>
      <w:r w:rsidR="001D7A9C">
        <w:rPr>
          <w:sz w:val="26"/>
          <w:szCs w:val="26"/>
        </w:rPr>
        <w:t>)</w:t>
      </w:r>
      <w:r w:rsidRPr="00F30ED3">
        <w:rPr>
          <w:sz w:val="26"/>
          <w:szCs w:val="26"/>
        </w:rPr>
        <w:t>; 52 Pa. Code §§ 54.43(1) and 54.43(f); 52 Pa. Code § 54.122(3).</w:t>
      </w:r>
      <w:proofErr w:type="gramEnd"/>
    </w:p>
  </w:footnote>
  <w:footnote w:id="13">
    <w:p w:rsidR="00942CE7" w:rsidRPr="00F30ED3" w:rsidRDefault="00942CE7" w:rsidP="00894A30">
      <w:pPr>
        <w:pStyle w:val="FootnoteText"/>
        <w:ind w:firstLine="720"/>
        <w:rPr>
          <w:sz w:val="26"/>
          <w:szCs w:val="26"/>
        </w:rPr>
      </w:pPr>
      <w:r>
        <w:rPr>
          <w:rStyle w:val="FootnoteReference"/>
        </w:rPr>
        <w:footnoteRef/>
      </w:r>
      <w:r>
        <w:t xml:space="preserve"> </w:t>
      </w:r>
      <w:r>
        <w:tab/>
      </w:r>
      <w:proofErr w:type="gramStart"/>
      <w:r w:rsidRPr="00F30ED3">
        <w:rPr>
          <w:sz w:val="26"/>
          <w:szCs w:val="26"/>
        </w:rPr>
        <w:t>52 Pa. Code § 54.10</w:t>
      </w:r>
      <w:r w:rsidR="001D7A9C">
        <w:rPr>
          <w:sz w:val="26"/>
          <w:szCs w:val="26"/>
        </w:rPr>
        <w:t xml:space="preserve"> (applicable to </w:t>
      </w:r>
      <w:r w:rsidR="00D03F60">
        <w:rPr>
          <w:sz w:val="26"/>
          <w:szCs w:val="26"/>
        </w:rPr>
        <w:t>residential and small business</w:t>
      </w:r>
      <w:r w:rsidR="001D7A9C">
        <w:rPr>
          <w:sz w:val="26"/>
          <w:szCs w:val="26"/>
        </w:rPr>
        <w:t xml:space="preserve"> customers</w:t>
      </w:r>
      <w:r w:rsidR="000A45F1">
        <w:rPr>
          <w:sz w:val="26"/>
          <w:szCs w:val="26"/>
        </w:rPr>
        <w:t xml:space="preserve"> only</w:t>
      </w:r>
      <w:r w:rsidR="001D7A9C">
        <w:rPr>
          <w:sz w:val="26"/>
          <w:szCs w:val="26"/>
        </w:rPr>
        <w:t>)</w:t>
      </w:r>
      <w:r w:rsidRPr="00F30ED3">
        <w:rPr>
          <w:sz w:val="26"/>
          <w:szCs w:val="26"/>
        </w:rPr>
        <w:t>.</w:t>
      </w:r>
      <w:proofErr w:type="gramEnd"/>
    </w:p>
  </w:footnote>
  <w:footnote w:id="14">
    <w:p w:rsidR="00662AE9" w:rsidRDefault="00662AE9" w:rsidP="00662AE9">
      <w:pPr>
        <w:pStyle w:val="FootnoteText"/>
        <w:ind w:firstLine="720"/>
      </w:pPr>
      <w:r>
        <w:rPr>
          <w:rStyle w:val="FootnoteReference"/>
        </w:rPr>
        <w:footnoteRef/>
      </w:r>
      <w:r>
        <w:t xml:space="preserve"> </w:t>
      </w:r>
      <w:r>
        <w:tab/>
      </w:r>
      <w:proofErr w:type="gramStart"/>
      <w:r w:rsidRPr="00AB5834">
        <w:rPr>
          <w:i/>
          <w:sz w:val="26"/>
          <w:szCs w:val="26"/>
        </w:rPr>
        <w:t xml:space="preserve">Petition of Verizon Pennsylvania Inc. for Resolution of a Dispute with CTSI, LLC Pursuant to the Abbreviated Dispute Resolution Process, </w:t>
      </w:r>
      <w:r w:rsidRPr="00AB5834">
        <w:rPr>
          <w:sz w:val="26"/>
          <w:szCs w:val="26"/>
        </w:rPr>
        <w:t>Docket No.</w:t>
      </w:r>
      <w:proofErr w:type="gramEnd"/>
      <w:r w:rsidRPr="00AB5834">
        <w:rPr>
          <w:sz w:val="26"/>
          <w:szCs w:val="26"/>
        </w:rPr>
        <w:t xml:space="preserve"> </w:t>
      </w:r>
      <w:r w:rsidR="003F184B">
        <w:rPr>
          <w:sz w:val="26"/>
          <w:szCs w:val="26"/>
        </w:rPr>
        <w:br/>
      </w:r>
      <w:r w:rsidRPr="00AB5834">
        <w:rPr>
          <w:sz w:val="26"/>
          <w:szCs w:val="26"/>
        </w:rPr>
        <w:t>P-00042088 (Order entered July 8, 2004).</w:t>
      </w:r>
      <w:r>
        <w:rPr>
          <w:sz w:val="26"/>
          <w:szCs w:val="26"/>
        </w:rPr>
        <w:t xml:space="preserve">  We note that there is </w:t>
      </w:r>
      <w:r w:rsidR="00FA4A7B">
        <w:rPr>
          <w:sz w:val="26"/>
          <w:szCs w:val="26"/>
        </w:rPr>
        <w:t xml:space="preserve">currently </w:t>
      </w:r>
      <w:r>
        <w:rPr>
          <w:sz w:val="26"/>
          <w:szCs w:val="26"/>
        </w:rPr>
        <w:t>no pending civil proceeding involving the same or similar allegations to the FES ICC Complaint where the doctrine could be invoked.</w:t>
      </w:r>
      <w:r w:rsidRPr="00AB5834">
        <w:rPr>
          <w:sz w:val="26"/>
          <w:szCs w:val="26"/>
        </w:rPr>
        <w:t xml:space="preserve">  </w:t>
      </w:r>
    </w:p>
  </w:footnote>
  <w:footnote w:id="15">
    <w:p w:rsidR="00942CE7" w:rsidRPr="00942CE7" w:rsidRDefault="00942CE7" w:rsidP="00942CE7">
      <w:pPr>
        <w:pStyle w:val="FootnoteText"/>
        <w:ind w:firstLine="720"/>
        <w:rPr>
          <w:sz w:val="26"/>
          <w:szCs w:val="26"/>
        </w:rPr>
      </w:pPr>
      <w:r>
        <w:rPr>
          <w:rStyle w:val="FootnoteReference"/>
        </w:rPr>
        <w:footnoteRef/>
      </w:r>
      <w:r>
        <w:t xml:space="preserve"> </w:t>
      </w:r>
      <w:r>
        <w:tab/>
      </w:r>
      <w:r w:rsidRPr="00942CE7">
        <w:rPr>
          <w:sz w:val="26"/>
          <w:szCs w:val="26"/>
        </w:rPr>
        <w:t xml:space="preserve">Section 54.122(3) of the Commission’s Regulations also precludes EGSs from engaging in false or deceptive advertising to customers.  </w:t>
      </w:r>
      <w:r w:rsidRPr="00942CE7">
        <w:rPr>
          <w:i/>
          <w:sz w:val="26"/>
          <w:szCs w:val="26"/>
        </w:rPr>
        <w:t>See</w:t>
      </w:r>
      <w:r w:rsidRPr="00942CE7">
        <w:rPr>
          <w:sz w:val="26"/>
          <w:szCs w:val="26"/>
        </w:rPr>
        <w:t xml:space="preserve"> 52 Pa. Code </w:t>
      </w:r>
      <w:r w:rsidR="00AD2259">
        <w:rPr>
          <w:sz w:val="26"/>
          <w:szCs w:val="26"/>
        </w:rPr>
        <w:br/>
      </w:r>
      <w:r w:rsidRPr="00942CE7">
        <w:rPr>
          <w:sz w:val="26"/>
          <w:szCs w:val="26"/>
        </w:rPr>
        <w:t>§ 54.122(3).</w:t>
      </w:r>
    </w:p>
  </w:footnote>
  <w:footnote w:id="16">
    <w:p w:rsidR="00942CE7" w:rsidRPr="00B6117B" w:rsidRDefault="00942CE7" w:rsidP="007B41BF">
      <w:pPr>
        <w:rPr>
          <w:sz w:val="26"/>
          <w:szCs w:val="26"/>
        </w:rPr>
      </w:pPr>
      <w:r>
        <w:tab/>
      </w:r>
      <w:r>
        <w:rPr>
          <w:rStyle w:val="FootnoteReference"/>
        </w:rPr>
        <w:footnoteRef/>
      </w:r>
      <w:r>
        <w:t xml:space="preserve">   </w:t>
      </w:r>
      <w:r>
        <w:tab/>
      </w:r>
      <w:r w:rsidRPr="00B6117B">
        <w:rPr>
          <w:sz w:val="26"/>
          <w:szCs w:val="26"/>
        </w:rPr>
        <w:t xml:space="preserve">The court adopted the standards of </w:t>
      </w:r>
      <w:hyperlink r:id="rId1" w:history="1">
        <w:r w:rsidRPr="00B6117B">
          <w:rPr>
            <w:rStyle w:val="Emphasis"/>
            <w:sz w:val="26"/>
            <w:szCs w:val="26"/>
          </w:rPr>
          <w:t>Virginia Petroleum Jobbers Association v. FPC</w:t>
        </w:r>
        <w:r w:rsidRPr="00B6117B">
          <w:rPr>
            <w:rStyle w:val="Hyperlink"/>
            <w:color w:val="auto"/>
            <w:sz w:val="26"/>
            <w:szCs w:val="26"/>
            <w:u w:val="none"/>
          </w:rPr>
          <w:t>, 259 F.2d 921 (D.C.</w:t>
        </w:r>
        <w:r>
          <w:rPr>
            <w:rStyle w:val="Hyperlink"/>
            <w:color w:val="auto"/>
            <w:sz w:val="26"/>
            <w:szCs w:val="26"/>
            <w:u w:val="none"/>
          </w:rPr>
          <w:t xml:space="preserve"> </w:t>
        </w:r>
        <w:r w:rsidRPr="00B6117B">
          <w:rPr>
            <w:rStyle w:val="Hyperlink"/>
            <w:color w:val="auto"/>
            <w:sz w:val="26"/>
            <w:szCs w:val="26"/>
            <w:u w:val="none"/>
          </w:rPr>
          <w:t>Cir.</w:t>
        </w:r>
        <w:r>
          <w:rPr>
            <w:rStyle w:val="Hyperlink"/>
            <w:color w:val="auto"/>
            <w:sz w:val="26"/>
            <w:szCs w:val="26"/>
            <w:u w:val="none"/>
          </w:rPr>
          <w:t xml:space="preserve"> </w:t>
        </w:r>
        <w:r w:rsidRPr="00B6117B">
          <w:rPr>
            <w:rStyle w:val="Hyperlink"/>
            <w:color w:val="auto"/>
            <w:sz w:val="26"/>
            <w:szCs w:val="26"/>
            <w:u w:val="none"/>
          </w:rPr>
          <w:t>1958)</w:t>
        </w:r>
      </w:hyperlink>
      <w:r w:rsidRPr="00B6117B">
        <w:rPr>
          <w:sz w:val="26"/>
          <w:szCs w:val="26"/>
        </w:rPr>
        <w:t xml:space="preserve"> as refined by </w:t>
      </w:r>
      <w:hyperlink r:id="rId2" w:history="1">
        <w:r w:rsidRPr="00B6117B">
          <w:rPr>
            <w:rStyle w:val="Emphasis"/>
            <w:sz w:val="26"/>
            <w:szCs w:val="26"/>
          </w:rPr>
          <w:t>Washington Metropolitan Area Transit Commission v. Holiday Tours, Inc.</w:t>
        </w:r>
        <w:r w:rsidRPr="00B6117B">
          <w:rPr>
            <w:rStyle w:val="Hyperlink"/>
            <w:color w:val="auto"/>
            <w:sz w:val="26"/>
            <w:szCs w:val="26"/>
            <w:u w:val="none"/>
          </w:rPr>
          <w:t>, 559 F.2d 841(D.C.</w:t>
        </w:r>
        <w:r>
          <w:rPr>
            <w:rStyle w:val="Hyperlink"/>
            <w:color w:val="auto"/>
            <w:sz w:val="26"/>
            <w:szCs w:val="26"/>
            <w:u w:val="none"/>
          </w:rPr>
          <w:t xml:space="preserve"> </w:t>
        </w:r>
        <w:r w:rsidRPr="00B6117B">
          <w:rPr>
            <w:rStyle w:val="Hyperlink"/>
            <w:color w:val="auto"/>
            <w:sz w:val="26"/>
            <w:szCs w:val="26"/>
            <w:u w:val="none"/>
          </w:rPr>
          <w:t>Cir.1977)</w:t>
        </w:r>
      </w:hyperlink>
      <w:r>
        <w:rPr>
          <w:sz w:val="26"/>
          <w:szCs w:val="26"/>
        </w:rPr>
        <w:t xml:space="preserve">; </w:t>
      </w:r>
      <w:r>
        <w:rPr>
          <w:i/>
          <w:sz w:val="26"/>
          <w:szCs w:val="26"/>
        </w:rPr>
        <w:t xml:space="preserve">see also </w:t>
      </w:r>
      <w:hyperlink r:id="rId3" w:anchor="co_pp_sp_162_1003" w:history="1">
        <w:r w:rsidRPr="00601793">
          <w:rPr>
            <w:rStyle w:val="Emphasis"/>
            <w:sz w:val="26"/>
            <w:szCs w:val="26"/>
          </w:rPr>
          <w:t>Maritrans G.P., Inc. v. Pepper, Hamilton &amp; Scheetz</w:t>
        </w:r>
        <w:r w:rsidRPr="00B6117B">
          <w:rPr>
            <w:rStyle w:val="Hyperlink"/>
            <w:sz w:val="26"/>
            <w:szCs w:val="26"/>
            <w:u w:val="none"/>
          </w:rPr>
          <w:t>,</w:t>
        </w:r>
        <w:r w:rsidRPr="00B6117B">
          <w:rPr>
            <w:rStyle w:val="Hyperlink"/>
            <w:color w:val="auto"/>
            <w:sz w:val="26"/>
            <w:szCs w:val="26"/>
            <w:u w:val="none"/>
          </w:rPr>
          <w:t xml:space="preserve"> 524 Pa. 415,</w:t>
        </w:r>
        <w:r>
          <w:rPr>
            <w:rStyle w:val="Hyperlink"/>
            <w:sz w:val="26"/>
            <w:szCs w:val="26"/>
            <w:u w:val="none"/>
          </w:rPr>
          <w:t xml:space="preserve"> </w:t>
        </w:r>
        <w:r w:rsidRPr="00B6117B">
          <w:rPr>
            <w:rStyle w:val="Hyperlink"/>
            <w:color w:val="auto"/>
            <w:sz w:val="26"/>
            <w:szCs w:val="26"/>
            <w:u w:val="none"/>
          </w:rPr>
          <w:t>573 A.2d 1001(1990)</w:t>
        </w:r>
      </w:hyperlink>
      <w:r>
        <w:rPr>
          <w:sz w:val="26"/>
          <w:szCs w:val="26"/>
        </w:rPr>
        <w:t>.</w:t>
      </w:r>
    </w:p>
    <w:p w:rsidR="00942CE7" w:rsidRDefault="00942CE7" w:rsidP="007B41BF">
      <w:pPr>
        <w:pStyle w:val="FootnoteText"/>
      </w:pPr>
      <w:r w:rsidRPr="00B6117B">
        <w:t xml:space="preserve"> </w:t>
      </w:r>
      <w:r w:rsidRPr="00B6117B">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513933DA"/>
    <w:multiLevelType w:val="hybridMultilevel"/>
    <w:tmpl w:val="0BEA86A2"/>
    <w:lvl w:ilvl="0" w:tplc="2E4EF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CD224E"/>
    <w:multiLevelType w:val="hybridMultilevel"/>
    <w:tmpl w:val="23CEFDBE"/>
    <w:lvl w:ilvl="0" w:tplc="203C14B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1239B2"/>
    <w:multiLevelType w:val="hybridMultilevel"/>
    <w:tmpl w:val="01FC5B6E"/>
    <w:lvl w:ilvl="0" w:tplc="46D031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BF"/>
    <w:rsid w:val="000028AA"/>
    <w:rsid w:val="000147A2"/>
    <w:rsid w:val="000577C5"/>
    <w:rsid w:val="00061FD9"/>
    <w:rsid w:val="00070DF2"/>
    <w:rsid w:val="0007771B"/>
    <w:rsid w:val="00094985"/>
    <w:rsid w:val="000A1C16"/>
    <w:rsid w:val="000A45F1"/>
    <w:rsid w:val="000C127B"/>
    <w:rsid w:val="00103E16"/>
    <w:rsid w:val="00105F42"/>
    <w:rsid w:val="001829C3"/>
    <w:rsid w:val="0019626A"/>
    <w:rsid w:val="00197B70"/>
    <w:rsid w:val="001B3032"/>
    <w:rsid w:val="001B5F3F"/>
    <w:rsid w:val="001D3EB0"/>
    <w:rsid w:val="001D7A9C"/>
    <w:rsid w:val="001E1355"/>
    <w:rsid w:val="001F0CC3"/>
    <w:rsid w:val="001F3C54"/>
    <w:rsid w:val="001F509F"/>
    <w:rsid w:val="00233E1C"/>
    <w:rsid w:val="002850D0"/>
    <w:rsid w:val="0029011C"/>
    <w:rsid w:val="002E06BB"/>
    <w:rsid w:val="002F1C03"/>
    <w:rsid w:val="002F2F05"/>
    <w:rsid w:val="002F6DB3"/>
    <w:rsid w:val="003028A0"/>
    <w:rsid w:val="003340B3"/>
    <w:rsid w:val="003405A4"/>
    <w:rsid w:val="00341E29"/>
    <w:rsid w:val="00367A91"/>
    <w:rsid w:val="00373840"/>
    <w:rsid w:val="00383631"/>
    <w:rsid w:val="003924F4"/>
    <w:rsid w:val="00393059"/>
    <w:rsid w:val="003B3D05"/>
    <w:rsid w:val="003B4552"/>
    <w:rsid w:val="003B4921"/>
    <w:rsid w:val="003D447E"/>
    <w:rsid w:val="003D5158"/>
    <w:rsid w:val="003F184B"/>
    <w:rsid w:val="003F71C6"/>
    <w:rsid w:val="00417975"/>
    <w:rsid w:val="00424281"/>
    <w:rsid w:val="0042747C"/>
    <w:rsid w:val="004358EF"/>
    <w:rsid w:val="00444BD9"/>
    <w:rsid w:val="0045217D"/>
    <w:rsid w:val="00494DBE"/>
    <w:rsid w:val="004A6158"/>
    <w:rsid w:val="004B118B"/>
    <w:rsid w:val="004B286F"/>
    <w:rsid w:val="00504F8D"/>
    <w:rsid w:val="005170DF"/>
    <w:rsid w:val="0053266F"/>
    <w:rsid w:val="005348BD"/>
    <w:rsid w:val="00561682"/>
    <w:rsid w:val="00595CF9"/>
    <w:rsid w:val="005961D8"/>
    <w:rsid w:val="005B356E"/>
    <w:rsid w:val="00632B9A"/>
    <w:rsid w:val="0063564B"/>
    <w:rsid w:val="00636F4C"/>
    <w:rsid w:val="00662AE9"/>
    <w:rsid w:val="00663FC9"/>
    <w:rsid w:val="006844D8"/>
    <w:rsid w:val="006A6394"/>
    <w:rsid w:val="006B6E69"/>
    <w:rsid w:val="006D2C31"/>
    <w:rsid w:val="006E095B"/>
    <w:rsid w:val="00742F5F"/>
    <w:rsid w:val="00786DF1"/>
    <w:rsid w:val="007A23D4"/>
    <w:rsid w:val="007A2A46"/>
    <w:rsid w:val="007B0D90"/>
    <w:rsid w:val="007B41BF"/>
    <w:rsid w:val="007B4765"/>
    <w:rsid w:val="007C3B9E"/>
    <w:rsid w:val="007C7B83"/>
    <w:rsid w:val="007D7530"/>
    <w:rsid w:val="007F28A6"/>
    <w:rsid w:val="008179F0"/>
    <w:rsid w:val="008202E2"/>
    <w:rsid w:val="00835180"/>
    <w:rsid w:val="0086284F"/>
    <w:rsid w:val="00862FE5"/>
    <w:rsid w:val="00884A97"/>
    <w:rsid w:val="00894A30"/>
    <w:rsid w:val="00896A36"/>
    <w:rsid w:val="008A6476"/>
    <w:rsid w:val="008C4F86"/>
    <w:rsid w:val="008E476B"/>
    <w:rsid w:val="008E4F4D"/>
    <w:rsid w:val="008F040A"/>
    <w:rsid w:val="008F47C7"/>
    <w:rsid w:val="008F5EF7"/>
    <w:rsid w:val="00942CE7"/>
    <w:rsid w:val="00956A0A"/>
    <w:rsid w:val="009659FC"/>
    <w:rsid w:val="00973E75"/>
    <w:rsid w:val="009A7A7C"/>
    <w:rsid w:val="009E1E87"/>
    <w:rsid w:val="00A823C0"/>
    <w:rsid w:val="00A92BD8"/>
    <w:rsid w:val="00A9466A"/>
    <w:rsid w:val="00AC0694"/>
    <w:rsid w:val="00AD2259"/>
    <w:rsid w:val="00AE2061"/>
    <w:rsid w:val="00B26FD3"/>
    <w:rsid w:val="00B62CAC"/>
    <w:rsid w:val="00B65390"/>
    <w:rsid w:val="00B77030"/>
    <w:rsid w:val="00B84DE3"/>
    <w:rsid w:val="00BA40CD"/>
    <w:rsid w:val="00BA56CC"/>
    <w:rsid w:val="00BC76F6"/>
    <w:rsid w:val="00BF1D5A"/>
    <w:rsid w:val="00BF5D71"/>
    <w:rsid w:val="00C37E7C"/>
    <w:rsid w:val="00C614AD"/>
    <w:rsid w:val="00C72E24"/>
    <w:rsid w:val="00C833F9"/>
    <w:rsid w:val="00C92366"/>
    <w:rsid w:val="00CA68DD"/>
    <w:rsid w:val="00CB58B6"/>
    <w:rsid w:val="00CC0AD5"/>
    <w:rsid w:val="00CC15CB"/>
    <w:rsid w:val="00CD1EA9"/>
    <w:rsid w:val="00CE1F10"/>
    <w:rsid w:val="00D01085"/>
    <w:rsid w:val="00D03F60"/>
    <w:rsid w:val="00D52D5A"/>
    <w:rsid w:val="00D65103"/>
    <w:rsid w:val="00D66408"/>
    <w:rsid w:val="00D81DFC"/>
    <w:rsid w:val="00D8357C"/>
    <w:rsid w:val="00E11BE1"/>
    <w:rsid w:val="00E1461A"/>
    <w:rsid w:val="00E74AD4"/>
    <w:rsid w:val="00E84590"/>
    <w:rsid w:val="00EB2DB6"/>
    <w:rsid w:val="00EB79BB"/>
    <w:rsid w:val="00ED0FF2"/>
    <w:rsid w:val="00EE3FB3"/>
    <w:rsid w:val="00F403FA"/>
    <w:rsid w:val="00F5462D"/>
    <w:rsid w:val="00F54A49"/>
    <w:rsid w:val="00F87D2E"/>
    <w:rsid w:val="00F87FFC"/>
    <w:rsid w:val="00FA4A7B"/>
    <w:rsid w:val="00FE3CFA"/>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B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41BF"/>
    <w:pPr>
      <w:ind w:left="720"/>
      <w:contextualSpacing/>
    </w:pPr>
  </w:style>
  <w:style w:type="character" w:styleId="PlaceholderText">
    <w:name w:val="Placeholder Text"/>
    <w:basedOn w:val="DefaultParagraphFont"/>
    <w:uiPriority w:val="99"/>
    <w:semiHidden/>
    <w:rsid w:val="007B41BF"/>
    <w:rPr>
      <w:color w:val="808080"/>
    </w:rPr>
  </w:style>
  <w:style w:type="paragraph" w:styleId="BalloonText">
    <w:name w:val="Balloon Text"/>
    <w:basedOn w:val="Normal"/>
    <w:link w:val="BalloonTextChar"/>
    <w:uiPriority w:val="99"/>
    <w:semiHidden/>
    <w:unhideWhenUsed/>
    <w:rsid w:val="007B41BF"/>
    <w:rPr>
      <w:rFonts w:ascii="Tahoma" w:hAnsi="Tahoma" w:cs="Tahoma"/>
      <w:sz w:val="16"/>
      <w:szCs w:val="16"/>
    </w:rPr>
  </w:style>
  <w:style w:type="character" w:customStyle="1" w:styleId="BalloonTextChar">
    <w:name w:val="Balloon Text Char"/>
    <w:basedOn w:val="DefaultParagraphFont"/>
    <w:link w:val="BalloonText"/>
    <w:uiPriority w:val="99"/>
    <w:semiHidden/>
    <w:rsid w:val="007B41BF"/>
    <w:rPr>
      <w:rFonts w:ascii="Tahoma" w:eastAsia="Times New Roman"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7B41BF"/>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7B41B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B41BF"/>
    <w:rPr>
      <w:vertAlign w:val="superscript"/>
    </w:rPr>
  </w:style>
  <w:style w:type="character" w:customStyle="1" w:styleId="term1">
    <w:name w:val="term1"/>
    <w:basedOn w:val="DefaultParagraphFont"/>
    <w:rsid w:val="007B41BF"/>
    <w:rPr>
      <w:b/>
      <w:bCs/>
    </w:rPr>
  </w:style>
  <w:style w:type="character" w:styleId="Strong">
    <w:name w:val="Strong"/>
    <w:basedOn w:val="DefaultParagraphFont"/>
    <w:uiPriority w:val="22"/>
    <w:qFormat/>
    <w:rsid w:val="007B41BF"/>
    <w:rPr>
      <w:b/>
      <w:bCs/>
    </w:rPr>
  </w:style>
  <w:style w:type="character" w:styleId="Hyperlink">
    <w:name w:val="Hyperlink"/>
    <w:basedOn w:val="DefaultParagraphFont"/>
    <w:rsid w:val="007B41BF"/>
    <w:rPr>
      <w:color w:val="0000FF"/>
      <w:u w:val="single"/>
    </w:rPr>
  </w:style>
  <w:style w:type="character" w:styleId="CommentReference">
    <w:name w:val="annotation reference"/>
    <w:basedOn w:val="DefaultParagraphFont"/>
    <w:uiPriority w:val="99"/>
    <w:semiHidden/>
    <w:unhideWhenUsed/>
    <w:rsid w:val="007B41BF"/>
    <w:rPr>
      <w:sz w:val="16"/>
      <w:szCs w:val="16"/>
    </w:rPr>
  </w:style>
  <w:style w:type="paragraph" w:styleId="CommentText">
    <w:name w:val="annotation text"/>
    <w:basedOn w:val="Normal"/>
    <w:link w:val="CommentTextChar"/>
    <w:uiPriority w:val="99"/>
    <w:semiHidden/>
    <w:unhideWhenUsed/>
    <w:rsid w:val="007B41BF"/>
  </w:style>
  <w:style w:type="character" w:customStyle="1" w:styleId="CommentTextChar">
    <w:name w:val="Comment Text Char"/>
    <w:basedOn w:val="DefaultParagraphFont"/>
    <w:link w:val="CommentText"/>
    <w:uiPriority w:val="99"/>
    <w:semiHidden/>
    <w:rsid w:val="007B4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1BF"/>
    <w:rPr>
      <w:b/>
      <w:bCs/>
    </w:rPr>
  </w:style>
  <w:style w:type="character" w:customStyle="1" w:styleId="CommentSubjectChar">
    <w:name w:val="Comment Subject Char"/>
    <w:basedOn w:val="CommentTextChar"/>
    <w:link w:val="CommentSubject"/>
    <w:uiPriority w:val="99"/>
    <w:semiHidden/>
    <w:rsid w:val="007B41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41BF"/>
    <w:pPr>
      <w:tabs>
        <w:tab w:val="center" w:pos="4680"/>
        <w:tab w:val="right" w:pos="9360"/>
      </w:tabs>
    </w:pPr>
  </w:style>
  <w:style w:type="character" w:customStyle="1" w:styleId="HeaderChar">
    <w:name w:val="Header Char"/>
    <w:basedOn w:val="DefaultParagraphFont"/>
    <w:link w:val="Header"/>
    <w:uiPriority w:val="99"/>
    <w:rsid w:val="007B41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41BF"/>
    <w:pPr>
      <w:tabs>
        <w:tab w:val="center" w:pos="4680"/>
        <w:tab w:val="right" w:pos="9360"/>
      </w:tabs>
    </w:pPr>
  </w:style>
  <w:style w:type="character" w:customStyle="1" w:styleId="FooterChar">
    <w:name w:val="Footer Char"/>
    <w:basedOn w:val="DefaultParagraphFont"/>
    <w:link w:val="Footer"/>
    <w:uiPriority w:val="99"/>
    <w:rsid w:val="007B41BF"/>
    <w:rPr>
      <w:rFonts w:ascii="Times New Roman" w:eastAsia="Times New Roman" w:hAnsi="Times New Roman" w:cs="Times New Roman"/>
      <w:sz w:val="20"/>
      <w:szCs w:val="20"/>
    </w:rPr>
  </w:style>
  <w:style w:type="character" w:styleId="Emphasis">
    <w:name w:val="Emphasis"/>
    <w:basedOn w:val="DefaultParagraphFont"/>
    <w:uiPriority w:val="20"/>
    <w:qFormat/>
    <w:rsid w:val="007B41BF"/>
    <w:rPr>
      <w:i/>
      <w:iCs/>
    </w:rPr>
  </w:style>
  <w:style w:type="paragraph" w:styleId="Revision">
    <w:name w:val="Revision"/>
    <w:hidden/>
    <w:uiPriority w:val="99"/>
    <w:semiHidden/>
    <w:rsid w:val="001B303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B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41BF"/>
    <w:pPr>
      <w:ind w:left="720"/>
      <w:contextualSpacing/>
    </w:pPr>
  </w:style>
  <w:style w:type="character" w:styleId="PlaceholderText">
    <w:name w:val="Placeholder Text"/>
    <w:basedOn w:val="DefaultParagraphFont"/>
    <w:uiPriority w:val="99"/>
    <w:semiHidden/>
    <w:rsid w:val="007B41BF"/>
    <w:rPr>
      <w:color w:val="808080"/>
    </w:rPr>
  </w:style>
  <w:style w:type="paragraph" w:styleId="BalloonText">
    <w:name w:val="Balloon Text"/>
    <w:basedOn w:val="Normal"/>
    <w:link w:val="BalloonTextChar"/>
    <w:uiPriority w:val="99"/>
    <w:semiHidden/>
    <w:unhideWhenUsed/>
    <w:rsid w:val="007B41BF"/>
    <w:rPr>
      <w:rFonts w:ascii="Tahoma" w:hAnsi="Tahoma" w:cs="Tahoma"/>
      <w:sz w:val="16"/>
      <w:szCs w:val="16"/>
    </w:rPr>
  </w:style>
  <w:style w:type="character" w:customStyle="1" w:styleId="BalloonTextChar">
    <w:name w:val="Balloon Text Char"/>
    <w:basedOn w:val="DefaultParagraphFont"/>
    <w:link w:val="BalloonText"/>
    <w:uiPriority w:val="99"/>
    <w:semiHidden/>
    <w:rsid w:val="007B41BF"/>
    <w:rPr>
      <w:rFonts w:ascii="Tahoma" w:eastAsia="Times New Roman"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7B41BF"/>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7B41B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B41BF"/>
    <w:rPr>
      <w:vertAlign w:val="superscript"/>
    </w:rPr>
  </w:style>
  <w:style w:type="character" w:customStyle="1" w:styleId="term1">
    <w:name w:val="term1"/>
    <w:basedOn w:val="DefaultParagraphFont"/>
    <w:rsid w:val="007B41BF"/>
    <w:rPr>
      <w:b/>
      <w:bCs/>
    </w:rPr>
  </w:style>
  <w:style w:type="character" w:styleId="Strong">
    <w:name w:val="Strong"/>
    <w:basedOn w:val="DefaultParagraphFont"/>
    <w:uiPriority w:val="22"/>
    <w:qFormat/>
    <w:rsid w:val="007B41BF"/>
    <w:rPr>
      <w:b/>
      <w:bCs/>
    </w:rPr>
  </w:style>
  <w:style w:type="character" w:styleId="Hyperlink">
    <w:name w:val="Hyperlink"/>
    <w:basedOn w:val="DefaultParagraphFont"/>
    <w:rsid w:val="007B41BF"/>
    <w:rPr>
      <w:color w:val="0000FF"/>
      <w:u w:val="single"/>
    </w:rPr>
  </w:style>
  <w:style w:type="character" w:styleId="CommentReference">
    <w:name w:val="annotation reference"/>
    <w:basedOn w:val="DefaultParagraphFont"/>
    <w:uiPriority w:val="99"/>
    <w:semiHidden/>
    <w:unhideWhenUsed/>
    <w:rsid w:val="007B41BF"/>
    <w:rPr>
      <w:sz w:val="16"/>
      <w:szCs w:val="16"/>
    </w:rPr>
  </w:style>
  <w:style w:type="paragraph" w:styleId="CommentText">
    <w:name w:val="annotation text"/>
    <w:basedOn w:val="Normal"/>
    <w:link w:val="CommentTextChar"/>
    <w:uiPriority w:val="99"/>
    <w:semiHidden/>
    <w:unhideWhenUsed/>
    <w:rsid w:val="007B41BF"/>
  </w:style>
  <w:style w:type="character" w:customStyle="1" w:styleId="CommentTextChar">
    <w:name w:val="Comment Text Char"/>
    <w:basedOn w:val="DefaultParagraphFont"/>
    <w:link w:val="CommentText"/>
    <w:uiPriority w:val="99"/>
    <w:semiHidden/>
    <w:rsid w:val="007B41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1BF"/>
    <w:rPr>
      <w:b/>
      <w:bCs/>
    </w:rPr>
  </w:style>
  <w:style w:type="character" w:customStyle="1" w:styleId="CommentSubjectChar">
    <w:name w:val="Comment Subject Char"/>
    <w:basedOn w:val="CommentTextChar"/>
    <w:link w:val="CommentSubject"/>
    <w:uiPriority w:val="99"/>
    <w:semiHidden/>
    <w:rsid w:val="007B41B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41BF"/>
    <w:pPr>
      <w:tabs>
        <w:tab w:val="center" w:pos="4680"/>
        <w:tab w:val="right" w:pos="9360"/>
      </w:tabs>
    </w:pPr>
  </w:style>
  <w:style w:type="character" w:customStyle="1" w:styleId="HeaderChar">
    <w:name w:val="Header Char"/>
    <w:basedOn w:val="DefaultParagraphFont"/>
    <w:link w:val="Header"/>
    <w:uiPriority w:val="99"/>
    <w:rsid w:val="007B41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41BF"/>
    <w:pPr>
      <w:tabs>
        <w:tab w:val="center" w:pos="4680"/>
        <w:tab w:val="right" w:pos="9360"/>
      </w:tabs>
    </w:pPr>
  </w:style>
  <w:style w:type="character" w:customStyle="1" w:styleId="FooterChar">
    <w:name w:val="Footer Char"/>
    <w:basedOn w:val="DefaultParagraphFont"/>
    <w:link w:val="Footer"/>
    <w:uiPriority w:val="99"/>
    <w:rsid w:val="007B41BF"/>
    <w:rPr>
      <w:rFonts w:ascii="Times New Roman" w:eastAsia="Times New Roman" w:hAnsi="Times New Roman" w:cs="Times New Roman"/>
      <w:sz w:val="20"/>
      <w:szCs w:val="20"/>
    </w:rPr>
  </w:style>
  <w:style w:type="character" w:styleId="Emphasis">
    <w:name w:val="Emphasis"/>
    <w:basedOn w:val="DefaultParagraphFont"/>
    <w:uiPriority w:val="20"/>
    <w:qFormat/>
    <w:rsid w:val="007B41BF"/>
    <w:rPr>
      <w:i/>
      <w:iCs/>
    </w:rPr>
  </w:style>
  <w:style w:type="paragraph" w:styleId="Revision">
    <w:name w:val="Revision"/>
    <w:hidden/>
    <w:uiPriority w:val="99"/>
    <w:semiHidden/>
    <w:rsid w:val="001B30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3e8eb30dab028fcb5deb99b7765255b9&amp;_xfercite=%3ccite%20cc%3d%22USA%22%3e%3c%21%5bCDATA%5b2010%20Pa.%20PUC%20LEXIS%201433%5d%5d%3e%3c%2fcite%3e&amp;_butType=3&amp;_butStat=2&amp;_butNum=7&amp;_butInline=1&amp;_butinfo=%3ccite%20cc%3d%22USA%22%3e%3c%21%5bCDATA%5b511%20Pa.%2088%5d%5d%3e%3c%2fcite%3e&amp;_fmtstr=FULL&amp;docnum=10&amp;_startdoc=1&amp;wchp=dGLzVzt-zSkAW&amp;_md5=2ff57299ecc859933d7f3a0609ff177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3e8eb30dab028fcb5deb99b7765255b9&amp;_xfercite=%3ccite%20cc%3d%22USA%22%3e%3c%21%5bCDATA%5b2010%20Pa.%20PUC%20LEXIS%201433%5d%5d%3e%3c%2fcite%3e&amp;_butType=3&amp;_butStat=2&amp;_butNum=6&amp;_butInline=1&amp;_butinfo=%3ccite%20cc%3d%22USA%22%3e%3c%21%5bCDATA%5b502%20Pa.%20545%5d%5d%3e%3c%2fcite%3e&amp;_fmtstr=FULL&amp;docnum=10&amp;_startdoc=1&amp;wchp=dGLzVzt-zSkAW&amp;_md5=f27ebbea8c886d93d99f7158c047a5b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3e8eb30dab028fcb5deb99b7765255b9&amp;_xfercite=%3ccite%20cc%3d%22USA%22%3e%3c%21%5bCDATA%5b2010%20Pa.%20PUC%20LEXIS%201433%5d%5d%3e%3c%2fcite%3e&amp;_butType=4&amp;_butStat=0&amp;_butNum=4&amp;_butInline=1&amp;_butinfo=66%20PACS%20332&amp;_fmtstr=FULL&amp;docnum=10&amp;_startdoc=1&amp;wchp=dGLzVzt-zSkAW&amp;_md5=d212960bf8fa130c240d8cd535a5684c"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hyperlink" Target="http://www.lexis.com/research/buttonTFLink?_m=3e8eb30dab028fcb5deb99b7765255b9&amp;_xfercite=%3ccite%20cc%3d%22USA%22%3e%3c%21%5bCDATA%5b2010%20Pa.%20PUC%20LEXIS%201433%5d%5d%3e%3c%2fcite%3e&amp;_butType=3&amp;_butStat=2&amp;_butNum=9&amp;_butInline=1&amp;_butinfo=%3ccite%20cc%3d%22USA%22%3e%3c%21%5bCDATA%5b502%20Pa.%20545%2cat%20552%5d%5d%3e%3c%2fcite%3e&amp;_fmtstr=FULL&amp;docnum=10&amp;_startdoc=1&amp;wchp=dGLzVzt-zSkAW&amp;_md5=3c6fc92f22bd9b413accf2b9c6cea7f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next.westlaw.com/Link/Document/FullText?findType=Y&amp;serNum=1990071023&amp;pubNum=162&amp;fi=co_pp_sp_162_1003&amp;originationContext=document&amp;transitionType=DocumentItem&amp;contextData=(sc.Search)" TargetMode="External"/><Relationship Id="rId2" Type="http://schemas.openxmlformats.org/officeDocument/2006/relationships/hyperlink" Target="https://a.next.westlaw.com/Link/Document/FullText?findType=Y&amp;serNum=1977123214&amp;pubNum=350&amp;originationContext=document&amp;transitionType=DocumentItem&amp;contextData=(sc.Search)" TargetMode="External"/><Relationship Id="rId1" Type="http://schemas.openxmlformats.org/officeDocument/2006/relationships/hyperlink" Target="https://a.next.westlaw.com/Link/Document/FullText?findType=Y&amp;serNum=1958105365&amp;pubNum=350&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F9C2-D13D-4A80-BCF3-8F22EAA3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Hinds, Margaret</cp:lastModifiedBy>
  <cp:revision>3</cp:revision>
  <cp:lastPrinted>2014-12-12T14:54:00Z</cp:lastPrinted>
  <dcterms:created xsi:type="dcterms:W3CDTF">2014-12-11T17:38:00Z</dcterms:created>
  <dcterms:modified xsi:type="dcterms:W3CDTF">2014-12-12T14:54:00Z</dcterms:modified>
</cp:coreProperties>
</file>