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732FAA" w:rsidP="00732FAA">
      <w:pPr>
        <w:spacing w:line="240" w:lineRule="auto"/>
        <w:rPr>
          <w:b/>
        </w:rPr>
      </w:pPr>
      <w:r>
        <w:rPr>
          <w:b/>
        </w:rPr>
        <w:t>BEFORE THE</w:t>
      </w:r>
    </w:p>
    <w:p w:rsidR="00732FAA" w:rsidRDefault="00732FAA" w:rsidP="00732FAA">
      <w:pPr>
        <w:spacing w:line="240" w:lineRule="auto"/>
        <w:rPr>
          <w:b/>
        </w:rPr>
      </w:pPr>
      <w:r>
        <w:rPr>
          <w:b/>
        </w:rPr>
        <w:t>PENNSYLVANIA PUBLIC UTILITY COMMISSION</w:t>
      </w:r>
    </w:p>
    <w:p w:rsidR="00732FAA" w:rsidRDefault="00732FAA" w:rsidP="00732FAA">
      <w:pPr>
        <w:spacing w:line="240" w:lineRule="auto"/>
        <w:rPr>
          <w:b/>
        </w:rPr>
      </w:pPr>
    </w:p>
    <w:p w:rsidR="00732FAA" w:rsidRDefault="00732FAA" w:rsidP="00732FAA">
      <w:pPr>
        <w:spacing w:line="240" w:lineRule="auto"/>
        <w:jc w:val="left"/>
      </w:pPr>
    </w:p>
    <w:p w:rsidR="00A90D20" w:rsidRDefault="00A90D20" w:rsidP="00732FAA">
      <w:pPr>
        <w:spacing w:line="240" w:lineRule="auto"/>
        <w:jc w:val="left"/>
      </w:pPr>
    </w:p>
    <w:p w:rsidR="00732FAA" w:rsidRDefault="00732FAA" w:rsidP="00732FAA">
      <w:pPr>
        <w:spacing w:line="240" w:lineRule="auto"/>
        <w:jc w:val="left"/>
      </w:pPr>
      <w:r>
        <w:t>Manir Corporation</w:t>
      </w:r>
      <w:r>
        <w:tab/>
      </w:r>
      <w:r>
        <w:tab/>
      </w:r>
      <w:r>
        <w:tab/>
      </w:r>
      <w:r>
        <w:tab/>
      </w:r>
      <w:r>
        <w:tab/>
        <w:t>:</w:t>
      </w:r>
    </w:p>
    <w:p w:rsidR="00732FAA" w:rsidRDefault="00732FAA" w:rsidP="00732FAA">
      <w:pPr>
        <w:spacing w:line="240" w:lineRule="auto"/>
        <w:jc w:val="left"/>
      </w:pPr>
      <w:r>
        <w:tab/>
      </w:r>
      <w:r>
        <w:tab/>
      </w:r>
      <w:r>
        <w:tab/>
      </w:r>
      <w:r>
        <w:tab/>
      </w:r>
      <w:r>
        <w:tab/>
      </w:r>
      <w:r>
        <w:tab/>
      </w:r>
      <w:r>
        <w:tab/>
        <w:t>:</w:t>
      </w:r>
    </w:p>
    <w:p w:rsidR="00732FAA" w:rsidRDefault="00732FAA" w:rsidP="00732FAA">
      <w:pPr>
        <w:spacing w:line="240" w:lineRule="auto"/>
        <w:jc w:val="left"/>
      </w:pPr>
      <w:r>
        <w:tab/>
        <w:t>v.</w:t>
      </w:r>
      <w:r>
        <w:tab/>
      </w:r>
      <w:r>
        <w:tab/>
      </w:r>
      <w:r>
        <w:tab/>
      </w:r>
      <w:r>
        <w:tab/>
      </w:r>
      <w:r>
        <w:tab/>
      </w:r>
      <w:r>
        <w:tab/>
        <w:t>:</w:t>
      </w:r>
      <w:r>
        <w:tab/>
      </w:r>
      <w:r>
        <w:tab/>
      </w:r>
      <w:r>
        <w:tab/>
        <w:t>C-2014-2443015</w:t>
      </w:r>
    </w:p>
    <w:p w:rsidR="00732FAA" w:rsidRDefault="00732FAA" w:rsidP="00732FAA">
      <w:pPr>
        <w:spacing w:line="240" w:lineRule="auto"/>
        <w:jc w:val="left"/>
      </w:pPr>
      <w:r>
        <w:tab/>
      </w:r>
      <w:r>
        <w:tab/>
      </w:r>
      <w:r>
        <w:tab/>
      </w:r>
      <w:r>
        <w:tab/>
      </w:r>
      <w:r>
        <w:tab/>
      </w:r>
      <w:r>
        <w:tab/>
      </w:r>
      <w:r>
        <w:tab/>
        <w:t>:</w:t>
      </w:r>
    </w:p>
    <w:p w:rsidR="00732FAA" w:rsidRDefault="00732FAA" w:rsidP="00732FAA">
      <w:pPr>
        <w:spacing w:line="240" w:lineRule="auto"/>
        <w:jc w:val="left"/>
      </w:pPr>
      <w:r>
        <w:t>PECO Energy Corporation</w:t>
      </w:r>
      <w:r>
        <w:tab/>
      </w:r>
      <w:r>
        <w:tab/>
      </w:r>
      <w:r>
        <w:tab/>
      </w:r>
      <w:r>
        <w:tab/>
        <w:t>:</w:t>
      </w:r>
    </w:p>
    <w:p w:rsidR="00732FAA" w:rsidRDefault="00732FAA" w:rsidP="00732FAA">
      <w:pPr>
        <w:spacing w:line="240" w:lineRule="auto"/>
        <w:jc w:val="left"/>
      </w:pPr>
    </w:p>
    <w:p w:rsidR="00A90D20" w:rsidRDefault="00A90D20" w:rsidP="00732FAA">
      <w:pPr>
        <w:spacing w:line="240" w:lineRule="auto"/>
        <w:jc w:val="left"/>
      </w:pPr>
    </w:p>
    <w:p w:rsidR="00732FAA" w:rsidRDefault="00732FAA" w:rsidP="00732FAA">
      <w:pPr>
        <w:spacing w:line="240" w:lineRule="auto"/>
        <w:jc w:val="left"/>
      </w:pPr>
    </w:p>
    <w:p w:rsidR="00732FAA" w:rsidRPr="00A90D20" w:rsidRDefault="00732FAA" w:rsidP="00732FAA">
      <w:pPr>
        <w:spacing w:line="240" w:lineRule="auto"/>
        <w:rPr>
          <w:b/>
          <w:u w:val="single"/>
        </w:rPr>
      </w:pPr>
      <w:r w:rsidRPr="00A90D20">
        <w:rPr>
          <w:b/>
          <w:u w:val="single"/>
        </w:rPr>
        <w:t>ORDER D</w:t>
      </w:r>
      <w:r w:rsidR="00592901" w:rsidRPr="00A90D20">
        <w:rPr>
          <w:b/>
          <w:u w:val="single"/>
        </w:rPr>
        <w:t>ISMISSIN</w:t>
      </w:r>
      <w:r w:rsidRPr="00A90D20">
        <w:rPr>
          <w:b/>
          <w:u w:val="single"/>
        </w:rPr>
        <w:t xml:space="preserve">G THE MOTION FOR JUDGMENT ON THE PLEADINGS </w:t>
      </w:r>
    </w:p>
    <w:p w:rsidR="00732FAA" w:rsidRPr="00A90D20" w:rsidRDefault="00732FAA" w:rsidP="00732FAA">
      <w:pPr>
        <w:spacing w:line="240" w:lineRule="auto"/>
        <w:rPr>
          <w:b/>
          <w:u w:val="single"/>
        </w:rPr>
      </w:pPr>
      <w:r w:rsidRPr="00A90D20">
        <w:rPr>
          <w:b/>
          <w:u w:val="single"/>
        </w:rPr>
        <w:t xml:space="preserve">FILED BY PECO ENERGY COMPANY AND DIRECTING THAT THE </w:t>
      </w:r>
    </w:p>
    <w:p w:rsidR="00732FAA" w:rsidRPr="00A90D20" w:rsidRDefault="00732FAA" w:rsidP="00732FAA">
      <w:pPr>
        <w:spacing w:line="240" w:lineRule="auto"/>
        <w:rPr>
          <w:b/>
          <w:u w:val="single"/>
        </w:rPr>
      </w:pPr>
      <w:r w:rsidRPr="00A90D20">
        <w:rPr>
          <w:b/>
          <w:u w:val="single"/>
        </w:rPr>
        <w:t>COMPLAINT BE SET FOR HEARING</w:t>
      </w:r>
    </w:p>
    <w:p w:rsidR="00732FAA" w:rsidRDefault="00732FAA" w:rsidP="00732FAA">
      <w:pPr>
        <w:spacing w:line="240" w:lineRule="auto"/>
        <w:rPr>
          <w:b/>
        </w:rPr>
      </w:pPr>
    </w:p>
    <w:p w:rsidR="00732FAA" w:rsidRDefault="00732FAA" w:rsidP="00732FAA">
      <w:pPr>
        <w:spacing w:line="240" w:lineRule="auto"/>
        <w:rPr>
          <w:b/>
        </w:rPr>
      </w:pPr>
    </w:p>
    <w:p w:rsidR="00732FAA" w:rsidRDefault="00732FAA" w:rsidP="00732FAA">
      <w:pPr>
        <w:spacing w:line="240" w:lineRule="auto"/>
        <w:rPr>
          <w:u w:val="single"/>
        </w:rPr>
      </w:pPr>
      <w:r>
        <w:rPr>
          <w:u w:val="single"/>
        </w:rPr>
        <w:t>HISTORY OF THE PROCEEDING</w:t>
      </w:r>
    </w:p>
    <w:p w:rsidR="00732FAA" w:rsidRDefault="00732FAA" w:rsidP="00732FAA">
      <w:pPr>
        <w:spacing w:line="240" w:lineRule="auto"/>
        <w:rPr>
          <w:u w:val="single"/>
        </w:rPr>
      </w:pPr>
    </w:p>
    <w:p w:rsidR="00732FAA" w:rsidRDefault="00732FAA" w:rsidP="00732FAA">
      <w:pPr>
        <w:spacing w:line="240" w:lineRule="auto"/>
        <w:rPr>
          <w:u w:val="single"/>
        </w:rPr>
      </w:pPr>
    </w:p>
    <w:p w:rsidR="00732FAA" w:rsidRDefault="00732FAA" w:rsidP="00732FAA">
      <w:pPr>
        <w:jc w:val="left"/>
      </w:pPr>
      <w:r>
        <w:tab/>
      </w:r>
      <w:r>
        <w:tab/>
        <w:t xml:space="preserve">On September 2, 2014, </w:t>
      </w:r>
      <w:r w:rsidR="009E56ED">
        <w:t>Man</w:t>
      </w:r>
      <w:r w:rsidR="00A90D20">
        <w:t>h</w:t>
      </w:r>
      <w:r w:rsidR="009E56ED">
        <w:t>ir Corporation (Complainant) filed a formal Complaint against PECO Energy Company (PECO or Respondent or Company) alleging that from December 2013 until April 2014, its electric bill was 3 times higher than it has been for the last 20 years.  The actual kWh usage shot up from 50,000 to 123,000, which is not acceptable.  Complainant asks that the Commission direct PECO to reassess the accuracy of the meter for the time period and to refund the money.</w:t>
      </w:r>
    </w:p>
    <w:p w:rsidR="009E56ED" w:rsidRDefault="009E56ED" w:rsidP="00732FAA">
      <w:pPr>
        <w:jc w:val="left"/>
      </w:pPr>
    </w:p>
    <w:p w:rsidR="009E56ED" w:rsidRDefault="009E56ED" w:rsidP="00732FAA">
      <w:pPr>
        <w:jc w:val="left"/>
      </w:pPr>
      <w:r>
        <w:tab/>
      </w:r>
      <w:r>
        <w:tab/>
        <w:t>The Complaint, accompanied by a Notice to Plead, was served on the Company by the Commission's Secretary on September 17, 2014.</w:t>
      </w:r>
    </w:p>
    <w:p w:rsidR="009E56ED" w:rsidRDefault="009E56ED" w:rsidP="00732FAA">
      <w:pPr>
        <w:jc w:val="left"/>
      </w:pPr>
    </w:p>
    <w:p w:rsidR="009E56ED" w:rsidRDefault="009E56ED" w:rsidP="00732FAA">
      <w:pPr>
        <w:jc w:val="left"/>
      </w:pPr>
      <w:r>
        <w:tab/>
      </w:r>
      <w:r>
        <w:tab/>
        <w:t xml:space="preserve">On October 3, 2014, PECO filed its Answer with New Matter, denying any wrongdoing.  Specifically, the Company responds that it has investigated the Complainant's meter and has found that it was operating properly and that the billing was based on actual meter readings.  In New Matter, PECO avers that the Complainant is a commercial customer which must be represented by an attorney in adversarial proceedings. </w:t>
      </w:r>
    </w:p>
    <w:p w:rsidR="009E56ED" w:rsidRDefault="009E56ED" w:rsidP="00732FAA">
      <w:pPr>
        <w:jc w:val="left"/>
      </w:pPr>
    </w:p>
    <w:p w:rsidR="009E56ED" w:rsidRDefault="009E56ED" w:rsidP="00A90D20">
      <w:pPr>
        <w:jc w:val="left"/>
      </w:pPr>
      <w:r>
        <w:lastRenderedPageBreak/>
        <w:tab/>
      </w:r>
      <w:r>
        <w:tab/>
        <w:t xml:space="preserve">On October 24, 2014, PECO filed a Motion for Judgment on the Pleadings (MJOP) because over 20 days had passed since the service of the PECO Answer with New Matter and Complainant had not responded to the New Matter.  52 Pa.Code § 5.63.  </w:t>
      </w:r>
    </w:p>
    <w:p w:rsidR="007F5E74" w:rsidRDefault="007F5E74" w:rsidP="00A90D20">
      <w:pPr>
        <w:jc w:val="left"/>
      </w:pPr>
    </w:p>
    <w:p w:rsidR="007F5E74" w:rsidRDefault="007F5E74" w:rsidP="00A90D20">
      <w:pPr>
        <w:jc w:val="left"/>
      </w:pPr>
      <w:r>
        <w:tab/>
      </w:r>
      <w:r>
        <w:tab/>
        <w:t>On October 31, 2014, Complainant filed both a Response to the Motion for Judgment on the Pleadings and Response to New Matter, this time represented by an attorney, who filed a separate Notice of Appearance as well.  Complainant asks that the Commission deny the MJOP because it is now represented by counsel.</w:t>
      </w:r>
    </w:p>
    <w:p w:rsidR="007F5E74" w:rsidRDefault="007F5E74" w:rsidP="00A90D20">
      <w:pPr>
        <w:jc w:val="left"/>
      </w:pPr>
    </w:p>
    <w:p w:rsidR="007F5E74" w:rsidRDefault="007F5E74" w:rsidP="00A90D20">
      <w:pPr>
        <w:jc w:val="left"/>
      </w:pPr>
      <w:r>
        <w:tab/>
      </w:r>
      <w:r>
        <w:tab/>
        <w:t>The MJOP is ripe for disposition.</w:t>
      </w:r>
    </w:p>
    <w:p w:rsidR="007F5E74" w:rsidRDefault="007F5E74" w:rsidP="00A90D20">
      <w:pPr>
        <w:jc w:val="left"/>
      </w:pPr>
    </w:p>
    <w:p w:rsidR="007F5E74" w:rsidRDefault="007F5E74" w:rsidP="00A90D20">
      <w:pPr>
        <w:rPr>
          <w:u w:val="single"/>
        </w:rPr>
      </w:pPr>
      <w:r>
        <w:rPr>
          <w:u w:val="single"/>
        </w:rPr>
        <w:t>DISCUSSION</w:t>
      </w:r>
    </w:p>
    <w:p w:rsidR="007F5E74" w:rsidRDefault="007F5E74" w:rsidP="00A90D20">
      <w:pPr>
        <w:rPr>
          <w:u w:val="single"/>
        </w:rPr>
      </w:pPr>
    </w:p>
    <w:p w:rsidR="00460651" w:rsidRDefault="007F5E74" w:rsidP="00A90D20">
      <w:pPr>
        <w:jc w:val="left"/>
      </w:pPr>
      <w:r>
        <w:tab/>
      </w:r>
      <w:r>
        <w:tab/>
        <w:t xml:space="preserve">PECO argues that the Complaint should be dismissed </w:t>
      </w:r>
      <w:r w:rsidR="00460651">
        <w:t xml:space="preserve">because Complainant failed to secure legal representation before the time period for filing a response to New Matter had run, and therefore, the facts averred in the New Matter can be deemed to be admitted.  PECO asks that the Complaint be dismissed or, in the alternative, that a deadline be set for the Complainant to have an attorney file a notice of appearance.  </w:t>
      </w:r>
    </w:p>
    <w:p w:rsidR="00460651" w:rsidRDefault="00460651" w:rsidP="00A90D20">
      <w:pPr>
        <w:jc w:val="left"/>
      </w:pPr>
    </w:p>
    <w:p w:rsidR="002A426B" w:rsidRDefault="002A426B" w:rsidP="00A90D20">
      <w:pPr>
        <w:jc w:val="left"/>
      </w:pPr>
      <w:r>
        <w:tab/>
      </w:r>
      <w:r>
        <w:tab/>
        <w:t>Summary relief is available under Commission regulations:</w:t>
      </w:r>
    </w:p>
    <w:p w:rsidR="00A90D20" w:rsidRDefault="00A90D20" w:rsidP="00A90D20">
      <w:pPr>
        <w:jc w:val="left"/>
      </w:pPr>
    </w:p>
    <w:p w:rsidR="002A426B" w:rsidRDefault="002A426B" w:rsidP="00A90D20">
      <w:pPr>
        <w:spacing w:line="240" w:lineRule="auto"/>
        <w:ind w:left="1440" w:right="1440"/>
        <w:jc w:val="left"/>
        <w:outlineLvl w:val="3"/>
        <w:rPr>
          <w:rFonts w:eastAsia="Times New Roman"/>
          <w:b/>
          <w:bCs/>
        </w:rPr>
      </w:pPr>
      <w:bookmarkStart w:id="0" w:name="5.102."/>
      <w:r w:rsidRPr="002A426B">
        <w:rPr>
          <w:rFonts w:eastAsia="Times New Roman"/>
          <w:b/>
          <w:bCs/>
          <w:sz w:val="27"/>
          <w:szCs w:val="27"/>
        </w:rPr>
        <w:t xml:space="preserve">§ 5.102. </w:t>
      </w:r>
      <w:r w:rsidRPr="002A426B">
        <w:rPr>
          <w:rFonts w:eastAsia="Times New Roman"/>
          <w:b/>
          <w:bCs/>
        </w:rPr>
        <w:t>Motions for summary judgment and judgment on the pleadings.</w:t>
      </w:r>
    </w:p>
    <w:p w:rsidR="00A90D20" w:rsidRPr="002A426B" w:rsidRDefault="00A90D20" w:rsidP="00A90D20">
      <w:pPr>
        <w:spacing w:line="240" w:lineRule="auto"/>
        <w:ind w:left="1440" w:right="1440"/>
        <w:jc w:val="left"/>
        <w:outlineLvl w:val="3"/>
        <w:rPr>
          <w:rFonts w:eastAsia="Times New Roman"/>
          <w:b/>
          <w:bCs/>
        </w:rPr>
      </w:pPr>
    </w:p>
    <w:p w:rsidR="002A426B" w:rsidRPr="002A426B" w:rsidRDefault="002A426B" w:rsidP="00A90D20">
      <w:pPr>
        <w:spacing w:line="240" w:lineRule="auto"/>
        <w:ind w:left="1440" w:right="1440"/>
        <w:jc w:val="left"/>
        <w:rPr>
          <w:rFonts w:eastAsia="Times New Roman"/>
        </w:rPr>
      </w:pPr>
      <w:r w:rsidRPr="002A426B">
        <w:rPr>
          <w:rFonts w:eastAsia="Times New Roman"/>
        </w:rPr>
        <w:t xml:space="preserve">(a) </w:t>
      </w:r>
      <w:r w:rsidRPr="002A426B">
        <w:rPr>
          <w:rFonts w:eastAsia="Times New Roman"/>
          <w:i/>
          <w:iCs/>
        </w:rPr>
        <w:t>Generally</w:t>
      </w:r>
      <w:r w:rsidRPr="002A426B">
        <w:rPr>
          <w:rFonts w:eastAsia="Times New Roman"/>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rsidR="002A426B" w:rsidRPr="002A426B" w:rsidRDefault="002A426B" w:rsidP="002A426B">
      <w:pPr>
        <w:spacing w:before="100" w:beforeAutospacing="1" w:after="100" w:afterAutospacing="1" w:line="240" w:lineRule="auto"/>
        <w:ind w:left="1440" w:right="1440"/>
        <w:jc w:val="left"/>
        <w:rPr>
          <w:rFonts w:eastAsia="Times New Roman"/>
        </w:rPr>
      </w:pPr>
      <w:r w:rsidRPr="002A426B">
        <w:rPr>
          <w:rFonts w:eastAsia="Times New Roman"/>
        </w:rPr>
        <w:t xml:space="preserve">(b) </w:t>
      </w:r>
      <w:r w:rsidRPr="002A426B">
        <w:rPr>
          <w:rFonts w:eastAsia="Times New Roman"/>
          <w:i/>
          <w:iCs/>
        </w:rPr>
        <w:t>Answers</w:t>
      </w:r>
      <w:r w:rsidRPr="002A426B">
        <w:rPr>
          <w:rFonts w:eastAsia="Times New Roman"/>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3531F9" w:rsidRDefault="002A426B" w:rsidP="00A90D20">
      <w:pPr>
        <w:spacing w:line="240" w:lineRule="auto"/>
        <w:ind w:left="1440" w:right="1440"/>
        <w:jc w:val="left"/>
        <w:rPr>
          <w:rFonts w:eastAsia="Times New Roman"/>
        </w:rPr>
      </w:pPr>
      <w:r w:rsidRPr="002A426B">
        <w:rPr>
          <w:rFonts w:eastAsia="Times New Roman"/>
        </w:rPr>
        <w:t xml:space="preserve">(c) </w:t>
      </w:r>
      <w:r w:rsidR="003531F9">
        <w:rPr>
          <w:rFonts w:eastAsia="Times New Roman"/>
        </w:rPr>
        <w:t>* * *</w:t>
      </w:r>
    </w:p>
    <w:p w:rsidR="00A90D20" w:rsidRDefault="00A90D20" w:rsidP="00A90D20">
      <w:pPr>
        <w:spacing w:line="240" w:lineRule="auto"/>
        <w:ind w:left="1440" w:right="1440"/>
        <w:jc w:val="left"/>
        <w:rPr>
          <w:rFonts w:eastAsia="Times New Roman"/>
        </w:rPr>
      </w:pPr>
    </w:p>
    <w:p w:rsidR="002A426B" w:rsidRDefault="002A426B" w:rsidP="00A90D20">
      <w:pPr>
        <w:spacing w:line="240" w:lineRule="auto"/>
        <w:ind w:left="1440" w:right="1440"/>
        <w:jc w:val="left"/>
        <w:rPr>
          <w:rFonts w:eastAsia="Times New Roman"/>
        </w:rPr>
      </w:pPr>
      <w:r w:rsidRPr="002A426B">
        <w:rPr>
          <w:rFonts w:eastAsia="Times New Roman"/>
        </w:rPr>
        <w:t xml:space="preserve">(d) </w:t>
      </w:r>
      <w:r w:rsidRPr="002A426B">
        <w:rPr>
          <w:rFonts w:eastAsia="Times New Roman"/>
          <w:i/>
          <w:iCs/>
        </w:rPr>
        <w:t>Decisions on motions</w:t>
      </w:r>
      <w:r w:rsidRPr="002A426B">
        <w:rPr>
          <w:rFonts w:eastAsia="Times New Roman"/>
        </w:rPr>
        <w:t xml:space="preserve">. </w:t>
      </w:r>
    </w:p>
    <w:p w:rsidR="00A90D20" w:rsidRPr="002A426B" w:rsidRDefault="00A90D20" w:rsidP="00A90D20">
      <w:pPr>
        <w:spacing w:line="240" w:lineRule="auto"/>
        <w:ind w:left="1440" w:right="1440"/>
        <w:jc w:val="left"/>
        <w:rPr>
          <w:rFonts w:eastAsia="Times New Roman"/>
        </w:rPr>
      </w:pPr>
    </w:p>
    <w:p w:rsidR="002A426B" w:rsidRDefault="002A426B" w:rsidP="00A90D20">
      <w:pPr>
        <w:spacing w:line="240" w:lineRule="auto"/>
        <w:ind w:left="1440" w:right="1440"/>
        <w:jc w:val="left"/>
        <w:rPr>
          <w:rFonts w:eastAsia="Times New Roman"/>
        </w:rPr>
      </w:pPr>
      <w:r w:rsidRPr="002A426B">
        <w:rPr>
          <w:rFonts w:eastAsia="Times New Roman"/>
        </w:rPr>
        <w:t xml:space="preserve">(1) </w:t>
      </w:r>
      <w:r w:rsidRPr="002A426B">
        <w:rPr>
          <w:rFonts w:eastAsia="Times New Roman"/>
          <w:i/>
          <w:iCs/>
        </w:rPr>
        <w:t>Standard for grant or denial on all counts</w:t>
      </w:r>
      <w:r w:rsidRPr="002A426B">
        <w:rPr>
          <w:rFonts w:eastAsia="Times New Roman"/>
        </w:rPr>
        <w:t xml:space="preserve">. The presiding officer will grant or deny a motion for judgment on the pleadings or a motion for summary judgment, as appropriate. </w:t>
      </w:r>
      <w:r w:rsidRPr="002A426B">
        <w:rPr>
          <w:rFonts w:eastAsia="Times New Roman"/>
          <w:b/>
        </w:rPr>
        <w:t>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r w:rsidRPr="002A426B">
        <w:rPr>
          <w:rFonts w:eastAsia="Times New Roman"/>
        </w:rPr>
        <w:t xml:space="preserve"> </w:t>
      </w:r>
    </w:p>
    <w:p w:rsidR="00A90D20" w:rsidRPr="002A426B" w:rsidRDefault="00A90D20" w:rsidP="00A90D20">
      <w:pPr>
        <w:spacing w:line="240" w:lineRule="auto"/>
        <w:ind w:left="1440" w:right="1440"/>
        <w:jc w:val="left"/>
        <w:rPr>
          <w:rFonts w:eastAsia="Times New Roman"/>
        </w:rPr>
      </w:pPr>
    </w:p>
    <w:p w:rsidR="002A426B" w:rsidRDefault="002A426B" w:rsidP="00A90D20">
      <w:pPr>
        <w:spacing w:line="240" w:lineRule="auto"/>
        <w:ind w:left="1440" w:right="1440"/>
        <w:jc w:val="left"/>
        <w:rPr>
          <w:rFonts w:eastAsia="Times New Roman"/>
        </w:rPr>
      </w:pPr>
      <w:r w:rsidRPr="002A426B">
        <w:rPr>
          <w:rFonts w:eastAsia="Times New Roman"/>
        </w:rPr>
        <w:t xml:space="preserve">(2) </w:t>
      </w:r>
      <w:r w:rsidRPr="002A426B">
        <w:rPr>
          <w:rFonts w:eastAsia="Times New Roman"/>
          <w:i/>
          <w:iCs/>
        </w:rPr>
        <w:t>Standard for grant or denial in part</w:t>
      </w:r>
      <w:r w:rsidRPr="002A426B">
        <w:rPr>
          <w:rFonts w:eastAsia="Times New Roman"/>
        </w:rPr>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rsidR="00A90D20" w:rsidRPr="002A426B" w:rsidRDefault="00A90D20" w:rsidP="00A90D20">
      <w:pPr>
        <w:spacing w:line="240" w:lineRule="auto"/>
        <w:ind w:left="1440" w:right="1440"/>
        <w:jc w:val="left"/>
        <w:rPr>
          <w:rFonts w:eastAsia="Times New Roman"/>
        </w:rPr>
      </w:pPr>
    </w:p>
    <w:bookmarkEnd w:id="0"/>
    <w:p w:rsidR="002A426B" w:rsidRDefault="002A426B" w:rsidP="00A90D20">
      <w:pPr>
        <w:jc w:val="left"/>
      </w:pPr>
      <w:r>
        <w:t>52 Pa.Code § 5.102</w:t>
      </w:r>
      <w:r w:rsidR="003531F9">
        <w:t xml:space="preserve"> (in pertinent part)</w:t>
      </w:r>
      <w:r>
        <w:t>.</w:t>
      </w:r>
    </w:p>
    <w:p w:rsidR="003531F9" w:rsidRDefault="003531F9" w:rsidP="00A90D20">
      <w:pPr>
        <w:jc w:val="left"/>
      </w:pPr>
    </w:p>
    <w:p w:rsidR="002A426B" w:rsidRPr="002C1BD1" w:rsidRDefault="003531F9" w:rsidP="00A90D20">
      <w:pPr>
        <w:jc w:val="left"/>
      </w:pPr>
      <w:r>
        <w:tab/>
      </w:r>
      <w:r>
        <w:tab/>
      </w:r>
      <w:r w:rsidR="002C1BD1">
        <w:t>As stated in the regulation, j</w:t>
      </w:r>
      <w:r w:rsidR="002A426B" w:rsidRPr="002C1BD1">
        <w:rPr>
          <w:rFonts w:eastAsia="Times New Roman"/>
          <w:bCs/>
          <w:color w:val="333333"/>
        </w:rPr>
        <w:t>udgment on the pleadings</w:t>
      </w:r>
      <w:r w:rsidR="002A426B" w:rsidRPr="002C1BD1">
        <w:rPr>
          <w:rFonts w:eastAsia="Times New Roman"/>
          <w:color w:val="333333"/>
        </w:rPr>
        <w:t xml:space="preserve"> is available when the pleadings show that there is no genuine issue of material fact and the moving party is entitled to judgment as a matter of law. </w:t>
      </w:r>
      <w:r w:rsidR="002A426B" w:rsidRPr="002C1BD1">
        <w:rPr>
          <w:rFonts w:eastAsia="Times New Roman"/>
          <w:bCs/>
          <w:color w:val="333333"/>
        </w:rPr>
        <w:t>Judgment on the pleadings</w:t>
      </w:r>
      <w:r w:rsidR="002A426B" w:rsidRPr="002C1BD1">
        <w:rPr>
          <w:rFonts w:eastAsia="Times New Roman"/>
          <w:color w:val="333333"/>
        </w:rPr>
        <w:t xml:space="preserve">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hyperlink r:id="rId7" w:history="1">
        <w:r w:rsidR="002A426B" w:rsidRPr="002C1BD1">
          <w:rPr>
            <w:rFonts w:eastAsia="Times New Roman"/>
            <w:i/>
            <w:iCs/>
          </w:rPr>
          <w:t>Day v. Volkswagonwerk Aktiengesellschaft</w:t>
        </w:r>
        <w:r w:rsidR="002A426B" w:rsidRPr="002C1BD1">
          <w:rPr>
            <w:rFonts w:eastAsia="Times New Roman"/>
          </w:rPr>
          <w:t>, 464 A.2d 1313, 1316 (Pa. Super. Ct. 1983)</w:t>
        </w:r>
        <w:r w:rsidR="002C1BD1" w:rsidRPr="002C1BD1">
          <w:rPr>
            <w:rFonts w:eastAsia="Times New Roman"/>
          </w:rPr>
          <w:t>;</w:t>
        </w:r>
      </w:hyperlink>
      <w:r w:rsidR="002C1BD1" w:rsidRPr="002C1BD1">
        <w:rPr>
          <w:rFonts w:eastAsia="Times New Roman"/>
        </w:rPr>
        <w:t xml:space="preserve"> </w:t>
      </w:r>
      <w:hyperlink r:id="rId8" w:history="1">
        <w:r w:rsidR="002A426B" w:rsidRPr="002C1BD1">
          <w:rPr>
            <w:rStyle w:val="Hyperlink"/>
            <w:i/>
            <w:iCs/>
            <w:color w:val="auto"/>
          </w:rPr>
          <w:t>Magazine Publishers of America v. Dept. of Revenue,</w:t>
        </w:r>
        <w:r w:rsidR="002A426B" w:rsidRPr="002C1BD1">
          <w:rPr>
            <w:rStyle w:val="Hyperlink"/>
            <w:color w:val="auto"/>
          </w:rPr>
          <w:t xml:space="preserve"> 618 A.2d 156 (Pa. Cmwlth. 1992),</w:t>
        </w:r>
      </w:hyperlink>
      <w:r w:rsidR="002A426B" w:rsidRPr="002C1BD1">
        <w:t xml:space="preserve"> </w:t>
      </w:r>
      <w:hyperlink r:id="rId9" w:history="1">
        <w:r w:rsidR="00592901">
          <w:t>aff'.</w:t>
        </w:r>
        <w:r w:rsidR="002A426B" w:rsidRPr="002C1BD1">
          <w:rPr>
            <w:rStyle w:val="Hyperlink"/>
            <w:color w:val="auto"/>
          </w:rPr>
          <w:t xml:space="preserve"> 539 Pa. 563, 654 A.2d 519 (1994);</w:t>
        </w:r>
      </w:hyperlink>
      <w:r w:rsidR="002A426B" w:rsidRPr="002C1BD1">
        <w:t xml:space="preserve"> </w:t>
      </w:r>
      <w:hyperlink r:id="rId10" w:history="1">
        <w:r w:rsidR="002A426B" w:rsidRPr="002C1BD1">
          <w:rPr>
            <w:rStyle w:val="Hyperlink"/>
            <w:i/>
            <w:iCs/>
            <w:color w:val="auto"/>
          </w:rPr>
          <w:t>Dept. of Auditor General v. SERA, et al.,</w:t>
        </w:r>
        <w:r w:rsidR="002A426B" w:rsidRPr="002C1BD1">
          <w:rPr>
            <w:rStyle w:val="Hyperlink"/>
            <w:color w:val="auto"/>
          </w:rPr>
          <w:t xml:space="preserve"> 860 A.2d 206 (Pa. Cmwlth. Ct. 2004);</w:t>
        </w:r>
      </w:hyperlink>
      <w:r w:rsidR="002A426B" w:rsidRPr="002C1BD1">
        <w:t xml:space="preserve"> </w:t>
      </w:r>
      <w:hyperlink r:id="rId11" w:history="1">
        <w:r w:rsidR="002A426B" w:rsidRPr="002C1BD1">
          <w:rPr>
            <w:rStyle w:val="Hyperlink"/>
            <w:color w:val="auto"/>
          </w:rPr>
          <w:t>2004 Pa. Commw. LEXIS 756.</w:t>
        </w:r>
      </w:hyperlink>
    </w:p>
    <w:p w:rsidR="007F5E74" w:rsidRDefault="00460651" w:rsidP="007F5E74">
      <w:pPr>
        <w:jc w:val="left"/>
      </w:pPr>
      <w:r>
        <w:t xml:space="preserve">  </w:t>
      </w:r>
    </w:p>
    <w:p w:rsidR="002A426B" w:rsidRDefault="002C1BD1" w:rsidP="00A90D20">
      <w:pPr>
        <w:jc w:val="left"/>
      </w:pPr>
      <w:r>
        <w:tab/>
      </w:r>
      <w:r>
        <w:tab/>
        <w:t xml:space="preserve">This fact situation does not fit squarely within the confines of the standard MJOP because the usual scenario is that the Respondent will have included affirmative defenses and the necessary facts to support the affirmative defenses within new matter.  Then, if the complainant does not file a response to new matter, the facts can be deemed to be admitted and the motion entertained based on those admitted facts.  52 Pa.Code §§ 5.63(b), 5.102.  </w:t>
      </w:r>
    </w:p>
    <w:p w:rsidR="002C1BD1" w:rsidRDefault="002C1BD1" w:rsidP="00A90D20">
      <w:pPr>
        <w:jc w:val="left"/>
      </w:pPr>
    </w:p>
    <w:p w:rsidR="002C1BD1" w:rsidRDefault="002C1BD1" w:rsidP="00A90D20">
      <w:pPr>
        <w:jc w:val="left"/>
      </w:pPr>
      <w:r>
        <w:tab/>
      </w:r>
      <w:r>
        <w:tab/>
        <w:t xml:space="preserve">Here, </w:t>
      </w:r>
      <w:r w:rsidR="00592901">
        <w:t xml:space="preserve">the inability of the Complainant to proceed without legal representation is not an affirmative defense, and the fact that the Complainant obtained legal counsel, who entered an appearance, removes the basis for the MJOP.  The Complaint's allegations regarding the high billing are still in dispute.  Therefore, with the basis of the MJOP cured by the entry of appearance of </w:t>
      </w:r>
      <w:r w:rsidR="009021CC">
        <w:t xml:space="preserve">counsel for Complainant, </w:t>
      </w:r>
      <w:r w:rsidR="00592901">
        <w:t>the MJOP is rendered moot by the entry of appearance of counsel for Complainant, and the Complaint will be set for hearing.</w:t>
      </w:r>
    </w:p>
    <w:p w:rsidR="00592901" w:rsidRDefault="00592901" w:rsidP="00A90D20">
      <w:pPr>
        <w:jc w:val="left"/>
      </w:pPr>
    </w:p>
    <w:p w:rsidR="00592901" w:rsidRDefault="00592901" w:rsidP="00A90D20">
      <w:pPr>
        <w:jc w:val="left"/>
      </w:pPr>
      <w:r>
        <w:tab/>
      </w:r>
      <w:r>
        <w:tab/>
        <w:t>THEREFORE,</w:t>
      </w:r>
    </w:p>
    <w:p w:rsidR="00592901" w:rsidRDefault="00592901" w:rsidP="00A90D20">
      <w:pPr>
        <w:jc w:val="left"/>
      </w:pPr>
    </w:p>
    <w:p w:rsidR="00592901" w:rsidRDefault="00592901" w:rsidP="00A90D20">
      <w:pPr>
        <w:jc w:val="left"/>
      </w:pPr>
      <w:r>
        <w:tab/>
      </w:r>
      <w:r>
        <w:tab/>
        <w:t>IT IS ORDERED:</w:t>
      </w:r>
    </w:p>
    <w:p w:rsidR="00592901" w:rsidRDefault="00592901" w:rsidP="00A90D20">
      <w:pPr>
        <w:jc w:val="left"/>
      </w:pPr>
    </w:p>
    <w:p w:rsidR="00592901" w:rsidRDefault="00592901" w:rsidP="00A90D20">
      <w:pPr>
        <w:jc w:val="left"/>
      </w:pPr>
      <w:r>
        <w:tab/>
      </w:r>
      <w:r>
        <w:tab/>
        <w:t>1.</w:t>
      </w:r>
      <w:r>
        <w:tab/>
        <w:t xml:space="preserve">That the Motion for Judgment on the Pleadings filed by PECO Energy Company in the case captioned </w:t>
      </w:r>
      <w:r>
        <w:rPr>
          <w:i/>
        </w:rPr>
        <w:t>Manir Corporation v. PECO Energy Company,</w:t>
      </w:r>
      <w:r>
        <w:t xml:space="preserve"> filed at docket not. C-2014-2443015, is dismissed as moot.</w:t>
      </w:r>
    </w:p>
    <w:p w:rsidR="00592901" w:rsidRDefault="00592901" w:rsidP="00A90D20">
      <w:pPr>
        <w:jc w:val="left"/>
      </w:pPr>
    </w:p>
    <w:p w:rsidR="00592901" w:rsidRDefault="00592901" w:rsidP="00A90D20">
      <w:pPr>
        <w:jc w:val="left"/>
      </w:pPr>
      <w:r>
        <w:tab/>
      </w:r>
      <w:r>
        <w:tab/>
        <w:t>2.</w:t>
      </w:r>
      <w:r>
        <w:tab/>
        <w:t xml:space="preserve">That the case captioned </w:t>
      </w:r>
      <w:r>
        <w:rPr>
          <w:i/>
        </w:rPr>
        <w:t>Manir Corporation v. PECO Energy Company,</w:t>
      </w:r>
      <w:r>
        <w:t xml:space="preserve"> filed at docket not. C-2014-2443015, be set for hearing.  </w:t>
      </w:r>
    </w:p>
    <w:p w:rsidR="00592901" w:rsidRDefault="00592901" w:rsidP="007F5E74">
      <w:pPr>
        <w:jc w:val="left"/>
      </w:pPr>
    </w:p>
    <w:p w:rsidR="00592901" w:rsidRDefault="00592901" w:rsidP="00592901">
      <w:pPr>
        <w:spacing w:line="240" w:lineRule="auto"/>
        <w:jc w:val="left"/>
      </w:pPr>
      <w:r>
        <w:t>Dated:</w:t>
      </w:r>
      <w:r>
        <w:tab/>
      </w:r>
      <w:r>
        <w:rPr>
          <w:u w:val="single"/>
        </w:rPr>
        <w:t>December 17, 2014</w:t>
      </w:r>
      <w:r>
        <w:tab/>
      </w:r>
      <w:r>
        <w:tab/>
      </w:r>
      <w:r>
        <w:tab/>
      </w:r>
      <w:r>
        <w:tab/>
      </w:r>
      <w:r>
        <w:tab/>
        <w:t>______________________________</w:t>
      </w:r>
    </w:p>
    <w:p w:rsidR="00592901" w:rsidRDefault="00592901" w:rsidP="00592901">
      <w:pPr>
        <w:spacing w:line="240" w:lineRule="auto"/>
        <w:jc w:val="left"/>
      </w:pPr>
      <w:r>
        <w:tab/>
      </w:r>
      <w:r>
        <w:tab/>
      </w:r>
      <w:r>
        <w:tab/>
      </w:r>
      <w:r>
        <w:tab/>
      </w:r>
      <w:r>
        <w:tab/>
      </w:r>
      <w:r>
        <w:tab/>
      </w:r>
      <w:r>
        <w:tab/>
      </w:r>
      <w:r>
        <w:tab/>
        <w:t>Susan D. Colwell</w:t>
      </w:r>
    </w:p>
    <w:p w:rsidR="00592901" w:rsidRDefault="00592901" w:rsidP="00592901">
      <w:pPr>
        <w:spacing w:line="240" w:lineRule="auto"/>
        <w:jc w:val="left"/>
      </w:pPr>
      <w:r>
        <w:tab/>
      </w:r>
      <w:r>
        <w:tab/>
      </w:r>
      <w:r>
        <w:tab/>
      </w:r>
      <w:r>
        <w:tab/>
      </w:r>
      <w:r>
        <w:tab/>
      </w:r>
      <w:r>
        <w:tab/>
      </w:r>
      <w:r>
        <w:tab/>
      </w:r>
      <w:r>
        <w:tab/>
        <w:t>Administrative Law Judge</w:t>
      </w:r>
    </w:p>
    <w:p w:rsidR="00C25210" w:rsidRDefault="00C25210" w:rsidP="00592901">
      <w:pPr>
        <w:spacing w:line="240" w:lineRule="auto"/>
        <w:jc w:val="left"/>
      </w:pPr>
    </w:p>
    <w:p w:rsidR="00C25210" w:rsidRDefault="00C25210" w:rsidP="00592901">
      <w:pPr>
        <w:spacing w:line="240" w:lineRule="auto"/>
        <w:jc w:val="left"/>
        <w:sectPr w:rsidR="00C25210" w:rsidSect="00592901">
          <w:footerReference w:type="default" r:id="rId12"/>
          <w:pgSz w:w="12240" w:h="15840"/>
          <w:pgMar w:top="1440" w:right="1440" w:bottom="1440" w:left="1440" w:header="720" w:footer="720" w:gutter="0"/>
          <w:cols w:space="720"/>
          <w:titlePg/>
          <w:docGrid w:linePitch="360"/>
        </w:sectPr>
      </w:pPr>
    </w:p>
    <w:p w:rsidR="0035306A" w:rsidRDefault="0035306A" w:rsidP="0035306A">
      <w:pPr>
        <w:spacing w:line="240" w:lineRule="auto"/>
        <w:contextualSpacing/>
        <w:jc w:val="left"/>
      </w:pPr>
      <w:r>
        <w:rPr>
          <w:rFonts w:ascii="Microsoft Sans Serif"/>
          <w:b/>
          <w:u w:val="single"/>
        </w:rPr>
        <w:t>C-2014-2443015 - MANIR CORPORATION v. PECO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MANIR CORP</w:t>
      </w:r>
      <w:bookmarkStart w:id="1" w:name="_GoBack"/>
      <w:bookmarkEnd w:id="1"/>
      <w:r>
        <w:rPr>
          <w:rFonts w:ascii="Microsoft Sans Serif"/>
        </w:rPr>
        <w:t>ORATION</w:t>
      </w:r>
      <w:r>
        <w:rPr>
          <w:rFonts w:ascii="Microsoft Sans Serif"/>
        </w:rPr>
        <w:cr/>
        <w:t>285 COMMERCE DRIVE</w:t>
      </w:r>
      <w:r>
        <w:rPr>
          <w:rFonts w:ascii="Microsoft Sans Serif"/>
        </w:rPr>
        <w:cr/>
        <w:t>FORT WASHINGTON PA  19034</w:t>
      </w:r>
      <w:r>
        <w:rPr>
          <w:rFonts w:ascii="Microsoft Sans Serif"/>
        </w:rPr>
        <w:cr/>
        <w:t>215.542.7930</w:t>
      </w:r>
      <w:r>
        <w:rPr>
          <w:rFonts w:ascii="Microsoft Sans Serif"/>
        </w:rPr>
        <w:cr/>
      </w:r>
    </w:p>
    <w:p w:rsidR="0035306A" w:rsidRPr="00DA5DAC" w:rsidRDefault="0035306A" w:rsidP="0035306A">
      <w:pPr>
        <w:spacing w:line="240" w:lineRule="auto"/>
        <w:contextualSpacing/>
        <w:jc w:val="left"/>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C25210" w:rsidRPr="00592901" w:rsidRDefault="00C25210" w:rsidP="0035306A">
      <w:pPr>
        <w:spacing w:line="240" w:lineRule="auto"/>
        <w:jc w:val="left"/>
      </w:pPr>
    </w:p>
    <w:p w:rsidR="002A426B" w:rsidRDefault="002A426B" w:rsidP="007F5E74">
      <w:pPr>
        <w:jc w:val="left"/>
      </w:pPr>
    </w:p>
    <w:sectPr w:rsidR="002A426B" w:rsidSect="0059290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7D8" w:rsidRDefault="001067D8" w:rsidP="00592901">
      <w:pPr>
        <w:spacing w:line="240" w:lineRule="auto"/>
      </w:pPr>
      <w:r>
        <w:separator/>
      </w:r>
    </w:p>
  </w:endnote>
  <w:endnote w:type="continuationSeparator" w:id="0">
    <w:p w:rsidR="001067D8" w:rsidRDefault="001067D8" w:rsidP="00592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974665"/>
      <w:docPartObj>
        <w:docPartGallery w:val="Page Numbers (Bottom of Page)"/>
        <w:docPartUnique/>
      </w:docPartObj>
    </w:sdtPr>
    <w:sdtEndPr>
      <w:rPr>
        <w:noProof/>
        <w:sz w:val="20"/>
        <w:szCs w:val="20"/>
      </w:rPr>
    </w:sdtEndPr>
    <w:sdtContent>
      <w:p w:rsidR="00592901" w:rsidRPr="00A90D20" w:rsidRDefault="00592901">
        <w:pPr>
          <w:pStyle w:val="Footer"/>
          <w:rPr>
            <w:sz w:val="20"/>
            <w:szCs w:val="20"/>
          </w:rPr>
        </w:pPr>
        <w:r w:rsidRPr="00A90D20">
          <w:rPr>
            <w:sz w:val="20"/>
            <w:szCs w:val="20"/>
          </w:rPr>
          <w:fldChar w:fldCharType="begin"/>
        </w:r>
        <w:r w:rsidRPr="00A90D20">
          <w:rPr>
            <w:sz w:val="20"/>
            <w:szCs w:val="20"/>
          </w:rPr>
          <w:instrText xml:space="preserve"> PAGE   \* MERGEFORMAT </w:instrText>
        </w:r>
        <w:r w:rsidRPr="00A90D20">
          <w:rPr>
            <w:sz w:val="20"/>
            <w:szCs w:val="20"/>
          </w:rPr>
          <w:fldChar w:fldCharType="separate"/>
        </w:r>
        <w:r w:rsidR="0035306A">
          <w:rPr>
            <w:noProof/>
            <w:sz w:val="20"/>
            <w:szCs w:val="20"/>
          </w:rPr>
          <w:t>4</w:t>
        </w:r>
        <w:r w:rsidRPr="00A90D2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7D8" w:rsidRDefault="001067D8" w:rsidP="00592901">
      <w:pPr>
        <w:spacing w:line="240" w:lineRule="auto"/>
      </w:pPr>
      <w:r>
        <w:separator/>
      </w:r>
    </w:p>
  </w:footnote>
  <w:footnote w:type="continuationSeparator" w:id="0">
    <w:p w:rsidR="001067D8" w:rsidRDefault="001067D8" w:rsidP="005929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A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7D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5E0D"/>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26B"/>
    <w:rsid w:val="002A4E7E"/>
    <w:rsid w:val="002A5F4D"/>
    <w:rsid w:val="002A70E9"/>
    <w:rsid w:val="002A7A0A"/>
    <w:rsid w:val="002B0D61"/>
    <w:rsid w:val="002B2AF4"/>
    <w:rsid w:val="002B3E20"/>
    <w:rsid w:val="002B541A"/>
    <w:rsid w:val="002B754D"/>
    <w:rsid w:val="002C0694"/>
    <w:rsid w:val="002C1023"/>
    <w:rsid w:val="002C1BD1"/>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06A"/>
    <w:rsid w:val="003531F9"/>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0651"/>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2901"/>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2FAA"/>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5E7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1CC"/>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6ED"/>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0D20"/>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210"/>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2D3"/>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2A426B"/>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426B"/>
    <w:rPr>
      <w:strike w:val="0"/>
      <w:dstrike w:val="0"/>
      <w:color w:val="004B91"/>
      <w:u w:val="none"/>
      <w:effect w:val="none"/>
    </w:rPr>
  </w:style>
  <w:style w:type="character" w:customStyle="1" w:styleId="pmterms11">
    <w:name w:val="pmterms11"/>
    <w:basedOn w:val="DefaultParagraphFont"/>
    <w:rsid w:val="002A426B"/>
    <w:rPr>
      <w:b/>
      <w:bCs/>
      <w:i w:val="0"/>
      <w:iCs w:val="0"/>
      <w:color w:val="000000"/>
    </w:rPr>
  </w:style>
  <w:style w:type="character" w:customStyle="1" w:styleId="Heading4Char">
    <w:name w:val="Heading 4 Char"/>
    <w:basedOn w:val="DefaultParagraphFont"/>
    <w:link w:val="Heading4"/>
    <w:uiPriority w:val="9"/>
    <w:rsid w:val="002A426B"/>
    <w:rPr>
      <w:rFonts w:eastAsia="Times New Roman"/>
      <w:b/>
      <w:bCs/>
    </w:rPr>
  </w:style>
  <w:style w:type="paragraph" w:styleId="NormalWeb">
    <w:name w:val="Normal (Web)"/>
    <w:basedOn w:val="Normal"/>
    <w:uiPriority w:val="99"/>
    <w:semiHidden/>
    <w:unhideWhenUsed/>
    <w:rsid w:val="002A426B"/>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592901"/>
    <w:pPr>
      <w:tabs>
        <w:tab w:val="center" w:pos="4680"/>
        <w:tab w:val="right" w:pos="9360"/>
      </w:tabs>
      <w:spacing w:line="240" w:lineRule="auto"/>
    </w:pPr>
  </w:style>
  <w:style w:type="character" w:customStyle="1" w:styleId="HeaderChar">
    <w:name w:val="Header Char"/>
    <w:basedOn w:val="DefaultParagraphFont"/>
    <w:link w:val="Header"/>
    <w:uiPriority w:val="99"/>
    <w:rsid w:val="00592901"/>
  </w:style>
  <w:style w:type="paragraph" w:styleId="Footer">
    <w:name w:val="footer"/>
    <w:basedOn w:val="Normal"/>
    <w:link w:val="FooterChar"/>
    <w:uiPriority w:val="99"/>
    <w:unhideWhenUsed/>
    <w:rsid w:val="00592901"/>
    <w:pPr>
      <w:tabs>
        <w:tab w:val="center" w:pos="4680"/>
        <w:tab w:val="right" w:pos="9360"/>
      </w:tabs>
      <w:spacing w:line="240" w:lineRule="auto"/>
    </w:pPr>
  </w:style>
  <w:style w:type="character" w:customStyle="1" w:styleId="FooterChar">
    <w:name w:val="Footer Char"/>
    <w:basedOn w:val="DefaultParagraphFont"/>
    <w:link w:val="Footer"/>
    <w:uiPriority w:val="99"/>
    <w:rsid w:val="00592901"/>
  </w:style>
  <w:style w:type="paragraph" w:styleId="BalloonText">
    <w:name w:val="Balloon Text"/>
    <w:basedOn w:val="Normal"/>
    <w:link w:val="BalloonTextChar"/>
    <w:uiPriority w:val="99"/>
    <w:semiHidden/>
    <w:unhideWhenUsed/>
    <w:rsid w:val="009021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1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2A426B"/>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426B"/>
    <w:rPr>
      <w:strike w:val="0"/>
      <w:dstrike w:val="0"/>
      <w:color w:val="004B91"/>
      <w:u w:val="none"/>
      <w:effect w:val="none"/>
    </w:rPr>
  </w:style>
  <w:style w:type="character" w:customStyle="1" w:styleId="pmterms11">
    <w:name w:val="pmterms11"/>
    <w:basedOn w:val="DefaultParagraphFont"/>
    <w:rsid w:val="002A426B"/>
    <w:rPr>
      <w:b/>
      <w:bCs/>
      <w:i w:val="0"/>
      <w:iCs w:val="0"/>
      <w:color w:val="000000"/>
    </w:rPr>
  </w:style>
  <w:style w:type="character" w:customStyle="1" w:styleId="Heading4Char">
    <w:name w:val="Heading 4 Char"/>
    <w:basedOn w:val="DefaultParagraphFont"/>
    <w:link w:val="Heading4"/>
    <w:uiPriority w:val="9"/>
    <w:rsid w:val="002A426B"/>
    <w:rPr>
      <w:rFonts w:eastAsia="Times New Roman"/>
      <w:b/>
      <w:bCs/>
    </w:rPr>
  </w:style>
  <w:style w:type="paragraph" w:styleId="NormalWeb">
    <w:name w:val="Normal (Web)"/>
    <w:basedOn w:val="Normal"/>
    <w:uiPriority w:val="99"/>
    <w:semiHidden/>
    <w:unhideWhenUsed/>
    <w:rsid w:val="002A426B"/>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592901"/>
    <w:pPr>
      <w:tabs>
        <w:tab w:val="center" w:pos="4680"/>
        <w:tab w:val="right" w:pos="9360"/>
      </w:tabs>
      <w:spacing w:line="240" w:lineRule="auto"/>
    </w:pPr>
  </w:style>
  <w:style w:type="character" w:customStyle="1" w:styleId="HeaderChar">
    <w:name w:val="Header Char"/>
    <w:basedOn w:val="DefaultParagraphFont"/>
    <w:link w:val="Header"/>
    <w:uiPriority w:val="99"/>
    <w:rsid w:val="00592901"/>
  </w:style>
  <w:style w:type="paragraph" w:styleId="Footer">
    <w:name w:val="footer"/>
    <w:basedOn w:val="Normal"/>
    <w:link w:val="FooterChar"/>
    <w:uiPriority w:val="99"/>
    <w:unhideWhenUsed/>
    <w:rsid w:val="00592901"/>
    <w:pPr>
      <w:tabs>
        <w:tab w:val="center" w:pos="4680"/>
        <w:tab w:val="right" w:pos="9360"/>
      </w:tabs>
      <w:spacing w:line="240" w:lineRule="auto"/>
    </w:pPr>
  </w:style>
  <w:style w:type="character" w:customStyle="1" w:styleId="FooterChar">
    <w:name w:val="Footer Char"/>
    <w:basedOn w:val="DefaultParagraphFont"/>
    <w:link w:val="Footer"/>
    <w:uiPriority w:val="99"/>
    <w:rsid w:val="00592901"/>
  </w:style>
  <w:style w:type="paragraph" w:styleId="BalloonText">
    <w:name w:val="Balloon Text"/>
    <w:basedOn w:val="Normal"/>
    <w:link w:val="BalloonTextChar"/>
    <w:uiPriority w:val="99"/>
    <w:semiHidden/>
    <w:unhideWhenUsed/>
    <w:rsid w:val="009021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0502">
      <w:bodyDiv w:val="1"/>
      <w:marLeft w:val="0"/>
      <w:marRight w:val="0"/>
      <w:marTop w:val="0"/>
      <w:marBottom w:val="0"/>
      <w:divBdr>
        <w:top w:val="none" w:sz="0" w:space="0" w:color="auto"/>
        <w:left w:val="none" w:sz="0" w:space="0" w:color="auto"/>
        <w:bottom w:val="none" w:sz="0" w:space="0" w:color="auto"/>
        <w:right w:val="none" w:sz="0" w:space="0" w:color="auto"/>
      </w:divBdr>
      <w:divsChild>
        <w:div w:id="732852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7f756a8f4abe9366f1f2dcb1a7d0473f&amp;_xfercite=%3ccite%20cc%3d%22USA%22%3e%3c%21%5bCDATA%5b2013%20Pa.%20PUC%20LEXIS%20381%5d%5d%3e%3c%2fcite%3e&amp;_butType=3&amp;_butStat=2&amp;_butNum=1&amp;_butInline=1&amp;_butinfo=%3ccite%20cc%3d%22USA%22%3e%3c%21%5bCDATA%5b618%20A.2d%20156%5d%5d%3e%3c%2fcite%3e&amp;_fmtstr=FULL&amp;docnum=2&amp;_startdoc=1&amp;wchp=dGLbVzt-zSkAz&amp;_md5=e00d81d1c8b845e051d331e5e55d7d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xis.com/research/buttonTFLink?_m=a37ef6769260146b99637a26e488f827&amp;_xfercite=%3ccite%20cc%3d%22USA%22%3e%3c%21%5bCDATA%5b2012%20Pa.%20PUC%20LEXIS%20944%5d%5d%3e%3c%2fcite%3e&amp;_butType=3&amp;_butStat=2&amp;_butNum=18&amp;_butInline=1&amp;_butinfo=%3ccite%20cc%3d%22USA%22%3e%3c%21%5bCDATA%5b464%20A.2d%201313%2cat%201316%5d%5d%3e%3c%2fcite%3e&amp;_fmtstr=FULL&amp;docnum=14&amp;_startdoc=11&amp;wchp=dGLbVzt-zSkAz&amp;_md5=7b72387b48f8cbf25233b50fffdb9395"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lexis.com/research/buttonTFLink?_m=7f756a8f4abe9366f1f2dcb1a7d0473f&amp;_xfercite=%3ccite%20cc%3d%22USA%22%3e%3c%21%5bCDATA%5b2013%20Pa.%20PUC%20LEXIS%20381%5d%5d%3e%3c%2fcite%3e&amp;_butType=3&amp;_butStat=2&amp;_butNum=4&amp;_butInline=1&amp;_butinfo=%3ccite%20cc%3d%22USA%22%3e%3c%21%5bCDATA%5b2004%20Pa.%20Commw.%20LEXIS%20756%5d%5d%3e%3c%2fcite%3e&amp;_fmtstr=FULL&amp;docnum=2&amp;_startdoc=1&amp;wchp=dGLbVzt-zSkAz&amp;_md5=6fe3a59e6f1a5b3112bf48c0367eae2e" TargetMode="External"/><Relationship Id="rId5" Type="http://schemas.openxmlformats.org/officeDocument/2006/relationships/footnotes" Target="footnotes.xml"/><Relationship Id="rId10" Type="http://schemas.openxmlformats.org/officeDocument/2006/relationships/hyperlink" Target="https://www.lexis.com/research/buttonTFLink?_m=7f756a8f4abe9366f1f2dcb1a7d0473f&amp;_xfercite=%3ccite%20cc%3d%22USA%22%3e%3c%21%5bCDATA%5b2013%20Pa.%20PUC%20LEXIS%20381%5d%5d%3e%3c%2fcite%3e&amp;_butType=3&amp;_butStat=2&amp;_butNum=3&amp;_butInline=1&amp;_butinfo=%3ccite%20cc%3d%22USA%22%3e%3c%21%5bCDATA%5b860%20A.2d%20206%5d%5d%3e%3c%2fcite%3e&amp;_fmtstr=FULL&amp;docnum=2&amp;_startdoc=1&amp;wchp=dGLbVzt-zSkAz&amp;_md5=b8ddc9331703ef083dd8b593054345ad" TargetMode="External"/><Relationship Id="rId4" Type="http://schemas.openxmlformats.org/officeDocument/2006/relationships/webSettings" Target="webSettings.xml"/><Relationship Id="rId9" Type="http://schemas.openxmlformats.org/officeDocument/2006/relationships/hyperlink" Target="https://www.lexis.com/research/buttonTFLink?_m=7f756a8f4abe9366f1f2dcb1a7d0473f&amp;_xfercite=%3ccite%20cc%3d%22USA%22%3e%3c%21%5bCDATA%5b2013%20Pa.%20PUC%20LEXIS%20381%5d%5d%3e%3c%2fcite%3e&amp;_butType=3&amp;_butStat=2&amp;_butNum=2&amp;_butInline=1&amp;_butinfo=%3ccite%20cc%3d%22USA%22%3e%3c%21%5bCDATA%5b539%20Pa.%20563%5d%5d%3e%3c%2fcite%3e&amp;_fmtstr=FULL&amp;docnum=2&amp;_startdoc=1&amp;wchp=dGLbVzt-zSkAz&amp;_md5=71ecfadba81b2cf0ce68cae07b09f7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2014-12-17T17:05:00Z</cp:lastPrinted>
  <dcterms:created xsi:type="dcterms:W3CDTF">2014-12-17T20:44:00Z</dcterms:created>
  <dcterms:modified xsi:type="dcterms:W3CDTF">2014-12-17T20:45:00Z</dcterms:modified>
</cp:coreProperties>
</file>