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3D8" w:rsidRPr="00D026FD" w:rsidRDefault="00A613D8" w:rsidP="00F364E7">
      <w:pPr>
        <w:pStyle w:val="c2"/>
        <w:tabs>
          <w:tab w:val="left" w:pos="4490"/>
        </w:tabs>
        <w:rPr>
          <w:b/>
        </w:rPr>
      </w:pPr>
      <w:r w:rsidRPr="00D026FD">
        <w:rPr>
          <w:b/>
        </w:rPr>
        <w:t>BEFORE THE</w:t>
      </w:r>
    </w:p>
    <w:p w:rsidR="00A613D8" w:rsidRPr="00D026FD" w:rsidRDefault="00A613D8" w:rsidP="00F364E7">
      <w:pPr>
        <w:pStyle w:val="c2"/>
        <w:tabs>
          <w:tab w:val="left" w:pos="4490"/>
        </w:tabs>
        <w:rPr>
          <w:b/>
        </w:rPr>
      </w:pPr>
      <w:r w:rsidRPr="00D026FD">
        <w:rPr>
          <w:b/>
        </w:rPr>
        <w:t>PENNSYLVANIA PUBLIC UTILITY COMMISSION</w:t>
      </w:r>
    </w:p>
    <w:p w:rsidR="00A613D8" w:rsidRDefault="00A613D8" w:rsidP="00F364E7">
      <w:pPr>
        <w:tabs>
          <w:tab w:val="left" w:pos="4490"/>
        </w:tabs>
      </w:pPr>
    </w:p>
    <w:p w:rsidR="00D026FD" w:rsidRPr="00D026FD" w:rsidRDefault="00D026FD" w:rsidP="00F364E7">
      <w:pPr>
        <w:tabs>
          <w:tab w:val="left" w:pos="4490"/>
        </w:tabs>
      </w:pPr>
    </w:p>
    <w:p w:rsidR="00A613D8" w:rsidRPr="00D026FD" w:rsidRDefault="00A613D8" w:rsidP="00F364E7">
      <w:pPr>
        <w:tabs>
          <w:tab w:val="left" w:pos="4490"/>
        </w:tabs>
      </w:pPr>
    </w:p>
    <w:p w:rsidR="00A613D8" w:rsidRPr="00D026FD" w:rsidRDefault="009313E1" w:rsidP="00F364E7">
      <w:pPr>
        <w:pStyle w:val="p3"/>
      </w:pPr>
      <w:r>
        <w:t xml:space="preserve">Darren </w:t>
      </w:r>
      <w:proofErr w:type="spellStart"/>
      <w:r>
        <w:t>Gentilquore</w:t>
      </w:r>
      <w:proofErr w:type="spellEnd"/>
      <w:r w:rsidR="00AE10FC">
        <w:tab/>
      </w:r>
      <w:r w:rsidR="00AE10FC">
        <w:tab/>
      </w:r>
      <w:r w:rsidR="008567D7" w:rsidRPr="00D026FD">
        <w:t xml:space="preserve"> </w:t>
      </w:r>
      <w:r w:rsidR="003A6A09" w:rsidRPr="00D026FD">
        <w:tab/>
      </w:r>
      <w:r w:rsidR="003A6A09" w:rsidRPr="00D026FD">
        <w:tab/>
      </w:r>
      <w:r w:rsidR="00D026FD">
        <w:tab/>
      </w:r>
      <w:r w:rsidR="003A6A09" w:rsidRPr="00D026FD">
        <w:t>:</w:t>
      </w:r>
    </w:p>
    <w:p w:rsidR="008567D7" w:rsidRPr="00D026FD" w:rsidRDefault="008567D7" w:rsidP="00F364E7">
      <w:pPr>
        <w:pStyle w:val="p3"/>
      </w:pPr>
      <w:r w:rsidRPr="00D026FD">
        <w:tab/>
      </w:r>
      <w:r w:rsidRPr="00D026FD">
        <w:tab/>
      </w:r>
      <w:r w:rsidRPr="00D026FD">
        <w:tab/>
      </w:r>
      <w:r w:rsidRPr="00D026FD">
        <w:tab/>
      </w:r>
      <w:r w:rsidRPr="00D026FD">
        <w:tab/>
      </w:r>
      <w:r w:rsidRPr="00D026FD">
        <w:tab/>
      </w:r>
      <w:r w:rsidRPr="00D026FD">
        <w:tab/>
      </w:r>
      <w:r w:rsidR="00D026FD">
        <w:tab/>
      </w:r>
      <w:r w:rsidRPr="00D026FD">
        <w:t>:</w:t>
      </w:r>
      <w:r w:rsidRPr="00D026FD">
        <w:tab/>
      </w:r>
      <w:r w:rsidRPr="00D026FD">
        <w:tab/>
      </w:r>
    </w:p>
    <w:p w:rsidR="003A6A09" w:rsidRPr="00D026FD" w:rsidRDefault="003A6A09" w:rsidP="00F364E7">
      <w:pPr>
        <w:pStyle w:val="p3"/>
      </w:pPr>
      <w:r w:rsidRPr="00D026FD">
        <w:tab/>
      </w:r>
      <w:r w:rsidRPr="00D026FD">
        <w:tab/>
        <w:t>v.</w:t>
      </w:r>
      <w:r w:rsidRPr="00D026FD">
        <w:tab/>
      </w:r>
      <w:r w:rsidRPr="00D026FD">
        <w:tab/>
      </w:r>
      <w:r w:rsidRPr="00D026FD">
        <w:tab/>
      </w:r>
      <w:r w:rsidRPr="00D026FD">
        <w:tab/>
      </w:r>
      <w:r w:rsidRPr="00D026FD">
        <w:tab/>
      </w:r>
      <w:r w:rsidR="00D026FD">
        <w:tab/>
        <w:t>:</w:t>
      </w:r>
      <w:r w:rsidR="00A91120" w:rsidRPr="00A91120">
        <w:t xml:space="preserve"> </w:t>
      </w:r>
      <w:r w:rsidR="00A91120">
        <w:tab/>
      </w:r>
      <w:r w:rsidR="00A91120">
        <w:tab/>
      </w:r>
      <w:r w:rsidR="00A91120" w:rsidRPr="00D026FD">
        <w:t>C-201</w:t>
      </w:r>
      <w:r w:rsidR="00A91120">
        <w:t>4</w:t>
      </w:r>
      <w:r w:rsidR="00A91120" w:rsidRPr="00D026FD">
        <w:t>-2</w:t>
      </w:r>
      <w:r w:rsidR="00A91120">
        <w:t>436</w:t>
      </w:r>
      <w:r w:rsidR="00D13A23">
        <w:t>2</w:t>
      </w:r>
      <w:r w:rsidR="00A91120">
        <w:t>27</w:t>
      </w:r>
    </w:p>
    <w:p w:rsidR="003A6A09" w:rsidRPr="00D026FD" w:rsidRDefault="003A6A09" w:rsidP="00F364E7">
      <w:pPr>
        <w:pStyle w:val="p3"/>
      </w:pPr>
      <w:r w:rsidRPr="00D026FD">
        <w:tab/>
      </w:r>
      <w:r w:rsidRPr="00D026FD">
        <w:tab/>
      </w:r>
      <w:r w:rsidRPr="00D026FD">
        <w:tab/>
      </w:r>
      <w:r w:rsidRPr="00D026FD">
        <w:tab/>
      </w:r>
      <w:r w:rsidRPr="00D026FD">
        <w:tab/>
      </w:r>
      <w:r w:rsidRPr="00D026FD">
        <w:tab/>
      </w:r>
      <w:r w:rsidRPr="00D026FD">
        <w:tab/>
      </w:r>
      <w:r w:rsidR="00D026FD">
        <w:tab/>
      </w:r>
      <w:r w:rsidRPr="00D026FD">
        <w:t>:</w:t>
      </w:r>
    </w:p>
    <w:p w:rsidR="003A6A09" w:rsidRPr="00D026FD" w:rsidRDefault="00AE10FC" w:rsidP="00F364E7">
      <w:pPr>
        <w:pStyle w:val="p3"/>
      </w:pPr>
      <w:r>
        <w:t>Global Tel*Link Corporation</w:t>
      </w:r>
      <w:r w:rsidR="003A6A09" w:rsidRPr="00D026FD">
        <w:tab/>
      </w:r>
      <w:r w:rsidR="003A6A09" w:rsidRPr="00D026FD">
        <w:tab/>
      </w:r>
      <w:r w:rsidR="003A6A09" w:rsidRPr="00D026FD">
        <w:tab/>
      </w:r>
      <w:r w:rsidR="00D026FD">
        <w:tab/>
      </w:r>
      <w:r w:rsidR="003A6A09" w:rsidRPr="00D026FD">
        <w:t>:</w:t>
      </w:r>
    </w:p>
    <w:p w:rsidR="009805C9" w:rsidRDefault="009805C9" w:rsidP="00F364E7">
      <w:pPr>
        <w:tabs>
          <w:tab w:val="left" w:pos="204"/>
        </w:tabs>
        <w:jc w:val="both"/>
      </w:pPr>
    </w:p>
    <w:p w:rsidR="00D026FD" w:rsidRPr="00D026FD" w:rsidRDefault="00D026FD" w:rsidP="00F364E7">
      <w:pPr>
        <w:tabs>
          <w:tab w:val="left" w:pos="204"/>
        </w:tabs>
        <w:jc w:val="both"/>
      </w:pPr>
    </w:p>
    <w:p w:rsidR="00A613D8" w:rsidRPr="00D026FD" w:rsidRDefault="00A613D8" w:rsidP="00F364E7">
      <w:pPr>
        <w:tabs>
          <w:tab w:val="left" w:pos="204"/>
        </w:tabs>
        <w:jc w:val="both"/>
      </w:pPr>
    </w:p>
    <w:p w:rsidR="00AE10FC" w:rsidRDefault="00A613D8" w:rsidP="00F364E7">
      <w:pPr>
        <w:pStyle w:val="c2"/>
        <w:tabs>
          <w:tab w:val="left" w:pos="204"/>
        </w:tabs>
        <w:rPr>
          <w:b/>
          <w:u w:val="single"/>
        </w:rPr>
      </w:pPr>
      <w:r w:rsidRPr="00D026FD">
        <w:rPr>
          <w:b/>
          <w:u w:val="single"/>
        </w:rPr>
        <w:t>INITIAL DECISION</w:t>
      </w:r>
    </w:p>
    <w:p w:rsidR="009805C9" w:rsidRPr="00D026FD" w:rsidRDefault="009805C9" w:rsidP="00F364E7">
      <w:pPr>
        <w:tabs>
          <w:tab w:val="left" w:pos="204"/>
        </w:tabs>
        <w:jc w:val="both"/>
      </w:pPr>
    </w:p>
    <w:p w:rsidR="00A91120" w:rsidRDefault="00A91120" w:rsidP="00F364E7">
      <w:pPr>
        <w:pStyle w:val="c2"/>
        <w:tabs>
          <w:tab w:val="left" w:pos="204"/>
        </w:tabs>
      </w:pPr>
    </w:p>
    <w:p w:rsidR="00A613D8" w:rsidRPr="00D026FD" w:rsidRDefault="00A613D8" w:rsidP="00F364E7">
      <w:pPr>
        <w:pStyle w:val="c2"/>
        <w:tabs>
          <w:tab w:val="left" w:pos="204"/>
        </w:tabs>
      </w:pPr>
      <w:r w:rsidRPr="00D026FD">
        <w:t>Before</w:t>
      </w:r>
    </w:p>
    <w:p w:rsidR="00A613D8" w:rsidRPr="00D026FD" w:rsidRDefault="00AE10FC" w:rsidP="00F364E7">
      <w:pPr>
        <w:pStyle w:val="c2"/>
        <w:tabs>
          <w:tab w:val="left" w:pos="204"/>
        </w:tabs>
      </w:pPr>
      <w:r>
        <w:t>Conrad A. Johnson</w:t>
      </w:r>
    </w:p>
    <w:p w:rsidR="00A613D8" w:rsidRPr="00D026FD" w:rsidRDefault="00A613D8" w:rsidP="00F364E7">
      <w:pPr>
        <w:pStyle w:val="c2"/>
        <w:tabs>
          <w:tab w:val="left" w:pos="204"/>
        </w:tabs>
      </w:pPr>
      <w:r w:rsidRPr="00D026FD">
        <w:t>Administrative Law Judge</w:t>
      </w:r>
    </w:p>
    <w:p w:rsidR="00A613D8" w:rsidRPr="00D026FD" w:rsidRDefault="00A613D8" w:rsidP="00F364E7">
      <w:pPr>
        <w:tabs>
          <w:tab w:val="left" w:pos="204"/>
        </w:tabs>
        <w:jc w:val="both"/>
      </w:pPr>
    </w:p>
    <w:p w:rsidR="00A613D8" w:rsidRPr="00D026FD" w:rsidRDefault="00A613D8" w:rsidP="00F364E7">
      <w:pPr>
        <w:tabs>
          <w:tab w:val="left" w:pos="204"/>
        </w:tabs>
        <w:jc w:val="both"/>
      </w:pPr>
    </w:p>
    <w:p w:rsidR="00A613D8" w:rsidRPr="00D026FD" w:rsidRDefault="00A613D8" w:rsidP="00D72D7B">
      <w:pPr>
        <w:pStyle w:val="c2"/>
        <w:tabs>
          <w:tab w:val="left" w:pos="204"/>
        </w:tabs>
      </w:pPr>
      <w:r w:rsidRPr="00D026FD">
        <w:rPr>
          <w:u w:val="single"/>
        </w:rPr>
        <w:t>HISTORY OF THE PROCEEDING</w:t>
      </w:r>
    </w:p>
    <w:p w:rsidR="00A613D8" w:rsidRDefault="00A613D8" w:rsidP="00D72D7B">
      <w:pPr>
        <w:tabs>
          <w:tab w:val="left" w:pos="204"/>
        </w:tabs>
        <w:jc w:val="both"/>
      </w:pPr>
    </w:p>
    <w:p w:rsidR="00D026FD" w:rsidRPr="00D026FD" w:rsidRDefault="00D026FD" w:rsidP="00D72D7B">
      <w:pPr>
        <w:tabs>
          <w:tab w:val="left" w:pos="204"/>
        </w:tabs>
        <w:spacing w:line="360" w:lineRule="auto"/>
        <w:jc w:val="both"/>
      </w:pPr>
    </w:p>
    <w:p w:rsidR="00AB115E" w:rsidRDefault="00A613D8" w:rsidP="00D72D7B">
      <w:pPr>
        <w:spacing w:line="360" w:lineRule="auto"/>
        <w:ind w:firstLine="1440"/>
      </w:pPr>
      <w:r w:rsidRPr="00D026FD">
        <w:t>On</w:t>
      </w:r>
      <w:r w:rsidR="00731311" w:rsidRPr="00D026FD">
        <w:t xml:space="preserve"> </w:t>
      </w:r>
      <w:r w:rsidR="00AB115E">
        <w:t>Ju</w:t>
      </w:r>
      <w:r w:rsidR="007662C9">
        <w:t>ne</w:t>
      </w:r>
      <w:r w:rsidR="00AB115E">
        <w:t xml:space="preserve"> 2</w:t>
      </w:r>
      <w:r w:rsidR="007662C9">
        <w:t>3</w:t>
      </w:r>
      <w:r w:rsidR="00AB115E">
        <w:t xml:space="preserve">, </w:t>
      </w:r>
      <w:r w:rsidR="008567D7" w:rsidRPr="00D026FD">
        <w:t>201</w:t>
      </w:r>
      <w:r w:rsidR="00AB115E">
        <w:t>4</w:t>
      </w:r>
      <w:r w:rsidR="003A6A09" w:rsidRPr="00D026FD">
        <w:t xml:space="preserve">, </w:t>
      </w:r>
      <w:r w:rsidR="00AB115E">
        <w:t xml:space="preserve">Complainant </w:t>
      </w:r>
      <w:r w:rsidR="007662C9">
        <w:t xml:space="preserve">Darren R. </w:t>
      </w:r>
      <w:proofErr w:type="spellStart"/>
      <w:r w:rsidR="007662C9">
        <w:t>Gentilquore</w:t>
      </w:r>
      <w:proofErr w:type="spellEnd"/>
      <w:r w:rsidR="00AB115E">
        <w:t xml:space="preserve"> (Mr. </w:t>
      </w:r>
      <w:proofErr w:type="spellStart"/>
      <w:r w:rsidR="00AB115E">
        <w:t>Ge</w:t>
      </w:r>
      <w:r w:rsidR="007662C9">
        <w:t>ntilquore</w:t>
      </w:r>
      <w:proofErr w:type="spellEnd"/>
      <w:r w:rsidR="00AB115E">
        <w:t>)</w:t>
      </w:r>
      <w:r w:rsidR="00731311" w:rsidRPr="00D026FD">
        <w:t xml:space="preserve"> filed a complaint </w:t>
      </w:r>
      <w:r w:rsidR="008567D7" w:rsidRPr="00D026FD">
        <w:t xml:space="preserve">with the Pennsylvania Public Utility Commission (Commission) </w:t>
      </w:r>
      <w:r w:rsidR="00731311" w:rsidRPr="00D026FD">
        <w:t xml:space="preserve">against </w:t>
      </w:r>
      <w:r w:rsidR="00AB115E">
        <w:t>Global Tel*Link Corporation</w:t>
      </w:r>
      <w:r w:rsidR="009B329C">
        <w:t xml:space="preserve"> (Respondent or Global</w:t>
      </w:r>
      <w:r w:rsidR="008106AE">
        <w:t xml:space="preserve"> or GTL</w:t>
      </w:r>
      <w:r w:rsidR="009B329C">
        <w:t>)</w:t>
      </w:r>
      <w:r w:rsidR="007662C9">
        <w:t xml:space="preserve"> alleging overpricing in </w:t>
      </w:r>
      <w:proofErr w:type="spellStart"/>
      <w:r w:rsidR="007662C9">
        <w:t>Global’s</w:t>
      </w:r>
      <w:proofErr w:type="spellEnd"/>
      <w:r w:rsidR="007662C9">
        <w:t xml:space="preserve"> telephone rates</w:t>
      </w:r>
      <w:r w:rsidR="00AB115E">
        <w:t xml:space="preserve">.  </w:t>
      </w:r>
      <w:r w:rsidR="007662C9">
        <w:t>Specifically, t</w:t>
      </w:r>
      <w:r w:rsidR="00731311" w:rsidRPr="00D026FD">
        <w:t>he complaint allege</w:t>
      </w:r>
      <w:r w:rsidR="00877B25" w:rsidRPr="00D026FD">
        <w:t>s</w:t>
      </w:r>
      <w:r w:rsidR="007662C9">
        <w:t xml:space="preserve"> as follows:</w:t>
      </w:r>
    </w:p>
    <w:p w:rsidR="007662C9" w:rsidRDefault="007662C9" w:rsidP="009B329C">
      <w:pPr>
        <w:ind w:left="1440" w:right="1080"/>
      </w:pPr>
    </w:p>
    <w:p w:rsidR="007662C9" w:rsidRDefault="007662C9" w:rsidP="009B329C">
      <w:pPr>
        <w:ind w:left="1440" w:right="1080"/>
      </w:pPr>
      <w:r>
        <w:t>Overpriced, no competition monopoly</w:t>
      </w:r>
    </w:p>
    <w:p w:rsidR="007662C9" w:rsidRDefault="007662C9" w:rsidP="009B329C">
      <w:pPr>
        <w:ind w:left="1440" w:right="1080"/>
      </w:pPr>
      <w:r>
        <w:t>Violating the antitrust laws</w:t>
      </w:r>
    </w:p>
    <w:p w:rsidR="007662C9" w:rsidRDefault="007662C9" w:rsidP="009B329C">
      <w:pPr>
        <w:ind w:left="1440" w:right="1080"/>
      </w:pPr>
      <w:r>
        <w:t>$6.25 for a 15 minute call in state</w:t>
      </w:r>
    </w:p>
    <w:p w:rsidR="007662C9" w:rsidRDefault="007662C9" w:rsidP="009B329C">
      <w:pPr>
        <w:ind w:left="1440" w:right="1080"/>
      </w:pPr>
      <w:proofErr w:type="gramStart"/>
      <w:r>
        <w:t>Fayette County to Lackawanna County.</w:t>
      </w:r>
      <w:proofErr w:type="gramEnd"/>
    </w:p>
    <w:p w:rsidR="007662C9" w:rsidRDefault="007662C9" w:rsidP="009B329C">
      <w:pPr>
        <w:ind w:left="1440" w:right="1080"/>
      </w:pPr>
    </w:p>
    <w:p w:rsidR="007662C9" w:rsidRDefault="007662C9" w:rsidP="001A01BD">
      <w:proofErr w:type="gramStart"/>
      <w:r>
        <w:t>Complaint ¶</w:t>
      </w:r>
      <w:r w:rsidR="008B5B3E">
        <w:t xml:space="preserve"> </w:t>
      </w:r>
      <w:r>
        <w:t>4.</w:t>
      </w:r>
      <w:proofErr w:type="gramEnd"/>
    </w:p>
    <w:p w:rsidR="007662C9" w:rsidRDefault="007662C9" w:rsidP="001A01BD">
      <w:pPr>
        <w:spacing w:line="360" w:lineRule="auto"/>
        <w:ind w:left="1440" w:right="1080" w:hanging="1440"/>
      </w:pPr>
    </w:p>
    <w:p w:rsidR="007662C9" w:rsidRDefault="007662C9" w:rsidP="001A01BD">
      <w:pPr>
        <w:spacing w:line="360" w:lineRule="auto"/>
        <w:ind w:right="90"/>
      </w:pPr>
      <w:r>
        <w:tab/>
      </w:r>
      <w:r w:rsidR="001A01BD">
        <w:tab/>
        <w:t xml:space="preserve">As relief, Mr. </w:t>
      </w:r>
      <w:proofErr w:type="spellStart"/>
      <w:r w:rsidR="001A01BD">
        <w:t>Gentilquore</w:t>
      </w:r>
      <w:proofErr w:type="spellEnd"/>
      <w:r w:rsidR="001A01BD">
        <w:t xml:space="preserve"> requests that the Commission order Global “to bring their charges in line with the going rate and refund the overcharges.”  </w:t>
      </w:r>
      <w:r w:rsidR="008B5B3E">
        <w:t xml:space="preserve"> </w:t>
      </w:r>
      <w:proofErr w:type="gramStart"/>
      <w:r w:rsidR="008B5B3E">
        <w:t>Id. ¶ 5.</w:t>
      </w:r>
      <w:proofErr w:type="gramEnd"/>
    </w:p>
    <w:p w:rsidR="007662C9" w:rsidRDefault="007662C9" w:rsidP="001A01BD">
      <w:pPr>
        <w:spacing w:line="360" w:lineRule="auto"/>
        <w:ind w:left="1440" w:right="1080"/>
      </w:pPr>
    </w:p>
    <w:p w:rsidR="009B329C" w:rsidRDefault="00302B23" w:rsidP="00F364E7">
      <w:pPr>
        <w:spacing w:line="360" w:lineRule="auto"/>
      </w:pPr>
      <w:r>
        <w:tab/>
      </w:r>
      <w:r w:rsidR="009B329C">
        <w:tab/>
        <w:t>On August 2</w:t>
      </w:r>
      <w:r w:rsidR="008B5B3E">
        <w:t>7</w:t>
      </w:r>
      <w:r w:rsidR="009B329C">
        <w:t xml:space="preserve">, 2014, </w:t>
      </w:r>
      <w:proofErr w:type="spellStart"/>
      <w:r w:rsidR="009B329C">
        <w:t>Global’s</w:t>
      </w:r>
      <w:proofErr w:type="spellEnd"/>
      <w:r w:rsidR="009B329C">
        <w:t xml:space="preserve"> Regulatory Compliance Manager, Brian Hackett,</w:t>
      </w:r>
      <w:r>
        <w:t xml:space="preserve"> </w:t>
      </w:r>
      <w:r w:rsidR="009B329C">
        <w:t xml:space="preserve">filed a letter </w:t>
      </w:r>
      <w:r w:rsidR="00485C90">
        <w:t xml:space="preserve">with the Commission </w:t>
      </w:r>
      <w:r w:rsidR="00771174">
        <w:t>responding to</w:t>
      </w:r>
      <w:r w:rsidR="009B329C">
        <w:t xml:space="preserve"> the complaint </w:t>
      </w:r>
      <w:r w:rsidR="008B5B3E">
        <w:t xml:space="preserve">and alleging </w:t>
      </w:r>
      <w:r w:rsidR="009B329C">
        <w:t>as follows:</w:t>
      </w:r>
    </w:p>
    <w:p w:rsidR="009B329C" w:rsidRDefault="009B329C" w:rsidP="009B329C">
      <w:pPr>
        <w:ind w:left="1440" w:right="1080"/>
      </w:pPr>
      <w:r>
        <w:lastRenderedPageBreak/>
        <w:t>Interstate rates are regulated by the Federal Communications Commission (FCC) and the Pennsylvania intrastate rates are regulated by the Pennsylvania Public Utility Commission (PA PUC).  Subsequently rate changes at the FCC level are mutually exclusive of the state rates and have no bearing on the rates charged in Pennsylvania.</w:t>
      </w:r>
    </w:p>
    <w:p w:rsidR="009B329C" w:rsidRDefault="009B329C" w:rsidP="009B329C">
      <w:pPr>
        <w:ind w:left="1440" w:right="1080"/>
      </w:pPr>
    </w:p>
    <w:p w:rsidR="009B329C" w:rsidRDefault="009B329C" w:rsidP="009B329C">
      <w:pPr>
        <w:ind w:left="1440" w:right="1080"/>
      </w:pPr>
      <w:r>
        <w:t>We have verified that the current intrastate rates being charged</w:t>
      </w:r>
      <w:r w:rsidR="008D66C4">
        <w:t xml:space="preserve"> </w:t>
      </w:r>
      <w:r>
        <w:t xml:space="preserve">at the </w:t>
      </w:r>
      <w:r w:rsidR="008B5B3E">
        <w:t>S</w:t>
      </w:r>
      <w:r w:rsidR="00EB4161">
        <w:t>CI</w:t>
      </w:r>
      <w:r w:rsidR="008B5B3E">
        <w:t>-Fayette</w:t>
      </w:r>
      <w:r>
        <w:t xml:space="preserve"> facility have been approved by the PA PUC and are currently reflect</w:t>
      </w:r>
      <w:r w:rsidR="00302B23">
        <w:t>ed</w:t>
      </w:r>
      <w:r>
        <w:t xml:space="preserve"> in the current PA Price List. </w:t>
      </w:r>
    </w:p>
    <w:p w:rsidR="009B329C" w:rsidRDefault="009B329C" w:rsidP="009B329C">
      <w:pPr>
        <w:spacing w:line="360" w:lineRule="auto"/>
        <w:ind w:left="1440" w:right="1080"/>
      </w:pPr>
    </w:p>
    <w:p w:rsidR="00636F1C" w:rsidRDefault="00636F1C" w:rsidP="009805C9">
      <w:pPr>
        <w:spacing w:line="360" w:lineRule="auto"/>
        <w:ind w:firstLine="1440"/>
      </w:pPr>
      <w:r w:rsidRPr="00D026FD">
        <w:t xml:space="preserve">By </w:t>
      </w:r>
      <w:r w:rsidR="0052144E">
        <w:t>Hearing N</w:t>
      </w:r>
      <w:r w:rsidRPr="00D026FD">
        <w:t xml:space="preserve">otice dated </w:t>
      </w:r>
      <w:r w:rsidR="008B5B3E">
        <w:t xml:space="preserve">September 18, </w:t>
      </w:r>
      <w:r w:rsidRPr="00D026FD">
        <w:t>201</w:t>
      </w:r>
      <w:r w:rsidR="008D66C4">
        <w:t>4</w:t>
      </w:r>
      <w:r w:rsidRPr="00D026FD">
        <w:t xml:space="preserve">, the Commission notified the parties that </w:t>
      </w:r>
      <w:r w:rsidR="008D66C4">
        <w:t xml:space="preserve">the proceeding was assigned to me for </w:t>
      </w:r>
      <w:r w:rsidR="00771174">
        <w:t xml:space="preserve">a </w:t>
      </w:r>
      <w:r w:rsidR="008D66C4">
        <w:t xml:space="preserve">telephone hearing on November </w:t>
      </w:r>
      <w:r w:rsidR="008B5B3E">
        <w:t>20</w:t>
      </w:r>
      <w:r w:rsidR="008D66C4">
        <w:t xml:space="preserve">, 2014 at </w:t>
      </w:r>
      <w:r w:rsidR="008B5B3E">
        <w:t>10</w:t>
      </w:r>
      <w:r w:rsidR="008D66C4">
        <w:t xml:space="preserve">:00 a.m.  On </w:t>
      </w:r>
      <w:r w:rsidR="008B5B3E">
        <w:t>September 22,</w:t>
      </w:r>
      <w:r w:rsidR="008D66C4">
        <w:t xml:space="preserve"> 2014, I issued a Prehearing Order reminding the parties of the time, date and manner of the hearing and the applicable procedural rules.  On October </w:t>
      </w:r>
      <w:r w:rsidR="008B5B3E">
        <w:t>6</w:t>
      </w:r>
      <w:r w:rsidR="008D66C4">
        <w:t xml:space="preserve">, 2014, Attorney Edward G. Lanza entered his appearance on behalf of </w:t>
      </w:r>
      <w:r w:rsidR="00485C90">
        <w:t>Global</w:t>
      </w:r>
      <w:r w:rsidR="008D66C4">
        <w:t>.</w:t>
      </w:r>
    </w:p>
    <w:p w:rsidR="008D66C4" w:rsidRPr="00D026FD" w:rsidRDefault="008D66C4" w:rsidP="009805C9">
      <w:pPr>
        <w:spacing w:line="360" w:lineRule="auto"/>
        <w:ind w:firstLine="1440"/>
      </w:pPr>
    </w:p>
    <w:p w:rsidR="00485C90" w:rsidRDefault="00F72522" w:rsidP="009805C9">
      <w:pPr>
        <w:spacing w:line="360" w:lineRule="auto"/>
        <w:ind w:firstLine="1440"/>
      </w:pPr>
      <w:r w:rsidRPr="00D026FD">
        <w:t xml:space="preserve">On </w:t>
      </w:r>
      <w:r w:rsidR="006C3BE4">
        <w:t>Octo</w:t>
      </w:r>
      <w:r w:rsidR="00636F1C" w:rsidRPr="00D026FD">
        <w:t xml:space="preserve">ber </w:t>
      </w:r>
      <w:r w:rsidR="006C3BE4">
        <w:t>20</w:t>
      </w:r>
      <w:r w:rsidR="008D66C4">
        <w:t xml:space="preserve">, 2014, </w:t>
      </w:r>
      <w:r w:rsidR="003F5A6E">
        <w:t xml:space="preserve">by and through their attorney, Edward Lanza, </w:t>
      </w:r>
      <w:r w:rsidR="00485C90">
        <w:t>Global</w:t>
      </w:r>
      <w:r w:rsidR="006C3BE4">
        <w:t xml:space="preserve"> filed a Motion for Judgment on the Pleadings together with a 20-day notice to plead.  </w:t>
      </w:r>
      <w:r w:rsidR="003841DE">
        <w:t xml:space="preserve">Mr. </w:t>
      </w:r>
      <w:proofErr w:type="spellStart"/>
      <w:r w:rsidR="003841DE">
        <w:t>Gentilquore</w:t>
      </w:r>
      <w:proofErr w:type="spellEnd"/>
      <w:r w:rsidR="003841DE">
        <w:t xml:space="preserve"> did not file an answer to the motion,</w:t>
      </w:r>
      <w:r w:rsidR="00DC2682">
        <w:t xml:space="preserve"> but</w:t>
      </w:r>
      <w:r w:rsidR="003841DE">
        <w:t xml:space="preserve"> he was given an opportunity to orally respond at the hearing which </w:t>
      </w:r>
      <w:r w:rsidR="00AA1B77">
        <w:t xml:space="preserve">was converted into a prehearing conference for the purpose of </w:t>
      </w:r>
      <w:r w:rsidR="003841DE">
        <w:t>con</w:t>
      </w:r>
      <w:r w:rsidR="00AA1B77">
        <w:t>sidering the motion</w:t>
      </w:r>
      <w:r w:rsidR="003841DE">
        <w:t xml:space="preserve"> on </w:t>
      </w:r>
      <w:r w:rsidR="003841DE" w:rsidRPr="008106AE">
        <w:t>No</w:t>
      </w:r>
      <w:r w:rsidR="00DC2682" w:rsidRPr="008106AE">
        <w:t>v</w:t>
      </w:r>
      <w:r w:rsidR="003841DE" w:rsidRPr="008106AE">
        <w:t>ember 20, 2014</w:t>
      </w:r>
      <w:r w:rsidR="003841DE">
        <w:t>.</w:t>
      </w:r>
    </w:p>
    <w:p w:rsidR="00AA1B77" w:rsidRDefault="00AA1B77" w:rsidP="009805C9">
      <w:pPr>
        <w:spacing w:line="360" w:lineRule="auto"/>
        <w:ind w:firstLine="1440"/>
      </w:pPr>
    </w:p>
    <w:p w:rsidR="00AA1B77" w:rsidRDefault="00AA1B77" w:rsidP="009805C9">
      <w:pPr>
        <w:spacing w:line="360" w:lineRule="auto"/>
        <w:ind w:firstLine="1440"/>
      </w:pPr>
      <w:r>
        <w:t xml:space="preserve">After due consideration, the motion will be granted </w:t>
      </w:r>
      <w:r w:rsidRPr="001B667E">
        <w:rPr>
          <w:szCs w:val="20"/>
        </w:rPr>
        <w:t>because the</w:t>
      </w:r>
      <w:r>
        <w:rPr>
          <w:szCs w:val="20"/>
        </w:rPr>
        <w:t>re is no genuine issue</w:t>
      </w:r>
      <w:r w:rsidRPr="001B667E">
        <w:rPr>
          <w:szCs w:val="20"/>
        </w:rPr>
        <w:t xml:space="preserve"> </w:t>
      </w:r>
      <w:r>
        <w:rPr>
          <w:szCs w:val="20"/>
        </w:rPr>
        <w:t>of material fact in this proceeding, and Global is entitled to judgment as a matter of law.</w:t>
      </w:r>
      <w:r w:rsidR="00917924">
        <w:rPr>
          <w:szCs w:val="20"/>
        </w:rPr>
        <w:t xml:space="preserve">  </w:t>
      </w:r>
      <w:r w:rsidR="00917924">
        <w:rPr>
          <w:szCs w:val="20"/>
        </w:rPr>
        <w:br/>
        <w:t>According, the record is closed by the within decision.</w:t>
      </w:r>
      <w:r>
        <w:rPr>
          <w:szCs w:val="20"/>
        </w:rPr>
        <w:t xml:space="preserve">  </w:t>
      </w:r>
    </w:p>
    <w:p w:rsidR="003841DE" w:rsidRDefault="003841DE" w:rsidP="009805C9">
      <w:pPr>
        <w:spacing w:line="360" w:lineRule="auto"/>
        <w:ind w:firstLine="1440"/>
      </w:pPr>
    </w:p>
    <w:p w:rsidR="00070B25" w:rsidRPr="00070B25" w:rsidRDefault="00070B25" w:rsidP="00070B25">
      <w:pPr>
        <w:widowControl/>
        <w:autoSpaceDE/>
        <w:autoSpaceDN/>
        <w:adjustRightInd/>
        <w:spacing w:line="360" w:lineRule="auto"/>
        <w:jc w:val="center"/>
        <w:rPr>
          <w:szCs w:val="20"/>
        </w:rPr>
      </w:pPr>
      <w:r w:rsidRPr="00070B25">
        <w:rPr>
          <w:szCs w:val="20"/>
          <w:u w:val="single"/>
        </w:rPr>
        <w:t>FINDINGS OF FACT</w:t>
      </w:r>
    </w:p>
    <w:p w:rsidR="00070B25" w:rsidRPr="00070B25" w:rsidRDefault="00070B25" w:rsidP="00070B25">
      <w:pPr>
        <w:widowControl/>
        <w:autoSpaceDE/>
        <w:autoSpaceDN/>
        <w:adjustRightInd/>
        <w:spacing w:line="360" w:lineRule="auto"/>
        <w:jc w:val="center"/>
        <w:rPr>
          <w:szCs w:val="20"/>
        </w:rPr>
      </w:pPr>
    </w:p>
    <w:p w:rsidR="00557CBB" w:rsidRDefault="00070B25" w:rsidP="00070B25">
      <w:pPr>
        <w:widowControl/>
        <w:autoSpaceDE/>
        <w:autoSpaceDN/>
        <w:adjustRightInd/>
        <w:spacing w:line="360" w:lineRule="auto"/>
        <w:rPr>
          <w:szCs w:val="20"/>
        </w:rPr>
      </w:pPr>
      <w:r w:rsidRPr="00070B25">
        <w:rPr>
          <w:szCs w:val="20"/>
        </w:rPr>
        <w:tab/>
      </w:r>
      <w:r w:rsidRPr="00070B25">
        <w:rPr>
          <w:szCs w:val="20"/>
        </w:rPr>
        <w:tab/>
        <w:t>1.</w:t>
      </w:r>
      <w:r w:rsidRPr="00070B25">
        <w:rPr>
          <w:szCs w:val="20"/>
        </w:rPr>
        <w:tab/>
        <w:t xml:space="preserve">Complainant </w:t>
      </w:r>
      <w:r w:rsidR="00557CBB">
        <w:rPr>
          <w:szCs w:val="20"/>
        </w:rPr>
        <w:t xml:space="preserve">Darren R. </w:t>
      </w:r>
      <w:proofErr w:type="spellStart"/>
      <w:r w:rsidR="00557CBB">
        <w:rPr>
          <w:szCs w:val="20"/>
        </w:rPr>
        <w:t>Gentilquore</w:t>
      </w:r>
      <w:proofErr w:type="spellEnd"/>
      <w:r w:rsidR="00557CBB">
        <w:rPr>
          <w:szCs w:val="20"/>
        </w:rPr>
        <w:t xml:space="preserve"> is </w:t>
      </w:r>
      <w:r w:rsidR="00DE7A2F">
        <w:rPr>
          <w:szCs w:val="20"/>
        </w:rPr>
        <w:t xml:space="preserve">currently </w:t>
      </w:r>
      <w:r w:rsidR="00557CBB">
        <w:rPr>
          <w:szCs w:val="20"/>
        </w:rPr>
        <w:t>an inmate at the State Correctional Institute</w:t>
      </w:r>
      <w:r w:rsidR="00BA4A93">
        <w:rPr>
          <w:szCs w:val="20"/>
        </w:rPr>
        <w:t xml:space="preserve"> at </w:t>
      </w:r>
      <w:r w:rsidR="00557CBB">
        <w:rPr>
          <w:szCs w:val="20"/>
        </w:rPr>
        <w:t>Greene, 175 Progress Drive, Waynesburg, Pennsylvania 15370.</w:t>
      </w:r>
      <w:r w:rsidR="00557CBB">
        <w:rPr>
          <w:rStyle w:val="FootnoteReference"/>
          <w:szCs w:val="20"/>
        </w:rPr>
        <w:footnoteReference w:id="1"/>
      </w:r>
    </w:p>
    <w:p w:rsidR="00485C90" w:rsidRDefault="00485C90" w:rsidP="00070B25">
      <w:pPr>
        <w:widowControl/>
        <w:autoSpaceDE/>
        <w:autoSpaceDN/>
        <w:adjustRightInd/>
        <w:spacing w:line="360" w:lineRule="auto"/>
        <w:rPr>
          <w:szCs w:val="20"/>
        </w:rPr>
      </w:pPr>
    </w:p>
    <w:p w:rsidR="001B5A0F" w:rsidRDefault="00070B25" w:rsidP="00070B25">
      <w:pPr>
        <w:widowControl/>
        <w:autoSpaceDE/>
        <w:autoSpaceDN/>
        <w:adjustRightInd/>
        <w:spacing w:line="360" w:lineRule="auto"/>
        <w:rPr>
          <w:szCs w:val="20"/>
        </w:rPr>
      </w:pPr>
      <w:r w:rsidRPr="00070B25">
        <w:rPr>
          <w:szCs w:val="20"/>
        </w:rPr>
        <w:lastRenderedPageBreak/>
        <w:tab/>
      </w:r>
      <w:r w:rsidRPr="00070B25">
        <w:rPr>
          <w:szCs w:val="20"/>
        </w:rPr>
        <w:tab/>
        <w:t>2.</w:t>
      </w:r>
      <w:r w:rsidRPr="00070B25">
        <w:rPr>
          <w:szCs w:val="20"/>
        </w:rPr>
        <w:tab/>
        <w:t xml:space="preserve">Respondent </w:t>
      </w:r>
      <w:r w:rsidR="00DE7A2F">
        <w:rPr>
          <w:szCs w:val="20"/>
        </w:rPr>
        <w:t>Global Te</w:t>
      </w:r>
      <w:r w:rsidR="001B5A0F">
        <w:rPr>
          <w:szCs w:val="20"/>
        </w:rPr>
        <w:t>l</w:t>
      </w:r>
      <w:r w:rsidR="00DE7A2F">
        <w:rPr>
          <w:szCs w:val="20"/>
        </w:rPr>
        <w:t xml:space="preserve">*Link Corporation </w:t>
      </w:r>
      <w:r w:rsidR="001B5A0F">
        <w:rPr>
          <w:szCs w:val="20"/>
        </w:rPr>
        <w:t>provid</w:t>
      </w:r>
      <w:r w:rsidR="00E87640">
        <w:rPr>
          <w:szCs w:val="20"/>
        </w:rPr>
        <w:t>es</w:t>
      </w:r>
      <w:r w:rsidR="001B5A0F">
        <w:rPr>
          <w:szCs w:val="20"/>
        </w:rPr>
        <w:t xml:space="preserve"> </w:t>
      </w:r>
      <w:r w:rsidR="00F36C60">
        <w:rPr>
          <w:szCs w:val="20"/>
        </w:rPr>
        <w:t>prepaid calling</w:t>
      </w:r>
      <w:r w:rsidR="003F5A6E">
        <w:rPr>
          <w:szCs w:val="20"/>
        </w:rPr>
        <w:t xml:space="preserve"> </w:t>
      </w:r>
      <w:r w:rsidR="00F36C60">
        <w:rPr>
          <w:szCs w:val="20"/>
        </w:rPr>
        <w:t xml:space="preserve">and telephone service </w:t>
      </w:r>
      <w:r w:rsidR="001B5A0F">
        <w:rPr>
          <w:szCs w:val="20"/>
        </w:rPr>
        <w:t xml:space="preserve">to </w:t>
      </w:r>
      <w:r w:rsidR="00A54FA8">
        <w:rPr>
          <w:szCs w:val="20"/>
        </w:rPr>
        <w:t xml:space="preserve">inmates of </w:t>
      </w:r>
      <w:r w:rsidR="001B5A0F">
        <w:rPr>
          <w:szCs w:val="20"/>
        </w:rPr>
        <w:t>correct</w:t>
      </w:r>
      <w:r w:rsidR="00F36C60">
        <w:rPr>
          <w:szCs w:val="20"/>
        </w:rPr>
        <w:t>ional institu</w:t>
      </w:r>
      <w:r w:rsidR="003F5A6E">
        <w:rPr>
          <w:szCs w:val="20"/>
        </w:rPr>
        <w:t>t</w:t>
      </w:r>
      <w:r w:rsidR="00F36C60">
        <w:rPr>
          <w:szCs w:val="20"/>
        </w:rPr>
        <w:t>ions</w:t>
      </w:r>
      <w:r w:rsidR="001B5A0F">
        <w:rPr>
          <w:szCs w:val="20"/>
        </w:rPr>
        <w:t xml:space="preserve"> in Pennsylvania.</w:t>
      </w:r>
    </w:p>
    <w:p w:rsidR="00917924" w:rsidRDefault="00917924" w:rsidP="00070B25">
      <w:pPr>
        <w:widowControl/>
        <w:autoSpaceDE/>
        <w:autoSpaceDN/>
        <w:adjustRightInd/>
        <w:spacing w:line="360" w:lineRule="auto"/>
        <w:rPr>
          <w:szCs w:val="20"/>
        </w:rPr>
      </w:pPr>
    </w:p>
    <w:p w:rsidR="008106AE" w:rsidRDefault="001B5A0F" w:rsidP="00070B25">
      <w:pPr>
        <w:widowControl/>
        <w:autoSpaceDE/>
        <w:autoSpaceDN/>
        <w:adjustRightInd/>
        <w:spacing w:line="360" w:lineRule="auto"/>
        <w:rPr>
          <w:szCs w:val="20"/>
        </w:rPr>
      </w:pPr>
      <w:r w:rsidRPr="00070B25">
        <w:rPr>
          <w:szCs w:val="20"/>
        </w:rPr>
        <w:t xml:space="preserve"> </w:t>
      </w:r>
      <w:r w:rsidR="00070B25" w:rsidRPr="00070B25">
        <w:rPr>
          <w:szCs w:val="20"/>
        </w:rPr>
        <w:tab/>
      </w:r>
      <w:r w:rsidR="00070B25" w:rsidRPr="00070B25">
        <w:rPr>
          <w:szCs w:val="20"/>
        </w:rPr>
        <w:tab/>
        <w:t>3.</w:t>
      </w:r>
      <w:r w:rsidR="00070B25" w:rsidRPr="00070B25">
        <w:rPr>
          <w:szCs w:val="20"/>
        </w:rPr>
        <w:tab/>
      </w:r>
      <w:r w:rsidR="0096081A">
        <w:rPr>
          <w:szCs w:val="20"/>
        </w:rPr>
        <w:t xml:space="preserve">On June 23, 2014, </w:t>
      </w:r>
      <w:r w:rsidR="00BA4A93">
        <w:rPr>
          <w:szCs w:val="20"/>
        </w:rPr>
        <w:t xml:space="preserve">Mr. </w:t>
      </w:r>
      <w:proofErr w:type="spellStart"/>
      <w:r w:rsidR="00BA4A93">
        <w:rPr>
          <w:szCs w:val="20"/>
        </w:rPr>
        <w:t>Gentilquore</w:t>
      </w:r>
      <w:proofErr w:type="spellEnd"/>
      <w:r w:rsidR="00BA4A93">
        <w:rPr>
          <w:szCs w:val="20"/>
        </w:rPr>
        <w:t xml:space="preserve"> </w:t>
      </w:r>
      <w:r w:rsidR="0096081A">
        <w:rPr>
          <w:szCs w:val="20"/>
        </w:rPr>
        <w:t xml:space="preserve">filed his complaint alleging </w:t>
      </w:r>
      <w:r w:rsidR="00BA4A93">
        <w:rPr>
          <w:szCs w:val="20"/>
        </w:rPr>
        <w:t xml:space="preserve">that </w:t>
      </w:r>
      <w:proofErr w:type="spellStart"/>
      <w:r w:rsidR="00BA4A93">
        <w:rPr>
          <w:szCs w:val="20"/>
        </w:rPr>
        <w:t>Global’s</w:t>
      </w:r>
      <w:proofErr w:type="spellEnd"/>
      <w:r w:rsidR="00BA4A93">
        <w:rPr>
          <w:szCs w:val="20"/>
        </w:rPr>
        <w:t xml:space="preserve"> $6.25 charge for </w:t>
      </w:r>
      <w:r w:rsidR="008106AE">
        <w:rPr>
          <w:szCs w:val="20"/>
        </w:rPr>
        <w:t xml:space="preserve">a 15-minute, </w:t>
      </w:r>
      <w:r w:rsidR="00BA4A93">
        <w:rPr>
          <w:szCs w:val="20"/>
        </w:rPr>
        <w:t>in</w:t>
      </w:r>
      <w:r w:rsidR="008106AE">
        <w:rPr>
          <w:szCs w:val="20"/>
        </w:rPr>
        <w:t>tra</w:t>
      </w:r>
      <w:r w:rsidR="00BA4A93">
        <w:rPr>
          <w:szCs w:val="20"/>
        </w:rPr>
        <w:t xml:space="preserve">state telephone call </w:t>
      </w:r>
      <w:r w:rsidR="0096081A">
        <w:rPr>
          <w:szCs w:val="20"/>
        </w:rPr>
        <w:t>wa</w:t>
      </w:r>
      <w:r w:rsidR="00BA4A93">
        <w:rPr>
          <w:szCs w:val="20"/>
        </w:rPr>
        <w:t>s overpriced.</w:t>
      </w:r>
      <w:r w:rsidR="00475D91">
        <w:rPr>
          <w:szCs w:val="20"/>
        </w:rPr>
        <w:t xml:space="preserve">  </w:t>
      </w:r>
      <w:proofErr w:type="gramStart"/>
      <w:r w:rsidR="00475D91">
        <w:rPr>
          <w:szCs w:val="20"/>
        </w:rPr>
        <w:t>Complaint ¶ 4.</w:t>
      </w:r>
      <w:proofErr w:type="gramEnd"/>
    </w:p>
    <w:p w:rsidR="008106AE" w:rsidRDefault="008106AE" w:rsidP="00070B25">
      <w:pPr>
        <w:widowControl/>
        <w:autoSpaceDE/>
        <w:autoSpaceDN/>
        <w:adjustRightInd/>
        <w:spacing w:line="360" w:lineRule="auto"/>
        <w:rPr>
          <w:szCs w:val="20"/>
        </w:rPr>
      </w:pPr>
    </w:p>
    <w:p w:rsidR="008106AE" w:rsidRDefault="008106AE" w:rsidP="00070B25">
      <w:pPr>
        <w:widowControl/>
        <w:autoSpaceDE/>
        <w:autoSpaceDN/>
        <w:adjustRightInd/>
        <w:spacing w:line="360" w:lineRule="auto"/>
        <w:rPr>
          <w:szCs w:val="20"/>
        </w:rPr>
      </w:pPr>
      <w:r>
        <w:rPr>
          <w:szCs w:val="20"/>
        </w:rPr>
        <w:tab/>
      </w:r>
      <w:r>
        <w:rPr>
          <w:szCs w:val="20"/>
        </w:rPr>
        <w:tab/>
        <w:t>4.</w:t>
      </w:r>
      <w:r>
        <w:rPr>
          <w:szCs w:val="20"/>
        </w:rPr>
        <w:tab/>
        <w:t xml:space="preserve">Mr. </w:t>
      </w:r>
      <w:proofErr w:type="spellStart"/>
      <w:r>
        <w:rPr>
          <w:szCs w:val="20"/>
        </w:rPr>
        <w:t>Gentilquore</w:t>
      </w:r>
      <w:proofErr w:type="spellEnd"/>
      <w:r>
        <w:rPr>
          <w:szCs w:val="20"/>
        </w:rPr>
        <w:t xml:space="preserve"> complains that there is no competition for calling service at the correctional institutions, thereby violating antitrust laws.</w:t>
      </w:r>
      <w:r w:rsidR="00475D91">
        <w:rPr>
          <w:szCs w:val="20"/>
        </w:rPr>
        <w:t xml:space="preserve">  Id.</w:t>
      </w:r>
    </w:p>
    <w:p w:rsidR="008106AE" w:rsidRDefault="008106AE" w:rsidP="00070B25">
      <w:pPr>
        <w:widowControl/>
        <w:autoSpaceDE/>
        <w:autoSpaceDN/>
        <w:adjustRightInd/>
        <w:spacing w:line="360" w:lineRule="auto"/>
        <w:rPr>
          <w:szCs w:val="20"/>
        </w:rPr>
      </w:pPr>
    </w:p>
    <w:p w:rsidR="008106AE" w:rsidRDefault="008106AE" w:rsidP="00070B25">
      <w:pPr>
        <w:widowControl/>
        <w:autoSpaceDE/>
        <w:autoSpaceDN/>
        <w:adjustRightInd/>
        <w:spacing w:line="360" w:lineRule="auto"/>
        <w:rPr>
          <w:szCs w:val="20"/>
        </w:rPr>
      </w:pPr>
      <w:r>
        <w:rPr>
          <w:szCs w:val="20"/>
        </w:rPr>
        <w:tab/>
      </w:r>
      <w:r>
        <w:rPr>
          <w:szCs w:val="20"/>
        </w:rPr>
        <w:tab/>
        <w:t>5.</w:t>
      </w:r>
      <w:r>
        <w:rPr>
          <w:szCs w:val="20"/>
        </w:rPr>
        <w:tab/>
        <w:t xml:space="preserve">Mr. </w:t>
      </w:r>
      <w:proofErr w:type="spellStart"/>
      <w:r>
        <w:rPr>
          <w:szCs w:val="20"/>
        </w:rPr>
        <w:t>Gentilquore</w:t>
      </w:r>
      <w:proofErr w:type="spellEnd"/>
      <w:r>
        <w:rPr>
          <w:szCs w:val="20"/>
        </w:rPr>
        <w:t xml:space="preserve"> asks the Commission to order Global “to bring their charges in line with the going rate and to refund the overcharges.</w:t>
      </w:r>
      <w:r w:rsidR="00475D91">
        <w:rPr>
          <w:szCs w:val="20"/>
        </w:rPr>
        <w:t xml:space="preserve">”  </w:t>
      </w:r>
      <w:proofErr w:type="gramStart"/>
      <w:r w:rsidR="00475D91">
        <w:rPr>
          <w:szCs w:val="20"/>
        </w:rPr>
        <w:t>Complaint ¶ 5.</w:t>
      </w:r>
      <w:proofErr w:type="gramEnd"/>
      <w:r w:rsidR="00475D91">
        <w:rPr>
          <w:szCs w:val="20"/>
        </w:rPr>
        <w:t xml:space="preserve"> </w:t>
      </w:r>
    </w:p>
    <w:p w:rsidR="008106AE" w:rsidRDefault="008106AE" w:rsidP="00070B25">
      <w:pPr>
        <w:widowControl/>
        <w:autoSpaceDE/>
        <w:autoSpaceDN/>
        <w:adjustRightInd/>
        <w:spacing w:line="360" w:lineRule="auto"/>
        <w:rPr>
          <w:szCs w:val="20"/>
        </w:rPr>
      </w:pPr>
    </w:p>
    <w:p w:rsidR="0096081A" w:rsidRDefault="008106AE" w:rsidP="00070B25">
      <w:pPr>
        <w:widowControl/>
        <w:autoSpaceDE/>
        <w:autoSpaceDN/>
        <w:adjustRightInd/>
        <w:spacing w:line="360" w:lineRule="auto"/>
      </w:pPr>
      <w:r>
        <w:rPr>
          <w:szCs w:val="20"/>
        </w:rPr>
        <w:tab/>
      </w:r>
      <w:r>
        <w:rPr>
          <w:szCs w:val="20"/>
        </w:rPr>
        <w:tab/>
        <w:t>6.</w:t>
      </w:r>
      <w:r>
        <w:rPr>
          <w:szCs w:val="20"/>
        </w:rPr>
        <w:tab/>
      </w:r>
      <w:r w:rsidR="00475D91">
        <w:rPr>
          <w:szCs w:val="20"/>
        </w:rPr>
        <w:t xml:space="preserve">On </w:t>
      </w:r>
      <w:r w:rsidR="00475D91">
        <w:t>Octo</w:t>
      </w:r>
      <w:r w:rsidR="00475D91" w:rsidRPr="00D026FD">
        <w:t xml:space="preserve">ber </w:t>
      </w:r>
      <w:r w:rsidR="00475D91">
        <w:t xml:space="preserve">20, 2014, GTL filed a Motion for Judgment on the Pleadings </w:t>
      </w:r>
      <w:r w:rsidR="008930D5">
        <w:t xml:space="preserve">(Motion) </w:t>
      </w:r>
      <w:r w:rsidR="00475D91">
        <w:t>arguing as follows:</w:t>
      </w:r>
    </w:p>
    <w:p w:rsidR="00475D91" w:rsidRDefault="00475D91" w:rsidP="00070B25">
      <w:pPr>
        <w:widowControl/>
        <w:autoSpaceDE/>
        <w:autoSpaceDN/>
        <w:adjustRightInd/>
        <w:spacing w:line="360" w:lineRule="auto"/>
      </w:pPr>
    </w:p>
    <w:p w:rsidR="0096081A" w:rsidRDefault="00475D91" w:rsidP="00475D91">
      <w:pPr>
        <w:widowControl/>
        <w:autoSpaceDE/>
        <w:autoSpaceDN/>
        <w:adjustRightInd/>
        <w:ind w:left="1440" w:right="1080"/>
        <w:rPr>
          <w:szCs w:val="20"/>
        </w:rPr>
      </w:pPr>
      <w:r>
        <w:t>The Complainant raises is</w:t>
      </w:r>
      <w:r w:rsidR="00F67AD7">
        <w:t>s</w:t>
      </w:r>
      <w:r>
        <w:t>ues regarding rates charged by GTL for intrastate inter-LATA</w:t>
      </w:r>
      <w:r w:rsidR="00A96784">
        <w:rPr>
          <w:rStyle w:val="FootnoteReference"/>
        </w:rPr>
        <w:footnoteReference w:id="2"/>
      </w:r>
      <w:r>
        <w:t xml:space="preserve"> telephone service at the State Correctional Institution at Greene (“SCI Greene”),</w:t>
      </w:r>
      <w:r>
        <w:rPr>
          <w:szCs w:val="20"/>
        </w:rPr>
        <w:t xml:space="preserve"> but the Commission lacks the jurisdiction to regulate GTL’s rates because in-state inter-LATA rates are competitive rates, and they are based on a contract between GTL and the Pennsylvania Department of Corrections (“DOC”).  Because the Commission lacks the jurisdiction to address the issues raised by Complainant, this matter must be dismissed with prejudice.</w:t>
      </w:r>
    </w:p>
    <w:p w:rsidR="00475D91" w:rsidRDefault="00475D91" w:rsidP="00475D91">
      <w:pPr>
        <w:widowControl/>
        <w:autoSpaceDE/>
        <w:autoSpaceDN/>
        <w:adjustRightInd/>
        <w:ind w:left="1440" w:right="1080"/>
        <w:rPr>
          <w:szCs w:val="20"/>
        </w:rPr>
      </w:pPr>
    </w:p>
    <w:p w:rsidR="00475D91" w:rsidRDefault="008930D5" w:rsidP="008930D5">
      <w:pPr>
        <w:widowControl/>
        <w:autoSpaceDE/>
        <w:autoSpaceDN/>
        <w:adjustRightInd/>
        <w:ind w:left="1440" w:right="1080" w:hanging="1440"/>
        <w:rPr>
          <w:szCs w:val="20"/>
        </w:rPr>
      </w:pPr>
      <w:r>
        <w:rPr>
          <w:szCs w:val="20"/>
        </w:rPr>
        <w:t>Motion, p. 1.</w:t>
      </w:r>
    </w:p>
    <w:p w:rsidR="008930D5" w:rsidRDefault="008930D5" w:rsidP="00F67AD7">
      <w:pPr>
        <w:widowControl/>
        <w:autoSpaceDE/>
        <w:autoSpaceDN/>
        <w:adjustRightInd/>
        <w:spacing w:line="360" w:lineRule="auto"/>
        <w:ind w:left="1440" w:right="1080" w:hanging="1440"/>
        <w:rPr>
          <w:szCs w:val="20"/>
        </w:rPr>
      </w:pPr>
    </w:p>
    <w:p w:rsidR="008930D5" w:rsidRDefault="008930D5" w:rsidP="00D72D7B">
      <w:pPr>
        <w:widowControl/>
        <w:autoSpaceDE/>
        <w:autoSpaceDN/>
        <w:adjustRightInd/>
        <w:spacing w:line="360" w:lineRule="auto"/>
        <w:rPr>
          <w:szCs w:val="20"/>
        </w:rPr>
      </w:pPr>
      <w:r>
        <w:rPr>
          <w:szCs w:val="20"/>
        </w:rPr>
        <w:tab/>
      </w:r>
      <w:r>
        <w:rPr>
          <w:szCs w:val="20"/>
        </w:rPr>
        <w:tab/>
        <w:t>7.</w:t>
      </w:r>
      <w:r>
        <w:rPr>
          <w:szCs w:val="20"/>
        </w:rPr>
        <w:tab/>
      </w:r>
      <w:r w:rsidR="0096081A">
        <w:rPr>
          <w:szCs w:val="20"/>
        </w:rPr>
        <w:t>“</w:t>
      </w:r>
      <w:r w:rsidR="008106AE">
        <w:rPr>
          <w:szCs w:val="20"/>
        </w:rPr>
        <w:t>G</w:t>
      </w:r>
      <w:r w:rsidR="0096081A">
        <w:rPr>
          <w:szCs w:val="20"/>
        </w:rPr>
        <w:t>TL does not dispute that a fifteen-minute in-state call from the Greene facility to a number in another county would cost the inmate $6.25.</w:t>
      </w:r>
      <w:r>
        <w:rPr>
          <w:szCs w:val="20"/>
        </w:rPr>
        <w:t xml:space="preserve">”  </w:t>
      </w:r>
      <w:proofErr w:type="gramStart"/>
      <w:r>
        <w:rPr>
          <w:szCs w:val="20"/>
        </w:rPr>
        <w:t>Motion ¶ 8.</w:t>
      </w:r>
      <w:proofErr w:type="gramEnd"/>
    </w:p>
    <w:p w:rsidR="0096081A" w:rsidRDefault="0096081A" w:rsidP="00D72D7B">
      <w:pPr>
        <w:widowControl/>
        <w:autoSpaceDE/>
        <w:autoSpaceDN/>
        <w:adjustRightInd/>
        <w:spacing w:line="360" w:lineRule="auto"/>
        <w:rPr>
          <w:szCs w:val="20"/>
        </w:rPr>
      </w:pPr>
      <w:r>
        <w:rPr>
          <w:szCs w:val="20"/>
        </w:rPr>
        <w:t xml:space="preserve">  </w:t>
      </w:r>
      <w:r w:rsidR="008106AE">
        <w:rPr>
          <w:szCs w:val="20"/>
        </w:rPr>
        <w:t xml:space="preserve">  </w:t>
      </w:r>
    </w:p>
    <w:p w:rsidR="00F67AD7" w:rsidRDefault="0096081A" w:rsidP="00D72D7B">
      <w:pPr>
        <w:widowControl/>
        <w:autoSpaceDE/>
        <w:autoSpaceDN/>
        <w:adjustRightInd/>
        <w:spacing w:line="360" w:lineRule="auto"/>
        <w:rPr>
          <w:szCs w:val="20"/>
        </w:rPr>
      </w:pPr>
      <w:r>
        <w:rPr>
          <w:szCs w:val="20"/>
        </w:rPr>
        <w:tab/>
      </w:r>
      <w:r>
        <w:rPr>
          <w:szCs w:val="20"/>
        </w:rPr>
        <w:tab/>
      </w:r>
      <w:r w:rsidR="00F67AD7">
        <w:rPr>
          <w:szCs w:val="20"/>
        </w:rPr>
        <w:t>8</w:t>
      </w:r>
      <w:r>
        <w:rPr>
          <w:szCs w:val="20"/>
        </w:rPr>
        <w:t>.</w:t>
      </w:r>
      <w:r w:rsidR="00F67AD7">
        <w:rPr>
          <w:szCs w:val="20"/>
        </w:rPr>
        <w:tab/>
        <w:t>Under GTL’s price list, an intrastate, inter-LATA call lasting 15 minutes costs $6.25 for a collect/direct bill call, the inmate is charged $2.61 for the first minute and $0.26 for</w:t>
      </w:r>
      <w:r w:rsidR="00FA6C41">
        <w:rPr>
          <w:szCs w:val="20"/>
        </w:rPr>
        <w:t xml:space="preserve"> </w:t>
      </w:r>
      <w:r w:rsidR="00F67AD7">
        <w:rPr>
          <w:szCs w:val="20"/>
        </w:rPr>
        <w:t xml:space="preserve">the remaining 14 minutes of the call for a total of $6.25 ($2.61 + ($0.26 x 14) = $6.25).  </w:t>
      </w:r>
      <w:proofErr w:type="gramStart"/>
      <w:r w:rsidR="00F67AD7">
        <w:rPr>
          <w:szCs w:val="20"/>
        </w:rPr>
        <w:t>Motion ¶ 9, Exhibit A.</w:t>
      </w:r>
      <w:proofErr w:type="gramEnd"/>
    </w:p>
    <w:p w:rsidR="00F36C60" w:rsidRDefault="00F67AD7" w:rsidP="00D72D7B">
      <w:pPr>
        <w:widowControl/>
        <w:autoSpaceDE/>
        <w:autoSpaceDN/>
        <w:adjustRightInd/>
        <w:spacing w:line="360" w:lineRule="auto"/>
        <w:ind w:firstLine="1440"/>
        <w:rPr>
          <w:szCs w:val="20"/>
        </w:rPr>
      </w:pPr>
      <w:r>
        <w:rPr>
          <w:szCs w:val="20"/>
        </w:rPr>
        <w:lastRenderedPageBreak/>
        <w:t>9.</w:t>
      </w:r>
      <w:r>
        <w:rPr>
          <w:szCs w:val="20"/>
        </w:rPr>
        <w:tab/>
      </w:r>
      <w:r w:rsidR="00897C48">
        <w:rPr>
          <w:szCs w:val="20"/>
        </w:rPr>
        <w:t>GTL is authorized to provide interexchange toll reseller</w:t>
      </w:r>
      <w:r w:rsidR="00F36C60">
        <w:rPr>
          <w:szCs w:val="20"/>
        </w:rPr>
        <w:t xml:space="preserve"> </w:t>
      </w:r>
      <w:r w:rsidR="00897C48">
        <w:rPr>
          <w:szCs w:val="20"/>
        </w:rPr>
        <w:t xml:space="preserve">telecommunications services pursuant to the Commission’s Order entered on August 16, 1994 at </w:t>
      </w:r>
    </w:p>
    <w:p w:rsidR="00F36C60" w:rsidRDefault="00897C48" w:rsidP="00D72D7B">
      <w:pPr>
        <w:widowControl/>
        <w:autoSpaceDE/>
        <w:autoSpaceDN/>
        <w:adjustRightInd/>
        <w:spacing w:line="360" w:lineRule="auto"/>
        <w:rPr>
          <w:szCs w:val="20"/>
        </w:rPr>
      </w:pPr>
      <w:r>
        <w:rPr>
          <w:szCs w:val="20"/>
        </w:rPr>
        <w:t xml:space="preserve">Docket No. </w:t>
      </w:r>
      <w:proofErr w:type="gramStart"/>
      <w:r>
        <w:rPr>
          <w:szCs w:val="20"/>
        </w:rPr>
        <w:t>A-310152.</w:t>
      </w:r>
      <w:proofErr w:type="gramEnd"/>
      <w:r w:rsidR="001C2FAD" w:rsidRPr="001C2FAD">
        <w:rPr>
          <w:rStyle w:val="FootnoteReference"/>
          <w:szCs w:val="20"/>
        </w:rPr>
        <w:t xml:space="preserve"> </w:t>
      </w:r>
      <w:r w:rsidR="001C2FAD">
        <w:rPr>
          <w:rStyle w:val="FootnoteReference"/>
          <w:szCs w:val="20"/>
        </w:rPr>
        <w:footnoteReference w:id="3"/>
      </w:r>
    </w:p>
    <w:p w:rsidR="00F36C60" w:rsidRDefault="00F36C60" w:rsidP="00D72D7B">
      <w:pPr>
        <w:widowControl/>
        <w:autoSpaceDE/>
        <w:autoSpaceDN/>
        <w:adjustRightInd/>
        <w:spacing w:line="360" w:lineRule="auto"/>
        <w:rPr>
          <w:szCs w:val="20"/>
        </w:rPr>
      </w:pPr>
    </w:p>
    <w:p w:rsidR="00F36C60" w:rsidRDefault="00F36C60" w:rsidP="00D72D7B">
      <w:pPr>
        <w:widowControl/>
        <w:autoSpaceDE/>
        <w:autoSpaceDN/>
        <w:adjustRightInd/>
        <w:spacing w:line="360" w:lineRule="auto"/>
        <w:rPr>
          <w:szCs w:val="20"/>
        </w:rPr>
      </w:pPr>
      <w:r>
        <w:rPr>
          <w:szCs w:val="20"/>
        </w:rPr>
        <w:tab/>
      </w:r>
      <w:r>
        <w:rPr>
          <w:szCs w:val="20"/>
        </w:rPr>
        <w:tab/>
        <w:t>10.</w:t>
      </w:r>
      <w:r>
        <w:rPr>
          <w:szCs w:val="20"/>
        </w:rPr>
        <w:tab/>
        <w:t>By secretarial letter dated December 8, 2009</w:t>
      </w:r>
      <w:r w:rsidR="003F5A6E">
        <w:rPr>
          <w:szCs w:val="20"/>
        </w:rPr>
        <w:t>,</w:t>
      </w:r>
      <w:r>
        <w:rPr>
          <w:szCs w:val="20"/>
        </w:rPr>
        <w:t xml:space="preserve"> the Commission approved GTL’s request to </w:t>
      </w:r>
      <w:proofErr w:type="spellStart"/>
      <w:r>
        <w:rPr>
          <w:szCs w:val="20"/>
        </w:rPr>
        <w:t>detariff</w:t>
      </w:r>
      <w:proofErr w:type="spellEnd"/>
      <w:r>
        <w:rPr>
          <w:szCs w:val="20"/>
        </w:rPr>
        <w:t xml:space="preserve"> as follows: </w:t>
      </w:r>
    </w:p>
    <w:p w:rsidR="00F36C60" w:rsidRDefault="00F36C60" w:rsidP="008930D5">
      <w:pPr>
        <w:widowControl/>
        <w:autoSpaceDE/>
        <w:autoSpaceDN/>
        <w:adjustRightInd/>
        <w:spacing w:line="360" w:lineRule="auto"/>
        <w:rPr>
          <w:szCs w:val="20"/>
        </w:rPr>
      </w:pPr>
    </w:p>
    <w:p w:rsidR="00070B25" w:rsidRPr="0096081A" w:rsidRDefault="00F36C60" w:rsidP="00F36C60">
      <w:pPr>
        <w:widowControl/>
        <w:autoSpaceDE/>
        <w:autoSpaceDN/>
        <w:adjustRightInd/>
        <w:ind w:left="1440" w:right="1080"/>
        <w:rPr>
          <w:szCs w:val="20"/>
        </w:rPr>
      </w:pPr>
      <w:r>
        <w:rPr>
          <w:szCs w:val="20"/>
        </w:rPr>
        <w:t xml:space="preserve">We hereby approve the Company’s request to </w:t>
      </w:r>
      <w:proofErr w:type="spellStart"/>
      <w:r>
        <w:rPr>
          <w:szCs w:val="20"/>
        </w:rPr>
        <w:t>detariff</w:t>
      </w:r>
      <w:proofErr w:type="spellEnd"/>
      <w:r>
        <w:rPr>
          <w:szCs w:val="20"/>
        </w:rPr>
        <w:t xml:space="preserve"> and cancel its Telephone Tariff-Pa. P.U.C.</w:t>
      </w:r>
      <w:r w:rsidR="00554B7C">
        <w:rPr>
          <w:szCs w:val="20"/>
        </w:rPr>
        <w:t xml:space="preserve"> No. 2.  The company is now to be governed by Pennsylvania contract law and is subject to the requirements as set forth in the consumer protection law.</w:t>
      </w:r>
      <w:r w:rsidR="001C2FAD">
        <w:rPr>
          <w:rStyle w:val="FootnoteReference"/>
          <w:szCs w:val="20"/>
        </w:rPr>
        <w:footnoteReference w:id="4"/>
      </w:r>
      <w:r>
        <w:rPr>
          <w:szCs w:val="20"/>
        </w:rPr>
        <w:tab/>
      </w:r>
      <w:r w:rsidR="00897C48">
        <w:rPr>
          <w:szCs w:val="20"/>
        </w:rPr>
        <w:t xml:space="preserve">  </w:t>
      </w:r>
      <w:r>
        <w:rPr>
          <w:szCs w:val="20"/>
        </w:rPr>
        <w:tab/>
      </w:r>
    </w:p>
    <w:p w:rsidR="003F5A6E" w:rsidRDefault="003F5A6E" w:rsidP="008930D5">
      <w:pPr>
        <w:widowControl/>
        <w:autoSpaceDE/>
        <w:autoSpaceDN/>
        <w:adjustRightInd/>
        <w:spacing w:line="360" w:lineRule="auto"/>
        <w:rPr>
          <w:szCs w:val="20"/>
        </w:rPr>
      </w:pPr>
    </w:p>
    <w:p w:rsidR="001C2FAD" w:rsidRPr="001C2FAD" w:rsidRDefault="001C2FAD" w:rsidP="008930D5">
      <w:pPr>
        <w:widowControl/>
        <w:autoSpaceDE/>
        <w:autoSpaceDN/>
        <w:adjustRightInd/>
        <w:spacing w:line="360" w:lineRule="auto"/>
        <w:rPr>
          <w:szCs w:val="20"/>
        </w:rPr>
      </w:pPr>
      <w:proofErr w:type="gramStart"/>
      <w:r>
        <w:rPr>
          <w:szCs w:val="20"/>
        </w:rPr>
        <w:t>Motion</w:t>
      </w:r>
      <w:r w:rsidR="00025882">
        <w:rPr>
          <w:szCs w:val="20"/>
        </w:rPr>
        <w:t xml:space="preserve"> ¶ 18.</w:t>
      </w:r>
      <w:proofErr w:type="gramEnd"/>
      <w:r w:rsidR="00025882">
        <w:rPr>
          <w:szCs w:val="20"/>
        </w:rPr>
        <w:t xml:space="preserve">  See Docket No. </w:t>
      </w:r>
      <w:proofErr w:type="gramStart"/>
      <w:r w:rsidR="00025882">
        <w:rPr>
          <w:szCs w:val="20"/>
        </w:rPr>
        <w:t>A-310152.</w:t>
      </w:r>
      <w:proofErr w:type="gramEnd"/>
    </w:p>
    <w:p w:rsidR="0096081A" w:rsidRPr="00070B25" w:rsidRDefault="0096081A" w:rsidP="008930D5">
      <w:pPr>
        <w:widowControl/>
        <w:autoSpaceDE/>
        <w:autoSpaceDN/>
        <w:adjustRightInd/>
        <w:spacing w:line="360" w:lineRule="auto"/>
        <w:rPr>
          <w:szCs w:val="20"/>
          <w:u w:val="single"/>
        </w:rPr>
      </w:pPr>
    </w:p>
    <w:p w:rsidR="00070B25" w:rsidRPr="00070B25" w:rsidRDefault="00070B25" w:rsidP="00D72D7B">
      <w:pPr>
        <w:widowControl/>
        <w:autoSpaceDE/>
        <w:autoSpaceDN/>
        <w:adjustRightInd/>
        <w:spacing w:line="360" w:lineRule="auto"/>
        <w:jc w:val="center"/>
        <w:rPr>
          <w:szCs w:val="20"/>
          <w:u w:val="single"/>
        </w:rPr>
      </w:pPr>
      <w:r w:rsidRPr="00070B25">
        <w:rPr>
          <w:szCs w:val="20"/>
          <w:u w:val="single"/>
        </w:rPr>
        <w:t>DISCUSSION</w:t>
      </w:r>
    </w:p>
    <w:p w:rsidR="00070B25" w:rsidRPr="00070B25" w:rsidRDefault="00070B25" w:rsidP="00D72D7B">
      <w:pPr>
        <w:widowControl/>
        <w:autoSpaceDE/>
        <w:autoSpaceDN/>
        <w:adjustRightInd/>
        <w:spacing w:line="360" w:lineRule="auto"/>
        <w:jc w:val="center"/>
        <w:rPr>
          <w:szCs w:val="20"/>
          <w:u w:val="single"/>
        </w:rPr>
      </w:pPr>
    </w:p>
    <w:p w:rsidR="00070B25" w:rsidRPr="00070B25" w:rsidRDefault="00070B25" w:rsidP="00D72D7B">
      <w:pPr>
        <w:widowControl/>
        <w:autoSpaceDE/>
        <w:autoSpaceDN/>
        <w:adjustRightInd/>
        <w:spacing w:line="360" w:lineRule="auto"/>
        <w:ind w:firstLine="1440"/>
        <w:rPr>
          <w:szCs w:val="20"/>
        </w:rPr>
      </w:pPr>
      <w:r w:rsidRPr="00070B25">
        <w:rPr>
          <w:szCs w:val="20"/>
        </w:rPr>
        <w:t xml:space="preserve">The Commission’s Rules of Administrative Practice and Procedure permit parties to file preliminary motions.  52 </w:t>
      </w:r>
      <w:proofErr w:type="spellStart"/>
      <w:r w:rsidRPr="00070B25">
        <w:rPr>
          <w:szCs w:val="20"/>
        </w:rPr>
        <w:t>Pa.Code</w:t>
      </w:r>
      <w:proofErr w:type="spellEnd"/>
      <w:r w:rsidRPr="00070B25">
        <w:rPr>
          <w:szCs w:val="20"/>
        </w:rPr>
        <w:t xml:space="preserve"> §§ 5.101-103.  The Commission’s regulation at 52 </w:t>
      </w:r>
      <w:proofErr w:type="spellStart"/>
      <w:r w:rsidRPr="00070B25">
        <w:rPr>
          <w:szCs w:val="20"/>
        </w:rPr>
        <w:t>Pa.Code</w:t>
      </w:r>
      <w:proofErr w:type="spellEnd"/>
      <w:r w:rsidRPr="00070B25">
        <w:rPr>
          <w:szCs w:val="20"/>
        </w:rPr>
        <w:t xml:space="preserve"> § 5.102(a) permits any party to move for judgment on the pleadings or summary judgment after the pleadings are closed, but within such time as not to delay a hearing.  In addition to the pleadings, a motion for summary judgment must be based on depositions, answers to interrogatories, admissions and supporting affidavits.  </w:t>
      </w:r>
      <w:proofErr w:type="gramStart"/>
      <w:r w:rsidRPr="00070B25">
        <w:rPr>
          <w:szCs w:val="20"/>
        </w:rPr>
        <w:t xml:space="preserve">52 </w:t>
      </w:r>
      <w:proofErr w:type="spellStart"/>
      <w:r w:rsidRPr="00070B25">
        <w:rPr>
          <w:szCs w:val="20"/>
        </w:rPr>
        <w:t>Pa.Code</w:t>
      </w:r>
      <w:proofErr w:type="spellEnd"/>
      <w:r w:rsidRPr="00070B25">
        <w:rPr>
          <w:szCs w:val="20"/>
        </w:rPr>
        <w:t xml:space="preserve"> § 5.102(c).</w:t>
      </w:r>
      <w:proofErr w:type="gramEnd"/>
      <w:r w:rsidRPr="00070B25">
        <w:rPr>
          <w:szCs w:val="20"/>
        </w:rPr>
        <w:t xml:space="preserve">  The standard for granting both motions is the same.  The presiding officer will grant a preliminary motion if the record shows that there is no genuine issue as to a material fact and that the moving party is entitled to judgment as a matter of law.  52 </w:t>
      </w:r>
      <w:proofErr w:type="spellStart"/>
      <w:r w:rsidRPr="00070B25">
        <w:rPr>
          <w:szCs w:val="20"/>
        </w:rPr>
        <w:t>Pa.Code</w:t>
      </w:r>
      <w:proofErr w:type="spellEnd"/>
      <w:r w:rsidRPr="00070B25">
        <w:rPr>
          <w:szCs w:val="20"/>
        </w:rPr>
        <w:t xml:space="preserve"> § 5.102(d</w:t>
      </w:r>
      <w:proofErr w:type="gramStart"/>
      <w:r w:rsidRPr="00070B25">
        <w:rPr>
          <w:szCs w:val="20"/>
        </w:rPr>
        <w:t>)(</w:t>
      </w:r>
      <w:proofErr w:type="gramEnd"/>
      <w:r w:rsidRPr="00070B25">
        <w:rPr>
          <w:szCs w:val="20"/>
        </w:rPr>
        <w:t xml:space="preserve">1).  </w:t>
      </w:r>
    </w:p>
    <w:p w:rsidR="00070B25" w:rsidRPr="00070B25" w:rsidRDefault="00070B25" w:rsidP="00D72D7B">
      <w:pPr>
        <w:widowControl/>
        <w:adjustRightInd/>
        <w:spacing w:line="360" w:lineRule="auto"/>
        <w:rPr>
          <w:szCs w:val="20"/>
        </w:rPr>
      </w:pPr>
    </w:p>
    <w:p w:rsidR="00070B25" w:rsidRPr="00070B25" w:rsidRDefault="00070B25" w:rsidP="00D72D7B">
      <w:pPr>
        <w:widowControl/>
        <w:adjustRightInd/>
        <w:spacing w:line="360" w:lineRule="auto"/>
        <w:rPr>
          <w:szCs w:val="20"/>
        </w:rPr>
      </w:pPr>
      <w:r w:rsidRPr="00070B25">
        <w:rPr>
          <w:szCs w:val="20"/>
        </w:rPr>
        <w:tab/>
      </w:r>
      <w:r w:rsidRPr="00070B25">
        <w:rPr>
          <w:szCs w:val="20"/>
        </w:rPr>
        <w:tab/>
        <w:t xml:space="preserve">The standard of review for both a motion for judgment on the pleadings and a motion for summary judgment is the same.  The moving party bears the burden of showing that no genuine issue of material fact exists and that it is entitled to a judgment as a matter of law.  </w:t>
      </w:r>
      <w:r w:rsidRPr="00070B25">
        <w:rPr>
          <w:szCs w:val="20"/>
        </w:rPr>
        <w:lastRenderedPageBreak/>
        <w:t xml:space="preserve">The Commission must view the record in the light most favorable to the non-moving party, giving that party the benefit of all reasonable inferences.  </w:t>
      </w:r>
      <w:proofErr w:type="gramStart"/>
      <w:r w:rsidRPr="00070B25">
        <w:rPr>
          <w:i/>
          <w:szCs w:val="20"/>
        </w:rPr>
        <w:t>First Mortgage Co. of Pennsylvania v.</w:t>
      </w:r>
      <w:proofErr w:type="gramEnd"/>
      <w:r w:rsidRPr="00070B25">
        <w:rPr>
          <w:i/>
          <w:szCs w:val="20"/>
        </w:rPr>
        <w:t xml:space="preserve">  </w:t>
      </w:r>
      <w:proofErr w:type="gramStart"/>
      <w:r w:rsidRPr="00070B25">
        <w:rPr>
          <w:i/>
          <w:szCs w:val="20"/>
        </w:rPr>
        <w:t>McCall</w:t>
      </w:r>
      <w:r w:rsidRPr="00070B25">
        <w:rPr>
          <w:szCs w:val="20"/>
        </w:rPr>
        <w:t>, 459 A.2d 406 (</w:t>
      </w:r>
      <w:proofErr w:type="spellStart"/>
      <w:r w:rsidRPr="00070B25">
        <w:rPr>
          <w:szCs w:val="20"/>
        </w:rPr>
        <w:t>Pa.Super</w:t>
      </w:r>
      <w:proofErr w:type="spellEnd"/>
      <w:r w:rsidRPr="00070B25">
        <w:rPr>
          <w:szCs w:val="20"/>
        </w:rPr>
        <w:t>.</w:t>
      </w:r>
      <w:r w:rsidR="003F5A6E">
        <w:rPr>
          <w:szCs w:val="20"/>
        </w:rPr>
        <w:t xml:space="preserve"> </w:t>
      </w:r>
      <w:r w:rsidRPr="00070B25">
        <w:rPr>
          <w:szCs w:val="20"/>
        </w:rPr>
        <w:t xml:space="preserve">1983); </w:t>
      </w:r>
      <w:r w:rsidRPr="00070B25">
        <w:rPr>
          <w:i/>
          <w:szCs w:val="20"/>
        </w:rPr>
        <w:t xml:space="preserve">Mertz v. </w:t>
      </w:r>
      <w:proofErr w:type="spellStart"/>
      <w:r w:rsidRPr="00070B25">
        <w:rPr>
          <w:i/>
          <w:szCs w:val="20"/>
        </w:rPr>
        <w:t>Lakatos</w:t>
      </w:r>
      <w:proofErr w:type="spellEnd"/>
      <w:r w:rsidRPr="00070B25">
        <w:rPr>
          <w:szCs w:val="20"/>
        </w:rPr>
        <w:t>, 381 A.2d 497 (</w:t>
      </w:r>
      <w:proofErr w:type="spellStart"/>
      <w:r w:rsidRPr="00070B25">
        <w:rPr>
          <w:szCs w:val="20"/>
        </w:rPr>
        <w:t>Pa.Cmwlth</w:t>
      </w:r>
      <w:proofErr w:type="spellEnd"/>
      <w:r w:rsidRPr="00070B25">
        <w:rPr>
          <w:szCs w:val="20"/>
        </w:rPr>
        <w:t>. 1976).</w:t>
      </w:r>
      <w:proofErr w:type="gramEnd"/>
      <w:r w:rsidRPr="00070B25">
        <w:rPr>
          <w:szCs w:val="20"/>
        </w:rPr>
        <w:t xml:space="preserve">  All doubts as to the existence of a genuine issue of material fact must be resolved against the moving party.  </w:t>
      </w:r>
      <w:proofErr w:type="gramStart"/>
      <w:r w:rsidRPr="00070B25">
        <w:rPr>
          <w:i/>
          <w:szCs w:val="20"/>
        </w:rPr>
        <w:t>Thomson Coal Company v. Pike Coal Company,</w:t>
      </w:r>
      <w:r w:rsidRPr="00070B25">
        <w:rPr>
          <w:szCs w:val="20"/>
        </w:rPr>
        <w:t xml:space="preserve"> 412 A.2d 466 (Pa. 1979).</w:t>
      </w:r>
      <w:proofErr w:type="gramEnd"/>
      <w:r w:rsidRPr="00070B25">
        <w:rPr>
          <w:szCs w:val="20"/>
        </w:rPr>
        <w:t xml:space="preserve">  Judgment will be granted only where the right to relief is clear and free from doubt.</w:t>
      </w:r>
    </w:p>
    <w:p w:rsidR="00070B25" w:rsidRPr="00070B25" w:rsidRDefault="00070B25" w:rsidP="00D72D7B">
      <w:pPr>
        <w:widowControl/>
        <w:adjustRightInd/>
        <w:spacing w:line="360" w:lineRule="auto"/>
        <w:rPr>
          <w:szCs w:val="20"/>
        </w:rPr>
      </w:pPr>
    </w:p>
    <w:p w:rsidR="00070B25" w:rsidRPr="00070B25" w:rsidRDefault="00070B25" w:rsidP="00D72D7B">
      <w:pPr>
        <w:widowControl/>
        <w:adjustRightInd/>
        <w:spacing w:line="360" w:lineRule="auto"/>
        <w:rPr>
          <w:szCs w:val="20"/>
        </w:rPr>
      </w:pPr>
      <w:r w:rsidRPr="00070B25">
        <w:rPr>
          <w:szCs w:val="20"/>
        </w:rPr>
        <w:tab/>
      </w:r>
      <w:r w:rsidRPr="00070B25">
        <w:rPr>
          <w:szCs w:val="20"/>
        </w:rPr>
        <w:tab/>
        <w:t xml:space="preserve">The Commission has interpreted Section 5.102(c) of its regulations in conformity with Rule 1035 (now Rule 1035.1) of the Pennsylvania Rules of Civil Procedure.  </w:t>
      </w:r>
      <w:r w:rsidRPr="00070B25">
        <w:rPr>
          <w:i/>
          <w:szCs w:val="20"/>
        </w:rPr>
        <w:t>South River Power Partners, L.P. v. West Penn Power Company,</w:t>
      </w:r>
      <w:r w:rsidRPr="00070B25">
        <w:rPr>
          <w:szCs w:val="20"/>
        </w:rPr>
        <w:t xml:space="preserve"> Docket No. </w:t>
      </w:r>
      <w:proofErr w:type="gramStart"/>
      <w:r w:rsidRPr="00070B25">
        <w:rPr>
          <w:szCs w:val="20"/>
        </w:rPr>
        <w:t>C-00935287 (Order entered November 6, 1996).</w:t>
      </w:r>
      <w:proofErr w:type="gramEnd"/>
      <w:r w:rsidRPr="00070B25">
        <w:rPr>
          <w:szCs w:val="20"/>
        </w:rPr>
        <w:t xml:space="preserve">  Accordingly, a non-moving party may not rest upon mere allegations or denials of the pleadings, but must submit some materials to establish that a genuine issue of material fact exists.  </w:t>
      </w:r>
      <w:proofErr w:type="spellStart"/>
      <w:proofErr w:type="gramStart"/>
      <w:r w:rsidRPr="00070B25">
        <w:rPr>
          <w:szCs w:val="20"/>
        </w:rPr>
        <w:t>Pa.R.C.P</w:t>
      </w:r>
      <w:proofErr w:type="spellEnd"/>
      <w:r w:rsidRPr="00070B25">
        <w:rPr>
          <w:szCs w:val="20"/>
        </w:rPr>
        <w:t xml:space="preserve">. No. 1035.3; </w:t>
      </w:r>
      <w:r w:rsidRPr="00070B25">
        <w:rPr>
          <w:i/>
          <w:szCs w:val="20"/>
        </w:rPr>
        <w:t>Stover v.</w:t>
      </w:r>
      <w:proofErr w:type="gramEnd"/>
      <w:r w:rsidRPr="00070B25">
        <w:rPr>
          <w:i/>
          <w:szCs w:val="20"/>
        </w:rPr>
        <w:t xml:space="preserve"> The United Telephone Co. of Pennsylvania</w:t>
      </w:r>
      <w:r w:rsidRPr="00070B25">
        <w:rPr>
          <w:szCs w:val="20"/>
        </w:rPr>
        <w:t xml:space="preserve">, Docket No. C-00923833 (Order entered July 21, 1992); see also </w:t>
      </w:r>
      <w:proofErr w:type="spellStart"/>
      <w:r w:rsidRPr="00070B25">
        <w:rPr>
          <w:i/>
          <w:szCs w:val="20"/>
        </w:rPr>
        <w:t>Nicastro</w:t>
      </w:r>
      <w:proofErr w:type="spellEnd"/>
      <w:r w:rsidRPr="00070B25">
        <w:rPr>
          <w:i/>
          <w:szCs w:val="20"/>
        </w:rPr>
        <w:t xml:space="preserve"> v. </w:t>
      </w:r>
      <w:proofErr w:type="spellStart"/>
      <w:r w:rsidRPr="00070B25">
        <w:rPr>
          <w:i/>
          <w:szCs w:val="20"/>
        </w:rPr>
        <w:t>Cuyler</w:t>
      </w:r>
      <w:proofErr w:type="spellEnd"/>
      <w:r w:rsidRPr="00070B25">
        <w:rPr>
          <w:i/>
          <w:szCs w:val="20"/>
        </w:rPr>
        <w:t>,</w:t>
      </w:r>
      <w:r w:rsidRPr="00070B25">
        <w:rPr>
          <w:szCs w:val="20"/>
        </w:rPr>
        <w:t xml:space="preserve"> 467 A.2d 1218 (</w:t>
      </w:r>
      <w:proofErr w:type="spellStart"/>
      <w:r w:rsidRPr="00070B25">
        <w:rPr>
          <w:szCs w:val="20"/>
        </w:rPr>
        <w:t>Pa.Cmwlth</w:t>
      </w:r>
      <w:proofErr w:type="spellEnd"/>
      <w:r w:rsidRPr="00070B25">
        <w:rPr>
          <w:szCs w:val="20"/>
        </w:rPr>
        <w:t xml:space="preserve">. 1983); </w:t>
      </w:r>
      <w:r w:rsidRPr="00070B25">
        <w:rPr>
          <w:i/>
          <w:szCs w:val="20"/>
        </w:rPr>
        <w:t xml:space="preserve">Pennsylvania Gas &amp; Water Co. v. </w:t>
      </w:r>
      <w:proofErr w:type="spellStart"/>
      <w:r w:rsidRPr="00070B25">
        <w:rPr>
          <w:i/>
          <w:szCs w:val="20"/>
        </w:rPr>
        <w:t>Nenna</w:t>
      </w:r>
      <w:proofErr w:type="spellEnd"/>
      <w:r w:rsidRPr="00070B25">
        <w:rPr>
          <w:i/>
          <w:szCs w:val="20"/>
        </w:rPr>
        <w:t xml:space="preserve"> &amp; Frain, Inc.,</w:t>
      </w:r>
      <w:r w:rsidRPr="00070B25">
        <w:rPr>
          <w:szCs w:val="20"/>
        </w:rPr>
        <w:t xml:space="preserve"> 467 A.2d 330 (</w:t>
      </w:r>
      <w:proofErr w:type="spellStart"/>
      <w:r w:rsidRPr="00070B25">
        <w:rPr>
          <w:szCs w:val="20"/>
        </w:rPr>
        <w:t>Pa.Super</w:t>
      </w:r>
      <w:proofErr w:type="spellEnd"/>
      <w:r w:rsidRPr="00070B25">
        <w:rPr>
          <w:szCs w:val="20"/>
        </w:rPr>
        <w:t xml:space="preserve">. 1983); </w:t>
      </w:r>
      <w:proofErr w:type="spellStart"/>
      <w:r w:rsidRPr="00070B25">
        <w:rPr>
          <w:i/>
          <w:szCs w:val="20"/>
        </w:rPr>
        <w:t>Geriot</w:t>
      </w:r>
      <w:proofErr w:type="spellEnd"/>
      <w:r w:rsidRPr="00070B25">
        <w:rPr>
          <w:i/>
          <w:szCs w:val="20"/>
        </w:rPr>
        <w:t xml:space="preserve"> v. Council of Borough of Darby</w:t>
      </w:r>
      <w:r w:rsidRPr="00070B25">
        <w:rPr>
          <w:szCs w:val="20"/>
        </w:rPr>
        <w:t>, 457 A.2d 202 (</w:t>
      </w:r>
      <w:proofErr w:type="spellStart"/>
      <w:r w:rsidRPr="00070B25">
        <w:rPr>
          <w:szCs w:val="20"/>
        </w:rPr>
        <w:t>Pa.Cmwlth</w:t>
      </w:r>
      <w:proofErr w:type="spellEnd"/>
      <w:r w:rsidRPr="00070B25">
        <w:rPr>
          <w:szCs w:val="20"/>
        </w:rPr>
        <w:t>. 1983).</w:t>
      </w:r>
    </w:p>
    <w:p w:rsidR="00070B25" w:rsidRPr="00070B25" w:rsidRDefault="00070B25" w:rsidP="00D72D7B">
      <w:pPr>
        <w:widowControl/>
        <w:adjustRightInd/>
        <w:spacing w:line="360" w:lineRule="auto"/>
        <w:rPr>
          <w:szCs w:val="20"/>
        </w:rPr>
      </w:pPr>
    </w:p>
    <w:p w:rsidR="00070B25" w:rsidRPr="00070B25" w:rsidRDefault="00070B25" w:rsidP="00D72D7B">
      <w:pPr>
        <w:widowControl/>
        <w:adjustRightInd/>
        <w:spacing w:line="360" w:lineRule="auto"/>
        <w:rPr>
          <w:szCs w:val="20"/>
        </w:rPr>
      </w:pPr>
      <w:r w:rsidRPr="00070B25">
        <w:rPr>
          <w:szCs w:val="20"/>
        </w:rPr>
        <w:tab/>
      </w:r>
      <w:r w:rsidRPr="00070B25">
        <w:rPr>
          <w:szCs w:val="20"/>
        </w:rPr>
        <w:tab/>
        <w:t xml:space="preserve">The Commission’s regulations at 52 </w:t>
      </w:r>
      <w:proofErr w:type="spellStart"/>
      <w:r w:rsidRPr="00070B25">
        <w:rPr>
          <w:szCs w:val="20"/>
        </w:rPr>
        <w:t>Pa.Code</w:t>
      </w:r>
      <w:proofErr w:type="spellEnd"/>
      <w:r w:rsidRPr="00070B25">
        <w:rPr>
          <w:szCs w:val="20"/>
        </w:rPr>
        <w:t xml:space="preserve"> § 5.102(c) serve judicial economy by avoiding a hearing where no factual dispute exists.  If no factual issue pertinent to the resolution of a case exists, a hearing is unnecessary.  </w:t>
      </w:r>
      <w:proofErr w:type="gramStart"/>
      <w:r w:rsidRPr="00070B25">
        <w:rPr>
          <w:szCs w:val="20"/>
        </w:rPr>
        <w:t xml:space="preserve">66 </w:t>
      </w:r>
      <w:proofErr w:type="spellStart"/>
      <w:r w:rsidRPr="00070B25">
        <w:rPr>
          <w:szCs w:val="20"/>
        </w:rPr>
        <w:t>Pa.C.S</w:t>
      </w:r>
      <w:proofErr w:type="spellEnd"/>
      <w:r w:rsidRPr="00070B25">
        <w:rPr>
          <w:szCs w:val="20"/>
        </w:rPr>
        <w:t>.</w:t>
      </w:r>
      <w:proofErr w:type="gramEnd"/>
      <w:r w:rsidRPr="00070B25">
        <w:rPr>
          <w:szCs w:val="20"/>
        </w:rPr>
        <w:t xml:space="preserve"> § 703(a); </w:t>
      </w:r>
      <w:r w:rsidRPr="00070B25">
        <w:rPr>
          <w:i/>
          <w:szCs w:val="20"/>
        </w:rPr>
        <w:t xml:space="preserve">Lehigh Valley Power Committee v. Pa. Pub. </w:t>
      </w:r>
      <w:proofErr w:type="gramStart"/>
      <w:r w:rsidRPr="00070B25">
        <w:rPr>
          <w:i/>
          <w:szCs w:val="20"/>
        </w:rPr>
        <w:t xml:space="preserve">Util. </w:t>
      </w:r>
      <w:proofErr w:type="spellStart"/>
      <w:r w:rsidRPr="00070B25">
        <w:rPr>
          <w:i/>
          <w:szCs w:val="20"/>
        </w:rPr>
        <w:t>Comm’n</w:t>
      </w:r>
      <w:proofErr w:type="spellEnd"/>
      <w:r w:rsidRPr="00070B25">
        <w:rPr>
          <w:i/>
          <w:szCs w:val="20"/>
        </w:rPr>
        <w:t>,</w:t>
      </w:r>
      <w:r w:rsidRPr="00070B25">
        <w:rPr>
          <w:szCs w:val="20"/>
        </w:rPr>
        <w:t xml:space="preserve"> 563 A.2d 557 (</w:t>
      </w:r>
      <w:proofErr w:type="spellStart"/>
      <w:r w:rsidRPr="00070B25">
        <w:rPr>
          <w:szCs w:val="20"/>
        </w:rPr>
        <w:t>Pa.Cmwlth</w:t>
      </w:r>
      <w:proofErr w:type="spellEnd"/>
      <w:r w:rsidRPr="00070B25">
        <w:rPr>
          <w:szCs w:val="20"/>
        </w:rPr>
        <w:t xml:space="preserve">. 1989); </w:t>
      </w:r>
      <w:r w:rsidRPr="00070B25">
        <w:rPr>
          <w:i/>
          <w:szCs w:val="20"/>
        </w:rPr>
        <w:t>S.M.E. Bessemer Cement, Inc. v. Pa. Pub.</w:t>
      </w:r>
      <w:proofErr w:type="gramEnd"/>
      <w:r w:rsidRPr="00070B25">
        <w:rPr>
          <w:i/>
          <w:szCs w:val="20"/>
        </w:rPr>
        <w:t xml:space="preserve"> </w:t>
      </w:r>
      <w:proofErr w:type="gramStart"/>
      <w:r w:rsidRPr="00070B25">
        <w:rPr>
          <w:i/>
          <w:szCs w:val="20"/>
        </w:rPr>
        <w:t xml:space="preserve">Util. </w:t>
      </w:r>
      <w:proofErr w:type="spellStart"/>
      <w:r w:rsidRPr="00070B25">
        <w:rPr>
          <w:i/>
          <w:szCs w:val="20"/>
        </w:rPr>
        <w:t>Comm’n</w:t>
      </w:r>
      <w:proofErr w:type="spellEnd"/>
      <w:r w:rsidRPr="00070B25">
        <w:rPr>
          <w:i/>
          <w:szCs w:val="20"/>
        </w:rPr>
        <w:t>,</w:t>
      </w:r>
      <w:r w:rsidRPr="00070B25">
        <w:rPr>
          <w:szCs w:val="20"/>
        </w:rPr>
        <w:t xml:space="preserve"> 540 A.2d 1006 (</w:t>
      </w:r>
      <w:proofErr w:type="spellStart"/>
      <w:r w:rsidRPr="00070B25">
        <w:rPr>
          <w:szCs w:val="20"/>
        </w:rPr>
        <w:t>Pa.Cmwlth</w:t>
      </w:r>
      <w:proofErr w:type="spellEnd"/>
      <w:r w:rsidRPr="00070B25">
        <w:rPr>
          <w:szCs w:val="20"/>
        </w:rPr>
        <w:t>. 1988).</w:t>
      </w:r>
      <w:proofErr w:type="gramEnd"/>
      <w:r w:rsidRPr="00070B25">
        <w:rPr>
          <w:szCs w:val="20"/>
        </w:rPr>
        <w:t xml:space="preserve"> </w:t>
      </w:r>
    </w:p>
    <w:p w:rsidR="00070B25" w:rsidRPr="00070B25" w:rsidRDefault="00070B25" w:rsidP="00D72D7B">
      <w:pPr>
        <w:widowControl/>
        <w:adjustRightInd/>
        <w:spacing w:line="360" w:lineRule="auto"/>
        <w:rPr>
          <w:szCs w:val="20"/>
        </w:rPr>
      </w:pPr>
    </w:p>
    <w:p w:rsidR="004B7E1F" w:rsidRDefault="00070B25" w:rsidP="00D72D7B">
      <w:pPr>
        <w:spacing w:line="360" w:lineRule="auto"/>
        <w:ind w:firstLine="1440"/>
        <w:rPr>
          <w:szCs w:val="20"/>
        </w:rPr>
      </w:pPr>
      <w:r w:rsidRPr="00070B25">
        <w:rPr>
          <w:szCs w:val="20"/>
        </w:rPr>
        <w:t xml:space="preserve">In the </w:t>
      </w:r>
      <w:r w:rsidR="004B7E1F">
        <w:rPr>
          <w:szCs w:val="20"/>
        </w:rPr>
        <w:t xml:space="preserve">present </w:t>
      </w:r>
      <w:r w:rsidRPr="00070B25">
        <w:rPr>
          <w:szCs w:val="20"/>
        </w:rPr>
        <w:t>case</w:t>
      </w:r>
      <w:r w:rsidR="002C3D48">
        <w:rPr>
          <w:szCs w:val="20"/>
        </w:rPr>
        <w:t>,</w:t>
      </w:r>
      <w:r w:rsidRPr="00070B25">
        <w:rPr>
          <w:szCs w:val="20"/>
        </w:rPr>
        <w:t xml:space="preserve"> </w:t>
      </w:r>
      <w:r w:rsidR="004B7E1F">
        <w:rPr>
          <w:szCs w:val="20"/>
        </w:rPr>
        <w:t xml:space="preserve">Respondent admits that it charges Complainant $6.25 for a fifteen-minute in-state telephone call.  </w:t>
      </w:r>
      <w:proofErr w:type="gramStart"/>
      <w:r w:rsidR="004B7E1F">
        <w:rPr>
          <w:szCs w:val="20"/>
        </w:rPr>
        <w:t>Motion ¶ 8.</w:t>
      </w:r>
      <w:proofErr w:type="gramEnd"/>
      <w:r w:rsidR="004B7E1F">
        <w:rPr>
          <w:szCs w:val="20"/>
        </w:rPr>
        <w:t xml:space="preserve">  Thus there is no factual issue concerning Respondent’s calling </w:t>
      </w:r>
      <w:r w:rsidR="003C095D">
        <w:rPr>
          <w:szCs w:val="20"/>
        </w:rPr>
        <w:t>charges</w:t>
      </w:r>
      <w:r w:rsidR="004B7E1F">
        <w:rPr>
          <w:szCs w:val="20"/>
        </w:rPr>
        <w:t xml:space="preserve">.  Rather the crux of Complainant’s dissatisfaction is that $6.25 for a fifteen-minute in-state telephone call is too high.  </w:t>
      </w:r>
      <w:proofErr w:type="gramStart"/>
      <w:r w:rsidR="004B7E1F">
        <w:rPr>
          <w:szCs w:val="20"/>
        </w:rPr>
        <w:t>Complainant ¶ 8.</w:t>
      </w:r>
      <w:proofErr w:type="gramEnd"/>
      <w:r w:rsidR="005E44BF">
        <w:rPr>
          <w:szCs w:val="20"/>
        </w:rPr>
        <w:t xml:space="preserve">   Thus</w:t>
      </w:r>
      <w:r w:rsidR="002C3D48">
        <w:rPr>
          <w:szCs w:val="20"/>
        </w:rPr>
        <w:t>,</w:t>
      </w:r>
      <w:r w:rsidR="005E44BF">
        <w:rPr>
          <w:szCs w:val="20"/>
        </w:rPr>
        <w:t xml:space="preserve"> Respondent retorts that the dispute is a legal issue to which it is entitled to judgment as a matter of law.</w:t>
      </w:r>
    </w:p>
    <w:p w:rsidR="005E44BF" w:rsidRDefault="005E44BF" w:rsidP="00D72D7B">
      <w:pPr>
        <w:spacing w:line="360" w:lineRule="auto"/>
        <w:ind w:firstLine="1440"/>
        <w:rPr>
          <w:szCs w:val="20"/>
        </w:rPr>
      </w:pPr>
    </w:p>
    <w:p w:rsidR="00D72D7B" w:rsidRDefault="00D72D7B" w:rsidP="00D72D7B">
      <w:pPr>
        <w:widowControl/>
        <w:autoSpaceDE/>
        <w:autoSpaceDN/>
        <w:adjustRightInd/>
        <w:spacing w:line="360" w:lineRule="auto"/>
        <w:rPr>
          <w:szCs w:val="20"/>
        </w:rPr>
      </w:pPr>
      <w:r>
        <w:rPr>
          <w:szCs w:val="20"/>
        </w:rPr>
        <w:br w:type="page"/>
      </w:r>
    </w:p>
    <w:p w:rsidR="005E44BF" w:rsidRDefault="005E44BF" w:rsidP="00D72D7B">
      <w:pPr>
        <w:spacing w:line="360" w:lineRule="auto"/>
        <w:ind w:firstLine="1440"/>
        <w:rPr>
          <w:szCs w:val="20"/>
        </w:rPr>
      </w:pPr>
      <w:r>
        <w:rPr>
          <w:szCs w:val="20"/>
        </w:rPr>
        <w:lastRenderedPageBreak/>
        <w:t xml:space="preserve">Respondent submits the following </w:t>
      </w:r>
      <w:r w:rsidR="001E7940">
        <w:rPr>
          <w:szCs w:val="20"/>
        </w:rPr>
        <w:t xml:space="preserve">facts and </w:t>
      </w:r>
      <w:r>
        <w:rPr>
          <w:szCs w:val="20"/>
        </w:rPr>
        <w:t>legal argument:</w:t>
      </w:r>
    </w:p>
    <w:p w:rsidR="00D72D7B" w:rsidRDefault="00D72D7B" w:rsidP="00070B25">
      <w:pPr>
        <w:spacing w:line="360" w:lineRule="auto"/>
        <w:ind w:firstLine="1440"/>
        <w:rPr>
          <w:szCs w:val="20"/>
        </w:rPr>
      </w:pPr>
    </w:p>
    <w:p w:rsidR="003C095D" w:rsidRPr="003C095D" w:rsidRDefault="003C095D" w:rsidP="002C3D48">
      <w:pPr>
        <w:pStyle w:val="Default"/>
        <w:ind w:left="1440" w:right="1080"/>
      </w:pPr>
      <w:r>
        <w:tab/>
      </w:r>
      <w:r w:rsidRPr="003C095D">
        <w:t>14.</w:t>
      </w:r>
      <w:r>
        <w:tab/>
      </w:r>
      <w:r w:rsidRPr="003C095D">
        <w:t xml:space="preserve">The basis of the Complaint is the level of rates charged by GTL for intra-state, inter-LATA calls made by the Complainant from SCI Greene. </w:t>
      </w:r>
    </w:p>
    <w:p w:rsidR="005E44BF" w:rsidRDefault="005E44BF" w:rsidP="002C3D48">
      <w:pPr>
        <w:ind w:left="1440"/>
        <w:rPr>
          <w:szCs w:val="20"/>
        </w:rPr>
      </w:pPr>
    </w:p>
    <w:p w:rsidR="005E44BF" w:rsidRPr="005E44BF" w:rsidRDefault="003C095D" w:rsidP="002C3D48">
      <w:pPr>
        <w:ind w:left="1440" w:right="1080"/>
        <w:rPr>
          <w:szCs w:val="20"/>
        </w:rPr>
      </w:pPr>
      <w:r>
        <w:rPr>
          <w:szCs w:val="20"/>
        </w:rPr>
        <w:tab/>
        <w:t>15.</w:t>
      </w:r>
      <w:r>
        <w:rPr>
          <w:szCs w:val="20"/>
        </w:rPr>
        <w:tab/>
      </w:r>
      <w:r w:rsidR="005E44BF">
        <w:rPr>
          <w:szCs w:val="20"/>
        </w:rPr>
        <w:t xml:space="preserve">Under </w:t>
      </w:r>
      <w:r w:rsidR="00DB1593">
        <w:rPr>
          <w:szCs w:val="20"/>
        </w:rPr>
        <w:t>C</w:t>
      </w:r>
      <w:r w:rsidR="005E44BF">
        <w:rPr>
          <w:szCs w:val="20"/>
        </w:rPr>
        <w:t>hapter 30</w:t>
      </w:r>
      <w:r w:rsidR="00DB1593">
        <w:rPr>
          <w:rStyle w:val="FootnoteReference"/>
          <w:szCs w:val="20"/>
        </w:rPr>
        <w:footnoteReference w:id="5"/>
      </w:r>
      <w:r w:rsidR="005E44BF">
        <w:rPr>
          <w:szCs w:val="20"/>
        </w:rPr>
        <w:t xml:space="preserve"> of the Public Utility Code, telecommunication service providers were explicitly permitted to declare the</w:t>
      </w:r>
      <w:r>
        <w:rPr>
          <w:szCs w:val="20"/>
        </w:rPr>
        <w:t>i</w:t>
      </w:r>
      <w:r w:rsidR="005E44BF">
        <w:rPr>
          <w:szCs w:val="20"/>
        </w:rPr>
        <w:t xml:space="preserve">r non-protected services as competitive and at most are only required to file price lists for those services. </w:t>
      </w:r>
      <w:r w:rsidR="005E44BF">
        <w:rPr>
          <w:i/>
          <w:szCs w:val="20"/>
        </w:rPr>
        <w:t xml:space="preserve">See </w:t>
      </w:r>
      <w:proofErr w:type="gramStart"/>
      <w:r w:rsidR="005E44BF">
        <w:rPr>
          <w:szCs w:val="20"/>
        </w:rPr>
        <w:t xml:space="preserve">66 </w:t>
      </w:r>
      <w:proofErr w:type="spellStart"/>
      <w:r w:rsidR="005E44BF">
        <w:rPr>
          <w:szCs w:val="20"/>
        </w:rPr>
        <w:t>Pa.C.S</w:t>
      </w:r>
      <w:proofErr w:type="spellEnd"/>
      <w:proofErr w:type="gramEnd"/>
      <w:r w:rsidR="005E44BF">
        <w:rPr>
          <w:szCs w:val="20"/>
        </w:rPr>
        <w:t xml:space="preserve">. § </w:t>
      </w:r>
      <w:proofErr w:type="gramStart"/>
      <w:r w:rsidR="005E44BF">
        <w:rPr>
          <w:szCs w:val="20"/>
        </w:rPr>
        <w:t>3016,</w:t>
      </w:r>
      <w:proofErr w:type="gramEnd"/>
      <w:r w:rsidR="005E44BF">
        <w:rPr>
          <w:szCs w:val="20"/>
        </w:rPr>
        <w:t xml:space="preserve"> </w:t>
      </w:r>
      <w:r w:rsidR="005E44BF">
        <w:rPr>
          <w:i/>
          <w:szCs w:val="20"/>
        </w:rPr>
        <w:t xml:space="preserve">see also, Petition of AT&amp;T Communications of Pennsylvania, LLC, </w:t>
      </w:r>
      <w:r w:rsidR="00D323FB">
        <w:rPr>
          <w:szCs w:val="20"/>
        </w:rPr>
        <w:t>Docket N</w:t>
      </w:r>
      <w:r>
        <w:rPr>
          <w:szCs w:val="20"/>
        </w:rPr>
        <w:t>o</w:t>
      </w:r>
      <w:r w:rsidR="00D323FB">
        <w:rPr>
          <w:szCs w:val="20"/>
        </w:rPr>
        <w:t>s. P-2009-2137972; P-2010-216</w:t>
      </w:r>
      <w:r w:rsidR="00EB4161">
        <w:rPr>
          <w:szCs w:val="20"/>
        </w:rPr>
        <w:t>4470; P-2010-2164472, 2012 Pa. PUC LEXIS 994 (Order issued June 21, 2012).</w:t>
      </w:r>
    </w:p>
    <w:p w:rsidR="005E44BF" w:rsidRDefault="005E44BF" w:rsidP="002C3D48">
      <w:pPr>
        <w:ind w:firstLine="1440"/>
        <w:rPr>
          <w:szCs w:val="20"/>
        </w:rPr>
      </w:pPr>
    </w:p>
    <w:p w:rsidR="001F4838" w:rsidRDefault="003C095D" w:rsidP="002C3D48">
      <w:pPr>
        <w:pStyle w:val="Default"/>
        <w:ind w:left="1440" w:right="1080"/>
      </w:pPr>
      <w:r>
        <w:tab/>
      </w:r>
      <w:r w:rsidR="001F4838" w:rsidRPr="003C095D">
        <w:t>16.</w:t>
      </w:r>
      <w:r>
        <w:tab/>
      </w:r>
      <w:r w:rsidR="001F4838" w:rsidRPr="003C095D">
        <w:t xml:space="preserve"> Under Chapter 30, designation of a telephone service as competitive eliminates direct regulation of rates for that service. </w:t>
      </w:r>
      <w:r w:rsidR="001F4838" w:rsidRPr="003C095D">
        <w:rPr>
          <w:i/>
          <w:iCs/>
        </w:rPr>
        <w:t>See</w:t>
      </w:r>
      <w:r w:rsidR="001F4838" w:rsidRPr="003C095D">
        <w:t xml:space="preserve">, </w:t>
      </w:r>
      <w:r w:rsidR="001F4838" w:rsidRPr="003C095D">
        <w:rPr>
          <w:i/>
          <w:iCs/>
        </w:rPr>
        <w:t>Bell Atlantic-Pennsylvania v. PUC</w:t>
      </w:r>
      <w:r w:rsidR="001F4838" w:rsidRPr="003C095D">
        <w:t xml:space="preserve">, </w:t>
      </w:r>
      <w:proofErr w:type="gramStart"/>
      <w:r w:rsidR="001F4838" w:rsidRPr="003C095D">
        <w:t xml:space="preserve">763 A.2d 440, 500-501, 2000 Pa. </w:t>
      </w:r>
      <w:proofErr w:type="spellStart"/>
      <w:r w:rsidR="001F4838" w:rsidRPr="003C095D">
        <w:t>Commw</w:t>
      </w:r>
      <w:proofErr w:type="spellEnd"/>
      <w:proofErr w:type="gramEnd"/>
      <w:r w:rsidR="001F4838" w:rsidRPr="003C095D">
        <w:t xml:space="preserve">. </w:t>
      </w:r>
      <w:proofErr w:type="gramStart"/>
      <w:r w:rsidR="001F4838" w:rsidRPr="003C095D">
        <w:t xml:space="preserve">LEXIS 592, 71 (Pa. </w:t>
      </w:r>
      <w:proofErr w:type="spellStart"/>
      <w:r w:rsidR="001F4838" w:rsidRPr="003C095D">
        <w:t>Cmwlth</w:t>
      </w:r>
      <w:proofErr w:type="spellEnd"/>
      <w:r w:rsidR="001F4838" w:rsidRPr="003C095D">
        <w:t>. 2000).</w:t>
      </w:r>
      <w:proofErr w:type="gramEnd"/>
      <w:r w:rsidR="001F4838" w:rsidRPr="003C095D">
        <w:t xml:space="preserve"> </w:t>
      </w:r>
    </w:p>
    <w:p w:rsidR="002C3D48" w:rsidRPr="003C095D" w:rsidRDefault="002C3D48" w:rsidP="002C3D48">
      <w:pPr>
        <w:pStyle w:val="Default"/>
        <w:ind w:left="1440" w:right="1080"/>
      </w:pPr>
    </w:p>
    <w:p w:rsidR="001F4838" w:rsidRPr="003C095D" w:rsidRDefault="003C095D" w:rsidP="002C3D48">
      <w:pPr>
        <w:pStyle w:val="Default"/>
        <w:ind w:left="1440" w:right="1080"/>
      </w:pPr>
      <w:r>
        <w:tab/>
      </w:r>
      <w:r w:rsidR="001F4838" w:rsidRPr="003C095D">
        <w:t>17.</w:t>
      </w:r>
      <w:r>
        <w:tab/>
      </w:r>
      <w:r w:rsidR="001F4838" w:rsidRPr="003C095D">
        <w:t xml:space="preserve"> Carriers providing competitive services are only required to file price lists and are not subject to rate regulation. </w:t>
      </w:r>
      <w:r w:rsidR="00204401">
        <w:t xml:space="preserve"> </w:t>
      </w:r>
      <w:r w:rsidR="001F4838" w:rsidRPr="003C095D">
        <w:t>The Commission’s regulations provide that “CLECs</w:t>
      </w:r>
      <w:r w:rsidR="00E344FF">
        <w:rPr>
          <w:rStyle w:val="FootnoteReference"/>
        </w:rPr>
        <w:footnoteReference w:id="6"/>
      </w:r>
      <w:r w:rsidR="001F4838" w:rsidRPr="003C095D">
        <w:t xml:space="preserve"> and ILECs</w:t>
      </w:r>
      <w:r w:rsidR="00E344FF">
        <w:rPr>
          <w:rStyle w:val="FootnoteReference"/>
        </w:rPr>
        <w:footnoteReference w:id="7"/>
      </w:r>
      <w:r w:rsidR="001F4838" w:rsidRPr="003C095D">
        <w:t xml:space="preserve"> </w:t>
      </w:r>
    </w:p>
    <w:p w:rsidR="001F4838" w:rsidRDefault="001F4838" w:rsidP="002C3D48">
      <w:pPr>
        <w:pStyle w:val="Default"/>
        <w:ind w:left="1440" w:right="1080"/>
      </w:pPr>
      <w:proofErr w:type="gramStart"/>
      <w:r w:rsidRPr="003C095D">
        <w:t>offering</w:t>
      </w:r>
      <w:proofErr w:type="gramEnd"/>
      <w:r w:rsidRPr="003C095D">
        <w:t xml:space="preserve"> services classified by the Commission as competitive shall file with the Commission appropriate informational tariffs, price lists, and ministerial administrative tariff changes. These filings will become effective on 1-day notice.” </w:t>
      </w:r>
      <w:proofErr w:type="gramStart"/>
      <w:r w:rsidRPr="003C095D">
        <w:t xml:space="preserve">52 </w:t>
      </w:r>
      <w:proofErr w:type="spellStart"/>
      <w:r w:rsidRPr="003C095D">
        <w:t>Pa.Code</w:t>
      </w:r>
      <w:proofErr w:type="spellEnd"/>
      <w:r w:rsidRPr="003C095D">
        <w:t xml:space="preserve"> § 53.58(d).</w:t>
      </w:r>
      <w:proofErr w:type="gramEnd"/>
      <w:r w:rsidRPr="003C095D">
        <w:t xml:space="preserve"> </w:t>
      </w:r>
    </w:p>
    <w:p w:rsidR="002C3D48" w:rsidRPr="003C095D" w:rsidRDefault="002C3D48" w:rsidP="002C3D48">
      <w:pPr>
        <w:pStyle w:val="Default"/>
        <w:ind w:left="1440" w:right="1080"/>
      </w:pPr>
    </w:p>
    <w:p w:rsidR="001F4838" w:rsidRDefault="003C095D" w:rsidP="002C3D48">
      <w:pPr>
        <w:pStyle w:val="Default"/>
        <w:ind w:left="1440" w:right="1080"/>
      </w:pPr>
      <w:r>
        <w:tab/>
      </w:r>
      <w:r w:rsidR="001F4838" w:rsidRPr="003C095D">
        <w:t>18.</w:t>
      </w:r>
      <w:r>
        <w:tab/>
      </w:r>
      <w:r w:rsidR="001F4838" w:rsidRPr="003C095D">
        <w:t xml:space="preserve"> GTL is authorized to provide interexchange toll reseller telecommunications services pursuant to an Order issued on August 16, 1994 at Docket No. </w:t>
      </w:r>
      <w:proofErr w:type="gramStart"/>
      <w:r w:rsidR="001F4838" w:rsidRPr="003C095D">
        <w:t>A-310152.</w:t>
      </w:r>
      <w:proofErr w:type="gramEnd"/>
      <w:r w:rsidR="001F4838" w:rsidRPr="003C095D">
        <w:t xml:space="preserve"> On December 8, 2009, the Commission approved GTL’s request to </w:t>
      </w:r>
      <w:proofErr w:type="spellStart"/>
      <w:r w:rsidR="001F4838" w:rsidRPr="003C095D">
        <w:t>detariff</w:t>
      </w:r>
      <w:proofErr w:type="spellEnd"/>
      <w:r w:rsidR="001F4838" w:rsidRPr="003C095D">
        <w:t xml:space="preserve">. </w:t>
      </w:r>
      <w:r w:rsidR="00204401">
        <w:t xml:space="preserve"> </w:t>
      </w:r>
      <w:proofErr w:type="gramStart"/>
      <w:r w:rsidR="001F4838" w:rsidRPr="003C095D">
        <w:rPr>
          <w:i/>
          <w:iCs/>
        </w:rPr>
        <w:t>Joint Application of PCS and GTL</w:t>
      </w:r>
      <w:r w:rsidR="001F4838" w:rsidRPr="003C095D">
        <w:t>, Docket Nos.</w:t>
      </w:r>
      <w:proofErr w:type="gramEnd"/>
      <w:r w:rsidR="001F4838" w:rsidRPr="003C095D">
        <w:t xml:space="preserve"> A-2010-2194392 and A-2010-2194393 (Order issued October 21, 2010) at 3. </w:t>
      </w:r>
    </w:p>
    <w:p w:rsidR="002C3D48" w:rsidRPr="003C095D" w:rsidRDefault="002C3D48" w:rsidP="002C3D48">
      <w:pPr>
        <w:pStyle w:val="Default"/>
        <w:ind w:left="1440" w:right="1080"/>
      </w:pPr>
    </w:p>
    <w:p w:rsidR="001F4838" w:rsidRDefault="003C095D" w:rsidP="002C3D48">
      <w:pPr>
        <w:pStyle w:val="Default"/>
        <w:ind w:left="1440" w:right="1080"/>
      </w:pPr>
      <w:r>
        <w:tab/>
      </w:r>
      <w:r w:rsidR="001F4838" w:rsidRPr="003C095D">
        <w:t>19.</w:t>
      </w:r>
      <w:r>
        <w:tab/>
      </w:r>
      <w:r w:rsidR="001F4838" w:rsidRPr="003C095D">
        <w:t xml:space="preserve"> The Commission lacks jurisdiction to set rates for interexchange carriers. </w:t>
      </w:r>
      <w:proofErr w:type="gramStart"/>
      <w:r w:rsidR="001F4838" w:rsidRPr="003C095D">
        <w:t xml:space="preserve">66 </w:t>
      </w:r>
      <w:proofErr w:type="spellStart"/>
      <w:r w:rsidR="001F4838" w:rsidRPr="003C095D">
        <w:t>Pa.C.S</w:t>
      </w:r>
      <w:proofErr w:type="spellEnd"/>
      <w:r w:rsidR="001F4838" w:rsidRPr="003C095D">
        <w:t>.</w:t>
      </w:r>
      <w:proofErr w:type="gramEnd"/>
      <w:r w:rsidR="001F4838" w:rsidRPr="003C095D">
        <w:t xml:space="preserve"> § 3018. </w:t>
      </w:r>
    </w:p>
    <w:p w:rsidR="002C3D48" w:rsidRPr="003C095D" w:rsidRDefault="002C3D48" w:rsidP="002C3D48">
      <w:pPr>
        <w:pStyle w:val="Default"/>
        <w:ind w:left="1440" w:right="1080"/>
      </w:pPr>
    </w:p>
    <w:p w:rsidR="001F4838" w:rsidRDefault="003C095D" w:rsidP="002C3D48">
      <w:pPr>
        <w:pStyle w:val="Default"/>
        <w:ind w:left="1440" w:right="1080"/>
      </w:pPr>
      <w:r>
        <w:tab/>
      </w:r>
      <w:r w:rsidR="001F4838" w:rsidRPr="003C095D">
        <w:t>20.</w:t>
      </w:r>
      <w:r>
        <w:tab/>
      </w:r>
      <w:r w:rsidR="001F4838" w:rsidRPr="003C095D">
        <w:t xml:space="preserve"> Under the provisions or Chapter 30 and the Commission’s own regulations and orders, the PUC does not have the </w:t>
      </w:r>
      <w:r w:rsidR="001F4838" w:rsidRPr="003C095D">
        <w:lastRenderedPageBreak/>
        <w:t xml:space="preserve">jurisdiction to regulate the rates GTL charges for service at SCI-Greene. </w:t>
      </w:r>
    </w:p>
    <w:p w:rsidR="002C3D48" w:rsidRPr="003C095D" w:rsidRDefault="002C3D48" w:rsidP="002C3D48">
      <w:pPr>
        <w:pStyle w:val="Default"/>
        <w:ind w:left="1440" w:right="1080"/>
      </w:pPr>
    </w:p>
    <w:p w:rsidR="001F4838" w:rsidRDefault="003C095D" w:rsidP="002C3D48">
      <w:pPr>
        <w:pStyle w:val="Default"/>
        <w:ind w:left="1440" w:right="1080"/>
      </w:pPr>
      <w:r>
        <w:tab/>
      </w:r>
      <w:r w:rsidR="001F4838" w:rsidRPr="003C095D">
        <w:t>21</w:t>
      </w:r>
      <w:r w:rsidR="0014774D">
        <w:t>.</w:t>
      </w:r>
      <w:r w:rsidR="0014774D">
        <w:tab/>
      </w:r>
      <w:r w:rsidR="001F4838" w:rsidRPr="003C095D">
        <w:t xml:space="preserve">Service is provided to DOC facilities in the Commonwealth pursuant to a contract between DOC and GTL. </w:t>
      </w:r>
      <w:r w:rsidR="00204401">
        <w:t xml:space="preserve"> </w:t>
      </w:r>
      <w:r w:rsidR="001F4838" w:rsidRPr="003C095D">
        <w:t xml:space="preserve">Under Chapter 30, the PUC lacks jurisdiction to regulate contract rates for competitive services. </w:t>
      </w:r>
    </w:p>
    <w:p w:rsidR="002C3D48" w:rsidRPr="003C095D" w:rsidRDefault="002C3D48" w:rsidP="002C3D48">
      <w:pPr>
        <w:pStyle w:val="Default"/>
        <w:ind w:left="1440" w:right="1080"/>
      </w:pPr>
    </w:p>
    <w:p w:rsidR="001F4838" w:rsidRPr="003C095D" w:rsidRDefault="003C095D" w:rsidP="002C3D48">
      <w:pPr>
        <w:pStyle w:val="Default"/>
        <w:ind w:left="1440" w:right="1080"/>
      </w:pPr>
      <w:r>
        <w:tab/>
      </w:r>
      <w:r w:rsidR="001F4838" w:rsidRPr="003C095D">
        <w:t>22.</w:t>
      </w:r>
      <w:r>
        <w:tab/>
      </w:r>
      <w:r w:rsidR="001F4838" w:rsidRPr="003C095D">
        <w:t xml:space="preserve"> The Commission lacks jurisdiction to interpret contracts between DOC and the entity providing inmate telephone services. </w:t>
      </w:r>
      <w:r w:rsidR="00204401">
        <w:t xml:space="preserve"> </w:t>
      </w:r>
      <w:proofErr w:type="spellStart"/>
      <w:proofErr w:type="gramStart"/>
      <w:r w:rsidR="001F4838" w:rsidRPr="003C095D">
        <w:rPr>
          <w:i/>
          <w:iCs/>
        </w:rPr>
        <w:t>Feigley</w:t>
      </w:r>
      <w:proofErr w:type="spellEnd"/>
      <w:r w:rsidR="001F4838" w:rsidRPr="003C095D">
        <w:rPr>
          <w:i/>
          <w:iCs/>
        </w:rPr>
        <w:t xml:space="preserve"> v. AT&amp;T Communications of Pa., Inc</w:t>
      </w:r>
      <w:r w:rsidR="001F4838" w:rsidRPr="003C095D">
        <w:t>., Docket No.</w:t>
      </w:r>
      <w:proofErr w:type="gramEnd"/>
      <w:r w:rsidR="001F4838" w:rsidRPr="003C095D">
        <w:t xml:space="preserve"> C</w:t>
      </w:r>
      <w:r w:rsidR="00204401">
        <w:t>-</w:t>
      </w:r>
      <w:r w:rsidR="001F4838" w:rsidRPr="003C095D">
        <w:t xml:space="preserve">00981434 (Order issued April 30, 2001); </w:t>
      </w:r>
      <w:r w:rsidR="001F4838" w:rsidRPr="003C095D">
        <w:rPr>
          <w:i/>
          <w:iCs/>
        </w:rPr>
        <w:t>affirmed</w:t>
      </w:r>
      <w:r w:rsidR="001F4838" w:rsidRPr="003C095D">
        <w:t xml:space="preserve">, </w:t>
      </w:r>
      <w:proofErr w:type="spellStart"/>
      <w:r w:rsidR="001F4838" w:rsidRPr="003C095D">
        <w:rPr>
          <w:i/>
          <w:iCs/>
        </w:rPr>
        <w:t>Feigley</w:t>
      </w:r>
      <w:proofErr w:type="spellEnd"/>
      <w:r w:rsidR="001F4838" w:rsidRPr="003C095D">
        <w:rPr>
          <w:i/>
          <w:iCs/>
        </w:rPr>
        <w:t>, et al. v. Pa. P</w:t>
      </w:r>
      <w:r w:rsidR="00EB4161">
        <w:rPr>
          <w:i/>
          <w:iCs/>
        </w:rPr>
        <w:t xml:space="preserve">ub. </w:t>
      </w:r>
      <w:proofErr w:type="gramStart"/>
      <w:r w:rsidR="001F4838" w:rsidRPr="003C095D">
        <w:rPr>
          <w:i/>
          <w:iCs/>
        </w:rPr>
        <w:t>U</w:t>
      </w:r>
      <w:r w:rsidR="00EB4161">
        <w:rPr>
          <w:i/>
          <w:iCs/>
        </w:rPr>
        <w:t xml:space="preserve">til. </w:t>
      </w:r>
      <w:proofErr w:type="spellStart"/>
      <w:r w:rsidR="001F4838" w:rsidRPr="003C095D">
        <w:rPr>
          <w:i/>
          <w:iCs/>
        </w:rPr>
        <w:t>C</w:t>
      </w:r>
      <w:r w:rsidR="00EB4161">
        <w:rPr>
          <w:i/>
          <w:iCs/>
        </w:rPr>
        <w:t>omm’n</w:t>
      </w:r>
      <w:proofErr w:type="spellEnd"/>
      <w:r w:rsidR="001F4838" w:rsidRPr="003C095D">
        <w:t>, 794 A.2d 428 (</w:t>
      </w:r>
      <w:proofErr w:type="spellStart"/>
      <w:r w:rsidR="001F4838" w:rsidRPr="003C095D">
        <w:t>Pa.Cmwlth</w:t>
      </w:r>
      <w:proofErr w:type="spellEnd"/>
      <w:r w:rsidR="001F4838" w:rsidRPr="003C095D">
        <w:t xml:space="preserve">. 2002), </w:t>
      </w:r>
      <w:r w:rsidR="001F4838" w:rsidRPr="003C095D">
        <w:rPr>
          <w:i/>
          <w:iCs/>
        </w:rPr>
        <w:t>appeal denied sub nom</w:t>
      </w:r>
      <w:r w:rsidR="001F4838" w:rsidRPr="003C095D">
        <w:t xml:space="preserve">; </w:t>
      </w:r>
      <w:r w:rsidR="001F4838" w:rsidRPr="003C095D">
        <w:rPr>
          <w:i/>
          <w:iCs/>
        </w:rPr>
        <w:t>C.U.R.E. of Pa. v. Pa. P</w:t>
      </w:r>
      <w:r w:rsidR="00EB4161">
        <w:rPr>
          <w:i/>
          <w:iCs/>
        </w:rPr>
        <w:t xml:space="preserve">a. </w:t>
      </w:r>
      <w:r w:rsidR="001F4838" w:rsidRPr="003C095D">
        <w:rPr>
          <w:i/>
          <w:iCs/>
        </w:rPr>
        <w:t>U</w:t>
      </w:r>
      <w:r w:rsidR="00EB4161">
        <w:rPr>
          <w:i/>
          <w:iCs/>
        </w:rPr>
        <w:t xml:space="preserve">til. </w:t>
      </w:r>
      <w:proofErr w:type="spellStart"/>
      <w:r w:rsidR="001F4838" w:rsidRPr="003C095D">
        <w:rPr>
          <w:i/>
          <w:iCs/>
        </w:rPr>
        <w:t>C</w:t>
      </w:r>
      <w:r w:rsidR="00EB4161">
        <w:rPr>
          <w:i/>
          <w:iCs/>
        </w:rPr>
        <w:t>omm’n</w:t>
      </w:r>
      <w:proofErr w:type="spellEnd"/>
      <w:r w:rsidR="001F4838" w:rsidRPr="003C095D">
        <w:t>, 806 A.2d 863 (Pa. 2002).</w:t>
      </w:r>
      <w:proofErr w:type="gramEnd"/>
      <w:r w:rsidR="001F4838" w:rsidRPr="003C095D">
        <w:t xml:space="preserve"> </w:t>
      </w:r>
    </w:p>
    <w:p w:rsidR="003C095D" w:rsidRDefault="003C095D" w:rsidP="002C3D48">
      <w:pPr>
        <w:pStyle w:val="Default"/>
        <w:ind w:left="1440" w:right="1080"/>
      </w:pPr>
    </w:p>
    <w:p w:rsidR="001F4838" w:rsidRDefault="003C095D" w:rsidP="002C3D48">
      <w:pPr>
        <w:pStyle w:val="Default"/>
        <w:ind w:left="1440" w:right="1080"/>
      </w:pPr>
      <w:r>
        <w:tab/>
        <w:t>2</w:t>
      </w:r>
      <w:r w:rsidR="001F4838" w:rsidRPr="003C095D">
        <w:t>3.</w:t>
      </w:r>
      <w:r>
        <w:tab/>
      </w:r>
      <w:r w:rsidR="001F4838" w:rsidRPr="003C095D">
        <w:t xml:space="preserve"> The facts in the instant matter, viewed in the light most favorable to the Complainant, are not in dispute. </w:t>
      </w:r>
      <w:r w:rsidR="00204401">
        <w:t xml:space="preserve"> </w:t>
      </w:r>
      <w:r w:rsidR="001F4838" w:rsidRPr="003C095D">
        <w:t xml:space="preserve">According to the Complaint, the inmate was charged $6.25 for </w:t>
      </w:r>
      <w:r w:rsidR="00E344FF">
        <w:t>an intrastate, inter-LATA call originating at SCI-Greene, which is exactly how mu</w:t>
      </w:r>
      <w:r w:rsidR="00EB4161">
        <w:t>ch</w:t>
      </w:r>
      <w:r w:rsidR="00E344FF">
        <w:t xml:space="preserve"> he should have been charged under the informational price list submitted by GTL to the Commission. </w:t>
      </w:r>
      <w:r w:rsidR="00204401">
        <w:t xml:space="preserve"> </w:t>
      </w:r>
      <w:proofErr w:type="gramStart"/>
      <w:r w:rsidR="00E344FF">
        <w:rPr>
          <w:i/>
        </w:rPr>
        <w:t xml:space="preserve">See, </w:t>
      </w:r>
      <w:r w:rsidR="00E344FF">
        <w:t>Exhibit A.</w:t>
      </w:r>
      <w:proofErr w:type="gramEnd"/>
      <w:r w:rsidR="00E344FF">
        <w:rPr>
          <w:rStyle w:val="FootnoteReference"/>
        </w:rPr>
        <w:footnoteReference w:id="8"/>
      </w:r>
    </w:p>
    <w:p w:rsidR="00E344FF" w:rsidRPr="00E344FF" w:rsidRDefault="00E344FF" w:rsidP="002C3D48">
      <w:pPr>
        <w:pStyle w:val="Default"/>
        <w:ind w:left="1440" w:right="1080"/>
      </w:pPr>
    </w:p>
    <w:p w:rsidR="0014774D" w:rsidRDefault="001F4838" w:rsidP="002C3D48">
      <w:pPr>
        <w:pStyle w:val="Default"/>
        <w:ind w:left="1440" w:right="1080"/>
        <w:rPr>
          <w:color w:val="auto"/>
        </w:rPr>
      </w:pPr>
      <w:r w:rsidRPr="003C095D">
        <w:t xml:space="preserve"> </w:t>
      </w:r>
      <w:r w:rsidR="00E344FF">
        <w:rPr>
          <w:color w:val="auto"/>
        </w:rPr>
        <w:tab/>
        <w:t>24.</w:t>
      </w:r>
      <w:r w:rsidR="00E344FF">
        <w:rPr>
          <w:color w:val="auto"/>
        </w:rPr>
        <w:tab/>
      </w:r>
      <w:r w:rsidR="0014774D">
        <w:rPr>
          <w:color w:val="auto"/>
        </w:rPr>
        <w:t>Based on current law and precedent, the Presiding Officer must dismiss the Complaint in this case, as the Commission lacks the requisite jurisdiction to regulate GTL’s contract rates with DOC or grant the relief requested by the Complainant.</w:t>
      </w:r>
    </w:p>
    <w:p w:rsidR="0014774D" w:rsidRDefault="0014774D" w:rsidP="0014774D">
      <w:pPr>
        <w:pStyle w:val="Default"/>
        <w:spacing w:line="360" w:lineRule="auto"/>
        <w:rPr>
          <w:color w:val="auto"/>
        </w:rPr>
      </w:pPr>
    </w:p>
    <w:p w:rsidR="001F4838" w:rsidRDefault="0014774D" w:rsidP="0014774D">
      <w:pPr>
        <w:pStyle w:val="Default"/>
        <w:spacing w:line="360" w:lineRule="auto"/>
        <w:rPr>
          <w:color w:val="auto"/>
        </w:rPr>
      </w:pPr>
      <w:r>
        <w:rPr>
          <w:color w:val="auto"/>
        </w:rPr>
        <w:t>Motion ¶¶ 14-24.</w:t>
      </w:r>
    </w:p>
    <w:p w:rsidR="0014774D" w:rsidRDefault="0014774D" w:rsidP="0014774D">
      <w:pPr>
        <w:pStyle w:val="Default"/>
        <w:spacing w:line="360" w:lineRule="auto"/>
        <w:rPr>
          <w:color w:val="auto"/>
        </w:rPr>
      </w:pPr>
    </w:p>
    <w:p w:rsidR="007A298A" w:rsidRDefault="00DF2B4D" w:rsidP="0014774D">
      <w:pPr>
        <w:pStyle w:val="Default"/>
        <w:spacing w:line="360" w:lineRule="auto"/>
        <w:rPr>
          <w:color w:val="auto"/>
        </w:rPr>
      </w:pPr>
      <w:r>
        <w:rPr>
          <w:color w:val="auto"/>
        </w:rPr>
        <w:tab/>
      </w:r>
      <w:r>
        <w:rPr>
          <w:color w:val="auto"/>
        </w:rPr>
        <w:tab/>
        <w:t xml:space="preserve">As mentioned above, Mr. </w:t>
      </w:r>
      <w:proofErr w:type="spellStart"/>
      <w:r w:rsidR="00A73261">
        <w:rPr>
          <w:color w:val="auto"/>
        </w:rPr>
        <w:t>Gentilquore</w:t>
      </w:r>
      <w:proofErr w:type="spellEnd"/>
      <w:r w:rsidR="00A73261">
        <w:rPr>
          <w:color w:val="auto"/>
        </w:rPr>
        <w:t xml:space="preserve"> did not file an answer to the motion for judgment on the pleadings.  Further during his argument on the motion, Mr. </w:t>
      </w:r>
      <w:proofErr w:type="spellStart"/>
      <w:r w:rsidR="00A73261">
        <w:rPr>
          <w:color w:val="auto"/>
        </w:rPr>
        <w:t>Gentiolquore</w:t>
      </w:r>
      <w:proofErr w:type="spellEnd"/>
      <w:r w:rsidR="00A73261">
        <w:rPr>
          <w:color w:val="auto"/>
        </w:rPr>
        <w:t xml:space="preserve"> did not dispute any of the fact</w:t>
      </w:r>
      <w:r w:rsidR="00405E87">
        <w:rPr>
          <w:color w:val="auto"/>
        </w:rPr>
        <w:t>s</w:t>
      </w:r>
      <w:r w:rsidR="00A73261">
        <w:rPr>
          <w:color w:val="auto"/>
        </w:rPr>
        <w:t xml:space="preserve"> set forth in the motion.  Mr. </w:t>
      </w:r>
      <w:proofErr w:type="spellStart"/>
      <w:r w:rsidR="00A73261">
        <w:rPr>
          <w:color w:val="auto"/>
        </w:rPr>
        <w:t>Gentilquore</w:t>
      </w:r>
      <w:proofErr w:type="spellEnd"/>
      <w:r w:rsidR="00A73261">
        <w:rPr>
          <w:color w:val="auto"/>
        </w:rPr>
        <w:t xml:space="preserve"> simply argued that GTL’s calling rates were too high.  When a party fails to respond to a motion seek</w:t>
      </w:r>
      <w:r w:rsidR="00EB4161">
        <w:rPr>
          <w:color w:val="auto"/>
        </w:rPr>
        <w:t>ing</w:t>
      </w:r>
      <w:r w:rsidR="00A73261">
        <w:rPr>
          <w:color w:val="auto"/>
        </w:rPr>
        <w:t xml:space="preserve"> dismissal of the complaint the Commission has held that the facts contained in the motion are deemed admitted.  </w:t>
      </w:r>
    </w:p>
    <w:p w:rsidR="00C50806" w:rsidRDefault="00C50806" w:rsidP="007A298A">
      <w:pPr>
        <w:pStyle w:val="BodyText"/>
        <w:tabs>
          <w:tab w:val="clear" w:pos="1980"/>
        </w:tabs>
        <w:spacing w:line="360" w:lineRule="auto"/>
        <w:jc w:val="left"/>
      </w:pPr>
    </w:p>
    <w:p w:rsidR="00C50806" w:rsidRDefault="007A298A" w:rsidP="007A298A">
      <w:pPr>
        <w:pStyle w:val="BodyText"/>
        <w:tabs>
          <w:tab w:val="clear" w:pos="1980"/>
        </w:tabs>
        <w:spacing w:line="360" w:lineRule="auto"/>
        <w:jc w:val="left"/>
        <w:rPr>
          <w:rFonts w:ascii="Times New Roman" w:hAnsi="Times New Roman"/>
          <w:szCs w:val="24"/>
        </w:rPr>
      </w:pPr>
      <w:r>
        <w:tab/>
      </w:r>
      <w:r>
        <w:tab/>
      </w:r>
      <w:r w:rsidRPr="0052144E">
        <w:rPr>
          <w:rFonts w:ascii="Times New Roman" w:hAnsi="Times New Roman"/>
        </w:rPr>
        <w:t>I</w:t>
      </w:r>
      <w:r>
        <w:rPr>
          <w:rFonts w:ascii="Times New Roman" w:hAnsi="Times New Roman"/>
          <w:szCs w:val="24"/>
        </w:rPr>
        <w:t xml:space="preserve">n </w:t>
      </w:r>
      <w:proofErr w:type="spellStart"/>
      <w:r w:rsidRPr="007A298A">
        <w:rPr>
          <w:rFonts w:ascii="Times New Roman" w:hAnsi="Times New Roman"/>
          <w:i/>
          <w:szCs w:val="24"/>
        </w:rPr>
        <w:t>Macko</w:t>
      </w:r>
      <w:proofErr w:type="spellEnd"/>
      <w:r w:rsidRPr="007A298A">
        <w:rPr>
          <w:rFonts w:ascii="Times New Roman" w:hAnsi="Times New Roman"/>
          <w:i/>
          <w:szCs w:val="24"/>
        </w:rPr>
        <w:t xml:space="preserve"> v. PG Energy</w:t>
      </w:r>
      <w:r>
        <w:rPr>
          <w:rFonts w:ascii="Times New Roman" w:hAnsi="Times New Roman"/>
          <w:szCs w:val="24"/>
        </w:rPr>
        <w:t xml:space="preserve">, Docket No. C-00014632, (Order entered June 22, 2001), with respect to a </w:t>
      </w:r>
      <w:r w:rsidR="0052144E">
        <w:rPr>
          <w:rFonts w:ascii="Times New Roman" w:hAnsi="Times New Roman"/>
          <w:szCs w:val="24"/>
        </w:rPr>
        <w:t>c</w:t>
      </w:r>
      <w:r>
        <w:rPr>
          <w:rFonts w:ascii="Times New Roman" w:hAnsi="Times New Roman"/>
          <w:szCs w:val="24"/>
        </w:rPr>
        <w:t xml:space="preserve">omplainant’s failure to respond to a respondent utility’s dismissal, the </w:t>
      </w:r>
    </w:p>
    <w:p w:rsidR="007A298A" w:rsidRDefault="007A298A" w:rsidP="007A298A">
      <w:pPr>
        <w:pStyle w:val="BodyText"/>
        <w:tabs>
          <w:tab w:val="clear" w:pos="1980"/>
        </w:tabs>
        <w:spacing w:line="360" w:lineRule="auto"/>
        <w:jc w:val="left"/>
        <w:rPr>
          <w:rFonts w:ascii="Times New Roman" w:hAnsi="Times New Roman"/>
          <w:szCs w:val="24"/>
        </w:rPr>
      </w:pPr>
      <w:r>
        <w:rPr>
          <w:rFonts w:ascii="Times New Roman" w:hAnsi="Times New Roman"/>
          <w:szCs w:val="24"/>
        </w:rPr>
        <w:t>Commission held as follows:</w:t>
      </w:r>
    </w:p>
    <w:p w:rsidR="007A298A" w:rsidRDefault="007A298A" w:rsidP="00C50806">
      <w:pPr>
        <w:pStyle w:val="BodyText"/>
        <w:tabs>
          <w:tab w:val="clear" w:pos="1980"/>
        </w:tabs>
        <w:spacing w:line="240" w:lineRule="auto"/>
        <w:ind w:left="1440" w:right="1080"/>
        <w:jc w:val="left"/>
        <w:rPr>
          <w:rFonts w:ascii="Times New Roman" w:hAnsi="Times New Roman"/>
          <w:szCs w:val="24"/>
        </w:rPr>
      </w:pPr>
      <w:r>
        <w:rPr>
          <w:rFonts w:ascii="Times New Roman" w:hAnsi="Times New Roman"/>
          <w:szCs w:val="24"/>
        </w:rPr>
        <w:lastRenderedPageBreak/>
        <w:t xml:space="preserve">This Commission’s Regulation at 52 </w:t>
      </w:r>
      <w:proofErr w:type="spellStart"/>
      <w:r>
        <w:rPr>
          <w:rFonts w:ascii="Times New Roman" w:hAnsi="Times New Roman"/>
          <w:szCs w:val="24"/>
        </w:rPr>
        <w:t>Pa.Code</w:t>
      </w:r>
      <w:proofErr w:type="spellEnd"/>
      <w:r>
        <w:rPr>
          <w:rFonts w:ascii="Times New Roman" w:hAnsi="Times New Roman"/>
          <w:szCs w:val="24"/>
        </w:rPr>
        <w:t xml:space="preserve"> </w:t>
      </w:r>
      <w:r w:rsidRPr="00706D5F">
        <w:rPr>
          <w:rFonts w:ascii="Times New Roman" w:hAnsi="Times New Roman"/>
          <w:szCs w:val="24"/>
        </w:rPr>
        <w:t>§</w:t>
      </w:r>
      <w:r w:rsidR="0052144E">
        <w:rPr>
          <w:rFonts w:ascii="Times New Roman" w:hAnsi="Times New Roman"/>
          <w:szCs w:val="24"/>
        </w:rPr>
        <w:t xml:space="preserve"> </w:t>
      </w:r>
      <w:r>
        <w:rPr>
          <w:rFonts w:ascii="Times New Roman" w:hAnsi="Times New Roman"/>
          <w:szCs w:val="24"/>
        </w:rPr>
        <w:t>5.61(c) states that it is incumbent upon a complainant to file an Answer to a motion within twenty days of service.  The Complainant failed to answer the Motion to Dismiss filed by the Respondent.  Therefore, consistent with our Regulation, the facts contained in the Motion were deemed admitted by the Complainant.</w:t>
      </w:r>
    </w:p>
    <w:p w:rsidR="00C50806" w:rsidRDefault="00C50806" w:rsidP="00C50806">
      <w:pPr>
        <w:pStyle w:val="BodyText"/>
        <w:tabs>
          <w:tab w:val="clear" w:pos="1980"/>
        </w:tabs>
        <w:spacing w:line="360" w:lineRule="auto"/>
        <w:ind w:left="1440" w:right="1080"/>
        <w:jc w:val="left"/>
        <w:rPr>
          <w:rFonts w:ascii="Times New Roman" w:hAnsi="Times New Roman"/>
          <w:szCs w:val="24"/>
        </w:rPr>
      </w:pPr>
    </w:p>
    <w:p w:rsidR="00C50806" w:rsidRDefault="00C50806" w:rsidP="00C50806">
      <w:pPr>
        <w:pStyle w:val="Default"/>
        <w:spacing w:line="360" w:lineRule="auto"/>
        <w:rPr>
          <w:color w:val="auto"/>
        </w:rPr>
      </w:pPr>
      <w:r>
        <w:rPr>
          <w:color w:val="auto"/>
        </w:rPr>
        <w:tab/>
      </w:r>
      <w:r>
        <w:rPr>
          <w:color w:val="auto"/>
        </w:rPr>
        <w:tab/>
        <w:t xml:space="preserve">Thus Mr. </w:t>
      </w:r>
      <w:proofErr w:type="spellStart"/>
      <w:r>
        <w:rPr>
          <w:color w:val="auto"/>
        </w:rPr>
        <w:t>Gentilquore</w:t>
      </w:r>
      <w:proofErr w:type="spellEnd"/>
      <w:r>
        <w:rPr>
          <w:color w:val="auto"/>
        </w:rPr>
        <w:t xml:space="preserve"> admits that GTL provides service to the Pennsylvania Department of Corrections (DOC) pursuant to a contract between DOC and GTL.</w:t>
      </w:r>
    </w:p>
    <w:p w:rsidR="00C50806" w:rsidRDefault="00C50806" w:rsidP="00C50806">
      <w:pPr>
        <w:pStyle w:val="BodyText"/>
        <w:tabs>
          <w:tab w:val="clear" w:pos="1980"/>
        </w:tabs>
        <w:spacing w:line="360" w:lineRule="auto"/>
        <w:jc w:val="left"/>
        <w:rPr>
          <w:rFonts w:ascii="Times New Roman" w:hAnsi="Times New Roman"/>
          <w:szCs w:val="24"/>
        </w:rPr>
      </w:pPr>
    </w:p>
    <w:p w:rsidR="006F1C34" w:rsidRDefault="00C50806" w:rsidP="00F15476">
      <w:pPr>
        <w:spacing w:line="360" w:lineRule="auto"/>
        <w:ind w:firstLine="1440"/>
      </w:pPr>
      <w:r>
        <w:t xml:space="preserve">Turning to </w:t>
      </w:r>
      <w:r w:rsidR="00F15476">
        <w:t xml:space="preserve">Mr. </w:t>
      </w:r>
      <w:proofErr w:type="spellStart"/>
      <w:r w:rsidR="00F15476">
        <w:t>Gentilquore’s</w:t>
      </w:r>
      <w:proofErr w:type="spellEnd"/>
      <w:r w:rsidR="00F15476" w:rsidRPr="00F15476">
        <w:rPr>
          <w:spacing w:val="-3"/>
        </w:rPr>
        <w:t xml:space="preserve"> allegations that the </w:t>
      </w:r>
      <w:r w:rsidR="00F15476">
        <w:rPr>
          <w:spacing w:val="-3"/>
        </w:rPr>
        <w:t xml:space="preserve">GTL’s </w:t>
      </w:r>
      <w:r w:rsidR="00F15476" w:rsidRPr="00F15476">
        <w:rPr>
          <w:spacing w:val="-3"/>
        </w:rPr>
        <w:t xml:space="preserve">rates are </w:t>
      </w:r>
      <w:r w:rsidR="00F15476">
        <w:rPr>
          <w:spacing w:val="-3"/>
        </w:rPr>
        <w:t>overpriced</w:t>
      </w:r>
      <w:r w:rsidR="00F15476" w:rsidRPr="00F15476">
        <w:rPr>
          <w:spacing w:val="-3"/>
        </w:rPr>
        <w:t xml:space="preserve">, the Commission does not have jurisdiction to set rates for interexchange carriers, pursuant to </w:t>
      </w:r>
      <w:r w:rsidR="00F15476" w:rsidRPr="00F15476">
        <w:t xml:space="preserve">66 </w:t>
      </w:r>
      <w:proofErr w:type="spellStart"/>
      <w:r w:rsidR="00F15476" w:rsidRPr="00F15476">
        <w:t>Pa.C.S</w:t>
      </w:r>
      <w:proofErr w:type="spellEnd"/>
      <w:r w:rsidR="00F15476" w:rsidRPr="00F15476">
        <w:t xml:space="preserve">. § 3018.  </w:t>
      </w:r>
      <w:proofErr w:type="gramStart"/>
      <w:r w:rsidR="00F15476" w:rsidRPr="00F15476">
        <w:t xml:space="preserve">The provision at 66 </w:t>
      </w:r>
      <w:proofErr w:type="spellStart"/>
      <w:r w:rsidR="00F15476" w:rsidRPr="00F15476">
        <w:t>Pa.C.S</w:t>
      </w:r>
      <w:proofErr w:type="spellEnd"/>
      <w:r w:rsidR="00F15476" w:rsidRPr="00F15476">
        <w:t>.</w:t>
      </w:r>
      <w:proofErr w:type="gramEnd"/>
      <w:r w:rsidR="00F15476" w:rsidRPr="00F15476">
        <w:t xml:space="preserve"> § 3018(a) specifies that interexchange services are competitive services.  </w:t>
      </w:r>
      <w:proofErr w:type="gramStart"/>
      <w:r w:rsidR="00F15476" w:rsidRPr="00F15476">
        <w:t xml:space="preserve">Further, 66 </w:t>
      </w:r>
      <w:proofErr w:type="spellStart"/>
      <w:r w:rsidR="00F15476" w:rsidRPr="00F15476">
        <w:t>Pa.C.S</w:t>
      </w:r>
      <w:proofErr w:type="spellEnd"/>
      <w:r w:rsidR="00F15476" w:rsidRPr="00F15476">
        <w:t>.</w:t>
      </w:r>
      <w:proofErr w:type="gramEnd"/>
      <w:r w:rsidR="00F15476" w:rsidRPr="00F15476">
        <w:t xml:space="preserve"> § 3018(b</w:t>
      </w:r>
      <w:proofErr w:type="gramStart"/>
      <w:r w:rsidR="00F15476" w:rsidRPr="00F15476">
        <w:t>)(</w:t>
      </w:r>
      <w:proofErr w:type="gramEnd"/>
      <w:r w:rsidR="00F15476" w:rsidRPr="00F15476">
        <w:t>1) specifies that the Commission cannot fix or prescribe the rates for interexchange services.</w:t>
      </w:r>
      <w:r w:rsidR="006F1C34">
        <w:t xml:space="preserve">  Section 3018(b</w:t>
      </w:r>
      <w:proofErr w:type="gramStart"/>
      <w:r w:rsidR="006F1C34">
        <w:t>)(</w:t>
      </w:r>
      <w:proofErr w:type="gramEnd"/>
      <w:r w:rsidR="006F1C34">
        <w:t>1) of the Commission’s regulations states as follows:</w:t>
      </w:r>
    </w:p>
    <w:p w:rsidR="006F1C34" w:rsidRDefault="006F1C34" w:rsidP="00F15476">
      <w:pPr>
        <w:spacing w:line="360" w:lineRule="auto"/>
        <w:ind w:firstLine="1440"/>
      </w:pPr>
    </w:p>
    <w:p w:rsidR="006F1C34" w:rsidRDefault="006F1C34" w:rsidP="006F1C34">
      <w:pPr>
        <w:ind w:left="1440" w:right="1080"/>
      </w:pPr>
      <w:r>
        <w:t>The commission m</w:t>
      </w:r>
      <w:r w:rsidR="00EB4161">
        <w:t>a</w:t>
      </w:r>
      <w:r>
        <w:t xml:space="preserve">y not fix or prescribe the rates, tools, charges, rate structures, rate base, </w:t>
      </w:r>
      <w:proofErr w:type="gramStart"/>
      <w:r>
        <w:t>rate</w:t>
      </w:r>
      <w:proofErr w:type="gramEnd"/>
      <w:r>
        <w:t xml:space="preserve"> of return, operating margin or earnings of inter</w:t>
      </w:r>
      <w:r w:rsidR="0057452E">
        <w:t>ex</w:t>
      </w:r>
      <w:r>
        <w:t>change competitive services or otherwise regulate interexchange competitive service except as otherwise set forth in this chapter.</w:t>
      </w:r>
    </w:p>
    <w:p w:rsidR="006F1C34" w:rsidRDefault="006F1C34" w:rsidP="006F1C34">
      <w:pPr>
        <w:ind w:left="1440" w:right="1080"/>
      </w:pPr>
    </w:p>
    <w:p w:rsidR="006F1C34" w:rsidRDefault="006F1C34" w:rsidP="006F1C34">
      <w:pPr>
        <w:ind w:right="1080"/>
      </w:pPr>
      <w:r>
        <w:t>Id.</w:t>
      </w:r>
    </w:p>
    <w:p w:rsidR="006F1C34" w:rsidRDefault="006F1C34" w:rsidP="006F1C34">
      <w:pPr>
        <w:ind w:left="1440" w:right="1080"/>
      </w:pPr>
    </w:p>
    <w:p w:rsidR="00A3668B" w:rsidRDefault="00A3668B" w:rsidP="00D72D7B">
      <w:pPr>
        <w:pStyle w:val="Default"/>
        <w:spacing w:line="360" w:lineRule="auto"/>
      </w:pPr>
      <w:r>
        <w:tab/>
      </w:r>
      <w:r>
        <w:tab/>
      </w:r>
      <w:proofErr w:type="gramStart"/>
      <w:r>
        <w:t>Additionally</w:t>
      </w:r>
      <w:r w:rsidR="00F15476" w:rsidRPr="00F15476">
        <w:t xml:space="preserve">, 66 </w:t>
      </w:r>
      <w:proofErr w:type="spellStart"/>
      <w:r w:rsidR="00F15476" w:rsidRPr="00F15476">
        <w:t>Pa.C.S</w:t>
      </w:r>
      <w:proofErr w:type="spellEnd"/>
      <w:r w:rsidR="00F15476" w:rsidRPr="00F15476">
        <w:t>.</w:t>
      </w:r>
      <w:proofErr w:type="gramEnd"/>
      <w:r w:rsidR="00F15476" w:rsidRPr="00F15476">
        <w:t xml:space="preserve"> § 3019(g) limits the Commission’s jurisdiction to services that have not been declared competitive.</w:t>
      </w:r>
      <w:r w:rsidR="001823F6">
        <w:t xml:space="preserve">   </w:t>
      </w:r>
      <w:r>
        <w:t xml:space="preserve">As noted in </w:t>
      </w:r>
      <w:r w:rsidR="0057452E">
        <w:t>its</w:t>
      </w:r>
      <w:r>
        <w:t xml:space="preserve"> Motion</w:t>
      </w:r>
      <w:r w:rsidR="0057452E">
        <w:t xml:space="preserve">, </w:t>
      </w:r>
      <w:r>
        <w:t xml:space="preserve">GTL is an authorized provider of interexchange service pursuant to the Commission’s orders.  Thus under Section 3018(a), GTL’s services are competitive. </w:t>
      </w:r>
      <w:r w:rsidR="0052144E">
        <w:t xml:space="preserve"> </w:t>
      </w:r>
      <w:r>
        <w:t>Therefore under Section 3019(g)</w:t>
      </w:r>
      <w:r w:rsidR="0052144E">
        <w:t>,</w:t>
      </w:r>
      <w:r>
        <w:t xml:space="preserve"> GTL’s calling rates are beyond the jurisdiction of the Commission.</w:t>
      </w:r>
    </w:p>
    <w:p w:rsidR="00EA6781" w:rsidRDefault="00EA6781" w:rsidP="00D72D7B">
      <w:pPr>
        <w:pStyle w:val="Default"/>
        <w:spacing w:line="360" w:lineRule="auto"/>
        <w:ind w:left="1440" w:right="1080"/>
      </w:pPr>
    </w:p>
    <w:p w:rsidR="00EF4B7B" w:rsidRDefault="00EF4B7B" w:rsidP="007C4104">
      <w:pPr>
        <w:pStyle w:val="Default"/>
        <w:spacing w:line="360" w:lineRule="auto"/>
      </w:pPr>
      <w:r>
        <w:tab/>
      </w:r>
      <w:r>
        <w:tab/>
        <w:t xml:space="preserve">Furthermore the calling rates that GTL charge inmates are based upon its contract with the DOC.  </w:t>
      </w:r>
      <w:r w:rsidRPr="00F15476">
        <w:t xml:space="preserve">The Commission has held that it does not have jurisdiction to interpret contracts between DOC and the entity providing inmate telephone services.  </w:t>
      </w:r>
      <w:proofErr w:type="spellStart"/>
      <w:proofErr w:type="gramStart"/>
      <w:r w:rsidRPr="00F15476">
        <w:rPr>
          <w:i/>
        </w:rPr>
        <w:t>Feigley</w:t>
      </w:r>
      <w:proofErr w:type="spellEnd"/>
      <w:r w:rsidRPr="00F15476">
        <w:rPr>
          <w:i/>
        </w:rPr>
        <w:t xml:space="preserve"> v. AT&amp;T Communications of Pa., Inc.</w:t>
      </w:r>
      <w:r w:rsidRPr="00F15476">
        <w:t>, Docket No.</w:t>
      </w:r>
      <w:proofErr w:type="gramEnd"/>
      <w:r w:rsidRPr="00F15476">
        <w:t xml:space="preserve"> C</w:t>
      </w:r>
      <w:r w:rsidRPr="00F15476">
        <w:noBreakHyphen/>
        <w:t xml:space="preserve">00981434 (Order entered April 30, 2001); </w:t>
      </w:r>
      <w:r w:rsidRPr="00F15476">
        <w:rPr>
          <w:i/>
        </w:rPr>
        <w:t>affirmed</w:t>
      </w:r>
      <w:r w:rsidRPr="00F15476">
        <w:t xml:space="preserve">, </w:t>
      </w:r>
      <w:proofErr w:type="spellStart"/>
      <w:r w:rsidRPr="00F15476">
        <w:rPr>
          <w:i/>
        </w:rPr>
        <w:t>Feigley</w:t>
      </w:r>
      <w:proofErr w:type="spellEnd"/>
      <w:r w:rsidRPr="00F15476">
        <w:rPr>
          <w:i/>
        </w:rPr>
        <w:t xml:space="preserve">, et al. v. Pa. Pub. </w:t>
      </w:r>
      <w:proofErr w:type="gramStart"/>
      <w:r w:rsidRPr="00F15476">
        <w:rPr>
          <w:i/>
        </w:rPr>
        <w:t xml:space="preserve">Util. </w:t>
      </w:r>
      <w:proofErr w:type="spellStart"/>
      <w:r w:rsidRPr="00F15476">
        <w:rPr>
          <w:i/>
        </w:rPr>
        <w:t>Comm’n</w:t>
      </w:r>
      <w:proofErr w:type="spellEnd"/>
      <w:r w:rsidRPr="00F15476">
        <w:t xml:space="preserve">, 794 A.2d 428 (Pa. </w:t>
      </w:r>
      <w:proofErr w:type="spellStart"/>
      <w:r w:rsidRPr="00F15476">
        <w:t>Cmwlth</w:t>
      </w:r>
      <w:proofErr w:type="spellEnd"/>
      <w:r w:rsidRPr="00F15476">
        <w:t xml:space="preserve">. 2002), </w:t>
      </w:r>
      <w:r w:rsidRPr="00F15476">
        <w:rPr>
          <w:i/>
        </w:rPr>
        <w:t xml:space="preserve">appeal denied sub </w:t>
      </w:r>
      <w:r w:rsidRPr="00F15476">
        <w:rPr>
          <w:i/>
        </w:rPr>
        <w:lastRenderedPageBreak/>
        <w:t>nom; C.U.R.E. of Pa. v. Pa. Pub.</w:t>
      </w:r>
      <w:proofErr w:type="gramEnd"/>
      <w:r w:rsidRPr="00F15476">
        <w:rPr>
          <w:i/>
        </w:rPr>
        <w:t xml:space="preserve"> </w:t>
      </w:r>
      <w:proofErr w:type="gramStart"/>
      <w:r w:rsidRPr="00F15476">
        <w:rPr>
          <w:i/>
        </w:rPr>
        <w:t xml:space="preserve">Util. </w:t>
      </w:r>
      <w:proofErr w:type="spellStart"/>
      <w:r w:rsidRPr="00F15476">
        <w:rPr>
          <w:i/>
        </w:rPr>
        <w:t>Comm’n</w:t>
      </w:r>
      <w:proofErr w:type="spellEnd"/>
      <w:r w:rsidRPr="00F15476">
        <w:t>, 569 Pa. 723, 806 A.2d 863 (2002).</w:t>
      </w:r>
      <w:proofErr w:type="gramEnd"/>
      <w:r w:rsidRPr="00F15476">
        <w:t xml:space="preserve">  Accordingly, </w:t>
      </w:r>
      <w:r>
        <w:t xml:space="preserve">Mr. </w:t>
      </w:r>
      <w:proofErr w:type="spellStart"/>
      <w:r>
        <w:t>Gentilquore</w:t>
      </w:r>
      <w:proofErr w:type="spellEnd"/>
      <w:r>
        <w:t xml:space="preserve"> cannot prevail on his </w:t>
      </w:r>
      <w:r w:rsidRPr="00F15476">
        <w:t xml:space="preserve">complaint alleging </w:t>
      </w:r>
      <w:r>
        <w:t>overpriced rates and requesting a refund.</w:t>
      </w:r>
    </w:p>
    <w:p w:rsidR="00EF4B7B" w:rsidRDefault="00EF4B7B" w:rsidP="007C4104">
      <w:pPr>
        <w:widowControl/>
        <w:adjustRightInd/>
        <w:spacing w:line="360" w:lineRule="auto"/>
        <w:ind w:firstLine="1440"/>
      </w:pPr>
    </w:p>
    <w:p w:rsidR="00EF4B7B" w:rsidRDefault="00EF4B7B" w:rsidP="007C4104">
      <w:pPr>
        <w:widowControl/>
        <w:adjustRightInd/>
        <w:spacing w:line="360" w:lineRule="auto"/>
        <w:ind w:firstLine="1440"/>
      </w:pPr>
      <w:r>
        <w:t xml:space="preserve">Lastly, Mr. </w:t>
      </w:r>
      <w:proofErr w:type="spellStart"/>
      <w:r>
        <w:t>Gentilquore</w:t>
      </w:r>
      <w:proofErr w:type="spellEnd"/>
      <w:r>
        <w:t xml:space="preserve"> argues that GTL has a monopoly at the correctional facility in violation of antitrust laws.  In </w:t>
      </w:r>
      <w:proofErr w:type="spellStart"/>
      <w:r w:rsidRPr="00F15476">
        <w:rPr>
          <w:i/>
          <w:color w:val="000000"/>
        </w:rPr>
        <w:t>Feigley</w:t>
      </w:r>
      <w:proofErr w:type="spellEnd"/>
      <w:r w:rsidRPr="00F15476">
        <w:rPr>
          <w:i/>
          <w:color w:val="000000"/>
        </w:rPr>
        <w:t xml:space="preserve"> v. AT&amp;T Communications of Pa., Inc.</w:t>
      </w:r>
      <w:r>
        <w:rPr>
          <w:i/>
          <w:color w:val="000000"/>
        </w:rPr>
        <w:t>,</w:t>
      </w:r>
      <w:r>
        <w:rPr>
          <w:color w:val="000000"/>
        </w:rPr>
        <w:t xml:space="preserve"> cited above, the</w:t>
      </w:r>
      <w:r>
        <w:t xml:space="preserve"> Commission acknowledged the monopoly nature of interexchange service provided to inmates.  However, the inter</w:t>
      </w:r>
      <w:r w:rsidR="00917924">
        <w:t>ex</w:t>
      </w:r>
      <w:r>
        <w:t xml:space="preserve">change service remains “a function of DOC regulations over which we have no primary jurisdiction.” </w:t>
      </w:r>
      <w:proofErr w:type="gramStart"/>
      <w:r>
        <w:t>Id. at 33.</w:t>
      </w:r>
      <w:proofErr w:type="gramEnd"/>
      <w:r>
        <w:t xml:space="preserve">  Thus Mr. </w:t>
      </w:r>
      <w:proofErr w:type="spellStart"/>
      <w:r>
        <w:t>Gentilquore’s</w:t>
      </w:r>
      <w:proofErr w:type="spellEnd"/>
      <w:r>
        <w:t xml:space="preserve"> monopoly argument is without merit.</w:t>
      </w:r>
    </w:p>
    <w:p w:rsidR="00EF4B7B" w:rsidRDefault="00EF4B7B" w:rsidP="007C4104">
      <w:pPr>
        <w:widowControl/>
        <w:adjustRightInd/>
        <w:spacing w:line="360" w:lineRule="auto"/>
        <w:ind w:firstLine="1440"/>
      </w:pPr>
    </w:p>
    <w:p w:rsidR="00EF4B7B" w:rsidRPr="005C1391" w:rsidRDefault="00EF4B7B" w:rsidP="007C4104">
      <w:pPr>
        <w:widowControl/>
        <w:autoSpaceDE/>
        <w:autoSpaceDN/>
        <w:adjustRightInd/>
        <w:spacing w:line="360" w:lineRule="auto"/>
        <w:ind w:firstLine="1440"/>
      </w:pPr>
      <w:r w:rsidRPr="005C1391">
        <w:t xml:space="preserve">The Commission is granted discretion to dismiss a complaint without a hearing if a hearing is not necessary in the public interest.  </w:t>
      </w:r>
      <w:proofErr w:type="gramStart"/>
      <w:r w:rsidRPr="005C1391">
        <w:t xml:space="preserve">66 </w:t>
      </w:r>
      <w:proofErr w:type="spellStart"/>
      <w:r w:rsidRPr="005C1391">
        <w:t>Pa.C.S</w:t>
      </w:r>
      <w:proofErr w:type="spellEnd"/>
      <w:r w:rsidRPr="005C1391">
        <w:t>.</w:t>
      </w:r>
      <w:proofErr w:type="gramEnd"/>
      <w:r w:rsidRPr="005C1391">
        <w:t xml:space="preserve"> §</w:t>
      </w:r>
      <w:r>
        <w:t xml:space="preserve"> </w:t>
      </w:r>
      <w:r w:rsidRPr="005C1391">
        <w:t xml:space="preserve">703(b); 52 </w:t>
      </w:r>
      <w:proofErr w:type="spellStart"/>
      <w:r w:rsidRPr="005C1391">
        <w:t>Pa.</w:t>
      </w:r>
      <w:r>
        <w:t>C</w:t>
      </w:r>
      <w:r w:rsidRPr="005C1391">
        <w:t>ode</w:t>
      </w:r>
      <w:proofErr w:type="spellEnd"/>
      <w:r w:rsidRPr="005C1391">
        <w:t xml:space="preserve"> §</w:t>
      </w:r>
      <w:r>
        <w:t xml:space="preserve"> </w:t>
      </w:r>
      <w:r w:rsidRPr="005C1391">
        <w:t xml:space="preserve">5.21(d).  A hearing is necessary only to resolve disputed questions of fact, and is not required to resolve questions of law, policy or discretion.  </w:t>
      </w:r>
      <w:proofErr w:type="gramStart"/>
      <w:r w:rsidRPr="005C1391">
        <w:rPr>
          <w:i/>
        </w:rPr>
        <w:t>Dee-Dee Cab, Inc. v. Pa. Pub</w:t>
      </w:r>
      <w:r>
        <w:rPr>
          <w:i/>
        </w:rPr>
        <w:t>.</w:t>
      </w:r>
      <w:proofErr w:type="gramEnd"/>
      <w:r w:rsidRPr="005C1391">
        <w:rPr>
          <w:i/>
        </w:rPr>
        <w:t xml:space="preserve"> Uti</w:t>
      </w:r>
      <w:r>
        <w:rPr>
          <w:i/>
        </w:rPr>
        <w:t>l.</w:t>
      </w:r>
      <w:r w:rsidRPr="005C1391">
        <w:rPr>
          <w:i/>
        </w:rPr>
        <w:t xml:space="preserve"> </w:t>
      </w:r>
      <w:proofErr w:type="spellStart"/>
      <w:r w:rsidRPr="005C1391">
        <w:rPr>
          <w:i/>
        </w:rPr>
        <w:t>Comm</w:t>
      </w:r>
      <w:r>
        <w:rPr>
          <w:i/>
        </w:rPr>
        <w:t>’n</w:t>
      </w:r>
      <w:proofErr w:type="spellEnd"/>
      <w:r w:rsidRPr="005C1391">
        <w:rPr>
          <w:i/>
        </w:rPr>
        <w:t>,</w:t>
      </w:r>
      <w:r w:rsidRPr="005C1391">
        <w:t xml:space="preserve"> 817 A.2d 593, </w:t>
      </w:r>
      <w:r w:rsidRPr="005C1391">
        <w:rPr>
          <w:i/>
        </w:rPr>
        <w:t>petition for allowance of appeal d</w:t>
      </w:r>
      <w:r w:rsidRPr="005C1391">
        <w:t xml:space="preserve">enied, 836 A.2d 123 (2003); </w:t>
      </w:r>
      <w:r w:rsidRPr="005C1391">
        <w:rPr>
          <w:i/>
        </w:rPr>
        <w:t>Lehigh Valley Power Committee v. Pa. Pub</w:t>
      </w:r>
      <w:r>
        <w:rPr>
          <w:i/>
        </w:rPr>
        <w:t>.</w:t>
      </w:r>
      <w:r w:rsidRPr="005C1391">
        <w:rPr>
          <w:i/>
        </w:rPr>
        <w:t xml:space="preserve"> </w:t>
      </w:r>
      <w:proofErr w:type="gramStart"/>
      <w:r w:rsidRPr="005C1391">
        <w:rPr>
          <w:i/>
        </w:rPr>
        <w:t>Util</w:t>
      </w:r>
      <w:r>
        <w:rPr>
          <w:i/>
        </w:rPr>
        <w:t>.</w:t>
      </w:r>
      <w:r w:rsidRPr="005C1391">
        <w:rPr>
          <w:i/>
        </w:rPr>
        <w:t xml:space="preserve"> </w:t>
      </w:r>
      <w:proofErr w:type="spellStart"/>
      <w:r w:rsidRPr="005C1391">
        <w:rPr>
          <w:i/>
        </w:rPr>
        <w:t>Comm</w:t>
      </w:r>
      <w:r>
        <w:rPr>
          <w:i/>
        </w:rPr>
        <w:t>’n</w:t>
      </w:r>
      <w:proofErr w:type="spellEnd"/>
      <w:r w:rsidRPr="005C1391">
        <w:rPr>
          <w:i/>
        </w:rPr>
        <w:t>,</w:t>
      </w:r>
      <w:r w:rsidRPr="005C1391">
        <w:t xml:space="preserve"> 563 A.2d 548 (1989); </w:t>
      </w:r>
      <w:proofErr w:type="spellStart"/>
      <w:r w:rsidRPr="005C1391">
        <w:rPr>
          <w:i/>
        </w:rPr>
        <w:t>Edan</w:t>
      </w:r>
      <w:proofErr w:type="spellEnd"/>
      <w:r w:rsidRPr="005C1391">
        <w:rPr>
          <w:i/>
        </w:rPr>
        <w:t xml:space="preserve"> Transportation Corp. v. Pa. Pub</w:t>
      </w:r>
      <w:r>
        <w:rPr>
          <w:i/>
        </w:rPr>
        <w:t>.</w:t>
      </w:r>
      <w:proofErr w:type="gramEnd"/>
      <w:r w:rsidRPr="005C1391">
        <w:rPr>
          <w:i/>
        </w:rPr>
        <w:t xml:space="preserve"> </w:t>
      </w:r>
      <w:proofErr w:type="gramStart"/>
      <w:r w:rsidRPr="005C1391">
        <w:rPr>
          <w:i/>
        </w:rPr>
        <w:t>Util</w:t>
      </w:r>
      <w:r>
        <w:rPr>
          <w:i/>
        </w:rPr>
        <w:t>.</w:t>
      </w:r>
      <w:r w:rsidRPr="005C1391">
        <w:rPr>
          <w:i/>
        </w:rPr>
        <w:t xml:space="preserve"> </w:t>
      </w:r>
      <w:proofErr w:type="spellStart"/>
      <w:r w:rsidRPr="005C1391">
        <w:rPr>
          <w:i/>
        </w:rPr>
        <w:t>Comm</w:t>
      </w:r>
      <w:r>
        <w:rPr>
          <w:i/>
        </w:rPr>
        <w:t>’n</w:t>
      </w:r>
      <w:proofErr w:type="spellEnd"/>
      <w:r w:rsidRPr="005C1391">
        <w:rPr>
          <w:i/>
        </w:rPr>
        <w:t xml:space="preserve">, </w:t>
      </w:r>
      <w:r w:rsidRPr="005C1391">
        <w:t>623 A.2d 6 (1993).</w:t>
      </w:r>
      <w:proofErr w:type="gramEnd"/>
      <w:r w:rsidRPr="005C1391">
        <w:t xml:space="preserve">  This case does not involve disputed questions of fact.  The questions presented by </w:t>
      </w:r>
      <w:r w:rsidR="007C4104">
        <w:t>G</w:t>
      </w:r>
      <w:r>
        <w:t>TL’s</w:t>
      </w:r>
      <w:r w:rsidRPr="005C1391">
        <w:t xml:space="preserve"> Motion are questions of law only.  A hearing in this case is not necessary or in the public interest and would be a fruitless exercise.</w:t>
      </w:r>
      <w:r>
        <w:t xml:space="preserve">  </w:t>
      </w:r>
    </w:p>
    <w:p w:rsidR="00EF4B7B" w:rsidRDefault="00EF4B7B" w:rsidP="007C4104">
      <w:pPr>
        <w:widowControl/>
        <w:adjustRightInd/>
        <w:spacing w:line="360" w:lineRule="auto"/>
        <w:ind w:firstLine="1440"/>
      </w:pPr>
    </w:p>
    <w:p w:rsidR="00EF4B7B" w:rsidRDefault="00EF4B7B" w:rsidP="007C4104">
      <w:pPr>
        <w:widowControl/>
        <w:adjustRightInd/>
        <w:spacing w:line="360" w:lineRule="auto"/>
        <w:ind w:firstLine="1440"/>
      </w:pPr>
      <w:r>
        <w:t>Based upon the above reasoning, GTL’s Motion will be granted in the ordering paragraphs below.</w:t>
      </w:r>
    </w:p>
    <w:p w:rsidR="00EF4B7B" w:rsidRDefault="00EF4B7B" w:rsidP="007C4104">
      <w:pPr>
        <w:widowControl/>
        <w:adjustRightInd/>
        <w:spacing w:line="360" w:lineRule="auto"/>
        <w:ind w:firstLine="1440"/>
      </w:pPr>
    </w:p>
    <w:p w:rsidR="00EF4B7B" w:rsidRPr="00D7713D" w:rsidRDefault="00EF4B7B" w:rsidP="007C4104">
      <w:pPr>
        <w:tabs>
          <w:tab w:val="left" w:pos="1496"/>
        </w:tabs>
        <w:spacing w:line="360" w:lineRule="auto"/>
        <w:jc w:val="center"/>
        <w:outlineLvl w:val="0"/>
      </w:pPr>
      <w:r w:rsidRPr="00D7713D">
        <w:rPr>
          <w:u w:val="single"/>
        </w:rPr>
        <w:t>CONCLUSIONS OF LAW</w:t>
      </w:r>
    </w:p>
    <w:p w:rsidR="00EF4B7B" w:rsidRPr="00D7713D" w:rsidRDefault="00EF4B7B" w:rsidP="007C4104">
      <w:pPr>
        <w:tabs>
          <w:tab w:val="left" w:pos="1496"/>
        </w:tabs>
        <w:spacing w:line="360" w:lineRule="auto"/>
      </w:pPr>
    </w:p>
    <w:p w:rsidR="00EF4B7B" w:rsidRPr="00D7713D" w:rsidRDefault="00EF4B7B" w:rsidP="007C4104">
      <w:pPr>
        <w:tabs>
          <w:tab w:val="left" w:pos="1496"/>
          <w:tab w:val="left" w:pos="2239"/>
        </w:tabs>
        <w:spacing w:line="360" w:lineRule="auto"/>
        <w:ind w:firstLine="1496"/>
      </w:pPr>
      <w:r w:rsidRPr="00D7713D">
        <w:t>1.</w:t>
      </w:r>
      <w:r w:rsidRPr="00D7713D">
        <w:tab/>
        <w:t>The Commission has jurisdiction over the subject matter and the parties to this proceeding.</w:t>
      </w:r>
      <w:r>
        <w:t xml:space="preserve">  </w:t>
      </w:r>
      <w:proofErr w:type="gramStart"/>
      <w:r>
        <w:t xml:space="preserve">66 </w:t>
      </w:r>
      <w:proofErr w:type="spellStart"/>
      <w:r>
        <w:t>Pa.C.S</w:t>
      </w:r>
      <w:proofErr w:type="spellEnd"/>
      <w:r>
        <w:t>.</w:t>
      </w:r>
      <w:proofErr w:type="gramEnd"/>
      <w:r>
        <w:t xml:space="preserve"> § 701.</w:t>
      </w:r>
    </w:p>
    <w:p w:rsidR="00EF4B7B" w:rsidRPr="00D7713D" w:rsidRDefault="00EF4B7B" w:rsidP="007C4104">
      <w:pPr>
        <w:tabs>
          <w:tab w:val="left" w:pos="1496"/>
          <w:tab w:val="left" w:pos="2239"/>
        </w:tabs>
        <w:spacing w:line="360" w:lineRule="auto"/>
        <w:ind w:firstLine="1496"/>
      </w:pPr>
    </w:p>
    <w:p w:rsidR="00EF4B7B" w:rsidRPr="00CF2FB2" w:rsidRDefault="00EF4B7B" w:rsidP="007C4104">
      <w:pPr>
        <w:spacing w:line="360" w:lineRule="auto"/>
        <w:rPr>
          <w:szCs w:val="20"/>
        </w:rPr>
      </w:pPr>
      <w:r>
        <w:tab/>
      </w:r>
      <w:r>
        <w:tab/>
      </w:r>
      <w:r w:rsidRPr="00D7713D">
        <w:t>2.</w:t>
      </w:r>
      <w:r w:rsidRPr="00CF2FB2">
        <w:rPr>
          <w:szCs w:val="20"/>
        </w:rPr>
        <w:tab/>
        <w:t xml:space="preserve">The standard of review for both a motion for judgment on the pleadings and a motion for summary judgment is the same.  The moving party bears the burden of showing </w:t>
      </w:r>
      <w:r w:rsidRPr="00CF2FB2">
        <w:rPr>
          <w:szCs w:val="20"/>
        </w:rPr>
        <w:lastRenderedPageBreak/>
        <w:t xml:space="preserve">that no genuine issue of material fact exists and that it is entitled to a judgment as a matter of law.  The Commission must view the record in the light most favorable to the non-moving party, giving that party the benefit of all reasonable inferences.  </w:t>
      </w:r>
      <w:proofErr w:type="gramStart"/>
      <w:r w:rsidRPr="00CF2FB2">
        <w:rPr>
          <w:i/>
          <w:szCs w:val="20"/>
        </w:rPr>
        <w:t>First Mortgage Co. of Pennsylvania v.</w:t>
      </w:r>
      <w:proofErr w:type="gramEnd"/>
      <w:r w:rsidRPr="00CF2FB2">
        <w:rPr>
          <w:i/>
          <w:szCs w:val="20"/>
        </w:rPr>
        <w:t xml:space="preserve">  </w:t>
      </w:r>
      <w:proofErr w:type="gramStart"/>
      <w:r w:rsidRPr="00CF2FB2">
        <w:rPr>
          <w:i/>
          <w:szCs w:val="20"/>
        </w:rPr>
        <w:t>McCall</w:t>
      </w:r>
      <w:r w:rsidRPr="00CF2FB2">
        <w:rPr>
          <w:szCs w:val="20"/>
        </w:rPr>
        <w:t>, 459 A.2d 406 (</w:t>
      </w:r>
      <w:proofErr w:type="spellStart"/>
      <w:r w:rsidRPr="00CF2FB2">
        <w:rPr>
          <w:szCs w:val="20"/>
        </w:rPr>
        <w:t>Pa.Super</w:t>
      </w:r>
      <w:proofErr w:type="spellEnd"/>
      <w:r w:rsidRPr="00CF2FB2">
        <w:rPr>
          <w:szCs w:val="20"/>
        </w:rPr>
        <w:t xml:space="preserve">. 1983); </w:t>
      </w:r>
      <w:r w:rsidRPr="00CF2FB2">
        <w:rPr>
          <w:i/>
          <w:szCs w:val="20"/>
        </w:rPr>
        <w:t xml:space="preserve">Mertz v. </w:t>
      </w:r>
      <w:proofErr w:type="spellStart"/>
      <w:r w:rsidRPr="00CF2FB2">
        <w:rPr>
          <w:i/>
          <w:szCs w:val="20"/>
        </w:rPr>
        <w:t>Lakatos</w:t>
      </w:r>
      <w:proofErr w:type="spellEnd"/>
      <w:r w:rsidRPr="00CF2FB2">
        <w:rPr>
          <w:szCs w:val="20"/>
        </w:rPr>
        <w:t>, 381 A.2d 497 (</w:t>
      </w:r>
      <w:proofErr w:type="spellStart"/>
      <w:r w:rsidRPr="00CF2FB2">
        <w:rPr>
          <w:szCs w:val="20"/>
        </w:rPr>
        <w:t>Pa.Cmwlth</w:t>
      </w:r>
      <w:proofErr w:type="spellEnd"/>
      <w:r w:rsidRPr="00CF2FB2">
        <w:rPr>
          <w:szCs w:val="20"/>
        </w:rPr>
        <w:t>. 1976).</w:t>
      </w:r>
      <w:proofErr w:type="gramEnd"/>
      <w:r w:rsidRPr="00CF2FB2">
        <w:rPr>
          <w:szCs w:val="20"/>
        </w:rPr>
        <w:t xml:space="preserve">  </w:t>
      </w:r>
    </w:p>
    <w:p w:rsidR="00EF4B7B" w:rsidRDefault="00EF4B7B" w:rsidP="007C4104">
      <w:pPr>
        <w:tabs>
          <w:tab w:val="left" w:pos="1496"/>
          <w:tab w:val="left" w:pos="2239"/>
        </w:tabs>
        <w:spacing w:line="360" w:lineRule="auto"/>
        <w:ind w:firstLine="1496"/>
      </w:pPr>
    </w:p>
    <w:p w:rsidR="00EF4B7B" w:rsidRPr="00CF2FB2" w:rsidRDefault="00EF4B7B" w:rsidP="007C4104">
      <w:pPr>
        <w:spacing w:line="360" w:lineRule="auto"/>
      </w:pPr>
      <w:r>
        <w:tab/>
      </w:r>
      <w:r>
        <w:tab/>
        <w:t>3.</w:t>
      </w:r>
      <w:r w:rsidRPr="00CF2FB2">
        <w:tab/>
        <w:t>T</w:t>
      </w:r>
      <w:r w:rsidRPr="00CF2FB2">
        <w:rPr>
          <w:spacing w:val="-3"/>
        </w:rPr>
        <w:t xml:space="preserve">he Commission lacks jurisdiction to set rates for interexchange carriers.  </w:t>
      </w:r>
      <w:proofErr w:type="gramStart"/>
      <w:r w:rsidRPr="00CF2FB2">
        <w:t xml:space="preserve">66 </w:t>
      </w:r>
      <w:proofErr w:type="spellStart"/>
      <w:r w:rsidRPr="00CF2FB2">
        <w:t>Pa.C.S</w:t>
      </w:r>
      <w:proofErr w:type="spellEnd"/>
      <w:r w:rsidRPr="00CF2FB2">
        <w:t>.</w:t>
      </w:r>
      <w:proofErr w:type="gramEnd"/>
      <w:r w:rsidRPr="00CF2FB2">
        <w:t xml:space="preserve"> § 3018.</w:t>
      </w:r>
    </w:p>
    <w:p w:rsidR="00EF4B7B" w:rsidRPr="00CF2FB2" w:rsidRDefault="00EF4B7B" w:rsidP="007C4104">
      <w:pPr>
        <w:widowControl/>
        <w:adjustRightInd/>
        <w:spacing w:line="360" w:lineRule="auto"/>
      </w:pPr>
    </w:p>
    <w:p w:rsidR="00EF4B7B" w:rsidRDefault="00EF4B7B" w:rsidP="007C4104">
      <w:pPr>
        <w:widowControl/>
        <w:adjustRightInd/>
        <w:spacing w:line="360" w:lineRule="auto"/>
      </w:pPr>
      <w:r w:rsidRPr="00CF2FB2">
        <w:tab/>
      </w:r>
      <w:r w:rsidRPr="00CF2FB2">
        <w:tab/>
      </w:r>
      <w:r>
        <w:t>4</w:t>
      </w:r>
      <w:r w:rsidRPr="00CF2FB2">
        <w:t>.</w:t>
      </w:r>
      <w:r w:rsidRPr="00CF2FB2">
        <w:tab/>
      </w:r>
      <w:r w:rsidR="0057452E">
        <w:t xml:space="preserve">The </w:t>
      </w:r>
      <w:r w:rsidRPr="00CF2FB2">
        <w:t>Commission lacks jurisdiction to interpret contracts between DOC and the entity providing inmate telephone services.</w:t>
      </w:r>
      <w:r>
        <w:t xml:space="preserve"> </w:t>
      </w:r>
      <w:r w:rsidR="007C4104">
        <w:t xml:space="preserve"> </w:t>
      </w:r>
      <w:proofErr w:type="spellStart"/>
      <w:proofErr w:type="gramStart"/>
      <w:r w:rsidRPr="00F15476">
        <w:rPr>
          <w:i/>
          <w:color w:val="000000"/>
        </w:rPr>
        <w:t>Feigley</w:t>
      </w:r>
      <w:proofErr w:type="spellEnd"/>
      <w:r w:rsidRPr="00F15476">
        <w:rPr>
          <w:i/>
          <w:color w:val="000000"/>
        </w:rPr>
        <w:t xml:space="preserve"> v. AT&amp;T Communications of Pa., Inc.</w:t>
      </w:r>
      <w:r w:rsidRPr="00F15476">
        <w:rPr>
          <w:color w:val="000000"/>
        </w:rPr>
        <w:t>, Docket No.</w:t>
      </w:r>
      <w:proofErr w:type="gramEnd"/>
      <w:r w:rsidRPr="00F15476">
        <w:t xml:space="preserve"> </w:t>
      </w:r>
      <w:r w:rsidRPr="00F15476">
        <w:rPr>
          <w:color w:val="000000"/>
        </w:rPr>
        <w:t>C</w:t>
      </w:r>
      <w:r w:rsidRPr="00F15476">
        <w:rPr>
          <w:color w:val="000000"/>
        </w:rPr>
        <w:noBreakHyphen/>
        <w:t xml:space="preserve">00981434 (Order entered April 30, 2001); </w:t>
      </w:r>
      <w:r w:rsidRPr="00F15476">
        <w:rPr>
          <w:i/>
          <w:color w:val="000000"/>
        </w:rPr>
        <w:t>affirmed</w:t>
      </w:r>
      <w:r w:rsidRPr="00F15476">
        <w:rPr>
          <w:color w:val="000000"/>
        </w:rPr>
        <w:t xml:space="preserve">, </w:t>
      </w:r>
      <w:proofErr w:type="spellStart"/>
      <w:r w:rsidRPr="00F15476">
        <w:rPr>
          <w:i/>
          <w:color w:val="000000"/>
        </w:rPr>
        <w:t>Feigley</w:t>
      </w:r>
      <w:proofErr w:type="spellEnd"/>
      <w:r w:rsidRPr="00F15476">
        <w:rPr>
          <w:i/>
          <w:color w:val="000000"/>
        </w:rPr>
        <w:t xml:space="preserve">, et al. v. Pa. Pub. </w:t>
      </w:r>
      <w:proofErr w:type="gramStart"/>
      <w:r w:rsidRPr="00F15476">
        <w:rPr>
          <w:i/>
          <w:color w:val="000000"/>
        </w:rPr>
        <w:t xml:space="preserve">Util. </w:t>
      </w:r>
      <w:proofErr w:type="spellStart"/>
      <w:r w:rsidRPr="00F15476">
        <w:rPr>
          <w:i/>
          <w:color w:val="000000"/>
        </w:rPr>
        <w:t>Comm’n</w:t>
      </w:r>
      <w:proofErr w:type="spellEnd"/>
      <w:r w:rsidRPr="00F15476">
        <w:rPr>
          <w:color w:val="000000"/>
        </w:rPr>
        <w:t>, 794 A.2d 428 (</w:t>
      </w:r>
      <w:proofErr w:type="spellStart"/>
      <w:r w:rsidRPr="00F15476">
        <w:rPr>
          <w:color w:val="000000"/>
        </w:rPr>
        <w:t>Pa.Cmwlth</w:t>
      </w:r>
      <w:proofErr w:type="spellEnd"/>
      <w:r w:rsidRPr="00F15476">
        <w:rPr>
          <w:color w:val="000000"/>
        </w:rPr>
        <w:t xml:space="preserve">. 2002), </w:t>
      </w:r>
      <w:r w:rsidRPr="00F15476">
        <w:rPr>
          <w:i/>
          <w:color w:val="000000"/>
        </w:rPr>
        <w:t>appeal denied sub nom; C.U.R.E. of Pa. v. Pa. Pub.</w:t>
      </w:r>
      <w:proofErr w:type="gramEnd"/>
      <w:r w:rsidRPr="00F15476">
        <w:rPr>
          <w:i/>
          <w:color w:val="000000"/>
        </w:rPr>
        <w:t xml:space="preserve"> </w:t>
      </w:r>
      <w:proofErr w:type="gramStart"/>
      <w:r w:rsidRPr="00F15476">
        <w:rPr>
          <w:i/>
          <w:color w:val="000000"/>
        </w:rPr>
        <w:t xml:space="preserve">Util. </w:t>
      </w:r>
      <w:proofErr w:type="spellStart"/>
      <w:r w:rsidRPr="00F15476">
        <w:rPr>
          <w:i/>
          <w:color w:val="000000"/>
        </w:rPr>
        <w:t>Comm’n</w:t>
      </w:r>
      <w:proofErr w:type="spellEnd"/>
      <w:r w:rsidRPr="00F15476">
        <w:rPr>
          <w:color w:val="000000"/>
        </w:rPr>
        <w:t>, 569 Pa. 723, 806 A.2d 863 (2002).</w:t>
      </w:r>
      <w:proofErr w:type="gramEnd"/>
      <w:r w:rsidRPr="00F15476">
        <w:rPr>
          <w:color w:val="000000"/>
        </w:rPr>
        <w:t xml:space="preserve">  </w:t>
      </w:r>
    </w:p>
    <w:p w:rsidR="00EF4B7B" w:rsidRDefault="00EF4B7B" w:rsidP="007C4104">
      <w:pPr>
        <w:tabs>
          <w:tab w:val="left" w:pos="1496"/>
          <w:tab w:val="left" w:pos="2239"/>
        </w:tabs>
        <w:spacing w:line="360" w:lineRule="auto"/>
        <w:ind w:firstLine="1496"/>
      </w:pPr>
    </w:p>
    <w:p w:rsidR="00EF4B7B" w:rsidRPr="00CF2FB2" w:rsidRDefault="00EF4B7B" w:rsidP="007C4104">
      <w:pPr>
        <w:spacing w:line="360" w:lineRule="auto"/>
        <w:rPr>
          <w:szCs w:val="20"/>
        </w:rPr>
      </w:pPr>
      <w:r>
        <w:tab/>
      </w:r>
      <w:r>
        <w:tab/>
        <w:t>5.</w:t>
      </w:r>
      <w:r>
        <w:tab/>
      </w:r>
      <w:r w:rsidRPr="00CF2FB2">
        <w:rPr>
          <w:szCs w:val="20"/>
        </w:rPr>
        <w:t>Complainant ha</w:t>
      </w:r>
      <w:r>
        <w:rPr>
          <w:szCs w:val="20"/>
        </w:rPr>
        <w:t>s</w:t>
      </w:r>
      <w:r w:rsidRPr="00CF2FB2">
        <w:rPr>
          <w:szCs w:val="20"/>
        </w:rPr>
        <w:t xml:space="preserve"> raised no genuine issues of material fact in this proceeding which would defeat the </w:t>
      </w:r>
      <w:r>
        <w:rPr>
          <w:szCs w:val="20"/>
        </w:rPr>
        <w:t>Respondent</w:t>
      </w:r>
      <w:r w:rsidRPr="00CF2FB2">
        <w:rPr>
          <w:szCs w:val="20"/>
        </w:rPr>
        <w:t>’s preliminary motion.</w:t>
      </w:r>
    </w:p>
    <w:p w:rsidR="00EF4B7B" w:rsidRDefault="00EF4B7B" w:rsidP="007C4104">
      <w:pPr>
        <w:tabs>
          <w:tab w:val="left" w:pos="1496"/>
          <w:tab w:val="left" w:pos="2239"/>
        </w:tabs>
        <w:spacing w:line="360" w:lineRule="auto"/>
        <w:ind w:firstLine="1496"/>
      </w:pPr>
    </w:p>
    <w:p w:rsidR="00EF4B7B" w:rsidRPr="00D7713D" w:rsidRDefault="00EF4B7B" w:rsidP="007C4104">
      <w:pPr>
        <w:tabs>
          <w:tab w:val="left" w:pos="1496"/>
          <w:tab w:val="left" w:pos="2239"/>
        </w:tabs>
        <w:spacing w:line="360" w:lineRule="auto"/>
        <w:ind w:firstLine="1496"/>
      </w:pPr>
      <w:r>
        <w:t>6.</w:t>
      </w:r>
      <w:r>
        <w:tab/>
        <w:t xml:space="preserve">Section 703(a) of the Public Utility Code, </w:t>
      </w:r>
      <w:proofErr w:type="gramStart"/>
      <w:r>
        <w:t xml:space="preserve">66 </w:t>
      </w:r>
      <w:proofErr w:type="spellStart"/>
      <w:r>
        <w:t>Pa.C.S.A</w:t>
      </w:r>
      <w:proofErr w:type="spellEnd"/>
      <w:proofErr w:type="gramEnd"/>
      <w:r>
        <w:t xml:space="preserve">. § 703(a), provides for dismissal of a complaint without a hearing, if in the Commission’s opinion, a hearing is not necessary in the public interest.  </w:t>
      </w:r>
    </w:p>
    <w:p w:rsidR="00EF4B7B" w:rsidRDefault="00EF4B7B" w:rsidP="007C4104">
      <w:pPr>
        <w:tabs>
          <w:tab w:val="left" w:pos="1496"/>
          <w:tab w:val="left" w:pos="2239"/>
        </w:tabs>
        <w:spacing w:line="360" w:lineRule="auto"/>
        <w:jc w:val="center"/>
        <w:outlineLvl w:val="0"/>
        <w:rPr>
          <w:u w:val="single"/>
        </w:rPr>
      </w:pPr>
    </w:p>
    <w:p w:rsidR="00EF4B7B" w:rsidRPr="00D7713D" w:rsidRDefault="00EF4B7B" w:rsidP="007C4104">
      <w:pPr>
        <w:tabs>
          <w:tab w:val="left" w:pos="1496"/>
          <w:tab w:val="left" w:pos="2239"/>
        </w:tabs>
        <w:spacing w:line="360" w:lineRule="auto"/>
        <w:jc w:val="center"/>
        <w:outlineLvl w:val="0"/>
      </w:pPr>
      <w:r w:rsidRPr="00D7713D">
        <w:rPr>
          <w:u w:val="single"/>
        </w:rPr>
        <w:t>ORDER</w:t>
      </w:r>
    </w:p>
    <w:p w:rsidR="00EF4B7B" w:rsidRDefault="00EF4B7B" w:rsidP="007C4104">
      <w:pPr>
        <w:tabs>
          <w:tab w:val="left" w:pos="1496"/>
          <w:tab w:val="left" w:pos="2239"/>
        </w:tabs>
        <w:spacing w:line="360" w:lineRule="auto"/>
      </w:pPr>
    </w:p>
    <w:p w:rsidR="00EF4B7B" w:rsidRPr="00863BF7" w:rsidRDefault="00EF4B7B" w:rsidP="007C4104">
      <w:pPr>
        <w:tabs>
          <w:tab w:val="left" w:pos="1496"/>
        </w:tabs>
        <w:spacing w:line="360" w:lineRule="auto"/>
        <w:ind w:firstLine="1496"/>
      </w:pPr>
      <w:r w:rsidRPr="00863BF7">
        <w:t>THEREFORE,</w:t>
      </w:r>
    </w:p>
    <w:p w:rsidR="00EF4B7B" w:rsidRPr="00863BF7" w:rsidRDefault="00EF4B7B" w:rsidP="007C4104">
      <w:pPr>
        <w:tabs>
          <w:tab w:val="left" w:pos="1496"/>
        </w:tabs>
        <w:spacing w:line="360" w:lineRule="auto"/>
      </w:pPr>
    </w:p>
    <w:p w:rsidR="00EF4B7B" w:rsidRPr="00863BF7" w:rsidRDefault="00EF4B7B" w:rsidP="007C4104">
      <w:pPr>
        <w:tabs>
          <w:tab w:val="left" w:pos="1496"/>
        </w:tabs>
        <w:spacing w:line="360" w:lineRule="auto"/>
        <w:ind w:firstLine="1496"/>
      </w:pPr>
      <w:r w:rsidRPr="00863BF7">
        <w:t>IT IS ORDERED:</w:t>
      </w:r>
    </w:p>
    <w:p w:rsidR="00EF4B7B" w:rsidRPr="00863BF7" w:rsidRDefault="00EF4B7B" w:rsidP="007C4104">
      <w:pPr>
        <w:tabs>
          <w:tab w:val="left" w:pos="1496"/>
        </w:tabs>
        <w:spacing w:line="360" w:lineRule="auto"/>
      </w:pPr>
    </w:p>
    <w:p w:rsidR="00EF4B7B" w:rsidRPr="00863BF7" w:rsidRDefault="00EF4B7B" w:rsidP="007C4104">
      <w:pPr>
        <w:tabs>
          <w:tab w:val="left" w:pos="2160"/>
        </w:tabs>
        <w:spacing w:line="360" w:lineRule="auto"/>
        <w:ind w:firstLine="1440"/>
      </w:pPr>
      <w:r w:rsidRPr="00863BF7">
        <w:t>1.</w:t>
      </w:r>
      <w:r w:rsidRPr="00863BF7">
        <w:tab/>
        <w:t xml:space="preserve">That </w:t>
      </w:r>
      <w:r>
        <w:t xml:space="preserve">the Motion for Judgment on the Pleadings filed by Respondent Global Tel*Link Corporation in the matter of Darren </w:t>
      </w:r>
      <w:proofErr w:type="spellStart"/>
      <w:r>
        <w:t>Gentilquore</w:t>
      </w:r>
      <w:proofErr w:type="spellEnd"/>
      <w:r>
        <w:t xml:space="preserve"> v. Global Tel*Link Corporation at Docket No. C-2014-2436</w:t>
      </w:r>
      <w:r w:rsidR="00D13A23">
        <w:t>2</w:t>
      </w:r>
      <w:r>
        <w:t>27 is grant</w:t>
      </w:r>
      <w:r w:rsidRPr="00863BF7">
        <w:t>ed.</w:t>
      </w:r>
    </w:p>
    <w:p w:rsidR="00EF4B7B" w:rsidRPr="00863BF7" w:rsidRDefault="00EF4B7B" w:rsidP="007C4104">
      <w:pPr>
        <w:tabs>
          <w:tab w:val="left" w:pos="204"/>
          <w:tab w:val="left" w:pos="2160"/>
        </w:tabs>
        <w:spacing w:line="360" w:lineRule="auto"/>
        <w:ind w:firstLine="1440"/>
      </w:pPr>
    </w:p>
    <w:p w:rsidR="00EF4B7B" w:rsidRDefault="00EF4B7B" w:rsidP="007C4104">
      <w:pPr>
        <w:tabs>
          <w:tab w:val="left" w:pos="2160"/>
        </w:tabs>
        <w:spacing w:line="360" w:lineRule="auto"/>
        <w:ind w:firstLine="1440"/>
      </w:pPr>
      <w:r w:rsidRPr="00863BF7">
        <w:lastRenderedPageBreak/>
        <w:t>2.</w:t>
      </w:r>
      <w:r w:rsidRPr="00863BF7">
        <w:tab/>
        <w:t xml:space="preserve">That the </w:t>
      </w:r>
      <w:r>
        <w:t xml:space="preserve">Formal Complaint of Darren </w:t>
      </w:r>
      <w:proofErr w:type="spellStart"/>
      <w:r>
        <w:t>Gentilquore</w:t>
      </w:r>
      <w:proofErr w:type="spellEnd"/>
      <w:r>
        <w:t xml:space="preserve"> against </w:t>
      </w:r>
      <w:bookmarkStart w:id="0" w:name="_GoBack"/>
      <w:bookmarkEnd w:id="0"/>
      <w:r>
        <w:t>Global Tel*Link Corporation at Docket No. C-2014-2436</w:t>
      </w:r>
      <w:r w:rsidR="00D13A23">
        <w:t>2</w:t>
      </w:r>
      <w:r>
        <w:t>27 is dismissed</w:t>
      </w:r>
    </w:p>
    <w:p w:rsidR="00EF4B7B" w:rsidRPr="00863BF7" w:rsidRDefault="00EF4B7B" w:rsidP="007C4104">
      <w:pPr>
        <w:tabs>
          <w:tab w:val="left" w:pos="2160"/>
        </w:tabs>
        <w:spacing w:line="360" w:lineRule="auto"/>
        <w:ind w:firstLine="1440"/>
      </w:pPr>
    </w:p>
    <w:p w:rsidR="00EF4B7B" w:rsidRPr="00863BF7" w:rsidRDefault="00EF4B7B" w:rsidP="007C4104">
      <w:pPr>
        <w:tabs>
          <w:tab w:val="left" w:pos="2160"/>
        </w:tabs>
        <w:spacing w:line="360" w:lineRule="auto"/>
        <w:ind w:firstLine="1440"/>
      </w:pPr>
      <w:r w:rsidRPr="00863BF7">
        <w:t>3.</w:t>
      </w:r>
      <w:r w:rsidRPr="00863BF7">
        <w:tab/>
        <w:t xml:space="preserve">That the </w:t>
      </w:r>
      <w:r>
        <w:t xml:space="preserve">Secretary’s Bureau shall mark </w:t>
      </w:r>
      <w:r w:rsidRPr="00863BF7">
        <w:t xml:space="preserve">Docket No. </w:t>
      </w:r>
      <w:r>
        <w:t>C-2014-2436</w:t>
      </w:r>
      <w:r w:rsidR="00D13A23">
        <w:t>2</w:t>
      </w:r>
      <w:r>
        <w:t xml:space="preserve">27 </w:t>
      </w:r>
      <w:r w:rsidRPr="00863BF7">
        <w:t>closed.</w:t>
      </w:r>
    </w:p>
    <w:p w:rsidR="00EF4B7B" w:rsidRPr="00FA335B" w:rsidRDefault="00EF4B7B" w:rsidP="007C4104">
      <w:pPr>
        <w:keepLines/>
        <w:spacing w:line="360" w:lineRule="auto"/>
        <w:ind w:firstLine="1440"/>
        <w:rPr>
          <w:snapToGrid w:val="0"/>
        </w:rPr>
      </w:pPr>
    </w:p>
    <w:p w:rsidR="00EF4B7B" w:rsidRPr="00FA335B" w:rsidRDefault="00EF4B7B" w:rsidP="00EF4B7B">
      <w:pPr>
        <w:keepLines/>
        <w:spacing w:line="360" w:lineRule="auto"/>
        <w:ind w:firstLine="1440"/>
        <w:rPr>
          <w:snapToGrid w:val="0"/>
        </w:rPr>
      </w:pPr>
    </w:p>
    <w:p w:rsidR="00EF4B7B" w:rsidRPr="00FA335B" w:rsidRDefault="00EF4B7B" w:rsidP="00EF4B7B">
      <w:pPr>
        <w:keepLines/>
        <w:jc w:val="both"/>
        <w:rPr>
          <w:snapToGrid w:val="0"/>
          <w:u w:val="single"/>
        </w:rPr>
      </w:pPr>
      <w:r w:rsidRPr="00FA335B">
        <w:rPr>
          <w:snapToGrid w:val="0"/>
        </w:rPr>
        <w:t xml:space="preserve">Date:  </w:t>
      </w:r>
      <w:r w:rsidRPr="00122F0E">
        <w:rPr>
          <w:snapToGrid w:val="0"/>
          <w:u w:val="single"/>
        </w:rPr>
        <w:t>December 1</w:t>
      </w:r>
      <w:r w:rsidR="009D0F93">
        <w:rPr>
          <w:snapToGrid w:val="0"/>
          <w:u w:val="single"/>
        </w:rPr>
        <w:t>1</w:t>
      </w:r>
      <w:r w:rsidRPr="006E72CB">
        <w:rPr>
          <w:snapToGrid w:val="0"/>
          <w:u w:val="single"/>
        </w:rPr>
        <w:t>,</w:t>
      </w:r>
      <w:r w:rsidRPr="00FA335B">
        <w:rPr>
          <w:snapToGrid w:val="0"/>
          <w:u w:val="single"/>
        </w:rPr>
        <w:t xml:space="preserve"> 201</w:t>
      </w:r>
      <w:r>
        <w:rPr>
          <w:snapToGrid w:val="0"/>
          <w:u w:val="single"/>
        </w:rPr>
        <w:t>4</w:t>
      </w:r>
      <w:r w:rsidRPr="00FA335B">
        <w:rPr>
          <w:snapToGrid w:val="0"/>
        </w:rPr>
        <w:tab/>
      </w:r>
      <w:r w:rsidRPr="00FA335B">
        <w:rPr>
          <w:snapToGrid w:val="0"/>
        </w:rPr>
        <w:tab/>
      </w:r>
      <w:r w:rsidRPr="00FA335B">
        <w:rPr>
          <w:snapToGrid w:val="0"/>
        </w:rPr>
        <w:tab/>
      </w:r>
      <w:r w:rsidRPr="00FA335B">
        <w:rPr>
          <w:snapToGrid w:val="0"/>
        </w:rPr>
        <w:tab/>
      </w:r>
      <w:r w:rsidRPr="00FA335B">
        <w:rPr>
          <w:snapToGrid w:val="0"/>
          <w:u w:val="single"/>
        </w:rPr>
        <w:t xml:space="preserve">                        </w:t>
      </w:r>
      <w:r>
        <w:rPr>
          <w:snapToGrid w:val="0"/>
          <w:u w:val="single"/>
        </w:rPr>
        <w:t xml:space="preserve">  </w:t>
      </w:r>
      <w:r w:rsidRPr="00FA335B">
        <w:rPr>
          <w:snapToGrid w:val="0"/>
          <w:u w:val="single"/>
        </w:rPr>
        <w:t xml:space="preserve"> /s/</w:t>
      </w:r>
      <w:r w:rsidRPr="00FA335B">
        <w:rPr>
          <w:snapToGrid w:val="0"/>
          <w:u w:val="single"/>
        </w:rPr>
        <w:tab/>
      </w:r>
      <w:r w:rsidRPr="00FA335B">
        <w:rPr>
          <w:snapToGrid w:val="0"/>
          <w:u w:val="single"/>
        </w:rPr>
        <w:tab/>
      </w:r>
      <w:r w:rsidRPr="00FA335B">
        <w:rPr>
          <w:snapToGrid w:val="0"/>
          <w:u w:val="single"/>
        </w:rPr>
        <w:tab/>
        <w:t xml:space="preserve">                                 </w:t>
      </w:r>
    </w:p>
    <w:p w:rsidR="00EF4B7B" w:rsidRPr="00FA335B" w:rsidRDefault="00EF4B7B" w:rsidP="00EF4B7B">
      <w:pPr>
        <w:keepLines/>
        <w:jc w:val="both"/>
        <w:rPr>
          <w:snapToGrid w:val="0"/>
        </w:rPr>
      </w:pPr>
      <w:r w:rsidRPr="00FA335B">
        <w:rPr>
          <w:snapToGrid w:val="0"/>
        </w:rPr>
        <w:tab/>
      </w:r>
      <w:r w:rsidRPr="00FA335B">
        <w:rPr>
          <w:snapToGrid w:val="0"/>
        </w:rPr>
        <w:tab/>
      </w:r>
      <w:r w:rsidRPr="00FA335B">
        <w:rPr>
          <w:snapToGrid w:val="0"/>
        </w:rPr>
        <w:tab/>
      </w:r>
      <w:r w:rsidRPr="00FA335B">
        <w:rPr>
          <w:snapToGrid w:val="0"/>
        </w:rPr>
        <w:tab/>
      </w:r>
      <w:r w:rsidRPr="00FA335B">
        <w:rPr>
          <w:snapToGrid w:val="0"/>
        </w:rPr>
        <w:tab/>
      </w:r>
      <w:r w:rsidRPr="00FA335B">
        <w:rPr>
          <w:snapToGrid w:val="0"/>
        </w:rPr>
        <w:tab/>
      </w:r>
      <w:r w:rsidRPr="00FA335B">
        <w:rPr>
          <w:snapToGrid w:val="0"/>
        </w:rPr>
        <w:tab/>
        <w:t>Conrad A. Johnson</w:t>
      </w:r>
    </w:p>
    <w:p w:rsidR="00EF4B7B" w:rsidRPr="00FA335B" w:rsidRDefault="00EF4B7B" w:rsidP="00EF4B7B">
      <w:pPr>
        <w:keepLines/>
        <w:jc w:val="both"/>
        <w:rPr>
          <w:snapToGrid w:val="0"/>
        </w:rPr>
      </w:pPr>
      <w:r w:rsidRPr="00FA335B">
        <w:rPr>
          <w:snapToGrid w:val="0"/>
        </w:rPr>
        <w:tab/>
      </w:r>
      <w:r w:rsidRPr="00FA335B">
        <w:rPr>
          <w:snapToGrid w:val="0"/>
        </w:rPr>
        <w:tab/>
      </w:r>
      <w:r w:rsidRPr="00FA335B">
        <w:rPr>
          <w:snapToGrid w:val="0"/>
        </w:rPr>
        <w:tab/>
      </w:r>
      <w:r w:rsidRPr="00FA335B">
        <w:rPr>
          <w:snapToGrid w:val="0"/>
        </w:rPr>
        <w:tab/>
      </w:r>
      <w:r w:rsidRPr="00FA335B">
        <w:rPr>
          <w:snapToGrid w:val="0"/>
        </w:rPr>
        <w:tab/>
      </w:r>
      <w:r w:rsidRPr="00FA335B">
        <w:rPr>
          <w:snapToGrid w:val="0"/>
        </w:rPr>
        <w:tab/>
      </w:r>
      <w:r w:rsidRPr="00FA335B">
        <w:rPr>
          <w:snapToGrid w:val="0"/>
        </w:rPr>
        <w:tab/>
        <w:t>Administrative Law Judge</w:t>
      </w:r>
    </w:p>
    <w:p w:rsidR="00EF4B7B" w:rsidRPr="00D026FD" w:rsidRDefault="00EF4B7B" w:rsidP="00EF4B7B">
      <w:pPr>
        <w:pStyle w:val="p10"/>
        <w:tabs>
          <w:tab w:val="clear" w:pos="1496"/>
          <w:tab w:val="clear" w:pos="2239"/>
          <w:tab w:val="left" w:pos="2160"/>
        </w:tabs>
        <w:spacing w:line="360" w:lineRule="auto"/>
        <w:ind w:firstLine="1440"/>
        <w:rPr>
          <w:b/>
          <w:bCs/>
        </w:rPr>
      </w:pPr>
    </w:p>
    <w:p w:rsidR="00EF4B7B" w:rsidRPr="00D026FD" w:rsidRDefault="00EF4B7B" w:rsidP="00EF4B7B">
      <w:pPr>
        <w:tabs>
          <w:tab w:val="left" w:pos="1496"/>
          <w:tab w:val="left" w:pos="2239"/>
        </w:tabs>
        <w:spacing w:line="360" w:lineRule="auto"/>
        <w:rPr>
          <w:b/>
          <w:bCs/>
        </w:rPr>
      </w:pPr>
    </w:p>
    <w:p w:rsidR="00EF4B7B" w:rsidRDefault="00EF4B7B" w:rsidP="00EF4B7B"/>
    <w:p w:rsidR="00EA6781" w:rsidRDefault="00EA6781" w:rsidP="00D72D7B">
      <w:pPr>
        <w:pStyle w:val="Default"/>
        <w:spacing w:line="360" w:lineRule="auto"/>
        <w:ind w:left="1440" w:right="1080"/>
      </w:pPr>
    </w:p>
    <w:p w:rsidR="00EA6781" w:rsidRDefault="00EA6781" w:rsidP="001823F6">
      <w:pPr>
        <w:pStyle w:val="Default"/>
        <w:spacing w:after="303"/>
        <w:ind w:left="1440" w:right="1080"/>
      </w:pPr>
    </w:p>
    <w:p w:rsidR="00EA6781" w:rsidRDefault="00EA6781" w:rsidP="001823F6">
      <w:pPr>
        <w:pStyle w:val="Default"/>
        <w:spacing w:after="303"/>
        <w:ind w:left="1440" w:right="1080"/>
      </w:pPr>
    </w:p>
    <w:sectPr w:rsidR="00EA6781" w:rsidSect="00D026FD">
      <w:footerReference w:type="even" r:id="rId8"/>
      <w:footerReference w:type="default" r:id="rId9"/>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45C" w:rsidRDefault="008E345C">
      <w:r>
        <w:separator/>
      </w:r>
    </w:p>
  </w:endnote>
  <w:endnote w:type="continuationSeparator" w:id="0">
    <w:p w:rsidR="008E345C" w:rsidRDefault="008E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2A3" w:rsidRDefault="00C532A3" w:rsidP="00A34E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32A3" w:rsidRDefault="00C532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2A3" w:rsidRPr="009805C9" w:rsidRDefault="00C532A3" w:rsidP="00A34EBD">
    <w:pPr>
      <w:pStyle w:val="Footer"/>
      <w:framePr w:wrap="around" w:vAnchor="text" w:hAnchor="margin" w:xAlign="center" w:y="1"/>
      <w:rPr>
        <w:rStyle w:val="PageNumber"/>
        <w:sz w:val="20"/>
        <w:szCs w:val="20"/>
      </w:rPr>
    </w:pPr>
    <w:r w:rsidRPr="009805C9">
      <w:rPr>
        <w:rStyle w:val="PageNumber"/>
        <w:sz w:val="20"/>
        <w:szCs w:val="20"/>
      </w:rPr>
      <w:fldChar w:fldCharType="begin"/>
    </w:r>
    <w:r w:rsidRPr="009805C9">
      <w:rPr>
        <w:rStyle w:val="PageNumber"/>
        <w:sz w:val="20"/>
        <w:szCs w:val="20"/>
      </w:rPr>
      <w:instrText xml:space="preserve">PAGE  </w:instrText>
    </w:r>
    <w:r w:rsidRPr="009805C9">
      <w:rPr>
        <w:rStyle w:val="PageNumber"/>
        <w:sz w:val="20"/>
        <w:szCs w:val="20"/>
      </w:rPr>
      <w:fldChar w:fldCharType="separate"/>
    </w:r>
    <w:r w:rsidR="0057452E">
      <w:rPr>
        <w:rStyle w:val="PageNumber"/>
        <w:noProof/>
        <w:sz w:val="20"/>
        <w:szCs w:val="20"/>
      </w:rPr>
      <w:t>11</w:t>
    </w:r>
    <w:r w:rsidRPr="009805C9">
      <w:rPr>
        <w:rStyle w:val="PageNumber"/>
        <w:sz w:val="20"/>
        <w:szCs w:val="20"/>
      </w:rPr>
      <w:fldChar w:fldCharType="end"/>
    </w:r>
  </w:p>
  <w:p w:rsidR="00C532A3" w:rsidRDefault="00C53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45C" w:rsidRDefault="008E345C">
      <w:r>
        <w:separator/>
      </w:r>
    </w:p>
  </w:footnote>
  <w:footnote w:type="continuationSeparator" w:id="0">
    <w:p w:rsidR="008E345C" w:rsidRDefault="008E345C">
      <w:r>
        <w:continuationSeparator/>
      </w:r>
    </w:p>
  </w:footnote>
  <w:footnote w:id="1">
    <w:p w:rsidR="00557CBB" w:rsidRDefault="00557CBB">
      <w:pPr>
        <w:pStyle w:val="FootnoteText"/>
      </w:pPr>
      <w:r>
        <w:tab/>
      </w:r>
      <w:r>
        <w:rPr>
          <w:rStyle w:val="FootnoteReference"/>
        </w:rPr>
        <w:footnoteRef/>
      </w:r>
      <w:r>
        <w:tab/>
        <w:t xml:space="preserve">When Mr. </w:t>
      </w:r>
      <w:proofErr w:type="spellStart"/>
      <w:r>
        <w:t>Gentilquore</w:t>
      </w:r>
      <w:proofErr w:type="spellEnd"/>
      <w:r>
        <w:t xml:space="preserve"> filed his complaint he was an inmate at the State Cor</w:t>
      </w:r>
      <w:r w:rsidR="00DE7A2F">
        <w:t>r</w:t>
      </w:r>
      <w:r>
        <w:t>ectional Institute</w:t>
      </w:r>
      <w:r w:rsidR="00BA4A93">
        <w:t xml:space="preserve"> at </w:t>
      </w:r>
      <w:r>
        <w:t>Fayette</w:t>
      </w:r>
      <w:r w:rsidR="00DE7A2F">
        <w:t xml:space="preserve">. </w:t>
      </w:r>
      <w:r w:rsidR="003F5A6E">
        <w:t xml:space="preserve"> </w:t>
      </w:r>
      <w:proofErr w:type="gramStart"/>
      <w:r w:rsidR="00DE7A2F">
        <w:t>Complaint ¶ 1.</w:t>
      </w:r>
      <w:proofErr w:type="gramEnd"/>
      <w:r>
        <w:t xml:space="preserve"> </w:t>
      </w:r>
    </w:p>
  </w:footnote>
  <w:footnote w:id="2">
    <w:p w:rsidR="00A96784" w:rsidRDefault="00A96784">
      <w:pPr>
        <w:pStyle w:val="FootnoteText"/>
      </w:pPr>
      <w:r>
        <w:tab/>
      </w:r>
      <w:r>
        <w:rPr>
          <w:rStyle w:val="FootnoteReference"/>
        </w:rPr>
        <w:footnoteRef/>
      </w:r>
      <w:r>
        <w:t xml:space="preserve"> </w:t>
      </w:r>
      <w:r>
        <w:tab/>
      </w:r>
      <w:proofErr w:type="gramStart"/>
      <w:r>
        <w:t>Local Access Transport Area (LATA).</w:t>
      </w:r>
      <w:proofErr w:type="gramEnd"/>
    </w:p>
  </w:footnote>
  <w:footnote w:id="3">
    <w:p w:rsidR="001C2FAD" w:rsidRDefault="001C2FAD" w:rsidP="001C2FAD">
      <w:pPr>
        <w:pStyle w:val="FootnoteText"/>
      </w:pPr>
      <w:r>
        <w:tab/>
      </w:r>
      <w:r>
        <w:rPr>
          <w:rStyle w:val="FootnoteReference"/>
        </w:rPr>
        <w:footnoteRef/>
      </w:r>
      <w:r>
        <w:t xml:space="preserve"> </w:t>
      </w:r>
      <w:r>
        <w:tab/>
      </w:r>
      <w:r w:rsidRPr="006F324A">
        <w:rPr>
          <w:i/>
        </w:rPr>
        <w:t xml:space="preserve">Application of Global </w:t>
      </w:r>
      <w:proofErr w:type="spellStart"/>
      <w:r w:rsidRPr="006F324A">
        <w:rPr>
          <w:i/>
        </w:rPr>
        <w:t>Telcoin</w:t>
      </w:r>
      <w:proofErr w:type="spellEnd"/>
      <w:r w:rsidRPr="006F324A">
        <w:rPr>
          <w:i/>
        </w:rPr>
        <w:t xml:space="preserve">, Inc. to Operate as a Provider of Institutional Telecommunications Services and Alternate Operator Services </w:t>
      </w:r>
      <w:proofErr w:type="gramStart"/>
      <w:r w:rsidRPr="006F324A">
        <w:rPr>
          <w:i/>
        </w:rPr>
        <w:t>Within</w:t>
      </w:r>
      <w:proofErr w:type="gramEnd"/>
      <w:r w:rsidRPr="006F324A">
        <w:rPr>
          <w:i/>
        </w:rPr>
        <w:t xml:space="preserve"> the State of Pennsylvania</w:t>
      </w:r>
      <w:r>
        <w:t xml:space="preserve">.  Docket No. </w:t>
      </w:r>
      <w:proofErr w:type="gramStart"/>
      <w:r>
        <w:t>A-310152 (Order entered August 16, 1994); Motion ¶ 18.</w:t>
      </w:r>
      <w:proofErr w:type="gramEnd"/>
      <w:r>
        <w:t xml:space="preserve">  Global </w:t>
      </w:r>
      <w:proofErr w:type="spellStart"/>
      <w:r>
        <w:t>Telcoin</w:t>
      </w:r>
      <w:proofErr w:type="spellEnd"/>
      <w:r>
        <w:t>, Inc.</w:t>
      </w:r>
      <w:r w:rsidR="002C3D48">
        <w:t xml:space="preserve"> </w:t>
      </w:r>
      <w:r>
        <w:t xml:space="preserve">was GTL’s predecessor.  </w:t>
      </w:r>
    </w:p>
  </w:footnote>
  <w:footnote w:id="4">
    <w:p w:rsidR="001C2FAD" w:rsidRDefault="001C2FAD">
      <w:pPr>
        <w:pStyle w:val="FootnoteText"/>
      </w:pPr>
    </w:p>
    <w:p w:rsidR="001C2FAD" w:rsidRDefault="00D72D7B">
      <w:pPr>
        <w:pStyle w:val="FootnoteText"/>
      </w:pPr>
      <w:r>
        <w:tab/>
      </w:r>
      <w:r w:rsidR="001C2FAD">
        <w:rPr>
          <w:rStyle w:val="FootnoteReference"/>
        </w:rPr>
        <w:footnoteRef/>
      </w:r>
      <w:r w:rsidR="001C2FAD">
        <w:tab/>
      </w:r>
      <w:r w:rsidR="00025882">
        <w:t xml:space="preserve">Id. </w:t>
      </w:r>
      <w:r w:rsidR="001C2FAD">
        <w:t xml:space="preserve"> </w:t>
      </w:r>
    </w:p>
  </w:footnote>
  <w:footnote w:id="5">
    <w:p w:rsidR="00DB1593" w:rsidRDefault="00DB1593">
      <w:pPr>
        <w:pStyle w:val="FootnoteText"/>
      </w:pPr>
      <w:r>
        <w:tab/>
      </w:r>
      <w:r>
        <w:rPr>
          <w:rStyle w:val="FootnoteReference"/>
        </w:rPr>
        <w:footnoteRef/>
      </w:r>
      <w:r>
        <w:t xml:space="preserve"> </w:t>
      </w:r>
      <w:r>
        <w:tab/>
        <w:t>Alternat</w:t>
      </w:r>
      <w:r w:rsidR="004854F1">
        <w:t>e</w:t>
      </w:r>
      <w:r>
        <w:t xml:space="preserve"> Form of Regulation of Telecommunications Services,</w:t>
      </w:r>
    </w:p>
  </w:footnote>
  <w:footnote w:id="6">
    <w:p w:rsidR="00E344FF" w:rsidRDefault="00E344FF">
      <w:pPr>
        <w:pStyle w:val="FootnoteText"/>
      </w:pPr>
      <w:r>
        <w:tab/>
      </w:r>
      <w:r>
        <w:tab/>
      </w:r>
    </w:p>
    <w:p w:rsidR="00E344FF" w:rsidRDefault="00D72D7B">
      <w:pPr>
        <w:pStyle w:val="FootnoteText"/>
      </w:pPr>
      <w:r>
        <w:tab/>
      </w:r>
      <w:r w:rsidR="00E344FF">
        <w:rPr>
          <w:rStyle w:val="FootnoteReference"/>
        </w:rPr>
        <w:footnoteRef/>
      </w:r>
      <w:r w:rsidR="00E344FF">
        <w:tab/>
        <w:t>Competitive Local Exchange Carriers</w:t>
      </w:r>
    </w:p>
  </w:footnote>
  <w:footnote w:id="7">
    <w:p w:rsidR="00E344FF" w:rsidRDefault="00E344FF">
      <w:pPr>
        <w:pStyle w:val="FootnoteText"/>
      </w:pPr>
    </w:p>
    <w:p w:rsidR="00E344FF" w:rsidRDefault="00D72D7B">
      <w:pPr>
        <w:pStyle w:val="FootnoteText"/>
      </w:pPr>
      <w:r>
        <w:tab/>
      </w:r>
      <w:r w:rsidR="00E344FF">
        <w:rPr>
          <w:rStyle w:val="FootnoteReference"/>
        </w:rPr>
        <w:footnoteRef/>
      </w:r>
      <w:r w:rsidR="00E344FF">
        <w:tab/>
      </w:r>
      <w:r w:rsidR="0014774D">
        <w:t>Incumbent Local Exchange Carriers</w:t>
      </w:r>
    </w:p>
    <w:p w:rsidR="00E344FF" w:rsidRDefault="00E344FF">
      <w:pPr>
        <w:pStyle w:val="FootnoteText"/>
      </w:pPr>
      <w:r>
        <w:t xml:space="preserve"> </w:t>
      </w:r>
    </w:p>
  </w:footnote>
  <w:footnote w:id="8">
    <w:p w:rsidR="00E344FF" w:rsidRDefault="00E344FF">
      <w:pPr>
        <w:pStyle w:val="FootnoteText"/>
      </w:pPr>
      <w:r>
        <w:tab/>
      </w:r>
      <w:r>
        <w:rPr>
          <w:rStyle w:val="FootnoteReference"/>
        </w:rPr>
        <w:footnoteRef/>
      </w:r>
      <w:r>
        <w:tab/>
        <w:t xml:space="preserve">GLT’s Exhibit is a chart listing the inmate calling rates for local, intrastate and interstate calls.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4B7"/>
    <w:rsid w:val="000115D3"/>
    <w:rsid w:val="00012589"/>
    <w:rsid w:val="00025882"/>
    <w:rsid w:val="00070B25"/>
    <w:rsid w:val="0007395E"/>
    <w:rsid w:val="00077DAE"/>
    <w:rsid w:val="00094106"/>
    <w:rsid w:val="00126C68"/>
    <w:rsid w:val="00127964"/>
    <w:rsid w:val="001328F9"/>
    <w:rsid w:val="0014774D"/>
    <w:rsid w:val="00153F65"/>
    <w:rsid w:val="0017175C"/>
    <w:rsid w:val="00180192"/>
    <w:rsid w:val="001823F6"/>
    <w:rsid w:val="001A01BD"/>
    <w:rsid w:val="001B5A0F"/>
    <w:rsid w:val="001C2FAD"/>
    <w:rsid w:val="001C5F02"/>
    <w:rsid w:val="001D15E7"/>
    <w:rsid w:val="001E7940"/>
    <w:rsid w:val="001F4838"/>
    <w:rsid w:val="00204401"/>
    <w:rsid w:val="00205E8D"/>
    <w:rsid w:val="002949EE"/>
    <w:rsid w:val="002B5A4A"/>
    <w:rsid w:val="002C3D48"/>
    <w:rsid w:val="002C7B12"/>
    <w:rsid w:val="002D2106"/>
    <w:rsid w:val="002E3844"/>
    <w:rsid w:val="002E65F3"/>
    <w:rsid w:val="00302B23"/>
    <w:rsid w:val="00306BCC"/>
    <w:rsid w:val="00310F8D"/>
    <w:rsid w:val="00316E86"/>
    <w:rsid w:val="003673C4"/>
    <w:rsid w:val="003824B7"/>
    <w:rsid w:val="003841DE"/>
    <w:rsid w:val="003A6A09"/>
    <w:rsid w:val="003C095D"/>
    <w:rsid w:val="003D12AF"/>
    <w:rsid w:val="003E5905"/>
    <w:rsid w:val="003F52AD"/>
    <w:rsid w:val="003F5A6E"/>
    <w:rsid w:val="00405E87"/>
    <w:rsid w:val="00426ACF"/>
    <w:rsid w:val="00475D91"/>
    <w:rsid w:val="0047719B"/>
    <w:rsid w:val="00484312"/>
    <w:rsid w:val="004854F1"/>
    <w:rsid w:val="00485C90"/>
    <w:rsid w:val="004973A1"/>
    <w:rsid w:val="004A2DBB"/>
    <w:rsid w:val="004B0253"/>
    <w:rsid w:val="004B7E1F"/>
    <w:rsid w:val="004D6A61"/>
    <w:rsid w:val="004F44D5"/>
    <w:rsid w:val="0052144E"/>
    <w:rsid w:val="00554B7C"/>
    <w:rsid w:val="00557CBB"/>
    <w:rsid w:val="0057452E"/>
    <w:rsid w:val="00592228"/>
    <w:rsid w:val="005A45EE"/>
    <w:rsid w:val="005C1257"/>
    <w:rsid w:val="005D17ED"/>
    <w:rsid w:val="005E0BA1"/>
    <w:rsid w:val="005E44BF"/>
    <w:rsid w:val="005F6F40"/>
    <w:rsid w:val="006000FD"/>
    <w:rsid w:val="006026A5"/>
    <w:rsid w:val="006046B4"/>
    <w:rsid w:val="00626BF9"/>
    <w:rsid w:val="0063268F"/>
    <w:rsid w:val="0063373C"/>
    <w:rsid w:val="00636F1C"/>
    <w:rsid w:val="00691D60"/>
    <w:rsid w:val="006C3BE4"/>
    <w:rsid w:val="006C5E12"/>
    <w:rsid w:val="006E72CB"/>
    <w:rsid w:val="006F1C34"/>
    <w:rsid w:val="006F324A"/>
    <w:rsid w:val="006F4A2A"/>
    <w:rsid w:val="0071189F"/>
    <w:rsid w:val="00714600"/>
    <w:rsid w:val="00731311"/>
    <w:rsid w:val="0073254B"/>
    <w:rsid w:val="007662C9"/>
    <w:rsid w:val="00771174"/>
    <w:rsid w:val="00781534"/>
    <w:rsid w:val="00782B53"/>
    <w:rsid w:val="00786FE9"/>
    <w:rsid w:val="007A298A"/>
    <w:rsid w:val="007C4104"/>
    <w:rsid w:val="007D3E55"/>
    <w:rsid w:val="007D6DC7"/>
    <w:rsid w:val="007D706C"/>
    <w:rsid w:val="007F08FA"/>
    <w:rsid w:val="007F225A"/>
    <w:rsid w:val="008028A9"/>
    <w:rsid w:val="008106AE"/>
    <w:rsid w:val="0083209F"/>
    <w:rsid w:val="00834DC6"/>
    <w:rsid w:val="008567D7"/>
    <w:rsid w:val="00870AF7"/>
    <w:rsid w:val="00877B25"/>
    <w:rsid w:val="008930D5"/>
    <w:rsid w:val="00897C48"/>
    <w:rsid w:val="008B4783"/>
    <w:rsid w:val="008B5B3E"/>
    <w:rsid w:val="008D1FA3"/>
    <w:rsid w:val="008D66C4"/>
    <w:rsid w:val="008E345C"/>
    <w:rsid w:val="009068D7"/>
    <w:rsid w:val="00915AB0"/>
    <w:rsid w:val="00917924"/>
    <w:rsid w:val="009313E1"/>
    <w:rsid w:val="009452CF"/>
    <w:rsid w:val="0096081A"/>
    <w:rsid w:val="009805C9"/>
    <w:rsid w:val="009939F4"/>
    <w:rsid w:val="00993DC1"/>
    <w:rsid w:val="009B329C"/>
    <w:rsid w:val="009D0F93"/>
    <w:rsid w:val="00A34EBD"/>
    <w:rsid w:val="00A3668B"/>
    <w:rsid w:val="00A54FA8"/>
    <w:rsid w:val="00A613D8"/>
    <w:rsid w:val="00A70A55"/>
    <w:rsid w:val="00A73261"/>
    <w:rsid w:val="00A91120"/>
    <w:rsid w:val="00A916DD"/>
    <w:rsid w:val="00A96784"/>
    <w:rsid w:val="00AA1B77"/>
    <w:rsid w:val="00AA4D1E"/>
    <w:rsid w:val="00AB115E"/>
    <w:rsid w:val="00AE0A12"/>
    <w:rsid w:val="00AE10FC"/>
    <w:rsid w:val="00AE4074"/>
    <w:rsid w:val="00AF2809"/>
    <w:rsid w:val="00B050CF"/>
    <w:rsid w:val="00B05953"/>
    <w:rsid w:val="00B11719"/>
    <w:rsid w:val="00B22903"/>
    <w:rsid w:val="00B23421"/>
    <w:rsid w:val="00B75052"/>
    <w:rsid w:val="00B97666"/>
    <w:rsid w:val="00BA4A93"/>
    <w:rsid w:val="00BC7182"/>
    <w:rsid w:val="00BE6A6D"/>
    <w:rsid w:val="00C127E0"/>
    <w:rsid w:val="00C14664"/>
    <w:rsid w:val="00C26BED"/>
    <w:rsid w:val="00C33C9A"/>
    <w:rsid w:val="00C50806"/>
    <w:rsid w:val="00C532A3"/>
    <w:rsid w:val="00C673B1"/>
    <w:rsid w:val="00C844A3"/>
    <w:rsid w:val="00C91082"/>
    <w:rsid w:val="00CA3E2E"/>
    <w:rsid w:val="00CB1C88"/>
    <w:rsid w:val="00CE19C2"/>
    <w:rsid w:val="00CF0C4E"/>
    <w:rsid w:val="00CF4C26"/>
    <w:rsid w:val="00D026FD"/>
    <w:rsid w:val="00D04475"/>
    <w:rsid w:val="00D12308"/>
    <w:rsid w:val="00D13A23"/>
    <w:rsid w:val="00D323FB"/>
    <w:rsid w:val="00D34A98"/>
    <w:rsid w:val="00D72D7B"/>
    <w:rsid w:val="00D866E0"/>
    <w:rsid w:val="00DA6FE7"/>
    <w:rsid w:val="00DB1593"/>
    <w:rsid w:val="00DC2682"/>
    <w:rsid w:val="00DD3BEF"/>
    <w:rsid w:val="00DE4AAD"/>
    <w:rsid w:val="00DE7A2F"/>
    <w:rsid w:val="00DF2B4D"/>
    <w:rsid w:val="00E04CAA"/>
    <w:rsid w:val="00E258E6"/>
    <w:rsid w:val="00E320B3"/>
    <w:rsid w:val="00E344FF"/>
    <w:rsid w:val="00E40DFD"/>
    <w:rsid w:val="00E77DDB"/>
    <w:rsid w:val="00E85991"/>
    <w:rsid w:val="00E87640"/>
    <w:rsid w:val="00EA6781"/>
    <w:rsid w:val="00EB0872"/>
    <w:rsid w:val="00EB4161"/>
    <w:rsid w:val="00EC603D"/>
    <w:rsid w:val="00ED2A87"/>
    <w:rsid w:val="00EF4B7B"/>
    <w:rsid w:val="00F15476"/>
    <w:rsid w:val="00F270FB"/>
    <w:rsid w:val="00F32E80"/>
    <w:rsid w:val="00F364E7"/>
    <w:rsid w:val="00F36C60"/>
    <w:rsid w:val="00F405F0"/>
    <w:rsid w:val="00F4256F"/>
    <w:rsid w:val="00F67AD7"/>
    <w:rsid w:val="00F67B63"/>
    <w:rsid w:val="00F72522"/>
    <w:rsid w:val="00F77055"/>
    <w:rsid w:val="00FA390D"/>
    <w:rsid w:val="00FA6C41"/>
    <w:rsid w:val="00FD4F7A"/>
    <w:rsid w:val="00FF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204"/>
      </w:tabs>
      <w:jc w:val="both"/>
    </w:pPr>
  </w:style>
  <w:style w:type="paragraph" w:customStyle="1" w:styleId="p4">
    <w:name w:val="p4"/>
    <w:basedOn w:val="Normal"/>
    <w:pPr>
      <w:tabs>
        <w:tab w:val="left" w:pos="1496"/>
      </w:tabs>
      <w:ind w:firstLine="1496"/>
      <w:jc w:val="both"/>
    </w:pPr>
  </w:style>
  <w:style w:type="paragraph" w:customStyle="1" w:styleId="p5">
    <w:name w:val="p5"/>
    <w:basedOn w:val="Normal"/>
    <w:pPr>
      <w:tabs>
        <w:tab w:val="left" w:pos="204"/>
      </w:tabs>
      <w:jc w:val="both"/>
    </w:pPr>
  </w:style>
  <w:style w:type="paragraph" w:customStyle="1" w:styleId="p6">
    <w:name w:val="p6"/>
    <w:basedOn w:val="Normal"/>
    <w:pPr>
      <w:tabs>
        <w:tab w:val="left" w:pos="204"/>
      </w:tabs>
    </w:pPr>
  </w:style>
  <w:style w:type="paragraph" w:customStyle="1" w:styleId="p7">
    <w:name w:val="p7"/>
    <w:basedOn w:val="Normal"/>
    <w:pPr>
      <w:tabs>
        <w:tab w:val="left" w:pos="1496"/>
      </w:tabs>
      <w:ind w:firstLine="1496"/>
    </w:pPr>
  </w:style>
  <w:style w:type="paragraph" w:customStyle="1" w:styleId="c8">
    <w:name w:val="c8"/>
    <w:basedOn w:val="Normal"/>
    <w:pPr>
      <w:jc w:val="center"/>
    </w:pPr>
  </w:style>
  <w:style w:type="paragraph" w:customStyle="1" w:styleId="c9">
    <w:name w:val="c9"/>
    <w:basedOn w:val="Normal"/>
    <w:pPr>
      <w:jc w:val="center"/>
    </w:pPr>
  </w:style>
  <w:style w:type="paragraph" w:customStyle="1" w:styleId="p10">
    <w:name w:val="p10"/>
    <w:basedOn w:val="Normal"/>
    <w:pPr>
      <w:tabs>
        <w:tab w:val="left" w:pos="1496"/>
        <w:tab w:val="left" w:pos="2239"/>
      </w:tabs>
      <w:ind w:firstLine="1496"/>
    </w:pPr>
  </w:style>
  <w:style w:type="paragraph" w:customStyle="1" w:styleId="p11">
    <w:name w:val="p11"/>
    <w:basedOn w:val="Normal"/>
    <w:pPr>
      <w:tabs>
        <w:tab w:val="left" w:pos="1496"/>
        <w:tab w:val="left" w:pos="2239"/>
      </w:tabs>
      <w:ind w:firstLine="1496"/>
      <w:jc w:val="both"/>
    </w:pPr>
  </w:style>
  <w:style w:type="paragraph" w:customStyle="1" w:styleId="t12">
    <w:name w:val="t12"/>
    <w:basedOn w:val="Normal"/>
  </w:style>
  <w:style w:type="paragraph" w:customStyle="1" w:styleId="p13">
    <w:name w:val="p13"/>
    <w:basedOn w:val="Normal"/>
    <w:pPr>
      <w:tabs>
        <w:tab w:val="left" w:pos="5930"/>
      </w:tabs>
      <w:ind w:left="4490"/>
    </w:pPr>
  </w:style>
  <w:style w:type="paragraph" w:customStyle="1" w:styleId="t14">
    <w:name w:val="t14"/>
    <w:basedOn w:val="Normal"/>
  </w:style>
  <w:style w:type="paragraph" w:styleId="Footer">
    <w:name w:val="footer"/>
    <w:basedOn w:val="Normal"/>
    <w:rsid w:val="006000FD"/>
    <w:pPr>
      <w:tabs>
        <w:tab w:val="center" w:pos="4320"/>
        <w:tab w:val="right" w:pos="8640"/>
      </w:tabs>
    </w:pPr>
  </w:style>
  <w:style w:type="character" w:styleId="PageNumber">
    <w:name w:val="page number"/>
    <w:basedOn w:val="DefaultParagraphFont"/>
    <w:rsid w:val="006000FD"/>
  </w:style>
  <w:style w:type="paragraph" w:styleId="BalloonText">
    <w:name w:val="Balloon Text"/>
    <w:basedOn w:val="Normal"/>
    <w:semiHidden/>
    <w:rsid w:val="00B23421"/>
    <w:rPr>
      <w:rFonts w:ascii="Tahoma" w:hAnsi="Tahoma" w:cs="Tahoma"/>
      <w:sz w:val="16"/>
      <w:szCs w:val="16"/>
    </w:rPr>
  </w:style>
  <w:style w:type="paragraph" w:styleId="Header">
    <w:name w:val="header"/>
    <w:basedOn w:val="Normal"/>
    <w:rsid w:val="009805C9"/>
    <w:pPr>
      <w:tabs>
        <w:tab w:val="center" w:pos="4320"/>
        <w:tab w:val="right" w:pos="8640"/>
      </w:tabs>
    </w:pPr>
  </w:style>
  <w:style w:type="paragraph" w:customStyle="1" w:styleId="ParaTab1">
    <w:name w:val="ParaTab 1"/>
    <w:rsid w:val="00F72522"/>
    <w:pPr>
      <w:tabs>
        <w:tab w:val="left" w:pos="-720"/>
      </w:tabs>
      <w:suppressAutoHyphens/>
      <w:autoSpaceDE w:val="0"/>
      <w:autoSpaceDN w:val="0"/>
      <w:ind w:firstLine="1440"/>
    </w:pPr>
    <w:rPr>
      <w:rFonts w:ascii="CG Times" w:hAnsi="CG Times" w:cs="CG Times"/>
      <w:sz w:val="24"/>
      <w:szCs w:val="24"/>
    </w:rPr>
  </w:style>
  <w:style w:type="paragraph" w:styleId="FootnoteText">
    <w:name w:val="footnote text"/>
    <w:basedOn w:val="Normal"/>
    <w:link w:val="FootnoteTextChar"/>
    <w:rsid w:val="00557CBB"/>
    <w:rPr>
      <w:sz w:val="20"/>
      <w:szCs w:val="20"/>
    </w:rPr>
  </w:style>
  <w:style w:type="character" w:customStyle="1" w:styleId="FootnoteTextChar">
    <w:name w:val="Footnote Text Char"/>
    <w:basedOn w:val="DefaultParagraphFont"/>
    <w:link w:val="FootnoteText"/>
    <w:rsid w:val="00557CBB"/>
  </w:style>
  <w:style w:type="character" w:styleId="FootnoteReference">
    <w:name w:val="footnote reference"/>
    <w:basedOn w:val="DefaultParagraphFont"/>
    <w:rsid w:val="00557CBB"/>
    <w:rPr>
      <w:vertAlign w:val="superscript"/>
    </w:rPr>
  </w:style>
  <w:style w:type="paragraph" w:customStyle="1" w:styleId="Default">
    <w:name w:val="Default"/>
    <w:rsid w:val="001F4838"/>
    <w:pPr>
      <w:autoSpaceDE w:val="0"/>
      <w:autoSpaceDN w:val="0"/>
      <w:adjustRightInd w:val="0"/>
    </w:pPr>
    <w:rPr>
      <w:color w:val="000000"/>
      <w:sz w:val="24"/>
      <w:szCs w:val="24"/>
    </w:rPr>
  </w:style>
  <w:style w:type="paragraph" w:styleId="BodyText">
    <w:name w:val="Body Text"/>
    <w:basedOn w:val="Normal"/>
    <w:link w:val="BodyTextChar"/>
    <w:rsid w:val="007A298A"/>
    <w:pPr>
      <w:widowControl/>
      <w:tabs>
        <w:tab w:val="left" w:pos="1980"/>
      </w:tabs>
      <w:autoSpaceDE/>
      <w:autoSpaceDN/>
      <w:adjustRightInd/>
      <w:spacing w:line="480" w:lineRule="auto"/>
      <w:jc w:val="both"/>
    </w:pPr>
    <w:rPr>
      <w:rFonts w:ascii="Courier" w:hAnsi="Courier"/>
      <w:szCs w:val="20"/>
    </w:rPr>
  </w:style>
  <w:style w:type="character" w:customStyle="1" w:styleId="BodyTextChar">
    <w:name w:val="Body Text Char"/>
    <w:basedOn w:val="DefaultParagraphFont"/>
    <w:link w:val="BodyText"/>
    <w:rsid w:val="007A298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204"/>
      </w:tabs>
      <w:jc w:val="both"/>
    </w:pPr>
  </w:style>
  <w:style w:type="paragraph" w:customStyle="1" w:styleId="p4">
    <w:name w:val="p4"/>
    <w:basedOn w:val="Normal"/>
    <w:pPr>
      <w:tabs>
        <w:tab w:val="left" w:pos="1496"/>
      </w:tabs>
      <w:ind w:firstLine="1496"/>
      <w:jc w:val="both"/>
    </w:pPr>
  </w:style>
  <w:style w:type="paragraph" w:customStyle="1" w:styleId="p5">
    <w:name w:val="p5"/>
    <w:basedOn w:val="Normal"/>
    <w:pPr>
      <w:tabs>
        <w:tab w:val="left" w:pos="204"/>
      </w:tabs>
      <w:jc w:val="both"/>
    </w:pPr>
  </w:style>
  <w:style w:type="paragraph" w:customStyle="1" w:styleId="p6">
    <w:name w:val="p6"/>
    <w:basedOn w:val="Normal"/>
    <w:pPr>
      <w:tabs>
        <w:tab w:val="left" w:pos="204"/>
      </w:tabs>
    </w:pPr>
  </w:style>
  <w:style w:type="paragraph" w:customStyle="1" w:styleId="p7">
    <w:name w:val="p7"/>
    <w:basedOn w:val="Normal"/>
    <w:pPr>
      <w:tabs>
        <w:tab w:val="left" w:pos="1496"/>
      </w:tabs>
      <w:ind w:firstLine="1496"/>
    </w:pPr>
  </w:style>
  <w:style w:type="paragraph" w:customStyle="1" w:styleId="c8">
    <w:name w:val="c8"/>
    <w:basedOn w:val="Normal"/>
    <w:pPr>
      <w:jc w:val="center"/>
    </w:pPr>
  </w:style>
  <w:style w:type="paragraph" w:customStyle="1" w:styleId="c9">
    <w:name w:val="c9"/>
    <w:basedOn w:val="Normal"/>
    <w:pPr>
      <w:jc w:val="center"/>
    </w:pPr>
  </w:style>
  <w:style w:type="paragraph" w:customStyle="1" w:styleId="p10">
    <w:name w:val="p10"/>
    <w:basedOn w:val="Normal"/>
    <w:pPr>
      <w:tabs>
        <w:tab w:val="left" w:pos="1496"/>
        <w:tab w:val="left" w:pos="2239"/>
      </w:tabs>
      <w:ind w:firstLine="1496"/>
    </w:pPr>
  </w:style>
  <w:style w:type="paragraph" w:customStyle="1" w:styleId="p11">
    <w:name w:val="p11"/>
    <w:basedOn w:val="Normal"/>
    <w:pPr>
      <w:tabs>
        <w:tab w:val="left" w:pos="1496"/>
        <w:tab w:val="left" w:pos="2239"/>
      </w:tabs>
      <w:ind w:firstLine="1496"/>
      <w:jc w:val="both"/>
    </w:pPr>
  </w:style>
  <w:style w:type="paragraph" w:customStyle="1" w:styleId="t12">
    <w:name w:val="t12"/>
    <w:basedOn w:val="Normal"/>
  </w:style>
  <w:style w:type="paragraph" w:customStyle="1" w:styleId="p13">
    <w:name w:val="p13"/>
    <w:basedOn w:val="Normal"/>
    <w:pPr>
      <w:tabs>
        <w:tab w:val="left" w:pos="5930"/>
      </w:tabs>
      <w:ind w:left="4490"/>
    </w:pPr>
  </w:style>
  <w:style w:type="paragraph" w:customStyle="1" w:styleId="t14">
    <w:name w:val="t14"/>
    <w:basedOn w:val="Normal"/>
  </w:style>
  <w:style w:type="paragraph" w:styleId="Footer">
    <w:name w:val="footer"/>
    <w:basedOn w:val="Normal"/>
    <w:rsid w:val="006000FD"/>
    <w:pPr>
      <w:tabs>
        <w:tab w:val="center" w:pos="4320"/>
        <w:tab w:val="right" w:pos="8640"/>
      </w:tabs>
    </w:pPr>
  </w:style>
  <w:style w:type="character" w:styleId="PageNumber">
    <w:name w:val="page number"/>
    <w:basedOn w:val="DefaultParagraphFont"/>
    <w:rsid w:val="006000FD"/>
  </w:style>
  <w:style w:type="paragraph" w:styleId="BalloonText">
    <w:name w:val="Balloon Text"/>
    <w:basedOn w:val="Normal"/>
    <w:semiHidden/>
    <w:rsid w:val="00B23421"/>
    <w:rPr>
      <w:rFonts w:ascii="Tahoma" w:hAnsi="Tahoma" w:cs="Tahoma"/>
      <w:sz w:val="16"/>
      <w:szCs w:val="16"/>
    </w:rPr>
  </w:style>
  <w:style w:type="paragraph" w:styleId="Header">
    <w:name w:val="header"/>
    <w:basedOn w:val="Normal"/>
    <w:rsid w:val="009805C9"/>
    <w:pPr>
      <w:tabs>
        <w:tab w:val="center" w:pos="4320"/>
        <w:tab w:val="right" w:pos="8640"/>
      </w:tabs>
    </w:pPr>
  </w:style>
  <w:style w:type="paragraph" w:customStyle="1" w:styleId="ParaTab1">
    <w:name w:val="ParaTab 1"/>
    <w:rsid w:val="00F72522"/>
    <w:pPr>
      <w:tabs>
        <w:tab w:val="left" w:pos="-720"/>
      </w:tabs>
      <w:suppressAutoHyphens/>
      <w:autoSpaceDE w:val="0"/>
      <w:autoSpaceDN w:val="0"/>
      <w:ind w:firstLine="1440"/>
    </w:pPr>
    <w:rPr>
      <w:rFonts w:ascii="CG Times" w:hAnsi="CG Times" w:cs="CG Times"/>
      <w:sz w:val="24"/>
      <w:szCs w:val="24"/>
    </w:rPr>
  </w:style>
  <w:style w:type="paragraph" w:styleId="FootnoteText">
    <w:name w:val="footnote text"/>
    <w:basedOn w:val="Normal"/>
    <w:link w:val="FootnoteTextChar"/>
    <w:rsid w:val="00557CBB"/>
    <w:rPr>
      <w:sz w:val="20"/>
      <w:szCs w:val="20"/>
    </w:rPr>
  </w:style>
  <w:style w:type="character" w:customStyle="1" w:styleId="FootnoteTextChar">
    <w:name w:val="Footnote Text Char"/>
    <w:basedOn w:val="DefaultParagraphFont"/>
    <w:link w:val="FootnoteText"/>
    <w:rsid w:val="00557CBB"/>
  </w:style>
  <w:style w:type="character" w:styleId="FootnoteReference">
    <w:name w:val="footnote reference"/>
    <w:basedOn w:val="DefaultParagraphFont"/>
    <w:rsid w:val="00557CBB"/>
    <w:rPr>
      <w:vertAlign w:val="superscript"/>
    </w:rPr>
  </w:style>
  <w:style w:type="paragraph" w:customStyle="1" w:styleId="Default">
    <w:name w:val="Default"/>
    <w:rsid w:val="001F4838"/>
    <w:pPr>
      <w:autoSpaceDE w:val="0"/>
      <w:autoSpaceDN w:val="0"/>
      <w:adjustRightInd w:val="0"/>
    </w:pPr>
    <w:rPr>
      <w:color w:val="000000"/>
      <w:sz w:val="24"/>
      <w:szCs w:val="24"/>
    </w:rPr>
  </w:style>
  <w:style w:type="paragraph" w:styleId="BodyText">
    <w:name w:val="Body Text"/>
    <w:basedOn w:val="Normal"/>
    <w:link w:val="BodyTextChar"/>
    <w:rsid w:val="007A298A"/>
    <w:pPr>
      <w:widowControl/>
      <w:tabs>
        <w:tab w:val="left" w:pos="1980"/>
      </w:tabs>
      <w:autoSpaceDE/>
      <w:autoSpaceDN/>
      <w:adjustRightInd/>
      <w:spacing w:line="480" w:lineRule="auto"/>
      <w:jc w:val="both"/>
    </w:pPr>
    <w:rPr>
      <w:rFonts w:ascii="Courier" w:hAnsi="Courier"/>
      <w:szCs w:val="20"/>
    </w:rPr>
  </w:style>
  <w:style w:type="character" w:customStyle="1" w:styleId="BodyTextChar">
    <w:name w:val="Body Text Char"/>
    <w:basedOn w:val="DefaultParagraphFont"/>
    <w:link w:val="BodyText"/>
    <w:rsid w:val="007A298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offner\Local%20Settings\Temporary%20Internet%20Files\OLKAB\Triple%20Crown%20v%20%20PP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CEC59-0B8D-4D2C-9E88-1A0404CC7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Triple Crown v  PPL</Template>
  <TotalTime>5</TotalTime>
  <Pages>11</Pages>
  <Words>2728</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shoffner</dc:creator>
  <cp:lastModifiedBy>Eubanks, Arlene</cp:lastModifiedBy>
  <cp:revision>3</cp:revision>
  <cp:lastPrinted>2014-12-17T13:39:00Z</cp:lastPrinted>
  <dcterms:created xsi:type="dcterms:W3CDTF">2014-12-11T13:53:00Z</dcterms:created>
  <dcterms:modified xsi:type="dcterms:W3CDTF">2014-12-17T13:39:00Z</dcterms:modified>
</cp:coreProperties>
</file>