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CE43B4" w:rsidRPr="00354E6F" w:rsidRDefault="00CE43B4" w:rsidP="00CE43B4">
      <w:pPr>
        <w:tabs>
          <w:tab w:val="left" w:pos="-720"/>
        </w:tabs>
        <w:suppressAutoHyphens/>
        <w:rPr>
          <w:spacing w:val="-3"/>
          <w:sz w:val="24"/>
          <w:szCs w:val="24"/>
        </w:rPr>
      </w:pPr>
    </w:p>
    <w:p w:rsidR="002E0985" w:rsidRPr="00995AA5" w:rsidRDefault="006B37F0" w:rsidP="00495B88">
      <w:pPr>
        <w:rPr>
          <w:sz w:val="24"/>
          <w:szCs w:val="24"/>
        </w:rPr>
      </w:pPr>
      <w:r w:rsidRPr="00995AA5">
        <w:rPr>
          <w:sz w:val="24"/>
          <w:szCs w:val="24"/>
        </w:rPr>
        <w:t>Joseph P. Carnevale</w:t>
      </w:r>
      <w:r w:rsidRPr="00995AA5">
        <w:rPr>
          <w:sz w:val="24"/>
          <w:szCs w:val="24"/>
        </w:rPr>
        <w:tab/>
      </w:r>
      <w:r w:rsidRPr="00995AA5">
        <w:rPr>
          <w:sz w:val="24"/>
          <w:szCs w:val="24"/>
        </w:rPr>
        <w:tab/>
      </w:r>
      <w:r w:rsidR="002E0985" w:rsidRPr="00995AA5">
        <w:rPr>
          <w:sz w:val="24"/>
          <w:szCs w:val="24"/>
        </w:rPr>
        <w:tab/>
      </w:r>
      <w:r w:rsidR="00995AA5">
        <w:rPr>
          <w:sz w:val="24"/>
          <w:szCs w:val="24"/>
        </w:rPr>
        <w:tab/>
      </w:r>
      <w:r w:rsidR="00995AA5">
        <w:rPr>
          <w:sz w:val="24"/>
          <w:szCs w:val="24"/>
        </w:rPr>
        <w:tab/>
      </w:r>
      <w:r w:rsidR="002E0985" w:rsidRPr="00995AA5">
        <w:rPr>
          <w:sz w:val="24"/>
          <w:szCs w:val="24"/>
        </w:rPr>
        <w:t>:</w:t>
      </w:r>
      <w:r w:rsidR="002E0985" w:rsidRPr="00995AA5">
        <w:rPr>
          <w:sz w:val="24"/>
          <w:szCs w:val="24"/>
        </w:rPr>
        <w:tab/>
      </w:r>
    </w:p>
    <w:p w:rsidR="002E0985" w:rsidRPr="00995AA5" w:rsidRDefault="002E0985" w:rsidP="002E0985">
      <w:pPr>
        <w:tabs>
          <w:tab w:val="left" w:pos="-720"/>
        </w:tabs>
        <w:suppressAutoHyphens/>
        <w:rPr>
          <w:spacing w:val="-3"/>
          <w:sz w:val="24"/>
          <w:szCs w:val="24"/>
        </w:rPr>
      </w:pPr>
      <w:r w:rsidRPr="00995AA5">
        <w:rPr>
          <w:spacing w:val="-3"/>
          <w:sz w:val="24"/>
          <w:szCs w:val="24"/>
        </w:rPr>
        <w:tab/>
      </w:r>
      <w:r w:rsidRPr="00995AA5">
        <w:rPr>
          <w:spacing w:val="-3"/>
          <w:sz w:val="24"/>
          <w:szCs w:val="24"/>
        </w:rPr>
        <w:tab/>
      </w:r>
      <w:r w:rsidRPr="00995AA5">
        <w:rPr>
          <w:spacing w:val="-3"/>
          <w:sz w:val="24"/>
          <w:szCs w:val="24"/>
        </w:rPr>
        <w:tab/>
      </w:r>
      <w:r w:rsidRPr="00995AA5">
        <w:rPr>
          <w:spacing w:val="-3"/>
          <w:sz w:val="24"/>
          <w:szCs w:val="24"/>
        </w:rPr>
        <w:tab/>
      </w:r>
      <w:r w:rsidRPr="00995AA5">
        <w:rPr>
          <w:spacing w:val="-3"/>
          <w:sz w:val="24"/>
          <w:szCs w:val="24"/>
        </w:rPr>
        <w:tab/>
      </w:r>
      <w:r w:rsidR="00995AA5">
        <w:rPr>
          <w:spacing w:val="-3"/>
          <w:sz w:val="24"/>
          <w:szCs w:val="24"/>
        </w:rPr>
        <w:tab/>
      </w:r>
      <w:r w:rsidRPr="00995AA5">
        <w:rPr>
          <w:spacing w:val="-3"/>
          <w:sz w:val="24"/>
          <w:szCs w:val="24"/>
        </w:rPr>
        <w:tab/>
        <w:t xml:space="preserve">: </w:t>
      </w:r>
      <w:r w:rsidRPr="00995AA5">
        <w:rPr>
          <w:spacing w:val="-3"/>
          <w:sz w:val="24"/>
          <w:szCs w:val="24"/>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995AA5">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95AA5">
        <w:rPr>
          <w:spacing w:val="-3"/>
          <w:sz w:val="24"/>
          <w:szCs w:val="20"/>
        </w:rPr>
        <w:tab/>
      </w:r>
      <w:r w:rsidR="00995AA5">
        <w:rPr>
          <w:spacing w:val="-3"/>
          <w:sz w:val="24"/>
          <w:szCs w:val="20"/>
        </w:rPr>
        <w:tab/>
      </w:r>
      <w:r w:rsidRPr="002E0985">
        <w:rPr>
          <w:spacing w:val="-3"/>
          <w:sz w:val="24"/>
          <w:szCs w:val="20"/>
        </w:rPr>
        <w:t>:</w:t>
      </w:r>
      <w:r w:rsidR="006B37F0">
        <w:rPr>
          <w:spacing w:val="-3"/>
          <w:sz w:val="24"/>
          <w:szCs w:val="20"/>
        </w:rPr>
        <w:tab/>
      </w:r>
      <w:r w:rsidR="00995AA5">
        <w:rPr>
          <w:spacing w:val="-3"/>
          <w:sz w:val="24"/>
          <w:szCs w:val="20"/>
        </w:rPr>
        <w:tab/>
      </w:r>
      <w:r w:rsidR="006B37F0">
        <w:rPr>
          <w:spacing w:val="-3"/>
          <w:sz w:val="24"/>
          <w:szCs w:val="20"/>
        </w:rPr>
        <w:t>C-2014-2426383</w:t>
      </w:r>
      <w:r w:rsidR="00354E6F">
        <w:rPr>
          <w:spacing w:val="-3"/>
          <w:sz w:val="24"/>
          <w:szCs w:val="20"/>
        </w:rPr>
        <w:tab/>
      </w:r>
      <w:r w:rsidRP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995AA5">
        <w:rPr>
          <w:spacing w:val="-3"/>
          <w:sz w:val="24"/>
          <w:szCs w:val="20"/>
        </w:rPr>
        <w:tab/>
      </w:r>
      <w:r>
        <w:rPr>
          <w:spacing w:val="-3"/>
          <w:sz w:val="24"/>
          <w:szCs w:val="20"/>
        </w:rPr>
        <w:t>:</w:t>
      </w:r>
    </w:p>
    <w:p w:rsidR="005E3007" w:rsidRDefault="006B37F0" w:rsidP="00CE43B4">
      <w:pPr>
        <w:tabs>
          <w:tab w:val="left" w:pos="-720"/>
        </w:tabs>
        <w:suppressAutoHyphens/>
        <w:rPr>
          <w:spacing w:val="-3"/>
          <w:sz w:val="24"/>
          <w:szCs w:val="24"/>
        </w:rPr>
      </w:pPr>
      <w:r>
        <w:rPr>
          <w:spacing w:val="-3"/>
          <w:sz w:val="24"/>
          <w:szCs w:val="20"/>
        </w:rPr>
        <w:t>PPL Electric Utilities Corporation</w:t>
      </w:r>
      <w:r w:rsidR="002E0985" w:rsidRPr="002E0985">
        <w:rPr>
          <w:spacing w:val="-3"/>
          <w:sz w:val="24"/>
          <w:szCs w:val="20"/>
        </w:rPr>
        <w:tab/>
      </w:r>
      <w:r w:rsidR="00995AA5">
        <w:rPr>
          <w:spacing w:val="-3"/>
          <w:sz w:val="24"/>
          <w:szCs w:val="20"/>
        </w:rPr>
        <w:tab/>
      </w:r>
      <w:r w:rsidR="00995AA5">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995AA5" w:rsidRDefault="00995AA5"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526B2A" w:rsidP="000F1894">
      <w:pPr>
        <w:jc w:val="center"/>
        <w:rPr>
          <w:b/>
          <w:sz w:val="24"/>
          <w:szCs w:val="24"/>
        </w:rPr>
      </w:pPr>
      <w:r>
        <w:rPr>
          <w:b/>
          <w:caps/>
          <w:sz w:val="24"/>
          <w:szCs w:val="24"/>
          <w:u w:val="single"/>
        </w:rPr>
        <w:t>initial decision</w:t>
      </w:r>
      <w:r w:rsidR="00354E6F">
        <w:rPr>
          <w:b/>
          <w:caps/>
          <w:sz w:val="24"/>
          <w:szCs w:val="24"/>
          <w:u w:val="single"/>
        </w:rPr>
        <w:t xml:space="preserve"> </w:t>
      </w:r>
    </w:p>
    <w:p w:rsidR="006A21C2" w:rsidRDefault="006A21C2" w:rsidP="000F1894">
      <w:pPr>
        <w:jc w:val="center"/>
        <w:rPr>
          <w:sz w:val="24"/>
          <w:szCs w:val="24"/>
        </w:rPr>
      </w:pPr>
    </w:p>
    <w:p w:rsidR="00995AA5" w:rsidRPr="006A21C2" w:rsidRDefault="00995AA5"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6B37F0" w:rsidRDefault="006B37F0" w:rsidP="00DD2411">
      <w:pPr>
        <w:spacing w:line="360" w:lineRule="auto"/>
        <w:jc w:val="center"/>
        <w:rPr>
          <w:sz w:val="24"/>
          <w:szCs w:val="24"/>
        </w:rPr>
      </w:pPr>
    </w:p>
    <w:p w:rsidR="009870EF" w:rsidRPr="009870EF"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6B37F0">
        <w:rPr>
          <w:sz w:val="24"/>
          <w:szCs w:val="24"/>
        </w:rPr>
        <w:t>May 30, 2014,</w:t>
      </w:r>
      <w:r w:rsidRPr="009870EF">
        <w:rPr>
          <w:sz w:val="24"/>
          <w:szCs w:val="24"/>
        </w:rPr>
        <w:t xml:space="preserve"> </w:t>
      </w:r>
      <w:r w:rsidR="00A66C0C">
        <w:rPr>
          <w:sz w:val="24"/>
          <w:szCs w:val="24"/>
        </w:rPr>
        <w:t xml:space="preserve">Joseph P. Carnevale </w:t>
      </w:r>
      <w:r w:rsidRPr="009870EF">
        <w:rPr>
          <w:sz w:val="24"/>
          <w:szCs w:val="24"/>
        </w:rPr>
        <w:t xml:space="preserve">(Complainant) filed a Formal Complaint with the Pennsylvania Public Utility Commission against </w:t>
      </w:r>
      <w:r w:rsidR="006B37F0">
        <w:rPr>
          <w:sz w:val="24"/>
          <w:szCs w:val="24"/>
        </w:rPr>
        <w:t>PPL Electric Utilities Corporation</w:t>
      </w:r>
      <w:r w:rsidRPr="009870EF">
        <w:rPr>
          <w:sz w:val="24"/>
          <w:szCs w:val="24"/>
        </w:rPr>
        <w:t xml:space="preserve"> (</w:t>
      </w:r>
      <w:r w:rsidR="006B37F0">
        <w:rPr>
          <w:sz w:val="24"/>
          <w:szCs w:val="24"/>
        </w:rPr>
        <w:t xml:space="preserve">PPL or </w:t>
      </w:r>
      <w:r w:rsidRPr="009870EF">
        <w:rPr>
          <w:sz w:val="24"/>
          <w:szCs w:val="24"/>
        </w:rPr>
        <w:t>Respondent) alleging a</w:t>
      </w:r>
      <w:r w:rsidR="006B37F0">
        <w:rPr>
          <w:sz w:val="24"/>
          <w:szCs w:val="24"/>
        </w:rPr>
        <w:t xml:space="preserve"> high bill and inappropriate charges on his bill.</w:t>
      </w:r>
      <w:r w:rsidRPr="009870EF">
        <w:rPr>
          <w:sz w:val="24"/>
          <w:szCs w:val="24"/>
        </w:rPr>
        <w:t xml:space="preserve"> </w:t>
      </w:r>
      <w:r w:rsidR="00AC2BF5">
        <w:rPr>
          <w:sz w:val="24"/>
          <w:szCs w:val="24"/>
        </w:rPr>
        <w:t xml:space="preserve"> </w:t>
      </w:r>
      <w:r w:rsidRPr="009870EF">
        <w:rPr>
          <w:sz w:val="24"/>
          <w:szCs w:val="24"/>
        </w:rPr>
        <w:t xml:space="preserve">This case is an </w:t>
      </w:r>
      <w:r w:rsidR="00A66C0C">
        <w:rPr>
          <w:sz w:val="24"/>
          <w:szCs w:val="24"/>
        </w:rPr>
        <w:t xml:space="preserve">untimely </w:t>
      </w:r>
      <w:r w:rsidRPr="009870EF">
        <w:rPr>
          <w:sz w:val="24"/>
          <w:szCs w:val="24"/>
        </w:rPr>
        <w:t>appeal from a prior informal Bureau of Consumer Services (BCS) decision</w:t>
      </w:r>
      <w:r w:rsidR="006B37F0">
        <w:rPr>
          <w:sz w:val="24"/>
          <w:szCs w:val="24"/>
        </w:rPr>
        <w:t xml:space="preserve"> at Case No.</w:t>
      </w:r>
      <w:r w:rsidR="00AC2BF5">
        <w:rPr>
          <w:sz w:val="24"/>
          <w:szCs w:val="24"/>
        </w:rPr>
        <w:t xml:space="preserve"> </w:t>
      </w:r>
      <w:r w:rsidR="006B37F0">
        <w:rPr>
          <w:sz w:val="24"/>
          <w:szCs w:val="24"/>
        </w:rPr>
        <w:t>3207619</w:t>
      </w:r>
      <w:r w:rsidRPr="009870EF">
        <w:rPr>
          <w:sz w:val="24"/>
          <w:szCs w:val="24"/>
        </w:rPr>
        <w:t>.</w:t>
      </w:r>
      <w:r w:rsidR="006B37F0">
        <w:rPr>
          <w:sz w:val="24"/>
          <w:szCs w:val="24"/>
        </w:rPr>
        <w:t xml:space="preserve">  </w:t>
      </w:r>
      <w:r w:rsidR="00EB2D91">
        <w:rPr>
          <w:sz w:val="24"/>
          <w:szCs w:val="24"/>
        </w:rPr>
        <w:t>On or about April</w:t>
      </w:r>
      <w:r w:rsidR="00D6697E">
        <w:rPr>
          <w:sz w:val="24"/>
          <w:szCs w:val="24"/>
        </w:rPr>
        <w:t> </w:t>
      </w:r>
      <w:r w:rsidR="00EB2D91">
        <w:rPr>
          <w:sz w:val="24"/>
          <w:szCs w:val="24"/>
        </w:rPr>
        <w:t xml:space="preserve">7, 2014, </w:t>
      </w:r>
      <w:r w:rsidR="006B37F0">
        <w:rPr>
          <w:sz w:val="24"/>
          <w:szCs w:val="24"/>
        </w:rPr>
        <w:t>BCS determined that the Complainant needed to pay $530 per month budget billing and an additional $84 per month toward his arrearage for a total bill of $614 per month.</w:t>
      </w:r>
      <w:r w:rsidRPr="009870EF">
        <w:rPr>
          <w:sz w:val="24"/>
          <w:szCs w:val="24"/>
        </w:rPr>
        <w:t xml:space="preserve">  </w:t>
      </w:r>
      <w:r w:rsidR="00EB2D91">
        <w:rPr>
          <w:sz w:val="24"/>
          <w:szCs w:val="24"/>
        </w:rPr>
        <w:t xml:space="preserve">The Complainant did not comply with the BCS decision.  </w:t>
      </w:r>
      <w:r w:rsidRPr="009870EF">
        <w:rPr>
          <w:sz w:val="24"/>
          <w:szCs w:val="24"/>
        </w:rPr>
        <w:t xml:space="preserve">On </w:t>
      </w:r>
      <w:r w:rsidR="006B37F0">
        <w:rPr>
          <w:sz w:val="24"/>
          <w:szCs w:val="24"/>
        </w:rPr>
        <w:t>July 3, 2014</w:t>
      </w:r>
      <w:r w:rsidRPr="009870EF">
        <w:rPr>
          <w:sz w:val="24"/>
          <w:szCs w:val="24"/>
        </w:rPr>
        <w:t xml:space="preserve">, </w:t>
      </w:r>
      <w:r w:rsidR="006B37F0">
        <w:rPr>
          <w:sz w:val="24"/>
          <w:szCs w:val="24"/>
        </w:rPr>
        <w:t xml:space="preserve">the </w:t>
      </w:r>
      <w:r w:rsidRPr="009870EF">
        <w:rPr>
          <w:sz w:val="24"/>
          <w:szCs w:val="24"/>
        </w:rPr>
        <w:t xml:space="preserve">Respondent filed an </w:t>
      </w:r>
      <w:r w:rsidRPr="009870EF">
        <w:rPr>
          <w:spacing w:val="-3"/>
          <w:sz w:val="24"/>
          <w:szCs w:val="24"/>
        </w:rPr>
        <w:t>Answer denying the material allegations of the Complaint</w:t>
      </w:r>
      <w:r w:rsidR="006B37F0">
        <w:rPr>
          <w:spacing w:val="-3"/>
          <w:sz w:val="24"/>
          <w:szCs w:val="24"/>
        </w:rPr>
        <w:t xml:space="preserve"> and asserting that the Complainant had the best available payment plan.</w:t>
      </w:r>
      <w:r w:rsidRPr="009870EF">
        <w:rPr>
          <w:spacing w:val="-3"/>
          <w:sz w:val="24"/>
          <w:szCs w:val="24"/>
        </w:rPr>
        <w:t xml:space="preserve">  </w:t>
      </w:r>
    </w:p>
    <w:p w:rsidR="009870EF" w:rsidRPr="009870EF" w:rsidRDefault="009870EF" w:rsidP="009870EF">
      <w:pPr>
        <w:tabs>
          <w:tab w:val="left" w:pos="2160"/>
        </w:tabs>
        <w:spacing w:line="360" w:lineRule="auto"/>
        <w:ind w:firstLine="1440"/>
        <w:rPr>
          <w:sz w:val="24"/>
          <w:szCs w:val="24"/>
        </w:rPr>
      </w:pPr>
    </w:p>
    <w:p w:rsidR="009870EF" w:rsidRPr="009870EF" w:rsidRDefault="009870EF" w:rsidP="009870EF">
      <w:pPr>
        <w:tabs>
          <w:tab w:val="left" w:pos="2160"/>
        </w:tabs>
        <w:spacing w:line="360" w:lineRule="auto"/>
        <w:ind w:firstLine="1440"/>
        <w:rPr>
          <w:sz w:val="24"/>
          <w:szCs w:val="24"/>
        </w:rPr>
      </w:pPr>
      <w:r w:rsidRPr="009870EF">
        <w:rPr>
          <w:sz w:val="24"/>
          <w:szCs w:val="24"/>
        </w:rPr>
        <w:t xml:space="preserve">By Hearing Notice dated </w:t>
      </w:r>
      <w:r w:rsidR="006B37F0">
        <w:rPr>
          <w:sz w:val="24"/>
          <w:szCs w:val="24"/>
        </w:rPr>
        <w:t>July 7, 2014</w:t>
      </w:r>
      <w:r w:rsidRPr="009870EF">
        <w:rPr>
          <w:sz w:val="24"/>
          <w:szCs w:val="24"/>
        </w:rPr>
        <w:t xml:space="preserve">, the parties were notified that an Initial Hearing in this case was scheduled for the morning of </w:t>
      </w:r>
      <w:r w:rsidR="006B37F0">
        <w:rPr>
          <w:sz w:val="24"/>
          <w:szCs w:val="24"/>
        </w:rPr>
        <w:t>August 20, 2014</w:t>
      </w:r>
      <w:r w:rsidRPr="009870EF">
        <w:rPr>
          <w:sz w:val="24"/>
          <w:szCs w:val="24"/>
        </w:rPr>
        <w:t xml:space="preserve">.  A Prehearing Order was issued on </w:t>
      </w:r>
      <w:r w:rsidR="006B37F0">
        <w:rPr>
          <w:sz w:val="24"/>
          <w:szCs w:val="24"/>
        </w:rPr>
        <w:t>July 10, 2014</w:t>
      </w:r>
      <w:r w:rsidRPr="009870EF">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r w:rsidR="00381CA7">
        <w:rPr>
          <w:sz w:val="24"/>
          <w:szCs w:val="24"/>
        </w:rPr>
        <w:lastRenderedPageBreak/>
        <w:t xml:space="preserve">The hearing date was changed two times subsequent to the original date.  The final date settled at November 4, 2014.  </w:t>
      </w:r>
    </w:p>
    <w:p w:rsidR="009870EF" w:rsidRPr="009870EF" w:rsidRDefault="009870EF" w:rsidP="009870EF">
      <w:pPr>
        <w:spacing w:line="360" w:lineRule="auto"/>
        <w:ind w:firstLine="1440"/>
        <w:rPr>
          <w:sz w:val="24"/>
          <w:szCs w:val="24"/>
        </w:rPr>
      </w:pPr>
    </w:p>
    <w:p w:rsidR="00381CA7" w:rsidRDefault="009870EF" w:rsidP="00381CA7">
      <w:pPr>
        <w:tabs>
          <w:tab w:val="left" w:pos="2160"/>
        </w:tabs>
        <w:spacing w:line="360" w:lineRule="auto"/>
        <w:ind w:firstLine="1440"/>
        <w:rPr>
          <w:sz w:val="24"/>
          <w:szCs w:val="24"/>
        </w:rPr>
      </w:pPr>
      <w:r w:rsidRPr="009870EF">
        <w:rPr>
          <w:sz w:val="24"/>
          <w:szCs w:val="24"/>
        </w:rPr>
        <w:t xml:space="preserve">The hearing convened as scheduled.  </w:t>
      </w:r>
      <w:r w:rsidR="00381CA7">
        <w:rPr>
          <w:sz w:val="24"/>
          <w:szCs w:val="24"/>
        </w:rPr>
        <w:t xml:space="preserve">The Complainant appeared </w:t>
      </w:r>
      <w:r w:rsidR="00381CA7" w:rsidRPr="00381CA7">
        <w:rPr>
          <w:i/>
          <w:sz w:val="24"/>
          <w:szCs w:val="24"/>
        </w:rPr>
        <w:t>pro se</w:t>
      </w:r>
      <w:r w:rsidR="00381CA7">
        <w:rPr>
          <w:i/>
          <w:sz w:val="24"/>
          <w:szCs w:val="24"/>
        </w:rPr>
        <w:t xml:space="preserve"> </w:t>
      </w:r>
      <w:r w:rsidR="00381CA7">
        <w:rPr>
          <w:sz w:val="24"/>
          <w:szCs w:val="24"/>
        </w:rPr>
        <w:t xml:space="preserve">and presented no exhibits.  The Respondent appeared represented by counsel who presented one witness and submitted three (3) exhibits which were successfully entered into the record.  </w:t>
      </w:r>
      <w:r>
        <w:rPr>
          <w:sz w:val="24"/>
          <w:szCs w:val="24"/>
        </w:rPr>
        <w:t>The record closed on</w:t>
      </w:r>
      <w:r w:rsidR="00381CA7">
        <w:rPr>
          <w:sz w:val="24"/>
          <w:szCs w:val="24"/>
        </w:rPr>
        <w:t xml:space="preserve"> November 20, 2014, with receipt of the typewritten sixty-seven (67) page transcript</w:t>
      </w:r>
      <w:r>
        <w:rPr>
          <w:sz w:val="24"/>
          <w:szCs w:val="24"/>
        </w:rPr>
        <w:t>.</w:t>
      </w:r>
      <w:r w:rsidR="00381CA7">
        <w:rPr>
          <w:sz w:val="24"/>
          <w:szCs w:val="24"/>
        </w:rPr>
        <w:t xml:space="preserve">  The matter is now ripe for decision.</w:t>
      </w:r>
    </w:p>
    <w:p w:rsidR="007965B0" w:rsidRPr="00381CA7" w:rsidRDefault="009870EF" w:rsidP="00381CA7">
      <w:pPr>
        <w:tabs>
          <w:tab w:val="left" w:pos="2160"/>
        </w:tabs>
        <w:spacing w:line="360" w:lineRule="auto"/>
        <w:ind w:firstLine="1440"/>
      </w:pPr>
      <w:r>
        <w:rPr>
          <w:sz w:val="24"/>
          <w:szCs w:val="24"/>
        </w:rPr>
        <w:t xml:space="preserve"> </w:t>
      </w:r>
    </w:p>
    <w:p w:rsidR="00223E7E" w:rsidRDefault="00A7050E" w:rsidP="00A7050E">
      <w:pPr>
        <w:spacing w:line="360" w:lineRule="auto"/>
        <w:jc w:val="center"/>
        <w:rPr>
          <w:sz w:val="24"/>
          <w:szCs w:val="24"/>
          <w:u w:val="single"/>
        </w:rPr>
      </w:pPr>
      <w:r w:rsidRPr="00A7050E">
        <w:rPr>
          <w:sz w:val="24"/>
          <w:szCs w:val="24"/>
          <w:u w:val="single"/>
        </w:rPr>
        <w:t>FINDINGS OF FACT</w:t>
      </w:r>
    </w:p>
    <w:p w:rsidR="00381CA7" w:rsidRPr="003B6920" w:rsidRDefault="00381CA7" w:rsidP="00A7050E">
      <w:pPr>
        <w:spacing w:line="360" w:lineRule="auto"/>
        <w:jc w:val="center"/>
        <w:rPr>
          <w:sz w:val="24"/>
          <w:szCs w:val="24"/>
        </w:rPr>
      </w:pPr>
    </w:p>
    <w:p w:rsidR="00381CA7" w:rsidRDefault="003B6920" w:rsidP="00381CA7">
      <w:pPr>
        <w:pStyle w:val="ListParagraph"/>
        <w:numPr>
          <w:ilvl w:val="0"/>
          <w:numId w:val="26"/>
        </w:numPr>
        <w:spacing w:line="360" w:lineRule="auto"/>
        <w:ind w:left="0" w:firstLine="1440"/>
        <w:rPr>
          <w:sz w:val="24"/>
          <w:szCs w:val="24"/>
        </w:rPr>
      </w:pPr>
      <w:r w:rsidRPr="003B6920">
        <w:rPr>
          <w:sz w:val="24"/>
          <w:szCs w:val="24"/>
        </w:rPr>
        <w:t>The Complainant</w:t>
      </w:r>
      <w:r>
        <w:rPr>
          <w:sz w:val="24"/>
          <w:szCs w:val="24"/>
        </w:rPr>
        <w:t xml:space="preserve"> is Joseph P. Carnevale.  He receives electric service from the Respondent at his</w:t>
      </w:r>
      <w:r w:rsidR="00A3413E">
        <w:rPr>
          <w:sz w:val="24"/>
          <w:szCs w:val="24"/>
        </w:rPr>
        <w:t xml:space="preserve"> rental</w:t>
      </w:r>
      <w:r>
        <w:rPr>
          <w:sz w:val="24"/>
          <w:szCs w:val="24"/>
        </w:rPr>
        <w:t xml:space="preserve"> home at 6252 Park Place, Lot F350, Tobyhanna, Pennsylvania 18466.</w:t>
      </w:r>
      <w:r w:rsidR="00A3413E">
        <w:rPr>
          <w:sz w:val="24"/>
          <w:szCs w:val="24"/>
        </w:rPr>
        <w:t xml:space="preserve">  Formal Complaint, Tr. at 25.</w:t>
      </w:r>
    </w:p>
    <w:p w:rsidR="003B6920" w:rsidRDefault="003B6920" w:rsidP="003B6920">
      <w:pPr>
        <w:pStyle w:val="ListParagraph"/>
        <w:spacing w:line="360" w:lineRule="auto"/>
        <w:ind w:left="1440"/>
        <w:rPr>
          <w:sz w:val="24"/>
          <w:szCs w:val="24"/>
        </w:rPr>
      </w:pPr>
      <w:r>
        <w:rPr>
          <w:sz w:val="24"/>
          <w:szCs w:val="24"/>
        </w:rPr>
        <w:t xml:space="preserve"> </w:t>
      </w:r>
    </w:p>
    <w:p w:rsidR="003B6920" w:rsidRDefault="003B6920" w:rsidP="00381CA7">
      <w:pPr>
        <w:pStyle w:val="ListParagraph"/>
        <w:numPr>
          <w:ilvl w:val="0"/>
          <w:numId w:val="26"/>
        </w:numPr>
        <w:spacing w:line="360" w:lineRule="auto"/>
        <w:ind w:left="0" w:firstLine="1440"/>
        <w:rPr>
          <w:sz w:val="24"/>
          <w:szCs w:val="24"/>
        </w:rPr>
      </w:pPr>
      <w:r>
        <w:rPr>
          <w:sz w:val="24"/>
          <w:szCs w:val="24"/>
        </w:rPr>
        <w:t>The Respondent is PPL Electric Utilities Corporation, a jurisdictional public utility providing electric service to Pennsylvania citizens.</w:t>
      </w:r>
    </w:p>
    <w:p w:rsidR="003B6920" w:rsidRPr="003B6920" w:rsidRDefault="003B6920" w:rsidP="001962B5">
      <w:pPr>
        <w:pStyle w:val="ListParagraph"/>
        <w:spacing w:line="360" w:lineRule="auto"/>
        <w:rPr>
          <w:sz w:val="24"/>
          <w:szCs w:val="24"/>
        </w:rPr>
      </w:pPr>
    </w:p>
    <w:p w:rsidR="003B6920" w:rsidRDefault="00A3413E" w:rsidP="00381CA7">
      <w:pPr>
        <w:pStyle w:val="ListParagraph"/>
        <w:numPr>
          <w:ilvl w:val="0"/>
          <w:numId w:val="26"/>
        </w:numPr>
        <w:spacing w:line="360" w:lineRule="auto"/>
        <w:ind w:left="0" w:firstLine="1440"/>
        <w:rPr>
          <w:sz w:val="24"/>
          <w:szCs w:val="24"/>
        </w:rPr>
      </w:pPr>
      <w:r>
        <w:rPr>
          <w:sz w:val="24"/>
          <w:szCs w:val="24"/>
        </w:rPr>
        <w:t>The Complainant’s primary heat sources are electric baseboard and propane.  Tr. at 13, 20.</w:t>
      </w:r>
    </w:p>
    <w:p w:rsidR="00A3413E" w:rsidRPr="00A3413E" w:rsidRDefault="00A3413E" w:rsidP="001962B5">
      <w:pPr>
        <w:pStyle w:val="ListParagraph"/>
        <w:spacing w:line="360" w:lineRule="auto"/>
        <w:rPr>
          <w:sz w:val="24"/>
          <w:szCs w:val="24"/>
        </w:rPr>
      </w:pPr>
    </w:p>
    <w:p w:rsidR="00A3413E" w:rsidRDefault="00A3413E" w:rsidP="00381CA7">
      <w:pPr>
        <w:pStyle w:val="ListParagraph"/>
        <w:numPr>
          <w:ilvl w:val="0"/>
          <w:numId w:val="26"/>
        </w:numPr>
        <w:spacing w:line="360" w:lineRule="auto"/>
        <w:ind w:left="0" w:firstLine="1440"/>
        <w:rPr>
          <w:sz w:val="24"/>
          <w:szCs w:val="24"/>
        </w:rPr>
      </w:pPr>
      <w:r>
        <w:rPr>
          <w:sz w:val="24"/>
          <w:szCs w:val="24"/>
        </w:rPr>
        <w:t>The Complainant has three (3) window air conditioning units that he uses during the spring and summer.  Tr. at 21.</w:t>
      </w:r>
    </w:p>
    <w:p w:rsidR="00A3413E" w:rsidRPr="00A3413E" w:rsidRDefault="00A3413E" w:rsidP="001962B5">
      <w:pPr>
        <w:pStyle w:val="ListParagraph"/>
        <w:spacing w:line="360" w:lineRule="auto"/>
        <w:rPr>
          <w:sz w:val="24"/>
          <w:szCs w:val="24"/>
        </w:rPr>
      </w:pPr>
    </w:p>
    <w:p w:rsidR="00A3413E" w:rsidRDefault="00A3413E" w:rsidP="00381CA7">
      <w:pPr>
        <w:pStyle w:val="ListParagraph"/>
        <w:numPr>
          <w:ilvl w:val="0"/>
          <w:numId w:val="26"/>
        </w:numPr>
        <w:spacing w:line="360" w:lineRule="auto"/>
        <w:ind w:left="0" w:firstLine="1440"/>
        <w:rPr>
          <w:sz w:val="24"/>
          <w:szCs w:val="24"/>
        </w:rPr>
      </w:pPr>
      <w:r>
        <w:rPr>
          <w:sz w:val="24"/>
          <w:szCs w:val="24"/>
        </w:rPr>
        <w:t>The Complainant and his wife Ursula inhabit the home.  Tr. at 21, 24.</w:t>
      </w:r>
    </w:p>
    <w:p w:rsidR="00A3413E" w:rsidRPr="00A3413E" w:rsidRDefault="00A3413E" w:rsidP="001962B5">
      <w:pPr>
        <w:pStyle w:val="ListParagraph"/>
        <w:spacing w:line="360" w:lineRule="auto"/>
        <w:rPr>
          <w:sz w:val="24"/>
          <w:szCs w:val="24"/>
        </w:rPr>
      </w:pPr>
    </w:p>
    <w:p w:rsidR="00A3413E" w:rsidRDefault="00A3413E" w:rsidP="00381CA7">
      <w:pPr>
        <w:pStyle w:val="ListParagraph"/>
        <w:numPr>
          <w:ilvl w:val="0"/>
          <w:numId w:val="26"/>
        </w:numPr>
        <w:spacing w:line="360" w:lineRule="auto"/>
        <w:ind w:left="0" w:firstLine="1440"/>
        <w:rPr>
          <w:sz w:val="24"/>
          <w:szCs w:val="24"/>
        </w:rPr>
      </w:pPr>
      <w:r>
        <w:rPr>
          <w:sz w:val="24"/>
          <w:szCs w:val="24"/>
        </w:rPr>
        <w:t>The home has approximately six (6) rooms.  Tr. at 20.</w:t>
      </w:r>
    </w:p>
    <w:p w:rsidR="00A3413E" w:rsidRPr="00A3413E" w:rsidRDefault="00A3413E" w:rsidP="001962B5">
      <w:pPr>
        <w:pStyle w:val="ListParagraph"/>
        <w:spacing w:line="360" w:lineRule="auto"/>
        <w:rPr>
          <w:sz w:val="24"/>
          <w:szCs w:val="24"/>
        </w:rPr>
      </w:pPr>
    </w:p>
    <w:p w:rsidR="00A3413E" w:rsidRDefault="00A3413E" w:rsidP="00381CA7">
      <w:pPr>
        <w:pStyle w:val="ListParagraph"/>
        <w:numPr>
          <w:ilvl w:val="0"/>
          <w:numId w:val="26"/>
        </w:numPr>
        <w:spacing w:line="360" w:lineRule="auto"/>
        <w:ind w:left="0" w:firstLine="1440"/>
        <w:rPr>
          <w:sz w:val="24"/>
          <w:szCs w:val="24"/>
        </w:rPr>
      </w:pPr>
      <w:r>
        <w:rPr>
          <w:sz w:val="24"/>
          <w:szCs w:val="24"/>
        </w:rPr>
        <w:t>Dana Tomcics, a customer service representative testified on behalf of the Respondent.  Tr. at 25-26.</w:t>
      </w:r>
    </w:p>
    <w:p w:rsidR="00A3413E" w:rsidRPr="00A3413E" w:rsidRDefault="00A3413E" w:rsidP="00A3413E">
      <w:pPr>
        <w:pStyle w:val="ListParagraph"/>
        <w:rPr>
          <w:sz w:val="24"/>
          <w:szCs w:val="24"/>
        </w:rPr>
      </w:pPr>
    </w:p>
    <w:p w:rsidR="00A3413E" w:rsidRDefault="00BE7934" w:rsidP="00381CA7">
      <w:pPr>
        <w:pStyle w:val="ListParagraph"/>
        <w:numPr>
          <w:ilvl w:val="0"/>
          <w:numId w:val="26"/>
        </w:numPr>
        <w:spacing w:line="360" w:lineRule="auto"/>
        <w:ind w:left="0" w:firstLine="1440"/>
        <w:rPr>
          <w:sz w:val="24"/>
          <w:szCs w:val="24"/>
        </w:rPr>
      </w:pPr>
      <w:r>
        <w:rPr>
          <w:sz w:val="24"/>
          <w:szCs w:val="24"/>
        </w:rPr>
        <w:t>From June 17, 2013, to July 17, 2014, the Complainant wa</w:t>
      </w:r>
      <w:r w:rsidR="00A66C0C">
        <w:rPr>
          <w:sz w:val="24"/>
          <w:szCs w:val="24"/>
        </w:rPr>
        <w:t xml:space="preserve">s supplied electricity through </w:t>
      </w:r>
      <w:r w:rsidR="003C7105">
        <w:rPr>
          <w:sz w:val="24"/>
          <w:szCs w:val="24"/>
        </w:rPr>
        <w:t>X</w:t>
      </w:r>
      <w:r>
        <w:rPr>
          <w:sz w:val="24"/>
          <w:szCs w:val="24"/>
        </w:rPr>
        <w:t>oom Energy.  Tr. at 28.</w:t>
      </w:r>
    </w:p>
    <w:p w:rsidR="00BE7934" w:rsidRPr="00BE7934" w:rsidRDefault="00BE7934" w:rsidP="003661B1">
      <w:pPr>
        <w:pStyle w:val="ListParagraph"/>
        <w:spacing w:line="360" w:lineRule="auto"/>
        <w:rPr>
          <w:sz w:val="24"/>
          <w:szCs w:val="24"/>
        </w:rPr>
      </w:pPr>
    </w:p>
    <w:p w:rsidR="00BE7934" w:rsidRDefault="00A66C0C" w:rsidP="003661B1">
      <w:pPr>
        <w:pStyle w:val="ListParagraph"/>
        <w:numPr>
          <w:ilvl w:val="0"/>
          <w:numId w:val="26"/>
        </w:numPr>
        <w:spacing w:line="360" w:lineRule="auto"/>
        <w:ind w:left="0" w:firstLine="1440"/>
        <w:rPr>
          <w:sz w:val="24"/>
          <w:szCs w:val="24"/>
        </w:rPr>
      </w:pPr>
      <w:r>
        <w:rPr>
          <w:sz w:val="24"/>
          <w:szCs w:val="24"/>
        </w:rPr>
        <w:t>X</w:t>
      </w:r>
      <w:r w:rsidR="00BE7934">
        <w:rPr>
          <w:sz w:val="24"/>
          <w:szCs w:val="24"/>
        </w:rPr>
        <w:t xml:space="preserve">oom Energy rates were more than double those of PPL. </w:t>
      </w:r>
      <w:r w:rsidR="001506EE">
        <w:rPr>
          <w:sz w:val="24"/>
          <w:szCs w:val="24"/>
        </w:rPr>
        <w:t xml:space="preserve"> Tr. at 29.</w:t>
      </w:r>
    </w:p>
    <w:p w:rsidR="001506EE" w:rsidRPr="001506EE" w:rsidRDefault="001506EE" w:rsidP="003661B1">
      <w:pPr>
        <w:pStyle w:val="ListParagraph"/>
        <w:spacing w:line="360" w:lineRule="auto"/>
        <w:rPr>
          <w:sz w:val="24"/>
          <w:szCs w:val="24"/>
        </w:rPr>
      </w:pPr>
    </w:p>
    <w:p w:rsidR="001506EE" w:rsidRDefault="001506EE" w:rsidP="00381CA7">
      <w:pPr>
        <w:pStyle w:val="ListParagraph"/>
        <w:numPr>
          <w:ilvl w:val="0"/>
          <w:numId w:val="26"/>
        </w:numPr>
        <w:spacing w:line="360" w:lineRule="auto"/>
        <w:ind w:left="0" w:firstLine="1440"/>
        <w:rPr>
          <w:sz w:val="24"/>
          <w:szCs w:val="24"/>
        </w:rPr>
      </w:pPr>
      <w:r>
        <w:rPr>
          <w:sz w:val="24"/>
          <w:szCs w:val="24"/>
        </w:rPr>
        <w:t>PPL contacted the Complainant several times to conduct an energy use analysis.  Tr. at 30, PPL Exh. 2.</w:t>
      </w:r>
    </w:p>
    <w:p w:rsidR="001506EE" w:rsidRPr="001506EE" w:rsidRDefault="001506EE" w:rsidP="003661B1">
      <w:pPr>
        <w:pStyle w:val="ListParagraph"/>
        <w:spacing w:line="360" w:lineRule="auto"/>
        <w:rPr>
          <w:sz w:val="24"/>
          <w:szCs w:val="24"/>
        </w:rPr>
      </w:pPr>
    </w:p>
    <w:p w:rsidR="001506EE" w:rsidRDefault="009643AB" w:rsidP="00381CA7">
      <w:pPr>
        <w:pStyle w:val="ListParagraph"/>
        <w:numPr>
          <w:ilvl w:val="0"/>
          <w:numId w:val="26"/>
        </w:numPr>
        <w:spacing w:line="360" w:lineRule="auto"/>
        <w:ind w:left="0" w:firstLine="1440"/>
        <w:rPr>
          <w:sz w:val="24"/>
          <w:szCs w:val="24"/>
        </w:rPr>
      </w:pPr>
      <w:r>
        <w:rPr>
          <w:sz w:val="24"/>
          <w:szCs w:val="24"/>
        </w:rPr>
        <w:t>The Complainant refused to have an energy use analysis done.  PPL Exh.</w:t>
      </w:r>
      <w:r w:rsidR="003661B1">
        <w:rPr>
          <w:sz w:val="24"/>
          <w:szCs w:val="24"/>
        </w:rPr>
        <w:t> </w:t>
      </w:r>
      <w:r>
        <w:rPr>
          <w:sz w:val="24"/>
          <w:szCs w:val="24"/>
        </w:rPr>
        <w:t>2.</w:t>
      </w:r>
    </w:p>
    <w:p w:rsidR="009643AB" w:rsidRPr="009643AB" w:rsidRDefault="009643AB" w:rsidP="003661B1">
      <w:pPr>
        <w:pStyle w:val="ListParagraph"/>
        <w:spacing w:line="360" w:lineRule="auto"/>
        <w:rPr>
          <w:sz w:val="24"/>
          <w:szCs w:val="24"/>
        </w:rPr>
      </w:pPr>
    </w:p>
    <w:p w:rsidR="009643AB" w:rsidRDefault="009643AB" w:rsidP="00381CA7">
      <w:pPr>
        <w:pStyle w:val="ListParagraph"/>
        <w:numPr>
          <w:ilvl w:val="0"/>
          <w:numId w:val="26"/>
        </w:numPr>
        <w:spacing w:line="360" w:lineRule="auto"/>
        <w:ind w:left="0" w:firstLine="1440"/>
        <w:rPr>
          <w:sz w:val="24"/>
          <w:szCs w:val="24"/>
        </w:rPr>
      </w:pPr>
      <w:r>
        <w:rPr>
          <w:sz w:val="24"/>
          <w:szCs w:val="24"/>
        </w:rPr>
        <w:t>The balance on the Complainant’s account is $7,108.34.  PPL Exh. 1, Tr</w:t>
      </w:r>
      <w:r w:rsidR="003661B1">
        <w:rPr>
          <w:sz w:val="24"/>
          <w:szCs w:val="24"/>
        </w:rPr>
        <w:t>. </w:t>
      </w:r>
      <w:r>
        <w:rPr>
          <w:sz w:val="24"/>
          <w:szCs w:val="24"/>
        </w:rPr>
        <w:t>at 24.</w:t>
      </w:r>
    </w:p>
    <w:p w:rsidR="009643AB" w:rsidRPr="009643AB" w:rsidRDefault="009643AB" w:rsidP="003661B1">
      <w:pPr>
        <w:pStyle w:val="ListParagraph"/>
        <w:spacing w:line="360" w:lineRule="auto"/>
        <w:rPr>
          <w:sz w:val="24"/>
          <w:szCs w:val="24"/>
        </w:rPr>
      </w:pPr>
    </w:p>
    <w:p w:rsidR="009643AB" w:rsidRDefault="009643AB" w:rsidP="00381CA7">
      <w:pPr>
        <w:pStyle w:val="ListParagraph"/>
        <w:numPr>
          <w:ilvl w:val="0"/>
          <w:numId w:val="26"/>
        </w:numPr>
        <w:spacing w:line="360" w:lineRule="auto"/>
        <w:ind w:left="0" w:firstLine="1440"/>
        <w:rPr>
          <w:sz w:val="24"/>
          <w:szCs w:val="24"/>
        </w:rPr>
      </w:pPr>
      <w:r>
        <w:rPr>
          <w:sz w:val="24"/>
          <w:szCs w:val="24"/>
        </w:rPr>
        <w:t>For 2014, the Complainant made only four (4) payments on his account.  Tr. at 40, PPL Exh. 1.</w:t>
      </w:r>
    </w:p>
    <w:p w:rsidR="009643AB" w:rsidRPr="009643AB" w:rsidRDefault="009643AB" w:rsidP="003661B1">
      <w:pPr>
        <w:pStyle w:val="ListParagraph"/>
        <w:spacing w:line="360" w:lineRule="auto"/>
        <w:rPr>
          <w:sz w:val="24"/>
          <w:szCs w:val="24"/>
        </w:rPr>
      </w:pPr>
    </w:p>
    <w:p w:rsidR="009643AB" w:rsidRDefault="00011305" w:rsidP="00381CA7">
      <w:pPr>
        <w:pStyle w:val="ListParagraph"/>
        <w:numPr>
          <w:ilvl w:val="0"/>
          <w:numId w:val="26"/>
        </w:numPr>
        <w:spacing w:line="360" w:lineRule="auto"/>
        <w:ind w:left="0" w:firstLine="1440"/>
        <w:rPr>
          <w:sz w:val="24"/>
          <w:szCs w:val="24"/>
        </w:rPr>
      </w:pPr>
      <w:r>
        <w:rPr>
          <w:sz w:val="24"/>
          <w:szCs w:val="24"/>
        </w:rPr>
        <w:t>The Complainant’s meter was removed on June 17, 2014</w:t>
      </w:r>
      <w:r w:rsidR="00EB2D91">
        <w:rPr>
          <w:sz w:val="24"/>
          <w:szCs w:val="24"/>
        </w:rPr>
        <w:t>,</w:t>
      </w:r>
      <w:r>
        <w:rPr>
          <w:sz w:val="24"/>
          <w:szCs w:val="24"/>
        </w:rPr>
        <w:t xml:space="preserve"> and tested and the meter tested accurately.  PPL Exh. 5, Tr. at 42-43.</w:t>
      </w:r>
    </w:p>
    <w:p w:rsidR="00011305" w:rsidRPr="00011305" w:rsidRDefault="00011305" w:rsidP="003661B1">
      <w:pPr>
        <w:pStyle w:val="ListParagraph"/>
        <w:spacing w:line="360" w:lineRule="auto"/>
        <w:rPr>
          <w:sz w:val="24"/>
          <w:szCs w:val="24"/>
        </w:rPr>
      </w:pPr>
    </w:p>
    <w:p w:rsidR="00011305" w:rsidRDefault="00011305" w:rsidP="00381CA7">
      <w:pPr>
        <w:pStyle w:val="ListParagraph"/>
        <w:numPr>
          <w:ilvl w:val="0"/>
          <w:numId w:val="26"/>
        </w:numPr>
        <w:spacing w:line="360" w:lineRule="auto"/>
        <w:ind w:left="0" w:firstLine="1440"/>
        <w:rPr>
          <w:sz w:val="24"/>
          <w:szCs w:val="24"/>
        </w:rPr>
      </w:pPr>
      <w:r>
        <w:rPr>
          <w:sz w:val="24"/>
          <w:szCs w:val="24"/>
        </w:rPr>
        <w:t>The Complainant was not present for the testing of his meter.  Tr. at 52.</w:t>
      </w:r>
    </w:p>
    <w:p w:rsidR="00FD1BDA" w:rsidRPr="00FD1BDA" w:rsidRDefault="00FD1BDA" w:rsidP="003661B1">
      <w:pPr>
        <w:pStyle w:val="ListParagraph"/>
        <w:spacing w:line="360" w:lineRule="auto"/>
        <w:rPr>
          <w:sz w:val="24"/>
          <w:szCs w:val="24"/>
        </w:rPr>
      </w:pPr>
    </w:p>
    <w:p w:rsidR="00FD1BDA" w:rsidRDefault="00FD1BDA" w:rsidP="00381CA7">
      <w:pPr>
        <w:pStyle w:val="ListParagraph"/>
        <w:numPr>
          <w:ilvl w:val="0"/>
          <w:numId w:val="26"/>
        </w:numPr>
        <w:spacing w:line="360" w:lineRule="auto"/>
        <w:ind w:left="0" w:firstLine="1440"/>
        <w:rPr>
          <w:sz w:val="24"/>
          <w:szCs w:val="24"/>
        </w:rPr>
      </w:pPr>
      <w:r>
        <w:rPr>
          <w:sz w:val="24"/>
          <w:szCs w:val="24"/>
        </w:rPr>
        <w:t>PPL tests meters at a facility.  PPL did nothing different with the  Complainant</w:t>
      </w:r>
      <w:r w:rsidR="00A66C0C">
        <w:rPr>
          <w:sz w:val="24"/>
          <w:szCs w:val="24"/>
        </w:rPr>
        <w:t>’s meter</w:t>
      </w:r>
      <w:r>
        <w:rPr>
          <w:sz w:val="24"/>
          <w:szCs w:val="24"/>
        </w:rPr>
        <w:t>.  His meter was removed and tested at a facility.  Tr. at 42-43.</w:t>
      </w:r>
    </w:p>
    <w:p w:rsidR="00011305" w:rsidRPr="00011305" w:rsidRDefault="00011305" w:rsidP="00011305">
      <w:pPr>
        <w:pStyle w:val="ListParagraph"/>
        <w:rPr>
          <w:sz w:val="24"/>
          <w:szCs w:val="24"/>
        </w:rPr>
      </w:pPr>
    </w:p>
    <w:p w:rsidR="00011305" w:rsidRPr="003B6920" w:rsidRDefault="00011305" w:rsidP="008F27F8">
      <w:pPr>
        <w:pStyle w:val="ListParagraph"/>
        <w:spacing w:line="360" w:lineRule="auto"/>
        <w:ind w:left="1440"/>
        <w:rPr>
          <w:sz w:val="24"/>
          <w:szCs w:val="24"/>
        </w:rPr>
      </w:pPr>
    </w:p>
    <w:p w:rsidR="003661B1" w:rsidRDefault="003661B1" w:rsidP="00DE2348">
      <w:pPr>
        <w:spacing w:line="360" w:lineRule="auto"/>
        <w:jc w:val="center"/>
        <w:rPr>
          <w:sz w:val="24"/>
          <w:szCs w:val="24"/>
          <w:u w:val="single"/>
        </w:rPr>
      </w:pPr>
    </w:p>
    <w:p w:rsidR="003661B1" w:rsidRDefault="003661B1" w:rsidP="00DE2348">
      <w:pPr>
        <w:spacing w:line="360" w:lineRule="auto"/>
        <w:jc w:val="center"/>
        <w:rPr>
          <w:sz w:val="24"/>
          <w:szCs w:val="24"/>
          <w:u w:val="single"/>
        </w:rPr>
      </w:pPr>
    </w:p>
    <w:p w:rsidR="003661B1" w:rsidRDefault="003661B1" w:rsidP="00DE2348">
      <w:pPr>
        <w:spacing w:line="360" w:lineRule="auto"/>
        <w:jc w:val="center"/>
        <w:rPr>
          <w:sz w:val="24"/>
          <w:szCs w:val="24"/>
          <w:u w:val="single"/>
        </w:rPr>
      </w:pPr>
    </w:p>
    <w:p w:rsidR="003661B1" w:rsidRDefault="003661B1" w:rsidP="00DE2348">
      <w:pPr>
        <w:spacing w:line="360" w:lineRule="auto"/>
        <w:jc w:val="center"/>
        <w:rPr>
          <w:sz w:val="24"/>
          <w:szCs w:val="24"/>
          <w:u w:val="single"/>
        </w:rPr>
      </w:pPr>
    </w:p>
    <w:p w:rsidR="003661B1" w:rsidRDefault="003661B1" w:rsidP="00DE2348">
      <w:pPr>
        <w:spacing w:line="360" w:lineRule="auto"/>
        <w:jc w:val="center"/>
        <w:rPr>
          <w:sz w:val="24"/>
          <w:szCs w:val="24"/>
          <w:u w:val="single"/>
        </w:rPr>
      </w:pPr>
    </w:p>
    <w:p w:rsidR="00C419F9" w:rsidRDefault="00C419F9" w:rsidP="00DE2348">
      <w:pPr>
        <w:spacing w:line="360" w:lineRule="auto"/>
        <w:jc w:val="center"/>
        <w:rPr>
          <w:sz w:val="24"/>
          <w:szCs w:val="24"/>
          <w:u w:val="single"/>
        </w:rPr>
      </w:pPr>
      <w:r>
        <w:rPr>
          <w:sz w:val="24"/>
          <w:szCs w:val="24"/>
          <w:u w:val="single"/>
        </w:rPr>
        <w:t>DISCUSSION</w:t>
      </w:r>
    </w:p>
    <w:p w:rsidR="00FD1BDA" w:rsidRDefault="00FD1BDA" w:rsidP="00DE2348">
      <w:pPr>
        <w:spacing w:line="360" w:lineRule="auto"/>
        <w:jc w:val="center"/>
        <w:rPr>
          <w:sz w:val="24"/>
          <w:szCs w:val="24"/>
          <w:u w:val="single"/>
        </w:rPr>
      </w:pPr>
    </w:p>
    <w:p w:rsidR="008F27F8" w:rsidRDefault="00FD1BDA" w:rsidP="00FD1BDA">
      <w:pPr>
        <w:spacing w:line="360" w:lineRule="auto"/>
        <w:rPr>
          <w:sz w:val="24"/>
          <w:szCs w:val="24"/>
          <w:u w:val="single"/>
        </w:rPr>
      </w:pPr>
      <w:r>
        <w:rPr>
          <w:sz w:val="24"/>
          <w:szCs w:val="24"/>
          <w:u w:val="single"/>
        </w:rPr>
        <w:t>Burden of Proof:</w:t>
      </w:r>
    </w:p>
    <w:p w:rsidR="003661B1" w:rsidRDefault="003661B1" w:rsidP="00FD1BDA">
      <w:pPr>
        <w:spacing w:line="360" w:lineRule="auto"/>
        <w:rPr>
          <w:sz w:val="24"/>
          <w:szCs w:val="24"/>
          <w:u w:val="single"/>
        </w:rPr>
      </w:pPr>
    </w:p>
    <w:p w:rsidR="00FD1BDA" w:rsidRDefault="00FD1BDA" w:rsidP="00FD1BDA">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66 Pa.C.S.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 xml:space="preserve">(1976).  Such a showing must be by a preponderance of the evidence.  </w:t>
      </w:r>
      <w:r w:rsidRPr="00614336">
        <w:rPr>
          <w:spacing w:val="-3"/>
          <w:sz w:val="24"/>
          <w:szCs w:val="24"/>
          <w:u w:val="single"/>
        </w:rPr>
        <w:t xml:space="preserve">Samuel J. Lansberry, Inc. v. Pa. </w:t>
      </w:r>
      <w:r>
        <w:rPr>
          <w:spacing w:val="-3"/>
          <w:sz w:val="24"/>
          <w:szCs w:val="24"/>
          <w:u w:val="single"/>
        </w:rPr>
        <w:t>P</w:t>
      </w:r>
      <w:r w:rsidR="00B26214">
        <w:rPr>
          <w:spacing w:val="-3"/>
          <w:sz w:val="24"/>
          <w:szCs w:val="24"/>
          <w:u w:val="single"/>
        </w:rPr>
        <w:t>ub. Util. Comm’n</w:t>
      </w:r>
      <w:r w:rsidRPr="00614336">
        <w:rPr>
          <w:spacing w:val="-3"/>
          <w:sz w:val="24"/>
          <w:szCs w:val="24"/>
        </w:rPr>
        <w:t>, 134 Pa.C</w:t>
      </w:r>
      <w:r w:rsidR="00B26214">
        <w:rPr>
          <w:spacing w:val="-3"/>
          <w:sz w:val="24"/>
          <w:szCs w:val="24"/>
        </w:rPr>
        <w:t>mwlth</w:t>
      </w:r>
      <w:r w:rsidRPr="00614336">
        <w:rPr>
          <w:spacing w:val="-3"/>
          <w:sz w:val="24"/>
          <w:szCs w:val="24"/>
        </w:rPr>
        <w:t>. 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 den</w:t>
      </w:r>
      <w:r w:rsidRPr="00614336">
        <w:rPr>
          <w:spacing w:val="-3"/>
          <w:sz w:val="24"/>
          <w:szCs w:val="24"/>
        </w:rPr>
        <w:t>., 602 A.2d 863</w:t>
      </w:r>
      <w:r>
        <w:rPr>
          <w:spacing w:val="-3"/>
          <w:sz w:val="24"/>
          <w:szCs w:val="24"/>
        </w:rPr>
        <w:t xml:space="preserve"> </w:t>
      </w:r>
      <w:r w:rsidRPr="00614336">
        <w:rPr>
          <w:spacing w:val="-3"/>
          <w:sz w:val="24"/>
          <w:szCs w:val="24"/>
        </w:rPr>
        <w:t xml:space="preserve">(1992).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 xml:space="preserve">(1950).  Additionally, any finding of fact necessary to support the Commission’s adjudication must be based upon substantial evidence.  </w:t>
      </w:r>
      <w:r>
        <w:rPr>
          <w:spacing w:val="-3"/>
          <w:sz w:val="24"/>
          <w:szCs w:val="24"/>
          <w:u w:val="single"/>
        </w:rPr>
        <w:t>Mill v. Pa. P</w:t>
      </w:r>
      <w:r w:rsidR="00B26214">
        <w:rPr>
          <w:spacing w:val="-3"/>
          <w:sz w:val="24"/>
          <w:szCs w:val="24"/>
          <w:u w:val="single"/>
        </w:rPr>
        <w:t>ub. Util. Comm’n</w:t>
      </w:r>
      <w:r w:rsidRPr="009D011B">
        <w:rPr>
          <w:spacing w:val="-3"/>
          <w:sz w:val="24"/>
          <w:szCs w:val="24"/>
        </w:rPr>
        <w:t>,</w:t>
      </w:r>
      <w:r w:rsidR="00B26214">
        <w:rPr>
          <w:spacing w:val="-3"/>
          <w:sz w:val="24"/>
          <w:szCs w:val="24"/>
        </w:rPr>
        <w:t xml:space="preserve"> </w:t>
      </w:r>
      <w:r w:rsidRPr="00614336">
        <w:rPr>
          <w:spacing w:val="-3"/>
          <w:sz w:val="24"/>
          <w:szCs w:val="24"/>
        </w:rPr>
        <w:t>67 Pa.C</w:t>
      </w:r>
      <w:r w:rsidR="00B26214">
        <w:rPr>
          <w:spacing w:val="-3"/>
          <w:sz w:val="24"/>
          <w:szCs w:val="24"/>
        </w:rPr>
        <w:t>mwlth</w:t>
      </w:r>
      <w:r w:rsidRPr="00614336">
        <w:rPr>
          <w:spacing w:val="-3"/>
          <w:sz w:val="24"/>
          <w:szCs w:val="24"/>
        </w:rPr>
        <w:t>. 597, 447 A.2d 1100</w:t>
      </w:r>
      <w:r>
        <w:rPr>
          <w:spacing w:val="-3"/>
          <w:sz w:val="24"/>
          <w:szCs w:val="24"/>
        </w:rPr>
        <w:t xml:space="preserve"> </w:t>
      </w:r>
      <w:r w:rsidRPr="00614336">
        <w:rPr>
          <w:spacing w:val="-3"/>
          <w:sz w:val="24"/>
          <w:szCs w:val="24"/>
        </w:rPr>
        <w:t xml:space="preserve">(1982), </w:t>
      </w:r>
      <w:r>
        <w:rPr>
          <w:spacing w:val="-3"/>
          <w:sz w:val="24"/>
          <w:szCs w:val="24"/>
          <w:u w:val="single"/>
        </w:rPr>
        <w:t>Edan Transportation Corp. v. Pa. P</w:t>
      </w:r>
      <w:r w:rsidR="00B26214">
        <w:rPr>
          <w:spacing w:val="-3"/>
          <w:sz w:val="24"/>
          <w:szCs w:val="24"/>
          <w:u w:val="single"/>
        </w:rPr>
        <w:t>ub. Util. Comm’n</w:t>
      </w:r>
      <w:r w:rsidRPr="00614336">
        <w:rPr>
          <w:spacing w:val="-3"/>
          <w:sz w:val="24"/>
          <w:szCs w:val="24"/>
        </w:rPr>
        <w:t>, 154 Pa.C</w:t>
      </w:r>
      <w:r w:rsidR="00B26214">
        <w:rPr>
          <w:spacing w:val="-3"/>
          <w:sz w:val="24"/>
          <w:szCs w:val="24"/>
        </w:rPr>
        <w:t>mwlth</w:t>
      </w:r>
      <w:r w:rsidRPr="00614336">
        <w:rPr>
          <w:spacing w:val="-3"/>
          <w:sz w:val="24"/>
          <w:szCs w:val="24"/>
        </w:rPr>
        <w:t>. 21, 623 A.2d 6</w:t>
      </w:r>
      <w:r>
        <w:rPr>
          <w:spacing w:val="-3"/>
          <w:sz w:val="24"/>
          <w:szCs w:val="24"/>
        </w:rPr>
        <w:t xml:space="preserve"> </w:t>
      </w:r>
      <w:r w:rsidRPr="00614336">
        <w:rPr>
          <w:spacing w:val="-3"/>
          <w:sz w:val="24"/>
          <w:szCs w:val="24"/>
        </w:rPr>
        <w:t>(1993), 2 Pa.C.S. §</w:t>
      </w:r>
      <w:r w:rsidR="00B26214">
        <w:rPr>
          <w:spacing w:val="-3"/>
          <w:sz w:val="24"/>
          <w:szCs w:val="24"/>
        </w:rPr>
        <w:t>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r w:rsidRPr="00614336">
        <w:rPr>
          <w:spacing w:val="-3"/>
          <w:sz w:val="24"/>
          <w:szCs w:val="24"/>
          <w:u w:val="single"/>
        </w:rPr>
        <w:t>Norfolk and Western Ry. v. Pa.</w:t>
      </w:r>
      <w:r w:rsidR="00B26214">
        <w:rPr>
          <w:spacing w:val="-3"/>
          <w:sz w:val="24"/>
          <w:szCs w:val="24"/>
          <w:u w:val="single"/>
        </w:rPr>
        <w:t xml:space="preserve"> </w:t>
      </w:r>
      <w:r>
        <w:rPr>
          <w:spacing w:val="-3"/>
          <w:sz w:val="24"/>
          <w:szCs w:val="24"/>
          <w:u w:val="single"/>
        </w:rPr>
        <w:t>P</w:t>
      </w:r>
      <w:r w:rsidR="00B26214">
        <w:rPr>
          <w:spacing w:val="-3"/>
          <w:sz w:val="24"/>
          <w:szCs w:val="24"/>
          <w:u w:val="single"/>
        </w:rPr>
        <w:t>ub. 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194 Pa.Super. 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85 Pa.C</w:t>
      </w:r>
      <w:r w:rsidR="00B26214">
        <w:rPr>
          <w:spacing w:val="-3"/>
          <w:sz w:val="24"/>
          <w:szCs w:val="24"/>
        </w:rPr>
        <w:t>mwlth</w:t>
      </w:r>
      <w:r w:rsidRPr="00614336">
        <w:rPr>
          <w:spacing w:val="-3"/>
          <w:sz w:val="24"/>
          <w:szCs w:val="24"/>
        </w:rPr>
        <w:t>. 23, 480 A.2d 382</w:t>
      </w:r>
      <w:r>
        <w:rPr>
          <w:spacing w:val="-3"/>
          <w:sz w:val="24"/>
          <w:szCs w:val="24"/>
        </w:rPr>
        <w:t xml:space="preserve"> </w:t>
      </w:r>
      <w:r w:rsidRPr="00614336">
        <w:rPr>
          <w:spacing w:val="-3"/>
          <w:sz w:val="24"/>
          <w:szCs w:val="24"/>
        </w:rPr>
        <w:t>(1984).</w:t>
      </w:r>
    </w:p>
    <w:p w:rsidR="00FD1BDA" w:rsidRPr="00FD1BDA" w:rsidRDefault="00FD1BDA" w:rsidP="00FD1BDA">
      <w:pPr>
        <w:tabs>
          <w:tab w:val="left" w:pos="-1440"/>
          <w:tab w:val="left" w:pos="-720"/>
        </w:tabs>
        <w:suppressAutoHyphens/>
        <w:spacing w:line="360" w:lineRule="auto"/>
        <w:ind w:firstLine="1440"/>
        <w:rPr>
          <w:spacing w:val="-3"/>
          <w:sz w:val="24"/>
          <w:szCs w:val="24"/>
          <w:u w:val="single"/>
        </w:rPr>
      </w:pPr>
    </w:p>
    <w:p w:rsidR="00FD1BDA" w:rsidRDefault="00FD1BDA" w:rsidP="00FD1BDA">
      <w:pPr>
        <w:tabs>
          <w:tab w:val="left" w:pos="-1440"/>
          <w:tab w:val="left" w:pos="-720"/>
        </w:tabs>
        <w:suppressAutoHyphens/>
        <w:spacing w:line="360" w:lineRule="auto"/>
        <w:rPr>
          <w:spacing w:val="-3"/>
          <w:sz w:val="24"/>
          <w:szCs w:val="24"/>
          <w:u w:val="single"/>
        </w:rPr>
      </w:pPr>
      <w:r w:rsidRPr="00FD1BDA">
        <w:rPr>
          <w:spacing w:val="-3"/>
          <w:sz w:val="24"/>
          <w:szCs w:val="24"/>
          <w:u w:val="single"/>
        </w:rPr>
        <w:t>Legal Standard:</w:t>
      </w:r>
    </w:p>
    <w:p w:rsidR="00726919" w:rsidRDefault="00726919" w:rsidP="00FD1BDA">
      <w:pPr>
        <w:tabs>
          <w:tab w:val="left" w:pos="-1440"/>
          <w:tab w:val="left" w:pos="-720"/>
        </w:tabs>
        <w:suppressAutoHyphens/>
        <w:spacing w:line="360" w:lineRule="auto"/>
        <w:rPr>
          <w:spacing w:val="-3"/>
          <w:sz w:val="24"/>
          <w:szCs w:val="24"/>
          <w:u w:val="single"/>
        </w:rPr>
      </w:pPr>
    </w:p>
    <w:p w:rsidR="000356F8" w:rsidRPr="000356F8" w:rsidRDefault="000356F8" w:rsidP="000356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0356F8">
        <w:rPr>
          <w:sz w:val="24"/>
          <w:szCs w:val="24"/>
        </w:rPr>
        <w:t xml:space="preserve">The Complainant here alleges a </w:t>
      </w:r>
      <w:r>
        <w:rPr>
          <w:sz w:val="24"/>
          <w:szCs w:val="24"/>
        </w:rPr>
        <w:t xml:space="preserve">high </w:t>
      </w:r>
      <w:r w:rsidRPr="000356F8">
        <w:rPr>
          <w:sz w:val="24"/>
          <w:szCs w:val="24"/>
        </w:rPr>
        <w:t xml:space="preserve">billing dispute.  Therefore, the Complainant’s burden of proof is governed by </w:t>
      </w:r>
      <w:r w:rsidRPr="000356F8">
        <w:rPr>
          <w:sz w:val="24"/>
          <w:szCs w:val="24"/>
          <w:u w:val="single"/>
        </w:rPr>
        <w:t>Waldron v. Philadelphia Electric Co</w:t>
      </w:r>
      <w:r w:rsidRPr="000356F8">
        <w:rPr>
          <w:i/>
          <w:sz w:val="24"/>
          <w:szCs w:val="24"/>
        </w:rPr>
        <w:t>.</w:t>
      </w:r>
      <w:r w:rsidRPr="000356F8">
        <w:rPr>
          <w:sz w:val="24"/>
          <w:szCs w:val="24"/>
        </w:rPr>
        <w:t>, 54 Pa. PUC 98 (1980)</w:t>
      </w:r>
      <w:r w:rsidR="00AC2BF5">
        <w:rPr>
          <w:sz w:val="24"/>
          <w:szCs w:val="24"/>
        </w:rPr>
        <w:t xml:space="preserve">. </w:t>
      </w:r>
      <w:r w:rsidRPr="000356F8">
        <w:rPr>
          <w:sz w:val="24"/>
          <w:szCs w:val="24"/>
        </w:rPr>
        <w:t xml:space="preserve"> In </w:t>
      </w:r>
      <w:r w:rsidRPr="000356F8">
        <w:rPr>
          <w:sz w:val="24"/>
          <w:szCs w:val="24"/>
          <w:u w:val="single"/>
        </w:rPr>
        <w:t>Waldron</w:t>
      </w:r>
      <w:r w:rsidRPr="000356F8">
        <w:rPr>
          <w:sz w:val="24"/>
          <w:szCs w:val="24"/>
        </w:rPr>
        <w:t xml:space="preserve">, the Commission concluded that a complainant may establish a </w:t>
      </w:r>
      <w:r w:rsidRPr="000356F8">
        <w:rPr>
          <w:i/>
          <w:sz w:val="24"/>
          <w:szCs w:val="24"/>
        </w:rPr>
        <w:t>prima facie</w:t>
      </w:r>
      <w:r w:rsidRPr="000356F8">
        <w:rPr>
          <w:sz w:val="24"/>
          <w:szCs w:val="24"/>
        </w:rPr>
        <w:t xml:space="preserve"> case by showing that:  (1) the number of occupants of the household has not changed; (2)</w:t>
      </w:r>
      <w:r w:rsidR="00C05A9E">
        <w:rPr>
          <w:sz w:val="24"/>
          <w:szCs w:val="24"/>
        </w:rPr>
        <w:t> </w:t>
      </w:r>
      <w:r w:rsidRPr="000356F8">
        <w:rPr>
          <w:sz w:val="24"/>
          <w:szCs w:val="24"/>
        </w:rPr>
        <w:t xml:space="preserve">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Pr="000356F8">
        <w:rPr>
          <w:i/>
          <w:sz w:val="24"/>
          <w:szCs w:val="24"/>
        </w:rPr>
        <w:t xml:space="preserve">prima facie </w:t>
      </w:r>
      <w:r w:rsidRPr="000356F8">
        <w:rPr>
          <w:sz w:val="24"/>
          <w:szCs w:val="24"/>
        </w:rPr>
        <w:t xml:space="preserve">case, the burden of going forward with the evidence shifts back to the Complainant.  In order to satisfy the burden of proof, the Complainant must rebut the Respondent’s evidence by a preponderance of the evidence.  Although the burden of going forward with the evidence may shift from one party to another during a proceeding, the </w:t>
      </w:r>
      <w:r w:rsidR="00A75A70">
        <w:rPr>
          <w:sz w:val="24"/>
          <w:szCs w:val="24"/>
        </w:rPr>
        <w:t>“</w:t>
      </w:r>
      <w:r w:rsidRPr="000356F8">
        <w:rPr>
          <w:sz w:val="24"/>
          <w:szCs w:val="24"/>
        </w:rPr>
        <w:t>burden of proof</w:t>
      </w:r>
      <w:r w:rsidR="00A75A70">
        <w:rPr>
          <w:sz w:val="24"/>
          <w:szCs w:val="24"/>
        </w:rPr>
        <w:t>”</w:t>
      </w:r>
      <w:r w:rsidRPr="000356F8">
        <w:rPr>
          <w:sz w:val="24"/>
          <w:szCs w:val="24"/>
        </w:rPr>
        <w:t xml:space="preserve"> never shifts.  It always remains on the Complainant.  </w:t>
      </w:r>
      <w:r w:rsidRPr="000356F8">
        <w:rPr>
          <w:sz w:val="24"/>
          <w:szCs w:val="24"/>
          <w:u w:val="single"/>
        </w:rPr>
        <w:t>Replogle v. Pennsylvania Electric Co.</w:t>
      </w:r>
      <w:r w:rsidRPr="000356F8">
        <w:rPr>
          <w:sz w:val="24"/>
          <w:szCs w:val="24"/>
        </w:rPr>
        <w:t>, 54 Pa. PUC 528 (1980)</w:t>
      </w:r>
      <w:r w:rsidR="004951EB">
        <w:rPr>
          <w:sz w:val="24"/>
          <w:szCs w:val="24"/>
        </w:rPr>
        <w:t>.</w:t>
      </w:r>
    </w:p>
    <w:p w:rsidR="000356F8" w:rsidRPr="000356F8" w:rsidRDefault="000356F8" w:rsidP="000356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0356F8" w:rsidRPr="000356F8" w:rsidRDefault="000356F8" w:rsidP="000356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0356F8">
        <w:rPr>
          <w:sz w:val="24"/>
          <w:szCs w:val="24"/>
        </w:rPr>
        <w:t xml:space="preserve">The Commonwealth Court broadened the Commission’s ruling in </w:t>
      </w:r>
      <w:r w:rsidRPr="000356F8">
        <w:rPr>
          <w:sz w:val="24"/>
          <w:szCs w:val="24"/>
          <w:u w:val="single"/>
        </w:rPr>
        <w:t>Waldron</w:t>
      </w:r>
      <w:r w:rsidRPr="000356F8">
        <w:rPr>
          <w:sz w:val="24"/>
          <w:szCs w:val="24"/>
        </w:rPr>
        <w:t xml:space="preserve"> in</w:t>
      </w:r>
      <w:r w:rsidRPr="000356F8">
        <w:rPr>
          <w:i/>
          <w:sz w:val="24"/>
          <w:szCs w:val="24"/>
        </w:rPr>
        <w:t xml:space="preserve"> </w:t>
      </w:r>
      <w:r w:rsidRPr="000356F8">
        <w:rPr>
          <w:sz w:val="24"/>
          <w:szCs w:val="24"/>
          <w:u w:val="single"/>
        </w:rPr>
        <w:t>Milkie v. P</w:t>
      </w:r>
      <w:r w:rsidR="008F00F6">
        <w:rPr>
          <w:sz w:val="24"/>
          <w:szCs w:val="24"/>
          <w:u w:val="single"/>
        </w:rPr>
        <w:t>a.</w:t>
      </w:r>
      <w:r w:rsidRPr="000356F8">
        <w:rPr>
          <w:sz w:val="24"/>
          <w:szCs w:val="24"/>
          <w:u w:val="single"/>
        </w:rPr>
        <w:t xml:space="preserve"> Pub. Util. Com</w:t>
      </w:r>
      <w:r w:rsidR="008F00F6">
        <w:rPr>
          <w:sz w:val="24"/>
          <w:szCs w:val="24"/>
          <w:u w:val="single"/>
        </w:rPr>
        <w:t>m’n</w:t>
      </w:r>
      <w:r w:rsidRPr="000356F8">
        <w:rPr>
          <w:sz w:val="24"/>
          <w:szCs w:val="24"/>
        </w:rPr>
        <w:t>, 768 A.2d 1217 (Pa.Cmwlth. 2001) (</w:t>
      </w:r>
      <w:r w:rsidRPr="000356F8">
        <w:rPr>
          <w:i/>
          <w:sz w:val="24"/>
          <w:szCs w:val="24"/>
        </w:rPr>
        <w:t>Milkie</w:t>
      </w:r>
      <w:r w:rsidRPr="000356F8">
        <w:rPr>
          <w:sz w:val="24"/>
          <w:szCs w:val="24"/>
        </w:rPr>
        <w:t xml:space="preserve">).  The Commonwealth Court held that the Commission’s requirement that the Complainant must establish certain specific elements in order to make out a </w:t>
      </w:r>
      <w:r w:rsidRPr="000356F8">
        <w:rPr>
          <w:i/>
          <w:sz w:val="24"/>
          <w:szCs w:val="24"/>
        </w:rPr>
        <w:t>prima facie</w:t>
      </w:r>
      <w:r w:rsidRPr="000356F8">
        <w:rPr>
          <w:sz w:val="24"/>
          <w:szCs w:val="24"/>
        </w:rPr>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w:t>
      </w:r>
      <w:r w:rsidRPr="000356F8">
        <w:rPr>
          <w:i/>
          <w:sz w:val="24"/>
          <w:szCs w:val="24"/>
        </w:rPr>
        <w:t xml:space="preserve">.  </w:t>
      </w:r>
      <w:r w:rsidRPr="000356F8">
        <w:rPr>
          <w:sz w:val="24"/>
          <w:szCs w:val="24"/>
          <w:u w:val="single"/>
        </w:rPr>
        <w:t>Bennett v</w:t>
      </w:r>
      <w:r w:rsidR="004D10B8">
        <w:rPr>
          <w:sz w:val="24"/>
          <w:szCs w:val="24"/>
          <w:u w:val="single"/>
        </w:rPr>
        <w:t>.</w:t>
      </w:r>
      <w:r w:rsidRPr="000356F8">
        <w:rPr>
          <w:sz w:val="24"/>
          <w:szCs w:val="24"/>
          <w:u w:val="single"/>
        </w:rPr>
        <w:t xml:space="preserve"> Peoples Natural Gas Co.</w:t>
      </w:r>
      <w:r w:rsidRPr="000356F8">
        <w:rPr>
          <w:sz w:val="24"/>
          <w:szCs w:val="24"/>
        </w:rPr>
        <w:t xml:space="preserve">, Docket No. C-2009-2122979 (Order entered October 13, 2010); </w:t>
      </w:r>
      <w:r w:rsidRPr="000356F8">
        <w:rPr>
          <w:sz w:val="24"/>
          <w:szCs w:val="24"/>
          <w:u w:val="single"/>
        </w:rPr>
        <w:t>Thomas v</w:t>
      </w:r>
      <w:r w:rsidR="008F00F6">
        <w:rPr>
          <w:sz w:val="24"/>
          <w:szCs w:val="24"/>
          <w:u w:val="single"/>
        </w:rPr>
        <w:t>.</w:t>
      </w:r>
      <w:r w:rsidRPr="000356F8">
        <w:rPr>
          <w:sz w:val="24"/>
          <w:szCs w:val="24"/>
          <w:u w:val="single"/>
        </w:rPr>
        <w:t xml:space="preserve"> PECO Energy Co.</w:t>
      </w:r>
      <w:r w:rsidRPr="000356F8">
        <w:rPr>
          <w:sz w:val="24"/>
          <w:szCs w:val="24"/>
        </w:rPr>
        <w:t xml:space="preserve">, Docket No. C-2010-2187197 (Order entered November 15, 2011).  This rule protects the Complainant from dismissal because of his inability to produce direct proof that the meter malfunctioned.   </w:t>
      </w:r>
    </w:p>
    <w:p w:rsidR="000356F8" w:rsidRPr="000356F8" w:rsidRDefault="000356F8" w:rsidP="000356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0356F8" w:rsidRPr="000356F8" w:rsidRDefault="000356F8" w:rsidP="000356F8">
      <w:pPr>
        <w:spacing w:line="360" w:lineRule="auto"/>
        <w:ind w:firstLine="1440"/>
        <w:rPr>
          <w:rFonts w:cs="Calibri"/>
          <w:color w:val="1F497D"/>
          <w:sz w:val="24"/>
          <w:szCs w:val="24"/>
        </w:rPr>
      </w:pPr>
      <w:r w:rsidRPr="000356F8">
        <w:rPr>
          <w:sz w:val="24"/>
          <w:szCs w:val="24"/>
        </w:rPr>
        <w:t xml:space="preserve">As noted above, the burden of proof always remains with the Complainant and if the utility presents evidence that is co-equal or greater in weight than the Complainant’s, the Complainant will not have met his burden of proof.  The Commonwealth Court in </w:t>
      </w:r>
      <w:r w:rsidRPr="000356F8">
        <w:rPr>
          <w:sz w:val="24"/>
          <w:szCs w:val="24"/>
          <w:u w:val="single"/>
        </w:rPr>
        <w:t>Milkie</w:t>
      </w:r>
      <w:r w:rsidRPr="000356F8">
        <w:rPr>
          <w:sz w:val="24"/>
          <w:szCs w:val="24"/>
        </w:rPr>
        <w:t xml:space="preserve"> emphasized that the mere proof by the utility that its measuring devices are accurate is no longer the sole determinant of whether there is a basis to a complaint of over billing.  </w:t>
      </w:r>
      <w:r w:rsidRPr="000356F8">
        <w:rPr>
          <w:sz w:val="24"/>
          <w:szCs w:val="24"/>
          <w:u w:val="single"/>
        </w:rPr>
        <w:t>Burleson v. P</w:t>
      </w:r>
      <w:r w:rsidR="00056F7A">
        <w:rPr>
          <w:sz w:val="24"/>
          <w:szCs w:val="24"/>
          <w:u w:val="single"/>
        </w:rPr>
        <w:t>a.</w:t>
      </w:r>
      <w:r w:rsidRPr="000356F8">
        <w:rPr>
          <w:sz w:val="24"/>
          <w:szCs w:val="24"/>
          <w:u w:val="single"/>
        </w:rPr>
        <w:t xml:space="preserve"> Pub. Util. Comm’n</w:t>
      </w:r>
      <w:r w:rsidRPr="000356F8">
        <w:rPr>
          <w:sz w:val="24"/>
          <w:szCs w:val="24"/>
        </w:rPr>
        <w:t>, 461 A.2d 1234 (Pa. 1983).</w:t>
      </w:r>
    </w:p>
    <w:p w:rsidR="000356F8" w:rsidRPr="004F5A63" w:rsidRDefault="000356F8" w:rsidP="00056F7A">
      <w:pPr>
        <w:spacing w:line="360" w:lineRule="auto"/>
      </w:pPr>
    </w:p>
    <w:p w:rsidR="00FD1BDA" w:rsidRDefault="004F5A63" w:rsidP="00FD1BDA">
      <w:pPr>
        <w:tabs>
          <w:tab w:val="left" w:pos="-1440"/>
          <w:tab w:val="left" w:pos="-720"/>
        </w:tabs>
        <w:suppressAutoHyphens/>
        <w:spacing w:line="360" w:lineRule="auto"/>
        <w:ind w:firstLine="1440"/>
        <w:rPr>
          <w:spacing w:val="-3"/>
          <w:sz w:val="24"/>
          <w:szCs w:val="24"/>
        </w:rPr>
      </w:pPr>
      <w:r w:rsidRPr="004F5A63">
        <w:rPr>
          <w:spacing w:val="-3"/>
          <w:sz w:val="24"/>
          <w:szCs w:val="24"/>
        </w:rPr>
        <w:t>The Complainant</w:t>
      </w:r>
      <w:r>
        <w:rPr>
          <w:spacing w:val="-3"/>
          <w:sz w:val="24"/>
          <w:szCs w:val="24"/>
        </w:rPr>
        <w:t xml:space="preserve"> testified that there were two people in the house.  He did not state whether there were periods of any visitors that would have increased the electricity usage.  </w:t>
      </w:r>
      <w:r w:rsidR="00086591">
        <w:rPr>
          <w:spacing w:val="-3"/>
          <w:sz w:val="24"/>
          <w:szCs w:val="24"/>
        </w:rPr>
        <w:t xml:space="preserve">Nor do we know of any periods where he and his wife were away from the house.  </w:t>
      </w:r>
      <w:r w:rsidR="00EB2D91">
        <w:rPr>
          <w:spacing w:val="-3"/>
          <w:sz w:val="24"/>
          <w:szCs w:val="24"/>
        </w:rPr>
        <w:t xml:space="preserve">We know the Complainant uses propane, but we have no bills or receipts to evidence low propane usage.  </w:t>
      </w:r>
      <w:r w:rsidR="00086591">
        <w:rPr>
          <w:spacing w:val="-3"/>
          <w:sz w:val="24"/>
          <w:szCs w:val="24"/>
        </w:rPr>
        <w:t>We do not know the potential for energy usage because the Complainant refused to have an energy usage analysis done despite PPL’s several offers.</w:t>
      </w:r>
    </w:p>
    <w:p w:rsidR="00FD5C2A" w:rsidRDefault="00FD5C2A" w:rsidP="00FD1BDA">
      <w:pPr>
        <w:tabs>
          <w:tab w:val="left" w:pos="-1440"/>
          <w:tab w:val="left" w:pos="-720"/>
        </w:tabs>
        <w:suppressAutoHyphens/>
        <w:spacing w:line="360" w:lineRule="auto"/>
        <w:ind w:firstLine="1440"/>
        <w:rPr>
          <w:spacing w:val="-3"/>
          <w:sz w:val="24"/>
          <w:szCs w:val="24"/>
        </w:rPr>
      </w:pPr>
    </w:p>
    <w:p w:rsidR="00FD5C2A" w:rsidRDefault="00FD5C2A" w:rsidP="00FD1BDA">
      <w:pPr>
        <w:tabs>
          <w:tab w:val="left" w:pos="-1440"/>
          <w:tab w:val="left" w:pos="-720"/>
        </w:tabs>
        <w:suppressAutoHyphens/>
        <w:spacing w:line="360" w:lineRule="auto"/>
        <w:ind w:firstLine="1440"/>
        <w:rPr>
          <w:spacing w:val="-3"/>
          <w:sz w:val="24"/>
          <w:szCs w:val="24"/>
        </w:rPr>
      </w:pPr>
      <w:r>
        <w:rPr>
          <w:spacing w:val="-3"/>
          <w:sz w:val="24"/>
          <w:szCs w:val="24"/>
        </w:rPr>
        <w:t>PPL removed the meter from the Complainant’s house and tested it.  The meter tested accurately.  PPL Exh. 5.  The Complainant argues that because he was not present when the meter was tested that the test is faulty.  There is no indication or any evidence that PPL manipulated the results of the meter test.</w:t>
      </w:r>
    </w:p>
    <w:p w:rsidR="00FD5C2A" w:rsidRDefault="00FD5C2A" w:rsidP="00FD1BDA">
      <w:pPr>
        <w:tabs>
          <w:tab w:val="left" w:pos="-1440"/>
          <w:tab w:val="left" w:pos="-720"/>
        </w:tabs>
        <w:suppressAutoHyphens/>
        <w:spacing w:line="360" w:lineRule="auto"/>
        <w:ind w:firstLine="1440"/>
        <w:rPr>
          <w:spacing w:val="-3"/>
          <w:sz w:val="24"/>
          <w:szCs w:val="24"/>
        </w:rPr>
      </w:pPr>
    </w:p>
    <w:p w:rsidR="006659AA" w:rsidRDefault="00FD5C2A" w:rsidP="00FD1BDA">
      <w:pPr>
        <w:tabs>
          <w:tab w:val="left" w:pos="-1440"/>
          <w:tab w:val="left" w:pos="-720"/>
        </w:tabs>
        <w:suppressAutoHyphens/>
        <w:spacing w:line="360" w:lineRule="auto"/>
        <w:ind w:firstLine="1440"/>
        <w:rPr>
          <w:sz w:val="24"/>
          <w:szCs w:val="24"/>
        </w:rPr>
      </w:pPr>
      <w:r>
        <w:rPr>
          <w:spacing w:val="-3"/>
          <w:sz w:val="24"/>
          <w:szCs w:val="24"/>
        </w:rPr>
        <w:t xml:space="preserve">The Complainant did not prove that the metered usage exceeded actual usage. </w:t>
      </w:r>
      <w:r w:rsidRPr="000356F8">
        <w:rPr>
          <w:sz w:val="24"/>
          <w:szCs w:val="24"/>
          <w:u w:val="single"/>
        </w:rPr>
        <w:t>Bennett v</w:t>
      </w:r>
      <w:r w:rsidR="00AD3CA2">
        <w:rPr>
          <w:sz w:val="24"/>
          <w:szCs w:val="24"/>
          <w:u w:val="single"/>
        </w:rPr>
        <w:t>.</w:t>
      </w:r>
      <w:r w:rsidRPr="000356F8">
        <w:rPr>
          <w:sz w:val="24"/>
          <w:szCs w:val="24"/>
          <w:u w:val="single"/>
        </w:rPr>
        <w:t xml:space="preserve"> Peoples Natural Gas Co.</w:t>
      </w:r>
      <w:r w:rsidRPr="000356F8">
        <w:rPr>
          <w:sz w:val="24"/>
          <w:szCs w:val="24"/>
        </w:rPr>
        <w:t>, Docket No. C-2009-2122979 (Order entered October 13, 2010)</w:t>
      </w:r>
      <w:r>
        <w:rPr>
          <w:sz w:val="24"/>
          <w:szCs w:val="24"/>
        </w:rPr>
        <w:t xml:space="preserve">.  </w:t>
      </w:r>
      <w:r w:rsidR="006659AA">
        <w:rPr>
          <w:sz w:val="24"/>
          <w:szCs w:val="24"/>
        </w:rPr>
        <w:t>The Complainant did not successfully rebut PPL’s evidence of an accurate meter; he simply accused PPL of lying.</w:t>
      </w:r>
    </w:p>
    <w:p w:rsidR="006659AA" w:rsidRDefault="006659AA" w:rsidP="00FD1BDA">
      <w:pPr>
        <w:tabs>
          <w:tab w:val="left" w:pos="-1440"/>
          <w:tab w:val="left" w:pos="-720"/>
        </w:tabs>
        <w:suppressAutoHyphens/>
        <w:spacing w:line="360" w:lineRule="auto"/>
        <w:ind w:firstLine="1440"/>
        <w:rPr>
          <w:sz w:val="24"/>
          <w:szCs w:val="24"/>
        </w:rPr>
      </w:pPr>
    </w:p>
    <w:p w:rsidR="006659AA" w:rsidRDefault="006659AA" w:rsidP="00FD1BDA">
      <w:pPr>
        <w:tabs>
          <w:tab w:val="left" w:pos="-1440"/>
          <w:tab w:val="left" w:pos="-720"/>
        </w:tabs>
        <w:suppressAutoHyphens/>
        <w:spacing w:line="360" w:lineRule="auto"/>
        <w:ind w:firstLine="1440"/>
        <w:rPr>
          <w:sz w:val="24"/>
          <w:szCs w:val="24"/>
        </w:rPr>
      </w:pPr>
      <w:r>
        <w:rPr>
          <w:sz w:val="24"/>
          <w:szCs w:val="24"/>
        </w:rPr>
        <w:t>There is simply not enough in the record to find that PPL inappropriately charged the Complainant.  Had the Complainant allowed PPL to conduct a high bill investigation and energy use analysis, there would have been a stronger and more useful record.</w:t>
      </w:r>
    </w:p>
    <w:p w:rsidR="006659AA" w:rsidRDefault="006659AA" w:rsidP="00FD1BDA">
      <w:pPr>
        <w:tabs>
          <w:tab w:val="left" w:pos="-1440"/>
          <w:tab w:val="left" w:pos="-720"/>
        </w:tabs>
        <w:suppressAutoHyphens/>
        <w:spacing w:line="360" w:lineRule="auto"/>
        <w:ind w:firstLine="1440"/>
        <w:rPr>
          <w:sz w:val="24"/>
          <w:szCs w:val="24"/>
        </w:rPr>
      </w:pPr>
    </w:p>
    <w:p w:rsidR="006659AA" w:rsidRDefault="006659AA" w:rsidP="00FD1BDA">
      <w:pPr>
        <w:tabs>
          <w:tab w:val="left" w:pos="-1440"/>
          <w:tab w:val="left" w:pos="-720"/>
        </w:tabs>
        <w:suppressAutoHyphens/>
        <w:spacing w:line="360" w:lineRule="auto"/>
        <w:ind w:firstLine="1440"/>
        <w:rPr>
          <w:sz w:val="24"/>
          <w:szCs w:val="24"/>
        </w:rPr>
      </w:pPr>
      <w:r>
        <w:rPr>
          <w:sz w:val="24"/>
          <w:szCs w:val="24"/>
        </w:rPr>
        <w:t>This Formal Complaint is denied and will be dismissed in the Ordering paragraphs below.</w:t>
      </w:r>
      <w:r w:rsidR="00EB2D91">
        <w:rPr>
          <w:sz w:val="24"/>
          <w:szCs w:val="24"/>
        </w:rPr>
        <w:t xml:space="preserve">  The Complainant must pay his monthly budget billing amount plus the appropriate arrearage payment or risk termination by PPL.</w:t>
      </w:r>
    </w:p>
    <w:p w:rsidR="00FD1BDA" w:rsidRDefault="00FD5C2A" w:rsidP="006659AA">
      <w:pPr>
        <w:tabs>
          <w:tab w:val="left" w:pos="-1440"/>
          <w:tab w:val="left" w:pos="-720"/>
        </w:tabs>
        <w:suppressAutoHyphens/>
        <w:spacing w:line="360" w:lineRule="auto"/>
        <w:ind w:firstLine="1440"/>
      </w:pPr>
      <w:r>
        <w:rPr>
          <w:spacing w:val="-3"/>
          <w:sz w:val="24"/>
          <w:szCs w:val="24"/>
        </w:rPr>
        <w:t xml:space="preserve"> </w:t>
      </w:r>
    </w:p>
    <w:p w:rsidR="00A470ED" w:rsidRDefault="00FC4DD1" w:rsidP="006659AA">
      <w:pPr>
        <w:spacing w:line="360" w:lineRule="auto"/>
        <w:jc w:val="center"/>
        <w:rPr>
          <w:sz w:val="24"/>
          <w:szCs w:val="24"/>
          <w:u w:val="single"/>
        </w:rPr>
      </w:pPr>
      <w:r>
        <w:rPr>
          <w:sz w:val="24"/>
          <w:szCs w:val="24"/>
          <w:u w:val="single"/>
        </w:rPr>
        <w:t>CONC</w:t>
      </w:r>
      <w:r w:rsidR="00C419F9">
        <w:rPr>
          <w:sz w:val="24"/>
          <w:szCs w:val="24"/>
          <w:u w:val="single"/>
        </w:rPr>
        <w:t>LUSIONS OF LAW</w:t>
      </w:r>
    </w:p>
    <w:p w:rsidR="006659AA" w:rsidRPr="006659AA" w:rsidRDefault="006659AA" w:rsidP="006659AA">
      <w:pPr>
        <w:spacing w:line="360" w:lineRule="auto"/>
        <w:jc w:val="center"/>
        <w:rPr>
          <w:sz w:val="24"/>
          <w:szCs w:val="24"/>
        </w:rPr>
      </w:pPr>
    </w:p>
    <w:p w:rsidR="006659AA" w:rsidRDefault="006659AA" w:rsidP="006659AA">
      <w:pPr>
        <w:pStyle w:val="ListParagraph"/>
        <w:numPr>
          <w:ilvl w:val="0"/>
          <w:numId w:val="27"/>
        </w:numPr>
        <w:spacing w:line="360" w:lineRule="auto"/>
        <w:ind w:left="0" w:firstLine="1440"/>
        <w:rPr>
          <w:sz w:val="24"/>
          <w:szCs w:val="24"/>
        </w:rPr>
      </w:pPr>
      <w:r w:rsidRPr="006659AA">
        <w:rPr>
          <w:sz w:val="24"/>
          <w:szCs w:val="24"/>
        </w:rPr>
        <w:t>The Commission has jurisdiction over this Formal Complaint.</w:t>
      </w:r>
    </w:p>
    <w:p w:rsidR="00B46119" w:rsidRDefault="00B46119" w:rsidP="00B46119">
      <w:pPr>
        <w:pStyle w:val="ListParagraph"/>
        <w:spacing w:line="360" w:lineRule="auto"/>
        <w:ind w:left="1440"/>
        <w:rPr>
          <w:sz w:val="24"/>
          <w:szCs w:val="24"/>
        </w:rPr>
      </w:pPr>
    </w:p>
    <w:p w:rsidR="006659AA" w:rsidRDefault="00CC0FBD" w:rsidP="006659AA">
      <w:pPr>
        <w:pStyle w:val="ListParagraph"/>
        <w:numPr>
          <w:ilvl w:val="0"/>
          <w:numId w:val="27"/>
        </w:numPr>
        <w:spacing w:line="360" w:lineRule="auto"/>
        <w:ind w:left="0" w:firstLine="1440"/>
        <w:rPr>
          <w:sz w:val="24"/>
          <w:szCs w:val="24"/>
        </w:rPr>
      </w:pPr>
      <w:r>
        <w:rPr>
          <w:sz w:val="24"/>
          <w:szCs w:val="24"/>
        </w:rPr>
        <w:t>The Complainant failed to meet his burden of proof.</w:t>
      </w:r>
    </w:p>
    <w:p w:rsidR="00B46119" w:rsidRDefault="00B46119" w:rsidP="00B46119">
      <w:pPr>
        <w:pStyle w:val="ListParagraph"/>
        <w:spacing w:line="360" w:lineRule="auto"/>
        <w:ind w:left="1440"/>
        <w:rPr>
          <w:sz w:val="24"/>
          <w:szCs w:val="24"/>
        </w:rPr>
      </w:pPr>
    </w:p>
    <w:p w:rsidR="00CC0FBD" w:rsidRDefault="00CC0FBD" w:rsidP="006659AA">
      <w:pPr>
        <w:pStyle w:val="ListParagraph"/>
        <w:numPr>
          <w:ilvl w:val="0"/>
          <w:numId w:val="27"/>
        </w:numPr>
        <w:spacing w:line="360" w:lineRule="auto"/>
        <w:ind w:left="0" w:firstLine="1440"/>
        <w:rPr>
          <w:sz w:val="24"/>
          <w:szCs w:val="24"/>
        </w:rPr>
      </w:pPr>
      <w:r>
        <w:rPr>
          <w:sz w:val="24"/>
          <w:szCs w:val="24"/>
        </w:rPr>
        <w:t>PPL Electric Utilities Corporation has not violated the Public Utility Code.</w:t>
      </w:r>
    </w:p>
    <w:p w:rsidR="00EB2D91" w:rsidRPr="006659AA" w:rsidRDefault="00EB2D91" w:rsidP="006659AA">
      <w:pPr>
        <w:pStyle w:val="ListParagraph"/>
        <w:numPr>
          <w:ilvl w:val="0"/>
          <w:numId w:val="27"/>
        </w:numPr>
        <w:spacing w:line="360" w:lineRule="auto"/>
        <w:ind w:left="0" w:firstLine="1440"/>
        <w:rPr>
          <w:sz w:val="24"/>
          <w:szCs w:val="24"/>
        </w:rPr>
      </w:pPr>
      <w:r>
        <w:rPr>
          <w:sz w:val="24"/>
          <w:szCs w:val="24"/>
        </w:rPr>
        <w:t>The Complainant must pay his monthly budget billing amount plus the appropriate arrearage payment or risk termination.</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2401A9" w:rsidRPr="00311AD2" w:rsidRDefault="002401A9"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B46119" w:rsidRDefault="00B46119" w:rsidP="0081696C">
      <w:pPr>
        <w:spacing w:line="360" w:lineRule="auto"/>
        <w:ind w:firstLine="1440"/>
        <w:outlineLvl w:val="0"/>
        <w:rPr>
          <w:sz w:val="24"/>
          <w:szCs w:val="24"/>
        </w:rPr>
      </w:pPr>
    </w:p>
    <w:p w:rsidR="00311AD2" w:rsidRDefault="00CC0FBD" w:rsidP="00CC0FBD">
      <w:pPr>
        <w:pStyle w:val="ListParagraph"/>
        <w:numPr>
          <w:ilvl w:val="0"/>
          <w:numId w:val="28"/>
        </w:numPr>
        <w:spacing w:line="360" w:lineRule="auto"/>
        <w:ind w:left="0" w:firstLine="1440"/>
        <w:outlineLvl w:val="0"/>
        <w:rPr>
          <w:sz w:val="24"/>
          <w:szCs w:val="24"/>
        </w:rPr>
      </w:pPr>
      <w:r>
        <w:rPr>
          <w:sz w:val="24"/>
          <w:szCs w:val="24"/>
        </w:rPr>
        <w:t>That the Formal Complaint of Joseph P. Carnevale is dismissed.</w:t>
      </w:r>
    </w:p>
    <w:p w:rsidR="00B46119" w:rsidRDefault="00B46119" w:rsidP="00B46119">
      <w:pPr>
        <w:pStyle w:val="ListParagraph"/>
        <w:spacing w:line="360" w:lineRule="auto"/>
        <w:ind w:left="1440"/>
        <w:outlineLvl w:val="0"/>
        <w:rPr>
          <w:sz w:val="24"/>
          <w:szCs w:val="24"/>
        </w:rPr>
      </w:pPr>
    </w:p>
    <w:p w:rsidR="00CC0FBD" w:rsidRDefault="00CC0FBD" w:rsidP="00CC0FBD">
      <w:pPr>
        <w:pStyle w:val="ListParagraph"/>
        <w:numPr>
          <w:ilvl w:val="0"/>
          <w:numId w:val="28"/>
        </w:numPr>
        <w:spacing w:line="360" w:lineRule="auto"/>
        <w:ind w:left="0" w:firstLine="1440"/>
        <w:outlineLvl w:val="0"/>
        <w:rPr>
          <w:sz w:val="24"/>
          <w:szCs w:val="24"/>
        </w:rPr>
      </w:pPr>
      <w:r>
        <w:rPr>
          <w:sz w:val="24"/>
          <w:szCs w:val="24"/>
        </w:rPr>
        <w:t xml:space="preserve">That the Secretary’s Bureau shall mark Docket No. C-2014-2426383 closed. </w:t>
      </w:r>
    </w:p>
    <w:p w:rsidR="00B46119" w:rsidRPr="00B46119" w:rsidRDefault="00B46119" w:rsidP="00B46119">
      <w:pPr>
        <w:pStyle w:val="ListParagraph"/>
        <w:rPr>
          <w:sz w:val="24"/>
          <w:szCs w:val="24"/>
        </w:rPr>
      </w:pPr>
    </w:p>
    <w:p w:rsidR="00B46119" w:rsidRPr="00CC0FBD" w:rsidRDefault="00B46119" w:rsidP="00B46119">
      <w:pPr>
        <w:pStyle w:val="ListParagraph"/>
        <w:spacing w:line="360" w:lineRule="auto"/>
        <w:ind w:left="1440"/>
        <w:outlineLvl w:val="0"/>
        <w:rPr>
          <w:sz w:val="24"/>
          <w:szCs w:val="24"/>
        </w:rPr>
      </w:pPr>
    </w:p>
    <w:p w:rsidR="00BB3104" w:rsidRDefault="00BB3104" w:rsidP="00CE68C6">
      <w:pPr>
        <w:spacing w:line="360" w:lineRule="auto"/>
        <w:rPr>
          <w:sz w:val="24"/>
          <w:szCs w:val="24"/>
        </w:rPr>
      </w:pPr>
    </w:p>
    <w:p w:rsidR="00CD47A5" w:rsidRDefault="00DE562E" w:rsidP="00CD47A5">
      <w:r w:rsidRPr="00DE562E">
        <w:rPr>
          <w:sz w:val="24"/>
          <w:szCs w:val="24"/>
        </w:rPr>
        <w:t>Date:</w:t>
      </w:r>
      <w:r w:rsidR="00B46119">
        <w:rPr>
          <w:sz w:val="24"/>
          <w:szCs w:val="24"/>
        </w:rPr>
        <w:t xml:space="preserve">  </w:t>
      </w:r>
      <w:r w:rsidR="00CC0FBD" w:rsidRPr="00B46119">
        <w:rPr>
          <w:sz w:val="24"/>
          <w:szCs w:val="24"/>
          <w:u w:val="single"/>
        </w:rPr>
        <w:t>December 10, 2014</w:t>
      </w:r>
      <w:r w:rsidR="001F7F73">
        <w:rPr>
          <w:sz w:val="24"/>
          <w:szCs w:val="24"/>
        </w:rPr>
        <w:tab/>
      </w:r>
      <w:r w:rsidR="001F7F73">
        <w:rPr>
          <w:sz w:val="24"/>
          <w:szCs w:val="24"/>
        </w:rPr>
        <w:tab/>
      </w:r>
      <w:r w:rsidR="001F7F73">
        <w:rPr>
          <w:sz w:val="24"/>
          <w:szCs w:val="24"/>
        </w:rPr>
        <w:tab/>
      </w:r>
      <w:r w:rsidR="001F7F73">
        <w:rPr>
          <w:sz w:val="24"/>
          <w:szCs w:val="24"/>
        </w:rPr>
        <w:tab/>
      </w:r>
      <w:r w:rsidR="00CD47A5">
        <w:rPr>
          <w:sz w:val="24"/>
          <w:szCs w:val="24"/>
        </w:rPr>
        <w:tab/>
      </w:r>
      <w:r w:rsidR="00CD47A5" w:rsidRPr="00CD47A5">
        <w:rPr>
          <w:sz w:val="24"/>
          <w:szCs w:val="24"/>
          <w:u w:val="single"/>
        </w:rPr>
        <w:tab/>
      </w:r>
      <w:r w:rsidR="00CD47A5" w:rsidRPr="00CD47A5">
        <w:rPr>
          <w:sz w:val="24"/>
          <w:szCs w:val="24"/>
          <w:u w:val="single"/>
        </w:rPr>
        <w:tab/>
        <w:t>/s/</w:t>
      </w:r>
      <w:r w:rsidR="00CD47A5" w:rsidRPr="00CD47A5">
        <w:rPr>
          <w:sz w:val="24"/>
          <w:szCs w:val="24"/>
          <w:u w:val="single"/>
        </w:rPr>
        <w:tab/>
      </w:r>
      <w:r w:rsidR="00CD47A5" w:rsidRPr="00CD47A5">
        <w:rPr>
          <w:sz w:val="24"/>
          <w:szCs w:val="24"/>
          <w:u w:val="single"/>
        </w:rPr>
        <w:tab/>
      </w:r>
      <w:r w:rsidR="00CD47A5" w:rsidRPr="00CD47A5">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CD47A5">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CD47A5">
        <w:rPr>
          <w:sz w:val="24"/>
          <w:szCs w:val="24"/>
        </w:rPr>
        <w:tab/>
      </w:r>
      <w:r w:rsidRPr="00DE562E">
        <w:rPr>
          <w:sz w:val="24"/>
          <w:szCs w:val="24"/>
        </w:rPr>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8B" w:rsidRDefault="00F67A8B">
      <w:r>
        <w:separator/>
      </w:r>
    </w:p>
  </w:endnote>
  <w:endnote w:type="continuationSeparator" w:id="0">
    <w:p w:rsidR="00F67A8B" w:rsidRDefault="00F6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0A382C">
      <w:rPr>
        <w:rStyle w:val="PageNumber"/>
        <w:noProof/>
        <w:sz w:val="20"/>
        <w:szCs w:val="20"/>
      </w:rPr>
      <w:t>7</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8B" w:rsidRDefault="00F67A8B">
      <w:r>
        <w:separator/>
      </w:r>
    </w:p>
  </w:footnote>
  <w:footnote w:type="continuationSeparator" w:id="0">
    <w:p w:rsidR="00F67A8B" w:rsidRDefault="00F67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223"/>
    <w:multiLevelType w:val="hybridMultilevel"/>
    <w:tmpl w:val="2FE6E7FE"/>
    <w:lvl w:ilvl="0" w:tplc="032E5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836333"/>
    <w:multiLevelType w:val="hybridMultilevel"/>
    <w:tmpl w:val="A906E7BE"/>
    <w:lvl w:ilvl="0" w:tplc="D9C6018C">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4A7F3BBB"/>
    <w:multiLevelType w:val="hybridMultilevel"/>
    <w:tmpl w:val="41F6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436611"/>
    <w:multiLevelType w:val="hybridMultilevel"/>
    <w:tmpl w:val="3A682E08"/>
    <w:lvl w:ilvl="0" w:tplc="59D0E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18"/>
  </w:num>
  <w:num w:numId="4">
    <w:abstractNumId w:val="4"/>
  </w:num>
  <w:num w:numId="5">
    <w:abstractNumId w:val="15"/>
  </w:num>
  <w:num w:numId="6">
    <w:abstractNumId w:val="10"/>
  </w:num>
  <w:num w:numId="7">
    <w:abstractNumId w:val="8"/>
  </w:num>
  <w:num w:numId="8">
    <w:abstractNumId w:val="1"/>
  </w:num>
  <w:num w:numId="9">
    <w:abstractNumId w:val="16"/>
  </w:num>
  <w:num w:numId="10">
    <w:abstractNumId w:val="20"/>
  </w:num>
  <w:num w:numId="11">
    <w:abstractNumId w:val="17"/>
  </w:num>
  <w:num w:numId="12">
    <w:abstractNumId w:val="28"/>
  </w:num>
  <w:num w:numId="13">
    <w:abstractNumId w:val="2"/>
  </w:num>
  <w:num w:numId="14">
    <w:abstractNumId w:val="9"/>
  </w:num>
  <w:num w:numId="15">
    <w:abstractNumId w:val="24"/>
  </w:num>
  <w:num w:numId="16">
    <w:abstractNumId w:val="26"/>
  </w:num>
  <w:num w:numId="17">
    <w:abstractNumId w:val="11"/>
  </w:num>
  <w:num w:numId="18">
    <w:abstractNumId w:val="6"/>
  </w:num>
  <w:num w:numId="19">
    <w:abstractNumId w:val="21"/>
  </w:num>
  <w:num w:numId="20">
    <w:abstractNumId w:val="5"/>
  </w:num>
  <w:num w:numId="21">
    <w:abstractNumId w:val="7"/>
  </w:num>
  <w:num w:numId="22">
    <w:abstractNumId w:val="13"/>
  </w:num>
  <w:num w:numId="23">
    <w:abstractNumId w:val="14"/>
  </w:num>
  <w:num w:numId="24">
    <w:abstractNumId w:val="27"/>
  </w:num>
  <w:num w:numId="25">
    <w:abstractNumId w:val="25"/>
  </w:num>
  <w:num w:numId="26">
    <w:abstractNumId w:val="19"/>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11305"/>
    <w:rsid w:val="00015392"/>
    <w:rsid w:val="00020AB1"/>
    <w:rsid w:val="00022997"/>
    <w:rsid w:val="00022D67"/>
    <w:rsid w:val="0002512E"/>
    <w:rsid w:val="00034A86"/>
    <w:rsid w:val="000356F8"/>
    <w:rsid w:val="00035C05"/>
    <w:rsid w:val="00035E78"/>
    <w:rsid w:val="000376EF"/>
    <w:rsid w:val="00042626"/>
    <w:rsid w:val="00055A89"/>
    <w:rsid w:val="00056F7A"/>
    <w:rsid w:val="000573C2"/>
    <w:rsid w:val="00064F92"/>
    <w:rsid w:val="0006610A"/>
    <w:rsid w:val="0006622C"/>
    <w:rsid w:val="00070E25"/>
    <w:rsid w:val="0007126E"/>
    <w:rsid w:val="000728A4"/>
    <w:rsid w:val="00075A22"/>
    <w:rsid w:val="00082976"/>
    <w:rsid w:val="00086591"/>
    <w:rsid w:val="00091672"/>
    <w:rsid w:val="00091CE2"/>
    <w:rsid w:val="00093DB9"/>
    <w:rsid w:val="000967DB"/>
    <w:rsid w:val="00097759"/>
    <w:rsid w:val="000A001F"/>
    <w:rsid w:val="000A1CB9"/>
    <w:rsid w:val="000A20A3"/>
    <w:rsid w:val="000A382C"/>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06EE"/>
    <w:rsid w:val="00152C6B"/>
    <w:rsid w:val="00155A7C"/>
    <w:rsid w:val="0015646C"/>
    <w:rsid w:val="001620CA"/>
    <w:rsid w:val="00162898"/>
    <w:rsid w:val="00176F82"/>
    <w:rsid w:val="0018160C"/>
    <w:rsid w:val="00187B87"/>
    <w:rsid w:val="001930DE"/>
    <w:rsid w:val="00193B6C"/>
    <w:rsid w:val="001962B5"/>
    <w:rsid w:val="001A4CC0"/>
    <w:rsid w:val="001A721E"/>
    <w:rsid w:val="001B123C"/>
    <w:rsid w:val="001B3235"/>
    <w:rsid w:val="001C20B7"/>
    <w:rsid w:val="001C715B"/>
    <w:rsid w:val="001D3206"/>
    <w:rsid w:val="001D6FCF"/>
    <w:rsid w:val="001E0AC7"/>
    <w:rsid w:val="001E4FAC"/>
    <w:rsid w:val="001F0787"/>
    <w:rsid w:val="001F08B4"/>
    <w:rsid w:val="001F2116"/>
    <w:rsid w:val="001F6FC1"/>
    <w:rsid w:val="001F7F73"/>
    <w:rsid w:val="0020095D"/>
    <w:rsid w:val="00215221"/>
    <w:rsid w:val="00220C5E"/>
    <w:rsid w:val="0022196A"/>
    <w:rsid w:val="00223E7E"/>
    <w:rsid w:val="00234619"/>
    <w:rsid w:val="0023520D"/>
    <w:rsid w:val="00235C44"/>
    <w:rsid w:val="00236FF7"/>
    <w:rsid w:val="002401A9"/>
    <w:rsid w:val="002416AB"/>
    <w:rsid w:val="0024496F"/>
    <w:rsid w:val="00244D86"/>
    <w:rsid w:val="00251D19"/>
    <w:rsid w:val="0025370D"/>
    <w:rsid w:val="00260D19"/>
    <w:rsid w:val="00267C76"/>
    <w:rsid w:val="002732DC"/>
    <w:rsid w:val="0028114B"/>
    <w:rsid w:val="0028185A"/>
    <w:rsid w:val="00284655"/>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661B1"/>
    <w:rsid w:val="00380450"/>
    <w:rsid w:val="00380AD7"/>
    <w:rsid w:val="00381CA7"/>
    <w:rsid w:val="00382B1A"/>
    <w:rsid w:val="003857DF"/>
    <w:rsid w:val="00386CDC"/>
    <w:rsid w:val="00392382"/>
    <w:rsid w:val="00394493"/>
    <w:rsid w:val="003959AC"/>
    <w:rsid w:val="00395E03"/>
    <w:rsid w:val="00396DE1"/>
    <w:rsid w:val="003A167D"/>
    <w:rsid w:val="003B0354"/>
    <w:rsid w:val="003B6920"/>
    <w:rsid w:val="003B715B"/>
    <w:rsid w:val="003C050F"/>
    <w:rsid w:val="003C0716"/>
    <w:rsid w:val="003C3664"/>
    <w:rsid w:val="003C7105"/>
    <w:rsid w:val="003C7143"/>
    <w:rsid w:val="003D139F"/>
    <w:rsid w:val="003D15FA"/>
    <w:rsid w:val="003D7EC6"/>
    <w:rsid w:val="003E292B"/>
    <w:rsid w:val="003E594B"/>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22F0"/>
    <w:rsid w:val="0046339D"/>
    <w:rsid w:val="004712D0"/>
    <w:rsid w:val="00476C8A"/>
    <w:rsid w:val="00486535"/>
    <w:rsid w:val="00490174"/>
    <w:rsid w:val="004917C1"/>
    <w:rsid w:val="00491C99"/>
    <w:rsid w:val="004951EB"/>
    <w:rsid w:val="00495450"/>
    <w:rsid w:val="00495B88"/>
    <w:rsid w:val="004A1805"/>
    <w:rsid w:val="004A5AD6"/>
    <w:rsid w:val="004C3EFA"/>
    <w:rsid w:val="004D10B8"/>
    <w:rsid w:val="004D1B54"/>
    <w:rsid w:val="004D3108"/>
    <w:rsid w:val="004D46FD"/>
    <w:rsid w:val="004D65F3"/>
    <w:rsid w:val="004E187E"/>
    <w:rsid w:val="004E20CB"/>
    <w:rsid w:val="004E2912"/>
    <w:rsid w:val="004E533F"/>
    <w:rsid w:val="004F2D3D"/>
    <w:rsid w:val="004F5A63"/>
    <w:rsid w:val="005032B5"/>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659AA"/>
    <w:rsid w:val="00675607"/>
    <w:rsid w:val="00675986"/>
    <w:rsid w:val="00695694"/>
    <w:rsid w:val="006A21C2"/>
    <w:rsid w:val="006A3B47"/>
    <w:rsid w:val="006A7A0A"/>
    <w:rsid w:val="006B37F0"/>
    <w:rsid w:val="006C1047"/>
    <w:rsid w:val="006C3226"/>
    <w:rsid w:val="006D4BB7"/>
    <w:rsid w:val="006D75BD"/>
    <w:rsid w:val="006E4407"/>
    <w:rsid w:val="006F44F9"/>
    <w:rsid w:val="007015FC"/>
    <w:rsid w:val="007114E7"/>
    <w:rsid w:val="0071588F"/>
    <w:rsid w:val="00726919"/>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31F0"/>
    <w:rsid w:val="008A60E2"/>
    <w:rsid w:val="008B1A8B"/>
    <w:rsid w:val="008B282A"/>
    <w:rsid w:val="008B2B8B"/>
    <w:rsid w:val="008D4C86"/>
    <w:rsid w:val="008D6D09"/>
    <w:rsid w:val="008D761F"/>
    <w:rsid w:val="008E3BE1"/>
    <w:rsid w:val="008E5A53"/>
    <w:rsid w:val="008F00F6"/>
    <w:rsid w:val="008F013A"/>
    <w:rsid w:val="008F22F9"/>
    <w:rsid w:val="008F27F8"/>
    <w:rsid w:val="008F554F"/>
    <w:rsid w:val="008F6AC3"/>
    <w:rsid w:val="009077E3"/>
    <w:rsid w:val="00910EF2"/>
    <w:rsid w:val="00913B17"/>
    <w:rsid w:val="009166DD"/>
    <w:rsid w:val="0091672D"/>
    <w:rsid w:val="00922FE6"/>
    <w:rsid w:val="009342E4"/>
    <w:rsid w:val="009445E9"/>
    <w:rsid w:val="009634B4"/>
    <w:rsid w:val="009643AB"/>
    <w:rsid w:val="009643E3"/>
    <w:rsid w:val="009649FC"/>
    <w:rsid w:val="00965F82"/>
    <w:rsid w:val="0098237A"/>
    <w:rsid w:val="00982B8E"/>
    <w:rsid w:val="009830C8"/>
    <w:rsid w:val="00983B9A"/>
    <w:rsid w:val="009870EF"/>
    <w:rsid w:val="009877CF"/>
    <w:rsid w:val="00987B98"/>
    <w:rsid w:val="00995AA5"/>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22653"/>
    <w:rsid w:val="00A23BC5"/>
    <w:rsid w:val="00A24F45"/>
    <w:rsid w:val="00A3413E"/>
    <w:rsid w:val="00A345AE"/>
    <w:rsid w:val="00A409B8"/>
    <w:rsid w:val="00A4383B"/>
    <w:rsid w:val="00A470ED"/>
    <w:rsid w:val="00A475EE"/>
    <w:rsid w:val="00A523A9"/>
    <w:rsid w:val="00A52E9C"/>
    <w:rsid w:val="00A66C0C"/>
    <w:rsid w:val="00A67786"/>
    <w:rsid w:val="00A67C1E"/>
    <w:rsid w:val="00A7050E"/>
    <w:rsid w:val="00A75A70"/>
    <w:rsid w:val="00A761ED"/>
    <w:rsid w:val="00A76B1D"/>
    <w:rsid w:val="00A86505"/>
    <w:rsid w:val="00AA00A9"/>
    <w:rsid w:val="00AA0438"/>
    <w:rsid w:val="00AA1DE2"/>
    <w:rsid w:val="00AA6434"/>
    <w:rsid w:val="00AA7B5D"/>
    <w:rsid w:val="00AB3A78"/>
    <w:rsid w:val="00AB4502"/>
    <w:rsid w:val="00AC2BF5"/>
    <w:rsid w:val="00AC4DB7"/>
    <w:rsid w:val="00AC7513"/>
    <w:rsid w:val="00AC7FED"/>
    <w:rsid w:val="00AD0497"/>
    <w:rsid w:val="00AD0503"/>
    <w:rsid w:val="00AD0929"/>
    <w:rsid w:val="00AD3CA2"/>
    <w:rsid w:val="00AD507E"/>
    <w:rsid w:val="00AE00BA"/>
    <w:rsid w:val="00AE3E93"/>
    <w:rsid w:val="00AE6D1F"/>
    <w:rsid w:val="00AF2068"/>
    <w:rsid w:val="00AF7EAE"/>
    <w:rsid w:val="00B03092"/>
    <w:rsid w:val="00B0541E"/>
    <w:rsid w:val="00B13849"/>
    <w:rsid w:val="00B170F1"/>
    <w:rsid w:val="00B23067"/>
    <w:rsid w:val="00B2590D"/>
    <w:rsid w:val="00B26214"/>
    <w:rsid w:val="00B32E66"/>
    <w:rsid w:val="00B34848"/>
    <w:rsid w:val="00B40E21"/>
    <w:rsid w:val="00B41190"/>
    <w:rsid w:val="00B45676"/>
    <w:rsid w:val="00B45F71"/>
    <w:rsid w:val="00B46119"/>
    <w:rsid w:val="00B5018B"/>
    <w:rsid w:val="00B57687"/>
    <w:rsid w:val="00B625D9"/>
    <w:rsid w:val="00B665D7"/>
    <w:rsid w:val="00B70860"/>
    <w:rsid w:val="00B71D02"/>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E7934"/>
    <w:rsid w:val="00BF5F04"/>
    <w:rsid w:val="00C052E4"/>
    <w:rsid w:val="00C05A9E"/>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0FBD"/>
    <w:rsid w:val="00CC3CC1"/>
    <w:rsid w:val="00CC49DA"/>
    <w:rsid w:val="00CC5E96"/>
    <w:rsid w:val="00CD47A5"/>
    <w:rsid w:val="00CD4A78"/>
    <w:rsid w:val="00CD6B6A"/>
    <w:rsid w:val="00CE43B4"/>
    <w:rsid w:val="00CE4928"/>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697E"/>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6529"/>
    <w:rsid w:val="00E6135C"/>
    <w:rsid w:val="00E631B3"/>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B2D91"/>
    <w:rsid w:val="00EC15BD"/>
    <w:rsid w:val="00EC38D5"/>
    <w:rsid w:val="00EC41CE"/>
    <w:rsid w:val="00EC477B"/>
    <w:rsid w:val="00ED0F47"/>
    <w:rsid w:val="00EE34BE"/>
    <w:rsid w:val="00EF6C7F"/>
    <w:rsid w:val="00F2180F"/>
    <w:rsid w:val="00F31732"/>
    <w:rsid w:val="00F31F04"/>
    <w:rsid w:val="00F327E2"/>
    <w:rsid w:val="00F3302C"/>
    <w:rsid w:val="00F34A38"/>
    <w:rsid w:val="00F375FF"/>
    <w:rsid w:val="00F50C2B"/>
    <w:rsid w:val="00F566E6"/>
    <w:rsid w:val="00F67A8B"/>
    <w:rsid w:val="00F702DD"/>
    <w:rsid w:val="00F721A2"/>
    <w:rsid w:val="00F72B51"/>
    <w:rsid w:val="00F734B6"/>
    <w:rsid w:val="00F76C50"/>
    <w:rsid w:val="00F84427"/>
    <w:rsid w:val="00F85050"/>
    <w:rsid w:val="00F86303"/>
    <w:rsid w:val="00F95BD7"/>
    <w:rsid w:val="00FA1741"/>
    <w:rsid w:val="00FA4BBF"/>
    <w:rsid w:val="00FA53B2"/>
    <w:rsid w:val="00FA6242"/>
    <w:rsid w:val="00FA643C"/>
    <w:rsid w:val="00FA7894"/>
    <w:rsid w:val="00FC4DCA"/>
    <w:rsid w:val="00FC4DD1"/>
    <w:rsid w:val="00FD1BDA"/>
    <w:rsid w:val="00FD1DCC"/>
    <w:rsid w:val="00FD2E3D"/>
    <w:rsid w:val="00FD5C2A"/>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2BB7-A315-4C76-9EB2-3F139682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2014-12-12T15:13:00Z</cp:lastPrinted>
  <dcterms:created xsi:type="dcterms:W3CDTF">2014-12-17T14:17:00Z</dcterms:created>
  <dcterms:modified xsi:type="dcterms:W3CDTF">2014-12-17T14:17:00Z</dcterms:modified>
</cp:coreProperties>
</file>