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B3C2B">
      <w:pPr>
        <w:tabs>
          <w:tab w:val="left" w:pos="2250"/>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DA4D45">
            <w:pPr>
              <w:jc w:val="both"/>
              <w:rPr>
                <w:sz w:val="26"/>
                <w:szCs w:val="26"/>
              </w:rPr>
            </w:pPr>
          </w:p>
        </w:tc>
        <w:tc>
          <w:tcPr>
            <w:tcW w:w="4428" w:type="dxa"/>
          </w:tcPr>
          <w:p w:rsidR="00F514FB" w:rsidRPr="00F514FB" w:rsidRDefault="00180E5D" w:rsidP="00E555D1">
            <w:pPr>
              <w:ind w:hanging="738"/>
              <w:jc w:val="right"/>
              <w:rPr>
                <w:sz w:val="26"/>
                <w:szCs w:val="26"/>
              </w:rPr>
            </w:pPr>
            <w:r w:rsidRPr="00F514FB">
              <w:rPr>
                <w:sz w:val="26"/>
                <w:szCs w:val="26"/>
              </w:rPr>
              <w:t xml:space="preserve"> Public Meeting held</w:t>
            </w:r>
            <w:r>
              <w:rPr>
                <w:sz w:val="26"/>
                <w:szCs w:val="26"/>
              </w:rPr>
              <w:t xml:space="preserve"> </w:t>
            </w:r>
            <w:r w:rsidR="00934D08">
              <w:rPr>
                <w:sz w:val="26"/>
                <w:szCs w:val="26"/>
              </w:rPr>
              <w:t>December 18</w:t>
            </w:r>
            <w:r>
              <w:rPr>
                <w:sz w:val="26"/>
                <w:szCs w:val="26"/>
              </w:rPr>
              <w:t>, 2014</w:t>
            </w:r>
          </w:p>
          <w:p w:rsidR="00F514FB" w:rsidRPr="00F514FB" w:rsidRDefault="00F514FB" w:rsidP="006C7772">
            <w:pPr>
              <w:rPr>
                <w:sz w:val="26"/>
                <w:szCs w:val="26"/>
              </w:rPr>
            </w:pPr>
          </w:p>
          <w:p w:rsidR="00F514FB" w:rsidRPr="00F514FB" w:rsidRDefault="00F514FB" w:rsidP="006C7772">
            <w:pPr>
              <w:rPr>
                <w:sz w:val="26"/>
                <w:szCs w:val="26"/>
              </w:rPr>
            </w:pPr>
          </w:p>
        </w:tc>
      </w:tr>
      <w:tr w:rsidR="00F514FB" w:rsidRPr="00F514FB" w:rsidTr="00D27F32">
        <w:tc>
          <w:tcPr>
            <w:tcW w:w="5058" w:type="dxa"/>
          </w:tcPr>
          <w:p w:rsidR="00F514FB" w:rsidRPr="00F514FB" w:rsidRDefault="00F514FB" w:rsidP="00D27F32">
            <w:pPr>
              <w:rPr>
                <w:sz w:val="26"/>
                <w:szCs w:val="26"/>
              </w:rPr>
            </w:pPr>
            <w:r w:rsidRPr="00F514FB">
              <w:rPr>
                <w:sz w:val="26"/>
                <w:szCs w:val="26"/>
              </w:rPr>
              <w:t>Commissioners Present:</w:t>
            </w:r>
          </w:p>
          <w:p w:rsidR="00F514FB" w:rsidRPr="00F514FB" w:rsidRDefault="00F514FB" w:rsidP="00D27F32">
            <w:pPr>
              <w:rPr>
                <w:sz w:val="26"/>
                <w:szCs w:val="26"/>
              </w:rPr>
            </w:pPr>
          </w:p>
          <w:p w:rsidR="00F514FB" w:rsidRPr="00F514FB" w:rsidRDefault="00F514FB" w:rsidP="00D27F32">
            <w:pPr>
              <w:tabs>
                <w:tab w:val="left" w:pos="705"/>
              </w:tabs>
              <w:ind w:firstLine="720"/>
              <w:rPr>
                <w:sz w:val="26"/>
                <w:szCs w:val="26"/>
              </w:rPr>
            </w:pPr>
            <w:r w:rsidRPr="00F514FB">
              <w:rPr>
                <w:sz w:val="26"/>
                <w:szCs w:val="26"/>
              </w:rPr>
              <w:t xml:space="preserve">Robert F. </w:t>
            </w:r>
            <w:proofErr w:type="spellStart"/>
            <w:r w:rsidRPr="00F514FB">
              <w:rPr>
                <w:sz w:val="26"/>
                <w:szCs w:val="26"/>
              </w:rPr>
              <w:t>Powelson</w:t>
            </w:r>
            <w:proofErr w:type="spellEnd"/>
            <w:r w:rsidRPr="00F514FB">
              <w:rPr>
                <w:sz w:val="26"/>
                <w:szCs w:val="26"/>
              </w:rPr>
              <w:t>, Chairman</w:t>
            </w:r>
          </w:p>
          <w:p w:rsidR="00F514FB" w:rsidRPr="00F514FB" w:rsidRDefault="00F514FB" w:rsidP="00D27F32">
            <w:pPr>
              <w:tabs>
                <w:tab w:val="left" w:pos="705"/>
              </w:tabs>
              <w:ind w:firstLine="720"/>
              <w:rPr>
                <w:sz w:val="26"/>
                <w:szCs w:val="26"/>
              </w:rPr>
            </w:pPr>
            <w:r w:rsidRPr="00F514FB">
              <w:rPr>
                <w:sz w:val="26"/>
                <w:szCs w:val="26"/>
              </w:rPr>
              <w:t>John F. Coleman, Jr., Vice Chairman</w:t>
            </w:r>
          </w:p>
          <w:p w:rsidR="00F514FB" w:rsidRPr="00F514FB" w:rsidRDefault="00F514FB" w:rsidP="00D27F32">
            <w:pPr>
              <w:tabs>
                <w:tab w:val="left" w:pos="705"/>
              </w:tabs>
              <w:ind w:firstLine="720"/>
              <w:rPr>
                <w:sz w:val="26"/>
                <w:szCs w:val="26"/>
              </w:rPr>
            </w:pPr>
            <w:r w:rsidRPr="00F514FB">
              <w:rPr>
                <w:sz w:val="26"/>
                <w:szCs w:val="26"/>
              </w:rPr>
              <w:t xml:space="preserve">James H. </w:t>
            </w:r>
            <w:proofErr w:type="spellStart"/>
            <w:r w:rsidRPr="00F514FB">
              <w:rPr>
                <w:sz w:val="26"/>
                <w:szCs w:val="26"/>
              </w:rPr>
              <w:t>Cawley</w:t>
            </w:r>
            <w:proofErr w:type="spellEnd"/>
          </w:p>
          <w:p w:rsidR="00F514FB" w:rsidRDefault="00F514FB" w:rsidP="00D27F32">
            <w:pPr>
              <w:tabs>
                <w:tab w:val="left" w:pos="705"/>
              </w:tabs>
              <w:ind w:firstLine="720"/>
              <w:rPr>
                <w:sz w:val="26"/>
                <w:szCs w:val="26"/>
              </w:rPr>
            </w:pPr>
            <w:r w:rsidRPr="00F514FB">
              <w:rPr>
                <w:sz w:val="26"/>
                <w:szCs w:val="26"/>
              </w:rPr>
              <w:t xml:space="preserve">Pamela A. </w:t>
            </w:r>
            <w:proofErr w:type="spellStart"/>
            <w:r w:rsidRPr="00F514FB">
              <w:rPr>
                <w:sz w:val="26"/>
                <w:szCs w:val="26"/>
              </w:rPr>
              <w:t>Witmer</w:t>
            </w:r>
            <w:proofErr w:type="spellEnd"/>
          </w:p>
          <w:p w:rsidR="00D41405" w:rsidRDefault="00D41405" w:rsidP="00D27F32">
            <w:pPr>
              <w:tabs>
                <w:tab w:val="left" w:pos="705"/>
              </w:tabs>
              <w:ind w:firstLine="720"/>
              <w:rPr>
                <w:sz w:val="26"/>
                <w:szCs w:val="26"/>
              </w:rPr>
            </w:pPr>
            <w:r>
              <w:rPr>
                <w:sz w:val="26"/>
                <w:szCs w:val="26"/>
              </w:rPr>
              <w:t>Gladys M. Brown</w:t>
            </w:r>
          </w:p>
          <w:p w:rsidR="00F514FB" w:rsidRPr="00F514FB" w:rsidRDefault="00F514FB" w:rsidP="00D27F32">
            <w:pPr>
              <w:rPr>
                <w:sz w:val="26"/>
                <w:szCs w:val="26"/>
              </w:rPr>
            </w:pPr>
          </w:p>
          <w:p w:rsidR="00F514FB" w:rsidRPr="00F514FB" w:rsidRDefault="00F514FB" w:rsidP="00D27F32">
            <w:pPr>
              <w:rPr>
                <w:sz w:val="26"/>
                <w:szCs w:val="26"/>
              </w:rPr>
            </w:pPr>
          </w:p>
        </w:tc>
        <w:tc>
          <w:tcPr>
            <w:tcW w:w="4428" w:type="dxa"/>
          </w:tcPr>
          <w:p w:rsidR="00F514FB" w:rsidRPr="00F514FB" w:rsidRDefault="00F514FB" w:rsidP="00D27F32">
            <w:pPr>
              <w:jc w:val="right"/>
              <w:rPr>
                <w:sz w:val="26"/>
                <w:szCs w:val="26"/>
              </w:rPr>
            </w:pPr>
          </w:p>
          <w:p w:rsidR="00F514FB" w:rsidRPr="00F514FB" w:rsidRDefault="00F514FB" w:rsidP="00D27F32">
            <w:pPr>
              <w:jc w:val="right"/>
              <w:rPr>
                <w:sz w:val="26"/>
                <w:szCs w:val="26"/>
              </w:rPr>
            </w:pPr>
          </w:p>
        </w:tc>
      </w:tr>
    </w:tbl>
    <w:p w:rsidR="00180E31" w:rsidRPr="000C584C" w:rsidRDefault="00180E31" w:rsidP="00180E31">
      <w:pPr>
        <w:adjustRightInd w:val="0"/>
        <w:rPr>
          <w:bCs/>
          <w:color w:val="000000"/>
          <w:sz w:val="26"/>
          <w:szCs w:val="26"/>
        </w:rPr>
      </w:pPr>
      <w:proofErr w:type="gramStart"/>
      <w:r w:rsidRPr="000C584C">
        <w:rPr>
          <w:bCs/>
          <w:color w:val="000000"/>
          <w:sz w:val="26"/>
          <w:szCs w:val="26"/>
        </w:rPr>
        <w:t>Commonwealth of Pennsylvania,</w:t>
      </w:r>
      <w:r w:rsidR="002274D5">
        <w:rPr>
          <w:bCs/>
          <w:color w:val="000000"/>
          <w:sz w:val="26"/>
          <w:szCs w:val="26"/>
        </w:rPr>
        <w:t xml:space="preserve"> </w:t>
      </w:r>
      <w:r w:rsidR="002274D5">
        <w:rPr>
          <w:bCs/>
          <w:i/>
          <w:color w:val="000000"/>
          <w:sz w:val="26"/>
          <w:szCs w:val="26"/>
        </w:rPr>
        <w:t>et al.</w:t>
      </w:r>
      <w:proofErr w:type="gramEnd"/>
      <w:r w:rsidRPr="000C584C">
        <w:rPr>
          <w:bCs/>
          <w:color w:val="000000"/>
          <w:sz w:val="26"/>
          <w:szCs w:val="26"/>
        </w:rPr>
        <w:t xml:space="preserve"> </w:t>
      </w:r>
      <w:r w:rsidRPr="000C584C">
        <w:rPr>
          <w:bCs/>
          <w:color w:val="000000"/>
          <w:sz w:val="26"/>
          <w:szCs w:val="26"/>
        </w:rPr>
        <w:tab/>
      </w:r>
      <w:r w:rsidRPr="000C584C">
        <w:rPr>
          <w:bCs/>
          <w:color w:val="000000"/>
          <w:sz w:val="26"/>
          <w:szCs w:val="26"/>
        </w:rPr>
        <w:tab/>
      </w:r>
    </w:p>
    <w:p w:rsidR="00180E31" w:rsidRPr="000C584C" w:rsidRDefault="00180E31" w:rsidP="00180E31">
      <w:pPr>
        <w:adjustRightInd w:val="0"/>
        <w:rPr>
          <w:bCs/>
          <w:color w:val="000000"/>
          <w:sz w:val="26"/>
          <w:szCs w:val="26"/>
        </w:rPr>
      </w:pP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p>
    <w:p w:rsidR="00180E31" w:rsidRPr="000C584C" w:rsidRDefault="00180E31" w:rsidP="00180E31">
      <w:pPr>
        <w:adjustRightInd w:val="0"/>
        <w:rPr>
          <w:bCs/>
          <w:color w:val="000000"/>
          <w:sz w:val="26"/>
          <w:szCs w:val="26"/>
        </w:rPr>
      </w:pPr>
      <w:r w:rsidRPr="000C584C">
        <w:rPr>
          <w:bCs/>
          <w:color w:val="000000"/>
          <w:sz w:val="26"/>
          <w:szCs w:val="26"/>
        </w:rPr>
        <w:tab/>
        <w:t>v.</w:t>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Pr>
          <w:bCs/>
          <w:color w:val="000000"/>
          <w:sz w:val="26"/>
          <w:szCs w:val="26"/>
        </w:rPr>
        <w:t xml:space="preserve">    </w:t>
      </w:r>
      <w:r w:rsidRPr="000C584C">
        <w:rPr>
          <w:bCs/>
          <w:color w:val="000000"/>
          <w:sz w:val="26"/>
          <w:szCs w:val="26"/>
        </w:rPr>
        <w:t>C-2014-2427657</w:t>
      </w:r>
    </w:p>
    <w:p w:rsidR="00180E31" w:rsidRPr="000C584C" w:rsidRDefault="00180E31" w:rsidP="00180E31">
      <w:pPr>
        <w:adjustRightInd w:val="0"/>
        <w:rPr>
          <w:bCs/>
          <w:color w:val="000000"/>
          <w:sz w:val="26"/>
          <w:szCs w:val="26"/>
        </w:rPr>
      </w:pP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p>
    <w:p w:rsidR="00180E31" w:rsidRPr="000C584C" w:rsidRDefault="00180E31" w:rsidP="00180E31">
      <w:pPr>
        <w:adjustRightInd w:val="0"/>
        <w:rPr>
          <w:bCs/>
          <w:color w:val="000000"/>
          <w:sz w:val="26"/>
          <w:szCs w:val="26"/>
        </w:rPr>
      </w:pPr>
      <w:r w:rsidRPr="000C584C">
        <w:rPr>
          <w:bCs/>
          <w:color w:val="000000"/>
          <w:sz w:val="26"/>
          <w:szCs w:val="26"/>
        </w:rPr>
        <w:t>IDT Energy, Inc.</w:t>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p>
    <w:p w:rsidR="00F514FB" w:rsidRDefault="00F514FB" w:rsidP="00F514FB">
      <w:pPr>
        <w:rPr>
          <w:sz w:val="26"/>
          <w:szCs w:val="26"/>
        </w:rPr>
      </w:pPr>
    </w:p>
    <w:p w:rsidR="00180E31" w:rsidRDefault="00180E31" w:rsidP="00F514FB">
      <w:pPr>
        <w:rPr>
          <w:sz w:val="26"/>
          <w:szCs w:val="26"/>
        </w:rPr>
      </w:pPr>
    </w:p>
    <w:p w:rsidR="00180E31" w:rsidRDefault="00180E31" w:rsidP="00F514FB">
      <w:pPr>
        <w:rPr>
          <w:sz w:val="26"/>
          <w:szCs w:val="26"/>
        </w:rPr>
      </w:pPr>
    </w:p>
    <w:p w:rsidR="00180E31" w:rsidRPr="00F514FB" w:rsidRDefault="00180E31"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180E31" w:rsidRDefault="00747619" w:rsidP="00890FF0">
      <w:pPr>
        <w:spacing w:line="360" w:lineRule="auto"/>
        <w:ind w:firstLine="1440"/>
        <w:rPr>
          <w:color w:val="000000"/>
          <w:sz w:val="26"/>
        </w:rPr>
      </w:pPr>
      <w:r>
        <w:rPr>
          <w:sz w:val="26"/>
          <w:szCs w:val="26"/>
        </w:rPr>
        <w:t>Before t</w:t>
      </w:r>
      <w:r w:rsidR="00CA43A5" w:rsidRPr="00CA43A5">
        <w:rPr>
          <w:sz w:val="26"/>
          <w:szCs w:val="26"/>
        </w:rPr>
        <w:t xml:space="preserve">he Pennsylvania Public Utility Commission (Commission) </w:t>
      </w:r>
      <w:r w:rsidR="00180E31">
        <w:rPr>
          <w:sz w:val="26"/>
          <w:szCs w:val="26"/>
        </w:rPr>
        <w:t>fo</w:t>
      </w:r>
      <w:r w:rsidR="00CA43A5" w:rsidRPr="00CA43A5">
        <w:rPr>
          <w:sz w:val="26"/>
          <w:szCs w:val="26"/>
        </w:rPr>
        <w:t xml:space="preserve">r consideration and disposition </w:t>
      </w:r>
      <w:r>
        <w:rPr>
          <w:sz w:val="26"/>
          <w:szCs w:val="26"/>
        </w:rPr>
        <w:t xml:space="preserve">are </w:t>
      </w:r>
      <w:r w:rsidR="00180E31">
        <w:rPr>
          <w:sz w:val="26"/>
          <w:szCs w:val="26"/>
        </w:rPr>
        <w:t>two</w:t>
      </w:r>
      <w:r w:rsidR="00326BE5">
        <w:rPr>
          <w:sz w:val="26"/>
          <w:szCs w:val="26"/>
        </w:rPr>
        <w:t xml:space="preserve"> separate</w:t>
      </w:r>
      <w:r w:rsidR="00180E31">
        <w:rPr>
          <w:sz w:val="26"/>
          <w:szCs w:val="26"/>
        </w:rPr>
        <w:t xml:space="preserve"> Petitions for </w:t>
      </w:r>
      <w:r w:rsidR="00F922E5">
        <w:rPr>
          <w:color w:val="000000"/>
          <w:sz w:val="26"/>
        </w:rPr>
        <w:t>Interlo</w:t>
      </w:r>
      <w:r w:rsidR="003716A9">
        <w:rPr>
          <w:color w:val="000000"/>
          <w:sz w:val="26"/>
        </w:rPr>
        <w:t>c</w:t>
      </w:r>
      <w:r w:rsidR="00F922E5">
        <w:rPr>
          <w:color w:val="000000"/>
          <w:sz w:val="26"/>
        </w:rPr>
        <w:t>utory Review and Answer to Material Question</w:t>
      </w:r>
      <w:r w:rsidR="00326BE5">
        <w:rPr>
          <w:color w:val="000000"/>
          <w:sz w:val="26"/>
        </w:rPr>
        <w:t>(</w:t>
      </w:r>
      <w:r w:rsidR="00F922E5">
        <w:rPr>
          <w:color w:val="000000"/>
          <w:sz w:val="26"/>
        </w:rPr>
        <w:t>s</w:t>
      </w:r>
      <w:r w:rsidR="00326BE5">
        <w:rPr>
          <w:color w:val="000000"/>
          <w:sz w:val="26"/>
        </w:rPr>
        <w:t>)</w:t>
      </w:r>
      <w:r w:rsidR="00283C96">
        <w:rPr>
          <w:color w:val="000000"/>
          <w:sz w:val="26"/>
        </w:rPr>
        <w:t xml:space="preserve">, </w:t>
      </w:r>
      <w:r w:rsidR="00AD2B66">
        <w:rPr>
          <w:color w:val="000000"/>
          <w:sz w:val="26"/>
        </w:rPr>
        <w:t xml:space="preserve">filed </w:t>
      </w:r>
      <w:r w:rsidR="00326BE5">
        <w:rPr>
          <w:color w:val="000000"/>
          <w:sz w:val="26"/>
        </w:rPr>
        <w:t>on September 8, 2014</w:t>
      </w:r>
      <w:r w:rsidR="00283C96">
        <w:rPr>
          <w:color w:val="000000"/>
          <w:sz w:val="26"/>
        </w:rPr>
        <w:t>.</w:t>
      </w:r>
      <w:r>
        <w:rPr>
          <w:color w:val="000000"/>
          <w:sz w:val="26"/>
        </w:rPr>
        <w:t xml:space="preserve">  On</w:t>
      </w:r>
      <w:r w:rsidR="00BF525D">
        <w:rPr>
          <w:color w:val="000000"/>
          <w:sz w:val="26"/>
        </w:rPr>
        <w:t>e</w:t>
      </w:r>
      <w:r>
        <w:rPr>
          <w:color w:val="000000"/>
          <w:sz w:val="26"/>
        </w:rPr>
        <w:t xml:space="preserve"> petition </w:t>
      </w:r>
      <w:r w:rsidR="00BF525D">
        <w:rPr>
          <w:color w:val="000000"/>
          <w:sz w:val="26"/>
        </w:rPr>
        <w:t>w</w:t>
      </w:r>
      <w:r>
        <w:rPr>
          <w:color w:val="000000"/>
          <w:sz w:val="26"/>
        </w:rPr>
        <w:t>as filed by IDT Energy, Inc. (IDT or Company)</w:t>
      </w:r>
      <w:r w:rsidR="00BF525D">
        <w:rPr>
          <w:color w:val="000000"/>
          <w:sz w:val="26"/>
        </w:rPr>
        <w:t xml:space="preserve"> (IDT Petition)</w:t>
      </w:r>
      <w:r>
        <w:rPr>
          <w:color w:val="000000"/>
          <w:sz w:val="26"/>
        </w:rPr>
        <w:t>.</w:t>
      </w:r>
      <w:r w:rsidR="00283C96">
        <w:rPr>
          <w:color w:val="000000"/>
          <w:sz w:val="26"/>
        </w:rPr>
        <w:t xml:space="preserve">  The </w:t>
      </w:r>
      <w:r w:rsidR="00BF525D">
        <w:rPr>
          <w:color w:val="000000"/>
          <w:sz w:val="26"/>
        </w:rPr>
        <w:t xml:space="preserve">other petition </w:t>
      </w:r>
      <w:r w:rsidR="00283C96">
        <w:rPr>
          <w:color w:val="000000"/>
          <w:sz w:val="26"/>
        </w:rPr>
        <w:t>was filed jointly</w:t>
      </w:r>
      <w:r w:rsidR="00326BE5">
        <w:rPr>
          <w:color w:val="000000"/>
          <w:sz w:val="26"/>
        </w:rPr>
        <w:t xml:space="preserve"> by</w:t>
      </w:r>
      <w:r w:rsidR="00AD2B66">
        <w:rPr>
          <w:color w:val="000000"/>
          <w:sz w:val="26"/>
        </w:rPr>
        <w:t xml:space="preserve"> </w:t>
      </w:r>
      <w:r w:rsidR="00326BE5">
        <w:rPr>
          <w:color w:val="000000"/>
          <w:sz w:val="26"/>
        </w:rPr>
        <w:t>the Pennsylvania Office of Attorney General (OAG) and the Pennsylvania Office of Consumer Advocate (OCA)</w:t>
      </w:r>
      <w:r w:rsidR="00A32B45">
        <w:rPr>
          <w:color w:val="000000"/>
          <w:sz w:val="26"/>
        </w:rPr>
        <w:t xml:space="preserve"> (together, Joint Complainants)</w:t>
      </w:r>
      <w:r w:rsidR="00BF525D">
        <w:rPr>
          <w:color w:val="000000"/>
          <w:sz w:val="26"/>
        </w:rPr>
        <w:t xml:space="preserve"> (OAG/OCA J</w:t>
      </w:r>
      <w:r w:rsidR="000D5842">
        <w:rPr>
          <w:color w:val="000000"/>
          <w:sz w:val="26"/>
        </w:rPr>
        <w:t>oint</w:t>
      </w:r>
      <w:r w:rsidR="00BF525D">
        <w:rPr>
          <w:color w:val="000000"/>
          <w:sz w:val="26"/>
        </w:rPr>
        <w:t xml:space="preserve"> Petition).</w:t>
      </w:r>
      <w:r w:rsidR="00283C96">
        <w:rPr>
          <w:color w:val="000000"/>
          <w:sz w:val="26"/>
        </w:rPr>
        <w:t xml:space="preserve">  Both</w:t>
      </w:r>
      <w:r w:rsidR="00326BE5">
        <w:rPr>
          <w:color w:val="000000"/>
          <w:sz w:val="26"/>
        </w:rPr>
        <w:t xml:space="preserve"> </w:t>
      </w:r>
      <w:r w:rsidR="00BF525D">
        <w:rPr>
          <w:color w:val="000000"/>
          <w:sz w:val="26"/>
        </w:rPr>
        <w:t>the IDT P</w:t>
      </w:r>
      <w:r w:rsidR="00180E31">
        <w:rPr>
          <w:color w:val="000000"/>
          <w:sz w:val="26"/>
        </w:rPr>
        <w:t xml:space="preserve">etition </w:t>
      </w:r>
      <w:r w:rsidR="00BF525D">
        <w:rPr>
          <w:color w:val="000000"/>
          <w:sz w:val="26"/>
        </w:rPr>
        <w:t xml:space="preserve">and </w:t>
      </w:r>
      <w:r w:rsidR="00B36A01">
        <w:rPr>
          <w:color w:val="000000"/>
          <w:sz w:val="26"/>
        </w:rPr>
        <w:t xml:space="preserve">the </w:t>
      </w:r>
      <w:r w:rsidR="00BF525D">
        <w:rPr>
          <w:color w:val="000000"/>
          <w:sz w:val="26"/>
        </w:rPr>
        <w:t xml:space="preserve">OAG/OCA </w:t>
      </w:r>
      <w:r w:rsidR="0089751C">
        <w:rPr>
          <w:color w:val="000000"/>
          <w:sz w:val="26"/>
        </w:rPr>
        <w:t>Joint</w:t>
      </w:r>
      <w:r w:rsidR="00BF525D">
        <w:rPr>
          <w:color w:val="000000"/>
          <w:sz w:val="26"/>
        </w:rPr>
        <w:t xml:space="preserve"> Petition seek review of an</w:t>
      </w:r>
      <w:r w:rsidR="00180E31">
        <w:rPr>
          <w:color w:val="000000"/>
          <w:sz w:val="26"/>
        </w:rPr>
        <w:t xml:space="preserve"> August 20, </w:t>
      </w:r>
      <w:r w:rsidR="00180E31">
        <w:rPr>
          <w:color w:val="000000"/>
          <w:sz w:val="26"/>
        </w:rPr>
        <w:lastRenderedPageBreak/>
        <w:t>2014, Order Granting in Part and Denying in Part</w:t>
      </w:r>
      <w:r w:rsidR="00AD2B66">
        <w:rPr>
          <w:color w:val="000000"/>
          <w:sz w:val="26"/>
        </w:rPr>
        <w:t xml:space="preserve"> P</w:t>
      </w:r>
      <w:r w:rsidR="00180E31">
        <w:rPr>
          <w:color w:val="000000"/>
          <w:sz w:val="26"/>
        </w:rPr>
        <w:t xml:space="preserve">reliminary </w:t>
      </w:r>
      <w:r w:rsidR="00AD2B66">
        <w:rPr>
          <w:color w:val="000000"/>
          <w:sz w:val="26"/>
        </w:rPr>
        <w:t>O</w:t>
      </w:r>
      <w:r w:rsidR="00180E31">
        <w:rPr>
          <w:color w:val="000000"/>
          <w:sz w:val="26"/>
        </w:rPr>
        <w:t xml:space="preserve">bjections </w:t>
      </w:r>
      <w:r w:rsidR="00AD2B66">
        <w:rPr>
          <w:color w:val="000000"/>
          <w:sz w:val="26"/>
        </w:rPr>
        <w:t xml:space="preserve">(August 20 Order) of Administrative Law Judges </w:t>
      </w:r>
      <w:r w:rsidR="00283C96">
        <w:rPr>
          <w:color w:val="000000"/>
          <w:sz w:val="26"/>
        </w:rPr>
        <w:t xml:space="preserve">(ALJs) </w:t>
      </w:r>
      <w:r w:rsidR="00AD2B66">
        <w:rPr>
          <w:color w:val="000000"/>
          <w:sz w:val="26"/>
        </w:rPr>
        <w:t xml:space="preserve">Elizabeth Barnes and Joel H. </w:t>
      </w:r>
      <w:proofErr w:type="spellStart"/>
      <w:r w:rsidR="00AD2B66">
        <w:rPr>
          <w:color w:val="000000"/>
          <w:sz w:val="26"/>
        </w:rPr>
        <w:t>Cheskis</w:t>
      </w:r>
      <w:proofErr w:type="spellEnd"/>
      <w:r w:rsidR="00AD2B66">
        <w:rPr>
          <w:color w:val="000000"/>
          <w:sz w:val="26"/>
        </w:rPr>
        <w:t xml:space="preserve">.  </w:t>
      </w:r>
      <w:r w:rsidR="004758FF">
        <w:rPr>
          <w:color w:val="000000"/>
          <w:sz w:val="26"/>
        </w:rPr>
        <w:t>This matter is a Joint Formal Complaint filed by the OAG and the OCA wherein IDT is the Respondent.</w:t>
      </w:r>
      <w:r w:rsidR="00205134">
        <w:rPr>
          <w:color w:val="000000"/>
          <w:sz w:val="26"/>
        </w:rPr>
        <w:t xml:space="preserve">  The Formal Complaint arose out of numerous customer contacts and complaints that were received by the OAG and the OCA related to the variable rates for electric </w:t>
      </w:r>
      <w:r w:rsidR="00D0020E">
        <w:rPr>
          <w:color w:val="000000"/>
          <w:sz w:val="26"/>
        </w:rPr>
        <w:t xml:space="preserve">generation </w:t>
      </w:r>
      <w:r w:rsidR="00205134">
        <w:rPr>
          <w:color w:val="000000"/>
          <w:sz w:val="26"/>
        </w:rPr>
        <w:t>supply service charged by IDT to its customers in early 2014.</w:t>
      </w:r>
      <w:r w:rsidR="004758FF">
        <w:rPr>
          <w:color w:val="000000"/>
          <w:sz w:val="26"/>
        </w:rPr>
        <w:t xml:space="preserve">  </w:t>
      </w:r>
      <w:r w:rsidR="00AD2B66">
        <w:rPr>
          <w:color w:val="000000"/>
          <w:sz w:val="26"/>
        </w:rPr>
        <w:t xml:space="preserve">The August 20 Order </w:t>
      </w:r>
      <w:r w:rsidR="00326BE5">
        <w:rPr>
          <w:color w:val="000000"/>
          <w:sz w:val="26"/>
        </w:rPr>
        <w:t xml:space="preserve">is an interim order which </w:t>
      </w:r>
      <w:r w:rsidR="00AD2B66">
        <w:rPr>
          <w:color w:val="000000"/>
          <w:sz w:val="26"/>
        </w:rPr>
        <w:t xml:space="preserve">disposed of preliminary objections </w:t>
      </w:r>
      <w:r w:rsidR="00205134">
        <w:rPr>
          <w:color w:val="000000"/>
          <w:sz w:val="26"/>
        </w:rPr>
        <w:t xml:space="preserve">to the Formal Complaint </w:t>
      </w:r>
      <w:r w:rsidR="00AD2B66">
        <w:rPr>
          <w:color w:val="000000"/>
          <w:sz w:val="26"/>
        </w:rPr>
        <w:t xml:space="preserve">filed by </w:t>
      </w:r>
      <w:r w:rsidR="00180E31">
        <w:rPr>
          <w:color w:val="000000"/>
          <w:sz w:val="26"/>
        </w:rPr>
        <w:t>IDT</w:t>
      </w:r>
      <w:r w:rsidR="00DA4090">
        <w:rPr>
          <w:color w:val="000000"/>
          <w:sz w:val="26"/>
        </w:rPr>
        <w:t>.</w:t>
      </w:r>
      <w:r w:rsidR="00347B93">
        <w:rPr>
          <w:color w:val="000000"/>
          <w:sz w:val="26"/>
        </w:rPr>
        <w:t xml:space="preserve">  </w:t>
      </w:r>
      <w:r w:rsidR="00347B93">
        <w:rPr>
          <w:i/>
          <w:color w:val="000000"/>
          <w:sz w:val="26"/>
        </w:rPr>
        <w:t xml:space="preserve">See </w:t>
      </w:r>
      <w:r w:rsidR="00347B93">
        <w:rPr>
          <w:color w:val="000000"/>
          <w:sz w:val="26"/>
        </w:rPr>
        <w:t>52 Pa. Code § 5.101.</w:t>
      </w:r>
      <w:r w:rsidR="004758FF">
        <w:rPr>
          <w:color w:val="000000"/>
          <w:sz w:val="26"/>
        </w:rPr>
        <w:t xml:space="preserve">  </w:t>
      </w:r>
    </w:p>
    <w:p w:rsidR="00180E31" w:rsidRDefault="00180E31" w:rsidP="00890FF0">
      <w:pPr>
        <w:spacing w:line="360" w:lineRule="auto"/>
        <w:ind w:firstLine="1440"/>
        <w:rPr>
          <w:color w:val="000000"/>
          <w:sz w:val="26"/>
        </w:rPr>
      </w:pPr>
    </w:p>
    <w:p w:rsidR="00890FF0" w:rsidRDefault="004758FF" w:rsidP="00DA4090">
      <w:pPr>
        <w:spacing w:line="360" w:lineRule="auto"/>
        <w:ind w:firstLine="1440"/>
        <w:rPr>
          <w:color w:val="000000"/>
          <w:sz w:val="26"/>
        </w:rPr>
      </w:pPr>
      <w:r>
        <w:rPr>
          <w:color w:val="000000"/>
          <w:sz w:val="26"/>
        </w:rPr>
        <w:t xml:space="preserve">The </w:t>
      </w:r>
      <w:r w:rsidR="00C15A48">
        <w:rPr>
          <w:color w:val="000000"/>
          <w:sz w:val="26"/>
        </w:rPr>
        <w:t xml:space="preserve">IDT Petition requests interlocutory Commission review and answer to the following question:  </w:t>
      </w:r>
    </w:p>
    <w:p w:rsidR="00DA4090" w:rsidRDefault="00DA4090" w:rsidP="00C15A48">
      <w:pPr>
        <w:ind w:left="1440" w:right="1440"/>
        <w:rPr>
          <w:sz w:val="26"/>
          <w:szCs w:val="26"/>
        </w:rPr>
      </w:pPr>
    </w:p>
    <w:p w:rsidR="002274D5" w:rsidRDefault="00C15A48" w:rsidP="002274D5">
      <w:pPr>
        <w:ind w:left="1440" w:right="1440"/>
        <w:rPr>
          <w:sz w:val="26"/>
          <w:szCs w:val="26"/>
        </w:rPr>
      </w:pPr>
      <w:r>
        <w:rPr>
          <w:sz w:val="26"/>
          <w:szCs w:val="26"/>
        </w:rPr>
        <w:t xml:space="preserve">Does the Commission have the authority under Section </w:t>
      </w:r>
    </w:p>
    <w:p w:rsidR="002274D5" w:rsidRDefault="00C15A48" w:rsidP="002274D5">
      <w:pPr>
        <w:ind w:left="1440" w:right="1440"/>
        <w:rPr>
          <w:sz w:val="26"/>
          <w:szCs w:val="26"/>
        </w:rPr>
      </w:pPr>
      <w:r>
        <w:rPr>
          <w:sz w:val="26"/>
          <w:szCs w:val="26"/>
        </w:rPr>
        <w:t>1312 of the Public Utility Co</w:t>
      </w:r>
      <w:r w:rsidR="002274D5">
        <w:rPr>
          <w:sz w:val="26"/>
          <w:szCs w:val="26"/>
        </w:rPr>
        <w:t xml:space="preserve">de to order electric generation </w:t>
      </w:r>
      <w:r>
        <w:rPr>
          <w:sz w:val="26"/>
          <w:szCs w:val="26"/>
        </w:rPr>
        <w:t xml:space="preserve">suppliers </w:t>
      </w:r>
      <w:r w:rsidR="002274D5">
        <w:rPr>
          <w:sz w:val="26"/>
          <w:szCs w:val="26"/>
        </w:rPr>
        <w:t>to issue refunds to customers?</w:t>
      </w:r>
    </w:p>
    <w:p w:rsidR="00321D6B" w:rsidRDefault="00321D6B" w:rsidP="00D53276">
      <w:pPr>
        <w:spacing w:line="360" w:lineRule="auto"/>
        <w:ind w:left="1440" w:right="1440"/>
        <w:rPr>
          <w:sz w:val="26"/>
          <w:szCs w:val="26"/>
        </w:rPr>
      </w:pPr>
    </w:p>
    <w:p w:rsidR="00C15A48" w:rsidRDefault="00C15A48" w:rsidP="00D53276">
      <w:pPr>
        <w:spacing w:line="360" w:lineRule="auto"/>
        <w:rPr>
          <w:sz w:val="26"/>
          <w:szCs w:val="26"/>
        </w:rPr>
      </w:pPr>
      <w:r>
        <w:rPr>
          <w:sz w:val="26"/>
          <w:szCs w:val="26"/>
        </w:rPr>
        <w:t>IDT Petition at 1.</w:t>
      </w:r>
      <w:r w:rsidR="00283C96">
        <w:rPr>
          <w:sz w:val="26"/>
          <w:szCs w:val="26"/>
        </w:rPr>
        <w:t xml:space="preserve"> </w:t>
      </w:r>
      <w:r>
        <w:rPr>
          <w:sz w:val="26"/>
          <w:szCs w:val="26"/>
        </w:rPr>
        <w:t>IDT proposes that the above-cited question be answered in the negative</w:t>
      </w:r>
      <w:r w:rsidR="00283C96">
        <w:rPr>
          <w:sz w:val="26"/>
          <w:szCs w:val="26"/>
        </w:rPr>
        <w:t>.</w:t>
      </w:r>
      <w:r>
        <w:rPr>
          <w:sz w:val="26"/>
          <w:szCs w:val="26"/>
        </w:rPr>
        <w:t xml:space="preserve"> </w:t>
      </w:r>
      <w:r w:rsidR="005001A4">
        <w:rPr>
          <w:sz w:val="26"/>
          <w:szCs w:val="26"/>
        </w:rPr>
        <w:t xml:space="preserve"> </w:t>
      </w:r>
      <w:r>
        <w:rPr>
          <w:i/>
          <w:sz w:val="26"/>
          <w:szCs w:val="26"/>
        </w:rPr>
        <w:t>Id</w:t>
      </w:r>
      <w:r>
        <w:rPr>
          <w:sz w:val="26"/>
          <w:szCs w:val="26"/>
        </w:rPr>
        <w:t>.</w:t>
      </w:r>
    </w:p>
    <w:p w:rsidR="00DA4090" w:rsidRDefault="00DA4090" w:rsidP="00C15A48">
      <w:pPr>
        <w:spacing w:line="360" w:lineRule="auto"/>
        <w:ind w:firstLine="1440"/>
        <w:rPr>
          <w:sz w:val="26"/>
          <w:szCs w:val="26"/>
        </w:rPr>
      </w:pPr>
    </w:p>
    <w:p w:rsidR="00C15A48" w:rsidRPr="00DA4090" w:rsidRDefault="00283C96" w:rsidP="00591A09">
      <w:pPr>
        <w:spacing w:line="360" w:lineRule="auto"/>
        <w:ind w:firstLine="1440"/>
        <w:rPr>
          <w:color w:val="000000"/>
          <w:sz w:val="26"/>
        </w:rPr>
      </w:pPr>
      <w:r>
        <w:rPr>
          <w:color w:val="000000"/>
          <w:sz w:val="26"/>
        </w:rPr>
        <w:t>T</w:t>
      </w:r>
      <w:r w:rsidR="004D0317">
        <w:rPr>
          <w:color w:val="000000"/>
          <w:sz w:val="26"/>
        </w:rPr>
        <w:t xml:space="preserve">he </w:t>
      </w:r>
      <w:r w:rsidR="004758FF">
        <w:rPr>
          <w:color w:val="000000"/>
          <w:sz w:val="26"/>
        </w:rPr>
        <w:t xml:space="preserve">OAG/OCA </w:t>
      </w:r>
      <w:r w:rsidR="0089751C">
        <w:rPr>
          <w:color w:val="000000"/>
          <w:sz w:val="26"/>
        </w:rPr>
        <w:t>Joint</w:t>
      </w:r>
      <w:r w:rsidR="00DA4090">
        <w:rPr>
          <w:color w:val="000000"/>
          <w:sz w:val="26"/>
        </w:rPr>
        <w:t xml:space="preserve"> Petition request</w:t>
      </w:r>
      <w:r>
        <w:rPr>
          <w:color w:val="000000"/>
          <w:sz w:val="26"/>
        </w:rPr>
        <w:t>s</w:t>
      </w:r>
      <w:r w:rsidR="00DA4090">
        <w:rPr>
          <w:color w:val="000000"/>
          <w:sz w:val="26"/>
        </w:rPr>
        <w:t xml:space="preserve"> interlocutory Commission review and answer to three questions.  The questions </w:t>
      </w:r>
      <w:r w:rsidR="00591A09">
        <w:rPr>
          <w:color w:val="000000"/>
          <w:sz w:val="26"/>
        </w:rPr>
        <w:t>are</w:t>
      </w:r>
      <w:r w:rsidR="00DA4090">
        <w:rPr>
          <w:color w:val="000000"/>
          <w:sz w:val="26"/>
        </w:rPr>
        <w:t xml:space="preserve">:  </w:t>
      </w:r>
    </w:p>
    <w:p w:rsidR="00DA4090" w:rsidRDefault="00DA4090" w:rsidP="003E62C2">
      <w:pPr>
        <w:spacing w:line="360" w:lineRule="auto"/>
        <w:rPr>
          <w:sz w:val="26"/>
          <w:szCs w:val="26"/>
        </w:rPr>
      </w:pPr>
    </w:p>
    <w:p w:rsidR="005E691B" w:rsidRPr="00F14118" w:rsidRDefault="003E62C2" w:rsidP="002274D5">
      <w:pPr>
        <w:pStyle w:val="ListParagraph"/>
        <w:numPr>
          <w:ilvl w:val="0"/>
          <w:numId w:val="4"/>
        </w:numPr>
        <w:ind w:left="2160" w:right="1440" w:hanging="720"/>
        <w:rPr>
          <w:color w:val="000000"/>
          <w:sz w:val="26"/>
        </w:rPr>
      </w:pPr>
      <w:r w:rsidRPr="00F14118">
        <w:rPr>
          <w:sz w:val="26"/>
          <w:szCs w:val="26"/>
        </w:rPr>
        <w:t>Does the Commission</w:t>
      </w:r>
      <w:r w:rsidR="00443EC1">
        <w:rPr>
          <w:sz w:val="26"/>
          <w:szCs w:val="26"/>
        </w:rPr>
        <w:t xml:space="preserve"> have authority and jurisdiction to determine whether a violation of the Telemarketer Registration Act (TRA) has occurred when considering whether the Commission’s regulations –which require compliance with the TRA – have been violated</w:t>
      </w:r>
      <w:r w:rsidRPr="004604C7">
        <w:rPr>
          <w:sz w:val="26"/>
          <w:szCs w:val="26"/>
        </w:rPr>
        <w:t>?</w:t>
      </w:r>
      <w:r w:rsidR="00DA4D45" w:rsidRPr="004604C7">
        <w:rPr>
          <w:sz w:val="26"/>
          <w:szCs w:val="26"/>
        </w:rPr>
        <w:t xml:space="preserve"> </w:t>
      </w:r>
      <w:r w:rsidR="00D66CEE" w:rsidRPr="004604C7">
        <w:rPr>
          <w:sz w:val="26"/>
          <w:szCs w:val="26"/>
        </w:rPr>
        <w:t xml:space="preserve">                               </w:t>
      </w:r>
      <w:r w:rsidR="00DA4D45" w:rsidRPr="004604C7">
        <w:rPr>
          <w:sz w:val="26"/>
          <w:szCs w:val="26"/>
        </w:rPr>
        <w:t xml:space="preserve"> </w:t>
      </w:r>
      <w:r w:rsidRPr="004604C7">
        <w:rPr>
          <w:sz w:val="26"/>
          <w:szCs w:val="26"/>
        </w:rPr>
        <w:t xml:space="preserve"> </w:t>
      </w:r>
      <w:r w:rsidR="00DA4D45" w:rsidRPr="00F14118">
        <w:rPr>
          <w:color w:val="000000"/>
          <w:sz w:val="26"/>
        </w:rPr>
        <w:t xml:space="preserve">      </w:t>
      </w:r>
    </w:p>
    <w:p w:rsidR="00DA4D45" w:rsidRDefault="00DA4D45" w:rsidP="0037638E">
      <w:pPr>
        <w:ind w:left="2160" w:right="1440" w:hanging="720"/>
        <w:rPr>
          <w:color w:val="000000"/>
          <w:sz w:val="26"/>
        </w:rPr>
      </w:pPr>
    </w:p>
    <w:p w:rsidR="00443EC1" w:rsidRPr="00591A09" w:rsidRDefault="00443EC1" w:rsidP="00443EC1">
      <w:pPr>
        <w:pStyle w:val="ListParagraph"/>
        <w:numPr>
          <w:ilvl w:val="0"/>
          <w:numId w:val="4"/>
        </w:numPr>
        <w:ind w:left="2160" w:right="1440" w:hanging="720"/>
        <w:rPr>
          <w:color w:val="000000"/>
          <w:sz w:val="26"/>
        </w:rPr>
      </w:pPr>
      <w:r w:rsidRPr="00F14118">
        <w:rPr>
          <w:sz w:val="26"/>
          <w:szCs w:val="26"/>
        </w:rPr>
        <w:t>Does the Commission</w:t>
      </w:r>
      <w:r>
        <w:rPr>
          <w:sz w:val="26"/>
          <w:szCs w:val="26"/>
        </w:rPr>
        <w:t xml:space="preserve"> have the authority and jurisdiction to determine whether the prices charged to customers by an electric generation supplier (EGS</w:t>
      </w:r>
      <w:r w:rsidR="00B049F7">
        <w:rPr>
          <w:sz w:val="26"/>
          <w:szCs w:val="26"/>
        </w:rPr>
        <w:t>)</w:t>
      </w:r>
      <w:r>
        <w:rPr>
          <w:sz w:val="26"/>
          <w:szCs w:val="26"/>
        </w:rPr>
        <w:t xml:space="preserve"> conform to the EGS disclosure statement regarding pricing</w:t>
      </w:r>
      <w:r w:rsidRPr="004604C7">
        <w:rPr>
          <w:sz w:val="26"/>
          <w:szCs w:val="26"/>
        </w:rPr>
        <w:t xml:space="preserve">? </w:t>
      </w:r>
    </w:p>
    <w:p w:rsidR="00591A09" w:rsidRPr="00591A09" w:rsidRDefault="00591A09" w:rsidP="00591A09">
      <w:pPr>
        <w:pStyle w:val="ListParagraph"/>
        <w:rPr>
          <w:color w:val="000000"/>
          <w:sz w:val="26"/>
        </w:rPr>
      </w:pPr>
    </w:p>
    <w:p w:rsidR="00443EC1" w:rsidRPr="00F14118" w:rsidRDefault="00443EC1" w:rsidP="00D53276">
      <w:pPr>
        <w:pStyle w:val="ListParagraph"/>
        <w:widowControl/>
        <w:numPr>
          <w:ilvl w:val="0"/>
          <w:numId w:val="4"/>
        </w:numPr>
        <w:ind w:left="2160" w:right="1440" w:hanging="720"/>
        <w:rPr>
          <w:color w:val="000000"/>
          <w:sz w:val="26"/>
        </w:rPr>
      </w:pPr>
      <w:r w:rsidRPr="00F14118">
        <w:rPr>
          <w:sz w:val="26"/>
          <w:szCs w:val="26"/>
        </w:rPr>
        <w:t>Does the Commission</w:t>
      </w:r>
      <w:r>
        <w:rPr>
          <w:sz w:val="26"/>
          <w:szCs w:val="26"/>
        </w:rPr>
        <w:t xml:space="preserve"> have the authority and jurisdiction to order equitable remedies including restitution?</w:t>
      </w:r>
      <w:r w:rsidRPr="004604C7">
        <w:rPr>
          <w:sz w:val="26"/>
          <w:szCs w:val="26"/>
        </w:rPr>
        <w:t xml:space="preserve">                                 </w:t>
      </w:r>
      <w:r w:rsidRPr="00F14118">
        <w:rPr>
          <w:color w:val="000000"/>
          <w:sz w:val="26"/>
        </w:rPr>
        <w:t xml:space="preserve">      </w:t>
      </w:r>
    </w:p>
    <w:p w:rsidR="005001A4" w:rsidRDefault="005001A4" w:rsidP="002274D5">
      <w:pPr>
        <w:spacing w:line="360" w:lineRule="auto"/>
        <w:rPr>
          <w:color w:val="000000"/>
          <w:sz w:val="26"/>
        </w:rPr>
      </w:pPr>
    </w:p>
    <w:p w:rsidR="00443EC1" w:rsidRDefault="00AD2B66" w:rsidP="002274D5">
      <w:pPr>
        <w:spacing w:line="360" w:lineRule="auto"/>
        <w:rPr>
          <w:color w:val="000000"/>
          <w:sz w:val="26"/>
        </w:rPr>
      </w:pPr>
      <w:r>
        <w:rPr>
          <w:color w:val="000000"/>
          <w:sz w:val="26"/>
        </w:rPr>
        <w:t xml:space="preserve">OAG/OCA </w:t>
      </w:r>
      <w:r w:rsidR="00443EC1">
        <w:rPr>
          <w:color w:val="000000"/>
          <w:sz w:val="26"/>
        </w:rPr>
        <w:t>J</w:t>
      </w:r>
      <w:r w:rsidR="00EC0907">
        <w:rPr>
          <w:color w:val="000000"/>
          <w:sz w:val="26"/>
        </w:rPr>
        <w:t>oi</w:t>
      </w:r>
      <w:r w:rsidR="00443EC1">
        <w:rPr>
          <w:color w:val="000000"/>
          <w:sz w:val="26"/>
        </w:rPr>
        <w:t>nt Petition at 1</w:t>
      </w:r>
      <w:r w:rsidR="006F072A">
        <w:rPr>
          <w:color w:val="000000"/>
          <w:sz w:val="26"/>
        </w:rPr>
        <w:t>.</w:t>
      </w:r>
      <w:r w:rsidR="00D66CEE" w:rsidRPr="00443EC1">
        <w:rPr>
          <w:color w:val="000000"/>
          <w:sz w:val="26"/>
        </w:rPr>
        <w:t xml:space="preserve">  </w:t>
      </w:r>
      <w:r w:rsidR="00A32B45">
        <w:rPr>
          <w:color w:val="000000"/>
          <w:sz w:val="26"/>
        </w:rPr>
        <w:t>The Joint Complainants suggest that all three questions be answered in the affirmative.</w:t>
      </w:r>
      <w:r w:rsidR="00D66CEE" w:rsidRPr="00443EC1">
        <w:rPr>
          <w:color w:val="000000"/>
          <w:sz w:val="26"/>
        </w:rPr>
        <w:t xml:space="preserve">                                                                        </w:t>
      </w:r>
      <w:r w:rsidR="005E691B" w:rsidRPr="00443EC1">
        <w:rPr>
          <w:color w:val="000000"/>
          <w:sz w:val="26"/>
        </w:rPr>
        <w:t xml:space="preserve"> </w:t>
      </w:r>
      <w:r w:rsidR="005E691B" w:rsidRPr="00443EC1">
        <w:rPr>
          <w:sz w:val="26"/>
          <w:szCs w:val="26"/>
        </w:rPr>
        <w:t xml:space="preserve">  </w:t>
      </w:r>
    </w:p>
    <w:p w:rsidR="002274D5" w:rsidRDefault="002274D5" w:rsidP="00443EC1">
      <w:pPr>
        <w:spacing w:line="360" w:lineRule="auto"/>
        <w:ind w:firstLine="1440"/>
        <w:rPr>
          <w:sz w:val="26"/>
          <w:szCs w:val="26"/>
        </w:rPr>
      </w:pPr>
    </w:p>
    <w:p w:rsidR="004758FF" w:rsidRPr="00C260ED" w:rsidRDefault="004758FF" w:rsidP="004758FF">
      <w:pPr>
        <w:widowControl/>
        <w:spacing w:line="360" w:lineRule="auto"/>
        <w:ind w:firstLine="1440"/>
        <w:rPr>
          <w:sz w:val="26"/>
          <w:szCs w:val="26"/>
        </w:rPr>
      </w:pPr>
      <w:r>
        <w:rPr>
          <w:bCs/>
          <w:sz w:val="26"/>
          <w:szCs w:val="26"/>
        </w:rPr>
        <w:t xml:space="preserve">Pursuant to our Regulations at 52 Pa. Code </w:t>
      </w:r>
      <w:r w:rsidRPr="00C260ED">
        <w:rPr>
          <w:bCs/>
          <w:sz w:val="26"/>
          <w:szCs w:val="26"/>
        </w:rPr>
        <w:t>§ 5.303</w:t>
      </w:r>
      <w:r>
        <w:rPr>
          <w:bCs/>
          <w:sz w:val="26"/>
          <w:szCs w:val="26"/>
        </w:rPr>
        <w:t>, on consideration of a petition for interlocutory Commission review and answer to a material question, we may either:</w:t>
      </w:r>
      <w:r w:rsidRPr="00C260ED">
        <w:rPr>
          <w:bCs/>
          <w:sz w:val="26"/>
          <w:szCs w:val="26"/>
        </w:rPr>
        <w:t xml:space="preserve"> </w:t>
      </w:r>
      <w:r w:rsidRPr="00C260ED">
        <w:rPr>
          <w:sz w:val="26"/>
          <w:szCs w:val="26"/>
        </w:rPr>
        <w:t xml:space="preserve">(1) </w:t>
      </w:r>
      <w:r w:rsidR="00144AAC">
        <w:rPr>
          <w:sz w:val="26"/>
          <w:szCs w:val="26"/>
        </w:rPr>
        <w:t>c</w:t>
      </w:r>
      <w:r w:rsidRPr="00C260ED">
        <w:rPr>
          <w:sz w:val="26"/>
          <w:szCs w:val="26"/>
        </w:rPr>
        <w:t>ontinue, revoke or grant a stay of proceedings if necessary to protect the substantial rights of the parties</w:t>
      </w:r>
      <w:r>
        <w:rPr>
          <w:sz w:val="26"/>
          <w:szCs w:val="26"/>
        </w:rPr>
        <w:t xml:space="preserve">; </w:t>
      </w:r>
      <w:r w:rsidRPr="00C260ED">
        <w:rPr>
          <w:sz w:val="26"/>
          <w:szCs w:val="26"/>
        </w:rPr>
        <w:t xml:space="preserve">(2) </w:t>
      </w:r>
      <w:r w:rsidR="00144AAC">
        <w:rPr>
          <w:sz w:val="26"/>
          <w:szCs w:val="26"/>
        </w:rPr>
        <w:t>d</w:t>
      </w:r>
      <w:r w:rsidRPr="00C260ED">
        <w:rPr>
          <w:sz w:val="26"/>
          <w:szCs w:val="26"/>
        </w:rPr>
        <w:t>etermine that the petition was improper and return the ma</w:t>
      </w:r>
      <w:r>
        <w:rPr>
          <w:sz w:val="26"/>
          <w:szCs w:val="26"/>
        </w:rPr>
        <w:t xml:space="preserve">tter to the presiding officer; </w:t>
      </w:r>
      <w:r w:rsidRPr="00C260ED">
        <w:rPr>
          <w:sz w:val="26"/>
          <w:szCs w:val="26"/>
        </w:rPr>
        <w:t xml:space="preserve">(3) </w:t>
      </w:r>
      <w:r w:rsidR="00144AAC">
        <w:rPr>
          <w:sz w:val="26"/>
          <w:szCs w:val="26"/>
        </w:rPr>
        <w:t>d</w:t>
      </w:r>
      <w:r>
        <w:rPr>
          <w:sz w:val="26"/>
          <w:szCs w:val="26"/>
        </w:rPr>
        <w:t xml:space="preserve">ecline to answer the question; </w:t>
      </w:r>
      <w:r w:rsidRPr="00C260ED">
        <w:rPr>
          <w:sz w:val="26"/>
          <w:szCs w:val="26"/>
        </w:rPr>
        <w:t xml:space="preserve">(4) </w:t>
      </w:r>
      <w:r w:rsidR="00144AAC">
        <w:rPr>
          <w:sz w:val="26"/>
          <w:szCs w:val="26"/>
        </w:rPr>
        <w:t>a</w:t>
      </w:r>
      <w:r w:rsidRPr="00C260ED">
        <w:rPr>
          <w:sz w:val="26"/>
          <w:szCs w:val="26"/>
        </w:rPr>
        <w:t xml:space="preserve">nswer the question. </w:t>
      </w:r>
    </w:p>
    <w:p w:rsidR="00E0108B" w:rsidRDefault="00E0108B" w:rsidP="00E0108B">
      <w:pPr>
        <w:spacing w:line="360" w:lineRule="auto"/>
        <w:ind w:firstLine="1440"/>
        <w:rPr>
          <w:sz w:val="26"/>
          <w:szCs w:val="26"/>
        </w:rPr>
      </w:pPr>
    </w:p>
    <w:p w:rsidR="00E0108B" w:rsidRDefault="00C05573" w:rsidP="00E0108B">
      <w:pPr>
        <w:spacing w:line="360" w:lineRule="auto"/>
        <w:ind w:firstLine="1440"/>
        <w:rPr>
          <w:sz w:val="26"/>
          <w:szCs w:val="26"/>
        </w:rPr>
      </w:pPr>
      <w:r>
        <w:rPr>
          <w:sz w:val="26"/>
          <w:szCs w:val="26"/>
        </w:rPr>
        <w:t xml:space="preserve">For the reasons set forth </w:t>
      </w:r>
      <w:r w:rsidR="002274D5">
        <w:rPr>
          <w:sz w:val="26"/>
          <w:szCs w:val="26"/>
        </w:rPr>
        <w:t>in this Opinion and Order</w:t>
      </w:r>
      <w:r>
        <w:rPr>
          <w:sz w:val="26"/>
          <w:szCs w:val="26"/>
        </w:rPr>
        <w:t xml:space="preserve">, we </w:t>
      </w:r>
      <w:r w:rsidR="00443EC1">
        <w:rPr>
          <w:sz w:val="26"/>
          <w:szCs w:val="26"/>
        </w:rPr>
        <w:t xml:space="preserve">will </w:t>
      </w:r>
      <w:r w:rsidR="004758FF">
        <w:rPr>
          <w:sz w:val="26"/>
          <w:szCs w:val="26"/>
        </w:rPr>
        <w:t xml:space="preserve">grant the IDT Petition and the OAG/OCA </w:t>
      </w:r>
      <w:r w:rsidR="0089751C">
        <w:rPr>
          <w:sz w:val="26"/>
          <w:szCs w:val="26"/>
        </w:rPr>
        <w:t>Joint</w:t>
      </w:r>
      <w:r w:rsidR="004758FF">
        <w:rPr>
          <w:sz w:val="26"/>
          <w:szCs w:val="26"/>
        </w:rPr>
        <w:t xml:space="preserve"> Petition</w:t>
      </w:r>
      <w:r w:rsidR="00D0020E">
        <w:rPr>
          <w:sz w:val="26"/>
          <w:szCs w:val="26"/>
        </w:rPr>
        <w:t>. We shall consider</w:t>
      </w:r>
      <w:r w:rsidR="004758FF">
        <w:rPr>
          <w:sz w:val="26"/>
          <w:szCs w:val="26"/>
        </w:rPr>
        <w:t xml:space="preserve"> and </w:t>
      </w:r>
      <w:r w:rsidR="00591A09">
        <w:rPr>
          <w:sz w:val="26"/>
          <w:szCs w:val="26"/>
        </w:rPr>
        <w:t xml:space="preserve">answer the questions presented for </w:t>
      </w:r>
      <w:r w:rsidR="006F072A">
        <w:rPr>
          <w:sz w:val="26"/>
          <w:szCs w:val="26"/>
        </w:rPr>
        <w:t>interlocutory review</w:t>
      </w:r>
      <w:r w:rsidR="001431AC">
        <w:rPr>
          <w:sz w:val="26"/>
          <w:szCs w:val="26"/>
        </w:rPr>
        <w:t>.</w:t>
      </w:r>
      <w:r w:rsidR="00232B57">
        <w:rPr>
          <w:sz w:val="26"/>
          <w:szCs w:val="26"/>
        </w:rPr>
        <w:t xml:space="preserve">  </w:t>
      </w:r>
      <w:r w:rsidR="00052760">
        <w:rPr>
          <w:sz w:val="26"/>
          <w:szCs w:val="26"/>
        </w:rPr>
        <w:t>On consideration of the pleadings, attachments and response</w:t>
      </w:r>
      <w:r w:rsidR="0005618F">
        <w:rPr>
          <w:sz w:val="26"/>
          <w:szCs w:val="26"/>
        </w:rPr>
        <w:t>s</w:t>
      </w:r>
      <w:r w:rsidR="00052760">
        <w:rPr>
          <w:sz w:val="26"/>
          <w:szCs w:val="26"/>
        </w:rPr>
        <w:t xml:space="preserve"> thereto, we</w:t>
      </w:r>
      <w:r w:rsidR="00232B57">
        <w:rPr>
          <w:sz w:val="26"/>
          <w:szCs w:val="26"/>
        </w:rPr>
        <w:t xml:space="preserve"> conclude that</w:t>
      </w:r>
      <w:r w:rsidR="00E0108B">
        <w:rPr>
          <w:sz w:val="26"/>
          <w:szCs w:val="26"/>
        </w:rPr>
        <w:t xml:space="preserve"> </w:t>
      </w:r>
      <w:r w:rsidR="00232B57">
        <w:rPr>
          <w:sz w:val="26"/>
          <w:szCs w:val="26"/>
        </w:rPr>
        <w:t xml:space="preserve">the </w:t>
      </w:r>
      <w:r w:rsidR="00B122AF">
        <w:rPr>
          <w:sz w:val="26"/>
          <w:szCs w:val="26"/>
        </w:rPr>
        <w:t xml:space="preserve">petitioning </w:t>
      </w:r>
      <w:r w:rsidR="00232B57">
        <w:rPr>
          <w:sz w:val="26"/>
          <w:szCs w:val="26"/>
        </w:rPr>
        <w:t>Parties, respectively, ha</w:t>
      </w:r>
      <w:r w:rsidR="00E0108B">
        <w:rPr>
          <w:sz w:val="26"/>
          <w:szCs w:val="26"/>
        </w:rPr>
        <w:t>ve</w:t>
      </w:r>
      <w:r w:rsidR="00232B57">
        <w:rPr>
          <w:sz w:val="26"/>
          <w:szCs w:val="26"/>
        </w:rPr>
        <w:t xml:space="preserve"> shown </w:t>
      </w:r>
      <w:r w:rsidR="00232B57" w:rsidRPr="00865EA6">
        <w:rPr>
          <w:sz w:val="26"/>
          <w:szCs w:val="26"/>
        </w:rPr>
        <w:t xml:space="preserve">compelling reasons </w:t>
      </w:r>
      <w:r w:rsidR="00E0108B">
        <w:rPr>
          <w:sz w:val="26"/>
          <w:szCs w:val="26"/>
        </w:rPr>
        <w:t xml:space="preserve">to grant interlocutory review and answer the </w:t>
      </w:r>
      <w:r w:rsidR="00D0020E">
        <w:rPr>
          <w:sz w:val="26"/>
          <w:szCs w:val="26"/>
        </w:rPr>
        <w:t xml:space="preserve">material </w:t>
      </w:r>
      <w:r w:rsidR="00E0108B">
        <w:rPr>
          <w:sz w:val="26"/>
          <w:szCs w:val="26"/>
        </w:rPr>
        <w:t>questions.  Granting interlocutory review expedites the conduct of multiple formal complaint proceedings initiated by the OAG and OCA against electric generation suppliers (EGSs) relating to variable rates by ensuring that the material questions raised in the cases are decided consistently.</w:t>
      </w:r>
      <w:r w:rsidR="00D0020E" w:rsidRPr="00F421DF">
        <w:rPr>
          <w:rStyle w:val="FootnoteReference"/>
          <w:sz w:val="26"/>
          <w:szCs w:val="26"/>
        </w:rPr>
        <w:footnoteReference w:id="1"/>
      </w:r>
    </w:p>
    <w:p w:rsidR="00E0108B" w:rsidRDefault="00E0108B" w:rsidP="00E0108B">
      <w:pPr>
        <w:spacing w:line="360" w:lineRule="auto"/>
        <w:ind w:firstLine="1440"/>
        <w:rPr>
          <w:sz w:val="26"/>
          <w:szCs w:val="26"/>
        </w:rPr>
      </w:pPr>
    </w:p>
    <w:p w:rsidR="006F072A" w:rsidRDefault="00E0108B" w:rsidP="00E0108B">
      <w:pPr>
        <w:spacing w:line="360" w:lineRule="auto"/>
        <w:ind w:firstLine="1440"/>
        <w:rPr>
          <w:sz w:val="26"/>
          <w:szCs w:val="26"/>
        </w:rPr>
      </w:pPr>
      <w:r>
        <w:rPr>
          <w:sz w:val="26"/>
          <w:szCs w:val="26"/>
        </w:rPr>
        <w:t xml:space="preserve"> </w:t>
      </w:r>
      <w:r w:rsidR="003B00E1">
        <w:rPr>
          <w:sz w:val="26"/>
          <w:szCs w:val="26"/>
        </w:rPr>
        <w:t xml:space="preserve">  </w:t>
      </w:r>
    </w:p>
    <w:p w:rsidR="00C15B78" w:rsidRPr="00C15B78" w:rsidRDefault="00C15B78" w:rsidP="0005618F">
      <w:pPr>
        <w:ind w:right="720"/>
        <w:rPr>
          <w:color w:val="000000"/>
          <w:sz w:val="26"/>
        </w:rPr>
      </w:pPr>
      <w:r w:rsidRPr="00C15B78">
        <w:rPr>
          <w:color w:val="000000"/>
          <w:sz w:val="26"/>
        </w:rPr>
        <w:lastRenderedPageBreak/>
        <w:t xml:space="preserve">   </w:t>
      </w:r>
    </w:p>
    <w:p w:rsidR="00DA1FA3" w:rsidRDefault="003A10C8" w:rsidP="00D0020E">
      <w:pPr>
        <w:spacing w:line="360" w:lineRule="auto"/>
        <w:jc w:val="center"/>
        <w:rPr>
          <w:b/>
          <w:sz w:val="26"/>
          <w:szCs w:val="26"/>
        </w:rPr>
      </w:pPr>
      <w:bookmarkStart w:id="0" w:name="OLE_LINK1"/>
      <w:bookmarkStart w:id="1" w:name="OLE_LINK2"/>
      <w:r>
        <w:rPr>
          <w:b/>
          <w:sz w:val="26"/>
          <w:szCs w:val="26"/>
        </w:rPr>
        <w:t>Background</w:t>
      </w:r>
    </w:p>
    <w:p w:rsidR="00D0020E" w:rsidRPr="00D0020E" w:rsidRDefault="00D0020E" w:rsidP="00D0020E">
      <w:pPr>
        <w:spacing w:line="360" w:lineRule="auto"/>
        <w:jc w:val="center"/>
        <w:rPr>
          <w:b/>
          <w:sz w:val="26"/>
          <w:szCs w:val="26"/>
        </w:rPr>
      </w:pPr>
    </w:p>
    <w:p w:rsidR="00031B94" w:rsidRPr="00975324" w:rsidRDefault="00BE5F10" w:rsidP="00BE5F10">
      <w:pPr>
        <w:spacing w:line="360" w:lineRule="auto"/>
        <w:ind w:firstLine="1440"/>
        <w:rPr>
          <w:sz w:val="26"/>
          <w:szCs w:val="26"/>
        </w:rPr>
      </w:pPr>
      <w:r>
        <w:rPr>
          <w:sz w:val="26"/>
          <w:szCs w:val="26"/>
        </w:rPr>
        <w:t>IDT is an EGS</w:t>
      </w:r>
      <w:r w:rsidR="00075007">
        <w:rPr>
          <w:sz w:val="26"/>
          <w:szCs w:val="26"/>
        </w:rPr>
        <w:t xml:space="preserve"> licensed by the C</w:t>
      </w:r>
      <w:r>
        <w:rPr>
          <w:sz w:val="26"/>
          <w:szCs w:val="26"/>
        </w:rPr>
        <w:t>ommission pursuant to 66 Pa. C.</w:t>
      </w:r>
      <w:r w:rsidR="00075007">
        <w:rPr>
          <w:sz w:val="26"/>
          <w:szCs w:val="26"/>
        </w:rPr>
        <w:t xml:space="preserve">S. </w:t>
      </w:r>
      <w:r>
        <w:rPr>
          <w:sz w:val="26"/>
          <w:szCs w:val="26"/>
        </w:rPr>
        <w:br/>
      </w:r>
      <w:r w:rsidR="00075007">
        <w:rPr>
          <w:sz w:val="26"/>
          <w:szCs w:val="26"/>
        </w:rPr>
        <w:t xml:space="preserve">§ 2809(e), since June 15, 2010.  </w:t>
      </w:r>
      <w:r w:rsidR="00075007">
        <w:rPr>
          <w:i/>
          <w:sz w:val="26"/>
          <w:szCs w:val="26"/>
        </w:rPr>
        <w:t>See</w:t>
      </w:r>
      <w:r w:rsidR="00075007">
        <w:rPr>
          <w:sz w:val="26"/>
          <w:szCs w:val="26"/>
        </w:rPr>
        <w:t xml:space="preserve"> </w:t>
      </w:r>
      <w:r w:rsidR="00975324">
        <w:rPr>
          <w:i/>
          <w:sz w:val="26"/>
          <w:szCs w:val="26"/>
        </w:rPr>
        <w:t>License Applic</w:t>
      </w:r>
      <w:r w:rsidR="00AD66FE">
        <w:rPr>
          <w:i/>
          <w:sz w:val="26"/>
          <w:szCs w:val="26"/>
        </w:rPr>
        <w:t>ation of IDT Energy, Inc. for Approval to Offer, Render, Furnish or Supply Electricity or Electric Generation Services as a Supplier of Retail Electric Power</w:t>
      </w:r>
      <w:r w:rsidR="00975324">
        <w:rPr>
          <w:sz w:val="26"/>
          <w:szCs w:val="26"/>
        </w:rPr>
        <w:t xml:space="preserve">, Docket No. </w:t>
      </w:r>
      <w:r w:rsidR="00AD66FE">
        <w:rPr>
          <w:sz w:val="26"/>
          <w:szCs w:val="26"/>
        </w:rPr>
        <w:t>A-</w:t>
      </w:r>
      <w:r w:rsidR="00975324">
        <w:rPr>
          <w:sz w:val="26"/>
          <w:szCs w:val="26"/>
        </w:rPr>
        <w:t>2009-2134623</w:t>
      </w:r>
      <w:r w:rsidR="00AD66FE">
        <w:rPr>
          <w:sz w:val="26"/>
          <w:szCs w:val="26"/>
        </w:rPr>
        <w:t xml:space="preserve"> (Order entered January 15, 2010)</w:t>
      </w:r>
      <w:r w:rsidR="00975324">
        <w:rPr>
          <w:sz w:val="26"/>
          <w:szCs w:val="26"/>
        </w:rPr>
        <w:t>.</w:t>
      </w:r>
      <w:r w:rsidR="00975324">
        <w:rPr>
          <w:rStyle w:val="FootnoteReference"/>
          <w:sz w:val="26"/>
          <w:szCs w:val="26"/>
        </w:rPr>
        <w:footnoteReference w:id="2"/>
      </w:r>
      <w:r w:rsidR="00975324">
        <w:rPr>
          <w:sz w:val="26"/>
          <w:szCs w:val="26"/>
        </w:rPr>
        <w:t xml:space="preserve"> </w:t>
      </w:r>
      <w:r>
        <w:rPr>
          <w:sz w:val="26"/>
          <w:szCs w:val="26"/>
        </w:rPr>
        <w:t xml:space="preserve"> </w:t>
      </w:r>
      <w:r w:rsidR="00975324">
        <w:rPr>
          <w:sz w:val="26"/>
          <w:szCs w:val="26"/>
        </w:rPr>
        <w:t>IDT offers variable rate electric generation service to customers throughout Penns</w:t>
      </w:r>
      <w:r w:rsidR="00031B94">
        <w:rPr>
          <w:sz w:val="26"/>
          <w:szCs w:val="26"/>
        </w:rPr>
        <w:t>y</w:t>
      </w:r>
      <w:r w:rsidR="00975324">
        <w:rPr>
          <w:sz w:val="26"/>
          <w:szCs w:val="26"/>
        </w:rPr>
        <w:t>lvania</w:t>
      </w:r>
      <w:r w:rsidR="00031B94">
        <w:rPr>
          <w:sz w:val="26"/>
          <w:szCs w:val="26"/>
        </w:rPr>
        <w:t xml:space="preserve">.  </w:t>
      </w:r>
      <w:r w:rsidR="00031B94">
        <w:rPr>
          <w:i/>
          <w:sz w:val="26"/>
          <w:szCs w:val="26"/>
        </w:rPr>
        <w:t>See</w:t>
      </w:r>
      <w:r w:rsidR="00031B94">
        <w:rPr>
          <w:sz w:val="26"/>
          <w:szCs w:val="26"/>
        </w:rPr>
        <w:t xml:space="preserve"> Joint Complaint </w:t>
      </w:r>
      <w:r w:rsidR="00B4076D">
        <w:rPr>
          <w:sz w:val="26"/>
          <w:szCs w:val="26"/>
        </w:rPr>
        <w:t xml:space="preserve">at </w:t>
      </w:r>
      <w:r w:rsidR="00031B94">
        <w:rPr>
          <w:sz w:val="26"/>
          <w:szCs w:val="26"/>
        </w:rPr>
        <w:t>¶ 11.</w:t>
      </w:r>
    </w:p>
    <w:p w:rsidR="003A10C8" w:rsidRPr="00D53276" w:rsidRDefault="00975324" w:rsidP="00031B94">
      <w:pPr>
        <w:spacing w:line="360" w:lineRule="auto"/>
        <w:ind w:firstLine="1440"/>
        <w:rPr>
          <w:sz w:val="26"/>
          <w:szCs w:val="26"/>
        </w:rPr>
      </w:pPr>
      <w:r>
        <w:rPr>
          <w:sz w:val="26"/>
          <w:szCs w:val="26"/>
        </w:rPr>
        <w:t xml:space="preserve">  </w:t>
      </w:r>
    </w:p>
    <w:p w:rsidR="00A35299" w:rsidRPr="0005618F" w:rsidRDefault="00D66CEE" w:rsidP="0005618F">
      <w:pPr>
        <w:spacing w:line="360" w:lineRule="auto"/>
        <w:jc w:val="center"/>
        <w:rPr>
          <w:b/>
          <w:sz w:val="26"/>
          <w:szCs w:val="26"/>
        </w:rPr>
      </w:pPr>
      <w:r>
        <w:rPr>
          <w:b/>
          <w:sz w:val="26"/>
          <w:szCs w:val="26"/>
        </w:rPr>
        <w:t>Hi</w:t>
      </w:r>
      <w:r w:rsidR="00CA43A5" w:rsidRPr="00CA43A5">
        <w:rPr>
          <w:b/>
          <w:sz w:val="26"/>
          <w:szCs w:val="26"/>
        </w:rPr>
        <w:t>story of the Proceeding</w:t>
      </w:r>
      <w:bookmarkEnd w:id="0"/>
      <w:bookmarkEnd w:id="1"/>
    </w:p>
    <w:p w:rsidR="00C47435" w:rsidRDefault="00C47435" w:rsidP="00E03F7A">
      <w:pPr>
        <w:spacing w:line="360" w:lineRule="auto"/>
        <w:ind w:firstLine="1440"/>
        <w:rPr>
          <w:sz w:val="26"/>
          <w:szCs w:val="26"/>
        </w:rPr>
      </w:pPr>
    </w:p>
    <w:p w:rsidR="005A4158" w:rsidRDefault="00E03F7A" w:rsidP="00E03F7A">
      <w:pPr>
        <w:spacing w:line="360" w:lineRule="auto"/>
        <w:ind w:firstLine="1440"/>
        <w:rPr>
          <w:sz w:val="26"/>
          <w:szCs w:val="26"/>
        </w:rPr>
      </w:pPr>
      <w:r>
        <w:rPr>
          <w:sz w:val="26"/>
          <w:szCs w:val="26"/>
        </w:rPr>
        <w:t xml:space="preserve">The Procedural History of this matter </w:t>
      </w:r>
      <w:r w:rsidR="00E27252">
        <w:rPr>
          <w:sz w:val="26"/>
          <w:szCs w:val="26"/>
        </w:rPr>
        <w:t>is</w:t>
      </w:r>
      <w:r>
        <w:rPr>
          <w:sz w:val="26"/>
          <w:szCs w:val="26"/>
        </w:rPr>
        <w:t xml:space="preserve"> </w:t>
      </w:r>
      <w:r w:rsidR="001717B8">
        <w:rPr>
          <w:sz w:val="26"/>
          <w:szCs w:val="26"/>
        </w:rPr>
        <w:t>summarized</w:t>
      </w:r>
      <w:r>
        <w:rPr>
          <w:sz w:val="26"/>
          <w:szCs w:val="26"/>
        </w:rPr>
        <w:t xml:space="preserve"> from the August 20 Order</w:t>
      </w:r>
      <w:r w:rsidR="00587037">
        <w:rPr>
          <w:sz w:val="26"/>
          <w:szCs w:val="26"/>
        </w:rPr>
        <w:t xml:space="preserve"> and the pleadings</w:t>
      </w:r>
      <w:r w:rsidR="001717B8">
        <w:rPr>
          <w:sz w:val="26"/>
          <w:szCs w:val="26"/>
        </w:rPr>
        <w:t>.</w:t>
      </w:r>
    </w:p>
    <w:p w:rsidR="00587037" w:rsidRDefault="00587037" w:rsidP="00E03F7A">
      <w:pPr>
        <w:spacing w:line="360" w:lineRule="auto"/>
        <w:ind w:firstLine="1440"/>
        <w:rPr>
          <w:sz w:val="26"/>
          <w:szCs w:val="26"/>
        </w:rPr>
      </w:pPr>
    </w:p>
    <w:p w:rsidR="00347B93" w:rsidRDefault="00587037" w:rsidP="00347B93">
      <w:pPr>
        <w:adjustRightInd w:val="0"/>
        <w:spacing w:line="360" w:lineRule="auto"/>
        <w:ind w:firstLine="1440"/>
        <w:rPr>
          <w:bCs/>
          <w:color w:val="000000"/>
          <w:sz w:val="26"/>
          <w:szCs w:val="26"/>
        </w:rPr>
      </w:pPr>
      <w:r w:rsidRPr="00A605C3">
        <w:rPr>
          <w:bCs/>
          <w:color w:val="000000"/>
          <w:sz w:val="26"/>
          <w:szCs w:val="26"/>
        </w:rPr>
        <w:t xml:space="preserve">On June 20, 2014, the </w:t>
      </w:r>
      <w:r w:rsidR="00C47C7E">
        <w:rPr>
          <w:bCs/>
          <w:color w:val="000000"/>
          <w:sz w:val="26"/>
          <w:szCs w:val="26"/>
        </w:rPr>
        <w:t>J</w:t>
      </w:r>
      <w:r w:rsidR="0025430F">
        <w:rPr>
          <w:bCs/>
          <w:color w:val="000000"/>
          <w:sz w:val="26"/>
          <w:szCs w:val="26"/>
        </w:rPr>
        <w:t xml:space="preserve">oint Complainants </w:t>
      </w:r>
      <w:r>
        <w:rPr>
          <w:bCs/>
          <w:color w:val="000000"/>
          <w:sz w:val="26"/>
          <w:szCs w:val="26"/>
        </w:rPr>
        <w:t>f</w:t>
      </w:r>
      <w:r w:rsidR="00F51766">
        <w:rPr>
          <w:bCs/>
          <w:color w:val="000000"/>
          <w:sz w:val="26"/>
          <w:szCs w:val="26"/>
        </w:rPr>
        <w:t>i</w:t>
      </w:r>
      <w:r w:rsidRPr="00A605C3">
        <w:rPr>
          <w:bCs/>
          <w:color w:val="000000"/>
          <w:sz w:val="26"/>
          <w:szCs w:val="26"/>
        </w:rPr>
        <w:t xml:space="preserve">led a </w:t>
      </w:r>
      <w:r>
        <w:rPr>
          <w:bCs/>
          <w:color w:val="000000"/>
          <w:sz w:val="26"/>
          <w:szCs w:val="26"/>
        </w:rPr>
        <w:t xml:space="preserve">joint </w:t>
      </w:r>
      <w:r w:rsidR="00F51766">
        <w:rPr>
          <w:bCs/>
          <w:color w:val="000000"/>
          <w:sz w:val="26"/>
          <w:szCs w:val="26"/>
        </w:rPr>
        <w:t>F</w:t>
      </w:r>
      <w:r w:rsidRPr="00A605C3">
        <w:rPr>
          <w:bCs/>
          <w:color w:val="000000"/>
          <w:sz w:val="26"/>
          <w:szCs w:val="26"/>
        </w:rPr>
        <w:t>ormal Complaint against IDT at Docket Number C-2014-2427657</w:t>
      </w:r>
      <w:r w:rsidR="00F51766">
        <w:rPr>
          <w:bCs/>
          <w:color w:val="000000"/>
          <w:sz w:val="26"/>
          <w:szCs w:val="26"/>
        </w:rPr>
        <w:t xml:space="preserve"> (Joint Complaint)</w:t>
      </w:r>
      <w:r w:rsidRPr="00A605C3">
        <w:rPr>
          <w:bCs/>
          <w:color w:val="000000"/>
          <w:sz w:val="26"/>
          <w:szCs w:val="26"/>
        </w:rPr>
        <w:t>.  The Joint Complain</w:t>
      </w:r>
      <w:r w:rsidR="00951BB4">
        <w:rPr>
          <w:bCs/>
          <w:color w:val="000000"/>
          <w:sz w:val="26"/>
          <w:szCs w:val="26"/>
        </w:rPr>
        <w:t>an</w:t>
      </w:r>
      <w:r w:rsidRPr="00A605C3">
        <w:rPr>
          <w:bCs/>
          <w:color w:val="000000"/>
          <w:sz w:val="26"/>
          <w:szCs w:val="26"/>
        </w:rPr>
        <w:t>t</w:t>
      </w:r>
      <w:r w:rsidR="00951BB4">
        <w:rPr>
          <w:bCs/>
          <w:color w:val="000000"/>
          <w:sz w:val="26"/>
          <w:szCs w:val="26"/>
        </w:rPr>
        <w:t>s</w:t>
      </w:r>
      <w:r w:rsidRPr="00A605C3">
        <w:rPr>
          <w:bCs/>
          <w:color w:val="000000"/>
          <w:sz w:val="26"/>
          <w:szCs w:val="26"/>
        </w:rPr>
        <w:t xml:space="preserve"> averred that they had received numerous contacts and complaints from consumers related to variable rates </w:t>
      </w:r>
      <w:r w:rsidR="00347B93">
        <w:rPr>
          <w:bCs/>
          <w:color w:val="000000"/>
          <w:sz w:val="26"/>
          <w:szCs w:val="26"/>
        </w:rPr>
        <w:t xml:space="preserve">for electric generation service charged </w:t>
      </w:r>
      <w:r w:rsidRPr="00A605C3">
        <w:rPr>
          <w:bCs/>
          <w:color w:val="000000"/>
          <w:sz w:val="26"/>
          <w:szCs w:val="26"/>
        </w:rPr>
        <w:t>by IDT, including</w:t>
      </w:r>
      <w:r>
        <w:rPr>
          <w:bCs/>
          <w:color w:val="000000"/>
          <w:sz w:val="26"/>
          <w:szCs w:val="26"/>
        </w:rPr>
        <w:t>,</w:t>
      </w:r>
      <w:r w:rsidRPr="00A605C3">
        <w:rPr>
          <w:bCs/>
          <w:color w:val="000000"/>
          <w:sz w:val="26"/>
          <w:szCs w:val="26"/>
        </w:rPr>
        <w:t xml:space="preserve"> approximately</w:t>
      </w:r>
      <w:r>
        <w:rPr>
          <w:bCs/>
          <w:color w:val="000000"/>
          <w:sz w:val="26"/>
          <w:szCs w:val="26"/>
        </w:rPr>
        <w:t>,</w:t>
      </w:r>
      <w:r w:rsidRPr="00A605C3">
        <w:rPr>
          <w:bCs/>
          <w:color w:val="000000"/>
          <w:sz w:val="26"/>
          <w:szCs w:val="26"/>
        </w:rPr>
        <w:t xml:space="preserve"> 47 formal complaints filed by consumers at the Commission.</w:t>
      </w:r>
      <w:r w:rsidR="00E27252">
        <w:rPr>
          <w:bCs/>
          <w:color w:val="000000"/>
          <w:sz w:val="26"/>
          <w:szCs w:val="26"/>
        </w:rPr>
        <w:t xml:space="preserve"> </w:t>
      </w:r>
      <w:r w:rsidR="00347B93">
        <w:rPr>
          <w:bCs/>
          <w:color w:val="000000"/>
          <w:sz w:val="26"/>
          <w:szCs w:val="26"/>
        </w:rPr>
        <w:t xml:space="preserve"> </w:t>
      </w:r>
      <w:r w:rsidR="00E27252">
        <w:rPr>
          <w:bCs/>
          <w:color w:val="000000"/>
          <w:sz w:val="26"/>
          <w:szCs w:val="26"/>
        </w:rPr>
        <w:t>August 20 Order at 1.</w:t>
      </w:r>
      <w:r w:rsidRPr="00A605C3">
        <w:rPr>
          <w:bCs/>
          <w:color w:val="000000"/>
          <w:sz w:val="26"/>
          <w:szCs w:val="26"/>
        </w:rPr>
        <w:t xml:space="preserve">  The Joint Complaint </w:t>
      </w:r>
      <w:r w:rsidR="00347B93">
        <w:rPr>
          <w:bCs/>
          <w:color w:val="000000"/>
          <w:sz w:val="26"/>
          <w:szCs w:val="26"/>
        </w:rPr>
        <w:t>set forth</w:t>
      </w:r>
      <w:r w:rsidRPr="00A605C3">
        <w:rPr>
          <w:bCs/>
          <w:color w:val="000000"/>
          <w:sz w:val="26"/>
          <w:szCs w:val="26"/>
        </w:rPr>
        <w:t xml:space="preserve"> seven separate counts against IDT</w:t>
      </w:r>
      <w:r>
        <w:rPr>
          <w:bCs/>
          <w:color w:val="000000"/>
          <w:sz w:val="26"/>
          <w:szCs w:val="26"/>
        </w:rPr>
        <w:t>.</w:t>
      </w:r>
      <w:r w:rsidR="006C1FE0">
        <w:rPr>
          <w:bCs/>
          <w:color w:val="000000"/>
          <w:sz w:val="26"/>
          <w:szCs w:val="26"/>
        </w:rPr>
        <w:t xml:space="preserve"> </w:t>
      </w:r>
    </w:p>
    <w:p w:rsidR="00347B93" w:rsidRDefault="00347B93" w:rsidP="00587037">
      <w:pPr>
        <w:adjustRightInd w:val="0"/>
        <w:spacing w:line="360" w:lineRule="auto"/>
        <w:ind w:firstLine="1440"/>
        <w:rPr>
          <w:bCs/>
          <w:color w:val="000000"/>
          <w:sz w:val="26"/>
          <w:szCs w:val="26"/>
        </w:rPr>
      </w:pPr>
    </w:p>
    <w:p w:rsidR="006C1FE0" w:rsidRDefault="006C1FE0" w:rsidP="00587037">
      <w:pPr>
        <w:adjustRightInd w:val="0"/>
        <w:spacing w:line="360" w:lineRule="auto"/>
        <w:ind w:firstLine="1440"/>
        <w:rPr>
          <w:bCs/>
          <w:color w:val="000000"/>
          <w:sz w:val="26"/>
          <w:szCs w:val="26"/>
        </w:rPr>
      </w:pPr>
      <w:r>
        <w:rPr>
          <w:bCs/>
          <w:color w:val="000000"/>
          <w:sz w:val="26"/>
          <w:szCs w:val="26"/>
        </w:rPr>
        <w:t xml:space="preserve">Count I - Misleading and Deceptive Promises of Savings, alleges that IDT, through its employees, agents, </w:t>
      </w:r>
      <w:r w:rsidR="00347B93">
        <w:rPr>
          <w:bCs/>
          <w:color w:val="000000"/>
          <w:sz w:val="26"/>
          <w:szCs w:val="26"/>
        </w:rPr>
        <w:t xml:space="preserve">and </w:t>
      </w:r>
      <w:r>
        <w:rPr>
          <w:bCs/>
          <w:color w:val="000000"/>
          <w:sz w:val="26"/>
          <w:szCs w:val="26"/>
        </w:rPr>
        <w:t>representatives, engaged in and continue</w:t>
      </w:r>
      <w:r w:rsidR="009B7733">
        <w:rPr>
          <w:bCs/>
          <w:color w:val="000000"/>
          <w:sz w:val="26"/>
          <w:szCs w:val="26"/>
        </w:rPr>
        <w:t>s</w:t>
      </w:r>
      <w:r>
        <w:rPr>
          <w:bCs/>
          <w:color w:val="000000"/>
          <w:sz w:val="26"/>
          <w:szCs w:val="26"/>
        </w:rPr>
        <w:t xml:space="preserve"> to engage in, fraudulent </w:t>
      </w:r>
      <w:r w:rsidR="00347B93">
        <w:rPr>
          <w:bCs/>
          <w:color w:val="000000"/>
          <w:sz w:val="26"/>
          <w:szCs w:val="26"/>
        </w:rPr>
        <w:t xml:space="preserve">and </w:t>
      </w:r>
      <w:r>
        <w:rPr>
          <w:bCs/>
          <w:color w:val="000000"/>
          <w:sz w:val="26"/>
          <w:szCs w:val="26"/>
        </w:rPr>
        <w:t>deceptive</w:t>
      </w:r>
      <w:r w:rsidR="00347B93">
        <w:rPr>
          <w:bCs/>
          <w:color w:val="000000"/>
          <w:sz w:val="26"/>
          <w:szCs w:val="26"/>
        </w:rPr>
        <w:t xml:space="preserve"> activities (marketing acts)</w:t>
      </w:r>
      <w:r>
        <w:rPr>
          <w:bCs/>
          <w:color w:val="000000"/>
          <w:sz w:val="26"/>
          <w:szCs w:val="26"/>
        </w:rPr>
        <w:t xml:space="preserve"> in violation of the Commission’s </w:t>
      </w:r>
      <w:r w:rsidR="00964203">
        <w:rPr>
          <w:bCs/>
          <w:color w:val="000000"/>
          <w:sz w:val="26"/>
          <w:szCs w:val="26"/>
        </w:rPr>
        <w:t>R</w:t>
      </w:r>
      <w:r>
        <w:rPr>
          <w:bCs/>
          <w:color w:val="000000"/>
          <w:sz w:val="26"/>
          <w:szCs w:val="26"/>
        </w:rPr>
        <w:t>egulations and the Unfair Trade Practices and Consumer Protection Law</w:t>
      </w:r>
      <w:r w:rsidR="00F51766">
        <w:rPr>
          <w:bCs/>
          <w:color w:val="000000"/>
          <w:sz w:val="26"/>
          <w:szCs w:val="26"/>
        </w:rPr>
        <w:t xml:space="preserve"> (UTP/CPL)</w:t>
      </w:r>
      <w:r>
        <w:rPr>
          <w:bCs/>
          <w:color w:val="000000"/>
          <w:sz w:val="26"/>
          <w:szCs w:val="26"/>
        </w:rPr>
        <w:t>, 71 P. S. §§ 201-2(4)(ii);</w:t>
      </w:r>
      <w:r w:rsidR="0025430F">
        <w:rPr>
          <w:bCs/>
          <w:color w:val="000000"/>
          <w:sz w:val="26"/>
          <w:szCs w:val="26"/>
        </w:rPr>
        <w:t xml:space="preserve"> </w:t>
      </w:r>
      <w:r>
        <w:rPr>
          <w:bCs/>
          <w:color w:val="000000"/>
          <w:sz w:val="26"/>
          <w:szCs w:val="26"/>
        </w:rPr>
        <w:t>(iii);</w:t>
      </w:r>
      <w:r w:rsidR="0025430F">
        <w:rPr>
          <w:bCs/>
          <w:color w:val="000000"/>
          <w:sz w:val="26"/>
          <w:szCs w:val="26"/>
        </w:rPr>
        <w:t xml:space="preserve"> </w:t>
      </w:r>
      <w:r>
        <w:rPr>
          <w:bCs/>
          <w:color w:val="000000"/>
          <w:sz w:val="26"/>
          <w:szCs w:val="26"/>
        </w:rPr>
        <w:t>(v);</w:t>
      </w:r>
      <w:r w:rsidR="0025430F">
        <w:rPr>
          <w:bCs/>
          <w:color w:val="000000"/>
          <w:sz w:val="26"/>
          <w:szCs w:val="26"/>
        </w:rPr>
        <w:t xml:space="preserve"> </w:t>
      </w:r>
      <w:r>
        <w:rPr>
          <w:bCs/>
          <w:color w:val="000000"/>
          <w:sz w:val="26"/>
          <w:szCs w:val="26"/>
        </w:rPr>
        <w:t>(xi)</w:t>
      </w:r>
      <w:r w:rsidR="0025430F">
        <w:rPr>
          <w:bCs/>
          <w:color w:val="000000"/>
          <w:sz w:val="26"/>
          <w:szCs w:val="26"/>
        </w:rPr>
        <w:t>;</w:t>
      </w:r>
      <w:r>
        <w:rPr>
          <w:bCs/>
          <w:color w:val="000000"/>
          <w:sz w:val="26"/>
          <w:szCs w:val="26"/>
        </w:rPr>
        <w:t xml:space="preserve"> and (xxi).  </w:t>
      </w:r>
      <w:r>
        <w:rPr>
          <w:bCs/>
          <w:i/>
          <w:color w:val="000000"/>
          <w:sz w:val="26"/>
          <w:szCs w:val="26"/>
        </w:rPr>
        <w:t>See</w:t>
      </w:r>
      <w:r>
        <w:rPr>
          <w:bCs/>
          <w:color w:val="000000"/>
          <w:sz w:val="26"/>
          <w:szCs w:val="26"/>
        </w:rPr>
        <w:t xml:space="preserve"> Complaint</w:t>
      </w:r>
      <w:r w:rsidR="00F51766">
        <w:rPr>
          <w:bCs/>
          <w:color w:val="000000"/>
          <w:sz w:val="26"/>
          <w:szCs w:val="26"/>
        </w:rPr>
        <w:t xml:space="preserve"> at</w:t>
      </w:r>
      <w:r>
        <w:rPr>
          <w:bCs/>
          <w:color w:val="000000"/>
          <w:sz w:val="26"/>
          <w:szCs w:val="26"/>
        </w:rPr>
        <w:t xml:space="preserve"> 5-8.</w:t>
      </w:r>
    </w:p>
    <w:p w:rsidR="006C1FE0" w:rsidRDefault="006C1FE0" w:rsidP="00587037">
      <w:pPr>
        <w:adjustRightInd w:val="0"/>
        <w:spacing w:line="360" w:lineRule="auto"/>
        <w:ind w:firstLine="1440"/>
        <w:rPr>
          <w:bCs/>
          <w:color w:val="000000"/>
          <w:sz w:val="26"/>
          <w:szCs w:val="26"/>
        </w:rPr>
      </w:pPr>
    </w:p>
    <w:p w:rsidR="00282E4A" w:rsidRDefault="006C1FE0" w:rsidP="00587037">
      <w:pPr>
        <w:adjustRightInd w:val="0"/>
        <w:spacing w:line="360" w:lineRule="auto"/>
        <w:ind w:firstLine="1440"/>
        <w:rPr>
          <w:bCs/>
          <w:color w:val="000000"/>
          <w:sz w:val="26"/>
          <w:szCs w:val="26"/>
        </w:rPr>
      </w:pPr>
      <w:r>
        <w:rPr>
          <w:bCs/>
          <w:color w:val="000000"/>
          <w:sz w:val="26"/>
          <w:szCs w:val="26"/>
        </w:rPr>
        <w:t xml:space="preserve">In Count II – Misleading and Deceptive Welcome Letter and Advertisements, it is alleged, </w:t>
      </w:r>
      <w:r>
        <w:rPr>
          <w:bCs/>
          <w:i/>
          <w:color w:val="000000"/>
          <w:sz w:val="26"/>
          <w:szCs w:val="26"/>
        </w:rPr>
        <w:t>inter alia</w:t>
      </w:r>
      <w:r>
        <w:rPr>
          <w:bCs/>
          <w:color w:val="000000"/>
          <w:sz w:val="26"/>
          <w:szCs w:val="26"/>
        </w:rPr>
        <w:t xml:space="preserve">, that IDT’s claims in Welcome Letters and Advertising Documents </w:t>
      </w:r>
      <w:r w:rsidR="00347B93">
        <w:rPr>
          <w:bCs/>
          <w:color w:val="000000"/>
          <w:sz w:val="26"/>
          <w:szCs w:val="26"/>
        </w:rPr>
        <w:t xml:space="preserve">used with customers, </w:t>
      </w:r>
      <w:r>
        <w:rPr>
          <w:bCs/>
          <w:color w:val="000000"/>
          <w:sz w:val="26"/>
          <w:szCs w:val="26"/>
        </w:rPr>
        <w:t xml:space="preserve">represent benefits of its services that it did not provide and </w:t>
      </w:r>
      <w:r w:rsidR="00DD3633">
        <w:rPr>
          <w:bCs/>
          <w:color w:val="000000"/>
          <w:sz w:val="26"/>
          <w:szCs w:val="26"/>
        </w:rPr>
        <w:t xml:space="preserve">imply </w:t>
      </w:r>
      <w:r>
        <w:rPr>
          <w:bCs/>
          <w:color w:val="000000"/>
          <w:sz w:val="26"/>
          <w:szCs w:val="26"/>
        </w:rPr>
        <w:t>electric distribution company (EDC) sponsorship that i</w:t>
      </w:r>
      <w:r w:rsidR="00F51766">
        <w:rPr>
          <w:bCs/>
          <w:color w:val="000000"/>
          <w:sz w:val="26"/>
          <w:szCs w:val="26"/>
        </w:rPr>
        <w:t>t</w:t>
      </w:r>
      <w:r>
        <w:rPr>
          <w:bCs/>
          <w:color w:val="000000"/>
          <w:sz w:val="26"/>
          <w:szCs w:val="26"/>
        </w:rPr>
        <w:t xml:space="preserve"> does not have, in violation of the </w:t>
      </w:r>
      <w:r w:rsidR="00F51766">
        <w:rPr>
          <w:bCs/>
          <w:color w:val="000000"/>
          <w:sz w:val="26"/>
          <w:szCs w:val="26"/>
        </w:rPr>
        <w:t>UTP/</w:t>
      </w:r>
      <w:r>
        <w:rPr>
          <w:bCs/>
          <w:color w:val="000000"/>
          <w:sz w:val="26"/>
          <w:szCs w:val="26"/>
        </w:rPr>
        <w:t>CPL.</w:t>
      </w:r>
      <w:r w:rsidR="00282E4A">
        <w:rPr>
          <w:bCs/>
          <w:color w:val="000000"/>
          <w:sz w:val="26"/>
          <w:szCs w:val="26"/>
        </w:rPr>
        <w:t xml:space="preserve">  </w:t>
      </w:r>
      <w:r w:rsidR="00282E4A">
        <w:rPr>
          <w:bCs/>
          <w:i/>
          <w:color w:val="000000"/>
          <w:sz w:val="26"/>
          <w:szCs w:val="26"/>
        </w:rPr>
        <w:t>See</w:t>
      </w:r>
      <w:r w:rsidR="00282E4A">
        <w:rPr>
          <w:bCs/>
          <w:color w:val="000000"/>
          <w:sz w:val="26"/>
          <w:szCs w:val="26"/>
        </w:rPr>
        <w:t xml:space="preserve"> Complaint</w:t>
      </w:r>
      <w:r w:rsidR="00F51766">
        <w:rPr>
          <w:bCs/>
          <w:color w:val="000000"/>
          <w:sz w:val="26"/>
          <w:szCs w:val="26"/>
        </w:rPr>
        <w:t xml:space="preserve"> at</w:t>
      </w:r>
      <w:r w:rsidR="00282E4A">
        <w:rPr>
          <w:bCs/>
          <w:color w:val="000000"/>
          <w:sz w:val="26"/>
          <w:szCs w:val="26"/>
        </w:rPr>
        <w:t xml:space="preserve"> 8-10.  These documents (attached to the </w:t>
      </w:r>
      <w:r w:rsidR="00FD6354">
        <w:rPr>
          <w:bCs/>
          <w:color w:val="000000"/>
          <w:sz w:val="26"/>
          <w:szCs w:val="26"/>
        </w:rPr>
        <w:t>Joint C</w:t>
      </w:r>
      <w:r w:rsidR="00282E4A">
        <w:rPr>
          <w:bCs/>
          <w:color w:val="000000"/>
          <w:sz w:val="26"/>
          <w:szCs w:val="26"/>
        </w:rPr>
        <w:t xml:space="preserve">omplaint as exhibits) are alleged to create a likelihood of confusion and misunderstanding for IDT’s customers.  </w:t>
      </w:r>
      <w:r w:rsidR="00FD6354" w:rsidRPr="00D53276">
        <w:rPr>
          <w:bCs/>
          <w:i/>
          <w:color w:val="000000"/>
          <w:sz w:val="26"/>
          <w:szCs w:val="26"/>
        </w:rPr>
        <w:t>Id</w:t>
      </w:r>
      <w:r w:rsidR="00FD6354">
        <w:rPr>
          <w:bCs/>
          <w:color w:val="000000"/>
          <w:sz w:val="26"/>
          <w:szCs w:val="26"/>
        </w:rPr>
        <w:t>.</w:t>
      </w:r>
      <w:r w:rsidR="00282E4A">
        <w:rPr>
          <w:bCs/>
          <w:color w:val="000000"/>
          <w:sz w:val="26"/>
          <w:szCs w:val="26"/>
        </w:rPr>
        <w:t xml:space="preserve"> at 10.</w:t>
      </w:r>
    </w:p>
    <w:p w:rsidR="00282E4A" w:rsidRDefault="00282E4A" w:rsidP="00587037">
      <w:pPr>
        <w:adjustRightInd w:val="0"/>
        <w:spacing w:line="360" w:lineRule="auto"/>
        <w:ind w:firstLine="1440"/>
        <w:rPr>
          <w:bCs/>
          <w:color w:val="000000"/>
          <w:sz w:val="26"/>
          <w:szCs w:val="26"/>
        </w:rPr>
      </w:pPr>
    </w:p>
    <w:p w:rsidR="00282E4A" w:rsidRDefault="00282E4A" w:rsidP="00587037">
      <w:pPr>
        <w:adjustRightInd w:val="0"/>
        <w:spacing w:line="360" w:lineRule="auto"/>
        <w:ind w:firstLine="1440"/>
        <w:rPr>
          <w:bCs/>
          <w:color w:val="000000"/>
          <w:sz w:val="26"/>
          <w:szCs w:val="26"/>
        </w:rPr>
      </w:pPr>
      <w:r>
        <w:rPr>
          <w:bCs/>
          <w:color w:val="000000"/>
          <w:sz w:val="26"/>
          <w:szCs w:val="26"/>
        </w:rPr>
        <w:t xml:space="preserve">Count III – Slamming, alleges that customers were switched to IDT’s services without their consent.  </w:t>
      </w:r>
      <w:r w:rsidR="00FD6354" w:rsidRPr="00D53276">
        <w:rPr>
          <w:bCs/>
          <w:i/>
          <w:color w:val="000000"/>
          <w:sz w:val="26"/>
          <w:szCs w:val="26"/>
        </w:rPr>
        <w:t>Id</w:t>
      </w:r>
      <w:r w:rsidR="00FD6354">
        <w:rPr>
          <w:bCs/>
          <w:color w:val="000000"/>
          <w:sz w:val="26"/>
          <w:szCs w:val="26"/>
        </w:rPr>
        <w:t>. at</w:t>
      </w:r>
      <w:r>
        <w:rPr>
          <w:bCs/>
          <w:color w:val="000000"/>
          <w:sz w:val="26"/>
          <w:szCs w:val="26"/>
        </w:rPr>
        <w:t xml:space="preserve"> 10.</w:t>
      </w:r>
    </w:p>
    <w:p w:rsidR="00282E4A" w:rsidRDefault="00282E4A" w:rsidP="00587037">
      <w:pPr>
        <w:adjustRightInd w:val="0"/>
        <w:spacing w:line="360" w:lineRule="auto"/>
        <w:ind w:firstLine="1440"/>
        <w:rPr>
          <w:bCs/>
          <w:color w:val="000000"/>
          <w:sz w:val="26"/>
          <w:szCs w:val="26"/>
        </w:rPr>
      </w:pPr>
    </w:p>
    <w:p w:rsidR="00030145" w:rsidRDefault="00282E4A" w:rsidP="00587037">
      <w:pPr>
        <w:adjustRightInd w:val="0"/>
        <w:spacing w:line="360" w:lineRule="auto"/>
        <w:ind w:firstLine="1440"/>
        <w:rPr>
          <w:bCs/>
          <w:color w:val="000000"/>
          <w:sz w:val="26"/>
          <w:szCs w:val="26"/>
        </w:rPr>
      </w:pPr>
      <w:r>
        <w:rPr>
          <w:bCs/>
          <w:color w:val="000000"/>
          <w:sz w:val="26"/>
          <w:szCs w:val="26"/>
        </w:rPr>
        <w:t>Count IV – Lack of Good Faith Handling of Complaints, avers that IDT has violated Commission Regulations by</w:t>
      </w:r>
      <w:r w:rsidR="00397D4C">
        <w:rPr>
          <w:bCs/>
          <w:color w:val="000000"/>
          <w:sz w:val="26"/>
          <w:szCs w:val="26"/>
        </w:rPr>
        <w:t>:</w:t>
      </w:r>
      <w:r>
        <w:rPr>
          <w:bCs/>
          <w:color w:val="000000"/>
          <w:sz w:val="26"/>
          <w:szCs w:val="26"/>
        </w:rPr>
        <w:t xml:space="preserve"> failing to adequately staff its call center</w:t>
      </w:r>
      <w:r w:rsidR="00397D4C">
        <w:rPr>
          <w:bCs/>
          <w:color w:val="000000"/>
          <w:sz w:val="26"/>
          <w:szCs w:val="26"/>
        </w:rPr>
        <w:t>;</w:t>
      </w:r>
      <w:r>
        <w:rPr>
          <w:bCs/>
          <w:color w:val="000000"/>
          <w:sz w:val="26"/>
          <w:szCs w:val="26"/>
        </w:rPr>
        <w:t xml:space="preserve"> failing to provide reasonable access to its representatives for purposes of submitting complaints</w:t>
      </w:r>
      <w:r w:rsidR="00397D4C">
        <w:rPr>
          <w:bCs/>
          <w:color w:val="000000"/>
          <w:sz w:val="26"/>
          <w:szCs w:val="26"/>
        </w:rPr>
        <w:t>;</w:t>
      </w:r>
      <w:r>
        <w:rPr>
          <w:bCs/>
          <w:color w:val="000000"/>
          <w:sz w:val="26"/>
          <w:szCs w:val="26"/>
        </w:rPr>
        <w:t xml:space="preserve"> failing to properly investigate customer disputes</w:t>
      </w:r>
      <w:r w:rsidR="00397D4C">
        <w:rPr>
          <w:bCs/>
          <w:color w:val="000000"/>
          <w:sz w:val="26"/>
          <w:szCs w:val="26"/>
        </w:rPr>
        <w:t>;</w:t>
      </w:r>
      <w:r>
        <w:rPr>
          <w:bCs/>
          <w:color w:val="000000"/>
          <w:sz w:val="26"/>
          <w:szCs w:val="26"/>
        </w:rPr>
        <w:t xml:space="preserve"> failing to properly notify customers of ID</w:t>
      </w:r>
      <w:r w:rsidR="00DD3633">
        <w:rPr>
          <w:bCs/>
          <w:color w:val="000000"/>
          <w:sz w:val="26"/>
          <w:szCs w:val="26"/>
        </w:rPr>
        <w:t>T</w:t>
      </w:r>
      <w:r>
        <w:rPr>
          <w:bCs/>
          <w:color w:val="000000"/>
          <w:sz w:val="26"/>
          <w:szCs w:val="26"/>
        </w:rPr>
        <w:t xml:space="preserve">’s results of the investigation of a dispute </w:t>
      </w:r>
      <w:r w:rsidR="00030145">
        <w:rPr>
          <w:bCs/>
          <w:color w:val="000000"/>
          <w:sz w:val="26"/>
          <w:szCs w:val="26"/>
        </w:rPr>
        <w:t>when such investigation was conducted</w:t>
      </w:r>
      <w:r w:rsidR="00397D4C">
        <w:rPr>
          <w:bCs/>
          <w:color w:val="000000"/>
          <w:sz w:val="26"/>
          <w:szCs w:val="26"/>
        </w:rPr>
        <w:t>;</w:t>
      </w:r>
      <w:r w:rsidR="00030145">
        <w:rPr>
          <w:bCs/>
          <w:color w:val="000000"/>
          <w:sz w:val="26"/>
          <w:szCs w:val="26"/>
        </w:rPr>
        <w:t xml:space="preserve"> and fail</w:t>
      </w:r>
      <w:r w:rsidR="00397D4C">
        <w:rPr>
          <w:bCs/>
          <w:color w:val="000000"/>
          <w:sz w:val="26"/>
          <w:szCs w:val="26"/>
        </w:rPr>
        <w:t>ing</w:t>
      </w:r>
      <w:r w:rsidR="00030145">
        <w:rPr>
          <w:bCs/>
          <w:color w:val="000000"/>
          <w:sz w:val="26"/>
          <w:szCs w:val="26"/>
        </w:rPr>
        <w:t xml:space="preserve"> to utilize good faith, honesty, and fair dealing in its dealings with customers.  </w:t>
      </w:r>
      <w:r w:rsidR="00397D4C" w:rsidRPr="00D53276">
        <w:rPr>
          <w:bCs/>
          <w:i/>
          <w:color w:val="000000"/>
          <w:sz w:val="26"/>
          <w:szCs w:val="26"/>
        </w:rPr>
        <w:t>Id</w:t>
      </w:r>
      <w:r w:rsidR="00397D4C">
        <w:rPr>
          <w:bCs/>
          <w:color w:val="000000"/>
          <w:sz w:val="26"/>
          <w:szCs w:val="26"/>
        </w:rPr>
        <w:t>.</w:t>
      </w:r>
      <w:r w:rsidR="00030145">
        <w:rPr>
          <w:bCs/>
          <w:color w:val="000000"/>
          <w:sz w:val="26"/>
          <w:szCs w:val="26"/>
        </w:rPr>
        <w:t xml:space="preserve"> at 11.</w:t>
      </w:r>
    </w:p>
    <w:p w:rsidR="00030145" w:rsidRDefault="00030145" w:rsidP="00587037">
      <w:pPr>
        <w:adjustRightInd w:val="0"/>
        <w:spacing w:line="360" w:lineRule="auto"/>
        <w:ind w:firstLine="1440"/>
        <w:rPr>
          <w:bCs/>
          <w:color w:val="000000"/>
          <w:sz w:val="26"/>
          <w:szCs w:val="26"/>
        </w:rPr>
      </w:pPr>
    </w:p>
    <w:p w:rsidR="00030145" w:rsidRDefault="00030145" w:rsidP="00587037">
      <w:pPr>
        <w:adjustRightInd w:val="0"/>
        <w:spacing w:line="360" w:lineRule="auto"/>
        <w:ind w:firstLine="1440"/>
        <w:rPr>
          <w:bCs/>
          <w:color w:val="000000"/>
          <w:sz w:val="26"/>
          <w:szCs w:val="26"/>
        </w:rPr>
      </w:pPr>
      <w:r>
        <w:rPr>
          <w:bCs/>
          <w:color w:val="000000"/>
          <w:sz w:val="26"/>
          <w:szCs w:val="26"/>
        </w:rPr>
        <w:t xml:space="preserve">Count V – Failing to Provide Accurate Pricing Information, </w:t>
      </w:r>
      <w:r w:rsidR="009B7733">
        <w:rPr>
          <w:bCs/>
          <w:color w:val="000000"/>
          <w:sz w:val="26"/>
          <w:szCs w:val="26"/>
        </w:rPr>
        <w:t>includes</w:t>
      </w:r>
      <w:r>
        <w:rPr>
          <w:bCs/>
          <w:color w:val="000000"/>
          <w:sz w:val="26"/>
          <w:szCs w:val="26"/>
        </w:rPr>
        <w:t xml:space="preserve"> allegations that IDT violated Commission Regulations by failing to provide accurate pricing information in plain language</w:t>
      </w:r>
      <w:r w:rsidR="00B25955">
        <w:rPr>
          <w:bCs/>
          <w:color w:val="000000"/>
          <w:sz w:val="26"/>
          <w:szCs w:val="26"/>
        </w:rPr>
        <w:t>, failing to use</w:t>
      </w:r>
      <w:r>
        <w:rPr>
          <w:bCs/>
          <w:color w:val="000000"/>
          <w:sz w:val="26"/>
          <w:szCs w:val="26"/>
        </w:rPr>
        <w:t xml:space="preserve"> common terms that its customers are likely to understand</w:t>
      </w:r>
      <w:r w:rsidR="00397D4C">
        <w:rPr>
          <w:bCs/>
          <w:color w:val="000000"/>
          <w:sz w:val="26"/>
          <w:szCs w:val="26"/>
        </w:rPr>
        <w:t>,</w:t>
      </w:r>
      <w:r>
        <w:rPr>
          <w:bCs/>
          <w:color w:val="000000"/>
          <w:sz w:val="26"/>
          <w:szCs w:val="26"/>
        </w:rPr>
        <w:t xml:space="preserve"> and failing to provide information that would allow them to compare offers.  </w:t>
      </w:r>
      <w:r w:rsidR="00397D4C">
        <w:rPr>
          <w:bCs/>
          <w:i/>
          <w:color w:val="000000"/>
          <w:sz w:val="26"/>
          <w:szCs w:val="26"/>
        </w:rPr>
        <w:t xml:space="preserve">Id. </w:t>
      </w:r>
      <w:r>
        <w:rPr>
          <w:bCs/>
          <w:color w:val="000000"/>
          <w:sz w:val="26"/>
          <w:szCs w:val="26"/>
        </w:rPr>
        <w:t>at</w:t>
      </w:r>
      <w:r w:rsidR="00397D4C">
        <w:rPr>
          <w:bCs/>
          <w:color w:val="000000"/>
          <w:sz w:val="26"/>
          <w:szCs w:val="26"/>
        </w:rPr>
        <w:t xml:space="preserve"> </w:t>
      </w:r>
      <w:r>
        <w:rPr>
          <w:bCs/>
          <w:color w:val="000000"/>
          <w:sz w:val="26"/>
          <w:szCs w:val="26"/>
        </w:rPr>
        <w:t>11-13.</w:t>
      </w:r>
    </w:p>
    <w:p w:rsidR="00030145" w:rsidRDefault="00030145" w:rsidP="00587037">
      <w:pPr>
        <w:adjustRightInd w:val="0"/>
        <w:spacing w:line="360" w:lineRule="auto"/>
        <w:ind w:firstLine="1440"/>
        <w:rPr>
          <w:bCs/>
          <w:color w:val="000000"/>
          <w:sz w:val="26"/>
          <w:szCs w:val="26"/>
        </w:rPr>
      </w:pPr>
    </w:p>
    <w:p w:rsidR="00030145" w:rsidRDefault="00030145" w:rsidP="00587037">
      <w:pPr>
        <w:adjustRightInd w:val="0"/>
        <w:spacing w:line="360" w:lineRule="auto"/>
        <w:ind w:firstLine="1440"/>
        <w:rPr>
          <w:bCs/>
          <w:color w:val="000000"/>
          <w:sz w:val="26"/>
          <w:szCs w:val="26"/>
        </w:rPr>
      </w:pPr>
      <w:r>
        <w:rPr>
          <w:bCs/>
          <w:color w:val="000000"/>
          <w:sz w:val="26"/>
          <w:szCs w:val="26"/>
        </w:rPr>
        <w:t xml:space="preserve">Count VI – Prices Nonconforming to Disclosure Statement, alleges that IDT’s prices charged to customers in “early” 2014 were not reflective of the cost to serve    </w:t>
      </w:r>
      <w:r w:rsidR="00282E4A">
        <w:rPr>
          <w:bCs/>
          <w:color w:val="000000"/>
          <w:sz w:val="26"/>
          <w:szCs w:val="26"/>
        </w:rPr>
        <w:t xml:space="preserve">  </w:t>
      </w:r>
      <w:r>
        <w:rPr>
          <w:bCs/>
          <w:color w:val="000000"/>
          <w:sz w:val="26"/>
          <w:szCs w:val="26"/>
        </w:rPr>
        <w:lastRenderedPageBreak/>
        <w:t xml:space="preserve">residential customers.  </w:t>
      </w:r>
      <w:r w:rsidR="008A138F">
        <w:rPr>
          <w:bCs/>
          <w:i/>
          <w:color w:val="000000"/>
          <w:sz w:val="26"/>
          <w:szCs w:val="26"/>
        </w:rPr>
        <w:t>Id.</w:t>
      </w:r>
      <w:r>
        <w:rPr>
          <w:bCs/>
          <w:color w:val="000000"/>
          <w:sz w:val="26"/>
          <w:szCs w:val="26"/>
        </w:rPr>
        <w:t xml:space="preserve"> at 13.</w:t>
      </w:r>
      <w:r>
        <w:rPr>
          <w:rStyle w:val="FootnoteReference"/>
          <w:bCs/>
          <w:color w:val="000000"/>
          <w:sz w:val="26"/>
          <w:szCs w:val="26"/>
        </w:rPr>
        <w:footnoteReference w:id="3"/>
      </w:r>
    </w:p>
    <w:p w:rsidR="00030145" w:rsidRDefault="00030145" w:rsidP="00587037">
      <w:pPr>
        <w:adjustRightInd w:val="0"/>
        <w:spacing w:line="360" w:lineRule="auto"/>
        <w:ind w:firstLine="1440"/>
        <w:rPr>
          <w:bCs/>
          <w:color w:val="000000"/>
          <w:sz w:val="26"/>
          <w:szCs w:val="26"/>
        </w:rPr>
      </w:pPr>
    </w:p>
    <w:p w:rsidR="000D0E07" w:rsidRDefault="00030145" w:rsidP="00587037">
      <w:pPr>
        <w:adjustRightInd w:val="0"/>
        <w:spacing w:line="360" w:lineRule="auto"/>
        <w:ind w:firstLine="1440"/>
        <w:rPr>
          <w:bCs/>
          <w:color w:val="000000"/>
          <w:sz w:val="26"/>
          <w:szCs w:val="26"/>
        </w:rPr>
      </w:pPr>
      <w:r>
        <w:rPr>
          <w:bCs/>
          <w:color w:val="000000"/>
          <w:sz w:val="26"/>
          <w:szCs w:val="26"/>
        </w:rPr>
        <w:t>Count VII – Failure to Comply With the Telemarketer Registration Act</w:t>
      </w:r>
      <w:r w:rsidR="000D0E07">
        <w:rPr>
          <w:bCs/>
          <w:color w:val="000000"/>
          <w:sz w:val="26"/>
          <w:szCs w:val="26"/>
        </w:rPr>
        <w:t xml:space="preserve">, alleges that IDT failed to provide its customers with a contract that contained all of the information required by the provisions of the Telemarketer Registration Act, 73 P. S. </w:t>
      </w:r>
      <w:r w:rsidR="005630CB">
        <w:rPr>
          <w:bCs/>
          <w:color w:val="000000"/>
          <w:sz w:val="26"/>
          <w:szCs w:val="26"/>
        </w:rPr>
        <w:br/>
      </w:r>
      <w:r w:rsidR="000D0E07">
        <w:rPr>
          <w:bCs/>
          <w:color w:val="000000"/>
          <w:sz w:val="26"/>
          <w:szCs w:val="26"/>
        </w:rPr>
        <w:t>§ 2245(a)(7) and 2245(c)</w:t>
      </w:r>
      <w:r w:rsidR="00DD3633">
        <w:rPr>
          <w:bCs/>
          <w:color w:val="000000"/>
          <w:sz w:val="26"/>
          <w:szCs w:val="26"/>
        </w:rPr>
        <w:t xml:space="preserve"> (TRA)</w:t>
      </w:r>
      <w:r w:rsidR="000D0E07">
        <w:rPr>
          <w:bCs/>
          <w:color w:val="000000"/>
          <w:sz w:val="26"/>
          <w:szCs w:val="26"/>
        </w:rPr>
        <w:t xml:space="preserve">. </w:t>
      </w:r>
      <w:r>
        <w:rPr>
          <w:bCs/>
          <w:color w:val="000000"/>
          <w:sz w:val="26"/>
          <w:szCs w:val="26"/>
        </w:rPr>
        <w:t xml:space="preserve"> </w:t>
      </w:r>
      <w:r w:rsidR="00964203">
        <w:rPr>
          <w:bCs/>
          <w:color w:val="000000"/>
          <w:sz w:val="26"/>
          <w:szCs w:val="26"/>
        </w:rPr>
        <w:t xml:space="preserve">Joint </w:t>
      </w:r>
      <w:r w:rsidR="000D0E07">
        <w:rPr>
          <w:bCs/>
          <w:color w:val="000000"/>
          <w:sz w:val="26"/>
          <w:szCs w:val="26"/>
        </w:rPr>
        <w:t>Complaint</w:t>
      </w:r>
      <w:r w:rsidR="005630CB">
        <w:rPr>
          <w:bCs/>
          <w:color w:val="000000"/>
          <w:sz w:val="26"/>
          <w:szCs w:val="26"/>
        </w:rPr>
        <w:t xml:space="preserve"> at</w:t>
      </w:r>
      <w:r w:rsidR="000D0E07">
        <w:rPr>
          <w:bCs/>
          <w:color w:val="000000"/>
          <w:sz w:val="26"/>
          <w:szCs w:val="26"/>
        </w:rPr>
        <w:t xml:space="preserve"> 14-15.</w:t>
      </w:r>
    </w:p>
    <w:p w:rsidR="000D0E07" w:rsidRDefault="000D0E07" w:rsidP="00587037">
      <w:pPr>
        <w:adjustRightInd w:val="0"/>
        <w:spacing w:line="360" w:lineRule="auto"/>
        <w:ind w:firstLine="1440"/>
        <w:rPr>
          <w:bCs/>
          <w:color w:val="000000"/>
          <w:sz w:val="26"/>
          <w:szCs w:val="26"/>
        </w:rPr>
      </w:pPr>
    </w:p>
    <w:p w:rsidR="006C1FE0" w:rsidRDefault="000D0E07" w:rsidP="00587037">
      <w:pPr>
        <w:adjustRightInd w:val="0"/>
        <w:spacing w:line="360" w:lineRule="auto"/>
        <w:ind w:firstLine="1440"/>
        <w:rPr>
          <w:bCs/>
          <w:color w:val="000000"/>
          <w:sz w:val="26"/>
          <w:szCs w:val="26"/>
        </w:rPr>
      </w:pPr>
      <w:r>
        <w:rPr>
          <w:bCs/>
          <w:color w:val="000000"/>
          <w:sz w:val="26"/>
          <w:szCs w:val="26"/>
        </w:rPr>
        <w:t>For relief, the Joint Complainants request</w:t>
      </w:r>
      <w:r w:rsidR="00606B53">
        <w:rPr>
          <w:bCs/>
          <w:color w:val="000000"/>
          <w:sz w:val="26"/>
          <w:szCs w:val="26"/>
        </w:rPr>
        <w:t xml:space="preserve">, </w:t>
      </w:r>
      <w:r w:rsidR="00606B53">
        <w:rPr>
          <w:bCs/>
          <w:i/>
          <w:color w:val="000000"/>
          <w:sz w:val="26"/>
          <w:szCs w:val="26"/>
        </w:rPr>
        <w:t>inter alia</w:t>
      </w:r>
      <w:r w:rsidR="00606B53">
        <w:rPr>
          <w:bCs/>
          <w:color w:val="000000"/>
          <w:sz w:val="26"/>
          <w:szCs w:val="26"/>
        </w:rPr>
        <w:t>,</w:t>
      </w:r>
      <w:r>
        <w:rPr>
          <w:bCs/>
          <w:color w:val="000000"/>
          <w:sz w:val="26"/>
          <w:szCs w:val="26"/>
        </w:rPr>
        <w:t xml:space="preserve"> that the Commission</w:t>
      </w:r>
      <w:r w:rsidR="00252CE4">
        <w:rPr>
          <w:bCs/>
          <w:color w:val="000000"/>
          <w:sz w:val="26"/>
          <w:szCs w:val="26"/>
        </w:rPr>
        <w:t>:</w:t>
      </w:r>
      <w:r>
        <w:rPr>
          <w:bCs/>
          <w:color w:val="000000"/>
          <w:sz w:val="26"/>
          <w:szCs w:val="26"/>
        </w:rPr>
        <w:t xml:space="preserve"> find that IDT has violated the TRA</w:t>
      </w:r>
      <w:r w:rsidR="00606B53">
        <w:rPr>
          <w:bCs/>
          <w:color w:val="000000"/>
          <w:sz w:val="26"/>
          <w:szCs w:val="26"/>
        </w:rPr>
        <w:t>;</w:t>
      </w:r>
      <w:r>
        <w:rPr>
          <w:bCs/>
          <w:color w:val="000000"/>
          <w:sz w:val="26"/>
          <w:szCs w:val="26"/>
        </w:rPr>
        <w:t xml:space="preserve"> order IDT to provide appropriate restitution to its customers, including</w:t>
      </w:r>
      <w:r w:rsidR="00DD3633">
        <w:rPr>
          <w:bCs/>
          <w:color w:val="000000"/>
          <w:sz w:val="26"/>
          <w:szCs w:val="26"/>
        </w:rPr>
        <w:t>,</w:t>
      </w:r>
      <w:r>
        <w:rPr>
          <w:bCs/>
          <w:color w:val="000000"/>
          <w:sz w:val="26"/>
          <w:szCs w:val="26"/>
        </w:rPr>
        <w:t xml:space="preserve"> without limitation, a refund </w:t>
      </w:r>
      <w:r w:rsidR="00DD3633">
        <w:rPr>
          <w:bCs/>
          <w:color w:val="000000"/>
          <w:sz w:val="26"/>
          <w:szCs w:val="26"/>
        </w:rPr>
        <w:t xml:space="preserve">to its customers </w:t>
      </w:r>
      <w:r>
        <w:rPr>
          <w:bCs/>
          <w:color w:val="000000"/>
          <w:sz w:val="26"/>
          <w:szCs w:val="26"/>
        </w:rPr>
        <w:t xml:space="preserve">of amounts paid over and above the </w:t>
      </w:r>
      <w:r w:rsidR="00363640">
        <w:rPr>
          <w:bCs/>
          <w:color w:val="000000"/>
          <w:sz w:val="26"/>
          <w:szCs w:val="26"/>
        </w:rPr>
        <w:t>“</w:t>
      </w:r>
      <w:r>
        <w:rPr>
          <w:bCs/>
          <w:color w:val="000000"/>
          <w:sz w:val="26"/>
          <w:szCs w:val="26"/>
        </w:rPr>
        <w:t>Price to Compare</w:t>
      </w:r>
      <w:r w:rsidR="00363640">
        <w:rPr>
          <w:bCs/>
          <w:color w:val="000000"/>
          <w:sz w:val="26"/>
          <w:szCs w:val="26"/>
        </w:rPr>
        <w:t>” (P</w:t>
      </w:r>
      <w:r w:rsidR="000F4251">
        <w:rPr>
          <w:bCs/>
          <w:color w:val="000000"/>
          <w:sz w:val="26"/>
          <w:szCs w:val="26"/>
        </w:rPr>
        <w:t>T</w:t>
      </w:r>
      <w:r w:rsidR="00363640">
        <w:rPr>
          <w:bCs/>
          <w:color w:val="000000"/>
          <w:sz w:val="26"/>
          <w:szCs w:val="26"/>
        </w:rPr>
        <w:t>C),</w:t>
      </w:r>
      <w:r>
        <w:rPr>
          <w:bCs/>
          <w:color w:val="000000"/>
          <w:sz w:val="26"/>
          <w:szCs w:val="26"/>
        </w:rPr>
        <w:t xml:space="preserve"> from January 1, 2014, until resolution of this matter</w:t>
      </w:r>
      <w:r w:rsidR="00606B53">
        <w:rPr>
          <w:bCs/>
          <w:color w:val="000000"/>
          <w:sz w:val="26"/>
          <w:szCs w:val="26"/>
        </w:rPr>
        <w:t>;</w:t>
      </w:r>
      <w:r>
        <w:rPr>
          <w:bCs/>
          <w:color w:val="000000"/>
          <w:sz w:val="26"/>
          <w:szCs w:val="26"/>
        </w:rPr>
        <w:t xml:space="preserve"> direct IDT to prohibit its salespersons from making pricing promises to customers that are deceptive and inaccurate</w:t>
      </w:r>
      <w:r w:rsidR="00606B53">
        <w:rPr>
          <w:bCs/>
          <w:color w:val="000000"/>
          <w:sz w:val="26"/>
          <w:szCs w:val="26"/>
        </w:rPr>
        <w:t>;</w:t>
      </w:r>
      <w:r>
        <w:rPr>
          <w:bCs/>
          <w:color w:val="000000"/>
          <w:sz w:val="26"/>
          <w:szCs w:val="26"/>
        </w:rPr>
        <w:t xml:space="preserve"> order IDT to cease and desist switching consumers to its generation service without their explicit consent; direct IDT to implement proper customer dispute procedures and adequately train its staff in such procedures</w:t>
      </w:r>
      <w:r w:rsidR="00606B53">
        <w:rPr>
          <w:bCs/>
          <w:color w:val="000000"/>
          <w:sz w:val="26"/>
          <w:szCs w:val="26"/>
        </w:rPr>
        <w:t>;</w:t>
      </w:r>
      <w:r>
        <w:rPr>
          <w:bCs/>
          <w:color w:val="000000"/>
          <w:sz w:val="26"/>
          <w:szCs w:val="26"/>
        </w:rPr>
        <w:t xml:space="preserve"> order IDT to discontinue all practices that violate Commission Regu</w:t>
      </w:r>
      <w:r w:rsidR="00606B53">
        <w:rPr>
          <w:bCs/>
          <w:color w:val="000000"/>
          <w:sz w:val="26"/>
          <w:szCs w:val="26"/>
        </w:rPr>
        <w:t>l</w:t>
      </w:r>
      <w:r>
        <w:rPr>
          <w:bCs/>
          <w:color w:val="000000"/>
          <w:sz w:val="26"/>
          <w:szCs w:val="26"/>
        </w:rPr>
        <w:t>a</w:t>
      </w:r>
      <w:r w:rsidR="00606B53">
        <w:rPr>
          <w:bCs/>
          <w:color w:val="000000"/>
          <w:sz w:val="26"/>
          <w:szCs w:val="26"/>
        </w:rPr>
        <w:t>t</w:t>
      </w:r>
      <w:r>
        <w:rPr>
          <w:bCs/>
          <w:color w:val="000000"/>
          <w:sz w:val="26"/>
          <w:szCs w:val="26"/>
        </w:rPr>
        <w:t xml:space="preserve">ions and the </w:t>
      </w:r>
      <w:r w:rsidR="00941F24">
        <w:rPr>
          <w:bCs/>
          <w:color w:val="000000"/>
          <w:sz w:val="26"/>
          <w:szCs w:val="26"/>
        </w:rPr>
        <w:t>UTP/</w:t>
      </w:r>
      <w:r>
        <w:rPr>
          <w:bCs/>
          <w:color w:val="000000"/>
          <w:sz w:val="26"/>
          <w:szCs w:val="26"/>
        </w:rPr>
        <w:t>CPL or TRA</w:t>
      </w:r>
      <w:r w:rsidR="00606B53">
        <w:rPr>
          <w:bCs/>
          <w:color w:val="000000"/>
          <w:sz w:val="26"/>
          <w:szCs w:val="26"/>
        </w:rPr>
        <w:t>;</w:t>
      </w:r>
      <w:r>
        <w:rPr>
          <w:bCs/>
          <w:color w:val="000000"/>
          <w:sz w:val="26"/>
          <w:szCs w:val="26"/>
        </w:rPr>
        <w:t xml:space="preserve"> </w:t>
      </w:r>
      <w:r w:rsidR="00606B53">
        <w:rPr>
          <w:bCs/>
          <w:color w:val="000000"/>
          <w:sz w:val="26"/>
          <w:szCs w:val="26"/>
        </w:rPr>
        <w:t xml:space="preserve">permanently </w:t>
      </w:r>
      <w:r>
        <w:rPr>
          <w:bCs/>
          <w:color w:val="000000"/>
          <w:sz w:val="26"/>
          <w:szCs w:val="26"/>
        </w:rPr>
        <w:t xml:space="preserve">enjoin </w:t>
      </w:r>
      <w:r w:rsidR="00606B53">
        <w:rPr>
          <w:bCs/>
          <w:color w:val="000000"/>
          <w:sz w:val="26"/>
          <w:szCs w:val="26"/>
        </w:rPr>
        <w:t xml:space="preserve">IDT </w:t>
      </w:r>
      <w:r w:rsidR="001C027C">
        <w:rPr>
          <w:bCs/>
          <w:color w:val="000000"/>
          <w:sz w:val="26"/>
          <w:szCs w:val="26"/>
        </w:rPr>
        <w:t xml:space="preserve">from violating the </w:t>
      </w:r>
      <w:r w:rsidR="00941F24">
        <w:rPr>
          <w:bCs/>
          <w:color w:val="000000"/>
          <w:sz w:val="26"/>
          <w:szCs w:val="26"/>
        </w:rPr>
        <w:t>UTP/</w:t>
      </w:r>
      <w:r w:rsidR="001C027C">
        <w:rPr>
          <w:bCs/>
          <w:color w:val="000000"/>
          <w:sz w:val="26"/>
          <w:szCs w:val="26"/>
        </w:rPr>
        <w:t>CPL and TRA</w:t>
      </w:r>
      <w:r w:rsidR="00606B53">
        <w:rPr>
          <w:bCs/>
          <w:color w:val="000000"/>
          <w:sz w:val="26"/>
          <w:szCs w:val="26"/>
        </w:rPr>
        <w:t>; and</w:t>
      </w:r>
      <w:r w:rsidR="00252CE4">
        <w:rPr>
          <w:bCs/>
          <w:color w:val="000000"/>
          <w:sz w:val="26"/>
          <w:szCs w:val="26"/>
        </w:rPr>
        <w:t>,</w:t>
      </w:r>
      <w:r w:rsidR="00606B53">
        <w:rPr>
          <w:bCs/>
          <w:color w:val="000000"/>
          <w:sz w:val="26"/>
          <w:szCs w:val="26"/>
        </w:rPr>
        <w:t xml:space="preserve"> consolidate this complaint with other complaints against IDT.</w:t>
      </w:r>
      <w:r w:rsidR="001C027C">
        <w:rPr>
          <w:bCs/>
          <w:color w:val="000000"/>
          <w:sz w:val="26"/>
          <w:szCs w:val="26"/>
        </w:rPr>
        <w:t xml:space="preserve">  </w:t>
      </w:r>
      <w:r w:rsidR="00964203">
        <w:rPr>
          <w:bCs/>
          <w:color w:val="000000"/>
          <w:sz w:val="26"/>
          <w:szCs w:val="26"/>
        </w:rPr>
        <w:t xml:space="preserve">Joint </w:t>
      </w:r>
      <w:r w:rsidR="001C027C">
        <w:rPr>
          <w:bCs/>
          <w:color w:val="000000"/>
          <w:sz w:val="26"/>
          <w:szCs w:val="26"/>
        </w:rPr>
        <w:t>Complaint</w:t>
      </w:r>
      <w:r w:rsidR="00941F24">
        <w:rPr>
          <w:bCs/>
          <w:color w:val="000000"/>
          <w:sz w:val="26"/>
          <w:szCs w:val="26"/>
        </w:rPr>
        <w:t xml:space="preserve"> at</w:t>
      </w:r>
      <w:r w:rsidR="001C027C">
        <w:rPr>
          <w:bCs/>
          <w:color w:val="000000"/>
          <w:sz w:val="26"/>
          <w:szCs w:val="26"/>
        </w:rPr>
        <w:t xml:space="preserve"> 16-18.</w:t>
      </w:r>
      <w:r>
        <w:rPr>
          <w:bCs/>
          <w:color w:val="000000"/>
          <w:sz w:val="26"/>
          <w:szCs w:val="26"/>
        </w:rPr>
        <w:t xml:space="preserve">      </w:t>
      </w:r>
      <w:r w:rsidR="00030145">
        <w:rPr>
          <w:bCs/>
          <w:color w:val="000000"/>
          <w:sz w:val="26"/>
          <w:szCs w:val="26"/>
        </w:rPr>
        <w:t xml:space="preserve">  </w:t>
      </w:r>
    </w:p>
    <w:p w:rsidR="00D3628C" w:rsidRDefault="006C1FE0" w:rsidP="00606B53">
      <w:pPr>
        <w:adjustRightInd w:val="0"/>
        <w:spacing w:line="360" w:lineRule="auto"/>
        <w:ind w:firstLine="1440"/>
        <w:rPr>
          <w:bCs/>
          <w:color w:val="000000"/>
          <w:sz w:val="26"/>
          <w:szCs w:val="26"/>
        </w:rPr>
      </w:pPr>
      <w:r>
        <w:rPr>
          <w:bCs/>
          <w:color w:val="000000"/>
          <w:sz w:val="26"/>
          <w:szCs w:val="26"/>
        </w:rPr>
        <w:t xml:space="preserve">   </w:t>
      </w:r>
      <w:r w:rsidR="00034F74">
        <w:rPr>
          <w:bCs/>
          <w:color w:val="000000"/>
          <w:sz w:val="26"/>
          <w:szCs w:val="26"/>
        </w:rPr>
        <w:t xml:space="preserve">  </w:t>
      </w:r>
    </w:p>
    <w:p w:rsidR="00D3628C" w:rsidRPr="00A605C3" w:rsidRDefault="00D3628C" w:rsidP="003E7F85">
      <w:pPr>
        <w:adjustRightInd w:val="0"/>
        <w:spacing w:line="360" w:lineRule="auto"/>
        <w:ind w:firstLine="1440"/>
        <w:rPr>
          <w:bCs/>
          <w:color w:val="000000"/>
          <w:sz w:val="26"/>
          <w:szCs w:val="26"/>
        </w:rPr>
      </w:pPr>
      <w:r w:rsidRPr="00A605C3">
        <w:rPr>
          <w:bCs/>
          <w:color w:val="000000"/>
          <w:sz w:val="26"/>
          <w:szCs w:val="26"/>
        </w:rPr>
        <w:t xml:space="preserve">On July 10, 2014, IDT filed an Answer and New Matter in response to the </w:t>
      </w:r>
      <w:r w:rsidR="009C355F">
        <w:rPr>
          <w:bCs/>
          <w:color w:val="000000"/>
          <w:sz w:val="26"/>
          <w:szCs w:val="26"/>
        </w:rPr>
        <w:t xml:space="preserve">Joint </w:t>
      </w:r>
      <w:r w:rsidRPr="00A605C3">
        <w:rPr>
          <w:bCs/>
          <w:color w:val="000000"/>
          <w:sz w:val="26"/>
          <w:szCs w:val="26"/>
        </w:rPr>
        <w:t xml:space="preserve">Complaint.  IDT admitted or denied the various averments made by the Joint Complainants.  IDT specifically denied that its employees, agents and/or representatives have engaged or continue to engage in activities that are fraudulent, deceptive or in violation of the Commission’s </w:t>
      </w:r>
      <w:r w:rsidR="004B1D0E">
        <w:rPr>
          <w:bCs/>
          <w:color w:val="000000"/>
          <w:sz w:val="26"/>
          <w:szCs w:val="26"/>
        </w:rPr>
        <w:t>R</w:t>
      </w:r>
      <w:r w:rsidRPr="00A605C3">
        <w:rPr>
          <w:bCs/>
          <w:color w:val="000000"/>
          <w:sz w:val="26"/>
          <w:szCs w:val="26"/>
        </w:rPr>
        <w:t xml:space="preserve">egulations and </w:t>
      </w:r>
      <w:r w:rsidR="004B1D0E">
        <w:rPr>
          <w:bCs/>
          <w:color w:val="000000"/>
          <w:sz w:val="26"/>
          <w:szCs w:val="26"/>
        </w:rPr>
        <w:t>O</w:t>
      </w:r>
      <w:r w:rsidRPr="00A605C3">
        <w:rPr>
          <w:bCs/>
          <w:color w:val="000000"/>
          <w:sz w:val="26"/>
          <w:szCs w:val="26"/>
        </w:rPr>
        <w:t>rders or the</w:t>
      </w:r>
      <w:r w:rsidR="003E7F85">
        <w:rPr>
          <w:bCs/>
          <w:color w:val="000000"/>
          <w:sz w:val="26"/>
          <w:szCs w:val="26"/>
        </w:rPr>
        <w:t xml:space="preserve"> </w:t>
      </w:r>
      <w:r w:rsidR="004B1D0E">
        <w:rPr>
          <w:bCs/>
          <w:color w:val="000000"/>
          <w:sz w:val="26"/>
          <w:szCs w:val="26"/>
        </w:rPr>
        <w:t>UTP/</w:t>
      </w:r>
      <w:r w:rsidR="003E7F85">
        <w:rPr>
          <w:bCs/>
          <w:color w:val="000000"/>
          <w:sz w:val="26"/>
          <w:szCs w:val="26"/>
        </w:rPr>
        <w:t>CPL.</w:t>
      </w:r>
      <w:r w:rsidRPr="00A605C3">
        <w:rPr>
          <w:bCs/>
          <w:color w:val="000000"/>
          <w:sz w:val="26"/>
          <w:szCs w:val="26"/>
        </w:rPr>
        <w:t xml:space="preserve"> </w:t>
      </w:r>
      <w:r w:rsidR="00364CA7">
        <w:rPr>
          <w:bCs/>
          <w:color w:val="000000"/>
          <w:sz w:val="26"/>
          <w:szCs w:val="26"/>
        </w:rPr>
        <w:t xml:space="preserve"> </w:t>
      </w:r>
      <w:r w:rsidRPr="00A605C3">
        <w:rPr>
          <w:bCs/>
          <w:color w:val="000000"/>
          <w:sz w:val="26"/>
          <w:szCs w:val="26"/>
        </w:rPr>
        <w:t>IDT also denied that it switched customers without their consent or that it failed in any aspect of its customer service</w:t>
      </w:r>
      <w:r w:rsidR="009B7733">
        <w:rPr>
          <w:bCs/>
          <w:color w:val="000000"/>
          <w:sz w:val="26"/>
          <w:szCs w:val="26"/>
        </w:rPr>
        <w:t xml:space="preserve"> obligations</w:t>
      </w:r>
      <w:r w:rsidRPr="00A605C3">
        <w:rPr>
          <w:bCs/>
          <w:color w:val="000000"/>
          <w:sz w:val="26"/>
          <w:szCs w:val="26"/>
        </w:rPr>
        <w:t>.</w:t>
      </w:r>
      <w:r w:rsidR="003E7F85">
        <w:rPr>
          <w:bCs/>
          <w:color w:val="000000"/>
          <w:sz w:val="26"/>
          <w:szCs w:val="26"/>
        </w:rPr>
        <w:t xml:space="preserve">  August 20 Order at 2</w:t>
      </w:r>
      <w:r w:rsidR="00364CA7">
        <w:rPr>
          <w:bCs/>
          <w:color w:val="000000"/>
          <w:sz w:val="26"/>
          <w:szCs w:val="26"/>
        </w:rPr>
        <w:t xml:space="preserve"> referencing IDT’s Answer</w:t>
      </w:r>
      <w:r w:rsidR="003E7F85">
        <w:rPr>
          <w:bCs/>
          <w:color w:val="000000"/>
          <w:sz w:val="26"/>
          <w:szCs w:val="26"/>
        </w:rPr>
        <w:t xml:space="preserve">. </w:t>
      </w:r>
      <w:r w:rsidRPr="00A605C3">
        <w:rPr>
          <w:bCs/>
          <w:color w:val="000000"/>
          <w:sz w:val="26"/>
          <w:szCs w:val="26"/>
        </w:rPr>
        <w:t xml:space="preserve">  </w:t>
      </w:r>
    </w:p>
    <w:p w:rsidR="00D3628C" w:rsidRPr="00A605C3" w:rsidRDefault="00D3628C" w:rsidP="00D3628C">
      <w:pPr>
        <w:adjustRightInd w:val="0"/>
        <w:spacing w:line="360" w:lineRule="auto"/>
        <w:rPr>
          <w:bCs/>
          <w:color w:val="000000"/>
          <w:sz w:val="26"/>
          <w:szCs w:val="26"/>
        </w:rPr>
      </w:pPr>
    </w:p>
    <w:p w:rsidR="00D3628C" w:rsidRPr="00A605C3" w:rsidRDefault="00D3628C" w:rsidP="00D53276">
      <w:pPr>
        <w:widowControl/>
        <w:adjustRightInd w:val="0"/>
        <w:spacing w:line="360" w:lineRule="auto"/>
        <w:ind w:firstLine="1440"/>
        <w:rPr>
          <w:bCs/>
          <w:color w:val="000000"/>
          <w:sz w:val="26"/>
          <w:szCs w:val="26"/>
        </w:rPr>
      </w:pPr>
      <w:r w:rsidRPr="00A605C3">
        <w:rPr>
          <w:bCs/>
          <w:color w:val="000000"/>
          <w:sz w:val="26"/>
          <w:szCs w:val="26"/>
        </w:rPr>
        <w:lastRenderedPageBreak/>
        <w:t xml:space="preserve">In New Matter, accompanied by a Notice to Plead, IDT </w:t>
      </w:r>
      <w:r w:rsidR="00CF45E3">
        <w:rPr>
          <w:bCs/>
          <w:color w:val="000000"/>
          <w:sz w:val="26"/>
          <w:szCs w:val="26"/>
        </w:rPr>
        <w:t>responded</w:t>
      </w:r>
      <w:r w:rsidRPr="00A605C3">
        <w:rPr>
          <w:bCs/>
          <w:color w:val="000000"/>
          <w:sz w:val="26"/>
          <w:szCs w:val="26"/>
        </w:rPr>
        <w:t xml:space="preserve"> that customers received high bills in January and February of 2014 because of volatility in the wholesale energy market resulting from the very cold weather that resulted in record</w:t>
      </w:r>
      <w:r w:rsidR="006A1795">
        <w:rPr>
          <w:bCs/>
          <w:color w:val="000000"/>
          <w:sz w:val="26"/>
          <w:szCs w:val="26"/>
        </w:rPr>
        <w:t>-</w:t>
      </w:r>
      <w:r w:rsidRPr="00A605C3">
        <w:rPr>
          <w:bCs/>
          <w:color w:val="000000"/>
          <w:sz w:val="26"/>
          <w:szCs w:val="26"/>
        </w:rPr>
        <w:t xml:space="preserve"> breaking use of natural gas and electricity.  IDT further noted</w:t>
      </w:r>
      <w:r w:rsidR="00E05BAF">
        <w:rPr>
          <w:bCs/>
          <w:color w:val="000000"/>
          <w:sz w:val="26"/>
          <w:szCs w:val="26"/>
        </w:rPr>
        <w:t xml:space="preserve">, </w:t>
      </w:r>
      <w:r w:rsidR="00E05BAF" w:rsidRPr="00D53276">
        <w:rPr>
          <w:bCs/>
          <w:i/>
          <w:color w:val="000000"/>
          <w:sz w:val="26"/>
          <w:szCs w:val="26"/>
        </w:rPr>
        <w:t>inter alia</w:t>
      </w:r>
      <w:r w:rsidR="00E05BAF">
        <w:rPr>
          <w:bCs/>
          <w:color w:val="000000"/>
          <w:sz w:val="26"/>
          <w:szCs w:val="26"/>
        </w:rPr>
        <w:t>,</w:t>
      </w:r>
      <w:r w:rsidRPr="00A605C3">
        <w:rPr>
          <w:bCs/>
          <w:color w:val="000000"/>
          <w:sz w:val="26"/>
          <w:szCs w:val="26"/>
        </w:rPr>
        <w:t xml:space="preserve"> that the Company has only ever offered a variable rate product for electric generation supply with no long-term contract, no deposits</w:t>
      </w:r>
      <w:r w:rsidR="0019126C">
        <w:rPr>
          <w:bCs/>
          <w:color w:val="000000"/>
          <w:sz w:val="26"/>
          <w:szCs w:val="26"/>
        </w:rPr>
        <w:t>,</w:t>
      </w:r>
      <w:r w:rsidRPr="00A605C3">
        <w:rPr>
          <w:bCs/>
          <w:color w:val="000000"/>
          <w:sz w:val="26"/>
          <w:szCs w:val="26"/>
        </w:rPr>
        <w:t xml:space="preserve"> and no termination fees.  IDT concluded by requesting that the </w:t>
      </w:r>
      <w:r w:rsidR="006A1795">
        <w:rPr>
          <w:bCs/>
          <w:color w:val="000000"/>
          <w:sz w:val="26"/>
          <w:szCs w:val="26"/>
        </w:rPr>
        <w:t xml:space="preserve">Joint </w:t>
      </w:r>
      <w:r w:rsidRPr="00A605C3">
        <w:rPr>
          <w:bCs/>
          <w:color w:val="000000"/>
          <w:sz w:val="26"/>
          <w:szCs w:val="26"/>
        </w:rPr>
        <w:t>Complaint be dismissed with prejudice.</w:t>
      </w:r>
      <w:r w:rsidR="00CF45E3">
        <w:rPr>
          <w:bCs/>
          <w:color w:val="000000"/>
          <w:sz w:val="26"/>
          <w:szCs w:val="26"/>
        </w:rPr>
        <w:t xml:space="preserve">  August 20 Order at 2. </w:t>
      </w:r>
    </w:p>
    <w:p w:rsidR="00D3628C" w:rsidRPr="00A605C3" w:rsidRDefault="00D3628C" w:rsidP="00D3628C">
      <w:pPr>
        <w:adjustRightInd w:val="0"/>
        <w:spacing w:line="360" w:lineRule="auto"/>
        <w:rPr>
          <w:bCs/>
          <w:color w:val="000000"/>
          <w:sz w:val="26"/>
          <w:szCs w:val="26"/>
        </w:rPr>
      </w:pPr>
    </w:p>
    <w:p w:rsidR="00D3628C" w:rsidRPr="00A605C3" w:rsidRDefault="00D3628C" w:rsidP="00CF45E3">
      <w:pPr>
        <w:adjustRightInd w:val="0"/>
        <w:spacing w:line="360" w:lineRule="auto"/>
        <w:ind w:firstLine="1440"/>
        <w:rPr>
          <w:bCs/>
          <w:color w:val="000000"/>
          <w:sz w:val="26"/>
          <w:szCs w:val="26"/>
        </w:rPr>
      </w:pPr>
      <w:r w:rsidRPr="00A605C3">
        <w:rPr>
          <w:bCs/>
          <w:color w:val="000000"/>
          <w:sz w:val="26"/>
          <w:szCs w:val="26"/>
        </w:rPr>
        <w:t xml:space="preserve">Also on July 10, 2014, IDT filed Preliminary Objections </w:t>
      </w:r>
      <w:r w:rsidR="00CF45E3">
        <w:rPr>
          <w:bCs/>
          <w:color w:val="000000"/>
          <w:sz w:val="26"/>
          <w:szCs w:val="26"/>
        </w:rPr>
        <w:t xml:space="preserve">(POs) </w:t>
      </w:r>
      <w:r w:rsidRPr="00A605C3">
        <w:rPr>
          <w:bCs/>
          <w:color w:val="000000"/>
          <w:sz w:val="26"/>
          <w:szCs w:val="26"/>
        </w:rPr>
        <w:t xml:space="preserve">to the </w:t>
      </w:r>
      <w:r w:rsidR="00184CDF">
        <w:rPr>
          <w:bCs/>
          <w:color w:val="000000"/>
          <w:sz w:val="26"/>
          <w:szCs w:val="26"/>
        </w:rPr>
        <w:t xml:space="preserve">Joint </w:t>
      </w:r>
      <w:r w:rsidRPr="00A605C3">
        <w:rPr>
          <w:bCs/>
          <w:color w:val="000000"/>
          <w:sz w:val="26"/>
          <w:szCs w:val="26"/>
        </w:rPr>
        <w:t xml:space="preserve">Complaint </w:t>
      </w:r>
      <w:r w:rsidR="00363640">
        <w:rPr>
          <w:bCs/>
          <w:color w:val="000000"/>
          <w:sz w:val="26"/>
          <w:szCs w:val="26"/>
        </w:rPr>
        <w:t>(</w:t>
      </w:r>
      <w:r w:rsidRPr="00A605C3">
        <w:rPr>
          <w:bCs/>
          <w:color w:val="000000"/>
          <w:sz w:val="26"/>
          <w:szCs w:val="26"/>
        </w:rPr>
        <w:t>also accompanied by a Notice to Plead</w:t>
      </w:r>
      <w:r w:rsidR="00363640">
        <w:rPr>
          <w:bCs/>
          <w:color w:val="000000"/>
          <w:sz w:val="26"/>
          <w:szCs w:val="26"/>
        </w:rPr>
        <w:t>)</w:t>
      </w:r>
      <w:r w:rsidR="00CF45E3">
        <w:rPr>
          <w:bCs/>
          <w:color w:val="000000"/>
          <w:sz w:val="26"/>
          <w:szCs w:val="26"/>
        </w:rPr>
        <w:t>.  In its POs,</w:t>
      </w:r>
      <w:r w:rsidRPr="00A605C3">
        <w:rPr>
          <w:bCs/>
          <w:color w:val="000000"/>
          <w:sz w:val="26"/>
          <w:szCs w:val="26"/>
        </w:rPr>
        <w:t xml:space="preserve"> IDT argued that t</w:t>
      </w:r>
      <w:r w:rsidR="00184CDF">
        <w:rPr>
          <w:bCs/>
          <w:color w:val="000000"/>
          <w:sz w:val="26"/>
          <w:szCs w:val="26"/>
        </w:rPr>
        <w:t>wo</w:t>
      </w:r>
      <w:r w:rsidRPr="00A605C3">
        <w:rPr>
          <w:bCs/>
          <w:color w:val="000000"/>
          <w:sz w:val="26"/>
          <w:szCs w:val="26"/>
        </w:rPr>
        <w:t xml:space="preserve"> of the seven Counts averred in the Complaint should be dismissed or stricken with prejudice</w:t>
      </w:r>
      <w:r w:rsidR="00363640">
        <w:rPr>
          <w:bCs/>
          <w:color w:val="000000"/>
          <w:sz w:val="26"/>
          <w:szCs w:val="26"/>
        </w:rPr>
        <w:t>.</w:t>
      </w:r>
      <w:r w:rsidRPr="00A605C3">
        <w:rPr>
          <w:bCs/>
          <w:color w:val="000000"/>
          <w:sz w:val="26"/>
          <w:szCs w:val="26"/>
        </w:rPr>
        <w:t xml:space="preserve"> </w:t>
      </w:r>
      <w:r w:rsidR="00363640">
        <w:rPr>
          <w:bCs/>
          <w:color w:val="000000"/>
          <w:sz w:val="26"/>
          <w:szCs w:val="26"/>
        </w:rPr>
        <w:t xml:space="preserve">  IDT also responded </w:t>
      </w:r>
      <w:r w:rsidR="00CF45E3">
        <w:rPr>
          <w:bCs/>
          <w:color w:val="000000"/>
          <w:sz w:val="26"/>
          <w:szCs w:val="26"/>
        </w:rPr>
        <w:t xml:space="preserve">that </w:t>
      </w:r>
      <w:r w:rsidRPr="00A605C3">
        <w:rPr>
          <w:bCs/>
          <w:color w:val="000000"/>
          <w:sz w:val="26"/>
          <w:szCs w:val="26"/>
        </w:rPr>
        <w:t>the request for an Order providing restitution should be denied, because the</w:t>
      </w:r>
      <w:r w:rsidR="00CF45E3">
        <w:rPr>
          <w:bCs/>
          <w:color w:val="000000"/>
          <w:sz w:val="26"/>
          <w:szCs w:val="26"/>
        </w:rPr>
        <w:t>se</w:t>
      </w:r>
      <w:r w:rsidRPr="00A605C3">
        <w:rPr>
          <w:bCs/>
          <w:color w:val="000000"/>
          <w:sz w:val="26"/>
          <w:szCs w:val="26"/>
        </w:rPr>
        <w:t xml:space="preserve"> </w:t>
      </w:r>
      <w:r w:rsidR="00CF45E3">
        <w:rPr>
          <w:bCs/>
          <w:color w:val="000000"/>
          <w:sz w:val="26"/>
          <w:szCs w:val="26"/>
        </w:rPr>
        <w:t xml:space="preserve">counts </w:t>
      </w:r>
      <w:r w:rsidRPr="00A605C3">
        <w:rPr>
          <w:bCs/>
          <w:color w:val="000000"/>
          <w:sz w:val="26"/>
          <w:szCs w:val="26"/>
        </w:rPr>
        <w:t>are legally insufficient or include impertinent material.</w:t>
      </w:r>
      <w:r w:rsidR="00CF45E3">
        <w:rPr>
          <w:bCs/>
          <w:color w:val="000000"/>
          <w:sz w:val="26"/>
          <w:szCs w:val="26"/>
        </w:rPr>
        <w:t xml:space="preserve">  </w:t>
      </w:r>
      <w:r w:rsidR="00184CDF">
        <w:rPr>
          <w:bCs/>
          <w:color w:val="000000"/>
          <w:sz w:val="26"/>
          <w:szCs w:val="26"/>
        </w:rPr>
        <w:t xml:space="preserve">POs </w:t>
      </w:r>
      <w:r w:rsidR="00E05BAF">
        <w:rPr>
          <w:bCs/>
          <w:color w:val="000000"/>
          <w:sz w:val="26"/>
          <w:szCs w:val="26"/>
        </w:rPr>
        <w:t>at</w:t>
      </w:r>
      <w:r w:rsidR="00CF45E3">
        <w:rPr>
          <w:bCs/>
          <w:color w:val="000000"/>
          <w:sz w:val="26"/>
          <w:szCs w:val="26"/>
        </w:rPr>
        <w:t xml:space="preserve"> </w:t>
      </w:r>
      <w:r w:rsidR="00184CDF">
        <w:rPr>
          <w:bCs/>
          <w:color w:val="000000"/>
          <w:sz w:val="26"/>
          <w:szCs w:val="26"/>
        </w:rPr>
        <w:t>6-1</w:t>
      </w:r>
      <w:r w:rsidR="00CF45E3">
        <w:rPr>
          <w:bCs/>
          <w:color w:val="000000"/>
          <w:sz w:val="26"/>
          <w:szCs w:val="26"/>
        </w:rPr>
        <w:t xml:space="preserve">2. </w:t>
      </w:r>
      <w:r w:rsidRPr="00A605C3">
        <w:rPr>
          <w:bCs/>
          <w:color w:val="000000"/>
          <w:sz w:val="26"/>
          <w:szCs w:val="26"/>
        </w:rPr>
        <w:t xml:space="preserve">  </w:t>
      </w:r>
    </w:p>
    <w:p w:rsidR="00D3628C" w:rsidRPr="00A605C3" w:rsidRDefault="00D3628C" w:rsidP="00D3628C">
      <w:pPr>
        <w:adjustRightInd w:val="0"/>
        <w:spacing w:line="360" w:lineRule="auto"/>
        <w:rPr>
          <w:bCs/>
          <w:color w:val="000000"/>
          <w:sz w:val="26"/>
          <w:szCs w:val="26"/>
        </w:rPr>
      </w:pPr>
    </w:p>
    <w:p w:rsidR="00D3628C" w:rsidRPr="00A605C3" w:rsidRDefault="00D3628C" w:rsidP="00CF45E3">
      <w:pPr>
        <w:adjustRightInd w:val="0"/>
        <w:spacing w:line="360" w:lineRule="auto"/>
        <w:ind w:firstLine="1440"/>
        <w:rPr>
          <w:bCs/>
          <w:color w:val="000000"/>
          <w:sz w:val="26"/>
          <w:szCs w:val="26"/>
        </w:rPr>
      </w:pPr>
      <w:r w:rsidRPr="00A605C3">
        <w:rPr>
          <w:bCs/>
          <w:color w:val="000000"/>
          <w:sz w:val="26"/>
          <w:szCs w:val="26"/>
        </w:rPr>
        <w:t xml:space="preserve">On July 21, 2014, the Joint Complainants filed an Answer to IDT’s </w:t>
      </w:r>
      <w:proofErr w:type="spellStart"/>
      <w:r w:rsidRPr="00A605C3">
        <w:rPr>
          <w:bCs/>
          <w:color w:val="000000"/>
          <w:sz w:val="26"/>
          <w:szCs w:val="26"/>
        </w:rPr>
        <w:t>PO</w:t>
      </w:r>
      <w:r w:rsidR="00363640">
        <w:rPr>
          <w:bCs/>
          <w:color w:val="000000"/>
          <w:sz w:val="26"/>
          <w:szCs w:val="26"/>
        </w:rPr>
        <w:t>s.</w:t>
      </w:r>
      <w:proofErr w:type="spellEnd"/>
      <w:r w:rsidRPr="00A605C3">
        <w:rPr>
          <w:bCs/>
          <w:color w:val="000000"/>
          <w:sz w:val="26"/>
          <w:szCs w:val="26"/>
        </w:rPr>
        <w:t xml:space="preserve"> </w:t>
      </w:r>
      <w:r w:rsidR="00363640">
        <w:rPr>
          <w:bCs/>
          <w:color w:val="000000"/>
          <w:sz w:val="26"/>
          <w:szCs w:val="26"/>
        </w:rPr>
        <w:t xml:space="preserve">  The OAG and the OCA</w:t>
      </w:r>
      <w:r>
        <w:rPr>
          <w:bCs/>
          <w:color w:val="000000"/>
          <w:sz w:val="26"/>
          <w:szCs w:val="26"/>
        </w:rPr>
        <w:t xml:space="preserve"> </w:t>
      </w:r>
      <w:r w:rsidRPr="00A605C3">
        <w:rPr>
          <w:bCs/>
          <w:color w:val="000000"/>
          <w:sz w:val="26"/>
          <w:szCs w:val="26"/>
        </w:rPr>
        <w:t>argued that IDT’s Preliminary Objections are unsupported and should be overruled.  The Joint Complainants argued</w:t>
      </w:r>
      <w:r>
        <w:rPr>
          <w:bCs/>
          <w:color w:val="000000"/>
          <w:sz w:val="26"/>
          <w:szCs w:val="26"/>
        </w:rPr>
        <w:t xml:space="preserve">, </w:t>
      </w:r>
      <w:r>
        <w:rPr>
          <w:bCs/>
          <w:i/>
          <w:color w:val="000000"/>
          <w:sz w:val="26"/>
          <w:szCs w:val="26"/>
        </w:rPr>
        <w:t>inter</w:t>
      </w:r>
      <w:r>
        <w:rPr>
          <w:bCs/>
          <w:color w:val="000000"/>
          <w:sz w:val="26"/>
          <w:szCs w:val="26"/>
        </w:rPr>
        <w:t xml:space="preserve"> </w:t>
      </w:r>
      <w:r>
        <w:rPr>
          <w:bCs/>
          <w:i/>
          <w:color w:val="000000"/>
          <w:sz w:val="26"/>
          <w:szCs w:val="26"/>
        </w:rPr>
        <w:t>alia</w:t>
      </w:r>
      <w:r>
        <w:rPr>
          <w:bCs/>
          <w:color w:val="000000"/>
          <w:sz w:val="26"/>
          <w:szCs w:val="26"/>
        </w:rPr>
        <w:t>,</w:t>
      </w:r>
      <w:r w:rsidRPr="00A605C3">
        <w:rPr>
          <w:bCs/>
          <w:color w:val="000000"/>
          <w:sz w:val="26"/>
          <w:szCs w:val="26"/>
        </w:rPr>
        <w:t xml:space="preserve"> that the </w:t>
      </w:r>
      <w:r w:rsidR="00363640">
        <w:rPr>
          <w:bCs/>
          <w:color w:val="000000"/>
          <w:sz w:val="26"/>
          <w:szCs w:val="26"/>
        </w:rPr>
        <w:t>Formal</w:t>
      </w:r>
      <w:r w:rsidR="008000CF">
        <w:rPr>
          <w:bCs/>
          <w:color w:val="000000"/>
          <w:sz w:val="26"/>
          <w:szCs w:val="26"/>
        </w:rPr>
        <w:t xml:space="preserve"> C</w:t>
      </w:r>
      <w:r w:rsidR="002F636B">
        <w:rPr>
          <w:bCs/>
          <w:color w:val="000000"/>
          <w:sz w:val="26"/>
          <w:szCs w:val="26"/>
        </w:rPr>
        <w:t xml:space="preserve">omplaint seeks determinations pursuant to the Commission’s jurisdiction and authority and that the </w:t>
      </w:r>
      <w:r w:rsidRPr="00A605C3">
        <w:rPr>
          <w:bCs/>
          <w:color w:val="000000"/>
          <w:sz w:val="26"/>
          <w:szCs w:val="26"/>
        </w:rPr>
        <w:t>Commission may order restitution in this matter.  The Joint Complainants included</w:t>
      </w:r>
      <w:r w:rsidR="00184CDF">
        <w:rPr>
          <w:bCs/>
          <w:color w:val="000000"/>
          <w:sz w:val="26"/>
          <w:szCs w:val="26"/>
        </w:rPr>
        <w:t>, as</w:t>
      </w:r>
      <w:r w:rsidRPr="00A605C3">
        <w:rPr>
          <w:bCs/>
          <w:color w:val="000000"/>
          <w:sz w:val="26"/>
          <w:szCs w:val="26"/>
        </w:rPr>
        <w:t xml:space="preserve"> an attachment to their Answer in support of their positions</w:t>
      </w:r>
      <w:r w:rsidR="00184CDF">
        <w:rPr>
          <w:bCs/>
          <w:color w:val="000000"/>
          <w:sz w:val="26"/>
          <w:szCs w:val="26"/>
        </w:rPr>
        <w:t>, a February 8, 2010 Opinion of the Pennsylvania Attorney General</w:t>
      </w:r>
      <w:r w:rsidRPr="00A605C3">
        <w:rPr>
          <w:bCs/>
          <w:color w:val="000000"/>
          <w:sz w:val="26"/>
          <w:szCs w:val="26"/>
        </w:rPr>
        <w:t>.</w:t>
      </w:r>
      <w:r w:rsidR="002F636B">
        <w:rPr>
          <w:bCs/>
          <w:color w:val="000000"/>
          <w:sz w:val="26"/>
          <w:szCs w:val="26"/>
        </w:rPr>
        <w:t xml:space="preserve">  </w:t>
      </w:r>
      <w:r w:rsidR="00184CDF">
        <w:rPr>
          <w:bCs/>
          <w:color w:val="000000"/>
          <w:sz w:val="26"/>
          <w:szCs w:val="26"/>
        </w:rPr>
        <w:t>Joint Complainants’ Answer at App. A</w:t>
      </w:r>
      <w:r w:rsidR="002F636B">
        <w:rPr>
          <w:bCs/>
          <w:color w:val="000000"/>
          <w:sz w:val="26"/>
          <w:szCs w:val="26"/>
        </w:rPr>
        <w:t>.</w:t>
      </w:r>
    </w:p>
    <w:p w:rsidR="00D3628C" w:rsidRPr="00A605C3" w:rsidRDefault="00D3628C" w:rsidP="00CF45E3">
      <w:pPr>
        <w:adjustRightInd w:val="0"/>
        <w:spacing w:line="360" w:lineRule="auto"/>
        <w:ind w:firstLine="1440"/>
        <w:rPr>
          <w:bCs/>
          <w:color w:val="000000"/>
          <w:sz w:val="26"/>
          <w:szCs w:val="26"/>
        </w:rPr>
      </w:pPr>
    </w:p>
    <w:p w:rsidR="00D3628C" w:rsidRPr="00031B94" w:rsidRDefault="00D3628C" w:rsidP="00CF45E3">
      <w:pPr>
        <w:adjustRightInd w:val="0"/>
        <w:spacing w:line="360" w:lineRule="auto"/>
        <w:ind w:firstLine="1440"/>
        <w:rPr>
          <w:bCs/>
          <w:color w:val="000000"/>
          <w:sz w:val="26"/>
          <w:szCs w:val="26"/>
        </w:rPr>
      </w:pPr>
      <w:r w:rsidRPr="00A605C3">
        <w:rPr>
          <w:bCs/>
          <w:color w:val="000000"/>
          <w:sz w:val="26"/>
          <w:szCs w:val="26"/>
        </w:rPr>
        <w:t>On July 30, 2014, the Joint Complainants filed an Answer to IDT’s New Matter.  In their Answer, the Joint Complainants denied acknowledging that rates as high as those charged by IDT in early 2014 were the result of the wholesale electric prices</w:t>
      </w:r>
      <w:r w:rsidR="007C39A4">
        <w:rPr>
          <w:bCs/>
          <w:color w:val="000000"/>
          <w:sz w:val="26"/>
          <w:szCs w:val="26"/>
        </w:rPr>
        <w:t xml:space="preserve">. </w:t>
      </w:r>
      <w:r w:rsidR="00031B94">
        <w:rPr>
          <w:bCs/>
          <w:color w:val="000000"/>
          <w:sz w:val="26"/>
          <w:szCs w:val="26"/>
        </w:rPr>
        <w:t xml:space="preserve">  August 20 Order at 3.</w:t>
      </w:r>
      <w:r w:rsidR="007C39A4">
        <w:rPr>
          <w:bCs/>
          <w:color w:val="000000"/>
          <w:sz w:val="26"/>
          <w:szCs w:val="26"/>
        </w:rPr>
        <w:t xml:space="preserve"> </w:t>
      </w:r>
      <w:r w:rsidR="00031B94">
        <w:rPr>
          <w:bCs/>
          <w:color w:val="000000"/>
          <w:sz w:val="26"/>
          <w:szCs w:val="26"/>
        </w:rPr>
        <w:t xml:space="preserve"> </w:t>
      </w:r>
      <w:r w:rsidR="007C39A4">
        <w:rPr>
          <w:bCs/>
          <w:color w:val="000000"/>
          <w:sz w:val="26"/>
          <w:szCs w:val="26"/>
        </w:rPr>
        <w:t xml:space="preserve">The Joint Complainants also denied that </w:t>
      </w:r>
      <w:r w:rsidRPr="00A605C3">
        <w:rPr>
          <w:bCs/>
          <w:color w:val="000000"/>
          <w:sz w:val="26"/>
          <w:szCs w:val="26"/>
        </w:rPr>
        <w:t xml:space="preserve">such high prices absolve IDT of charges </w:t>
      </w:r>
      <w:r w:rsidR="007C39A4">
        <w:rPr>
          <w:bCs/>
          <w:color w:val="000000"/>
          <w:sz w:val="26"/>
          <w:szCs w:val="26"/>
        </w:rPr>
        <w:t xml:space="preserve">that its rates did not conform to </w:t>
      </w:r>
      <w:r w:rsidRPr="00A605C3">
        <w:rPr>
          <w:bCs/>
          <w:color w:val="000000"/>
          <w:sz w:val="26"/>
          <w:szCs w:val="26"/>
        </w:rPr>
        <w:t>its marketing</w:t>
      </w:r>
      <w:r w:rsidR="007C39A4">
        <w:rPr>
          <w:bCs/>
          <w:color w:val="000000"/>
          <w:sz w:val="26"/>
          <w:szCs w:val="26"/>
        </w:rPr>
        <w:t xml:space="preserve"> materials</w:t>
      </w:r>
      <w:r w:rsidRPr="00A605C3">
        <w:rPr>
          <w:bCs/>
          <w:color w:val="000000"/>
          <w:sz w:val="26"/>
          <w:szCs w:val="26"/>
        </w:rPr>
        <w:t xml:space="preserve"> and practices.  </w:t>
      </w:r>
      <w:r w:rsidRPr="00A605C3">
        <w:rPr>
          <w:bCs/>
          <w:color w:val="000000"/>
          <w:sz w:val="26"/>
          <w:szCs w:val="26"/>
        </w:rPr>
        <w:lastRenderedPageBreak/>
        <w:t>The Joint Complainants also denied IDT’s other material averments that supported IDT’s position</w:t>
      </w:r>
      <w:r w:rsidR="00363640">
        <w:rPr>
          <w:bCs/>
          <w:color w:val="000000"/>
          <w:sz w:val="26"/>
          <w:szCs w:val="26"/>
        </w:rPr>
        <w:t xml:space="preserve"> that the Formal Complaint should be dismissed</w:t>
      </w:r>
      <w:r w:rsidRPr="00A605C3">
        <w:rPr>
          <w:bCs/>
          <w:color w:val="000000"/>
          <w:sz w:val="26"/>
          <w:szCs w:val="26"/>
        </w:rPr>
        <w:t xml:space="preserve">.  </w:t>
      </w:r>
      <w:r w:rsidR="009B7733">
        <w:rPr>
          <w:bCs/>
          <w:color w:val="000000"/>
          <w:sz w:val="26"/>
          <w:szCs w:val="26"/>
        </w:rPr>
        <w:t>S</w:t>
      </w:r>
      <w:r w:rsidRPr="00A605C3">
        <w:rPr>
          <w:bCs/>
          <w:color w:val="000000"/>
          <w:sz w:val="26"/>
          <w:szCs w:val="26"/>
        </w:rPr>
        <w:t xml:space="preserve">pecifically, the Joint Complainants averred that the Commission has the authority to order monetary and equitable relief and has done so in other instances.  The Joint Complainants concluded that the </w:t>
      </w:r>
      <w:r w:rsidR="00363640">
        <w:rPr>
          <w:bCs/>
          <w:color w:val="000000"/>
          <w:sz w:val="26"/>
          <w:szCs w:val="26"/>
        </w:rPr>
        <w:t xml:space="preserve">IDT </w:t>
      </w:r>
      <w:r w:rsidRPr="00A605C3">
        <w:rPr>
          <w:bCs/>
          <w:color w:val="000000"/>
          <w:sz w:val="26"/>
          <w:szCs w:val="26"/>
        </w:rPr>
        <w:t xml:space="preserve">POs should be overruled and judgment should be entered against IDT in response to the </w:t>
      </w:r>
      <w:r w:rsidR="008000CF">
        <w:rPr>
          <w:bCs/>
          <w:color w:val="000000"/>
          <w:sz w:val="26"/>
          <w:szCs w:val="26"/>
        </w:rPr>
        <w:t xml:space="preserve">Joint </w:t>
      </w:r>
      <w:r w:rsidRPr="00A605C3">
        <w:rPr>
          <w:bCs/>
          <w:color w:val="000000"/>
          <w:sz w:val="26"/>
          <w:szCs w:val="26"/>
        </w:rPr>
        <w:t>Complaint.</w:t>
      </w:r>
      <w:r w:rsidR="002F636B">
        <w:rPr>
          <w:bCs/>
          <w:color w:val="000000"/>
          <w:sz w:val="26"/>
          <w:szCs w:val="26"/>
        </w:rPr>
        <w:t xml:space="preserve">  </w:t>
      </w:r>
      <w:r w:rsidR="00104272">
        <w:rPr>
          <w:bCs/>
          <w:i/>
          <w:color w:val="000000"/>
          <w:sz w:val="26"/>
          <w:szCs w:val="26"/>
        </w:rPr>
        <w:t xml:space="preserve">Id.; see also </w:t>
      </w:r>
      <w:r w:rsidR="007C39A4">
        <w:rPr>
          <w:bCs/>
          <w:color w:val="000000"/>
          <w:sz w:val="26"/>
          <w:szCs w:val="26"/>
        </w:rPr>
        <w:t>Joint Complainants’ Answer to Preliminary Objections</w:t>
      </w:r>
      <w:r w:rsidR="002F636B">
        <w:rPr>
          <w:bCs/>
          <w:color w:val="000000"/>
          <w:sz w:val="26"/>
          <w:szCs w:val="26"/>
        </w:rPr>
        <w:t>.</w:t>
      </w:r>
    </w:p>
    <w:p w:rsidR="00D3628C" w:rsidRPr="00A605C3" w:rsidRDefault="00D3628C" w:rsidP="00D3628C">
      <w:pPr>
        <w:adjustRightInd w:val="0"/>
        <w:spacing w:line="360" w:lineRule="auto"/>
        <w:rPr>
          <w:bCs/>
          <w:color w:val="000000"/>
          <w:sz w:val="26"/>
          <w:szCs w:val="26"/>
        </w:rPr>
      </w:pPr>
    </w:p>
    <w:p w:rsidR="006D3D11" w:rsidRDefault="0019126C" w:rsidP="00267A91">
      <w:pPr>
        <w:widowControl/>
        <w:spacing w:line="360" w:lineRule="auto"/>
        <w:ind w:firstLine="1440"/>
        <w:rPr>
          <w:bCs/>
          <w:color w:val="000000"/>
          <w:sz w:val="26"/>
          <w:szCs w:val="26"/>
        </w:rPr>
      </w:pPr>
      <w:r>
        <w:rPr>
          <w:bCs/>
          <w:color w:val="000000"/>
          <w:sz w:val="26"/>
          <w:szCs w:val="26"/>
        </w:rPr>
        <w:t>B</w:t>
      </w:r>
      <w:r w:rsidR="00D3628C">
        <w:rPr>
          <w:bCs/>
          <w:color w:val="000000"/>
          <w:sz w:val="26"/>
          <w:szCs w:val="26"/>
        </w:rPr>
        <w:t xml:space="preserve">y Order dated August 20, 2014, ALJs </w:t>
      </w:r>
      <w:proofErr w:type="spellStart"/>
      <w:r w:rsidR="00D3628C">
        <w:rPr>
          <w:bCs/>
          <w:color w:val="000000"/>
          <w:sz w:val="26"/>
          <w:szCs w:val="26"/>
        </w:rPr>
        <w:t>Cheskis</w:t>
      </w:r>
      <w:proofErr w:type="spellEnd"/>
      <w:r w:rsidR="00D3628C">
        <w:rPr>
          <w:bCs/>
          <w:color w:val="000000"/>
          <w:sz w:val="26"/>
          <w:szCs w:val="26"/>
        </w:rPr>
        <w:t xml:space="preserve"> and Barnes </w:t>
      </w:r>
      <w:r>
        <w:rPr>
          <w:bCs/>
          <w:color w:val="000000"/>
          <w:sz w:val="26"/>
          <w:szCs w:val="26"/>
        </w:rPr>
        <w:t xml:space="preserve">issued the order which </w:t>
      </w:r>
      <w:r w:rsidR="00D3628C">
        <w:rPr>
          <w:bCs/>
          <w:color w:val="000000"/>
          <w:sz w:val="26"/>
          <w:szCs w:val="26"/>
        </w:rPr>
        <w:t xml:space="preserve">granted in part and denied in part, </w:t>
      </w:r>
      <w:r w:rsidR="00D3628C" w:rsidRPr="00A605C3">
        <w:rPr>
          <w:bCs/>
          <w:color w:val="000000"/>
          <w:sz w:val="26"/>
          <w:szCs w:val="26"/>
        </w:rPr>
        <w:t>IDT’s Preliminary Objections</w:t>
      </w:r>
      <w:r w:rsidR="00D3628C">
        <w:rPr>
          <w:bCs/>
          <w:color w:val="000000"/>
          <w:sz w:val="26"/>
          <w:szCs w:val="26"/>
        </w:rPr>
        <w:t>.</w:t>
      </w:r>
      <w:r w:rsidR="002F636B">
        <w:rPr>
          <w:bCs/>
          <w:color w:val="000000"/>
          <w:sz w:val="26"/>
          <w:szCs w:val="26"/>
        </w:rPr>
        <w:t xml:space="preserve">  </w:t>
      </w:r>
      <w:r w:rsidR="007C39A4">
        <w:rPr>
          <w:bCs/>
          <w:color w:val="000000"/>
          <w:sz w:val="26"/>
          <w:szCs w:val="26"/>
        </w:rPr>
        <w:t xml:space="preserve">As </w:t>
      </w:r>
      <w:r w:rsidR="00267A91">
        <w:rPr>
          <w:bCs/>
          <w:color w:val="000000"/>
          <w:sz w:val="26"/>
          <w:szCs w:val="26"/>
        </w:rPr>
        <w:t>noted</w:t>
      </w:r>
      <w:r w:rsidR="007C39A4">
        <w:rPr>
          <w:bCs/>
          <w:color w:val="000000"/>
          <w:sz w:val="26"/>
          <w:szCs w:val="26"/>
        </w:rPr>
        <w:t xml:space="preserve">, </w:t>
      </w:r>
      <w:r w:rsidR="00267A91">
        <w:rPr>
          <w:bCs/>
          <w:color w:val="000000"/>
          <w:sz w:val="26"/>
          <w:szCs w:val="26"/>
        </w:rPr>
        <w:t xml:space="preserve">on September 8, 2014, </w:t>
      </w:r>
      <w:r w:rsidR="007C39A4">
        <w:rPr>
          <w:bCs/>
          <w:color w:val="000000"/>
          <w:sz w:val="26"/>
          <w:szCs w:val="26"/>
        </w:rPr>
        <w:t xml:space="preserve">IDT and the OAG/OCA </w:t>
      </w:r>
      <w:r w:rsidR="00267A91">
        <w:rPr>
          <w:bCs/>
          <w:color w:val="000000"/>
          <w:sz w:val="26"/>
          <w:szCs w:val="26"/>
        </w:rPr>
        <w:t>each fil</w:t>
      </w:r>
      <w:r w:rsidR="007C39A4">
        <w:rPr>
          <w:bCs/>
          <w:color w:val="000000"/>
          <w:sz w:val="26"/>
          <w:szCs w:val="26"/>
        </w:rPr>
        <w:t>e</w:t>
      </w:r>
      <w:r w:rsidR="00267A91">
        <w:rPr>
          <w:bCs/>
          <w:color w:val="000000"/>
          <w:sz w:val="26"/>
          <w:szCs w:val="26"/>
        </w:rPr>
        <w:t>d a petition seeking interlocutory Commission review of questions raised in response to the rulings in the August 20 Order</w:t>
      </w:r>
      <w:r w:rsidR="006D3D11">
        <w:rPr>
          <w:bCs/>
          <w:color w:val="000000"/>
          <w:sz w:val="26"/>
          <w:szCs w:val="26"/>
        </w:rPr>
        <w:t>.</w:t>
      </w:r>
    </w:p>
    <w:p w:rsidR="007C39A4" w:rsidRDefault="00267A91" w:rsidP="00267A91">
      <w:pPr>
        <w:widowControl/>
        <w:spacing w:line="360" w:lineRule="auto"/>
        <w:ind w:firstLine="1440"/>
        <w:rPr>
          <w:bCs/>
          <w:color w:val="000000"/>
          <w:sz w:val="26"/>
          <w:szCs w:val="26"/>
        </w:rPr>
      </w:pPr>
      <w:r>
        <w:rPr>
          <w:bCs/>
          <w:color w:val="000000"/>
          <w:sz w:val="26"/>
          <w:szCs w:val="26"/>
        </w:rPr>
        <w:t xml:space="preserve"> </w:t>
      </w:r>
      <w:r w:rsidR="00363640">
        <w:rPr>
          <w:bCs/>
          <w:color w:val="000000"/>
          <w:sz w:val="26"/>
          <w:szCs w:val="26"/>
        </w:rPr>
        <w:t xml:space="preserve"> </w:t>
      </w:r>
    </w:p>
    <w:p w:rsidR="00D359BA" w:rsidRDefault="00D359BA" w:rsidP="00D359BA">
      <w:pPr>
        <w:widowControl/>
        <w:spacing w:line="360" w:lineRule="auto"/>
        <w:ind w:firstLine="1440"/>
        <w:rPr>
          <w:sz w:val="26"/>
        </w:rPr>
      </w:pPr>
      <w:r>
        <w:rPr>
          <w:sz w:val="26"/>
        </w:rPr>
        <w:t xml:space="preserve">On September 18, 2014, IDT filed a brief in support of the IDT Petition (IDT Brief).  </w:t>
      </w:r>
      <w:r>
        <w:rPr>
          <w:i/>
          <w:sz w:val="26"/>
        </w:rPr>
        <w:t xml:space="preserve">See </w:t>
      </w:r>
      <w:r>
        <w:rPr>
          <w:sz w:val="26"/>
        </w:rPr>
        <w:t xml:space="preserve">52 Pa. Code § 5.302(b).  On September 18, 2014, the Commission’s Bureau of Investigation and Enforcement (I&amp;E), filed a brief in opposition to the IDT Petition (I&amp;E Brief).  Also on September 18, 2014, the OAG and the OCA filed a joint brief in opposition </w:t>
      </w:r>
      <w:r w:rsidR="007C39A4">
        <w:rPr>
          <w:sz w:val="26"/>
        </w:rPr>
        <w:t xml:space="preserve">to the IDT Petition </w:t>
      </w:r>
      <w:r>
        <w:rPr>
          <w:sz w:val="26"/>
        </w:rPr>
        <w:t xml:space="preserve">(OAG/OCA Joint Brief in Opposition). </w:t>
      </w:r>
    </w:p>
    <w:p w:rsidR="00D359BA" w:rsidRDefault="00D359BA" w:rsidP="00D359BA">
      <w:pPr>
        <w:widowControl/>
        <w:spacing w:line="360" w:lineRule="auto"/>
        <w:ind w:firstLine="1440"/>
        <w:rPr>
          <w:sz w:val="26"/>
        </w:rPr>
      </w:pPr>
    </w:p>
    <w:p w:rsidR="00D359BA" w:rsidRDefault="00D359BA" w:rsidP="00D359BA">
      <w:pPr>
        <w:widowControl/>
        <w:spacing w:line="360" w:lineRule="auto"/>
        <w:ind w:firstLine="1440"/>
        <w:rPr>
          <w:sz w:val="26"/>
        </w:rPr>
      </w:pPr>
      <w:r>
        <w:rPr>
          <w:sz w:val="26"/>
        </w:rPr>
        <w:t xml:space="preserve">On September 18, 2014, the OAG and the OCA filed a </w:t>
      </w:r>
      <w:r w:rsidR="007C39A4">
        <w:rPr>
          <w:sz w:val="26"/>
        </w:rPr>
        <w:t xml:space="preserve">joint </w:t>
      </w:r>
      <w:r>
        <w:rPr>
          <w:sz w:val="26"/>
        </w:rPr>
        <w:t xml:space="preserve">brief in support of the </w:t>
      </w:r>
      <w:r w:rsidR="007C39A4">
        <w:rPr>
          <w:sz w:val="26"/>
        </w:rPr>
        <w:t xml:space="preserve">OAG/OCA </w:t>
      </w:r>
      <w:r>
        <w:rPr>
          <w:sz w:val="26"/>
        </w:rPr>
        <w:t>Joint Petition (OAG/OCA Joint Brief).  On September 18, 2014, IDT filed a Brief in Response to the OAG/OCA Joint Petition (IDT Brief in Opposition).</w:t>
      </w:r>
    </w:p>
    <w:p w:rsidR="00D359BA" w:rsidRDefault="00D359BA" w:rsidP="00D359BA">
      <w:pPr>
        <w:widowControl/>
        <w:spacing w:line="360" w:lineRule="auto"/>
        <w:ind w:firstLine="1440"/>
        <w:rPr>
          <w:sz w:val="26"/>
        </w:rPr>
      </w:pPr>
    </w:p>
    <w:p w:rsidR="00D359BA" w:rsidRDefault="00D359BA" w:rsidP="00D359BA">
      <w:pPr>
        <w:widowControl/>
        <w:spacing w:line="360" w:lineRule="auto"/>
        <w:ind w:firstLine="1440"/>
        <w:rPr>
          <w:sz w:val="26"/>
        </w:rPr>
      </w:pPr>
      <w:r>
        <w:rPr>
          <w:sz w:val="26"/>
        </w:rPr>
        <w:t xml:space="preserve">By Secretarial Letter of September 30, 2014, we waived the thirty (30) day period for consideration of petitions for interlocutory review pursuant to 52 Pa. Code </w:t>
      </w:r>
      <w:r>
        <w:rPr>
          <w:sz w:val="26"/>
        </w:rPr>
        <w:br/>
        <w:t xml:space="preserve">§ 5.303; </w:t>
      </w:r>
      <w:r>
        <w:rPr>
          <w:i/>
          <w:sz w:val="26"/>
        </w:rPr>
        <w:t>see</w:t>
      </w:r>
      <w:r>
        <w:rPr>
          <w:sz w:val="26"/>
        </w:rPr>
        <w:t xml:space="preserve"> 52 Pa. Code </w:t>
      </w:r>
      <w:r w:rsidRPr="00D12C93">
        <w:rPr>
          <w:sz w:val="26"/>
          <w:szCs w:val="26"/>
        </w:rPr>
        <w:t xml:space="preserve">§ 1.2(c); </w:t>
      </w:r>
      <w:r w:rsidRPr="005304DD">
        <w:rPr>
          <w:i/>
          <w:sz w:val="26"/>
          <w:szCs w:val="26"/>
        </w:rPr>
        <w:t xml:space="preserve">see </w:t>
      </w:r>
      <w:r w:rsidRPr="00466AE8">
        <w:rPr>
          <w:i/>
          <w:sz w:val="26"/>
          <w:szCs w:val="26"/>
        </w:rPr>
        <w:t>a</w:t>
      </w:r>
      <w:r w:rsidRPr="00D12C93">
        <w:rPr>
          <w:i/>
          <w:sz w:val="26"/>
          <w:szCs w:val="26"/>
        </w:rPr>
        <w:t>lso</w:t>
      </w:r>
      <w:r>
        <w:rPr>
          <w:i/>
          <w:sz w:val="26"/>
          <w:szCs w:val="26"/>
        </w:rPr>
        <w:t>,</w:t>
      </w:r>
      <w:r w:rsidRPr="00D12C93">
        <w:rPr>
          <w:sz w:val="26"/>
          <w:szCs w:val="26"/>
        </w:rPr>
        <w:t xml:space="preserve"> </w:t>
      </w:r>
      <w:r w:rsidRPr="00D12C93">
        <w:rPr>
          <w:i/>
          <w:sz w:val="26"/>
          <w:szCs w:val="26"/>
        </w:rPr>
        <w:t xml:space="preserve">C.S. </w:t>
      </w:r>
      <w:proofErr w:type="spellStart"/>
      <w:r w:rsidRPr="00D12C93">
        <w:rPr>
          <w:i/>
          <w:sz w:val="26"/>
          <w:szCs w:val="26"/>
        </w:rPr>
        <w:t>Warthman</w:t>
      </w:r>
      <w:proofErr w:type="spellEnd"/>
      <w:r w:rsidRPr="00D12C93">
        <w:rPr>
          <w:i/>
          <w:sz w:val="26"/>
          <w:szCs w:val="26"/>
        </w:rPr>
        <w:t xml:space="preserve"> Funeral Home, et al. v. GTE North, Incorporated</w:t>
      </w:r>
      <w:r w:rsidRPr="00D12C93">
        <w:rPr>
          <w:sz w:val="26"/>
          <w:szCs w:val="26"/>
        </w:rPr>
        <w:t>, Docket No. C-00924416 (</w:t>
      </w:r>
      <w:r>
        <w:rPr>
          <w:sz w:val="26"/>
          <w:szCs w:val="26"/>
        </w:rPr>
        <w:t xml:space="preserve">Order entered </w:t>
      </w:r>
      <w:r w:rsidRPr="00D12C93">
        <w:rPr>
          <w:sz w:val="26"/>
          <w:szCs w:val="26"/>
        </w:rPr>
        <w:t>June 4, 1993).</w:t>
      </w:r>
      <w:r>
        <w:rPr>
          <w:sz w:val="26"/>
          <w:szCs w:val="26"/>
        </w:rPr>
        <w:t xml:space="preserve">  </w:t>
      </w:r>
      <w:r>
        <w:rPr>
          <w:sz w:val="26"/>
        </w:rPr>
        <w:t xml:space="preserve">     </w:t>
      </w:r>
    </w:p>
    <w:p w:rsidR="0005618F" w:rsidRPr="00E03F7A" w:rsidRDefault="000A6366" w:rsidP="00D3628C">
      <w:pPr>
        <w:spacing w:line="360" w:lineRule="auto"/>
        <w:rPr>
          <w:sz w:val="26"/>
          <w:szCs w:val="26"/>
        </w:rPr>
      </w:pPr>
      <w:r>
        <w:rPr>
          <w:sz w:val="26"/>
          <w:szCs w:val="26"/>
        </w:rPr>
        <w:t xml:space="preserve">  </w:t>
      </w:r>
    </w:p>
    <w:p w:rsidR="006D3D11" w:rsidRDefault="006D3D11" w:rsidP="00CA43A5">
      <w:pPr>
        <w:spacing w:line="360" w:lineRule="auto"/>
        <w:jc w:val="center"/>
        <w:rPr>
          <w:b/>
          <w:sz w:val="26"/>
          <w:szCs w:val="26"/>
        </w:rPr>
      </w:pPr>
    </w:p>
    <w:p w:rsidR="00CA43A5" w:rsidRDefault="00135429" w:rsidP="00CA43A5">
      <w:pPr>
        <w:spacing w:line="360" w:lineRule="auto"/>
        <w:jc w:val="center"/>
        <w:rPr>
          <w:b/>
          <w:sz w:val="26"/>
          <w:szCs w:val="26"/>
        </w:rPr>
      </w:pPr>
      <w:r>
        <w:rPr>
          <w:b/>
          <w:sz w:val="26"/>
          <w:szCs w:val="26"/>
        </w:rPr>
        <w:lastRenderedPageBreak/>
        <w:t>Di</w:t>
      </w:r>
      <w:r w:rsidR="00CA43A5" w:rsidRPr="00CA43A5">
        <w:rPr>
          <w:b/>
          <w:sz w:val="26"/>
          <w:szCs w:val="26"/>
        </w:rPr>
        <w:t>scussion</w:t>
      </w:r>
    </w:p>
    <w:p w:rsidR="00E33160" w:rsidRDefault="00E33160" w:rsidP="000A6366">
      <w:pPr>
        <w:keepNext/>
        <w:spacing w:line="360" w:lineRule="auto"/>
        <w:rPr>
          <w:sz w:val="26"/>
          <w:szCs w:val="26"/>
        </w:rPr>
      </w:pPr>
    </w:p>
    <w:p w:rsidR="00704121" w:rsidRPr="00E555D1" w:rsidRDefault="00704121" w:rsidP="00704121">
      <w:pPr>
        <w:spacing w:line="360" w:lineRule="auto"/>
        <w:ind w:firstLine="1440"/>
        <w:rPr>
          <w:sz w:val="26"/>
          <w:szCs w:val="26"/>
        </w:rPr>
      </w:pPr>
      <w:r w:rsidRPr="00E555D1">
        <w:rPr>
          <w:sz w:val="26"/>
          <w:szCs w:val="26"/>
        </w:rPr>
        <w:t xml:space="preserve">As a preliminary matter, we note that any issue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E555D1">
          <w:rPr>
            <w:i/>
            <w:iCs/>
            <w:color w:val="000000"/>
            <w:sz w:val="26"/>
            <w:szCs w:val="26"/>
          </w:rPr>
          <w:t xml:space="preserve">Consolidated Rail Corp. v. Pa. PUC, </w:t>
        </w:r>
        <w:r w:rsidRPr="00E555D1">
          <w:rPr>
            <w:color w:val="000000"/>
            <w:sz w:val="26"/>
            <w:szCs w:val="26"/>
          </w:rPr>
          <w:t xml:space="preserve">625 A.2d 741 (Pa. </w:t>
        </w:r>
        <w:proofErr w:type="spellStart"/>
        <w:r w:rsidRPr="00E555D1">
          <w:rPr>
            <w:color w:val="000000"/>
            <w:sz w:val="26"/>
            <w:szCs w:val="26"/>
          </w:rPr>
          <w:t>Cmwlth</w:t>
        </w:r>
        <w:proofErr w:type="spellEnd"/>
        <w:r w:rsidRPr="00E555D1">
          <w:rPr>
            <w:color w:val="000000"/>
            <w:sz w:val="26"/>
            <w:szCs w:val="26"/>
          </w:rPr>
          <w:t>. 1993);</w:t>
        </w:r>
      </w:hyperlink>
      <w:r w:rsidRPr="00E555D1">
        <w:rPr>
          <w:color w:val="000000"/>
          <w:sz w:val="26"/>
          <w:szCs w:val="26"/>
        </w:rPr>
        <w:t xml:space="preserve"> </w:t>
      </w:r>
      <w:r w:rsidRPr="00E555D1">
        <w:rPr>
          <w:i/>
          <w:color w:val="000000"/>
          <w:sz w:val="26"/>
          <w:szCs w:val="26"/>
        </w:rPr>
        <w:t xml:space="preserve">also </w:t>
      </w:r>
      <w:r w:rsidRPr="00E555D1">
        <w:rPr>
          <w:i/>
          <w:iCs/>
          <w:color w:val="000000"/>
          <w:sz w:val="26"/>
          <w:szCs w:val="26"/>
        </w:rPr>
        <w:t xml:space="preserve">see, generally, </w:t>
      </w:r>
      <w:hyperlink r:id="rId10" w:history="1">
        <w:r w:rsidRPr="00E555D1">
          <w:rPr>
            <w:i/>
            <w:iCs/>
            <w:color w:val="000000"/>
            <w:sz w:val="26"/>
            <w:szCs w:val="26"/>
          </w:rPr>
          <w:t>University of Pennsylvania v. Pa. PUC</w:t>
        </w:r>
        <w:r w:rsidRPr="00E555D1">
          <w:rPr>
            <w:color w:val="000000"/>
            <w:sz w:val="26"/>
            <w:szCs w:val="26"/>
          </w:rPr>
          <w:t xml:space="preserve">, 485 A.2d 1217 (Pa. </w:t>
        </w:r>
        <w:proofErr w:type="spellStart"/>
        <w:r w:rsidRPr="00E555D1">
          <w:rPr>
            <w:color w:val="000000"/>
            <w:sz w:val="26"/>
            <w:szCs w:val="26"/>
          </w:rPr>
          <w:t>Cmwlth</w:t>
        </w:r>
        <w:proofErr w:type="spellEnd"/>
        <w:r w:rsidRPr="00E555D1">
          <w:rPr>
            <w:color w:val="000000"/>
            <w:sz w:val="26"/>
            <w:szCs w:val="26"/>
          </w:rPr>
          <w:t>. 1984).</w:t>
        </w:r>
      </w:hyperlink>
      <w:r w:rsidRPr="00E555D1">
        <w:rPr>
          <w:sz w:val="26"/>
          <w:szCs w:val="26"/>
        </w:rPr>
        <w:t xml:space="preserve"> </w:t>
      </w:r>
    </w:p>
    <w:p w:rsidR="00704121" w:rsidRDefault="00704121" w:rsidP="0005618F">
      <w:pPr>
        <w:spacing w:line="360" w:lineRule="auto"/>
        <w:ind w:firstLine="1440"/>
        <w:rPr>
          <w:sz w:val="26"/>
          <w:szCs w:val="26"/>
        </w:rPr>
      </w:pPr>
    </w:p>
    <w:p w:rsidR="000A1D94" w:rsidRDefault="0005618F" w:rsidP="00FB3C2B">
      <w:pPr>
        <w:pStyle w:val="FootnoteText"/>
        <w:spacing w:line="360" w:lineRule="auto"/>
        <w:ind w:firstLine="1440"/>
        <w:rPr>
          <w:sz w:val="26"/>
          <w:szCs w:val="26"/>
        </w:rPr>
      </w:pPr>
      <w:r>
        <w:rPr>
          <w:sz w:val="26"/>
          <w:szCs w:val="26"/>
        </w:rPr>
        <w:t xml:space="preserve">The Commission takes official notice of the fact that the OAG and </w:t>
      </w:r>
      <w:r w:rsidR="000C3C90">
        <w:rPr>
          <w:sz w:val="26"/>
          <w:szCs w:val="26"/>
        </w:rPr>
        <w:t xml:space="preserve">the </w:t>
      </w:r>
      <w:r>
        <w:rPr>
          <w:sz w:val="26"/>
          <w:szCs w:val="26"/>
        </w:rPr>
        <w:t xml:space="preserve">OCA have </w:t>
      </w:r>
      <w:r w:rsidR="006A7090">
        <w:rPr>
          <w:sz w:val="26"/>
          <w:szCs w:val="26"/>
        </w:rPr>
        <w:t xml:space="preserve">jointly </w:t>
      </w:r>
      <w:r>
        <w:rPr>
          <w:sz w:val="26"/>
          <w:szCs w:val="26"/>
        </w:rPr>
        <w:t>filed four Complaints involving substantially similar, although not identical, issues raising legal claims against EGS companies.</w:t>
      </w:r>
      <w:r w:rsidR="006A7090">
        <w:rPr>
          <w:sz w:val="26"/>
          <w:szCs w:val="26"/>
        </w:rPr>
        <w:t xml:space="preserve">  66 Pa. C.S. §§ 331(g), 332(e).</w:t>
      </w:r>
      <w:r w:rsidR="006A7090">
        <w:t xml:space="preserve"> </w:t>
      </w:r>
      <w:r w:rsidR="0031204C">
        <w:t xml:space="preserve">  </w:t>
      </w:r>
      <w:r>
        <w:rPr>
          <w:sz w:val="26"/>
          <w:szCs w:val="26"/>
        </w:rPr>
        <w:t xml:space="preserve">In separate proceedings, </w:t>
      </w:r>
      <w:r w:rsidR="00263CCD">
        <w:rPr>
          <w:sz w:val="26"/>
          <w:szCs w:val="26"/>
        </w:rPr>
        <w:t xml:space="preserve">the </w:t>
      </w:r>
      <w:r>
        <w:rPr>
          <w:sz w:val="26"/>
          <w:szCs w:val="26"/>
        </w:rPr>
        <w:t xml:space="preserve">OAG and </w:t>
      </w:r>
      <w:r w:rsidR="00263CCD">
        <w:rPr>
          <w:sz w:val="26"/>
          <w:szCs w:val="26"/>
        </w:rPr>
        <w:t xml:space="preserve">the </w:t>
      </w:r>
      <w:r>
        <w:rPr>
          <w:sz w:val="26"/>
          <w:szCs w:val="26"/>
        </w:rPr>
        <w:t xml:space="preserve">OCA have filed formal complaints at the following dockets: </w:t>
      </w:r>
      <w:r>
        <w:rPr>
          <w:i/>
          <w:sz w:val="26"/>
          <w:szCs w:val="26"/>
        </w:rPr>
        <w:t>Comm. of Pa. v. Respond Power, LLC</w:t>
      </w:r>
      <w:r>
        <w:rPr>
          <w:sz w:val="26"/>
          <w:szCs w:val="26"/>
        </w:rPr>
        <w:t xml:space="preserve">, Docket No. </w:t>
      </w:r>
      <w:r w:rsidR="00B44F10">
        <w:rPr>
          <w:sz w:val="26"/>
          <w:szCs w:val="26"/>
        </w:rPr>
        <w:br/>
      </w:r>
      <w:r>
        <w:rPr>
          <w:sz w:val="26"/>
          <w:szCs w:val="26"/>
        </w:rPr>
        <w:t xml:space="preserve">C-2014-2427659; </w:t>
      </w:r>
      <w:r>
        <w:rPr>
          <w:i/>
          <w:sz w:val="26"/>
          <w:szCs w:val="26"/>
        </w:rPr>
        <w:t>Comm. of Pa. v. Blue Pilot Energy, LLC</w:t>
      </w:r>
      <w:r>
        <w:rPr>
          <w:sz w:val="26"/>
          <w:szCs w:val="26"/>
        </w:rPr>
        <w:t xml:space="preserve">, Docket No. </w:t>
      </w:r>
      <w:r w:rsidRPr="000C584C">
        <w:rPr>
          <w:bCs/>
          <w:color w:val="000000"/>
          <w:sz w:val="26"/>
          <w:szCs w:val="26"/>
        </w:rPr>
        <w:t>C-2014-242765</w:t>
      </w:r>
      <w:r>
        <w:rPr>
          <w:bCs/>
          <w:color w:val="000000"/>
          <w:sz w:val="26"/>
          <w:szCs w:val="26"/>
        </w:rPr>
        <w:t>5</w:t>
      </w:r>
      <w:r>
        <w:rPr>
          <w:sz w:val="26"/>
          <w:szCs w:val="26"/>
        </w:rPr>
        <w:t xml:space="preserve">; and </w:t>
      </w:r>
      <w:r>
        <w:rPr>
          <w:i/>
          <w:sz w:val="26"/>
          <w:szCs w:val="26"/>
        </w:rPr>
        <w:t>Comm. of Pa. v. Energy Services Providers, Inc., d/b/a Pennsylvania Gas &amp; Electric,</w:t>
      </w:r>
      <w:r>
        <w:rPr>
          <w:sz w:val="26"/>
          <w:szCs w:val="26"/>
        </w:rPr>
        <w:t xml:space="preserve"> Docket No. C-2014-2427656.  Each formal complaint has been assigned to the Office of Administrative Law Judge wherein interim orders of the assigned ALJs granting, in part, and denying in part, preliminary objections of the respondent EGS companies have been issued.  Petitions for Review and Answer to Material Questions have been raised in each of the proceedings.</w:t>
      </w:r>
      <w:r w:rsidR="006A7090">
        <w:rPr>
          <w:sz w:val="26"/>
          <w:szCs w:val="26"/>
        </w:rPr>
        <w:t xml:space="preserve">  </w:t>
      </w:r>
    </w:p>
    <w:p w:rsidR="000A1D94" w:rsidRDefault="000A1D94" w:rsidP="00233BDD">
      <w:pPr>
        <w:spacing w:line="360" w:lineRule="auto"/>
        <w:ind w:firstLine="1440"/>
        <w:rPr>
          <w:sz w:val="26"/>
          <w:szCs w:val="26"/>
        </w:rPr>
      </w:pPr>
    </w:p>
    <w:p w:rsidR="0005618F" w:rsidRDefault="0005618F" w:rsidP="00D53276">
      <w:pPr>
        <w:widowControl/>
        <w:spacing w:line="360" w:lineRule="auto"/>
        <w:ind w:firstLine="1440"/>
        <w:rPr>
          <w:sz w:val="26"/>
          <w:szCs w:val="26"/>
        </w:rPr>
      </w:pPr>
      <w:r>
        <w:rPr>
          <w:sz w:val="26"/>
          <w:szCs w:val="26"/>
        </w:rPr>
        <w:t xml:space="preserve">In the </w:t>
      </w:r>
      <w:r w:rsidR="000A1D94">
        <w:rPr>
          <w:sz w:val="26"/>
          <w:szCs w:val="26"/>
        </w:rPr>
        <w:t>OAG/OCA J</w:t>
      </w:r>
      <w:r w:rsidR="00263CCD">
        <w:rPr>
          <w:sz w:val="26"/>
          <w:szCs w:val="26"/>
        </w:rPr>
        <w:t>oi</w:t>
      </w:r>
      <w:r w:rsidR="000A1D94">
        <w:rPr>
          <w:sz w:val="26"/>
          <w:szCs w:val="26"/>
        </w:rPr>
        <w:t xml:space="preserve">nt </w:t>
      </w:r>
      <w:r>
        <w:rPr>
          <w:sz w:val="26"/>
          <w:szCs w:val="26"/>
        </w:rPr>
        <w:t xml:space="preserve">Brief, </w:t>
      </w:r>
      <w:r w:rsidR="00263CCD">
        <w:rPr>
          <w:sz w:val="26"/>
          <w:szCs w:val="26"/>
        </w:rPr>
        <w:t>the</w:t>
      </w:r>
      <w:r w:rsidR="006A7090">
        <w:rPr>
          <w:sz w:val="26"/>
          <w:szCs w:val="26"/>
        </w:rPr>
        <w:t xml:space="preserve">y </w:t>
      </w:r>
      <w:r w:rsidR="000A1D94">
        <w:rPr>
          <w:sz w:val="26"/>
          <w:szCs w:val="26"/>
        </w:rPr>
        <w:t xml:space="preserve">advise of the filing of </w:t>
      </w:r>
      <w:r w:rsidR="006A7090">
        <w:rPr>
          <w:sz w:val="26"/>
          <w:szCs w:val="26"/>
        </w:rPr>
        <w:t xml:space="preserve">the </w:t>
      </w:r>
      <w:r w:rsidR="000A1D94">
        <w:rPr>
          <w:sz w:val="26"/>
          <w:szCs w:val="26"/>
        </w:rPr>
        <w:t xml:space="preserve">four complaint proceedings against EGS companies, but </w:t>
      </w:r>
      <w:r>
        <w:rPr>
          <w:sz w:val="26"/>
          <w:szCs w:val="26"/>
        </w:rPr>
        <w:t xml:space="preserve">state that, “though similar, the four Orders </w:t>
      </w:r>
      <w:r w:rsidR="00F44CC8">
        <w:rPr>
          <w:sz w:val="26"/>
          <w:szCs w:val="26"/>
        </w:rPr>
        <w:t xml:space="preserve">on Preliminary Objections </w:t>
      </w:r>
      <w:r>
        <w:rPr>
          <w:sz w:val="26"/>
          <w:szCs w:val="26"/>
        </w:rPr>
        <w:t>do not reach the same conclusions as to several counts so the material questions vary for each case.</w:t>
      </w:r>
      <w:r w:rsidR="00F44CC8">
        <w:rPr>
          <w:sz w:val="26"/>
          <w:szCs w:val="26"/>
        </w:rPr>
        <w:t>”</w:t>
      </w:r>
      <w:r>
        <w:rPr>
          <w:sz w:val="26"/>
          <w:szCs w:val="26"/>
        </w:rPr>
        <w:t xml:space="preserve">  </w:t>
      </w:r>
      <w:r>
        <w:rPr>
          <w:i/>
          <w:sz w:val="26"/>
          <w:szCs w:val="26"/>
        </w:rPr>
        <w:t>See</w:t>
      </w:r>
      <w:r>
        <w:rPr>
          <w:sz w:val="26"/>
          <w:szCs w:val="26"/>
        </w:rPr>
        <w:t xml:space="preserve"> </w:t>
      </w:r>
      <w:r w:rsidR="00263CCD">
        <w:rPr>
          <w:sz w:val="26"/>
          <w:szCs w:val="26"/>
        </w:rPr>
        <w:t xml:space="preserve">OAG/OCA </w:t>
      </w:r>
      <w:r w:rsidR="0089751C">
        <w:rPr>
          <w:sz w:val="26"/>
          <w:szCs w:val="26"/>
        </w:rPr>
        <w:t>Joint</w:t>
      </w:r>
      <w:r>
        <w:rPr>
          <w:sz w:val="26"/>
          <w:szCs w:val="26"/>
        </w:rPr>
        <w:t xml:space="preserve"> Brief </w:t>
      </w:r>
      <w:r w:rsidR="00263CCD">
        <w:rPr>
          <w:sz w:val="26"/>
          <w:szCs w:val="26"/>
        </w:rPr>
        <w:t xml:space="preserve">at </w:t>
      </w:r>
      <w:r w:rsidR="00F44CC8">
        <w:rPr>
          <w:sz w:val="26"/>
          <w:szCs w:val="26"/>
        </w:rPr>
        <w:t>1</w:t>
      </w:r>
      <w:r>
        <w:rPr>
          <w:sz w:val="26"/>
          <w:szCs w:val="26"/>
        </w:rPr>
        <w:t xml:space="preserve"> n</w:t>
      </w:r>
      <w:r w:rsidR="00233BDD">
        <w:rPr>
          <w:sz w:val="26"/>
          <w:szCs w:val="26"/>
        </w:rPr>
        <w:t>.</w:t>
      </w:r>
      <w:r w:rsidR="002861FA">
        <w:rPr>
          <w:sz w:val="26"/>
          <w:szCs w:val="26"/>
        </w:rPr>
        <w:t xml:space="preserve"> 1.</w:t>
      </w:r>
    </w:p>
    <w:p w:rsidR="000A1D94" w:rsidRDefault="000A1D94" w:rsidP="00233BDD">
      <w:pPr>
        <w:spacing w:line="360" w:lineRule="auto"/>
        <w:ind w:firstLine="1440"/>
        <w:rPr>
          <w:sz w:val="26"/>
          <w:szCs w:val="26"/>
        </w:rPr>
      </w:pPr>
    </w:p>
    <w:p w:rsidR="00A70E7C" w:rsidRDefault="00A70E7C" w:rsidP="00A70E7C">
      <w:pPr>
        <w:spacing w:line="360" w:lineRule="auto"/>
        <w:ind w:firstLine="1440"/>
        <w:rPr>
          <w:sz w:val="26"/>
          <w:szCs w:val="26"/>
        </w:rPr>
      </w:pPr>
      <w:r>
        <w:rPr>
          <w:sz w:val="26"/>
          <w:szCs w:val="26"/>
        </w:rPr>
        <w:t>Based on the foregoing, each petition seeking interlocutory review and answer to material question will be addressed in its respective Commission docket</w:t>
      </w:r>
      <w:r w:rsidR="006A7090">
        <w:rPr>
          <w:sz w:val="26"/>
          <w:szCs w:val="26"/>
        </w:rPr>
        <w:t xml:space="preserve">.  We </w:t>
      </w:r>
      <w:r w:rsidR="006A7090">
        <w:rPr>
          <w:sz w:val="26"/>
          <w:szCs w:val="26"/>
        </w:rPr>
        <w:lastRenderedPageBreak/>
        <w:t xml:space="preserve">shall not, in the context of our consideration of the questions raised, formally grant consolidation.  We shall dispose of the various petitions in </w:t>
      </w:r>
      <w:r>
        <w:rPr>
          <w:sz w:val="26"/>
          <w:szCs w:val="26"/>
        </w:rPr>
        <w:t xml:space="preserve">separate </w:t>
      </w:r>
      <w:r w:rsidR="006A7090">
        <w:rPr>
          <w:sz w:val="26"/>
          <w:szCs w:val="26"/>
        </w:rPr>
        <w:t xml:space="preserve">Commission </w:t>
      </w:r>
      <w:r>
        <w:rPr>
          <w:sz w:val="26"/>
          <w:szCs w:val="26"/>
        </w:rPr>
        <w:t>orders, notwithstanding the overlap of certain issues.</w:t>
      </w:r>
      <w:r>
        <w:rPr>
          <w:rStyle w:val="FootnoteReference"/>
          <w:sz w:val="26"/>
          <w:szCs w:val="26"/>
        </w:rPr>
        <w:footnoteReference w:id="4"/>
      </w:r>
    </w:p>
    <w:p w:rsidR="00233BDD" w:rsidRPr="00E555D1" w:rsidRDefault="00233BDD" w:rsidP="00A70E7C">
      <w:pPr>
        <w:spacing w:line="360" w:lineRule="auto"/>
        <w:rPr>
          <w:sz w:val="26"/>
          <w:szCs w:val="26"/>
        </w:rPr>
      </w:pPr>
    </w:p>
    <w:p w:rsidR="00E33160" w:rsidRPr="00D53276" w:rsidRDefault="00E33160" w:rsidP="00E555D1">
      <w:pPr>
        <w:keepNext/>
        <w:spacing w:line="360" w:lineRule="auto"/>
        <w:rPr>
          <w:sz w:val="26"/>
          <w:szCs w:val="26"/>
        </w:rPr>
      </w:pPr>
      <w:r w:rsidRPr="00D53276">
        <w:rPr>
          <w:b/>
          <w:sz w:val="26"/>
          <w:szCs w:val="26"/>
        </w:rPr>
        <w:t>Legal Standards</w:t>
      </w:r>
      <w:r w:rsidR="005129A7" w:rsidRPr="00D53276">
        <w:rPr>
          <w:b/>
          <w:sz w:val="26"/>
          <w:szCs w:val="26"/>
        </w:rPr>
        <w:t xml:space="preserve"> for Interlocutory Review</w:t>
      </w:r>
    </w:p>
    <w:p w:rsidR="00094D20" w:rsidRDefault="00094D20" w:rsidP="00CA43A5">
      <w:pPr>
        <w:spacing w:line="360" w:lineRule="auto"/>
        <w:jc w:val="center"/>
        <w:rPr>
          <w:sz w:val="26"/>
          <w:szCs w:val="26"/>
        </w:rPr>
      </w:pPr>
    </w:p>
    <w:p w:rsidR="00C200CE" w:rsidRDefault="00094D20" w:rsidP="00D53276">
      <w:pPr>
        <w:spacing w:line="360" w:lineRule="auto"/>
        <w:ind w:firstLine="1440"/>
        <w:rPr>
          <w:sz w:val="26"/>
          <w:szCs w:val="26"/>
        </w:rPr>
      </w:pPr>
      <w:r>
        <w:rPr>
          <w:color w:val="000000"/>
          <w:sz w:val="26"/>
        </w:rPr>
        <w:t xml:space="preserve">The </w:t>
      </w:r>
      <w:r w:rsidR="00233BDD">
        <w:rPr>
          <w:color w:val="000000"/>
          <w:sz w:val="26"/>
        </w:rPr>
        <w:t xml:space="preserve">IDT </w:t>
      </w:r>
      <w:r>
        <w:rPr>
          <w:color w:val="000000"/>
          <w:sz w:val="26"/>
        </w:rPr>
        <w:t>Petition</w:t>
      </w:r>
      <w:r w:rsidR="006A7090">
        <w:rPr>
          <w:color w:val="000000"/>
          <w:sz w:val="26"/>
        </w:rPr>
        <w:t xml:space="preserve"> and the OAG/OCA </w:t>
      </w:r>
      <w:r w:rsidR="0089751C">
        <w:rPr>
          <w:color w:val="000000"/>
          <w:sz w:val="26"/>
        </w:rPr>
        <w:t>Joint</w:t>
      </w:r>
      <w:r w:rsidR="006A7090">
        <w:rPr>
          <w:color w:val="000000"/>
          <w:sz w:val="26"/>
        </w:rPr>
        <w:t xml:space="preserve"> Petition</w:t>
      </w:r>
      <w:r w:rsidR="00233BDD">
        <w:rPr>
          <w:color w:val="000000"/>
          <w:sz w:val="26"/>
        </w:rPr>
        <w:t>, respectively,</w:t>
      </w:r>
      <w:r>
        <w:rPr>
          <w:color w:val="000000"/>
          <w:sz w:val="26"/>
        </w:rPr>
        <w:t xml:space="preserve"> </w:t>
      </w:r>
      <w:r w:rsidR="00233BDD">
        <w:rPr>
          <w:color w:val="000000"/>
          <w:sz w:val="26"/>
        </w:rPr>
        <w:t>are</w:t>
      </w:r>
      <w:r>
        <w:rPr>
          <w:color w:val="000000"/>
          <w:sz w:val="26"/>
        </w:rPr>
        <w:t xml:space="preserve"> filed pursuant to the Commission’s Regulation at </w:t>
      </w:r>
      <w:r>
        <w:rPr>
          <w:sz w:val="26"/>
          <w:szCs w:val="26"/>
        </w:rPr>
        <w:t>52 Pa. Code § 5.302</w:t>
      </w:r>
      <w:r w:rsidR="00C200CE">
        <w:rPr>
          <w:sz w:val="26"/>
          <w:szCs w:val="26"/>
        </w:rPr>
        <w:t xml:space="preserve">. </w:t>
      </w:r>
    </w:p>
    <w:p w:rsidR="00C200CE" w:rsidRPr="000C70DE" w:rsidRDefault="00C200CE" w:rsidP="006A7090">
      <w:pPr>
        <w:spacing w:line="360" w:lineRule="auto"/>
        <w:ind w:firstLine="1440"/>
        <w:rPr>
          <w:sz w:val="26"/>
          <w:szCs w:val="26"/>
        </w:rPr>
      </w:pPr>
      <w:r>
        <w:rPr>
          <w:sz w:val="26"/>
          <w:szCs w:val="26"/>
        </w:rPr>
        <w:t xml:space="preserve"> </w:t>
      </w:r>
    </w:p>
    <w:p w:rsidR="006A7090" w:rsidRPr="00F421DF" w:rsidRDefault="006A7090" w:rsidP="006A7090">
      <w:pPr>
        <w:spacing w:line="360" w:lineRule="auto"/>
        <w:ind w:firstLine="1440"/>
        <w:rPr>
          <w:sz w:val="26"/>
          <w:szCs w:val="26"/>
        </w:rPr>
      </w:pPr>
      <w:r w:rsidRPr="00F421DF">
        <w:rPr>
          <w:sz w:val="26"/>
          <w:szCs w:val="26"/>
        </w:rPr>
        <w:t xml:space="preserve">The legal standards governing interlocutory review are governed by 52 Pa. Code § 5.302(a) and by Commission precedent.  Section 5.302(a) of our </w:t>
      </w:r>
      <w:r w:rsidR="008D0460">
        <w:rPr>
          <w:sz w:val="26"/>
          <w:szCs w:val="26"/>
        </w:rPr>
        <w:t>R</w:t>
      </w:r>
      <w:r w:rsidRPr="00F421DF">
        <w:rPr>
          <w:sz w:val="26"/>
          <w:szCs w:val="26"/>
        </w:rPr>
        <w:t>egulations requires that the petitioning party “state . . . the compelling reasons why interlocutory review will prevent substantial prejudice or expedite the conduct of the proceeding.” Moreover, the Commission has determined that granting interlocutory review is appropriate when it would prevent substantial prejudice or expedite the proceeding.</w:t>
      </w:r>
      <w:r w:rsidRPr="00F421DF">
        <w:rPr>
          <w:rStyle w:val="FootnoteReference"/>
          <w:sz w:val="26"/>
          <w:szCs w:val="26"/>
        </w:rPr>
        <w:footnoteReference w:id="5"/>
      </w:r>
      <w:r w:rsidRPr="00F421DF">
        <w:rPr>
          <w:sz w:val="26"/>
          <w:szCs w:val="26"/>
        </w:rPr>
        <w:t xml:space="preserve">  </w:t>
      </w:r>
    </w:p>
    <w:p w:rsidR="00C200CE" w:rsidRPr="002763CC" w:rsidRDefault="00C200CE" w:rsidP="00C200CE">
      <w:pPr>
        <w:spacing w:line="360" w:lineRule="auto"/>
        <w:rPr>
          <w:sz w:val="26"/>
          <w:szCs w:val="26"/>
        </w:rPr>
      </w:pPr>
    </w:p>
    <w:p w:rsidR="00C200CE" w:rsidRPr="002763CC" w:rsidRDefault="00C200CE" w:rsidP="00C200CE">
      <w:pPr>
        <w:widowControl/>
        <w:spacing w:line="360" w:lineRule="auto"/>
        <w:ind w:firstLine="1440"/>
        <w:rPr>
          <w:color w:val="333333"/>
          <w:sz w:val="26"/>
          <w:szCs w:val="26"/>
        </w:rPr>
      </w:pPr>
      <w:r>
        <w:rPr>
          <w:sz w:val="26"/>
          <w:szCs w:val="26"/>
        </w:rPr>
        <w:t>As the Parties acknowledge, t</w:t>
      </w:r>
      <w:r w:rsidRPr="00E555D1">
        <w:rPr>
          <w:sz w:val="26"/>
          <w:szCs w:val="26"/>
        </w:rPr>
        <w:t xml:space="preserve">he pertinent consideration </w:t>
      </w:r>
      <w:r w:rsidR="00C02B8F">
        <w:rPr>
          <w:sz w:val="26"/>
          <w:szCs w:val="26"/>
        </w:rPr>
        <w:t xml:space="preserve">for interlocutory Commission review </w:t>
      </w:r>
      <w:r w:rsidRPr="00E555D1">
        <w:rPr>
          <w:sz w:val="26"/>
          <w:szCs w:val="26"/>
        </w:rPr>
        <w:t xml:space="preserve">is whether </w:t>
      </w:r>
      <w:r w:rsidR="00C02B8F">
        <w:rPr>
          <w:sz w:val="26"/>
          <w:szCs w:val="26"/>
        </w:rPr>
        <w:t>such</w:t>
      </w:r>
      <w:r w:rsidRPr="00E555D1">
        <w:rPr>
          <w:sz w:val="26"/>
          <w:szCs w:val="26"/>
        </w:rPr>
        <w:t xml:space="preserve"> review is necessary in order to prevent substantial prejudice – that is, the error and any prejudice flowing therefrom could not be satisfactorily cured during the normal Commission review process.  </w:t>
      </w:r>
      <w:r w:rsidRPr="00E555D1">
        <w:rPr>
          <w:bCs/>
          <w:i/>
          <w:iCs/>
          <w:sz w:val="26"/>
          <w:szCs w:val="26"/>
        </w:rPr>
        <w:t>Joint Application of Bell Atlantic Corp. and GTE Corp.,</w:t>
      </w:r>
      <w:r w:rsidRPr="00E555D1">
        <w:rPr>
          <w:bCs/>
          <w:sz w:val="26"/>
          <w:szCs w:val="26"/>
        </w:rPr>
        <w:t xml:space="preserve"> Docket No</w:t>
      </w:r>
      <w:r>
        <w:rPr>
          <w:bCs/>
          <w:sz w:val="26"/>
          <w:szCs w:val="26"/>
        </w:rPr>
        <w:t>s</w:t>
      </w:r>
      <w:r w:rsidRPr="00E555D1">
        <w:rPr>
          <w:bCs/>
          <w:sz w:val="26"/>
          <w:szCs w:val="26"/>
        </w:rPr>
        <w:t xml:space="preserve">. A-310200F0002, </w:t>
      </w:r>
      <w:r w:rsidRPr="00E555D1">
        <w:rPr>
          <w:bCs/>
          <w:i/>
          <w:iCs/>
          <w:sz w:val="26"/>
          <w:szCs w:val="26"/>
        </w:rPr>
        <w:t>et al.</w:t>
      </w:r>
      <w:r w:rsidRPr="00E555D1">
        <w:rPr>
          <w:bCs/>
          <w:sz w:val="26"/>
          <w:szCs w:val="26"/>
        </w:rPr>
        <w:t xml:space="preserve"> (Order entered June 14, 1999); </w:t>
      </w:r>
      <w:r w:rsidRPr="00E555D1">
        <w:rPr>
          <w:bCs/>
          <w:i/>
          <w:iCs/>
          <w:sz w:val="26"/>
          <w:szCs w:val="26"/>
        </w:rPr>
        <w:t>Pa. PUC v. Frontier Communications of Pa. Inc.,</w:t>
      </w:r>
      <w:r w:rsidRPr="00E555D1">
        <w:rPr>
          <w:bCs/>
          <w:sz w:val="26"/>
          <w:szCs w:val="26"/>
        </w:rPr>
        <w:t xml:space="preserve"> Docket No. </w:t>
      </w:r>
      <w:r w:rsidRPr="00E555D1">
        <w:rPr>
          <w:bCs/>
          <w:sz w:val="26"/>
          <w:szCs w:val="26"/>
        </w:rPr>
        <w:lastRenderedPageBreak/>
        <w:t>R</w:t>
      </w:r>
      <w:r w:rsidRPr="00E555D1">
        <w:rPr>
          <w:bCs/>
          <w:sz w:val="26"/>
          <w:szCs w:val="26"/>
        </w:rPr>
        <w:noBreakHyphen/>
        <w:t xml:space="preserve">00984411 (Order entered February 11, 1999); </w:t>
      </w:r>
      <w:r w:rsidRPr="00E555D1">
        <w:rPr>
          <w:bCs/>
          <w:i/>
          <w:sz w:val="26"/>
          <w:szCs w:val="26"/>
        </w:rPr>
        <w:t>In</w:t>
      </w:r>
      <w:r w:rsidRPr="00E555D1">
        <w:rPr>
          <w:bCs/>
          <w:sz w:val="26"/>
          <w:szCs w:val="26"/>
        </w:rPr>
        <w:t xml:space="preserve"> </w:t>
      </w:r>
      <w:r w:rsidRPr="00E555D1">
        <w:rPr>
          <w:bCs/>
          <w:i/>
          <w:sz w:val="26"/>
          <w:szCs w:val="26"/>
        </w:rPr>
        <w:t>r</w:t>
      </w:r>
      <w:r w:rsidRPr="00E555D1">
        <w:rPr>
          <w:i/>
          <w:sz w:val="26"/>
          <w:szCs w:val="26"/>
        </w:rPr>
        <w:t>e: Knights Limousine Service, Inc</w:t>
      </w:r>
      <w:r w:rsidRPr="00E555D1">
        <w:rPr>
          <w:sz w:val="26"/>
          <w:szCs w:val="26"/>
        </w:rPr>
        <w:t xml:space="preserve">., 59 Pa. P.U.C. 538 (1985).  </w:t>
      </w:r>
    </w:p>
    <w:p w:rsidR="00C200CE" w:rsidRPr="00E555D1" w:rsidRDefault="00C200CE" w:rsidP="00C200CE">
      <w:pPr>
        <w:spacing w:line="360" w:lineRule="auto"/>
        <w:rPr>
          <w:sz w:val="26"/>
          <w:szCs w:val="26"/>
        </w:rPr>
      </w:pPr>
    </w:p>
    <w:p w:rsidR="00C200CE" w:rsidRDefault="00C200CE" w:rsidP="00C200CE">
      <w:pPr>
        <w:spacing w:line="360" w:lineRule="auto"/>
        <w:ind w:firstLine="1440"/>
        <w:rPr>
          <w:sz w:val="26"/>
          <w:szCs w:val="26"/>
        </w:rPr>
      </w:pPr>
      <w:r w:rsidRPr="00E555D1">
        <w:rPr>
          <w:sz w:val="26"/>
          <w:szCs w:val="26"/>
        </w:rPr>
        <w:t xml:space="preserve">The Commission has determined that a showing </w:t>
      </w:r>
      <w:r>
        <w:rPr>
          <w:sz w:val="26"/>
          <w:szCs w:val="26"/>
        </w:rPr>
        <w:t xml:space="preserve">supportive of interlocutory Commission review </w:t>
      </w:r>
      <w:r w:rsidRPr="00E555D1">
        <w:rPr>
          <w:sz w:val="26"/>
          <w:szCs w:val="26"/>
        </w:rPr>
        <w:t xml:space="preserve">may be accomplished by a petitioner by its proving that, without such interlocutory review, some harm would result which would not be reparable through normal avenues, that the relief sought should be granted now, rather than later, and that granting interlocutory review would prevent substantial prejudice or expedite the proceeding.  </w:t>
      </w:r>
      <w:r w:rsidRPr="00E555D1">
        <w:rPr>
          <w:i/>
          <w:sz w:val="26"/>
          <w:szCs w:val="26"/>
        </w:rPr>
        <w:t>PGW Order</w:t>
      </w:r>
      <w:r w:rsidRPr="00E555D1">
        <w:rPr>
          <w:sz w:val="26"/>
          <w:szCs w:val="26"/>
        </w:rPr>
        <w:t>.</w:t>
      </w:r>
    </w:p>
    <w:p w:rsidR="00C02B8F" w:rsidRDefault="00C02B8F" w:rsidP="00C200CE">
      <w:pPr>
        <w:spacing w:line="360" w:lineRule="auto"/>
        <w:ind w:firstLine="1440"/>
        <w:rPr>
          <w:sz w:val="26"/>
          <w:szCs w:val="26"/>
        </w:rPr>
      </w:pPr>
    </w:p>
    <w:p w:rsidR="00D27F32" w:rsidRPr="00D53276" w:rsidRDefault="00AD0A03" w:rsidP="00D27F32">
      <w:pPr>
        <w:spacing w:line="360" w:lineRule="auto"/>
        <w:rPr>
          <w:b/>
          <w:color w:val="333333"/>
          <w:sz w:val="26"/>
          <w:szCs w:val="26"/>
        </w:rPr>
      </w:pPr>
      <w:r>
        <w:rPr>
          <w:b/>
          <w:color w:val="333333"/>
          <w:sz w:val="26"/>
          <w:szCs w:val="26"/>
        </w:rPr>
        <w:t>IDT Petition</w:t>
      </w:r>
      <w:r w:rsidR="00BF2BF1" w:rsidRPr="00D53276">
        <w:rPr>
          <w:b/>
          <w:color w:val="333333"/>
          <w:sz w:val="26"/>
          <w:szCs w:val="26"/>
        </w:rPr>
        <w:t xml:space="preserve">  </w:t>
      </w:r>
    </w:p>
    <w:p w:rsidR="00DD3F91" w:rsidRDefault="00DD3F91" w:rsidP="00DD3F91">
      <w:pPr>
        <w:spacing w:line="360" w:lineRule="auto"/>
        <w:ind w:firstLine="1440"/>
        <w:rPr>
          <w:sz w:val="26"/>
          <w:szCs w:val="26"/>
        </w:rPr>
      </w:pPr>
    </w:p>
    <w:p w:rsidR="00311A19" w:rsidRDefault="00311A19" w:rsidP="00311A19">
      <w:pPr>
        <w:spacing w:line="360" w:lineRule="auto"/>
        <w:ind w:firstLine="1440"/>
        <w:rPr>
          <w:sz w:val="26"/>
          <w:szCs w:val="26"/>
        </w:rPr>
      </w:pPr>
      <w:r>
        <w:rPr>
          <w:sz w:val="26"/>
          <w:szCs w:val="26"/>
        </w:rPr>
        <w:t>The IDT Petition raises the following question for interlocutory review:</w:t>
      </w:r>
    </w:p>
    <w:p w:rsidR="00311A19" w:rsidRDefault="00311A19" w:rsidP="00311A19">
      <w:pPr>
        <w:spacing w:line="360" w:lineRule="auto"/>
        <w:ind w:left="1440" w:right="1440"/>
        <w:rPr>
          <w:sz w:val="26"/>
          <w:szCs w:val="26"/>
        </w:rPr>
      </w:pPr>
    </w:p>
    <w:p w:rsidR="00311A19" w:rsidRDefault="00311A19" w:rsidP="00311A19">
      <w:pPr>
        <w:ind w:left="1440" w:right="1440"/>
        <w:rPr>
          <w:sz w:val="26"/>
          <w:szCs w:val="26"/>
        </w:rPr>
      </w:pPr>
      <w:r>
        <w:rPr>
          <w:sz w:val="26"/>
          <w:szCs w:val="26"/>
        </w:rPr>
        <w:t xml:space="preserve">Does the Commission have the authority under Section </w:t>
      </w:r>
    </w:p>
    <w:p w:rsidR="00311A19" w:rsidRDefault="00311A19" w:rsidP="00311A19">
      <w:pPr>
        <w:ind w:left="1440" w:right="1440"/>
        <w:rPr>
          <w:sz w:val="26"/>
          <w:szCs w:val="26"/>
        </w:rPr>
      </w:pPr>
      <w:r>
        <w:rPr>
          <w:sz w:val="26"/>
          <w:szCs w:val="26"/>
        </w:rPr>
        <w:t>1312 of the Public Utility Code to order electric generation suppliers to issue refunds to customers?</w:t>
      </w:r>
    </w:p>
    <w:p w:rsidR="00311A19" w:rsidRDefault="00311A19" w:rsidP="00311A19">
      <w:pPr>
        <w:spacing w:line="360" w:lineRule="auto"/>
        <w:rPr>
          <w:sz w:val="26"/>
          <w:szCs w:val="26"/>
        </w:rPr>
      </w:pPr>
    </w:p>
    <w:p w:rsidR="00311A19" w:rsidRDefault="00311A19" w:rsidP="00311A19">
      <w:pPr>
        <w:spacing w:line="360" w:lineRule="auto"/>
        <w:rPr>
          <w:sz w:val="26"/>
          <w:szCs w:val="26"/>
        </w:rPr>
      </w:pPr>
      <w:r>
        <w:rPr>
          <w:sz w:val="26"/>
          <w:szCs w:val="26"/>
        </w:rPr>
        <w:t xml:space="preserve">IDT Petition at 1. </w:t>
      </w:r>
    </w:p>
    <w:p w:rsidR="00311A19" w:rsidRDefault="00311A19" w:rsidP="00DD3F91">
      <w:pPr>
        <w:spacing w:line="360" w:lineRule="auto"/>
        <w:ind w:firstLine="1440"/>
        <w:rPr>
          <w:sz w:val="26"/>
          <w:szCs w:val="26"/>
        </w:rPr>
      </w:pPr>
    </w:p>
    <w:p w:rsidR="0049446F" w:rsidRPr="00FB3C2B" w:rsidRDefault="0049446F" w:rsidP="00FB3C2B">
      <w:pPr>
        <w:spacing w:line="360" w:lineRule="auto"/>
        <w:ind w:firstLine="720"/>
        <w:rPr>
          <w:b/>
          <w:sz w:val="26"/>
          <w:szCs w:val="26"/>
        </w:rPr>
      </w:pPr>
      <w:r>
        <w:rPr>
          <w:b/>
          <w:sz w:val="26"/>
          <w:szCs w:val="26"/>
        </w:rPr>
        <w:t>Positions of the Parties</w:t>
      </w:r>
    </w:p>
    <w:p w:rsidR="0049446F" w:rsidRDefault="0049446F" w:rsidP="00DD3F91">
      <w:pPr>
        <w:spacing w:line="360" w:lineRule="auto"/>
        <w:ind w:firstLine="1440"/>
        <w:rPr>
          <w:sz w:val="26"/>
          <w:szCs w:val="26"/>
        </w:rPr>
      </w:pPr>
    </w:p>
    <w:p w:rsidR="00013BDD" w:rsidRDefault="00013BDD" w:rsidP="00D53276">
      <w:pPr>
        <w:spacing w:line="360" w:lineRule="auto"/>
        <w:ind w:firstLine="1440"/>
        <w:rPr>
          <w:b/>
          <w:sz w:val="26"/>
          <w:szCs w:val="26"/>
        </w:rPr>
      </w:pPr>
      <w:r>
        <w:rPr>
          <w:b/>
          <w:sz w:val="26"/>
          <w:szCs w:val="26"/>
        </w:rPr>
        <w:t>IDT</w:t>
      </w:r>
    </w:p>
    <w:p w:rsidR="00FC54E6" w:rsidRDefault="00FC54E6" w:rsidP="00013BDD">
      <w:pPr>
        <w:spacing w:line="360" w:lineRule="auto"/>
        <w:ind w:firstLine="1440"/>
        <w:rPr>
          <w:sz w:val="26"/>
          <w:szCs w:val="26"/>
        </w:rPr>
      </w:pPr>
    </w:p>
    <w:p w:rsidR="00D93A51" w:rsidRDefault="00D93A51" w:rsidP="000A6366">
      <w:pPr>
        <w:tabs>
          <w:tab w:val="left" w:pos="705"/>
        </w:tabs>
        <w:spacing w:line="360" w:lineRule="auto"/>
        <w:ind w:firstLine="1440"/>
        <w:rPr>
          <w:sz w:val="26"/>
          <w:szCs w:val="26"/>
        </w:rPr>
      </w:pPr>
      <w:r>
        <w:rPr>
          <w:sz w:val="26"/>
          <w:szCs w:val="26"/>
        </w:rPr>
        <w:t xml:space="preserve">As a prefatory argument in its brief, IDT states that the complaint against it represents an effort by </w:t>
      </w:r>
      <w:r w:rsidR="00DD3F91">
        <w:rPr>
          <w:sz w:val="26"/>
          <w:szCs w:val="26"/>
        </w:rPr>
        <w:t xml:space="preserve">the </w:t>
      </w:r>
      <w:r>
        <w:rPr>
          <w:sz w:val="26"/>
          <w:szCs w:val="26"/>
        </w:rPr>
        <w:t xml:space="preserve">Joint Complainants to retroactively expand the regulatory scheme applicable to EGSs in order to assign liability to variable price EGSs for the Polar Vortex wholesale pricing crisis of early 2014.  IDT Brief at 1.  IDT acknowledges the Commission’s Order in </w:t>
      </w:r>
      <w:r w:rsidRPr="00D93A51">
        <w:rPr>
          <w:i/>
          <w:sz w:val="26"/>
          <w:szCs w:val="26"/>
        </w:rPr>
        <w:t>Review of Rules, Policies and Consumer Education Measures Regarding Variable Rate Retail Electric Products</w:t>
      </w:r>
      <w:r>
        <w:rPr>
          <w:sz w:val="26"/>
          <w:szCs w:val="26"/>
        </w:rPr>
        <w:t xml:space="preserve">, Docket No. M-2014-2406134 (Order </w:t>
      </w:r>
      <w:r>
        <w:rPr>
          <w:sz w:val="26"/>
          <w:szCs w:val="26"/>
        </w:rPr>
        <w:lastRenderedPageBreak/>
        <w:t>entered March 4, 2014)</w:t>
      </w:r>
      <w:r w:rsidR="00DA25C9">
        <w:rPr>
          <w:sz w:val="26"/>
          <w:szCs w:val="26"/>
        </w:rPr>
        <w:t xml:space="preserve"> (</w:t>
      </w:r>
      <w:r w:rsidR="00DA25C9">
        <w:rPr>
          <w:i/>
          <w:sz w:val="26"/>
          <w:szCs w:val="26"/>
        </w:rPr>
        <w:t>Variable Rate Investigation Order</w:t>
      </w:r>
      <w:r w:rsidR="00DA25C9">
        <w:rPr>
          <w:sz w:val="26"/>
          <w:szCs w:val="26"/>
        </w:rPr>
        <w:t>)</w:t>
      </w:r>
      <w:r>
        <w:rPr>
          <w:sz w:val="26"/>
          <w:szCs w:val="26"/>
        </w:rPr>
        <w:t xml:space="preserve">, and suggests that the factual foundation for the complaint proceedings against it are related to its variable generation supply prices during the well-documented Polar Vortex crisis of 2014.  </w:t>
      </w:r>
      <w:r w:rsidR="00465373">
        <w:rPr>
          <w:sz w:val="26"/>
          <w:szCs w:val="26"/>
        </w:rPr>
        <w:t>IDT Brief at 1.</w:t>
      </w:r>
    </w:p>
    <w:p w:rsidR="00D93A51" w:rsidRDefault="00D93A51" w:rsidP="00D93A51">
      <w:pPr>
        <w:tabs>
          <w:tab w:val="left" w:pos="705"/>
        </w:tabs>
        <w:spacing w:line="360" w:lineRule="auto"/>
        <w:rPr>
          <w:sz w:val="26"/>
          <w:szCs w:val="26"/>
        </w:rPr>
      </w:pPr>
    </w:p>
    <w:p w:rsidR="00D93A51" w:rsidRDefault="00D52DE1" w:rsidP="00D93A51">
      <w:pPr>
        <w:tabs>
          <w:tab w:val="left" w:pos="705"/>
        </w:tabs>
        <w:spacing w:line="360" w:lineRule="auto"/>
        <w:ind w:firstLine="1440"/>
        <w:rPr>
          <w:sz w:val="26"/>
          <w:szCs w:val="26"/>
        </w:rPr>
      </w:pPr>
      <w:r>
        <w:rPr>
          <w:sz w:val="26"/>
          <w:szCs w:val="26"/>
        </w:rPr>
        <w:t xml:space="preserve">In support of its request for interlocutory review, IDT advances </w:t>
      </w:r>
      <w:r w:rsidR="00DA25C9">
        <w:rPr>
          <w:sz w:val="26"/>
          <w:szCs w:val="26"/>
        </w:rPr>
        <w:t xml:space="preserve">two primary </w:t>
      </w:r>
      <w:r>
        <w:rPr>
          <w:sz w:val="26"/>
          <w:szCs w:val="26"/>
        </w:rPr>
        <w:t xml:space="preserve">arguments.  First, </w:t>
      </w:r>
      <w:r w:rsidR="00B95372">
        <w:rPr>
          <w:sz w:val="26"/>
          <w:szCs w:val="26"/>
        </w:rPr>
        <w:t>IDT asserts that</w:t>
      </w:r>
      <w:r w:rsidR="00465373">
        <w:rPr>
          <w:sz w:val="26"/>
          <w:szCs w:val="26"/>
        </w:rPr>
        <w:t>,</w:t>
      </w:r>
      <w:r w:rsidR="00B95372">
        <w:rPr>
          <w:sz w:val="26"/>
          <w:szCs w:val="26"/>
        </w:rPr>
        <w:t xml:space="preserve"> should the question not be answered at this time, the complaint proceeding will dramatically expand in scope to a proceeding that is tantamount to a rate case.  IDT Brief</w:t>
      </w:r>
      <w:r w:rsidR="00465373">
        <w:rPr>
          <w:sz w:val="26"/>
          <w:szCs w:val="26"/>
        </w:rPr>
        <w:t xml:space="preserve"> at</w:t>
      </w:r>
      <w:r w:rsidR="00B95372">
        <w:rPr>
          <w:sz w:val="26"/>
          <w:szCs w:val="26"/>
        </w:rPr>
        <w:t xml:space="preserve"> 5.  IDT expresses its concern that, as a rate proceeding, the </w:t>
      </w:r>
      <w:r w:rsidR="00465373">
        <w:rPr>
          <w:sz w:val="26"/>
          <w:szCs w:val="26"/>
        </w:rPr>
        <w:t>J</w:t>
      </w:r>
      <w:r w:rsidR="00B95372">
        <w:rPr>
          <w:sz w:val="26"/>
          <w:szCs w:val="26"/>
        </w:rPr>
        <w:t xml:space="preserve">oint </w:t>
      </w:r>
      <w:r w:rsidR="00465373">
        <w:rPr>
          <w:sz w:val="26"/>
          <w:szCs w:val="26"/>
        </w:rPr>
        <w:t>C</w:t>
      </w:r>
      <w:r w:rsidR="00B95372">
        <w:rPr>
          <w:sz w:val="26"/>
          <w:szCs w:val="26"/>
        </w:rPr>
        <w:t xml:space="preserve">omplaint will, necessarily, include wide-ranging discovery, witnesses, and overall expense to the Parties.  The “irreversible” harm is stated as follows: “IDT – a non-utility electric generation supplier that is not subject to cost of service regulation – will have been forced to litigate </w:t>
      </w:r>
      <w:r w:rsidR="00950856">
        <w:rPr>
          <w:sz w:val="26"/>
          <w:szCs w:val="26"/>
        </w:rPr>
        <w:t xml:space="preserve">a </w:t>
      </w:r>
      <w:r w:rsidR="00B95372">
        <w:rPr>
          <w:sz w:val="26"/>
          <w:szCs w:val="26"/>
        </w:rPr>
        <w:t xml:space="preserve">costly, lengthy, and invasive rate proceeding on the basis of a finding that is clearly erroneous.”  </w:t>
      </w:r>
      <w:r w:rsidR="00B95372">
        <w:rPr>
          <w:i/>
          <w:sz w:val="26"/>
          <w:szCs w:val="26"/>
        </w:rPr>
        <w:t>Id</w:t>
      </w:r>
      <w:r w:rsidR="00B95372">
        <w:rPr>
          <w:sz w:val="26"/>
          <w:szCs w:val="26"/>
        </w:rPr>
        <w:t xml:space="preserve">. </w:t>
      </w:r>
      <w:r w:rsidR="00465373">
        <w:rPr>
          <w:sz w:val="26"/>
          <w:szCs w:val="26"/>
        </w:rPr>
        <w:t>at</w:t>
      </w:r>
      <w:r w:rsidR="00B95372">
        <w:rPr>
          <w:sz w:val="26"/>
          <w:szCs w:val="26"/>
        </w:rPr>
        <w:t xml:space="preserve"> 5-6.</w:t>
      </w:r>
    </w:p>
    <w:p w:rsidR="00B95372" w:rsidRDefault="00B95372" w:rsidP="00D93A51">
      <w:pPr>
        <w:tabs>
          <w:tab w:val="left" w:pos="705"/>
        </w:tabs>
        <w:spacing w:line="360" w:lineRule="auto"/>
        <w:ind w:firstLine="1440"/>
        <w:rPr>
          <w:sz w:val="26"/>
          <w:szCs w:val="26"/>
        </w:rPr>
      </w:pPr>
    </w:p>
    <w:p w:rsidR="003C3599" w:rsidRDefault="003C3599" w:rsidP="003C3599">
      <w:pPr>
        <w:tabs>
          <w:tab w:val="left" w:pos="705"/>
        </w:tabs>
        <w:spacing w:line="360" w:lineRule="auto"/>
        <w:ind w:firstLine="1440"/>
        <w:rPr>
          <w:sz w:val="26"/>
          <w:szCs w:val="26"/>
        </w:rPr>
      </w:pPr>
      <w:r>
        <w:rPr>
          <w:sz w:val="26"/>
          <w:szCs w:val="26"/>
        </w:rPr>
        <w:t>IDT further observes that</w:t>
      </w:r>
      <w:r w:rsidR="00465373">
        <w:rPr>
          <w:sz w:val="26"/>
          <w:szCs w:val="26"/>
        </w:rPr>
        <w:t>,</w:t>
      </w:r>
      <w:r>
        <w:rPr>
          <w:sz w:val="26"/>
          <w:szCs w:val="26"/>
        </w:rPr>
        <w:t xml:space="preserve"> if interlocutory review is declined, it will essentially mean that every EGS in Pennsylvania could be the target of complaints alleging that their “rates” were unreasonable and seeking refunds for all their affected customers.  </w:t>
      </w:r>
      <w:r w:rsidR="00B958BB">
        <w:rPr>
          <w:i/>
          <w:sz w:val="26"/>
          <w:szCs w:val="26"/>
        </w:rPr>
        <w:t>Id</w:t>
      </w:r>
      <w:r w:rsidR="00B958BB">
        <w:rPr>
          <w:sz w:val="26"/>
          <w:szCs w:val="26"/>
        </w:rPr>
        <w:t>.</w:t>
      </w:r>
      <w:r w:rsidR="00465373">
        <w:rPr>
          <w:sz w:val="26"/>
          <w:szCs w:val="26"/>
        </w:rPr>
        <w:t xml:space="preserve"> at</w:t>
      </w:r>
      <w:r>
        <w:rPr>
          <w:sz w:val="26"/>
          <w:szCs w:val="26"/>
        </w:rPr>
        <w:t xml:space="preserve"> 6.  This will prejudice IDT, and potentially other EGS companies.  </w:t>
      </w:r>
      <w:r>
        <w:rPr>
          <w:i/>
          <w:sz w:val="26"/>
          <w:szCs w:val="26"/>
        </w:rPr>
        <w:t>Id</w:t>
      </w:r>
      <w:r>
        <w:rPr>
          <w:sz w:val="26"/>
          <w:szCs w:val="26"/>
        </w:rPr>
        <w:t>.</w:t>
      </w:r>
    </w:p>
    <w:p w:rsidR="003C3599" w:rsidRDefault="003C3599" w:rsidP="003C3599">
      <w:pPr>
        <w:tabs>
          <w:tab w:val="left" w:pos="705"/>
        </w:tabs>
        <w:spacing w:line="360" w:lineRule="auto"/>
        <w:ind w:firstLine="1440"/>
        <w:rPr>
          <w:sz w:val="26"/>
          <w:szCs w:val="26"/>
        </w:rPr>
      </w:pPr>
    </w:p>
    <w:p w:rsidR="003C3599" w:rsidRDefault="003C3599" w:rsidP="003C3599">
      <w:pPr>
        <w:tabs>
          <w:tab w:val="left" w:pos="705"/>
        </w:tabs>
        <w:spacing w:line="360" w:lineRule="auto"/>
        <w:ind w:firstLine="1440"/>
        <w:rPr>
          <w:sz w:val="26"/>
          <w:szCs w:val="26"/>
        </w:rPr>
      </w:pPr>
      <w:r>
        <w:rPr>
          <w:sz w:val="26"/>
          <w:szCs w:val="26"/>
        </w:rPr>
        <w:t xml:space="preserve">IDT also advises that </w:t>
      </w:r>
      <w:r w:rsidR="00B958BB">
        <w:rPr>
          <w:sz w:val="26"/>
          <w:szCs w:val="26"/>
        </w:rPr>
        <w:t xml:space="preserve">consideration of </w:t>
      </w:r>
      <w:r>
        <w:rPr>
          <w:sz w:val="26"/>
          <w:szCs w:val="26"/>
        </w:rPr>
        <w:t xml:space="preserve">its question will expedite the conduct of the proceeding.  Based on its </w:t>
      </w:r>
      <w:r w:rsidR="00DA25C9">
        <w:rPr>
          <w:sz w:val="26"/>
          <w:szCs w:val="26"/>
        </w:rPr>
        <w:t>position</w:t>
      </w:r>
      <w:r>
        <w:rPr>
          <w:sz w:val="26"/>
          <w:szCs w:val="26"/>
        </w:rPr>
        <w:t xml:space="preserve"> that the ALJs’ ruling on the applicability of Section 1312 of the Public Utility Code</w:t>
      </w:r>
      <w:r w:rsidR="006C5730">
        <w:rPr>
          <w:sz w:val="26"/>
          <w:szCs w:val="26"/>
        </w:rPr>
        <w:t xml:space="preserve"> (Code)</w:t>
      </w:r>
      <w:r>
        <w:rPr>
          <w:sz w:val="26"/>
          <w:szCs w:val="26"/>
        </w:rPr>
        <w:t xml:space="preserve">, 66 Pa. C.S. § 1312, to its potential liability for refunds is erroneous, IDT states that guidance at this stage of the case will determine whether the scope of the proceeding will be to examine the appropriateness of its prices or to determine whether IDT violated Commission Regulations concerning sales and marketing.  IDT Brief at 6.    </w:t>
      </w:r>
    </w:p>
    <w:p w:rsidR="003C3599" w:rsidRDefault="003C3599" w:rsidP="003C3599">
      <w:pPr>
        <w:tabs>
          <w:tab w:val="left" w:pos="705"/>
        </w:tabs>
        <w:spacing w:line="360" w:lineRule="auto"/>
        <w:ind w:firstLine="1440"/>
        <w:rPr>
          <w:sz w:val="26"/>
          <w:szCs w:val="26"/>
        </w:rPr>
      </w:pPr>
    </w:p>
    <w:p w:rsidR="00013BDD" w:rsidRDefault="003C3599" w:rsidP="003C3599">
      <w:pPr>
        <w:tabs>
          <w:tab w:val="left" w:pos="705"/>
        </w:tabs>
        <w:spacing w:line="360" w:lineRule="auto"/>
        <w:ind w:firstLine="1440"/>
        <w:rPr>
          <w:sz w:val="26"/>
          <w:szCs w:val="26"/>
        </w:rPr>
      </w:pPr>
      <w:r>
        <w:rPr>
          <w:sz w:val="26"/>
          <w:szCs w:val="26"/>
        </w:rPr>
        <w:t xml:space="preserve">IDT presents extensive argument on the merits of its position.  That </w:t>
      </w:r>
      <w:r w:rsidR="006F7676">
        <w:rPr>
          <w:sz w:val="26"/>
          <w:szCs w:val="26"/>
        </w:rPr>
        <w:t xml:space="preserve">position </w:t>
      </w:r>
      <w:r>
        <w:rPr>
          <w:sz w:val="26"/>
          <w:szCs w:val="26"/>
        </w:rPr>
        <w:t>is,</w:t>
      </w:r>
      <w:r w:rsidR="006F7676">
        <w:rPr>
          <w:sz w:val="26"/>
          <w:szCs w:val="26"/>
        </w:rPr>
        <w:t xml:space="preserve"> in summary, that</w:t>
      </w:r>
      <w:r>
        <w:rPr>
          <w:sz w:val="26"/>
          <w:szCs w:val="26"/>
        </w:rPr>
        <w:t xml:space="preserve"> </w:t>
      </w:r>
      <w:r w:rsidR="006F7676">
        <w:rPr>
          <w:sz w:val="26"/>
          <w:szCs w:val="26"/>
        </w:rPr>
        <w:t xml:space="preserve">EGSs are not “public utilities” for purposes of refunds </w:t>
      </w:r>
      <w:r w:rsidR="006F7676">
        <w:rPr>
          <w:sz w:val="26"/>
          <w:szCs w:val="26"/>
        </w:rPr>
        <w:lastRenderedPageBreak/>
        <w:t>pursuant to Section 1312;</w:t>
      </w:r>
      <w:r>
        <w:rPr>
          <w:sz w:val="26"/>
          <w:szCs w:val="26"/>
        </w:rPr>
        <w:t xml:space="preserve"> </w:t>
      </w:r>
      <w:r w:rsidR="006F7676">
        <w:rPr>
          <w:sz w:val="26"/>
          <w:szCs w:val="26"/>
        </w:rPr>
        <w:t>that even were EGSs to be considered public utilities for the purposes of Section 1312, refunds would still not be permissible as an outcome in this case as refunds are only permitted in the context of a rate case after a finding that such rates charged were “unjust and unreasonable.”  IDT Brief</w:t>
      </w:r>
      <w:r w:rsidR="006C5730">
        <w:rPr>
          <w:sz w:val="26"/>
          <w:szCs w:val="26"/>
        </w:rPr>
        <w:t xml:space="preserve"> at</w:t>
      </w:r>
      <w:r w:rsidR="006F7676">
        <w:rPr>
          <w:sz w:val="26"/>
          <w:szCs w:val="26"/>
        </w:rPr>
        <w:t xml:space="preserve"> 9-10.  </w:t>
      </w:r>
      <w:r>
        <w:rPr>
          <w:sz w:val="26"/>
          <w:szCs w:val="26"/>
        </w:rPr>
        <w:t xml:space="preserve">  </w:t>
      </w:r>
      <w:r w:rsidR="00D93A51">
        <w:rPr>
          <w:sz w:val="26"/>
          <w:szCs w:val="26"/>
        </w:rPr>
        <w:t xml:space="preserve"> </w:t>
      </w:r>
    </w:p>
    <w:p w:rsidR="00013BDD" w:rsidRPr="00013BDD" w:rsidRDefault="00013BDD" w:rsidP="00013BDD">
      <w:pPr>
        <w:spacing w:line="360" w:lineRule="auto"/>
        <w:ind w:firstLine="1440"/>
        <w:rPr>
          <w:sz w:val="26"/>
          <w:szCs w:val="26"/>
        </w:rPr>
      </w:pPr>
      <w:r>
        <w:rPr>
          <w:sz w:val="26"/>
          <w:szCs w:val="26"/>
        </w:rPr>
        <w:t xml:space="preserve"> </w:t>
      </w:r>
    </w:p>
    <w:p w:rsidR="002C2364" w:rsidRPr="006F5939" w:rsidRDefault="006F5939" w:rsidP="00D53276">
      <w:pPr>
        <w:spacing w:line="360" w:lineRule="auto"/>
        <w:ind w:firstLine="1440"/>
        <w:rPr>
          <w:b/>
          <w:sz w:val="26"/>
          <w:szCs w:val="26"/>
        </w:rPr>
      </w:pPr>
      <w:r w:rsidRPr="006F5939">
        <w:rPr>
          <w:b/>
          <w:sz w:val="26"/>
          <w:szCs w:val="26"/>
        </w:rPr>
        <w:t>I&amp;E</w:t>
      </w:r>
    </w:p>
    <w:p w:rsidR="00AD0A03" w:rsidRDefault="00AD0A03" w:rsidP="006F5939">
      <w:pPr>
        <w:spacing w:line="360" w:lineRule="auto"/>
        <w:ind w:firstLine="1440"/>
        <w:rPr>
          <w:sz w:val="26"/>
          <w:szCs w:val="26"/>
        </w:rPr>
      </w:pPr>
    </w:p>
    <w:p w:rsidR="006F5939" w:rsidRDefault="006F5939" w:rsidP="006F5939">
      <w:pPr>
        <w:spacing w:line="360" w:lineRule="auto"/>
        <w:ind w:firstLine="1440"/>
        <w:rPr>
          <w:sz w:val="26"/>
          <w:szCs w:val="26"/>
        </w:rPr>
      </w:pPr>
      <w:r>
        <w:rPr>
          <w:sz w:val="26"/>
          <w:szCs w:val="26"/>
        </w:rPr>
        <w:t xml:space="preserve">In its Brief, I&amp;E re-states the material questions that it concludes are raised by the IDT Petition as follows: </w:t>
      </w:r>
      <w:r w:rsidR="007168BD">
        <w:rPr>
          <w:sz w:val="26"/>
          <w:szCs w:val="26"/>
        </w:rPr>
        <w:t>(</w:t>
      </w:r>
      <w:r>
        <w:rPr>
          <w:sz w:val="26"/>
          <w:szCs w:val="26"/>
        </w:rPr>
        <w:t xml:space="preserve">A) Has the Petitioner met the standards for interlocutory review? </w:t>
      </w:r>
      <w:r w:rsidR="007168BD">
        <w:rPr>
          <w:sz w:val="26"/>
          <w:szCs w:val="26"/>
        </w:rPr>
        <w:t>(</w:t>
      </w:r>
      <w:r>
        <w:rPr>
          <w:sz w:val="26"/>
          <w:szCs w:val="26"/>
        </w:rPr>
        <w:t>B) Does the Commission have statutory authority to order electric generation suppliers to issue refunds to consumers</w:t>
      </w:r>
      <w:r w:rsidR="007168BD">
        <w:rPr>
          <w:sz w:val="26"/>
          <w:szCs w:val="26"/>
        </w:rPr>
        <w:t xml:space="preserve">? </w:t>
      </w:r>
      <w:r>
        <w:rPr>
          <w:sz w:val="26"/>
          <w:szCs w:val="26"/>
        </w:rPr>
        <w:t xml:space="preserve"> </w:t>
      </w:r>
      <w:r w:rsidR="007168BD">
        <w:rPr>
          <w:sz w:val="26"/>
          <w:szCs w:val="26"/>
        </w:rPr>
        <w:t xml:space="preserve">I&amp;E </w:t>
      </w:r>
      <w:r w:rsidR="001A7D31">
        <w:rPr>
          <w:sz w:val="26"/>
          <w:szCs w:val="26"/>
        </w:rPr>
        <w:t>contend</w:t>
      </w:r>
      <w:r w:rsidR="007168BD">
        <w:rPr>
          <w:sz w:val="26"/>
          <w:szCs w:val="26"/>
        </w:rPr>
        <w:t>s that the first question should be answered in the negative, but the second question should be answered in the affirmative</w:t>
      </w:r>
      <w:r>
        <w:rPr>
          <w:sz w:val="26"/>
          <w:szCs w:val="26"/>
        </w:rPr>
        <w:t>.  I&amp;E Brief at 4.</w:t>
      </w:r>
    </w:p>
    <w:p w:rsidR="006F5939" w:rsidRDefault="006F5939" w:rsidP="006F5939">
      <w:pPr>
        <w:spacing w:line="360" w:lineRule="auto"/>
        <w:rPr>
          <w:sz w:val="26"/>
          <w:szCs w:val="26"/>
        </w:rPr>
      </w:pPr>
    </w:p>
    <w:p w:rsidR="006F5939" w:rsidRDefault="006F5939" w:rsidP="006F5939">
      <w:pPr>
        <w:spacing w:line="360" w:lineRule="auto"/>
        <w:ind w:firstLine="1440"/>
        <w:rPr>
          <w:sz w:val="26"/>
          <w:szCs w:val="26"/>
        </w:rPr>
      </w:pPr>
      <w:r>
        <w:rPr>
          <w:sz w:val="26"/>
          <w:szCs w:val="26"/>
        </w:rPr>
        <w:t>I&amp;E</w:t>
      </w:r>
      <w:r w:rsidR="006F7676">
        <w:rPr>
          <w:sz w:val="26"/>
          <w:szCs w:val="26"/>
        </w:rPr>
        <w:t>’s</w:t>
      </w:r>
      <w:r>
        <w:rPr>
          <w:sz w:val="26"/>
          <w:szCs w:val="26"/>
        </w:rPr>
        <w:t xml:space="preserve"> primary position </w:t>
      </w:r>
      <w:r w:rsidR="006F7676">
        <w:rPr>
          <w:sz w:val="26"/>
          <w:szCs w:val="26"/>
        </w:rPr>
        <w:t xml:space="preserve">is </w:t>
      </w:r>
      <w:r>
        <w:rPr>
          <w:sz w:val="26"/>
          <w:szCs w:val="26"/>
        </w:rPr>
        <w:t>that the IDT Petition should be denied, as IDT has not met the threshold standard for showing that, without interlocutory review, it will suffer substantial prejudice, or that the proceeding will be expedited</w:t>
      </w:r>
      <w:r w:rsidR="007168BD">
        <w:rPr>
          <w:sz w:val="26"/>
          <w:szCs w:val="26"/>
        </w:rPr>
        <w:t xml:space="preserve"> if interlocutory review is granted</w:t>
      </w:r>
      <w:r>
        <w:rPr>
          <w:sz w:val="26"/>
          <w:szCs w:val="26"/>
        </w:rPr>
        <w:t xml:space="preserve">.  </w:t>
      </w:r>
      <w:r w:rsidR="001A7D31">
        <w:rPr>
          <w:i/>
          <w:sz w:val="26"/>
          <w:szCs w:val="26"/>
        </w:rPr>
        <w:t>Id</w:t>
      </w:r>
      <w:r w:rsidR="001A7D31">
        <w:rPr>
          <w:sz w:val="26"/>
          <w:szCs w:val="26"/>
        </w:rPr>
        <w:t>.</w:t>
      </w:r>
      <w:r w:rsidR="007168BD">
        <w:rPr>
          <w:sz w:val="26"/>
          <w:szCs w:val="26"/>
        </w:rPr>
        <w:t xml:space="preserve"> at</w:t>
      </w:r>
      <w:r>
        <w:rPr>
          <w:sz w:val="26"/>
          <w:szCs w:val="26"/>
        </w:rPr>
        <w:t xml:space="preserve"> 4</w:t>
      </w:r>
      <w:r w:rsidR="007168BD">
        <w:rPr>
          <w:sz w:val="26"/>
          <w:szCs w:val="26"/>
        </w:rPr>
        <w:t>,</w:t>
      </w:r>
      <w:r>
        <w:rPr>
          <w:sz w:val="26"/>
          <w:szCs w:val="26"/>
        </w:rPr>
        <w:t xml:space="preserve"> 5.</w:t>
      </w:r>
      <w:r w:rsidR="006F7676">
        <w:rPr>
          <w:sz w:val="26"/>
          <w:szCs w:val="26"/>
        </w:rPr>
        <w:t xml:space="preserve">  IDT notes that the proceedings are in their early stages.</w:t>
      </w:r>
    </w:p>
    <w:p w:rsidR="006F5939" w:rsidRDefault="006F5939" w:rsidP="006F5939">
      <w:pPr>
        <w:spacing w:line="360" w:lineRule="auto"/>
        <w:rPr>
          <w:sz w:val="26"/>
          <w:szCs w:val="26"/>
        </w:rPr>
      </w:pPr>
    </w:p>
    <w:p w:rsidR="006F5939" w:rsidRDefault="006F5939" w:rsidP="006F5939">
      <w:pPr>
        <w:spacing w:line="360" w:lineRule="auto"/>
        <w:ind w:firstLine="1440"/>
        <w:rPr>
          <w:sz w:val="26"/>
          <w:szCs w:val="26"/>
        </w:rPr>
      </w:pPr>
      <w:r>
        <w:rPr>
          <w:sz w:val="26"/>
          <w:szCs w:val="26"/>
        </w:rPr>
        <w:t xml:space="preserve">Regarding the merits of the question raised by IDT, I&amp;E makes extensive argument that the Commission has both subject matter jurisdiction and authority to direct EGSs to issue refunds to customers under certain circumstances.  I&amp;E Brief at 6.  I&amp;E agrees with the ruling and the reasoning of the ALJs in the August 20 Order that Section 1312 of the Code, 66 Pa. C.S. § 1312, provides authority to the Commission to direct EGSs to issue refunds to customers. </w:t>
      </w:r>
      <w:r w:rsidR="00C17004">
        <w:rPr>
          <w:sz w:val="26"/>
          <w:szCs w:val="26"/>
        </w:rPr>
        <w:t xml:space="preserve"> I&amp;E Brief at 6.</w:t>
      </w:r>
    </w:p>
    <w:p w:rsidR="006F5939" w:rsidRDefault="006F5939" w:rsidP="006F5939">
      <w:pPr>
        <w:spacing w:line="360" w:lineRule="auto"/>
        <w:ind w:firstLine="1440"/>
        <w:rPr>
          <w:sz w:val="26"/>
          <w:szCs w:val="26"/>
        </w:rPr>
      </w:pPr>
    </w:p>
    <w:p w:rsidR="006F5939" w:rsidRDefault="006F5939" w:rsidP="006F5939">
      <w:pPr>
        <w:spacing w:line="360" w:lineRule="auto"/>
        <w:ind w:firstLine="1440"/>
        <w:rPr>
          <w:sz w:val="26"/>
          <w:szCs w:val="26"/>
        </w:rPr>
      </w:pPr>
      <w:r>
        <w:rPr>
          <w:sz w:val="26"/>
          <w:szCs w:val="26"/>
        </w:rPr>
        <w:t xml:space="preserve">I&amp;E emphasizes that IDT, as an EGS, is a </w:t>
      </w:r>
      <w:r w:rsidR="006F7676">
        <w:rPr>
          <w:sz w:val="26"/>
          <w:szCs w:val="26"/>
        </w:rPr>
        <w:t>“</w:t>
      </w:r>
      <w:r>
        <w:rPr>
          <w:sz w:val="26"/>
          <w:szCs w:val="26"/>
        </w:rPr>
        <w:t>public utility</w:t>
      </w:r>
      <w:r w:rsidR="006F7676">
        <w:rPr>
          <w:sz w:val="26"/>
          <w:szCs w:val="26"/>
        </w:rPr>
        <w:t>”</w:t>
      </w:r>
      <w:r>
        <w:rPr>
          <w:sz w:val="26"/>
          <w:szCs w:val="26"/>
        </w:rPr>
        <w:t xml:space="preserve"> for the purposes set forth in Section</w:t>
      </w:r>
      <w:r w:rsidR="00DC4D28">
        <w:rPr>
          <w:sz w:val="26"/>
          <w:szCs w:val="26"/>
        </w:rPr>
        <w:t>s</w:t>
      </w:r>
      <w:r>
        <w:rPr>
          <w:sz w:val="26"/>
          <w:szCs w:val="26"/>
        </w:rPr>
        <w:t xml:space="preserve"> 2809 and 2810 of the Code, 66 Pa. C.S. §§</w:t>
      </w:r>
      <w:r w:rsidR="00DC4D28">
        <w:rPr>
          <w:sz w:val="26"/>
          <w:szCs w:val="26"/>
        </w:rPr>
        <w:t xml:space="preserve"> </w:t>
      </w:r>
      <w:r>
        <w:rPr>
          <w:sz w:val="26"/>
          <w:szCs w:val="26"/>
        </w:rPr>
        <w:t>2809</w:t>
      </w:r>
      <w:r w:rsidR="00DC4D28">
        <w:rPr>
          <w:sz w:val="26"/>
          <w:szCs w:val="26"/>
        </w:rPr>
        <w:t>,</w:t>
      </w:r>
      <w:r>
        <w:rPr>
          <w:sz w:val="26"/>
          <w:szCs w:val="26"/>
        </w:rPr>
        <w:t xml:space="preserve"> 2810.  I&amp;E Brief at 6, citing </w:t>
      </w:r>
      <w:r w:rsidRPr="00762EFF">
        <w:rPr>
          <w:i/>
          <w:sz w:val="26"/>
          <w:szCs w:val="26"/>
        </w:rPr>
        <w:t>Delmarva Power &amp; Light Co. v. Pa. P.U.C</w:t>
      </w:r>
      <w:r>
        <w:rPr>
          <w:sz w:val="26"/>
          <w:szCs w:val="26"/>
        </w:rPr>
        <w:t xml:space="preserve">., </w:t>
      </w:r>
      <w:r w:rsidR="006F7676">
        <w:rPr>
          <w:sz w:val="26"/>
          <w:szCs w:val="26"/>
        </w:rPr>
        <w:t>582</w:t>
      </w:r>
      <w:r>
        <w:rPr>
          <w:sz w:val="26"/>
          <w:szCs w:val="26"/>
        </w:rPr>
        <w:t xml:space="preserve"> Pa.</w:t>
      </w:r>
      <w:r w:rsidR="00DC4D28">
        <w:rPr>
          <w:sz w:val="26"/>
          <w:szCs w:val="26"/>
        </w:rPr>
        <w:t xml:space="preserve"> </w:t>
      </w:r>
      <w:r w:rsidR="006F7676">
        <w:rPr>
          <w:sz w:val="26"/>
          <w:szCs w:val="26"/>
        </w:rPr>
        <w:t>338</w:t>
      </w:r>
      <w:r>
        <w:rPr>
          <w:sz w:val="26"/>
          <w:szCs w:val="26"/>
        </w:rPr>
        <w:t>, 870 A.2d 901 (2005)</w:t>
      </w:r>
      <w:r w:rsidR="006F7676">
        <w:rPr>
          <w:sz w:val="26"/>
          <w:szCs w:val="26"/>
        </w:rPr>
        <w:t>.</w:t>
      </w:r>
      <w:r>
        <w:rPr>
          <w:sz w:val="26"/>
          <w:szCs w:val="26"/>
        </w:rPr>
        <w:t xml:space="preserve"> </w:t>
      </w:r>
    </w:p>
    <w:p w:rsidR="006F5939" w:rsidRDefault="006F5939" w:rsidP="006F5939">
      <w:pPr>
        <w:spacing w:line="360" w:lineRule="auto"/>
        <w:ind w:firstLine="1440"/>
        <w:rPr>
          <w:sz w:val="26"/>
          <w:szCs w:val="26"/>
        </w:rPr>
      </w:pPr>
    </w:p>
    <w:p w:rsidR="006F5939" w:rsidRDefault="006F5939" w:rsidP="00D53276">
      <w:pPr>
        <w:widowControl/>
        <w:spacing w:line="360" w:lineRule="auto"/>
        <w:ind w:firstLine="1440"/>
        <w:rPr>
          <w:sz w:val="26"/>
          <w:szCs w:val="26"/>
        </w:rPr>
      </w:pPr>
      <w:r>
        <w:rPr>
          <w:sz w:val="26"/>
          <w:szCs w:val="26"/>
        </w:rPr>
        <w:t xml:space="preserve">I&amp;E argues for the proposition that the General Assembly made an exception to the general rule of excluding EGSs from the definition of public utilities for the limited purposes </w:t>
      </w:r>
      <w:r w:rsidR="006F7676">
        <w:rPr>
          <w:sz w:val="26"/>
          <w:szCs w:val="26"/>
        </w:rPr>
        <w:t xml:space="preserve">(and only those purposes) </w:t>
      </w:r>
      <w:r>
        <w:rPr>
          <w:sz w:val="26"/>
          <w:szCs w:val="26"/>
        </w:rPr>
        <w:t xml:space="preserve">described in Code Sections 2809 and 2810. </w:t>
      </w:r>
    </w:p>
    <w:p w:rsidR="006F5939" w:rsidRDefault="006F5939" w:rsidP="006F5939">
      <w:pPr>
        <w:spacing w:line="360" w:lineRule="auto"/>
        <w:rPr>
          <w:sz w:val="26"/>
          <w:szCs w:val="26"/>
        </w:rPr>
      </w:pPr>
    </w:p>
    <w:p w:rsidR="006F5939" w:rsidRDefault="006F5939" w:rsidP="006F5939">
      <w:pPr>
        <w:spacing w:line="360" w:lineRule="auto"/>
        <w:ind w:firstLine="1440"/>
        <w:rPr>
          <w:sz w:val="26"/>
          <w:szCs w:val="26"/>
        </w:rPr>
      </w:pPr>
      <w:r>
        <w:rPr>
          <w:sz w:val="26"/>
          <w:szCs w:val="26"/>
        </w:rPr>
        <w:t>I&amp;E goes on to cite Section 2809</w:t>
      </w:r>
      <w:r w:rsidR="001A7D31">
        <w:rPr>
          <w:sz w:val="26"/>
          <w:szCs w:val="26"/>
        </w:rPr>
        <w:t xml:space="preserve"> of the Code</w:t>
      </w:r>
      <w:r>
        <w:rPr>
          <w:sz w:val="26"/>
          <w:szCs w:val="26"/>
        </w:rPr>
        <w:t>, which provides, in pertinent part, that the Commission may forbear from regulating EGSs if it were determined that the requirements of 66 Pa. C.S. § 2809 were unnecessary due to competition among EGSs.  I&amp;</w:t>
      </w:r>
      <w:r w:rsidR="00174BD1">
        <w:rPr>
          <w:sz w:val="26"/>
          <w:szCs w:val="26"/>
        </w:rPr>
        <w:t>E</w:t>
      </w:r>
      <w:r>
        <w:rPr>
          <w:sz w:val="26"/>
          <w:szCs w:val="26"/>
        </w:rPr>
        <w:t xml:space="preserve"> Brief</w:t>
      </w:r>
      <w:r w:rsidR="00DC4D28">
        <w:rPr>
          <w:sz w:val="26"/>
          <w:szCs w:val="26"/>
        </w:rPr>
        <w:t xml:space="preserve"> at</w:t>
      </w:r>
      <w:r>
        <w:rPr>
          <w:sz w:val="26"/>
          <w:szCs w:val="26"/>
        </w:rPr>
        <w:t xml:space="preserve"> 7-8.  The Commission, however, did not forbear.  </w:t>
      </w:r>
      <w:r w:rsidR="006F7676">
        <w:rPr>
          <w:sz w:val="26"/>
          <w:szCs w:val="26"/>
        </w:rPr>
        <w:t>Rather, the Commission h</w:t>
      </w:r>
      <w:r>
        <w:rPr>
          <w:sz w:val="26"/>
          <w:szCs w:val="26"/>
        </w:rPr>
        <w:t>as promulgated regulations</w:t>
      </w:r>
      <w:r w:rsidR="006F7676">
        <w:rPr>
          <w:sz w:val="26"/>
          <w:szCs w:val="26"/>
        </w:rPr>
        <w:t xml:space="preserve"> concerning certain aspects of EGSs</w:t>
      </w:r>
      <w:r w:rsidR="00DC4D28">
        <w:rPr>
          <w:sz w:val="26"/>
          <w:szCs w:val="26"/>
        </w:rPr>
        <w:t>’</w:t>
      </w:r>
      <w:r w:rsidR="006F7676">
        <w:rPr>
          <w:sz w:val="26"/>
          <w:szCs w:val="26"/>
        </w:rPr>
        <w:t xml:space="preserve"> operations</w:t>
      </w:r>
      <w:r>
        <w:rPr>
          <w:sz w:val="26"/>
          <w:szCs w:val="26"/>
        </w:rPr>
        <w:t xml:space="preserve">.  </w:t>
      </w:r>
      <w:r>
        <w:rPr>
          <w:i/>
          <w:sz w:val="26"/>
          <w:szCs w:val="26"/>
        </w:rPr>
        <w:t>Id</w:t>
      </w:r>
      <w:r>
        <w:rPr>
          <w:sz w:val="26"/>
          <w:szCs w:val="26"/>
        </w:rPr>
        <w:t>., citing</w:t>
      </w:r>
      <w:r w:rsidR="006F7676">
        <w:rPr>
          <w:sz w:val="26"/>
          <w:szCs w:val="26"/>
        </w:rPr>
        <w:t xml:space="preserve">, </w:t>
      </w:r>
      <w:r w:rsidR="006F7676">
        <w:rPr>
          <w:i/>
          <w:sz w:val="26"/>
          <w:szCs w:val="26"/>
        </w:rPr>
        <w:t>e.g.</w:t>
      </w:r>
      <w:r w:rsidR="001A7D31">
        <w:rPr>
          <w:i/>
          <w:sz w:val="26"/>
          <w:szCs w:val="26"/>
        </w:rPr>
        <w:t>,</w:t>
      </w:r>
      <w:r>
        <w:rPr>
          <w:sz w:val="26"/>
          <w:szCs w:val="26"/>
        </w:rPr>
        <w:t xml:space="preserve"> 52 Pa. Code § 54</w:t>
      </w:r>
      <w:r w:rsidR="00FA0D23">
        <w:rPr>
          <w:sz w:val="26"/>
          <w:szCs w:val="26"/>
        </w:rPr>
        <w:t>.4</w:t>
      </w:r>
      <w:r>
        <w:rPr>
          <w:sz w:val="26"/>
          <w:szCs w:val="26"/>
        </w:rPr>
        <w:t>(a).</w:t>
      </w:r>
    </w:p>
    <w:p w:rsidR="00FA0D23" w:rsidRDefault="00FA0D23" w:rsidP="006F5939">
      <w:pPr>
        <w:spacing w:line="360" w:lineRule="auto"/>
        <w:rPr>
          <w:sz w:val="26"/>
          <w:szCs w:val="26"/>
        </w:rPr>
      </w:pPr>
    </w:p>
    <w:p w:rsidR="00174BD1" w:rsidRDefault="006F5939" w:rsidP="001C3449">
      <w:pPr>
        <w:widowControl/>
        <w:spacing w:line="360" w:lineRule="auto"/>
        <w:ind w:firstLine="1440"/>
        <w:rPr>
          <w:sz w:val="26"/>
          <w:szCs w:val="26"/>
        </w:rPr>
      </w:pPr>
      <w:r>
        <w:rPr>
          <w:sz w:val="26"/>
          <w:szCs w:val="26"/>
        </w:rPr>
        <w:t xml:space="preserve">Based on the foregoing, I&amp;E reasons that, should the allegations that: </w:t>
      </w:r>
      <w:r w:rsidR="000547FA">
        <w:rPr>
          <w:sz w:val="26"/>
          <w:szCs w:val="26"/>
        </w:rPr>
        <w:br/>
      </w:r>
      <w:r w:rsidR="00DC4D28">
        <w:rPr>
          <w:sz w:val="26"/>
          <w:szCs w:val="26"/>
        </w:rPr>
        <w:t>(</w:t>
      </w:r>
      <w:r>
        <w:rPr>
          <w:sz w:val="26"/>
          <w:szCs w:val="26"/>
        </w:rPr>
        <w:t xml:space="preserve">1) </w:t>
      </w:r>
      <w:r w:rsidR="00CF1D4D">
        <w:rPr>
          <w:sz w:val="26"/>
          <w:szCs w:val="26"/>
        </w:rPr>
        <w:t xml:space="preserve">the </w:t>
      </w:r>
      <w:r>
        <w:rPr>
          <w:sz w:val="26"/>
          <w:szCs w:val="26"/>
        </w:rPr>
        <w:t>pric</w:t>
      </w:r>
      <w:r w:rsidR="00CF1D4D">
        <w:rPr>
          <w:sz w:val="26"/>
          <w:szCs w:val="26"/>
        </w:rPr>
        <w:t>es</w:t>
      </w:r>
      <w:r>
        <w:rPr>
          <w:sz w:val="26"/>
          <w:szCs w:val="26"/>
        </w:rPr>
        <w:t xml:space="preserve"> </w:t>
      </w:r>
      <w:r w:rsidR="00CF1D4D">
        <w:rPr>
          <w:sz w:val="26"/>
          <w:szCs w:val="26"/>
        </w:rPr>
        <w:t>IDT charged to its customers did</w:t>
      </w:r>
      <w:r>
        <w:rPr>
          <w:sz w:val="26"/>
          <w:szCs w:val="26"/>
        </w:rPr>
        <w:t xml:space="preserve"> not</w:t>
      </w:r>
      <w:r w:rsidR="00CF1D4D">
        <w:rPr>
          <w:sz w:val="26"/>
          <w:szCs w:val="26"/>
        </w:rPr>
        <w:t xml:space="preserve"> conform to the variable rate pricing provisions of its </w:t>
      </w:r>
      <w:r w:rsidR="00DC4D28">
        <w:rPr>
          <w:sz w:val="26"/>
          <w:szCs w:val="26"/>
        </w:rPr>
        <w:t>D</w:t>
      </w:r>
      <w:r w:rsidR="00CF1D4D">
        <w:rPr>
          <w:sz w:val="26"/>
          <w:szCs w:val="26"/>
        </w:rPr>
        <w:t xml:space="preserve">isclosure </w:t>
      </w:r>
      <w:r w:rsidR="00DC4D28">
        <w:rPr>
          <w:sz w:val="26"/>
          <w:szCs w:val="26"/>
        </w:rPr>
        <w:t>S</w:t>
      </w:r>
      <w:r w:rsidR="00CF1D4D">
        <w:rPr>
          <w:sz w:val="26"/>
          <w:szCs w:val="26"/>
        </w:rPr>
        <w:t xml:space="preserve">tatement; </w:t>
      </w:r>
      <w:r w:rsidR="000547FA">
        <w:rPr>
          <w:sz w:val="26"/>
          <w:szCs w:val="26"/>
        </w:rPr>
        <w:t xml:space="preserve">or </w:t>
      </w:r>
      <w:r w:rsidR="00DC4D28">
        <w:rPr>
          <w:sz w:val="26"/>
          <w:szCs w:val="26"/>
        </w:rPr>
        <w:t>(</w:t>
      </w:r>
      <w:r w:rsidR="00CF1D4D">
        <w:rPr>
          <w:sz w:val="26"/>
          <w:szCs w:val="26"/>
        </w:rPr>
        <w:t>2) certain customers understood that IDT wou</w:t>
      </w:r>
      <w:r w:rsidR="006F7676">
        <w:rPr>
          <w:sz w:val="26"/>
          <w:szCs w:val="26"/>
        </w:rPr>
        <w:t>l</w:t>
      </w:r>
      <w:r w:rsidR="00CF1D4D">
        <w:rPr>
          <w:sz w:val="26"/>
          <w:szCs w:val="26"/>
        </w:rPr>
        <w:t xml:space="preserve">d provide them a guaranteed rate for generation service and that other customers understood that their rate would always be lower than or equal to the </w:t>
      </w:r>
      <w:r w:rsidR="00DC4D28">
        <w:rPr>
          <w:sz w:val="26"/>
          <w:szCs w:val="26"/>
        </w:rPr>
        <w:t>P</w:t>
      </w:r>
      <w:r w:rsidR="00CF1D4D">
        <w:rPr>
          <w:sz w:val="26"/>
          <w:szCs w:val="26"/>
        </w:rPr>
        <w:t xml:space="preserve">rice </w:t>
      </w:r>
      <w:r w:rsidR="00DC4D28">
        <w:rPr>
          <w:sz w:val="26"/>
          <w:szCs w:val="26"/>
        </w:rPr>
        <w:t>T</w:t>
      </w:r>
      <w:r w:rsidR="00CF1D4D">
        <w:rPr>
          <w:sz w:val="26"/>
          <w:szCs w:val="26"/>
        </w:rPr>
        <w:t xml:space="preserve">o </w:t>
      </w:r>
      <w:r w:rsidR="00DC4D28">
        <w:rPr>
          <w:sz w:val="26"/>
          <w:szCs w:val="26"/>
        </w:rPr>
        <w:t>C</w:t>
      </w:r>
      <w:r w:rsidR="00CF1D4D">
        <w:rPr>
          <w:sz w:val="26"/>
          <w:szCs w:val="26"/>
        </w:rPr>
        <w:t>ompare</w:t>
      </w:r>
      <w:r w:rsidR="00174BD1">
        <w:rPr>
          <w:sz w:val="26"/>
          <w:szCs w:val="26"/>
        </w:rPr>
        <w:t xml:space="preserve">, be proven, a violation of </w:t>
      </w:r>
      <w:r w:rsidR="00DC4D28">
        <w:rPr>
          <w:sz w:val="26"/>
          <w:szCs w:val="26"/>
        </w:rPr>
        <w:t xml:space="preserve">the </w:t>
      </w:r>
      <w:r w:rsidR="00174BD1">
        <w:rPr>
          <w:sz w:val="26"/>
          <w:szCs w:val="26"/>
        </w:rPr>
        <w:t>Commission Regulation at 52 Pa. Code §</w:t>
      </w:r>
      <w:r w:rsidR="00DC4D28">
        <w:rPr>
          <w:sz w:val="26"/>
          <w:szCs w:val="26"/>
        </w:rPr>
        <w:t xml:space="preserve"> </w:t>
      </w:r>
      <w:r w:rsidR="00174BD1">
        <w:rPr>
          <w:sz w:val="26"/>
          <w:szCs w:val="26"/>
        </w:rPr>
        <w:t>54.4(a) could be establish</w:t>
      </w:r>
      <w:r w:rsidR="00DA25C9">
        <w:rPr>
          <w:sz w:val="26"/>
          <w:szCs w:val="26"/>
        </w:rPr>
        <w:t>ed</w:t>
      </w:r>
      <w:r w:rsidR="00174BD1">
        <w:rPr>
          <w:sz w:val="26"/>
          <w:szCs w:val="26"/>
        </w:rPr>
        <w:t>.  This could, in I&amp;E’s view, justify refunds under the Code.  I&amp;E Brief</w:t>
      </w:r>
      <w:r w:rsidR="00DC4D28">
        <w:rPr>
          <w:sz w:val="26"/>
          <w:szCs w:val="26"/>
        </w:rPr>
        <w:t xml:space="preserve"> at</w:t>
      </w:r>
      <w:r w:rsidR="00174BD1">
        <w:rPr>
          <w:sz w:val="26"/>
          <w:szCs w:val="26"/>
        </w:rPr>
        <w:t xml:space="preserve"> 8.</w:t>
      </w:r>
    </w:p>
    <w:p w:rsidR="00174BD1" w:rsidRDefault="00174BD1" w:rsidP="00FA0D23">
      <w:pPr>
        <w:spacing w:line="360" w:lineRule="auto"/>
        <w:ind w:firstLine="1440"/>
        <w:rPr>
          <w:sz w:val="26"/>
          <w:szCs w:val="26"/>
        </w:rPr>
      </w:pPr>
    </w:p>
    <w:p w:rsidR="006F5939" w:rsidRDefault="00174BD1" w:rsidP="00D53276">
      <w:pPr>
        <w:spacing w:line="360" w:lineRule="auto"/>
        <w:ind w:firstLine="1440"/>
        <w:rPr>
          <w:b/>
          <w:sz w:val="26"/>
          <w:szCs w:val="26"/>
        </w:rPr>
      </w:pPr>
      <w:r w:rsidRPr="00174BD1">
        <w:rPr>
          <w:b/>
          <w:sz w:val="26"/>
          <w:szCs w:val="26"/>
        </w:rPr>
        <w:t xml:space="preserve">OAG/OCA   </w:t>
      </w:r>
      <w:r w:rsidR="006F7676" w:rsidRPr="00174BD1">
        <w:rPr>
          <w:b/>
          <w:sz w:val="26"/>
          <w:szCs w:val="26"/>
        </w:rPr>
        <w:t xml:space="preserve"> </w:t>
      </w:r>
      <w:r w:rsidR="00CF1D4D" w:rsidRPr="00174BD1">
        <w:rPr>
          <w:b/>
          <w:sz w:val="26"/>
          <w:szCs w:val="26"/>
        </w:rPr>
        <w:t xml:space="preserve"> </w:t>
      </w:r>
      <w:r w:rsidR="002C27BB" w:rsidRPr="00174BD1">
        <w:rPr>
          <w:b/>
          <w:sz w:val="26"/>
          <w:szCs w:val="26"/>
        </w:rPr>
        <w:t xml:space="preserve"> </w:t>
      </w:r>
      <w:r w:rsidR="006F5939" w:rsidRPr="00174BD1">
        <w:rPr>
          <w:b/>
          <w:sz w:val="26"/>
          <w:szCs w:val="26"/>
        </w:rPr>
        <w:t xml:space="preserve"> </w:t>
      </w:r>
    </w:p>
    <w:p w:rsidR="00AD0A03" w:rsidRDefault="00AD0A03" w:rsidP="00174BD1">
      <w:pPr>
        <w:spacing w:line="360" w:lineRule="auto"/>
        <w:ind w:firstLine="1440"/>
        <w:rPr>
          <w:sz w:val="26"/>
          <w:szCs w:val="26"/>
        </w:rPr>
      </w:pPr>
    </w:p>
    <w:p w:rsidR="009D0581" w:rsidRDefault="00174BD1" w:rsidP="00174BD1">
      <w:pPr>
        <w:spacing w:line="360" w:lineRule="auto"/>
        <w:ind w:firstLine="1440"/>
        <w:rPr>
          <w:sz w:val="26"/>
          <w:szCs w:val="26"/>
        </w:rPr>
      </w:pPr>
      <w:r>
        <w:rPr>
          <w:sz w:val="26"/>
          <w:szCs w:val="26"/>
        </w:rPr>
        <w:t xml:space="preserve">The OAG and </w:t>
      </w:r>
      <w:r w:rsidR="00AD0A03">
        <w:rPr>
          <w:sz w:val="26"/>
          <w:szCs w:val="26"/>
        </w:rPr>
        <w:t xml:space="preserve">the </w:t>
      </w:r>
      <w:r>
        <w:rPr>
          <w:sz w:val="26"/>
          <w:szCs w:val="26"/>
        </w:rPr>
        <w:t xml:space="preserve">OCA argue that IDT has not, as a threshold consideration, </w:t>
      </w:r>
      <w:r w:rsidR="00DA25C9">
        <w:rPr>
          <w:sz w:val="26"/>
          <w:szCs w:val="26"/>
        </w:rPr>
        <w:t>shown</w:t>
      </w:r>
      <w:r>
        <w:rPr>
          <w:sz w:val="26"/>
          <w:szCs w:val="26"/>
        </w:rPr>
        <w:t xml:space="preserve"> compelling reasons for interlocutory Commission review.  </w:t>
      </w:r>
      <w:r w:rsidR="009D0581">
        <w:rPr>
          <w:sz w:val="26"/>
          <w:szCs w:val="26"/>
        </w:rPr>
        <w:t>J</w:t>
      </w:r>
      <w:r w:rsidR="007E74CC">
        <w:rPr>
          <w:sz w:val="26"/>
          <w:szCs w:val="26"/>
        </w:rPr>
        <w:t>oi</w:t>
      </w:r>
      <w:r w:rsidR="009D0581">
        <w:rPr>
          <w:sz w:val="26"/>
          <w:szCs w:val="26"/>
        </w:rPr>
        <w:t>nt Brief</w:t>
      </w:r>
      <w:r w:rsidR="007E74CC">
        <w:rPr>
          <w:sz w:val="26"/>
          <w:szCs w:val="26"/>
        </w:rPr>
        <w:t xml:space="preserve"> in Opposition at</w:t>
      </w:r>
      <w:r w:rsidR="009D0581">
        <w:rPr>
          <w:sz w:val="26"/>
          <w:szCs w:val="26"/>
        </w:rPr>
        <w:t xml:space="preserve"> 5-7.  They emphasize that the correctness of the ALJ</w:t>
      </w:r>
      <w:r w:rsidR="007E74CC">
        <w:rPr>
          <w:sz w:val="26"/>
          <w:szCs w:val="26"/>
        </w:rPr>
        <w:t>s</w:t>
      </w:r>
      <w:r w:rsidR="009D0581">
        <w:rPr>
          <w:sz w:val="26"/>
          <w:szCs w:val="26"/>
        </w:rPr>
        <w:t xml:space="preserve">’ ruling and the desire to avoid litigation of an issue </w:t>
      </w:r>
      <w:r w:rsidR="000547FA">
        <w:rPr>
          <w:sz w:val="26"/>
          <w:szCs w:val="26"/>
        </w:rPr>
        <w:t>are</w:t>
      </w:r>
      <w:r w:rsidR="009D0581">
        <w:rPr>
          <w:sz w:val="26"/>
          <w:szCs w:val="26"/>
        </w:rPr>
        <w:t xml:space="preserve"> not justification for interlocutory review.  </w:t>
      </w:r>
      <w:r w:rsidR="009D0581">
        <w:rPr>
          <w:i/>
          <w:sz w:val="26"/>
          <w:szCs w:val="26"/>
        </w:rPr>
        <w:t>Id</w:t>
      </w:r>
      <w:r w:rsidR="009D0581">
        <w:rPr>
          <w:sz w:val="26"/>
          <w:szCs w:val="26"/>
        </w:rPr>
        <w:t>.</w:t>
      </w:r>
      <w:r w:rsidR="007E74CC">
        <w:rPr>
          <w:sz w:val="26"/>
          <w:szCs w:val="26"/>
        </w:rPr>
        <w:t xml:space="preserve"> at</w:t>
      </w:r>
      <w:r w:rsidR="009D0581">
        <w:rPr>
          <w:sz w:val="26"/>
          <w:szCs w:val="26"/>
        </w:rPr>
        <w:t xml:space="preserve"> 6.</w:t>
      </w:r>
    </w:p>
    <w:p w:rsidR="009D0581" w:rsidRDefault="009D0581" w:rsidP="00174BD1">
      <w:pPr>
        <w:spacing w:line="360" w:lineRule="auto"/>
        <w:ind w:firstLine="1440"/>
        <w:rPr>
          <w:sz w:val="26"/>
          <w:szCs w:val="26"/>
        </w:rPr>
      </w:pPr>
    </w:p>
    <w:p w:rsidR="009D0581" w:rsidRDefault="009D0581" w:rsidP="00174BD1">
      <w:pPr>
        <w:spacing w:line="360" w:lineRule="auto"/>
        <w:ind w:firstLine="1440"/>
        <w:rPr>
          <w:sz w:val="26"/>
          <w:szCs w:val="26"/>
        </w:rPr>
      </w:pPr>
      <w:r>
        <w:rPr>
          <w:sz w:val="26"/>
          <w:szCs w:val="26"/>
        </w:rPr>
        <w:lastRenderedPageBreak/>
        <w:t>Concerning the merits of the ALJ</w:t>
      </w:r>
      <w:r w:rsidR="007E74CC">
        <w:rPr>
          <w:sz w:val="26"/>
          <w:szCs w:val="26"/>
        </w:rPr>
        <w:t>s</w:t>
      </w:r>
      <w:r>
        <w:rPr>
          <w:sz w:val="26"/>
          <w:szCs w:val="26"/>
        </w:rPr>
        <w:t>’ ruling, the J</w:t>
      </w:r>
      <w:r w:rsidR="00DA25C9">
        <w:rPr>
          <w:sz w:val="26"/>
          <w:szCs w:val="26"/>
        </w:rPr>
        <w:t>oint</w:t>
      </w:r>
      <w:r>
        <w:rPr>
          <w:sz w:val="26"/>
          <w:szCs w:val="26"/>
        </w:rPr>
        <w:t xml:space="preserve"> </w:t>
      </w:r>
      <w:r w:rsidR="007E74CC">
        <w:rPr>
          <w:sz w:val="26"/>
          <w:szCs w:val="26"/>
        </w:rPr>
        <w:t xml:space="preserve">Complainants </w:t>
      </w:r>
      <w:r>
        <w:rPr>
          <w:sz w:val="26"/>
          <w:szCs w:val="26"/>
        </w:rPr>
        <w:t>argue that</w:t>
      </w:r>
      <w:r w:rsidR="00DA25C9">
        <w:rPr>
          <w:sz w:val="26"/>
          <w:szCs w:val="26"/>
        </w:rPr>
        <w:t>,</w:t>
      </w:r>
      <w:r>
        <w:rPr>
          <w:sz w:val="26"/>
          <w:szCs w:val="26"/>
        </w:rPr>
        <w:t xml:space="preserve"> should the Commission decide to answer the question, it should be answered in the affirmative</w:t>
      </w:r>
      <w:r w:rsidRPr="00D53276">
        <w:rPr>
          <w:i/>
          <w:sz w:val="26"/>
          <w:szCs w:val="26"/>
        </w:rPr>
        <w:t>.</w:t>
      </w:r>
      <w:r>
        <w:rPr>
          <w:sz w:val="26"/>
          <w:szCs w:val="26"/>
        </w:rPr>
        <w:t xml:space="preserve">  </w:t>
      </w:r>
      <w:r w:rsidR="007E74CC">
        <w:rPr>
          <w:i/>
          <w:sz w:val="26"/>
          <w:szCs w:val="26"/>
        </w:rPr>
        <w:t>Id.</w:t>
      </w:r>
      <w:r w:rsidR="007E74CC">
        <w:rPr>
          <w:sz w:val="26"/>
          <w:szCs w:val="26"/>
        </w:rPr>
        <w:t xml:space="preserve"> at</w:t>
      </w:r>
      <w:r>
        <w:rPr>
          <w:sz w:val="26"/>
          <w:szCs w:val="26"/>
        </w:rPr>
        <w:t xml:space="preserve"> 8-12.</w:t>
      </w:r>
    </w:p>
    <w:p w:rsidR="009D0581" w:rsidRDefault="009D0581" w:rsidP="00174BD1">
      <w:pPr>
        <w:spacing w:line="360" w:lineRule="auto"/>
        <w:ind w:firstLine="1440"/>
        <w:rPr>
          <w:sz w:val="26"/>
          <w:szCs w:val="26"/>
        </w:rPr>
      </w:pPr>
    </w:p>
    <w:p w:rsidR="001108C1" w:rsidRDefault="005164AF" w:rsidP="00174BD1">
      <w:pPr>
        <w:spacing w:line="360" w:lineRule="auto"/>
        <w:ind w:firstLine="1440"/>
        <w:rPr>
          <w:sz w:val="26"/>
          <w:szCs w:val="26"/>
        </w:rPr>
      </w:pPr>
      <w:r>
        <w:rPr>
          <w:sz w:val="26"/>
          <w:szCs w:val="26"/>
        </w:rPr>
        <w:t xml:space="preserve">The OAG and </w:t>
      </w:r>
      <w:r w:rsidR="007E74CC">
        <w:rPr>
          <w:sz w:val="26"/>
          <w:szCs w:val="26"/>
        </w:rPr>
        <w:t xml:space="preserve">the </w:t>
      </w:r>
      <w:r>
        <w:rPr>
          <w:sz w:val="26"/>
          <w:szCs w:val="26"/>
        </w:rPr>
        <w:t>OCA assert that, in the present action, they seek for the Commission to use it</w:t>
      </w:r>
      <w:r w:rsidR="00DA25C9">
        <w:rPr>
          <w:sz w:val="26"/>
          <w:szCs w:val="26"/>
        </w:rPr>
        <w:t>s</w:t>
      </w:r>
      <w:r>
        <w:rPr>
          <w:sz w:val="26"/>
          <w:szCs w:val="26"/>
        </w:rPr>
        <w:t xml:space="preserve"> authority in Section 2809(e) to ensure that </w:t>
      </w:r>
      <w:r w:rsidR="0034265C">
        <w:rPr>
          <w:sz w:val="26"/>
          <w:szCs w:val="26"/>
        </w:rPr>
        <w:t xml:space="preserve">the </w:t>
      </w:r>
      <w:r>
        <w:rPr>
          <w:sz w:val="26"/>
          <w:szCs w:val="26"/>
        </w:rPr>
        <w:t xml:space="preserve">quality of service and the standards and billing practices for residential utility service are maintained.  Specifically, they argue, </w:t>
      </w:r>
      <w:r w:rsidR="00DA25C9">
        <w:rPr>
          <w:sz w:val="26"/>
          <w:szCs w:val="26"/>
        </w:rPr>
        <w:t xml:space="preserve">that </w:t>
      </w:r>
      <w:r>
        <w:rPr>
          <w:sz w:val="26"/>
          <w:szCs w:val="26"/>
        </w:rPr>
        <w:t>the multiple counts set forth in the Joint Complaint span the range of interaction between IDT and prospective and enrolled customers.  J</w:t>
      </w:r>
      <w:r w:rsidR="0034265C">
        <w:rPr>
          <w:sz w:val="26"/>
          <w:szCs w:val="26"/>
        </w:rPr>
        <w:t>oi</w:t>
      </w:r>
      <w:r>
        <w:rPr>
          <w:sz w:val="26"/>
          <w:szCs w:val="26"/>
        </w:rPr>
        <w:t>nt Brief</w:t>
      </w:r>
      <w:r w:rsidR="00DA25C9">
        <w:rPr>
          <w:sz w:val="26"/>
          <w:szCs w:val="26"/>
        </w:rPr>
        <w:t xml:space="preserve"> in Opposition</w:t>
      </w:r>
      <w:r w:rsidR="0034265C">
        <w:rPr>
          <w:sz w:val="26"/>
          <w:szCs w:val="26"/>
        </w:rPr>
        <w:t xml:space="preserve"> at</w:t>
      </w:r>
      <w:r>
        <w:rPr>
          <w:sz w:val="26"/>
          <w:szCs w:val="26"/>
        </w:rPr>
        <w:t xml:space="preserve"> 9.  They argue that the refund provision of 52 Pa. Code § 57.177(b) and (e) are implicated by their </w:t>
      </w:r>
      <w:r w:rsidR="0034265C">
        <w:rPr>
          <w:sz w:val="26"/>
          <w:szCs w:val="26"/>
        </w:rPr>
        <w:t xml:space="preserve">Joint </w:t>
      </w:r>
      <w:r>
        <w:rPr>
          <w:sz w:val="26"/>
          <w:szCs w:val="26"/>
        </w:rPr>
        <w:t>Complaint.  Thus, the refund provision is in addition to other remedies available to the Commission</w:t>
      </w:r>
      <w:r w:rsidR="00DA25C9">
        <w:rPr>
          <w:sz w:val="26"/>
          <w:szCs w:val="26"/>
        </w:rPr>
        <w:t>,</w:t>
      </w:r>
      <w:r>
        <w:rPr>
          <w:sz w:val="26"/>
          <w:szCs w:val="26"/>
        </w:rPr>
        <w:t xml:space="preserve"> such as civil penalties and suspension or revocation of IDT’s license.  </w:t>
      </w:r>
      <w:r w:rsidRPr="005164AF">
        <w:rPr>
          <w:i/>
          <w:sz w:val="26"/>
          <w:szCs w:val="26"/>
        </w:rPr>
        <w:t>See</w:t>
      </w:r>
      <w:r>
        <w:rPr>
          <w:sz w:val="26"/>
          <w:szCs w:val="26"/>
        </w:rPr>
        <w:t xml:space="preserve"> J</w:t>
      </w:r>
      <w:r w:rsidR="0034265C">
        <w:rPr>
          <w:sz w:val="26"/>
          <w:szCs w:val="26"/>
        </w:rPr>
        <w:t>oi</w:t>
      </w:r>
      <w:r>
        <w:rPr>
          <w:sz w:val="26"/>
          <w:szCs w:val="26"/>
        </w:rPr>
        <w:t>nt Brief</w:t>
      </w:r>
      <w:r w:rsidR="00DA25C9">
        <w:rPr>
          <w:sz w:val="26"/>
          <w:szCs w:val="26"/>
        </w:rPr>
        <w:t xml:space="preserve"> in Opposition </w:t>
      </w:r>
      <w:r w:rsidR="0034265C">
        <w:rPr>
          <w:sz w:val="26"/>
          <w:szCs w:val="26"/>
        </w:rPr>
        <w:t>at</w:t>
      </w:r>
      <w:r>
        <w:rPr>
          <w:sz w:val="26"/>
          <w:szCs w:val="26"/>
        </w:rPr>
        <w:t xml:space="preserve"> 10, citing </w:t>
      </w:r>
      <w:proofErr w:type="spellStart"/>
      <w:r>
        <w:rPr>
          <w:i/>
          <w:sz w:val="26"/>
          <w:szCs w:val="26"/>
        </w:rPr>
        <w:t>e.g</w:t>
      </w:r>
      <w:proofErr w:type="spellEnd"/>
      <w:r w:rsidR="0034265C">
        <w:rPr>
          <w:i/>
          <w:sz w:val="26"/>
          <w:szCs w:val="26"/>
        </w:rPr>
        <w:t>,</w:t>
      </w:r>
      <w:r>
        <w:rPr>
          <w:i/>
          <w:sz w:val="26"/>
          <w:szCs w:val="26"/>
        </w:rPr>
        <w:t>. Ensuring Customer consent to a Change or [sic] Electric</w:t>
      </w:r>
      <w:r w:rsidR="001108C1">
        <w:rPr>
          <w:i/>
          <w:sz w:val="26"/>
          <w:szCs w:val="26"/>
        </w:rPr>
        <w:t>-</w:t>
      </w:r>
      <w:r>
        <w:rPr>
          <w:i/>
          <w:sz w:val="26"/>
          <w:szCs w:val="26"/>
        </w:rPr>
        <w:t>Supplier (</w:t>
      </w:r>
      <w:proofErr w:type="spellStart"/>
      <w:r>
        <w:rPr>
          <w:i/>
          <w:sz w:val="26"/>
          <w:szCs w:val="26"/>
        </w:rPr>
        <w:t>Antislamming</w:t>
      </w:r>
      <w:proofErr w:type="spellEnd"/>
      <w:r>
        <w:rPr>
          <w:i/>
          <w:sz w:val="26"/>
          <w:szCs w:val="26"/>
        </w:rPr>
        <w:t>)</w:t>
      </w:r>
      <w:r>
        <w:rPr>
          <w:sz w:val="26"/>
          <w:szCs w:val="26"/>
        </w:rPr>
        <w:t xml:space="preserve">, 28 </w:t>
      </w:r>
      <w:r>
        <w:rPr>
          <w:i/>
          <w:sz w:val="26"/>
          <w:szCs w:val="26"/>
        </w:rPr>
        <w:t xml:space="preserve">Pa. B. </w:t>
      </w:r>
      <w:r>
        <w:rPr>
          <w:sz w:val="26"/>
          <w:szCs w:val="26"/>
        </w:rPr>
        <w:t xml:space="preserve">5770, 5774-75 (1998). </w:t>
      </w:r>
    </w:p>
    <w:p w:rsidR="001108C1" w:rsidRDefault="001108C1" w:rsidP="00174BD1">
      <w:pPr>
        <w:spacing w:line="360" w:lineRule="auto"/>
        <w:ind w:firstLine="1440"/>
        <w:rPr>
          <w:sz w:val="26"/>
          <w:szCs w:val="26"/>
        </w:rPr>
      </w:pPr>
    </w:p>
    <w:p w:rsidR="001108C1" w:rsidRPr="00C02B8F" w:rsidRDefault="001108C1" w:rsidP="00FB3C2B">
      <w:pPr>
        <w:widowControl/>
        <w:spacing w:after="200" w:line="276" w:lineRule="auto"/>
        <w:ind w:firstLine="720"/>
        <w:rPr>
          <w:b/>
          <w:sz w:val="26"/>
          <w:szCs w:val="26"/>
        </w:rPr>
      </w:pPr>
      <w:r>
        <w:rPr>
          <w:b/>
          <w:sz w:val="26"/>
          <w:szCs w:val="26"/>
        </w:rPr>
        <w:t xml:space="preserve">Disposition </w:t>
      </w:r>
    </w:p>
    <w:p w:rsidR="00DA25C9" w:rsidRDefault="00DA25C9" w:rsidP="00DA25C9">
      <w:pPr>
        <w:spacing w:line="360" w:lineRule="auto"/>
        <w:rPr>
          <w:sz w:val="26"/>
          <w:szCs w:val="26"/>
        </w:rPr>
      </w:pPr>
    </w:p>
    <w:p w:rsidR="00E979AC" w:rsidRPr="00FB3C2B" w:rsidRDefault="00E979AC" w:rsidP="00FB3C2B">
      <w:pPr>
        <w:spacing w:line="360" w:lineRule="auto"/>
        <w:ind w:firstLine="1440"/>
        <w:rPr>
          <w:b/>
          <w:sz w:val="26"/>
          <w:szCs w:val="26"/>
        </w:rPr>
      </w:pPr>
      <w:r>
        <w:rPr>
          <w:b/>
          <w:sz w:val="26"/>
          <w:szCs w:val="26"/>
        </w:rPr>
        <w:t>The Standard</w:t>
      </w:r>
      <w:r w:rsidR="00D8548A">
        <w:rPr>
          <w:b/>
          <w:sz w:val="26"/>
          <w:szCs w:val="26"/>
        </w:rPr>
        <w:t>s</w:t>
      </w:r>
      <w:r>
        <w:rPr>
          <w:b/>
          <w:sz w:val="26"/>
          <w:szCs w:val="26"/>
        </w:rPr>
        <w:t xml:space="preserve"> for Interlocutory Review Have Been Met</w:t>
      </w:r>
    </w:p>
    <w:p w:rsidR="00E979AC" w:rsidRDefault="00E979AC" w:rsidP="00DA25C9">
      <w:pPr>
        <w:spacing w:line="360" w:lineRule="auto"/>
        <w:rPr>
          <w:sz w:val="26"/>
          <w:szCs w:val="26"/>
        </w:rPr>
      </w:pPr>
    </w:p>
    <w:p w:rsidR="00274A77" w:rsidRPr="00F421DF" w:rsidRDefault="0023542F" w:rsidP="00274A77">
      <w:pPr>
        <w:spacing w:line="360" w:lineRule="auto"/>
        <w:ind w:firstLine="1440"/>
        <w:rPr>
          <w:sz w:val="26"/>
          <w:szCs w:val="26"/>
        </w:rPr>
      </w:pPr>
      <w:r>
        <w:rPr>
          <w:sz w:val="26"/>
          <w:szCs w:val="26"/>
        </w:rPr>
        <w:t xml:space="preserve">Upon review of the IDT Petition, briefs, and attachments of the Parties, we conclude that </w:t>
      </w:r>
      <w:r w:rsidR="008B22F1">
        <w:rPr>
          <w:sz w:val="26"/>
          <w:szCs w:val="26"/>
        </w:rPr>
        <w:t xml:space="preserve">there are compelling reasons to grant interlocutory review and answer the material questions.  </w:t>
      </w:r>
      <w:r w:rsidR="00274A77" w:rsidRPr="00F421DF">
        <w:rPr>
          <w:sz w:val="26"/>
          <w:szCs w:val="26"/>
        </w:rPr>
        <w:t xml:space="preserve">Granting interlocutory review </w:t>
      </w:r>
      <w:r w:rsidR="00274A77">
        <w:rPr>
          <w:sz w:val="26"/>
          <w:szCs w:val="26"/>
        </w:rPr>
        <w:t xml:space="preserve">will </w:t>
      </w:r>
      <w:r w:rsidR="00274A77" w:rsidRPr="00F421DF">
        <w:rPr>
          <w:sz w:val="26"/>
          <w:szCs w:val="26"/>
        </w:rPr>
        <w:t xml:space="preserve">expedite the conduct of multiple formal complaint proceedings initiated by the OAG/OCA against EGSs relating to variable rates by ensuring that the material questions raised in the cases are decided consistently.  </w:t>
      </w:r>
      <w:r w:rsidR="00274A77">
        <w:rPr>
          <w:sz w:val="26"/>
          <w:szCs w:val="26"/>
        </w:rPr>
        <w:t>O</w:t>
      </w:r>
      <w:r w:rsidR="00274A77" w:rsidRPr="00F421DF">
        <w:rPr>
          <w:sz w:val="26"/>
          <w:szCs w:val="26"/>
        </w:rPr>
        <w:t xml:space="preserve">rders addressing preliminary objections </w:t>
      </w:r>
      <w:r w:rsidR="00274A77">
        <w:rPr>
          <w:sz w:val="26"/>
          <w:szCs w:val="26"/>
        </w:rPr>
        <w:t>filed by EGS respondents have been</w:t>
      </w:r>
      <w:r w:rsidR="00274A77" w:rsidRPr="00F421DF">
        <w:rPr>
          <w:sz w:val="26"/>
          <w:szCs w:val="26"/>
        </w:rPr>
        <w:t xml:space="preserve"> issued in three other complaint proceedings contemporaneous to the </w:t>
      </w:r>
      <w:r w:rsidR="00274A77">
        <w:rPr>
          <w:sz w:val="26"/>
          <w:szCs w:val="26"/>
        </w:rPr>
        <w:t xml:space="preserve">August 20 Order in the instant, </w:t>
      </w:r>
      <w:r w:rsidR="00274A77" w:rsidRPr="00F421DF">
        <w:rPr>
          <w:sz w:val="26"/>
          <w:szCs w:val="26"/>
        </w:rPr>
        <w:t xml:space="preserve">IDT </w:t>
      </w:r>
      <w:r w:rsidR="00274A77">
        <w:rPr>
          <w:sz w:val="26"/>
          <w:szCs w:val="26"/>
        </w:rPr>
        <w:t>Formal Complaint.</w:t>
      </w:r>
      <w:r w:rsidR="00274A77" w:rsidRPr="00F421DF">
        <w:rPr>
          <w:sz w:val="26"/>
          <w:szCs w:val="26"/>
        </w:rPr>
        <w:t xml:space="preserve">  As noted by the OA</w:t>
      </w:r>
      <w:r w:rsidR="00274A77">
        <w:rPr>
          <w:sz w:val="26"/>
          <w:szCs w:val="26"/>
        </w:rPr>
        <w:t>G</w:t>
      </w:r>
      <w:r w:rsidR="00274A77" w:rsidRPr="00F421DF">
        <w:rPr>
          <w:sz w:val="26"/>
          <w:szCs w:val="26"/>
        </w:rPr>
        <w:t xml:space="preserve"> and </w:t>
      </w:r>
      <w:r w:rsidR="00274A77">
        <w:rPr>
          <w:sz w:val="26"/>
          <w:szCs w:val="26"/>
        </w:rPr>
        <w:t xml:space="preserve">the </w:t>
      </w:r>
      <w:r w:rsidR="00274A77" w:rsidRPr="00F421DF">
        <w:rPr>
          <w:sz w:val="26"/>
          <w:szCs w:val="26"/>
        </w:rPr>
        <w:t xml:space="preserve">OCA, the three </w:t>
      </w:r>
      <w:r w:rsidR="00274A77">
        <w:rPr>
          <w:sz w:val="26"/>
          <w:szCs w:val="26"/>
        </w:rPr>
        <w:t xml:space="preserve">ALJ interim </w:t>
      </w:r>
      <w:r w:rsidR="00274A77" w:rsidRPr="00F421DF">
        <w:rPr>
          <w:sz w:val="26"/>
          <w:szCs w:val="26"/>
        </w:rPr>
        <w:t xml:space="preserve">orders dispose of the same or similar issues, but not in the same way as </w:t>
      </w:r>
      <w:r w:rsidR="00274A77" w:rsidRPr="00F421DF">
        <w:rPr>
          <w:sz w:val="26"/>
          <w:szCs w:val="26"/>
        </w:rPr>
        <w:lastRenderedPageBreak/>
        <w:t>with IDT.  Granting interlocutory review expedites the conduct of this proceeding by clarifying the scope of the Commission’s subject matter jurisdiction and authority in this case and by ensuring the development of a full and complete factual record here that is consistent with the Commission’s jurisdiction and authority.</w:t>
      </w:r>
    </w:p>
    <w:p w:rsidR="00D8548A" w:rsidRDefault="00D8548A" w:rsidP="00DA25C9">
      <w:pPr>
        <w:spacing w:line="360" w:lineRule="auto"/>
        <w:rPr>
          <w:sz w:val="26"/>
          <w:szCs w:val="26"/>
        </w:rPr>
      </w:pPr>
    </w:p>
    <w:p w:rsidR="00EE340E" w:rsidRPr="00FB3C2B" w:rsidRDefault="00EE340E" w:rsidP="00380275">
      <w:pPr>
        <w:spacing w:line="360" w:lineRule="auto"/>
        <w:ind w:firstLine="1440"/>
        <w:rPr>
          <w:b/>
          <w:sz w:val="26"/>
          <w:szCs w:val="26"/>
        </w:rPr>
      </w:pPr>
      <w:r w:rsidRPr="00FB3C2B">
        <w:rPr>
          <w:b/>
          <w:sz w:val="26"/>
          <w:szCs w:val="26"/>
        </w:rPr>
        <w:t>Commission Refund Authority under Code Section 1312</w:t>
      </w:r>
    </w:p>
    <w:p w:rsidR="00EE340E" w:rsidRPr="00F421DF" w:rsidRDefault="00EE340E" w:rsidP="00EE340E">
      <w:pPr>
        <w:spacing w:line="360" w:lineRule="auto"/>
        <w:ind w:firstLine="1440"/>
        <w:rPr>
          <w:b/>
          <w:sz w:val="26"/>
          <w:szCs w:val="26"/>
        </w:rPr>
      </w:pPr>
    </w:p>
    <w:p w:rsidR="00EE340E" w:rsidRDefault="00EE340E" w:rsidP="00EE340E">
      <w:pPr>
        <w:spacing w:line="360" w:lineRule="auto"/>
        <w:ind w:firstLine="1440"/>
        <w:rPr>
          <w:sz w:val="26"/>
          <w:szCs w:val="26"/>
        </w:rPr>
      </w:pPr>
      <w:r>
        <w:rPr>
          <w:sz w:val="26"/>
          <w:szCs w:val="26"/>
        </w:rPr>
        <w:t>In the IDT Petition, the q</w:t>
      </w:r>
      <w:r w:rsidRPr="00F421DF">
        <w:rPr>
          <w:sz w:val="26"/>
          <w:szCs w:val="26"/>
        </w:rPr>
        <w:t xml:space="preserve">uestion </w:t>
      </w:r>
      <w:r>
        <w:rPr>
          <w:sz w:val="26"/>
          <w:szCs w:val="26"/>
        </w:rPr>
        <w:t>is raised as to</w:t>
      </w:r>
      <w:r w:rsidRPr="00F421DF">
        <w:rPr>
          <w:sz w:val="26"/>
          <w:szCs w:val="26"/>
        </w:rPr>
        <w:t xml:space="preserve"> whether the Commission has the authority under Section 1312 of the Code</w:t>
      </w:r>
      <w:r>
        <w:rPr>
          <w:sz w:val="26"/>
          <w:szCs w:val="26"/>
        </w:rPr>
        <w:t xml:space="preserve">, 66 Pa. </w:t>
      </w:r>
      <w:r w:rsidR="00056E1D">
        <w:rPr>
          <w:sz w:val="26"/>
          <w:szCs w:val="26"/>
        </w:rPr>
        <w:t>C.S.</w:t>
      </w:r>
      <w:r>
        <w:rPr>
          <w:sz w:val="26"/>
          <w:szCs w:val="26"/>
        </w:rPr>
        <w:t xml:space="preserve"> § 1312,</w:t>
      </w:r>
      <w:r w:rsidRPr="00F421DF">
        <w:rPr>
          <w:sz w:val="26"/>
          <w:szCs w:val="26"/>
        </w:rPr>
        <w:t xml:space="preserve"> to order EGSs to issue refunds to customers.  Upon review and consideration</w:t>
      </w:r>
      <w:r>
        <w:rPr>
          <w:sz w:val="26"/>
          <w:szCs w:val="26"/>
        </w:rPr>
        <w:t xml:space="preserve"> of the question</w:t>
      </w:r>
      <w:r w:rsidRPr="00F421DF">
        <w:rPr>
          <w:sz w:val="26"/>
          <w:szCs w:val="26"/>
        </w:rPr>
        <w:t xml:space="preserve">, </w:t>
      </w:r>
      <w:r>
        <w:rPr>
          <w:sz w:val="26"/>
          <w:szCs w:val="26"/>
        </w:rPr>
        <w:t>we</w:t>
      </w:r>
      <w:r w:rsidRPr="00F421DF">
        <w:rPr>
          <w:sz w:val="26"/>
          <w:szCs w:val="26"/>
        </w:rPr>
        <w:t xml:space="preserve"> </w:t>
      </w:r>
      <w:r>
        <w:rPr>
          <w:sz w:val="26"/>
          <w:szCs w:val="26"/>
        </w:rPr>
        <w:t>shall answer the</w:t>
      </w:r>
      <w:r w:rsidRPr="00F421DF">
        <w:rPr>
          <w:sz w:val="26"/>
          <w:szCs w:val="26"/>
        </w:rPr>
        <w:t xml:space="preserve"> question in the negative.  </w:t>
      </w:r>
    </w:p>
    <w:p w:rsidR="00EE340E" w:rsidRDefault="00EE340E" w:rsidP="00EE340E">
      <w:pPr>
        <w:spacing w:line="360" w:lineRule="auto"/>
        <w:ind w:firstLine="1440"/>
        <w:rPr>
          <w:sz w:val="26"/>
          <w:szCs w:val="26"/>
        </w:rPr>
      </w:pPr>
    </w:p>
    <w:p w:rsidR="00EE340E" w:rsidRPr="00F421DF" w:rsidRDefault="00EE340E" w:rsidP="00EE340E">
      <w:pPr>
        <w:spacing w:line="360" w:lineRule="auto"/>
        <w:ind w:firstLine="1440"/>
        <w:rPr>
          <w:sz w:val="26"/>
          <w:szCs w:val="26"/>
        </w:rPr>
      </w:pPr>
      <w:r w:rsidRPr="00F421DF">
        <w:rPr>
          <w:sz w:val="26"/>
          <w:szCs w:val="26"/>
        </w:rPr>
        <w:t>Although Section 1312</w:t>
      </w:r>
      <w:r>
        <w:rPr>
          <w:sz w:val="26"/>
          <w:szCs w:val="26"/>
        </w:rPr>
        <w:t xml:space="preserve"> of the Code</w:t>
      </w:r>
      <w:r w:rsidRPr="00F421DF">
        <w:rPr>
          <w:sz w:val="26"/>
          <w:szCs w:val="26"/>
        </w:rPr>
        <w:t xml:space="preserve"> affirms the Commission’s authority to direct public utility refunds to customers in certain circumstances, Section 1312 does not apply to EGSs.  This is because EGSs are not </w:t>
      </w:r>
      <w:r>
        <w:rPr>
          <w:sz w:val="26"/>
          <w:szCs w:val="26"/>
        </w:rPr>
        <w:t>“</w:t>
      </w:r>
      <w:r w:rsidRPr="00F421DF">
        <w:rPr>
          <w:sz w:val="26"/>
          <w:szCs w:val="26"/>
        </w:rPr>
        <w:t>public utilities</w:t>
      </w:r>
      <w:r>
        <w:rPr>
          <w:sz w:val="26"/>
          <w:szCs w:val="26"/>
        </w:rPr>
        <w:t>”</w:t>
      </w:r>
      <w:r w:rsidRPr="00F421DF">
        <w:rPr>
          <w:sz w:val="26"/>
          <w:szCs w:val="26"/>
        </w:rPr>
        <w:t xml:space="preserve"> </w:t>
      </w:r>
      <w:r w:rsidR="00FA57F7">
        <w:rPr>
          <w:sz w:val="26"/>
          <w:szCs w:val="26"/>
        </w:rPr>
        <w:t xml:space="preserve">under the Code </w:t>
      </w:r>
      <w:r w:rsidRPr="00F421DF">
        <w:rPr>
          <w:sz w:val="26"/>
          <w:szCs w:val="26"/>
        </w:rPr>
        <w:t>except for</w:t>
      </w:r>
      <w:r w:rsidR="00FA57F7">
        <w:rPr>
          <w:sz w:val="26"/>
          <w:szCs w:val="26"/>
        </w:rPr>
        <w:t xml:space="preserve"> the</w:t>
      </w:r>
      <w:r w:rsidRPr="00F421DF">
        <w:rPr>
          <w:sz w:val="26"/>
          <w:szCs w:val="26"/>
        </w:rPr>
        <w:t xml:space="preserve"> limited purposes of 66 Pa. </w:t>
      </w:r>
      <w:r w:rsidR="00056E1D">
        <w:rPr>
          <w:sz w:val="26"/>
          <w:szCs w:val="26"/>
        </w:rPr>
        <w:t>C.S.</w:t>
      </w:r>
      <w:r w:rsidRPr="00F421DF">
        <w:rPr>
          <w:sz w:val="26"/>
          <w:szCs w:val="26"/>
        </w:rPr>
        <w:t xml:space="preserve"> § 2809 and § 2810, neither </w:t>
      </w:r>
      <w:r w:rsidR="0079731F">
        <w:rPr>
          <w:sz w:val="26"/>
          <w:szCs w:val="26"/>
        </w:rPr>
        <w:t xml:space="preserve">of </w:t>
      </w:r>
      <w:r w:rsidRPr="00F421DF">
        <w:rPr>
          <w:sz w:val="26"/>
          <w:szCs w:val="26"/>
        </w:rPr>
        <w:t xml:space="preserve">which apply </w:t>
      </w:r>
      <w:r>
        <w:rPr>
          <w:sz w:val="26"/>
          <w:szCs w:val="26"/>
        </w:rPr>
        <w:t>in this Formal Complaint</w:t>
      </w:r>
      <w:r w:rsidRPr="00F421DF">
        <w:rPr>
          <w:sz w:val="26"/>
          <w:szCs w:val="26"/>
        </w:rPr>
        <w:t>.</w:t>
      </w:r>
      <w:r w:rsidRPr="00F421DF">
        <w:rPr>
          <w:rStyle w:val="FootnoteReference"/>
          <w:sz w:val="26"/>
          <w:szCs w:val="26"/>
        </w:rPr>
        <w:footnoteReference w:id="6"/>
      </w:r>
      <w:r w:rsidRPr="00F421DF">
        <w:rPr>
          <w:sz w:val="26"/>
          <w:szCs w:val="26"/>
        </w:rPr>
        <w:t xml:space="preserve">  Therefore, </w:t>
      </w:r>
      <w:r w:rsidR="001004BC">
        <w:rPr>
          <w:sz w:val="26"/>
          <w:szCs w:val="26"/>
        </w:rPr>
        <w:t>we</w:t>
      </w:r>
      <w:r w:rsidRPr="00F421DF">
        <w:rPr>
          <w:sz w:val="26"/>
          <w:szCs w:val="26"/>
        </w:rPr>
        <w:t xml:space="preserve"> do not </w:t>
      </w:r>
      <w:r w:rsidR="007176C0">
        <w:rPr>
          <w:sz w:val="26"/>
          <w:szCs w:val="26"/>
        </w:rPr>
        <w:t xml:space="preserve">reach the conclusion </w:t>
      </w:r>
      <w:r w:rsidR="00FA57F7">
        <w:rPr>
          <w:sz w:val="26"/>
          <w:szCs w:val="26"/>
        </w:rPr>
        <w:t xml:space="preserve">as did the August 20 Order, </w:t>
      </w:r>
      <w:r w:rsidR="007176C0">
        <w:rPr>
          <w:sz w:val="26"/>
          <w:szCs w:val="26"/>
        </w:rPr>
        <w:t>t</w:t>
      </w:r>
      <w:r w:rsidRPr="00F421DF">
        <w:rPr>
          <w:sz w:val="26"/>
          <w:szCs w:val="26"/>
        </w:rPr>
        <w:t xml:space="preserve">hat Section 1312 provides the Commission with the </w:t>
      </w:r>
      <w:r w:rsidR="001004BC">
        <w:rPr>
          <w:sz w:val="26"/>
          <w:szCs w:val="26"/>
        </w:rPr>
        <w:t xml:space="preserve">requisite </w:t>
      </w:r>
      <w:r w:rsidRPr="00F421DF">
        <w:rPr>
          <w:sz w:val="26"/>
          <w:szCs w:val="26"/>
        </w:rPr>
        <w:t xml:space="preserve">authority to direct EGS refunds. </w:t>
      </w:r>
    </w:p>
    <w:p w:rsidR="00EE340E" w:rsidRPr="00F421DF" w:rsidRDefault="00EE340E" w:rsidP="00EE340E">
      <w:pPr>
        <w:spacing w:line="360" w:lineRule="auto"/>
        <w:ind w:firstLine="1440"/>
        <w:rPr>
          <w:sz w:val="26"/>
          <w:szCs w:val="26"/>
        </w:rPr>
      </w:pPr>
    </w:p>
    <w:p w:rsidR="00EE340E" w:rsidRPr="00F421DF" w:rsidRDefault="00FA57F7" w:rsidP="00EE340E">
      <w:pPr>
        <w:spacing w:line="360" w:lineRule="auto"/>
        <w:ind w:firstLine="1440"/>
        <w:rPr>
          <w:sz w:val="26"/>
          <w:szCs w:val="26"/>
        </w:rPr>
      </w:pPr>
      <w:r>
        <w:rPr>
          <w:sz w:val="26"/>
          <w:szCs w:val="26"/>
        </w:rPr>
        <w:t>Notwithstanding Section 1312 of the Code, w</w:t>
      </w:r>
      <w:r w:rsidR="001004BC">
        <w:rPr>
          <w:sz w:val="26"/>
          <w:szCs w:val="26"/>
        </w:rPr>
        <w:t>e</w:t>
      </w:r>
      <w:r w:rsidR="00EE340E" w:rsidRPr="00F421DF">
        <w:rPr>
          <w:sz w:val="26"/>
          <w:szCs w:val="26"/>
        </w:rPr>
        <w:t xml:space="preserve"> note, however, that nothing precludes an EGS from agreeing to issue refunds as part of a settlement of a Commission </w:t>
      </w:r>
      <w:r w:rsidR="001004BC">
        <w:rPr>
          <w:sz w:val="26"/>
          <w:szCs w:val="26"/>
        </w:rPr>
        <w:t>proceeding arising pursuant to the Code</w:t>
      </w:r>
      <w:r w:rsidR="00EE340E" w:rsidRPr="00F421DF">
        <w:rPr>
          <w:sz w:val="26"/>
          <w:szCs w:val="26"/>
        </w:rPr>
        <w:t>.</w:t>
      </w:r>
      <w:r w:rsidR="001004BC">
        <w:rPr>
          <w:sz w:val="26"/>
          <w:szCs w:val="26"/>
        </w:rPr>
        <w:t xml:space="preserve"> </w:t>
      </w:r>
      <w:r w:rsidR="007176C0">
        <w:rPr>
          <w:i/>
          <w:sz w:val="26"/>
          <w:szCs w:val="26"/>
        </w:rPr>
        <w:t>See, e</w:t>
      </w:r>
      <w:r w:rsidR="001004BC">
        <w:rPr>
          <w:i/>
          <w:sz w:val="26"/>
          <w:szCs w:val="26"/>
        </w:rPr>
        <w:t>.g.</w:t>
      </w:r>
      <w:r w:rsidR="001004BC">
        <w:rPr>
          <w:sz w:val="26"/>
          <w:szCs w:val="26"/>
        </w:rPr>
        <w:t xml:space="preserve">, 66 Pa. </w:t>
      </w:r>
      <w:r w:rsidR="00056E1D">
        <w:rPr>
          <w:sz w:val="26"/>
          <w:szCs w:val="26"/>
        </w:rPr>
        <w:t>C.S.</w:t>
      </w:r>
      <w:r w:rsidR="001004BC">
        <w:rPr>
          <w:sz w:val="26"/>
          <w:szCs w:val="26"/>
        </w:rPr>
        <w:t xml:space="preserve"> § 701</w:t>
      </w:r>
      <w:r w:rsidR="007176C0">
        <w:rPr>
          <w:sz w:val="26"/>
          <w:szCs w:val="26"/>
        </w:rPr>
        <w:t xml:space="preserve">; also 66 Pa. </w:t>
      </w:r>
      <w:r w:rsidR="00056E1D">
        <w:rPr>
          <w:sz w:val="26"/>
          <w:szCs w:val="26"/>
        </w:rPr>
        <w:t>C.S.</w:t>
      </w:r>
      <w:r w:rsidR="007176C0">
        <w:rPr>
          <w:sz w:val="26"/>
          <w:szCs w:val="26"/>
        </w:rPr>
        <w:t xml:space="preserve"> </w:t>
      </w:r>
      <w:r w:rsidR="00E80D18">
        <w:rPr>
          <w:sz w:val="26"/>
          <w:szCs w:val="26"/>
        </w:rPr>
        <w:br/>
      </w:r>
      <w:r w:rsidR="007176C0">
        <w:rPr>
          <w:sz w:val="26"/>
          <w:szCs w:val="26"/>
        </w:rPr>
        <w:t>§ 103(c)</w:t>
      </w:r>
      <w:r w:rsidR="00E80D18">
        <w:rPr>
          <w:sz w:val="26"/>
          <w:szCs w:val="26"/>
        </w:rPr>
        <w:t xml:space="preserve"> and</w:t>
      </w:r>
      <w:r w:rsidR="007176C0">
        <w:rPr>
          <w:sz w:val="26"/>
          <w:szCs w:val="26"/>
        </w:rPr>
        <w:t xml:space="preserve"> 66 Pa. </w:t>
      </w:r>
      <w:r w:rsidR="00056E1D">
        <w:rPr>
          <w:sz w:val="26"/>
          <w:szCs w:val="26"/>
        </w:rPr>
        <w:t>C.S.</w:t>
      </w:r>
      <w:r w:rsidR="007176C0">
        <w:rPr>
          <w:sz w:val="26"/>
          <w:szCs w:val="26"/>
        </w:rPr>
        <w:t xml:space="preserve"> § 3309(a). </w:t>
      </w:r>
      <w:r w:rsidR="00EE340E" w:rsidRPr="00F421DF">
        <w:rPr>
          <w:sz w:val="26"/>
          <w:szCs w:val="26"/>
        </w:rPr>
        <w:t xml:space="preserve"> The Commission has, in fact, approved the issuance of refunds that were agreed to by an EGS as part of a settlement to resolve a complaint.</w:t>
      </w:r>
      <w:r w:rsidR="00EE340E" w:rsidRPr="00F421DF">
        <w:rPr>
          <w:rStyle w:val="FootnoteReference"/>
          <w:sz w:val="26"/>
          <w:szCs w:val="26"/>
        </w:rPr>
        <w:footnoteReference w:id="7"/>
      </w:r>
      <w:r w:rsidR="00EE340E" w:rsidRPr="00F421DF">
        <w:rPr>
          <w:sz w:val="26"/>
          <w:szCs w:val="26"/>
        </w:rPr>
        <w:t xml:space="preserve">  </w:t>
      </w:r>
      <w:r w:rsidR="001004BC">
        <w:rPr>
          <w:sz w:val="26"/>
          <w:szCs w:val="26"/>
        </w:rPr>
        <w:lastRenderedPageBreak/>
        <w:t>We</w:t>
      </w:r>
      <w:r w:rsidR="00EE340E" w:rsidRPr="00F421DF">
        <w:rPr>
          <w:sz w:val="26"/>
          <w:szCs w:val="26"/>
        </w:rPr>
        <w:t xml:space="preserve"> further note that </w:t>
      </w:r>
      <w:r w:rsidR="007176C0">
        <w:rPr>
          <w:sz w:val="26"/>
          <w:szCs w:val="26"/>
        </w:rPr>
        <w:t xml:space="preserve">pursuant to the Commission’s Regulations at </w:t>
      </w:r>
      <w:r w:rsidR="007176C0" w:rsidRPr="001004BC">
        <w:rPr>
          <w:sz w:val="26"/>
          <w:szCs w:val="26"/>
        </w:rPr>
        <w:t xml:space="preserve">52 Pa. Code </w:t>
      </w:r>
      <w:r w:rsidR="00E80D18">
        <w:rPr>
          <w:sz w:val="26"/>
          <w:szCs w:val="26"/>
        </w:rPr>
        <w:br/>
      </w:r>
      <w:r w:rsidR="007176C0" w:rsidRPr="001004BC">
        <w:rPr>
          <w:sz w:val="26"/>
          <w:szCs w:val="26"/>
        </w:rPr>
        <w:t>§ 57.177(b)</w:t>
      </w:r>
      <w:r w:rsidR="007176C0">
        <w:rPr>
          <w:sz w:val="26"/>
          <w:szCs w:val="26"/>
        </w:rPr>
        <w:t>,</w:t>
      </w:r>
      <w:r w:rsidR="007176C0" w:rsidRPr="001004BC">
        <w:rPr>
          <w:sz w:val="26"/>
          <w:szCs w:val="26"/>
        </w:rPr>
        <w:t xml:space="preserve"> </w:t>
      </w:r>
      <w:r w:rsidR="007176C0">
        <w:rPr>
          <w:sz w:val="26"/>
          <w:szCs w:val="26"/>
        </w:rPr>
        <w:t xml:space="preserve">the </w:t>
      </w:r>
      <w:r w:rsidR="00EE340E" w:rsidRPr="00F421DF">
        <w:rPr>
          <w:sz w:val="26"/>
          <w:szCs w:val="26"/>
        </w:rPr>
        <w:t xml:space="preserve">Commission can direct EGS refunds for </w:t>
      </w:r>
      <w:r>
        <w:rPr>
          <w:sz w:val="26"/>
          <w:szCs w:val="26"/>
        </w:rPr>
        <w:t>“</w:t>
      </w:r>
      <w:r w:rsidR="00EE340E" w:rsidRPr="00F421DF">
        <w:rPr>
          <w:sz w:val="26"/>
          <w:szCs w:val="26"/>
        </w:rPr>
        <w:t>slamming</w:t>
      </w:r>
      <w:r>
        <w:rPr>
          <w:sz w:val="26"/>
          <w:szCs w:val="26"/>
        </w:rPr>
        <w:t>”</w:t>
      </w:r>
      <w:r w:rsidR="00EE340E" w:rsidRPr="00F421DF">
        <w:rPr>
          <w:sz w:val="26"/>
          <w:szCs w:val="26"/>
        </w:rPr>
        <w:t xml:space="preserve"> or </w:t>
      </w:r>
      <w:r w:rsidR="007176C0">
        <w:rPr>
          <w:sz w:val="26"/>
          <w:szCs w:val="26"/>
        </w:rPr>
        <w:t xml:space="preserve">direct refunds when </w:t>
      </w:r>
      <w:r w:rsidR="00EE340E" w:rsidRPr="00F421DF">
        <w:rPr>
          <w:sz w:val="26"/>
          <w:szCs w:val="26"/>
        </w:rPr>
        <w:t>a customer has</w:t>
      </w:r>
      <w:r>
        <w:rPr>
          <w:sz w:val="26"/>
          <w:szCs w:val="26"/>
        </w:rPr>
        <w:t>, otherwise,</w:t>
      </w:r>
      <w:r w:rsidR="00EE340E" w:rsidRPr="00F421DF">
        <w:rPr>
          <w:sz w:val="26"/>
          <w:szCs w:val="26"/>
        </w:rPr>
        <w:t xml:space="preserve"> been switched to an EGS without the customer’s consent.</w:t>
      </w:r>
      <w:r w:rsidR="00EE340E" w:rsidRPr="00F421DF">
        <w:rPr>
          <w:rStyle w:val="FootnoteReference"/>
          <w:sz w:val="26"/>
          <w:szCs w:val="26"/>
        </w:rPr>
        <w:footnoteReference w:id="8"/>
      </w:r>
      <w:r w:rsidR="00EE340E" w:rsidRPr="00F421DF">
        <w:rPr>
          <w:sz w:val="26"/>
          <w:szCs w:val="26"/>
        </w:rPr>
        <w:t xml:space="preserve">      </w:t>
      </w:r>
    </w:p>
    <w:p w:rsidR="00EE340E" w:rsidRPr="00F421DF" w:rsidRDefault="00EE340E" w:rsidP="00EE340E">
      <w:pPr>
        <w:spacing w:line="360" w:lineRule="auto"/>
        <w:ind w:firstLine="1440"/>
        <w:rPr>
          <w:sz w:val="26"/>
          <w:szCs w:val="26"/>
        </w:rPr>
      </w:pPr>
      <w:r w:rsidRPr="00F421DF">
        <w:rPr>
          <w:sz w:val="26"/>
          <w:szCs w:val="26"/>
        </w:rPr>
        <w:t xml:space="preserve"> </w:t>
      </w:r>
    </w:p>
    <w:p w:rsidR="00EE340E" w:rsidRPr="00F421DF" w:rsidRDefault="00EE340E" w:rsidP="00EE340E">
      <w:pPr>
        <w:spacing w:line="360" w:lineRule="auto"/>
        <w:ind w:firstLine="1440"/>
        <w:rPr>
          <w:sz w:val="26"/>
          <w:szCs w:val="26"/>
        </w:rPr>
      </w:pPr>
      <w:r w:rsidRPr="00F421DF">
        <w:rPr>
          <w:sz w:val="26"/>
          <w:szCs w:val="26"/>
        </w:rPr>
        <w:t xml:space="preserve">Notwithstanding </w:t>
      </w:r>
      <w:r w:rsidR="00CF33E3">
        <w:rPr>
          <w:sz w:val="26"/>
          <w:szCs w:val="26"/>
        </w:rPr>
        <w:t xml:space="preserve">our </w:t>
      </w:r>
      <w:r w:rsidRPr="00F421DF">
        <w:rPr>
          <w:sz w:val="26"/>
          <w:szCs w:val="26"/>
        </w:rPr>
        <w:t>Section 1312 analysis</w:t>
      </w:r>
      <w:r w:rsidR="00FA57F7">
        <w:rPr>
          <w:sz w:val="26"/>
          <w:szCs w:val="26"/>
        </w:rPr>
        <w:t xml:space="preserve"> pursuant to the Code</w:t>
      </w:r>
      <w:r w:rsidRPr="00F421DF">
        <w:rPr>
          <w:sz w:val="26"/>
          <w:szCs w:val="26"/>
        </w:rPr>
        <w:t>,</w:t>
      </w:r>
      <w:r w:rsidR="00CF33E3">
        <w:rPr>
          <w:sz w:val="26"/>
          <w:szCs w:val="26"/>
        </w:rPr>
        <w:t xml:space="preserve"> we hold that</w:t>
      </w:r>
      <w:r w:rsidRPr="00F421DF">
        <w:rPr>
          <w:sz w:val="26"/>
          <w:szCs w:val="26"/>
        </w:rPr>
        <w:t xml:space="preserve"> the Commission has plenary authority under Section 501</w:t>
      </w:r>
      <w:r w:rsidR="00CF33E3">
        <w:rPr>
          <w:sz w:val="26"/>
          <w:szCs w:val="26"/>
        </w:rPr>
        <w:t xml:space="preserve">, 66 Pa. </w:t>
      </w:r>
      <w:r w:rsidR="00056E1D">
        <w:rPr>
          <w:sz w:val="26"/>
          <w:szCs w:val="26"/>
        </w:rPr>
        <w:t>C.S.</w:t>
      </w:r>
      <w:r w:rsidR="00CF33E3">
        <w:rPr>
          <w:sz w:val="26"/>
          <w:szCs w:val="26"/>
        </w:rPr>
        <w:t xml:space="preserve"> § 501,</w:t>
      </w:r>
      <w:r w:rsidRPr="00F421DF">
        <w:rPr>
          <w:sz w:val="26"/>
          <w:szCs w:val="26"/>
        </w:rPr>
        <w:t xml:space="preserve"> to direct an EGS to issue a credit or refund for an over bill.  Under Section 501 and related case law, the Commission has broad authority to enforce the </w:t>
      </w:r>
      <w:r w:rsidR="00FA57F7">
        <w:rPr>
          <w:sz w:val="26"/>
          <w:szCs w:val="26"/>
        </w:rPr>
        <w:t xml:space="preserve">provisions of the </w:t>
      </w:r>
      <w:r w:rsidRPr="00F421DF">
        <w:rPr>
          <w:sz w:val="26"/>
          <w:szCs w:val="26"/>
        </w:rPr>
        <w:t>Code, including the Electric</w:t>
      </w:r>
      <w:r w:rsidR="00F26178">
        <w:rPr>
          <w:sz w:val="26"/>
          <w:szCs w:val="26"/>
        </w:rPr>
        <w:t>ity</w:t>
      </w:r>
      <w:r w:rsidRPr="00F421DF">
        <w:rPr>
          <w:sz w:val="26"/>
          <w:szCs w:val="26"/>
        </w:rPr>
        <w:t xml:space="preserve"> </w:t>
      </w:r>
      <w:r w:rsidR="00F26178">
        <w:rPr>
          <w:sz w:val="26"/>
          <w:szCs w:val="26"/>
        </w:rPr>
        <w:t xml:space="preserve">Generation Customer Choice and </w:t>
      </w:r>
      <w:r w:rsidRPr="00F421DF">
        <w:rPr>
          <w:sz w:val="26"/>
          <w:szCs w:val="26"/>
        </w:rPr>
        <w:t>Competition Act</w:t>
      </w:r>
      <w:r w:rsidR="00F26178">
        <w:rPr>
          <w:sz w:val="26"/>
          <w:szCs w:val="26"/>
        </w:rPr>
        <w:t xml:space="preserve"> (Electric Competition Act)</w:t>
      </w:r>
      <w:r w:rsidRPr="00F421DF">
        <w:rPr>
          <w:sz w:val="26"/>
          <w:szCs w:val="26"/>
        </w:rPr>
        <w:t xml:space="preserve">, </w:t>
      </w:r>
      <w:r w:rsidR="00A96278">
        <w:rPr>
          <w:sz w:val="26"/>
          <w:szCs w:val="26"/>
        </w:rPr>
        <w:t xml:space="preserve">66 Pa. </w:t>
      </w:r>
      <w:r w:rsidR="00056E1D">
        <w:rPr>
          <w:sz w:val="26"/>
          <w:szCs w:val="26"/>
        </w:rPr>
        <w:t>C.S.</w:t>
      </w:r>
      <w:r w:rsidR="00A96278">
        <w:rPr>
          <w:sz w:val="26"/>
          <w:szCs w:val="26"/>
        </w:rPr>
        <w:t xml:space="preserve"> §§ 2801-2812, </w:t>
      </w:r>
      <w:r w:rsidRPr="00F421DF">
        <w:rPr>
          <w:sz w:val="26"/>
          <w:szCs w:val="26"/>
        </w:rPr>
        <w:t>and is vested with broad powers to protect the rights of the public.</w:t>
      </w:r>
      <w:r w:rsidRPr="00F421DF">
        <w:rPr>
          <w:rStyle w:val="FootnoteReference"/>
          <w:sz w:val="26"/>
          <w:szCs w:val="26"/>
        </w:rPr>
        <w:footnoteReference w:id="9"/>
      </w:r>
      <w:r w:rsidRPr="00F421DF">
        <w:rPr>
          <w:sz w:val="26"/>
          <w:szCs w:val="26"/>
        </w:rPr>
        <w:t xml:space="preserve">  These powers have been interpreted broadly to include both the express powers conferred by the Code and those implied powers necessarily implicit in the Code.</w:t>
      </w:r>
      <w:r w:rsidR="00A96278">
        <w:rPr>
          <w:sz w:val="26"/>
          <w:szCs w:val="26"/>
        </w:rPr>
        <w:t xml:space="preserve">  </w:t>
      </w:r>
      <w:r w:rsidR="00A96278" w:rsidRPr="00A96278">
        <w:rPr>
          <w:i/>
          <w:sz w:val="26"/>
          <w:szCs w:val="26"/>
        </w:rPr>
        <w:t>See Fairview Water Co. v. Pa. PUC</w:t>
      </w:r>
      <w:r w:rsidR="00A96278" w:rsidRPr="00A96278">
        <w:rPr>
          <w:sz w:val="26"/>
          <w:szCs w:val="26"/>
        </w:rPr>
        <w:t>, 509 Pa. 384, 502 A.2d 162 (1985).</w:t>
      </w:r>
      <w:r w:rsidR="00A96278" w:rsidRPr="00D028EB">
        <w:t xml:space="preserve">    </w:t>
      </w:r>
      <w:r w:rsidRPr="00F421DF">
        <w:rPr>
          <w:sz w:val="26"/>
          <w:szCs w:val="26"/>
        </w:rPr>
        <w:t xml:space="preserve">   </w:t>
      </w:r>
    </w:p>
    <w:p w:rsidR="00EE340E" w:rsidRPr="00F421DF" w:rsidRDefault="00EE340E" w:rsidP="00EE340E">
      <w:pPr>
        <w:spacing w:line="360" w:lineRule="auto"/>
        <w:ind w:firstLine="1440"/>
        <w:rPr>
          <w:sz w:val="26"/>
          <w:szCs w:val="26"/>
        </w:rPr>
      </w:pPr>
    </w:p>
    <w:p w:rsidR="00EE340E" w:rsidRPr="00626877" w:rsidRDefault="00EE340E" w:rsidP="00EE340E">
      <w:pPr>
        <w:spacing w:line="360" w:lineRule="auto"/>
        <w:ind w:firstLine="1440"/>
        <w:rPr>
          <w:sz w:val="26"/>
          <w:szCs w:val="26"/>
        </w:rPr>
      </w:pPr>
      <w:r w:rsidRPr="00F421DF">
        <w:rPr>
          <w:sz w:val="26"/>
          <w:szCs w:val="26"/>
        </w:rPr>
        <w:t xml:space="preserve">Directing a billing adjustment for an EGS over bill of supply charges is within the Commission’s Section 501 powers to carry out the consumer protections in the Electric Competition Act </w:t>
      </w:r>
      <w:r w:rsidR="00FA57F7">
        <w:rPr>
          <w:sz w:val="26"/>
          <w:szCs w:val="26"/>
        </w:rPr>
        <w:t xml:space="preserve">that are </w:t>
      </w:r>
      <w:r w:rsidRPr="00F421DF">
        <w:rPr>
          <w:sz w:val="26"/>
          <w:szCs w:val="26"/>
        </w:rPr>
        <w:t xml:space="preserve">applicable to competitive </w:t>
      </w:r>
      <w:r w:rsidR="00FA57F7">
        <w:rPr>
          <w:sz w:val="26"/>
          <w:szCs w:val="26"/>
        </w:rPr>
        <w:t xml:space="preserve">electricity generation </w:t>
      </w:r>
      <w:r w:rsidRPr="00F421DF">
        <w:rPr>
          <w:sz w:val="26"/>
          <w:szCs w:val="26"/>
        </w:rPr>
        <w:t xml:space="preserve">supply service.  These consumer protections include the Section 2809(b) requirement that EGSs comply with the Commission’s </w:t>
      </w:r>
      <w:r w:rsidR="00DE04B6">
        <w:rPr>
          <w:sz w:val="26"/>
          <w:szCs w:val="26"/>
        </w:rPr>
        <w:t>R</w:t>
      </w:r>
      <w:r w:rsidRPr="00F421DF">
        <w:rPr>
          <w:sz w:val="26"/>
          <w:szCs w:val="26"/>
        </w:rPr>
        <w:t>egulations, including the Chapter 54 billing and disclosure regulations.</w:t>
      </w:r>
      <w:r w:rsidRPr="00F421DF">
        <w:rPr>
          <w:rStyle w:val="FootnoteReference"/>
          <w:sz w:val="26"/>
          <w:szCs w:val="26"/>
        </w:rPr>
        <w:footnoteReference w:id="10"/>
      </w:r>
      <w:r w:rsidRPr="00F421DF">
        <w:rPr>
          <w:sz w:val="26"/>
          <w:szCs w:val="26"/>
        </w:rPr>
        <w:t xml:space="preserve">  Having </w:t>
      </w:r>
      <w:r w:rsidR="00A96278">
        <w:rPr>
          <w:sz w:val="26"/>
          <w:szCs w:val="26"/>
        </w:rPr>
        <w:t xml:space="preserve">the </w:t>
      </w:r>
      <w:r w:rsidRPr="00F421DF">
        <w:rPr>
          <w:sz w:val="26"/>
          <w:szCs w:val="26"/>
        </w:rPr>
        <w:t xml:space="preserve">authority to order EGS credits </w:t>
      </w:r>
      <w:r w:rsidR="00A96278">
        <w:rPr>
          <w:sz w:val="26"/>
          <w:szCs w:val="26"/>
        </w:rPr>
        <w:t>and/</w:t>
      </w:r>
      <w:r w:rsidRPr="00F421DF">
        <w:rPr>
          <w:sz w:val="26"/>
          <w:szCs w:val="26"/>
        </w:rPr>
        <w:t xml:space="preserve">or refunds carries out these statutorily-prescribed consumer protections by ensuring that </w:t>
      </w:r>
      <w:r w:rsidR="00A96278">
        <w:rPr>
          <w:sz w:val="26"/>
          <w:szCs w:val="26"/>
        </w:rPr>
        <w:t xml:space="preserve">electric generation </w:t>
      </w:r>
      <w:r w:rsidRPr="00F421DF">
        <w:rPr>
          <w:sz w:val="26"/>
          <w:szCs w:val="26"/>
        </w:rPr>
        <w:lastRenderedPageBreak/>
        <w:t xml:space="preserve">supply bills are adjusted accordingly when an EGS, for example, fails to bill a customer in accordance with its disclosure statement, in violation of the Commission’s Chapter 54 </w:t>
      </w:r>
      <w:r w:rsidR="00DE04B6">
        <w:rPr>
          <w:sz w:val="26"/>
          <w:szCs w:val="26"/>
        </w:rPr>
        <w:t>R</w:t>
      </w:r>
      <w:r w:rsidRPr="00F421DF">
        <w:rPr>
          <w:sz w:val="26"/>
          <w:szCs w:val="26"/>
        </w:rPr>
        <w:t>egulations</w:t>
      </w:r>
      <w:r w:rsidRPr="00F421DF">
        <w:rPr>
          <w:rStyle w:val="FootnoteReference"/>
          <w:sz w:val="26"/>
          <w:szCs w:val="26"/>
        </w:rPr>
        <w:footnoteReference w:id="11"/>
      </w:r>
      <w:r w:rsidRPr="00F421DF">
        <w:rPr>
          <w:sz w:val="26"/>
          <w:szCs w:val="26"/>
        </w:rPr>
        <w:t xml:space="preserve"> and, in turn, Code Section 2809(b).  Thus, having the</w:t>
      </w:r>
      <w:r w:rsidRPr="00F421DF">
        <w:rPr>
          <w:color w:val="000000"/>
          <w:sz w:val="26"/>
          <w:szCs w:val="26"/>
        </w:rPr>
        <w:t xml:space="preserve"> </w:t>
      </w:r>
      <w:r w:rsidRPr="00F421DF">
        <w:rPr>
          <w:sz w:val="26"/>
          <w:szCs w:val="26"/>
        </w:rPr>
        <w:t xml:space="preserve">authority to order EGS billing adjustments, including refunds, </w:t>
      </w:r>
      <w:r w:rsidR="00FA57F7">
        <w:rPr>
          <w:sz w:val="26"/>
          <w:szCs w:val="26"/>
        </w:rPr>
        <w:t xml:space="preserve">under the appropriate circumstances, </w:t>
      </w:r>
      <w:r w:rsidRPr="00F421DF">
        <w:rPr>
          <w:sz w:val="26"/>
          <w:szCs w:val="26"/>
        </w:rPr>
        <w:t xml:space="preserve">helps ensure that EGSs comply with the Commission’s </w:t>
      </w:r>
      <w:r w:rsidR="00DE04B6">
        <w:rPr>
          <w:sz w:val="26"/>
          <w:szCs w:val="26"/>
        </w:rPr>
        <w:t>R</w:t>
      </w:r>
      <w:r w:rsidRPr="00F421DF">
        <w:rPr>
          <w:sz w:val="26"/>
          <w:szCs w:val="26"/>
        </w:rPr>
        <w:t xml:space="preserve">egulations and bill customers in accordance with their disclosure statement </w:t>
      </w:r>
      <w:r w:rsidR="00FA57F7">
        <w:rPr>
          <w:sz w:val="26"/>
          <w:szCs w:val="26"/>
        </w:rPr>
        <w:t xml:space="preserve">- </w:t>
      </w:r>
      <w:r w:rsidRPr="00F421DF">
        <w:rPr>
          <w:sz w:val="26"/>
          <w:szCs w:val="26"/>
        </w:rPr>
        <w:t xml:space="preserve">a fundamental consumer protection under the </w:t>
      </w:r>
      <w:r w:rsidR="00A96278">
        <w:rPr>
          <w:sz w:val="26"/>
          <w:szCs w:val="26"/>
        </w:rPr>
        <w:t xml:space="preserve">Electric Competition </w:t>
      </w:r>
      <w:r w:rsidRPr="00F421DF">
        <w:rPr>
          <w:sz w:val="26"/>
          <w:szCs w:val="26"/>
        </w:rPr>
        <w:t xml:space="preserve">Act. </w:t>
      </w:r>
      <w:r w:rsidR="00626877">
        <w:rPr>
          <w:sz w:val="26"/>
          <w:szCs w:val="26"/>
        </w:rPr>
        <w:t xml:space="preserve">  </w:t>
      </w:r>
      <w:r w:rsidR="00626877">
        <w:rPr>
          <w:i/>
          <w:sz w:val="26"/>
          <w:szCs w:val="26"/>
        </w:rPr>
        <w:t>See</w:t>
      </w:r>
      <w:r w:rsidR="00626877">
        <w:rPr>
          <w:sz w:val="26"/>
          <w:szCs w:val="26"/>
        </w:rPr>
        <w:t xml:space="preserve"> 66 Pa. </w:t>
      </w:r>
      <w:r w:rsidR="00056E1D">
        <w:rPr>
          <w:sz w:val="26"/>
          <w:szCs w:val="26"/>
        </w:rPr>
        <w:t>C.S.</w:t>
      </w:r>
      <w:r w:rsidR="00626877">
        <w:rPr>
          <w:sz w:val="26"/>
          <w:szCs w:val="26"/>
        </w:rPr>
        <w:t xml:space="preserve"> § 2802(14)</w:t>
      </w:r>
      <w:r w:rsidR="00DE04B6">
        <w:rPr>
          <w:sz w:val="26"/>
          <w:szCs w:val="26"/>
        </w:rPr>
        <w:t xml:space="preserve"> (</w:t>
      </w:r>
      <w:r w:rsidR="00626877">
        <w:rPr>
          <w:sz w:val="26"/>
          <w:szCs w:val="26"/>
        </w:rPr>
        <w:t>“ . . . Electric generation suppliers will be required to obtain licenses, demonstrate financial responsibility and comply with such other requirements concerning service as the commission deems necessary for the protection of the public.”</w:t>
      </w:r>
      <w:r w:rsidR="00DE04B6">
        <w:rPr>
          <w:sz w:val="26"/>
          <w:szCs w:val="26"/>
        </w:rPr>
        <w:t>).</w:t>
      </w:r>
      <w:r w:rsidR="00626877">
        <w:rPr>
          <w:sz w:val="26"/>
          <w:szCs w:val="26"/>
        </w:rPr>
        <w:t xml:space="preserve"> </w:t>
      </w:r>
    </w:p>
    <w:p w:rsidR="00EE340E" w:rsidRPr="00F421DF" w:rsidRDefault="00EE340E" w:rsidP="00EE340E">
      <w:pPr>
        <w:spacing w:line="360" w:lineRule="auto"/>
        <w:ind w:firstLine="1440"/>
        <w:rPr>
          <w:sz w:val="26"/>
          <w:szCs w:val="26"/>
        </w:rPr>
      </w:pPr>
    </w:p>
    <w:p w:rsidR="00EE340E" w:rsidRPr="00F421DF" w:rsidRDefault="00626877" w:rsidP="00EE340E">
      <w:pPr>
        <w:spacing w:line="360" w:lineRule="auto"/>
        <w:ind w:firstLine="1440"/>
        <w:rPr>
          <w:sz w:val="26"/>
          <w:szCs w:val="26"/>
        </w:rPr>
      </w:pPr>
      <w:r>
        <w:rPr>
          <w:sz w:val="26"/>
          <w:szCs w:val="26"/>
        </w:rPr>
        <w:t xml:space="preserve">Based on the foregoing, </w:t>
      </w:r>
      <w:r w:rsidR="00FA57F7">
        <w:rPr>
          <w:sz w:val="26"/>
          <w:szCs w:val="26"/>
        </w:rPr>
        <w:t>o</w:t>
      </w:r>
      <w:r w:rsidR="00EE340E" w:rsidRPr="00F421DF">
        <w:rPr>
          <w:sz w:val="26"/>
          <w:szCs w:val="26"/>
        </w:rPr>
        <w:t>rdering EGS billing adjustments for an over bill of supply charges is fully consistent with the policy objectives of the Electric Competition Act as well.  Under Section 2802</w:t>
      </w:r>
      <w:r>
        <w:rPr>
          <w:sz w:val="26"/>
          <w:szCs w:val="26"/>
        </w:rPr>
        <w:t>(9)</w:t>
      </w:r>
      <w:r w:rsidR="00FA57F7">
        <w:rPr>
          <w:sz w:val="26"/>
          <w:szCs w:val="26"/>
        </w:rPr>
        <w:t xml:space="preserve"> of the Code</w:t>
      </w:r>
      <w:r w:rsidR="00EE340E" w:rsidRPr="00F421DF">
        <w:rPr>
          <w:sz w:val="26"/>
          <w:szCs w:val="26"/>
        </w:rPr>
        <w:t xml:space="preserve">, </w:t>
      </w:r>
      <w:r w:rsidR="00FA57F7">
        <w:rPr>
          <w:sz w:val="26"/>
          <w:szCs w:val="26"/>
        </w:rPr>
        <w:t xml:space="preserve">66 Pa. </w:t>
      </w:r>
      <w:r w:rsidR="00056E1D">
        <w:rPr>
          <w:sz w:val="26"/>
          <w:szCs w:val="26"/>
        </w:rPr>
        <w:t>C.S.</w:t>
      </w:r>
      <w:r w:rsidR="00FA57F7">
        <w:rPr>
          <w:sz w:val="26"/>
          <w:szCs w:val="26"/>
        </w:rPr>
        <w:t xml:space="preserve"> § 2802</w:t>
      </w:r>
      <w:r>
        <w:rPr>
          <w:sz w:val="26"/>
          <w:szCs w:val="26"/>
        </w:rPr>
        <w:t>(9)</w:t>
      </w:r>
      <w:r w:rsidR="00FA57F7">
        <w:rPr>
          <w:sz w:val="26"/>
          <w:szCs w:val="26"/>
        </w:rPr>
        <w:t xml:space="preserve">, </w:t>
      </w:r>
      <w:r w:rsidR="00EE340E" w:rsidRPr="00F421DF">
        <w:rPr>
          <w:sz w:val="26"/>
          <w:szCs w:val="26"/>
        </w:rPr>
        <w:t xml:space="preserve">electric service, including electric supply, is to be available to customers on reasonable terms and conditions.  The ability to order an EGS to provide a refund to a customer that has been over charged in violation of </w:t>
      </w:r>
      <w:r w:rsidR="00E1098C">
        <w:rPr>
          <w:sz w:val="26"/>
          <w:szCs w:val="26"/>
        </w:rPr>
        <w:t>its Disclosure Statement that has been required pursuant to the</w:t>
      </w:r>
      <w:r w:rsidR="00EE340E" w:rsidRPr="00F421DF">
        <w:rPr>
          <w:sz w:val="26"/>
          <w:szCs w:val="26"/>
        </w:rPr>
        <w:t xml:space="preserve"> Code and/or the Commission’s </w:t>
      </w:r>
      <w:r w:rsidR="00F83FCF">
        <w:rPr>
          <w:sz w:val="26"/>
          <w:szCs w:val="26"/>
        </w:rPr>
        <w:t>R</w:t>
      </w:r>
      <w:r w:rsidR="00EE340E" w:rsidRPr="00F421DF">
        <w:rPr>
          <w:sz w:val="26"/>
          <w:szCs w:val="26"/>
        </w:rPr>
        <w:t>egulations furthers this policy objective by ensuring that customers receive accurate bills and hence, receive service under reasonable terms and conditions.</w:t>
      </w:r>
    </w:p>
    <w:p w:rsidR="009B29E7" w:rsidRDefault="009B29E7" w:rsidP="00182A12">
      <w:pPr>
        <w:spacing w:line="360" w:lineRule="auto"/>
        <w:ind w:firstLine="1440"/>
        <w:rPr>
          <w:bCs/>
          <w:color w:val="333333"/>
          <w:sz w:val="26"/>
          <w:szCs w:val="26"/>
        </w:rPr>
      </w:pPr>
    </w:p>
    <w:p w:rsidR="009B29E7" w:rsidRDefault="00E1098C" w:rsidP="00182A12">
      <w:pPr>
        <w:spacing w:line="360" w:lineRule="auto"/>
        <w:ind w:firstLine="1440"/>
        <w:rPr>
          <w:bCs/>
          <w:color w:val="333333"/>
          <w:sz w:val="26"/>
          <w:szCs w:val="26"/>
        </w:rPr>
      </w:pPr>
      <w:r>
        <w:rPr>
          <w:bCs/>
          <w:color w:val="333333"/>
          <w:sz w:val="26"/>
          <w:szCs w:val="26"/>
        </w:rPr>
        <w:t>We, therefore answer the question raised by the IDT Petition consistent with our discussion herein.</w:t>
      </w:r>
    </w:p>
    <w:p w:rsidR="007A00DE" w:rsidRDefault="007A00DE" w:rsidP="009B29E7">
      <w:pPr>
        <w:spacing w:line="360" w:lineRule="auto"/>
        <w:rPr>
          <w:bCs/>
          <w:color w:val="333333"/>
          <w:sz w:val="26"/>
          <w:szCs w:val="26"/>
        </w:rPr>
      </w:pPr>
    </w:p>
    <w:p w:rsidR="00B1530D" w:rsidRDefault="009B29E7" w:rsidP="009B29E7">
      <w:pPr>
        <w:spacing w:line="360" w:lineRule="auto"/>
        <w:rPr>
          <w:b/>
          <w:bCs/>
          <w:color w:val="333333"/>
          <w:sz w:val="26"/>
          <w:szCs w:val="26"/>
        </w:rPr>
      </w:pPr>
      <w:r w:rsidRPr="00D53276">
        <w:rPr>
          <w:b/>
          <w:bCs/>
          <w:color w:val="333333"/>
          <w:sz w:val="26"/>
          <w:szCs w:val="26"/>
        </w:rPr>
        <w:t>OAG/OCA Joint Petition</w:t>
      </w:r>
    </w:p>
    <w:p w:rsidR="00B1530D" w:rsidRDefault="00B1530D" w:rsidP="009B29E7">
      <w:pPr>
        <w:spacing w:line="360" w:lineRule="auto"/>
        <w:rPr>
          <w:b/>
          <w:bCs/>
          <w:color w:val="333333"/>
          <w:sz w:val="26"/>
          <w:szCs w:val="26"/>
        </w:rPr>
      </w:pPr>
    </w:p>
    <w:p w:rsidR="00F079FB" w:rsidRPr="00DA4090" w:rsidRDefault="00F079FB" w:rsidP="00F079FB">
      <w:pPr>
        <w:spacing w:line="360" w:lineRule="auto"/>
        <w:ind w:firstLine="1440"/>
        <w:rPr>
          <w:color w:val="000000"/>
          <w:sz w:val="26"/>
        </w:rPr>
      </w:pPr>
      <w:r>
        <w:rPr>
          <w:color w:val="000000"/>
          <w:sz w:val="26"/>
        </w:rPr>
        <w:t xml:space="preserve">The OAG/OCA Joint Petition asks the Commission to answer the following questions:  </w:t>
      </w:r>
    </w:p>
    <w:p w:rsidR="00F079FB" w:rsidRDefault="00F079FB" w:rsidP="00F079FB">
      <w:pPr>
        <w:spacing w:line="360" w:lineRule="auto"/>
        <w:rPr>
          <w:sz w:val="26"/>
          <w:szCs w:val="26"/>
        </w:rPr>
      </w:pPr>
    </w:p>
    <w:p w:rsidR="00F079FB" w:rsidRPr="00D53276" w:rsidRDefault="00F079FB" w:rsidP="00D53276">
      <w:pPr>
        <w:ind w:left="1440" w:right="1440"/>
        <w:rPr>
          <w:color w:val="000000"/>
          <w:sz w:val="26"/>
        </w:rPr>
      </w:pPr>
      <w:r>
        <w:rPr>
          <w:sz w:val="26"/>
          <w:szCs w:val="26"/>
        </w:rPr>
        <w:t>(1)</w:t>
      </w:r>
      <w:r>
        <w:rPr>
          <w:sz w:val="26"/>
          <w:szCs w:val="26"/>
        </w:rPr>
        <w:tab/>
      </w:r>
      <w:r w:rsidRPr="00D53276">
        <w:rPr>
          <w:sz w:val="26"/>
          <w:szCs w:val="26"/>
        </w:rPr>
        <w:t xml:space="preserve">Does the Commission have authority and jurisdiction to determine whether a violation of the Telemarketer Registration Act (TRA) has occurred when considering whether the Commission’s regulations –which require compliance with the TRA – have been violated?  </w:t>
      </w:r>
    </w:p>
    <w:p w:rsidR="00F079FB" w:rsidRDefault="00F079FB" w:rsidP="00F079FB">
      <w:pPr>
        <w:ind w:left="2160" w:right="1440" w:hanging="720"/>
        <w:rPr>
          <w:color w:val="000000"/>
          <w:sz w:val="26"/>
        </w:rPr>
      </w:pPr>
    </w:p>
    <w:p w:rsidR="00F079FB" w:rsidRPr="00591A09" w:rsidRDefault="00F079FB" w:rsidP="00D53276">
      <w:pPr>
        <w:pStyle w:val="ListParagraph"/>
        <w:ind w:left="1440" w:right="1440"/>
        <w:rPr>
          <w:color w:val="000000"/>
          <w:sz w:val="26"/>
        </w:rPr>
      </w:pPr>
      <w:r>
        <w:rPr>
          <w:sz w:val="26"/>
          <w:szCs w:val="26"/>
        </w:rPr>
        <w:t>(2)</w:t>
      </w:r>
      <w:r>
        <w:rPr>
          <w:sz w:val="26"/>
          <w:szCs w:val="26"/>
        </w:rPr>
        <w:tab/>
      </w:r>
      <w:r w:rsidRPr="00F14118">
        <w:rPr>
          <w:sz w:val="26"/>
          <w:szCs w:val="26"/>
        </w:rPr>
        <w:t>Does the Commission</w:t>
      </w:r>
      <w:r>
        <w:rPr>
          <w:sz w:val="26"/>
          <w:szCs w:val="26"/>
        </w:rPr>
        <w:t xml:space="preserve"> have the authority and jurisdiction to determine whether the prices charged to customers by an electric generation supplier (EGS) conform to the EGS disclosure statement regarding pricing</w:t>
      </w:r>
      <w:r w:rsidRPr="004604C7">
        <w:rPr>
          <w:sz w:val="26"/>
          <w:szCs w:val="26"/>
        </w:rPr>
        <w:t xml:space="preserve">? </w:t>
      </w:r>
    </w:p>
    <w:p w:rsidR="00F079FB" w:rsidRPr="00591A09" w:rsidRDefault="00F079FB" w:rsidP="00F079FB">
      <w:pPr>
        <w:pStyle w:val="ListParagraph"/>
        <w:rPr>
          <w:color w:val="000000"/>
          <w:sz w:val="26"/>
        </w:rPr>
      </w:pPr>
    </w:p>
    <w:p w:rsidR="00F079FB" w:rsidRPr="00F14118" w:rsidRDefault="00F079FB" w:rsidP="00D53276">
      <w:pPr>
        <w:pStyle w:val="ListParagraph"/>
        <w:widowControl/>
        <w:ind w:left="1440" w:right="1440"/>
        <w:rPr>
          <w:color w:val="000000"/>
          <w:sz w:val="26"/>
        </w:rPr>
      </w:pPr>
      <w:r>
        <w:rPr>
          <w:sz w:val="26"/>
          <w:szCs w:val="26"/>
        </w:rPr>
        <w:t>(3)</w:t>
      </w:r>
      <w:r>
        <w:rPr>
          <w:sz w:val="26"/>
          <w:szCs w:val="26"/>
        </w:rPr>
        <w:tab/>
      </w:r>
      <w:r w:rsidRPr="00F14118">
        <w:rPr>
          <w:sz w:val="26"/>
          <w:szCs w:val="26"/>
        </w:rPr>
        <w:t>Does the Commission</w:t>
      </w:r>
      <w:r>
        <w:rPr>
          <w:sz w:val="26"/>
          <w:szCs w:val="26"/>
        </w:rPr>
        <w:t xml:space="preserve"> have the authority and jurisdiction to order equitable remedies including restitution?</w:t>
      </w:r>
    </w:p>
    <w:p w:rsidR="009D69D5" w:rsidRDefault="009D69D5" w:rsidP="00D53276">
      <w:pPr>
        <w:spacing w:line="360" w:lineRule="auto"/>
        <w:rPr>
          <w:color w:val="000000"/>
          <w:sz w:val="26"/>
        </w:rPr>
      </w:pPr>
    </w:p>
    <w:p w:rsidR="00F079FB" w:rsidRDefault="00F079FB" w:rsidP="00D53276">
      <w:pPr>
        <w:spacing w:line="360" w:lineRule="auto"/>
        <w:rPr>
          <w:sz w:val="26"/>
          <w:szCs w:val="26"/>
        </w:rPr>
      </w:pPr>
      <w:r>
        <w:rPr>
          <w:color w:val="000000"/>
          <w:sz w:val="26"/>
        </w:rPr>
        <w:t>OAG/OCA Joint Petition at 1.</w:t>
      </w:r>
      <w:r w:rsidRPr="00443EC1">
        <w:rPr>
          <w:color w:val="000000"/>
          <w:sz w:val="26"/>
        </w:rPr>
        <w:t xml:space="preserve">  </w:t>
      </w:r>
    </w:p>
    <w:p w:rsidR="00AD0A03" w:rsidRDefault="00AD0A03" w:rsidP="00E1098C">
      <w:pPr>
        <w:spacing w:line="360" w:lineRule="auto"/>
        <w:rPr>
          <w:b/>
          <w:bCs/>
          <w:color w:val="333333"/>
          <w:sz w:val="26"/>
          <w:szCs w:val="26"/>
        </w:rPr>
      </w:pPr>
    </w:p>
    <w:p w:rsidR="00B1530D" w:rsidRPr="00466AE8" w:rsidRDefault="00B1530D" w:rsidP="00B1530D">
      <w:pPr>
        <w:spacing w:line="360" w:lineRule="auto"/>
        <w:ind w:firstLine="720"/>
        <w:rPr>
          <w:sz w:val="26"/>
          <w:szCs w:val="26"/>
        </w:rPr>
      </w:pPr>
      <w:r>
        <w:rPr>
          <w:b/>
          <w:bCs/>
          <w:color w:val="333333"/>
          <w:sz w:val="26"/>
          <w:szCs w:val="26"/>
        </w:rPr>
        <w:t>Positions of the Parties</w:t>
      </w:r>
      <w:r w:rsidRPr="00D53276">
        <w:rPr>
          <w:bCs/>
          <w:color w:val="333333"/>
          <w:sz w:val="26"/>
          <w:szCs w:val="26"/>
        </w:rPr>
        <w:t xml:space="preserve">       </w:t>
      </w:r>
    </w:p>
    <w:p w:rsidR="00B1530D" w:rsidRDefault="00B1530D" w:rsidP="00B1530D">
      <w:pPr>
        <w:spacing w:line="360" w:lineRule="auto"/>
        <w:rPr>
          <w:sz w:val="26"/>
          <w:szCs w:val="26"/>
        </w:rPr>
      </w:pPr>
    </w:p>
    <w:p w:rsidR="009B29E7" w:rsidRPr="009B29E7" w:rsidRDefault="009B29E7" w:rsidP="009B29E7">
      <w:pPr>
        <w:spacing w:line="360" w:lineRule="auto"/>
        <w:ind w:firstLine="1440"/>
        <w:rPr>
          <w:b/>
          <w:sz w:val="26"/>
          <w:szCs w:val="26"/>
        </w:rPr>
      </w:pPr>
      <w:r w:rsidRPr="009B29E7">
        <w:rPr>
          <w:b/>
          <w:bCs/>
          <w:color w:val="333333"/>
          <w:sz w:val="26"/>
          <w:szCs w:val="26"/>
        </w:rPr>
        <w:t>OAG/OCA</w:t>
      </w:r>
    </w:p>
    <w:p w:rsidR="009B29E7" w:rsidRDefault="009B29E7" w:rsidP="009B29E7">
      <w:pPr>
        <w:spacing w:line="360" w:lineRule="auto"/>
        <w:ind w:firstLine="1440"/>
        <w:rPr>
          <w:sz w:val="26"/>
          <w:szCs w:val="26"/>
        </w:rPr>
      </w:pPr>
    </w:p>
    <w:p w:rsidR="009B29E7" w:rsidRDefault="00AD01B4" w:rsidP="009B29E7">
      <w:pPr>
        <w:spacing w:line="360" w:lineRule="auto"/>
        <w:ind w:firstLine="1440"/>
        <w:rPr>
          <w:bCs/>
          <w:color w:val="000000"/>
          <w:sz w:val="26"/>
          <w:szCs w:val="26"/>
        </w:rPr>
      </w:pPr>
      <w:r>
        <w:rPr>
          <w:bCs/>
          <w:color w:val="000000"/>
          <w:sz w:val="26"/>
          <w:szCs w:val="26"/>
        </w:rPr>
        <w:t xml:space="preserve">The </w:t>
      </w:r>
      <w:r w:rsidR="009B29E7">
        <w:rPr>
          <w:bCs/>
          <w:color w:val="000000"/>
          <w:sz w:val="26"/>
          <w:szCs w:val="26"/>
        </w:rPr>
        <w:t xml:space="preserve">Joint Complainants argue that the Commission has jurisdiction and authority to determine whether a violation of the </w:t>
      </w:r>
      <w:r>
        <w:rPr>
          <w:bCs/>
          <w:color w:val="000000"/>
          <w:sz w:val="26"/>
          <w:szCs w:val="26"/>
        </w:rPr>
        <w:t>UTP/</w:t>
      </w:r>
      <w:r w:rsidR="009B29E7">
        <w:rPr>
          <w:bCs/>
          <w:color w:val="000000"/>
          <w:sz w:val="26"/>
          <w:szCs w:val="26"/>
        </w:rPr>
        <w:t xml:space="preserve">CPL and </w:t>
      </w:r>
      <w:r>
        <w:rPr>
          <w:bCs/>
          <w:color w:val="000000"/>
          <w:sz w:val="26"/>
          <w:szCs w:val="26"/>
        </w:rPr>
        <w:t xml:space="preserve">the </w:t>
      </w:r>
      <w:r w:rsidR="009B29E7">
        <w:rPr>
          <w:bCs/>
          <w:color w:val="000000"/>
          <w:sz w:val="26"/>
          <w:szCs w:val="26"/>
        </w:rPr>
        <w:t xml:space="preserve">TRA has occurred when considering whether the Commission’s </w:t>
      </w:r>
      <w:r>
        <w:rPr>
          <w:bCs/>
          <w:color w:val="000000"/>
          <w:sz w:val="26"/>
          <w:szCs w:val="26"/>
        </w:rPr>
        <w:t xml:space="preserve">Regulation </w:t>
      </w:r>
      <w:r w:rsidR="009B29E7">
        <w:rPr>
          <w:bCs/>
          <w:color w:val="000000"/>
          <w:sz w:val="26"/>
          <w:szCs w:val="26"/>
        </w:rPr>
        <w:t>requiring an EG</w:t>
      </w:r>
      <w:r>
        <w:rPr>
          <w:bCs/>
          <w:color w:val="000000"/>
          <w:sz w:val="26"/>
          <w:szCs w:val="26"/>
        </w:rPr>
        <w:t>S</w:t>
      </w:r>
      <w:r w:rsidR="009B29E7">
        <w:rPr>
          <w:bCs/>
          <w:color w:val="000000"/>
          <w:sz w:val="26"/>
          <w:szCs w:val="26"/>
        </w:rPr>
        <w:t xml:space="preserve">s’ compliance with these laws, has been violated.  </w:t>
      </w:r>
      <w:r w:rsidR="003B3E70">
        <w:rPr>
          <w:bCs/>
          <w:color w:val="000000"/>
          <w:sz w:val="26"/>
          <w:szCs w:val="26"/>
        </w:rPr>
        <w:t xml:space="preserve">OAG/OCA </w:t>
      </w:r>
      <w:r w:rsidR="009B29E7">
        <w:rPr>
          <w:bCs/>
          <w:color w:val="000000"/>
          <w:sz w:val="26"/>
          <w:szCs w:val="26"/>
        </w:rPr>
        <w:t>J</w:t>
      </w:r>
      <w:r>
        <w:rPr>
          <w:bCs/>
          <w:color w:val="000000"/>
          <w:sz w:val="26"/>
          <w:szCs w:val="26"/>
        </w:rPr>
        <w:t>oi</w:t>
      </w:r>
      <w:r w:rsidR="009B29E7">
        <w:rPr>
          <w:bCs/>
          <w:color w:val="000000"/>
          <w:sz w:val="26"/>
          <w:szCs w:val="26"/>
        </w:rPr>
        <w:t>nt Brief</w:t>
      </w:r>
      <w:r>
        <w:rPr>
          <w:bCs/>
          <w:color w:val="000000"/>
          <w:sz w:val="26"/>
          <w:szCs w:val="26"/>
        </w:rPr>
        <w:t xml:space="preserve"> at</w:t>
      </w:r>
      <w:r w:rsidR="009B29E7">
        <w:rPr>
          <w:bCs/>
          <w:color w:val="000000"/>
          <w:sz w:val="26"/>
          <w:szCs w:val="26"/>
        </w:rPr>
        <w:t xml:space="preserve"> 3.  In their Summary of Argument, </w:t>
      </w:r>
      <w:r>
        <w:rPr>
          <w:bCs/>
          <w:color w:val="000000"/>
          <w:sz w:val="26"/>
          <w:szCs w:val="26"/>
        </w:rPr>
        <w:t xml:space="preserve">the </w:t>
      </w:r>
      <w:r w:rsidR="009B29E7">
        <w:rPr>
          <w:bCs/>
          <w:color w:val="000000"/>
          <w:sz w:val="26"/>
          <w:szCs w:val="26"/>
        </w:rPr>
        <w:t xml:space="preserve">OAG and </w:t>
      </w:r>
      <w:r>
        <w:rPr>
          <w:bCs/>
          <w:color w:val="000000"/>
          <w:sz w:val="26"/>
          <w:szCs w:val="26"/>
        </w:rPr>
        <w:t xml:space="preserve">the </w:t>
      </w:r>
      <w:r w:rsidR="009B29E7">
        <w:rPr>
          <w:bCs/>
          <w:color w:val="000000"/>
          <w:sz w:val="26"/>
          <w:szCs w:val="26"/>
        </w:rPr>
        <w:t xml:space="preserve">OCA state that they do not ask the Commission to enforce the </w:t>
      </w:r>
      <w:r>
        <w:rPr>
          <w:bCs/>
          <w:color w:val="000000"/>
          <w:sz w:val="26"/>
          <w:szCs w:val="26"/>
        </w:rPr>
        <w:t>UTP/</w:t>
      </w:r>
      <w:r w:rsidR="009B29E7">
        <w:rPr>
          <w:bCs/>
          <w:color w:val="000000"/>
          <w:sz w:val="26"/>
          <w:szCs w:val="26"/>
        </w:rPr>
        <w:t xml:space="preserve">CPL and TRA, nor do they </w:t>
      </w:r>
      <w:r w:rsidR="00224DEA">
        <w:rPr>
          <w:bCs/>
          <w:color w:val="000000"/>
          <w:sz w:val="26"/>
          <w:szCs w:val="26"/>
        </w:rPr>
        <w:t xml:space="preserve">ask the Commission to regulate price.  </w:t>
      </w:r>
      <w:r w:rsidR="00224DEA">
        <w:rPr>
          <w:bCs/>
          <w:i/>
          <w:color w:val="000000"/>
          <w:sz w:val="26"/>
          <w:szCs w:val="26"/>
        </w:rPr>
        <w:t>Id</w:t>
      </w:r>
      <w:r w:rsidR="00224DEA">
        <w:rPr>
          <w:bCs/>
          <w:color w:val="000000"/>
          <w:sz w:val="26"/>
          <w:szCs w:val="26"/>
        </w:rPr>
        <w:t>.</w:t>
      </w:r>
      <w:r w:rsidR="009B29E7">
        <w:rPr>
          <w:bCs/>
          <w:color w:val="000000"/>
          <w:sz w:val="26"/>
          <w:szCs w:val="26"/>
        </w:rPr>
        <w:t xml:space="preserve"> </w:t>
      </w:r>
      <w:r w:rsidR="000E6F80">
        <w:rPr>
          <w:bCs/>
          <w:color w:val="000000"/>
          <w:sz w:val="26"/>
          <w:szCs w:val="26"/>
        </w:rPr>
        <w:t xml:space="preserve"> </w:t>
      </w:r>
      <w:r w:rsidR="00224DEA">
        <w:rPr>
          <w:bCs/>
          <w:color w:val="000000"/>
          <w:sz w:val="26"/>
          <w:szCs w:val="26"/>
        </w:rPr>
        <w:t xml:space="preserve">Rather, they request that the Commission consider whether the EGS has complied with the TRA as it is required to do by the Commission’s </w:t>
      </w:r>
      <w:r>
        <w:rPr>
          <w:bCs/>
          <w:color w:val="000000"/>
          <w:sz w:val="26"/>
          <w:szCs w:val="26"/>
        </w:rPr>
        <w:t>R</w:t>
      </w:r>
      <w:r w:rsidR="00224DEA">
        <w:rPr>
          <w:bCs/>
          <w:color w:val="000000"/>
          <w:sz w:val="26"/>
          <w:szCs w:val="26"/>
        </w:rPr>
        <w:t>eg</w:t>
      </w:r>
      <w:r>
        <w:rPr>
          <w:bCs/>
          <w:color w:val="000000"/>
          <w:sz w:val="26"/>
          <w:szCs w:val="26"/>
        </w:rPr>
        <w:t>ul</w:t>
      </w:r>
      <w:r w:rsidR="00224DEA">
        <w:rPr>
          <w:bCs/>
          <w:color w:val="000000"/>
          <w:sz w:val="26"/>
          <w:szCs w:val="26"/>
        </w:rPr>
        <w:t>at</w:t>
      </w:r>
      <w:r>
        <w:rPr>
          <w:bCs/>
          <w:color w:val="000000"/>
          <w:sz w:val="26"/>
          <w:szCs w:val="26"/>
        </w:rPr>
        <w:t>i</w:t>
      </w:r>
      <w:r w:rsidR="00224DEA">
        <w:rPr>
          <w:bCs/>
          <w:color w:val="000000"/>
          <w:sz w:val="26"/>
          <w:szCs w:val="26"/>
        </w:rPr>
        <w:t xml:space="preserve">ons (the Commission must make such a determination in order to find a violation of its </w:t>
      </w:r>
      <w:r>
        <w:rPr>
          <w:bCs/>
          <w:color w:val="000000"/>
          <w:sz w:val="26"/>
          <w:szCs w:val="26"/>
        </w:rPr>
        <w:t>R</w:t>
      </w:r>
      <w:r w:rsidR="00224DEA">
        <w:rPr>
          <w:bCs/>
          <w:color w:val="000000"/>
          <w:sz w:val="26"/>
          <w:szCs w:val="26"/>
        </w:rPr>
        <w:t>egu</w:t>
      </w:r>
      <w:r>
        <w:rPr>
          <w:bCs/>
          <w:color w:val="000000"/>
          <w:sz w:val="26"/>
          <w:szCs w:val="26"/>
        </w:rPr>
        <w:t>l</w:t>
      </w:r>
      <w:r w:rsidR="00224DEA">
        <w:rPr>
          <w:bCs/>
          <w:color w:val="000000"/>
          <w:sz w:val="26"/>
          <w:szCs w:val="26"/>
        </w:rPr>
        <w:t xml:space="preserve">ations) and determine whether </w:t>
      </w:r>
      <w:r w:rsidR="009B29E7">
        <w:rPr>
          <w:bCs/>
          <w:color w:val="000000"/>
          <w:sz w:val="26"/>
          <w:szCs w:val="26"/>
        </w:rPr>
        <w:t>the price charged to customer</w:t>
      </w:r>
      <w:r>
        <w:rPr>
          <w:bCs/>
          <w:color w:val="000000"/>
          <w:sz w:val="26"/>
          <w:szCs w:val="26"/>
        </w:rPr>
        <w:t>s</w:t>
      </w:r>
      <w:r w:rsidR="009B29E7">
        <w:rPr>
          <w:bCs/>
          <w:color w:val="000000"/>
          <w:sz w:val="26"/>
          <w:szCs w:val="26"/>
        </w:rPr>
        <w:t xml:space="preserve"> was “consistent” with the description of the basis of the price provided in the </w:t>
      </w:r>
      <w:r>
        <w:rPr>
          <w:bCs/>
          <w:color w:val="000000"/>
          <w:sz w:val="26"/>
          <w:szCs w:val="26"/>
        </w:rPr>
        <w:t>D</w:t>
      </w:r>
      <w:r w:rsidR="009B29E7">
        <w:rPr>
          <w:bCs/>
          <w:color w:val="000000"/>
          <w:sz w:val="26"/>
          <w:szCs w:val="26"/>
        </w:rPr>
        <w:t xml:space="preserve">isclosure </w:t>
      </w:r>
      <w:r>
        <w:rPr>
          <w:bCs/>
          <w:color w:val="000000"/>
          <w:sz w:val="26"/>
          <w:szCs w:val="26"/>
        </w:rPr>
        <w:t>S</w:t>
      </w:r>
      <w:r w:rsidR="009B29E7">
        <w:rPr>
          <w:bCs/>
          <w:color w:val="000000"/>
          <w:sz w:val="26"/>
          <w:szCs w:val="26"/>
        </w:rPr>
        <w:t xml:space="preserve">tatement.  </w:t>
      </w:r>
      <w:r w:rsidR="009B29E7">
        <w:rPr>
          <w:bCs/>
          <w:i/>
          <w:color w:val="000000"/>
          <w:sz w:val="26"/>
          <w:szCs w:val="26"/>
        </w:rPr>
        <w:t>Id</w:t>
      </w:r>
      <w:r w:rsidR="009B29E7">
        <w:rPr>
          <w:bCs/>
          <w:color w:val="000000"/>
          <w:sz w:val="26"/>
          <w:szCs w:val="26"/>
        </w:rPr>
        <w:t>.</w:t>
      </w:r>
    </w:p>
    <w:p w:rsidR="009B29E7" w:rsidRDefault="009B29E7" w:rsidP="009B29E7">
      <w:pPr>
        <w:spacing w:line="360" w:lineRule="auto"/>
        <w:ind w:firstLine="1440"/>
        <w:rPr>
          <w:bCs/>
          <w:color w:val="000000"/>
          <w:sz w:val="26"/>
          <w:szCs w:val="26"/>
        </w:rPr>
      </w:pPr>
    </w:p>
    <w:p w:rsidR="009B29E7" w:rsidRPr="00224DEA" w:rsidRDefault="009B29E7" w:rsidP="009B29E7">
      <w:pPr>
        <w:spacing w:line="360" w:lineRule="auto"/>
        <w:ind w:firstLine="1440"/>
        <w:rPr>
          <w:bCs/>
          <w:color w:val="000000"/>
          <w:sz w:val="26"/>
          <w:szCs w:val="26"/>
        </w:rPr>
      </w:pPr>
      <w:r>
        <w:rPr>
          <w:bCs/>
          <w:color w:val="000000"/>
          <w:sz w:val="26"/>
          <w:szCs w:val="26"/>
        </w:rPr>
        <w:lastRenderedPageBreak/>
        <w:t xml:space="preserve">In support of the requirement that a petition for interlocutory Commission review demonstrate compelling reasons for review, </w:t>
      </w:r>
      <w:r w:rsidR="00AB3EB5">
        <w:rPr>
          <w:bCs/>
          <w:color w:val="000000"/>
          <w:sz w:val="26"/>
          <w:szCs w:val="26"/>
        </w:rPr>
        <w:t xml:space="preserve">the </w:t>
      </w:r>
      <w:r>
        <w:rPr>
          <w:bCs/>
          <w:color w:val="000000"/>
          <w:sz w:val="26"/>
          <w:szCs w:val="26"/>
        </w:rPr>
        <w:t xml:space="preserve">OAG and </w:t>
      </w:r>
      <w:r w:rsidR="00AB3EB5">
        <w:rPr>
          <w:bCs/>
          <w:color w:val="000000"/>
          <w:sz w:val="26"/>
          <w:szCs w:val="26"/>
        </w:rPr>
        <w:t xml:space="preserve">the </w:t>
      </w:r>
      <w:r>
        <w:rPr>
          <w:bCs/>
          <w:color w:val="000000"/>
          <w:sz w:val="26"/>
          <w:szCs w:val="26"/>
        </w:rPr>
        <w:t>OCA assert that interlocutory review is necessary to prevent significant prejudice</w:t>
      </w:r>
      <w:r w:rsidR="00224DEA">
        <w:rPr>
          <w:bCs/>
          <w:color w:val="000000"/>
          <w:sz w:val="26"/>
          <w:szCs w:val="26"/>
        </w:rPr>
        <w:t xml:space="preserve"> and harm to the Joint Complainants and to the interests of the consumers they represent</w:t>
      </w:r>
      <w:r>
        <w:rPr>
          <w:bCs/>
          <w:color w:val="000000"/>
          <w:sz w:val="26"/>
          <w:szCs w:val="26"/>
        </w:rPr>
        <w:t>.</w:t>
      </w:r>
      <w:r w:rsidR="00224DEA">
        <w:rPr>
          <w:bCs/>
          <w:color w:val="000000"/>
          <w:sz w:val="26"/>
          <w:szCs w:val="26"/>
        </w:rPr>
        <w:t xml:space="preserve">  </w:t>
      </w:r>
      <w:r w:rsidR="00AB3EB5">
        <w:rPr>
          <w:bCs/>
          <w:i/>
          <w:color w:val="000000"/>
          <w:sz w:val="26"/>
          <w:szCs w:val="26"/>
        </w:rPr>
        <w:t>Id.</w:t>
      </w:r>
      <w:r w:rsidR="00224DEA">
        <w:rPr>
          <w:bCs/>
          <w:color w:val="000000"/>
          <w:sz w:val="26"/>
          <w:szCs w:val="26"/>
        </w:rPr>
        <w:t xml:space="preserve"> at 4.</w:t>
      </w:r>
      <w:r>
        <w:rPr>
          <w:bCs/>
          <w:color w:val="000000"/>
          <w:sz w:val="26"/>
          <w:szCs w:val="26"/>
        </w:rPr>
        <w:t xml:space="preserve">  The prejudice is explained as</w:t>
      </w:r>
      <w:r w:rsidR="00224DEA">
        <w:rPr>
          <w:bCs/>
          <w:color w:val="000000"/>
          <w:sz w:val="26"/>
          <w:szCs w:val="26"/>
        </w:rPr>
        <w:t xml:space="preserve"> “</w:t>
      </w:r>
      <w:r w:rsidR="005E677C">
        <w:rPr>
          <w:bCs/>
          <w:color w:val="000000"/>
          <w:sz w:val="26"/>
          <w:szCs w:val="26"/>
        </w:rPr>
        <w:t>t</w:t>
      </w:r>
      <w:r w:rsidR="00224DEA">
        <w:rPr>
          <w:bCs/>
          <w:color w:val="000000"/>
          <w:sz w:val="26"/>
          <w:szCs w:val="26"/>
        </w:rPr>
        <w:t>he public interest and consumer interest in the development of an accurate and complete factual record for Commission review.</w:t>
      </w:r>
      <w:r w:rsidR="005E677C">
        <w:rPr>
          <w:bCs/>
          <w:color w:val="000000"/>
          <w:sz w:val="26"/>
          <w:szCs w:val="26"/>
        </w:rPr>
        <w:t>”</w:t>
      </w:r>
      <w:r w:rsidR="00224DEA">
        <w:rPr>
          <w:bCs/>
          <w:color w:val="000000"/>
          <w:sz w:val="26"/>
          <w:szCs w:val="26"/>
        </w:rPr>
        <w:t xml:space="preserve">  </w:t>
      </w:r>
      <w:r w:rsidR="005E677C">
        <w:rPr>
          <w:bCs/>
          <w:i/>
          <w:color w:val="000000"/>
          <w:sz w:val="26"/>
          <w:szCs w:val="26"/>
        </w:rPr>
        <w:t>Id</w:t>
      </w:r>
      <w:r w:rsidR="00224DEA">
        <w:rPr>
          <w:bCs/>
          <w:color w:val="000000"/>
          <w:sz w:val="26"/>
          <w:szCs w:val="26"/>
        </w:rPr>
        <w:t xml:space="preserve">.  </w:t>
      </w:r>
      <w:r w:rsidR="005E677C">
        <w:rPr>
          <w:bCs/>
          <w:color w:val="000000"/>
          <w:sz w:val="26"/>
          <w:szCs w:val="26"/>
        </w:rPr>
        <w:t xml:space="preserve">The </w:t>
      </w:r>
      <w:r w:rsidR="00224DEA">
        <w:rPr>
          <w:bCs/>
          <w:color w:val="000000"/>
          <w:sz w:val="26"/>
          <w:szCs w:val="26"/>
        </w:rPr>
        <w:t xml:space="preserve">Joint </w:t>
      </w:r>
      <w:r>
        <w:rPr>
          <w:bCs/>
          <w:color w:val="000000"/>
          <w:sz w:val="26"/>
          <w:szCs w:val="26"/>
        </w:rPr>
        <w:t xml:space="preserve">Complainants </w:t>
      </w:r>
      <w:r w:rsidR="00224DEA">
        <w:rPr>
          <w:bCs/>
          <w:color w:val="000000"/>
          <w:sz w:val="26"/>
          <w:szCs w:val="26"/>
        </w:rPr>
        <w:t>a</w:t>
      </w:r>
      <w:r>
        <w:rPr>
          <w:bCs/>
          <w:color w:val="000000"/>
          <w:sz w:val="26"/>
          <w:szCs w:val="26"/>
        </w:rPr>
        <w:t>dditionally</w:t>
      </w:r>
      <w:r w:rsidR="00224DEA">
        <w:rPr>
          <w:bCs/>
          <w:color w:val="000000"/>
          <w:sz w:val="26"/>
          <w:szCs w:val="26"/>
        </w:rPr>
        <w:t xml:space="preserve"> argue that there is a compelling interest in the Commission reaffirming that it has the authority and jurisdiction over key issues rela</w:t>
      </w:r>
      <w:r w:rsidR="005E677C">
        <w:rPr>
          <w:bCs/>
          <w:color w:val="000000"/>
          <w:sz w:val="26"/>
          <w:szCs w:val="26"/>
        </w:rPr>
        <w:t>t</w:t>
      </w:r>
      <w:r w:rsidR="00224DEA">
        <w:rPr>
          <w:bCs/>
          <w:color w:val="000000"/>
          <w:sz w:val="26"/>
          <w:szCs w:val="26"/>
        </w:rPr>
        <w:t>in</w:t>
      </w:r>
      <w:r w:rsidR="005E677C">
        <w:rPr>
          <w:bCs/>
          <w:color w:val="000000"/>
          <w:sz w:val="26"/>
          <w:szCs w:val="26"/>
        </w:rPr>
        <w:t>g</w:t>
      </w:r>
      <w:r w:rsidR="00224DEA">
        <w:rPr>
          <w:bCs/>
          <w:color w:val="000000"/>
          <w:sz w:val="26"/>
          <w:szCs w:val="26"/>
        </w:rPr>
        <w:t xml:space="preserve"> to the protection of consumers regarding EGSs’ marketing and sales conduct, billing practices, and disclosure statements.  </w:t>
      </w:r>
      <w:r w:rsidR="00224DEA">
        <w:rPr>
          <w:bCs/>
          <w:i/>
          <w:color w:val="000000"/>
          <w:sz w:val="26"/>
          <w:szCs w:val="26"/>
        </w:rPr>
        <w:t>Id</w:t>
      </w:r>
      <w:r w:rsidR="00224DEA">
        <w:rPr>
          <w:bCs/>
          <w:color w:val="000000"/>
          <w:sz w:val="26"/>
          <w:szCs w:val="26"/>
        </w:rPr>
        <w:t>.</w:t>
      </w:r>
    </w:p>
    <w:p w:rsidR="009B29E7" w:rsidRDefault="009B29E7" w:rsidP="009B29E7">
      <w:pPr>
        <w:spacing w:line="360" w:lineRule="auto"/>
        <w:ind w:firstLine="1440"/>
        <w:rPr>
          <w:bCs/>
          <w:color w:val="000000"/>
          <w:sz w:val="26"/>
          <w:szCs w:val="26"/>
        </w:rPr>
      </w:pPr>
    </w:p>
    <w:p w:rsidR="009B29E7" w:rsidRPr="005E516D" w:rsidRDefault="009B29E7" w:rsidP="001C3449">
      <w:pPr>
        <w:widowControl/>
        <w:spacing w:line="360" w:lineRule="auto"/>
        <w:ind w:firstLine="1440"/>
        <w:rPr>
          <w:bCs/>
          <w:color w:val="000000"/>
          <w:sz w:val="26"/>
          <w:szCs w:val="26"/>
        </w:rPr>
      </w:pPr>
      <w:r>
        <w:rPr>
          <w:bCs/>
          <w:color w:val="000000"/>
          <w:sz w:val="26"/>
          <w:szCs w:val="26"/>
        </w:rPr>
        <w:t xml:space="preserve">As an additional argument in support of the compelling reasons why interlocutory review at this stage of the proceedings is necessary, the OAG and </w:t>
      </w:r>
      <w:r w:rsidR="005E677C">
        <w:rPr>
          <w:bCs/>
          <w:color w:val="000000"/>
          <w:sz w:val="26"/>
          <w:szCs w:val="26"/>
        </w:rPr>
        <w:t xml:space="preserve">the </w:t>
      </w:r>
      <w:r>
        <w:rPr>
          <w:bCs/>
          <w:color w:val="000000"/>
          <w:sz w:val="26"/>
          <w:szCs w:val="26"/>
        </w:rPr>
        <w:t xml:space="preserve">OCA advise that there have been three orders issued contemporaneously with the order in this case.  </w:t>
      </w:r>
      <w:r w:rsidR="005E677C">
        <w:rPr>
          <w:bCs/>
          <w:i/>
          <w:color w:val="000000"/>
          <w:sz w:val="26"/>
          <w:szCs w:val="26"/>
        </w:rPr>
        <w:t>Id</w:t>
      </w:r>
      <w:r w:rsidR="005E677C">
        <w:rPr>
          <w:bCs/>
          <w:color w:val="000000"/>
          <w:sz w:val="26"/>
          <w:szCs w:val="26"/>
        </w:rPr>
        <w:t>. at</w:t>
      </w:r>
      <w:r>
        <w:rPr>
          <w:bCs/>
          <w:color w:val="000000"/>
          <w:sz w:val="26"/>
          <w:szCs w:val="26"/>
        </w:rPr>
        <w:t xml:space="preserve"> </w:t>
      </w:r>
      <w:r w:rsidR="00224DEA">
        <w:rPr>
          <w:bCs/>
          <w:color w:val="000000"/>
          <w:sz w:val="26"/>
          <w:szCs w:val="26"/>
        </w:rPr>
        <w:t>5</w:t>
      </w:r>
      <w:r>
        <w:rPr>
          <w:bCs/>
          <w:color w:val="000000"/>
          <w:sz w:val="26"/>
          <w:szCs w:val="26"/>
        </w:rPr>
        <w:t xml:space="preserve">.  </w:t>
      </w:r>
      <w:r w:rsidR="003B3E70">
        <w:rPr>
          <w:bCs/>
          <w:color w:val="000000"/>
          <w:sz w:val="26"/>
          <w:szCs w:val="26"/>
        </w:rPr>
        <w:t xml:space="preserve">The </w:t>
      </w:r>
      <w:r>
        <w:rPr>
          <w:bCs/>
          <w:color w:val="000000"/>
          <w:sz w:val="26"/>
          <w:szCs w:val="26"/>
        </w:rPr>
        <w:t xml:space="preserve">Joint Complainants note that the orders dispose of the same, or similar issues, in different ways.  Thus, these differences will lead to the inconsistent development of the factual records in these matters and lead to confusion in these and future matters as to the permissible scope of the Commission’s jurisdiction and authority.  </w:t>
      </w:r>
      <w:r>
        <w:rPr>
          <w:bCs/>
          <w:i/>
          <w:color w:val="000000"/>
          <w:sz w:val="26"/>
          <w:szCs w:val="26"/>
        </w:rPr>
        <w:t>Id</w:t>
      </w:r>
      <w:r>
        <w:rPr>
          <w:bCs/>
          <w:color w:val="000000"/>
          <w:sz w:val="26"/>
          <w:szCs w:val="26"/>
        </w:rPr>
        <w:t xml:space="preserve">.  Thus, resolving these issues now will expedite the conduct of the proceeding and ensure that a full and complete record is developed.  </w:t>
      </w:r>
      <w:r>
        <w:rPr>
          <w:bCs/>
          <w:i/>
          <w:color w:val="000000"/>
          <w:sz w:val="26"/>
          <w:szCs w:val="26"/>
        </w:rPr>
        <w:t>Id</w:t>
      </w:r>
      <w:r>
        <w:rPr>
          <w:bCs/>
          <w:color w:val="000000"/>
          <w:sz w:val="26"/>
          <w:szCs w:val="26"/>
        </w:rPr>
        <w:t>.</w:t>
      </w:r>
    </w:p>
    <w:p w:rsidR="00174BD1" w:rsidRPr="009B29E7" w:rsidRDefault="00174BD1" w:rsidP="009B29E7">
      <w:pPr>
        <w:spacing w:line="360" w:lineRule="auto"/>
        <w:ind w:firstLine="1440"/>
        <w:rPr>
          <w:sz w:val="26"/>
          <w:szCs w:val="26"/>
        </w:rPr>
      </w:pPr>
    </w:p>
    <w:p w:rsidR="00D92026" w:rsidRDefault="00D92026" w:rsidP="00003B2D">
      <w:pPr>
        <w:spacing w:line="360" w:lineRule="auto"/>
        <w:ind w:firstLine="1440"/>
        <w:rPr>
          <w:sz w:val="26"/>
          <w:szCs w:val="26"/>
        </w:rPr>
      </w:pPr>
      <w:r>
        <w:rPr>
          <w:sz w:val="26"/>
          <w:szCs w:val="26"/>
        </w:rPr>
        <w:t xml:space="preserve">In addressing the merits </w:t>
      </w:r>
      <w:r w:rsidR="003B3E70">
        <w:rPr>
          <w:sz w:val="26"/>
          <w:szCs w:val="26"/>
        </w:rPr>
        <w:t xml:space="preserve">of the </w:t>
      </w:r>
      <w:r>
        <w:rPr>
          <w:sz w:val="26"/>
          <w:szCs w:val="26"/>
        </w:rPr>
        <w:t xml:space="preserve">first question presented for review, the OAG and </w:t>
      </w:r>
      <w:r w:rsidR="003B3E70">
        <w:rPr>
          <w:sz w:val="26"/>
          <w:szCs w:val="26"/>
        </w:rPr>
        <w:t xml:space="preserve">the </w:t>
      </w:r>
      <w:r>
        <w:rPr>
          <w:sz w:val="26"/>
          <w:szCs w:val="26"/>
        </w:rPr>
        <w:t>OCA point out that the Commission routinely is called upon to consider overlapping statutes and has concluded that it has jurisdiction and authority to find violations of these overlapping statute</w:t>
      </w:r>
      <w:r w:rsidR="003B3E70">
        <w:rPr>
          <w:sz w:val="26"/>
          <w:szCs w:val="26"/>
        </w:rPr>
        <w:t>s</w:t>
      </w:r>
      <w:r>
        <w:rPr>
          <w:sz w:val="26"/>
          <w:szCs w:val="26"/>
        </w:rPr>
        <w:t xml:space="preserve"> when they bear on compliance with the Code.  </w:t>
      </w:r>
      <w:r w:rsidR="003B3E70">
        <w:rPr>
          <w:sz w:val="26"/>
          <w:szCs w:val="26"/>
        </w:rPr>
        <w:t xml:space="preserve">OAG/OCA </w:t>
      </w:r>
      <w:r>
        <w:rPr>
          <w:sz w:val="26"/>
          <w:szCs w:val="26"/>
        </w:rPr>
        <w:t>J</w:t>
      </w:r>
      <w:r w:rsidR="003B3E70">
        <w:rPr>
          <w:sz w:val="26"/>
          <w:szCs w:val="26"/>
        </w:rPr>
        <w:t>oi</w:t>
      </w:r>
      <w:r>
        <w:rPr>
          <w:sz w:val="26"/>
          <w:szCs w:val="26"/>
        </w:rPr>
        <w:t>nt Brief</w:t>
      </w:r>
      <w:r w:rsidR="003B3E70">
        <w:rPr>
          <w:sz w:val="26"/>
          <w:szCs w:val="26"/>
        </w:rPr>
        <w:t xml:space="preserve"> at</w:t>
      </w:r>
      <w:r>
        <w:rPr>
          <w:sz w:val="26"/>
          <w:szCs w:val="26"/>
        </w:rPr>
        <w:t xml:space="preserve"> 5.  They cite, for example, </w:t>
      </w:r>
      <w:r>
        <w:rPr>
          <w:i/>
          <w:sz w:val="26"/>
          <w:szCs w:val="26"/>
        </w:rPr>
        <w:t>Elkin v. Bell Tel.</w:t>
      </w:r>
      <w:r>
        <w:rPr>
          <w:sz w:val="26"/>
          <w:szCs w:val="26"/>
        </w:rPr>
        <w:t xml:space="preserve">, 491 Pa. 123, 133, 420 A.2d 371, 376; </w:t>
      </w:r>
      <w:r>
        <w:rPr>
          <w:i/>
          <w:sz w:val="26"/>
          <w:szCs w:val="26"/>
        </w:rPr>
        <w:t>Duquesne Light Co. v. Borough of Monroeville</w:t>
      </w:r>
      <w:r>
        <w:rPr>
          <w:sz w:val="26"/>
          <w:szCs w:val="26"/>
        </w:rPr>
        <w:t xml:space="preserve">, 449 Pa. 573, 298 A.2d 252 (1972); and </w:t>
      </w:r>
      <w:proofErr w:type="spellStart"/>
      <w:r>
        <w:rPr>
          <w:i/>
          <w:sz w:val="26"/>
          <w:szCs w:val="26"/>
        </w:rPr>
        <w:t>Pettko</w:t>
      </w:r>
      <w:proofErr w:type="spellEnd"/>
      <w:r>
        <w:rPr>
          <w:i/>
          <w:sz w:val="26"/>
          <w:szCs w:val="26"/>
        </w:rPr>
        <w:t xml:space="preserve"> v. PAW</w:t>
      </w:r>
      <w:r w:rsidR="003B3E70">
        <w:rPr>
          <w:i/>
          <w:sz w:val="26"/>
          <w:szCs w:val="26"/>
        </w:rPr>
        <w:t>C</w:t>
      </w:r>
      <w:r>
        <w:rPr>
          <w:sz w:val="26"/>
          <w:szCs w:val="26"/>
        </w:rPr>
        <w:t xml:space="preserve">, 39 A.3d 473, 484 (Pa. </w:t>
      </w:r>
      <w:proofErr w:type="spellStart"/>
      <w:r>
        <w:rPr>
          <w:sz w:val="26"/>
          <w:szCs w:val="26"/>
        </w:rPr>
        <w:t>Cmw</w:t>
      </w:r>
      <w:r w:rsidR="003B3E70">
        <w:rPr>
          <w:sz w:val="26"/>
          <w:szCs w:val="26"/>
        </w:rPr>
        <w:t>lth</w:t>
      </w:r>
      <w:proofErr w:type="spellEnd"/>
      <w:r>
        <w:rPr>
          <w:sz w:val="26"/>
          <w:szCs w:val="26"/>
        </w:rPr>
        <w:t>. 2012)</w:t>
      </w:r>
      <w:r w:rsidR="00502B96">
        <w:rPr>
          <w:sz w:val="26"/>
          <w:szCs w:val="26"/>
        </w:rPr>
        <w:t>,</w:t>
      </w:r>
      <w:r>
        <w:rPr>
          <w:sz w:val="26"/>
          <w:szCs w:val="26"/>
        </w:rPr>
        <w:t xml:space="preserve"> as cases which stand for the proposition that the Commission has the authority and the duty to </w:t>
      </w:r>
      <w:r>
        <w:rPr>
          <w:sz w:val="26"/>
          <w:szCs w:val="26"/>
        </w:rPr>
        <w:lastRenderedPageBreak/>
        <w:t xml:space="preserve">determine whether the conduct alleged constitutes </w:t>
      </w:r>
      <w:r w:rsidR="003B3E70">
        <w:rPr>
          <w:sz w:val="26"/>
          <w:szCs w:val="26"/>
        </w:rPr>
        <w:t xml:space="preserve">a </w:t>
      </w:r>
      <w:r>
        <w:rPr>
          <w:sz w:val="26"/>
          <w:szCs w:val="26"/>
        </w:rPr>
        <w:t xml:space="preserve">violation of State or Federal law, including the TRA, when it has a matter before it.  </w:t>
      </w:r>
      <w:r w:rsidR="003B3E70">
        <w:rPr>
          <w:sz w:val="26"/>
          <w:szCs w:val="26"/>
        </w:rPr>
        <w:t xml:space="preserve">OAG/OCA Joint </w:t>
      </w:r>
      <w:r>
        <w:rPr>
          <w:sz w:val="26"/>
          <w:szCs w:val="26"/>
        </w:rPr>
        <w:t>Brief</w:t>
      </w:r>
      <w:r w:rsidR="003B3E70">
        <w:rPr>
          <w:sz w:val="26"/>
          <w:szCs w:val="26"/>
        </w:rPr>
        <w:t xml:space="preserve"> at</w:t>
      </w:r>
      <w:r>
        <w:rPr>
          <w:sz w:val="26"/>
          <w:szCs w:val="26"/>
        </w:rPr>
        <w:t xml:space="preserve"> 7.</w:t>
      </w:r>
    </w:p>
    <w:p w:rsidR="00D92026" w:rsidRDefault="00D92026" w:rsidP="00003B2D">
      <w:pPr>
        <w:spacing w:line="360" w:lineRule="auto"/>
        <w:ind w:firstLine="1440"/>
        <w:rPr>
          <w:sz w:val="26"/>
          <w:szCs w:val="26"/>
        </w:rPr>
      </w:pPr>
    </w:p>
    <w:p w:rsidR="009D10DB" w:rsidRDefault="00D92026" w:rsidP="00003B2D">
      <w:pPr>
        <w:spacing w:line="360" w:lineRule="auto"/>
        <w:ind w:firstLine="1440"/>
        <w:rPr>
          <w:sz w:val="26"/>
          <w:szCs w:val="26"/>
        </w:rPr>
      </w:pPr>
      <w:r>
        <w:rPr>
          <w:sz w:val="26"/>
          <w:szCs w:val="26"/>
        </w:rPr>
        <w:t xml:space="preserve">The Joint </w:t>
      </w:r>
      <w:r w:rsidR="00A505A9">
        <w:rPr>
          <w:sz w:val="26"/>
          <w:szCs w:val="26"/>
        </w:rPr>
        <w:t xml:space="preserve">Complainants </w:t>
      </w:r>
      <w:r>
        <w:rPr>
          <w:sz w:val="26"/>
          <w:szCs w:val="26"/>
        </w:rPr>
        <w:t xml:space="preserve">distinguish the holdings of </w:t>
      </w:r>
      <w:r w:rsidRPr="00D92026">
        <w:rPr>
          <w:i/>
          <w:sz w:val="26"/>
          <w:szCs w:val="26"/>
        </w:rPr>
        <w:t>MAPSA</w:t>
      </w:r>
      <w:r>
        <w:rPr>
          <w:sz w:val="26"/>
          <w:szCs w:val="26"/>
        </w:rPr>
        <w:t xml:space="preserve"> </w:t>
      </w:r>
      <w:r>
        <w:rPr>
          <w:i/>
          <w:sz w:val="26"/>
          <w:szCs w:val="26"/>
        </w:rPr>
        <w:t>v. PECO</w:t>
      </w:r>
      <w:r>
        <w:rPr>
          <w:sz w:val="26"/>
          <w:szCs w:val="26"/>
        </w:rPr>
        <w:t>, 1999 Pa. PUC LEXI</w:t>
      </w:r>
      <w:r w:rsidR="00A505A9">
        <w:rPr>
          <w:sz w:val="26"/>
          <w:szCs w:val="26"/>
        </w:rPr>
        <w:t>S</w:t>
      </w:r>
      <w:r>
        <w:rPr>
          <w:sz w:val="26"/>
          <w:szCs w:val="26"/>
        </w:rPr>
        <w:t xml:space="preserve"> 30, and </w:t>
      </w:r>
      <w:r>
        <w:rPr>
          <w:i/>
          <w:sz w:val="26"/>
          <w:szCs w:val="26"/>
        </w:rPr>
        <w:t xml:space="preserve">Harrisburg Taxicab &amp; Baggage Co. v. Pa. PUC, </w:t>
      </w:r>
      <w:r>
        <w:rPr>
          <w:sz w:val="26"/>
          <w:szCs w:val="26"/>
        </w:rPr>
        <w:t xml:space="preserve">786 A.2d 288, 292-293 (Pa. </w:t>
      </w:r>
      <w:proofErr w:type="spellStart"/>
      <w:r>
        <w:rPr>
          <w:sz w:val="26"/>
          <w:szCs w:val="26"/>
        </w:rPr>
        <w:t>C</w:t>
      </w:r>
      <w:r w:rsidR="00A505A9">
        <w:rPr>
          <w:sz w:val="26"/>
          <w:szCs w:val="26"/>
        </w:rPr>
        <w:t>mwlth</w:t>
      </w:r>
      <w:proofErr w:type="spellEnd"/>
      <w:r w:rsidR="00A505A9">
        <w:rPr>
          <w:sz w:val="26"/>
          <w:szCs w:val="26"/>
        </w:rPr>
        <w:t>.</w:t>
      </w:r>
      <w:r>
        <w:rPr>
          <w:sz w:val="26"/>
          <w:szCs w:val="26"/>
        </w:rPr>
        <w:t xml:space="preserve"> 2001), as discussed in the August 20 Order.</w:t>
      </w:r>
      <w:r w:rsidR="009D10DB">
        <w:rPr>
          <w:sz w:val="26"/>
          <w:szCs w:val="26"/>
        </w:rPr>
        <w:t xml:space="preserve">  </w:t>
      </w:r>
      <w:r w:rsidR="00A505A9">
        <w:rPr>
          <w:sz w:val="26"/>
          <w:szCs w:val="26"/>
        </w:rPr>
        <w:t xml:space="preserve">OAG/OCA Joint </w:t>
      </w:r>
      <w:r w:rsidR="009D10DB">
        <w:rPr>
          <w:sz w:val="26"/>
          <w:szCs w:val="26"/>
        </w:rPr>
        <w:t>Brief</w:t>
      </w:r>
      <w:r w:rsidR="00A505A9">
        <w:rPr>
          <w:sz w:val="26"/>
          <w:szCs w:val="26"/>
        </w:rPr>
        <w:t xml:space="preserve"> at</w:t>
      </w:r>
      <w:r w:rsidR="009D10DB">
        <w:rPr>
          <w:sz w:val="26"/>
          <w:szCs w:val="26"/>
        </w:rPr>
        <w:t xml:space="preserve"> 7-9.</w:t>
      </w:r>
    </w:p>
    <w:p w:rsidR="009D10DB" w:rsidRDefault="009D10DB" w:rsidP="00003B2D">
      <w:pPr>
        <w:spacing w:line="360" w:lineRule="auto"/>
        <w:ind w:firstLine="1440"/>
        <w:rPr>
          <w:sz w:val="26"/>
          <w:szCs w:val="26"/>
        </w:rPr>
      </w:pPr>
    </w:p>
    <w:p w:rsidR="009D10DB" w:rsidRDefault="009D10DB" w:rsidP="00003B2D">
      <w:pPr>
        <w:spacing w:line="360" w:lineRule="auto"/>
        <w:ind w:firstLine="1440"/>
        <w:rPr>
          <w:sz w:val="26"/>
          <w:szCs w:val="26"/>
        </w:rPr>
      </w:pPr>
      <w:r>
        <w:rPr>
          <w:sz w:val="26"/>
          <w:szCs w:val="26"/>
        </w:rPr>
        <w:t xml:space="preserve">The Joint </w:t>
      </w:r>
      <w:r w:rsidR="00591E84">
        <w:rPr>
          <w:sz w:val="26"/>
          <w:szCs w:val="26"/>
        </w:rPr>
        <w:t xml:space="preserve">Complainants </w:t>
      </w:r>
      <w:r>
        <w:rPr>
          <w:sz w:val="26"/>
          <w:szCs w:val="26"/>
        </w:rPr>
        <w:t xml:space="preserve">also argue that the Commission has the authority to determine whether the prices charged to customers by an EGS conform to the EGS’s disclosure statement.  </w:t>
      </w:r>
      <w:r w:rsidR="00591E84" w:rsidRPr="00D53276">
        <w:rPr>
          <w:i/>
          <w:sz w:val="26"/>
          <w:szCs w:val="26"/>
        </w:rPr>
        <w:t>Id</w:t>
      </w:r>
      <w:r w:rsidR="00591E84">
        <w:rPr>
          <w:sz w:val="26"/>
          <w:szCs w:val="26"/>
        </w:rPr>
        <w:t xml:space="preserve">. at </w:t>
      </w:r>
      <w:r>
        <w:rPr>
          <w:sz w:val="26"/>
          <w:szCs w:val="26"/>
        </w:rPr>
        <w:t xml:space="preserve">10.  They cite the case of </w:t>
      </w:r>
      <w:proofErr w:type="spellStart"/>
      <w:r>
        <w:rPr>
          <w:i/>
          <w:sz w:val="26"/>
          <w:szCs w:val="26"/>
        </w:rPr>
        <w:t>Grmusa</w:t>
      </w:r>
      <w:proofErr w:type="spellEnd"/>
      <w:r>
        <w:rPr>
          <w:i/>
          <w:sz w:val="26"/>
          <w:szCs w:val="26"/>
        </w:rPr>
        <w:t xml:space="preserve"> v. Dominion Retail, Inc.</w:t>
      </w:r>
      <w:r>
        <w:rPr>
          <w:sz w:val="26"/>
          <w:szCs w:val="26"/>
        </w:rPr>
        <w:t xml:space="preserve">, Docket No. C-2009-2124359 (Order entered April 16, 2010), as a case directly on point for the proposition that the Commission has asserted jurisdiction over the misrepresentation of an EGS when such misrepresentations are related to price quotation.  </w:t>
      </w:r>
      <w:r w:rsidR="00591E84">
        <w:rPr>
          <w:sz w:val="26"/>
          <w:szCs w:val="26"/>
        </w:rPr>
        <w:t xml:space="preserve">OAG/OCA </w:t>
      </w:r>
      <w:r>
        <w:rPr>
          <w:sz w:val="26"/>
          <w:szCs w:val="26"/>
        </w:rPr>
        <w:t>J</w:t>
      </w:r>
      <w:r w:rsidR="00591E84">
        <w:rPr>
          <w:sz w:val="26"/>
          <w:szCs w:val="26"/>
        </w:rPr>
        <w:t>oi</w:t>
      </w:r>
      <w:r>
        <w:rPr>
          <w:sz w:val="26"/>
          <w:szCs w:val="26"/>
        </w:rPr>
        <w:t>nt Brief</w:t>
      </w:r>
      <w:r w:rsidR="00591E84">
        <w:rPr>
          <w:sz w:val="26"/>
          <w:szCs w:val="26"/>
        </w:rPr>
        <w:t xml:space="preserve"> at</w:t>
      </w:r>
      <w:r>
        <w:rPr>
          <w:sz w:val="26"/>
          <w:szCs w:val="26"/>
        </w:rPr>
        <w:t xml:space="preserve"> 12.</w:t>
      </w:r>
    </w:p>
    <w:p w:rsidR="009D10DB" w:rsidRDefault="009D10DB" w:rsidP="00003B2D">
      <w:pPr>
        <w:spacing w:line="360" w:lineRule="auto"/>
        <w:ind w:firstLine="1440"/>
        <w:rPr>
          <w:sz w:val="26"/>
          <w:szCs w:val="26"/>
        </w:rPr>
      </w:pPr>
    </w:p>
    <w:p w:rsidR="009D10DB" w:rsidRDefault="009D10DB" w:rsidP="00003B2D">
      <w:pPr>
        <w:spacing w:line="360" w:lineRule="auto"/>
        <w:ind w:firstLine="1440"/>
        <w:rPr>
          <w:sz w:val="26"/>
          <w:szCs w:val="26"/>
        </w:rPr>
      </w:pPr>
      <w:r>
        <w:rPr>
          <w:sz w:val="26"/>
          <w:szCs w:val="26"/>
        </w:rPr>
        <w:t xml:space="preserve">Finally, </w:t>
      </w:r>
      <w:r w:rsidR="00591E84">
        <w:rPr>
          <w:sz w:val="26"/>
          <w:szCs w:val="26"/>
        </w:rPr>
        <w:t xml:space="preserve">the </w:t>
      </w:r>
      <w:r w:rsidR="0051207B">
        <w:rPr>
          <w:sz w:val="26"/>
          <w:szCs w:val="26"/>
        </w:rPr>
        <w:t>J</w:t>
      </w:r>
      <w:r w:rsidR="00591E84">
        <w:rPr>
          <w:sz w:val="26"/>
          <w:szCs w:val="26"/>
        </w:rPr>
        <w:t xml:space="preserve">oint </w:t>
      </w:r>
      <w:r>
        <w:rPr>
          <w:sz w:val="26"/>
          <w:szCs w:val="26"/>
        </w:rPr>
        <w:t xml:space="preserve">Complainants assert that the Commission has the authority to order equitable remedies, including restitution.  </w:t>
      </w:r>
      <w:r w:rsidR="00591E84" w:rsidRPr="00D53276">
        <w:rPr>
          <w:i/>
          <w:sz w:val="26"/>
          <w:szCs w:val="26"/>
        </w:rPr>
        <w:t>Id</w:t>
      </w:r>
      <w:r w:rsidR="00591E84">
        <w:rPr>
          <w:sz w:val="26"/>
          <w:szCs w:val="26"/>
        </w:rPr>
        <w:t xml:space="preserve">. at </w:t>
      </w:r>
      <w:r>
        <w:rPr>
          <w:sz w:val="26"/>
          <w:szCs w:val="26"/>
        </w:rPr>
        <w:t xml:space="preserve">13-14.  </w:t>
      </w:r>
      <w:r w:rsidR="0051207B">
        <w:rPr>
          <w:sz w:val="26"/>
          <w:szCs w:val="26"/>
        </w:rPr>
        <w:t xml:space="preserve">The </w:t>
      </w:r>
      <w:r>
        <w:rPr>
          <w:sz w:val="26"/>
          <w:szCs w:val="26"/>
        </w:rPr>
        <w:t xml:space="preserve">Joint Complainants refer the Commission to the proceeding at Docket No. C-2012-2427656, involving Energy Service Providers, Inc. d/b/a Pa. Gas &amp; Electric, wherein they </w:t>
      </w:r>
      <w:r w:rsidR="00DD4BCC">
        <w:rPr>
          <w:sz w:val="26"/>
          <w:szCs w:val="26"/>
        </w:rPr>
        <w:t xml:space="preserve">discuss, at length, the Commission’s authority and jurisdiction to order refunds.  </w:t>
      </w:r>
      <w:r w:rsidR="00591E84">
        <w:rPr>
          <w:i/>
          <w:sz w:val="26"/>
          <w:szCs w:val="26"/>
        </w:rPr>
        <w:t xml:space="preserve">Id. </w:t>
      </w:r>
      <w:r w:rsidR="00591E84">
        <w:rPr>
          <w:sz w:val="26"/>
          <w:szCs w:val="26"/>
        </w:rPr>
        <w:t>at</w:t>
      </w:r>
      <w:r w:rsidR="00DD4BCC">
        <w:rPr>
          <w:sz w:val="26"/>
          <w:szCs w:val="26"/>
        </w:rPr>
        <w:t xml:space="preserve"> 13 n. 7. </w:t>
      </w:r>
      <w:r>
        <w:rPr>
          <w:sz w:val="26"/>
          <w:szCs w:val="26"/>
        </w:rPr>
        <w:t xml:space="preserve">       </w:t>
      </w:r>
    </w:p>
    <w:p w:rsidR="006F5939" w:rsidRDefault="006F5939" w:rsidP="00003B2D">
      <w:pPr>
        <w:spacing w:line="360" w:lineRule="auto"/>
        <w:ind w:firstLine="1440"/>
        <w:rPr>
          <w:sz w:val="26"/>
          <w:szCs w:val="26"/>
        </w:rPr>
      </w:pPr>
    </w:p>
    <w:p w:rsidR="00DD4BCC" w:rsidRDefault="00DD4BCC" w:rsidP="00003B2D">
      <w:pPr>
        <w:spacing w:line="360" w:lineRule="auto"/>
        <w:ind w:firstLine="1440"/>
        <w:rPr>
          <w:b/>
          <w:sz w:val="26"/>
          <w:szCs w:val="26"/>
        </w:rPr>
      </w:pPr>
      <w:r>
        <w:rPr>
          <w:b/>
          <w:sz w:val="26"/>
          <w:szCs w:val="26"/>
        </w:rPr>
        <w:t>IDT</w:t>
      </w:r>
    </w:p>
    <w:p w:rsidR="009025CF" w:rsidRDefault="009025CF" w:rsidP="00003B2D">
      <w:pPr>
        <w:spacing w:line="360" w:lineRule="auto"/>
        <w:ind w:firstLine="1440"/>
        <w:rPr>
          <w:sz w:val="26"/>
          <w:szCs w:val="26"/>
        </w:rPr>
      </w:pPr>
    </w:p>
    <w:p w:rsidR="00DD4BCC" w:rsidRDefault="00DD4BCC" w:rsidP="00003B2D">
      <w:pPr>
        <w:spacing w:line="360" w:lineRule="auto"/>
        <w:ind w:firstLine="1440"/>
        <w:rPr>
          <w:sz w:val="26"/>
          <w:szCs w:val="26"/>
        </w:rPr>
      </w:pPr>
      <w:r>
        <w:rPr>
          <w:sz w:val="26"/>
          <w:szCs w:val="26"/>
        </w:rPr>
        <w:t xml:space="preserve">IDT takes the position that the only violation of the TRA that is alleged </w:t>
      </w:r>
      <w:r w:rsidR="007A00DE">
        <w:rPr>
          <w:sz w:val="26"/>
          <w:szCs w:val="26"/>
        </w:rPr>
        <w:t xml:space="preserve">in the </w:t>
      </w:r>
      <w:r w:rsidR="0089751C">
        <w:rPr>
          <w:sz w:val="26"/>
          <w:szCs w:val="26"/>
        </w:rPr>
        <w:t>Joint</w:t>
      </w:r>
      <w:r w:rsidR="007A00DE">
        <w:rPr>
          <w:sz w:val="26"/>
          <w:szCs w:val="26"/>
        </w:rPr>
        <w:t xml:space="preserve"> Complaint </w:t>
      </w:r>
      <w:r>
        <w:rPr>
          <w:sz w:val="26"/>
          <w:szCs w:val="26"/>
        </w:rPr>
        <w:t>pertains to the “sig</w:t>
      </w:r>
      <w:r w:rsidR="0051207B">
        <w:rPr>
          <w:sz w:val="26"/>
          <w:szCs w:val="26"/>
        </w:rPr>
        <w:t>n</w:t>
      </w:r>
      <w:r>
        <w:rPr>
          <w:sz w:val="26"/>
          <w:szCs w:val="26"/>
        </w:rPr>
        <w:t>ed contract” provision at 71 P.S. § 2245(a)(7)</w:t>
      </w:r>
      <w:r w:rsidR="007A00DE">
        <w:rPr>
          <w:sz w:val="26"/>
          <w:szCs w:val="26"/>
        </w:rPr>
        <w:t>.</w:t>
      </w:r>
      <w:r>
        <w:rPr>
          <w:sz w:val="26"/>
          <w:szCs w:val="26"/>
        </w:rPr>
        <w:t xml:space="preserve"> </w:t>
      </w:r>
      <w:r w:rsidR="007A00DE">
        <w:rPr>
          <w:sz w:val="26"/>
          <w:szCs w:val="26"/>
        </w:rPr>
        <w:t xml:space="preserve"> </w:t>
      </w:r>
      <w:r w:rsidR="005642F4">
        <w:rPr>
          <w:sz w:val="26"/>
          <w:szCs w:val="26"/>
        </w:rPr>
        <w:t>T</w:t>
      </w:r>
      <w:r>
        <w:rPr>
          <w:sz w:val="26"/>
          <w:szCs w:val="26"/>
        </w:rPr>
        <w:t xml:space="preserve">his requirement does not, in </w:t>
      </w:r>
      <w:r w:rsidR="000E6F80">
        <w:rPr>
          <w:sz w:val="26"/>
          <w:szCs w:val="26"/>
        </w:rPr>
        <w:t>IDT’s</w:t>
      </w:r>
      <w:r>
        <w:rPr>
          <w:sz w:val="26"/>
          <w:szCs w:val="26"/>
        </w:rPr>
        <w:t xml:space="preserve"> legal opinion, apply to EGSs</w:t>
      </w:r>
      <w:r w:rsidR="007A00DE">
        <w:rPr>
          <w:sz w:val="26"/>
          <w:szCs w:val="26"/>
        </w:rPr>
        <w:t>.  Therefore, argues IDT,</w:t>
      </w:r>
      <w:r>
        <w:rPr>
          <w:sz w:val="26"/>
          <w:szCs w:val="26"/>
        </w:rPr>
        <w:t xml:space="preserve"> there is no compelling reason for the Commission to grant interlocutory review.  </w:t>
      </w:r>
      <w:r w:rsidR="0051207B">
        <w:rPr>
          <w:sz w:val="26"/>
          <w:szCs w:val="26"/>
        </w:rPr>
        <w:t xml:space="preserve">IDT </w:t>
      </w:r>
      <w:r>
        <w:rPr>
          <w:sz w:val="26"/>
          <w:szCs w:val="26"/>
        </w:rPr>
        <w:t>Bri</w:t>
      </w:r>
      <w:r w:rsidR="0051207B">
        <w:rPr>
          <w:sz w:val="26"/>
          <w:szCs w:val="26"/>
        </w:rPr>
        <w:t>e</w:t>
      </w:r>
      <w:r>
        <w:rPr>
          <w:sz w:val="26"/>
          <w:szCs w:val="26"/>
        </w:rPr>
        <w:t>f</w:t>
      </w:r>
      <w:r w:rsidR="0051207B">
        <w:rPr>
          <w:sz w:val="26"/>
          <w:szCs w:val="26"/>
        </w:rPr>
        <w:t xml:space="preserve"> in Opposition at</w:t>
      </w:r>
      <w:r>
        <w:rPr>
          <w:sz w:val="26"/>
          <w:szCs w:val="26"/>
        </w:rPr>
        <w:t xml:space="preserve"> 4.  </w:t>
      </w:r>
    </w:p>
    <w:p w:rsidR="00DD4BCC" w:rsidRDefault="00DD4BCC" w:rsidP="00003B2D">
      <w:pPr>
        <w:spacing w:line="360" w:lineRule="auto"/>
        <w:ind w:firstLine="1440"/>
        <w:rPr>
          <w:sz w:val="26"/>
          <w:szCs w:val="26"/>
        </w:rPr>
      </w:pPr>
    </w:p>
    <w:p w:rsidR="00DD4BCC" w:rsidRDefault="00DD4BCC" w:rsidP="00003B2D">
      <w:pPr>
        <w:spacing w:line="360" w:lineRule="auto"/>
        <w:ind w:firstLine="1440"/>
        <w:rPr>
          <w:sz w:val="26"/>
          <w:szCs w:val="26"/>
        </w:rPr>
      </w:pPr>
      <w:r>
        <w:rPr>
          <w:sz w:val="26"/>
          <w:szCs w:val="26"/>
        </w:rPr>
        <w:t xml:space="preserve">Concerning question </w:t>
      </w:r>
      <w:r w:rsidR="007A00DE">
        <w:rPr>
          <w:sz w:val="26"/>
          <w:szCs w:val="26"/>
        </w:rPr>
        <w:t>#2</w:t>
      </w:r>
      <w:r>
        <w:rPr>
          <w:sz w:val="26"/>
          <w:szCs w:val="26"/>
        </w:rPr>
        <w:t xml:space="preserve"> raised by the Joint Complainant</w:t>
      </w:r>
      <w:r w:rsidR="0051207B">
        <w:rPr>
          <w:sz w:val="26"/>
          <w:szCs w:val="26"/>
        </w:rPr>
        <w:t>s</w:t>
      </w:r>
      <w:r>
        <w:rPr>
          <w:sz w:val="26"/>
          <w:szCs w:val="26"/>
        </w:rPr>
        <w:t>, IDT replies that the</w:t>
      </w:r>
      <w:r w:rsidR="000E6F80">
        <w:rPr>
          <w:sz w:val="26"/>
          <w:szCs w:val="26"/>
        </w:rPr>
        <w:t xml:space="preserve"> Joint Complainants</w:t>
      </w:r>
      <w:r>
        <w:rPr>
          <w:sz w:val="26"/>
          <w:szCs w:val="26"/>
        </w:rPr>
        <w:t xml:space="preserve"> are not able to demonstrate any prejudice that justifies review.  These </w:t>
      </w:r>
      <w:r w:rsidR="0051207B">
        <w:rPr>
          <w:sz w:val="26"/>
          <w:szCs w:val="26"/>
        </w:rPr>
        <w:t>P</w:t>
      </w:r>
      <w:r>
        <w:rPr>
          <w:sz w:val="26"/>
          <w:szCs w:val="26"/>
        </w:rPr>
        <w:t xml:space="preserve">arties, argues IDT, will be able to pursue their claims that IDT’s </w:t>
      </w:r>
      <w:r w:rsidR="0051207B">
        <w:rPr>
          <w:sz w:val="26"/>
          <w:szCs w:val="26"/>
        </w:rPr>
        <w:t>D</w:t>
      </w:r>
      <w:r>
        <w:rPr>
          <w:sz w:val="26"/>
          <w:szCs w:val="26"/>
        </w:rPr>
        <w:t xml:space="preserve">isclosure </w:t>
      </w:r>
      <w:r w:rsidR="0051207B">
        <w:rPr>
          <w:sz w:val="26"/>
          <w:szCs w:val="26"/>
        </w:rPr>
        <w:t>S</w:t>
      </w:r>
      <w:r>
        <w:rPr>
          <w:sz w:val="26"/>
          <w:szCs w:val="26"/>
        </w:rPr>
        <w:t>tatement was non-compliant with the Commission’s Regulations</w:t>
      </w:r>
      <w:r w:rsidR="007A00DE">
        <w:rPr>
          <w:sz w:val="26"/>
          <w:szCs w:val="26"/>
        </w:rPr>
        <w:t xml:space="preserve"> notwithstanding the August 20 Order of the presiding ALJs</w:t>
      </w:r>
      <w:r>
        <w:rPr>
          <w:sz w:val="26"/>
          <w:szCs w:val="26"/>
        </w:rPr>
        <w:t xml:space="preserve">.  </w:t>
      </w:r>
      <w:r w:rsidR="0051207B">
        <w:rPr>
          <w:bCs/>
          <w:i/>
          <w:color w:val="000000"/>
          <w:sz w:val="26"/>
          <w:szCs w:val="26"/>
        </w:rPr>
        <w:t xml:space="preserve">Id. </w:t>
      </w:r>
      <w:r w:rsidR="0051207B">
        <w:rPr>
          <w:sz w:val="26"/>
          <w:szCs w:val="26"/>
        </w:rPr>
        <w:t>at</w:t>
      </w:r>
      <w:r>
        <w:rPr>
          <w:sz w:val="26"/>
          <w:szCs w:val="26"/>
        </w:rPr>
        <w:t xml:space="preserve"> 8.</w:t>
      </w:r>
    </w:p>
    <w:p w:rsidR="00DD4BCC" w:rsidRDefault="00DD4BCC" w:rsidP="00003B2D">
      <w:pPr>
        <w:spacing w:line="360" w:lineRule="auto"/>
        <w:ind w:firstLine="1440"/>
        <w:rPr>
          <w:sz w:val="26"/>
          <w:szCs w:val="26"/>
        </w:rPr>
      </w:pPr>
    </w:p>
    <w:p w:rsidR="00DD4BCC" w:rsidRDefault="00DD4BCC" w:rsidP="00003B2D">
      <w:pPr>
        <w:spacing w:line="360" w:lineRule="auto"/>
        <w:ind w:firstLine="1440"/>
        <w:rPr>
          <w:sz w:val="26"/>
          <w:szCs w:val="26"/>
        </w:rPr>
      </w:pPr>
      <w:r>
        <w:rPr>
          <w:sz w:val="26"/>
          <w:szCs w:val="26"/>
        </w:rPr>
        <w:t xml:space="preserve">Also, concerning Count VI of the </w:t>
      </w:r>
      <w:r w:rsidR="0051207B">
        <w:rPr>
          <w:sz w:val="26"/>
          <w:szCs w:val="26"/>
        </w:rPr>
        <w:t>Joint C</w:t>
      </w:r>
      <w:r>
        <w:rPr>
          <w:sz w:val="26"/>
          <w:szCs w:val="26"/>
        </w:rPr>
        <w:t xml:space="preserve">omplaint, IDT states that there is no specific price stated in its Disclosure Statement.  Therefore, </w:t>
      </w:r>
      <w:r w:rsidR="0051207B">
        <w:rPr>
          <w:sz w:val="26"/>
          <w:szCs w:val="26"/>
        </w:rPr>
        <w:t xml:space="preserve">the </w:t>
      </w:r>
      <w:r>
        <w:rPr>
          <w:sz w:val="26"/>
          <w:szCs w:val="26"/>
        </w:rPr>
        <w:t xml:space="preserve">OAG and </w:t>
      </w:r>
      <w:r w:rsidR="0051207B">
        <w:rPr>
          <w:sz w:val="26"/>
          <w:szCs w:val="26"/>
        </w:rPr>
        <w:t xml:space="preserve">the </w:t>
      </w:r>
      <w:r>
        <w:rPr>
          <w:sz w:val="26"/>
          <w:szCs w:val="26"/>
        </w:rPr>
        <w:t>OCA cannot reasonably argue that Count VI was meant to outline a claim that IDT’s prices deviated from the price stated in its disclosure</w:t>
      </w:r>
      <w:r w:rsidR="0082484B">
        <w:rPr>
          <w:sz w:val="26"/>
          <w:szCs w:val="26"/>
        </w:rPr>
        <w:t xml:space="preserve"> statement</w:t>
      </w:r>
      <w:r>
        <w:rPr>
          <w:sz w:val="26"/>
          <w:szCs w:val="26"/>
        </w:rPr>
        <w:t xml:space="preserve">.  </w:t>
      </w:r>
      <w:r w:rsidR="000354BD">
        <w:rPr>
          <w:bCs/>
          <w:i/>
          <w:color w:val="000000"/>
          <w:sz w:val="26"/>
          <w:szCs w:val="26"/>
        </w:rPr>
        <w:t>Id.</w:t>
      </w:r>
      <w:r w:rsidR="000354BD">
        <w:rPr>
          <w:sz w:val="26"/>
          <w:szCs w:val="26"/>
        </w:rPr>
        <w:t xml:space="preserve"> at</w:t>
      </w:r>
      <w:r>
        <w:rPr>
          <w:sz w:val="26"/>
          <w:szCs w:val="26"/>
        </w:rPr>
        <w:t xml:space="preserve"> 11. </w:t>
      </w:r>
    </w:p>
    <w:p w:rsidR="00DD4BCC" w:rsidRDefault="00DD4BCC" w:rsidP="00003B2D">
      <w:pPr>
        <w:spacing w:line="360" w:lineRule="auto"/>
        <w:ind w:firstLine="1440"/>
        <w:rPr>
          <w:sz w:val="26"/>
          <w:szCs w:val="26"/>
        </w:rPr>
      </w:pPr>
    </w:p>
    <w:p w:rsidR="00651964" w:rsidRDefault="00DD4BCC" w:rsidP="00003B2D">
      <w:pPr>
        <w:spacing w:line="360" w:lineRule="auto"/>
        <w:ind w:firstLine="1440"/>
        <w:rPr>
          <w:sz w:val="26"/>
          <w:szCs w:val="26"/>
        </w:rPr>
      </w:pPr>
      <w:r>
        <w:rPr>
          <w:sz w:val="26"/>
          <w:szCs w:val="26"/>
        </w:rPr>
        <w:t xml:space="preserve">Concerning the </w:t>
      </w:r>
      <w:r w:rsidR="007A00DE">
        <w:rPr>
          <w:sz w:val="26"/>
          <w:szCs w:val="26"/>
        </w:rPr>
        <w:t xml:space="preserve">OAG/OCA </w:t>
      </w:r>
      <w:r w:rsidR="0089751C">
        <w:rPr>
          <w:sz w:val="26"/>
          <w:szCs w:val="26"/>
        </w:rPr>
        <w:t>Joint</w:t>
      </w:r>
      <w:r w:rsidR="007A00DE">
        <w:rPr>
          <w:sz w:val="26"/>
          <w:szCs w:val="26"/>
        </w:rPr>
        <w:t xml:space="preserve"> Petition, question #3, </w:t>
      </w:r>
      <w:r>
        <w:rPr>
          <w:sz w:val="26"/>
          <w:szCs w:val="26"/>
        </w:rPr>
        <w:t>IDT addresses the merits of the issue</w:t>
      </w:r>
      <w:r w:rsidR="007A00DE">
        <w:rPr>
          <w:sz w:val="26"/>
          <w:szCs w:val="26"/>
        </w:rPr>
        <w:t>.</w:t>
      </w:r>
      <w:r>
        <w:rPr>
          <w:sz w:val="26"/>
          <w:szCs w:val="26"/>
        </w:rPr>
        <w:t xml:space="preserve"> </w:t>
      </w:r>
      <w:r w:rsidR="007A00DE">
        <w:rPr>
          <w:sz w:val="26"/>
          <w:szCs w:val="26"/>
        </w:rPr>
        <w:t xml:space="preserve"> IDT </w:t>
      </w:r>
      <w:r>
        <w:rPr>
          <w:sz w:val="26"/>
          <w:szCs w:val="26"/>
        </w:rPr>
        <w:t xml:space="preserve">does not offer substantial discussion concerning the compelling nature of review at this stage of the proceedings.  </w:t>
      </w:r>
      <w:r w:rsidR="000354BD">
        <w:rPr>
          <w:bCs/>
          <w:i/>
          <w:color w:val="000000"/>
          <w:sz w:val="26"/>
          <w:szCs w:val="26"/>
        </w:rPr>
        <w:t>Id</w:t>
      </w:r>
      <w:r w:rsidR="000E6F80">
        <w:rPr>
          <w:bCs/>
          <w:i/>
          <w:color w:val="000000"/>
          <w:sz w:val="26"/>
          <w:szCs w:val="26"/>
        </w:rPr>
        <w:t>.</w:t>
      </w:r>
      <w:r w:rsidR="000354BD">
        <w:rPr>
          <w:sz w:val="26"/>
          <w:szCs w:val="26"/>
        </w:rPr>
        <w:t xml:space="preserve"> at</w:t>
      </w:r>
      <w:r>
        <w:rPr>
          <w:sz w:val="26"/>
          <w:szCs w:val="26"/>
        </w:rPr>
        <w:t xml:space="preserve"> </w:t>
      </w:r>
      <w:r w:rsidR="00651964">
        <w:rPr>
          <w:sz w:val="26"/>
          <w:szCs w:val="26"/>
        </w:rPr>
        <w:t>11-14.</w:t>
      </w:r>
    </w:p>
    <w:p w:rsidR="00651964" w:rsidRDefault="00651964" w:rsidP="00003B2D">
      <w:pPr>
        <w:spacing w:line="360" w:lineRule="auto"/>
        <w:ind w:firstLine="1440"/>
        <w:rPr>
          <w:sz w:val="26"/>
          <w:szCs w:val="26"/>
        </w:rPr>
      </w:pPr>
    </w:p>
    <w:p w:rsidR="00DD4BCC" w:rsidRPr="00651964" w:rsidRDefault="00651964" w:rsidP="00003B2D">
      <w:pPr>
        <w:spacing w:line="360" w:lineRule="auto"/>
        <w:ind w:firstLine="1440"/>
        <w:rPr>
          <w:sz w:val="26"/>
          <w:szCs w:val="26"/>
        </w:rPr>
      </w:pPr>
      <w:r>
        <w:rPr>
          <w:sz w:val="26"/>
          <w:szCs w:val="26"/>
        </w:rPr>
        <w:t>With regard to the merits</w:t>
      </w:r>
      <w:r w:rsidR="007A00DE">
        <w:rPr>
          <w:sz w:val="26"/>
          <w:szCs w:val="26"/>
        </w:rPr>
        <w:t xml:space="preserve"> of </w:t>
      </w:r>
      <w:r w:rsidR="0082484B">
        <w:rPr>
          <w:sz w:val="26"/>
          <w:szCs w:val="26"/>
        </w:rPr>
        <w:t xml:space="preserve">the </w:t>
      </w:r>
      <w:r w:rsidR="007A00DE">
        <w:rPr>
          <w:sz w:val="26"/>
          <w:szCs w:val="26"/>
        </w:rPr>
        <w:t>J</w:t>
      </w:r>
      <w:r w:rsidR="0082484B">
        <w:rPr>
          <w:sz w:val="26"/>
          <w:szCs w:val="26"/>
        </w:rPr>
        <w:t>oi</w:t>
      </w:r>
      <w:r w:rsidR="007A00DE">
        <w:rPr>
          <w:sz w:val="26"/>
          <w:szCs w:val="26"/>
        </w:rPr>
        <w:t>nt Complainants’ question  #3</w:t>
      </w:r>
      <w:r>
        <w:rPr>
          <w:sz w:val="26"/>
          <w:szCs w:val="26"/>
        </w:rPr>
        <w:t>, IDT adheres to its position that it is not a “public utility” for purposes of refunds authorized by Section 1312, 66 Pa. C.S. § 1312.  I</w:t>
      </w:r>
      <w:r w:rsidR="007A00DE">
        <w:rPr>
          <w:sz w:val="26"/>
          <w:szCs w:val="26"/>
        </w:rPr>
        <w:t>DT</w:t>
      </w:r>
      <w:r>
        <w:rPr>
          <w:sz w:val="26"/>
          <w:szCs w:val="26"/>
        </w:rPr>
        <w:t xml:space="preserve"> notes that the Commission has only used its authority to order an EGS to reverse charges to customers in one, “narrow” and “limited” situation.  </w:t>
      </w:r>
      <w:r>
        <w:rPr>
          <w:i/>
          <w:sz w:val="26"/>
          <w:szCs w:val="26"/>
        </w:rPr>
        <w:t>See</w:t>
      </w:r>
      <w:r>
        <w:rPr>
          <w:sz w:val="26"/>
          <w:szCs w:val="26"/>
        </w:rPr>
        <w:t xml:space="preserve"> </w:t>
      </w:r>
      <w:r w:rsidR="000354BD">
        <w:rPr>
          <w:sz w:val="26"/>
          <w:szCs w:val="26"/>
        </w:rPr>
        <w:t xml:space="preserve">IDT </w:t>
      </w:r>
      <w:r>
        <w:rPr>
          <w:sz w:val="26"/>
          <w:szCs w:val="26"/>
        </w:rPr>
        <w:t>Brief</w:t>
      </w:r>
      <w:r w:rsidR="000354BD">
        <w:rPr>
          <w:sz w:val="26"/>
          <w:szCs w:val="26"/>
        </w:rPr>
        <w:t xml:space="preserve"> in Opposition at</w:t>
      </w:r>
      <w:r>
        <w:rPr>
          <w:sz w:val="26"/>
          <w:szCs w:val="26"/>
        </w:rPr>
        <w:t xml:space="preserve"> 12, citing </w:t>
      </w:r>
      <w:r>
        <w:rPr>
          <w:i/>
          <w:sz w:val="26"/>
          <w:szCs w:val="26"/>
        </w:rPr>
        <w:t xml:space="preserve">Rulemaking Order Establishing Standards for Changing a Customer’s Electric Supplier, </w:t>
      </w:r>
      <w:r w:rsidRPr="00651964">
        <w:rPr>
          <w:sz w:val="26"/>
          <w:szCs w:val="26"/>
        </w:rPr>
        <w:t>Docket No. L-00970121 (Order entered February 27, 1998).</w:t>
      </w:r>
      <w:r w:rsidR="00DD4BCC" w:rsidRPr="00651964">
        <w:rPr>
          <w:sz w:val="26"/>
          <w:szCs w:val="26"/>
        </w:rPr>
        <w:t xml:space="preserve">    </w:t>
      </w:r>
    </w:p>
    <w:p w:rsidR="007A00DE" w:rsidRDefault="007A00DE" w:rsidP="00D53276">
      <w:pPr>
        <w:widowControl/>
        <w:spacing w:after="200" w:line="276" w:lineRule="auto"/>
        <w:ind w:firstLine="720"/>
        <w:rPr>
          <w:b/>
          <w:sz w:val="26"/>
          <w:szCs w:val="26"/>
        </w:rPr>
      </w:pPr>
    </w:p>
    <w:p w:rsidR="00FB3C2B" w:rsidRDefault="00FB3C2B" w:rsidP="00D53276">
      <w:pPr>
        <w:widowControl/>
        <w:spacing w:after="200" w:line="276" w:lineRule="auto"/>
        <w:ind w:firstLine="720"/>
        <w:rPr>
          <w:b/>
          <w:sz w:val="26"/>
          <w:szCs w:val="26"/>
        </w:rPr>
      </w:pPr>
    </w:p>
    <w:p w:rsidR="00FB3C2B" w:rsidRDefault="00FB3C2B" w:rsidP="00D53276">
      <w:pPr>
        <w:widowControl/>
        <w:spacing w:after="200" w:line="276" w:lineRule="auto"/>
        <w:ind w:firstLine="720"/>
        <w:rPr>
          <w:b/>
          <w:sz w:val="26"/>
          <w:szCs w:val="26"/>
        </w:rPr>
      </w:pPr>
    </w:p>
    <w:p w:rsidR="00FB3C2B" w:rsidRDefault="00FB3C2B" w:rsidP="00D53276">
      <w:pPr>
        <w:widowControl/>
        <w:spacing w:after="200" w:line="276" w:lineRule="auto"/>
        <w:ind w:firstLine="720"/>
        <w:rPr>
          <w:b/>
          <w:sz w:val="26"/>
          <w:szCs w:val="26"/>
        </w:rPr>
      </w:pPr>
    </w:p>
    <w:p w:rsidR="00FB3C2B" w:rsidRDefault="00FB3C2B" w:rsidP="00D53276">
      <w:pPr>
        <w:widowControl/>
        <w:spacing w:after="200" w:line="276" w:lineRule="auto"/>
        <w:ind w:firstLine="720"/>
        <w:rPr>
          <w:b/>
          <w:sz w:val="26"/>
          <w:szCs w:val="26"/>
        </w:rPr>
      </w:pPr>
    </w:p>
    <w:p w:rsidR="00006F35" w:rsidRPr="00D53276" w:rsidRDefault="00006F35" w:rsidP="00D53276">
      <w:pPr>
        <w:widowControl/>
        <w:spacing w:after="200" w:line="276" w:lineRule="auto"/>
        <w:ind w:firstLine="720"/>
        <w:rPr>
          <w:b/>
          <w:sz w:val="26"/>
          <w:szCs w:val="26"/>
        </w:rPr>
      </w:pPr>
      <w:r w:rsidRPr="00D53276">
        <w:rPr>
          <w:b/>
          <w:sz w:val="26"/>
          <w:szCs w:val="26"/>
        </w:rPr>
        <w:lastRenderedPageBreak/>
        <w:t>Disposition</w:t>
      </w:r>
    </w:p>
    <w:p w:rsidR="00AD0A03" w:rsidRDefault="00AD0A03" w:rsidP="00651964">
      <w:pPr>
        <w:spacing w:line="360" w:lineRule="auto"/>
        <w:ind w:firstLine="1440"/>
        <w:rPr>
          <w:bCs/>
          <w:color w:val="000000"/>
          <w:sz w:val="26"/>
          <w:szCs w:val="26"/>
        </w:rPr>
      </w:pPr>
    </w:p>
    <w:p w:rsidR="00B1530D" w:rsidRPr="00FB3C2B" w:rsidRDefault="00B1530D" w:rsidP="00651964">
      <w:pPr>
        <w:spacing w:line="360" w:lineRule="auto"/>
        <w:ind w:firstLine="1440"/>
        <w:rPr>
          <w:b/>
          <w:bCs/>
          <w:color w:val="000000"/>
          <w:sz w:val="26"/>
          <w:szCs w:val="26"/>
        </w:rPr>
      </w:pPr>
      <w:r>
        <w:rPr>
          <w:b/>
          <w:bCs/>
          <w:color w:val="000000"/>
          <w:sz w:val="26"/>
          <w:szCs w:val="26"/>
        </w:rPr>
        <w:t>The Standards for Interlocutory Review Have Been Met</w:t>
      </w:r>
    </w:p>
    <w:p w:rsidR="00B1530D" w:rsidRDefault="00B1530D" w:rsidP="00651964">
      <w:pPr>
        <w:spacing w:line="360" w:lineRule="auto"/>
        <w:ind w:firstLine="1440"/>
        <w:rPr>
          <w:bCs/>
          <w:color w:val="000000"/>
          <w:sz w:val="26"/>
          <w:szCs w:val="26"/>
        </w:rPr>
      </w:pPr>
    </w:p>
    <w:p w:rsidR="007A00DE" w:rsidRDefault="00651964" w:rsidP="00651964">
      <w:pPr>
        <w:spacing w:line="360" w:lineRule="auto"/>
        <w:ind w:firstLine="1440"/>
        <w:rPr>
          <w:bCs/>
          <w:color w:val="000000"/>
          <w:sz w:val="26"/>
          <w:szCs w:val="26"/>
        </w:rPr>
      </w:pPr>
      <w:r>
        <w:rPr>
          <w:bCs/>
          <w:color w:val="000000"/>
          <w:sz w:val="26"/>
          <w:szCs w:val="26"/>
        </w:rPr>
        <w:t>On application of the principles for interlocutory review to the OAG/OCA Jnt</w:t>
      </w:r>
      <w:r w:rsidR="00A00457">
        <w:rPr>
          <w:bCs/>
          <w:color w:val="000000"/>
          <w:sz w:val="26"/>
          <w:szCs w:val="26"/>
        </w:rPr>
        <w:t>.</w:t>
      </w:r>
      <w:r>
        <w:rPr>
          <w:bCs/>
          <w:color w:val="000000"/>
          <w:sz w:val="26"/>
          <w:szCs w:val="26"/>
        </w:rPr>
        <w:t xml:space="preserve"> Petition, w</w:t>
      </w:r>
      <w:r w:rsidRPr="00D57141">
        <w:rPr>
          <w:bCs/>
          <w:color w:val="000000"/>
          <w:sz w:val="26"/>
          <w:szCs w:val="26"/>
        </w:rPr>
        <w:t xml:space="preserve">e shall </w:t>
      </w:r>
      <w:r w:rsidR="007A00DE">
        <w:rPr>
          <w:bCs/>
          <w:color w:val="000000"/>
          <w:sz w:val="26"/>
          <w:szCs w:val="26"/>
        </w:rPr>
        <w:t>grant the Petition and</w:t>
      </w:r>
      <w:r>
        <w:rPr>
          <w:bCs/>
          <w:color w:val="000000"/>
          <w:sz w:val="26"/>
          <w:szCs w:val="26"/>
        </w:rPr>
        <w:t xml:space="preserve"> answer the questions raised</w:t>
      </w:r>
      <w:r w:rsidR="007F7CDC">
        <w:rPr>
          <w:bCs/>
          <w:color w:val="000000"/>
          <w:sz w:val="26"/>
          <w:szCs w:val="26"/>
        </w:rPr>
        <w:t>, for the reasons discussed above with respect to the IDT Petition</w:t>
      </w:r>
      <w:r>
        <w:rPr>
          <w:bCs/>
          <w:color w:val="000000"/>
          <w:sz w:val="26"/>
          <w:szCs w:val="26"/>
        </w:rPr>
        <w:t xml:space="preserve">.   </w:t>
      </w:r>
    </w:p>
    <w:p w:rsidR="007A00DE" w:rsidRDefault="007A00DE" w:rsidP="00651964">
      <w:pPr>
        <w:spacing w:line="360" w:lineRule="auto"/>
        <w:ind w:firstLine="1440"/>
        <w:rPr>
          <w:bCs/>
          <w:color w:val="000000"/>
          <w:sz w:val="26"/>
          <w:szCs w:val="26"/>
        </w:rPr>
      </w:pPr>
    </w:p>
    <w:p w:rsidR="00A00457" w:rsidRPr="00FB3C2B" w:rsidRDefault="00A00457" w:rsidP="00A00457">
      <w:pPr>
        <w:spacing w:line="360" w:lineRule="auto"/>
        <w:ind w:firstLine="1440"/>
        <w:rPr>
          <w:b/>
          <w:sz w:val="26"/>
          <w:szCs w:val="26"/>
        </w:rPr>
      </w:pPr>
      <w:r w:rsidRPr="00FB3C2B">
        <w:rPr>
          <w:b/>
          <w:sz w:val="26"/>
          <w:szCs w:val="26"/>
        </w:rPr>
        <w:t>Commission Authority and Jurisdictio</w:t>
      </w:r>
      <w:r w:rsidR="00F20151" w:rsidRPr="00FB3C2B">
        <w:rPr>
          <w:b/>
          <w:sz w:val="26"/>
          <w:szCs w:val="26"/>
        </w:rPr>
        <w:t>n U</w:t>
      </w:r>
      <w:r w:rsidRPr="00FB3C2B">
        <w:rPr>
          <w:b/>
          <w:sz w:val="26"/>
          <w:szCs w:val="26"/>
        </w:rPr>
        <w:t>nder the TRA</w:t>
      </w:r>
    </w:p>
    <w:p w:rsidR="00A00457" w:rsidRPr="00F421DF" w:rsidRDefault="00A00457" w:rsidP="00A00457">
      <w:pPr>
        <w:spacing w:line="360" w:lineRule="auto"/>
        <w:ind w:firstLine="1440"/>
        <w:rPr>
          <w:sz w:val="26"/>
          <w:szCs w:val="26"/>
        </w:rPr>
      </w:pPr>
    </w:p>
    <w:p w:rsidR="00A00457" w:rsidRDefault="00A00457" w:rsidP="00A00457">
      <w:pPr>
        <w:spacing w:line="360" w:lineRule="auto"/>
        <w:ind w:firstLine="1440"/>
        <w:rPr>
          <w:sz w:val="26"/>
          <w:szCs w:val="26"/>
        </w:rPr>
      </w:pPr>
      <w:r w:rsidRPr="00F421DF">
        <w:rPr>
          <w:sz w:val="26"/>
          <w:szCs w:val="26"/>
        </w:rPr>
        <w:t xml:space="preserve">The OAG/OCA </w:t>
      </w:r>
      <w:r>
        <w:rPr>
          <w:sz w:val="26"/>
          <w:szCs w:val="26"/>
        </w:rPr>
        <w:t>q</w:t>
      </w:r>
      <w:r w:rsidRPr="00F421DF">
        <w:rPr>
          <w:sz w:val="26"/>
          <w:szCs w:val="26"/>
        </w:rPr>
        <w:t xml:space="preserve">uestion </w:t>
      </w:r>
      <w:r>
        <w:rPr>
          <w:sz w:val="26"/>
          <w:szCs w:val="26"/>
        </w:rPr>
        <w:t>#</w:t>
      </w:r>
      <w:r w:rsidRPr="00F421DF">
        <w:rPr>
          <w:sz w:val="26"/>
          <w:szCs w:val="26"/>
        </w:rPr>
        <w:t xml:space="preserve"> 1 asks whether the Commission has authority and jurisdiction to determine </w:t>
      </w:r>
      <w:r>
        <w:rPr>
          <w:sz w:val="26"/>
          <w:szCs w:val="26"/>
        </w:rPr>
        <w:t xml:space="preserve">whether an EGS has committed </w:t>
      </w:r>
      <w:r w:rsidRPr="00F421DF">
        <w:rPr>
          <w:sz w:val="26"/>
          <w:szCs w:val="26"/>
        </w:rPr>
        <w:t xml:space="preserve">violations of the TRA when considering whether the Commission’s </w:t>
      </w:r>
      <w:r w:rsidR="00273782">
        <w:rPr>
          <w:sz w:val="26"/>
          <w:szCs w:val="26"/>
        </w:rPr>
        <w:t>R</w:t>
      </w:r>
      <w:r w:rsidRPr="00F421DF">
        <w:rPr>
          <w:sz w:val="26"/>
          <w:szCs w:val="26"/>
        </w:rPr>
        <w:t xml:space="preserve">egulations – which require </w:t>
      </w:r>
      <w:r>
        <w:rPr>
          <w:sz w:val="26"/>
          <w:szCs w:val="26"/>
        </w:rPr>
        <w:t xml:space="preserve">EGS </w:t>
      </w:r>
      <w:r w:rsidRPr="00F421DF">
        <w:rPr>
          <w:sz w:val="26"/>
          <w:szCs w:val="26"/>
        </w:rPr>
        <w:t>compliance with the TRA – have been violated.  Upon review and consideration, this question sh</w:t>
      </w:r>
      <w:r>
        <w:rPr>
          <w:sz w:val="26"/>
          <w:szCs w:val="26"/>
        </w:rPr>
        <w:t>all</w:t>
      </w:r>
      <w:r w:rsidRPr="00F421DF">
        <w:rPr>
          <w:sz w:val="26"/>
          <w:szCs w:val="26"/>
        </w:rPr>
        <w:t xml:space="preserve"> be answered in the negative</w:t>
      </w:r>
      <w:r>
        <w:rPr>
          <w:sz w:val="26"/>
          <w:szCs w:val="26"/>
        </w:rPr>
        <w:t xml:space="preserve">.  We, hereby adopt the reasoning of the presiding ALJs </w:t>
      </w:r>
      <w:r w:rsidRPr="00F421DF">
        <w:rPr>
          <w:sz w:val="26"/>
          <w:szCs w:val="26"/>
        </w:rPr>
        <w:t xml:space="preserve">set forth at pages 9-11 of the </w:t>
      </w:r>
      <w:r>
        <w:rPr>
          <w:sz w:val="26"/>
          <w:szCs w:val="26"/>
        </w:rPr>
        <w:t xml:space="preserve">August 20 Order.  This is also </w:t>
      </w:r>
      <w:r w:rsidRPr="00F421DF">
        <w:rPr>
          <w:sz w:val="26"/>
          <w:szCs w:val="26"/>
        </w:rPr>
        <w:t xml:space="preserve">consistent with the Commission’s decision in </w:t>
      </w:r>
      <w:r w:rsidRPr="00F421DF">
        <w:rPr>
          <w:i/>
          <w:sz w:val="26"/>
          <w:szCs w:val="26"/>
        </w:rPr>
        <w:t>Commonwealth of Pennsylvania, et al. v. Blue Pilot Energy, LLC,</w:t>
      </w:r>
      <w:r w:rsidRPr="00F421DF">
        <w:rPr>
          <w:sz w:val="26"/>
          <w:szCs w:val="26"/>
        </w:rPr>
        <w:t xml:space="preserve"> Docket No. </w:t>
      </w:r>
      <w:r w:rsidRPr="00F421DF">
        <w:rPr>
          <w:bCs/>
          <w:color w:val="000000"/>
          <w:sz w:val="26"/>
          <w:szCs w:val="26"/>
        </w:rPr>
        <w:t>C-2014-2427655</w:t>
      </w:r>
      <w:r w:rsidRPr="00F421DF">
        <w:rPr>
          <w:sz w:val="26"/>
          <w:szCs w:val="26"/>
        </w:rPr>
        <w:t xml:space="preserve">, Order entered December </w:t>
      </w:r>
      <w:r w:rsidR="00270BC0">
        <w:rPr>
          <w:sz w:val="26"/>
          <w:szCs w:val="26"/>
        </w:rPr>
        <w:t>11</w:t>
      </w:r>
      <w:r w:rsidRPr="00F421DF">
        <w:rPr>
          <w:sz w:val="26"/>
          <w:szCs w:val="26"/>
        </w:rPr>
        <w:t>, 2014)</w:t>
      </w:r>
      <w:r w:rsidR="00F20151">
        <w:rPr>
          <w:sz w:val="26"/>
          <w:szCs w:val="26"/>
        </w:rPr>
        <w:t xml:space="preserve"> (</w:t>
      </w:r>
      <w:r w:rsidR="00F20151" w:rsidRPr="00F421DF">
        <w:rPr>
          <w:i/>
          <w:sz w:val="26"/>
          <w:szCs w:val="26"/>
        </w:rPr>
        <w:t>Blue Pilot</w:t>
      </w:r>
      <w:r w:rsidR="00F20151">
        <w:rPr>
          <w:sz w:val="26"/>
          <w:szCs w:val="26"/>
        </w:rPr>
        <w:t>)</w:t>
      </w:r>
      <w:r w:rsidRPr="00F421DF">
        <w:rPr>
          <w:sz w:val="26"/>
          <w:szCs w:val="26"/>
        </w:rPr>
        <w:t>.</w:t>
      </w:r>
    </w:p>
    <w:p w:rsidR="00A00457" w:rsidRPr="00F421DF" w:rsidRDefault="00A00457" w:rsidP="00F20151">
      <w:pPr>
        <w:spacing w:line="360" w:lineRule="auto"/>
        <w:rPr>
          <w:sz w:val="26"/>
          <w:szCs w:val="26"/>
        </w:rPr>
      </w:pPr>
    </w:p>
    <w:p w:rsidR="00A00457" w:rsidRPr="00F421DF" w:rsidRDefault="00A00457" w:rsidP="00A00457">
      <w:pPr>
        <w:spacing w:line="360" w:lineRule="auto"/>
        <w:ind w:firstLine="1440"/>
        <w:rPr>
          <w:sz w:val="26"/>
          <w:szCs w:val="26"/>
        </w:rPr>
      </w:pPr>
      <w:r w:rsidRPr="00F421DF">
        <w:rPr>
          <w:sz w:val="26"/>
          <w:szCs w:val="26"/>
        </w:rPr>
        <w:t>Nevertheless,</w:t>
      </w:r>
      <w:r w:rsidR="00F20151">
        <w:rPr>
          <w:sz w:val="26"/>
          <w:szCs w:val="26"/>
        </w:rPr>
        <w:t xml:space="preserve"> we</w:t>
      </w:r>
      <w:r w:rsidRPr="00F421DF">
        <w:rPr>
          <w:sz w:val="26"/>
          <w:szCs w:val="26"/>
        </w:rPr>
        <w:t xml:space="preserve"> also agree with the conclusion in the </w:t>
      </w:r>
      <w:r w:rsidR="00F20151">
        <w:rPr>
          <w:sz w:val="26"/>
          <w:szCs w:val="26"/>
        </w:rPr>
        <w:t>August 20 Order</w:t>
      </w:r>
      <w:r w:rsidRPr="00F421DF">
        <w:rPr>
          <w:sz w:val="26"/>
          <w:szCs w:val="26"/>
        </w:rPr>
        <w:t xml:space="preserve"> and confirmed in </w:t>
      </w:r>
      <w:r w:rsidRPr="00F20151">
        <w:rPr>
          <w:i/>
          <w:sz w:val="26"/>
          <w:szCs w:val="26"/>
        </w:rPr>
        <w:t>Blue Pilot</w:t>
      </w:r>
      <w:r w:rsidR="00F20151">
        <w:rPr>
          <w:sz w:val="26"/>
          <w:szCs w:val="26"/>
        </w:rPr>
        <w:t>,</w:t>
      </w:r>
      <w:r w:rsidRPr="00F421DF">
        <w:rPr>
          <w:sz w:val="26"/>
          <w:szCs w:val="26"/>
        </w:rPr>
        <w:t xml:space="preserve"> that the Commission has authority to hear cases brought pursuant to its own telemarketing regulations.</w:t>
      </w:r>
      <w:r w:rsidRPr="00F421DF">
        <w:rPr>
          <w:rStyle w:val="FootnoteReference"/>
          <w:sz w:val="26"/>
          <w:szCs w:val="26"/>
        </w:rPr>
        <w:footnoteReference w:id="12"/>
      </w:r>
      <w:r w:rsidRPr="00F421DF">
        <w:rPr>
          <w:sz w:val="26"/>
          <w:szCs w:val="26"/>
        </w:rPr>
        <w:t xml:space="preserve">  Therefore, </w:t>
      </w:r>
      <w:r w:rsidR="00F20151">
        <w:rPr>
          <w:sz w:val="26"/>
          <w:szCs w:val="26"/>
        </w:rPr>
        <w:t>we conclude that</w:t>
      </w:r>
      <w:r w:rsidRPr="00F421DF">
        <w:rPr>
          <w:sz w:val="26"/>
          <w:szCs w:val="26"/>
        </w:rPr>
        <w:t xml:space="preserve"> the Commission has jurisdiction and authority in this case to determine whether IDT has violated Section 111.10 of our </w:t>
      </w:r>
      <w:r w:rsidR="00F20151">
        <w:rPr>
          <w:sz w:val="26"/>
          <w:szCs w:val="26"/>
        </w:rPr>
        <w:t>R</w:t>
      </w:r>
      <w:r w:rsidRPr="00F421DF">
        <w:rPr>
          <w:sz w:val="26"/>
          <w:szCs w:val="26"/>
        </w:rPr>
        <w:t>egulations</w:t>
      </w:r>
      <w:r w:rsidR="00F20151">
        <w:rPr>
          <w:sz w:val="26"/>
          <w:szCs w:val="26"/>
        </w:rPr>
        <w:t xml:space="preserve">, </w:t>
      </w:r>
      <w:r w:rsidR="00F20151" w:rsidRPr="00F20151">
        <w:rPr>
          <w:sz w:val="26"/>
          <w:szCs w:val="26"/>
        </w:rPr>
        <w:t>52 Pa. Code § 111.10</w:t>
      </w:r>
      <w:r w:rsidRPr="00F421DF">
        <w:rPr>
          <w:sz w:val="26"/>
          <w:szCs w:val="26"/>
        </w:rPr>
        <w:t>.</w:t>
      </w:r>
    </w:p>
    <w:p w:rsidR="00A00457" w:rsidRDefault="00A00457" w:rsidP="005601A0">
      <w:pPr>
        <w:spacing w:line="360" w:lineRule="auto"/>
        <w:rPr>
          <w:bCs/>
          <w:color w:val="000000"/>
          <w:sz w:val="26"/>
          <w:szCs w:val="26"/>
        </w:rPr>
      </w:pPr>
    </w:p>
    <w:p w:rsidR="005601A0" w:rsidRPr="00FB3C2B" w:rsidRDefault="005601A0" w:rsidP="005601A0">
      <w:pPr>
        <w:spacing w:line="360" w:lineRule="auto"/>
        <w:ind w:firstLine="1440"/>
        <w:rPr>
          <w:b/>
          <w:sz w:val="26"/>
          <w:szCs w:val="26"/>
        </w:rPr>
      </w:pPr>
      <w:r w:rsidRPr="00FB3C2B">
        <w:rPr>
          <w:b/>
          <w:sz w:val="26"/>
          <w:szCs w:val="26"/>
        </w:rPr>
        <w:lastRenderedPageBreak/>
        <w:t>Commission Authority and Jurisdiction over EGS Prices</w:t>
      </w:r>
    </w:p>
    <w:p w:rsidR="005601A0" w:rsidRPr="00F421DF" w:rsidRDefault="005601A0" w:rsidP="005601A0">
      <w:pPr>
        <w:spacing w:line="360" w:lineRule="auto"/>
        <w:ind w:firstLine="1440"/>
        <w:rPr>
          <w:b/>
          <w:sz w:val="26"/>
          <w:szCs w:val="26"/>
        </w:rPr>
      </w:pPr>
    </w:p>
    <w:p w:rsidR="005601A0" w:rsidRPr="00F421DF" w:rsidRDefault="005601A0" w:rsidP="005601A0">
      <w:pPr>
        <w:spacing w:line="360" w:lineRule="auto"/>
        <w:ind w:firstLine="1440"/>
        <w:rPr>
          <w:sz w:val="26"/>
          <w:szCs w:val="26"/>
        </w:rPr>
      </w:pPr>
      <w:r>
        <w:rPr>
          <w:sz w:val="26"/>
          <w:szCs w:val="26"/>
        </w:rPr>
        <w:t xml:space="preserve">The </w:t>
      </w:r>
      <w:r w:rsidRPr="00F421DF">
        <w:rPr>
          <w:sz w:val="26"/>
          <w:szCs w:val="26"/>
        </w:rPr>
        <w:t xml:space="preserve">OAG/OCA </w:t>
      </w:r>
      <w:r>
        <w:rPr>
          <w:sz w:val="26"/>
          <w:szCs w:val="26"/>
        </w:rPr>
        <w:t>q</w:t>
      </w:r>
      <w:r w:rsidRPr="00F421DF">
        <w:rPr>
          <w:sz w:val="26"/>
          <w:szCs w:val="26"/>
        </w:rPr>
        <w:t xml:space="preserve">uestion </w:t>
      </w:r>
      <w:r>
        <w:rPr>
          <w:sz w:val="26"/>
          <w:szCs w:val="26"/>
        </w:rPr>
        <w:t>#</w:t>
      </w:r>
      <w:r w:rsidRPr="00F421DF">
        <w:rPr>
          <w:sz w:val="26"/>
          <w:szCs w:val="26"/>
        </w:rPr>
        <w:t xml:space="preserve"> 2 asks whether the Commission has the authority and jurisdiction to determine whether the prices charged by an EGS conform to the EGS disclosure statement.  Consistent with th</w:t>
      </w:r>
      <w:r>
        <w:rPr>
          <w:sz w:val="26"/>
          <w:szCs w:val="26"/>
        </w:rPr>
        <w:t>is</w:t>
      </w:r>
      <w:r w:rsidRPr="00F421DF">
        <w:rPr>
          <w:sz w:val="26"/>
          <w:szCs w:val="26"/>
        </w:rPr>
        <w:t xml:space="preserve"> Commission’s decision in </w:t>
      </w:r>
      <w:r w:rsidRPr="005601A0">
        <w:rPr>
          <w:i/>
          <w:sz w:val="26"/>
          <w:szCs w:val="26"/>
        </w:rPr>
        <w:t>Blue Pilot</w:t>
      </w:r>
      <w:r w:rsidRPr="00F421DF">
        <w:rPr>
          <w:sz w:val="26"/>
          <w:szCs w:val="26"/>
        </w:rPr>
        <w:t>, this question sh</w:t>
      </w:r>
      <w:r w:rsidR="008D4E01">
        <w:rPr>
          <w:sz w:val="26"/>
          <w:szCs w:val="26"/>
        </w:rPr>
        <w:t>all</w:t>
      </w:r>
      <w:r w:rsidRPr="00F421DF">
        <w:rPr>
          <w:sz w:val="26"/>
          <w:szCs w:val="26"/>
        </w:rPr>
        <w:t xml:space="preserve"> be answered in the affirmative.</w:t>
      </w:r>
      <w:r>
        <w:rPr>
          <w:sz w:val="26"/>
          <w:szCs w:val="26"/>
        </w:rPr>
        <w:t xml:space="preserve">  </w:t>
      </w:r>
      <w:r>
        <w:rPr>
          <w:i/>
          <w:sz w:val="26"/>
          <w:szCs w:val="26"/>
        </w:rPr>
        <w:t>See Blue Pilot</w:t>
      </w:r>
      <w:r>
        <w:rPr>
          <w:sz w:val="26"/>
          <w:szCs w:val="26"/>
        </w:rPr>
        <w:t xml:space="preserve">, </w:t>
      </w:r>
      <w:r>
        <w:rPr>
          <w:i/>
          <w:sz w:val="26"/>
          <w:szCs w:val="26"/>
        </w:rPr>
        <w:t>supra</w:t>
      </w:r>
      <w:r>
        <w:rPr>
          <w:sz w:val="26"/>
          <w:szCs w:val="26"/>
        </w:rPr>
        <w:t>.</w:t>
      </w:r>
      <w:r w:rsidRPr="00F421DF">
        <w:rPr>
          <w:sz w:val="26"/>
          <w:szCs w:val="26"/>
        </w:rPr>
        <w:t xml:space="preserve">  </w:t>
      </w:r>
    </w:p>
    <w:p w:rsidR="005601A0" w:rsidRPr="00F421DF" w:rsidRDefault="005601A0" w:rsidP="005601A0">
      <w:pPr>
        <w:spacing w:line="360" w:lineRule="auto"/>
        <w:ind w:firstLine="1440"/>
        <w:rPr>
          <w:sz w:val="26"/>
          <w:szCs w:val="26"/>
        </w:rPr>
      </w:pPr>
    </w:p>
    <w:p w:rsidR="005601A0" w:rsidRPr="005601A0" w:rsidRDefault="005601A0" w:rsidP="005601A0">
      <w:pPr>
        <w:spacing w:line="360" w:lineRule="auto"/>
        <w:ind w:firstLine="1440"/>
        <w:rPr>
          <w:sz w:val="26"/>
          <w:szCs w:val="26"/>
        </w:rPr>
      </w:pPr>
      <w:r w:rsidRPr="00F421DF">
        <w:rPr>
          <w:sz w:val="26"/>
          <w:szCs w:val="26"/>
        </w:rPr>
        <w:t xml:space="preserve">At the outset, </w:t>
      </w:r>
      <w:r>
        <w:rPr>
          <w:sz w:val="26"/>
          <w:szCs w:val="26"/>
        </w:rPr>
        <w:t>we</w:t>
      </w:r>
      <w:r w:rsidRPr="00F421DF">
        <w:rPr>
          <w:sz w:val="26"/>
          <w:szCs w:val="26"/>
        </w:rPr>
        <w:t xml:space="preserve"> note that the Commission does not have traditional ratemaking authority over competitive </w:t>
      </w:r>
      <w:r>
        <w:rPr>
          <w:sz w:val="26"/>
          <w:szCs w:val="26"/>
        </w:rPr>
        <w:t xml:space="preserve">electric generation </w:t>
      </w:r>
      <w:r w:rsidRPr="00F421DF">
        <w:rPr>
          <w:sz w:val="26"/>
          <w:szCs w:val="26"/>
        </w:rPr>
        <w:t>suppliers and does not regulate competitive supply rates.</w:t>
      </w:r>
      <w:r w:rsidRPr="00F421DF">
        <w:rPr>
          <w:rStyle w:val="FootnoteReference"/>
          <w:sz w:val="26"/>
          <w:szCs w:val="26"/>
        </w:rPr>
        <w:footnoteReference w:id="13"/>
      </w:r>
      <w:r w:rsidRPr="00F421DF">
        <w:rPr>
          <w:sz w:val="26"/>
          <w:szCs w:val="26"/>
        </w:rPr>
        <w:t>  The Commission also does not have subject matter jurisdiction to interpret the terms and conditions of a contract between an EGS and a customer to determine whether a breach of the contract has occurred.</w:t>
      </w:r>
      <w:r>
        <w:rPr>
          <w:sz w:val="26"/>
          <w:szCs w:val="26"/>
        </w:rPr>
        <w:t xml:space="preserve">  </w:t>
      </w:r>
      <w:r>
        <w:rPr>
          <w:i/>
          <w:sz w:val="26"/>
          <w:szCs w:val="26"/>
        </w:rPr>
        <w:t>See Blue Pilot</w:t>
      </w:r>
      <w:r>
        <w:rPr>
          <w:sz w:val="26"/>
          <w:szCs w:val="26"/>
        </w:rPr>
        <w:t xml:space="preserve"> at 19, citing </w:t>
      </w:r>
      <w:proofErr w:type="spellStart"/>
      <w:r w:rsidRPr="005601A0">
        <w:rPr>
          <w:i/>
          <w:sz w:val="26"/>
          <w:szCs w:val="26"/>
        </w:rPr>
        <w:t>Allport</w:t>
      </w:r>
      <w:proofErr w:type="spellEnd"/>
      <w:r w:rsidRPr="005601A0">
        <w:rPr>
          <w:i/>
          <w:sz w:val="26"/>
          <w:szCs w:val="26"/>
        </w:rPr>
        <w:t xml:space="preserve"> Water Auth. v. </w:t>
      </w:r>
      <w:proofErr w:type="spellStart"/>
      <w:r w:rsidRPr="005601A0">
        <w:rPr>
          <w:i/>
          <w:sz w:val="26"/>
          <w:szCs w:val="26"/>
        </w:rPr>
        <w:t>Winburne</w:t>
      </w:r>
      <w:proofErr w:type="spellEnd"/>
      <w:r w:rsidRPr="005601A0">
        <w:rPr>
          <w:i/>
          <w:sz w:val="26"/>
          <w:szCs w:val="26"/>
        </w:rPr>
        <w:t xml:space="preserve"> Water Co.</w:t>
      </w:r>
      <w:r w:rsidRPr="005601A0">
        <w:rPr>
          <w:sz w:val="26"/>
          <w:szCs w:val="26"/>
        </w:rPr>
        <w:t xml:space="preserve">, 393 A.2d 673 (Pa. </w:t>
      </w:r>
      <w:r>
        <w:rPr>
          <w:sz w:val="26"/>
          <w:szCs w:val="26"/>
        </w:rPr>
        <w:t>Super.</w:t>
      </w:r>
      <w:r w:rsidR="008D4E01">
        <w:rPr>
          <w:sz w:val="26"/>
          <w:szCs w:val="26"/>
        </w:rPr>
        <w:t xml:space="preserve"> </w:t>
      </w:r>
      <w:r w:rsidRPr="005601A0">
        <w:rPr>
          <w:sz w:val="26"/>
          <w:szCs w:val="26"/>
        </w:rPr>
        <w:t>1978)</w:t>
      </w:r>
      <w:r>
        <w:rPr>
          <w:sz w:val="26"/>
          <w:szCs w:val="26"/>
        </w:rPr>
        <w:t xml:space="preserve">. </w:t>
      </w:r>
    </w:p>
    <w:p w:rsidR="005601A0" w:rsidRPr="00F421DF" w:rsidRDefault="001852F8" w:rsidP="001852F8">
      <w:pPr>
        <w:spacing w:line="360" w:lineRule="auto"/>
        <w:ind w:firstLine="1440"/>
        <w:rPr>
          <w:sz w:val="26"/>
          <w:szCs w:val="26"/>
        </w:rPr>
      </w:pPr>
      <w:r>
        <w:rPr>
          <w:sz w:val="26"/>
          <w:szCs w:val="26"/>
        </w:rPr>
        <w:t xml:space="preserve">    </w:t>
      </w:r>
    </w:p>
    <w:p w:rsidR="001852F8" w:rsidRDefault="005601A0" w:rsidP="005601A0">
      <w:pPr>
        <w:spacing w:line="360" w:lineRule="auto"/>
        <w:ind w:firstLine="1440"/>
        <w:rPr>
          <w:sz w:val="26"/>
          <w:szCs w:val="26"/>
        </w:rPr>
      </w:pPr>
      <w:r w:rsidRPr="00F421DF">
        <w:rPr>
          <w:sz w:val="26"/>
          <w:szCs w:val="26"/>
        </w:rPr>
        <w:t>The Commission, however, does have subject matter jurisdiction to regulate certain aspects of the services provided by EGSs.  The Commission’s subject matter jurisdiction over EGSs is set forth in Sections 2807 and 2809 of the Code.</w:t>
      </w:r>
      <w:r w:rsidR="001852F8">
        <w:rPr>
          <w:sz w:val="26"/>
          <w:szCs w:val="26"/>
        </w:rPr>
        <w:t xml:space="preserve">  66 Pa. </w:t>
      </w:r>
      <w:r w:rsidR="00056E1D">
        <w:rPr>
          <w:sz w:val="26"/>
          <w:szCs w:val="26"/>
        </w:rPr>
        <w:t>C.S.</w:t>
      </w:r>
      <w:r w:rsidR="001852F8">
        <w:rPr>
          <w:sz w:val="26"/>
          <w:szCs w:val="26"/>
        </w:rPr>
        <w:t xml:space="preserve"> §§ 2807; 2809.</w:t>
      </w:r>
      <w:r w:rsidRPr="00F421DF">
        <w:rPr>
          <w:sz w:val="26"/>
          <w:szCs w:val="26"/>
        </w:rPr>
        <w:t xml:space="preserve">  </w:t>
      </w:r>
    </w:p>
    <w:p w:rsidR="001852F8" w:rsidRDefault="001852F8" w:rsidP="005601A0">
      <w:pPr>
        <w:spacing w:line="360" w:lineRule="auto"/>
        <w:ind w:firstLine="1440"/>
        <w:rPr>
          <w:sz w:val="26"/>
          <w:szCs w:val="26"/>
        </w:rPr>
      </w:pPr>
    </w:p>
    <w:p w:rsidR="005601A0" w:rsidRPr="00F421DF" w:rsidRDefault="005601A0" w:rsidP="005601A0">
      <w:pPr>
        <w:spacing w:line="360" w:lineRule="auto"/>
        <w:ind w:firstLine="1440"/>
        <w:rPr>
          <w:sz w:val="26"/>
          <w:szCs w:val="26"/>
        </w:rPr>
      </w:pPr>
      <w:r w:rsidRPr="00F421DF">
        <w:rPr>
          <w:sz w:val="26"/>
          <w:szCs w:val="26"/>
        </w:rPr>
        <w:t>As previously discussed</w:t>
      </w:r>
      <w:r w:rsidR="001852F8">
        <w:rPr>
          <w:sz w:val="26"/>
          <w:szCs w:val="26"/>
        </w:rPr>
        <w:t xml:space="preserve"> in this Opinion and Order</w:t>
      </w:r>
      <w:r w:rsidRPr="00F421DF">
        <w:rPr>
          <w:sz w:val="26"/>
          <w:szCs w:val="26"/>
        </w:rPr>
        <w:t>, EGSs are required under Code Section 2809</w:t>
      </w:r>
      <w:r w:rsidR="001852F8">
        <w:rPr>
          <w:sz w:val="26"/>
          <w:szCs w:val="26"/>
        </w:rPr>
        <w:t xml:space="preserve">, 66 Pa. </w:t>
      </w:r>
      <w:r w:rsidR="00056E1D">
        <w:rPr>
          <w:sz w:val="26"/>
          <w:szCs w:val="26"/>
        </w:rPr>
        <w:t>C.S.</w:t>
      </w:r>
      <w:r w:rsidR="001852F8">
        <w:rPr>
          <w:sz w:val="26"/>
          <w:szCs w:val="26"/>
        </w:rPr>
        <w:t xml:space="preserve"> § 2809,</w:t>
      </w:r>
      <w:r w:rsidRPr="00F421DF">
        <w:rPr>
          <w:sz w:val="26"/>
          <w:szCs w:val="26"/>
        </w:rPr>
        <w:t xml:space="preserve"> to abide by the Commission’s </w:t>
      </w:r>
      <w:r w:rsidR="001852F8">
        <w:rPr>
          <w:sz w:val="26"/>
          <w:szCs w:val="26"/>
        </w:rPr>
        <w:t>R</w:t>
      </w:r>
      <w:r w:rsidRPr="00F421DF">
        <w:rPr>
          <w:sz w:val="26"/>
          <w:szCs w:val="26"/>
        </w:rPr>
        <w:t xml:space="preserve">egulations, including Chapter 54 </w:t>
      </w:r>
      <w:r w:rsidR="006267DC">
        <w:rPr>
          <w:sz w:val="26"/>
          <w:szCs w:val="26"/>
        </w:rPr>
        <w:t>R</w:t>
      </w:r>
      <w:r w:rsidRPr="00F421DF">
        <w:rPr>
          <w:sz w:val="26"/>
          <w:szCs w:val="26"/>
        </w:rPr>
        <w:t>egulations on bill format,</w:t>
      </w:r>
      <w:r w:rsidRPr="00F421DF">
        <w:rPr>
          <w:rStyle w:val="FootnoteReference"/>
          <w:sz w:val="26"/>
          <w:szCs w:val="26"/>
        </w:rPr>
        <w:footnoteReference w:id="14"/>
      </w:r>
      <w:r w:rsidRPr="00F421DF">
        <w:rPr>
          <w:sz w:val="26"/>
          <w:szCs w:val="26"/>
        </w:rPr>
        <w:t xml:space="preserve"> disclosure statements,</w:t>
      </w:r>
      <w:r w:rsidRPr="00F421DF">
        <w:rPr>
          <w:rStyle w:val="FootnoteReference"/>
          <w:sz w:val="26"/>
          <w:szCs w:val="26"/>
        </w:rPr>
        <w:footnoteReference w:id="15"/>
      </w:r>
      <w:r w:rsidRPr="00F421DF">
        <w:rPr>
          <w:sz w:val="26"/>
          <w:szCs w:val="26"/>
        </w:rPr>
        <w:t xml:space="preserve"> marketing and sales activities,</w:t>
      </w:r>
      <w:r w:rsidRPr="00F421DF">
        <w:rPr>
          <w:rStyle w:val="FootnoteReference"/>
          <w:sz w:val="26"/>
          <w:szCs w:val="26"/>
        </w:rPr>
        <w:footnoteReference w:id="16"/>
      </w:r>
      <w:r w:rsidRPr="00F421DF">
        <w:rPr>
          <w:sz w:val="26"/>
          <w:szCs w:val="26"/>
        </w:rPr>
        <w:t xml:space="preserve"> and contract expiration notices.</w:t>
      </w:r>
      <w:r w:rsidRPr="00F421DF">
        <w:rPr>
          <w:rStyle w:val="FootnoteReference"/>
          <w:sz w:val="26"/>
          <w:szCs w:val="26"/>
        </w:rPr>
        <w:footnoteReference w:id="17"/>
      </w:r>
      <w:r w:rsidRPr="00F421DF">
        <w:rPr>
          <w:sz w:val="26"/>
          <w:szCs w:val="26"/>
        </w:rPr>
        <w:t xml:space="preserve">  In addition, EGSs serving residential </w:t>
      </w:r>
      <w:r w:rsidRPr="00F421DF">
        <w:rPr>
          <w:sz w:val="26"/>
          <w:szCs w:val="26"/>
        </w:rPr>
        <w:lastRenderedPageBreak/>
        <w:t xml:space="preserve">customers also </w:t>
      </w:r>
      <w:r w:rsidR="001852F8">
        <w:rPr>
          <w:sz w:val="26"/>
          <w:szCs w:val="26"/>
        </w:rPr>
        <w:t xml:space="preserve">are </w:t>
      </w:r>
      <w:r w:rsidRPr="00F421DF">
        <w:rPr>
          <w:sz w:val="26"/>
          <w:szCs w:val="26"/>
        </w:rPr>
        <w:t xml:space="preserve">required to comply with the standards and billing practices in Chapter 56 of the Commission’s </w:t>
      </w:r>
      <w:r w:rsidR="00E5679E">
        <w:rPr>
          <w:sz w:val="26"/>
          <w:szCs w:val="26"/>
        </w:rPr>
        <w:t>R</w:t>
      </w:r>
      <w:r w:rsidRPr="00F421DF">
        <w:rPr>
          <w:sz w:val="26"/>
          <w:szCs w:val="26"/>
        </w:rPr>
        <w:t>egulations</w:t>
      </w:r>
      <w:r w:rsidR="000D2E0E">
        <w:rPr>
          <w:sz w:val="26"/>
          <w:szCs w:val="26"/>
        </w:rPr>
        <w:t xml:space="preserve">, 52 Pa. Code §§ 56.1, </w:t>
      </w:r>
      <w:r w:rsidR="000D2E0E">
        <w:rPr>
          <w:i/>
          <w:sz w:val="26"/>
          <w:szCs w:val="26"/>
        </w:rPr>
        <w:t>et seq.</w:t>
      </w:r>
      <w:r w:rsidR="000D2E0E">
        <w:rPr>
          <w:sz w:val="26"/>
          <w:szCs w:val="26"/>
        </w:rPr>
        <w:t>, “Standards and Billing Practices for Residential Utility Service</w:t>
      </w:r>
      <w:r w:rsidRPr="00F421DF">
        <w:rPr>
          <w:sz w:val="26"/>
          <w:szCs w:val="26"/>
        </w:rPr>
        <w:t>.</w:t>
      </w:r>
      <w:r w:rsidR="000D2E0E">
        <w:rPr>
          <w:sz w:val="26"/>
          <w:szCs w:val="26"/>
        </w:rPr>
        <w:t>”</w:t>
      </w:r>
      <w:r w:rsidRPr="00F421DF">
        <w:rPr>
          <w:rStyle w:val="FootnoteReference"/>
          <w:sz w:val="26"/>
          <w:szCs w:val="26"/>
        </w:rPr>
        <w:footnoteReference w:id="18"/>
      </w:r>
      <w:r w:rsidRPr="00F421DF">
        <w:rPr>
          <w:sz w:val="26"/>
          <w:szCs w:val="26"/>
        </w:rPr>
        <w:t xml:space="preserve">  </w:t>
      </w:r>
    </w:p>
    <w:p w:rsidR="005601A0" w:rsidRPr="00F421DF" w:rsidRDefault="005601A0" w:rsidP="005601A0">
      <w:pPr>
        <w:spacing w:line="360" w:lineRule="auto"/>
        <w:ind w:firstLine="1440"/>
        <w:rPr>
          <w:sz w:val="26"/>
          <w:szCs w:val="26"/>
        </w:rPr>
      </w:pPr>
    </w:p>
    <w:p w:rsidR="005601A0" w:rsidRPr="00F421DF" w:rsidRDefault="005601A0" w:rsidP="005601A0">
      <w:pPr>
        <w:spacing w:line="360" w:lineRule="auto"/>
        <w:ind w:firstLine="1440"/>
        <w:rPr>
          <w:sz w:val="26"/>
          <w:szCs w:val="26"/>
        </w:rPr>
      </w:pPr>
      <w:r w:rsidRPr="00F421DF">
        <w:rPr>
          <w:sz w:val="26"/>
          <w:szCs w:val="26"/>
        </w:rPr>
        <w:t xml:space="preserve">In this case, Count VI of the </w:t>
      </w:r>
      <w:r w:rsidR="0046517C">
        <w:rPr>
          <w:sz w:val="26"/>
          <w:szCs w:val="26"/>
        </w:rPr>
        <w:t xml:space="preserve">Joint </w:t>
      </w:r>
      <w:r w:rsidRPr="00F421DF">
        <w:rPr>
          <w:sz w:val="26"/>
          <w:szCs w:val="26"/>
        </w:rPr>
        <w:t xml:space="preserve">Complaint </w:t>
      </w:r>
      <w:r w:rsidR="000D2E0E">
        <w:rPr>
          <w:sz w:val="26"/>
          <w:szCs w:val="26"/>
        </w:rPr>
        <w:t>conclu</w:t>
      </w:r>
      <w:r w:rsidRPr="00F421DF">
        <w:rPr>
          <w:sz w:val="26"/>
          <w:szCs w:val="26"/>
        </w:rPr>
        <w:t xml:space="preserve">des by averring that the prices charged by IDT do not conform to the variable rate pricing provision in IDT’s Disclosure Statement.  </w:t>
      </w:r>
      <w:r w:rsidR="000D2E0E">
        <w:rPr>
          <w:sz w:val="26"/>
          <w:szCs w:val="26"/>
        </w:rPr>
        <w:t>We conclude that</w:t>
      </w:r>
      <w:r w:rsidRPr="00F421DF">
        <w:rPr>
          <w:sz w:val="26"/>
          <w:szCs w:val="26"/>
        </w:rPr>
        <w:t xml:space="preserve"> the Commission has jurisdiction and authority over this issue under Sections 54.4(a) and 54.5(a) of our </w:t>
      </w:r>
      <w:r w:rsidR="0046517C">
        <w:rPr>
          <w:sz w:val="26"/>
          <w:szCs w:val="26"/>
        </w:rPr>
        <w:t>R</w:t>
      </w:r>
      <w:r w:rsidRPr="00F421DF">
        <w:rPr>
          <w:sz w:val="26"/>
          <w:szCs w:val="26"/>
        </w:rPr>
        <w:t xml:space="preserve">egulations, </w:t>
      </w:r>
      <w:r w:rsidR="000D2E0E">
        <w:rPr>
          <w:sz w:val="26"/>
          <w:szCs w:val="26"/>
        </w:rPr>
        <w:t xml:space="preserve">52 Pa. Code </w:t>
      </w:r>
      <w:r w:rsidR="0046517C">
        <w:rPr>
          <w:sz w:val="26"/>
          <w:szCs w:val="26"/>
        </w:rPr>
        <w:br/>
      </w:r>
      <w:r w:rsidR="000D2E0E">
        <w:rPr>
          <w:sz w:val="26"/>
          <w:szCs w:val="26"/>
        </w:rPr>
        <w:t>§§ 54.4(a)</w:t>
      </w:r>
      <w:r w:rsidR="0046517C">
        <w:rPr>
          <w:sz w:val="26"/>
          <w:szCs w:val="26"/>
        </w:rPr>
        <w:t>,</w:t>
      </w:r>
      <w:r w:rsidR="000D2E0E">
        <w:rPr>
          <w:sz w:val="26"/>
          <w:szCs w:val="26"/>
        </w:rPr>
        <w:t xml:space="preserve"> 54.5(a), </w:t>
      </w:r>
      <w:r w:rsidRPr="00F421DF">
        <w:rPr>
          <w:sz w:val="26"/>
          <w:szCs w:val="26"/>
        </w:rPr>
        <w:t>which require that an EGS’</w:t>
      </w:r>
      <w:r w:rsidR="0046517C">
        <w:rPr>
          <w:sz w:val="26"/>
          <w:szCs w:val="26"/>
        </w:rPr>
        <w:t>s</w:t>
      </w:r>
      <w:r w:rsidRPr="00F421DF">
        <w:rPr>
          <w:sz w:val="26"/>
          <w:szCs w:val="26"/>
        </w:rPr>
        <w:t xml:space="preserve"> billed price reflect its disclosure statement.  Therefore,</w:t>
      </w:r>
      <w:r w:rsidR="000D2E0E">
        <w:rPr>
          <w:sz w:val="26"/>
          <w:szCs w:val="26"/>
        </w:rPr>
        <w:t xml:space="preserve"> the</w:t>
      </w:r>
      <w:r w:rsidRPr="00F421DF">
        <w:rPr>
          <w:sz w:val="26"/>
          <w:szCs w:val="26"/>
        </w:rPr>
        <w:t xml:space="preserve"> Commission has jurisdiction and authority to determine whether IDT billed customers in accordance with its Disclosure Statement.</w:t>
      </w:r>
    </w:p>
    <w:p w:rsidR="00466AE8" w:rsidRDefault="00466AE8" w:rsidP="00651964">
      <w:pPr>
        <w:spacing w:line="360" w:lineRule="auto"/>
        <w:ind w:firstLine="1440"/>
        <w:rPr>
          <w:sz w:val="26"/>
          <w:szCs w:val="26"/>
        </w:rPr>
      </w:pPr>
    </w:p>
    <w:p w:rsidR="00466AE8" w:rsidRDefault="000D2E0E" w:rsidP="00651964">
      <w:pPr>
        <w:spacing w:line="360" w:lineRule="auto"/>
        <w:ind w:firstLine="1440"/>
        <w:rPr>
          <w:sz w:val="26"/>
          <w:szCs w:val="26"/>
        </w:rPr>
      </w:pPr>
      <w:r>
        <w:rPr>
          <w:sz w:val="26"/>
          <w:szCs w:val="26"/>
        </w:rPr>
        <w:t>Based on the foregoing, the OAG/OCA J</w:t>
      </w:r>
      <w:r w:rsidR="0046517C">
        <w:rPr>
          <w:sz w:val="26"/>
          <w:szCs w:val="26"/>
        </w:rPr>
        <w:t>oi</w:t>
      </w:r>
      <w:r>
        <w:rPr>
          <w:sz w:val="26"/>
          <w:szCs w:val="26"/>
        </w:rPr>
        <w:t>nt Petition question #2 is answered in the affirmative, consistent herewith.</w:t>
      </w:r>
    </w:p>
    <w:p w:rsidR="000D2E0E" w:rsidRDefault="000D2E0E" w:rsidP="00651964">
      <w:pPr>
        <w:spacing w:line="360" w:lineRule="auto"/>
        <w:ind w:firstLine="1440"/>
        <w:rPr>
          <w:sz w:val="26"/>
          <w:szCs w:val="26"/>
        </w:rPr>
      </w:pPr>
    </w:p>
    <w:p w:rsidR="000D2E0E" w:rsidRPr="00FB3C2B" w:rsidRDefault="000D2E0E" w:rsidP="000D2E0E">
      <w:pPr>
        <w:spacing w:line="360" w:lineRule="auto"/>
        <w:ind w:firstLine="1440"/>
        <w:rPr>
          <w:b/>
          <w:sz w:val="26"/>
          <w:szCs w:val="26"/>
        </w:rPr>
      </w:pPr>
      <w:r w:rsidRPr="00FB3C2B">
        <w:rPr>
          <w:b/>
          <w:sz w:val="26"/>
          <w:szCs w:val="26"/>
        </w:rPr>
        <w:t>Commission Authority and Jurisdiction over Restitution</w:t>
      </w:r>
    </w:p>
    <w:p w:rsidR="000D2E0E" w:rsidRPr="00F421DF" w:rsidRDefault="000D2E0E" w:rsidP="000D2E0E">
      <w:pPr>
        <w:spacing w:line="360" w:lineRule="auto"/>
        <w:ind w:firstLine="1440"/>
        <w:rPr>
          <w:sz w:val="26"/>
          <w:szCs w:val="26"/>
          <w:u w:val="single"/>
        </w:rPr>
      </w:pPr>
    </w:p>
    <w:p w:rsidR="000D2E0E" w:rsidRDefault="000D2E0E" w:rsidP="000D2E0E">
      <w:pPr>
        <w:spacing w:line="360" w:lineRule="auto"/>
        <w:ind w:firstLine="1440"/>
        <w:rPr>
          <w:sz w:val="26"/>
          <w:szCs w:val="26"/>
        </w:rPr>
      </w:pPr>
      <w:r>
        <w:rPr>
          <w:sz w:val="26"/>
          <w:szCs w:val="26"/>
        </w:rPr>
        <w:t xml:space="preserve">The </w:t>
      </w:r>
      <w:r w:rsidRPr="00F421DF">
        <w:rPr>
          <w:sz w:val="26"/>
          <w:szCs w:val="26"/>
        </w:rPr>
        <w:t xml:space="preserve">OAG/OCA </w:t>
      </w:r>
      <w:r>
        <w:rPr>
          <w:sz w:val="26"/>
          <w:szCs w:val="26"/>
        </w:rPr>
        <w:t>q</w:t>
      </w:r>
      <w:r w:rsidRPr="00F421DF">
        <w:rPr>
          <w:sz w:val="26"/>
          <w:szCs w:val="26"/>
        </w:rPr>
        <w:t xml:space="preserve">uestion </w:t>
      </w:r>
      <w:r>
        <w:rPr>
          <w:sz w:val="26"/>
          <w:szCs w:val="26"/>
        </w:rPr>
        <w:t>#</w:t>
      </w:r>
      <w:r w:rsidRPr="00F421DF">
        <w:rPr>
          <w:sz w:val="26"/>
          <w:szCs w:val="26"/>
        </w:rPr>
        <w:t xml:space="preserve"> 3 asks whether the Commission has the authority and jurisdiction to order </w:t>
      </w:r>
      <w:r>
        <w:rPr>
          <w:sz w:val="26"/>
          <w:szCs w:val="26"/>
        </w:rPr>
        <w:t>“</w:t>
      </w:r>
      <w:r w:rsidRPr="00F421DF">
        <w:rPr>
          <w:sz w:val="26"/>
          <w:szCs w:val="26"/>
        </w:rPr>
        <w:t>equitable</w:t>
      </w:r>
      <w:r>
        <w:rPr>
          <w:sz w:val="26"/>
          <w:szCs w:val="26"/>
        </w:rPr>
        <w:t>”</w:t>
      </w:r>
      <w:r w:rsidRPr="00F421DF">
        <w:rPr>
          <w:sz w:val="26"/>
          <w:szCs w:val="26"/>
        </w:rPr>
        <w:t xml:space="preserve"> remedies including restitution.  Upon review and consideration, this question s</w:t>
      </w:r>
      <w:r>
        <w:rPr>
          <w:sz w:val="26"/>
          <w:szCs w:val="26"/>
        </w:rPr>
        <w:t xml:space="preserve">hall </w:t>
      </w:r>
      <w:r w:rsidRPr="00F421DF">
        <w:rPr>
          <w:sz w:val="26"/>
          <w:szCs w:val="26"/>
        </w:rPr>
        <w:t>be answered in the negative</w:t>
      </w:r>
      <w:r>
        <w:rPr>
          <w:sz w:val="26"/>
          <w:szCs w:val="26"/>
        </w:rPr>
        <w:t>.  We shall, hereby, adopt</w:t>
      </w:r>
      <w:r w:rsidRPr="00F421DF">
        <w:rPr>
          <w:sz w:val="26"/>
          <w:szCs w:val="26"/>
        </w:rPr>
        <w:t xml:space="preserve"> the </w:t>
      </w:r>
      <w:r>
        <w:rPr>
          <w:sz w:val="26"/>
          <w:szCs w:val="26"/>
        </w:rPr>
        <w:t>r</w:t>
      </w:r>
      <w:r w:rsidRPr="00F421DF">
        <w:rPr>
          <w:sz w:val="26"/>
          <w:szCs w:val="26"/>
        </w:rPr>
        <w:t>eason</w:t>
      </w:r>
      <w:r>
        <w:rPr>
          <w:sz w:val="26"/>
          <w:szCs w:val="26"/>
        </w:rPr>
        <w:t xml:space="preserve">ing and disposition of ALJs Barnes and </w:t>
      </w:r>
      <w:proofErr w:type="spellStart"/>
      <w:r>
        <w:rPr>
          <w:sz w:val="26"/>
          <w:szCs w:val="26"/>
        </w:rPr>
        <w:t>Cheskis</w:t>
      </w:r>
      <w:proofErr w:type="spellEnd"/>
      <w:r>
        <w:rPr>
          <w:sz w:val="26"/>
          <w:szCs w:val="26"/>
        </w:rPr>
        <w:t>,</w:t>
      </w:r>
      <w:r w:rsidRPr="00F421DF">
        <w:rPr>
          <w:sz w:val="26"/>
          <w:szCs w:val="26"/>
        </w:rPr>
        <w:t xml:space="preserve"> as set forth at pages 13-14 of the</w:t>
      </w:r>
      <w:r>
        <w:rPr>
          <w:sz w:val="26"/>
          <w:szCs w:val="26"/>
        </w:rPr>
        <w:t xml:space="preserve"> August 20 Order</w:t>
      </w:r>
      <w:r w:rsidRPr="00F421DF">
        <w:rPr>
          <w:sz w:val="26"/>
          <w:szCs w:val="26"/>
        </w:rPr>
        <w:t>.</w:t>
      </w:r>
      <w:r>
        <w:rPr>
          <w:sz w:val="26"/>
          <w:szCs w:val="26"/>
        </w:rPr>
        <w:t xml:space="preserve"> </w:t>
      </w:r>
      <w:r w:rsidRPr="00F421DF">
        <w:rPr>
          <w:sz w:val="26"/>
          <w:szCs w:val="26"/>
        </w:rPr>
        <w:t xml:space="preserve"> </w:t>
      </w:r>
    </w:p>
    <w:p w:rsidR="000D2E0E" w:rsidRDefault="000D2E0E" w:rsidP="000D2E0E">
      <w:pPr>
        <w:spacing w:line="360" w:lineRule="auto"/>
        <w:ind w:firstLine="1440"/>
        <w:rPr>
          <w:sz w:val="26"/>
          <w:szCs w:val="26"/>
        </w:rPr>
      </w:pPr>
    </w:p>
    <w:p w:rsidR="000D2E0E" w:rsidRDefault="000D2E0E" w:rsidP="000D2E0E">
      <w:pPr>
        <w:widowControl/>
        <w:spacing w:line="360" w:lineRule="auto"/>
        <w:ind w:firstLine="1440"/>
        <w:rPr>
          <w:sz w:val="26"/>
          <w:szCs w:val="26"/>
        </w:rPr>
      </w:pPr>
      <w:r>
        <w:rPr>
          <w:sz w:val="26"/>
          <w:szCs w:val="26"/>
        </w:rPr>
        <w:t>Concerning the OAG/OCA Formal Complaint’s request for relief in the nature of refunds or restitution, the ALJs reasoned as follows:</w:t>
      </w:r>
    </w:p>
    <w:p w:rsidR="000D2E0E" w:rsidRDefault="000D2E0E" w:rsidP="000D2E0E">
      <w:pPr>
        <w:widowControl/>
        <w:spacing w:line="360" w:lineRule="auto"/>
        <w:ind w:firstLine="1440"/>
        <w:rPr>
          <w:sz w:val="26"/>
          <w:szCs w:val="26"/>
        </w:rPr>
      </w:pPr>
      <w:r>
        <w:rPr>
          <w:sz w:val="26"/>
          <w:szCs w:val="26"/>
        </w:rPr>
        <w:t xml:space="preserve">   </w:t>
      </w:r>
    </w:p>
    <w:p w:rsidR="000D2E0E" w:rsidRDefault="000D2E0E" w:rsidP="000D2E0E">
      <w:pPr>
        <w:tabs>
          <w:tab w:val="left" w:pos="-720"/>
        </w:tabs>
        <w:suppressAutoHyphens/>
        <w:ind w:left="1440" w:right="1440"/>
        <w:rPr>
          <w:sz w:val="26"/>
          <w:szCs w:val="26"/>
        </w:rPr>
      </w:pPr>
      <w:r>
        <w:tab/>
      </w:r>
      <w:r w:rsidRPr="00072E0D">
        <w:rPr>
          <w:sz w:val="26"/>
          <w:szCs w:val="26"/>
        </w:rPr>
        <w:t>The Joint Complainants’ argument that any claims for lost savings as a breach of contract being an additional right of action brought under other statutory or common law will be rejected.  Having an additional right of action does not mean that the Commission has the authority to hear that additional right of action.  It means only that any Commission proceeding does not preclude the additional right of action from being brought in a jurisdiction that does have authority to hear that additional claim.  The Commission does not have such additional authority here over a breach of contract claim.  IDT’s Preliminary Objections will be granted in part.</w:t>
      </w:r>
    </w:p>
    <w:p w:rsidR="0046517C" w:rsidRPr="00072E0D" w:rsidRDefault="0046517C" w:rsidP="00FB3C2B">
      <w:pPr>
        <w:tabs>
          <w:tab w:val="left" w:pos="-720"/>
        </w:tabs>
        <w:suppressAutoHyphens/>
        <w:spacing w:line="360" w:lineRule="auto"/>
        <w:ind w:left="1440" w:right="1440"/>
        <w:rPr>
          <w:sz w:val="26"/>
          <w:szCs w:val="26"/>
        </w:rPr>
      </w:pPr>
    </w:p>
    <w:p w:rsidR="000D2E0E" w:rsidRPr="00072E0D" w:rsidRDefault="000D2E0E" w:rsidP="00FB3C2B">
      <w:pPr>
        <w:tabs>
          <w:tab w:val="left" w:pos="-720"/>
        </w:tabs>
        <w:suppressAutoHyphens/>
        <w:spacing w:line="360" w:lineRule="auto"/>
        <w:rPr>
          <w:sz w:val="26"/>
          <w:szCs w:val="26"/>
        </w:rPr>
      </w:pPr>
      <w:r>
        <w:rPr>
          <w:sz w:val="26"/>
          <w:szCs w:val="26"/>
        </w:rPr>
        <w:t>August 20 Order at 14.</w:t>
      </w:r>
    </w:p>
    <w:p w:rsidR="000D2E0E" w:rsidRDefault="000D2E0E" w:rsidP="000D2E0E">
      <w:pPr>
        <w:spacing w:line="360" w:lineRule="auto"/>
        <w:rPr>
          <w:sz w:val="26"/>
          <w:szCs w:val="26"/>
        </w:rPr>
      </w:pPr>
    </w:p>
    <w:p w:rsidR="000D2E0E" w:rsidRPr="00F421DF" w:rsidRDefault="000D2E0E" w:rsidP="000D2E0E">
      <w:pPr>
        <w:spacing w:line="360" w:lineRule="auto"/>
        <w:ind w:firstLine="1440"/>
        <w:rPr>
          <w:sz w:val="26"/>
          <w:szCs w:val="26"/>
        </w:rPr>
      </w:pPr>
      <w:r w:rsidRPr="00F421DF">
        <w:rPr>
          <w:sz w:val="26"/>
          <w:szCs w:val="26"/>
        </w:rPr>
        <w:t>Although the Commission has approved settlements wherein a respondent has agreed to pay restitution, the Commission lacks authority to impose such a remedy on an unwilling party.</w:t>
      </w:r>
      <w:r w:rsidRPr="00F421DF">
        <w:rPr>
          <w:rStyle w:val="FootnoteReference"/>
          <w:sz w:val="26"/>
          <w:szCs w:val="26"/>
        </w:rPr>
        <w:footnoteReference w:id="19"/>
      </w:r>
      <w:r w:rsidRPr="00F421DF">
        <w:rPr>
          <w:sz w:val="26"/>
          <w:szCs w:val="26"/>
        </w:rPr>
        <w:t xml:space="preserve">  </w:t>
      </w:r>
    </w:p>
    <w:p w:rsidR="00347808" w:rsidRDefault="00347808" w:rsidP="00347808">
      <w:pPr>
        <w:spacing w:line="360" w:lineRule="auto"/>
        <w:jc w:val="center"/>
        <w:rPr>
          <w:b/>
          <w:sz w:val="26"/>
          <w:szCs w:val="26"/>
        </w:rPr>
      </w:pPr>
    </w:p>
    <w:p w:rsidR="00466AE8" w:rsidRPr="00347808" w:rsidRDefault="00466AE8" w:rsidP="00347808">
      <w:pPr>
        <w:spacing w:line="360" w:lineRule="auto"/>
        <w:jc w:val="center"/>
        <w:rPr>
          <w:sz w:val="26"/>
          <w:szCs w:val="26"/>
        </w:rPr>
      </w:pPr>
      <w:r w:rsidRPr="00D53276">
        <w:rPr>
          <w:b/>
          <w:sz w:val="26"/>
          <w:szCs w:val="26"/>
        </w:rPr>
        <w:t>Conclusion</w:t>
      </w:r>
    </w:p>
    <w:p w:rsidR="00466AE8" w:rsidRDefault="00466AE8" w:rsidP="00651964">
      <w:pPr>
        <w:spacing w:line="360" w:lineRule="auto"/>
        <w:ind w:firstLine="1440"/>
        <w:rPr>
          <w:sz w:val="26"/>
          <w:szCs w:val="26"/>
        </w:rPr>
      </w:pPr>
    </w:p>
    <w:p w:rsidR="00651964" w:rsidRDefault="00466AE8" w:rsidP="00651964">
      <w:pPr>
        <w:spacing w:line="360" w:lineRule="auto"/>
        <w:ind w:firstLine="1440"/>
        <w:rPr>
          <w:sz w:val="26"/>
          <w:szCs w:val="26"/>
        </w:rPr>
      </w:pPr>
      <w:r>
        <w:rPr>
          <w:sz w:val="26"/>
          <w:szCs w:val="26"/>
        </w:rPr>
        <w:t xml:space="preserve">For the reasons set forth above, </w:t>
      </w:r>
      <w:r w:rsidR="005601A0">
        <w:rPr>
          <w:sz w:val="26"/>
          <w:szCs w:val="26"/>
        </w:rPr>
        <w:t>the IDT Petition and the OAG/OCA J</w:t>
      </w:r>
      <w:r w:rsidR="002D5EB4">
        <w:rPr>
          <w:sz w:val="26"/>
          <w:szCs w:val="26"/>
        </w:rPr>
        <w:t>oi</w:t>
      </w:r>
      <w:r w:rsidR="005601A0">
        <w:rPr>
          <w:sz w:val="26"/>
          <w:szCs w:val="26"/>
        </w:rPr>
        <w:t>nt Petition are granted.  The questions raised by the Petitions, respectively, are answered consistent with the discussion in this Opinion and Order</w:t>
      </w:r>
      <w:r w:rsidR="00651964">
        <w:rPr>
          <w:sz w:val="26"/>
          <w:szCs w:val="26"/>
        </w:rPr>
        <w:t xml:space="preserve">; </w:t>
      </w:r>
      <w:r w:rsidR="00651964" w:rsidRPr="00D57141">
        <w:rPr>
          <w:b/>
          <w:sz w:val="26"/>
          <w:szCs w:val="26"/>
        </w:rPr>
        <w:t xml:space="preserve">THEREFORE, </w:t>
      </w:r>
    </w:p>
    <w:p w:rsidR="00651964" w:rsidRDefault="00651964" w:rsidP="00651964">
      <w:pPr>
        <w:spacing w:line="360" w:lineRule="auto"/>
        <w:ind w:firstLine="1440"/>
        <w:rPr>
          <w:sz w:val="26"/>
          <w:szCs w:val="26"/>
        </w:rPr>
      </w:pPr>
    </w:p>
    <w:p w:rsidR="00651964" w:rsidRDefault="00651964" w:rsidP="00651964">
      <w:pPr>
        <w:spacing w:line="360" w:lineRule="auto"/>
        <w:ind w:firstLine="1440"/>
        <w:rPr>
          <w:b/>
          <w:sz w:val="26"/>
          <w:szCs w:val="26"/>
        </w:rPr>
      </w:pPr>
      <w:r>
        <w:rPr>
          <w:b/>
          <w:sz w:val="26"/>
          <w:szCs w:val="26"/>
        </w:rPr>
        <w:t>IT IS ORDERED:</w:t>
      </w:r>
    </w:p>
    <w:p w:rsidR="00651964" w:rsidRDefault="00651964" w:rsidP="00651964">
      <w:pPr>
        <w:rPr>
          <w:sz w:val="26"/>
          <w:szCs w:val="26"/>
        </w:rPr>
      </w:pPr>
    </w:p>
    <w:p w:rsidR="00F7274A" w:rsidRDefault="00F7274A" w:rsidP="00F7274A">
      <w:pPr>
        <w:spacing w:line="360" w:lineRule="auto"/>
        <w:ind w:firstLine="1440"/>
        <w:rPr>
          <w:sz w:val="26"/>
          <w:szCs w:val="26"/>
        </w:rPr>
      </w:pPr>
      <w:r>
        <w:rPr>
          <w:sz w:val="26"/>
          <w:szCs w:val="26"/>
        </w:rPr>
        <w:t>1.</w:t>
      </w:r>
      <w:r>
        <w:rPr>
          <w:sz w:val="26"/>
          <w:szCs w:val="26"/>
        </w:rPr>
        <w:tab/>
        <w:t xml:space="preserve">That the Petition for Interlocutory Review and Answer to Material </w:t>
      </w:r>
      <w:r>
        <w:rPr>
          <w:sz w:val="26"/>
          <w:szCs w:val="26"/>
        </w:rPr>
        <w:lastRenderedPageBreak/>
        <w:t xml:space="preserve">Question, filed by IDT Energy, Inc., on September 8, 2014, </w:t>
      </w:r>
      <w:r w:rsidR="00347808">
        <w:rPr>
          <w:sz w:val="26"/>
          <w:szCs w:val="26"/>
        </w:rPr>
        <w:t>is, hereby, granted.</w:t>
      </w:r>
      <w:r>
        <w:rPr>
          <w:sz w:val="26"/>
          <w:szCs w:val="26"/>
        </w:rPr>
        <w:t xml:space="preserve">  </w:t>
      </w:r>
    </w:p>
    <w:p w:rsidR="00F7274A" w:rsidRDefault="00F7274A" w:rsidP="00F7274A">
      <w:pPr>
        <w:widowControl/>
        <w:spacing w:line="360" w:lineRule="auto"/>
        <w:rPr>
          <w:sz w:val="26"/>
          <w:szCs w:val="26"/>
        </w:rPr>
      </w:pPr>
    </w:p>
    <w:p w:rsidR="00347808" w:rsidRDefault="00347808" w:rsidP="00347808">
      <w:pPr>
        <w:spacing w:line="360" w:lineRule="auto"/>
        <w:ind w:firstLine="1440"/>
        <w:rPr>
          <w:sz w:val="26"/>
          <w:szCs w:val="26"/>
        </w:rPr>
      </w:pPr>
      <w:r>
        <w:rPr>
          <w:sz w:val="26"/>
          <w:szCs w:val="26"/>
        </w:rPr>
        <w:t>2.</w:t>
      </w:r>
      <w:r>
        <w:rPr>
          <w:sz w:val="26"/>
          <w:szCs w:val="26"/>
        </w:rPr>
        <w:tab/>
        <w:t xml:space="preserve">That the following question is answered in the </w:t>
      </w:r>
      <w:r w:rsidR="00FB3C2B">
        <w:rPr>
          <w:sz w:val="26"/>
          <w:szCs w:val="26"/>
        </w:rPr>
        <w:t xml:space="preserve"> negative</w:t>
      </w:r>
      <w:r>
        <w:rPr>
          <w:sz w:val="26"/>
          <w:szCs w:val="26"/>
        </w:rPr>
        <w:t xml:space="preserve">  </w:t>
      </w:r>
    </w:p>
    <w:p w:rsidR="00347808" w:rsidRDefault="00347808" w:rsidP="00F7274A">
      <w:pPr>
        <w:widowControl/>
        <w:spacing w:line="360" w:lineRule="auto"/>
        <w:rPr>
          <w:sz w:val="26"/>
          <w:szCs w:val="26"/>
        </w:rPr>
      </w:pPr>
    </w:p>
    <w:p w:rsidR="00F7274A" w:rsidRDefault="00F7274A" w:rsidP="00F7274A">
      <w:pPr>
        <w:ind w:left="1440" w:right="1440"/>
        <w:rPr>
          <w:sz w:val="26"/>
          <w:szCs w:val="26"/>
        </w:rPr>
      </w:pPr>
      <w:r>
        <w:rPr>
          <w:sz w:val="26"/>
          <w:szCs w:val="26"/>
        </w:rPr>
        <w:t xml:space="preserve">Does the Commission have the authority under Section </w:t>
      </w:r>
    </w:p>
    <w:p w:rsidR="00F7274A" w:rsidRPr="001E3530" w:rsidRDefault="00F7274A" w:rsidP="00F7274A">
      <w:pPr>
        <w:ind w:left="1440" w:right="1440"/>
        <w:rPr>
          <w:sz w:val="26"/>
          <w:szCs w:val="26"/>
        </w:rPr>
      </w:pPr>
      <w:r>
        <w:rPr>
          <w:sz w:val="26"/>
          <w:szCs w:val="26"/>
        </w:rPr>
        <w:t>1312 of the Public Utility Code to order electric generation suppliers to issue refunds to customers?</w:t>
      </w:r>
    </w:p>
    <w:p w:rsidR="00F7274A" w:rsidRDefault="00F7274A" w:rsidP="00D53276">
      <w:pPr>
        <w:widowControl/>
        <w:spacing w:line="360" w:lineRule="auto"/>
        <w:ind w:left="1440"/>
        <w:rPr>
          <w:sz w:val="26"/>
          <w:szCs w:val="26"/>
        </w:rPr>
      </w:pPr>
    </w:p>
    <w:p w:rsidR="00651964" w:rsidRDefault="00347808" w:rsidP="00D53276">
      <w:pPr>
        <w:widowControl/>
        <w:spacing w:line="360" w:lineRule="auto"/>
        <w:ind w:firstLine="1440"/>
        <w:rPr>
          <w:sz w:val="26"/>
          <w:szCs w:val="26"/>
        </w:rPr>
      </w:pPr>
      <w:r>
        <w:rPr>
          <w:sz w:val="26"/>
          <w:szCs w:val="26"/>
        </w:rPr>
        <w:t>3</w:t>
      </w:r>
      <w:r w:rsidR="00F7274A">
        <w:rPr>
          <w:sz w:val="26"/>
          <w:szCs w:val="26"/>
        </w:rPr>
        <w:t>.</w:t>
      </w:r>
      <w:r w:rsidR="00F7274A">
        <w:rPr>
          <w:sz w:val="26"/>
          <w:szCs w:val="26"/>
        </w:rPr>
        <w:tab/>
      </w:r>
      <w:r w:rsidR="00651964">
        <w:rPr>
          <w:sz w:val="26"/>
          <w:szCs w:val="26"/>
        </w:rPr>
        <w:t>That</w:t>
      </w:r>
      <w:r>
        <w:rPr>
          <w:sz w:val="26"/>
          <w:szCs w:val="26"/>
        </w:rPr>
        <w:t xml:space="preserve"> </w:t>
      </w:r>
      <w:r w:rsidR="00651964">
        <w:rPr>
          <w:sz w:val="26"/>
          <w:szCs w:val="26"/>
        </w:rPr>
        <w:t xml:space="preserve">the </w:t>
      </w:r>
      <w:r w:rsidR="0083532E">
        <w:rPr>
          <w:sz w:val="26"/>
          <w:szCs w:val="26"/>
        </w:rPr>
        <w:t xml:space="preserve">Joint </w:t>
      </w:r>
      <w:r w:rsidR="00651964">
        <w:rPr>
          <w:sz w:val="26"/>
          <w:szCs w:val="26"/>
        </w:rPr>
        <w:t xml:space="preserve">Petition for Interlocutory Review and Answer to Material Questions, filed by the Office of Attorney General and Office of Consumer Advocate </w:t>
      </w:r>
      <w:r w:rsidR="0083532E">
        <w:rPr>
          <w:sz w:val="26"/>
          <w:szCs w:val="26"/>
        </w:rPr>
        <w:t xml:space="preserve">on </w:t>
      </w:r>
      <w:r w:rsidR="00651964">
        <w:rPr>
          <w:sz w:val="26"/>
          <w:szCs w:val="26"/>
        </w:rPr>
        <w:t xml:space="preserve">September 8, 2014, </w:t>
      </w:r>
      <w:r>
        <w:rPr>
          <w:sz w:val="26"/>
          <w:szCs w:val="26"/>
        </w:rPr>
        <w:t>is, hereby, granted.</w:t>
      </w:r>
    </w:p>
    <w:p w:rsidR="0083532E" w:rsidRDefault="0083532E" w:rsidP="00D53276">
      <w:pPr>
        <w:widowControl/>
        <w:spacing w:line="360" w:lineRule="auto"/>
        <w:rPr>
          <w:sz w:val="26"/>
          <w:szCs w:val="26"/>
        </w:rPr>
      </w:pPr>
    </w:p>
    <w:p w:rsidR="00347808" w:rsidRDefault="00347808" w:rsidP="00347808">
      <w:pPr>
        <w:widowControl/>
        <w:spacing w:line="360" w:lineRule="auto"/>
        <w:ind w:firstLine="1440"/>
        <w:rPr>
          <w:sz w:val="26"/>
          <w:szCs w:val="26"/>
        </w:rPr>
      </w:pPr>
      <w:r>
        <w:rPr>
          <w:sz w:val="26"/>
          <w:szCs w:val="26"/>
        </w:rPr>
        <w:t>4.</w:t>
      </w:r>
      <w:r>
        <w:rPr>
          <w:sz w:val="26"/>
          <w:szCs w:val="26"/>
        </w:rPr>
        <w:tab/>
        <w:t>That the following question is answered in the negative</w:t>
      </w:r>
      <w:r w:rsidR="002D5EB4">
        <w:rPr>
          <w:sz w:val="26"/>
          <w:szCs w:val="26"/>
        </w:rPr>
        <w:t>:</w:t>
      </w:r>
    </w:p>
    <w:p w:rsidR="00347808" w:rsidRDefault="00347808" w:rsidP="00D53276">
      <w:pPr>
        <w:widowControl/>
        <w:spacing w:line="360" w:lineRule="auto"/>
        <w:rPr>
          <w:sz w:val="26"/>
          <w:szCs w:val="26"/>
        </w:rPr>
      </w:pPr>
    </w:p>
    <w:p w:rsidR="004C29F8" w:rsidRPr="00347808" w:rsidRDefault="004C29F8" w:rsidP="00FB3C2B">
      <w:pPr>
        <w:pStyle w:val="ListParagraph"/>
        <w:ind w:left="1440" w:right="1440"/>
        <w:rPr>
          <w:color w:val="000000"/>
          <w:sz w:val="26"/>
        </w:rPr>
      </w:pPr>
      <w:r w:rsidRPr="00347808">
        <w:rPr>
          <w:sz w:val="26"/>
          <w:szCs w:val="26"/>
        </w:rPr>
        <w:t>Does the Commission have authority and jurisdiction to determine whether a violation of the Telemarketer Registration Act (TRA) has occurred when considering whether the Commission’s regulations –which require compliance with the TRA – have been violated?</w:t>
      </w:r>
      <w:r w:rsidRPr="00347808">
        <w:rPr>
          <w:color w:val="000000"/>
          <w:sz w:val="26"/>
        </w:rPr>
        <w:t xml:space="preserve"> </w:t>
      </w:r>
    </w:p>
    <w:p w:rsidR="00347808" w:rsidRDefault="00347808" w:rsidP="00347808">
      <w:pPr>
        <w:ind w:right="1440"/>
        <w:rPr>
          <w:color w:val="000000"/>
          <w:sz w:val="26"/>
        </w:rPr>
      </w:pPr>
    </w:p>
    <w:p w:rsidR="00347808" w:rsidRDefault="00347808" w:rsidP="00347808">
      <w:pPr>
        <w:widowControl/>
        <w:spacing w:line="360" w:lineRule="auto"/>
        <w:ind w:firstLine="1440"/>
        <w:rPr>
          <w:sz w:val="26"/>
          <w:szCs w:val="26"/>
        </w:rPr>
      </w:pPr>
      <w:r>
        <w:rPr>
          <w:sz w:val="26"/>
          <w:szCs w:val="26"/>
        </w:rPr>
        <w:t>5.</w:t>
      </w:r>
      <w:r>
        <w:rPr>
          <w:sz w:val="26"/>
          <w:szCs w:val="26"/>
        </w:rPr>
        <w:tab/>
        <w:t>That the following question is answered in the affirmative</w:t>
      </w:r>
      <w:r w:rsidR="002D5EB4">
        <w:rPr>
          <w:sz w:val="26"/>
          <w:szCs w:val="26"/>
        </w:rPr>
        <w:t>:</w:t>
      </w:r>
    </w:p>
    <w:p w:rsidR="004C29F8" w:rsidRDefault="004C29F8" w:rsidP="00D53276">
      <w:pPr>
        <w:pStyle w:val="ListParagraph"/>
        <w:ind w:left="2160" w:right="1440"/>
        <w:rPr>
          <w:color w:val="000000"/>
          <w:sz w:val="26"/>
        </w:rPr>
      </w:pPr>
    </w:p>
    <w:p w:rsidR="004C29F8" w:rsidRPr="00591A09" w:rsidRDefault="004C29F8" w:rsidP="00466603">
      <w:pPr>
        <w:pStyle w:val="ListParagraph"/>
        <w:ind w:left="1440" w:right="1440"/>
        <w:rPr>
          <w:color w:val="000000"/>
          <w:sz w:val="26"/>
        </w:rPr>
      </w:pPr>
      <w:r w:rsidRPr="00F14118">
        <w:rPr>
          <w:sz w:val="26"/>
          <w:szCs w:val="26"/>
        </w:rPr>
        <w:t>Does the Commission</w:t>
      </w:r>
      <w:r>
        <w:rPr>
          <w:sz w:val="26"/>
          <w:szCs w:val="26"/>
        </w:rPr>
        <w:t xml:space="preserve"> have the authority and jurisdiction to determine whether the prices charged to customers by an electric generation supplier (EGS) conform to the EGS disclosure statement regarding pricing</w:t>
      </w:r>
      <w:r w:rsidRPr="004604C7">
        <w:rPr>
          <w:sz w:val="26"/>
          <w:szCs w:val="26"/>
        </w:rPr>
        <w:t xml:space="preserve">? </w:t>
      </w:r>
    </w:p>
    <w:p w:rsidR="004C29F8" w:rsidRDefault="004C29F8" w:rsidP="004C29F8">
      <w:pPr>
        <w:pStyle w:val="ListParagraph"/>
        <w:rPr>
          <w:color w:val="000000"/>
          <w:sz w:val="26"/>
        </w:rPr>
      </w:pPr>
    </w:p>
    <w:p w:rsidR="00347808" w:rsidRDefault="00347808" w:rsidP="00347808">
      <w:pPr>
        <w:widowControl/>
        <w:spacing w:line="360" w:lineRule="auto"/>
        <w:ind w:firstLine="1440"/>
        <w:rPr>
          <w:sz w:val="26"/>
          <w:szCs w:val="26"/>
        </w:rPr>
      </w:pPr>
      <w:r>
        <w:rPr>
          <w:sz w:val="26"/>
          <w:szCs w:val="26"/>
        </w:rPr>
        <w:t>6.</w:t>
      </w:r>
      <w:r>
        <w:rPr>
          <w:sz w:val="26"/>
          <w:szCs w:val="26"/>
        </w:rPr>
        <w:tab/>
        <w:t>That the following question is answered in the negative</w:t>
      </w:r>
      <w:r w:rsidR="002D5EB4">
        <w:rPr>
          <w:sz w:val="26"/>
          <w:szCs w:val="26"/>
        </w:rPr>
        <w:t>:</w:t>
      </w:r>
    </w:p>
    <w:p w:rsidR="00347808" w:rsidRPr="00591A09" w:rsidRDefault="00347808" w:rsidP="004C29F8">
      <w:pPr>
        <w:pStyle w:val="ListParagraph"/>
        <w:rPr>
          <w:color w:val="000000"/>
          <w:sz w:val="26"/>
        </w:rPr>
      </w:pPr>
    </w:p>
    <w:p w:rsidR="0083532E" w:rsidRDefault="004C29F8" w:rsidP="00466603">
      <w:pPr>
        <w:widowControl/>
        <w:ind w:left="1440" w:right="1440"/>
        <w:rPr>
          <w:sz w:val="26"/>
          <w:szCs w:val="26"/>
        </w:rPr>
      </w:pPr>
      <w:r w:rsidRPr="00F14118">
        <w:rPr>
          <w:sz w:val="26"/>
          <w:szCs w:val="26"/>
        </w:rPr>
        <w:t>Does the Commission</w:t>
      </w:r>
      <w:r>
        <w:rPr>
          <w:sz w:val="26"/>
          <w:szCs w:val="26"/>
        </w:rPr>
        <w:t xml:space="preserve"> have the authority and jurisdiction to order equitable remedies including restitution?</w:t>
      </w:r>
    </w:p>
    <w:p w:rsidR="00651964" w:rsidRDefault="00651964" w:rsidP="00651964">
      <w:pPr>
        <w:spacing w:line="360" w:lineRule="auto"/>
        <w:rPr>
          <w:sz w:val="26"/>
          <w:szCs w:val="26"/>
        </w:rPr>
      </w:pPr>
    </w:p>
    <w:p w:rsidR="00FB3C2B" w:rsidRDefault="00FB3C2B" w:rsidP="00651964">
      <w:pPr>
        <w:spacing w:line="360" w:lineRule="auto"/>
        <w:ind w:firstLine="1440"/>
        <w:rPr>
          <w:sz w:val="26"/>
          <w:szCs w:val="26"/>
        </w:rPr>
      </w:pPr>
    </w:p>
    <w:p w:rsidR="00FB3C2B" w:rsidRDefault="00FB3C2B" w:rsidP="00651964">
      <w:pPr>
        <w:spacing w:line="360" w:lineRule="auto"/>
        <w:ind w:firstLine="1440"/>
        <w:rPr>
          <w:sz w:val="26"/>
          <w:szCs w:val="26"/>
        </w:rPr>
      </w:pPr>
    </w:p>
    <w:p w:rsidR="00FB3C2B" w:rsidRDefault="00FB3C2B" w:rsidP="00651964">
      <w:pPr>
        <w:spacing w:line="360" w:lineRule="auto"/>
        <w:ind w:firstLine="1440"/>
        <w:rPr>
          <w:sz w:val="26"/>
          <w:szCs w:val="26"/>
        </w:rPr>
      </w:pPr>
    </w:p>
    <w:p w:rsidR="00FB3C2B" w:rsidRDefault="00FB3C2B" w:rsidP="00651964">
      <w:pPr>
        <w:spacing w:line="360" w:lineRule="auto"/>
        <w:ind w:firstLine="1440"/>
        <w:rPr>
          <w:sz w:val="26"/>
          <w:szCs w:val="26"/>
        </w:rPr>
      </w:pPr>
    </w:p>
    <w:p w:rsidR="00651964" w:rsidRDefault="00347808" w:rsidP="00651964">
      <w:pPr>
        <w:spacing w:line="360" w:lineRule="auto"/>
        <w:ind w:firstLine="1440"/>
        <w:rPr>
          <w:sz w:val="26"/>
          <w:szCs w:val="26"/>
        </w:rPr>
      </w:pPr>
      <w:r>
        <w:rPr>
          <w:sz w:val="26"/>
          <w:szCs w:val="26"/>
        </w:rPr>
        <w:t>7</w:t>
      </w:r>
      <w:r w:rsidR="00651964">
        <w:rPr>
          <w:sz w:val="26"/>
          <w:szCs w:val="26"/>
        </w:rPr>
        <w:t xml:space="preserve">.  </w:t>
      </w:r>
      <w:r w:rsidR="00651964">
        <w:rPr>
          <w:sz w:val="26"/>
          <w:szCs w:val="26"/>
        </w:rPr>
        <w:tab/>
        <w:t xml:space="preserve">That this matter is returned to the Office of Administrative Law Judge for such further proceedings as may be necessary.  </w:t>
      </w:r>
    </w:p>
    <w:p w:rsidR="00651964" w:rsidRDefault="00651964" w:rsidP="00651964">
      <w:pPr>
        <w:spacing w:line="360" w:lineRule="auto"/>
        <w:ind w:left="1440"/>
        <w:rPr>
          <w:sz w:val="26"/>
          <w:szCs w:val="26"/>
        </w:rPr>
      </w:pPr>
    </w:p>
    <w:p w:rsidR="00FB3C2B" w:rsidRDefault="00FB3C2B" w:rsidP="00651964">
      <w:pPr>
        <w:tabs>
          <w:tab w:val="left" w:pos="-720"/>
        </w:tabs>
        <w:ind w:firstLine="5040"/>
        <w:rPr>
          <w:b/>
          <w:sz w:val="26"/>
          <w:szCs w:val="26"/>
        </w:rPr>
      </w:pPr>
    </w:p>
    <w:p w:rsidR="00651964" w:rsidRDefault="00B97BA3" w:rsidP="00651964">
      <w:pPr>
        <w:tabs>
          <w:tab w:val="left" w:pos="-720"/>
        </w:tabs>
        <w:ind w:firstLine="5040"/>
        <w:rPr>
          <w:sz w:val="26"/>
          <w:szCs w:val="26"/>
        </w:rPr>
      </w:pPr>
      <w:r>
        <w:rPr>
          <w:noProof/>
        </w:rPr>
        <w:drawing>
          <wp:anchor distT="0" distB="0" distL="114300" distR="114300" simplePos="0" relativeHeight="251658240" behindDoc="1" locked="0" layoutInCell="1" allowOverlap="1" wp14:anchorId="79D0C529" wp14:editId="5928B50C">
            <wp:simplePos x="0" y="0"/>
            <wp:positionH relativeFrom="column">
              <wp:posOffset>2730500</wp:posOffset>
            </wp:positionH>
            <wp:positionV relativeFrom="paragraph">
              <wp:posOffset>36195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51964">
        <w:rPr>
          <w:b/>
          <w:sz w:val="26"/>
          <w:szCs w:val="26"/>
        </w:rPr>
        <w:t>BY THE COMMISSION,</w:t>
      </w:r>
    </w:p>
    <w:p w:rsidR="00651964" w:rsidRDefault="00651964" w:rsidP="00651964">
      <w:pPr>
        <w:tabs>
          <w:tab w:val="left" w:pos="-720"/>
        </w:tabs>
        <w:rPr>
          <w:sz w:val="26"/>
          <w:szCs w:val="26"/>
        </w:rPr>
      </w:pPr>
    </w:p>
    <w:p w:rsidR="00651964" w:rsidRDefault="00651964" w:rsidP="00651964">
      <w:pPr>
        <w:tabs>
          <w:tab w:val="left" w:pos="-720"/>
        </w:tabs>
        <w:rPr>
          <w:sz w:val="26"/>
          <w:szCs w:val="26"/>
        </w:rPr>
      </w:pPr>
    </w:p>
    <w:p w:rsidR="00651964" w:rsidRDefault="00651964" w:rsidP="00651964">
      <w:pPr>
        <w:tabs>
          <w:tab w:val="left" w:pos="-720"/>
        </w:tabs>
        <w:rPr>
          <w:sz w:val="26"/>
          <w:szCs w:val="26"/>
        </w:rPr>
      </w:pPr>
    </w:p>
    <w:p w:rsidR="00651964" w:rsidRDefault="00651964" w:rsidP="00651964">
      <w:pPr>
        <w:tabs>
          <w:tab w:val="left" w:pos="-720"/>
        </w:tabs>
        <w:ind w:firstLine="5040"/>
        <w:rPr>
          <w:b/>
          <w:sz w:val="26"/>
          <w:szCs w:val="26"/>
        </w:rPr>
      </w:pPr>
      <w:r>
        <w:rPr>
          <w:sz w:val="26"/>
          <w:szCs w:val="26"/>
        </w:rPr>
        <w:t>Rosemary Chiavetta</w:t>
      </w:r>
    </w:p>
    <w:p w:rsidR="00651964" w:rsidRDefault="00651964" w:rsidP="00651964">
      <w:pPr>
        <w:tabs>
          <w:tab w:val="left" w:pos="-720"/>
        </w:tabs>
        <w:ind w:firstLine="5040"/>
        <w:rPr>
          <w:sz w:val="26"/>
          <w:szCs w:val="26"/>
        </w:rPr>
      </w:pPr>
      <w:r>
        <w:rPr>
          <w:sz w:val="26"/>
          <w:szCs w:val="26"/>
        </w:rPr>
        <w:t>Secretary</w:t>
      </w:r>
    </w:p>
    <w:p w:rsidR="00651964" w:rsidRDefault="00651964" w:rsidP="00651964">
      <w:pPr>
        <w:tabs>
          <w:tab w:val="left" w:pos="-720"/>
        </w:tabs>
        <w:rPr>
          <w:sz w:val="26"/>
          <w:szCs w:val="26"/>
        </w:rPr>
      </w:pPr>
    </w:p>
    <w:p w:rsidR="00651964" w:rsidRDefault="00651964" w:rsidP="00651964">
      <w:pPr>
        <w:tabs>
          <w:tab w:val="left" w:pos="-720"/>
        </w:tabs>
        <w:rPr>
          <w:sz w:val="26"/>
          <w:szCs w:val="26"/>
        </w:rPr>
      </w:pPr>
      <w:r>
        <w:rPr>
          <w:sz w:val="26"/>
          <w:szCs w:val="26"/>
        </w:rPr>
        <w:t>(SEAL)</w:t>
      </w:r>
    </w:p>
    <w:p w:rsidR="00651964" w:rsidRDefault="00651964" w:rsidP="00651964">
      <w:pPr>
        <w:tabs>
          <w:tab w:val="left" w:pos="-720"/>
        </w:tabs>
        <w:rPr>
          <w:sz w:val="26"/>
          <w:szCs w:val="26"/>
        </w:rPr>
      </w:pPr>
    </w:p>
    <w:p w:rsidR="00651964" w:rsidRDefault="00651964" w:rsidP="00651964">
      <w:pPr>
        <w:tabs>
          <w:tab w:val="left" w:pos="-720"/>
        </w:tabs>
        <w:rPr>
          <w:sz w:val="26"/>
          <w:szCs w:val="26"/>
        </w:rPr>
      </w:pPr>
      <w:r>
        <w:rPr>
          <w:sz w:val="26"/>
          <w:szCs w:val="26"/>
        </w:rPr>
        <w:t xml:space="preserve">ORDER ADOPTED: </w:t>
      </w:r>
      <w:r w:rsidR="00347808">
        <w:rPr>
          <w:sz w:val="26"/>
          <w:szCs w:val="26"/>
        </w:rPr>
        <w:t>December 18,</w:t>
      </w:r>
      <w:r>
        <w:rPr>
          <w:sz w:val="26"/>
          <w:szCs w:val="26"/>
        </w:rPr>
        <w:t xml:space="preserve"> 2014</w:t>
      </w:r>
    </w:p>
    <w:p w:rsidR="00651964" w:rsidRDefault="00651964" w:rsidP="00651964">
      <w:pPr>
        <w:tabs>
          <w:tab w:val="left" w:pos="-720"/>
        </w:tabs>
        <w:rPr>
          <w:sz w:val="26"/>
          <w:szCs w:val="26"/>
        </w:rPr>
      </w:pPr>
    </w:p>
    <w:p w:rsidR="00651964" w:rsidRDefault="00651964" w:rsidP="00D53276">
      <w:pPr>
        <w:tabs>
          <w:tab w:val="left" w:pos="-720"/>
        </w:tabs>
        <w:rPr>
          <w:sz w:val="26"/>
          <w:szCs w:val="26"/>
        </w:rPr>
      </w:pPr>
      <w:r>
        <w:rPr>
          <w:sz w:val="26"/>
          <w:szCs w:val="26"/>
        </w:rPr>
        <w:t xml:space="preserve">ORDER ENTERED:   </w:t>
      </w:r>
      <w:r w:rsidR="00B97BA3">
        <w:rPr>
          <w:sz w:val="26"/>
          <w:szCs w:val="26"/>
        </w:rPr>
        <w:t>December 18, 2014</w:t>
      </w:r>
    </w:p>
    <w:p w:rsidR="00C02B8F" w:rsidRDefault="00C02B8F" w:rsidP="00D53276">
      <w:pPr>
        <w:tabs>
          <w:tab w:val="left" w:pos="-720"/>
        </w:tabs>
        <w:rPr>
          <w:sz w:val="26"/>
          <w:szCs w:val="26"/>
        </w:rPr>
      </w:pPr>
      <w:bookmarkStart w:id="2" w:name="_GoBack"/>
      <w:bookmarkEnd w:id="2"/>
    </w:p>
    <w:sectPr w:rsidR="00C02B8F" w:rsidSect="001C3449">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35D" w:rsidRDefault="0050235D" w:rsidP="003E62C2">
      <w:r>
        <w:separator/>
      </w:r>
    </w:p>
  </w:endnote>
  <w:endnote w:type="continuationSeparator" w:id="0">
    <w:p w:rsidR="0050235D" w:rsidRDefault="0050235D" w:rsidP="003E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678296"/>
      <w:docPartObj>
        <w:docPartGallery w:val="Page Numbers (Bottom of Page)"/>
        <w:docPartUnique/>
      </w:docPartObj>
    </w:sdtPr>
    <w:sdtEndPr>
      <w:rPr>
        <w:noProof/>
        <w:sz w:val="26"/>
        <w:szCs w:val="26"/>
      </w:rPr>
    </w:sdtEndPr>
    <w:sdtContent>
      <w:p w:rsidR="000D2E0E" w:rsidRPr="00E555D1" w:rsidRDefault="000D2E0E">
        <w:pPr>
          <w:pStyle w:val="Footer"/>
          <w:jc w:val="center"/>
          <w:rPr>
            <w:sz w:val="26"/>
            <w:szCs w:val="26"/>
          </w:rPr>
        </w:pPr>
        <w:r w:rsidRPr="00E555D1">
          <w:rPr>
            <w:sz w:val="26"/>
            <w:szCs w:val="26"/>
          </w:rPr>
          <w:fldChar w:fldCharType="begin"/>
        </w:r>
        <w:r w:rsidRPr="00E555D1">
          <w:rPr>
            <w:sz w:val="26"/>
            <w:szCs w:val="26"/>
          </w:rPr>
          <w:instrText xml:space="preserve"> PAGE   \* MERGEFORMAT </w:instrText>
        </w:r>
        <w:r w:rsidRPr="00E555D1">
          <w:rPr>
            <w:sz w:val="26"/>
            <w:szCs w:val="26"/>
          </w:rPr>
          <w:fldChar w:fldCharType="separate"/>
        </w:r>
        <w:r w:rsidR="00B97BA3">
          <w:rPr>
            <w:noProof/>
            <w:sz w:val="26"/>
            <w:szCs w:val="26"/>
          </w:rPr>
          <w:t>28</w:t>
        </w:r>
        <w:r w:rsidRPr="00E555D1">
          <w:rPr>
            <w:noProof/>
            <w:sz w:val="26"/>
            <w:szCs w:val="26"/>
          </w:rPr>
          <w:fldChar w:fldCharType="end"/>
        </w:r>
      </w:p>
    </w:sdtContent>
  </w:sdt>
  <w:p w:rsidR="000D2E0E" w:rsidRDefault="000D2E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35D" w:rsidRDefault="0050235D" w:rsidP="003E62C2">
      <w:r>
        <w:separator/>
      </w:r>
    </w:p>
  </w:footnote>
  <w:footnote w:type="continuationSeparator" w:id="0">
    <w:p w:rsidR="0050235D" w:rsidRDefault="0050235D" w:rsidP="003E62C2">
      <w:r>
        <w:continuationSeparator/>
      </w:r>
    </w:p>
  </w:footnote>
  <w:footnote w:id="1">
    <w:p w:rsidR="000D2E0E" w:rsidRPr="00D0020E" w:rsidRDefault="000D2E0E" w:rsidP="00D0020E">
      <w:pPr>
        <w:ind w:firstLine="720"/>
        <w:rPr>
          <w:b/>
          <w:bCs/>
          <w:color w:val="333333"/>
          <w:sz w:val="18"/>
          <w:szCs w:val="18"/>
        </w:rPr>
      </w:pPr>
      <w:r w:rsidRPr="005B2DFA">
        <w:rPr>
          <w:rStyle w:val="FootnoteReference"/>
        </w:rPr>
        <w:footnoteRef/>
      </w:r>
      <w:r w:rsidRPr="005B2DFA">
        <w:t xml:space="preserve"> </w:t>
      </w:r>
      <w:r>
        <w:tab/>
      </w:r>
      <w:r w:rsidRPr="00D0020E">
        <w:rPr>
          <w:sz w:val="26"/>
          <w:szCs w:val="26"/>
        </w:rPr>
        <w:t>As</w:t>
      </w:r>
      <w:r>
        <w:rPr>
          <w:sz w:val="26"/>
          <w:szCs w:val="26"/>
        </w:rPr>
        <w:t xml:space="preserve"> we discuss in this Opinion and Order,</w:t>
      </w:r>
      <w:r w:rsidRPr="00D0020E">
        <w:rPr>
          <w:sz w:val="26"/>
          <w:szCs w:val="26"/>
        </w:rPr>
        <w:t xml:space="preserve"> </w:t>
      </w:r>
      <w:r>
        <w:rPr>
          <w:sz w:val="26"/>
          <w:szCs w:val="26"/>
        </w:rPr>
        <w:t>t</w:t>
      </w:r>
      <w:r w:rsidRPr="00D0020E">
        <w:rPr>
          <w:sz w:val="26"/>
          <w:szCs w:val="26"/>
        </w:rPr>
        <w:t xml:space="preserve">he three other formal complaints filed by </w:t>
      </w:r>
      <w:r>
        <w:rPr>
          <w:sz w:val="26"/>
          <w:szCs w:val="26"/>
        </w:rPr>
        <w:t xml:space="preserve">against EGSs by </w:t>
      </w:r>
      <w:r w:rsidRPr="00D0020E">
        <w:rPr>
          <w:sz w:val="26"/>
          <w:szCs w:val="26"/>
        </w:rPr>
        <w:t>the OAG/OCA</w:t>
      </w:r>
      <w:r>
        <w:rPr>
          <w:sz w:val="26"/>
          <w:szCs w:val="26"/>
        </w:rPr>
        <w:t xml:space="preserve"> are:</w:t>
      </w:r>
      <w:r w:rsidRPr="00D0020E">
        <w:rPr>
          <w:sz w:val="26"/>
          <w:szCs w:val="26"/>
        </w:rPr>
        <w:t xml:space="preserve"> </w:t>
      </w:r>
      <w:r w:rsidRPr="0003285E">
        <w:rPr>
          <w:i/>
          <w:sz w:val="26"/>
          <w:szCs w:val="26"/>
        </w:rPr>
        <w:t>Comm. of Pa. v. Respond Power, LLC</w:t>
      </w:r>
      <w:r w:rsidRPr="0003285E">
        <w:rPr>
          <w:sz w:val="26"/>
          <w:szCs w:val="26"/>
        </w:rPr>
        <w:t xml:space="preserve">, </w:t>
      </w:r>
      <w:proofErr w:type="gramStart"/>
      <w:r w:rsidRPr="0003285E">
        <w:rPr>
          <w:sz w:val="26"/>
          <w:szCs w:val="26"/>
        </w:rPr>
        <w:t>Docket</w:t>
      </w:r>
      <w:proofErr w:type="gramEnd"/>
      <w:r w:rsidRPr="0003285E">
        <w:rPr>
          <w:sz w:val="26"/>
          <w:szCs w:val="26"/>
        </w:rPr>
        <w:t xml:space="preserve"> No. C-2014-2427659; </w:t>
      </w:r>
      <w:r w:rsidRPr="0003285E">
        <w:rPr>
          <w:i/>
          <w:sz w:val="26"/>
          <w:szCs w:val="26"/>
        </w:rPr>
        <w:t>Comm. of Pa. v. Blue Pilot Energy, LLC</w:t>
      </w:r>
      <w:r w:rsidRPr="0003285E">
        <w:rPr>
          <w:sz w:val="26"/>
          <w:szCs w:val="26"/>
        </w:rPr>
        <w:t xml:space="preserve">, Docket No. </w:t>
      </w:r>
      <w:r w:rsidR="00A14676">
        <w:rPr>
          <w:sz w:val="26"/>
          <w:szCs w:val="26"/>
        </w:rPr>
        <w:br/>
      </w:r>
      <w:r w:rsidRPr="0003285E">
        <w:rPr>
          <w:bCs/>
          <w:color w:val="000000"/>
          <w:sz w:val="26"/>
          <w:szCs w:val="26"/>
        </w:rPr>
        <w:t>C-2014-2427655</w:t>
      </w:r>
      <w:r w:rsidRPr="0003285E">
        <w:rPr>
          <w:sz w:val="26"/>
          <w:szCs w:val="26"/>
        </w:rPr>
        <w:t xml:space="preserve">; and </w:t>
      </w:r>
      <w:r w:rsidRPr="0003285E">
        <w:rPr>
          <w:i/>
          <w:sz w:val="26"/>
          <w:szCs w:val="26"/>
        </w:rPr>
        <w:t>Comm. of Pa. v. Energy Services Providers, Inc., d/b/a Pennsylvania Gas &amp; Electric,</w:t>
      </w:r>
      <w:r w:rsidRPr="0003285E">
        <w:rPr>
          <w:sz w:val="26"/>
          <w:szCs w:val="26"/>
        </w:rPr>
        <w:t xml:space="preserve"> Docket No. </w:t>
      </w:r>
      <w:proofErr w:type="gramStart"/>
      <w:r w:rsidRPr="0003285E">
        <w:rPr>
          <w:sz w:val="26"/>
          <w:szCs w:val="26"/>
        </w:rPr>
        <w:t>C-2014-2427656.</w:t>
      </w:r>
      <w:proofErr w:type="gramEnd"/>
      <w:r w:rsidRPr="0003285E">
        <w:rPr>
          <w:sz w:val="26"/>
          <w:szCs w:val="26"/>
        </w:rPr>
        <w:t xml:space="preserve">  </w:t>
      </w:r>
    </w:p>
    <w:p w:rsidR="000D2E0E" w:rsidRPr="00D0020E" w:rsidRDefault="000D2E0E" w:rsidP="00D0020E">
      <w:pPr>
        <w:pStyle w:val="FootnoteText"/>
        <w:ind w:firstLine="720"/>
        <w:rPr>
          <w:i/>
          <w:sz w:val="26"/>
          <w:szCs w:val="26"/>
        </w:rPr>
      </w:pPr>
      <w:r w:rsidRPr="00D0020E">
        <w:rPr>
          <w:i/>
          <w:sz w:val="26"/>
          <w:szCs w:val="26"/>
        </w:rPr>
        <w:t xml:space="preserve"> </w:t>
      </w:r>
    </w:p>
  </w:footnote>
  <w:footnote w:id="2">
    <w:p w:rsidR="000D2E0E" w:rsidRPr="00975324" w:rsidRDefault="000D2E0E">
      <w:pPr>
        <w:pStyle w:val="FootnoteText"/>
        <w:rPr>
          <w:sz w:val="26"/>
          <w:szCs w:val="26"/>
        </w:rPr>
      </w:pPr>
      <w:r>
        <w:tab/>
      </w:r>
      <w:r>
        <w:rPr>
          <w:rStyle w:val="FootnoteReference"/>
        </w:rPr>
        <w:footnoteRef/>
      </w:r>
      <w:r>
        <w:t xml:space="preserve">  </w:t>
      </w:r>
      <w:r>
        <w:tab/>
      </w:r>
      <w:r w:rsidRPr="00975324">
        <w:rPr>
          <w:sz w:val="26"/>
          <w:szCs w:val="26"/>
        </w:rPr>
        <w:t>IDT</w:t>
      </w:r>
      <w:r>
        <w:rPr>
          <w:sz w:val="26"/>
          <w:szCs w:val="26"/>
        </w:rPr>
        <w:t xml:space="preserve"> is a wholly owned subsidiary of IDT Capital, Inc., which, in turn, is a wholly-owned subsidiary of IDT Capital.  </w:t>
      </w:r>
      <w:r>
        <w:rPr>
          <w:i/>
          <w:sz w:val="26"/>
          <w:szCs w:val="26"/>
        </w:rPr>
        <w:t>See</w:t>
      </w:r>
      <w:r>
        <w:rPr>
          <w:sz w:val="26"/>
          <w:szCs w:val="26"/>
        </w:rPr>
        <w:t xml:space="preserve"> Joint Complaint at ¶ 7.</w:t>
      </w:r>
    </w:p>
  </w:footnote>
  <w:footnote w:id="3">
    <w:p w:rsidR="000D2E0E" w:rsidRPr="00030145" w:rsidRDefault="000D2E0E">
      <w:pPr>
        <w:pStyle w:val="FootnoteText"/>
        <w:rPr>
          <w:sz w:val="26"/>
          <w:szCs w:val="26"/>
        </w:rPr>
      </w:pPr>
      <w:r>
        <w:tab/>
      </w:r>
      <w:r>
        <w:rPr>
          <w:rStyle w:val="FootnoteReference"/>
        </w:rPr>
        <w:footnoteRef/>
      </w:r>
      <w:r>
        <w:t xml:space="preserve"> </w:t>
      </w:r>
      <w:r>
        <w:tab/>
      </w:r>
      <w:r w:rsidRPr="00030145">
        <w:rPr>
          <w:sz w:val="26"/>
          <w:szCs w:val="26"/>
        </w:rPr>
        <w:t xml:space="preserve">The OAG and OCA </w:t>
      </w:r>
      <w:r>
        <w:rPr>
          <w:sz w:val="26"/>
          <w:szCs w:val="26"/>
        </w:rPr>
        <w:t xml:space="preserve">attach as Appendix C, the Affidavit of their sponsored witness, Dr. Steven L. </w:t>
      </w:r>
      <w:proofErr w:type="spellStart"/>
      <w:r>
        <w:rPr>
          <w:sz w:val="26"/>
          <w:szCs w:val="26"/>
        </w:rPr>
        <w:t>Estomin</w:t>
      </w:r>
      <w:proofErr w:type="spellEnd"/>
      <w:r>
        <w:rPr>
          <w:sz w:val="26"/>
          <w:szCs w:val="26"/>
        </w:rPr>
        <w:t xml:space="preserve">.  </w:t>
      </w:r>
      <w:proofErr w:type="gramStart"/>
      <w:r>
        <w:rPr>
          <w:sz w:val="26"/>
          <w:szCs w:val="26"/>
        </w:rPr>
        <w:t>Joint Complaint at 13.</w:t>
      </w:r>
      <w:proofErr w:type="gramEnd"/>
    </w:p>
  </w:footnote>
  <w:footnote w:id="4">
    <w:p w:rsidR="000D2E0E" w:rsidRDefault="000D2E0E" w:rsidP="00A70E7C">
      <w:pPr>
        <w:pStyle w:val="FootnoteText"/>
      </w:pPr>
      <w:r>
        <w:tab/>
      </w:r>
      <w:r>
        <w:rPr>
          <w:rStyle w:val="FootnoteReference"/>
        </w:rPr>
        <w:footnoteRef/>
      </w:r>
      <w:r>
        <w:t xml:space="preserve">   </w:t>
      </w:r>
      <w:r>
        <w:tab/>
      </w:r>
      <w:r w:rsidRPr="00687250">
        <w:rPr>
          <w:sz w:val="26"/>
          <w:szCs w:val="26"/>
        </w:rPr>
        <w:t>Officia</w:t>
      </w:r>
      <w:r>
        <w:rPr>
          <w:sz w:val="26"/>
          <w:szCs w:val="26"/>
        </w:rPr>
        <w:t>l</w:t>
      </w:r>
      <w:r w:rsidRPr="00687250">
        <w:rPr>
          <w:sz w:val="26"/>
          <w:szCs w:val="26"/>
        </w:rPr>
        <w:t xml:space="preserve"> notice</w:t>
      </w:r>
      <w:r>
        <w:rPr>
          <w:sz w:val="26"/>
          <w:szCs w:val="26"/>
        </w:rPr>
        <w:t xml:space="preserve"> is also taken of </w:t>
      </w:r>
      <w:r>
        <w:rPr>
          <w:i/>
          <w:sz w:val="26"/>
          <w:szCs w:val="26"/>
        </w:rPr>
        <w:t>John R. Evans, Small Business Advocate v. FirstEnergy Solutions Corporation</w:t>
      </w:r>
      <w:r>
        <w:rPr>
          <w:sz w:val="26"/>
          <w:szCs w:val="26"/>
        </w:rPr>
        <w:t xml:space="preserve">, Docket No. </w:t>
      </w:r>
      <w:proofErr w:type="gramStart"/>
      <w:r>
        <w:rPr>
          <w:sz w:val="26"/>
          <w:szCs w:val="26"/>
        </w:rPr>
        <w:t>P-2014-2421556, which is a pending, declaratory order proceeding initiated by the Office of Small Business Advocate.</w:t>
      </w:r>
      <w:proofErr w:type="gramEnd"/>
      <w:r>
        <w:rPr>
          <w:sz w:val="26"/>
          <w:szCs w:val="26"/>
        </w:rPr>
        <w:t xml:space="preserve">  The matter involves an EGS service provider, but concerns a dispute arising pursuant to fixed price EGS contracts.  In addition, official notice is taken of </w:t>
      </w:r>
      <w:r w:rsidRPr="000E591D">
        <w:rPr>
          <w:bCs/>
          <w:i/>
          <w:color w:val="000000"/>
          <w:sz w:val="26"/>
          <w:szCs w:val="26"/>
        </w:rPr>
        <w:t>FES Industrial &amp; Commercial Customer Coalition v. FirstEnergy Solutions Corporation</w:t>
      </w:r>
      <w:r>
        <w:rPr>
          <w:bCs/>
          <w:color w:val="000000"/>
          <w:sz w:val="26"/>
          <w:szCs w:val="26"/>
        </w:rPr>
        <w:t xml:space="preserve">, Docket No. </w:t>
      </w:r>
      <w:r w:rsidRPr="000C584C">
        <w:rPr>
          <w:bCs/>
          <w:color w:val="000000"/>
          <w:sz w:val="26"/>
          <w:szCs w:val="26"/>
        </w:rPr>
        <w:t>C-2014-242</w:t>
      </w:r>
      <w:r>
        <w:rPr>
          <w:bCs/>
          <w:color w:val="000000"/>
          <w:sz w:val="26"/>
          <w:szCs w:val="26"/>
        </w:rPr>
        <w:t>5989</w:t>
      </w:r>
      <w:proofErr w:type="gramStart"/>
      <w:r w:rsidR="00404E93">
        <w:rPr>
          <w:bCs/>
          <w:color w:val="000000"/>
          <w:sz w:val="26"/>
          <w:szCs w:val="26"/>
        </w:rPr>
        <w:t>,</w:t>
      </w:r>
      <w:r>
        <w:rPr>
          <w:bCs/>
          <w:color w:val="000000"/>
          <w:sz w:val="26"/>
          <w:szCs w:val="26"/>
        </w:rPr>
        <w:t xml:space="preserve">  which</w:t>
      </w:r>
      <w:proofErr w:type="gramEnd"/>
      <w:r>
        <w:rPr>
          <w:bCs/>
          <w:color w:val="000000"/>
          <w:sz w:val="26"/>
          <w:szCs w:val="26"/>
        </w:rPr>
        <w:t xml:space="preserve"> is a formal complaint seeking relief involving the fixed price contracts of the particular EGS supplier. </w:t>
      </w:r>
      <w:r>
        <w:rPr>
          <w:sz w:val="26"/>
          <w:szCs w:val="26"/>
        </w:rPr>
        <w:t xml:space="preserve">  </w:t>
      </w:r>
      <w:r>
        <w:t xml:space="preserve"> </w:t>
      </w:r>
    </w:p>
  </w:footnote>
  <w:footnote w:id="5">
    <w:p w:rsidR="000D2E0E" w:rsidRPr="005B2DFA" w:rsidRDefault="000D2E0E" w:rsidP="006A7090">
      <w:pPr>
        <w:pStyle w:val="FootnoteText"/>
        <w:ind w:firstLine="720"/>
      </w:pPr>
      <w:r w:rsidRPr="005B2DFA">
        <w:rPr>
          <w:rStyle w:val="FootnoteReference"/>
        </w:rPr>
        <w:footnoteRef/>
      </w:r>
      <w:r w:rsidRPr="005B2DFA">
        <w:t xml:space="preserve"> </w:t>
      </w:r>
      <w:r>
        <w:rPr>
          <w:sz w:val="26"/>
          <w:szCs w:val="26"/>
        </w:rPr>
        <w:tab/>
      </w:r>
      <w:r w:rsidRPr="006A7090">
        <w:rPr>
          <w:i/>
          <w:sz w:val="26"/>
          <w:szCs w:val="26"/>
        </w:rPr>
        <w:t xml:space="preserve">Pa. Pub. </w:t>
      </w:r>
      <w:proofErr w:type="gramStart"/>
      <w:r w:rsidRPr="006A7090">
        <w:rPr>
          <w:i/>
          <w:sz w:val="26"/>
          <w:szCs w:val="26"/>
        </w:rPr>
        <w:t xml:space="preserve">Util. </w:t>
      </w:r>
      <w:proofErr w:type="spellStart"/>
      <w:r w:rsidRPr="006A7090">
        <w:rPr>
          <w:i/>
          <w:sz w:val="26"/>
          <w:szCs w:val="26"/>
        </w:rPr>
        <w:t>Comm’n</w:t>
      </w:r>
      <w:proofErr w:type="spellEnd"/>
      <w:r w:rsidRPr="006A7090">
        <w:rPr>
          <w:i/>
          <w:sz w:val="26"/>
          <w:szCs w:val="26"/>
        </w:rPr>
        <w:t xml:space="preserve"> v. Philadelphia Gas Works, </w:t>
      </w:r>
      <w:r w:rsidRPr="006A7090">
        <w:rPr>
          <w:sz w:val="26"/>
          <w:szCs w:val="26"/>
        </w:rPr>
        <w:t>Docket Nos.</w:t>
      </w:r>
      <w:proofErr w:type="gramEnd"/>
      <w:r w:rsidRPr="006A7090">
        <w:rPr>
          <w:sz w:val="26"/>
          <w:szCs w:val="26"/>
        </w:rPr>
        <w:t xml:space="preserve"> </w:t>
      </w:r>
      <w:r w:rsidR="00404E93">
        <w:rPr>
          <w:sz w:val="26"/>
          <w:szCs w:val="26"/>
        </w:rPr>
        <w:br/>
      </w:r>
      <w:r w:rsidRPr="006A7090">
        <w:rPr>
          <w:sz w:val="26"/>
          <w:szCs w:val="26"/>
        </w:rPr>
        <w:t xml:space="preserve">P-2009-2097639, </w:t>
      </w:r>
      <w:r w:rsidRPr="006A7090">
        <w:rPr>
          <w:i/>
          <w:sz w:val="26"/>
          <w:szCs w:val="26"/>
        </w:rPr>
        <w:t xml:space="preserve">et al. </w:t>
      </w:r>
      <w:r w:rsidRPr="006A7090">
        <w:rPr>
          <w:sz w:val="26"/>
          <w:szCs w:val="26"/>
        </w:rPr>
        <w:t>(Order entered April 15, 2010)</w:t>
      </w:r>
      <w:r w:rsidR="001333D7">
        <w:rPr>
          <w:sz w:val="26"/>
          <w:szCs w:val="26"/>
        </w:rPr>
        <w:t xml:space="preserve"> (</w:t>
      </w:r>
      <w:r w:rsidR="001333D7">
        <w:rPr>
          <w:i/>
          <w:sz w:val="26"/>
          <w:szCs w:val="26"/>
        </w:rPr>
        <w:t>PGW Order</w:t>
      </w:r>
      <w:r w:rsidR="001333D7">
        <w:rPr>
          <w:sz w:val="26"/>
          <w:szCs w:val="26"/>
        </w:rPr>
        <w:t>)</w:t>
      </w:r>
      <w:r w:rsidRPr="006A7090">
        <w:rPr>
          <w:sz w:val="26"/>
          <w:szCs w:val="26"/>
        </w:rPr>
        <w:t>.</w:t>
      </w:r>
    </w:p>
  </w:footnote>
  <w:footnote w:id="6">
    <w:p w:rsidR="000D2E0E" w:rsidRPr="005B2DFA" w:rsidRDefault="000D2E0E" w:rsidP="00FB3C2B">
      <w:pPr>
        <w:pStyle w:val="FootnoteText"/>
        <w:ind w:firstLine="720"/>
      </w:pPr>
      <w:r w:rsidRPr="005B2DFA">
        <w:rPr>
          <w:rStyle w:val="FootnoteReference"/>
        </w:rPr>
        <w:footnoteRef/>
      </w:r>
      <w:r w:rsidRPr="005B2DFA">
        <w:t xml:space="preserve"> </w:t>
      </w:r>
      <w:r>
        <w:tab/>
      </w:r>
      <w:r w:rsidRPr="00EE340E">
        <w:rPr>
          <w:i/>
          <w:sz w:val="26"/>
          <w:szCs w:val="26"/>
        </w:rPr>
        <w:t>See</w:t>
      </w:r>
      <w:r>
        <w:rPr>
          <w:i/>
        </w:rPr>
        <w:t xml:space="preserve"> </w:t>
      </w:r>
      <w:r w:rsidRPr="00EE340E">
        <w:rPr>
          <w:i/>
          <w:sz w:val="26"/>
          <w:szCs w:val="26"/>
        </w:rPr>
        <w:t>Delmarva Power &amp; Light Co.</w:t>
      </w:r>
      <w:r w:rsidR="00370B54">
        <w:rPr>
          <w:i/>
          <w:sz w:val="26"/>
          <w:szCs w:val="26"/>
        </w:rPr>
        <w:t>, supra</w:t>
      </w:r>
      <w:r w:rsidRPr="00EE340E">
        <w:rPr>
          <w:sz w:val="26"/>
          <w:szCs w:val="26"/>
        </w:rPr>
        <w:t xml:space="preserve"> (holding that the definition of “public utility” at 66 Pa. </w:t>
      </w:r>
      <w:r w:rsidR="004E4BCE">
        <w:rPr>
          <w:sz w:val="26"/>
          <w:szCs w:val="26"/>
        </w:rPr>
        <w:t>C.S.</w:t>
      </w:r>
      <w:r w:rsidRPr="00EE340E">
        <w:rPr>
          <w:sz w:val="26"/>
          <w:szCs w:val="26"/>
        </w:rPr>
        <w:t xml:space="preserve"> § 102 does not include EGSs except for the limited purposes set forth in 66 Pa. </w:t>
      </w:r>
      <w:r w:rsidR="004E4BCE">
        <w:rPr>
          <w:sz w:val="26"/>
          <w:szCs w:val="26"/>
        </w:rPr>
        <w:t>C.S.</w:t>
      </w:r>
      <w:r w:rsidRPr="00EE340E">
        <w:rPr>
          <w:sz w:val="26"/>
          <w:szCs w:val="26"/>
        </w:rPr>
        <w:t xml:space="preserve"> § 2809 regarding licensing requirements and 66 Pa. </w:t>
      </w:r>
      <w:r w:rsidR="004E4BCE">
        <w:rPr>
          <w:sz w:val="26"/>
          <w:szCs w:val="26"/>
        </w:rPr>
        <w:t>C.S.</w:t>
      </w:r>
      <w:r w:rsidRPr="00EE340E">
        <w:rPr>
          <w:sz w:val="26"/>
          <w:szCs w:val="26"/>
        </w:rPr>
        <w:t xml:space="preserve"> § 2810 regarding revenue neutral reconciliation).</w:t>
      </w:r>
    </w:p>
  </w:footnote>
  <w:footnote w:id="7">
    <w:p w:rsidR="000D2E0E" w:rsidRPr="009A071C" w:rsidRDefault="000D2E0E" w:rsidP="00EE340E">
      <w:pPr>
        <w:pStyle w:val="FootnoteText"/>
        <w:ind w:firstLine="720"/>
        <w:rPr>
          <w:i/>
        </w:rPr>
      </w:pPr>
      <w:r>
        <w:rPr>
          <w:rStyle w:val="FootnoteReference"/>
        </w:rPr>
        <w:footnoteRef/>
      </w:r>
      <w:r>
        <w:t xml:space="preserve"> </w:t>
      </w:r>
      <w:r>
        <w:tab/>
      </w:r>
      <w:proofErr w:type="gramStart"/>
      <w:r w:rsidRPr="00EE340E">
        <w:rPr>
          <w:i/>
          <w:sz w:val="26"/>
          <w:szCs w:val="26"/>
        </w:rPr>
        <w:t>See, e.g.,</w:t>
      </w:r>
      <w:r w:rsidRPr="00EE340E">
        <w:rPr>
          <w:bCs/>
          <w:i/>
          <w:sz w:val="26"/>
          <w:szCs w:val="26"/>
        </w:rPr>
        <w:t xml:space="preserve"> Pa. </w:t>
      </w:r>
      <w:r>
        <w:rPr>
          <w:bCs/>
          <w:i/>
          <w:sz w:val="26"/>
          <w:szCs w:val="26"/>
        </w:rPr>
        <w:t>PUC</w:t>
      </w:r>
      <w:r w:rsidRPr="00EE340E">
        <w:rPr>
          <w:bCs/>
          <w:i/>
          <w:sz w:val="26"/>
          <w:szCs w:val="26"/>
        </w:rPr>
        <w:t xml:space="preserve"> Bureau of Investigation and Enforc</w:t>
      </w:r>
      <w:r>
        <w:rPr>
          <w:bCs/>
          <w:i/>
          <w:sz w:val="26"/>
          <w:szCs w:val="26"/>
        </w:rPr>
        <w:t>e</w:t>
      </w:r>
      <w:r w:rsidRPr="00EE340E">
        <w:rPr>
          <w:bCs/>
          <w:i/>
          <w:sz w:val="26"/>
          <w:szCs w:val="26"/>
        </w:rPr>
        <w:t>ment v. Public Power, LLC</w:t>
      </w:r>
      <w:r w:rsidRPr="00EE340E">
        <w:rPr>
          <w:bCs/>
          <w:sz w:val="26"/>
          <w:szCs w:val="26"/>
        </w:rPr>
        <w:t>, Docket No.</w:t>
      </w:r>
      <w:proofErr w:type="gramEnd"/>
      <w:r w:rsidRPr="00EE340E">
        <w:rPr>
          <w:bCs/>
          <w:sz w:val="26"/>
          <w:szCs w:val="26"/>
        </w:rPr>
        <w:t xml:space="preserve"> C-2012-2257858 (Opinion and Order entered December 19, 2013).</w:t>
      </w:r>
    </w:p>
  </w:footnote>
  <w:footnote w:id="8">
    <w:p w:rsidR="000D2E0E" w:rsidRPr="001004BC" w:rsidRDefault="000D2E0E" w:rsidP="007176C0">
      <w:pPr>
        <w:pStyle w:val="FootnoteText"/>
        <w:ind w:firstLine="720"/>
        <w:rPr>
          <w:sz w:val="26"/>
          <w:szCs w:val="26"/>
        </w:rPr>
      </w:pPr>
      <w:r>
        <w:rPr>
          <w:rStyle w:val="FootnoteReference"/>
        </w:rPr>
        <w:footnoteRef/>
      </w:r>
      <w:r>
        <w:t xml:space="preserve"> </w:t>
      </w:r>
      <w:r>
        <w:tab/>
      </w:r>
      <w:r w:rsidRPr="001004BC">
        <w:rPr>
          <w:sz w:val="26"/>
          <w:szCs w:val="26"/>
        </w:rPr>
        <w:t>Of note</w:t>
      </w:r>
      <w:r>
        <w:rPr>
          <w:sz w:val="26"/>
          <w:szCs w:val="26"/>
        </w:rPr>
        <w:t xml:space="preserve"> is the fact that </w:t>
      </w:r>
      <w:r w:rsidRPr="001004BC">
        <w:rPr>
          <w:sz w:val="26"/>
          <w:szCs w:val="26"/>
        </w:rPr>
        <w:t>the Commission previously relied on Section 2807(d</w:t>
      </w:r>
      <w:proofErr w:type="gramStart"/>
      <w:r w:rsidRPr="001004BC">
        <w:rPr>
          <w:sz w:val="26"/>
          <w:szCs w:val="26"/>
        </w:rPr>
        <w:t>)(</w:t>
      </w:r>
      <w:proofErr w:type="gramEnd"/>
      <w:r w:rsidRPr="001004BC">
        <w:rPr>
          <w:sz w:val="26"/>
          <w:szCs w:val="26"/>
        </w:rPr>
        <w:t>1) of the Co</w:t>
      </w:r>
      <w:r w:rsidR="00E80D18">
        <w:rPr>
          <w:sz w:val="26"/>
          <w:szCs w:val="26"/>
        </w:rPr>
        <w:t>de</w:t>
      </w:r>
      <w:r>
        <w:rPr>
          <w:sz w:val="26"/>
          <w:szCs w:val="26"/>
        </w:rPr>
        <w:t xml:space="preserve">, 66 Pa. </w:t>
      </w:r>
      <w:r w:rsidR="004E4BCE">
        <w:rPr>
          <w:sz w:val="26"/>
          <w:szCs w:val="26"/>
        </w:rPr>
        <w:t>C.S.</w:t>
      </w:r>
      <w:r>
        <w:rPr>
          <w:sz w:val="26"/>
          <w:szCs w:val="26"/>
        </w:rPr>
        <w:t xml:space="preserve"> § 2807(d)(1),</w:t>
      </w:r>
      <w:r w:rsidRPr="001004BC">
        <w:rPr>
          <w:sz w:val="26"/>
          <w:szCs w:val="26"/>
        </w:rPr>
        <w:t xml:space="preserve"> to promulgate its Chapter 57 </w:t>
      </w:r>
      <w:r w:rsidR="00E80D18">
        <w:rPr>
          <w:sz w:val="26"/>
          <w:szCs w:val="26"/>
        </w:rPr>
        <w:t>R</w:t>
      </w:r>
      <w:r w:rsidRPr="001004BC">
        <w:rPr>
          <w:sz w:val="26"/>
          <w:szCs w:val="26"/>
        </w:rPr>
        <w:t>egulations addressing slamming.</w:t>
      </w:r>
    </w:p>
  </w:footnote>
  <w:footnote w:id="9">
    <w:p w:rsidR="000D2E0E" w:rsidRPr="00A96278" w:rsidRDefault="000D2E0E" w:rsidP="00A96278">
      <w:pPr>
        <w:pStyle w:val="FootnoteText"/>
        <w:ind w:firstLine="720"/>
        <w:rPr>
          <w:sz w:val="26"/>
          <w:szCs w:val="26"/>
        </w:rPr>
      </w:pPr>
      <w:r w:rsidRPr="00D028EB">
        <w:rPr>
          <w:rStyle w:val="FootnoteReference"/>
        </w:rPr>
        <w:footnoteRef/>
      </w:r>
      <w:r w:rsidRPr="00D028EB">
        <w:t xml:space="preserve"> </w:t>
      </w:r>
      <w:r>
        <w:tab/>
      </w:r>
      <w:proofErr w:type="gramStart"/>
      <w:r w:rsidRPr="00A96278">
        <w:rPr>
          <w:i/>
          <w:sz w:val="26"/>
          <w:szCs w:val="26"/>
        </w:rPr>
        <w:t>See</w:t>
      </w:r>
      <w:r w:rsidRPr="00A96278">
        <w:rPr>
          <w:sz w:val="26"/>
          <w:szCs w:val="26"/>
        </w:rPr>
        <w:t xml:space="preserve"> </w:t>
      </w:r>
      <w:r w:rsidRPr="00A96278">
        <w:rPr>
          <w:i/>
          <w:sz w:val="26"/>
          <w:szCs w:val="26"/>
        </w:rPr>
        <w:t>Erie Light Co. v. Pa. PUC</w:t>
      </w:r>
      <w:r w:rsidRPr="00A96278">
        <w:rPr>
          <w:sz w:val="26"/>
          <w:szCs w:val="26"/>
        </w:rPr>
        <w:t xml:space="preserve">, 198 A. 901 (Pa. Super. 1938); </w:t>
      </w:r>
      <w:r w:rsidRPr="00A96278">
        <w:rPr>
          <w:i/>
          <w:sz w:val="26"/>
          <w:szCs w:val="26"/>
        </w:rPr>
        <w:t xml:space="preserve">also </w:t>
      </w:r>
      <w:r w:rsidRPr="00A96278">
        <w:rPr>
          <w:sz w:val="26"/>
          <w:szCs w:val="26"/>
        </w:rPr>
        <w:t>66 Pa. C.S. § 501.</w:t>
      </w:r>
      <w:proofErr w:type="gramEnd"/>
      <w:r>
        <w:rPr>
          <w:sz w:val="26"/>
          <w:szCs w:val="26"/>
        </w:rPr>
        <w:t xml:space="preserve">  While Section 501(b) references “public utilities,” Section 3309(a) does not, and pertains to “. . . any person or corporation . . </w:t>
      </w:r>
      <w:r w:rsidR="00E80D18">
        <w:rPr>
          <w:sz w:val="26"/>
          <w:szCs w:val="26"/>
        </w:rPr>
        <w:t xml:space="preserve">. </w:t>
      </w:r>
      <w:r>
        <w:rPr>
          <w:sz w:val="26"/>
          <w:szCs w:val="26"/>
        </w:rPr>
        <w:t xml:space="preserve">.”  </w:t>
      </w:r>
      <w:r w:rsidRPr="00A96278">
        <w:rPr>
          <w:sz w:val="26"/>
          <w:szCs w:val="26"/>
        </w:rPr>
        <w:t xml:space="preserve">  </w:t>
      </w:r>
    </w:p>
  </w:footnote>
  <w:footnote w:id="10">
    <w:p w:rsidR="000D2E0E" w:rsidRPr="00A96278" w:rsidRDefault="000D2E0E" w:rsidP="00A96278">
      <w:pPr>
        <w:pStyle w:val="FootnoteText"/>
        <w:ind w:firstLine="720"/>
        <w:rPr>
          <w:sz w:val="26"/>
          <w:szCs w:val="26"/>
        </w:rPr>
      </w:pPr>
      <w:r w:rsidRPr="00606F47">
        <w:rPr>
          <w:rStyle w:val="FootnoteReference"/>
        </w:rPr>
        <w:footnoteRef/>
      </w:r>
      <w:r w:rsidRPr="00606F47">
        <w:t xml:space="preserve"> </w:t>
      </w:r>
      <w:r>
        <w:tab/>
      </w:r>
      <w:r w:rsidRPr="00A96278">
        <w:rPr>
          <w:sz w:val="26"/>
          <w:szCs w:val="26"/>
        </w:rPr>
        <w:t>The relevant regulations are found at 52 Pa. Code §§ 54.4 and 54.5</w:t>
      </w:r>
      <w:r w:rsidR="00D0448F">
        <w:rPr>
          <w:sz w:val="26"/>
          <w:szCs w:val="26"/>
        </w:rPr>
        <w:t>, wherein both provisions are applicable to “. . . residential and small business customers</w:t>
      </w:r>
      <w:r w:rsidRPr="00A96278">
        <w:rPr>
          <w:sz w:val="26"/>
          <w:szCs w:val="26"/>
        </w:rPr>
        <w:t>.</w:t>
      </w:r>
      <w:r w:rsidR="00D0448F">
        <w:rPr>
          <w:sz w:val="26"/>
          <w:szCs w:val="26"/>
        </w:rPr>
        <w:t>”</w:t>
      </w:r>
    </w:p>
  </w:footnote>
  <w:footnote w:id="11">
    <w:p w:rsidR="000D2E0E" w:rsidRPr="00FA57F7" w:rsidRDefault="000D2E0E" w:rsidP="00FA57F7">
      <w:pPr>
        <w:pStyle w:val="FootnoteText"/>
        <w:ind w:firstLine="720"/>
        <w:rPr>
          <w:sz w:val="26"/>
          <w:szCs w:val="26"/>
        </w:rPr>
      </w:pPr>
      <w:r w:rsidRPr="00C45AB1">
        <w:rPr>
          <w:rStyle w:val="FootnoteReference"/>
        </w:rPr>
        <w:footnoteRef/>
      </w:r>
      <w:r w:rsidRPr="00C45AB1">
        <w:t xml:space="preserve"> </w:t>
      </w:r>
      <w:r>
        <w:tab/>
      </w:r>
      <w:r w:rsidRPr="00FA57F7">
        <w:rPr>
          <w:i/>
          <w:sz w:val="26"/>
          <w:szCs w:val="26"/>
        </w:rPr>
        <w:t xml:space="preserve">See </w:t>
      </w:r>
      <w:r w:rsidRPr="00FA57F7">
        <w:rPr>
          <w:sz w:val="26"/>
          <w:szCs w:val="26"/>
        </w:rPr>
        <w:t xml:space="preserve">52 Pa. Code §§ 54.4(a) and 54.5(a).  </w:t>
      </w:r>
    </w:p>
  </w:footnote>
  <w:footnote w:id="12">
    <w:p w:rsidR="000D2E0E" w:rsidRPr="00F20151" w:rsidRDefault="000D2E0E" w:rsidP="00F20151">
      <w:pPr>
        <w:pStyle w:val="FootnoteText"/>
        <w:ind w:firstLine="720"/>
        <w:rPr>
          <w:sz w:val="26"/>
          <w:szCs w:val="26"/>
        </w:rPr>
      </w:pPr>
      <w:r w:rsidRPr="006C5561">
        <w:rPr>
          <w:rStyle w:val="FootnoteReference"/>
        </w:rPr>
        <w:footnoteRef/>
      </w:r>
      <w:r w:rsidRPr="006C5561">
        <w:t xml:space="preserve"> </w:t>
      </w:r>
      <w:r>
        <w:tab/>
      </w:r>
      <w:r w:rsidRPr="00F20151">
        <w:rPr>
          <w:sz w:val="26"/>
          <w:szCs w:val="26"/>
        </w:rPr>
        <w:t>The relevant regulation is 52 Pa. Code § 111.10, which is applicable to residential customers only.  This regulation requires EGSs to comply with the TRA, except for the registration requirement.  Thus, as one example, EGSs are required under the Commission’s telemarketing regulations to comply with the TRA provisions governing state/federal “Do Not Call” lists.</w:t>
      </w:r>
    </w:p>
  </w:footnote>
  <w:footnote w:id="13">
    <w:p w:rsidR="000D2E0E" w:rsidRPr="005601A0" w:rsidRDefault="000D2E0E" w:rsidP="005601A0">
      <w:pPr>
        <w:pStyle w:val="FootnoteText"/>
        <w:ind w:firstLine="720"/>
        <w:rPr>
          <w:sz w:val="26"/>
          <w:szCs w:val="26"/>
        </w:rPr>
      </w:pPr>
      <w:r>
        <w:rPr>
          <w:rStyle w:val="FootnoteReference"/>
        </w:rPr>
        <w:footnoteRef/>
      </w:r>
      <w:r>
        <w:t xml:space="preserve"> </w:t>
      </w:r>
      <w:r>
        <w:tab/>
      </w:r>
      <w:r w:rsidRPr="005601A0">
        <w:rPr>
          <w:sz w:val="26"/>
          <w:szCs w:val="26"/>
        </w:rPr>
        <w:t>This conclusion is based upon a plain reading of Code Sections 102, 2806, 2809, and 2810 and related case law.</w:t>
      </w:r>
      <w:r>
        <w:rPr>
          <w:sz w:val="26"/>
          <w:szCs w:val="26"/>
        </w:rPr>
        <w:t xml:space="preserve">  </w:t>
      </w:r>
      <w:r>
        <w:rPr>
          <w:i/>
          <w:sz w:val="26"/>
          <w:szCs w:val="26"/>
        </w:rPr>
        <w:t>See</w:t>
      </w:r>
      <w:r>
        <w:rPr>
          <w:sz w:val="26"/>
          <w:szCs w:val="26"/>
        </w:rPr>
        <w:t xml:space="preserve"> 66 Pa. </w:t>
      </w:r>
      <w:r w:rsidR="004E4BCE">
        <w:rPr>
          <w:sz w:val="26"/>
          <w:szCs w:val="26"/>
        </w:rPr>
        <w:t>C.S.</w:t>
      </w:r>
      <w:r>
        <w:rPr>
          <w:sz w:val="26"/>
          <w:szCs w:val="26"/>
        </w:rPr>
        <w:t xml:space="preserve"> §§ 102; 2806; 2809; 2810.</w:t>
      </w:r>
    </w:p>
  </w:footnote>
  <w:footnote w:id="14">
    <w:p w:rsidR="000D2E0E" w:rsidRPr="001852F8" w:rsidRDefault="000D2E0E" w:rsidP="001852F8">
      <w:pPr>
        <w:pStyle w:val="FootnoteText"/>
        <w:ind w:firstLine="720"/>
        <w:rPr>
          <w:sz w:val="26"/>
          <w:szCs w:val="26"/>
        </w:rPr>
      </w:pPr>
      <w:r>
        <w:rPr>
          <w:rStyle w:val="FootnoteReference"/>
        </w:rPr>
        <w:footnoteRef/>
      </w:r>
      <w:r>
        <w:t xml:space="preserve"> </w:t>
      </w:r>
      <w:r>
        <w:tab/>
      </w:r>
      <w:r w:rsidRPr="001852F8">
        <w:rPr>
          <w:sz w:val="26"/>
          <w:szCs w:val="26"/>
        </w:rPr>
        <w:t>52 Pa. Code § 54.4</w:t>
      </w:r>
      <w:r w:rsidR="00941915">
        <w:rPr>
          <w:sz w:val="26"/>
          <w:szCs w:val="26"/>
        </w:rPr>
        <w:t xml:space="preserve"> – “</w:t>
      </w:r>
      <w:r w:rsidR="00941915" w:rsidRPr="00941915">
        <w:rPr>
          <w:sz w:val="26"/>
          <w:szCs w:val="26"/>
        </w:rPr>
        <w:t>Bill format for residential and small business customers</w:t>
      </w:r>
      <w:r w:rsidRPr="001852F8">
        <w:rPr>
          <w:sz w:val="26"/>
          <w:szCs w:val="26"/>
        </w:rPr>
        <w:t>.</w:t>
      </w:r>
      <w:r w:rsidR="00941915">
        <w:rPr>
          <w:sz w:val="26"/>
          <w:szCs w:val="26"/>
        </w:rPr>
        <w:t>”</w:t>
      </w:r>
    </w:p>
  </w:footnote>
  <w:footnote w:id="15">
    <w:p w:rsidR="000D2E0E" w:rsidRPr="001852F8" w:rsidRDefault="000D2E0E" w:rsidP="001852F8">
      <w:pPr>
        <w:pStyle w:val="FootnoteText"/>
        <w:ind w:firstLine="720"/>
        <w:rPr>
          <w:sz w:val="26"/>
          <w:szCs w:val="26"/>
        </w:rPr>
      </w:pPr>
      <w:r w:rsidRPr="00B34D93">
        <w:rPr>
          <w:rStyle w:val="FootnoteReference"/>
        </w:rPr>
        <w:footnoteRef/>
      </w:r>
      <w:r w:rsidRPr="00B34D93">
        <w:t xml:space="preserve"> </w:t>
      </w:r>
      <w:r>
        <w:tab/>
      </w:r>
      <w:proofErr w:type="gramStart"/>
      <w:r w:rsidRPr="001852F8">
        <w:rPr>
          <w:sz w:val="26"/>
          <w:szCs w:val="26"/>
        </w:rPr>
        <w:t>52 Pa. Code § 54.5</w:t>
      </w:r>
      <w:r w:rsidR="00053842">
        <w:rPr>
          <w:sz w:val="26"/>
          <w:szCs w:val="26"/>
        </w:rPr>
        <w:t xml:space="preserve"> (applicable to residential and small business customers only)</w:t>
      </w:r>
      <w:r w:rsidRPr="001852F8">
        <w:rPr>
          <w:sz w:val="26"/>
          <w:szCs w:val="26"/>
        </w:rPr>
        <w:t>.</w:t>
      </w:r>
      <w:proofErr w:type="gramEnd"/>
    </w:p>
  </w:footnote>
  <w:footnote w:id="16">
    <w:p w:rsidR="000D2E0E" w:rsidRPr="001852F8" w:rsidRDefault="000D2E0E" w:rsidP="001852F8">
      <w:pPr>
        <w:pStyle w:val="FootnoteText"/>
        <w:ind w:firstLine="720"/>
        <w:rPr>
          <w:sz w:val="26"/>
          <w:szCs w:val="26"/>
        </w:rPr>
      </w:pPr>
      <w:r w:rsidRPr="00B34D93">
        <w:rPr>
          <w:rStyle w:val="FootnoteReference"/>
        </w:rPr>
        <w:footnoteRef/>
      </w:r>
      <w:r w:rsidRPr="00B34D93">
        <w:t xml:space="preserve"> </w:t>
      </w:r>
      <w:r>
        <w:tab/>
      </w:r>
      <w:proofErr w:type="gramStart"/>
      <w:r w:rsidRPr="001852F8">
        <w:rPr>
          <w:sz w:val="26"/>
          <w:szCs w:val="26"/>
        </w:rPr>
        <w:t>52 Pa. Code §§ 54.3, 54.6, and 54.7</w:t>
      </w:r>
      <w:r w:rsidR="00053842">
        <w:rPr>
          <w:sz w:val="26"/>
          <w:szCs w:val="26"/>
        </w:rPr>
        <w:t xml:space="preserve"> (Sections 54.6 and 54.7 are applicable to residential and small business customers only)</w:t>
      </w:r>
      <w:r w:rsidRPr="001852F8">
        <w:rPr>
          <w:sz w:val="26"/>
          <w:szCs w:val="26"/>
        </w:rPr>
        <w:t>; 52 Pa. Code §§ 54.43(1) and 54.43(f); 52 Pa. Code §§ 54.122(3).</w:t>
      </w:r>
      <w:proofErr w:type="gramEnd"/>
      <w:r w:rsidRPr="001852F8">
        <w:rPr>
          <w:sz w:val="26"/>
          <w:szCs w:val="26"/>
        </w:rPr>
        <w:t xml:space="preserve">  The Commission also has marketing and sales rules at 52 Pa. Code §§ 111.1-111.14</w:t>
      </w:r>
      <w:r>
        <w:rPr>
          <w:sz w:val="26"/>
          <w:szCs w:val="26"/>
        </w:rPr>
        <w:t>,</w:t>
      </w:r>
      <w:r w:rsidRPr="001852F8">
        <w:rPr>
          <w:sz w:val="26"/>
          <w:szCs w:val="26"/>
        </w:rPr>
        <w:t xml:space="preserve"> applicable to residential customers only.</w:t>
      </w:r>
    </w:p>
  </w:footnote>
  <w:footnote w:id="17">
    <w:p w:rsidR="000D2E0E" w:rsidRPr="001852F8" w:rsidRDefault="000D2E0E" w:rsidP="001852F8">
      <w:pPr>
        <w:pStyle w:val="FootnoteText"/>
        <w:ind w:firstLine="720"/>
        <w:rPr>
          <w:sz w:val="26"/>
          <w:szCs w:val="26"/>
        </w:rPr>
      </w:pPr>
      <w:r>
        <w:rPr>
          <w:rStyle w:val="FootnoteReference"/>
        </w:rPr>
        <w:footnoteRef/>
      </w:r>
      <w:r>
        <w:t xml:space="preserve"> </w:t>
      </w:r>
      <w:r>
        <w:tab/>
      </w:r>
      <w:proofErr w:type="gramStart"/>
      <w:r w:rsidRPr="001852F8">
        <w:rPr>
          <w:sz w:val="26"/>
          <w:szCs w:val="26"/>
        </w:rPr>
        <w:t>52 Pa. Code § 54.10 (effective June 2014)</w:t>
      </w:r>
      <w:r w:rsidR="00053842">
        <w:rPr>
          <w:sz w:val="26"/>
          <w:szCs w:val="26"/>
        </w:rPr>
        <w:t xml:space="preserve"> (applicable to residential and small business customers only)</w:t>
      </w:r>
      <w:r w:rsidRPr="001852F8">
        <w:rPr>
          <w:sz w:val="26"/>
          <w:szCs w:val="26"/>
        </w:rPr>
        <w:t>.</w:t>
      </w:r>
      <w:proofErr w:type="gramEnd"/>
    </w:p>
  </w:footnote>
  <w:footnote w:id="18">
    <w:p w:rsidR="000D2E0E" w:rsidRPr="001852F8" w:rsidRDefault="000D2E0E" w:rsidP="001852F8">
      <w:pPr>
        <w:pStyle w:val="FootnoteText"/>
        <w:ind w:firstLine="720"/>
        <w:rPr>
          <w:sz w:val="26"/>
          <w:szCs w:val="26"/>
        </w:rPr>
      </w:pPr>
      <w:r w:rsidRPr="00FF7ED9">
        <w:rPr>
          <w:rStyle w:val="FootnoteReference"/>
        </w:rPr>
        <w:footnoteRef/>
      </w:r>
      <w:r w:rsidRPr="00FF7ED9">
        <w:t xml:space="preserve"> </w:t>
      </w:r>
      <w:r>
        <w:tab/>
      </w:r>
      <w:r w:rsidRPr="001852F8">
        <w:rPr>
          <w:sz w:val="26"/>
          <w:szCs w:val="26"/>
        </w:rPr>
        <w:t xml:space="preserve">As a condition of receiving its EGS license, IDT is required to comply with the Commission’s Chapter 56 billing regulations.  </w:t>
      </w:r>
      <w:r w:rsidRPr="001852F8">
        <w:rPr>
          <w:i/>
          <w:sz w:val="26"/>
          <w:szCs w:val="26"/>
        </w:rPr>
        <w:t>License Application of IDT Energy, Inc. for Approval to Offer, Render, Furnish or Supply Electricity or Electric Generation Services as a Supplier of Retail Electric Power</w:t>
      </w:r>
      <w:r w:rsidRPr="001852F8">
        <w:rPr>
          <w:sz w:val="26"/>
          <w:szCs w:val="26"/>
        </w:rPr>
        <w:t>, Docket No. A-2009-2134623 (Order entered January 15, 2010)</w:t>
      </w:r>
      <w:r>
        <w:rPr>
          <w:sz w:val="26"/>
          <w:szCs w:val="26"/>
        </w:rPr>
        <w:t xml:space="preserve"> at</w:t>
      </w:r>
      <w:r w:rsidRPr="001852F8">
        <w:rPr>
          <w:sz w:val="26"/>
          <w:szCs w:val="26"/>
        </w:rPr>
        <w:t xml:space="preserve"> 2-3.  </w:t>
      </w:r>
    </w:p>
  </w:footnote>
  <w:footnote w:id="19">
    <w:p w:rsidR="000D2E0E" w:rsidRPr="00B34D93" w:rsidRDefault="000D2E0E" w:rsidP="000D2E0E">
      <w:pPr>
        <w:pStyle w:val="FootnoteText"/>
        <w:ind w:firstLine="720"/>
      </w:pPr>
      <w:r w:rsidRPr="00B34D93">
        <w:rPr>
          <w:rStyle w:val="FootnoteReference"/>
        </w:rPr>
        <w:footnoteRef/>
      </w:r>
      <w:r w:rsidRPr="00B34D93">
        <w:t xml:space="preserve"> </w:t>
      </w:r>
      <w:r>
        <w:tab/>
      </w:r>
      <w:r w:rsidRPr="000D2E0E">
        <w:rPr>
          <w:i/>
          <w:sz w:val="26"/>
          <w:szCs w:val="26"/>
        </w:rPr>
        <w:t>Roger McCall v. Pennsylvania Electric Co.</w:t>
      </w:r>
      <w:r w:rsidRPr="000D2E0E">
        <w:rPr>
          <w:sz w:val="26"/>
          <w:szCs w:val="26"/>
        </w:rPr>
        <w:t>, Docket No. C-2009-2105240 (Opinion and Order entered June 7,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F50"/>
    <w:multiLevelType w:val="hybridMultilevel"/>
    <w:tmpl w:val="BBF8CCE0"/>
    <w:lvl w:ilvl="0" w:tplc="C5F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41308"/>
    <w:multiLevelType w:val="hybridMultilevel"/>
    <w:tmpl w:val="1A3CEE8A"/>
    <w:lvl w:ilvl="0" w:tplc="51B29156">
      <w:start w:val="1"/>
      <w:numFmt w:val="decimal"/>
      <w:lvlText w:val="(%1)"/>
      <w:lvlJc w:val="left"/>
      <w:pPr>
        <w:ind w:left="3312" w:hanging="18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71134D9"/>
    <w:multiLevelType w:val="hybridMultilevel"/>
    <w:tmpl w:val="CA90AD48"/>
    <w:lvl w:ilvl="0" w:tplc="8DFC6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552837"/>
    <w:multiLevelType w:val="hybridMultilevel"/>
    <w:tmpl w:val="F3F6E65E"/>
    <w:lvl w:ilvl="0" w:tplc="45A8B6F8">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C54445D"/>
    <w:multiLevelType w:val="hybridMultilevel"/>
    <w:tmpl w:val="AC30221E"/>
    <w:lvl w:ilvl="0" w:tplc="E2C647C0">
      <w:start w:val="1"/>
      <w:numFmt w:val="decimal"/>
      <w:lvlText w:val="%1."/>
      <w:lvlJc w:val="left"/>
      <w:pPr>
        <w:ind w:left="27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3066B8D"/>
    <w:multiLevelType w:val="hybridMultilevel"/>
    <w:tmpl w:val="D9BCA8C0"/>
    <w:lvl w:ilvl="0" w:tplc="78829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B1239B2"/>
    <w:multiLevelType w:val="hybridMultilevel"/>
    <w:tmpl w:val="01FC5B6E"/>
    <w:lvl w:ilvl="0" w:tplc="46D03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7"/>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3B2D"/>
    <w:rsid w:val="00006685"/>
    <w:rsid w:val="00006F35"/>
    <w:rsid w:val="00013BDD"/>
    <w:rsid w:val="00014C0A"/>
    <w:rsid w:val="00016D57"/>
    <w:rsid w:val="00017852"/>
    <w:rsid w:val="00021E46"/>
    <w:rsid w:val="00022B74"/>
    <w:rsid w:val="00024A98"/>
    <w:rsid w:val="0002524C"/>
    <w:rsid w:val="00025F3F"/>
    <w:rsid w:val="00026774"/>
    <w:rsid w:val="00026CD2"/>
    <w:rsid w:val="00030145"/>
    <w:rsid w:val="00031B94"/>
    <w:rsid w:val="00033B52"/>
    <w:rsid w:val="00034904"/>
    <w:rsid w:val="00034F74"/>
    <w:rsid w:val="000354BD"/>
    <w:rsid w:val="00040A8E"/>
    <w:rsid w:val="00040AEA"/>
    <w:rsid w:val="00044A74"/>
    <w:rsid w:val="00047874"/>
    <w:rsid w:val="00047F4A"/>
    <w:rsid w:val="000523D1"/>
    <w:rsid w:val="00052760"/>
    <w:rsid w:val="00052B8F"/>
    <w:rsid w:val="00053842"/>
    <w:rsid w:val="00053E6E"/>
    <w:rsid w:val="00054612"/>
    <w:rsid w:val="000547FA"/>
    <w:rsid w:val="0005572E"/>
    <w:rsid w:val="0005618F"/>
    <w:rsid w:val="00056286"/>
    <w:rsid w:val="00056B30"/>
    <w:rsid w:val="00056E1D"/>
    <w:rsid w:val="000612FD"/>
    <w:rsid w:val="00061CDB"/>
    <w:rsid w:val="00063EFD"/>
    <w:rsid w:val="000642AA"/>
    <w:rsid w:val="000649EC"/>
    <w:rsid w:val="00066EE5"/>
    <w:rsid w:val="00067260"/>
    <w:rsid w:val="00072808"/>
    <w:rsid w:val="00072E0D"/>
    <w:rsid w:val="00075007"/>
    <w:rsid w:val="00076F35"/>
    <w:rsid w:val="00084573"/>
    <w:rsid w:val="00084AF9"/>
    <w:rsid w:val="000852FA"/>
    <w:rsid w:val="000918D4"/>
    <w:rsid w:val="00093164"/>
    <w:rsid w:val="00094D20"/>
    <w:rsid w:val="00095221"/>
    <w:rsid w:val="00095AFC"/>
    <w:rsid w:val="0009612D"/>
    <w:rsid w:val="00097504"/>
    <w:rsid w:val="000A1D94"/>
    <w:rsid w:val="000A365D"/>
    <w:rsid w:val="000A6366"/>
    <w:rsid w:val="000B1148"/>
    <w:rsid w:val="000B216D"/>
    <w:rsid w:val="000B2755"/>
    <w:rsid w:val="000B2D29"/>
    <w:rsid w:val="000B4EAE"/>
    <w:rsid w:val="000B5238"/>
    <w:rsid w:val="000B607A"/>
    <w:rsid w:val="000B67F1"/>
    <w:rsid w:val="000B6B15"/>
    <w:rsid w:val="000B7AB8"/>
    <w:rsid w:val="000C2AE3"/>
    <w:rsid w:val="000C3C90"/>
    <w:rsid w:val="000C58B5"/>
    <w:rsid w:val="000C7084"/>
    <w:rsid w:val="000C709A"/>
    <w:rsid w:val="000D0E07"/>
    <w:rsid w:val="000D19F4"/>
    <w:rsid w:val="000D2E0E"/>
    <w:rsid w:val="000D5842"/>
    <w:rsid w:val="000D5967"/>
    <w:rsid w:val="000E14CF"/>
    <w:rsid w:val="000E3E09"/>
    <w:rsid w:val="000E6F80"/>
    <w:rsid w:val="000F179E"/>
    <w:rsid w:val="000F4251"/>
    <w:rsid w:val="000F4307"/>
    <w:rsid w:val="001004BC"/>
    <w:rsid w:val="0010158F"/>
    <w:rsid w:val="00101F51"/>
    <w:rsid w:val="001026CA"/>
    <w:rsid w:val="00104272"/>
    <w:rsid w:val="00104D9B"/>
    <w:rsid w:val="001108C1"/>
    <w:rsid w:val="00117CB2"/>
    <w:rsid w:val="00120892"/>
    <w:rsid w:val="00120B39"/>
    <w:rsid w:val="001238E5"/>
    <w:rsid w:val="00123A2E"/>
    <w:rsid w:val="00124071"/>
    <w:rsid w:val="001267D4"/>
    <w:rsid w:val="00130E65"/>
    <w:rsid w:val="001333D7"/>
    <w:rsid w:val="00135429"/>
    <w:rsid w:val="00135972"/>
    <w:rsid w:val="001360FC"/>
    <w:rsid w:val="00142C14"/>
    <w:rsid w:val="001431AC"/>
    <w:rsid w:val="001447A0"/>
    <w:rsid w:val="0014497F"/>
    <w:rsid w:val="00144AAC"/>
    <w:rsid w:val="00146DDD"/>
    <w:rsid w:val="00146E58"/>
    <w:rsid w:val="00147145"/>
    <w:rsid w:val="00150096"/>
    <w:rsid w:val="001508E4"/>
    <w:rsid w:val="00152B0D"/>
    <w:rsid w:val="0015380A"/>
    <w:rsid w:val="00154CB6"/>
    <w:rsid w:val="00156C14"/>
    <w:rsid w:val="00162C1C"/>
    <w:rsid w:val="00164DA4"/>
    <w:rsid w:val="00166298"/>
    <w:rsid w:val="001663C8"/>
    <w:rsid w:val="0017140C"/>
    <w:rsid w:val="001717B8"/>
    <w:rsid w:val="00174BD1"/>
    <w:rsid w:val="00174D3D"/>
    <w:rsid w:val="0018023B"/>
    <w:rsid w:val="00180E31"/>
    <w:rsid w:val="00180E5D"/>
    <w:rsid w:val="00182478"/>
    <w:rsid w:val="00182A12"/>
    <w:rsid w:val="00184CDF"/>
    <w:rsid w:val="001852F8"/>
    <w:rsid w:val="00186A97"/>
    <w:rsid w:val="0019126C"/>
    <w:rsid w:val="0019530E"/>
    <w:rsid w:val="00195F2E"/>
    <w:rsid w:val="001A56F8"/>
    <w:rsid w:val="001A7D31"/>
    <w:rsid w:val="001A7DC7"/>
    <w:rsid w:val="001B1DB4"/>
    <w:rsid w:val="001B5BAC"/>
    <w:rsid w:val="001B7714"/>
    <w:rsid w:val="001C027C"/>
    <w:rsid w:val="001C3449"/>
    <w:rsid w:val="001C4978"/>
    <w:rsid w:val="001D0ED2"/>
    <w:rsid w:val="001D5AF4"/>
    <w:rsid w:val="001E0B61"/>
    <w:rsid w:val="001E1272"/>
    <w:rsid w:val="001E1276"/>
    <w:rsid w:val="001E19F1"/>
    <w:rsid w:val="001E6A71"/>
    <w:rsid w:val="001F285E"/>
    <w:rsid w:val="001F475A"/>
    <w:rsid w:val="001F50F9"/>
    <w:rsid w:val="0020003B"/>
    <w:rsid w:val="00202524"/>
    <w:rsid w:val="00205134"/>
    <w:rsid w:val="0020573D"/>
    <w:rsid w:val="00210736"/>
    <w:rsid w:val="00210F81"/>
    <w:rsid w:val="00211622"/>
    <w:rsid w:val="002118EB"/>
    <w:rsid w:val="00211B2E"/>
    <w:rsid w:val="00213F46"/>
    <w:rsid w:val="00214B3E"/>
    <w:rsid w:val="00223F24"/>
    <w:rsid w:val="00224DEA"/>
    <w:rsid w:val="00225070"/>
    <w:rsid w:val="0022698E"/>
    <w:rsid w:val="002274D5"/>
    <w:rsid w:val="00227912"/>
    <w:rsid w:val="002311EE"/>
    <w:rsid w:val="002318DE"/>
    <w:rsid w:val="00232B57"/>
    <w:rsid w:val="00233BDD"/>
    <w:rsid w:val="0023542F"/>
    <w:rsid w:val="002370F5"/>
    <w:rsid w:val="00240ACA"/>
    <w:rsid w:val="00240D7B"/>
    <w:rsid w:val="00241299"/>
    <w:rsid w:val="00252CE4"/>
    <w:rsid w:val="0025430F"/>
    <w:rsid w:val="00255462"/>
    <w:rsid w:val="00260957"/>
    <w:rsid w:val="00263CCD"/>
    <w:rsid w:val="00264646"/>
    <w:rsid w:val="00267A91"/>
    <w:rsid w:val="00270BC0"/>
    <w:rsid w:val="0027232D"/>
    <w:rsid w:val="00273782"/>
    <w:rsid w:val="00274A77"/>
    <w:rsid w:val="00274D0F"/>
    <w:rsid w:val="002763CC"/>
    <w:rsid w:val="00277500"/>
    <w:rsid w:val="002811EA"/>
    <w:rsid w:val="00281A5F"/>
    <w:rsid w:val="00282E4A"/>
    <w:rsid w:val="00283C10"/>
    <w:rsid w:val="00283C96"/>
    <w:rsid w:val="00285918"/>
    <w:rsid w:val="002861FA"/>
    <w:rsid w:val="00291F68"/>
    <w:rsid w:val="00294284"/>
    <w:rsid w:val="002A060A"/>
    <w:rsid w:val="002A4450"/>
    <w:rsid w:val="002A6750"/>
    <w:rsid w:val="002B2296"/>
    <w:rsid w:val="002B4407"/>
    <w:rsid w:val="002B67B7"/>
    <w:rsid w:val="002B7B6E"/>
    <w:rsid w:val="002C0429"/>
    <w:rsid w:val="002C0F76"/>
    <w:rsid w:val="002C19E4"/>
    <w:rsid w:val="002C2364"/>
    <w:rsid w:val="002C27BB"/>
    <w:rsid w:val="002C5D9E"/>
    <w:rsid w:val="002C6BBC"/>
    <w:rsid w:val="002C6CC4"/>
    <w:rsid w:val="002C78EF"/>
    <w:rsid w:val="002D13C4"/>
    <w:rsid w:val="002D275E"/>
    <w:rsid w:val="002D5EB4"/>
    <w:rsid w:val="002D6357"/>
    <w:rsid w:val="002D6BF1"/>
    <w:rsid w:val="002D7584"/>
    <w:rsid w:val="002E1203"/>
    <w:rsid w:val="002E2855"/>
    <w:rsid w:val="002E3026"/>
    <w:rsid w:val="002E3F06"/>
    <w:rsid w:val="002E6FFA"/>
    <w:rsid w:val="002E7F8F"/>
    <w:rsid w:val="002F1C37"/>
    <w:rsid w:val="002F3F04"/>
    <w:rsid w:val="002F41BA"/>
    <w:rsid w:val="002F636B"/>
    <w:rsid w:val="002F6FB4"/>
    <w:rsid w:val="003018AA"/>
    <w:rsid w:val="003031B5"/>
    <w:rsid w:val="00303B99"/>
    <w:rsid w:val="0030714F"/>
    <w:rsid w:val="003073E2"/>
    <w:rsid w:val="00307DDF"/>
    <w:rsid w:val="00311A19"/>
    <w:rsid w:val="0031204C"/>
    <w:rsid w:val="00314A43"/>
    <w:rsid w:val="00321D6B"/>
    <w:rsid w:val="00322040"/>
    <w:rsid w:val="00322087"/>
    <w:rsid w:val="003240B8"/>
    <w:rsid w:val="00325422"/>
    <w:rsid w:val="00326BE5"/>
    <w:rsid w:val="00331450"/>
    <w:rsid w:val="00333FDA"/>
    <w:rsid w:val="003340DE"/>
    <w:rsid w:val="003366C8"/>
    <w:rsid w:val="00340D19"/>
    <w:rsid w:val="0034265C"/>
    <w:rsid w:val="00344804"/>
    <w:rsid w:val="00347808"/>
    <w:rsid w:val="00347B93"/>
    <w:rsid w:val="00350772"/>
    <w:rsid w:val="003518C8"/>
    <w:rsid w:val="003533B5"/>
    <w:rsid w:val="003549AD"/>
    <w:rsid w:val="00354E1F"/>
    <w:rsid w:val="0036143E"/>
    <w:rsid w:val="003622CA"/>
    <w:rsid w:val="00363030"/>
    <w:rsid w:val="00363640"/>
    <w:rsid w:val="0036462C"/>
    <w:rsid w:val="00364A42"/>
    <w:rsid w:val="00364CA7"/>
    <w:rsid w:val="00370B54"/>
    <w:rsid w:val="003716A9"/>
    <w:rsid w:val="003755FB"/>
    <w:rsid w:val="0037577C"/>
    <w:rsid w:val="0037638E"/>
    <w:rsid w:val="00380275"/>
    <w:rsid w:val="00382CC5"/>
    <w:rsid w:val="00385502"/>
    <w:rsid w:val="00391A43"/>
    <w:rsid w:val="00392A0A"/>
    <w:rsid w:val="0039310C"/>
    <w:rsid w:val="00397D4C"/>
    <w:rsid w:val="003A10C8"/>
    <w:rsid w:val="003A4072"/>
    <w:rsid w:val="003A6214"/>
    <w:rsid w:val="003B00E1"/>
    <w:rsid w:val="003B0611"/>
    <w:rsid w:val="003B397A"/>
    <w:rsid w:val="003B3E70"/>
    <w:rsid w:val="003B42D9"/>
    <w:rsid w:val="003C1ADC"/>
    <w:rsid w:val="003C3140"/>
    <w:rsid w:val="003C3599"/>
    <w:rsid w:val="003C3E02"/>
    <w:rsid w:val="003C3FE8"/>
    <w:rsid w:val="003C4D05"/>
    <w:rsid w:val="003C73F9"/>
    <w:rsid w:val="003D37C8"/>
    <w:rsid w:val="003D5F07"/>
    <w:rsid w:val="003D6AB5"/>
    <w:rsid w:val="003E3B89"/>
    <w:rsid w:val="003E3FF5"/>
    <w:rsid w:val="003E5354"/>
    <w:rsid w:val="003E62C2"/>
    <w:rsid w:val="003E7709"/>
    <w:rsid w:val="003E7F85"/>
    <w:rsid w:val="003F2E25"/>
    <w:rsid w:val="003F4138"/>
    <w:rsid w:val="003F41B0"/>
    <w:rsid w:val="003F51F4"/>
    <w:rsid w:val="003F52C6"/>
    <w:rsid w:val="003F558E"/>
    <w:rsid w:val="00400485"/>
    <w:rsid w:val="00403D6E"/>
    <w:rsid w:val="00404E93"/>
    <w:rsid w:val="00407AC0"/>
    <w:rsid w:val="00412E30"/>
    <w:rsid w:val="004170AF"/>
    <w:rsid w:val="00430EE8"/>
    <w:rsid w:val="00432BB7"/>
    <w:rsid w:val="00432D60"/>
    <w:rsid w:val="00433057"/>
    <w:rsid w:val="004331E9"/>
    <w:rsid w:val="00433E8D"/>
    <w:rsid w:val="0043592C"/>
    <w:rsid w:val="004411B9"/>
    <w:rsid w:val="00441207"/>
    <w:rsid w:val="004422CA"/>
    <w:rsid w:val="00443807"/>
    <w:rsid w:val="00443E78"/>
    <w:rsid w:val="00443EC1"/>
    <w:rsid w:val="004462F7"/>
    <w:rsid w:val="00453D57"/>
    <w:rsid w:val="00457EE0"/>
    <w:rsid w:val="0046019C"/>
    <w:rsid w:val="0046019D"/>
    <w:rsid w:val="004604C7"/>
    <w:rsid w:val="00464536"/>
    <w:rsid w:val="0046514E"/>
    <w:rsid w:val="0046517C"/>
    <w:rsid w:val="00465373"/>
    <w:rsid w:val="00465FA4"/>
    <w:rsid w:val="0046623C"/>
    <w:rsid w:val="00466603"/>
    <w:rsid w:val="00466AE8"/>
    <w:rsid w:val="00467739"/>
    <w:rsid w:val="0047061D"/>
    <w:rsid w:val="00470D0C"/>
    <w:rsid w:val="00474E22"/>
    <w:rsid w:val="004758FF"/>
    <w:rsid w:val="0047608F"/>
    <w:rsid w:val="00476554"/>
    <w:rsid w:val="004813D4"/>
    <w:rsid w:val="00491D91"/>
    <w:rsid w:val="0049348A"/>
    <w:rsid w:val="00493FF5"/>
    <w:rsid w:val="0049446F"/>
    <w:rsid w:val="0049580C"/>
    <w:rsid w:val="00496391"/>
    <w:rsid w:val="0049768F"/>
    <w:rsid w:val="004A04E5"/>
    <w:rsid w:val="004A1495"/>
    <w:rsid w:val="004A2165"/>
    <w:rsid w:val="004A5F74"/>
    <w:rsid w:val="004B0AD1"/>
    <w:rsid w:val="004B1052"/>
    <w:rsid w:val="004B1D0E"/>
    <w:rsid w:val="004B6B14"/>
    <w:rsid w:val="004B7B3A"/>
    <w:rsid w:val="004B7ECB"/>
    <w:rsid w:val="004C29F8"/>
    <w:rsid w:val="004C75D3"/>
    <w:rsid w:val="004D0317"/>
    <w:rsid w:val="004D159A"/>
    <w:rsid w:val="004E47EC"/>
    <w:rsid w:val="004E4BCE"/>
    <w:rsid w:val="004E514F"/>
    <w:rsid w:val="004E737F"/>
    <w:rsid w:val="004E7C8C"/>
    <w:rsid w:val="004F03DE"/>
    <w:rsid w:val="004F06B3"/>
    <w:rsid w:val="004F0ABA"/>
    <w:rsid w:val="004F18EA"/>
    <w:rsid w:val="004F22DA"/>
    <w:rsid w:val="004F4709"/>
    <w:rsid w:val="005001A4"/>
    <w:rsid w:val="0050068D"/>
    <w:rsid w:val="00502165"/>
    <w:rsid w:val="0050235D"/>
    <w:rsid w:val="00502B96"/>
    <w:rsid w:val="00504834"/>
    <w:rsid w:val="00504C7A"/>
    <w:rsid w:val="00505AEE"/>
    <w:rsid w:val="0050632E"/>
    <w:rsid w:val="0050752D"/>
    <w:rsid w:val="00511EF3"/>
    <w:rsid w:val="0051207B"/>
    <w:rsid w:val="005124F7"/>
    <w:rsid w:val="005129A7"/>
    <w:rsid w:val="00514507"/>
    <w:rsid w:val="005149C0"/>
    <w:rsid w:val="00515650"/>
    <w:rsid w:val="005164AF"/>
    <w:rsid w:val="00521350"/>
    <w:rsid w:val="005351B9"/>
    <w:rsid w:val="00536011"/>
    <w:rsid w:val="00544707"/>
    <w:rsid w:val="0054520B"/>
    <w:rsid w:val="00547AB2"/>
    <w:rsid w:val="00550B79"/>
    <w:rsid w:val="00550F08"/>
    <w:rsid w:val="0055150B"/>
    <w:rsid w:val="00552200"/>
    <w:rsid w:val="00552520"/>
    <w:rsid w:val="00552865"/>
    <w:rsid w:val="005532F9"/>
    <w:rsid w:val="0055440B"/>
    <w:rsid w:val="0055708D"/>
    <w:rsid w:val="005601A0"/>
    <w:rsid w:val="00561CA6"/>
    <w:rsid w:val="005630CB"/>
    <w:rsid w:val="005642F4"/>
    <w:rsid w:val="00564565"/>
    <w:rsid w:val="005647BE"/>
    <w:rsid w:val="00566299"/>
    <w:rsid w:val="0057147D"/>
    <w:rsid w:val="005725F6"/>
    <w:rsid w:val="00577FCD"/>
    <w:rsid w:val="00580A6C"/>
    <w:rsid w:val="00586817"/>
    <w:rsid w:val="00586D92"/>
    <w:rsid w:val="00587037"/>
    <w:rsid w:val="00587507"/>
    <w:rsid w:val="00590B16"/>
    <w:rsid w:val="00591A09"/>
    <w:rsid w:val="00591E84"/>
    <w:rsid w:val="005925CC"/>
    <w:rsid w:val="00594907"/>
    <w:rsid w:val="00596A0B"/>
    <w:rsid w:val="00596E05"/>
    <w:rsid w:val="00596F85"/>
    <w:rsid w:val="005970FA"/>
    <w:rsid w:val="005A0176"/>
    <w:rsid w:val="005A088E"/>
    <w:rsid w:val="005A183C"/>
    <w:rsid w:val="005A2298"/>
    <w:rsid w:val="005A28C1"/>
    <w:rsid w:val="005A4158"/>
    <w:rsid w:val="005A72FC"/>
    <w:rsid w:val="005B0388"/>
    <w:rsid w:val="005B092B"/>
    <w:rsid w:val="005B109A"/>
    <w:rsid w:val="005C2FD5"/>
    <w:rsid w:val="005C5378"/>
    <w:rsid w:val="005C5923"/>
    <w:rsid w:val="005C7F1F"/>
    <w:rsid w:val="005D2AB9"/>
    <w:rsid w:val="005D34E2"/>
    <w:rsid w:val="005D3EA7"/>
    <w:rsid w:val="005D496E"/>
    <w:rsid w:val="005D5B95"/>
    <w:rsid w:val="005D7C20"/>
    <w:rsid w:val="005E07B0"/>
    <w:rsid w:val="005E677C"/>
    <w:rsid w:val="005E691B"/>
    <w:rsid w:val="005E6960"/>
    <w:rsid w:val="005E7E31"/>
    <w:rsid w:val="005E7EB8"/>
    <w:rsid w:val="005F18D6"/>
    <w:rsid w:val="005F1BEA"/>
    <w:rsid w:val="005F6318"/>
    <w:rsid w:val="00603024"/>
    <w:rsid w:val="00606B53"/>
    <w:rsid w:val="00607E96"/>
    <w:rsid w:val="006116E3"/>
    <w:rsid w:val="006123B6"/>
    <w:rsid w:val="00614FFA"/>
    <w:rsid w:val="00623FAF"/>
    <w:rsid w:val="00624400"/>
    <w:rsid w:val="00624E51"/>
    <w:rsid w:val="00626162"/>
    <w:rsid w:val="006267DC"/>
    <w:rsid w:val="00626877"/>
    <w:rsid w:val="00634719"/>
    <w:rsid w:val="00647287"/>
    <w:rsid w:val="006503E8"/>
    <w:rsid w:val="00651964"/>
    <w:rsid w:val="00654A4A"/>
    <w:rsid w:val="0065545A"/>
    <w:rsid w:val="00656AB6"/>
    <w:rsid w:val="006661CF"/>
    <w:rsid w:val="00670BFD"/>
    <w:rsid w:val="00671E4C"/>
    <w:rsid w:val="00673969"/>
    <w:rsid w:val="00674295"/>
    <w:rsid w:val="006818A8"/>
    <w:rsid w:val="00681A51"/>
    <w:rsid w:val="00682469"/>
    <w:rsid w:val="00683D97"/>
    <w:rsid w:val="00684FCA"/>
    <w:rsid w:val="00686B5C"/>
    <w:rsid w:val="00690CF2"/>
    <w:rsid w:val="00695C58"/>
    <w:rsid w:val="00696997"/>
    <w:rsid w:val="0069760A"/>
    <w:rsid w:val="006A1795"/>
    <w:rsid w:val="006A7090"/>
    <w:rsid w:val="006A758C"/>
    <w:rsid w:val="006B28F5"/>
    <w:rsid w:val="006B4D1C"/>
    <w:rsid w:val="006B5B2C"/>
    <w:rsid w:val="006C1EEC"/>
    <w:rsid w:val="006C1FE0"/>
    <w:rsid w:val="006C3FEA"/>
    <w:rsid w:val="006C460B"/>
    <w:rsid w:val="006C5730"/>
    <w:rsid w:val="006C69E7"/>
    <w:rsid w:val="006C7772"/>
    <w:rsid w:val="006C7C60"/>
    <w:rsid w:val="006D10AE"/>
    <w:rsid w:val="006D1C89"/>
    <w:rsid w:val="006D29F2"/>
    <w:rsid w:val="006D3D11"/>
    <w:rsid w:val="006D7CA2"/>
    <w:rsid w:val="006E065B"/>
    <w:rsid w:val="006E09D3"/>
    <w:rsid w:val="006E1E6C"/>
    <w:rsid w:val="006E5505"/>
    <w:rsid w:val="006F072A"/>
    <w:rsid w:val="006F140D"/>
    <w:rsid w:val="006F240A"/>
    <w:rsid w:val="006F2FB3"/>
    <w:rsid w:val="006F531B"/>
    <w:rsid w:val="006F5939"/>
    <w:rsid w:val="006F62BC"/>
    <w:rsid w:val="006F738F"/>
    <w:rsid w:val="006F7676"/>
    <w:rsid w:val="00702493"/>
    <w:rsid w:val="00704121"/>
    <w:rsid w:val="00710149"/>
    <w:rsid w:val="00714F3B"/>
    <w:rsid w:val="007166F7"/>
    <w:rsid w:val="007168BD"/>
    <w:rsid w:val="00716AEF"/>
    <w:rsid w:val="00717076"/>
    <w:rsid w:val="00717296"/>
    <w:rsid w:val="007176C0"/>
    <w:rsid w:val="00722C25"/>
    <w:rsid w:val="00723204"/>
    <w:rsid w:val="00725594"/>
    <w:rsid w:val="00727370"/>
    <w:rsid w:val="00727A5F"/>
    <w:rsid w:val="00735D9E"/>
    <w:rsid w:val="00740603"/>
    <w:rsid w:val="0074109C"/>
    <w:rsid w:val="00742335"/>
    <w:rsid w:val="00742842"/>
    <w:rsid w:val="007460F6"/>
    <w:rsid w:val="00747619"/>
    <w:rsid w:val="00753376"/>
    <w:rsid w:val="007543B0"/>
    <w:rsid w:val="007549DF"/>
    <w:rsid w:val="007568A9"/>
    <w:rsid w:val="00757BF3"/>
    <w:rsid w:val="00761514"/>
    <w:rsid w:val="00763CE7"/>
    <w:rsid w:val="00772177"/>
    <w:rsid w:val="00775C65"/>
    <w:rsid w:val="0077639A"/>
    <w:rsid w:val="0078100C"/>
    <w:rsid w:val="0078157F"/>
    <w:rsid w:val="007837EF"/>
    <w:rsid w:val="00786F48"/>
    <w:rsid w:val="0078772C"/>
    <w:rsid w:val="007878E4"/>
    <w:rsid w:val="007963BD"/>
    <w:rsid w:val="0079731F"/>
    <w:rsid w:val="00797BF8"/>
    <w:rsid w:val="007A00DE"/>
    <w:rsid w:val="007A2D05"/>
    <w:rsid w:val="007A4783"/>
    <w:rsid w:val="007A5191"/>
    <w:rsid w:val="007A6425"/>
    <w:rsid w:val="007B0500"/>
    <w:rsid w:val="007B111B"/>
    <w:rsid w:val="007B3AE8"/>
    <w:rsid w:val="007B4418"/>
    <w:rsid w:val="007B5F62"/>
    <w:rsid w:val="007B66B3"/>
    <w:rsid w:val="007B7077"/>
    <w:rsid w:val="007B7679"/>
    <w:rsid w:val="007C3003"/>
    <w:rsid w:val="007C39A4"/>
    <w:rsid w:val="007C6B60"/>
    <w:rsid w:val="007C6F85"/>
    <w:rsid w:val="007C7A14"/>
    <w:rsid w:val="007D3AA0"/>
    <w:rsid w:val="007D3FE2"/>
    <w:rsid w:val="007D5690"/>
    <w:rsid w:val="007D69FA"/>
    <w:rsid w:val="007E093F"/>
    <w:rsid w:val="007E1600"/>
    <w:rsid w:val="007E74CC"/>
    <w:rsid w:val="007F7CDC"/>
    <w:rsid w:val="008000CF"/>
    <w:rsid w:val="008058BF"/>
    <w:rsid w:val="00806EA2"/>
    <w:rsid w:val="008104C7"/>
    <w:rsid w:val="00810603"/>
    <w:rsid w:val="00810BBB"/>
    <w:rsid w:val="008120F6"/>
    <w:rsid w:val="00814283"/>
    <w:rsid w:val="00816B8D"/>
    <w:rsid w:val="00816E21"/>
    <w:rsid w:val="00820209"/>
    <w:rsid w:val="00820F35"/>
    <w:rsid w:val="00820FEC"/>
    <w:rsid w:val="0082393D"/>
    <w:rsid w:val="0082484B"/>
    <w:rsid w:val="0083324D"/>
    <w:rsid w:val="0083532E"/>
    <w:rsid w:val="00841733"/>
    <w:rsid w:val="00844D38"/>
    <w:rsid w:val="00844D85"/>
    <w:rsid w:val="00845369"/>
    <w:rsid w:val="008503DE"/>
    <w:rsid w:val="008524BE"/>
    <w:rsid w:val="00853BC2"/>
    <w:rsid w:val="00854278"/>
    <w:rsid w:val="00856063"/>
    <w:rsid w:val="00857172"/>
    <w:rsid w:val="0086236A"/>
    <w:rsid w:val="0087035A"/>
    <w:rsid w:val="00872AE4"/>
    <w:rsid w:val="0087347D"/>
    <w:rsid w:val="00880245"/>
    <w:rsid w:val="00882DAD"/>
    <w:rsid w:val="00883008"/>
    <w:rsid w:val="00885263"/>
    <w:rsid w:val="00890FF0"/>
    <w:rsid w:val="00892DA5"/>
    <w:rsid w:val="008949B1"/>
    <w:rsid w:val="0089713E"/>
    <w:rsid w:val="0089751C"/>
    <w:rsid w:val="008A10F3"/>
    <w:rsid w:val="008A138F"/>
    <w:rsid w:val="008A2C06"/>
    <w:rsid w:val="008A5C0F"/>
    <w:rsid w:val="008B1596"/>
    <w:rsid w:val="008B22F1"/>
    <w:rsid w:val="008B4AB7"/>
    <w:rsid w:val="008C09C4"/>
    <w:rsid w:val="008C1F44"/>
    <w:rsid w:val="008C5482"/>
    <w:rsid w:val="008C646F"/>
    <w:rsid w:val="008D0460"/>
    <w:rsid w:val="008D44EC"/>
    <w:rsid w:val="008D4E01"/>
    <w:rsid w:val="008D79FD"/>
    <w:rsid w:val="008E1833"/>
    <w:rsid w:val="008E3E4B"/>
    <w:rsid w:val="008E3F9F"/>
    <w:rsid w:val="008E4331"/>
    <w:rsid w:val="008E4E06"/>
    <w:rsid w:val="008E4EF9"/>
    <w:rsid w:val="008E6DFC"/>
    <w:rsid w:val="008E7710"/>
    <w:rsid w:val="008F1AB1"/>
    <w:rsid w:val="008F2CB9"/>
    <w:rsid w:val="00900D4D"/>
    <w:rsid w:val="009025CF"/>
    <w:rsid w:val="00903F34"/>
    <w:rsid w:val="00905C0A"/>
    <w:rsid w:val="009122F8"/>
    <w:rsid w:val="00915520"/>
    <w:rsid w:val="009155F7"/>
    <w:rsid w:val="00916712"/>
    <w:rsid w:val="009173CC"/>
    <w:rsid w:val="00921131"/>
    <w:rsid w:val="009247F5"/>
    <w:rsid w:val="00926AB2"/>
    <w:rsid w:val="00930923"/>
    <w:rsid w:val="00931CA3"/>
    <w:rsid w:val="00934D08"/>
    <w:rsid w:val="009404EE"/>
    <w:rsid w:val="009407FE"/>
    <w:rsid w:val="00941915"/>
    <w:rsid w:val="00941F24"/>
    <w:rsid w:val="00942436"/>
    <w:rsid w:val="00950856"/>
    <w:rsid w:val="00951BB4"/>
    <w:rsid w:val="00955AD0"/>
    <w:rsid w:val="00956957"/>
    <w:rsid w:val="00957603"/>
    <w:rsid w:val="00957A1D"/>
    <w:rsid w:val="00957BC0"/>
    <w:rsid w:val="0096037F"/>
    <w:rsid w:val="00964203"/>
    <w:rsid w:val="0096487B"/>
    <w:rsid w:val="00970268"/>
    <w:rsid w:val="00970C27"/>
    <w:rsid w:val="00975324"/>
    <w:rsid w:val="009757D1"/>
    <w:rsid w:val="00980754"/>
    <w:rsid w:val="00981535"/>
    <w:rsid w:val="009825C8"/>
    <w:rsid w:val="0098409F"/>
    <w:rsid w:val="00985537"/>
    <w:rsid w:val="00991698"/>
    <w:rsid w:val="00991C17"/>
    <w:rsid w:val="00992D1E"/>
    <w:rsid w:val="0099352E"/>
    <w:rsid w:val="00997EB2"/>
    <w:rsid w:val="009A06F5"/>
    <w:rsid w:val="009A0788"/>
    <w:rsid w:val="009A0E92"/>
    <w:rsid w:val="009A17EC"/>
    <w:rsid w:val="009B03DF"/>
    <w:rsid w:val="009B11A7"/>
    <w:rsid w:val="009B29E7"/>
    <w:rsid w:val="009B46F6"/>
    <w:rsid w:val="009B47D1"/>
    <w:rsid w:val="009B6AF0"/>
    <w:rsid w:val="009B701C"/>
    <w:rsid w:val="009B7733"/>
    <w:rsid w:val="009C292D"/>
    <w:rsid w:val="009C355F"/>
    <w:rsid w:val="009C5F0C"/>
    <w:rsid w:val="009C67C0"/>
    <w:rsid w:val="009C7319"/>
    <w:rsid w:val="009C776E"/>
    <w:rsid w:val="009D0581"/>
    <w:rsid w:val="009D1035"/>
    <w:rsid w:val="009D10DB"/>
    <w:rsid w:val="009D13D0"/>
    <w:rsid w:val="009D2068"/>
    <w:rsid w:val="009D69D5"/>
    <w:rsid w:val="009D7D33"/>
    <w:rsid w:val="009E115D"/>
    <w:rsid w:val="009E4DD4"/>
    <w:rsid w:val="009E4E3F"/>
    <w:rsid w:val="009E698B"/>
    <w:rsid w:val="009E7F24"/>
    <w:rsid w:val="009F1547"/>
    <w:rsid w:val="009F2B53"/>
    <w:rsid w:val="009F405E"/>
    <w:rsid w:val="009F4ABA"/>
    <w:rsid w:val="00A00097"/>
    <w:rsid w:val="00A00457"/>
    <w:rsid w:val="00A0174A"/>
    <w:rsid w:val="00A0486F"/>
    <w:rsid w:val="00A05948"/>
    <w:rsid w:val="00A066AE"/>
    <w:rsid w:val="00A10DD9"/>
    <w:rsid w:val="00A12C6B"/>
    <w:rsid w:val="00A14117"/>
    <w:rsid w:val="00A14676"/>
    <w:rsid w:val="00A149FA"/>
    <w:rsid w:val="00A17DF0"/>
    <w:rsid w:val="00A204EA"/>
    <w:rsid w:val="00A205DE"/>
    <w:rsid w:val="00A20F78"/>
    <w:rsid w:val="00A218F1"/>
    <w:rsid w:val="00A21EC0"/>
    <w:rsid w:val="00A23554"/>
    <w:rsid w:val="00A240C8"/>
    <w:rsid w:val="00A2574B"/>
    <w:rsid w:val="00A27DEE"/>
    <w:rsid w:val="00A31B93"/>
    <w:rsid w:val="00A32B45"/>
    <w:rsid w:val="00A35299"/>
    <w:rsid w:val="00A375EF"/>
    <w:rsid w:val="00A37BDA"/>
    <w:rsid w:val="00A4251D"/>
    <w:rsid w:val="00A505A9"/>
    <w:rsid w:val="00A51FD3"/>
    <w:rsid w:val="00A528C2"/>
    <w:rsid w:val="00A54AFD"/>
    <w:rsid w:val="00A54E69"/>
    <w:rsid w:val="00A61B06"/>
    <w:rsid w:val="00A62113"/>
    <w:rsid w:val="00A62901"/>
    <w:rsid w:val="00A630E4"/>
    <w:rsid w:val="00A66EE5"/>
    <w:rsid w:val="00A6759C"/>
    <w:rsid w:val="00A67923"/>
    <w:rsid w:val="00A70E7C"/>
    <w:rsid w:val="00A713ED"/>
    <w:rsid w:val="00A714B8"/>
    <w:rsid w:val="00A73D50"/>
    <w:rsid w:val="00A74901"/>
    <w:rsid w:val="00A75733"/>
    <w:rsid w:val="00A76308"/>
    <w:rsid w:val="00A77C08"/>
    <w:rsid w:val="00A814B4"/>
    <w:rsid w:val="00A81527"/>
    <w:rsid w:val="00A82058"/>
    <w:rsid w:val="00A835BE"/>
    <w:rsid w:val="00A84AE7"/>
    <w:rsid w:val="00A869B0"/>
    <w:rsid w:val="00A90363"/>
    <w:rsid w:val="00A91667"/>
    <w:rsid w:val="00A9289F"/>
    <w:rsid w:val="00A92C1D"/>
    <w:rsid w:val="00A96278"/>
    <w:rsid w:val="00AA0C77"/>
    <w:rsid w:val="00AA1D27"/>
    <w:rsid w:val="00AA204C"/>
    <w:rsid w:val="00AA2D57"/>
    <w:rsid w:val="00AA3941"/>
    <w:rsid w:val="00AA56D0"/>
    <w:rsid w:val="00AA755D"/>
    <w:rsid w:val="00AB0C9F"/>
    <w:rsid w:val="00AB143A"/>
    <w:rsid w:val="00AB2067"/>
    <w:rsid w:val="00AB3EB5"/>
    <w:rsid w:val="00AB57CE"/>
    <w:rsid w:val="00AC003C"/>
    <w:rsid w:val="00AC0103"/>
    <w:rsid w:val="00AC1404"/>
    <w:rsid w:val="00AC20FA"/>
    <w:rsid w:val="00AC4FCC"/>
    <w:rsid w:val="00AD01B4"/>
    <w:rsid w:val="00AD039F"/>
    <w:rsid w:val="00AD0A03"/>
    <w:rsid w:val="00AD1705"/>
    <w:rsid w:val="00AD2B66"/>
    <w:rsid w:val="00AD3902"/>
    <w:rsid w:val="00AD6010"/>
    <w:rsid w:val="00AD66FE"/>
    <w:rsid w:val="00AE33FF"/>
    <w:rsid w:val="00AE3DFE"/>
    <w:rsid w:val="00AF06D5"/>
    <w:rsid w:val="00AF09DD"/>
    <w:rsid w:val="00AF7A47"/>
    <w:rsid w:val="00B0237F"/>
    <w:rsid w:val="00B02655"/>
    <w:rsid w:val="00B049F7"/>
    <w:rsid w:val="00B05102"/>
    <w:rsid w:val="00B122AF"/>
    <w:rsid w:val="00B1530D"/>
    <w:rsid w:val="00B15B69"/>
    <w:rsid w:val="00B16A34"/>
    <w:rsid w:val="00B25453"/>
    <w:rsid w:val="00B25955"/>
    <w:rsid w:val="00B27822"/>
    <w:rsid w:val="00B31B9C"/>
    <w:rsid w:val="00B34D6C"/>
    <w:rsid w:val="00B36A01"/>
    <w:rsid w:val="00B4076D"/>
    <w:rsid w:val="00B41146"/>
    <w:rsid w:val="00B44F10"/>
    <w:rsid w:val="00B5544F"/>
    <w:rsid w:val="00B55A9F"/>
    <w:rsid w:val="00B55E5D"/>
    <w:rsid w:val="00B60A36"/>
    <w:rsid w:val="00B66867"/>
    <w:rsid w:val="00B66994"/>
    <w:rsid w:val="00B702A1"/>
    <w:rsid w:val="00B70D95"/>
    <w:rsid w:val="00B717C5"/>
    <w:rsid w:val="00B71975"/>
    <w:rsid w:val="00B71AFB"/>
    <w:rsid w:val="00B71F3A"/>
    <w:rsid w:val="00B72931"/>
    <w:rsid w:val="00B734DB"/>
    <w:rsid w:val="00B73C97"/>
    <w:rsid w:val="00B75823"/>
    <w:rsid w:val="00B759B6"/>
    <w:rsid w:val="00B75FCF"/>
    <w:rsid w:val="00B76340"/>
    <w:rsid w:val="00B80C43"/>
    <w:rsid w:val="00B81585"/>
    <w:rsid w:val="00B828AD"/>
    <w:rsid w:val="00B84B81"/>
    <w:rsid w:val="00B85F54"/>
    <w:rsid w:val="00B94786"/>
    <w:rsid w:val="00B95372"/>
    <w:rsid w:val="00B958BB"/>
    <w:rsid w:val="00B95B16"/>
    <w:rsid w:val="00B97BA3"/>
    <w:rsid w:val="00BA153E"/>
    <w:rsid w:val="00BA2C26"/>
    <w:rsid w:val="00BA53F1"/>
    <w:rsid w:val="00BA78B6"/>
    <w:rsid w:val="00BA7DA7"/>
    <w:rsid w:val="00BB26AD"/>
    <w:rsid w:val="00BB6CBF"/>
    <w:rsid w:val="00BB79BD"/>
    <w:rsid w:val="00BC53AF"/>
    <w:rsid w:val="00BC7208"/>
    <w:rsid w:val="00BD0B48"/>
    <w:rsid w:val="00BD2A0A"/>
    <w:rsid w:val="00BD5D0F"/>
    <w:rsid w:val="00BD7C68"/>
    <w:rsid w:val="00BE04F8"/>
    <w:rsid w:val="00BE1CBC"/>
    <w:rsid w:val="00BE2559"/>
    <w:rsid w:val="00BE29DC"/>
    <w:rsid w:val="00BE5F10"/>
    <w:rsid w:val="00BF2BF1"/>
    <w:rsid w:val="00BF525D"/>
    <w:rsid w:val="00BF697A"/>
    <w:rsid w:val="00BF6ADB"/>
    <w:rsid w:val="00C026D0"/>
    <w:rsid w:val="00C02B8F"/>
    <w:rsid w:val="00C03776"/>
    <w:rsid w:val="00C05573"/>
    <w:rsid w:val="00C13120"/>
    <w:rsid w:val="00C13821"/>
    <w:rsid w:val="00C14051"/>
    <w:rsid w:val="00C14D85"/>
    <w:rsid w:val="00C15A48"/>
    <w:rsid w:val="00C15B78"/>
    <w:rsid w:val="00C15D62"/>
    <w:rsid w:val="00C15F73"/>
    <w:rsid w:val="00C17004"/>
    <w:rsid w:val="00C200CE"/>
    <w:rsid w:val="00C2037B"/>
    <w:rsid w:val="00C211CB"/>
    <w:rsid w:val="00C22FF7"/>
    <w:rsid w:val="00C2625F"/>
    <w:rsid w:val="00C27F76"/>
    <w:rsid w:val="00C30DA4"/>
    <w:rsid w:val="00C44719"/>
    <w:rsid w:val="00C44BB9"/>
    <w:rsid w:val="00C47435"/>
    <w:rsid w:val="00C47C7E"/>
    <w:rsid w:val="00C50108"/>
    <w:rsid w:val="00C50770"/>
    <w:rsid w:val="00C52ED2"/>
    <w:rsid w:val="00C54A86"/>
    <w:rsid w:val="00C55D48"/>
    <w:rsid w:val="00C6572C"/>
    <w:rsid w:val="00C67221"/>
    <w:rsid w:val="00C70CFF"/>
    <w:rsid w:val="00C719BE"/>
    <w:rsid w:val="00C739E0"/>
    <w:rsid w:val="00C75655"/>
    <w:rsid w:val="00C837C3"/>
    <w:rsid w:val="00C84497"/>
    <w:rsid w:val="00C8501A"/>
    <w:rsid w:val="00C868F6"/>
    <w:rsid w:val="00C9137C"/>
    <w:rsid w:val="00C91644"/>
    <w:rsid w:val="00C94ECB"/>
    <w:rsid w:val="00C95256"/>
    <w:rsid w:val="00C9663B"/>
    <w:rsid w:val="00C9799A"/>
    <w:rsid w:val="00CA43A5"/>
    <w:rsid w:val="00CA788D"/>
    <w:rsid w:val="00CA7C0B"/>
    <w:rsid w:val="00CB0E0D"/>
    <w:rsid w:val="00CB6E2B"/>
    <w:rsid w:val="00CB6EC0"/>
    <w:rsid w:val="00CB6FF7"/>
    <w:rsid w:val="00CB7302"/>
    <w:rsid w:val="00CC1E9F"/>
    <w:rsid w:val="00CC5896"/>
    <w:rsid w:val="00CD5480"/>
    <w:rsid w:val="00CE0C35"/>
    <w:rsid w:val="00CE3810"/>
    <w:rsid w:val="00CE52B4"/>
    <w:rsid w:val="00CE56C8"/>
    <w:rsid w:val="00CE5DCD"/>
    <w:rsid w:val="00CE701C"/>
    <w:rsid w:val="00CE7599"/>
    <w:rsid w:val="00CE7F03"/>
    <w:rsid w:val="00CF1D4D"/>
    <w:rsid w:val="00CF326D"/>
    <w:rsid w:val="00CF33E3"/>
    <w:rsid w:val="00CF414A"/>
    <w:rsid w:val="00CF45E3"/>
    <w:rsid w:val="00CF4FF0"/>
    <w:rsid w:val="00CF5B47"/>
    <w:rsid w:val="00CF65A6"/>
    <w:rsid w:val="00CF7830"/>
    <w:rsid w:val="00D0020E"/>
    <w:rsid w:val="00D035CC"/>
    <w:rsid w:val="00D0448F"/>
    <w:rsid w:val="00D10211"/>
    <w:rsid w:val="00D104F9"/>
    <w:rsid w:val="00D12FB1"/>
    <w:rsid w:val="00D140F0"/>
    <w:rsid w:val="00D14323"/>
    <w:rsid w:val="00D16008"/>
    <w:rsid w:val="00D166D4"/>
    <w:rsid w:val="00D21667"/>
    <w:rsid w:val="00D22FAF"/>
    <w:rsid w:val="00D27F32"/>
    <w:rsid w:val="00D30254"/>
    <w:rsid w:val="00D3151E"/>
    <w:rsid w:val="00D33768"/>
    <w:rsid w:val="00D33D87"/>
    <w:rsid w:val="00D35077"/>
    <w:rsid w:val="00D359BA"/>
    <w:rsid w:val="00D35A6E"/>
    <w:rsid w:val="00D3628C"/>
    <w:rsid w:val="00D36D27"/>
    <w:rsid w:val="00D408A8"/>
    <w:rsid w:val="00D41405"/>
    <w:rsid w:val="00D4141C"/>
    <w:rsid w:val="00D445F3"/>
    <w:rsid w:val="00D46377"/>
    <w:rsid w:val="00D46DAE"/>
    <w:rsid w:val="00D50CD2"/>
    <w:rsid w:val="00D51C8F"/>
    <w:rsid w:val="00D5204B"/>
    <w:rsid w:val="00D52DE1"/>
    <w:rsid w:val="00D53276"/>
    <w:rsid w:val="00D54C10"/>
    <w:rsid w:val="00D55191"/>
    <w:rsid w:val="00D55CD0"/>
    <w:rsid w:val="00D57544"/>
    <w:rsid w:val="00D57973"/>
    <w:rsid w:val="00D60CE2"/>
    <w:rsid w:val="00D612EC"/>
    <w:rsid w:val="00D6153E"/>
    <w:rsid w:val="00D623C4"/>
    <w:rsid w:val="00D66CEE"/>
    <w:rsid w:val="00D722DF"/>
    <w:rsid w:val="00D734D4"/>
    <w:rsid w:val="00D760FE"/>
    <w:rsid w:val="00D84675"/>
    <w:rsid w:val="00D84696"/>
    <w:rsid w:val="00D848FC"/>
    <w:rsid w:val="00D8526A"/>
    <w:rsid w:val="00D8548A"/>
    <w:rsid w:val="00D86252"/>
    <w:rsid w:val="00D917F3"/>
    <w:rsid w:val="00D92026"/>
    <w:rsid w:val="00D93A51"/>
    <w:rsid w:val="00D97BAA"/>
    <w:rsid w:val="00DA1693"/>
    <w:rsid w:val="00DA1FA3"/>
    <w:rsid w:val="00DA25C9"/>
    <w:rsid w:val="00DA3AF3"/>
    <w:rsid w:val="00DA4090"/>
    <w:rsid w:val="00DA4D45"/>
    <w:rsid w:val="00DA508F"/>
    <w:rsid w:val="00DA5455"/>
    <w:rsid w:val="00DA5C2B"/>
    <w:rsid w:val="00DA698B"/>
    <w:rsid w:val="00DB0E14"/>
    <w:rsid w:val="00DB5EFB"/>
    <w:rsid w:val="00DB6EF1"/>
    <w:rsid w:val="00DC19BB"/>
    <w:rsid w:val="00DC4D28"/>
    <w:rsid w:val="00DC5F69"/>
    <w:rsid w:val="00DC6404"/>
    <w:rsid w:val="00DD0D99"/>
    <w:rsid w:val="00DD3633"/>
    <w:rsid w:val="00DD3F91"/>
    <w:rsid w:val="00DD4BCC"/>
    <w:rsid w:val="00DD7FDF"/>
    <w:rsid w:val="00DE04B6"/>
    <w:rsid w:val="00DE0F8D"/>
    <w:rsid w:val="00DE1703"/>
    <w:rsid w:val="00DE25AC"/>
    <w:rsid w:val="00DE311B"/>
    <w:rsid w:val="00DE312E"/>
    <w:rsid w:val="00DF4A01"/>
    <w:rsid w:val="00DF568D"/>
    <w:rsid w:val="00E00757"/>
    <w:rsid w:val="00E00CCB"/>
    <w:rsid w:val="00E0108B"/>
    <w:rsid w:val="00E03F7A"/>
    <w:rsid w:val="00E04293"/>
    <w:rsid w:val="00E042C7"/>
    <w:rsid w:val="00E05BAF"/>
    <w:rsid w:val="00E0781A"/>
    <w:rsid w:val="00E1098C"/>
    <w:rsid w:val="00E11475"/>
    <w:rsid w:val="00E15AD2"/>
    <w:rsid w:val="00E15BD0"/>
    <w:rsid w:val="00E175A7"/>
    <w:rsid w:val="00E20168"/>
    <w:rsid w:val="00E20740"/>
    <w:rsid w:val="00E20E92"/>
    <w:rsid w:val="00E245DA"/>
    <w:rsid w:val="00E24645"/>
    <w:rsid w:val="00E263AC"/>
    <w:rsid w:val="00E27252"/>
    <w:rsid w:val="00E2758E"/>
    <w:rsid w:val="00E30CE1"/>
    <w:rsid w:val="00E30D21"/>
    <w:rsid w:val="00E31BCB"/>
    <w:rsid w:val="00E32963"/>
    <w:rsid w:val="00E33160"/>
    <w:rsid w:val="00E337BC"/>
    <w:rsid w:val="00E350CD"/>
    <w:rsid w:val="00E372A9"/>
    <w:rsid w:val="00E4001B"/>
    <w:rsid w:val="00E51FDE"/>
    <w:rsid w:val="00E534B2"/>
    <w:rsid w:val="00E555D1"/>
    <w:rsid w:val="00E5679E"/>
    <w:rsid w:val="00E56B66"/>
    <w:rsid w:val="00E579AF"/>
    <w:rsid w:val="00E613E4"/>
    <w:rsid w:val="00E705B7"/>
    <w:rsid w:val="00E70763"/>
    <w:rsid w:val="00E7086E"/>
    <w:rsid w:val="00E70ECC"/>
    <w:rsid w:val="00E715F8"/>
    <w:rsid w:val="00E71A89"/>
    <w:rsid w:val="00E77197"/>
    <w:rsid w:val="00E77405"/>
    <w:rsid w:val="00E80D18"/>
    <w:rsid w:val="00E81B1A"/>
    <w:rsid w:val="00E82273"/>
    <w:rsid w:val="00E83086"/>
    <w:rsid w:val="00E84FB3"/>
    <w:rsid w:val="00E87037"/>
    <w:rsid w:val="00E979AC"/>
    <w:rsid w:val="00EA0F03"/>
    <w:rsid w:val="00EA1EF9"/>
    <w:rsid w:val="00EA22FF"/>
    <w:rsid w:val="00EA2CA0"/>
    <w:rsid w:val="00EA2DC6"/>
    <w:rsid w:val="00EA2F20"/>
    <w:rsid w:val="00EA4BF0"/>
    <w:rsid w:val="00EA7237"/>
    <w:rsid w:val="00EB055B"/>
    <w:rsid w:val="00EB0E1C"/>
    <w:rsid w:val="00EB112A"/>
    <w:rsid w:val="00EC0907"/>
    <w:rsid w:val="00EC1212"/>
    <w:rsid w:val="00EC1D3D"/>
    <w:rsid w:val="00EC3331"/>
    <w:rsid w:val="00EC677E"/>
    <w:rsid w:val="00EC7E67"/>
    <w:rsid w:val="00ED5B5C"/>
    <w:rsid w:val="00ED70BD"/>
    <w:rsid w:val="00EE0B3E"/>
    <w:rsid w:val="00EE340E"/>
    <w:rsid w:val="00EE37BB"/>
    <w:rsid w:val="00EF4099"/>
    <w:rsid w:val="00EF6BDC"/>
    <w:rsid w:val="00F01C4C"/>
    <w:rsid w:val="00F02786"/>
    <w:rsid w:val="00F0434F"/>
    <w:rsid w:val="00F0670F"/>
    <w:rsid w:val="00F079FB"/>
    <w:rsid w:val="00F07FA6"/>
    <w:rsid w:val="00F11BB3"/>
    <w:rsid w:val="00F13036"/>
    <w:rsid w:val="00F14118"/>
    <w:rsid w:val="00F14973"/>
    <w:rsid w:val="00F170CA"/>
    <w:rsid w:val="00F20151"/>
    <w:rsid w:val="00F210DB"/>
    <w:rsid w:val="00F21D1A"/>
    <w:rsid w:val="00F22865"/>
    <w:rsid w:val="00F23802"/>
    <w:rsid w:val="00F2382D"/>
    <w:rsid w:val="00F24D75"/>
    <w:rsid w:val="00F26178"/>
    <w:rsid w:val="00F261E3"/>
    <w:rsid w:val="00F34B2F"/>
    <w:rsid w:val="00F34D96"/>
    <w:rsid w:val="00F34F33"/>
    <w:rsid w:val="00F35C3A"/>
    <w:rsid w:val="00F36D1F"/>
    <w:rsid w:val="00F3769E"/>
    <w:rsid w:val="00F40F06"/>
    <w:rsid w:val="00F42669"/>
    <w:rsid w:val="00F4445B"/>
    <w:rsid w:val="00F44CC8"/>
    <w:rsid w:val="00F4749B"/>
    <w:rsid w:val="00F514FB"/>
    <w:rsid w:val="00F51766"/>
    <w:rsid w:val="00F547C7"/>
    <w:rsid w:val="00F560D7"/>
    <w:rsid w:val="00F5637F"/>
    <w:rsid w:val="00F56CE9"/>
    <w:rsid w:val="00F61151"/>
    <w:rsid w:val="00F64ECE"/>
    <w:rsid w:val="00F66CF3"/>
    <w:rsid w:val="00F67B6E"/>
    <w:rsid w:val="00F7274A"/>
    <w:rsid w:val="00F760D1"/>
    <w:rsid w:val="00F77765"/>
    <w:rsid w:val="00F77EC3"/>
    <w:rsid w:val="00F801D9"/>
    <w:rsid w:val="00F83FCF"/>
    <w:rsid w:val="00F85E98"/>
    <w:rsid w:val="00F902E5"/>
    <w:rsid w:val="00F908A4"/>
    <w:rsid w:val="00F922E5"/>
    <w:rsid w:val="00F94A77"/>
    <w:rsid w:val="00FA0D23"/>
    <w:rsid w:val="00FA1255"/>
    <w:rsid w:val="00FA57F7"/>
    <w:rsid w:val="00FA5A41"/>
    <w:rsid w:val="00FA65D9"/>
    <w:rsid w:val="00FA7C8B"/>
    <w:rsid w:val="00FB0249"/>
    <w:rsid w:val="00FB0E4C"/>
    <w:rsid w:val="00FB2750"/>
    <w:rsid w:val="00FB3C2B"/>
    <w:rsid w:val="00FB4228"/>
    <w:rsid w:val="00FB793A"/>
    <w:rsid w:val="00FB7CA3"/>
    <w:rsid w:val="00FC54E6"/>
    <w:rsid w:val="00FC5915"/>
    <w:rsid w:val="00FC5D6D"/>
    <w:rsid w:val="00FD2A6A"/>
    <w:rsid w:val="00FD6354"/>
    <w:rsid w:val="00FD6657"/>
    <w:rsid w:val="00FE3AE6"/>
    <w:rsid w:val="00FE60E1"/>
    <w:rsid w:val="00FF0B48"/>
    <w:rsid w:val="00FF1A54"/>
    <w:rsid w:val="00FF319A"/>
    <w:rsid w:val="00FF392F"/>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
    <w:basedOn w:val="Normal"/>
    <w:link w:val="FootnoteTextChar"/>
    <w:uiPriority w:val="99"/>
    <w:unhideWhenUsed/>
    <w:rsid w:val="003E62C2"/>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basedOn w:val="DefaultParagraphFont"/>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
    <w:basedOn w:val="Normal"/>
    <w:link w:val="FootnoteTextChar"/>
    <w:uiPriority w:val="99"/>
    <w:unhideWhenUsed/>
    <w:rsid w:val="003E62C2"/>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basedOn w:val="DefaultParagraphFont"/>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327022">
      <w:bodyDiv w:val="1"/>
      <w:marLeft w:val="0"/>
      <w:marRight w:val="0"/>
      <w:marTop w:val="0"/>
      <w:marBottom w:val="0"/>
      <w:divBdr>
        <w:top w:val="none" w:sz="0" w:space="0" w:color="auto"/>
        <w:left w:val="none" w:sz="0" w:space="0" w:color="auto"/>
        <w:bottom w:val="none" w:sz="0" w:space="0" w:color="auto"/>
        <w:right w:val="none" w:sz="0" w:space="0" w:color="auto"/>
      </w:divBdr>
      <w:divsChild>
        <w:div w:id="1706100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A9492-14F5-44A5-95C1-F1FE34AC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6725</Words>
  <Characters>38337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4</cp:revision>
  <cp:lastPrinted>2014-12-18T15:05:00Z</cp:lastPrinted>
  <dcterms:created xsi:type="dcterms:W3CDTF">2014-12-16T19:29:00Z</dcterms:created>
  <dcterms:modified xsi:type="dcterms:W3CDTF">2014-12-18T15:05:00Z</dcterms:modified>
</cp:coreProperties>
</file>