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E49" w:rsidRPr="00A23DD3" w:rsidRDefault="00335E49" w:rsidP="009321A2">
      <w:pPr>
        <w:spacing w:after="0" w:line="240" w:lineRule="auto"/>
        <w:jc w:val="center"/>
        <w:rPr>
          <w:b/>
        </w:rPr>
      </w:pPr>
      <w:r w:rsidRPr="00A23DD3">
        <w:rPr>
          <w:b/>
        </w:rPr>
        <w:t>BEFORE THE</w:t>
      </w:r>
    </w:p>
    <w:p w:rsidR="00335E49" w:rsidRDefault="00335E49" w:rsidP="009321A2">
      <w:pPr>
        <w:spacing w:after="0" w:line="240" w:lineRule="auto"/>
        <w:jc w:val="center"/>
        <w:rPr>
          <w:b/>
        </w:rPr>
      </w:pPr>
      <w:r w:rsidRPr="00A23DD3">
        <w:rPr>
          <w:b/>
        </w:rPr>
        <w:t>PENNSYLVANIA PUBLIC UTILITY COMMISSION</w:t>
      </w:r>
    </w:p>
    <w:p w:rsidR="00335E49" w:rsidRDefault="00335E49" w:rsidP="009321A2">
      <w:pPr>
        <w:spacing w:after="0" w:line="240" w:lineRule="auto"/>
        <w:jc w:val="center"/>
        <w:rPr>
          <w:b/>
        </w:rPr>
      </w:pPr>
    </w:p>
    <w:p w:rsidR="00335E49" w:rsidRDefault="00335E49" w:rsidP="009321A2">
      <w:pPr>
        <w:spacing w:after="0" w:line="240" w:lineRule="auto"/>
        <w:jc w:val="center"/>
        <w:rPr>
          <w:b/>
        </w:rPr>
      </w:pPr>
    </w:p>
    <w:p w:rsidR="00335E49" w:rsidRPr="00A23DD3" w:rsidRDefault="00335E49" w:rsidP="00C04B90">
      <w:pPr>
        <w:spacing w:after="0" w:line="240" w:lineRule="auto"/>
        <w:jc w:val="center"/>
      </w:pPr>
    </w:p>
    <w:p w:rsidR="00C04B90" w:rsidRDefault="00C04B90" w:rsidP="00C04B90">
      <w:pPr>
        <w:tabs>
          <w:tab w:val="left" w:pos="-720"/>
        </w:tabs>
        <w:suppressAutoHyphens/>
        <w:spacing w:after="0" w:line="240" w:lineRule="auto"/>
        <w:ind w:firstLine="1440"/>
        <w:rPr>
          <w:rFonts w:cs="Times New Roman"/>
          <w:spacing w:val="-3"/>
        </w:rPr>
      </w:pPr>
    </w:p>
    <w:p w:rsidR="00C04B90" w:rsidRPr="00A5006D" w:rsidRDefault="00C04B90" w:rsidP="00C04B90">
      <w:pPr>
        <w:spacing w:after="0" w:line="240" w:lineRule="auto"/>
        <w:rPr>
          <w:rFonts w:cs="Times New Roman"/>
        </w:rPr>
      </w:pPr>
      <w:r>
        <w:rPr>
          <w:rFonts w:cs="Times New Roman"/>
          <w:spacing w:val="-3"/>
        </w:rPr>
        <w:t>Justin L. Herp</w:t>
      </w:r>
      <w:r>
        <w:rPr>
          <w:rFonts w:cs="Times New Roman"/>
          <w:spacing w:val="-3"/>
        </w:rPr>
        <w:tab/>
      </w:r>
      <w:r>
        <w:rPr>
          <w:rFonts w:cs="Times New Roman"/>
          <w:spacing w:val="-3"/>
        </w:rPr>
        <w:tab/>
      </w:r>
      <w:r>
        <w:rPr>
          <w:rFonts w:cs="Times New Roman"/>
          <w:spacing w:val="-3"/>
        </w:rPr>
        <w:tab/>
      </w:r>
      <w:r>
        <w:rPr>
          <w:rFonts w:cs="Times New Roman"/>
          <w:spacing w:val="-3"/>
        </w:rPr>
        <w:tab/>
      </w:r>
      <w:r>
        <w:rPr>
          <w:rFonts w:cs="Times New Roman"/>
          <w:spacing w:val="-3"/>
        </w:rPr>
        <w:tab/>
      </w:r>
      <w:r w:rsidRPr="00A5006D">
        <w:rPr>
          <w:rFonts w:cs="Times New Roman"/>
          <w:spacing w:val="-3"/>
        </w:rPr>
        <w:tab/>
        <w:t>:</w:t>
      </w:r>
    </w:p>
    <w:p w:rsidR="00C04B90" w:rsidRPr="00A5006D" w:rsidRDefault="00C04B90" w:rsidP="00C04B90">
      <w:pPr>
        <w:spacing w:after="0" w:line="240" w:lineRule="auto"/>
        <w:rPr>
          <w:rFonts w:cs="Times New Roman"/>
        </w:rPr>
      </w:pPr>
      <w:r w:rsidRPr="00A5006D">
        <w:rPr>
          <w:rFonts w:cs="Times New Roman"/>
        </w:rPr>
        <w:tab/>
      </w:r>
      <w:r w:rsidRPr="00A5006D">
        <w:rPr>
          <w:rFonts w:cs="Times New Roman"/>
        </w:rPr>
        <w:tab/>
      </w:r>
      <w:r w:rsidRPr="00A5006D">
        <w:rPr>
          <w:rFonts w:cs="Times New Roman"/>
        </w:rPr>
        <w:tab/>
      </w:r>
      <w:r w:rsidRPr="00A5006D">
        <w:rPr>
          <w:rFonts w:cs="Times New Roman"/>
        </w:rPr>
        <w:tab/>
      </w:r>
      <w:r w:rsidRPr="00A5006D">
        <w:rPr>
          <w:rFonts w:cs="Times New Roman"/>
        </w:rPr>
        <w:tab/>
      </w:r>
      <w:r w:rsidRPr="00A5006D">
        <w:rPr>
          <w:rFonts w:cs="Times New Roman"/>
        </w:rPr>
        <w:tab/>
      </w:r>
      <w:r w:rsidRPr="00A5006D">
        <w:rPr>
          <w:rFonts w:cs="Times New Roman"/>
        </w:rPr>
        <w:tab/>
        <w:t>:</w:t>
      </w:r>
    </w:p>
    <w:p w:rsidR="00C04B90" w:rsidRPr="00A5006D" w:rsidRDefault="00C04B90" w:rsidP="00C04B90">
      <w:pPr>
        <w:spacing w:after="0" w:line="240" w:lineRule="auto"/>
        <w:rPr>
          <w:rFonts w:cs="Times New Roman"/>
        </w:rPr>
      </w:pPr>
      <w:r w:rsidRPr="00A5006D">
        <w:rPr>
          <w:rFonts w:cs="Times New Roman"/>
        </w:rPr>
        <w:tab/>
        <w:t>v.</w:t>
      </w:r>
      <w:r w:rsidRPr="00A5006D">
        <w:rPr>
          <w:rFonts w:cs="Times New Roman"/>
        </w:rPr>
        <w:tab/>
      </w:r>
      <w:r w:rsidRPr="00A5006D">
        <w:rPr>
          <w:rFonts w:cs="Times New Roman"/>
        </w:rPr>
        <w:tab/>
      </w:r>
      <w:r w:rsidRPr="00A5006D">
        <w:rPr>
          <w:rFonts w:cs="Times New Roman"/>
        </w:rPr>
        <w:tab/>
      </w:r>
      <w:r w:rsidRPr="00A5006D">
        <w:rPr>
          <w:rFonts w:cs="Times New Roman"/>
        </w:rPr>
        <w:tab/>
      </w:r>
      <w:r w:rsidRPr="00A5006D">
        <w:rPr>
          <w:rFonts w:cs="Times New Roman"/>
        </w:rPr>
        <w:tab/>
      </w:r>
      <w:r w:rsidRPr="00A5006D">
        <w:rPr>
          <w:rFonts w:cs="Times New Roman"/>
        </w:rPr>
        <w:tab/>
        <w:t>:</w:t>
      </w:r>
      <w:r w:rsidRPr="00A5006D">
        <w:rPr>
          <w:rFonts w:cs="Times New Roman"/>
        </w:rPr>
        <w:tab/>
      </w:r>
      <w:r w:rsidRPr="00A5006D">
        <w:rPr>
          <w:rFonts w:cs="Times New Roman"/>
        </w:rPr>
        <w:tab/>
      </w:r>
      <w:r>
        <w:rPr>
          <w:rFonts w:cs="Times New Roman"/>
        </w:rPr>
        <w:t>C-2014-2413756</w:t>
      </w:r>
      <w:r w:rsidRPr="00A5006D">
        <w:rPr>
          <w:rFonts w:cs="Times New Roman"/>
        </w:rPr>
        <w:tab/>
      </w:r>
      <w:r w:rsidRPr="00A5006D">
        <w:rPr>
          <w:rFonts w:cs="Times New Roman"/>
        </w:rPr>
        <w:tab/>
      </w:r>
      <w:r w:rsidRPr="00A5006D">
        <w:rPr>
          <w:rFonts w:cs="Times New Roman"/>
        </w:rPr>
        <w:tab/>
      </w:r>
      <w:r w:rsidRPr="00A5006D">
        <w:rPr>
          <w:rFonts w:cs="Times New Roman"/>
        </w:rPr>
        <w:tab/>
      </w:r>
      <w:r w:rsidRPr="00A5006D">
        <w:rPr>
          <w:rFonts w:cs="Times New Roman"/>
        </w:rPr>
        <w:tab/>
      </w:r>
      <w:r w:rsidRPr="00A5006D">
        <w:rPr>
          <w:rFonts w:cs="Times New Roman"/>
        </w:rPr>
        <w:tab/>
      </w:r>
      <w:r w:rsidRPr="00A5006D">
        <w:rPr>
          <w:rFonts w:cs="Times New Roman"/>
        </w:rPr>
        <w:tab/>
      </w:r>
      <w:r>
        <w:rPr>
          <w:rFonts w:cs="Times New Roman"/>
        </w:rPr>
        <w:tab/>
      </w:r>
      <w:r>
        <w:rPr>
          <w:rFonts w:cs="Times New Roman"/>
        </w:rPr>
        <w:tab/>
      </w:r>
      <w:r w:rsidRPr="00A5006D">
        <w:rPr>
          <w:rFonts w:cs="Times New Roman"/>
        </w:rPr>
        <w:t>:</w:t>
      </w:r>
    </w:p>
    <w:p w:rsidR="00C04B90" w:rsidRPr="00A5006D" w:rsidRDefault="00C04B90" w:rsidP="00C04B90">
      <w:pPr>
        <w:spacing w:after="0" w:line="240" w:lineRule="auto"/>
        <w:rPr>
          <w:rFonts w:cs="Times New Roman"/>
        </w:rPr>
      </w:pPr>
      <w:r>
        <w:rPr>
          <w:rFonts w:cs="Times New Roman"/>
        </w:rPr>
        <w:t>Respond Power LLC</w:t>
      </w:r>
      <w:r>
        <w:rPr>
          <w:rFonts w:cs="Times New Roman"/>
        </w:rPr>
        <w:tab/>
      </w:r>
      <w:r>
        <w:rPr>
          <w:rFonts w:cs="Times New Roman"/>
        </w:rPr>
        <w:tab/>
      </w:r>
      <w:r>
        <w:rPr>
          <w:rFonts w:cs="Times New Roman"/>
        </w:rPr>
        <w:tab/>
      </w:r>
      <w:r>
        <w:rPr>
          <w:rFonts w:cs="Times New Roman"/>
        </w:rPr>
        <w:tab/>
      </w:r>
      <w:r>
        <w:rPr>
          <w:rFonts w:cs="Times New Roman"/>
        </w:rPr>
        <w:tab/>
      </w:r>
      <w:r w:rsidRPr="00A5006D">
        <w:rPr>
          <w:rFonts w:cs="Times New Roman"/>
        </w:rPr>
        <w:t>:</w:t>
      </w:r>
    </w:p>
    <w:p w:rsidR="00C04B90" w:rsidRDefault="00C04B90" w:rsidP="00C04B90">
      <w:pPr>
        <w:spacing w:after="0" w:line="240" w:lineRule="auto"/>
      </w:pPr>
    </w:p>
    <w:p w:rsidR="00C04B90" w:rsidRPr="00AC0CAA" w:rsidRDefault="00C04B90" w:rsidP="00C04B90">
      <w:pPr>
        <w:tabs>
          <w:tab w:val="left" w:pos="-720"/>
        </w:tabs>
        <w:suppressAutoHyphens/>
        <w:spacing w:after="0" w:line="240" w:lineRule="auto"/>
        <w:rPr>
          <w:rFonts w:cs="Times New Roman"/>
          <w:spacing w:val="-3"/>
        </w:rPr>
      </w:pPr>
    </w:p>
    <w:p w:rsidR="00335E49" w:rsidRPr="00A23DD3" w:rsidRDefault="00335E49" w:rsidP="009321A2">
      <w:pPr>
        <w:spacing w:after="0" w:line="240" w:lineRule="auto"/>
      </w:pPr>
    </w:p>
    <w:p w:rsidR="00690A29" w:rsidRPr="00335E49" w:rsidRDefault="00690A29" w:rsidP="00EE5250">
      <w:pPr>
        <w:spacing w:after="0" w:line="240" w:lineRule="auto"/>
        <w:jc w:val="center"/>
        <w:rPr>
          <w:b/>
          <w:u w:val="single"/>
        </w:rPr>
      </w:pPr>
      <w:r w:rsidRPr="00335E49">
        <w:rPr>
          <w:b/>
          <w:u w:val="single"/>
        </w:rPr>
        <w:t>INITIAL DECISION</w:t>
      </w:r>
    </w:p>
    <w:p w:rsidR="00335E49" w:rsidRDefault="00335E49" w:rsidP="00EE5250">
      <w:pPr>
        <w:spacing w:after="0" w:line="240" w:lineRule="auto"/>
        <w:jc w:val="center"/>
      </w:pPr>
    </w:p>
    <w:p w:rsidR="007B5CCD" w:rsidRDefault="007B5CCD" w:rsidP="00EE5250">
      <w:pPr>
        <w:spacing w:after="0" w:line="240" w:lineRule="auto"/>
        <w:jc w:val="center"/>
      </w:pPr>
    </w:p>
    <w:p w:rsidR="00690A29" w:rsidRDefault="00690A29" w:rsidP="00EE5250">
      <w:pPr>
        <w:spacing w:after="0" w:line="240" w:lineRule="auto"/>
        <w:jc w:val="center"/>
      </w:pPr>
      <w:r>
        <w:t>Before</w:t>
      </w:r>
    </w:p>
    <w:p w:rsidR="00690A29" w:rsidRDefault="00C04B90" w:rsidP="00EE5250">
      <w:pPr>
        <w:spacing w:after="0" w:line="240" w:lineRule="auto"/>
        <w:jc w:val="center"/>
      </w:pPr>
      <w:r>
        <w:t>Elizabeth H. Barnes</w:t>
      </w:r>
    </w:p>
    <w:p w:rsidR="00690A29" w:rsidRDefault="00690A29" w:rsidP="00EE5250">
      <w:pPr>
        <w:spacing w:after="0" w:line="240" w:lineRule="auto"/>
        <w:jc w:val="center"/>
      </w:pPr>
      <w:r>
        <w:t>Administrative Law Judge</w:t>
      </w:r>
    </w:p>
    <w:p w:rsidR="00F64D7D" w:rsidRDefault="00F64D7D" w:rsidP="00EE5250">
      <w:pPr>
        <w:spacing w:after="0" w:line="240" w:lineRule="auto"/>
        <w:jc w:val="center"/>
      </w:pPr>
    </w:p>
    <w:p w:rsidR="00690A29" w:rsidRDefault="00690A29" w:rsidP="00EE5250">
      <w:pPr>
        <w:spacing w:after="0" w:line="240" w:lineRule="auto"/>
      </w:pPr>
    </w:p>
    <w:p w:rsidR="00EE5250" w:rsidRDefault="00F64D7D" w:rsidP="00F64D7D">
      <w:pPr>
        <w:spacing w:after="0" w:line="240" w:lineRule="auto"/>
        <w:jc w:val="center"/>
        <w:rPr>
          <w:u w:val="single"/>
        </w:rPr>
      </w:pPr>
      <w:r>
        <w:rPr>
          <w:u w:val="single"/>
        </w:rPr>
        <w:t>INTRODUCTION</w:t>
      </w:r>
    </w:p>
    <w:p w:rsidR="00F64D7D" w:rsidRDefault="00F64D7D" w:rsidP="00F64D7D">
      <w:pPr>
        <w:spacing w:after="0" w:line="240" w:lineRule="auto"/>
        <w:jc w:val="center"/>
      </w:pPr>
    </w:p>
    <w:p w:rsidR="00F64D7D" w:rsidRDefault="00F64D7D" w:rsidP="00C765B4">
      <w:pPr>
        <w:spacing w:after="0"/>
      </w:pPr>
      <w:r>
        <w:tab/>
      </w:r>
      <w:r>
        <w:tab/>
        <w:t>A customer filed a complaint against the electric generation supplier (EGS) that provided him with service from November 26, 2013 through March 28, 201</w:t>
      </w:r>
      <w:r w:rsidR="00F61CE0">
        <w:t>4</w:t>
      </w:r>
      <w:r>
        <w:t>, averring that the door-to-door salesman</w:t>
      </w:r>
      <w:r w:rsidR="00855E2E">
        <w:t xml:space="preserve"> for the EGS</w:t>
      </w:r>
      <w:r>
        <w:t xml:space="preserve"> misleadingly guaranteed that </w:t>
      </w:r>
      <w:r w:rsidR="007B7ED0">
        <w:t xml:space="preserve">the </w:t>
      </w:r>
      <w:r>
        <w:t xml:space="preserve">EGS’s variable residential rate would be no greater than his electric distribution company’s (EDC) price to compare </w:t>
      </w:r>
      <w:r w:rsidR="007B7ED0">
        <w:t xml:space="preserve">(PTC) </w:t>
      </w:r>
      <w:r>
        <w:t>rate.  Instead, the customer</w:t>
      </w:r>
      <w:r w:rsidR="00F61CE0">
        <w:t xml:space="preserve"> was billed at a rising variable </w:t>
      </w:r>
      <w:r>
        <w:t>rate during th</w:t>
      </w:r>
      <w:r w:rsidR="00F61CE0">
        <w:t>is past “polar vortex” winter</w:t>
      </w:r>
      <w:r>
        <w:t xml:space="preserve">, </w:t>
      </w:r>
      <w:r w:rsidR="00855E2E">
        <w:t>to</w:t>
      </w:r>
      <w:r>
        <w:t xml:space="preserve"> approximately 150% the</w:t>
      </w:r>
      <w:r w:rsidR="007B7ED0">
        <w:t xml:space="preserve"> EDC’s</w:t>
      </w:r>
      <w:r>
        <w:t xml:space="preserve"> price to compare rate.  This decision sustains the Complaint, directs the EGS to pay a refund or issue a credit to the customer, and directs the EGS pay a civil penalty in the amount of $10,000.</w:t>
      </w:r>
    </w:p>
    <w:p w:rsidR="00F64D7D" w:rsidRDefault="00F64D7D" w:rsidP="00C765B4">
      <w:pPr>
        <w:spacing w:after="0"/>
      </w:pPr>
    </w:p>
    <w:p w:rsidR="00690A29" w:rsidRDefault="00690A29" w:rsidP="00C765B4">
      <w:pPr>
        <w:spacing w:after="0"/>
        <w:jc w:val="center"/>
        <w:rPr>
          <w:u w:val="single"/>
        </w:rPr>
      </w:pPr>
      <w:r w:rsidRPr="00335E49">
        <w:rPr>
          <w:u w:val="single"/>
        </w:rPr>
        <w:t>HISTORY OF PROCEEDINGS</w:t>
      </w:r>
    </w:p>
    <w:p w:rsidR="007B5CCD" w:rsidRDefault="007B5CCD" w:rsidP="00C765B4">
      <w:pPr>
        <w:spacing w:after="0"/>
        <w:jc w:val="center"/>
        <w:rPr>
          <w:u w:val="single"/>
        </w:rPr>
      </w:pPr>
    </w:p>
    <w:p w:rsidR="00C04B90" w:rsidRDefault="00C04B90" w:rsidP="00C765B4">
      <w:pPr>
        <w:spacing w:after="0"/>
        <w:ind w:firstLine="1440"/>
      </w:pPr>
      <w:r>
        <w:t>Justin L. Herp</w:t>
      </w:r>
      <w:r w:rsidR="00690A29">
        <w:t xml:space="preserve"> (</w:t>
      </w:r>
      <w:r w:rsidR="00005670">
        <w:t>“Mr. Herp” or “</w:t>
      </w:r>
      <w:r w:rsidR="00690A29">
        <w:t>Complainant</w:t>
      </w:r>
      <w:r w:rsidR="00005670">
        <w:t>”</w:t>
      </w:r>
      <w:r w:rsidR="00690A29">
        <w:t xml:space="preserve">) filed a formal complaint on </w:t>
      </w:r>
      <w:r w:rsidR="008E4808">
        <w:t>March </w:t>
      </w:r>
      <w:r>
        <w:t>18, 2014</w:t>
      </w:r>
      <w:r w:rsidR="00690A29">
        <w:t xml:space="preserve">, </w:t>
      </w:r>
      <w:r w:rsidR="008F25EA">
        <w:t>averring</w:t>
      </w:r>
      <w:r w:rsidR="00690A29">
        <w:t xml:space="preserve"> </w:t>
      </w:r>
      <w:r>
        <w:t>that he was told that by switching to Respond Power LLC, (</w:t>
      </w:r>
      <w:r w:rsidR="00005670">
        <w:t>“</w:t>
      </w:r>
      <w:r>
        <w:t>Respond Power</w:t>
      </w:r>
      <w:r w:rsidR="00005670">
        <w:t>” or “Respondent”</w:t>
      </w:r>
      <w:r>
        <w:t>)</w:t>
      </w:r>
      <w:r w:rsidR="00005670">
        <w:t xml:space="preserve"> that</w:t>
      </w:r>
      <w:r>
        <w:t xml:space="preserve"> his electric bill would always be lower than his distributor’s (West Penn Power) variable rate.  </w:t>
      </w:r>
      <w:r w:rsidR="00005670">
        <w:t xml:space="preserve">Complainant claims he has </w:t>
      </w:r>
      <w:r>
        <w:t xml:space="preserve">seen a 150% increase in his electric </w:t>
      </w:r>
      <w:r>
        <w:lastRenderedPageBreak/>
        <w:t xml:space="preserve">supply cost since switching to Respond Power in January, 2014.  He averred Respond Power lied to him to get him to switch to their service.  </w:t>
      </w:r>
      <w:r w:rsidR="00005670">
        <w:t xml:space="preserve">Complainant requests a refund for the difference in the amount he actually paid Respond Power less the amount he would have paid if he had not switched from West Penn Power for the entire time he was with Respond Power.  Complainant requests the Commission make essential changes to allow </w:t>
      </w:r>
      <w:r w:rsidR="000F6F31">
        <w:t>consumers</w:t>
      </w:r>
      <w:r w:rsidR="00005670">
        <w:t xml:space="preserve"> to know energy costs prior to energy use.  Complainant further requests consumers be able to change energy providers immediately if faced with rate increases, and not to have to wait until the end of their next billing cycle. </w:t>
      </w:r>
    </w:p>
    <w:p w:rsidR="00005670" w:rsidRDefault="00005670" w:rsidP="009321A2">
      <w:pPr>
        <w:spacing w:after="0"/>
        <w:ind w:firstLine="1440"/>
      </w:pPr>
    </w:p>
    <w:p w:rsidR="00005670" w:rsidRDefault="00C04B90" w:rsidP="009321A2">
      <w:pPr>
        <w:spacing w:after="0"/>
        <w:ind w:firstLine="1440"/>
      </w:pPr>
      <w:r>
        <w:t xml:space="preserve">On April 2, 2014, the Complaint was served upon Respond Power. </w:t>
      </w:r>
      <w:r w:rsidR="00005670">
        <w:t xml:space="preserve"> </w:t>
      </w:r>
      <w:r>
        <w:t xml:space="preserve">Respond </w:t>
      </w:r>
      <w:r w:rsidR="00690A29">
        <w:t xml:space="preserve">Power filed an </w:t>
      </w:r>
      <w:r w:rsidR="00552C2A">
        <w:t>A</w:t>
      </w:r>
      <w:r w:rsidR="00690A29">
        <w:t xml:space="preserve">nswer on </w:t>
      </w:r>
      <w:r w:rsidR="00005670">
        <w:t>April 15, 2014</w:t>
      </w:r>
      <w:r w:rsidR="00690A29">
        <w:t xml:space="preserve">, denying </w:t>
      </w:r>
      <w:r w:rsidR="00005670">
        <w:t xml:space="preserve">all allegations in the Complaint.  Respond avers Complainant was validly enrolled in a variable rate plan </w:t>
      </w:r>
      <w:r w:rsidR="008F25EA">
        <w:t>i</w:t>
      </w:r>
      <w:r w:rsidR="00005670">
        <w:t>n October, 2013 and on March 7, 2014, he was offered a fixed rate going forward on his account.  Additionally, Respond offered to adjust the billing cycles ending on January 24, 2014 and February 26, 2014 down to that f</w:t>
      </w:r>
      <w:r w:rsidR="000F6F31">
        <w:t>i</w:t>
      </w:r>
      <w:r w:rsidR="00005670">
        <w:t xml:space="preserve">xed rate, but Mr. Herp refused.  Respond denies it owes Complainant any refund.  </w:t>
      </w:r>
    </w:p>
    <w:p w:rsidR="00005670" w:rsidRDefault="00005670" w:rsidP="009321A2">
      <w:pPr>
        <w:spacing w:after="0"/>
        <w:ind w:firstLine="1440"/>
      </w:pPr>
    </w:p>
    <w:p w:rsidR="00D50E0D" w:rsidRDefault="00005670" w:rsidP="009321A2">
      <w:pPr>
        <w:spacing w:after="0"/>
        <w:ind w:firstLine="1440"/>
      </w:pPr>
      <w:r>
        <w:t>On May 7, 2014, an Initial Telephonic Hearing Notice was issued assigning this case to me and scheduling an initial telephonic hearing for July 1, 2014.  On May 9, 2014, I issued a Prehearing Order setting forth instructions relating to the initial telephonic hearing.  On June 4, 2014, Respond served a Motion for Summary Judgment and Karen O. Moury, Esquire, a Pennsylvania licensed attorney, entered her notice of appearance.  On June 24, 2014, the Office of Consumer Advocate filed a Notice of Intervention and an Answer in Response to the Motion for Summary Judgment of Res</w:t>
      </w:r>
      <w:r w:rsidR="003566B7">
        <w:t>p</w:t>
      </w:r>
      <w:r>
        <w:t>ond Power LLC.  On June 25, 2014, Complainant also request</w:t>
      </w:r>
      <w:r w:rsidR="008F25EA">
        <w:t>ed</w:t>
      </w:r>
      <w:r>
        <w:t xml:space="preserve"> the hearing be continued. </w:t>
      </w:r>
      <w:r w:rsidR="0013065C">
        <w:t xml:space="preserve"> The motion for summary judgment was denied by order dated June 25, 2014</w:t>
      </w:r>
      <w:r w:rsidR="003566B7">
        <w:t>, and the hearing scheduled for July 1, 2014, was rescheduled to August 1, 2014</w:t>
      </w:r>
      <w:r w:rsidR="0013065C">
        <w:t xml:space="preserve">.  </w:t>
      </w:r>
      <w:r w:rsidR="00D0755A">
        <w:t xml:space="preserve">Thereafter, Respondent filed a </w:t>
      </w:r>
      <w:r w:rsidR="00D0755A" w:rsidRPr="00212A66">
        <w:rPr>
          <w:i/>
        </w:rPr>
        <w:t>Motion in Limine</w:t>
      </w:r>
      <w:r w:rsidR="00D0755A">
        <w:t xml:space="preserve"> on July 7, 2014, requesting </w:t>
      </w:r>
      <w:r w:rsidR="008F25EA">
        <w:t>a narrow</w:t>
      </w:r>
      <w:r w:rsidR="00212A66">
        <w:t>ed</w:t>
      </w:r>
      <w:r w:rsidR="008F25EA">
        <w:t xml:space="preserve"> </w:t>
      </w:r>
      <w:r w:rsidR="00D0755A">
        <w:t>scope of the hearing.  On June 28, 2014, OCA and Mr. Herp filed Answers to Res</w:t>
      </w:r>
      <w:r w:rsidR="00B50AF8">
        <w:t>p</w:t>
      </w:r>
      <w:r w:rsidR="00D0755A">
        <w:t xml:space="preserve">ondent’s Motion.  The </w:t>
      </w:r>
      <w:r w:rsidR="00D0755A" w:rsidRPr="00212A66">
        <w:rPr>
          <w:i/>
        </w:rPr>
        <w:t>Motion in Limine</w:t>
      </w:r>
      <w:r w:rsidR="00D0755A">
        <w:t xml:space="preserve"> was denied by an Order entered July 29, 2014.</w:t>
      </w:r>
    </w:p>
    <w:p w:rsidR="00D50E0D" w:rsidRDefault="00D50E0D" w:rsidP="009321A2">
      <w:pPr>
        <w:spacing w:after="0"/>
        <w:ind w:firstLine="1440"/>
      </w:pPr>
    </w:p>
    <w:p w:rsidR="00690A29" w:rsidRDefault="00BA7E4F" w:rsidP="00AE3BE8">
      <w:pPr>
        <w:pStyle w:val="BodyFirst1SS"/>
        <w:spacing w:line="360" w:lineRule="auto"/>
        <w:jc w:val="left"/>
      </w:pPr>
      <w:r>
        <w:tab/>
      </w:r>
      <w:r w:rsidR="00D50E0D">
        <w:t>A telephonic</w:t>
      </w:r>
      <w:r w:rsidR="0013065C">
        <w:t xml:space="preserve"> hearing was held on August 1, 2014.  Complainant appeared with one witness, </w:t>
      </w:r>
      <w:r w:rsidR="00D50E0D">
        <w:t xml:space="preserve">William Earl </w:t>
      </w:r>
      <w:r w:rsidR="0013065C">
        <w:t>Hackett</w:t>
      </w:r>
      <w:r w:rsidR="00D50E0D">
        <w:t>, Jr.</w:t>
      </w:r>
      <w:r w:rsidR="0013065C">
        <w:t xml:space="preserve">  OCA was represented by Barrett Sheridan, Esquire</w:t>
      </w:r>
      <w:r w:rsidR="00D0755A">
        <w:t xml:space="preserve"> and Hobart Webster, Esquire.</w:t>
      </w:r>
      <w:r w:rsidR="0013065C">
        <w:t xml:space="preserve">  </w:t>
      </w:r>
      <w:r w:rsidR="00AE3BE8">
        <w:t>OCA participated in the hearing throu</w:t>
      </w:r>
      <w:r w:rsidR="008E4808">
        <w:t>gh the cross-examination of Mr. </w:t>
      </w:r>
      <w:r w:rsidR="00AE3BE8">
        <w:t xml:space="preserve">Small.  </w:t>
      </w:r>
      <w:r w:rsidR="0013065C">
        <w:t>Respond Power was represented by Karen Moury</w:t>
      </w:r>
      <w:r w:rsidR="00AE3BE8">
        <w:t>, Esquire and</w:t>
      </w:r>
      <w:r w:rsidR="00D50E0D">
        <w:t xml:space="preserve"> presented the testimony of one witness, Adam Small, General Counsel for Respond Power</w:t>
      </w:r>
      <w:r w:rsidR="0013065C">
        <w:t xml:space="preserve">. </w:t>
      </w:r>
      <w:r w:rsidR="00D50E0D">
        <w:t xml:space="preserve"> </w:t>
      </w:r>
      <w:r w:rsidR="0013065C">
        <w:t>An Order was issued on August 1, 2014, after the hearing directing main briefs be submitted by September 2, 2014 and reply briefs on or before September 19, 2014.  OCA and Respond timely filed main and reply briefs.  A 94 page transcript was filed on August 22, 2014. The record closed on September 19, 2014.  This case is ripe for a decision.</w:t>
      </w:r>
      <w:r w:rsidR="0041089C">
        <w:t xml:space="preserve">  After a full review of the record, the complaint is sustained</w:t>
      </w:r>
      <w:r w:rsidR="0013065C">
        <w:t>, a refund is ordered,</w:t>
      </w:r>
      <w:r w:rsidR="0041089C">
        <w:t xml:space="preserve"> and a civil penalty is assessed.</w:t>
      </w:r>
    </w:p>
    <w:p w:rsidR="007B5CCD" w:rsidRDefault="007B5CCD" w:rsidP="009321A2">
      <w:pPr>
        <w:spacing w:after="0"/>
        <w:ind w:firstLine="1440"/>
      </w:pPr>
    </w:p>
    <w:p w:rsidR="00B2464E" w:rsidRDefault="00B2464E" w:rsidP="009321A2">
      <w:pPr>
        <w:spacing w:after="0"/>
        <w:ind w:firstLine="1440"/>
      </w:pPr>
      <w:r>
        <w:t>Following a thorough review of the record in this proceeding, I make the following:</w:t>
      </w:r>
    </w:p>
    <w:p w:rsidR="00B2464E" w:rsidRDefault="00B2464E" w:rsidP="009321A2">
      <w:pPr>
        <w:spacing w:after="0"/>
        <w:jc w:val="center"/>
        <w:rPr>
          <w:u w:val="single"/>
        </w:rPr>
      </w:pPr>
      <w:r w:rsidRPr="00335E49">
        <w:rPr>
          <w:u w:val="single"/>
        </w:rPr>
        <w:t>FINDINGS OF FACT</w:t>
      </w:r>
    </w:p>
    <w:p w:rsidR="007B5CCD" w:rsidRPr="00335E49" w:rsidRDefault="007B5CCD" w:rsidP="009321A2">
      <w:pPr>
        <w:spacing w:after="0"/>
        <w:jc w:val="center"/>
        <w:rPr>
          <w:u w:val="single"/>
        </w:rPr>
      </w:pPr>
    </w:p>
    <w:p w:rsidR="00B2464E" w:rsidRDefault="003D1343" w:rsidP="008E4808">
      <w:pPr>
        <w:pStyle w:val="ListParagraph"/>
        <w:tabs>
          <w:tab w:val="left" w:pos="2160"/>
        </w:tabs>
        <w:ind w:firstLine="1440"/>
      </w:pPr>
      <w:r>
        <w:t>Justin Herp</w:t>
      </w:r>
      <w:r w:rsidR="008206DE">
        <w:t xml:space="preserve"> resides at</w:t>
      </w:r>
      <w:r w:rsidR="00552C2A">
        <w:t xml:space="preserve"> 220 Bennett Drive, Butler</w:t>
      </w:r>
      <w:r w:rsidR="008E4808">
        <w:t>, Pennsylvania.  He receives</w:t>
      </w:r>
      <w:r w:rsidR="008206DE">
        <w:t xml:space="preserve"> electric service from </w:t>
      </w:r>
      <w:r>
        <w:t>West Penn Power Company</w:t>
      </w:r>
      <w:r w:rsidR="00552C2A">
        <w:t xml:space="preserve"> at 135 Golden Lane, Butler, Pennsylvania</w:t>
      </w:r>
      <w:r w:rsidR="008206DE">
        <w:t xml:space="preserve">. </w:t>
      </w:r>
      <w:r w:rsidR="004B0466">
        <w:t xml:space="preserve"> </w:t>
      </w:r>
      <w:r w:rsidR="008206DE">
        <w:t>(</w:t>
      </w:r>
      <w:r w:rsidR="00552C2A">
        <w:t xml:space="preserve">Complaint, </w:t>
      </w:r>
      <w:r w:rsidR="008206DE">
        <w:t xml:space="preserve">N.T. </w:t>
      </w:r>
      <w:r w:rsidR="00643E1D">
        <w:t>11-12</w:t>
      </w:r>
      <w:r w:rsidR="008206DE">
        <w:t>)</w:t>
      </w:r>
      <w:r w:rsidR="00643E1D">
        <w:t>.</w:t>
      </w:r>
    </w:p>
    <w:p w:rsidR="00334EE4" w:rsidRDefault="00334EE4" w:rsidP="008E4808">
      <w:pPr>
        <w:tabs>
          <w:tab w:val="left" w:pos="2160"/>
        </w:tabs>
        <w:spacing w:after="0"/>
        <w:ind w:left="720" w:firstLine="1440"/>
      </w:pPr>
    </w:p>
    <w:p w:rsidR="00334EE4" w:rsidRDefault="00334EE4" w:rsidP="008E4808">
      <w:pPr>
        <w:pStyle w:val="ListParagraph"/>
        <w:tabs>
          <w:tab w:val="left" w:pos="2160"/>
        </w:tabs>
        <w:ind w:firstLine="1440"/>
      </w:pPr>
      <w:r>
        <w:t xml:space="preserve">Respond Power, LLC (Respond Power), is a licensed electric generation supplier (EGS) in the electric distribution company (EDC) service territory of West Penn Power Company </w:t>
      </w:r>
      <w:r w:rsidR="000358DE">
        <w:t xml:space="preserve">d/b/a Allegheny Power </w:t>
      </w:r>
      <w:r>
        <w:t xml:space="preserve">as of August 19, 2010, at Docket No. A-2010-2163898.  </w:t>
      </w:r>
    </w:p>
    <w:p w:rsidR="007B5CCD" w:rsidRDefault="007B5CCD" w:rsidP="008E4808">
      <w:pPr>
        <w:tabs>
          <w:tab w:val="left" w:pos="2160"/>
        </w:tabs>
        <w:spacing w:after="0"/>
        <w:ind w:firstLine="1440"/>
      </w:pPr>
    </w:p>
    <w:p w:rsidR="00B50AF8" w:rsidRDefault="00B50AF8" w:rsidP="008E4808">
      <w:pPr>
        <w:pStyle w:val="ListParagraph"/>
        <w:tabs>
          <w:tab w:val="left" w:pos="2160"/>
        </w:tabs>
        <w:ind w:firstLine="1440"/>
      </w:pPr>
      <w:r>
        <w:t xml:space="preserve">Mr. Herp was sitting in his home </w:t>
      </w:r>
      <w:r w:rsidR="008F25EA">
        <w:t>in</w:t>
      </w:r>
      <w:r>
        <w:t xml:space="preserve"> October, 2013, when a door-to-door sales</w:t>
      </w:r>
      <w:r w:rsidR="00334EE4">
        <w:t xml:space="preserve"> representative </w:t>
      </w:r>
      <w:r>
        <w:t xml:space="preserve">named </w:t>
      </w:r>
      <w:r w:rsidR="00C1283D">
        <w:t>Larry Majek</w:t>
      </w:r>
      <w:r w:rsidR="008F25EA">
        <w:rPr>
          <w:rStyle w:val="FootnoteReference"/>
        </w:rPr>
        <w:footnoteReference w:id="1"/>
      </w:r>
      <w:r>
        <w:t xml:space="preserve"> knocked on his door at 220 Bennett Drive, Butler, Pennsylvania, and offered Mr. Herp </w:t>
      </w:r>
      <w:r w:rsidR="00643E1D">
        <w:t xml:space="preserve">electric </w:t>
      </w:r>
      <w:r>
        <w:t>rates</w:t>
      </w:r>
      <w:r w:rsidR="00643E1D">
        <w:t xml:space="preserve"> from Respond Power</w:t>
      </w:r>
      <w:r>
        <w:t xml:space="preserve"> always lower than West Penn Power.  N.T. 14.</w:t>
      </w:r>
      <w:r w:rsidR="00C1283D">
        <w:t xml:space="preserve">  Respondent’s Exhibit 1.</w:t>
      </w:r>
    </w:p>
    <w:p w:rsidR="00B50AF8" w:rsidRDefault="00B50AF8" w:rsidP="008E4808">
      <w:pPr>
        <w:tabs>
          <w:tab w:val="left" w:pos="2160"/>
        </w:tabs>
        <w:spacing w:after="0"/>
        <w:ind w:left="1440" w:firstLine="1440"/>
      </w:pPr>
    </w:p>
    <w:p w:rsidR="00B50AF8" w:rsidRDefault="00B50AF8" w:rsidP="008E4808">
      <w:pPr>
        <w:pStyle w:val="ListParagraph"/>
        <w:tabs>
          <w:tab w:val="left" w:pos="2160"/>
        </w:tabs>
        <w:ind w:firstLine="1440"/>
      </w:pPr>
      <w:r>
        <w:t xml:space="preserve">Based upon his understanding from the salesperson that Respond Power buys its electricity on a daily basis as opposed to West Penn </w:t>
      </w:r>
      <w:r w:rsidR="000358DE">
        <w:t xml:space="preserve">Power </w:t>
      </w:r>
      <w:r>
        <w:t xml:space="preserve">purchasing electricity on a three – four month basis, Complainant believed he could be consistently offered rates lower than West Penn Power by Respond Power.  </w:t>
      </w:r>
      <w:r w:rsidR="00095EB3">
        <w:t>N.T.</w:t>
      </w:r>
      <w:r>
        <w:t xml:space="preserve"> 14-15.</w:t>
      </w:r>
    </w:p>
    <w:p w:rsidR="00B50AF8" w:rsidRDefault="00B50AF8" w:rsidP="008E4808">
      <w:pPr>
        <w:tabs>
          <w:tab w:val="left" w:pos="2160"/>
        </w:tabs>
        <w:spacing w:after="0"/>
        <w:ind w:left="1440" w:firstLine="1440"/>
      </w:pPr>
    </w:p>
    <w:p w:rsidR="00C1283D" w:rsidRDefault="00C1283D" w:rsidP="008E4808">
      <w:pPr>
        <w:pStyle w:val="ListParagraph"/>
        <w:tabs>
          <w:tab w:val="left" w:pos="2160"/>
        </w:tabs>
        <w:ind w:firstLine="1440"/>
      </w:pPr>
      <w:r>
        <w:t>Mr. Herp quickly reviewed the sales agreement</w:t>
      </w:r>
      <w:r w:rsidR="000358DE">
        <w:t>, looking for affirmations of the sales agent’s oral representations</w:t>
      </w:r>
      <w:r>
        <w:t xml:space="preserve"> before signing it</w:t>
      </w:r>
      <w:r w:rsidR="000358DE">
        <w:t>; however, he</w:t>
      </w:r>
      <w:r>
        <w:t xml:space="preserve"> </w:t>
      </w:r>
      <w:r w:rsidR="000358DE">
        <w:t>saw</w:t>
      </w:r>
      <w:r>
        <w:t xml:space="preserve"> no guarantee on the front of the sales agreement that his variable rate would be </w:t>
      </w:r>
      <w:r w:rsidR="00643E1D">
        <w:t xml:space="preserve">capped at </w:t>
      </w:r>
      <w:r>
        <w:t>West Penn Power’s</w:t>
      </w:r>
      <w:r w:rsidR="00643E1D">
        <w:t xml:space="preserve"> price to compare rate</w:t>
      </w:r>
      <w:r>
        <w:t>.  N.T</w:t>
      </w:r>
      <w:r w:rsidR="00362443">
        <w:t>.</w:t>
      </w:r>
      <w:r>
        <w:t xml:space="preserve"> 15.</w:t>
      </w:r>
    </w:p>
    <w:p w:rsidR="00643E1D" w:rsidRDefault="00643E1D" w:rsidP="008E4808">
      <w:pPr>
        <w:tabs>
          <w:tab w:val="left" w:pos="2160"/>
        </w:tabs>
        <w:spacing w:after="0"/>
        <w:ind w:left="1440" w:firstLine="1440"/>
      </w:pPr>
    </w:p>
    <w:p w:rsidR="00C1283D" w:rsidRDefault="00212A66" w:rsidP="008E4808">
      <w:pPr>
        <w:pStyle w:val="ListParagraph"/>
        <w:tabs>
          <w:tab w:val="left" w:pos="2160"/>
        </w:tabs>
        <w:ind w:firstLine="1440"/>
      </w:pPr>
      <w:r>
        <w:t xml:space="preserve">After he signed the front of the sales agreement, </w:t>
      </w:r>
      <w:r w:rsidR="00C1283D">
        <w:t>Mr. Herp was show</w:t>
      </w:r>
      <w:r w:rsidR="00BE7104">
        <w:t>n</w:t>
      </w:r>
      <w:r w:rsidR="00C1283D">
        <w:t xml:space="preserve"> the back of the </w:t>
      </w:r>
      <w:r w:rsidR="00643E1D">
        <w:t xml:space="preserve">sales </w:t>
      </w:r>
      <w:r w:rsidR="00C1283D">
        <w:t>agreement</w:t>
      </w:r>
      <w:r w:rsidR="00643E1D">
        <w:t xml:space="preserve">, which contained a </w:t>
      </w:r>
      <w:r w:rsidR="00334EE4">
        <w:t>one-</w:t>
      </w:r>
      <w:r w:rsidR="00643E1D">
        <w:t xml:space="preserve"> page </w:t>
      </w:r>
      <w:r w:rsidR="00334EE4">
        <w:t xml:space="preserve">single-spaced </w:t>
      </w:r>
      <w:r w:rsidR="00643E1D">
        <w:t xml:space="preserve">disclosure statement in very tiny print entitled “Respond Power LLC and Major Energy Services LLC, Affiliates Disclosure Statement” </w:t>
      </w:r>
      <w:r w:rsidR="00C1283D">
        <w:t xml:space="preserve">which Mr. Herp </w:t>
      </w:r>
      <w:r w:rsidR="00643E1D">
        <w:t>skimmed</w:t>
      </w:r>
      <w:r w:rsidR="00C1283D">
        <w:t xml:space="preserve"> and he believed the language </w:t>
      </w:r>
      <w:r w:rsidR="00643E1D">
        <w:t xml:space="preserve">he read </w:t>
      </w:r>
      <w:r w:rsidR="00C1283D">
        <w:t xml:space="preserve">supported what was promised him by the sales representative.  </w:t>
      </w:r>
      <w:r w:rsidR="00643E1D">
        <w:t>He did not catch the word “goal” in the variable rate section under paragraph heading 1.</w:t>
      </w:r>
      <w:r w:rsidR="008A2650">
        <w:t xml:space="preserve"> </w:t>
      </w:r>
      <w:r w:rsidR="00643E1D">
        <w:t xml:space="preserve"> Basic Service Prices, Electric, Variable Rate. </w:t>
      </w:r>
    </w:p>
    <w:p w:rsidR="00643E1D" w:rsidRDefault="00643E1D" w:rsidP="008E4808">
      <w:pPr>
        <w:tabs>
          <w:tab w:val="left" w:pos="2160"/>
        </w:tabs>
        <w:spacing w:after="0"/>
        <w:ind w:left="1440" w:firstLine="1440"/>
      </w:pPr>
    </w:p>
    <w:p w:rsidR="00531075" w:rsidRDefault="00531075" w:rsidP="008E4808">
      <w:pPr>
        <w:pStyle w:val="ListParagraph"/>
        <w:tabs>
          <w:tab w:val="left" w:pos="2160"/>
        </w:tabs>
        <w:ind w:firstLine="1440"/>
      </w:pPr>
      <w:r>
        <w:t xml:space="preserve">It is unclear from the record the date the service contract was executed and verified because the sales agreement </w:t>
      </w:r>
      <w:r w:rsidR="000358DE">
        <w:t xml:space="preserve">is not dated </w:t>
      </w:r>
      <w:r>
        <w:t xml:space="preserve">and although Respondent brought and identified as Respondent’s Exhibit 3, the recording of the verification on a CD ROM disc, Respondent did </w:t>
      </w:r>
      <w:r w:rsidR="00BE7104">
        <w:t xml:space="preserve">not </w:t>
      </w:r>
      <w:r w:rsidR="00212A66">
        <w:t>request</w:t>
      </w:r>
      <w:r>
        <w:t xml:space="preserve"> this exhibit </w:t>
      </w:r>
      <w:r w:rsidR="00212A66">
        <w:t>be</w:t>
      </w:r>
      <w:r>
        <w:t xml:space="preserve"> entered into evidence, and Respondent did not provide a transcript of </w:t>
      </w:r>
      <w:r w:rsidR="000358DE">
        <w:t xml:space="preserve">verification on </w:t>
      </w:r>
      <w:r>
        <w:t>the disc.  N.T. 7.</w:t>
      </w:r>
    </w:p>
    <w:p w:rsidR="00AD0A08" w:rsidRDefault="00AD0A08" w:rsidP="008E4808">
      <w:pPr>
        <w:tabs>
          <w:tab w:val="left" w:pos="2160"/>
        </w:tabs>
        <w:spacing w:after="0"/>
        <w:ind w:left="1440" w:firstLine="1440"/>
      </w:pPr>
    </w:p>
    <w:p w:rsidR="00531075" w:rsidRDefault="00531075" w:rsidP="008E4808">
      <w:pPr>
        <w:pStyle w:val="ListParagraph"/>
        <w:tabs>
          <w:tab w:val="left" w:pos="2160"/>
        </w:tabs>
        <w:ind w:firstLine="1440"/>
      </w:pPr>
      <w:r>
        <w:t xml:space="preserve">Mr. Herp was </w:t>
      </w:r>
      <w:r w:rsidR="00C1283D">
        <w:t xml:space="preserve">contacted a few days </w:t>
      </w:r>
      <w:r>
        <w:t xml:space="preserve">after he signed the agreement </w:t>
      </w:r>
      <w:r w:rsidR="008A2650">
        <w:t xml:space="preserve">for a </w:t>
      </w:r>
      <w:r w:rsidR="00C1283D">
        <w:t>third</w:t>
      </w:r>
      <w:r w:rsidR="000358DE">
        <w:t>-</w:t>
      </w:r>
      <w:r w:rsidR="00C1283D">
        <w:t xml:space="preserve">party verification but at no time during this verification were the terms of his contract explained to him.  </w:t>
      </w:r>
      <w:r w:rsidR="00095EB3">
        <w:t>N.T.</w:t>
      </w:r>
      <w:r w:rsidR="00C1283D">
        <w:t xml:space="preserve"> 16.</w:t>
      </w:r>
    </w:p>
    <w:p w:rsidR="00212A66" w:rsidRDefault="00212A66" w:rsidP="008E4808">
      <w:pPr>
        <w:tabs>
          <w:tab w:val="left" w:pos="2160"/>
        </w:tabs>
        <w:spacing w:after="0"/>
        <w:ind w:left="720" w:firstLine="1440"/>
      </w:pPr>
    </w:p>
    <w:p w:rsidR="00531075" w:rsidRDefault="00531075" w:rsidP="008E4808">
      <w:pPr>
        <w:pStyle w:val="ListParagraph"/>
        <w:tabs>
          <w:tab w:val="left" w:pos="2160"/>
        </w:tabs>
        <w:ind w:firstLine="1440"/>
      </w:pPr>
      <w:r>
        <w:t xml:space="preserve">Mr. Herp began receiving </w:t>
      </w:r>
      <w:r w:rsidR="00C37494">
        <w:t xml:space="preserve">residential rate </w:t>
      </w:r>
      <w:r>
        <w:t>service</w:t>
      </w:r>
      <w:r w:rsidR="00C37494">
        <w:t xml:space="preserve"> at </w:t>
      </w:r>
      <w:r w:rsidR="00212A66">
        <w:t>135 Golden Lane</w:t>
      </w:r>
      <w:r w:rsidR="008845BD">
        <w:t xml:space="preserve"> </w:t>
      </w:r>
      <w:r w:rsidR="00C37494">
        <w:t xml:space="preserve">(a </w:t>
      </w:r>
      <w:r w:rsidR="008845BD">
        <w:t xml:space="preserve">West Penn </w:t>
      </w:r>
      <w:r w:rsidR="0077638A">
        <w:t xml:space="preserve">Power </w:t>
      </w:r>
      <w:r w:rsidR="00C37494">
        <w:t>general service account)</w:t>
      </w:r>
      <w:r>
        <w:t xml:space="preserve"> from Respond Power </w:t>
      </w:r>
      <w:r w:rsidR="00C37494">
        <w:t xml:space="preserve">on or about </w:t>
      </w:r>
      <w:r>
        <w:t>November</w:t>
      </w:r>
      <w:r w:rsidR="00C37494">
        <w:t xml:space="preserve"> 26</w:t>
      </w:r>
      <w:r>
        <w:t xml:space="preserve">, 2013.  N.T. </w:t>
      </w:r>
      <w:r w:rsidR="00C37494">
        <w:t xml:space="preserve">32-33, 58, </w:t>
      </w:r>
      <w:r>
        <w:t>86, Herp Exhibit 2.</w:t>
      </w:r>
    </w:p>
    <w:p w:rsidR="00531075" w:rsidRDefault="00531075" w:rsidP="008E4808">
      <w:pPr>
        <w:tabs>
          <w:tab w:val="left" w:pos="2160"/>
        </w:tabs>
        <w:spacing w:after="0"/>
        <w:ind w:left="1440" w:firstLine="1440"/>
      </w:pPr>
    </w:p>
    <w:p w:rsidR="00552C2A" w:rsidRDefault="00B50AF8" w:rsidP="008E4808">
      <w:pPr>
        <w:pStyle w:val="ListParagraph"/>
        <w:tabs>
          <w:tab w:val="left" w:pos="2160"/>
        </w:tabs>
        <w:ind w:firstLine="1440"/>
      </w:pPr>
      <w:r>
        <w:t xml:space="preserve">Complainant </w:t>
      </w:r>
      <w:r w:rsidR="00552C2A">
        <w:t xml:space="preserve">received electric generation supply from Respond Power LLC during the months of </w:t>
      </w:r>
      <w:r>
        <w:t>January</w:t>
      </w:r>
      <w:r w:rsidR="00552C2A">
        <w:t xml:space="preserve"> through March</w:t>
      </w:r>
      <w:r w:rsidR="00C37494">
        <w:t xml:space="preserve"> 28</w:t>
      </w:r>
      <w:r w:rsidR="00552C2A">
        <w:t>, 2014</w:t>
      </w:r>
      <w:r w:rsidR="00C37494">
        <w:t xml:space="preserve">, although he requested he be returned to his </w:t>
      </w:r>
      <w:r w:rsidR="002C2339">
        <w:t>electric distribution company, West Penn Power,</w:t>
      </w:r>
      <w:r w:rsidR="00C37494">
        <w:t xml:space="preserve"> on March 7, 2014</w:t>
      </w:r>
      <w:r w:rsidR="00552C2A">
        <w:t xml:space="preserve">.  (N.T. </w:t>
      </w:r>
      <w:r w:rsidR="00C1283D">
        <w:t>17-19</w:t>
      </w:r>
      <w:r w:rsidR="00C37494">
        <w:t>, 58</w:t>
      </w:r>
      <w:r w:rsidR="00552C2A">
        <w:t>).</w:t>
      </w:r>
      <w:r w:rsidR="00C1283D">
        <w:t xml:space="preserve">  </w:t>
      </w:r>
      <w:r w:rsidR="00C37494">
        <w:t>Herp</w:t>
      </w:r>
      <w:r w:rsidR="00C1283D">
        <w:t xml:space="preserve"> Exhibits 1-8</w:t>
      </w:r>
      <w:r w:rsidR="00212A66">
        <w:t xml:space="preserve"> and 14</w:t>
      </w:r>
      <w:r w:rsidR="00C1283D">
        <w:t>.</w:t>
      </w:r>
    </w:p>
    <w:p w:rsidR="0023577A" w:rsidRDefault="0023577A" w:rsidP="008E4808">
      <w:pPr>
        <w:tabs>
          <w:tab w:val="left" w:pos="2160"/>
        </w:tabs>
        <w:spacing w:after="0"/>
        <w:ind w:left="1440" w:firstLine="1440"/>
      </w:pPr>
    </w:p>
    <w:p w:rsidR="0077638A" w:rsidRDefault="003A2297" w:rsidP="008E4808">
      <w:pPr>
        <w:tabs>
          <w:tab w:val="left" w:pos="2160"/>
        </w:tabs>
        <w:spacing w:after="0"/>
        <w:ind w:firstLine="1440"/>
      </w:pPr>
      <w:r>
        <w:t>11.</w:t>
      </w:r>
      <w:r w:rsidR="0023577A">
        <w:tab/>
        <w:t xml:space="preserve">The Complainant’s first month of service with Respond Power, from November 26, 2013 through December 24, 2013, was billed at the rate of $.05990 per </w:t>
      </w:r>
      <w:r w:rsidR="006C6EEF">
        <w:t>kWh</w:t>
      </w:r>
      <w:r w:rsidR="0023577A">
        <w:t xml:space="preserve">.   The second month, from December 25, 2013 through January 24, 2014, was billed at $.10990 per </w:t>
      </w:r>
      <w:r w:rsidR="006C6EEF">
        <w:t>kWh</w:t>
      </w:r>
      <w:r w:rsidR="0023577A">
        <w:t xml:space="preserve">.   In the third month, January 25, 2014 through February 26, 2014, the rate rose to $.14990 per </w:t>
      </w:r>
      <w:r w:rsidR="006C6EEF">
        <w:t>kWh</w:t>
      </w:r>
      <w:r w:rsidR="008A2650">
        <w:t xml:space="preserve">, </w:t>
      </w:r>
      <w:r w:rsidR="0023577A">
        <w:t xml:space="preserve">and in the Complainant’s last month with Respond Power, February 27, 2014 through March 27, 2014, his rate increased to $.24990 per </w:t>
      </w:r>
      <w:r w:rsidR="006C6EEF">
        <w:t>kWh</w:t>
      </w:r>
      <w:r w:rsidR="0023577A">
        <w:t xml:space="preserve">. </w:t>
      </w:r>
      <w:r>
        <w:t>Herp Exhibits 1-8.</w:t>
      </w:r>
    </w:p>
    <w:p w:rsidR="00212A66" w:rsidRDefault="00212A66" w:rsidP="008E4808">
      <w:pPr>
        <w:tabs>
          <w:tab w:val="left" w:pos="2160"/>
        </w:tabs>
        <w:spacing w:after="0"/>
        <w:ind w:firstLine="1440"/>
      </w:pPr>
    </w:p>
    <w:p w:rsidR="00066F0F" w:rsidRDefault="0077638A" w:rsidP="008A2650">
      <w:pPr>
        <w:tabs>
          <w:tab w:val="left" w:pos="2160"/>
        </w:tabs>
        <w:spacing w:after="0"/>
        <w:ind w:firstLine="1440"/>
      </w:pPr>
      <w:r>
        <w:t>12.</w:t>
      </w:r>
      <w:r>
        <w:tab/>
      </w:r>
      <w:r w:rsidR="00066F0F">
        <w:t>Complainant’s January bill was similar to his average bill, so he did not complain</w:t>
      </w:r>
      <w:r w:rsidR="00531075">
        <w:t xml:space="preserve"> to West Penn Power or Respond Power</w:t>
      </w:r>
      <w:r w:rsidR="00066F0F">
        <w:t xml:space="preserve">. </w:t>
      </w:r>
      <w:r w:rsidR="00095EB3">
        <w:t>N.T.</w:t>
      </w:r>
      <w:r w:rsidR="00066F0F">
        <w:t xml:space="preserve"> 18.</w:t>
      </w:r>
    </w:p>
    <w:p w:rsidR="008A2650" w:rsidRDefault="008A2650" w:rsidP="008A2650">
      <w:pPr>
        <w:tabs>
          <w:tab w:val="left" w:pos="2160"/>
        </w:tabs>
        <w:spacing w:after="0"/>
        <w:ind w:firstLine="1440"/>
      </w:pPr>
    </w:p>
    <w:p w:rsidR="00066F0F" w:rsidRDefault="00212A66" w:rsidP="008A2650">
      <w:pPr>
        <w:tabs>
          <w:tab w:val="left" w:pos="2160"/>
        </w:tabs>
        <w:spacing w:after="0"/>
        <w:ind w:firstLine="1440"/>
      </w:pPr>
      <w:r>
        <w:t>13.</w:t>
      </w:r>
      <w:r>
        <w:tab/>
      </w:r>
      <w:r w:rsidR="00066F0F">
        <w:t xml:space="preserve">Complainant’s February bill was higher, but Complainant figured it was due to increased energy usage because it was colder and he noted his variable rate increased from 6.1 cents to 6.2 cents per </w:t>
      </w:r>
      <w:r w:rsidR="006C6EEF">
        <w:t>kWh</w:t>
      </w:r>
      <w:r w:rsidR="00066F0F">
        <w:t xml:space="preserve">.  Complainant </w:t>
      </w:r>
      <w:r w:rsidR="00531075">
        <w:t xml:space="preserve">erroneously </w:t>
      </w:r>
      <w:r w:rsidR="00066F0F">
        <w:t xml:space="preserve">assumed the rate was still lower or equal to West Penn’s rate. </w:t>
      </w:r>
      <w:r w:rsidR="00095EB3">
        <w:t>N.T.</w:t>
      </w:r>
      <w:r w:rsidR="00066F0F">
        <w:t xml:space="preserve"> 18-19.</w:t>
      </w:r>
    </w:p>
    <w:p w:rsidR="004928A0" w:rsidRDefault="004928A0" w:rsidP="008A2650">
      <w:pPr>
        <w:tabs>
          <w:tab w:val="left" w:pos="2160"/>
        </w:tabs>
        <w:spacing w:after="0"/>
        <w:ind w:left="720" w:firstLine="1440"/>
      </w:pPr>
    </w:p>
    <w:p w:rsidR="00066F0F" w:rsidRDefault="00212A66" w:rsidP="008A2650">
      <w:pPr>
        <w:tabs>
          <w:tab w:val="left" w:pos="2160"/>
        </w:tabs>
        <w:spacing w:after="0"/>
        <w:ind w:firstLine="1440"/>
      </w:pPr>
      <w:r>
        <w:t>14.</w:t>
      </w:r>
      <w:r>
        <w:tab/>
      </w:r>
      <w:r w:rsidR="00066F0F">
        <w:t xml:space="preserve">Complainant realized he was being billed above West Penn’s variable rate in March, 2014, because he had never used $5,000 worth of electricity in one month as on average his bills ran from $1,000 - $2,000 </w:t>
      </w:r>
      <w:r w:rsidR="00BE7104">
        <w:t xml:space="preserve">per month </w:t>
      </w:r>
      <w:r w:rsidR="00066F0F">
        <w:t>throughout the year.  N.T. 19.</w:t>
      </w:r>
    </w:p>
    <w:p w:rsidR="00B033C1" w:rsidRDefault="00B033C1" w:rsidP="008A2650">
      <w:pPr>
        <w:tabs>
          <w:tab w:val="left" w:pos="2160"/>
        </w:tabs>
        <w:spacing w:after="0"/>
        <w:ind w:left="1440" w:firstLine="1440"/>
      </w:pPr>
    </w:p>
    <w:p w:rsidR="004928A0" w:rsidRPr="008E4808" w:rsidRDefault="00212A66" w:rsidP="008A2650">
      <w:pPr>
        <w:tabs>
          <w:tab w:val="left" w:pos="2160"/>
        </w:tabs>
        <w:spacing w:after="0"/>
        <w:ind w:firstLine="1440"/>
      </w:pPr>
      <w:r>
        <w:t>15.</w:t>
      </w:r>
      <w:r>
        <w:tab/>
      </w:r>
      <w:r w:rsidR="00066F0F">
        <w:t xml:space="preserve">On March 4, 2014, Complainant </w:t>
      </w:r>
      <w:r w:rsidR="00B033C1">
        <w:t>telephoned</w:t>
      </w:r>
      <w:r w:rsidR="00066F0F">
        <w:t xml:space="preserve"> West Penn Power and </w:t>
      </w:r>
      <w:r w:rsidR="00066F0F" w:rsidRPr="008E4808">
        <w:t xml:space="preserve">attempted to cancel his contract with Respond Power and </w:t>
      </w:r>
      <w:r w:rsidR="007B7ED0">
        <w:t xml:space="preserve">to </w:t>
      </w:r>
      <w:r w:rsidR="00066F0F" w:rsidRPr="008E4808">
        <w:t xml:space="preserve">switch back to West Penn Power.  </w:t>
      </w:r>
      <w:r w:rsidR="00095EB3" w:rsidRPr="008E4808">
        <w:t>N.T.</w:t>
      </w:r>
      <w:r w:rsidR="00066F0F" w:rsidRPr="008E4808">
        <w:t xml:space="preserve"> 19.</w:t>
      </w:r>
    </w:p>
    <w:p w:rsidR="008E4808" w:rsidRPr="008E4808" w:rsidRDefault="008E4808" w:rsidP="008A2650">
      <w:pPr>
        <w:tabs>
          <w:tab w:val="left" w:pos="2160"/>
        </w:tabs>
        <w:spacing w:after="0"/>
        <w:ind w:firstLine="1440"/>
      </w:pPr>
    </w:p>
    <w:p w:rsidR="00066F0F" w:rsidRDefault="00212A66" w:rsidP="008A2650">
      <w:pPr>
        <w:tabs>
          <w:tab w:val="left" w:pos="2160"/>
        </w:tabs>
        <w:spacing w:after="0"/>
        <w:ind w:firstLine="1440"/>
      </w:pPr>
      <w:r w:rsidRPr="008E4808">
        <w:t>16.</w:t>
      </w:r>
      <w:r w:rsidRPr="008E4808">
        <w:tab/>
      </w:r>
      <w:r w:rsidR="00066F0F" w:rsidRPr="008E4808">
        <w:t>During his phone conversation with a customer service representative from West Penn Power</w:t>
      </w:r>
      <w:r w:rsidR="00066F0F">
        <w:t xml:space="preserve"> he realized he was not being charged 6.2 cents, but actually 13.9 cents per </w:t>
      </w:r>
      <w:r w:rsidR="006C6EEF">
        <w:t>kWh</w:t>
      </w:r>
      <w:r w:rsidR="00066F0F">
        <w:t xml:space="preserve">, and that West Penn Power’s price to compare rate was 6.2 cents per </w:t>
      </w:r>
      <w:r w:rsidR="006C6EEF">
        <w:t>kWh</w:t>
      </w:r>
      <w:r w:rsidR="00066F0F">
        <w:t>.  N.T. 20.</w:t>
      </w:r>
    </w:p>
    <w:p w:rsidR="00B033C1" w:rsidRDefault="00B033C1" w:rsidP="008A2650">
      <w:pPr>
        <w:tabs>
          <w:tab w:val="left" w:pos="2160"/>
        </w:tabs>
        <w:spacing w:after="0"/>
        <w:ind w:left="1440" w:firstLine="1440"/>
      </w:pPr>
    </w:p>
    <w:p w:rsidR="00066F0F" w:rsidRDefault="00212A66" w:rsidP="008A2650">
      <w:pPr>
        <w:tabs>
          <w:tab w:val="left" w:pos="2160"/>
        </w:tabs>
        <w:spacing w:after="0"/>
        <w:ind w:firstLine="1440"/>
      </w:pPr>
      <w:r>
        <w:t>17.</w:t>
      </w:r>
      <w:r>
        <w:tab/>
      </w:r>
      <w:r w:rsidR="00066F0F">
        <w:t xml:space="preserve">Complainant contacted Respond Power and was offered a reduction from 13.2 cents to 8.9 cents </w:t>
      </w:r>
      <w:r w:rsidR="000358DE">
        <w:t xml:space="preserve">(Respond Power’s fixed contract rate) </w:t>
      </w:r>
      <w:r w:rsidR="00066F0F">
        <w:t>for six months retroactive to January, 2014</w:t>
      </w:r>
      <w:r w:rsidR="00A43554">
        <w:t>.  N.T. 21.</w:t>
      </w:r>
    </w:p>
    <w:p w:rsidR="00B033C1" w:rsidRDefault="00B033C1" w:rsidP="008A2650">
      <w:pPr>
        <w:tabs>
          <w:tab w:val="left" w:pos="2160"/>
        </w:tabs>
        <w:spacing w:after="0"/>
        <w:ind w:firstLine="1440"/>
      </w:pPr>
    </w:p>
    <w:p w:rsidR="00A43554" w:rsidRDefault="00212A66" w:rsidP="008A2650">
      <w:pPr>
        <w:tabs>
          <w:tab w:val="left" w:pos="2160"/>
        </w:tabs>
        <w:spacing w:after="0"/>
        <w:ind w:firstLine="1440"/>
      </w:pPr>
      <w:r>
        <w:t>18.</w:t>
      </w:r>
      <w:r>
        <w:tab/>
      </w:r>
      <w:r w:rsidR="00A43554">
        <w:t xml:space="preserve">Complainant refused Respond Power’s offer over the phone and cancelled his contract with Respond on or about March </w:t>
      </w:r>
      <w:r w:rsidR="00A25780">
        <w:t>7</w:t>
      </w:r>
      <w:r w:rsidR="00A43554">
        <w:t>, 2014.  N.T. 21</w:t>
      </w:r>
      <w:r w:rsidR="00A25780">
        <w:t>, Herp Exhibit 14</w:t>
      </w:r>
      <w:r w:rsidR="00A43554">
        <w:t>.</w:t>
      </w:r>
    </w:p>
    <w:p w:rsidR="00B033C1" w:rsidRDefault="00B033C1" w:rsidP="008A2650">
      <w:pPr>
        <w:tabs>
          <w:tab w:val="left" w:pos="2160"/>
        </w:tabs>
        <w:spacing w:after="0"/>
        <w:ind w:firstLine="1440"/>
      </w:pPr>
    </w:p>
    <w:p w:rsidR="00A43554" w:rsidRDefault="00212A66" w:rsidP="008A2650">
      <w:pPr>
        <w:tabs>
          <w:tab w:val="left" w:pos="2160"/>
        </w:tabs>
        <w:spacing w:after="0"/>
        <w:ind w:firstLine="1440"/>
      </w:pPr>
      <w:r>
        <w:t>19.</w:t>
      </w:r>
      <w:r>
        <w:tab/>
      </w:r>
      <w:r w:rsidR="00A43554">
        <w:t xml:space="preserve">Complainant received a reissued bill from West Penn Power for March 2014, </w:t>
      </w:r>
      <w:r w:rsidR="00B033C1">
        <w:t xml:space="preserve">reducing </w:t>
      </w:r>
      <w:r w:rsidR="00A43554">
        <w:t>an estimated reading by 243 kilowatts</w:t>
      </w:r>
      <w:r w:rsidR="00B033C1">
        <w:t>; however, this reduction in estimation later cost him more because after an actual read occurred on March 27, 2014,</w:t>
      </w:r>
      <w:r w:rsidR="002D390C">
        <w:t xml:space="preserve"> it was realized he actually used more kilowatts than the estimated readings from the three prior months,</w:t>
      </w:r>
      <w:r w:rsidR="00B033C1">
        <w:t xml:space="preserve"> and Complainant was billed at a higher rate because the variable rate was increasing from month to month</w:t>
      </w:r>
      <w:r w:rsidR="00A43554">
        <w:t>.</w:t>
      </w:r>
      <w:r w:rsidR="00B033C1">
        <w:t xml:space="preserve">  N.T. 22-23.</w:t>
      </w:r>
    </w:p>
    <w:p w:rsidR="00B033C1" w:rsidRDefault="00B033C1" w:rsidP="008A2650">
      <w:pPr>
        <w:spacing w:after="0"/>
      </w:pPr>
    </w:p>
    <w:p w:rsidR="00A43554" w:rsidRDefault="00212A66" w:rsidP="008A2650">
      <w:pPr>
        <w:tabs>
          <w:tab w:val="left" w:pos="2160"/>
        </w:tabs>
        <w:spacing w:after="0"/>
        <w:ind w:firstLine="1440"/>
      </w:pPr>
      <w:r>
        <w:t>20.</w:t>
      </w:r>
      <w:r>
        <w:tab/>
      </w:r>
      <w:r w:rsidR="00A43554">
        <w:t xml:space="preserve">Complainant disputes a 240 kilowatt true-up from an actual meter read for the April, 2014 bill </w:t>
      </w:r>
      <w:r w:rsidR="000358DE">
        <w:t>arguing</w:t>
      </w:r>
      <w:r w:rsidR="00A43554">
        <w:t xml:space="preserve"> Respond Power should be responsible for accurate billing for the months they are collecting based upon accurate meter reads and because the variable rate at which he is charged is now 24.9 cents per </w:t>
      </w:r>
      <w:r w:rsidR="006C6EEF">
        <w:t>kWh</w:t>
      </w:r>
      <w:r w:rsidR="00A43554">
        <w:t>.  N.T. 23.  Complainant’s Exhibit 6.</w:t>
      </w:r>
    </w:p>
    <w:p w:rsidR="00B033C1" w:rsidRDefault="00B033C1" w:rsidP="008A2650">
      <w:pPr>
        <w:tabs>
          <w:tab w:val="left" w:pos="2160"/>
        </w:tabs>
        <w:spacing w:after="0"/>
        <w:ind w:firstLine="1440"/>
      </w:pPr>
    </w:p>
    <w:p w:rsidR="004928A0" w:rsidRDefault="00212A66" w:rsidP="008A2650">
      <w:pPr>
        <w:tabs>
          <w:tab w:val="left" w:pos="2160"/>
        </w:tabs>
        <w:spacing w:after="0"/>
        <w:ind w:firstLine="1440"/>
      </w:pPr>
      <w:r>
        <w:t>21.</w:t>
      </w:r>
      <w:r>
        <w:tab/>
      </w:r>
      <w:r w:rsidR="00A43554">
        <w:t>From January – April 2014, Complainant experienced a</w:t>
      </w:r>
      <w:r w:rsidR="002D390C">
        <w:t xml:space="preserve">t least a </w:t>
      </w:r>
      <w:r w:rsidR="00B033C1">
        <w:t xml:space="preserve">150% </w:t>
      </w:r>
      <w:r w:rsidR="00A43554">
        <w:t xml:space="preserve">increase in his variable rate.  N.T. 23. </w:t>
      </w:r>
    </w:p>
    <w:p w:rsidR="008E4808" w:rsidRDefault="008E4808" w:rsidP="008A2650">
      <w:pPr>
        <w:tabs>
          <w:tab w:val="left" w:pos="2160"/>
        </w:tabs>
        <w:spacing w:after="0"/>
        <w:ind w:firstLine="1440"/>
      </w:pPr>
    </w:p>
    <w:p w:rsidR="00066F0F" w:rsidRDefault="00212A66" w:rsidP="008A2650">
      <w:pPr>
        <w:tabs>
          <w:tab w:val="left" w:pos="2160"/>
        </w:tabs>
        <w:spacing w:after="0"/>
        <w:ind w:firstLine="1440"/>
      </w:pPr>
      <w:r>
        <w:t>22</w:t>
      </w:r>
      <w:r w:rsidR="006604D8">
        <w:t>.</w:t>
      </w:r>
      <w:r w:rsidR="006604D8">
        <w:tab/>
        <w:t xml:space="preserve">Complainant has paid all charges </w:t>
      </w:r>
      <w:r w:rsidR="00BE7104">
        <w:t>prior</w:t>
      </w:r>
      <w:r w:rsidR="006604D8">
        <w:t xml:space="preserve"> to becoming a customer of Respond Power in January, 2014, and all charges after switching to West Penn Power </w:t>
      </w:r>
      <w:r w:rsidR="00C765B4">
        <w:t>on March </w:t>
      </w:r>
      <w:r w:rsidR="00327124">
        <w:t>29, 2014</w:t>
      </w:r>
      <w:r w:rsidR="006604D8">
        <w:t>.  He has not paid for those charges in dispute for January – March 2014.  Complainant’s Exhibit 7.</w:t>
      </w:r>
      <w:r w:rsidR="00794B3E">
        <w:t xml:space="preserve"> Herp Exhibit No. 14.</w:t>
      </w:r>
      <w:r w:rsidR="00327124">
        <w:t xml:space="preserve"> N.T. 58.</w:t>
      </w:r>
    </w:p>
    <w:p w:rsidR="00681F71" w:rsidRDefault="00681F71" w:rsidP="008A2650">
      <w:pPr>
        <w:tabs>
          <w:tab w:val="left" w:pos="2160"/>
        </w:tabs>
        <w:spacing w:after="0"/>
        <w:ind w:firstLine="1440"/>
      </w:pPr>
    </w:p>
    <w:p w:rsidR="006604D8" w:rsidRDefault="006604D8" w:rsidP="008A2650">
      <w:pPr>
        <w:tabs>
          <w:tab w:val="left" w:pos="2160"/>
        </w:tabs>
        <w:spacing w:after="0"/>
        <w:ind w:firstLine="1440"/>
      </w:pPr>
      <w:r>
        <w:t>2</w:t>
      </w:r>
      <w:r w:rsidR="00212A66">
        <w:t>3</w:t>
      </w:r>
      <w:r>
        <w:t>.</w:t>
      </w:r>
      <w:r>
        <w:tab/>
      </w:r>
      <w:r w:rsidR="00794B3E">
        <w:t xml:space="preserve">Complainant’s EGS was Pennsylvania Gas &amp; Electric for two months prior to switching to Respond Power, and he was paying approximately 6.9 cents per </w:t>
      </w:r>
      <w:r w:rsidR="006C6EEF">
        <w:t>kWh</w:t>
      </w:r>
      <w:r w:rsidR="00794B3E">
        <w:t>.  N.T. 40.</w:t>
      </w:r>
    </w:p>
    <w:p w:rsidR="004928A0" w:rsidRDefault="004928A0" w:rsidP="008A2650">
      <w:pPr>
        <w:tabs>
          <w:tab w:val="left" w:pos="2160"/>
        </w:tabs>
        <w:spacing w:after="0"/>
        <w:ind w:firstLine="1440"/>
      </w:pPr>
    </w:p>
    <w:p w:rsidR="00794B3E" w:rsidRDefault="00794B3E" w:rsidP="008A2650">
      <w:pPr>
        <w:tabs>
          <w:tab w:val="left" w:pos="2160"/>
        </w:tabs>
        <w:spacing w:after="0"/>
        <w:ind w:firstLine="1440"/>
      </w:pPr>
      <w:r>
        <w:t>2</w:t>
      </w:r>
      <w:r w:rsidR="00212A66">
        <w:t>4</w:t>
      </w:r>
      <w:r>
        <w:t>.</w:t>
      </w:r>
      <w:r>
        <w:tab/>
        <w:t>Earl Hackett resid</w:t>
      </w:r>
      <w:r w:rsidR="00B033C1">
        <w:t>es</w:t>
      </w:r>
      <w:r>
        <w:t xml:space="preserve"> at 112 2</w:t>
      </w:r>
      <w:r w:rsidRPr="00794B3E">
        <w:rPr>
          <w:vertAlign w:val="superscript"/>
        </w:rPr>
        <w:t>nd</w:t>
      </w:r>
      <w:r>
        <w:t xml:space="preserve"> Avenue, Butler, Pennsylvania.  N.T. 42.</w:t>
      </w:r>
    </w:p>
    <w:p w:rsidR="004928A0" w:rsidRDefault="004928A0" w:rsidP="008A2650">
      <w:pPr>
        <w:tabs>
          <w:tab w:val="left" w:pos="2160"/>
        </w:tabs>
        <w:spacing w:after="0"/>
        <w:ind w:firstLine="1440"/>
      </w:pPr>
    </w:p>
    <w:p w:rsidR="00794B3E" w:rsidRDefault="00794B3E" w:rsidP="008A2650">
      <w:pPr>
        <w:tabs>
          <w:tab w:val="left" w:pos="2160"/>
        </w:tabs>
        <w:spacing w:after="0"/>
        <w:ind w:firstLine="1440"/>
      </w:pPr>
      <w:r>
        <w:t>2</w:t>
      </w:r>
      <w:r w:rsidR="00212A66">
        <w:t>5</w:t>
      </w:r>
      <w:r>
        <w:t>.</w:t>
      </w:r>
      <w:r>
        <w:tab/>
        <w:t>Mr. Hackett was approached by a different door-to-door sales representative of Respond Power. N.T. 46.</w:t>
      </w:r>
    </w:p>
    <w:p w:rsidR="004928A0" w:rsidRDefault="004928A0" w:rsidP="008A2650">
      <w:pPr>
        <w:tabs>
          <w:tab w:val="left" w:pos="2160"/>
        </w:tabs>
        <w:spacing w:after="0"/>
        <w:ind w:firstLine="1440"/>
      </w:pPr>
    </w:p>
    <w:p w:rsidR="00794B3E" w:rsidRDefault="00794B3E" w:rsidP="008A2650">
      <w:pPr>
        <w:tabs>
          <w:tab w:val="left" w:pos="2160"/>
        </w:tabs>
        <w:spacing w:after="0"/>
        <w:ind w:firstLine="1440"/>
      </w:pPr>
      <w:r>
        <w:t>2</w:t>
      </w:r>
      <w:r w:rsidR="00212A66">
        <w:t>6</w:t>
      </w:r>
      <w:r>
        <w:t>.</w:t>
      </w:r>
      <w:r>
        <w:tab/>
        <w:t xml:space="preserve">Mr. Hackett had a similar experience to Mr. Herp in that he signed a </w:t>
      </w:r>
      <w:r w:rsidR="00B033C1">
        <w:t xml:space="preserve">similar form </w:t>
      </w:r>
      <w:r>
        <w:t xml:space="preserve">sales agreement with Respond Power for a variable rate plan, but did not </w:t>
      </w:r>
      <w:r w:rsidR="00B033C1">
        <w:t xml:space="preserve">fully </w:t>
      </w:r>
      <w:r>
        <w:t>read the disclosure statement on the back of the sales agreement before signing.  N.T. 48.</w:t>
      </w:r>
      <w:r w:rsidR="00BD442C">
        <w:t xml:space="preserve">  Respondent’s Exhibits 1-2.</w:t>
      </w:r>
    </w:p>
    <w:p w:rsidR="00BD442C" w:rsidRDefault="00BD442C" w:rsidP="008E4808">
      <w:pPr>
        <w:tabs>
          <w:tab w:val="left" w:pos="2160"/>
        </w:tabs>
        <w:spacing w:after="0"/>
        <w:ind w:firstLine="1440"/>
      </w:pPr>
    </w:p>
    <w:p w:rsidR="00794B3E" w:rsidRDefault="00794B3E" w:rsidP="008E4808">
      <w:pPr>
        <w:tabs>
          <w:tab w:val="left" w:pos="2160"/>
        </w:tabs>
        <w:spacing w:after="0"/>
        <w:ind w:firstLine="1440"/>
      </w:pPr>
      <w:r>
        <w:t>2</w:t>
      </w:r>
      <w:r w:rsidR="00212A66">
        <w:t>7</w:t>
      </w:r>
      <w:r>
        <w:t>.</w:t>
      </w:r>
      <w:r>
        <w:tab/>
        <w:t xml:space="preserve">The sales agent </w:t>
      </w:r>
      <w:r w:rsidR="00327124">
        <w:t xml:space="preserve">promised Respond Power’s rate would be lower than West Penn’s rate and </w:t>
      </w:r>
      <w:r>
        <w:t>did not inform Mr. Hackett that the rate could change every month instead of quarterly.  N.T. 48</w:t>
      </w:r>
      <w:r w:rsidR="00327124">
        <w:t>-49</w:t>
      </w:r>
      <w:r>
        <w:t>.</w:t>
      </w:r>
    </w:p>
    <w:p w:rsidR="00B033C1" w:rsidRDefault="00B033C1" w:rsidP="008E4808">
      <w:pPr>
        <w:tabs>
          <w:tab w:val="left" w:pos="2160"/>
        </w:tabs>
        <w:spacing w:after="0"/>
        <w:ind w:firstLine="1440"/>
      </w:pPr>
    </w:p>
    <w:p w:rsidR="00327124" w:rsidRDefault="00327124" w:rsidP="008E4808">
      <w:pPr>
        <w:tabs>
          <w:tab w:val="left" w:pos="2160"/>
        </w:tabs>
        <w:spacing w:after="0"/>
        <w:ind w:firstLine="1440"/>
      </w:pPr>
      <w:r>
        <w:t>2</w:t>
      </w:r>
      <w:r w:rsidR="00212A66">
        <w:t>8</w:t>
      </w:r>
      <w:r>
        <w:t>.</w:t>
      </w:r>
      <w:r>
        <w:tab/>
        <w:t>Mr. Hackett’s bills consistently increased over a five-month period from December 2013 – April 2014 on a monthly basis from the time he contracted with Respond Power until his daughter switched his account back to West Penn Power.  Herp Exhibit No. 9-13, N.T. 49-55.</w:t>
      </w:r>
    </w:p>
    <w:p w:rsidR="002D390C" w:rsidRDefault="002D390C" w:rsidP="008E4808">
      <w:pPr>
        <w:tabs>
          <w:tab w:val="left" w:pos="2160"/>
        </w:tabs>
        <w:spacing w:after="0"/>
        <w:ind w:firstLine="1440"/>
      </w:pPr>
    </w:p>
    <w:p w:rsidR="00066F0F" w:rsidRDefault="00212A66" w:rsidP="008E4808">
      <w:pPr>
        <w:tabs>
          <w:tab w:val="left" w:pos="2160"/>
        </w:tabs>
        <w:spacing w:after="0"/>
        <w:ind w:firstLine="1440"/>
      </w:pPr>
      <w:r>
        <w:t>29</w:t>
      </w:r>
      <w:r w:rsidR="00327124">
        <w:t>.</w:t>
      </w:r>
      <w:r w:rsidR="00327124">
        <w:tab/>
        <w:t>Mr. Adam Small is General Counsel of Respond Power and he oversees quality control and compliance with federal, state and local law.  N.T. 57.</w:t>
      </w:r>
    </w:p>
    <w:p w:rsidR="00327124" w:rsidRDefault="00327124" w:rsidP="008E4808">
      <w:pPr>
        <w:tabs>
          <w:tab w:val="left" w:pos="2160"/>
        </w:tabs>
        <w:spacing w:after="0"/>
        <w:ind w:firstLine="1440"/>
      </w:pPr>
    </w:p>
    <w:p w:rsidR="00327124" w:rsidRDefault="00327124" w:rsidP="008E4808">
      <w:pPr>
        <w:tabs>
          <w:tab w:val="left" w:pos="2160"/>
        </w:tabs>
        <w:spacing w:after="0"/>
        <w:ind w:firstLine="1440"/>
      </w:pPr>
      <w:r>
        <w:t>3</w:t>
      </w:r>
      <w:r w:rsidR="00212A66">
        <w:t>0</w:t>
      </w:r>
      <w:r>
        <w:t>.</w:t>
      </w:r>
      <w:r>
        <w:tab/>
      </w:r>
      <w:r w:rsidR="00681F71">
        <w:t>Mr. Small testified that the disclosure statement printed on the back of Complainant’s service agreement was approved by the Commission.  N.T. 60.</w:t>
      </w:r>
    </w:p>
    <w:p w:rsidR="00681F71" w:rsidRDefault="00681F71" w:rsidP="008E4808">
      <w:pPr>
        <w:tabs>
          <w:tab w:val="left" w:pos="2160"/>
        </w:tabs>
        <w:spacing w:after="0"/>
        <w:ind w:firstLine="1440"/>
      </w:pPr>
    </w:p>
    <w:p w:rsidR="00681F71" w:rsidRDefault="00681F71" w:rsidP="008E4808">
      <w:pPr>
        <w:tabs>
          <w:tab w:val="left" w:pos="2160"/>
        </w:tabs>
        <w:spacing w:after="0"/>
        <w:ind w:firstLine="1440"/>
      </w:pPr>
      <w:r>
        <w:t>3</w:t>
      </w:r>
      <w:r w:rsidR="00212A66">
        <w:t>1</w:t>
      </w:r>
      <w:r>
        <w:t>.</w:t>
      </w:r>
      <w:r>
        <w:tab/>
        <w:t>Respond Power incurred higher than typical costs during the winter of 2013 and decided to pass a portion of the costs onto its consumers with a variable rate plan.  N.T. 61.</w:t>
      </w:r>
    </w:p>
    <w:p w:rsidR="00681F71" w:rsidRDefault="00681F71" w:rsidP="008E4808">
      <w:pPr>
        <w:tabs>
          <w:tab w:val="left" w:pos="2160"/>
        </w:tabs>
        <w:spacing w:after="0"/>
        <w:ind w:firstLine="1440"/>
      </w:pPr>
    </w:p>
    <w:p w:rsidR="00681F71" w:rsidRDefault="00681F71" w:rsidP="008E4808">
      <w:pPr>
        <w:tabs>
          <w:tab w:val="left" w:pos="2160"/>
        </w:tabs>
        <w:spacing w:after="0"/>
        <w:ind w:firstLine="1440"/>
      </w:pPr>
      <w:r>
        <w:t>3</w:t>
      </w:r>
      <w:r w:rsidR="00212A66">
        <w:t>2</w:t>
      </w:r>
      <w:r>
        <w:t>.</w:t>
      </w:r>
      <w:r>
        <w:tab/>
        <w:t>Respond Power provides a variable rate to West Penn Power, who then applies that rate to the meter readings and calculates a bill that West Penn Power supplies to the customer.  N.T. 62.</w:t>
      </w:r>
    </w:p>
    <w:p w:rsidR="00681F71" w:rsidRDefault="00681F71" w:rsidP="008E4808">
      <w:pPr>
        <w:tabs>
          <w:tab w:val="left" w:pos="2160"/>
        </w:tabs>
        <w:spacing w:after="0"/>
        <w:ind w:firstLine="1440"/>
      </w:pPr>
    </w:p>
    <w:p w:rsidR="00681F71" w:rsidRDefault="00681F71" w:rsidP="008E4808">
      <w:pPr>
        <w:tabs>
          <w:tab w:val="left" w:pos="2160"/>
        </w:tabs>
        <w:spacing w:after="0"/>
        <w:ind w:firstLine="1440"/>
      </w:pPr>
      <w:r>
        <w:t>3</w:t>
      </w:r>
      <w:r w:rsidR="00212A66">
        <w:t>3</w:t>
      </w:r>
      <w:r>
        <w:t>.</w:t>
      </w:r>
      <w:r>
        <w:tab/>
        <w:t>West Penn’s rebill of the March bill resulted in a $40 increase</w:t>
      </w:r>
      <w:r w:rsidR="00B033C1">
        <w:t xml:space="preserve"> in costs</w:t>
      </w:r>
      <w:r>
        <w:t xml:space="preserve"> to Mr. Herp.  N.T. 63.</w:t>
      </w:r>
    </w:p>
    <w:p w:rsidR="00B033C1" w:rsidRDefault="00B033C1" w:rsidP="008E4808">
      <w:pPr>
        <w:tabs>
          <w:tab w:val="left" w:pos="2160"/>
        </w:tabs>
        <w:spacing w:after="0"/>
        <w:ind w:firstLine="1440"/>
      </w:pPr>
    </w:p>
    <w:p w:rsidR="00681F71" w:rsidRDefault="00681F71" w:rsidP="008E4808">
      <w:pPr>
        <w:tabs>
          <w:tab w:val="left" w:pos="2160"/>
        </w:tabs>
        <w:spacing w:after="0"/>
        <w:ind w:firstLine="1440"/>
      </w:pPr>
      <w:r>
        <w:t>3</w:t>
      </w:r>
      <w:r w:rsidR="00212A66">
        <w:t>4</w:t>
      </w:r>
      <w:r>
        <w:t>.</w:t>
      </w:r>
      <w:r>
        <w:tab/>
        <w:t>Respond Power has a contract with third</w:t>
      </w:r>
      <w:r w:rsidR="00B12983">
        <w:t>-</w:t>
      </w:r>
      <w:r>
        <w:t xml:space="preserve">party </w:t>
      </w:r>
      <w:r w:rsidR="00B12983">
        <w:t xml:space="preserve">marketers or </w:t>
      </w:r>
      <w:r>
        <w:t>vendor</w:t>
      </w:r>
      <w:r w:rsidR="00B12983">
        <w:t>s</w:t>
      </w:r>
      <w:r>
        <w:t xml:space="preserve"> who </w:t>
      </w:r>
      <w:r w:rsidR="00B12983">
        <w:t xml:space="preserve">independently </w:t>
      </w:r>
      <w:r>
        <w:t>hire agents for door to door</w:t>
      </w:r>
      <w:r w:rsidR="00B12983">
        <w:t xml:space="preserve"> marketing</w:t>
      </w:r>
      <w:r>
        <w:t xml:space="preserve"> or telemarketing</w:t>
      </w:r>
      <w:r w:rsidR="00B12983">
        <w:t>.</w:t>
      </w:r>
      <w:r>
        <w:t xml:space="preserve">  N.T</w:t>
      </w:r>
      <w:r w:rsidR="00B12983">
        <w:t>.</w:t>
      </w:r>
      <w:r>
        <w:t xml:space="preserve"> 64.</w:t>
      </w:r>
    </w:p>
    <w:p w:rsidR="00B033C1" w:rsidRDefault="00B033C1" w:rsidP="008E4808">
      <w:pPr>
        <w:tabs>
          <w:tab w:val="left" w:pos="2160"/>
        </w:tabs>
        <w:spacing w:after="0"/>
        <w:ind w:firstLine="1440"/>
      </w:pPr>
    </w:p>
    <w:p w:rsidR="00681F71" w:rsidRDefault="00681F71" w:rsidP="008E4808">
      <w:pPr>
        <w:tabs>
          <w:tab w:val="left" w:pos="2160"/>
        </w:tabs>
        <w:spacing w:after="0"/>
        <w:ind w:firstLine="1440"/>
      </w:pPr>
      <w:r>
        <w:t>3</w:t>
      </w:r>
      <w:r w:rsidR="00212A66">
        <w:t>5</w:t>
      </w:r>
      <w:r>
        <w:t>.</w:t>
      </w:r>
      <w:r>
        <w:tab/>
        <w:t>Respond Power approv</w:t>
      </w:r>
      <w:r w:rsidR="00B12983">
        <w:t>es</w:t>
      </w:r>
      <w:r>
        <w:t xml:space="preserve"> the marketing literature</w:t>
      </w:r>
      <w:r w:rsidR="00B12983">
        <w:t xml:space="preserve"> of its third-party vendors</w:t>
      </w:r>
      <w:r w:rsidR="00BD442C">
        <w:t xml:space="preserve">.  </w:t>
      </w:r>
      <w:proofErr w:type="gramStart"/>
      <w:r w:rsidR="00BD442C">
        <w:t>N.T. 64.</w:t>
      </w:r>
      <w:proofErr w:type="gramEnd"/>
    </w:p>
    <w:p w:rsidR="00855E2E" w:rsidRDefault="00855E2E" w:rsidP="008E4808">
      <w:pPr>
        <w:tabs>
          <w:tab w:val="left" w:pos="2160"/>
        </w:tabs>
        <w:spacing w:after="0"/>
        <w:ind w:firstLine="1440"/>
      </w:pPr>
    </w:p>
    <w:p w:rsidR="00681F71" w:rsidRDefault="00B12983" w:rsidP="008E4808">
      <w:pPr>
        <w:tabs>
          <w:tab w:val="left" w:pos="2160"/>
        </w:tabs>
        <w:spacing w:after="0"/>
        <w:ind w:firstLine="1440"/>
      </w:pPr>
      <w:r>
        <w:t>3</w:t>
      </w:r>
      <w:r w:rsidR="00212A66">
        <w:t>6</w:t>
      </w:r>
      <w:r>
        <w:t>.</w:t>
      </w:r>
      <w:r>
        <w:tab/>
        <w:t xml:space="preserve">Quality assurance programs are </w:t>
      </w:r>
      <w:r w:rsidR="00BD442C">
        <w:t xml:space="preserve">approved by Respond Power.  </w:t>
      </w:r>
      <w:proofErr w:type="gramStart"/>
      <w:r w:rsidR="00BD442C">
        <w:t>N.T.</w:t>
      </w:r>
      <w:r w:rsidR="00855E2E">
        <w:t xml:space="preserve"> 64.</w:t>
      </w:r>
      <w:proofErr w:type="gramEnd"/>
    </w:p>
    <w:p w:rsidR="00BD442C" w:rsidRDefault="00BD442C" w:rsidP="008E4808">
      <w:pPr>
        <w:tabs>
          <w:tab w:val="left" w:pos="2160"/>
        </w:tabs>
        <w:spacing w:after="0"/>
        <w:ind w:firstLine="1440"/>
      </w:pPr>
    </w:p>
    <w:p w:rsidR="00552C2A" w:rsidRDefault="004928A0" w:rsidP="008E4808">
      <w:pPr>
        <w:tabs>
          <w:tab w:val="left" w:pos="2160"/>
        </w:tabs>
        <w:spacing w:after="0"/>
        <w:ind w:firstLine="1440"/>
      </w:pPr>
      <w:r>
        <w:t>3</w:t>
      </w:r>
      <w:r w:rsidR="00212A66">
        <w:t>7</w:t>
      </w:r>
      <w:r w:rsidR="00B12983">
        <w:t>.</w:t>
      </w:r>
      <w:r w:rsidR="00B12983">
        <w:tab/>
        <w:t>Agents of third party marketers undergo a training program that is approved by Respond Power.  N.T. 64.</w:t>
      </w:r>
    </w:p>
    <w:p w:rsidR="00B12983" w:rsidRDefault="00B12983" w:rsidP="008E4808">
      <w:pPr>
        <w:tabs>
          <w:tab w:val="left" w:pos="2160"/>
        </w:tabs>
        <w:spacing w:after="0"/>
        <w:ind w:firstLine="1440"/>
      </w:pPr>
    </w:p>
    <w:p w:rsidR="00B12983" w:rsidRDefault="00B12983" w:rsidP="008E4808">
      <w:pPr>
        <w:tabs>
          <w:tab w:val="left" w:pos="2160"/>
        </w:tabs>
        <w:spacing w:after="0"/>
        <w:ind w:firstLine="1440"/>
      </w:pPr>
      <w:r>
        <w:t>3</w:t>
      </w:r>
      <w:r w:rsidR="00212A66">
        <w:t>8</w:t>
      </w:r>
      <w:r>
        <w:t>.</w:t>
      </w:r>
      <w:r>
        <w:tab/>
        <w:t>Agents are trained to discuss variable rate plan pricing and to provide disclosure statements to the prospective customers. N.T. 65.</w:t>
      </w:r>
    </w:p>
    <w:p w:rsidR="004928A0" w:rsidRDefault="004928A0" w:rsidP="008E4808">
      <w:pPr>
        <w:tabs>
          <w:tab w:val="left" w:pos="2160"/>
        </w:tabs>
        <w:spacing w:after="0"/>
        <w:ind w:firstLine="1440"/>
      </w:pPr>
    </w:p>
    <w:p w:rsidR="00EA462E" w:rsidRDefault="00212A66" w:rsidP="008E4808">
      <w:pPr>
        <w:tabs>
          <w:tab w:val="left" w:pos="2160"/>
        </w:tabs>
        <w:spacing w:after="0"/>
        <w:ind w:firstLine="1440"/>
      </w:pPr>
      <w:r>
        <w:t>39</w:t>
      </w:r>
      <w:r w:rsidR="004928A0">
        <w:t>.</w:t>
      </w:r>
      <w:r w:rsidR="004928A0">
        <w:tab/>
      </w:r>
      <w:r w:rsidR="00AD0A08">
        <w:t>M</w:t>
      </w:r>
      <w:r w:rsidR="000358DE">
        <w:t xml:space="preserve">r. Small </w:t>
      </w:r>
      <w:r w:rsidR="00330C55">
        <w:t>has</w:t>
      </w:r>
      <w:r w:rsidR="000358DE">
        <w:t xml:space="preserve"> monthly meetings with a random sample of </w:t>
      </w:r>
      <w:r w:rsidR="00AD0A08">
        <w:t>marketers who employ</w:t>
      </w:r>
      <w:r w:rsidR="00B12983">
        <w:t xml:space="preserve"> the sales agents </w:t>
      </w:r>
      <w:r w:rsidR="00330C55">
        <w:t xml:space="preserve">in different regions </w:t>
      </w:r>
      <w:r w:rsidR="00B12983">
        <w:t>for quality assurance to find out if the instructions provided during training are being followed by the agents.  N.T. 65.</w:t>
      </w:r>
    </w:p>
    <w:p w:rsidR="00EA462E" w:rsidRDefault="00EA462E" w:rsidP="008E4808">
      <w:pPr>
        <w:tabs>
          <w:tab w:val="left" w:pos="2160"/>
        </w:tabs>
        <w:spacing w:after="0"/>
        <w:ind w:firstLine="1440"/>
      </w:pPr>
    </w:p>
    <w:p w:rsidR="00EA462E" w:rsidRDefault="00EA462E" w:rsidP="008E4808">
      <w:pPr>
        <w:tabs>
          <w:tab w:val="left" w:pos="2160"/>
        </w:tabs>
        <w:spacing w:after="0"/>
        <w:ind w:firstLine="1440"/>
      </w:pPr>
      <w:r>
        <w:t>4</w:t>
      </w:r>
      <w:r w:rsidR="00212A66">
        <w:t>0</w:t>
      </w:r>
      <w:r>
        <w:t>.</w:t>
      </w:r>
      <w:r>
        <w:tab/>
      </w:r>
      <w:r w:rsidR="00C71343">
        <w:t>Respond Power tries to contact its third-party marketers once a month.  N.T. 83.</w:t>
      </w:r>
    </w:p>
    <w:p w:rsidR="00EA462E" w:rsidRDefault="00EA462E" w:rsidP="008E4808">
      <w:pPr>
        <w:tabs>
          <w:tab w:val="left" w:pos="2160"/>
        </w:tabs>
        <w:spacing w:after="0"/>
        <w:ind w:firstLine="1440"/>
      </w:pPr>
    </w:p>
    <w:p w:rsidR="00EA462E" w:rsidRDefault="00EA462E" w:rsidP="008E4808">
      <w:pPr>
        <w:tabs>
          <w:tab w:val="left" w:pos="2160"/>
        </w:tabs>
        <w:spacing w:after="0"/>
        <w:ind w:firstLine="1440"/>
      </w:pPr>
      <w:r>
        <w:t>4</w:t>
      </w:r>
      <w:r w:rsidR="00212A66">
        <w:t>1</w:t>
      </w:r>
      <w:r w:rsidR="004928A0">
        <w:t>.</w:t>
      </w:r>
      <w:r w:rsidR="004928A0">
        <w:tab/>
      </w:r>
      <w:r w:rsidR="00C71343">
        <w:t>Respond Power has at least 2 third-party marketers working for Respond Power in Pennsylvania and Respond Power considers them to be independent contractors instead of employees of the company.  N.T. 83.</w:t>
      </w:r>
    </w:p>
    <w:p w:rsidR="00334EE4" w:rsidRDefault="00EA462E" w:rsidP="008E4808">
      <w:pPr>
        <w:tabs>
          <w:tab w:val="left" w:pos="2160"/>
        </w:tabs>
        <w:spacing w:after="0"/>
        <w:ind w:firstLine="1440"/>
      </w:pPr>
      <w:r>
        <w:t>4</w:t>
      </w:r>
      <w:r w:rsidR="00212A66">
        <w:t>2</w:t>
      </w:r>
      <w:r>
        <w:t>.</w:t>
      </w:r>
      <w:r w:rsidR="004928A0">
        <w:tab/>
      </w:r>
      <w:r w:rsidR="00C71343">
        <w:t>There is no evidence to suggest any employees from Respond Power conduct field audits of any of the door to door sales persons who have contractual relations with the independent third-party marketers.  N.T. 84.</w:t>
      </w:r>
    </w:p>
    <w:p w:rsidR="00334EE4" w:rsidRDefault="00334EE4" w:rsidP="008E4808">
      <w:pPr>
        <w:tabs>
          <w:tab w:val="left" w:pos="2160"/>
        </w:tabs>
        <w:spacing w:after="0"/>
        <w:ind w:firstLine="1440"/>
      </w:pPr>
    </w:p>
    <w:p w:rsidR="00334EE4" w:rsidRDefault="00334EE4" w:rsidP="008E4808">
      <w:pPr>
        <w:tabs>
          <w:tab w:val="left" w:pos="2160"/>
        </w:tabs>
        <w:spacing w:after="0"/>
        <w:ind w:firstLine="1440"/>
      </w:pPr>
      <w:r>
        <w:t>4</w:t>
      </w:r>
      <w:r w:rsidR="00212A66">
        <w:t>3</w:t>
      </w:r>
      <w:r w:rsidR="004928A0">
        <w:t>.</w:t>
      </w:r>
      <w:r w:rsidR="004928A0">
        <w:tab/>
      </w:r>
      <w:r w:rsidR="00B12983">
        <w:t>Mr. Small was unspecific as to who conducts spot check</w:t>
      </w:r>
      <w:r w:rsidR="00AD0A08">
        <w:t xml:space="preserve">s </w:t>
      </w:r>
      <w:r w:rsidR="00B12983">
        <w:t xml:space="preserve">on verification telephone calls with the prospective customers.  N.T. 65 </w:t>
      </w:r>
    </w:p>
    <w:p w:rsidR="00334EE4" w:rsidRDefault="00334EE4" w:rsidP="008E4808">
      <w:pPr>
        <w:tabs>
          <w:tab w:val="left" w:pos="2160"/>
        </w:tabs>
        <w:spacing w:after="0"/>
        <w:ind w:firstLine="1440"/>
      </w:pPr>
    </w:p>
    <w:p w:rsidR="00B12983" w:rsidRDefault="00334EE4" w:rsidP="008E4808">
      <w:pPr>
        <w:tabs>
          <w:tab w:val="left" w:pos="2160"/>
        </w:tabs>
        <w:spacing w:after="0"/>
        <w:ind w:firstLine="1440"/>
      </w:pPr>
      <w:r>
        <w:t>4</w:t>
      </w:r>
      <w:r w:rsidR="00212A66">
        <w:t>4</w:t>
      </w:r>
      <w:r>
        <w:t>.</w:t>
      </w:r>
      <w:r>
        <w:tab/>
      </w:r>
      <w:r w:rsidR="00B12983">
        <w:t>The agent</w:t>
      </w:r>
      <w:r w:rsidR="00330C55">
        <w:t>,</w:t>
      </w:r>
      <w:r w:rsidR="00330C55" w:rsidRPr="00330C55">
        <w:t xml:space="preserve"> </w:t>
      </w:r>
      <w:r w:rsidR="00330C55">
        <w:t xml:space="preserve">Larry Majek, </w:t>
      </w:r>
      <w:r w:rsidR="00B12983">
        <w:t>who contacted Complainant</w:t>
      </w:r>
      <w:r w:rsidR="00784226">
        <w:t xml:space="preserve">, </w:t>
      </w:r>
      <w:r w:rsidR="00AD0A08">
        <w:t>did not appear</w:t>
      </w:r>
      <w:r w:rsidR="00B12983">
        <w:t xml:space="preserve"> a</w:t>
      </w:r>
      <w:r w:rsidR="00AD0A08">
        <w:t>s</w:t>
      </w:r>
      <w:r w:rsidR="00B12983">
        <w:t xml:space="preserve"> </w:t>
      </w:r>
      <w:r w:rsidR="00AD0A08">
        <w:t xml:space="preserve">a </w:t>
      </w:r>
      <w:r w:rsidR="00B12983">
        <w:t xml:space="preserve">witness and Mr. Small </w:t>
      </w:r>
      <w:r w:rsidR="00C71343">
        <w:t xml:space="preserve">believed but was not certain </w:t>
      </w:r>
      <w:r w:rsidR="00B12983">
        <w:t xml:space="preserve">if that agent was still working for </w:t>
      </w:r>
      <w:r w:rsidR="00C71343">
        <w:t>one of Respond Power’s vendors</w:t>
      </w:r>
      <w:r w:rsidR="00362443">
        <w:t xml:space="preserve"> (Direct Sales Solutions)</w:t>
      </w:r>
      <w:r w:rsidR="00B12983">
        <w:t xml:space="preserve"> at the time</w:t>
      </w:r>
      <w:r w:rsidR="00784226">
        <w:t xml:space="preserve"> Complainant entered into a contract with Respond Power</w:t>
      </w:r>
      <w:r w:rsidR="00B12983">
        <w:t>.</w:t>
      </w:r>
      <w:r w:rsidR="00784226">
        <w:t xml:space="preserve">  N.T</w:t>
      </w:r>
      <w:r w:rsidR="00C71343">
        <w:t>.</w:t>
      </w:r>
      <w:r w:rsidR="00784226">
        <w:t xml:space="preserve"> 67</w:t>
      </w:r>
      <w:r w:rsidR="00C71343">
        <w:t>, 85</w:t>
      </w:r>
      <w:r w:rsidR="00784226">
        <w:t>.</w:t>
      </w:r>
    </w:p>
    <w:p w:rsidR="00AD0A08" w:rsidRDefault="00AD0A08" w:rsidP="008E4808">
      <w:pPr>
        <w:tabs>
          <w:tab w:val="left" w:pos="2160"/>
        </w:tabs>
        <w:spacing w:after="0"/>
        <w:ind w:firstLine="1440"/>
      </w:pPr>
    </w:p>
    <w:p w:rsidR="00334EE4" w:rsidRDefault="00334EE4" w:rsidP="008E4808">
      <w:pPr>
        <w:tabs>
          <w:tab w:val="left" w:pos="2160"/>
        </w:tabs>
        <w:spacing w:after="0"/>
        <w:ind w:firstLine="1440"/>
      </w:pPr>
      <w:r>
        <w:t>4</w:t>
      </w:r>
      <w:r w:rsidR="00212A66">
        <w:t>5</w:t>
      </w:r>
      <w:r>
        <w:t>.</w:t>
      </w:r>
      <w:r>
        <w:tab/>
      </w:r>
      <w:r w:rsidR="00784226">
        <w:t>No audits were ever conducted on Larry Maje</w:t>
      </w:r>
      <w:r w:rsidR="00AD0A08">
        <w:t>k</w:t>
      </w:r>
      <w:r w:rsidR="00A47F71">
        <w:t xml:space="preserve"> or the agent who contacted Mr. Hackett</w:t>
      </w:r>
      <w:r w:rsidR="00784226">
        <w:t>.  N.T. 67</w:t>
      </w:r>
      <w:r w:rsidR="00A47F71">
        <w:t>, 81</w:t>
      </w:r>
      <w:r w:rsidR="00784226">
        <w:t>.</w:t>
      </w:r>
    </w:p>
    <w:p w:rsidR="008A2650" w:rsidRDefault="008A2650" w:rsidP="008E4808">
      <w:pPr>
        <w:tabs>
          <w:tab w:val="left" w:pos="2160"/>
        </w:tabs>
        <w:spacing w:after="0"/>
        <w:ind w:firstLine="1440"/>
      </w:pPr>
    </w:p>
    <w:p w:rsidR="00A47F71" w:rsidRDefault="00334EE4" w:rsidP="008E4808">
      <w:pPr>
        <w:tabs>
          <w:tab w:val="left" w:pos="2160"/>
        </w:tabs>
        <w:spacing w:after="0"/>
        <w:ind w:firstLine="1440"/>
      </w:pPr>
      <w:r>
        <w:t>4</w:t>
      </w:r>
      <w:r w:rsidR="00212A66">
        <w:t>6</w:t>
      </w:r>
      <w:r>
        <w:t>.</w:t>
      </w:r>
      <w:r>
        <w:tab/>
      </w:r>
      <w:r w:rsidR="002D390C">
        <w:t xml:space="preserve">Respond Power did </w:t>
      </w:r>
      <w:r w:rsidR="00BE7104">
        <w:t xml:space="preserve">not </w:t>
      </w:r>
      <w:r w:rsidR="00330C55">
        <w:t>offer</w:t>
      </w:r>
      <w:r w:rsidR="002D390C">
        <w:t xml:space="preserve"> any </w:t>
      </w:r>
      <w:r w:rsidR="00A47F71">
        <w:t>tape recordings of any conversations between Larry Maje</w:t>
      </w:r>
      <w:r w:rsidR="00426A28">
        <w:t>k</w:t>
      </w:r>
      <w:r w:rsidR="00A47F71">
        <w:t xml:space="preserve"> and Complainant</w:t>
      </w:r>
      <w:r w:rsidR="00330C55">
        <w:t xml:space="preserve"> at the hearing</w:t>
      </w:r>
      <w:r w:rsidR="00A47F71">
        <w:t>.  N.T. 81-82.</w:t>
      </w:r>
    </w:p>
    <w:p w:rsidR="00AD0A08" w:rsidRDefault="00AD0A08" w:rsidP="008E4808">
      <w:pPr>
        <w:tabs>
          <w:tab w:val="left" w:pos="2160"/>
        </w:tabs>
        <w:spacing w:after="0"/>
        <w:ind w:firstLine="1440"/>
      </w:pPr>
    </w:p>
    <w:p w:rsidR="00A47F71" w:rsidRDefault="00334EE4" w:rsidP="008E4808">
      <w:pPr>
        <w:tabs>
          <w:tab w:val="left" w:pos="2160"/>
        </w:tabs>
        <w:spacing w:after="0"/>
        <w:ind w:firstLine="1440"/>
      </w:pPr>
      <w:r>
        <w:t>4</w:t>
      </w:r>
      <w:r w:rsidR="00212A66">
        <w:t>7</w:t>
      </w:r>
      <w:r>
        <w:t>.</w:t>
      </w:r>
      <w:r>
        <w:tab/>
      </w:r>
      <w:r w:rsidR="00A47F71">
        <w:t>Mr. Small did not know what type of customer Respond Power considered Mr. Herp to be, residential or commercial</w:t>
      </w:r>
      <w:r w:rsidR="002D390C">
        <w:t>,</w:t>
      </w:r>
      <w:r w:rsidR="00A47F71">
        <w:t xml:space="preserve"> and he did not know whether Complainant was being charged a residential or commercial rate.  N.T. 82.</w:t>
      </w:r>
    </w:p>
    <w:p w:rsidR="00AD0A08" w:rsidRDefault="00AD0A08" w:rsidP="008E4808">
      <w:pPr>
        <w:tabs>
          <w:tab w:val="left" w:pos="2160"/>
        </w:tabs>
        <w:spacing w:after="0"/>
        <w:ind w:firstLine="1440"/>
      </w:pPr>
    </w:p>
    <w:p w:rsidR="00A47F71" w:rsidRDefault="00334EE4" w:rsidP="008E4808">
      <w:pPr>
        <w:tabs>
          <w:tab w:val="left" w:pos="2160"/>
        </w:tabs>
        <w:spacing w:after="0"/>
        <w:ind w:firstLine="1440"/>
      </w:pPr>
      <w:r>
        <w:t>4</w:t>
      </w:r>
      <w:r w:rsidR="00212A66">
        <w:t>8</w:t>
      </w:r>
      <w:r>
        <w:t>.</w:t>
      </w:r>
      <w:r>
        <w:tab/>
      </w:r>
      <w:r w:rsidR="00A47F71">
        <w:t>The disclosure statement</w:t>
      </w:r>
      <w:r w:rsidR="00B76F7E">
        <w:t>, which</w:t>
      </w:r>
      <w:r w:rsidR="00A47F71">
        <w:t xml:space="preserve"> </w:t>
      </w:r>
      <w:r w:rsidR="00B76F7E">
        <w:t>is</w:t>
      </w:r>
      <w:r w:rsidR="00A47F71">
        <w:t xml:space="preserve"> entitled “Respond Energy, LLC and Major Energy Services Affiliates Disclosure Statement</w:t>
      </w:r>
      <w:r w:rsidR="00B76F7E">
        <w:t>,”</w:t>
      </w:r>
      <w:r w:rsidR="00A47F71">
        <w:t xml:space="preserve"> contains </w:t>
      </w:r>
      <w:r w:rsidR="00B76F7E">
        <w:t xml:space="preserve">both separate and combined </w:t>
      </w:r>
      <w:r w:rsidR="00A47F71">
        <w:t>disclosure</w:t>
      </w:r>
      <w:r w:rsidR="00B76F7E">
        <w:t xml:space="preserve"> terms</w:t>
      </w:r>
      <w:r w:rsidR="00A47F71">
        <w:t xml:space="preserve"> </w:t>
      </w:r>
      <w:r w:rsidR="00B76F7E">
        <w:t xml:space="preserve">in a confusing manner </w:t>
      </w:r>
      <w:r w:rsidR="00A47F71">
        <w:t xml:space="preserve">for Major Energy </w:t>
      </w:r>
      <w:r w:rsidR="00B76F7E">
        <w:t>natural g</w:t>
      </w:r>
      <w:r w:rsidR="00A47F71">
        <w:t>as service and Respond Power electric service</w:t>
      </w:r>
      <w:r w:rsidR="00B76F7E">
        <w:t xml:space="preserve"> customers</w:t>
      </w:r>
      <w:r w:rsidR="00A47F71">
        <w:t>.  N.T. 82-83.</w:t>
      </w:r>
    </w:p>
    <w:p w:rsidR="00BD442C" w:rsidRDefault="00BD442C" w:rsidP="008E4808">
      <w:pPr>
        <w:tabs>
          <w:tab w:val="left" w:pos="2160"/>
        </w:tabs>
        <w:spacing w:after="0"/>
        <w:ind w:firstLine="1440"/>
      </w:pPr>
    </w:p>
    <w:p w:rsidR="00A47F71" w:rsidRDefault="00212A66" w:rsidP="008E4808">
      <w:pPr>
        <w:tabs>
          <w:tab w:val="left" w:pos="2160"/>
        </w:tabs>
        <w:spacing w:after="0"/>
        <w:ind w:firstLine="1440"/>
      </w:pPr>
      <w:r>
        <w:t>49</w:t>
      </w:r>
      <w:r w:rsidR="00334EE4">
        <w:t>.</w:t>
      </w:r>
      <w:r w:rsidR="00334EE4">
        <w:tab/>
      </w:r>
      <w:r w:rsidR="00A47F71">
        <w:t xml:space="preserve">The disclosure statement is printed in </w:t>
      </w:r>
      <w:r w:rsidR="00426A28">
        <w:t xml:space="preserve">very </w:t>
      </w:r>
      <w:r w:rsidR="00A47F71">
        <w:t>small font.  Respondent’s Exhibit 2.</w:t>
      </w:r>
    </w:p>
    <w:p w:rsidR="00BD442C" w:rsidRDefault="00BD442C" w:rsidP="008E4808">
      <w:pPr>
        <w:tabs>
          <w:tab w:val="left" w:pos="2160"/>
        </w:tabs>
        <w:spacing w:after="0"/>
        <w:ind w:firstLine="1440"/>
      </w:pPr>
    </w:p>
    <w:p w:rsidR="00573F2E" w:rsidRDefault="00334EE4" w:rsidP="008E4808">
      <w:pPr>
        <w:tabs>
          <w:tab w:val="left" w:pos="2160"/>
        </w:tabs>
        <w:spacing w:after="0"/>
        <w:ind w:firstLine="1440"/>
      </w:pPr>
      <w:r>
        <w:t>5</w:t>
      </w:r>
      <w:r w:rsidR="00212A66">
        <w:t>0</w:t>
      </w:r>
      <w:r>
        <w:t>.</w:t>
      </w:r>
      <w:r>
        <w:tab/>
      </w:r>
      <w:r w:rsidR="00573F2E">
        <w:t xml:space="preserve">Mr. Small does not know whether Complainant read the terms of service or </w:t>
      </w:r>
      <w:r w:rsidR="006C6EEF">
        <w:t xml:space="preserve">the </w:t>
      </w:r>
      <w:r w:rsidR="00573F2E">
        <w:t xml:space="preserve">disclosure statement before checking the box </w:t>
      </w:r>
      <w:r w:rsidR="006C6EEF">
        <w:t xml:space="preserve">on the service agreement </w:t>
      </w:r>
      <w:r w:rsidR="00573F2E">
        <w:t>that he received.  N.T. 79.</w:t>
      </w:r>
    </w:p>
    <w:p w:rsidR="00BD442C" w:rsidRDefault="00BD442C" w:rsidP="008E4808">
      <w:pPr>
        <w:tabs>
          <w:tab w:val="left" w:pos="2160"/>
        </w:tabs>
        <w:spacing w:after="0"/>
        <w:ind w:firstLine="1440"/>
      </w:pPr>
    </w:p>
    <w:p w:rsidR="00573F2E" w:rsidRDefault="00334EE4" w:rsidP="008E4808">
      <w:pPr>
        <w:tabs>
          <w:tab w:val="left" w:pos="2160"/>
        </w:tabs>
        <w:spacing w:after="0"/>
        <w:ind w:firstLine="1440"/>
      </w:pPr>
      <w:r>
        <w:t>5</w:t>
      </w:r>
      <w:r w:rsidR="00212A66">
        <w:t>1</w:t>
      </w:r>
      <w:r>
        <w:t>.</w:t>
      </w:r>
      <w:r>
        <w:tab/>
      </w:r>
      <w:r w:rsidR="00573F2E">
        <w:t>Mr. Small does not know if Larry Maje</w:t>
      </w:r>
      <w:r w:rsidR="00426A28">
        <w:t>k</w:t>
      </w:r>
      <w:r w:rsidR="00573F2E">
        <w:t xml:space="preserve"> pointed out the terms of service to Complainant during his sales pitch.  N.T. 79.</w:t>
      </w:r>
    </w:p>
    <w:p w:rsidR="00BD442C" w:rsidRDefault="00BD442C" w:rsidP="008E4808">
      <w:pPr>
        <w:tabs>
          <w:tab w:val="left" w:pos="2160"/>
        </w:tabs>
        <w:spacing w:after="0"/>
        <w:ind w:firstLine="1440"/>
      </w:pPr>
    </w:p>
    <w:p w:rsidR="00573F2E" w:rsidRDefault="00334EE4" w:rsidP="008E4808">
      <w:pPr>
        <w:tabs>
          <w:tab w:val="left" w:pos="2160"/>
        </w:tabs>
        <w:spacing w:after="0"/>
        <w:ind w:firstLine="1440"/>
      </w:pPr>
      <w:r>
        <w:t>5</w:t>
      </w:r>
      <w:r w:rsidR="00212A66">
        <w:t>2</w:t>
      </w:r>
      <w:r>
        <w:t>.</w:t>
      </w:r>
      <w:r>
        <w:tab/>
      </w:r>
      <w:r w:rsidR="00573F2E">
        <w:t xml:space="preserve">Mr. Small </w:t>
      </w:r>
      <w:r w:rsidR="002D390C">
        <w:t>believes</w:t>
      </w:r>
      <w:r w:rsidR="00573F2E">
        <w:t xml:space="preserve"> the language in Respond Power’s disclosure statement as attached to the sales agreement ha</w:t>
      </w:r>
      <w:r w:rsidR="002D390C">
        <w:t>s</w:t>
      </w:r>
      <w:r w:rsidR="00573F2E">
        <w:t xml:space="preserve"> been approved by the Commission when the Commission entered an Order granting Respond Power a license to be an electric generation supplier.  N.T. 80-81.</w:t>
      </w:r>
    </w:p>
    <w:p w:rsidR="00BD442C" w:rsidRDefault="00BD442C" w:rsidP="008E4808">
      <w:pPr>
        <w:tabs>
          <w:tab w:val="left" w:pos="2160"/>
        </w:tabs>
        <w:spacing w:after="0"/>
        <w:ind w:firstLine="1440"/>
      </w:pPr>
    </w:p>
    <w:p w:rsidR="00F401A1" w:rsidRDefault="00334EE4" w:rsidP="008E4808">
      <w:pPr>
        <w:tabs>
          <w:tab w:val="left" w:pos="2160"/>
        </w:tabs>
        <w:spacing w:after="0"/>
        <w:ind w:firstLine="1440"/>
      </w:pPr>
      <w:r>
        <w:t>5</w:t>
      </w:r>
      <w:r w:rsidR="00212A66">
        <w:t>3</w:t>
      </w:r>
      <w:r>
        <w:t>.</w:t>
      </w:r>
      <w:r>
        <w:tab/>
      </w:r>
      <w:r w:rsidR="00F401A1">
        <w:t xml:space="preserve">There was no evidence to suggest Respond Power, even knowing about this Complaint, took any action to </w:t>
      </w:r>
      <w:r w:rsidR="00F763A1">
        <w:t xml:space="preserve">conduct an internal investigation to </w:t>
      </w:r>
      <w:r w:rsidR="00F401A1">
        <w:t>determine whether field agent Larry Majek made any misleading or false representations to this consumer or other consumers, whether Mr. Majek was still working for the Direct Business Solutions on behalf of Respond Power, and if so, whether he had been audited, suspended, terminated, or reprimanded for his conduct during this sale, or subsequent sales.  N.T. 80-81.</w:t>
      </w:r>
    </w:p>
    <w:p w:rsidR="00573F2E" w:rsidRDefault="00573F2E" w:rsidP="008E4808">
      <w:pPr>
        <w:tabs>
          <w:tab w:val="left" w:pos="2160"/>
        </w:tabs>
        <w:spacing w:after="0"/>
        <w:ind w:firstLine="1440"/>
      </w:pPr>
    </w:p>
    <w:p w:rsidR="00B12983" w:rsidRDefault="00334EE4" w:rsidP="008E4808">
      <w:pPr>
        <w:tabs>
          <w:tab w:val="left" w:pos="2160"/>
        </w:tabs>
        <w:spacing w:after="0"/>
        <w:ind w:firstLine="1440"/>
      </w:pPr>
      <w:r>
        <w:t>5</w:t>
      </w:r>
      <w:r w:rsidR="00212A66">
        <w:t>4</w:t>
      </w:r>
      <w:r>
        <w:t>.</w:t>
      </w:r>
      <w:r>
        <w:tab/>
      </w:r>
      <w:r w:rsidR="00784226">
        <w:t>Respond Power took no action to encourage West Penn Power to take actual meter readings on a bimonthly basis during the period of December 2013 through April 2014, nor does Respond Power tell West Penn Power “how to do their job.”  N.T. 69.</w:t>
      </w:r>
    </w:p>
    <w:p w:rsidR="00334EE4" w:rsidRDefault="00334EE4" w:rsidP="008E4808">
      <w:pPr>
        <w:tabs>
          <w:tab w:val="left" w:pos="2160"/>
        </w:tabs>
        <w:spacing w:after="0"/>
        <w:ind w:firstLine="1440"/>
      </w:pPr>
    </w:p>
    <w:p w:rsidR="00784226" w:rsidRDefault="00334EE4" w:rsidP="008E4808">
      <w:pPr>
        <w:tabs>
          <w:tab w:val="left" w:pos="2160"/>
        </w:tabs>
        <w:spacing w:after="0"/>
        <w:ind w:firstLine="1440"/>
      </w:pPr>
      <w:r>
        <w:t>5</w:t>
      </w:r>
      <w:r w:rsidR="00212A66">
        <w:t>5</w:t>
      </w:r>
      <w:r>
        <w:t>.</w:t>
      </w:r>
      <w:r>
        <w:tab/>
      </w:r>
      <w:r w:rsidR="00784226">
        <w:t>Respond Power has no separate agreement with West Penn Power specifying the frequency of time fram</w:t>
      </w:r>
      <w:r w:rsidR="00DB4945">
        <w:t>e</w:t>
      </w:r>
      <w:r w:rsidR="00784226">
        <w:t xml:space="preserve"> on which its meters should be actually read.  N.T. 70.</w:t>
      </w:r>
    </w:p>
    <w:p w:rsidR="00334EE4" w:rsidRDefault="00334EE4" w:rsidP="008E4808">
      <w:pPr>
        <w:tabs>
          <w:tab w:val="left" w:pos="2160"/>
        </w:tabs>
        <w:spacing w:after="0"/>
        <w:ind w:firstLine="1440"/>
      </w:pPr>
    </w:p>
    <w:p w:rsidR="00B41358" w:rsidRPr="003835D5" w:rsidRDefault="00334EE4" w:rsidP="008E4808">
      <w:pPr>
        <w:tabs>
          <w:tab w:val="left" w:pos="2160"/>
        </w:tabs>
        <w:spacing w:after="0"/>
        <w:ind w:firstLine="1440"/>
        <w:rPr>
          <w:szCs w:val="24"/>
        </w:rPr>
      </w:pPr>
      <w:r>
        <w:t>5</w:t>
      </w:r>
      <w:r w:rsidR="00212A66">
        <w:t>6</w:t>
      </w:r>
      <w:r>
        <w:t>.</w:t>
      </w:r>
      <w:r>
        <w:tab/>
      </w:r>
      <w:r w:rsidR="00B41358">
        <w:t xml:space="preserve">On November 25, 2013 and on March 27, 2014, West Penn Power </w:t>
      </w:r>
      <w:r w:rsidR="00EA462E">
        <w:t>took</w:t>
      </w:r>
      <w:r w:rsidR="00B41358">
        <w:t xml:space="preserve"> actual meter readings.  The monthly meter reads for December, January and February were estimated. H</w:t>
      </w:r>
      <w:r w:rsidR="00B41358" w:rsidRPr="003835D5">
        <w:rPr>
          <w:szCs w:val="24"/>
        </w:rPr>
        <w:t>erp Exhibits 1-6.  N.T. 71.</w:t>
      </w:r>
    </w:p>
    <w:p w:rsidR="00BA7E4F" w:rsidRDefault="00BA7E4F" w:rsidP="008E4808">
      <w:pPr>
        <w:tabs>
          <w:tab w:val="left" w:pos="2160"/>
        </w:tabs>
        <w:spacing w:after="0"/>
        <w:ind w:firstLine="1440"/>
        <w:rPr>
          <w:szCs w:val="24"/>
        </w:rPr>
      </w:pPr>
    </w:p>
    <w:p w:rsidR="00B41358" w:rsidRPr="003835D5" w:rsidRDefault="00DD54DF" w:rsidP="008E4808">
      <w:pPr>
        <w:tabs>
          <w:tab w:val="left" w:pos="2160"/>
        </w:tabs>
        <w:spacing w:after="0"/>
        <w:ind w:firstLine="1440"/>
        <w:rPr>
          <w:szCs w:val="24"/>
        </w:rPr>
      </w:pPr>
      <w:r>
        <w:rPr>
          <w:szCs w:val="24"/>
        </w:rPr>
        <w:t>5</w:t>
      </w:r>
      <w:r w:rsidR="00212A66">
        <w:rPr>
          <w:szCs w:val="24"/>
        </w:rPr>
        <w:t>7</w:t>
      </w:r>
      <w:r>
        <w:rPr>
          <w:szCs w:val="24"/>
        </w:rPr>
        <w:t>.</w:t>
      </w:r>
      <w:r w:rsidR="00334EE4" w:rsidRPr="003835D5">
        <w:rPr>
          <w:szCs w:val="24"/>
        </w:rPr>
        <w:tab/>
      </w:r>
      <w:r w:rsidR="00B41358" w:rsidRPr="003835D5">
        <w:rPr>
          <w:szCs w:val="24"/>
        </w:rPr>
        <w:t>West Penn</w:t>
      </w:r>
      <w:r w:rsidR="00330C55">
        <w:rPr>
          <w:szCs w:val="24"/>
        </w:rPr>
        <w:t xml:space="preserve"> Power</w:t>
      </w:r>
      <w:r w:rsidR="00B41358" w:rsidRPr="003835D5">
        <w:rPr>
          <w:szCs w:val="24"/>
        </w:rPr>
        <w:t xml:space="preserve"> sends Respond Power an E</w:t>
      </w:r>
      <w:r w:rsidR="00BC7016">
        <w:rPr>
          <w:szCs w:val="24"/>
        </w:rPr>
        <w:t>D</w:t>
      </w:r>
      <w:r w:rsidR="00B41358" w:rsidRPr="003835D5">
        <w:rPr>
          <w:szCs w:val="24"/>
        </w:rPr>
        <w:t>I</w:t>
      </w:r>
      <w:r w:rsidR="00BC7016">
        <w:rPr>
          <w:rStyle w:val="FootnoteReference"/>
          <w:szCs w:val="24"/>
        </w:rPr>
        <w:footnoteReference w:id="2"/>
      </w:r>
      <w:r w:rsidR="00B41358" w:rsidRPr="003835D5">
        <w:rPr>
          <w:szCs w:val="24"/>
        </w:rPr>
        <w:t xml:space="preserve"> transaction which states the customer’s </w:t>
      </w:r>
      <w:r w:rsidR="00426A28" w:rsidRPr="003835D5">
        <w:rPr>
          <w:szCs w:val="24"/>
        </w:rPr>
        <w:t>kilowatts</w:t>
      </w:r>
      <w:r w:rsidR="00B41358" w:rsidRPr="003835D5">
        <w:rPr>
          <w:szCs w:val="24"/>
        </w:rPr>
        <w:t xml:space="preserve"> usage in the prior month.  N.T. 72-73.</w:t>
      </w:r>
    </w:p>
    <w:p w:rsidR="00BA7E4F" w:rsidRDefault="00BA7E4F" w:rsidP="008E4808">
      <w:pPr>
        <w:tabs>
          <w:tab w:val="left" w:pos="2160"/>
        </w:tabs>
        <w:spacing w:after="0"/>
        <w:ind w:firstLine="1440"/>
      </w:pPr>
    </w:p>
    <w:p w:rsidR="00B41358" w:rsidRPr="003835D5" w:rsidRDefault="00334EE4" w:rsidP="008E4808">
      <w:pPr>
        <w:tabs>
          <w:tab w:val="left" w:pos="2160"/>
        </w:tabs>
        <w:spacing w:after="0"/>
        <w:ind w:firstLine="1440"/>
      </w:pPr>
      <w:r w:rsidRPr="003835D5">
        <w:t>5</w:t>
      </w:r>
      <w:r w:rsidR="00212A66">
        <w:t>8</w:t>
      </w:r>
      <w:r w:rsidRPr="003835D5">
        <w:t>.</w:t>
      </w:r>
      <w:r w:rsidRPr="003835D5">
        <w:tab/>
      </w:r>
      <w:r w:rsidR="00B41358" w:rsidRPr="003835D5">
        <w:t xml:space="preserve">West Penn’s reissuance of a bill in March removing 43 kilowatts from his bill because of overestimation resulted in </w:t>
      </w:r>
      <w:r w:rsidR="00573F2E" w:rsidRPr="003835D5">
        <w:t xml:space="preserve">an initial reduction in Complainant’s March bill, but later cost Complainant more </w:t>
      </w:r>
      <w:r w:rsidR="00EA462E" w:rsidRPr="003835D5">
        <w:t xml:space="preserve">approximately $40 </w:t>
      </w:r>
      <w:r w:rsidR="00573F2E" w:rsidRPr="003835D5">
        <w:t xml:space="preserve">in May after </w:t>
      </w:r>
      <w:r w:rsidR="00BD442C">
        <w:t>an actual read took place March </w:t>
      </w:r>
      <w:r w:rsidR="00573F2E" w:rsidRPr="003835D5">
        <w:t>27, 2014, and Complainant was billed at a higher rate then he would have been in March.  N.T. 75.</w:t>
      </w:r>
    </w:p>
    <w:p w:rsidR="00334EE4" w:rsidRPr="003835D5" w:rsidRDefault="00334EE4" w:rsidP="008E4808">
      <w:pPr>
        <w:tabs>
          <w:tab w:val="left" w:pos="2160"/>
        </w:tabs>
        <w:spacing w:after="0"/>
        <w:ind w:firstLine="1440"/>
      </w:pPr>
    </w:p>
    <w:p w:rsidR="00CC0178" w:rsidRPr="003835D5" w:rsidRDefault="00212A66" w:rsidP="008A2650">
      <w:pPr>
        <w:tabs>
          <w:tab w:val="left" w:pos="2160"/>
        </w:tabs>
        <w:spacing w:after="0"/>
        <w:ind w:firstLine="1440"/>
      </w:pPr>
      <w:r>
        <w:t>59</w:t>
      </w:r>
      <w:r w:rsidR="00334EE4" w:rsidRPr="003835D5">
        <w:t>.</w:t>
      </w:r>
      <w:r w:rsidR="00334EE4" w:rsidRPr="003835D5">
        <w:tab/>
      </w:r>
      <w:r w:rsidR="00CC0178" w:rsidRPr="003835D5">
        <w:t xml:space="preserve">Although Respond Power pre-marked a CD-ROM Disc as Exhibit No. 3, which contained a recording of the verification record, and Mr. Small referred to the verification in his testimony, the Company chose not to submit the exhibit for admission into the record. </w:t>
      </w:r>
    </w:p>
    <w:p w:rsidR="00855E2E" w:rsidRDefault="00855E2E" w:rsidP="008A2650">
      <w:pPr>
        <w:spacing w:after="0"/>
        <w:jc w:val="center"/>
        <w:rPr>
          <w:szCs w:val="24"/>
          <w:u w:val="single"/>
        </w:rPr>
      </w:pPr>
    </w:p>
    <w:p w:rsidR="00363EC9" w:rsidRPr="00525DAE" w:rsidRDefault="00363EC9" w:rsidP="008A2650">
      <w:pPr>
        <w:spacing w:after="0"/>
        <w:jc w:val="center"/>
        <w:rPr>
          <w:szCs w:val="24"/>
          <w:u w:val="single"/>
        </w:rPr>
      </w:pPr>
      <w:r w:rsidRPr="00525DAE">
        <w:rPr>
          <w:szCs w:val="24"/>
          <w:u w:val="single"/>
        </w:rPr>
        <w:t>DISCUSSION</w:t>
      </w:r>
    </w:p>
    <w:p w:rsidR="00113A18" w:rsidRDefault="00113A18" w:rsidP="008A2650">
      <w:pPr>
        <w:keepNext/>
        <w:spacing w:after="0"/>
        <w:rPr>
          <w:szCs w:val="26"/>
          <w:u w:val="single"/>
        </w:rPr>
      </w:pPr>
    </w:p>
    <w:p w:rsidR="00525DAE" w:rsidRDefault="00113A18" w:rsidP="008A2650">
      <w:pPr>
        <w:keepNext/>
        <w:spacing w:after="0"/>
        <w:rPr>
          <w:szCs w:val="26"/>
          <w:u w:val="single"/>
        </w:rPr>
      </w:pPr>
      <w:r>
        <w:rPr>
          <w:szCs w:val="26"/>
          <w:u w:val="single"/>
        </w:rPr>
        <w:t xml:space="preserve">Burden of Proof </w:t>
      </w:r>
    </w:p>
    <w:p w:rsidR="00BD442C" w:rsidRPr="00113A18" w:rsidRDefault="00BD442C" w:rsidP="008A2650">
      <w:pPr>
        <w:keepNext/>
        <w:spacing w:after="0"/>
        <w:rPr>
          <w:szCs w:val="26"/>
          <w:u w:val="single"/>
        </w:rPr>
      </w:pPr>
    </w:p>
    <w:p w:rsidR="00525DAE" w:rsidRPr="00525DAE" w:rsidRDefault="00525DAE" w:rsidP="008A2650">
      <w:pPr>
        <w:keepNext/>
        <w:spacing w:after="0"/>
        <w:ind w:firstLine="1440"/>
        <w:rPr>
          <w:szCs w:val="26"/>
        </w:rPr>
      </w:pPr>
      <w:r w:rsidRPr="00525DAE">
        <w:rPr>
          <w:szCs w:val="26"/>
        </w:rPr>
        <w:t>As the proponent of a rule or order, the Complainant in this proceeding bears the burden of proof pursuant to Section 332(a) of the Public Uti</w:t>
      </w:r>
      <w:r w:rsidR="00BD442C">
        <w:rPr>
          <w:szCs w:val="26"/>
        </w:rPr>
        <w:t xml:space="preserve">lity Code (Code), 66 </w:t>
      </w:r>
      <w:r w:rsidR="0079588A">
        <w:rPr>
          <w:szCs w:val="26"/>
        </w:rPr>
        <w:t>Pa.C.S.</w:t>
      </w:r>
      <w:r w:rsidR="00BD442C">
        <w:rPr>
          <w:szCs w:val="26"/>
        </w:rPr>
        <w:t xml:space="preserve"> § </w:t>
      </w:r>
      <w:r w:rsidRPr="00525DAE">
        <w:rPr>
          <w:szCs w:val="26"/>
        </w:rPr>
        <w:t xml:space="preserve">332(a).  To establish a sufficient case and satisfy the burden of proof, the Complainant must show that Respond Power is responsible or accountable for the problem described in the Complaint.  </w:t>
      </w:r>
      <w:r w:rsidRPr="00525DAE">
        <w:rPr>
          <w:i/>
          <w:szCs w:val="26"/>
        </w:rPr>
        <w:t>Patterson v. The Bell Telephone Company of Pennsylvania</w:t>
      </w:r>
      <w:r w:rsidRPr="00525DAE">
        <w:rPr>
          <w:szCs w:val="26"/>
        </w:rPr>
        <w:t xml:space="preserve">, 72 Pa. P.U.C. 196 (1990).  Such a showing must be by a preponderance of the evidence.  </w:t>
      </w:r>
      <w:r w:rsidRPr="00525DAE">
        <w:rPr>
          <w:i/>
          <w:iCs/>
          <w:szCs w:val="26"/>
        </w:rPr>
        <w:t>Samuel J. Lansberry, Inc. v. Pa. PUC</w:t>
      </w:r>
      <w:r w:rsidRPr="00525DAE">
        <w:rPr>
          <w:szCs w:val="26"/>
        </w:rPr>
        <w:t xml:space="preserve">, 578 A.2d 600 (Pa. Cmwlth. 1990), </w:t>
      </w:r>
      <w:r w:rsidRPr="00525DAE">
        <w:rPr>
          <w:i/>
          <w:szCs w:val="26"/>
        </w:rPr>
        <w:t>alloc. denied,</w:t>
      </w:r>
      <w:r w:rsidRPr="00525DAE">
        <w:rPr>
          <w:szCs w:val="26"/>
        </w:rPr>
        <w:t xml:space="preserve"> 529 Pa. 654, 602 A.2d 863 (1992).  That is, the Complainant’s evidence must be more convincing, by even the smallest amount, than that presented by Respond Power.  </w:t>
      </w:r>
      <w:r w:rsidRPr="00525DAE">
        <w:rPr>
          <w:i/>
          <w:szCs w:val="26"/>
        </w:rPr>
        <w:t>Se-Ling Hosiery, Inc. v. Margulies</w:t>
      </w:r>
      <w:r w:rsidRPr="00525DAE">
        <w:rPr>
          <w:szCs w:val="26"/>
        </w:rPr>
        <w:t xml:space="preserve">, 364 Pa. 45, 70 A.2d 854 (1950).  Additionally, this Commission’s decision must be supported by substantial evidence in the record.  </w:t>
      </w:r>
      <w:r w:rsidRPr="00525DAE">
        <w:rPr>
          <w:i/>
          <w:szCs w:val="26"/>
        </w:rPr>
        <w:t>Mill v. Pa P.U.C.</w:t>
      </w:r>
      <w:r w:rsidRPr="00525DAE">
        <w:rPr>
          <w:szCs w:val="26"/>
        </w:rPr>
        <w:t xml:space="preserve"> 447 A.2d 1100 (Pa. Cmwlth. 1982).  More is required than a mere trace of evidence or a suspicion of the existence of a fact sought to be established.  </w:t>
      </w:r>
      <w:r w:rsidRPr="00525DAE">
        <w:rPr>
          <w:i/>
          <w:szCs w:val="26"/>
        </w:rPr>
        <w:t xml:space="preserve">Norfolk &amp; Western Ry. Co. v. Pa. PUC, </w:t>
      </w:r>
      <w:r w:rsidRPr="00525DAE">
        <w:rPr>
          <w:szCs w:val="26"/>
        </w:rPr>
        <w:t>489 Pa. 109, 413 A.2d 1037 (1980).</w:t>
      </w:r>
    </w:p>
    <w:p w:rsidR="00525DAE" w:rsidRDefault="00525DAE" w:rsidP="00A14C7F">
      <w:pPr>
        <w:spacing w:after="0"/>
        <w:ind w:firstLine="1440"/>
      </w:pPr>
    </w:p>
    <w:p w:rsidR="00525DAE" w:rsidRPr="00525DAE" w:rsidRDefault="00525DAE" w:rsidP="00A14C7F">
      <w:pPr>
        <w:spacing w:after="0"/>
        <w:ind w:firstLine="1440"/>
        <w:rPr>
          <w:rFonts w:ascii="Times New (W1)" w:hAnsi="Times New (W1)"/>
          <w:i/>
        </w:rPr>
      </w:pPr>
      <w:r w:rsidRPr="00525DAE">
        <w:t>Upon the presentation by the Complainant of evidence sufficient to initially satisfy the burden of proof, the burden of going forward with the evidence to rebut the evidence of the customer shifts to Respond Power.  If the evidence presented by Respond Power is of co</w:t>
      </w:r>
      <w:r w:rsidRPr="00525DAE">
        <w:noBreakHyphen/>
        <w:t xml:space="preserve">equal value or “weight,” the burden of proof has not been satisfied.  The Complainant now has to provide some additional evidence to rebut that of Respond Power. </w:t>
      </w:r>
      <w:r w:rsidRPr="00525DAE">
        <w:rPr>
          <w:iCs/>
        </w:rPr>
        <w:t xml:space="preserve"> </w:t>
      </w:r>
      <w:hyperlink r:id="rId9" w:history="1">
        <w:r w:rsidRPr="00525DAE">
          <w:rPr>
            <w:rStyle w:val="Hyperlink"/>
            <w:rFonts w:ascii="Times New (W1)" w:hAnsi="Times New (W1)"/>
            <w:i/>
            <w:iCs/>
            <w:color w:val="auto"/>
            <w:u w:val="none"/>
          </w:rPr>
          <w:t>Burleson v. Pa. PUC,</w:t>
        </w:r>
        <w:r w:rsidRPr="00525DAE">
          <w:rPr>
            <w:rStyle w:val="Hyperlink"/>
            <w:rFonts w:ascii="Times New (W1)" w:hAnsi="Times New (W1)"/>
            <w:iCs/>
            <w:color w:val="auto"/>
            <w:u w:val="none"/>
          </w:rPr>
          <w:t xml:space="preserve"> 443 A.2d 1373 (Pa. Cmwlth. 1982), </w:t>
        </w:r>
        <w:r w:rsidRPr="00525DAE">
          <w:rPr>
            <w:rStyle w:val="Hyperlink"/>
            <w:rFonts w:ascii="Times New (W1)" w:hAnsi="Times New (W1)"/>
            <w:i/>
            <w:iCs/>
            <w:color w:val="auto"/>
            <w:u w:val="none"/>
          </w:rPr>
          <w:t>aff’d,</w:t>
        </w:r>
        <w:r w:rsidRPr="00525DAE">
          <w:rPr>
            <w:rStyle w:val="Hyperlink"/>
            <w:rFonts w:ascii="Times New (W1)" w:hAnsi="Times New (W1)"/>
            <w:iCs/>
            <w:color w:val="auto"/>
            <w:u w:val="none"/>
          </w:rPr>
          <w:t xml:space="preserve"> 501 Pa. 433, 461 A.2d 1234 (1983).</w:t>
        </w:r>
      </w:hyperlink>
    </w:p>
    <w:p w:rsidR="00525DAE" w:rsidRPr="00525DAE" w:rsidRDefault="00525DAE" w:rsidP="00A14C7F">
      <w:pPr>
        <w:spacing w:after="0"/>
        <w:ind w:firstLine="1440"/>
      </w:pPr>
    </w:p>
    <w:p w:rsidR="00525DAE" w:rsidRPr="00525DAE" w:rsidRDefault="00525DAE" w:rsidP="00C765B4">
      <w:pPr>
        <w:spacing w:after="0"/>
        <w:ind w:firstLine="1440"/>
      </w:pPr>
      <w:r w:rsidRPr="00113A18">
        <w:t xml:space="preserve">While the burden of going forward with the evidence may </w:t>
      </w:r>
      <w:r w:rsidRPr="00113A18">
        <w:rPr>
          <w:rStyle w:val="term1"/>
          <w:b w:val="0"/>
        </w:rPr>
        <w:t>shift</w:t>
      </w:r>
      <w:r w:rsidRPr="00113A18">
        <w:rPr>
          <w:b/>
        </w:rPr>
        <w:t xml:space="preserve"> </w:t>
      </w:r>
      <w:r w:rsidRPr="00113A18">
        <w:t xml:space="preserve">back and forth during a proceeding, the </w:t>
      </w:r>
      <w:r w:rsidRPr="00113A18">
        <w:rPr>
          <w:rStyle w:val="term1"/>
          <w:b w:val="0"/>
        </w:rPr>
        <w:t>burden of proof</w:t>
      </w:r>
      <w:r w:rsidRPr="00113A18">
        <w:t xml:space="preserve"> never </w:t>
      </w:r>
      <w:r w:rsidRPr="00113A18">
        <w:rPr>
          <w:rStyle w:val="term1"/>
          <w:b w:val="0"/>
        </w:rPr>
        <w:t>shifts.  The burden of proof</w:t>
      </w:r>
      <w:r w:rsidRPr="00113A18">
        <w:t xml:space="preserve"> always remains</w:t>
      </w:r>
      <w:r w:rsidRPr="00525DAE">
        <w:t xml:space="preserve"> on the party seeking affirmative relief from the Commission.  </w:t>
      </w:r>
      <w:r w:rsidRPr="00525DAE">
        <w:rPr>
          <w:i/>
        </w:rPr>
        <w:t xml:space="preserve">Milkie v. Pa. PUC, </w:t>
      </w:r>
      <w:r w:rsidRPr="00525DAE">
        <w:t>768 A.2d 1217 (Pa. Cmwlth. 2001).</w:t>
      </w:r>
    </w:p>
    <w:p w:rsidR="00855E2E" w:rsidRDefault="00855E2E" w:rsidP="00C765B4">
      <w:pPr>
        <w:spacing w:after="0" w:line="276" w:lineRule="auto"/>
        <w:rPr>
          <w:szCs w:val="26"/>
          <w:u w:val="single"/>
        </w:rPr>
      </w:pPr>
    </w:p>
    <w:p w:rsidR="002C6CE0" w:rsidRDefault="00113A18" w:rsidP="00C765B4">
      <w:pPr>
        <w:spacing w:after="0" w:line="276" w:lineRule="auto"/>
        <w:rPr>
          <w:szCs w:val="26"/>
          <w:u w:val="single"/>
        </w:rPr>
      </w:pPr>
      <w:r>
        <w:rPr>
          <w:szCs w:val="26"/>
          <w:u w:val="single"/>
        </w:rPr>
        <w:t>Subject Matter Jurisdiction</w:t>
      </w:r>
    </w:p>
    <w:p w:rsidR="00A14C7F" w:rsidRDefault="00A14C7F" w:rsidP="00C765B4">
      <w:pPr>
        <w:spacing w:after="0"/>
        <w:rPr>
          <w:sz w:val="26"/>
          <w:szCs w:val="26"/>
        </w:rPr>
      </w:pPr>
    </w:p>
    <w:p w:rsidR="00833D74" w:rsidRDefault="002C6CE0" w:rsidP="00C765B4">
      <w:pPr>
        <w:spacing w:after="0"/>
        <w:rPr>
          <w:szCs w:val="26"/>
        </w:rPr>
      </w:pPr>
      <w:r>
        <w:rPr>
          <w:sz w:val="26"/>
          <w:szCs w:val="26"/>
        </w:rPr>
        <w:tab/>
      </w:r>
      <w:r>
        <w:rPr>
          <w:sz w:val="26"/>
          <w:szCs w:val="26"/>
        </w:rPr>
        <w:tab/>
      </w:r>
      <w:r w:rsidRPr="002C6CE0">
        <w:rPr>
          <w:szCs w:val="26"/>
        </w:rPr>
        <w:t xml:space="preserve">The Commission does not have subject matter jurisdiction to interpret the terms and conditions of a contract between an EGS and a customer to determine whether a breach of the contract has occurred.  </w:t>
      </w:r>
      <w:r w:rsidRPr="002C6CE0">
        <w:rPr>
          <w:i/>
          <w:szCs w:val="26"/>
        </w:rPr>
        <w:t>See, e.g. Allport Water Auth. v. Winburne Water Co.</w:t>
      </w:r>
      <w:r w:rsidRPr="002C6CE0">
        <w:rPr>
          <w:szCs w:val="26"/>
        </w:rPr>
        <w:t>, 393 A.2d 673 (Pa. Super. Ct. 1978).</w:t>
      </w:r>
      <w:r w:rsidR="00154F49">
        <w:rPr>
          <w:szCs w:val="26"/>
        </w:rPr>
        <w:t xml:space="preserve">  The Commission has traditionally held that it does not have traditional ratemaking authority over competitive suppliers and has not asserted authority to regulate competitive supply rates.  However, the Commission has </w:t>
      </w:r>
      <w:r w:rsidR="004B22F2">
        <w:rPr>
          <w:szCs w:val="26"/>
        </w:rPr>
        <w:t xml:space="preserve">recently </w:t>
      </w:r>
      <w:r w:rsidR="00154F49">
        <w:rPr>
          <w:szCs w:val="26"/>
        </w:rPr>
        <w:t xml:space="preserve">held it has subject matter jurisdiction to regulate certain aspects of the services provided by EGSs, specifically concerning issues involving Sections 54.4(a) and 54.5(a) of title 52, Pennsylvania Code.  </w:t>
      </w:r>
      <w:r w:rsidR="00833D74">
        <w:rPr>
          <w:szCs w:val="26"/>
        </w:rPr>
        <w:t xml:space="preserve">In the case of </w:t>
      </w:r>
      <w:r w:rsidR="00154F49">
        <w:rPr>
          <w:i/>
          <w:szCs w:val="26"/>
        </w:rPr>
        <w:t>Commonwealth of Pennsylvania, et al. v. Blue Pilot Energy, LLC</w:t>
      </w:r>
      <w:r w:rsidR="00833D74">
        <w:rPr>
          <w:i/>
          <w:szCs w:val="26"/>
        </w:rPr>
        <w:t xml:space="preserve">, </w:t>
      </w:r>
      <w:r w:rsidR="00833D74">
        <w:rPr>
          <w:szCs w:val="26"/>
        </w:rPr>
        <w:t>C-2014-2427655,</w:t>
      </w:r>
      <w:r w:rsidR="00154F49">
        <w:rPr>
          <w:i/>
          <w:szCs w:val="26"/>
        </w:rPr>
        <w:t xml:space="preserve"> </w:t>
      </w:r>
      <w:r w:rsidR="00154F49">
        <w:rPr>
          <w:szCs w:val="26"/>
        </w:rPr>
        <w:t xml:space="preserve">Opinion and Order entered December </w:t>
      </w:r>
      <w:r w:rsidR="00833D74">
        <w:rPr>
          <w:szCs w:val="26"/>
        </w:rPr>
        <w:t>11, 2014</w:t>
      </w:r>
      <w:r w:rsidR="00735854">
        <w:rPr>
          <w:szCs w:val="26"/>
        </w:rPr>
        <w:t xml:space="preserve">, </w:t>
      </w:r>
      <w:r w:rsidR="00833D74">
        <w:rPr>
          <w:szCs w:val="26"/>
        </w:rPr>
        <w:t>the Commission addressed an interlocutory question by stating it has the authority and jurisdiction to determine whether the prices charged to customers by an EGS conform to the EGS</w:t>
      </w:r>
      <w:r w:rsidR="00BC7016">
        <w:rPr>
          <w:szCs w:val="26"/>
        </w:rPr>
        <w:t>’s</w:t>
      </w:r>
      <w:r w:rsidR="00833D74">
        <w:rPr>
          <w:szCs w:val="26"/>
        </w:rPr>
        <w:t xml:space="preserve"> disclosure statement regarding pricing.  </w:t>
      </w:r>
      <w:r w:rsidR="00735854" w:rsidRPr="00735854">
        <w:rPr>
          <w:i/>
          <w:szCs w:val="26"/>
        </w:rPr>
        <w:t>Id.</w:t>
      </w:r>
      <w:r w:rsidR="00735854">
        <w:rPr>
          <w:szCs w:val="26"/>
        </w:rPr>
        <w:t xml:space="preserve"> at 18-20.</w:t>
      </w:r>
    </w:p>
    <w:p w:rsidR="00A14C7F" w:rsidRPr="00735854" w:rsidRDefault="00A14C7F" w:rsidP="00A14C7F">
      <w:pPr>
        <w:spacing w:after="0"/>
        <w:rPr>
          <w:i/>
          <w:szCs w:val="26"/>
        </w:rPr>
      </w:pPr>
    </w:p>
    <w:p w:rsidR="007503C3" w:rsidRDefault="006130F6" w:rsidP="00A14C7F">
      <w:pPr>
        <w:spacing w:after="0"/>
        <w:rPr>
          <w:szCs w:val="26"/>
        </w:rPr>
      </w:pPr>
      <w:r>
        <w:rPr>
          <w:szCs w:val="26"/>
        </w:rPr>
        <w:tab/>
      </w:r>
      <w:r>
        <w:rPr>
          <w:szCs w:val="26"/>
        </w:rPr>
        <w:tab/>
      </w:r>
      <w:r w:rsidR="00120CD8">
        <w:rPr>
          <w:szCs w:val="26"/>
        </w:rPr>
        <w:t>T</w:t>
      </w:r>
      <w:r w:rsidR="002C6CE0" w:rsidRPr="002C6CE0">
        <w:rPr>
          <w:szCs w:val="26"/>
        </w:rPr>
        <w:t>he Commission</w:t>
      </w:r>
      <w:r w:rsidR="004B22F2">
        <w:rPr>
          <w:szCs w:val="26"/>
        </w:rPr>
        <w:t xml:space="preserve"> has</w:t>
      </w:r>
      <w:r w:rsidR="002C6CE0" w:rsidRPr="002C6CE0">
        <w:rPr>
          <w:szCs w:val="26"/>
        </w:rPr>
        <w:t xml:space="preserve"> subject matter jurisdiction to regulate certain aspects of the services provided by EGSs.  The Commission’s subject matter jurisdiction over EGSs is set forth in Section 2807 and 2809 of the Public Utility Code, 66 </w:t>
      </w:r>
      <w:r w:rsidR="0079588A">
        <w:rPr>
          <w:szCs w:val="26"/>
        </w:rPr>
        <w:t>Pa.C.S.</w:t>
      </w:r>
      <w:r w:rsidR="002C6CE0" w:rsidRPr="002C6CE0">
        <w:rPr>
          <w:szCs w:val="26"/>
        </w:rPr>
        <w:t xml:space="preserve"> §§ 2807, 2809.</w:t>
      </w:r>
      <w:r w:rsidR="00113A18">
        <w:rPr>
          <w:szCs w:val="26"/>
        </w:rPr>
        <w:t xml:space="preserve">  </w:t>
      </w:r>
      <w:r w:rsidR="002C6CE0" w:rsidRPr="002C6CE0">
        <w:rPr>
          <w:szCs w:val="26"/>
        </w:rPr>
        <w:t>Under Code Section 2809, 66 Pa. C. S. § 2809, EGSs are required to abide by the Commission’s Regulations.  For EGSs serving residential customers, this includes abiding by the Commission’s Chapter 54 Regulations on bill format,</w:t>
      </w:r>
      <w:r w:rsidR="002C6CE0" w:rsidRPr="002C6CE0">
        <w:rPr>
          <w:rStyle w:val="FootnoteReference"/>
          <w:szCs w:val="26"/>
        </w:rPr>
        <w:footnoteReference w:id="3"/>
      </w:r>
      <w:r w:rsidR="002C6CE0" w:rsidRPr="002C6CE0">
        <w:rPr>
          <w:szCs w:val="26"/>
        </w:rPr>
        <w:t xml:space="preserve"> disclosure statements,</w:t>
      </w:r>
      <w:r w:rsidR="002C6CE0" w:rsidRPr="002C6CE0">
        <w:rPr>
          <w:rStyle w:val="FootnoteReference"/>
          <w:szCs w:val="26"/>
        </w:rPr>
        <w:footnoteReference w:id="4"/>
      </w:r>
      <w:r w:rsidR="002C6CE0" w:rsidRPr="002C6CE0">
        <w:rPr>
          <w:szCs w:val="26"/>
        </w:rPr>
        <w:t xml:space="preserve"> marketing and sales activities,</w:t>
      </w:r>
      <w:r w:rsidR="002C6CE0" w:rsidRPr="002C6CE0">
        <w:rPr>
          <w:rStyle w:val="FootnoteReference"/>
          <w:szCs w:val="26"/>
        </w:rPr>
        <w:footnoteReference w:id="5"/>
      </w:r>
      <w:r w:rsidR="002C6CE0" w:rsidRPr="002C6CE0">
        <w:rPr>
          <w:szCs w:val="26"/>
        </w:rPr>
        <w:t xml:space="preserve"> and contract expiration notices.</w:t>
      </w:r>
      <w:r w:rsidR="002C6CE0" w:rsidRPr="002C6CE0">
        <w:rPr>
          <w:rStyle w:val="FootnoteReference"/>
          <w:szCs w:val="26"/>
        </w:rPr>
        <w:footnoteReference w:id="6"/>
      </w:r>
      <w:r w:rsidR="002C6CE0" w:rsidRPr="002C6CE0">
        <w:rPr>
          <w:szCs w:val="26"/>
        </w:rPr>
        <w:t xml:space="preserve">  In addition, EGSs serving residential customers also are required to comply with the standards and billing practices in Chapter 56 of the Commission’s Regulations.  </w:t>
      </w:r>
    </w:p>
    <w:p w:rsidR="007503C3" w:rsidRDefault="007503C3" w:rsidP="00A14C7F">
      <w:pPr>
        <w:spacing w:after="0"/>
        <w:rPr>
          <w:szCs w:val="26"/>
        </w:rPr>
      </w:pPr>
    </w:p>
    <w:p w:rsidR="00BC4098" w:rsidRDefault="007503C3" w:rsidP="00A14C7F">
      <w:pPr>
        <w:spacing w:after="0"/>
        <w:rPr>
          <w:szCs w:val="26"/>
        </w:rPr>
      </w:pPr>
      <w:r>
        <w:rPr>
          <w:szCs w:val="26"/>
        </w:rPr>
        <w:tab/>
      </w:r>
      <w:r>
        <w:rPr>
          <w:szCs w:val="26"/>
        </w:rPr>
        <w:tab/>
      </w:r>
      <w:r w:rsidR="00655286" w:rsidRPr="002C6CE0">
        <w:rPr>
          <w:szCs w:val="26"/>
        </w:rPr>
        <w:t xml:space="preserve">The Commission has jurisdiction and authority under Section 54.4(a) and 54.5(a) of our Regulations, 52 </w:t>
      </w:r>
      <w:r w:rsidR="0079588A">
        <w:rPr>
          <w:szCs w:val="26"/>
        </w:rPr>
        <w:t>Pa.Code</w:t>
      </w:r>
      <w:r w:rsidR="00655286" w:rsidRPr="002C6CE0">
        <w:rPr>
          <w:szCs w:val="26"/>
        </w:rPr>
        <w:t xml:space="preserve"> §§ 54.4(a), 54.5(a), which require an EGS’s billed price reflect its disclosure statement.  </w:t>
      </w:r>
      <w:r w:rsidR="00004867">
        <w:rPr>
          <w:szCs w:val="26"/>
        </w:rPr>
        <w:t xml:space="preserve">I infer the term “disclosure statement” means a </w:t>
      </w:r>
      <w:r w:rsidR="004B22F2">
        <w:rPr>
          <w:szCs w:val="26"/>
        </w:rPr>
        <w:t>“</w:t>
      </w:r>
      <w:r w:rsidR="00004867">
        <w:rPr>
          <w:szCs w:val="26"/>
        </w:rPr>
        <w:t>regulatory</w:t>
      </w:r>
      <w:r w:rsidR="004B22F2">
        <w:rPr>
          <w:szCs w:val="26"/>
        </w:rPr>
        <w:t>-</w:t>
      </w:r>
      <w:r w:rsidR="00004867">
        <w:rPr>
          <w:szCs w:val="26"/>
        </w:rPr>
        <w:t>compliant</w:t>
      </w:r>
      <w:r w:rsidR="004B22F2">
        <w:rPr>
          <w:szCs w:val="26"/>
        </w:rPr>
        <w:t>” or</w:t>
      </w:r>
      <w:r w:rsidR="00004867">
        <w:rPr>
          <w:szCs w:val="26"/>
        </w:rPr>
        <w:t xml:space="preserve"> </w:t>
      </w:r>
      <w:r w:rsidR="004B22F2">
        <w:rPr>
          <w:szCs w:val="26"/>
        </w:rPr>
        <w:t>“</w:t>
      </w:r>
      <w:r w:rsidR="00004867">
        <w:rPr>
          <w:szCs w:val="26"/>
        </w:rPr>
        <w:t>Commission-approved</w:t>
      </w:r>
      <w:r w:rsidR="004B22F2">
        <w:rPr>
          <w:szCs w:val="26"/>
        </w:rPr>
        <w:t>”</w:t>
      </w:r>
      <w:r w:rsidR="00004867">
        <w:rPr>
          <w:szCs w:val="26"/>
        </w:rPr>
        <w:t xml:space="preserve"> disclosure statement.  </w:t>
      </w:r>
      <w:r w:rsidR="004B22F2">
        <w:rPr>
          <w:szCs w:val="26"/>
        </w:rPr>
        <w:t>Thus, o</w:t>
      </w:r>
      <w:r w:rsidR="00655286">
        <w:rPr>
          <w:szCs w:val="26"/>
        </w:rPr>
        <w:t xml:space="preserve">ne issue in the instant case is whether </w:t>
      </w:r>
      <w:r w:rsidR="00655286" w:rsidRPr="002C6CE0">
        <w:rPr>
          <w:szCs w:val="26"/>
        </w:rPr>
        <w:t xml:space="preserve">Respond Power billed Mr. Herp in accordance with </w:t>
      </w:r>
      <w:r w:rsidR="00004867">
        <w:rPr>
          <w:szCs w:val="26"/>
        </w:rPr>
        <w:t xml:space="preserve">a </w:t>
      </w:r>
      <w:r w:rsidR="004B22F2">
        <w:rPr>
          <w:szCs w:val="26"/>
        </w:rPr>
        <w:t>“regulatory-compliant” or “</w:t>
      </w:r>
      <w:r w:rsidR="00004867">
        <w:rPr>
          <w:szCs w:val="26"/>
        </w:rPr>
        <w:t>Commission-approved</w:t>
      </w:r>
      <w:r w:rsidR="004B22F2">
        <w:rPr>
          <w:szCs w:val="26"/>
        </w:rPr>
        <w:t>”</w:t>
      </w:r>
      <w:r w:rsidR="00655286" w:rsidRPr="002C6CE0">
        <w:rPr>
          <w:szCs w:val="26"/>
        </w:rPr>
        <w:t xml:space="preserve"> </w:t>
      </w:r>
      <w:r w:rsidR="00112F61">
        <w:rPr>
          <w:szCs w:val="26"/>
        </w:rPr>
        <w:t>d</w:t>
      </w:r>
      <w:r w:rsidR="00655286" w:rsidRPr="002C6CE0">
        <w:rPr>
          <w:szCs w:val="26"/>
        </w:rPr>
        <w:t xml:space="preserve">isclosure </w:t>
      </w:r>
      <w:r w:rsidR="00112F61">
        <w:rPr>
          <w:szCs w:val="26"/>
        </w:rPr>
        <w:t>s</w:t>
      </w:r>
      <w:r w:rsidR="00655286" w:rsidRPr="002C6CE0">
        <w:rPr>
          <w:szCs w:val="26"/>
        </w:rPr>
        <w:t>tatement.</w:t>
      </w:r>
      <w:r w:rsidR="004B22F2">
        <w:rPr>
          <w:szCs w:val="26"/>
        </w:rPr>
        <w:t xml:space="preserve">  </w:t>
      </w:r>
      <w:r>
        <w:rPr>
          <w:szCs w:val="26"/>
        </w:rPr>
        <w:t>To define</w:t>
      </w:r>
      <w:r w:rsidR="004B22F2">
        <w:rPr>
          <w:szCs w:val="26"/>
        </w:rPr>
        <w:t xml:space="preserve"> “disclosure statement” to mean a</w:t>
      </w:r>
      <w:r w:rsidR="00D46EC2">
        <w:rPr>
          <w:szCs w:val="26"/>
        </w:rPr>
        <w:t xml:space="preserve"> disclosure statement which has been materially altered from the original</w:t>
      </w:r>
      <w:r w:rsidR="00112F61">
        <w:rPr>
          <w:szCs w:val="26"/>
        </w:rPr>
        <w:t>,</w:t>
      </w:r>
      <w:r w:rsidR="00D46EC2">
        <w:rPr>
          <w:szCs w:val="26"/>
        </w:rPr>
        <w:t xml:space="preserve"> Commission-approved disclosure statement, would be an absurd interpretation and </w:t>
      </w:r>
      <w:r w:rsidR="004B22F2">
        <w:rPr>
          <w:szCs w:val="26"/>
        </w:rPr>
        <w:t xml:space="preserve">would be </w:t>
      </w:r>
      <w:r w:rsidR="00D46EC2">
        <w:rPr>
          <w:szCs w:val="26"/>
        </w:rPr>
        <w:t>equivalent</w:t>
      </w:r>
      <w:r w:rsidR="004B22F2">
        <w:rPr>
          <w:szCs w:val="26"/>
        </w:rPr>
        <w:t xml:space="preserve"> to not protecting the public.</w:t>
      </w:r>
      <w:r w:rsidR="00BC4098">
        <w:rPr>
          <w:szCs w:val="26"/>
        </w:rPr>
        <w:t xml:space="preserve">  </w:t>
      </w:r>
      <w:r w:rsidR="00112F61">
        <w:rPr>
          <w:szCs w:val="26"/>
        </w:rPr>
        <w:t>There would be no safeguard or Commission-oversight regarding the disclosure statement.</w:t>
      </w:r>
    </w:p>
    <w:p w:rsidR="004B22F2" w:rsidRPr="00D37B9D" w:rsidRDefault="004B22F2" w:rsidP="00A14C7F">
      <w:pPr>
        <w:spacing w:after="0"/>
        <w:rPr>
          <w:rFonts w:eastAsia="Calibri"/>
          <w:szCs w:val="24"/>
        </w:rPr>
      </w:pPr>
    </w:p>
    <w:p w:rsidR="00DF4515" w:rsidRPr="006130F6" w:rsidRDefault="00112F61" w:rsidP="00A14C7F">
      <w:pPr>
        <w:spacing w:after="0"/>
        <w:rPr>
          <w:i/>
          <w:szCs w:val="26"/>
        </w:rPr>
      </w:pPr>
      <w:r>
        <w:rPr>
          <w:bCs/>
        </w:rPr>
        <w:tab/>
      </w:r>
      <w:r>
        <w:rPr>
          <w:bCs/>
        </w:rPr>
        <w:tab/>
      </w:r>
      <w:r w:rsidR="00451112">
        <w:rPr>
          <w:bCs/>
        </w:rPr>
        <w:t xml:space="preserve"> </w:t>
      </w:r>
      <w:r w:rsidR="00DF4515">
        <w:rPr>
          <w:szCs w:val="26"/>
        </w:rPr>
        <w:t xml:space="preserve">The Commonwealth Court acknowledged the discretion the Commission has in imposing Public Utility Code requirements in addition to those involving licensing, financial responsibility, reserve margins and billing practices.  The Commonwealth Court reasoned that the legislature requires that the Commission consider the present quality of service, the protection of the public, and the safety and reliability of the system when imposing Code requirements.  </w:t>
      </w:r>
      <w:r w:rsidR="00735854" w:rsidRPr="00735854">
        <w:rPr>
          <w:i/>
          <w:szCs w:val="26"/>
        </w:rPr>
        <w:t xml:space="preserve">PPL Energyplus, LLC, v. Commonwealth of Pa.; </w:t>
      </w:r>
      <w:r w:rsidR="00DF4515" w:rsidRPr="00735854">
        <w:rPr>
          <w:i/>
          <w:szCs w:val="26"/>
        </w:rPr>
        <w:t>Delmarva Power &amp; Light Company t/a Conecti</w:t>
      </w:r>
      <w:r w:rsidR="00DF4515">
        <w:rPr>
          <w:i/>
          <w:szCs w:val="26"/>
        </w:rPr>
        <w:t xml:space="preserve">v Energy v. Pa.PUC, </w:t>
      </w:r>
      <w:r w:rsidR="00735854">
        <w:rPr>
          <w:szCs w:val="26"/>
        </w:rPr>
        <w:t>814 A.2d 861 (Pa. Cmwlth.</w:t>
      </w:r>
      <w:r w:rsidR="00DF4515">
        <w:rPr>
          <w:szCs w:val="26"/>
        </w:rPr>
        <w:t xml:space="preserve"> 2003</w:t>
      </w:r>
      <w:r w:rsidR="00735854">
        <w:rPr>
          <w:szCs w:val="26"/>
        </w:rPr>
        <w:t>)</w:t>
      </w:r>
      <w:r w:rsidR="00DF4515">
        <w:rPr>
          <w:szCs w:val="26"/>
        </w:rPr>
        <w:t xml:space="preserve">.  The Commission may impose Code requirements upon EGS companies only when such requirements are necessary to maintain the quality of service, </w:t>
      </w:r>
      <w:r w:rsidR="00DF4515" w:rsidRPr="00120CD8">
        <w:rPr>
          <w:b/>
          <w:szCs w:val="26"/>
        </w:rPr>
        <w:t>to protect the public</w:t>
      </w:r>
      <w:r w:rsidR="00DF4515">
        <w:rPr>
          <w:szCs w:val="26"/>
        </w:rPr>
        <w:t xml:space="preserve">, or to ensure the safety and reliability of electric service.  </w:t>
      </w:r>
      <w:r w:rsidR="00DF4515">
        <w:rPr>
          <w:i/>
          <w:szCs w:val="26"/>
        </w:rPr>
        <w:t>Id.</w:t>
      </w:r>
      <w:r w:rsidR="00120CD8">
        <w:rPr>
          <w:i/>
          <w:szCs w:val="26"/>
        </w:rPr>
        <w:t xml:space="preserve"> (Emphasis added.)</w:t>
      </w:r>
    </w:p>
    <w:p w:rsidR="00451112" w:rsidRDefault="00451112" w:rsidP="00A14C7F">
      <w:pPr>
        <w:spacing w:after="0"/>
        <w:ind w:firstLine="1440"/>
        <w:rPr>
          <w:bCs/>
        </w:rPr>
      </w:pPr>
    </w:p>
    <w:p w:rsidR="00451112" w:rsidRDefault="00655286" w:rsidP="00A14C7F">
      <w:pPr>
        <w:spacing w:after="0"/>
        <w:rPr>
          <w:bCs/>
          <w:u w:val="single"/>
        </w:rPr>
      </w:pPr>
      <w:r>
        <w:rPr>
          <w:bCs/>
          <w:u w:val="single"/>
        </w:rPr>
        <w:t>Statutory Construction</w:t>
      </w:r>
    </w:p>
    <w:p w:rsidR="00A14C7F" w:rsidRPr="00655286" w:rsidRDefault="00A14C7F" w:rsidP="00A14C7F">
      <w:pPr>
        <w:spacing w:after="0"/>
        <w:rPr>
          <w:bCs/>
          <w:u w:val="single"/>
        </w:rPr>
      </w:pPr>
    </w:p>
    <w:p w:rsidR="00A14C7F" w:rsidRPr="00A14C7F" w:rsidRDefault="00451112" w:rsidP="00A14C7F">
      <w:pPr>
        <w:spacing w:after="0"/>
        <w:rPr>
          <w:bCs/>
        </w:rPr>
      </w:pPr>
      <w:r>
        <w:rPr>
          <w:bCs/>
        </w:rPr>
        <w:tab/>
      </w:r>
      <w:r>
        <w:rPr>
          <w:bCs/>
        </w:rPr>
        <w:tab/>
        <w:t xml:space="preserve">In interpreting an administrative regulation, as in interpreting a statute, the plain language of the regulation is paramount.  </w:t>
      </w:r>
      <w:r>
        <w:rPr>
          <w:bCs/>
          <w:i/>
        </w:rPr>
        <w:t>Schappel v. Motorists Mutual Insurance Company</w:t>
      </w:r>
      <w:r>
        <w:rPr>
          <w:bCs/>
        </w:rPr>
        <w:t xml:space="preserve">, 934 A.2d 1184, 1187 (Pa. 2007).  The principles of statutory construction apply to regulatory provisions as well as statutory provisions.  </w:t>
      </w:r>
      <w:r>
        <w:rPr>
          <w:bCs/>
          <w:i/>
        </w:rPr>
        <w:t xml:space="preserve">Pennsylvania State Police, Bureau of Liquor Control Enforcement v. Benny Enterprises, Inc. </w:t>
      </w:r>
      <w:r w:rsidRPr="00124B4B">
        <w:rPr>
          <w:bCs/>
        </w:rPr>
        <w:t>669 A.2d 1018, 1021 (Pa.Cmwlth. 1996), appeal denied 681 A.2d 1344 (Pa. 1996).</w:t>
      </w:r>
    </w:p>
    <w:p w:rsidR="00040374" w:rsidRDefault="00040374" w:rsidP="00A14C7F">
      <w:pPr>
        <w:spacing w:after="0"/>
        <w:rPr>
          <w:u w:val="single"/>
        </w:rPr>
      </w:pPr>
    </w:p>
    <w:p w:rsidR="00E6489B" w:rsidRDefault="00E6489B" w:rsidP="00A14C7F">
      <w:pPr>
        <w:spacing w:after="0"/>
        <w:rPr>
          <w:u w:val="single"/>
        </w:rPr>
      </w:pPr>
      <w:r w:rsidRPr="00482B1E">
        <w:rPr>
          <w:u w:val="single"/>
        </w:rPr>
        <w:t>OCA and Complainant’s Position</w:t>
      </w:r>
    </w:p>
    <w:p w:rsidR="00A14C7F" w:rsidRPr="00482B1E" w:rsidRDefault="00A14C7F" w:rsidP="00A14C7F">
      <w:pPr>
        <w:spacing w:after="0"/>
        <w:rPr>
          <w:u w:val="single"/>
        </w:rPr>
      </w:pPr>
    </w:p>
    <w:p w:rsidR="00E6489B" w:rsidRDefault="00E6489B" w:rsidP="00A14C7F">
      <w:pPr>
        <w:spacing w:after="0"/>
      </w:pPr>
      <w:r>
        <w:tab/>
      </w:r>
      <w:r>
        <w:tab/>
        <w:t xml:space="preserve">Complainant and OCA contend the </w:t>
      </w:r>
      <w:r w:rsidRPr="00883E58">
        <w:t>Co</w:t>
      </w:r>
      <w:r>
        <w:t>mmission has the authority to require Respond Power to comply with all applicable law and Commission regulations a</w:t>
      </w:r>
      <w:r w:rsidRPr="00883E58">
        <w:t xml:space="preserve">s a condition of </w:t>
      </w:r>
      <w:r>
        <w:t>Respond Power’s license as an EGS in Pennsylvania.  The Commission’s Chapters 54, 56, and 111 regulations</w:t>
      </w:r>
      <w:r>
        <w:rPr>
          <w:rStyle w:val="FootnoteReference"/>
        </w:rPr>
        <w:footnoteReference w:id="7"/>
      </w:r>
      <w:r>
        <w:t xml:space="preserve"> are designed to protect consumers and assure that they have accurate and adequate information to make informed decisions when choosing between offers for electric supply service.  When a sales agent for a licensed EGS makes misrepresentations, unsupported claims, or material omissions that lead a consumer to enroll with the EGS, the consumer has been denied those protections.  </w:t>
      </w:r>
    </w:p>
    <w:p w:rsidR="00A14C7F" w:rsidRDefault="00A14C7F" w:rsidP="00A14C7F">
      <w:pPr>
        <w:spacing w:after="0"/>
      </w:pPr>
    </w:p>
    <w:p w:rsidR="00E6489B" w:rsidRDefault="00E6489B" w:rsidP="00A14C7F">
      <w:pPr>
        <w:spacing w:after="0"/>
      </w:pPr>
      <w:r w:rsidRPr="008A7B09">
        <w:tab/>
      </w:r>
      <w:r>
        <w:tab/>
        <w:t xml:space="preserve">OCA contends the record evidence supports Mr. Herp’s claim that he was misled by Respond Power’s sales agent and so wrongly induced to switch to Respond Power.  </w:t>
      </w:r>
      <w:r w:rsidRPr="00652EE3">
        <w:rPr>
          <w:rFonts w:eastAsia="Times New Roman"/>
          <w:bCs/>
          <w:szCs w:val="24"/>
        </w:rPr>
        <w:t>Chapter 54 requires that there be continuity and consistency between the marketed or advertised price for Respond Power’s service, the agreed upon price in the disclosure statement, and the billed price.</w:t>
      </w:r>
      <w:r>
        <w:rPr>
          <w:rFonts w:eastAsia="Times New Roman"/>
          <w:bCs/>
          <w:szCs w:val="24"/>
        </w:rPr>
        <w:t xml:space="preserve">  </w:t>
      </w:r>
      <w:proofErr w:type="gramStart"/>
      <w:r>
        <w:rPr>
          <w:rFonts w:eastAsia="Times New Roman"/>
          <w:bCs/>
          <w:szCs w:val="24"/>
        </w:rPr>
        <w:t xml:space="preserve">52 </w:t>
      </w:r>
      <w:r w:rsidR="0079588A">
        <w:rPr>
          <w:rFonts w:eastAsia="Times New Roman"/>
          <w:bCs/>
          <w:szCs w:val="24"/>
        </w:rPr>
        <w:t>Pa.Code</w:t>
      </w:r>
      <w:r>
        <w:rPr>
          <w:rFonts w:eastAsia="Times New Roman"/>
          <w:bCs/>
          <w:szCs w:val="24"/>
        </w:rPr>
        <w:t xml:space="preserve"> §§ 54.4(a), 54.5(a), 54.7(a).</w:t>
      </w:r>
      <w:proofErr w:type="gramEnd"/>
      <w:r>
        <w:rPr>
          <w:rStyle w:val="FootnoteReference"/>
          <w:rFonts w:eastAsia="Times New Roman"/>
          <w:bCs/>
          <w:szCs w:val="24"/>
        </w:rPr>
        <w:footnoteReference w:id="8"/>
      </w:r>
      <w:r>
        <w:rPr>
          <w:rFonts w:eastAsia="Times New Roman"/>
          <w:bCs/>
          <w:szCs w:val="24"/>
        </w:rPr>
        <w:t xml:space="preserve">  If there is inconsistency between the marketing message communicated by Respond Power’s sales agent and the content of Respond Power’s disclosure statement regarding Respond Power’s pricing, the OCA submits that the responsibility lies with Respond Power.  Non-compliance by Respond Power with the Public Utility Code, relevant Commission regulations, orders, and consumer protection laws may </w:t>
      </w:r>
      <w:r>
        <w:rPr>
          <w:color w:val="000000"/>
        </w:rPr>
        <w:t>result in suspension or revocation of Respond Power’s license and/or the impos</w:t>
      </w:r>
      <w:r w:rsidR="00A14C7F">
        <w:rPr>
          <w:color w:val="000000"/>
        </w:rPr>
        <w:t xml:space="preserve">ition of fines.  </w:t>
      </w:r>
      <w:proofErr w:type="gramStart"/>
      <w:r w:rsidR="00A14C7F">
        <w:rPr>
          <w:color w:val="000000"/>
        </w:rPr>
        <w:t xml:space="preserve">52 </w:t>
      </w:r>
      <w:r w:rsidR="0079588A">
        <w:rPr>
          <w:color w:val="000000"/>
        </w:rPr>
        <w:t>Pa.Code</w:t>
      </w:r>
      <w:r w:rsidR="00A14C7F">
        <w:rPr>
          <w:color w:val="000000"/>
        </w:rPr>
        <w:t xml:space="preserve"> §§ </w:t>
      </w:r>
      <w:r>
        <w:rPr>
          <w:color w:val="000000"/>
        </w:rPr>
        <w:t>54.42(6), (7), (8), 54.43.</w:t>
      </w:r>
      <w:proofErr w:type="gramEnd"/>
      <w:r>
        <w:rPr>
          <w:color w:val="000000"/>
        </w:rPr>
        <w:t xml:space="preserve">  </w:t>
      </w:r>
      <w:r w:rsidRPr="00883E58">
        <w:t>The Commission has the authority to order equitable remedies, has done so in the past, and to do so under the present circumstances would be entirely consist</w:t>
      </w:r>
      <w:r w:rsidR="00A14C7F">
        <w:t xml:space="preserve">ently with past precedent.  </w:t>
      </w:r>
    </w:p>
    <w:p w:rsidR="00673457" w:rsidRDefault="001E26B7" w:rsidP="00A14C7F">
      <w:pPr>
        <w:spacing w:after="0"/>
        <w:ind w:firstLine="720"/>
        <w:rPr>
          <w:color w:val="000000"/>
          <w:szCs w:val="24"/>
        </w:rPr>
      </w:pPr>
      <w:r>
        <w:rPr>
          <w:color w:val="000000"/>
          <w:szCs w:val="24"/>
        </w:rPr>
        <w:tab/>
      </w:r>
    </w:p>
    <w:p w:rsidR="00E6489B" w:rsidRDefault="00673457" w:rsidP="00A14C7F">
      <w:pPr>
        <w:spacing w:after="0"/>
        <w:ind w:firstLine="720"/>
        <w:rPr>
          <w:rFonts w:eastAsia="Times New Roman"/>
          <w:bCs/>
          <w:szCs w:val="27"/>
        </w:rPr>
      </w:pPr>
      <w:r>
        <w:rPr>
          <w:color w:val="000000"/>
          <w:szCs w:val="24"/>
        </w:rPr>
        <w:tab/>
      </w:r>
      <w:r w:rsidR="001E26B7">
        <w:rPr>
          <w:color w:val="000000"/>
          <w:szCs w:val="24"/>
        </w:rPr>
        <w:t xml:space="preserve">OCA and Mr. Herp request a refund or credit for Mr. Herp and contend this is within the Commission’s jurisdiction and authority under 66 </w:t>
      </w:r>
      <w:r w:rsidR="0079588A">
        <w:rPr>
          <w:color w:val="000000"/>
          <w:szCs w:val="24"/>
        </w:rPr>
        <w:t>Pa.C.S.</w:t>
      </w:r>
      <w:r w:rsidR="001E26B7">
        <w:rPr>
          <w:color w:val="000000"/>
          <w:szCs w:val="24"/>
        </w:rPr>
        <w:t xml:space="preserve"> §§ 501 and 2809(e), as well as caselaw of </w:t>
      </w:r>
      <w:r w:rsidR="00E6489B" w:rsidRPr="001E26B7">
        <w:rPr>
          <w:rFonts w:eastAsia="Times New Roman"/>
          <w:bCs/>
          <w:i/>
          <w:szCs w:val="27"/>
        </w:rPr>
        <w:t>Pa. PUC v. Reed</w:t>
      </w:r>
      <w:r w:rsidR="00E6489B">
        <w:rPr>
          <w:rFonts w:eastAsia="Times New Roman"/>
          <w:bCs/>
          <w:szCs w:val="27"/>
        </w:rPr>
        <w:t xml:space="preserve">, 1972 Pa. PUC LEXIS 40, 46 Pa. PUC 19; </w:t>
      </w:r>
      <w:r w:rsidR="00E6489B" w:rsidRPr="001E26B7">
        <w:rPr>
          <w:rFonts w:eastAsia="Times New Roman"/>
          <w:bCs/>
          <w:i/>
          <w:szCs w:val="27"/>
        </w:rPr>
        <w:t>Ely v. Pennsylvania Water,</w:t>
      </w:r>
      <w:r w:rsidR="00E6489B">
        <w:rPr>
          <w:rFonts w:eastAsia="Times New Roman"/>
          <w:bCs/>
          <w:szCs w:val="27"/>
        </w:rPr>
        <w:t xml:space="preserve"> Docket No. C-20055616, Order at 1 (July 10, 2006); </w:t>
      </w:r>
      <w:r w:rsidR="00E6489B" w:rsidRPr="001E26B7">
        <w:rPr>
          <w:rFonts w:eastAsia="Times New Roman"/>
          <w:bCs/>
          <w:i/>
          <w:szCs w:val="27"/>
        </w:rPr>
        <w:t>C.S. Warthman Funeral Home, et al., v. GTE North, Inc.,</w:t>
      </w:r>
      <w:r w:rsidR="00E6489B">
        <w:rPr>
          <w:rFonts w:eastAsia="Times New Roman"/>
          <w:bCs/>
          <w:szCs w:val="27"/>
        </w:rPr>
        <w:t xml:space="preserve"> Docket No C-00924416, Order (June 4, 1993).  </w:t>
      </w:r>
    </w:p>
    <w:p w:rsidR="00E6489B" w:rsidRDefault="00E6489B" w:rsidP="00A14C7F">
      <w:pPr>
        <w:pStyle w:val="BodyFirst1SS"/>
        <w:spacing w:line="360" w:lineRule="auto"/>
        <w:ind w:firstLine="0"/>
        <w:rPr>
          <w:u w:val="single"/>
        </w:rPr>
      </w:pPr>
    </w:p>
    <w:p w:rsidR="00386D32" w:rsidRPr="00904865" w:rsidRDefault="00386D32" w:rsidP="00A14C7F">
      <w:pPr>
        <w:pStyle w:val="BodyFirst1SS"/>
        <w:spacing w:line="360" w:lineRule="auto"/>
        <w:ind w:firstLine="0"/>
        <w:rPr>
          <w:caps/>
          <w:u w:val="single"/>
        </w:rPr>
      </w:pPr>
      <w:r w:rsidRPr="00904865">
        <w:rPr>
          <w:u w:val="single"/>
        </w:rPr>
        <w:t>Respond Power’s Position</w:t>
      </w:r>
    </w:p>
    <w:p w:rsidR="00386D32" w:rsidRDefault="00386D32" w:rsidP="00A14C7F">
      <w:pPr>
        <w:pStyle w:val="BodyFirst1SS"/>
        <w:spacing w:line="360" w:lineRule="auto"/>
        <w:jc w:val="left"/>
      </w:pPr>
    </w:p>
    <w:p w:rsidR="00386D32" w:rsidRDefault="00646144" w:rsidP="00A14C7F">
      <w:pPr>
        <w:pStyle w:val="BodyFirst1SS"/>
        <w:spacing w:line="360" w:lineRule="auto"/>
        <w:jc w:val="left"/>
        <w:rPr>
          <w:b/>
        </w:rPr>
      </w:pPr>
      <w:r>
        <w:tab/>
      </w:r>
      <w:r w:rsidR="00386D32">
        <w:t xml:space="preserve">Respond Power contends that the Commission lacks statutory authority to regulate or limit the prices charged by EGSs or to direct the issuance of refunds by EGSs; therefore, the Complainant’s request for relief should be denied.  Respond Power cites as authority for its position several ALJ Initial Decisions that were rendered in June/July, 2014, which held that without the ability to regulate prices, or to review whether the prices charged are just and reasonable, there is no basis upon which to award a refund.  </w:t>
      </w:r>
    </w:p>
    <w:p w:rsidR="00386D32" w:rsidRPr="00601B92" w:rsidRDefault="00386D32" w:rsidP="00A14C7F">
      <w:pPr>
        <w:pStyle w:val="BodyFirst1SS"/>
        <w:spacing w:line="360" w:lineRule="auto"/>
        <w:rPr>
          <w:b/>
        </w:rPr>
      </w:pPr>
    </w:p>
    <w:p w:rsidR="00386D32" w:rsidRDefault="009C4F41" w:rsidP="00A14C7F">
      <w:pPr>
        <w:pStyle w:val="BodyFirst1SS"/>
        <w:spacing w:line="360" w:lineRule="auto"/>
        <w:jc w:val="left"/>
      </w:pPr>
      <w:r>
        <w:tab/>
      </w:r>
      <w:r w:rsidR="00386D32">
        <w:t>Respond Power argues it is not possible to know exactly what the sales agent told the Complainant during a sales pitch made as part of a door-to-door marketing campaign; however</w:t>
      </w:r>
      <w:r w:rsidR="00095EB3">
        <w:t>,</w:t>
      </w:r>
      <w:r w:rsidR="00386D32">
        <w:t xml:space="preserve"> it adequately trained the agent to provide the correct information.  Respond Power contends it is the duty of the consumer of variable rates to carefully review the terms and conditions of their contracts to determine if they are at risk for large rate increases at any given time.  </w:t>
      </w:r>
    </w:p>
    <w:p w:rsidR="00386D32" w:rsidRDefault="00386D32" w:rsidP="00A14C7F">
      <w:pPr>
        <w:pStyle w:val="BodyFirst1SS"/>
        <w:spacing w:line="360" w:lineRule="auto"/>
        <w:jc w:val="left"/>
        <w:rPr>
          <w:b/>
        </w:rPr>
      </w:pPr>
    </w:p>
    <w:p w:rsidR="00386D32" w:rsidRDefault="00646144" w:rsidP="00A14C7F">
      <w:pPr>
        <w:pStyle w:val="BodyFirst1SS"/>
        <w:spacing w:line="360" w:lineRule="auto"/>
        <w:jc w:val="left"/>
        <w:rPr>
          <w:b/>
        </w:rPr>
      </w:pPr>
      <w:r>
        <w:tab/>
      </w:r>
      <w:r w:rsidR="00386D32">
        <w:t xml:space="preserve">Respond Power maintains it was consistent with Section 54.5 of the Commission’s regulations, 52 </w:t>
      </w:r>
      <w:r w:rsidR="0079588A">
        <w:t>Pa.Code</w:t>
      </w:r>
      <w:r w:rsidR="00386D32">
        <w:t xml:space="preserve"> § 54.5</w:t>
      </w:r>
      <w:r w:rsidR="00386D32">
        <w:fldChar w:fldCharType="begin"/>
      </w:r>
      <w:r w:rsidR="00386D32">
        <w:instrText xml:space="preserve"> TA \l "</w:instrText>
      </w:r>
      <w:r w:rsidR="00386D32" w:rsidRPr="002D0C49">
        <w:instrText>52 Pa. Code § 54.5</w:instrText>
      </w:r>
      <w:r w:rsidR="0068781F">
        <w:instrText>" \s "52 Pa. Code § </w:instrText>
      </w:r>
      <w:r w:rsidR="00386D32">
        <w:instrText xml:space="preserve">54.5" \c 2 </w:instrText>
      </w:r>
      <w:r w:rsidR="00386D32">
        <w:fldChar w:fldCharType="end"/>
      </w:r>
      <w:r w:rsidR="00386D32">
        <w:t>, when its agent furnished the Complainant, at the time of the sale, with a written disclosure statement containing the terms and conditions of service.</w:t>
      </w:r>
      <w:r>
        <w:t xml:space="preserve">  Respondent Exhibit 2.</w:t>
      </w:r>
      <w:r w:rsidR="00386D32">
        <w:t xml:space="preserve">  The sales agreement and written disclosure statement were presented to the Complainant as a double-sided one-page document.</w:t>
      </w:r>
      <w:r>
        <w:t xml:space="preserve">  Respondent Exhibits 1-2.</w:t>
      </w:r>
      <w:r w:rsidR="00386D32">
        <w:t xml:space="preserve">  </w:t>
      </w:r>
    </w:p>
    <w:p w:rsidR="00386D32" w:rsidRDefault="00386D32" w:rsidP="00A14C7F">
      <w:pPr>
        <w:pStyle w:val="BodyFirst1SS"/>
        <w:spacing w:line="360" w:lineRule="auto"/>
      </w:pPr>
    </w:p>
    <w:p w:rsidR="00386D32" w:rsidRDefault="00095EB3" w:rsidP="00A14C7F">
      <w:pPr>
        <w:pStyle w:val="BodyFirst1SS"/>
        <w:spacing w:line="360" w:lineRule="auto"/>
        <w:jc w:val="left"/>
      </w:pPr>
      <w:r>
        <w:tab/>
      </w:r>
      <w:r w:rsidR="00386D32">
        <w:t xml:space="preserve">Respond Power contends that its disclosure statement was submitted to the Commission with its license application and approved by the Commission through the issuance of the </w:t>
      </w:r>
      <w:r w:rsidR="00386D32" w:rsidRPr="00595870">
        <w:rPr>
          <w:i/>
        </w:rPr>
        <w:t>Licensing Order</w:t>
      </w:r>
      <w:r w:rsidR="00386D32">
        <w:t>.</w:t>
      </w:r>
      <w:r w:rsidR="00646144">
        <w:t xml:space="preserve">  N.T. 60.</w:t>
      </w:r>
      <w:r w:rsidR="00386D32">
        <w:t xml:space="preserve">  As such, Respond Power should be able to rely on that approval with certainty that it will not later be called upon to defend the disclosure statement as being inconsistent with the Commission’s regulations.  </w:t>
      </w:r>
      <w:r w:rsidR="00386D32" w:rsidRPr="00595870">
        <w:rPr>
          <w:i/>
        </w:rPr>
        <w:t>See</w:t>
      </w:r>
      <w:r w:rsidR="00386D32">
        <w:t xml:space="preserve"> </w:t>
      </w:r>
      <w:r w:rsidR="00386D32" w:rsidRPr="00595870">
        <w:rPr>
          <w:i/>
        </w:rPr>
        <w:t>Hoke v. Ambit Northeast, LLC d/b/a Ambit Energy,</w:t>
      </w:r>
      <w:r w:rsidR="00386D32">
        <w:t xml:space="preserve"> Docket No. C-2013-2357863 (Initial Decision dated November 21, 2013) (Final Order entered January 16, 2014)</w:t>
      </w:r>
      <w:r w:rsidR="00386D32">
        <w:fldChar w:fldCharType="begin"/>
      </w:r>
      <w:r w:rsidR="00386D32">
        <w:instrText xml:space="preserve"> TA \l "</w:instrText>
      </w:r>
      <w:r w:rsidR="00386D32" w:rsidRPr="002D0C49">
        <w:rPr>
          <w:i/>
        </w:rPr>
        <w:instrText>Hoke v. Ambit Northeast, LLC d/b/a Ambit Energy,</w:instrText>
      </w:r>
      <w:r w:rsidR="00386D32" w:rsidRPr="002D0C49">
        <w:instrText xml:space="preserve"> Docket No. C-2013-2357863 (Initial Decision dated November 21, 2013) (Final Order entered January 16, 2014)</w:instrText>
      </w:r>
      <w:r w:rsidR="00386D32">
        <w:instrText xml:space="preserve">" \s "Hoke v. Ambit Northeast, LLC d/b/a Ambit Energy, Docket No. C-2013-2357863 (Initial Decision dated November 21, 2013) (Final Order entered January 16, 2014)" \c 1 </w:instrText>
      </w:r>
      <w:r w:rsidR="00386D32">
        <w:fldChar w:fldCharType="end"/>
      </w:r>
      <w:r w:rsidR="00386D32">
        <w:t xml:space="preserve">.   </w:t>
      </w:r>
    </w:p>
    <w:p w:rsidR="00386D32" w:rsidRDefault="00386D32" w:rsidP="00A14C7F">
      <w:pPr>
        <w:pStyle w:val="BodyFirst1SS"/>
        <w:spacing w:line="360" w:lineRule="auto"/>
      </w:pPr>
    </w:p>
    <w:p w:rsidR="00386D32" w:rsidRDefault="00646144" w:rsidP="00A14C7F">
      <w:pPr>
        <w:pStyle w:val="BodyFirst1SS"/>
        <w:spacing w:line="360" w:lineRule="auto"/>
        <w:jc w:val="left"/>
      </w:pPr>
      <w:r>
        <w:tab/>
      </w:r>
      <w:r w:rsidR="00386D32">
        <w:t>Respond Power contends its disclosure statement complied with the Commission’s regulations that were in effect until July 14, 2014 when revisions to those regulations were implemented.</w:t>
      </w:r>
      <w:r w:rsidR="00386D32">
        <w:rPr>
          <w:rStyle w:val="FootnoteReference"/>
        </w:rPr>
        <w:footnoteReference w:id="9"/>
      </w:r>
      <w:r w:rsidR="00386D32">
        <w:t xml:space="preserve">  Under Section 54.5(c) of the Commission’s prior regulations, 66 Pa.C.S. § 54.5(c)</w:t>
      </w:r>
      <w:r w:rsidR="00386D32">
        <w:fldChar w:fldCharType="begin"/>
      </w:r>
      <w:r w:rsidR="00386D32">
        <w:instrText xml:space="preserve"> TA \l "</w:instrText>
      </w:r>
      <w:r w:rsidR="00386D32" w:rsidRPr="002D0C49">
        <w:instrText>66 Pa.C.S. § 54.5(c)</w:instrText>
      </w:r>
      <w:r w:rsidR="00386D32">
        <w:instrText xml:space="preserve">" \s "66 Pa.C.S. § 54.5(c)" \c 2 </w:instrText>
      </w:r>
      <w:r w:rsidR="00386D32">
        <w:fldChar w:fldCharType="end"/>
      </w:r>
      <w:r w:rsidR="00386D32">
        <w:t xml:space="preserve">, EGSs were required to disclose the </w:t>
      </w:r>
      <w:r w:rsidR="00482B1E">
        <w:t xml:space="preserve">applicable </w:t>
      </w:r>
      <w:r w:rsidR="00386D32">
        <w:t xml:space="preserve">terms of service.  Those regulations, unlike the newly revised rules, did not require EGSs to include an initial price.  In addition, those regulations, like the newly revised rules, did not require the EGS to place limits on the variable prices, but only to disclose if such limits existed.  </w:t>
      </w:r>
    </w:p>
    <w:p w:rsidR="00386D32" w:rsidRDefault="00386D32" w:rsidP="00A14C7F">
      <w:pPr>
        <w:pStyle w:val="BodyFirst1SS"/>
        <w:spacing w:line="360" w:lineRule="auto"/>
        <w:jc w:val="left"/>
        <w:rPr>
          <w:b/>
        </w:rPr>
      </w:pPr>
    </w:p>
    <w:p w:rsidR="00482B1E" w:rsidRDefault="0077638A" w:rsidP="00A14C7F">
      <w:pPr>
        <w:pStyle w:val="BodyFirst1SS"/>
        <w:spacing w:line="360" w:lineRule="auto"/>
        <w:jc w:val="left"/>
      </w:pPr>
      <w:r>
        <w:tab/>
      </w:r>
      <w:r w:rsidR="00386D32">
        <w:t xml:space="preserve">Respond Power argues that the written documentation contradicts what the Complainant claims the sales agent told him, and it is the terms of service in the disclosure statement that are controlling.  </w:t>
      </w:r>
      <w:r w:rsidR="00BC7016">
        <w:t>Oral</w:t>
      </w:r>
      <w:r w:rsidR="00386D32">
        <w:t xml:space="preserve"> discussions between a sales agent and a prospective customer inherently have the potential for a misunderstanding, especially with the amount of information that must be shared during a sales pitch for electric generation supply.  Particularly since these conversations inevitably lead to a “he said, she said” debate when disputes later arise, the written documentation must be what is relied upon rather than general statements made during a sales pitch.  </w:t>
      </w:r>
    </w:p>
    <w:p w:rsidR="00482B1E" w:rsidRDefault="00482B1E" w:rsidP="00A14C7F">
      <w:pPr>
        <w:pStyle w:val="BodyFirst1SS"/>
        <w:spacing w:line="360" w:lineRule="auto"/>
        <w:jc w:val="left"/>
      </w:pPr>
    </w:p>
    <w:p w:rsidR="00386D32" w:rsidRDefault="00482B1E" w:rsidP="009C4F41">
      <w:pPr>
        <w:pStyle w:val="BodyFirst1SS"/>
        <w:spacing w:line="360" w:lineRule="auto"/>
        <w:jc w:val="left"/>
      </w:pPr>
      <w:r>
        <w:tab/>
      </w:r>
      <w:r w:rsidR="00386D32">
        <w:t>Respond Power contends Complainant, as a business man, clearly knew or should have known the importance of reviewing the written documentation containing the terms and conditions of the service he was purchasing from Respond Power.  This is especially true given the high volume of usage associated with this business account.</w:t>
      </w:r>
      <w:r w:rsidR="00386D32">
        <w:rPr>
          <w:rStyle w:val="FootnoteReference"/>
        </w:rPr>
        <w:footnoteReference w:id="10"/>
      </w:r>
      <w:r w:rsidR="00386D32">
        <w:t xml:space="preserve">  His failure to read the written contract precludes him from now avoiding the charges that were properly imposed by Respond Power in accordance with that contract.  At the heart of this Complaint is the Complainant’s displeasure of a variable rate increase that was clearly permitted under his contract with Respond Power, and he should not be relieved of paying for the service consistent with the terms of that contract.</w:t>
      </w:r>
    </w:p>
    <w:p w:rsidR="009C4F41" w:rsidRDefault="009C4F41" w:rsidP="009C4F41">
      <w:pPr>
        <w:pStyle w:val="BodyFirst1SS"/>
        <w:spacing w:line="360" w:lineRule="auto"/>
        <w:jc w:val="left"/>
        <w:rPr>
          <w:b/>
        </w:rPr>
      </w:pPr>
    </w:p>
    <w:p w:rsidR="00386D32" w:rsidRDefault="00482B1E" w:rsidP="009C4F41">
      <w:pPr>
        <w:pStyle w:val="BodyFirst1SS"/>
        <w:spacing w:line="360" w:lineRule="auto"/>
        <w:jc w:val="left"/>
        <w:rPr>
          <w:b/>
        </w:rPr>
      </w:pPr>
      <w:r>
        <w:tab/>
      </w:r>
      <w:r w:rsidR="00095EB3">
        <w:t xml:space="preserve">Respond Power argues that </w:t>
      </w:r>
      <w:r w:rsidR="00386D32">
        <w:t>Complainant had several opportunities to avoid the effects of the wholesale market on his electric prices.  If the Complainant was not willing to have his electric prices fluctuate on the basis of wholesale market conditions, he needed only review the terms and conditions spelled out in the disclosure statement to learn that his prices would in fact reflect those conditions.  Even if the Complainant had reviewed the terms and conditions after the sales agent left his home, he could have rescinded the contract within three days.  By later reviewing his bill, the Complainant could have determined that his prices were increasing due to market conditions and returned to the EDC sooner if he wished</w:t>
      </w:r>
      <w:r w:rsidR="00095EB3">
        <w:t>.</w:t>
      </w:r>
      <w:r w:rsidR="00386D32">
        <w:t xml:space="preserve"> </w:t>
      </w:r>
    </w:p>
    <w:p w:rsidR="00386D32" w:rsidRDefault="00386D32" w:rsidP="0068781F">
      <w:pPr>
        <w:spacing w:after="0"/>
      </w:pPr>
    </w:p>
    <w:p w:rsidR="00855E2E" w:rsidRDefault="00855E2E" w:rsidP="0068781F">
      <w:pPr>
        <w:tabs>
          <w:tab w:val="left" w:pos="1440"/>
        </w:tabs>
        <w:spacing w:after="0"/>
        <w:rPr>
          <w:kern w:val="26"/>
          <w:u w:val="single"/>
        </w:rPr>
      </w:pPr>
    </w:p>
    <w:p w:rsidR="00855E2E" w:rsidRDefault="00855E2E" w:rsidP="0068781F">
      <w:pPr>
        <w:tabs>
          <w:tab w:val="left" w:pos="1440"/>
        </w:tabs>
        <w:spacing w:after="0"/>
        <w:rPr>
          <w:kern w:val="26"/>
          <w:u w:val="single"/>
        </w:rPr>
      </w:pPr>
    </w:p>
    <w:p w:rsidR="00855E2E" w:rsidRDefault="00855E2E" w:rsidP="0068781F">
      <w:pPr>
        <w:tabs>
          <w:tab w:val="left" w:pos="1440"/>
        </w:tabs>
        <w:spacing w:after="0"/>
        <w:rPr>
          <w:kern w:val="26"/>
          <w:u w:val="single"/>
        </w:rPr>
      </w:pPr>
    </w:p>
    <w:p w:rsidR="00855E2E" w:rsidRDefault="00855E2E" w:rsidP="0068781F">
      <w:pPr>
        <w:tabs>
          <w:tab w:val="left" w:pos="1440"/>
        </w:tabs>
        <w:spacing w:after="0"/>
        <w:rPr>
          <w:kern w:val="26"/>
          <w:u w:val="single"/>
        </w:rPr>
      </w:pPr>
    </w:p>
    <w:p w:rsidR="00A04316" w:rsidRPr="00645B5E" w:rsidRDefault="00386D32" w:rsidP="0068781F">
      <w:pPr>
        <w:tabs>
          <w:tab w:val="left" w:pos="1440"/>
        </w:tabs>
        <w:spacing w:after="0"/>
        <w:rPr>
          <w:kern w:val="26"/>
          <w:u w:val="single"/>
        </w:rPr>
      </w:pPr>
      <w:r w:rsidRPr="00645B5E">
        <w:rPr>
          <w:kern w:val="26"/>
          <w:u w:val="single"/>
        </w:rPr>
        <w:t>Disposition</w:t>
      </w:r>
    </w:p>
    <w:p w:rsidR="00A04316" w:rsidRPr="00645B5E" w:rsidRDefault="00655286" w:rsidP="0068781F">
      <w:pPr>
        <w:pStyle w:val="BodyText"/>
        <w:tabs>
          <w:tab w:val="clear" w:pos="0"/>
          <w:tab w:val="left" w:pos="2160"/>
        </w:tabs>
        <w:spacing w:line="360" w:lineRule="auto"/>
        <w:jc w:val="both"/>
        <w:rPr>
          <w:color w:val="auto"/>
          <w:kern w:val="26"/>
          <w:sz w:val="24"/>
          <w:u w:val="single"/>
        </w:rPr>
      </w:pPr>
      <w:r w:rsidRPr="00645B5E">
        <w:rPr>
          <w:color w:val="auto"/>
          <w:kern w:val="26"/>
          <w:sz w:val="24"/>
          <w:u w:val="single"/>
        </w:rPr>
        <w:t>Commission Orders</w:t>
      </w:r>
    </w:p>
    <w:p w:rsidR="00A04316" w:rsidRPr="00A04316" w:rsidRDefault="00A04316" w:rsidP="0068781F">
      <w:pPr>
        <w:pStyle w:val="BodyText"/>
        <w:tabs>
          <w:tab w:val="clear" w:pos="0"/>
          <w:tab w:val="left" w:pos="2160"/>
        </w:tabs>
        <w:spacing w:line="360" w:lineRule="auto"/>
        <w:jc w:val="both"/>
        <w:rPr>
          <w:color w:val="auto"/>
          <w:kern w:val="26"/>
          <w:sz w:val="24"/>
          <w:u w:val="single"/>
        </w:rPr>
      </w:pPr>
    </w:p>
    <w:p w:rsidR="007D08D5" w:rsidRDefault="001E0C64" w:rsidP="0068781F">
      <w:pPr>
        <w:pStyle w:val="BodyText"/>
        <w:tabs>
          <w:tab w:val="clear" w:pos="0"/>
          <w:tab w:val="left" w:pos="2160"/>
        </w:tabs>
        <w:spacing w:line="360" w:lineRule="auto"/>
        <w:ind w:firstLine="1440"/>
        <w:rPr>
          <w:color w:val="auto"/>
          <w:sz w:val="24"/>
          <w:szCs w:val="24"/>
        </w:rPr>
      </w:pPr>
      <w:r w:rsidRPr="001E0C64">
        <w:rPr>
          <w:color w:val="auto"/>
          <w:kern w:val="26"/>
          <w:sz w:val="24"/>
        </w:rPr>
        <w:t>On August 19, 2010, the Commission entered an Order approving the</w:t>
      </w:r>
      <w:r w:rsidRPr="001E0C64">
        <w:rPr>
          <w:color w:val="auto"/>
          <w:kern w:val="26"/>
          <w:sz w:val="24"/>
          <w:szCs w:val="26"/>
        </w:rPr>
        <w:t xml:space="preserve"> application of Respond Power LLC and </w:t>
      </w:r>
      <w:r w:rsidR="00B116DA">
        <w:rPr>
          <w:color w:val="auto"/>
          <w:kern w:val="26"/>
          <w:sz w:val="24"/>
          <w:szCs w:val="26"/>
        </w:rPr>
        <w:t xml:space="preserve">issued </w:t>
      </w:r>
      <w:r w:rsidRPr="001E0C64">
        <w:rPr>
          <w:color w:val="auto"/>
          <w:kern w:val="26"/>
          <w:sz w:val="24"/>
          <w:szCs w:val="26"/>
        </w:rPr>
        <w:t>a license authorizing Respond Power LLC to begin to offer, render, furnish or supply electric generation supplier services to residential, large commercial (over 25 kw demand), and small commercial (25 k</w:t>
      </w:r>
      <w:r w:rsidR="006C7E95">
        <w:rPr>
          <w:color w:val="auto"/>
          <w:kern w:val="26"/>
          <w:sz w:val="24"/>
          <w:szCs w:val="26"/>
        </w:rPr>
        <w:t>W</w:t>
      </w:r>
      <w:r w:rsidRPr="001E0C64">
        <w:rPr>
          <w:color w:val="auto"/>
          <w:kern w:val="26"/>
          <w:sz w:val="24"/>
          <w:szCs w:val="26"/>
        </w:rPr>
        <w:t xml:space="preserve"> and under demand), in the service territories of Allegheny Power, Duquesne Light Company, Metropolitan Edison Company, Pennsylvania Electric Company, Pennsylvania Power Company, PECO Energy Company, PPL Electric Utilities, Inc., and UGI Utilities, Inc. within the Commonwealth of Pennsylvania</w:t>
      </w:r>
      <w:r w:rsidRPr="008512D2">
        <w:rPr>
          <w:color w:val="auto"/>
          <w:kern w:val="26"/>
          <w:sz w:val="24"/>
          <w:szCs w:val="24"/>
        </w:rPr>
        <w:t xml:space="preserve">.  </w:t>
      </w:r>
      <w:r w:rsidR="007D08D5" w:rsidRPr="008512D2">
        <w:rPr>
          <w:i/>
          <w:color w:val="auto"/>
          <w:sz w:val="24"/>
          <w:szCs w:val="24"/>
        </w:rPr>
        <w:t>In re: License Application of Respond Power LLC for Approval to Offer, Render, Furnish or Supply Electricity or Electric Generation Services as a Supplier of Retail Electric Power,</w:t>
      </w:r>
      <w:r w:rsidR="007D08D5" w:rsidRPr="008512D2">
        <w:rPr>
          <w:color w:val="auto"/>
          <w:sz w:val="24"/>
          <w:szCs w:val="24"/>
        </w:rPr>
        <w:t xml:space="preserve"> Docket No. A-2010-2163898, Order at 3 (Aug. 19, 2010) (</w:t>
      </w:r>
      <w:r w:rsidR="007D08D5" w:rsidRPr="00E9528F">
        <w:rPr>
          <w:i/>
          <w:color w:val="auto"/>
          <w:sz w:val="24"/>
          <w:szCs w:val="24"/>
        </w:rPr>
        <w:t>License</w:t>
      </w:r>
      <w:r w:rsidR="00B116DA" w:rsidRPr="00E9528F">
        <w:rPr>
          <w:i/>
          <w:color w:val="auto"/>
          <w:sz w:val="24"/>
          <w:szCs w:val="24"/>
        </w:rPr>
        <w:t xml:space="preserve"> Order</w:t>
      </w:r>
      <w:r w:rsidR="007D08D5" w:rsidRPr="008512D2">
        <w:rPr>
          <w:color w:val="auto"/>
          <w:sz w:val="24"/>
          <w:szCs w:val="24"/>
        </w:rPr>
        <w:t>).</w:t>
      </w:r>
      <w:r w:rsidR="008512D2" w:rsidRPr="008512D2">
        <w:rPr>
          <w:color w:val="auto"/>
          <w:sz w:val="24"/>
          <w:szCs w:val="24"/>
        </w:rPr>
        <w:t xml:space="preserve">  </w:t>
      </w:r>
      <w:r w:rsidR="002D390C">
        <w:rPr>
          <w:color w:val="auto"/>
          <w:sz w:val="24"/>
          <w:szCs w:val="24"/>
        </w:rPr>
        <w:t>There does not appear to be a dispute over whether Respond Power is licensed to provide service in West Penn Power Company’s</w:t>
      </w:r>
      <w:r w:rsidR="00640218">
        <w:rPr>
          <w:color w:val="auto"/>
          <w:sz w:val="24"/>
          <w:szCs w:val="24"/>
        </w:rPr>
        <w:t xml:space="preserve"> service</w:t>
      </w:r>
      <w:r w:rsidR="002D390C">
        <w:rPr>
          <w:color w:val="auto"/>
          <w:sz w:val="24"/>
          <w:szCs w:val="24"/>
        </w:rPr>
        <w:t xml:space="preserve"> territory even though West Penn Power Company is not </w:t>
      </w:r>
      <w:r w:rsidR="00640218">
        <w:rPr>
          <w:color w:val="auto"/>
          <w:sz w:val="24"/>
          <w:szCs w:val="24"/>
        </w:rPr>
        <w:t>expressly</w:t>
      </w:r>
      <w:r w:rsidR="002D390C">
        <w:rPr>
          <w:color w:val="auto"/>
          <w:sz w:val="24"/>
          <w:szCs w:val="24"/>
        </w:rPr>
        <w:t xml:space="preserve"> mentioned in the Commission’s</w:t>
      </w:r>
      <w:r w:rsidR="00640218">
        <w:rPr>
          <w:color w:val="auto"/>
          <w:sz w:val="24"/>
          <w:szCs w:val="24"/>
        </w:rPr>
        <w:t xml:space="preserve"> </w:t>
      </w:r>
      <w:r w:rsidR="00640218">
        <w:rPr>
          <w:i/>
          <w:color w:val="auto"/>
          <w:sz w:val="24"/>
          <w:szCs w:val="24"/>
        </w:rPr>
        <w:t>License Order,</w:t>
      </w:r>
      <w:r w:rsidR="00575241">
        <w:rPr>
          <w:rStyle w:val="FootnoteReference"/>
          <w:color w:val="auto"/>
          <w:sz w:val="24"/>
          <w:szCs w:val="24"/>
        </w:rPr>
        <w:footnoteReference w:id="11"/>
      </w:r>
      <w:r w:rsidR="00640218">
        <w:rPr>
          <w:i/>
          <w:color w:val="auto"/>
          <w:sz w:val="24"/>
          <w:szCs w:val="24"/>
        </w:rPr>
        <w:t xml:space="preserve"> </w:t>
      </w:r>
      <w:r w:rsidR="00640218" w:rsidRPr="00640218">
        <w:rPr>
          <w:color w:val="auto"/>
          <w:sz w:val="24"/>
          <w:szCs w:val="24"/>
        </w:rPr>
        <w:t>which stated</w:t>
      </w:r>
      <w:r w:rsidR="008512D2" w:rsidRPr="008512D2">
        <w:rPr>
          <w:color w:val="auto"/>
          <w:sz w:val="24"/>
          <w:szCs w:val="24"/>
        </w:rPr>
        <w:t>:</w:t>
      </w:r>
    </w:p>
    <w:p w:rsidR="00C765B4" w:rsidRPr="008512D2" w:rsidRDefault="00C765B4" w:rsidP="0068781F">
      <w:pPr>
        <w:pStyle w:val="BodyText"/>
        <w:tabs>
          <w:tab w:val="clear" w:pos="0"/>
          <w:tab w:val="left" w:pos="2160"/>
        </w:tabs>
        <w:spacing w:line="360" w:lineRule="auto"/>
        <w:ind w:firstLine="1440"/>
        <w:rPr>
          <w:color w:val="auto"/>
          <w:sz w:val="24"/>
          <w:szCs w:val="24"/>
        </w:rPr>
      </w:pPr>
    </w:p>
    <w:p w:rsidR="007D08D5" w:rsidRDefault="007D08D5" w:rsidP="009C4F41">
      <w:pPr>
        <w:tabs>
          <w:tab w:val="left" w:pos="0"/>
        </w:tabs>
        <w:suppressAutoHyphens/>
        <w:spacing w:after="0" w:line="240" w:lineRule="auto"/>
        <w:ind w:left="720" w:right="720" w:firstLine="720"/>
        <w:rPr>
          <w:spacing w:val="-3"/>
          <w:kern w:val="26"/>
          <w:szCs w:val="26"/>
        </w:rPr>
      </w:pPr>
      <w:r w:rsidRPr="007D08D5">
        <w:rPr>
          <w:spacing w:val="-3"/>
          <w:kern w:val="26"/>
          <w:szCs w:val="26"/>
        </w:rPr>
        <w:t xml:space="preserve">Additionally, we specifically note that the licensee must comply with, and ensure that its employees, agents, representatives and independent contractors comply with the standards of conduct and disclosure for licensees set out in Commission regulations at 52 </w:t>
      </w:r>
      <w:r w:rsidR="0079588A">
        <w:rPr>
          <w:spacing w:val="-3"/>
          <w:kern w:val="26"/>
          <w:szCs w:val="26"/>
        </w:rPr>
        <w:t>Pa.Code</w:t>
      </w:r>
      <w:r w:rsidRPr="007D08D5">
        <w:rPr>
          <w:spacing w:val="-3"/>
          <w:kern w:val="26"/>
          <w:szCs w:val="26"/>
        </w:rPr>
        <w:t xml:space="preserve"> §54.43 that were enacted to protect consumers of this Commonwealth.  These standards include, </w:t>
      </w:r>
      <w:r w:rsidRPr="007D08D5">
        <w:rPr>
          <w:i/>
          <w:spacing w:val="-3"/>
          <w:kern w:val="26"/>
          <w:szCs w:val="26"/>
        </w:rPr>
        <w:t xml:space="preserve">inter alia, </w:t>
      </w:r>
      <w:r w:rsidRPr="007D08D5">
        <w:rPr>
          <w:spacing w:val="-3"/>
          <w:kern w:val="26"/>
          <w:szCs w:val="26"/>
        </w:rPr>
        <w:t>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Also, we take this opportunity to remind the licensee of its agreement to abide by, and to ensure that its employees, representatives, agents and independent contractors abide by all applicable federal and state laws, and Commission regulations, procedures and orders, including Emergency Orders, which may be issued verbally or in writing during any emergency situations that may unexpectedly develop from time to time in the course of doing business in Pennsylvania.</w:t>
      </w:r>
    </w:p>
    <w:p w:rsidR="0068781F" w:rsidRPr="007D08D5" w:rsidRDefault="0068781F" w:rsidP="0068781F">
      <w:pPr>
        <w:tabs>
          <w:tab w:val="left" w:pos="0"/>
        </w:tabs>
        <w:suppressAutoHyphens/>
        <w:spacing w:after="0" w:line="240" w:lineRule="auto"/>
        <w:ind w:left="720" w:right="720" w:firstLine="1440"/>
        <w:rPr>
          <w:spacing w:val="-3"/>
          <w:kern w:val="26"/>
          <w:szCs w:val="26"/>
        </w:rPr>
      </w:pPr>
    </w:p>
    <w:p w:rsidR="00C918CB" w:rsidRDefault="008512D2" w:rsidP="0068781F">
      <w:pPr>
        <w:spacing w:after="0" w:line="240" w:lineRule="auto"/>
      </w:pPr>
      <w:r>
        <w:rPr>
          <w:i/>
        </w:rPr>
        <w:t xml:space="preserve">Id. </w:t>
      </w:r>
      <w:r w:rsidRPr="008512D2">
        <w:t>at 3.</w:t>
      </w:r>
    </w:p>
    <w:p w:rsidR="0068781F" w:rsidRPr="0068781F" w:rsidRDefault="0068781F" w:rsidP="0068781F">
      <w:pPr>
        <w:spacing w:after="0"/>
      </w:pPr>
    </w:p>
    <w:p w:rsidR="00377FE7" w:rsidRDefault="00B90E93" w:rsidP="0068781F">
      <w:pPr>
        <w:spacing w:after="0"/>
      </w:pPr>
      <w:r>
        <w:tab/>
      </w:r>
      <w:r>
        <w:tab/>
      </w:r>
      <w:r w:rsidR="008512D2">
        <w:t xml:space="preserve">The </w:t>
      </w:r>
      <w:r w:rsidR="00B116DA" w:rsidRPr="00E9528F">
        <w:rPr>
          <w:i/>
        </w:rPr>
        <w:t xml:space="preserve">License </w:t>
      </w:r>
      <w:r w:rsidR="008512D2" w:rsidRPr="00E9528F">
        <w:rPr>
          <w:i/>
        </w:rPr>
        <w:t>Order</w:t>
      </w:r>
      <w:r w:rsidR="008512D2">
        <w:t xml:space="preserve"> is silent as to an express approval of the language contained in the </w:t>
      </w:r>
      <w:r>
        <w:t xml:space="preserve">“Disclosure Statement of Respond Power LLC” as filed on February 2, 2010, as </w:t>
      </w:r>
      <w:r w:rsidR="008512D2">
        <w:t xml:space="preserve">part of the Application at </w:t>
      </w:r>
      <w:r>
        <w:t>Appendix B</w:t>
      </w:r>
      <w:r w:rsidR="008512D2">
        <w:t>,</w:t>
      </w:r>
      <w:r>
        <w:t xml:space="preserve"> Attachment A</w:t>
      </w:r>
      <w:r w:rsidR="008512D2">
        <w:t xml:space="preserve">.  </w:t>
      </w:r>
      <w:r w:rsidR="00A656D3">
        <w:t xml:space="preserve">Unlike in </w:t>
      </w:r>
      <w:r w:rsidR="002024BD">
        <w:t xml:space="preserve">its affiliates’ </w:t>
      </w:r>
      <w:r w:rsidR="00A656D3">
        <w:t>licensing order, where</w:t>
      </w:r>
      <w:r w:rsidR="00640218">
        <w:t>in</w:t>
      </w:r>
      <w:r w:rsidR="00A656D3">
        <w:t xml:space="preserve"> the Commission expressly stated that it approved a proposed disclosure statement as attached to Major Energy</w:t>
      </w:r>
      <w:r w:rsidR="002024BD">
        <w:t xml:space="preserve"> Services LLC</w:t>
      </w:r>
      <w:r w:rsidR="00A656D3">
        <w:t>’s</w:t>
      </w:r>
      <w:r w:rsidR="002024BD">
        <w:t xml:space="preserve"> (Major Energy)</w:t>
      </w:r>
      <w:r w:rsidR="00A656D3">
        <w:t xml:space="preserve"> application, no such statement was made in the Order approving Respond Power’s application. </w:t>
      </w:r>
      <w:r w:rsidR="002024BD">
        <w:rPr>
          <w:i/>
        </w:rPr>
        <w:t xml:space="preserve">See Application of Major Energy Services LLC to become a licensed supplier of natural gas supply services, </w:t>
      </w:r>
      <w:r w:rsidR="002024BD">
        <w:t>Docket No. A-2009-2118836, (Order entered October 8, 2009), (</w:t>
      </w:r>
      <w:r w:rsidR="002024BD">
        <w:rPr>
          <w:i/>
        </w:rPr>
        <w:t xml:space="preserve">Major Energy License Order).  </w:t>
      </w:r>
      <w:r w:rsidR="008512D2">
        <w:t xml:space="preserve">Respond Power argues that the Commission implicitly approved the language in this disclosure statement attached to </w:t>
      </w:r>
      <w:r w:rsidR="0034233C">
        <w:t>Respond</w:t>
      </w:r>
      <w:r w:rsidR="00640218">
        <w:t xml:space="preserve"> Power</w:t>
      </w:r>
      <w:r w:rsidR="0034233C">
        <w:t>’s</w:t>
      </w:r>
      <w:r w:rsidR="008512D2">
        <w:t xml:space="preserve"> Application</w:t>
      </w:r>
      <w:r w:rsidR="00377FE7">
        <w:t xml:space="preserve"> even though it did not expressly state so in its </w:t>
      </w:r>
      <w:r w:rsidR="00B116DA" w:rsidRPr="0034233C">
        <w:rPr>
          <w:i/>
        </w:rPr>
        <w:t xml:space="preserve">License </w:t>
      </w:r>
      <w:r w:rsidR="00377FE7" w:rsidRPr="0034233C">
        <w:rPr>
          <w:i/>
        </w:rPr>
        <w:t>Order</w:t>
      </w:r>
      <w:r w:rsidR="00377FE7">
        <w:t xml:space="preserve">.   </w:t>
      </w:r>
    </w:p>
    <w:p w:rsidR="009C4F41" w:rsidRDefault="009C4F41" w:rsidP="0068781F">
      <w:pPr>
        <w:spacing w:after="0"/>
      </w:pPr>
    </w:p>
    <w:p w:rsidR="00377FE7" w:rsidRDefault="00377FE7" w:rsidP="00B90E93">
      <w:pPr>
        <w:spacing w:after="0"/>
      </w:pPr>
      <w:r>
        <w:tab/>
      </w:r>
      <w:r>
        <w:tab/>
        <w:t xml:space="preserve">Respond Power argues that since the actual disclosure statement given to the Complainant at the time of the point of sale was pre-approved by the Commission, it does not matter what the sales representative may have said to the Complainant in order to induce him to switch to Respond Power, as the terms of the written sales agreement and accompanying disclosure statement are controlling.  </w:t>
      </w:r>
      <w:r w:rsidR="00004867">
        <w:t xml:space="preserve">This argument is without merit as I am not finding a breach of contract under Pennsylvania contract law.  Rather, I am determining if there were violations of applicable statutes under the Competition Act, regulations under Chapters 54, 56 and 111 of 52 Pa Code, and violations of Commission Orders.  For this reason, statements made by an agent of Respond Power to a prospective customer, Mr. Herp, are relevant.  Respond Power’s argument </w:t>
      </w:r>
      <w:r w:rsidR="00595ECC">
        <w:t>demonstrates</w:t>
      </w:r>
      <w:r w:rsidR="00004867">
        <w:t xml:space="preserve"> a disregard for the Commission’s regulations, and brings into </w:t>
      </w:r>
      <w:r w:rsidR="00595ECC">
        <w:t>question</w:t>
      </w:r>
      <w:r w:rsidR="00004867">
        <w:t xml:space="preserve"> whether Respond Power advised its third party marketer vendors to comply with Commission regulations, when Respond Power </w:t>
      </w:r>
      <w:r w:rsidR="00595ECC">
        <w:t>advocates o</w:t>
      </w:r>
      <w:r w:rsidR="00004867">
        <w:t xml:space="preserve">nly the written terms of a written sales contract are controlling, and anything said by the prospective customer or agent prior to the execution of the agreement are irrelevant. </w:t>
      </w:r>
    </w:p>
    <w:p w:rsidR="00004867" w:rsidRDefault="00004867" w:rsidP="00B90E93">
      <w:pPr>
        <w:spacing w:after="0"/>
      </w:pPr>
    </w:p>
    <w:p w:rsidR="00595ECC" w:rsidRDefault="00377FE7" w:rsidP="00B90E93">
      <w:pPr>
        <w:spacing w:after="0"/>
      </w:pPr>
      <w:r>
        <w:tab/>
      </w:r>
      <w:r>
        <w:tab/>
      </w:r>
      <w:r w:rsidR="00B116DA">
        <w:t xml:space="preserve">In comparing </w:t>
      </w:r>
      <w:r w:rsidR="00674785">
        <w:t xml:space="preserve">and contrasting </w:t>
      </w:r>
      <w:r w:rsidR="00B116DA">
        <w:t xml:space="preserve">the “Disclosure Statement of Respond Power LLC” </w:t>
      </w:r>
      <w:r w:rsidR="00CF1A07">
        <w:t>(also referred to as “</w:t>
      </w:r>
      <w:r w:rsidR="0034233C">
        <w:t>D</w:t>
      </w:r>
      <w:r w:rsidR="00CF1A07">
        <w:t xml:space="preserve">raft </w:t>
      </w:r>
      <w:r w:rsidR="0034233C">
        <w:t>D</w:t>
      </w:r>
      <w:r w:rsidR="00CF1A07">
        <w:t xml:space="preserve">isclosure </w:t>
      </w:r>
      <w:r w:rsidR="0034233C">
        <w:t>S</w:t>
      </w:r>
      <w:r w:rsidR="00CF1A07">
        <w:t xml:space="preserve">tatement”) </w:t>
      </w:r>
      <w:r w:rsidR="00B116DA">
        <w:t xml:space="preserve">as attached to the Application at to Respondent’s Exhibit No. 2 “Respond </w:t>
      </w:r>
      <w:r w:rsidR="0034233C">
        <w:t>P</w:t>
      </w:r>
      <w:r w:rsidR="00B116DA">
        <w:t xml:space="preserve">ower LLC and Major Energy Services LLC, Affiliates Disclosure Statement” </w:t>
      </w:r>
      <w:r w:rsidR="0034233C">
        <w:t>(also referred to as “Affiliates Disclosure Statement</w:t>
      </w:r>
      <w:r w:rsidR="00595ECC">
        <w:t>”</w:t>
      </w:r>
      <w:r w:rsidR="0034233C">
        <w:t xml:space="preserve">), </w:t>
      </w:r>
      <w:r>
        <w:t xml:space="preserve">I find </w:t>
      </w:r>
      <w:r w:rsidR="00B116DA">
        <w:t xml:space="preserve">some similar language, but there are a lot of differences.  Even </w:t>
      </w:r>
      <w:r w:rsidR="00595ECC">
        <w:t>assuming</w:t>
      </w:r>
      <w:r w:rsidR="00B116DA">
        <w:t xml:space="preserve"> the Commission implicitly approved the language in the </w:t>
      </w:r>
      <w:r w:rsidR="00CF1A07">
        <w:t>draft</w:t>
      </w:r>
      <w:r w:rsidR="00B116DA">
        <w:t xml:space="preserve"> disclosure statement attached to the application</w:t>
      </w:r>
      <w:r w:rsidR="0034233C">
        <w:t xml:space="preserve"> by approving the application</w:t>
      </w:r>
      <w:r w:rsidR="00B116DA">
        <w:t xml:space="preserve">, there is </w:t>
      </w:r>
      <w:r w:rsidR="00A656D3">
        <w:t xml:space="preserve">insufficient </w:t>
      </w:r>
      <w:r w:rsidR="00B116DA">
        <w:t>evidence</w:t>
      </w:r>
      <w:r w:rsidR="00A656D3">
        <w:t xml:space="preserve"> to find</w:t>
      </w:r>
      <w:r w:rsidR="00B116DA">
        <w:t xml:space="preserve"> that the Commission approved the “Affiliates Disclosure Statement” as was provided to Complainant.</w:t>
      </w:r>
      <w:r w:rsidR="0034233C">
        <w:t xml:space="preserve">  </w:t>
      </w:r>
      <w:r w:rsidR="00B116DA">
        <w:t xml:space="preserve">  </w:t>
      </w:r>
    </w:p>
    <w:p w:rsidR="00595ECC" w:rsidRDefault="00595ECC" w:rsidP="00B90E93">
      <w:pPr>
        <w:spacing w:after="0"/>
      </w:pPr>
    </w:p>
    <w:p w:rsidR="00DF22BA" w:rsidRDefault="00595ECC" w:rsidP="00B90E93">
      <w:pPr>
        <w:spacing w:after="0"/>
      </w:pPr>
      <w:r>
        <w:tab/>
      </w:r>
      <w:r>
        <w:tab/>
      </w:r>
      <w:r w:rsidR="000B0329">
        <w:t>Despite Mr. Small’s testimony that “there was some back and forth” between the company and the Commission’s Bureau of Consumer Services regarding the language in the draft disclosure statement, Mr. Small’s opinion</w:t>
      </w:r>
      <w:r w:rsidR="00CF1A07">
        <w:t xml:space="preserve"> is unsupported by any corroborative evidence in the r</w:t>
      </w:r>
      <w:r>
        <w:t xml:space="preserve">ecord to show there was a Commission staff determination or </w:t>
      </w:r>
      <w:r w:rsidR="00CF1A07">
        <w:t xml:space="preserve">final Commission approval of the Affiliate Disclosure Statement. </w:t>
      </w:r>
      <w:r w:rsidR="000B0329">
        <w:t xml:space="preserve"> </w:t>
      </w:r>
      <w:r w:rsidR="00CF1A07">
        <w:t xml:space="preserve">N.T. 60- 61, Respondent’s Exhibits 1-2.  I am unaware of any </w:t>
      </w:r>
      <w:r w:rsidR="000B0329">
        <w:t xml:space="preserve">Commission order </w:t>
      </w:r>
      <w:r w:rsidR="00CF1A07">
        <w:t xml:space="preserve">or Secretarial Letter </w:t>
      </w:r>
      <w:r w:rsidR="000B0329">
        <w:t xml:space="preserve">approving this particular Affiliates Disclosure Statement.  </w:t>
      </w:r>
      <w:r w:rsidR="00330C55">
        <w:t>Further, scrutiny of the Affiliate Disclosure Statement shows some regulatory violations, which leads me to believe it was not approved by the Commission or Commission Staff in this final form.</w:t>
      </w:r>
      <w:r w:rsidR="002D4CB8">
        <w:t xml:space="preserve">  </w:t>
      </w:r>
    </w:p>
    <w:p w:rsidR="00DF22BA" w:rsidRDefault="00DF22BA" w:rsidP="00B90E93">
      <w:pPr>
        <w:spacing w:after="0"/>
      </w:pPr>
    </w:p>
    <w:p w:rsidR="00674785" w:rsidRDefault="00DF22BA" w:rsidP="00B90E93">
      <w:pPr>
        <w:spacing w:after="0"/>
      </w:pPr>
      <w:r>
        <w:tab/>
      </w:r>
      <w:r>
        <w:tab/>
        <w:t xml:space="preserve">In contrast to the </w:t>
      </w:r>
      <w:r w:rsidR="0034233C">
        <w:t>D</w:t>
      </w:r>
      <w:r>
        <w:t xml:space="preserve">raft </w:t>
      </w:r>
      <w:r w:rsidR="0034233C">
        <w:t>D</w:t>
      </w:r>
      <w:r>
        <w:t xml:space="preserve">isclosure </w:t>
      </w:r>
      <w:r w:rsidR="0034233C">
        <w:t>S</w:t>
      </w:r>
      <w:r>
        <w:t xml:space="preserve">tatement, </w:t>
      </w:r>
      <w:r w:rsidR="00674785">
        <w:t>the Affiliates Disclosure Statement is for Major Energy</w:t>
      </w:r>
      <w:r w:rsidR="0034233C">
        <w:t xml:space="preserve">’s </w:t>
      </w:r>
      <w:r w:rsidR="00674785">
        <w:t>customers for natural gas, as well as or in addition to Respond Power</w:t>
      </w:r>
      <w:r w:rsidR="0034233C">
        <w:t>’s</w:t>
      </w:r>
      <w:r w:rsidR="00674785">
        <w:t xml:space="preserve"> customers for electricity.  </w:t>
      </w:r>
      <w:r>
        <w:t>Under paragraph No. 1</w:t>
      </w:r>
      <w:r w:rsidR="0034233C">
        <w:t xml:space="preserve"> of the Affiliates Disclosure Statement</w:t>
      </w:r>
      <w:r>
        <w:t>, t</w:t>
      </w:r>
      <w:r w:rsidR="00674785">
        <w:t>here are two paragraphs marked “Variable Rate”</w:t>
      </w:r>
      <w:r w:rsidR="0034233C">
        <w:t>;</w:t>
      </w:r>
      <w:r w:rsidR="00674785">
        <w:t xml:space="preserve"> one under the Gas heading, and one under the Electric heading.  The language under the </w:t>
      </w:r>
      <w:r w:rsidR="00674785" w:rsidRPr="00D179A0">
        <w:t>Electric</w:t>
      </w:r>
      <w:r w:rsidR="00674785">
        <w:t xml:space="preserve"> heading is identical to that language in Appendix B to the Application and states as follows</w:t>
      </w:r>
      <w:r w:rsidR="00CF1A07">
        <w:t xml:space="preserve"> (only in </w:t>
      </w:r>
      <w:r w:rsidR="0034233C">
        <w:t>tiny print</w:t>
      </w:r>
      <w:r w:rsidR="00CF1A07">
        <w:t>)</w:t>
      </w:r>
      <w:r w:rsidR="00674785">
        <w:t>.</w:t>
      </w:r>
    </w:p>
    <w:p w:rsidR="00674785" w:rsidRDefault="00674785" w:rsidP="00B90E93">
      <w:pPr>
        <w:spacing w:after="0"/>
      </w:pPr>
    </w:p>
    <w:p w:rsidR="006C5D16" w:rsidRPr="00DF22BA" w:rsidRDefault="006C5D16" w:rsidP="00674785">
      <w:pPr>
        <w:spacing w:after="0" w:line="240" w:lineRule="auto"/>
        <w:ind w:left="720" w:right="720"/>
        <w:rPr>
          <w:rFonts w:ascii="Times New Roman Bold" w:hAnsi="Times New Roman Bold"/>
          <w:szCs w:val="24"/>
        </w:rPr>
      </w:pPr>
      <w:r w:rsidRPr="00DF22BA">
        <w:rPr>
          <w:rFonts w:ascii="Times New Roman Bold" w:hAnsi="Times New Roman Bold"/>
          <w:szCs w:val="24"/>
        </w:rPr>
        <w:t>Electric</w:t>
      </w:r>
    </w:p>
    <w:p w:rsidR="00674785" w:rsidRPr="00DF22BA" w:rsidRDefault="006C5D16" w:rsidP="00674785">
      <w:pPr>
        <w:spacing w:after="0" w:line="240" w:lineRule="auto"/>
        <w:ind w:left="720" w:right="720"/>
        <w:rPr>
          <w:rFonts w:cs="Times New Roman"/>
          <w:szCs w:val="24"/>
        </w:rPr>
      </w:pPr>
      <w:r w:rsidRPr="00DF22BA">
        <w:rPr>
          <w:rFonts w:ascii="Times New Roman Bold" w:hAnsi="Times New Roman Bold"/>
          <w:i/>
          <w:szCs w:val="24"/>
        </w:rPr>
        <w:t>Variable Rate</w:t>
      </w:r>
      <w:r w:rsidRPr="00DF22BA">
        <w:rPr>
          <w:rFonts w:ascii="Times New Roman Bold" w:hAnsi="Times New Roman Bold"/>
          <w:szCs w:val="24"/>
        </w:rPr>
        <w:t xml:space="preserve">. </w:t>
      </w:r>
      <w:r w:rsidR="00674785" w:rsidRPr="00DF22BA">
        <w:rPr>
          <w:rFonts w:cs="Times New Roman"/>
          <w:szCs w:val="24"/>
        </w:rPr>
        <w:t>Your price may vary from month to month.  This rate</w:t>
      </w:r>
      <w:r w:rsidRPr="00DF22BA">
        <w:rPr>
          <w:rFonts w:cs="Times New Roman"/>
          <w:szCs w:val="24"/>
        </w:rPr>
        <w:t xml:space="preserve"> i</w:t>
      </w:r>
      <w:r w:rsidR="00674785" w:rsidRPr="00DF22BA">
        <w:rPr>
          <w:rFonts w:cs="Times New Roman"/>
          <w:szCs w:val="24"/>
        </w:rPr>
        <w:t xml:space="preserve">s set by Respond Power and reflects their Generation Charge as reflected by the PJM Day-Ahead Market, Installed capacity (the cost of reserve or standby power), electricity lost on the transmission system (“losses”), estimated state taxes, and any other costs that Respond Power incurs to deliver your electricity to your electric Utility’s Transmission System (where they receive the electricity).  For their services, Respond Power adds a profit margin to the electricity </w:t>
      </w:r>
      <w:r w:rsidR="00674785" w:rsidRPr="00595ECC">
        <w:rPr>
          <w:rFonts w:cs="Times New Roman"/>
          <w:szCs w:val="24"/>
        </w:rPr>
        <w:t xml:space="preserve">and Respond Power’s goal each and every month is to deliver your power at a price that is less than what you would have paid had your purchased your power from your local utility company, however, due to market fluctuations and conditions, Respond Power can not always guarantee that every month you will see savings. </w:t>
      </w:r>
      <w:r w:rsidR="00674785" w:rsidRPr="00DF22BA">
        <w:rPr>
          <w:rFonts w:cs="Times New Roman"/>
          <w:szCs w:val="24"/>
        </w:rPr>
        <w:t xml:space="preserve"> Commodity charges exclude Pennsylvania sales tax, if applicable.  You may contact Respond Power for our current Variable rates.</w:t>
      </w:r>
    </w:p>
    <w:p w:rsidR="00674785" w:rsidRPr="00DF22BA" w:rsidRDefault="00674785" w:rsidP="00674785">
      <w:pPr>
        <w:spacing w:after="0" w:line="240" w:lineRule="auto"/>
        <w:ind w:left="720" w:right="720"/>
        <w:rPr>
          <w:rFonts w:ascii="Times New Roman Bold" w:hAnsi="Times New Roman Bold"/>
          <w:szCs w:val="24"/>
        </w:rPr>
      </w:pPr>
    </w:p>
    <w:p w:rsidR="003E26E3" w:rsidRDefault="003E26E3" w:rsidP="00674785">
      <w:pPr>
        <w:spacing w:after="0" w:line="240" w:lineRule="auto"/>
        <w:ind w:left="720" w:right="720"/>
      </w:pPr>
    </w:p>
    <w:p w:rsidR="00FC0A30" w:rsidRDefault="00E17069" w:rsidP="009C4F41">
      <w:pPr>
        <w:spacing w:after="0"/>
      </w:pPr>
      <w:r>
        <w:tab/>
      </w:r>
      <w:r w:rsidR="0034233C">
        <w:tab/>
      </w:r>
      <w:r w:rsidR="003E26E3">
        <w:t>I find this disclosure statement to be somewhat misleading as it informs the customer that</w:t>
      </w:r>
      <w:r w:rsidR="00A656D3">
        <w:t xml:space="preserve"> the</w:t>
      </w:r>
      <w:r w:rsidR="003E26E3">
        <w:t xml:space="preserve"> goal is to provide power at a price less than th</w:t>
      </w:r>
      <w:r w:rsidR="00FC0A30">
        <w:t>e local utility company’s price;</w:t>
      </w:r>
      <w:r w:rsidR="003E26E3">
        <w:t xml:space="preserve"> however</w:t>
      </w:r>
      <w:r w:rsidR="00FC0A30">
        <w:t>,</w:t>
      </w:r>
      <w:r w:rsidR="003E26E3">
        <w:t xml:space="preserve"> </w:t>
      </w:r>
      <w:r w:rsidR="00A656D3">
        <w:t>Respond Power</w:t>
      </w:r>
      <w:r w:rsidR="003E26E3">
        <w:t xml:space="preserve"> cannot always guarantee that every month the customer will see savings.  </w:t>
      </w:r>
      <w:r w:rsidR="00FC0A30">
        <w:t xml:space="preserve">I find the testimony of Mr. Herp </w:t>
      </w:r>
      <w:r w:rsidR="00655286">
        <w:t xml:space="preserve">credible </w:t>
      </w:r>
      <w:r w:rsidR="00FC0A30">
        <w:t xml:space="preserve">that when he read this paragraph, he did not catch the word “goal.”  From Mr. Herp’s testimony, by missing the word “goal” he believed the disclosure </w:t>
      </w:r>
      <w:r w:rsidR="00916276">
        <w:t xml:space="preserve">essentially </w:t>
      </w:r>
      <w:r w:rsidR="00FC0A30">
        <w:t xml:space="preserve">stated: “Respond Power each and every month will deliver your power at a price that is less than what you would have paid had you purchased your power from your local utility company . . .” </w:t>
      </w:r>
      <w:r w:rsidR="00655286">
        <w:t>M</w:t>
      </w:r>
      <w:r w:rsidR="00916276">
        <w:t>iss</w:t>
      </w:r>
      <w:r w:rsidR="00655286">
        <w:t>ing</w:t>
      </w:r>
      <w:r w:rsidR="00916276">
        <w:t xml:space="preserve"> the word “goal” changes the meaning of the sentence.</w:t>
      </w:r>
    </w:p>
    <w:p w:rsidR="00FC0A30" w:rsidRDefault="00FC0A30" w:rsidP="00FC0A30">
      <w:pPr>
        <w:spacing w:after="0"/>
        <w:ind w:right="720"/>
      </w:pPr>
    </w:p>
    <w:p w:rsidR="00A656D3" w:rsidRDefault="00916276" w:rsidP="009C4F41">
      <w:pPr>
        <w:spacing w:after="0"/>
      </w:pPr>
      <w:r>
        <w:tab/>
      </w:r>
      <w:r>
        <w:tab/>
      </w:r>
      <w:r w:rsidR="003E26E3">
        <w:t xml:space="preserve">Further, the disclosure statement does not explain </w:t>
      </w:r>
      <w:r w:rsidR="00A656D3">
        <w:t xml:space="preserve">the </w:t>
      </w:r>
      <w:r w:rsidR="003E26E3">
        <w:t>interval</w:t>
      </w:r>
      <w:r w:rsidR="00A656D3">
        <w:t>s</w:t>
      </w:r>
      <w:r w:rsidR="003E26E3">
        <w:t xml:space="preserve"> prices can change, i.e. </w:t>
      </w:r>
      <w:r w:rsidR="00A656D3">
        <w:t>whether</w:t>
      </w:r>
      <w:r w:rsidR="003E26E3">
        <w:t xml:space="preserve"> the local </w:t>
      </w:r>
      <w:r w:rsidR="00A656D3">
        <w:t>EDC</w:t>
      </w:r>
      <w:r w:rsidR="003E26E3">
        <w:t>’s price</w:t>
      </w:r>
      <w:r w:rsidR="00FC0A30">
        <w:t>-</w:t>
      </w:r>
      <w:r w:rsidR="003E26E3">
        <w:t>to</w:t>
      </w:r>
      <w:r w:rsidR="00FC0A30">
        <w:t>-</w:t>
      </w:r>
      <w:r w:rsidR="003E26E3">
        <w:t>compare changes on a quarterly basis versus the EGS’ variable rate chang</w:t>
      </w:r>
      <w:r w:rsidR="00CF1A07">
        <w:t>es</w:t>
      </w:r>
      <w:r w:rsidR="003E26E3">
        <w:t xml:space="preserve"> on a monthly basis.  This is not clearly</w:t>
      </w:r>
      <w:r w:rsidR="00C628CB">
        <w:t xml:space="preserve"> discussed in the disclosure statement. </w:t>
      </w:r>
      <w:r w:rsidR="00A656D3">
        <w:tab/>
      </w:r>
    </w:p>
    <w:p w:rsidR="00A656D3" w:rsidRDefault="00A656D3" w:rsidP="009C4F41">
      <w:pPr>
        <w:spacing w:after="0"/>
      </w:pPr>
      <w:r>
        <w:tab/>
      </w:r>
      <w:r>
        <w:tab/>
        <w:t xml:space="preserve">I find the phrase of “can not always guarantee” to be an odd choice of words.  </w:t>
      </w:r>
      <w:r w:rsidR="00DF22BA">
        <w:t>By negating the word “always</w:t>
      </w:r>
      <w:r w:rsidR="00411ACA">
        <w:t>,</w:t>
      </w:r>
      <w:r w:rsidR="00DF22BA">
        <w:t xml:space="preserve">” the phrase implies that Respond Power sometimes can guarantee and sometimes cannot guarantee.  Alternatively, </w:t>
      </w:r>
      <w:r w:rsidR="00411ACA">
        <w:t xml:space="preserve">a possible truth </w:t>
      </w:r>
      <w:r w:rsidR="00AE3BE8">
        <w:t xml:space="preserve">from this phrase is that </w:t>
      </w:r>
      <w:r w:rsidR="00227572">
        <w:t>there</w:t>
      </w:r>
      <w:r>
        <w:t xml:space="preserve"> is no guarantee</w:t>
      </w:r>
      <w:r w:rsidR="00227572">
        <w:t>.</w:t>
      </w:r>
      <w:r>
        <w:t xml:space="preserve">  The phrase does not state “can not ever guarantee”</w:t>
      </w:r>
      <w:r w:rsidR="00DF22BA">
        <w:t xml:space="preserve"> or that there is no guarantee</w:t>
      </w:r>
      <w:r>
        <w:t>.  The phrase is confusing and misleading</w:t>
      </w:r>
      <w:r w:rsidR="00227572">
        <w:t>, probably giving some consumers false hopes of guaranteed monthly savings</w:t>
      </w:r>
      <w:r>
        <w:t>.</w:t>
      </w:r>
    </w:p>
    <w:p w:rsidR="003E26E3" w:rsidRDefault="003E26E3" w:rsidP="009C4F41">
      <w:pPr>
        <w:spacing w:after="0"/>
      </w:pPr>
    </w:p>
    <w:p w:rsidR="00E17069" w:rsidRDefault="00E17069" w:rsidP="009C4F41">
      <w:pPr>
        <w:spacing w:after="0"/>
      </w:pPr>
      <w:r>
        <w:tab/>
      </w:r>
      <w:r>
        <w:tab/>
      </w:r>
      <w:r w:rsidR="003E26E3">
        <w:t xml:space="preserve">If the </w:t>
      </w:r>
      <w:r w:rsidR="00C628CB">
        <w:t>EGS</w:t>
      </w:r>
      <w:r w:rsidR="003E26E3">
        <w:t xml:space="preserve"> offers no guarantee that the customer will ever </w:t>
      </w:r>
      <w:r w:rsidR="00C628CB">
        <w:t xml:space="preserve">experience </w:t>
      </w:r>
      <w:r w:rsidR="003E26E3">
        <w:t>a savings from what its local utility company would have charged, then a more truthful disclosure would have been to state a</w:t>
      </w:r>
      <w:r w:rsidR="0079676E">
        <w:t xml:space="preserve">s such.  </w:t>
      </w:r>
      <w:r w:rsidR="003E26E3">
        <w:t xml:space="preserve">Nowhere in the disclosure does the company state that there is a variable rate cap on what it can charge its customers.  </w:t>
      </w:r>
      <w:r>
        <w:t xml:space="preserve">However, the company is </w:t>
      </w:r>
      <w:r w:rsidR="00CF1A07">
        <w:t xml:space="preserve">essentially </w:t>
      </w:r>
      <w:r>
        <w:t xml:space="preserve">stating that your rates may vary but since the goal is to deliver your power at a price less than the local utility company, you should experience </w:t>
      </w:r>
      <w:r w:rsidR="00A656D3">
        <w:t>savings</w:t>
      </w:r>
      <w:r w:rsidR="00227572">
        <w:t>.</w:t>
      </w:r>
      <w:r>
        <w:t xml:space="preserve"> </w:t>
      </w:r>
      <w:r w:rsidR="00227572">
        <w:t xml:space="preserve"> There is no express notice or warning to the customer that he or she could</w:t>
      </w:r>
      <w:r>
        <w:t xml:space="preserve"> </w:t>
      </w:r>
      <w:r w:rsidR="00227572">
        <w:t xml:space="preserve">experience an unlimited percentage </w:t>
      </w:r>
      <w:r>
        <w:t xml:space="preserve">increase in monthly bills.  </w:t>
      </w:r>
    </w:p>
    <w:p w:rsidR="00E17069" w:rsidRDefault="00E17069" w:rsidP="009C4F41">
      <w:pPr>
        <w:spacing w:after="0"/>
      </w:pPr>
    </w:p>
    <w:p w:rsidR="00FE08FD" w:rsidRDefault="00E17069" w:rsidP="009C4F41">
      <w:pPr>
        <w:spacing w:after="0"/>
      </w:pPr>
      <w:r>
        <w:tab/>
      </w:r>
      <w:r>
        <w:tab/>
      </w:r>
      <w:r w:rsidR="003E26E3">
        <w:t>Also, nowhere in the disclosure does the company state there is no cap or maximum rate to which it can charge.</w:t>
      </w:r>
      <w:r w:rsidR="00C628CB">
        <w:t xml:space="preserve">  Even though it states, “your price may vary from mo</w:t>
      </w:r>
      <w:r w:rsidR="00CF1A07">
        <w:t>n</w:t>
      </w:r>
      <w:r w:rsidR="00C628CB">
        <w:t xml:space="preserve">th to month” this does not expressly state that there is no cap on the price.  The burden </w:t>
      </w:r>
      <w:r w:rsidR="00227572">
        <w:t xml:space="preserve">of knowing the </w:t>
      </w:r>
      <w:r w:rsidR="00FC0A30">
        <w:t>variable rates</w:t>
      </w:r>
      <w:r w:rsidR="00227572">
        <w:t xml:space="preserve"> </w:t>
      </w:r>
      <w:r w:rsidR="00FC0A30">
        <w:t xml:space="preserve">appears </w:t>
      </w:r>
      <w:r w:rsidR="00C628CB">
        <w:t>to be on the customer to call Respond Power for the then current variable rate</w:t>
      </w:r>
      <w:r>
        <w:t xml:space="preserve"> or to try to figure out the rate from the monthly bills it receives from the local utility company</w:t>
      </w:r>
      <w:r w:rsidR="00C628CB">
        <w:t>.</w:t>
      </w:r>
      <w:r w:rsidR="00897F20">
        <w:t xml:space="preserve">  </w:t>
      </w:r>
    </w:p>
    <w:p w:rsidR="00FE08FD" w:rsidRDefault="00FE08FD" w:rsidP="009C4F41">
      <w:pPr>
        <w:spacing w:after="0"/>
      </w:pPr>
    </w:p>
    <w:p w:rsidR="00D33143" w:rsidRPr="00451112" w:rsidRDefault="00DF7018" w:rsidP="009C4F41">
      <w:pPr>
        <w:spacing w:after="0"/>
        <w:rPr>
          <w:i/>
        </w:rPr>
      </w:pPr>
      <w:r>
        <w:tab/>
      </w:r>
      <w:r>
        <w:tab/>
      </w:r>
      <w:r w:rsidR="00D33143">
        <w:t xml:space="preserve">Further, the contact information on the two disclosure statements is different.  The Respond Power Disclosure Statement seems to contain errors, including the first statement that “this is an agreement for natural gas services, between Respond Power, LLC (“Respond Power”) and ____________ and continuing to the end contact number which is 1-888-MAJOR-60 and </w:t>
      </w:r>
      <w:hyperlink r:id="rId10" w:history="1">
        <w:r w:rsidR="00D33143" w:rsidRPr="002F373A">
          <w:rPr>
            <w:rStyle w:val="Hyperlink"/>
          </w:rPr>
          <w:t>www.majorenergy.com</w:t>
        </w:r>
      </w:hyperlink>
      <w:r w:rsidR="00D33143">
        <w:rPr>
          <w:rStyle w:val="Hyperlink"/>
        </w:rPr>
        <w:t>”</w:t>
      </w:r>
      <w:r w:rsidR="00D33143">
        <w:t xml:space="preserve"> instead of what is written on the Affiliates Disclosure Statement</w:t>
      </w:r>
      <w:r w:rsidR="00BC7016">
        <w:t>,</w:t>
      </w:r>
      <w:r w:rsidR="00D33143">
        <w:t xml:space="preserve"> which includes contact information for Major Energy, LLC as well as Respond Power LLC at 1-877-9-RESPND, </w:t>
      </w:r>
      <w:hyperlink r:id="rId11" w:history="1">
        <w:r w:rsidR="00D33143" w:rsidRPr="002F373A">
          <w:rPr>
            <w:rStyle w:val="Hyperlink"/>
          </w:rPr>
          <w:t>www.respondpower.com</w:t>
        </w:r>
      </w:hyperlink>
      <w:r w:rsidR="00D33143">
        <w:t xml:space="preserve">.  The Affiliates Disclosure Statement adds Paragraphs Nos.7 – 18 which address additional terms not listed in the Respond Power Disclosure statement including: assignment; refund policy; title; warranty; force majeure; liability; choice of laws; regulatory changes; emergency service ; parties bound; billing and payment; and e-mail.  I find there is lack of evidence to show this Affiliates Disclosure Statement was approved by the Commission; therefore, I don’t find there to be any presumption that it is in compliance with our regulations.  I specifically note that the “no refund policy” clause may be voidable given the Commission’s recent rulings that the Commission has jurisdiction and authority to order an EGS to refund a customer in certain situations including switching a customer without their consent, i.e. “slamming.” </w:t>
      </w:r>
      <w:r w:rsidR="00D33143" w:rsidRPr="00195A2A">
        <w:rPr>
          <w:i/>
        </w:rPr>
        <w:t xml:space="preserve"> </w:t>
      </w:r>
      <w:r w:rsidR="00D33143">
        <w:rPr>
          <w:i/>
        </w:rPr>
        <w:t xml:space="preserve">See </w:t>
      </w:r>
      <w:r w:rsidR="00D33143" w:rsidRPr="00E04D54">
        <w:rPr>
          <w:i/>
          <w:color w:val="000000"/>
          <w:szCs w:val="24"/>
        </w:rPr>
        <w:t>Joseph Nadav v Respond Power LLC</w:t>
      </w:r>
      <w:r w:rsidR="00D33143">
        <w:rPr>
          <w:i/>
          <w:color w:val="000000"/>
          <w:szCs w:val="24"/>
        </w:rPr>
        <w:t xml:space="preserve">, Motion of Vice Chairman Coleman, </w:t>
      </w:r>
      <w:r w:rsidR="00E6489B">
        <w:rPr>
          <w:i/>
          <w:color w:val="000000"/>
          <w:szCs w:val="24"/>
        </w:rPr>
        <w:t>November 13</w:t>
      </w:r>
      <w:r w:rsidR="00D33143">
        <w:rPr>
          <w:i/>
          <w:color w:val="000000"/>
          <w:szCs w:val="24"/>
        </w:rPr>
        <w:t>, 2014.</w:t>
      </w:r>
    </w:p>
    <w:p w:rsidR="00D33143" w:rsidRDefault="00D33143" w:rsidP="0079676E">
      <w:pPr>
        <w:spacing w:after="0"/>
      </w:pPr>
    </w:p>
    <w:p w:rsidR="00E6489B" w:rsidRDefault="00655286" w:rsidP="0079676E">
      <w:pPr>
        <w:spacing w:after="0"/>
        <w:ind w:firstLine="720"/>
      </w:pPr>
      <w:r>
        <w:tab/>
      </w:r>
      <w:r w:rsidR="00E6489B">
        <w:rPr>
          <w:rFonts w:eastAsia="Times New Roman"/>
          <w:bCs/>
          <w:szCs w:val="24"/>
        </w:rPr>
        <w:t>I agree with OCA that Respond Power’s license was approved by the Commission in 2010, after the Commission’s 2009 grant of Major Energy’s original natural gas supplier license,</w:t>
      </w:r>
      <w:r w:rsidR="00E6489B">
        <w:rPr>
          <w:rStyle w:val="FootnoteReference"/>
          <w:rFonts w:eastAsia="Times New Roman"/>
          <w:bCs/>
          <w:szCs w:val="24"/>
        </w:rPr>
        <w:footnoteReference w:id="12"/>
      </w:r>
      <w:r w:rsidR="00E6489B">
        <w:rPr>
          <w:rFonts w:eastAsia="Times New Roman"/>
          <w:bCs/>
          <w:szCs w:val="24"/>
        </w:rPr>
        <w:t xml:space="preserve"> and before the Commission’s 2012 grant of Major Energy’s amended supplier license, expanding Major Energy’s service territory.</w:t>
      </w:r>
      <w:r w:rsidR="00E6489B">
        <w:rPr>
          <w:rStyle w:val="FootnoteReference"/>
          <w:rFonts w:eastAsia="Times New Roman"/>
          <w:bCs/>
          <w:szCs w:val="24"/>
        </w:rPr>
        <w:footnoteReference w:id="13"/>
      </w:r>
      <w:r w:rsidR="00E6489B">
        <w:rPr>
          <w:rFonts w:eastAsia="Times New Roman"/>
          <w:bCs/>
          <w:szCs w:val="24"/>
        </w:rPr>
        <w:t xml:space="preserve">  Only the 2009 Major Energy licensing order refers to the proposed disclosure statement.  In </w:t>
      </w:r>
      <w:r w:rsidR="00E6489B" w:rsidRPr="00482B1E">
        <w:rPr>
          <w:i/>
        </w:rPr>
        <w:t>Major Energy I</w:t>
      </w:r>
      <w:r w:rsidR="00E6489B">
        <w:t>, the PUC stated:</w:t>
      </w:r>
    </w:p>
    <w:p w:rsidR="0079676E" w:rsidRDefault="0079676E" w:rsidP="0079676E">
      <w:pPr>
        <w:spacing w:after="0"/>
        <w:ind w:firstLine="720"/>
      </w:pPr>
    </w:p>
    <w:p w:rsidR="00E6489B" w:rsidRDefault="00E6489B" w:rsidP="0079676E">
      <w:pPr>
        <w:spacing w:after="0" w:line="240" w:lineRule="auto"/>
        <w:ind w:left="1440" w:right="1440"/>
        <w:rPr>
          <w:spacing w:val="-3"/>
        </w:rPr>
      </w:pPr>
      <w:r>
        <w:rPr>
          <w:spacing w:val="-3"/>
        </w:rPr>
        <w:t>Major Energy has filed a customer disclosure statement applicable to both the residential and small commercia</w:t>
      </w:r>
      <w:r w:rsidR="0079676E">
        <w:rPr>
          <w:spacing w:val="-3"/>
        </w:rPr>
        <w:t xml:space="preserve">l class.  </w:t>
      </w:r>
      <w:r>
        <w:rPr>
          <w:spacing w:val="-3"/>
        </w:rPr>
        <w:t>This statement conforms to structure and format as determined by the Commission.</w:t>
      </w:r>
    </w:p>
    <w:p w:rsidR="00E6489B" w:rsidRDefault="00E6489B" w:rsidP="0079676E">
      <w:pPr>
        <w:spacing w:after="0"/>
        <w:rPr>
          <w:spacing w:val="-3"/>
          <w:highlight w:val="yellow"/>
        </w:rPr>
      </w:pPr>
    </w:p>
    <w:p w:rsidR="00E6489B" w:rsidRDefault="00E6489B" w:rsidP="0079676E">
      <w:pPr>
        <w:spacing w:after="0"/>
        <w:rPr>
          <w:spacing w:val="-3"/>
        </w:rPr>
      </w:pPr>
      <w:r w:rsidRPr="00482B1E">
        <w:rPr>
          <w:i/>
          <w:spacing w:val="-3"/>
        </w:rPr>
        <w:t>Major Energy I</w:t>
      </w:r>
      <w:r>
        <w:rPr>
          <w:spacing w:val="-3"/>
        </w:rPr>
        <w:t xml:space="preserve"> at 4.  The Commission’s 2010 </w:t>
      </w:r>
      <w:r w:rsidRPr="00482B1E">
        <w:rPr>
          <w:i/>
          <w:spacing w:val="-3"/>
        </w:rPr>
        <w:t>License</w:t>
      </w:r>
      <w:r>
        <w:rPr>
          <w:i/>
          <w:spacing w:val="-3"/>
        </w:rPr>
        <w:t xml:space="preserve"> Order</w:t>
      </w:r>
      <w:r>
        <w:rPr>
          <w:spacing w:val="-3"/>
        </w:rPr>
        <w:t xml:space="preserve"> does not include any similar language.  Indeed,</w:t>
      </w:r>
      <w:r w:rsidR="00040374">
        <w:rPr>
          <w:spacing w:val="-3"/>
        </w:rPr>
        <w:t xml:space="preserve"> the</w:t>
      </w:r>
      <w:r>
        <w:rPr>
          <w:spacing w:val="-3"/>
        </w:rPr>
        <w:t xml:space="preserve"> </w:t>
      </w:r>
      <w:r w:rsidRPr="00482B1E">
        <w:rPr>
          <w:i/>
          <w:spacing w:val="-3"/>
        </w:rPr>
        <w:t>License</w:t>
      </w:r>
      <w:r>
        <w:rPr>
          <w:i/>
          <w:spacing w:val="-3"/>
        </w:rPr>
        <w:t xml:space="preserve"> Order</w:t>
      </w:r>
      <w:r>
        <w:rPr>
          <w:spacing w:val="-3"/>
        </w:rPr>
        <w:t xml:space="preserve"> contains </w:t>
      </w:r>
      <w:r>
        <w:t>only one mention of “disclosure,” and that is in reference to the need for Respond Power to “</w:t>
      </w:r>
      <w:r>
        <w:rPr>
          <w:spacing w:val="-3"/>
        </w:rPr>
        <w:t xml:space="preserve">comply with the standards of conduct and disclosure for licensees set out in Commission regulations at 52 </w:t>
      </w:r>
      <w:r w:rsidR="0079588A">
        <w:rPr>
          <w:spacing w:val="-3"/>
        </w:rPr>
        <w:t>Pa.Code</w:t>
      </w:r>
      <w:r>
        <w:rPr>
          <w:spacing w:val="-3"/>
        </w:rPr>
        <w:t xml:space="preserve"> §54.43….”  </w:t>
      </w:r>
      <w:r w:rsidRPr="00482B1E">
        <w:rPr>
          <w:i/>
          <w:spacing w:val="-3"/>
        </w:rPr>
        <w:t>License</w:t>
      </w:r>
      <w:r>
        <w:rPr>
          <w:i/>
          <w:spacing w:val="-3"/>
        </w:rPr>
        <w:t xml:space="preserve"> Order</w:t>
      </w:r>
      <w:r w:rsidRPr="007D2559">
        <w:rPr>
          <w:spacing w:val="-3"/>
        </w:rPr>
        <w:t xml:space="preserve"> at</w:t>
      </w:r>
      <w:r>
        <w:rPr>
          <w:spacing w:val="-3"/>
        </w:rPr>
        <w:t xml:space="preserve"> 3.</w:t>
      </w:r>
      <w:r w:rsidRPr="007D2559">
        <w:rPr>
          <w:spacing w:val="-3"/>
        </w:rPr>
        <w:t xml:space="preserve"> </w:t>
      </w:r>
      <w:r>
        <w:rPr>
          <w:spacing w:val="-3"/>
        </w:rPr>
        <w:t xml:space="preserve"> The </w:t>
      </w:r>
      <w:r w:rsidRPr="00482B1E">
        <w:rPr>
          <w:i/>
          <w:spacing w:val="-3"/>
        </w:rPr>
        <w:t>License</w:t>
      </w:r>
      <w:r>
        <w:rPr>
          <w:i/>
          <w:spacing w:val="-3"/>
        </w:rPr>
        <w:t xml:space="preserve"> Order </w:t>
      </w:r>
      <w:r>
        <w:rPr>
          <w:spacing w:val="-3"/>
        </w:rPr>
        <w:t>neither discusses the content of any proposed disclosure statement nor app</w:t>
      </w:r>
      <w:r w:rsidR="0079676E">
        <w:rPr>
          <w:spacing w:val="-3"/>
        </w:rPr>
        <w:t xml:space="preserve">roves a disclosure statement.  </w:t>
      </w:r>
      <w:r>
        <w:rPr>
          <w:spacing w:val="-3"/>
        </w:rPr>
        <w:t>Respond Power has not explained whether and how the Commission reviewed and approved Major Energy and Respond Power’s combined gas and electric single page disclosure statement</w:t>
      </w:r>
      <w:r w:rsidR="0079676E">
        <w:rPr>
          <w:spacing w:val="-3"/>
        </w:rPr>
        <w:t xml:space="preserve">.  </w:t>
      </w:r>
    </w:p>
    <w:p w:rsidR="0079676E" w:rsidRDefault="0079676E" w:rsidP="0079676E">
      <w:pPr>
        <w:spacing w:after="0"/>
        <w:rPr>
          <w:spacing w:val="-3"/>
        </w:rPr>
      </w:pPr>
    </w:p>
    <w:p w:rsidR="00655286" w:rsidRDefault="0079676E" w:rsidP="0079676E">
      <w:pPr>
        <w:tabs>
          <w:tab w:val="left" w:pos="1440"/>
        </w:tabs>
        <w:spacing w:after="0"/>
        <w:rPr>
          <w:szCs w:val="24"/>
        </w:rPr>
      </w:pPr>
      <w:r>
        <w:rPr>
          <w:szCs w:val="24"/>
        </w:rPr>
        <w:tab/>
      </w:r>
      <w:r w:rsidR="00655286" w:rsidRPr="003835D5">
        <w:rPr>
          <w:szCs w:val="24"/>
        </w:rPr>
        <w:t xml:space="preserve">The Commission recently acknowledged this case involves an </w:t>
      </w:r>
      <w:r w:rsidR="00655286">
        <w:rPr>
          <w:szCs w:val="24"/>
        </w:rPr>
        <w:t>“</w:t>
      </w:r>
      <w:r w:rsidR="00655286" w:rsidRPr="003835D5">
        <w:rPr>
          <w:szCs w:val="24"/>
        </w:rPr>
        <w:t>unclear written disclosure</w:t>
      </w:r>
      <w:r w:rsidR="00735787">
        <w:rPr>
          <w:szCs w:val="24"/>
        </w:rPr>
        <w:t xml:space="preserve"> which is potentially misleading or deceptive</w:t>
      </w:r>
      <w:r w:rsidR="00655286">
        <w:rPr>
          <w:szCs w:val="24"/>
        </w:rPr>
        <w:t>”</w:t>
      </w:r>
      <w:r w:rsidR="00655286" w:rsidRPr="003835D5">
        <w:rPr>
          <w:szCs w:val="24"/>
        </w:rPr>
        <w:t xml:space="preserve"> when it </w:t>
      </w:r>
      <w:r w:rsidR="00655286">
        <w:rPr>
          <w:szCs w:val="24"/>
        </w:rPr>
        <w:t>referenced it</w:t>
      </w:r>
      <w:r w:rsidR="00655286" w:rsidRPr="003835D5">
        <w:rPr>
          <w:szCs w:val="24"/>
        </w:rPr>
        <w:t xml:space="preserve"> in its Opinion and Order in </w:t>
      </w:r>
      <w:r w:rsidR="00655286">
        <w:rPr>
          <w:szCs w:val="24"/>
        </w:rPr>
        <w:t>a separate “variable rate complaint”</w:t>
      </w:r>
      <w:r w:rsidR="00655286" w:rsidRPr="003835D5">
        <w:rPr>
          <w:szCs w:val="24"/>
        </w:rPr>
        <w:t xml:space="preserve"> case</w:t>
      </w:r>
      <w:r w:rsidR="00655286">
        <w:rPr>
          <w:szCs w:val="24"/>
        </w:rPr>
        <w:t>,</w:t>
      </w:r>
      <w:r w:rsidR="00655286" w:rsidRPr="003835D5">
        <w:rPr>
          <w:szCs w:val="24"/>
        </w:rPr>
        <w:t xml:space="preserve"> </w:t>
      </w:r>
      <w:r w:rsidR="00655286" w:rsidRPr="003835D5">
        <w:rPr>
          <w:i/>
          <w:szCs w:val="24"/>
        </w:rPr>
        <w:t>William MacLuckie v. Palmco Energy PA LLC</w:t>
      </w:r>
      <w:r w:rsidR="00655286" w:rsidRPr="003835D5">
        <w:rPr>
          <w:szCs w:val="24"/>
        </w:rPr>
        <w:t xml:space="preserve"> at Docket No. C-2014-2402558, Opinion and Order entered December 4, 2014.  </w:t>
      </w:r>
    </w:p>
    <w:p w:rsidR="0079676E" w:rsidRPr="003835D5" w:rsidRDefault="0079676E" w:rsidP="0079676E">
      <w:pPr>
        <w:tabs>
          <w:tab w:val="left" w:pos="1440"/>
        </w:tabs>
        <w:spacing w:after="0"/>
        <w:rPr>
          <w:szCs w:val="24"/>
        </w:rPr>
      </w:pPr>
    </w:p>
    <w:p w:rsidR="00655286" w:rsidRDefault="0079676E" w:rsidP="0079676E">
      <w:pPr>
        <w:tabs>
          <w:tab w:val="left" w:pos="1440"/>
        </w:tabs>
        <w:spacing w:after="0"/>
        <w:rPr>
          <w:szCs w:val="24"/>
        </w:rPr>
      </w:pPr>
      <w:r>
        <w:rPr>
          <w:szCs w:val="24"/>
        </w:rPr>
        <w:tab/>
      </w:r>
      <w:r w:rsidR="00655286">
        <w:rPr>
          <w:szCs w:val="24"/>
        </w:rPr>
        <w:t>In pertinent part</w:t>
      </w:r>
      <w:r w:rsidR="00655286" w:rsidRPr="003835D5">
        <w:rPr>
          <w:szCs w:val="24"/>
        </w:rPr>
        <w:t>, the Commission stated:</w:t>
      </w:r>
    </w:p>
    <w:p w:rsidR="0079676E" w:rsidRPr="003835D5" w:rsidRDefault="0079676E" w:rsidP="0079676E">
      <w:pPr>
        <w:tabs>
          <w:tab w:val="left" w:pos="1440"/>
        </w:tabs>
        <w:spacing w:after="0"/>
        <w:rPr>
          <w:szCs w:val="24"/>
        </w:rPr>
      </w:pPr>
    </w:p>
    <w:p w:rsidR="00655286" w:rsidRPr="003835D5" w:rsidRDefault="00655286" w:rsidP="0079676E">
      <w:pPr>
        <w:tabs>
          <w:tab w:val="left" w:pos="1440"/>
        </w:tabs>
        <w:spacing w:after="0" w:line="240" w:lineRule="auto"/>
        <w:ind w:left="720" w:right="720"/>
        <w:rPr>
          <w:szCs w:val="24"/>
        </w:rPr>
      </w:pPr>
      <w:r w:rsidRPr="003835D5">
        <w:rPr>
          <w:szCs w:val="24"/>
        </w:rPr>
        <w:t xml:space="preserve">We agree with Palmco and the ALJ that Palmco’s written documents clearly identify the rate as introductory, variable, and unlimited. And on this basis we agree with Palmco that its written marketing material is distinguishable from the marketer information at issue in </w:t>
      </w:r>
      <w:r w:rsidRPr="003835D5">
        <w:rPr>
          <w:i/>
          <w:szCs w:val="24"/>
        </w:rPr>
        <w:t>Herp v. Respond Power LLC</w:t>
      </w:r>
      <w:r w:rsidR="0079676E">
        <w:rPr>
          <w:szCs w:val="24"/>
        </w:rPr>
        <w:t>, Docket No. C</w:t>
      </w:r>
      <w:r w:rsidR="0079676E">
        <w:rPr>
          <w:szCs w:val="24"/>
        </w:rPr>
        <w:noBreakHyphen/>
      </w:r>
      <w:r w:rsidRPr="003835D5">
        <w:rPr>
          <w:szCs w:val="24"/>
        </w:rPr>
        <w:t>2014-2413756 (</w:t>
      </w:r>
      <w:r w:rsidRPr="003835D5">
        <w:rPr>
          <w:i/>
          <w:szCs w:val="24"/>
        </w:rPr>
        <w:t xml:space="preserve">Herp) </w:t>
      </w:r>
      <w:r w:rsidRPr="003835D5">
        <w:rPr>
          <w:szCs w:val="24"/>
        </w:rPr>
        <w:t xml:space="preserve">(involving an unclear written disclosure) relied on by the OCA. Palmco R. Exc. at 7 n. 5.  </w:t>
      </w:r>
    </w:p>
    <w:p w:rsidR="00655286" w:rsidRPr="003835D5" w:rsidRDefault="00655286" w:rsidP="0079676E">
      <w:pPr>
        <w:tabs>
          <w:tab w:val="left" w:pos="1440"/>
        </w:tabs>
        <w:spacing w:after="0" w:line="240" w:lineRule="auto"/>
        <w:ind w:left="720" w:right="720"/>
        <w:rPr>
          <w:szCs w:val="24"/>
        </w:rPr>
      </w:pPr>
    </w:p>
    <w:p w:rsidR="00655286" w:rsidRPr="003835D5" w:rsidRDefault="00655286" w:rsidP="00DF087F">
      <w:pPr>
        <w:tabs>
          <w:tab w:val="left" w:pos="1440"/>
        </w:tabs>
        <w:spacing w:after="0" w:line="240" w:lineRule="auto"/>
        <w:ind w:left="720" w:right="720"/>
        <w:rPr>
          <w:szCs w:val="24"/>
        </w:rPr>
      </w:pPr>
      <w:r w:rsidRPr="003835D5">
        <w:rPr>
          <w:szCs w:val="24"/>
        </w:rPr>
        <w:t xml:space="preserve">We also agree with the OCA, however, that Mr. MacLuckie’s Complaint raises questions about the adequacy of Palmco’s oral disclosures. If, as averred by Mr. MacLuckie, Palmco undermines the clarity of its written communications through the oral information provided in response to telephonic inquiries to its customer service representatives (a fact we believe is reasonably inferred from Mr. MacLuckie’s averments), when Palmco encourages prospective customers to make such inquiries, Palmco’s disclosure is potentially no less unclear, misleading, or deceptive than those in </w:t>
      </w:r>
      <w:r w:rsidRPr="003835D5">
        <w:rPr>
          <w:i/>
          <w:szCs w:val="24"/>
        </w:rPr>
        <w:t>Towne</w:t>
      </w:r>
      <w:r>
        <w:rPr>
          <w:rStyle w:val="FootnoteReference"/>
          <w:i/>
          <w:szCs w:val="24"/>
        </w:rPr>
        <w:footnoteReference w:id="14"/>
      </w:r>
      <w:r w:rsidRPr="003835D5">
        <w:rPr>
          <w:i/>
          <w:szCs w:val="24"/>
        </w:rPr>
        <w:t xml:space="preserve"> </w:t>
      </w:r>
      <w:r w:rsidRPr="003835D5">
        <w:rPr>
          <w:szCs w:val="24"/>
        </w:rPr>
        <w:t xml:space="preserve">or </w:t>
      </w:r>
      <w:r w:rsidRPr="003835D5">
        <w:rPr>
          <w:i/>
          <w:szCs w:val="24"/>
        </w:rPr>
        <w:t>Herp</w:t>
      </w:r>
      <w:r w:rsidRPr="003835D5">
        <w:rPr>
          <w:szCs w:val="24"/>
        </w:rPr>
        <w:t xml:space="preserve">. </w:t>
      </w:r>
    </w:p>
    <w:p w:rsidR="00655286" w:rsidRPr="003835D5" w:rsidRDefault="00655286" w:rsidP="00DF087F">
      <w:pPr>
        <w:tabs>
          <w:tab w:val="left" w:pos="1440"/>
        </w:tabs>
        <w:spacing w:after="0" w:line="240" w:lineRule="auto"/>
        <w:ind w:left="720" w:right="720"/>
        <w:rPr>
          <w:szCs w:val="24"/>
        </w:rPr>
      </w:pPr>
    </w:p>
    <w:p w:rsidR="00655286" w:rsidRPr="003835D5" w:rsidRDefault="00655286" w:rsidP="00DF087F">
      <w:pPr>
        <w:tabs>
          <w:tab w:val="left" w:pos="1440"/>
        </w:tabs>
        <w:spacing w:after="0" w:line="240" w:lineRule="auto"/>
        <w:ind w:left="720" w:right="720"/>
        <w:rPr>
          <w:szCs w:val="24"/>
        </w:rPr>
      </w:pPr>
      <w:r w:rsidRPr="003835D5">
        <w:rPr>
          <w:szCs w:val="24"/>
        </w:rPr>
        <w:t xml:space="preserve">While no one could have predicted the extreme cold wrought by last winter’s weather, clearly Mr. MacLuckie undertook to investigate directly with Palmco how substantial his exposure may be under Palmco’s variable rate practices. Because residential consumers in general are not necessarily experienced in gas procurement and pricing practices, it is all the more important that they be able to rely on all information from their prospective supplier through clear and unequivocal disclosures, whether oral or written. If Mr. MacLuckie were led to believe through oral communications that the possibility of an exorbitant increase was ridiculous because it would be against Palmco’s business interests, that may have a bearing on the propriety of Palmco’s marketing practices.  He should be entitled to an opportunity to prove that fact. Moreover, the apparent disagreement about how Mr. MacLuckie contracted for service, with or without a TPV, may also shed light on what facts, and from whom, the Complainant was advised regarding the risks of a variable rate.  These are material facts, or reasonable inferences therefrom, that remain in dispute and warrant a hearing on the merits.  </w:t>
      </w:r>
    </w:p>
    <w:p w:rsidR="00655286" w:rsidRDefault="00655286" w:rsidP="00DF087F">
      <w:pPr>
        <w:spacing w:after="0"/>
        <w:ind w:left="720" w:right="720" w:firstLine="1440"/>
        <w:rPr>
          <w:sz w:val="26"/>
          <w:szCs w:val="26"/>
        </w:rPr>
      </w:pPr>
    </w:p>
    <w:p w:rsidR="00655286" w:rsidRDefault="00655286" w:rsidP="00DF087F">
      <w:pPr>
        <w:spacing w:after="0"/>
        <w:ind w:firstLine="1440"/>
        <w:rPr>
          <w:szCs w:val="24"/>
        </w:rPr>
      </w:pPr>
      <w:r w:rsidRPr="003835D5">
        <w:rPr>
          <w:szCs w:val="24"/>
        </w:rPr>
        <w:t xml:space="preserve">In the </w:t>
      </w:r>
      <w:r w:rsidRPr="003835D5">
        <w:rPr>
          <w:i/>
          <w:szCs w:val="24"/>
        </w:rPr>
        <w:t xml:space="preserve">MacLuckie </w:t>
      </w:r>
      <w:r w:rsidRPr="003835D5">
        <w:rPr>
          <w:szCs w:val="24"/>
        </w:rPr>
        <w:t>case, the Commission reversed the presiding officer’s Initial Decision</w:t>
      </w:r>
      <w:r>
        <w:rPr>
          <w:szCs w:val="24"/>
        </w:rPr>
        <w:t>,</w:t>
      </w:r>
      <w:r w:rsidRPr="003835D5">
        <w:rPr>
          <w:szCs w:val="24"/>
        </w:rPr>
        <w:t xml:space="preserve"> w</w:t>
      </w:r>
      <w:r>
        <w:rPr>
          <w:szCs w:val="24"/>
        </w:rPr>
        <w:t>h</w:t>
      </w:r>
      <w:r w:rsidRPr="003835D5">
        <w:rPr>
          <w:szCs w:val="24"/>
        </w:rPr>
        <w:t xml:space="preserve">ich had granted a motion for summary judgment and dismissed </w:t>
      </w:r>
      <w:r>
        <w:rPr>
          <w:szCs w:val="24"/>
        </w:rPr>
        <w:t>the</w:t>
      </w:r>
      <w:r w:rsidRPr="003835D5">
        <w:rPr>
          <w:szCs w:val="24"/>
        </w:rPr>
        <w:t xml:space="preserve"> complaint</w:t>
      </w:r>
      <w:r>
        <w:rPr>
          <w:szCs w:val="24"/>
        </w:rPr>
        <w:t>.  The Commission</w:t>
      </w:r>
      <w:r w:rsidRPr="003835D5">
        <w:rPr>
          <w:szCs w:val="24"/>
        </w:rPr>
        <w:t xml:space="preserve"> remanded the case to the Office of Administrative Law Judge for further proceedings.</w:t>
      </w:r>
      <w:r>
        <w:rPr>
          <w:szCs w:val="24"/>
        </w:rPr>
        <w:t xml:space="preserve">  </w:t>
      </w:r>
    </w:p>
    <w:p w:rsidR="00DF087F" w:rsidRDefault="00DF087F" w:rsidP="00DF087F">
      <w:pPr>
        <w:spacing w:after="0"/>
        <w:ind w:firstLine="1440"/>
        <w:rPr>
          <w:szCs w:val="24"/>
        </w:rPr>
      </w:pPr>
    </w:p>
    <w:p w:rsidR="00655286" w:rsidRPr="003835D5" w:rsidRDefault="00735787" w:rsidP="00DF087F">
      <w:pPr>
        <w:spacing w:after="0"/>
        <w:ind w:firstLine="1440"/>
        <w:rPr>
          <w:szCs w:val="24"/>
        </w:rPr>
      </w:pPr>
      <w:r>
        <w:rPr>
          <w:szCs w:val="24"/>
        </w:rPr>
        <w:t xml:space="preserve">Thus, the Commission is concerned customers receive clear and unequivocal disclosures whether oral or written.  I </w:t>
      </w:r>
      <w:r w:rsidR="00FE08FD">
        <w:rPr>
          <w:szCs w:val="24"/>
        </w:rPr>
        <w:t>find a reasonable customer could</w:t>
      </w:r>
      <w:r>
        <w:rPr>
          <w:szCs w:val="24"/>
        </w:rPr>
        <w:t xml:space="preserve"> be misled by the written disclosure statement in Respondent’s Exhibits 1-2.  </w:t>
      </w:r>
      <w:r w:rsidR="00FE08FD">
        <w:rPr>
          <w:szCs w:val="24"/>
        </w:rPr>
        <w:t>Th</w:t>
      </w:r>
      <w:r w:rsidR="00645B5E">
        <w:rPr>
          <w:szCs w:val="24"/>
        </w:rPr>
        <w:t>erefore</w:t>
      </w:r>
      <w:r w:rsidR="00FE08FD">
        <w:rPr>
          <w:szCs w:val="24"/>
        </w:rPr>
        <w:t xml:space="preserve">, I find a violation of the Commission’s </w:t>
      </w:r>
      <w:r w:rsidR="00FE08FD" w:rsidRPr="00D33143">
        <w:rPr>
          <w:i/>
          <w:szCs w:val="24"/>
        </w:rPr>
        <w:t>License Order</w:t>
      </w:r>
      <w:r w:rsidR="00FE08FD">
        <w:rPr>
          <w:szCs w:val="24"/>
        </w:rPr>
        <w:t xml:space="preserve"> for </w:t>
      </w:r>
      <w:r w:rsidR="00645B5E">
        <w:rPr>
          <w:szCs w:val="24"/>
        </w:rPr>
        <w:t xml:space="preserve">using </w:t>
      </w:r>
      <w:r w:rsidR="00FE08FD">
        <w:rPr>
          <w:szCs w:val="24"/>
        </w:rPr>
        <w:t>an unclear and misleading disclosure statement which I doubt was ever approved in its final form by the Commission.</w:t>
      </w:r>
    </w:p>
    <w:p w:rsidR="00040374" w:rsidRDefault="00040374" w:rsidP="00DF087F">
      <w:pPr>
        <w:spacing w:after="0"/>
        <w:rPr>
          <w:rFonts w:eastAsia="Calibri"/>
          <w:u w:val="single"/>
        </w:rPr>
      </w:pPr>
    </w:p>
    <w:p w:rsidR="00141030" w:rsidRDefault="00141030" w:rsidP="00DF087F">
      <w:pPr>
        <w:spacing w:after="0"/>
        <w:rPr>
          <w:rFonts w:eastAsia="Calibri"/>
          <w:u w:val="single"/>
        </w:rPr>
      </w:pPr>
    </w:p>
    <w:p w:rsidR="00241EAE" w:rsidRDefault="00241EAE" w:rsidP="00DF087F">
      <w:pPr>
        <w:spacing w:after="0"/>
        <w:rPr>
          <w:rFonts w:eastAsia="Calibri"/>
          <w:u w:val="single"/>
        </w:rPr>
      </w:pPr>
      <w:r>
        <w:rPr>
          <w:rFonts w:eastAsia="Calibri"/>
          <w:u w:val="single"/>
        </w:rPr>
        <w:t xml:space="preserve">Section 54.4(a) and </w:t>
      </w:r>
      <w:proofErr w:type="gramStart"/>
      <w:r>
        <w:rPr>
          <w:rFonts w:eastAsia="Calibri"/>
          <w:u w:val="single"/>
        </w:rPr>
        <w:t xml:space="preserve">66 </w:t>
      </w:r>
      <w:r w:rsidR="0079588A">
        <w:rPr>
          <w:rFonts w:eastAsia="Calibri"/>
          <w:u w:val="single"/>
        </w:rPr>
        <w:t>Pa.C.S</w:t>
      </w:r>
      <w:proofErr w:type="gramEnd"/>
      <w:r w:rsidR="0079588A">
        <w:rPr>
          <w:rFonts w:eastAsia="Calibri"/>
          <w:u w:val="single"/>
        </w:rPr>
        <w:t>.</w:t>
      </w:r>
      <w:r>
        <w:rPr>
          <w:rFonts w:eastAsia="Calibri"/>
          <w:u w:val="single"/>
        </w:rPr>
        <w:t xml:space="preserve"> §§ 501; 1301 and 1312 (Refunds)</w:t>
      </w:r>
    </w:p>
    <w:p w:rsidR="00DF087F" w:rsidRDefault="00DF087F" w:rsidP="00DF087F">
      <w:pPr>
        <w:spacing w:after="0"/>
        <w:rPr>
          <w:rFonts w:eastAsia="Calibri"/>
          <w:u w:val="single"/>
        </w:rPr>
      </w:pPr>
    </w:p>
    <w:p w:rsidR="00241EAE" w:rsidRDefault="00241EAE" w:rsidP="00DF087F">
      <w:pPr>
        <w:spacing w:after="0"/>
      </w:pPr>
      <w:r>
        <w:rPr>
          <w:rFonts w:eastAsia="Calibri"/>
        </w:rPr>
        <w:tab/>
      </w:r>
      <w:r>
        <w:tab/>
        <w:t xml:space="preserve">Section 501 of the Public Utility Code sets forth the general powers of the Commission. </w:t>
      </w:r>
    </w:p>
    <w:p w:rsidR="00DF087F" w:rsidRDefault="00DF087F" w:rsidP="00DF087F">
      <w:pPr>
        <w:spacing w:after="0"/>
      </w:pPr>
    </w:p>
    <w:p w:rsidR="00241EAE" w:rsidRDefault="00241EAE" w:rsidP="00DF087F">
      <w:pPr>
        <w:spacing w:after="0" w:line="240" w:lineRule="auto"/>
        <w:ind w:left="720" w:right="720"/>
      </w:pPr>
      <w:r>
        <w:tab/>
        <w:t xml:space="preserve">(a) Enforcement of provisions of part. – In addition to any powers expressly enumerated in this part, the commission shall have full power and authority, and it shall be its duty to enforce, execute and carry out, by its regulations, orders, or otherwise, all and singular, the provisions of this part, and the full intent thereof, and shall have the power to rescind or modify any such regulations or orders.  </w:t>
      </w:r>
    </w:p>
    <w:p w:rsidR="00241EAE" w:rsidRDefault="00241EAE" w:rsidP="00DF087F">
      <w:pPr>
        <w:spacing w:after="0" w:line="240" w:lineRule="auto"/>
        <w:ind w:left="720" w:right="720"/>
      </w:pPr>
    </w:p>
    <w:p w:rsidR="00241EAE" w:rsidRDefault="00241EAE" w:rsidP="00DF087F">
      <w:pPr>
        <w:spacing w:after="0" w:line="240" w:lineRule="auto"/>
        <w:ind w:left="720" w:right="720"/>
      </w:pPr>
      <w:r>
        <w:tab/>
        <w:t xml:space="preserve">* * * * </w:t>
      </w:r>
    </w:p>
    <w:p w:rsidR="00241EAE" w:rsidRDefault="00241EAE" w:rsidP="00DF087F">
      <w:pPr>
        <w:spacing w:after="0" w:line="240" w:lineRule="auto"/>
        <w:ind w:left="720" w:right="720"/>
      </w:pPr>
    </w:p>
    <w:p w:rsidR="00241EAE" w:rsidRDefault="00241EAE" w:rsidP="00DF087F">
      <w:pPr>
        <w:spacing w:after="0" w:line="240" w:lineRule="auto"/>
        <w:ind w:left="720" w:right="720"/>
      </w:pPr>
      <w:r>
        <w:tab/>
        <w:t>(c) Compliance. – Every public utility, its officers, agents, and employees, and every other person or corporation subject to the provisions of this part, affected by or subject to any regulations or orders of the commission or of any court, made, issued, or entered under the provisions of this part, shall observe, obey and comply with such regulations or orders, and the terms and conditions thereof.</w:t>
      </w:r>
    </w:p>
    <w:p w:rsidR="00241EAE" w:rsidRDefault="00241EAE" w:rsidP="00DF087F">
      <w:pPr>
        <w:spacing w:after="0" w:line="240" w:lineRule="auto"/>
        <w:ind w:left="720" w:right="720"/>
      </w:pPr>
    </w:p>
    <w:p w:rsidR="00241EAE" w:rsidRDefault="00241EAE" w:rsidP="00DF087F">
      <w:pPr>
        <w:spacing w:after="0" w:line="240" w:lineRule="auto"/>
        <w:ind w:right="720"/>
      </w:pPr>
      <w:proofErr w:type="gramStart"/>
      <w:r>
        <w:t xml:space="preserve">66 </w:t>
      </w:r>
      <w:r w:rsidR="0079588A">
        <w:t>Pa.C.S.</w:t>
      </w:r>
      <w:proofErr w:type="gramEnd"/>
      <w:r>
        <w:t xml:space="preserve"> §§ 501(a) and (c).</w:t>
      </w:r>
    </w:p>
    <w:p w:rsidR="00241EAE" w:rsidRDefault="00241EAE" w:rsidP="00DF087F">
      <w:pPr>
        <w:spacing w:after="0"/>
        <w:ind w:right="720"/>
      </w:pPr>
    </w:p>
    <w:p w:rsidR="00241EAE" w:rsidRDefault="00241EAE" w:rsidP="00DF087F">
      <w:pPr>
        <w:spacing w:after="0"/>
      </w:pPr>
      <w:r>
        <w:tab/>
      </w:r>
      <w:r>
        <w:tab/>
        <w:t>Section 1312 of the Public Utility Code allows the Commission authority to direct refunds.  Section 1312 provides, in pertinent part:</w:t>
      </w:r>
    </w:p>
    <w:p w:rsidR="00DF087F" w:rsidRDefault="00DF087F" w:rsidP="00DF087F">
      <w:pPr>
        <w:spacing w:after="0"/>
      </w:pPr>
    </w:p>
    <w:p w:rsidR="00241EAE" w:rsidRPr="00030AC9" w:rsidRDefault="00241EAE" w:rsidP="00DF087F">
      <w:pPr>
        <w:pStyle w:val="ListParagraph"/>
        <w:numPr>
          <w:ilvl w:val="0"/>
          <w:numId w:val="27"/>
        </w:numPr>
        <w:spacing w:line="240" w:lineRule="auto"/>
        <w:ind w:firstLine="720"/>
        <w:rPr>
          <w:b/>
        </w:rPr>
      </w:pPr>
      <w:r>
        <w:rPr>
          <w:b/>
        </w:rPr>
        <w:t>General Rule.—</w:t>
      </w:r>
      <w:r>
        <w:t>If, in any proceeding involving rates, the commission shall determine that any rate received by a public utility was unjust or unreasonable, or was in violation of any regulation or order of the commission, or was in excess of the applicable rate contained in an existing and effective tariff of such public utility, the commission shall have the power and authority to make an order requiring the public utility to refund the amount of any excess paid by any patron, in consequence of such unlawful collection, within four years prior to the date of the filing of the complaint, together with interest at the legal rate from the date of each such excessive payment.</w:t>
      </w:r>
    </w:p>
    <w:p w:rsidR="00241EAE" w:rsidRDefault="00241EAE" w:rsidP="00DF087F">
      <w:pPr>
        <w:tabs>
          <w:tab w:val="left" w:pos="-720"/>
        </w:tabs>
        <w:suppressAutoHyphens/>
        <w:spacing w:after="0" w:line="240" w:lineRule="auto"/>
        <w:ind w:left="720" w:right="720"/>
      </w:pPr>
    </w:p>
    <w:p w:rsidR="00241EAE" w:rsidRDefault="00241EAE" w:rsidP="00DF087F">
      <w:pPr>
        <w:tabs>
          <w:tab w:val="left" w:pos="-720"/>
        </w:tabs>
        <w:suppressAutoHyphens/>
        <w:spacing w:after="0"/>
      </w:pPr>
      <w:r>
        <w:t xml:space="preserve">66 Pa.C.S. § 1312(a).  </w:t>
      </w:r>
    </w:p>
    <w:p w:rsidR="00241EAE" w:rsidRDefault="00241EAE" w:rsidP="00DF087F">
      <w:pPr>
        <w:tabs>
          <w:tab w:val="left" w:pos="-720"/>
        </w:tabs>
        <w:suppressAutoHyphens/>
        <w:spacing w:after="0"/>
      </w:pPr>
    </w:p>
    <w:p w:rsidR="009310FB" w:rsidRDefault="00241EAE" w:rsidP="00DF087F">
      <w:pPr>
        <w:tabs>
          <w:tab w:val="left" w:pos="-720"/>
        </w:tabs>
        <w:suppressAutoHyphens/>
        <w:spacing w:after="0"/>
        <w:sectPr w:rsidR="009310FB" w:rsidSect="00D42713">
          <w:footerReference w:type="default" r:id="rId12"/>
          <w:footerReference w:type="first" r:id="rId13"/>
          <w:type w:val="continuous"/>
          <w:pgSz w:w="12240" w:h="15840" w:code="1"/>
          <w:pgMar w:top="1440" w:right="1440" w:bottom="1440" w:left="1440" w:header="720" w:footer="720" w:gutter="0"/>
          <w:cols w:space="720"/>
          <w:titlePg/>
          <w:docGrid w:linePitch="360"/>
        </w:sectPr>
      </w:pPr>
      <w:r>
        <w:tab/>
      </w:r>
      <w:r>
        <w:tab/>
        <w:t xml:space="preserve">Respond Power contends it is not a “public utility” within the meaning of Section 1312; therefore, the Commission does not have jurisdictional authority to order Respond to issue refunds to Mr. Herp. </w:t>
      </w:r>
    </w:p>
    <w:p w:rsidR="00241EAE" w:rsidRDefault="00241EAE" w:rsidP="00DF087F">
      <w:pPr>
        <w:tabs>
          <w:tab w:val="left" w:pos="-720"/>
        </w:tabs>
        <w:suppressAutoHyphens/>
        <w:spacing w:after="0"/>
      </w:pPr>
      <w:r>
        <w:tab/>
      </w:r>
      <w:r>
        <w:tab/>
        <w:t>Section 102 of the Public Utility Code defines public utilities and provides in pertinent part:</w:t>
      </w:r>
    </w:p>
    <w:p w:rsidR="00DF087F" w:rsidRDefault="00DF087F" w:rsidP="009310FB">
      <w:pPr>
        <w:tabs>
          <w:tab w:val="left" w:pos="-720"/>
        </w:tabs>
        <w:suppressAutoHyphens/>
        <w:spacing w:after="0" w:line="276" w:lineRule="auto"/>
      </w:pPr>
    </w:p>
    <w:p w:rsidR="00241EAE" w:rsidRDefault="00241EAE" w:rsidP="00DF087F">
      <w:pPr>
        <w:tabs>
          <w:tab w:val="left" w:pos="-720"/>
        </w:tabs>
        <w:suppressAutoHyphens/>
        <w:spacing w:after="0" w:line="240" w:lineRule="auto"/>
        <w:ind w:left="720" w:right="720"/>
      </w:pPr>
      <w:r>
        <w:t>(1)</w:t>
      </w:r>
      <w:r>
        <w:tab/>
        <w:t>Any person or corporations now or hereafter owning or operating in this Commonwealth equipment or facilities for:</w:t>
      </w:r>
    </w:p>
    <w:p w:rsidR="00241EAE" w:rsidRDefault="00DA6713" w:rsidP="009310FB">
      <w:pPr>
        <w:tabs>
          <w:tab w:val="left" w:pos="-720"/>
        </w:tabs>
        <w:suppressAutoHyphens/>
        <w:spacing w:after="0" w:line="240" w:lineRule="auto"/>
        <w:ind w:left="720" w:right="720"/>
      </w:pPr>
      <w:r>
        <w:t xml:space="preserve">     </w:t>
      </w:r>
      <w:r w:rsidR="00241EAE">
        <w:t xml:space="preserve">(i) </w:t>
      </w:r>
      <w:r>
        <w:t xml:space="preserve"> </w:t>
      </w:r>
      <w:r w:rsidR="00241EAE">
        <w:t>Producing, generating, transmitting, distributing or furnishing natural or artificial gas, electricity, or steam for the production of light, heat, or power to or for the public for compensation.</w:t>
      </w:r>
    </w:p>
    <w:p w:rsidR="00241EAE" w:rsidRDefault="00241EAE" w:rsidP="009310FB">
      <w:pPr>
        <w:tabs>
          <w:tab w:val="left" w:pos="-720"/>
        </w:tabs>
        <w:suppressAutoHyphens/>
        <w:spacing w:after="0" w:line="240" w:lineRule="auto"/>
        <w:ind w:left="720" w:right="720"/>
      </w:pPr>
    </w:p>
    <w:p w:rsidR="00241EAE" w:rsidRDefault="00DF087F" w:rsidP="009310FB">
      <w:pPr>
        <w:tabs>
          <w:tab w:val="left" w:pos="-720"/>
        </w:tabs>
        <w:suppressAutoHyphens/>
        <w:spacing w:after="0" w:line="240" w:lineRule="auto"/>
        <w:ind w:left="720" w:right="720"/>
      </w:pPr>
      <w:r>
        <w:tab/>
      </w:r>
      <w:r>
        <w:tab/>
      </w:r>
      <w:r>
        <w:tab/>
        <w:t>* * *</w:t>
      </w:r>
      <w:r w:rsidR="00241EAE">
        <w:t xml:space="preserve"> * </w:t>
      </w:r>
    </w:p>
    <w:p w:rsidR="00DF087F" w:rsidRDefault="00DF087F" w:rsidP="009310FB">
      <w:pPr>
        <w:tabs>
          <w:tab w:val="left" w:pos="-720"/>
        </w:tabs>
        <w:suppressAutoHyphens/>
        <w:spacing w:after="0" w:line="240" w:lineRule="auto"/>
        <w:ind w:left="720" w:right="720"/>
      </w:pPr>
    </w:p>
    <w:p w:rsidR="00241EAE" w:rsidRDefault="00DF087F" w:rsidP="009310FB">
      <w:pPr>
        <w:tabs>
          <w:tab w:val="left" w:pos="-720"/>
        </w:tabs>
        <w:suppressAutoHyphens/>
        <w:spacing w:after="0" w:line="240" w:lineRule="auto"/>
        <w:ind w:left="720" w:right="720"/>
      </w:pPr>
      <w:r>
        <w:t>(2)</w:t>
      </w:r>
      <w:r>
        <w:tab/>
      </w:r>
      <w:r w:rsidR="00241EAE">
        <w:t xml:space="preserve">The term does not include: </w:t>
      </w:r>
    </w:p>
    <w:p w:rsidR="00DF087F" w:rsidRDefault="00DF087F" w:rsidP="009310FB">
      <w:pPr>
        <w:tabs>
          <w:tab w:val="left" w:pos="-720"/>
        </w:tabs>
        <w:suppressAutoHyphens/>
        <w:spacing w:after="0" w:line="240" w:lineRule="auto"/>
        <w:ind w:left="720" w:right="720"/>
      </w:pPr>
    </w:p>
    <w:p w:rsidR="00241EAE" w:rsidRDefault="00241EAE" w:rsidP="009310FB">
      <w:pPr>
        <w:tabs>
          <w:tab w:val="left" w:pos="-720"/>
        </w:tabs>
        <w:suppressAutoHyphens/>
        <w:spacing w:after="0" w:line="240" w:lineRule="auto"/>
        <w:ind w:left="720" w:right="720"/>
      </w:pPr>
      <w:r>
        <w:tab/>
      </w:r>
      <w:r>
        <w:tab/>
      </w:r>
      <w:r>
        <w:tab/>
        <w:t>* * * *</w:t>
      </w:r>
    </w:p>
    <w:p w:rsidR="00DF087F" w:rsidRDefault="00DF087F" w:rsidP="009310FB">
      <w:pPr>
        <w:tabs>
          <w:tab w:val="left" w:pos="-720"/>
        </w:tabs>
        <w:suppressAutoHyphens/>
        <w:spacing w:after="0" w:line="240" w:lineRule="auto"/>
        <w:ind w:left="720" w:right="720"/>
      </w:pPr>
    </w:p>
    <w:p w:rsidR="00241EAE" w:rsidRDefault="00DA6713" w:rsidP="009310FB">
      <w:pPr>
        <w:tabs>
          <w:tab w:val="left" w:pos="-720"/>
        </w:tabs>
        <w:suppressAutoHyphens/>
        <w:spacing w:after="0" w:line="240" w:lineRule="auto"/>
        <w:ind w:left="720" w:right="720"/>
      </w:pPr>
      <w:r>
        <w:t xml:space="preserve">     </w:t>
      </w:r>
      <w:r w:rsidR="00241EAE">
        <w:t xml:space="preserve">(vi) </w:t>
      </w:r>
      <w:r>
        <w:t xml:space="preserve"> </w:t>
      </w:r>
      <w:r w:rsidR="00241EAE">
        <w:t>Electric generation supplier companies, except for the limited purposes as described in sections 2809 (relating to requirements for electric generation suppliers) and 2810 (relating to revenue neutral reconciliation).</w:t>
      </w:r>
    </w:p>
    <w:p w:rsidR="00241EAE" w:rsidRDefault="00241EAE" w:rsidP="009310FB">
      <w:pPr>
        <w:tabs>
          <w:tab w:val="left" w:pos="-720"/>
        </w:tabs>
        <w:suppressAutoHyphens/>
        <w:spacing w:after="0" w:line="240" w:lineRule="auto"/>
        <w:ind w:left="720" w:right="720"/>
      </w:pPr>
    </w:p>
    <w:p w:rsidR="00241EAE" w:rsidRDefault="00241EAE" w:rsidP="009310FB">
      <w:pPr>
        <w:tabs>
          <w:tab w:val="left" w:pos="-720"/>
        </w:tabs>
        <w:suppressAutoHyphens/>
        <w:spacing w:after="0" w:line="240" w:lineRule="auto"/>
        <w:ind w:right="720"/>
      </w:pPr>
      <w:proofErr w:type="gramStart"/>
      <w:r>
        <w:t xml:space="preserve">66 </w:t>
      </w:r>
      <w:r w:rsidR="0079588A">
        <w:t>Pa.C.S.</w:t>
      </w:r>
      <w:proofErr w:type="gramEnd"/>
      <w:r>
        <w:t xml:space="preserve"> § 102.</w:t>
      </w:r>
    </w:p>
    <w:p w:rsidR="00241EAE" w:rsidRDefault="00241EAE" w:rsidP="00DF087F">
      <w:pPr>
        <w:tabs>
          <w:tab w:val="left" w:pos="-720"/>
        </w:tabs>
        <w:suppressAutoHyphens/>
        <w:spacing w:after="0"/>
      </w:pPr>
    </w:p>
    <w:p w:rsidR="00241EAE" w:rsidRDefault="00241EAE" w:rsidP="00DF087F">
      <w:pPr>
        <w:tabs>
          <w:tab w:val="left" w:pos="-720"/>
        </w:tabs>
        <w:suppressAutoHyphens/>
        <w:spacing w:after="0"/>
      </w:pPr>
      <w:r>
        <w:tab/>
      </w:r>
      <w:r>
        <w:tab/>
        <w:t>An electric generation supplier (EGS) is defined under Section 2803 of the Public Utility Code as follows:</w:t>
      </w:r>
    </w:p>
    <w:p w:rsidR="00241EAE" w:rsidRDefault="00241EAE" w:rsidP="009310FB">
      <w:pPr>
        <w:tabs>
          <w:tab w:val="left" w:pos="-720"/>
        </w:tabs>
        <w:suppressAutoHyphens/>
        <w:spacing w:after="0" w:line="240" w:lineRule="auto"/>
        <w:ind w:left="720" w:right="720"/>
      </w:pPr>
    </w:p>
    <w:p w:rsidR="00241EAE" w:rsidRDefault="00241EAE" w:rsidP="00DF087F">
      <w:pPr>
        <w:tabs>
          <w:tab w:val="left" w:pos="-720"/>
        </w:tabs>
        <w:suppressAutoHyphens/>
        <w:spacing w:after="0" w:line="240" w:lineRule="auto"/>
        <w:ind w:left="720" w:right="720"/>
      </w:pPr>
      <w:r>
        <w:t xml:space="preserve">A person or corporation . . . that sells to end-use customers electricity or related services utilizing the jurisdictional transmission or distribution facilities of an electric distribution company or that purchases, brokers, arranges or markets electricity or related services for sale to end-use customers utilizing the jurisdictional transmission and distribution facilities of an electric distribution company. </w:t>
      </w:r>
    </w:p>
    <w:p w:rsidR="00241EAE" w:rsidRDefault="00241EAE" w:rsidP="00DF087F">
      <w:pPr>
        <w:tabs>
          <w:tab w:val="left" w:pos="-720"/>
        </w:tabs>
        <w:suppressAutoHyphens/>
        <w:spacing w:after="0" w:line="240" w:lineRule="auto"/>
        <w:ind w:left="720" w:right="720"/>
      </w:pPr>
    </w:p>
    <w:p w:rsidR="00241EAE" w:rsidRDefault="00241EAE" w:rsidP="00DF087F">
      <w:pPr>
        <w:tabs>
          <w:tab w:val="left" w:pos="-720"/>
        </w:tabs>
        <w:suppressAutoHyphens/>
        <w:spacing w:after="0" w:line="240" w:lineRule="auto"/>
        <w:ind w:right="720"/>
      </w:pPr>
      <w:r>
        <w:t xml:space="preserve">66. </w:t>
      </w:r>
      <w:r w:rsidR="0079588A">
        <w:t>Pa.C.S.</w:t>
      </w:r>
      <w:r>
        <w:t xml:space="preserve"> § 2803.</w:t>
      </w:r>
    </w:p>
    <w:p w:rsidR="00241EAE" w:rsidRDefault="00241EAE" w:rsidP="00DA6713">
      <w:pPr>
        <w:tabs>
          <w:tab w:val="left" w:pos="-720"/>
        </w:tabs>
        <w:suppressAutoHyphens/>
        <w:spacing w:after="0"/>
        <w:ind w:left="720" w:right="720"/>
      </w:pPr>
    </w:p>
    <w:p w:rsidR="00241EAE" w:rsidRDefault="00241EAE" w:rsidP="00DF087F">
      <w:pPr>
        <w:tabs>
          <w:tab w:val="left" w:pos="-720"/>
        </w:tabs>
        <w:suppressAutoHyphens/>
        <w:spacing w:after="0"/>
      </w:pPr>
      <w:r>
        <w:t>The Competition Act envisions Commission regulation of EGS companies for the protection of the public as stated in Section 2802(14), which provides in pertinent part:</w:t>
      </w:r>
    </w:p>
    <w:p w:rsidR="00DA6713" w:rsidRDefault="00DA6713" w:rsidP="00DF087F">
      <w:pPr>
        <w:tabs>
          <w:tab w:val="left" w:pos="-720"/>
        </w:tabs>
        <w:suppressAutoHyphens/>
        <w:spacing w:after="0"/>
      </w:pPr>
    </w:p>
    <w:p w:rsidR="00241EAE" w:rsidRDefault="00241EAE" w:rsidP="00DF087F">
      <w:pPr>
        <w:tabs>
          <w:tab w:val="left" w:pos="-720"/>
        </w:tabs>
        <w:suppressAutoHyphens/>
        <w:spacing w:after="0" w:line="240" w:lineRule="auto"/>
        <w:ind w:left="720" w:right="720"/>
      </w:pPr>
      <w:r>
        <w:t>(14) . . . The generation of electricity will no longer be regulated as a public utility function except as otherwise provided for in this chapter.  Electric generation suppliers will be required to obtain licenses, demonstrate financial responsibility and comply with such other requirements concerning service as the Commission deems necessary for the protection of the public.</w:t>
      </w:r>
    </w:p>
    <w:p w:rsidR="00DA6713" w:rsidRDefault="00DA6713" w:rsidP="00DF087F">
      <w:pPr>
        <w:tabs>
          <w:tab w:val="left" w:pos="-720"/>
        </w:tabs>
        <w:suppressAutoHyphens/>
        <w:spacing w:after="0" w:line="240" w:lineRule="auto"/>
        <w:ind w:left="720" w:right="720"/>
      </w:pPr>
    </w:p>
    <w:p w:rsidR="009310FB" w:rsidRDefault="00241EAE" w:rsidP="00DF087F">
      <w:pPr>
        <w:tabs>
          <w:tab w:val="left" w:pos="-720"/>
        </w:tabs>
        <w:suppressAutoHyphens/>
        <w:spacing w:after="0" w:line="240" w:lineRule="auto"/>
        <w:ind w:right="720"/>
        <w:sectPr w:rsidR="009310FB" w:rsidSect="009310FB">
          <w:footerReference w:type="first" r:id="rId14"/>
          <w:pgSz w:w="12240" w:h="15840" w:code="1"/>
          <w:pgMar w:top="1296" w:right="1440" w:bottom="1296" w:left="1440" w:header="720" w:footer="720" w:gutter="0"/>
          <w:cols w:space="720"/>
          <w:titlePg/>
          <w:docGrid w:linePitch="360"/>
        </w:sectPr>
      </w:pPr>
      <w:proofErr w:type="gramStart"/>
      <w:r>
        <w:t xml:space="preserve">66 </w:t>
      </w:r>
      <w:r w:rsidR="0079588A">
        <w:t>Pa.C.S.</w:t>
      </w:r>
      <w:proofErr w:type="gramEnd"/>
      <w:r>
        <w:t xml:space="preserve"> § 2802(14). </w:t>
      </w:r>
    </w:p>
    <w:p w:rsidR="00A47089" w:rsidRDefault="00A47089" w:rsidP="00DF087F">
      <w:pPr>
        <w:tabs>
          <w:tab w:val="left" w:pos="-720"/>
        </w:tabs>
        <w:suppressAutoHyphens/>
        <w:spacing w:after="0"/>
        <w:ind w:firstLine="720"/>
      </w:pPr>
      <w:r>
        <w:tab/>
        <w:t xml:space="preserve">Section 2809(f) provides the Commission shall ensure that brokers, marketers and aggregators comply with 52 </w:t>
      </w:r>
      <w:r w:rsidR="0079588A">
        <w:t>Pa.Code</w:t>
      </w:r>
      <w:r>
        <w:t xml:space="preserve"> Chapter 56.</w:t>
      </w:r>
    </w:p>
    <w:p w:rsidR="00241EAE" w:rsidRDefault="00241EAE" w:rsidP="00DA6713">
      <w:pPr>
        <w:tabs>
          <w:tab w:val="left" w:pos="-720"/>
        </w:tabs>
        <w:suppressAutoHyphens/>
        <w:spacing w:after="0" w:line="240" w:lineRule="auto"/>
        <w:ind w:left="720" w:right="720"/>
      </w:pPr>
    </w:p>
    <w:p w:rsidR="00241EAE" w:rsidRDefault="001F15F3" w:rsidP="00DA6713">
      <w:pPr>
        <w:tabs>
          <w:tab w:val="left" w:pos="-720"/>
        </w:tabs>
        <w:suppressAutoHyphens/>
        <w:spacing w:after="0"/>
      </w:pPr>
      <w:r>
        <w:tab/>
      </w:r>
      <w:r>
        <w:tab/>
      </w:r>
      <w:r w:rsidR="00241EAE">
        <w:t xml:space="preserve">To hold </w:t>
      </w:r>
      <w:r>
        <w:t xml:space="preserve">Respond Power is not a </w:t>
      </w:r>
      <w:r w:rsidR="00595ECC">
        <w:t>“</w:t>
      </w:r>
      <w:r>
        <w:t>public utility</w:t>
      </w:r>
      <w:r w:rsidR="00595ECC">
        <w:t>”</w:t>
      </w:r>
      <w:r>
        <w:t xml:space="preserve"> or </w:t>
      </w:r>
      <w:r w:rsidR="00595ECC">
        <w:t>“</w:t>
      </w:r>
      <w:r>
        <w:t>other corporation</w:t>
      </w:r>
      <w:r w:rsidR="00595ECC">
        <w:t>”</w:t>
      </w:r>
      <w:r>
        <w:t xml:space="preserve"> subject to the Commission’s authority to direct the issuance of credits or refunds </w:t>
      </w:r>
      <w:r w:rsidR="00241EAE">
        <w:t>would be contrary to the public interest</w:t>
      </w:r>
      <w:r>
        <w:t xml:space="preserve"> and would not protect the public</w:t>
      </w:r>
      <w:r w:rsidR="00241EAE">
        <w:t xml:space="preserve">.  </w:t>
      </w:r>
      <w:r w:rsidR="00A47089">
        <w:t xml:space="preserve">To only be able to apply civil penalties or suspend or revoke a license without an equitable remedy in the form of a refund to the harmed customer is insufficient to protect the customer and is unreasonable.  </w:t>
      </w:r>
      <w:r w:rsidR="00241EAE">
        <w:t xml:space="preserve">To the extent that the Commission would not be allowed to direct EGSs like Respond to issue </w:t>
      </w:r>
      <w:r w:rsidR="00241EAE" w:rsidRPr="00973C43">
        <w:t>refunds</w:t>
      </w:r>
      <w:r w:rsidR="00241EAE">
        <w:t xml:space="preserve"> to its customers under Section 1312 when, after notice and an opportunity to be heard, refunds are deemed appropriate, it would likewise lose its ability to regulate EGSs for other purposes essential to the public interest, such as issuing civil penalties.  </w:t>
      </w:r>
      <w:r w:rsidR="00241EAE" w:rsidRPr="00973C43">
        <w:rPr>
          <w:i/>
        </w:rPr>
        <w:t>See</w:t>
      </w:r>
      <w:r w:rsidR="00241EAE">
        <w:t xml:space="preserve">, 66 Pa.C.S. § 3301.  </w:t>
      </w:r>
    </w:p>
    <w:p w:rsidR="00A47089" w:rsidRDefault="00A47089" w:rsidP="00DA6713">
      <w:pPr>
        <w:pStyle w:val="BodyFirst1SS"/>
        <w:spacing w:line="360" w:lineRule="auto"/>
      </w:pPr>
    </w:p>
    <w:p w:rsidR="00241EAE" w:rsidRDefault="00241EAE" w:rsidP="00DA6713">
      <w:pPr>
        <w:pStyle w:val="BodyFirst1SS"/>
        <w:spacing w:line="360" w:lineRule="auto"/>
        <w:jc w:val="left"/>
      </w:pPr>
      <w:r>
        <w:tab/>
        <w:t xml:space="preserve">I am not persuaded by Respond Power’s contention that the Commission lacks subject matter jurisdiction to award the relief requested by the Complainant - namely a refund or credit to reflect the difference between what he was charged by Respond Power and West Penn’s price to compare (“PTC”).  While I agree Respond Power is not a </w:t>
      </w:r>
      <w:r w:rsidR="00040374">
        <w:t>“</w:t>
      </w:r>
      <w:r>
        <w:t>public utility</w:t>
      </w:r>
      <w:r w:rsidR="00040374">
        <w:t>”</w:t>
      </w:r>
      <w:r>
        <w:t xml:space="preserve"> except in certain limited circumstances, the Commission has clearly held that in order for vigorous retail competition to occur, customers must be protected and EGSs must be held to certain standards and regulated conduct.  I believe the Commission has authority to ensure public utility rates including an EGS’s rates are just and reasonable as vested in the Commission under 66 </w:t>
      </w:r>
      <w:r w:rsidR="0079588A">
        <w:t>Pa.C.S.</w:t>
      </w:r>
      <w:r w:rsidR="009310FB">
        <w:t xml:space="preserve"> § </w:t>
      </w:r>
      <w:r>
        <w:t xml:space="preserve">1301.  The </w:t>
      </w:r>
      <w:r>
        <w:rPr>
          <w:i/>
        </w:rPr>
        <w:t xml:space="preserve">Electric Generation Customer Choice and Competition Act, </w:t>
      </w:r>
      <w:r>
        <w:t>1966, Dec. 3, P.L. 802, No. 138, § 4, effective Jan. 1, 1997, (</w:t>
      </w:r>
      <w:r w:rsidR="00040374">
        <w:t>Competition Act</w:t>
      </w:r>
      <w:r>
        <w:rPr>
          <w:i/>
        </w:rPr>
        <w:t>)</w:t>
      </w:r>
      <w:r>
        <w:t xml:space="preserve"> restructured the industry, but did not deregulate it entirely.   </w:t>
      </w:r>
    </w:p>
    <w:p w:rsidR="00241EAE" w:rsidRDefault="00241EAE" w:rsidP="00DA6713">
      <w:pPr>
        <w:pStyle w:val="BodyFirst1SS"/>
        <w:spacing w:line="360" w:lineRule="auto"/>
      </w:pPr>
    </w:p>
    <w:p w:rsidR="00241EAE" w:rsidRDefault="00241EAE" w:rsidP="00DA6713">
      <w:pPr>
        <w:pStyle w:val="BodyFirst1SS"/>
        <w:spacing w:line="360" w:lineRule="auto"/>
        <w:jc w:val="left"/>
      </w:pPr>
      <w:r>
        <w:tab/>
        <w:t>In fact, the Commission was charged by the General Assembly under Section 2807(d) to establish regulations requiring EGSs to provide adequate and accurate information to enable customers to make informed choices regarding the purchase</w:t>
      </w:r>
      <w:r w:rsidR="00DA6713">
        <w:t xml:space="preserve"> of electricity.  </w:t>
      </w:r>
      <w:proofErr w:type="gramStart"/>
      <w:r w:rsidR="00DA6713">
        <w:t xml:space="preserve">66 </w:t>
      </w:r>
      <w:r w:rsidR="0079588A">
        <w:t>Pa.C.S.</w:t>
      </w:r>
      <w:proofErr w:type="gramEnd"/>
      <w:r w:rsidR="00DA6713">
        <w:t xml:space="preserve"> § </w:t>
      </w:r>
      <w:r>
        <w:t xml:space="preserve">2807(d)(2).  The Commission was directed to ensure EGSs comply with Chapters 54 and 56 of the </w:t>
      </w:r>
      <w:r w:rsidRPr="000E0FDA">
        <w:rPr>
          <w:i/>
        </w:rPr>
        <w:t>Pennsylvania Code</w:t>
      </w:r>
      <w:r>
        <w:t xml:space="preserve">. </w:t>
      </w:r>
      <w:r w:rsidR="00DA6713">
        <w:t xml:space="preserve"> </w:t>
      </w:r>
      <w:proofErr w:type="gramStart"/>
      <w:r>
        <w:t xml:space="preserve">66 </w:t>
      </w:r>
      <w:r w:rsidR="0079588A">
        <w:t>Pa.C.S.</w:t>
      </w:r>
      <w:proofErr w:type="gramEnd"/>
      <w:r>
        <w:t xml:space="preserve"> §§ 2809(f) and (e).  Further, the Commission has the authority to ensure EGSs “comply with such other requirements concerning service as the Commission deems necessary for the protection of the public.”  </w:t>
      </w:r>
      <w:proofErr w:type="gramStart"/>
      <w:r>
        <w:t xml:space="preserve">66 </w:t>
      </w:r>
      <w:r w:rsidR="0079588A">
        <w:t>Pa.C.S.</w:t>
      </w:r>
      <w:proofErr w:type="gramEnd"/>
      <w:r>
        <w:t xml:space="preserve"> § 2801(12).  The </w:t>
      </w:r>
      <w:r w:rsidR="00595ECC">
        <w:t>C</w:t>
      </w:r>
      <w:r>
        <w:t xml:space="preserve">ommission’s general powers pursuant to 66 Pa.C.S. § 501 include regulatory authority over public utilities and “every other person or corporation” subject to the Public Utility Code. </w:t>
      </w:r>
      <w:proofErr w:type="gramStart"/>
      <w:r>
        <w:t xml:space="preserve">66 </w:t>
      </w:r>
      <w:r w:rsidR="0079588A">
        <w:t>Pa.C.S.</w:t>
      </w:r>
      <w:proofErr w:type="gramEnd"/>
      <w:r>
        <w:t xml:space="preserve"> § 501(a)(b) and (c).  Respond Power </w:t>
      </w:r>
      <w:r w:rsidR="00595ECC">
        <w:t xml:space="preserve">certainly </w:t>
      </w:r>
      <w:r>
        <w:t xml:space="preserve">falls under the </w:t>
      </w:r>
      <w:r w:rsidR="00107148">
        <w:t xml:space="preserve">catch-all </w:t>
      </w:r>
      <w:r>
        <w:t xml:space="preserve">definition of “every other  . . . corporation” if not </w:t>
      </w:r>
      <w:r w:rsidR="00107148">
        <w:t>first a</w:t>
      </w:r>
      <w:r>
        <w:t xml:space="preserve"> “public utility.”  Therefore, the Commission has the authority to direct Respond Power to refund the customer at the rate promised to the customer by misleading marketing and sales activities and a misleading disclosure statement that was not approved in final form by the Commission, for violations of Commission regulations at Chapters 54, 56 and 111, 52 </w:t>
      </w:r>
      <w:r w:rsidR="0079588A">
        <w:t>Pa.Code</w:t>
      </w:r>
      <w:r>
        <w:t xml:space="preserve">.  </w:t>
      </w:r>
    </w:p>
    <w:p w:rsidR="004D0B30" w:rsidRDefault="004D0B30" w:rsidP="00DA6713">
      <w:pPr>
        <w:pStyle w:val="BodyFirst1SS"/>
        <w:spacing w:line="360" w:lineRule="auto"/>
        <w:jc w:val="left"/>
      </w:pPr>
    </w:p>
    <w:p w:rsidR="00E6489B" w:rsidRDefault="00595ECC" w:rsidP="00DA6713">
      <w:pPr>
        <w:tabs>
          <w:tab w:val="left" w:pos="1632"/>
        </w:tabs>
        <w:spacing w:after="0"/>
        <w:ind w:firstLine="720"/>
        <w:rPr>
          <w:rFonts w:eastAsia="Times New Roman"/>
          <w:bCs/>
          <w:szCs w:val="27"/>
        </w:rPr>
      </w:pPr>
      <w:r>
        <w:rPr>
          <w:rFonts w:eastAsia="Times New Roman"/>
          <w:bCs/>
          <w:szCs w:val="27"/>
        </w:rPr>
        <w:tab/>
      </w:r>
      <w:r w:rsidR="00E6489B">
        <w:rPr>
          <w:rFonts w:eastAsia="Times New Roman"/>
          <w:bCs/>
          <w:szCs w:val="27"/>
        </w:rPr>
        <w:t xml:space="preserve">I find the testimony of Mr. Herp to be credible that Respond Power’s door-to-door sales agent promised that as an enrolled customer of Respond Power, Mr. Herp’s variable priced supply service would provide savings relative to West Penn Power and was capped or constrained by West Penn Power’s price-to-compare.  That Mr. Herp agreed to a variable service product is not in dispute.  However, based upon the statements made by Respond Power’s agent, Mr. Herp understood that Respond Power “offered rates that were always lower than the local utility company, in my case West Penn Power.”  N.T. 14.  Mr. Herp reported that “[w]hen the sale agent left, I thought I had purchased a better utility product than West Penn.”  N.T. 16.  “[I]t was my understanding that this variable rate did have a cap, and that being the rate --- the current rate offered by my local utility company.”  N.T. 26.  </w:t>
      </w:r>
    </w:p>
    <w:p w:rsidR="00305351" w:rsidRDefault="00305351" w:rsidP="00DA6713">
      <w:pPr>
        <w:tabs>
          <w:tab w:val="left" w:pos="1632"/>
        </w:tabs>
        <w:spacing w:after="0"/>
        <w:ind w:firstLine="720"/>
        <w:rPr>
          <w:rFonts w:eastAsia="Times New Roman"/>
          <w:bCs/>
          <w:szCs w:val="27"/>
        </w:rPr>
      </w:pPr>
    </w:p>
    <w:p w:rsidR="00E6489B" w:rsidRDefault="00E6489B" w:rsidP="00DA6713">
      <w:pPr>
        <w:spacing w:after="0"/>
        <w:ind w:firstLine="720"/>
        <w:rPr>
          <w:rFonts w:eastAsia="Times New Roman"/>
          <w:bCs/>
          <w:szCs w:val="27"/>
        </w:rPr>
      </w:pPr>
      <w:r>
        <w:rPr>
          <w:rFonts w:eastAsia="Times New Roman"/>
          <w:bCs/>
          <w:szCs w:val="27"/>
        </w:rPr>
        <w:tab/>
        <w:t xml:space="preserve">When the Respond Power sales agent approached Mr. Herp at his home, Mr. Herp already had some familiarity with shopping for electric supply service. </w:t>
      </w:r>
      <w:r w:rsidR="00305351">
        <w:rPr>
          <w:rFonts w:eastAsia="Times New Roman"/>
          <w:bCs/>
          <w:szCs w:val="27"/>
        </w:rPr>
        <w:t xml:space="preserve"> </w:t>
      </w:r>
      <w:r>
        <w:rPr>
          <w:rFonts w:eastAsia="Times New Roman"/>
          <w:bCs/>
          <w:szCs w:val="27"/>
        </w:rPr>
        <w:t>N.T.14.  Mr. Herp questioned Respond Power’s agent about how Respond Power could offer savings compared to West Penn Power’s rates. N.T. 14-15.  Mr. Herp was convinced by the agent’s explanation of Respond Power’s purchasing approach that consistent savings compared to West Penn Power’s Price-to-Compare was possible.  Mr. Herp testified:</w:t>
      </w:r>
    </w:p>
    <w:p w:rsidR="00305351" w:rsidRDefault="00305351" w:rsidP="00DA6713">
      <w:pPr>
        <w:spacing w:after="0"/>
        <w:ind w:firstLine="720"/>
        <w:rPr>
          <w:rFonts w:eastAsia="Times New Roman"/>
          <w:bCs/>
          <w:szCs w:val="27"/>
        </w:rPr>
      </w:pPr>
    </w:p>
    <w:p w:rsidR="00E6489B" w:rsidRDefault="00E6489B" w:rsidP="00305351">
      <w:pPr>
        <w:spacing w:after="0" w:line="240" w:lineRule="auto"/>
        <w:ind w:left="1440" w:right="1440"/>
        <w:jc w:val="both"/>
        <w:rPr>
          <w:rFonts w:eastAsia="Times New Roman"/>
          <w:bCs/>
          <w:szCs w:val="27"/>
        </w:rPr>
      </w:pPr>
      <w:r>
        <w:rPr>
          <w:rFonts w:eastAsia="Times New Roman"/>
          <w:bCs/>
          <w:szCs w:val="27"/>
        </w:rPr>
        <w:t xml:space="preserve">I figured West Penn was kind of my fallback utility company.  They’re my local utility company.  So they’d be the standard that I would use any time I was shopping for electricity.  I figured if it was always going to be lower than West Penn, that this could potentially work out good for us.    </w:t>
      </w:r>
    </w:p>
    <w:p w:rsidR="00E6489B" w:rsidRDefault="00E6489B" w:rsidP="00305351">
      <w:pPr>
        <w:spacing w:after="0" w:line="240" w:lineRule="auto"/>
        <w:ind w:left="1440" w:right="1440"/>
        <w:jc w:val="both"/>
        <w:rPr>
          <w:rFonts w:eastAsia="Times New Roman"/>
          <w:bCs/>
          <w:szCs w:val="27"/>
        </w:rPr>
      </w:pPr>
    </w:p>
    <w:p w:rsidR="00E6489B" w:rsidRDefault="00E6489B" w:rsidP="00305351">
      <w:pPr>
        <w:spacing w:after="0" w:line="240" w:lineRule="auto"/>
        <w:jc w:val="both"/>
        <w:rPr>
          <w:rFonts w:eastAsia="Times New Roman"/>
          <w:bCs/>
          <w:szCs w:val="27"/>
        </w:rPr>
      </w:pPr>
      <w:r>
        <w:rPr>
          <w:rFonts w:eastAsia="Times New Roman"/>
          <w:bCs/>
          <w:szCs w:val="27"/>
        </w:rPr>
        <w:t>N.T. 15.</w:t>
      </w:r>
    </w:p>
    <w:p w:rsidR="00305351" w:rsidRDefault="00305351" w:rsidP="00305351">
      <w:pPr>
        <w:spacing w:after="0"/>
        <w:jc w:val="both"/>
        <w:rPr>
          <w:rFonts w:eastAsia="Times New Roman"/>
          <w:bCs/>
          <w:szCs w:val="27"/>
        </w:rPr>
      </w:pPr>
    </w:p>
    <w:p w:rsidR="00E6489B" w:rsidRDefault="00E6489B" w:rsidP="00DA6713">
      <w:pPr>
        <w:spacing w:after="0"/>
        <w:rPr>
          <w:rFonts w:eastAsia="Times New Roman"/>
          <w:bCs/>
          <w:szCs w:val="27"/>
        </w:rPr>
      </w:pPr>
      <w:r>
        <w:rPr>
          <w:rFonts w:eastAsia="Times New Roman"/>
          <w:bCs/>
          <w:szCs w:val="27"/>
        </w:rPr>
        <w:tab/>
      </w:r>
      <w:r w:rsidR="00595ECC">
        <w:rPr>
          <w:rFonts w:eastAsia="Times New Roman"/>
          <w:bCs/>
          <w:szCs w:val="27"/>
        </w:rPr>
        <w:tab/>
      </w:r>
      <w:r>
        <w:rPr>
          <w:rFonts w:eastAsia="Times New Roman"/>
          <w:bCs/>
          <w:szCs w:val="27"/>
        </w:rPr>
        <w:t xml:space="preserve">Based on the persuasive claims of the Respond Power sales agent, Mr. Herp agreed to enroll with Respond Power.  The sales agent presented Mr. Herp with a filled in sales agreement.  Mr. Herp recognized that the sales agreement indicated that he was signing up for a variable rate service, one that he understood based on the sales agent’s statements “was supposed to be always lower than West Penn’s.”  N.T. 15-16.  Mr. Herp signed the sales agreement. </w:t>
      </w:r>
      <w:r w:rsidR="00305351">
        <w:rPr>
          <w:rFonts w:eastAsia="Times New Roman"/>
          <w:bCs/>
          <w:szCs w:val="27"/>
        </w:rPr>
        <w:t xml:space="preserve"> </w:t>
      </w:r>
      <w:r>
        <w:rPr>
          <w:rFonts w:eastAsia="Times New Roman"/>
          <w:bCs/>
          <w:szCs w:val="27"/>
        </w:rPr>
        <w:t>Only after he signed did the Respond Power sales agent show Mr. Herp the disclosure statement on the back of the sales agreement.  N.T. 15-16, 87-88.  Respond Power’s sales agent did not review the disclosure agreement with Mr. Herp.</w:t>
      </w:r>
      <w:r w:rsidR="00305351">
        <w:rPr>
          <w:rFonts w:eastAsia="Times New Roman"/>
          <w:bCs/>
          <w:szCs w:val="27"/>
        </w:rPr>
        <w:t xml:space="preserve">  </w:t>
      </w:r>
      <w:r>
        <w:rPr>
          <w:rFonts w:eastAsia="Times New Roman"/>
          <w:bCs/>
          <w:szCs w:val="27"/>
        </w:rPr>
        <w:t xml:space="preserve">N.T. 16.  Mr. Herp briefly read the disclosure statement at that time and “saw things that seemed to correspond with what the sales agent was advertising.”  N.T. 33-34.  </w:t>
      </w:r>
    </w:p>
    <w:p w:rsidR="00305351" w:rsidRDefault="00305351" w:rsidP="00DA6713">
      <w:pPr>
        <w:spacing w:after="0"/>
        <w:rPr>
          <w:rFonts w:eastAsia="Times New Roman"/>
          <w:bCs/>
          <w:szCs w:val="27"/>
        </w:rPr>
      </w:pPr>
    </w:p>
    <w:p w:rsidR="00E6489B" w:rsidRDefault="00595ECC" w:rsidP="00DA6713">
      <w:pPr>
        <w:spacing w:after="0"/>
        <w:ind w:firstLine="720"/>
        <w:rPr>
          <w:rFonts w:eastAsia="Times New Roman"/>
          <w:bCs/>
          <w:szCs w:val="27"/>
        </w:rPr>
      </w:pPr>
      <w:r>
        <w:rPr>
          <w:rFonts w:eastAsia="Times New Roman"/>
          <w:bCs/>
          <w:szCs w:val="27"/>
        </w:rPr>
        <w:tab/>
      </w:r>
      <w:r w:rsidR="00E6489B">
        <w:rPr>
          <w:rFonts w:eastAsia="Times New Roman"/>
          <w:bCs/>
          <w:szCs w:val="27"/>
        </w:rPr>
        <w:t>However, after experience with Respond Power’s service and pricing from January to March 2014, Mr. Herp realized that the product advertised and the product delivered were completely different products.  N.T. 23.  Mr. Herp faults Respond Power’s sales agent for misrepresenting Respond Power’s variable rate service.  Mr. Herp faults Respond Power’s sales agent for not identifying the differences between Respond Power’s service and that of West Penn Power – including that Respond Power could change its prices monthly rather than quarterly and that Mr. Herp would not be able to readily know Respond Power’s price before consuming electricity.  N.T. 24-24, 87-88.</w:t>
      </w:r>
    </w:p>
    <w:p w:rsidR="00305351" w:rsidRDefault="00305351" w:rsidP="00DA6713">
      <w:pPr>
        <w:spacing w:after="0"/>
        <w:ind w:firstLine="720"/>
        <w:rPr>
          <w:rFonts w:eastAsia="Times New Roman"/>
          <w:bCs/>
          <w:szCs w:val="27"/>
        </w:rPr>
      </w:pPr>
    </w:p>
    <w:p w:rsidR="00E6489B" w:rsidRDefault="00E6489B" w:rsidP="00DA6713">
      <w:pPr>
        <w:spacing w:after="0"/>
        <w:ind w:firstLine="720"/>
        <w:rPr>
          <w:rFonts w:eastAsia="Times New Roman"/>
          <w:bCs/>
          <w:szCs w:val="27"/>
        </w:rPr>
      </w:pPr>
      <w:r>
        <w:rPr>
          <w:rFonts w:eastAsia="Times New Roman"/>
          <w:bCs/>
          <w:szCs w:val="27"/>
        </w:rPr>
        <w:tab/>
        <w:t xml:space="preserve">Mr. Hackett testified in support of Mr. Herp.  Like Mr. Herp, Mr. Hackett testified that he was solicited by a Respond Power sales agent at his home and induced to switch to Respond Power based on promises of savings compared to West Penn Power’s rates for default service.  N.T. 45.  Mr. Hackett understood the rate would be variable but that there would be limits on the variability, capped at the level of West Penn Power’s rates.  N.T.  51. </w:t>
      </w:r>
    </w:p>
    <w:p w:rsidR="00305351" w:rsidRDefault="00305351" w:rsidP="00DA6713">
      <w:pPr>
        <w:spacing w:after="0"/>
        <w:ind w:firstLine="720"/>
        <w:rPr>
          <w:rFonts w:eastAsia="Times New Roman"/>
          <w:bCs/>
          <w:szCs w:val="27"/>
        </w:rPr>
      </w:pPr>
    </w:p>
    <w:p w:rsidR="00E6489B" w:rsidRDefault="00E6489B" w:rsidP="00DA6713">
      <w:pPr>
        <w:spacing w:after="0"/>
        <w:ind w:firstLine="720"/>
        <w:rPr>
          <w:rFonts w:eastAsia="Times New Roman"/>
          <w:bCs/>
          <w:szCs w:val="27"/>
        </w:rPr>
      </w:pPr>
      <w:r>
        <w:rPr>
          <w:rFonts w:eastAsia="Times New Roman"/>
          <w:bCs/>
          <w:szCs w:val="27"/>
        </w:rPr>
        <w:tab/>
        <w:t>The testimony of Respond Power General Counsel and witness Adam Small is insufficient to counter Mr. Herp’s testimony that Respond Power made misrepresentations regarding limits on the variability of Respond Power’s pricing, as corroborated by Mr. Hackett who heard a similar message from a different Respond Power sales agent in the same community in roughly the same time period.  Respond Power’s witness Adam Small simply testified that Respond Power sales agents are not allowed, based on training, to make misrepresentations as to pri</w:t>
      </w:r>
      <w:r w:rsidR="00305351">
        <w:rPr>
          <w:rFonts w:eastAsia="Times New Roman"/>
          <w:bCs/>
          <w:szCs w:val="27"/>
        </w:rPr>
        <w:t xml:space="preserve">cing or savings.  N.T. 64-65.  </w:t>
      </w:r>
      <w:r>
        <w:rPr>
          <w:rFonts w:eastAsia="Times New Roman"/>
          <w:bCs/>
          <w:szCs w:val="27"/>
        </w:rPr>
        <w:t xml:space="preserve">According to Mr. Small, the penalty for such violations is suspension or termination of the sales agent.  </w:t>
      </w:r>
    </w:p>
    <w:p w:rsidR="00305351" w:rsidRDefault="00305351" w:rsidP="00DA6713">
      <w:pPr>
        <w:spacing w:after="0"/>
        <w:ind w:firstLine="720"/>
        <w:rPr>
          <w:rFonts w:eastAsia="Times New Roman"/>
          <w:bCs/>
          <w:szCs w:val="27"/>
        </w:rPr>
      </w:pPr>
    </w:p>
    <w:p w:rsidR="00E6489B" w:rsidRDefault="00E6489B" w:rsidP="00DA6713">
      <w:pPr>
        <w:spacing w:after="0"/>
        <w:ind w:firstLine="720"/>
        <w:rPr>
          <w:rFonts w:eastAsia="Times New Roman"/>
          <w:bCs/>
          <w:szCs w:val="27"/>
        </w:rPr>
      </w:pPr>
      <w:r>
        <w:rPr>
          <w:rFonts w:eastAsia="Times New Roman"/>
          <w:bCs/>
          <w:szCs w:val="27"/>
        </w:rPr>
        <w:tab/>
        <w:t xml:space="preserve">The sales agent who persuaded Mr. Herp to switch to Respond Power was not presented by Respond Power to testify.  N.T. 66-67.  Indeed, Mr. Small did not even know if that sales agent was still working as an independent contractor for Respond Power’s vendor Direct Sales Solutions at the time of Mr. Herp’s initial complaint.  N.T. 67, 85.  To the best of his knowledge, Mr. Small did not know of any audit of that sales agent’s conduct.  Respond Power only sends out field auditors once a month with a random sampling of third party marketers.  N.T. 83.   </w:t>
      </w:r>
    </w:p>
    <w:p w:rsidR="00305351" w:rsidRDefault="00305351" w:rsidP="00DA6713">
      <w:pPr>
        <w:spacing w:after="0"/>
        <w:ind w:firstLine="720"/>
        <w:rPr>
          <w:rFonts w:eastAsia="Times New Roman"/>
          <w:bCs/>
          <w:szCs w:val="27"/>
        </w:rPr>
      </w:pPr>
    </w:p>
    <w:p w:rsidR="00E6489B" w:rsidRDefault="00E6489B" w:rsidP="00DA6713">
      <w:pPr>
        <w:spacing w:after="0"/>
        <w:ind w:firstLine="720"/>
        <w:rPr>
          <w:rFonts w:eastAsia="Times New Roman"/>
          <w:bCs/>
          <w:szCs w:val="27"/>
        </w:rPr>
      </w:pPr>
      <w:r>
        <w:rPr>
          <w:rFonts w:eastAsia="Times New Roman"/>
          <w:bCs/>
          <w:szCs w:val="27"/>
        </w:rPr>
        <w:tab/>
        <w:t xml:space="preserve">Mr. Herp has supported his Formal Complaint with credible testimony, based on his first hand contact with Respond Power’s sales and marketing agent.  Mr. Herp did exercise some care and questioned the sales agent’s claims that Respond Power’s variable priced service would provide savings compared to West Penn Power’s supply service.  N.T. 14-15.  The Commission has stated that “consumers do bear some responsibility to make choices that are appropriate for their individual circumstances.”  </w:t>
      </w:r>
      <w:r w:rsidRPr="00482B1E">
        <w:rPr>
          <w:rFonts w:eastAsia="Times New Roman"/>
          <w:bCs/>
          <w:i/>
          <w:szCs w:val="27"/>
        </w:rPr>
        <w:t>William Towne v. Great American Power, LLC,</w:t>
      </w:r>
      <w:r>
        <w:rPr>
          <w:rFonts w:eastAsia="Times New Roman"/>
          <w:bCs/>
          <w:szCs w:val="27"/>
        </w:rPr>
        <w:t xml:space="preserve"> Docket No. C-2012-2307991, Opinion and Order at 22 (Oct. 18, 2013</w:t>
      </w:r>
      <w:r w:rsidRPr="00482B1E">
        <w:rPr>
          <w:rFonts w:eastAsia="Times New Roman"/>
          <w:bCs/>
          <w:i/>
          <w:szCs w:val="27"/>
        </w:rPr>
        <w:t>)(Towne).</w:t>
      </w:r>
      <w:r>
        <w:rPr>
          <w:rFonts w:eastAsia="Times New Roman"/>
          <w:bCs/>
          <w:szCs w:val="27"/>
        </w:rPr>
        <w:t xml:space="preserve">  That statement does not mean that Respond Power is relieved of responsibility for misrepresentations by its sales agent.  In </w:t>
      </w:r>
      <w:r w:rsidRPr="00482B1E">
        <w:rPr>
          <w:rFonts w:eastAsia="Times New Roman"/>
          <w:bCs/>
          <w:i/>
          <w:szCs w:val="27"/>
        </w:rPr>
        <w:t>Towne</w:t>
      </w:r>
      <w:r>
        <w:rPr>
          <w:rFonts w:eastAsia="Times New Roman"/>
          <w:bCs/>
          <w:szCs w:val="27"/>
        </w:rPr>
        <w:t>, the Commission emphasized that for Pennsylvania’s retail electric market to succeed:</w:t>
      </w:r>
    </w:p>
    <w:p w:rsidR="00305351" w:rsidRDefault="00305351" w:rsidP="00305351">
      <w:pPr>
        <w:spacing w:after="0" w:line="240" w:lineRule="auto"/>
        <w:ind w:firstLine="720"/>
        <w:rPr>
          <w:rFonts w:eastAsia="Times New Roman"/>
          <w:bCs/>
          <w:szCs w:val="27"/>
        </w:rPr>
      </w:pPr>
    </w:p>
    <w:p w:rsidR="00E6489B" w:rsidRDefault="00E6489B" w:rsidP="00DA6713">
      <w:pPr>
        <w:spacing w:after="0" w:line="240" w:lineRule="auto"/>
        <w:ind w:left="1440" w:right="1440"/>
        <w:jc w:val="both"/>
        <w:rPr>
          <w:rFonts w:eastAsia="Times New Roman"/>
          <w:bCs/>
          <w:szCs w:val="27"/>
        </w:rPr>
      </w:pPr>
      <w:r>
        <w:rPr>
          <w:rFonts w:eastAsia="Times New Roman"/>
          <w:bCs/>
          <w:szCs w:val="27"/>
        </w:rPr>
        <w:t xml:space="preserve">this Commission must continue to send a clear message to EGSs that the egregious and deliberate behavior utilized in this case, including the use of potentially misleading statements that could result in slamming, will not be tolerated.   </w:t>
      </w:r>
    </w:p>
    <w:p w:rsidR="00E6489B" w:rsidRDefault="00E6489B" w:rsidP="00305351">
      <w:pPr>
        <w:spacing w:after="0"/>
        <w:ind w:left="1440" w:right="1440"/>
        <w:jc w:val="both"/>
        <w:rPr>
          <w:rFonts w:eastAsia="Times New Roman"/>
          <w:bCs/>
          <w:szCs w:val="27"/>
        </w:rPr>
      </w:pPr>
    </w:p>
    <w:p w:rsidR="00E6489B" w:rsidRDefault="00E6489B" w:rsidP="00DA6713">
      <w:pPr>
        <w:spacing w:after="0"/>
        <w:rPr>
          <w:rFonts w:eastAsia="Times New Roman"/>
          <w:bCs/>
          <w:szCs w:val="27"/>
        </w:rPr>
      </w:pPr>
      <w:r w:rsidRPr="00482B1E">
        <w:rPr>
          <w:rFonts w:eastAsia="Times New Roman"/>
          <w:bCs/>
          <w:i/>
          <w:szCs w:val="27"/>
        </w:rPr>
        <w:t>Towne</w:t>
      </w:r>
      <w:r>
        <w:rPr>
          <w:rFonts w:eastAsia="Times New Roman"/>
          <w:bCs/>
          <w:szCs w:val="27"/>
        </w:rPr>
        <w:t xml:space="preserve"> at 22.  In Mr. Herp’s case, Respond Power’s sales and marketing statements did actually mislead Mr. Herp and at least one other consumer, Mr. Hackett, to switch to Respond Power based on expectations of a variable rate service that would provide savings compared to West Penn Power’s supply service.  </w:t>
      </w:r>
    </w:p>
    <w:p w:rsidR="00305351" w:rsidRDefault="00305351" w:rsidP="00DA6713">
      <w:pPr>
        <w:spacing w:after="0"/>
        <w:rPr>
          <w:rFonts w:eastAsia="Times New Roman"/>
          <w:bCs/>
          <w:szCs w:val="24"/>
        </w:rPr>
      </w:pPr>
    </w:p>
    <w:p w:rsidR="00E6489B" w:rsidRDefault="00E6489B" w:rsidP="00DA6713">
      <w:pPr>
        <w:tabs>
          <w:tab w:val="left" w:pos="924"/>
        </w:tabs>
        <w:spacing w:after="0"/>
        <w:rPr>
          <w:rFonts w:eastAsia="Times New Roman"/>
          <w:bCs/>
          <w:szCs w:val="27"/>
        </w:rPr>
      </w:pPr>
      <w:r>
        <w:rPr>
          <w:rFonts w:eastAsia="Times New Roman"/>
          <w:bCs/>
          <w:szCs w:val="27"/>
        </w:rPr>
        <w:tab/>
      </w:r>
      <w:r>
        <w:rPr>
          <w:rFonts w:eastAsia="Times New Roman"/>
          <w:bCs/>
          <w:szCs w:val="27"/>
        </w:rPr>
        <w:tab/>
        <w:t xml:space="preserve">OCA and Mr. Herp request a refund or credit and contend this is within the Commission’s jurisdiction and authority.  Section 501 grants the Commission authority to enforce the Public Utility Code and the Commission’s regulations and Orders.  66 Pa.C.S. § 501.  EGSs are considered public utilities for the purposes describe in Section 2809 of the Public Utility Code.  66 Pa.C.S. §§ 102, 2809; see also </w:t>
      </w:r>
      <w:r w:rsidRPr="00482B1E">
        <w:rPr>
          <w:rFonts w:eastAsia="Times New Roman"/>
          <w:bCs/>
          <w:i/>
          <w:szCs w:val="27"/>
        </w:rPr>
        <w:t>Delmarva Power &amp; Light Co. v. Pa. PUC,</w:t>
      </w:r>
      <w:r>
        <w:rPr>
          <w:rFonts w:eastAsia="Times New Roman"/>
          <w:bCs/>
          <w:szCs w:val="27"/>
        </w:rPr>
        <w:t xml:space="preserve"> 870 A.2d 901, 909-10 (Pa. 2005).  Section 2809(e) of the Public Utility Code states:</w:t>
      </w:r>
    </w:p>
    <w:p w:rsidR="004D0B30" w:rsidRDefault="004D0B30" w:rsidP="00DA6713">
      <w:pPr>
        <w:tabs>
          <w:tab w:val="left" w:pos="924"/>
        </w:tabs>
        <w:spacing w:after="0"/>
        <w:rPr>
          <w:rFonts w:eastAsia="Times New Roman"/>
          <w:bCs/>
          <w:szCs w:val="27"/>
        </w:rPr>
      </w:pPr>
    </w:p>
    <w:p w:rsidR="00E6489B" w:rsidRDefault="00E6489B" w:rsidP="00DA6713">
      <w:pPr>
        <w:tabs>
          <w:tab w:val="left" w:pos="924"/>
        </w:tabs>
        <w:spacing w:after="0" w:line="240" w:lineRule="auto"/>
        <w:ind w:left="1584" w:right="1440"/>
        <w:jc w:val="both"/>
        <w:rPr>
          <w:rFonts w:eastAsia="Times New Roman"/>
          <w:bCs/>
          <w:szCs w:val="27"/>
        </w:rPr>
      </w:pPr>
      <w:r w:rsidRPr="00750E78">
        <w:rPr>
          <w:rFonts w:eastAsia="Times New Roman"/>
          <w:b/>
          <w:bCs/>
          <w:szCs w:val="27"/>
        </w:rPr>
        <w:t>Form of regulation of electric generation suppliers</w:t>
      </w:r>
      <w:r>
        <w:rPr>
          <w:rFonts w:eastAsia="Times New Roman"/>
          <w:bCs/>
          <w:szCs w:val="27"/>
        </w:rPr>
        <w:t xml:space="preserve">. – The commission may forbear from applying requirements of this part which it determines are unnecessary due to competition among electric generation suppliers.  In regulating the service of electric generation suppliers, the commission shall impose requirements necessary to … assuring that 52 </w:t>
      </w:r>
      <w:r w:rsidR="0079588A">
        <w:rPr>
          <w:rFonts w:eastAsia="Times New Roman"/>
          <w:bCs/>
          <w:szCs w:val="27"/>
        </w:rPr>
        <w:t>Pa.Code</w:t>
      </w:r>
      <w:r>
        <w:rPr>
          <w:rFonts w:eastAsia="Times New Roman"/>
          <w:bCs/>
          <w:szCs w:val="27"/>
        </w:rPr>
        <w:t xml:space="preserve"> Ch. 56 (relating to standards and billing practices for residential utility service) are maintained.</w:t>
      </w:r>
    </w:p>
    <w:p w:rsidR="00E6489B" w:rsidRDefault="00E6489B" w:rsidP="00DA6713">
      <w:pPr>
        <w:tabs>
          <w:tab w:val="left" w:pos="924"/>
        </w:tabs>
        <w:spacing w:after="0" w:line="240" w:lineRule="auto"/>
        <w:ind w:left="1584" w:right="1440"/>
        <w:jc w:val="both"/>
        <w:rPr>
          <w:rFonts w:eastAsia="Times New Roman"/>
          <w:bCs/>
          <w:szCs w:val="27"/>
        </w:rPr>
      </w:pPr>
    </w:p>
    <w:p w:rsidR="00305351" w:rsidRDefault="00305351" w:rsidP="00DA6713">
      <w:pPr>
        <w:tabs>
          <w:tab w:val="left" w:pos="924"/>
        </w:tabs>
        <w:spacing w:after="0" w:line="240" w:lineRule="auto"/>
        <w:ind w:left="1584" w:right="1440"/>
        <w:jc w:val="both"/>
        <w:rPr>
          <w:rFonts w:eastAsia="Times New Roman"/>
          <w:bCs/>
          <w:szCs w:val="27"/>
        </w:rPr>
      </w:pPr>
    </w:p>
    <w:p w:rsidR="00E6489B" w:rsidRDefault="00E6489B" w:rsidP="00DA6713">
      <w:pPr>
        <w:tabs>
          <w:tab w:val="left" w:pos="924"/>
        </w:tabs>
        <w:spacing w:after="0"/>
        <w:rPr>
          <w:color w:val="000000"/>
          <w:szCs w:val="24"/>
          <w:shd w:val="clear" w:color="auto" w:fill="FFFFFF"/>
        </w:rPr>
      </w:pPr>
      <w:r>
        <w:rPr>
          <w:rFonts w:eastAsia="Times New Roman"/>
          <w:bCs/>
          <w:szCs w:val="27"/>
        </w:rPr>
        <w:t xml:space="preserve">66 Pa.C.S. § 2809(e).  Section 2809(e) allows the Commission to forbear from applying the Public Utility Code but does not limit the Commission in this instance.  In addition to imposing requirements to assure that EGSs maintain standards and billing practices consistent with Chapter 56, Chapter 54 of the Commission’s regulations also relate to EGSs’ billing practices.  See </w:t>
      </w:r>
      <w:proofErr w:type="gramStart"/>
      <w:r>
        <w:rPr>
          <w:rFonts w:eastAsia="Times New Roman"/>
          <w:bCs/>
          <w:szCs w:val="27"/>
        </w:rPr>
        <w:t xml:space="preserve">52 </w:t>
      </w:r>
      <w:r w:rsidR="0079588A">
        <w:rPr>
          <w:rFonts w:eastAsia="Times New Roman"/>
          <w:bCs/>
          <w:szCs w:val="27"/>
        </w:rPr>
        <w:t>Pa.Code</w:t>
      </w:r>
      <w:r>
        <w:rPr>
          <w:rFonts w:eastAsia="Times New Roman"/>
          <w:bCs/>
          <w:szCs w:val="27"/>
        </w:rPr>
        <w:t xml:space="preserve"> Ch. 54, 56</w:t>
      </w:r>
      <w:proofErr w:type="gramEnd"/>
      <w:r>
        <w:rPr>
          <w:rFonts w:eastAsia="Times New Roman"/>
          <w:bCs/>
          <w:szCs w:val="27"/>
        </w:rPr>
        <w:t xml:space="preserve">.   As discussed above, Respond Power is “responsible for any fraudulent deceptive or other unlawful marketing or billing acts performed by the licensee, its employees, agents or representatives.”  52 </w:t>
      </w:r>
      <w:r w:rsidR="0079588A">
        <w:rPr>
          <w:rFonts w:eastAsia="Times New Roman"/>
          <w:bCs/>
          <w:szCs w:val="27"/>
        </w:rPr>
        <w:t>Pa.Code</w:t>
      </w:r>
      <w:r>
        <w:rPr>
          <w:rFonts w:eastAsia="Times New Roman"/>
          <w:bCs/>
          <w:szCs w:val="27"/>
        </w:rPr>
        <w:t xml:space="preserve"> § 54.43(f), see also</w:t>
      </w:r>
      <w:bookmarkStart w:id="0" w:name="111.12."/>
      <w:r>
        <w:rPr>
          <w:color w:val="000000"/>
          <w:szCs w:val="24"/>
          <w:shd w:val="clear" w:color="auto" w:fill="FFFFFF"/>
        </w:rPr>
        <w:t xml:space="preserve"> 52 </w:t>
      </w:r>
      <w:r w:rsidR="0079588A">
        <w:rPr>
          <w:color w:val="000000"/>
          <w:szCs w:val="24"/>
          <w:shd w:val="clear" w:color="auto" w:fill="FFFFFF"/>
        </w:rPr>
        <w:t>Pa.Code</w:t>
      </w:r>
      <w:r>
        <w:rPr>
          <w:color w:val="000000"/>
          <w:szCs w:val="24"/>
          <w:shd w:val="clear" w:color="auto" w:fill="FFFFFF"/>
        </w:rPr>
        <w:t xml:space="preserve"> § 111.12(d). </w:t>
      </w:r>
    </w:p>
    <w:p w:rsidR="006C7FF0" w:rsidRDefault="006C7FF0" w:rsidP="00DA6713">
      <w:pPr>
        <w:tabs>
          <w:tab w:val="left" w:pos="924"/>
        </w:tabs>
        <w:spacing w:after="0"/>
        <w:rPr>
          <w:color w:val="000000"/>
          <w:szCs w:val="24"/>
          <w:shd w:val="clear" w:color="auto" w:fill="FFFFFF"/>
        </w:rPr>
      </w:pPr>
    </w:p>
    <w:bookmarkEnd w:id="0"/>
    <w:p w:rsidR="00E6489B" w:rsidRDefault="00E6489B" w:rsidP="00DA6713">
      <w:pPr>
        <w:spacing w:after="0"/>
        <w:ind w:firstLine="720"/>
        <w:rPr>
          <w:color w:val="000000"/>
          <w:szCs w:val="24"/>
        </w:rPr>
      </w:pPr>
      <w:r>
        <w:rPr>
          <w:rFonts w:eastAsia="Times New Roman"/>
          <w:bCs/>
          <w:szCs w:val="27"/>
        </w:rPr>
        <w:tab/>
        <w:t>Mr. Herp’s Formal Complaint states that Respond Power made misrepresentations including promises of savings relative to the price to compare (PTC) of his electric distribution company, misrepresentations that induced him to switch to Respond Power for electric supply service.  The record evidence clearly demonstrates that Respond Power is in violation of Commission regulations that are directed at protecting consumers and promotion of a fair competitive market for electric supply.  “</w:t>
      </w:r>
      <w:r w:rsidRPr="00CE122B">
        <w:rPr>
          <w:rFonts w:eastAsia="Times New Roman"/>
          <w:szCs w:val="24"/>
        </w:rPr>
        <w:t>This Commission has set forth rules that EGSs must follow and has the obligation, and, therefore, the jurisdiction, to enforce those rules.</w:t>
      </w:r>
      <w:r>
        <w:rPr>
          <w:rFonts w:eastAsia="Times New Roman"/>
          <w:szCs w:val="24"/>
        </w:rPr>
        <w:t xml:space="preserve">”  </w:t>
      </w:r>
      <w:r w:rsidRPr="00040374">
        <w:rPr>
          <w:rFonts w:eastAsia="Times New Roman"/>
          <w:i/>
          <w:szCs w:val="24"/>
        </w:rPr>
        <w:t>G</w:t>
      </w:r>
      <w:r w:rsidRPr="00040374">
        <w:rPr>
          <w:i/>
          <w:color w:val="000000"/>
          <w:szCs w:val="24"/>
        </w:rPr>
        <w:t>rmusa v. Dominion Retail, Inc.,</w:t>
      </w:r>
      <w:r w:rsidRPr="00A728E3">
        <w:rPr>
          <w:color w:val="000000"/>
          <w:szCs w:val="24"/>
        </w:rPr>
        <w:t xml:space="preserve"> Docket No. C-2009-2124</w:t>
      </w:r>
      <w:r>
        <w:rPr>
          <w:color w:val="000000"/>
          <w:szCs w:val="24"/>
        </w:rPr>
        <w:t xml:space="preserve">359, Order at 5 (Apr. 16, 2010)(Commission allowed a hearing for consumer who claimed EGS did not provide promised savings of 10%. Complaint satisfied before hearing.)  </w:t>
      </w:r>
    </w:p>
    <w:p w:rsidR="00241EAE" w:rsidRDefault="00241EAE" w:rsidP="00DA6713">
      <w:pPr>
        <w:pStyle w:val="BodyFirst1SS"/>
        <w:spacing w:line="360" w:lineRule="auto"/>
      </w:pPr>
    </w:p>
    <w:p w:rsidR="00241EAE" w:rsidRDefault="00241EAE" w:rsidP="00DA6713">
      <w:pPr>
        <w:pStyle w:val="BodyFirst1SS"/>
        <w:spacing w:line="360" w:lineRule="auto"/>
        <w:jc w:val="left"/>
      </w:pPr>
      <w:r>
        <w:tab/>
        <w:t>While I agree the Complainant entered into a private variable rate contract, I do not find the terms and conditions of the contract to be clear and I find the testimony of Mr. Herp to be credible in support of a finding that the agent</w:t>
      </w:r>
      <w:r w:rsidR="00291E50">
        <w:t>,</w:t>
      </w:r>
      <w:r>
        <w:t xml:space="preserve"> Larry Majek, did contact Mr. Herp in person and did make misrepresentations promising monthly savings in comparison to West Penn Power’s charges, in conflict with the disclosure statement and terms given to Mr. Herp with the </w:t>
      </w:r>
      <w:r w:rsidR="006C7FF0">
        <w:t>Service Agreement.</w:t>
      </w:r>
      <w:r>
        <w:t xml:space="preserve">  The testimony of Mr. Hackett who experienced a similar sales pitch from another representative corroborates the testimony of Mr. Herp and rebuts Mr. Small’s vague testimony that agents are instructed to discuss variable rates and no</w:t>
      </w:r>
      <w:r w:rsidR="00107148">
        <w:t>t</w:t>
      </w:r>
      <w:r>
        <w:t xml:space="preserve"> guarantee savings. </w:t>
      </w:r>
    </w:p>
    <w:p w:rsidR="00241EAE" w:rsidRDefault="00241EAE" w:rsidP="00DA6713">
      <w:pPr>
        <w:pStyle w:val="BodyFirst1SS"/>
        <w:spacing w:line="360" w:lineRule="auto"/>
      </w:pPr>
    </w:p>
    <w:p w:rsidR="00241EAE" w:rsidRDefault="00241EAE" w:rsidP="00DA6713">
      <w:pPr>
        <w:pStyle w:val="BodyFirst1SS"/>
        <w:spacing w:line="360" w:lineRule="auto"/>
        <w:jc w:val="left"/>
      </w:pPr>
      <w:r>
        <w:tab/>
        <w:t xml:space="preserve">The company is unable or unwilling to rebut the testimony of Mr. Herp with any tape recordings of any conversations between Mr. Majek and Mr. Herp or between Mr. Herp and a third-party </w:t>
      </w:r>
      <w:r w:rsidR="00291E50">
        <w:t>verifier;</w:t>
      </w:r>
      <w:r>
        <w:t xml:space="preserve"> even though it is obvious the Company has in its possession a verification recording.  Further, the Company offered no corroborative evidence in the form of customer service training manuals, customer scripts, audit reports, marketing materials, or any investigation reports to show that Mr. Majek did not promise monthly savings compared to West Penn Power’s prices.   </w:t>
      </w:r>
    </w:p>
    <w:p w:rsidR="00241EAE" w:rsidRDefault="00241EAE" w:rsidP="00DA6713">
      <w:pPr>
        <w:pStyle w:val="BodyFirst1SS"/>
        <w:spacing w:line="360" w:lineRule="auto"/>
      </w:pPr>
    </w:p>
    <w:p w:rsidR="00241EAE" w:rsidRDefault="00241EAE" w:rsidP="00DA6713">
      <w:pPr>
        <w:pStyle w:val="BodyFirst1SS"/>
        <w:spacing w:line="360" w:lineRule="auto"/>
        <w:jc w:val="left"/>
      </w:pPr>
      <w:r>
        <w:tab/>
        <w:t xml:space="preserve">Respond Power has what appears to be at least on the surface, insufficient control over its agents or even knowledge about the actions of its field agents.  These agents are the people who ultimately contact prospective customers in an in-person setting, sometimes in their residence, and make representations on behalf of Respond Power in order to secure customers and for the financial benefit of Respond Power.  The testimony of Mr. Small indicates that Respond Power neither creates the marketing literature, nor directly instructs or audits either the field agents or third party verifiers.  It appears these activities are sourced-out to multiple third-party marketers/vendors, which then hire, train and audit their field agents.  Respond Power appears to take an overseeing approval role and it monitors quality assurance by contacting a random sampling of its marketing vendors on a monthly basis, but Respond Power does not appear on the surface to be initiating or adequately controlling the drafting of marketing literature, the training or disciplining the agents working on behalf of Respond Power.  This brings into question whether the company is compliant with Chapter 111, Marketing and Sales Practices for the Retail Residential Energy Market, 52 </w:t>
      </w:r>
      <w:r w:rsidR="0079588A">
        <w:t>Pa.Code</w:t>
      </w:r>
      <w:r>
        <w:t xml:space="preserve"> §§111.1 </w:t>
      </w:r>
      <w:r>
        <w:rPr>
          <w:i/>
        </w:rPr>
        <w:t>et seq</w:t>
      </w:r>
      <w:r>
        <w:t xml:space="preserve">.  </w:t>
      </w:r>
    </w:p>
    <w:p w:rsidR="00241EAE" w:rsidRDefault="00241EAE" w:rsidP="00DA6713">
      <w:pPr>
        <w:pStyle w:val="BodyFirst1SS"/>
        <w:spacing w:line="360" w:lineRule="auto"/>
      </w:pPr>
    </w:p>
    <w:p w:rsidR="00241EAE" w:rsidRDefault="00241EAE" w:rsidP="00DA6713">
      <w:pPr>
        <w:pStyle w:val="BodyFirst1SS"/>
        <w:spacing w:line="360" w:lineRule="auto"/>
        <w:jc w:val="left"/>
      </w:pPr>
      <w:r>
        <w:tab/>
        <w:t xml:space="preserve">Mr. Small had no knowledge if Mr. Herp was on a residential or commercial account.  Mr. Small was uncertain whether Larry Majek was working for the marketer at the time the service agreement was executed or verified.  Mr. Small </w:t>
      </w:r>
      <w:r w:rsidR="006C7FF0">
        <w:t>had no knowledge of whether Mr. </w:t>
      </w:r>
      <w:r>
        <w:t xml:space="preserve">Majek still worked for the marketer.  Mr. Small testified he believed Mr. Majek had never been audited, but he did not say if Mr. Majek had been disciplined for making any misrepresentations to customers.  There was no offering of customer scripts, marketing materials or training manuals into evidence to corroborate Mr. Small’s testimony.  There was no investigative report regarding Mr. Majek, and not even a </w:t>
      </w:r>
      <w:r w:rsidR="00107148">
        <w:t xml:space="preserve">verification or </w:t>
      </w:r>
      <w:r>
        <w:t>clarification as to his name spelling.</w:t>
      </w:r>
    </w:p>
    <w:p w:rsidR="00241EAE" w:rsidRDefault="00241EAE" w:rsidP="00DA6713">
      <w:pPr>
        <w:pStyle w:val="BodyFirst1SS"/>
        <w:spacing w:line="360" w:lineRule="auto"/>
      </w:pPr>
    </w:p>
    <w:p w:rsidR="00241EAE" w:rsidRDefault="00241EAE" w:rsidP="00DA6713">
      <w:pPr>
        <w:spacing w:after="0"/>
        <w:rPr>
          <w:rFonts w:eastAsia="Calibri"/>
        </w:rPr>
      </w:pPr>
      <w:r>
        <w:rPr>
          <w:rFonts w:eastAsia="Calibri"/>
        </w:rPr>
        <w:tab/>
      </w:r>
      <w:r w:rsidR="00291E50">
        <w:rPr>
          <w:rFonts w:eastAsia="Calibri"/>
        </w:rPr>
        <w:tab/>
      </w:r>
      <w:r>
        <w:rPr>
          <w:rFonts w:eastAsia="Calibri"/>
        </w:rPr>
        <w:t>Section 54.4(a) provides EGS prices billed must reflect the marketed prices and the agreed upon prices</w:t>
      </w:r>
      <w:r w:rsidR="006C7FF0">
        <w:rPr>
          <w:rFonts w:eastAsia="Calibri"/>
        </w:rPr>
        <w:t xml:space="preserve"> in the disclosure statement.  </w:t>
      </w:r>
      <w:r>
        <w:rPr>
          <w:rFonts w:eastAsia="Calibri"/>
        </w:rPr>
        <w:t xml:space="preserve">I find in favor of the Complainant on this issue because the evidence supports a finding that Respond Power’s prices billed did not reflect the marketed prices promised to Mr. Herp by Mr. Majek.  Further, the terms of the disclosure statement regarding the agreed upon variable rate were misleading and therefore should not be controlling.  </w:t>
      </w:r>
      <w:proofErr w:type="gramStart"/>
      <w:r>
        <w:rPr>
          <w:rFonts w:eastAsia="Calibri"/>
        </w:rPr>
        <w:t xml:space="preserve">Under this provision, and under the provision of 66 </w:t>
      </w:r>
      <w:r w:rsidR="0079588A">
        <w:rPr>
          <w:rFonts w:eastAsia="Calibri"/>
        </w:rPr>
        <w:t>Pa.C.S.</w:t>
      </w:r>
      <w:proofErr w:type="gramEnd"/>
      <w:r>
        <w:rPr>
          <w:rFonts w:eastAsia="Calibri"/>
        </w:rPr>
        <w:t xml:space="preserve"> 1312 (relating to Refunds), a refund consisting of the difference between the amount Complainant was actually billed at Respond Power’s variable rate less the amount he would have been billed at West Penn Power’s price-to-compare during the time he was a customer of Respond Power from </w:t>
      </w:r>
      <w:r w:rsidR="006C7FF0">
        <w:t>November </w:t>
      </w:r>
      <w:r>
        <w:t xml:space="preserve">26, 2013 </w:t>
      </w:r>
      <w:r>
        <w:rPr>
          <w:rFonts w:eastAsia="Calibri"/>
        </w:rPr>
        <w:t>through March 29, 2014, is warranted.  Herp Exhibit 2, N.T. 58.</w:t>
      </w:r>
    </w:p>
    <w:p w:rsidR="006C7FF0" w:rsidRDefault="006C7FF0" w:rsidP="00DA6713">
      <w:pPr>
        <w:spacing w:after="0"/>
        <w:rPr>
          <w:rFonts w:eastAsia="Calibri"/>
        </w:rPr>
      </w:pPr>
    </w:p>
    <w:p w:rsidR="009310FB" w:rsidRDefault="00241EAE" w:rsidP="00DA6713">
      <w:pPr>
        <w:spacing w:after="0"/>
        <w:rPr>
          <w:rFonts w:eastAsia="Calibri"/>
        </w:rPr>
        <w:sectPr w:rsidR="009310FB" w:rsidSect="009310FB">
          <w:pgSz w:w="12240" w:h="15840" w:code="1"/>
          <w:pgMar w:top="1440" w:right="1440" w:bottom="1440" w:left="1440" w:header="720" w:footer="720" w:gutter="0"/>
          <w:cols w:space="720"/>
          <w:titlePg/>
          <w:docGrid w:linePitch="360"/>
        </w:sectPr>
      </w:pPr>
      <w:r>
        <w:rPr>
          <w:rFonts w:eastAsia="Calibri"/>
        </w:rPr>
        <w:tab/>
      </w:r>
      <w:r>
        <w:rPr>
          <w:rFonts w:eastAsia="Calibri"/>
        </w:rPr>
        <w:tab/>
        <w:t xml:space="preserve">Although the language in Section 1312(a) refers to a “public utility” and a “tariffed rate”, it also expressly states that if an any proceeding involving rates, the commission </w:t>
      </w:r>
    </w:p>
    <w:p w:rsidR="00241EAE" w:rsidRDefault="00241EAE" w:rsidP="00DA6713">
      <w:pPr>
        <w:spacing w:after="0"/>
        <w:rPr>
          <w:rFonts w:eastAsia="Calibri"/>
        </w:rPr>
      </w:pPr>
      <w:r>
        <w:rPr>
          <w:rFonts w:eastAsia="Calibri"/>
        </w:rPr>
        <w:t xml:space="preserve">shall determine that the rate was unjust or unreasonable . . . the Commission shall have the power and authority to make an order requiring the public utility to refund the amount of any excess paid by any patron, in consequence of such unlawful collection within four years prior to the date of the filing of the complaint, together with interest . . .”  66 </w:t>
      </w:r>
      <w:r w:rsidR="0079588A">
        <w:rPr>
          <w:rFonts w:eastAsia="Calibri"/>
        </w:rPr>
        <w:t>Pa.C.S.</w:t>
      </w:r>
      <w:r>
        <w:rPr>
          <w:rFonts w:eastAsia="Calibri"/>
        </w:rPr>
        <w:t xml:space="preserve"> § 1312.  This statute</w:t>
      </w:r>
      <w:r w:rsidR="00107148">
        <w:rPr>
          <w:rFonts w:eastAsia="Calibri"/>
        </w:rPr>
        <w:t xml:space="preserve"> is being </w:t>
      </w:r>
      <w:r>
        <w:rPr>
          <w:rFonts w:eastAsia="Calibri"/>
        </w:rPr>
        <w:t xml:space="preserve">construed to give the Commission authority to direct a refund from an EGS.  </w:t>
      </w:r>
    </w:p>
    <w:p w:rsidR="006C7FF0" w:rsidRDefault="006C7FF0" w:rsidP="00DA6713">
      <w:pPr>
        <w:spacing w:after="0"/>
        <w:rPr>
          <w:rFonts w:eastAsia="Calibri"/>
        </w:rPr>
      </w:pPr>
    </w:p>
    <w:p w:rsidR="006C7FF0" w:rsidRDefault="00107148" w:rsidP="00DA6713">
      <w:pPr>
        <w:tabs>
          <w:tab w:val="left" w:pos="-720"/>
        </w:tabs>
        <w:suppressAutoHyphens/>
        <w:spacing w:after="0"/>
      </w:pPr>
      <w:r>
        <w:rPr>
          <w:rFonts w:eastAsia="Calibri"/>
        </w:rPr>
        <w:tab/>
      </w:r>
      <w:r>
        <w:rPr>
          <w:rFonts w:eastAsia="Calibri"/>
        </w:rPr>
        <w:tab/>
      </w:r>
      <w:r w:rsidR="00241EAE">
        <w:rPr>
          <w:rFonts w:eastAsia="Calibri"/>
        </w:rPr>
        <w:t xml:space="preserve">There is dispute over whether the EGS is a “public utility” for purposes of this section; however, since the Commission is indicating in that it can direct refunds in instances of slamming, then I extrapolate from that holding that it can also direct a refund for violations of Commission EGS Licensing, Marketing and Sales regulations as well as Commission approved EGS licensing orders, which result in unfair and unreasonable rates. </w:t>
      </w:r>
      <w:r w:rsidR="00241EAE">
        <w:t xml:space="preserve">Vice Chairman Coleman also issued a Motion in </w:t>
      </w:r>
      <w:r w:rsidRPr="00107148">
        <w:rPr>
          <w:i/>
        </w:rPr>
        <w:t>Joseph Nadav v. Respond Power LLC</w:t>
      </w:r>
      <w:r>
        <w:t>,</w:t>
      </w:r>
      <w:r w:rsidRPr="00BF29FB">
        <w:t xml:space="preserve"> Docket Number </w:t>
      </w:r>
      <w:r>
        <w:t>C-2014-2429159 (</w:t>
      </w:r>
      <w:r w:rsidRPr="00107148">
        <w:rPr>
          <w:i/>
        </w:rPr>
        <w:t>Nadav Motion</w:t>
      </w:r>
      <w:r>
        <w:t xml:space="preserve">) on November 13, 2014.  </w:t>
      </w:r>
      <w:r w:rsidR="00241EAE">
        <w:t xml:space="preserve">In the </w:t>
      </w:r>
      <w:r w:rsidR="00241EAE" w:rsidRPr="00107148">
        <w:rPr>
          <w:i/>
        </w:rPr>
        <w:t>Nadav Motion</w:t>
      </w:r>
      <w:r w:rsidR="00241EAE">
        <w:t>, Vice Chairman Coleman stated, among other things, that “while I agree that the Commission lacks the authority to regulate EGS rates, it is well settled that EGSs may be required to provide refunds to retail customers in appropriate circumstances.</w:t>
      </w:r>
      <w:r w:rsidR="00BC7016">
        <w:t>”</w:t>
      </w:r>
      <w:r w:rsidR="00241EAE">
        <w:t xml:space="preserve">  </w:t>
      </w:r>
    </w:p>
    <w:p w:rsidR="00BC7016" w:rsidRPr="00BF29FB" w:rsidRDefault="00BC7016" w:rsidP="00DA6713">
      <w:pPr>
        <w:tabs>
          <w:tab w:val="left" w:pos="-720"/>
        </w:tabs>
        <w:suppressAutoHyphens/>
        <w:spacing w:after="0"/>
      </w:pPr>
    </w:p>
    <w:p w:rsidR="00241EAE" w:rsidRDefault="00241EAE" w:rsidP="00DA6713">
      <w:pPr>
        <w:spacing w:after="0"/>
        <w:ind w:firstLine="1440"/>
        <w:rPr>
          <w:szCs w:val="24"/>
        </w:rPr>
      </w:pPr>
      <w:r>
        <w:rPr>
          <w:szCs w:val="24"/>
        </w:rPr>
        <w:t>Further, the Commission recently held that a</w:t>
      </w:r>
      <w:r w:rsidRPr="00D37B9D">
        <w:rPr>
          <w:szCs w:val="24"/>
        </w:rPr>
        <w:t>ll remedies permitted by law remain available to the Commission whether or not specifically pleaded</w:t>
      </w:r>
      <w:r>
        <w:rPr>
          <w:szCs w:val="24"/>
        </w:rPr>
        <w:t xml:space="preserve"> and these remedies include but are not limited to civil penalties, license suspension or revocation</w:t>
      </w:r>
      <w:r w:rsidRPr="00D37B9D">
        <w:rPr>
          <w:szCs w:val="24"/>
        </w:rPr>
        <w:t>.</w:t>
      </w:r>
      <w:r w:rsidRPr="00D37B9D">
        <w:rPr>
          <w:rStyle w:val="FootnoteReference"/>
          <w:szCs w:val="24"/>
        </w:rPr>
        <w:footnoteReference w:id="15"/>
      </w:r>
      <w:r>
        <w:rPr>
          <w:szCs w:val="24"/>
        </w:rPr>
        <w:t xml:space="preserve">  Although the Commission did not expressly specify a potential remedy was a refund to an EGS customer, it did not limit the remedies to just civil penalties or license suspension/revocation.  </w:t>
      </w:r>
    </w:p>
    <w:p w:rsidR="006C7FF0" w:rsidRDefault="006C7FF0" w:rsidP="00DA6713">
      <w:pPr>
        <w:spacing w:after="0"/>
        <w:ind w:firstLine="1440"/>
        <w:rPr>
          <w:szCs w:val="24"/>
        </w:rPr>
      </w:pPr>
    </w:p>
    <w:p w:rsidR="009310FB" w:rsidRDefault="00241EAE" w:rsidP="00DA6713">
      <w:pPr>
        <w:widowControl w:val="0"/>
        <w:adjustRightInd w:val="0"/>
        <w:spacing w:after="0"/>
        <w:sectPr w:rsidR="009310FB" w:rsidSect="009310FB">
          <w:pgSz w:w="12240" w:h="15840" w:code="1"/>
          <w:pgMar w:top="1296" w:right="1440" w:bottom="1296" w:left="1440" w:header="720" w:footer="720" w:gutter="0"/>
          <w:cols w:space="720"/>
          <w:titlePg/>
          <w:docGrid w:linePitch="360"/>
        </w:sectPr>
      </w:pPr>
      <w:r>
        <w:tab/>
      </w:r>
      <w:r>
        <w:tab/>
        <w:t xml:space="preserve">I am unaware of any case yet whereby the Commission has exercised its authority to direct an EGS to give a refund consisting of the difference between the amounts each customer was billed and the customer’s respective price to compare charged by their local EDC because of violations of Commission regulations.  Respond Power cites as authority several ALJ decisions whereby different ALJs have ruled that the Commission does not regulate EGS prices and may not order the issuance of refunds by EGS.  However, more recently the Commission has remanded or amended some of these decisions.  </w:t>
      </w:r>
    </w:p>
    <w:p w:rsidR="00241EAE" w:rsidRDefault="00241EAE" w:rsidP="00DA6713">
      <w:pPr>
        <w:pStyle w:val="BodyFirst1SS"/>
        <w:spacing w:line="360" w:lineRule="auto"/>
        <w:jc w:val="left"/>
      </w:pPr>
      <w:r>
        <w:tab/>
      </w:r>
      <w:proofErr w:type="gramStart"/>
      <w:r>
        <w:t xml:space="preserve">In </w:t>
      </w:r>
      <w:r w:rsidRPr="007E2E8F">
        <w:rPr>
          <w:i/>
        </w:rPr>
        <w:t>Yaglidereliler Corp. v. Blue Pilot Energy, LLC</w:t>
      </w:r>
      <w:r>
        <w:t>, Docket No.</w:t>
      </w:r>
      <w:proofErr w:type="gramEnd"/>
      <w:r>
        <w:t xml:space="preserve"> C-2014-2413732 (Initial Decision dated June 18, 2014)</w:t>
      </w:r>
      <w:r>
        <w:fldChar w:fldCharType="begin"/>
      </w:r>
      <w:r>
        <w:instrText xml:space="preserve"> TA \l "</w:instrText>
      </w:r>
      <w:r w:rsidRPr="002D0C49">
        <w:rPr>
          <w:i/>
        </w:rPr>
        <w:instrText>Yaglidereliler Corp. v. Blue Pilot Energy, LLC</w:instrText>
      </w:r>
      <w:r w:rsidRPr="002D0C49">
        <w:instrText>, Docket No. C-2014-2413732 (Initial Decision dated June 18, 2014)</w:instrText>
      </w:r>
      <w:r>
        <w:instrText xml:space="preserve">" \s "Yaglidereliler Corp. v. Blue Pilot Energy, LLC, Docket No. C-2014-2413732 (Initial Decision dated June 18, 2014)" \c 1 </w:instrText>
      </w:r>
      <w:r>
        <w:fldChar w:fldCharType="end"/>
      </w:r>
      <w:r>
        <w:t xml:space="preserve"> (“</w:t>
      </w:r>
      <w:r w:rsidRPr="00614F5C">
        <w:rPr>
          <w:i/>
        </w:rPr>
        <w:t>Yaglidereliler Initial Decision</w:t>
      </w:r>
      <w:r>
        <w:t xml:space="preserve">”), the presiding officer  dismissed a complaint that sought a refund of “excessive rates,” finding that “the Commission lacks the authority to order the Respondent to provide either a refund or credit to the Complainant.”  </w:t>
      </w:r>
      <w:r w:rsidRPr="001D1EBF">
        <w:rPr>
          <w:i/>
        </w:rPr>
        <w:t>Id</w:t>
      </w:r>
      <w:r>
        <w:t>. at 9.  ALJ Salapa reasoned as follows:</w:t>
      </w:r>
    </w:p>
    <w:p w:rsidR="00241EAE" w:rsidRDefault="00241EAE" w:rsidP="00DA6713">
      <w:pPr>
        <w:pStyle w:val="BodyFirst1SS"/>
        <w:spacing w:line="360" w:lineRule="auto"/>
        <w:jc w:val="left"/>
        <w:rPr>
          <w:b/>
        </w:rPr>
      </w:pPr>
    </w:p>
    <w:p w:rsidR="00241EAE" w:rsidRDefault="00241EAE" w:rsidP="00DA6713">
      <w:pPr>
        <w:pStyle w:val="BodyFirst1DS"/>
        <w:rPr>
          <w:b/>
        </w:rPr>
      </w:pPr>
      <w:r>
        <w:t xml:space="preserve">The Commission may not regulate the rates that the Respondent charged the Complaint for electric generation service since it is not a public utility except for the limited purposes of 66 </w:t>
      </w:r>
      <w:r w:rsidR="0079588A">
        <w:t>Pa.C.S.</w:t>
      </w:r>
      <w:r>
        <w:t xml:space="preserve"> §§ 2809 and 2810</w:t>
      </w:r>
      <w:r>
        <w:fldChar w:fldCharType="begin"/>
      </w:r>
      <w:r>
        <w:instrText xml:space="preserve"> TA \s "66 Pa. C.S. §§ 2809 and 2810" </w:instrText>
      </w:r>
      <w:r>
        <w:fldChar w:fldCharType="end"/>
      </w:r>
      <w:r>
        <w:t xml:space="preserve">.  Therefore, the Commission has </w:t>
      </w:r>
      <w:r w:rsidRPr="00E533E5">
        <w:t>no</w:t>
      </w:r>
      <w:r>
        <w:t xml:space="preserve"> jurisdiction over the Respondent to the extent that the Complainant contends that the Respondent has charged it an unreasonable, unjust or illegal rate for electric generation service.  Since the Commission lacks the authority to regulate rates charged for electric generation service, it lacks the authority to order a refund or credit to the Complainant.  </w:t>
      </w:r>
    </w:p>
    <w:p w:rsidR="00241EAE" w:rsidRDefault="00241EAE" w:rsidP="00DA6713">
      <w:pPr>
        <w:pStyle w:val="Heading1"/>
        <w:numPr>
          <w:ilvl w:val="0"/>
          <w:numId w:val="0"/>
        </w:numPr>
      </w:pPr>
    </w:p>
    <w:p w:rsidR="00241EAE" w:rsidRDefault="00241EAE" w:rsidP="006C7FF0">
      <w:pPr>
        <w:pStyle w:val="BodyFirst1SS"/>
        <w:spacing w:line="360" w:lineRule="auto"/>
        <w:ind w:firstLine="0"/>
        <w:jc w:val="left"/>
      </w:pPr>
      <w:r w:rsidRPr="001D1EBF">
        <w:rPr>
          <w:i/>
        </w:rPr>
        <w:t>Id</w:t>
      </w:r>
      <w:r>
        <w:t xml:space="preserve">. at 9.  In dismissing the complaint, ALJ Salapa referred to the Commission’s regulations governing disclosure statements and marketing practices, noting that violations of those rules subject EGSs to penalties imposed by the Commission.  </w:t>
      </w:r>
      <w:r w:rsidRPr="001D1EBF">
        <w:rPr>
          <w:i/>
        </w:rPr>
        <w:t>Id.</w:t>
      </w:r>
      <w:r>
        <w:t xml:space="preserve"> at 10.  </w:t>
      </w:r>
      <w:r w:rsidR="00DB2412">
        <w:t xml:space="preserve">This Initial Decision </w:t>
      </w:r>
      <w:r w:rsidR="00855E2E">
        <w:t>is still under review by the Commission</w:t>
      </w:r>
      <w:r w:rsidR="00D70CC6">
        <w:t xml:space="preserve">. </w:t>
      </w:r>
      <w:r w:rsidR="00DB2412">
        <w:t xml:space="preserve"> </w:t>
      </w:r>
    </w:p>
    <w:p w:rsidR="00241EAE" w:rsidRDefault="00241EAE" w:rsidP="00DA6713">
      <w:pPr>
        <w:pStyle w:val="BodyFirst1SS"/>
        <w:spacing w:line="360" w:lineRule="auto"/>
        <w:ind w:firstLine="0"/>
        <w:rPr>
          <w:b/>
        </w:rPr>
      </w:pPr>
    </w:p>
    <w:p w:rsidR="00241EAE" w:rsidRDefault="00595ECC" w:rsidP="00DA6713">
      <w:pPr>
        <w:pStyle w:val="BodyFirst1SS"/>
        <w:spacing w:line="360" w:lineRule="auto"/>
        <w:jc w:val="left"/>
      </w:pPr>
      <w:r>
        <w:tab/>
      </w:r>
      <w:r w:rsidR="00241EAE">
        <w:t xml:space="preserve">Respond Power describes my interim order as an Initial Decision regarding </w:t>
      </w:r>
      <w:r w:rsidR="00241EAE" w:rsidRPr="00614F5C">
        <w:rPr>
          <w:i/>
        </w:rPr>
        <w:t>Tustin v. Respond Power LLC</w:t>
      </w:r>
      <w:r w:rsidR="00241EAE">
        <w:t xml:space="preserve">, Docket No. C-2014-2417552 (Order dated June 26, 2014).  This was not an Initial Decision, rather an order addressing preliminary objections.  Regardless, </w:t>
      </w:r>
      <w:r w:rsidR="00241EAE">
        <w:fldChar w:fldCharType="begin"/>
      </w:r>
      <w:r w:rsidR="00241EAE">
        <w:instrText xml:space="preserve"> TA \l "</w:instrText>
      </w:r>
      <w:r w:rsidR="00241EAE" w:rsidRPr="002D0C49">
        <w:rPr>
          <w:i/>
        </w:rPr>
        <w:instrText>Tustin v. Respond Power LLC</w:instrText>
      </w:r>
      <w:r w:rsidR="00241EAE" w:rsidRPr="002D0C49">
        <w:instrText>, Docket No. C-2014-2417552 (Initial Decision dated June 26, 2014)</w:instrText>
      </w:r>
      <w:r w:rsidR="00241EAE">
        <w:instrText xml:space="preserve">" \s "Tustin v. Respond Power LLC, Docket No. C-2014-2417552 (Initial Decision dated June 26, 2014)" \c 1 </w:instrText>
      </w:r>
      <w:r w:rsidR="00241EAE">
        <w:fldChar w:fldCharType="end"/>
      </w:r>
      <w:r w:rsidR="00241EAE">
        <w:t xml:space="preserve">the case </w:t>
      </w:r>
      <w:r w:rsidR="00855E2E">
        <w:t xml:space="preserve">was </w:t>
      </w:r>
      <w:r w:rsidR="00241EAE">
        <w:t>resolved with a certificate of satisfaction being filed</w:t>
      </w:r>
      <w:r w:rsidR="00C40DBC">
        <w:t xml:space="preserve"> on December 5, 2014</w:t>
      </w:r>
      <w:r w:rsidR="00241EAE">
        <w:t>.  Thus, I am not bound by my prior</w:t>
      </w:r>
      <w:r w:rsidR="00C40DBC">
        <w:t xml:space="preserve"> </w:t>
      </w:r>
      <w:r w:rsidR="00241EAE">
        <w:t xml:space="preserve">statement regarding refunds considering </w:t>
      </w:r>
      <w:r w:rsidR="009D56C1">
        <w:t xml:space="preserve">the </w:t>
      </w:r>
      <w:r w:rsidR="00E72961">
        <w:t xml:space="preserve">more recent </w:t>
      </w:r>
      <w:r w:rsidR="00241EAE">
        <w:t xml:space="preserve">Commission </w:t>
      </w:r>
      <w:r w:rsidR="009D56C1">
        <w:t>decisions</w:t>
      </w:r>
      <w:r w:rsidR="00E72961">
        <w:t>,</w:t>
      </w:r>
      <w:r w:rsidR="009D56C1">
        <w:t xml:space="preserve"> </w:t>
      </w:r>
      <w:r w:rsidR="00E72961">
        <w:t>which contradict my prior ruling</w:t>
      </w:r>
      <w:r w:rsidR="00241EAE">
        <w:t xml:space="preserve">.  </w:t>
      </w:r>
    </w:p>
    <w:p w:rsidR="00241EAE" w:rsidRDefault="00241EAE" w:rsidP="00DA6713">
      <w:pPr>
        <w:pStyle w:val="BodyFirst1SS"/>
        <w:spacing w:line="360" w:lineRule="auto"/>
      </w:pPr>
    </w:p>
    <w:p w:rsidR="00241EAE" w:rsidRDefault="00595ECC" w:rsidP="00DA6713">
      <w:pPr>
        <w:pStyle w:val="BodyFirst1SS"/>
        <w:spacing w:line="360" w:lineRule="auto"/>
      </w:pPr>
      <w:r>
        <w:tab/>
      </w:r>
      <w:r w:rsidR="00241EAE">
        <w:t>Respond Power contends that i</w:t>
      </w:r>
      <w:r w:rsidR="00241EAE" w:rsidRPr="00614F5C">
        <w:t>n</w:t>
      </w:r>
      <w:r w:rsidR="00241EAE">
        <w:rPr>
          <w:i/>
        </w:rPr>
        <w:t xml:space="preserve"> Russell v. Respond Power LLC, </w:t>
      </w:r>
      <w:r w:rsidR="005211CA">
        <w:t>Docket No. C</w:t>
      </w:r>
      <w:r w:rsidR="005211CA">
        <w:noBreakHyphen/>
      </w:r>
      <w:r w:rsidR="00241EAE" w:rsidRPr="00145DE4">
        <w:t>2014-2417551 (</w:t>
      </w:r>
      <w:r w:rsidR="00E72961">
        <w:t xml:space="preserve">Order </w:t>
      </w:r>
      <w:r w:rsidR="00241EAE" w:rsidRPr="00145DE4">
        <w:t>dated July 3, 2014)</w:t>
      </w:r>
      <w:r w:rsidR="00241EAE">
        <w:fldChar w:fldCharType="begin"/>
      </w:r>
      <w:r w:rsidR="00241EAE">
        <w:instrText xml:space="preserve"> TA \l "</w:instrText>
      </w:r>
      <w:r w:rsidR="00241EAE" w:rsidRPr="002D0C49">
        <w:rPr>
          <w:i/>
        </w:rPr>
        <w:instrText xml:space="preserve">Russell v. Respond Power LLC, </w:instrText>
      </w:r>
      <w:r w:rsidR="00241EAE" w:rsidRPr="002D0C49">
        <w:instrText>Docket No. C-2014-2417551 (Initial Decision dated July 3, 2014)</w:instrText>
      </w:r>
      <w:r w:rsidR="00241EAE">
        <w:instrText xml:space="preserve">" \s "Russell v. Respond Power LLC, Docket No. C-2014-2417551 (Initial Decision dated July 3, 2014)" \c 1 </w:instrText>
      </w:r>
      <w:r w:rsidR="00241EAE">
        <w:fldChar w:fldCharType="end"/>
      </w:r>
      <w:r w:rsidR="00241EAE">
        <w:t>, ALJ Colwell issued an Interim Order granting in part and denying in part the Respondent’s preliminary objections, finding as follows:</w:t>
      </w:r>
      <w:r w:rsidR="005211CA">
        <w:t xml:space="preserve"> </w:t>
      </w:r>
    </w:p>
    <w:p w:rsidR="005211CA" w:rsidRDefault="005211CA" w:rsidP="00DA6713">
      <w:pPr>
        <w:pStyle w:val="BodyFirst1SS"/>
        <w:spacing w:line="360" w:lineRule="auto"/>
        <w:rPr>
          <w:b/>
        </w:rPr>
      </w:pPr>
    </w:p>
    <w:p w:rsidR="00241EAE" w:rsidRDefault="00241EAE" w:rsidP="005211CA">
      <w:pPr>
        <w:pStyle w:val="BodyFirst1DS"/>
      </w:pPr>
      <w:r>
        <w:t xml:space="preserve">The Commission can impose a civil penalty, payable to the Commonwealth’s General Fund, but cannot award monetary damages or direct the refund or credit to Complainant’s account, as the Commission has no ability to regulate the rates of an EGS.  </w:t>
      </w:r>
    </w:p>
    <w:p w:rsidR="005211CA" w:rsidRDefault="005211CA" w:rsidP="005211CA">
      <w:pPr>
        <w:pStyle w:val="BodyFirst1DS"/>
        <w:rPr>
          <w:b/>
        </w:rPr>
      </w:pPr>
    </w:p>
    <w:p w:rsidR="00241EAE" w:rsidRDefault="00241EAE" w:rsidP="004D0B30">
      <w:pPr>
        <w:pStyle w:val="BodyFirst1SS"/>
        <w:spacing w:line="360" w:lineRule="auto"/>
        <w:ind w:firstLine="0"/>
      </w:pPr>
      <w:r w:rsidRPr="00145DE4">
        <w:rPr>
          <w:i/>
        </w:rPr>
        <w:t>Id.</w:t>
      </w:r>
      <w:r>
        <w:t xml:space="preserve"> at. 4.</w:t>
      </w:r>
    </w:p>
    <w:p w:rsidR="005211CA" w:rsidRPr="00B63D13" w:rsidRDefault="005211CA" w:rsidP="004D0B30">
      <w:pPr>
        <w:pStyle w:val="BodyFirst1SS"/>
        <w:spacing w:line="360" w:lineRule="auto"/>
        <w:ind w:firstLine="0"/>
        <w:rPr>
          <w:b/>
        </w:rPr>
      </w:pPr>
    </w:p>
    <w:p w:rsidR="00241EAE" w:rsidRDefault="00107148" w:rsidP="004D0B30">
      <w:pPr>
        <w:pStyle w:val="BodyFirst1SS"/>
        <w:spacing w:line="360" w:lineRule="auto"/>
      </w:pPr>
      <w:r>
        <w:tab/>
      </w:r>
      <w:r w:rsidR="00241EAE">
        <w:t xml:space="preserve">Again, this is only an </w:t>
      </w:r>
      <w:r>
        <w:t>Order</w:t>
      </w:r>
      <w:r w:rsidR="00241EAE">
        <w:t>, and the</w:t>
      </w:r>
      <w:r>
        <w:t xml:space="preserve"> case settled prior to a hearing by evidence of a Certificate of Satisfaction filed on September 29, 2014</w:t>
      </w:r>
      <w:r w:rsidR="00241EAE">
        <w:t xml:space="preserve">. </w:t>
      </w:r>
    </w:p>
    <w:p w:rsidR="00241EAE" w:rsidRDefault="00241EAE" w:rsidP="004D0B30">
      <w:pPr>
        <w:pStyle w:val="BodyFirst1SS"/>
        <w:spacing w:line="360" w:lineRule="auto"/>
      </w:pPr>
    </w:p>
    <w:p w:rsidR="00241EAE" w:rsidRDefault="00595ECC" w:rsidP="005211CA">
      <w:pPr>
        <w:pStyle w:val="BodyFirst1SS"/>
        <w:spacing w:line="360" w:lineRule="auto"/>
        <w:jc w:val="left"/>
      </w:pPr>
      <w:r>
        <w:tab/>
      </w:r>
      <w:r w:rsidR="00241EAE">
        <w:t xml:space="preserve">In </w:t>
      </w:r>
      <w:r w:rsidR="00241EAE" w:rsidRPr="00B63EF1">
        <w:rPr>
          <w:i/>
        </w:rPr>
        <w:t>OCA v. Utility.com, Inc.</w:t>
      </w:r>
      <w:r w:rsidR="00241EAE">
        <w:t>, 212 P.U.R. 4</w:t>
      </w:r>
      <w:r w:rsidR="00241EAE" w:rsidRPr="00B63EF1">
        <w:rPr>
          <w:vertAlign w:val="superscript"/>
        </w:rPr>
        <w:t>th</w:t>
      </w:r>
      <w:r w:rsidR="00241EAE">
        <w:t xml:space="preserve"> 255 (2001)</w:t>
      </w:r>
      <w:r w:rsidR="00241EAE">
        <w:fldChar w:fldCharType="begin"/>
      </w:r>
      <w:r w:rsidR="00241EAE">
        <w:instrText xml:space="preserve"> TA \l "</w:instrText>
      </w:r>
      <w:r w:rsidR="00241EAE" w:rsidRPr="002D0C49">
        <w:rPr>
          <w:i/>
        </w:rPr>
        <w:instrText>OCA v. Utility.com, Inc.</w:instrText>
      </w:r>
      <w:r w:rsidR="00241EAE" w:rsidRPr="002D0C49">
        <w:instrText>, 212 P.U.R. 4</w:instrText>
      </w:r>
      <w:r w:rsidR="00241EAE" w:rsidRPr="002D0C49">
        <w:rPr>
          <w:vertAlign w:val="superscript"/>
        </w:rPr>
        <w:instrText>th</w:instrText>
      </w:r>
      <w:r w:rsidR="00241EAE" w:rsidRPr="002D0C49">
        <w:instrText xml:space="preserve"> 255 (2001)</w:instrText>
      </w:r>
      <w:r w:rsidR="00241EAE">
        <w:instrText xml:space="preserve">" \s "OCA v. Utility.com, Inc., 212 P.U.R. 4th 255 (2001)" \c 1 </w:instrText>
      </w:r>
      <w:r w:rsidR="00241EAE">
        <w:fldChar w:fldCharType="end"/>
      </w:r>
      <w:r w:rsidR="00241EAE">
        <w:t xml:space="preserve"> (“</w:t>
      </w:r>
      <w:r w:rsidR="00241EAE" w:rsidRPr="00B63EF1">
        <w:rPr>
          <w:i/>
        </w:rPr>
        <w:t>Utility.com Order</w:t>
      </w:r>
      <w:r w:rsidR="00241EAE">
        <w:t xml:space="preserve">”), the Commission at least suggested it had authority to direct an EGS’s surety bond to be distributed to its customers whom it abruptly left without an EGS because of bankruptcy and an abrupt departure from the market.  Ultimately, the Commission decided to give the bond to the Pennsylvania Department of Revenue to offset unpaid gross receipts taxes that the EGS </w:t>
      </w:r>
      <w:r w:rsidR="00E72961">
        <w:t>owed</w:t>
      </w:r>
      <w:r w:rsidR="00241EAE">
        <w:t>.</w:t>
      </w:r>
    </w:p>
    <w:p w:rsidR="00241EAE" w:rsidRDefault="00241EAE" w:rsidP="00DA6713">
      <w:pPr>
        <w:pStyle w:val="BodyFirst1SS"/>
        <w:spacing w:line="360" w:lineRule="auto"/>
        <w:rPr>
          <w:b/>
        </w:rPr>
      </w:pPr>
    </w:p>
    <w:p w:rsidR="00241EAE" w:rsidRDefault="00241EAE" w:rsidP="005211CA">
      <w:pPr>
        <w:spacing w:after="0"/>
      </w:pPr>
      <w:r>
        <w:tab/>
      </w:r>
      <w:r>
        <w:tab/>
        <w:t xml:space="preserve">There is sufficient evidence to warrant the finding of a violation of Commission regulations, and from that finding, I am also finding legal authority under 66 </w:t>
      </w:r>
      <w:r w:rsidR="0079588A">
        <w:t>Pa.C.S.</w:t>
      </w:r>
      <w:r>
        <w:t xml:space="preserve"> §§ 501, 1301 and 1312 to provide Complainant with the equitable relief he requests in the form of a credit or refund, the difference between what he owes Respond Power for electric generation supply during the months of November 2013 through </w:t>
      </w:r>
      <w:r w:rsidR="00107148">
        <w:t>March</w:t>
      </w:r>
      <w:r>
        <w:t xml:space="preserve"> 2014 and what he would have owed West Penn Power for the same service at a lower price per </w:t>
      </w:r>
      <w:r w:rsidR="006C6EEF">
        <w:t>kWh</w:t>
      </w:r>
      <w:r>
        <w:t xml:space="preserve">.  Complainant testified he switched between two EGSs, from Pennsylvania Gas and Electric to Respond Power.  Regardless, the misleading statements made to Complainant entail a promise that he would not pay rates higher than the EDC’s price to compare, West Penn Power. </w:t>
      </w:r>
    </w:p>
    <w:p w:rsidR="00141030" w:rsidRDefault="00141030" w:rsidP="005211CA">
      <w:pPr>
        <w:spacing w:after="0"/>
        <w:rPr>
          <w:rFonts w:eastAsia="Calibri"/>
          <w:u w:val="single"/>
        </w:rPr>
      </w:pPr>
    </w:p>
    <w:p w:rsidR="00241EAE" w:rsidRDefault="00241EAE" w:rsidP="005211CA">
      <w:pPr>
        <w:spacing w:after="0"/>
        <w:rPr>
          <w:rFonts w:eastAsia="Calibri"/>
          <w:u w:val="single"/>
        </w:rPr>
      </w:pPr>
      <w:r>
        <w:rPr>
          <w:rFonts w:eastAsia="Calibri"/>
          <w:u w:val="single"/>
        </w:rPr>
        <w:t>Section 54.4(c)</w:t>
      </w:r>
    </w:p>
    <w:p w:rsidR="005211CA" w:rsidRPr="009A6DCD" w:rsidRDefault="005211CA" w:rsidP="005211CA">
      <w:pPr>
        <w:spacing w:after="0"/>
        <w:rPr>
          <w:rFonts w:eastAsia="Calibri"/>
          <w:u w:val="single"/>
        </w:rPr>
      </w:pPr>
    </w:p>
    <w:p w:rsidR="00241EAE" w:rsidRDefault="00241EAE" w:rsidP="005211CA">
      <w:pPr>
        <w:spacing w:after="0"/>
        <w:rPr>
          <w:rFonts w:eastAsia="Calibri"/>
        </w:rPr>
      </w:pPr>
      <w:r>
        <w:rPr>
          <w:rFonts w:eastAsia="Calibri"/>
        </w:rPr>
        <w:tab/>
      </w:r>
      <w:r>
        <w:rPr>
          <w:rFonts w:eastAsia="Calibri"/>
        </w:rPr>
        <w:tab/>
        <w:t xml:space="preserve">The parties have differing views on the interpretation of the same language in the disclosure statement.  The parties dispute the meaning of this disclosure.  Whether or not the disclosure statement language is in compliance with 52 </w:t>
      </w:r>
      <w:r w:rsidR="0079588A">
        <w:rPr>
          <w:rFonts w:eastAsia="Calibri"/>
        </w:rPr>
        <w:t>Pa.Code</w:t>
      </w:r>
      <w:r>
        <w:rPr>
          <w:rFonts w:eastAsia="Calibri"/>
        </w:rPr>
        <w:t xml:space="preserve"> § 54.4(c) is at issue.  </w:t>
      </w:r>
    </w:p>
    <w:p w:rsidR="00241EAE" w:rsidRDefault="00241EAE" w:rsidP="00241EAE">
      <w:pPr>
        <w:spacing w:after="0"/>
        <w:ind w:right="720"/>
      </w:pPr>
      <w:r>
        <w:rPr>
          <w:u w:val="single"/>
        </w:rPr>
        <w:t xml:space="preserve">52 </w:t>
      </w:r>
      <w:r w:rsidR="0079588A">
        <w:rPr>
          <w:u w:val="single"/>
        </w:rPr>
        <w:t>Pa.Code</w:t>
      </w:r>
      <w:r>
        <w:rPr>
          <w:u w:val="single"/>
        </w:rPr>
        <w:t xml:space="preserve"> §</w:t>
      </w:r>
      <w:r w:rsidR="00611781">
        <w:rPr>
          <w:u w:val="single"/>
        </w:rPr>
        <w:t xml:space="preserve"> </w:t>
      </w:r>
      <w:r>
        <w:rPr>
          <w:u w:val="single"/>
        </w:rPr>
        <w:t>54.5(c</w:t>
      </w:r>
      <w:proofErr w:type="gramStart"/>
      <w:r>
        <w:rPr>
          <w:u w:val="single"/>
        </w:rPr>
        <w:t>)(</w:t>
      </w:r>
      <w:proofErr w:type="gramEnd"/>
      <w:r>
        <w:rPr>
          <w:u w:val="single"/>
        </w:rPr>
        <w:t>10)</w:t>
      </w:r>
      <w:r>
        <w:t xml:space="preserve"> </w:t>
      </w:r>
    </w:p>
    <w:p w:rsidR="00241EAE" w:rsidRDefault="00241EAE" w:rsidP="00241EAE">
      <w:pPr>
        <w:spacing w:after="0"/>
        <w:ind w:right="720"/>
      </w:pPr>
    </w:p>
    <w:p w:rsidR="00241EAE" w:rsidRDefault="005211CA" w:rsidP="005211CA">
      <w:pPr>
        <w:spacing w:after="0"/>
        <w:ind w:right="720"/>
        <w:rPr>
          <w:iCs/>
        </w:rPr>
      </w:pPr>
      <w:r>
        <w:tab/>
      </w:r>
      <w:r w:rsidR="00241EAE">
        <w:tab/>
      </w:r>
      <w:r w:rsidR="00241EAE" w:rsidRPr="00E17069">
        <w:rPr>
          <w:szCs w:val="24"/>
        </w:rPr>
        <w:t>In contrast</w:t>
      </w:r>
      <w:r w:rsidR="00241EAE">
        <w:rPr>
          <w:szCs w:val="24"/>
        </w:rPr>
        <w:t xml:space="preserve"> to the Affiliates Disclosure Statement given to Complainant</w:t>
      </w:r>
      <w:r w:rsidR="00241EAE" w:rsidRPr="00E17069">
        <w:rPr>
          <w:szCs w:val="24"/>
        </w:rPr>
        <w:t xml:space="preserve">, the </w:t>
      </w:r>
      <w:r w:rsidR="00241EAE">
        <w:rPr>
          <w:szCs w:val="24"/>
        </w:rPr>
        <w:t>D</w:t>
      </w:r>
      <w:r w:rsidR="00241EAE" w:rsidRPr="00E17069">
        <w:rPr>
          <w:szCs w:val="24"/>
        </w:rPr>
        <w:t xml:space="preserve">raft </w:t>
      </w:r>
      <w:r w:rsidR="00241EAE">
        <w:rPr>
          <w:szCs w:val="24"/>
        </w:rPr>
        <w:t>D</w:t>
      </w:r>
      <w:r w:rsidR="00241EAE" w:rsidRPr="00E17069">
        <w:rPr>
          <w:szCs w:val="24"/>
        </w:rPr>
        <w:t xml:space="preserve">isclosure </w:t>
      </w:r>
      <w:r w:rsidR="00241EAE">
        <w:rPr>
          <w:szCs w:val="24"/>
        </w:rPr>
        <w:t>S</w:t>
      </w:r>
      <w:r w:rsidR="00241EAE" w:rsidRPr="00E17069">
        <w:rPr>
          <w:szCs w:val="24"/>
        </w:rPr>
        <w:t>tatement</w:t>
      </w:r>
      <w:r w:rsidR="00241EAE">
        <w:rPr>
          <w:szCs w:val="24"/>
        </w:rPr>
        <w:t xml:space="preserve"> attached to Respond Power’s initial Application</w:t>
      </w:r>
      <w:r w:rsidR="00241EAE" w:rsidRPr="00E17069">
        <w:rPr>
          <w:szCs w:val="24"/>
        </w:rPr>
        <w:t xml:space="preserve"> has fewer terms on two pages in approximately a 10 </w:t>
      </w:r>
      <w:r w:rsidR="00241EAE">
        <w:rPr>
          <w:szCs w:val="24"/>
        </w:rPr>
        <w:t xml:space="preserve">point </w:t>
      </w:r>
      <w:r w:rsidR="00241EAE" w:rsidRPr="00E17069">
        <w:rPr>
          <w:szCs w:val="24"/>
        </w:rPr>
        <w:t>font and is more easily readable than the approximately 8</w:t>
      </w:r>
      <w:r w:rsidR="00241EAE">
        <w:rPr>
          <w:szCs w:val="24"/>
        </w:rPr>
        <w:t xml:space="preserve"> point</w:t>
      </w:r>
      <w:r w:rsidR="00241EAE" w:rsidRPr="00E17069">
        <w:rPr>
          <w:szCs w:val="24"/>
        </w:rPr>
        <w:t xml:space="preserve"> font on the Affiliates Disclosure Statement which is </w:t>
      </w:r>
      <w:r w:rsidR="00241EAE">
        <w:rPr>
          <w:szCs w:val="24"/>
        </w:rPr>
        <w:t xml:space="preserve">single spaced and </w:t>
      </w:r>
      <w:r w:rsidR="00241EAE" w:rsidRPr="00E17069">
        <w:rPr>
          <w:szCs w:val="24"/>
        </w:rPr>
        <w:t xml:space="preserve">on only one side of a page.  The </w:t>
      </w:r>
      <w:r w:rsidR="00241EAE">
        <w:rPr>
          <w:szCs w:val="24"/>
        </w:rPr>
        <w:t>Draft</w:t>
      </w:r>
      <w:r w:rsidR="00241EAE" w:rsidRPr="00E17069">
        <w:rPr>
          <w:szCs w:val="24"/>
        </w:rPr>
        <w:t xml:space="preserve"> Disclosure Statement has </w:t>
      </w:r>
      <w:r w:rsidR="00241EAE">
        <w:rPr>
          <w:szCs w:val="24"/>
        </w:rPr>
        <w:t>P</w:t>
      </w:r>
      <w:r w:rsidR="00241EAE" w:rsidRPr="00E17069">
        <w:rPr>
          <w:szCs w:val="24"/>
        </w:rPr>
        <w:t xml:space="preserve">aragraph </w:t>
      </w:r>
      <w:r w:rsidR="00241EAE">
        <w:rPr>
          <w:szCs w:val="24"/>
        </w:rPr>
        <w:t>N</w:t>
      </w:r>
      <w:r w:rsidR="00241EAE" w:rsidRPr="00E17069">
        <w:rPr>
          <w:szCs w:val="24"/>
        </w:rPr>
        <w:t>o. 3 Penalties, Fees and Exceptions in a larger font and</w:t>
      </w:r>
      <w:r w:rsidR="00241EAE">
        <w:t xml:space="preserve"> bolded, whereas the same Paragraph No. 3 in the Affiliates Disclosure Statement is not in a larger font and the paragraph is not bolded.  This alone is a violation of 52 </w:t>
      </w:r>
      <w:r w:rsidR="0079588A">
        <w:t>Pa.Code</w:t>
      </w:r>
      <w:r w:rsidR="00241EAE">
        <w:t xml:space="preserve"> §</w:t>
      </w:r>
      <w:r w:rsidR="00611781">
        <w:t xml:space="preserve"> </w:t>
      </w:r>
      <w:r w:rsidR="00241EAE">
        <w:t>54.5(c</w:t>
      </w:r>
      <w:proofErr w:type="gramStart"/>
      <w:r w:rsidR="00241EAE">
        <w:t>)(</w:t>
      </w:r>
      <w:proofErr w:type="gramEnd"/>
      <w:r w:rsidR="00241EAE">
        <w:t xml:space="preserve">10).  </w:t>
      </w:r>
      <w:r w:rsidR="00241EAE" w:rsidRPr="002D4CB8">
        <w:rPr>
          <w:iCs/>
        </w:rPr>
        <w:t>On June 14, 2014, the Amendment to §</w:t>
      </w:r>
      <w:r w:rsidR="00241EAE" w:rsidRPr="002D4CB8">
        <w:rPr>
          <w:iCs/>
        </w:rPr>
        <w:t> </w:t>
      </w:r>
      <w:r w:rsidR="00241EAE" w:rsidRPr="002D4CB8">
        <w:rPr>
          <w:iCs/>
        </w:rPr>
        <w:t xml:space="preserve">54.5(c)(10) </w:t>
      </w:r>
      <w:r w:rsidR="00241EAE">
        <w:rPr>
          <w:iCs/>
        </w:rPr>
        <w:t>(</w:t>
      </w:r>
      <w:r w:rsidR="00241EAE" w:rsidRPr="002D4CB8">
        <w:rPr>
          <w:iCs/>
        </w:rPr>
        <w:t>Regarding Explanation of Certain Contract Terms</w:t>
      </w:r>
      <w:r w:rsidR="00241EAE">
        <w:rPr>
          <w:iCs/>
        </w:rPr>
        <w:t>)</w:t>
      </w:r>
      <w:r w:rsidR="00241EAE" w:rsidRPr="002D4CB8">
        <w:rPr>
          <w:iCs/>
        </w:rPr>
        <w:t xml:space="preserve"> took effect, adding in the bolded section below.</w:t>
      </w:r>
    </w:p>
    <w:p w:rsidR="00241EAE" w:rsidRPr="002D4CB8" w:rsidRDefault="00241EAE" w:rsidP="005211CA">
      <w:pPr>
        <w:spacing w:after="0"/>
        <w:ind w:right="720"/>
      </w:pPr>
    </w:p>
    <w:p w:rsidR="00241EAE" w:rsidRDefault="00241EAE" w:rsidP="005211CA">
      <w:pPr>
        <w:spacing w:after="0" w:line="240" w:lineRule="auto"/>
        <w:ind w:left="720" w:right="720"/>
        <w:rPr>
          <w:rFonts w:eastAsia="Times New Roman" w:cs="Times New Roman"/>
          <w:szCs w:val="24"/>
          <w:lang w:eastAsia="zh-CN"/>
        </w:rPr>
      </w:pPr>
      <w:r w:rsidRPr="00897F20">
        <w:rPr>
          <w:rFonts w:eastAsia="Times New Roman" w:cs="Times New Roman"/>
          <w:szCs w:val="24"/>
          <w:lang w:eastAsia="zh-CN"/>
        </w:rPr>
        <w:t>(10)</w:t>
      </w:r>
      <w:r w:rsidR="005211CA">
        <w:rPr>
          <w:rFonts w:eastAsia="Times New Roman" w:cs="Times New Roman"/>
          <w:szCs w:val="24"/>
          <w:lang w:eastAsia="zh-CN"/>
        </w:rPr>
        <w:t xml:space="preserve">  </w:t>
      </w:r>
      <w:r w:rsidRPr="00897F20">
        <w:rPr>
          <w:rFonts w:eastAsia="Times New Roman" w:cs="Times New Roman"/>
          <w:szCs w:val="24"/>
          <w:lang w:eastAsia="zh-CN"/>
        </w:rPr>
        <w:t xml:space="preserve">An explanation of </w:t>
      </w:r>
      <w:r w:rsidRPr="00897F20">
        <w:rPr>
          <w:rFonts w:eastAsia="Times New Roman" w:cs="Times New Roman"/>
          <w:b/>
          <w:bCs/>
          <w:szCs w:val="24"/>
          <w:lang w:eastAsia="zh-CN"/>
        </w:rPr>
        <w:t>limits on price variability,</w:t>
      </w:r>
      <w:r w:rsidRPr="00897F20">
        <w:rPr>
          <w:rFonts w:eastAsia="Times New Roman" w:cs="Times New Roman"/>
          <w:szCs w:val="24"/>
          <w:lang w:eastAsia="zh-CN"/>
        </w:rPr>
        <w:t xml:space="preserve"> penalties, fees or exceptions, printed in type size larger than the type size appearing in the terms of service.</w:t>
      </w:r>
    </w:p>
    <w:p w:rsidR="00611781" w:rsidRPr="00897F20" w:rsidRDefault="00611781" w:rsidP="005211CA">
      <w:pPr>
        <w:spacing w:after="0" w:line="240" w:lineRule="auto"/>
        <w:ind w:left="720" w:right="720"/>
        <w:rPr>
          <w:rFonts w:eastAsia="Times New Roman" w:cs="Times New Roman"/>
          <w:szCs w:val="24"/>
          <w:lang w:eastAsia="zh-CN"/>
        </w:rPr>
      </w:pPr>
    </w:p>
    <w:p w:rsidR="00241EAE" w:rsidRDefault="00241EAE" w:rsidP="005211CA">
      <w:pPr>
        <w:spacing w:after="0" w:line="240" w:lineRule="auto"/>
        <w:rPr>
          <w:rFonts w:eastAsia="Times New Roman" w:cs="Times New Roman"/>
          <w:szCs w:val="24"/>
          <w:lang w:eastAsia="zh-CN"/>
        </w:rPr>
      </w:pPr>
      <w:r w:rsidRPr="00897F20">
        <w:rPr>
          <w:rFonts w:eastAsia="Times New Roman" w:cs="Times New Roman"/>
          <w:szCs w:val="24"/>
          <w:lang w:eastAsia="zh-CN"/>
        </w:rPr>
        <w:t>52 Pa. Code §</w:t>
      </w:r>
      <w:r w:rsidRPr="00897F20">
        <w:rPr>
          <w:rFonts w:eastAsia="Times New Roman" w:cs="Times New Roman"/>
          <w:szCs w:val="24"/>
          <w:lang w:eastAsia="zh-CN"/>
        </w:rPr>
        <w:t> </w:t>
      </w:r>
      <w:r w:rsidRPr="00897F20">
        <w:rPr>
          <w:rFonts w:eastAsia="Times New Roman" w:cs="Times New Roman"/>
          <w:szCs w:val="24"/>
          <w:lang w:eastAsia="zh-CN"/>
        </w:rPr>
        <w:t>54.5(c)(10).</w:t>
      </w:r>
      <w:r>
        <w:rPr>
          <w:rFonts w:eastAsia="Times New Roman" w:cs="Times New Roman"/>
          <w:szCs w:val="24"/>
          <w:lang w:eastAsia="zh-CN"/>
        </w:rPr>
        <w:t xml:space="preserve"> (Emphasis added).</w:t>
      </w:r>
    </w:p>
    <w:p w:rsidR="005211CA" w:rsidRPr="00897F20" w:rsidRDefault="005211CA" w:rsidP="005211CA">
      <w:pPr>
        <w:spacing w:after="0"/>
        <w:rPr>
          <w:rFonts w:eastAsia="Times New Roman" w:cs="Times New Roman"/>
          <w:szCs w:val="24"/>
          <w:lang w:eastAsia="zh-CN"/>
        </w:rPr>
      </w:pPr>
    </w:p>
    <w:p w:rsidR="00241EAE" w:rsidRDefault="00241EAE" w:rsidP="00611781">
      <w:pPr>
        <w:spacing w:after="0"/>
        <w:rPr>
          <w:rFonts w:eastAsia="Times New Roman" w:cs="Times New Roman"/>
          <w:szCs w:val="24"/>
          <w:lang w:eastAsia="zh-CN"/>
        </w:rPr>
      </w:pPr>
      <w:r>
        <w:tab/>
      </w:r>
      <w:r>
        <w:tab/>
        <w:t xml:space="preserve">The section was amended because </w:t>
      </w:r>
      <w:r w:rsidRPr="00897F20">
        <w:rPr>
          <w:rFonts w:eastAsia="Times New Roman" w:cs="Times New Roman"/>
          <w:szCs w:val="24"/>
          <w:lang w:eastAsia="zh-CN"/>
        </w:rPr>
        <w:t>it</w:t>
      </w:r>
      <w:r>
        <w:rPr>
          <w:rFonts w:eastAsia="Times New Roman" w:cs="Times New Roman"/>
          <w:szCs w:val="24"/>
          <w:lang w:eastAsia="zh-CN"/>
        </w:rPr>
        <w:t xml:space="preserve"> is</w:t>
      </w:r>
      <w:r w:rsidRPr="00897F20">
        <w:rPr>
          <w:rFonts w:eastAsia="Times New Roman" w:cs="Times New Roman"/>
          <w:szCs w:val="24"/>
          <w:lang w:eastAsia="zh-CN"/>
        </w:rPr>
        <w:t xml:space="preserve"> important to provide customers pertinent information in plain, easy-to-understand language that stands apart from the rest of the ''fine print'' of disclosure statements.</w:t>
      </w:r>
      <w:r>
        <w:rPr>
          <w:rFonts w:eastAsia="Times New Roman" w:cs="Times New Roman"/>
          <w:szCs w:val="24"/>
          <w:lang w:eastAsia="zh-CN"/>
        </w:rPr>
        <w:t xml:space="preserve">  I find that the penalties, fees and exceptions portion is not bolded.  Further</w:t>
      </w:r>
      <w:r w:rsidR="00E72961">
        <w:rPr>
          <w:rFonts w:eastAsia="Times New Roman" w:cs="Times New Roman"/>
          <w:szCs w:val="24"/>
          <w:lang w:eastAsia="zh-CN"/>
        </w:rPr>
        <w:t>,</w:t>
      </w:r>
      <w:r>
        <w:rPr>
          <w:rFonts w:eastAsia="Times New Roman" w:cs="Times New Roman"/>
          <w:szCs w:val="24"/>
          <w:lang w:eastAsia="zh-CN"/>
        </w:rPr>
        <w:t xml:space="preserve"> the print in this portion is in the same tiny print in the rest of the document; thus, I find Respond Power violated Section 54.5(c)(10).  Respondent’s Exhibits 1-2.</w:t>
      </w:r>
    </w:p>
    <w:p w:rsidR="00141030" w:rsidRDefault="00141030" w:rsidP="00611781">
      <w:pPr>
        <w:spacing w:after="0"/>
        <w:rPr>
          <w:szCs w:val="24"/>
          <w:u w:val="single"/>
        </w:rPr>
      </w:pPr>
    </w:p>
    <w:p w:rsidR="00241EAE" w:rsidRDefault="00241EAE" w:rsidP="00611781">
      <w:pPr>
        <w:spacing w:after="0"/>
        <w:rPr>
          <w:szCs w:val="24"/>
          <w:u w:val="single"/>
        </w:rPr>
      </w:pPr>
      <w:r>
        <w:rPr>
          <w:szCs w:val="24"/>
          <w:u w:val="single"/>
        </w:rPr>
        <w:t xml:space="preserve">52 </w:t>
      </w:r>
      <w:r w:rsidR="0079588A">
        <w:rPr>
          <w:szCs w:val="24"/>
          <w:u w:val="single"/>
        </w:rPr>
        <w:t>Pa.Code</w:t>
      </w:r>
      <w:r>
        <w:rPr>
          <w:szCs w:val="24"/>
          <w:u w:val="single"/>
        </w:rPr>
        <w:t xml:space="preserve"> § 54.7(a)</w:t>
      </w:r>
    </w:p>
    <w:p w:rsidR="00241EAE" w:rsidRDefault="00241EAE" w:rsidP="00611781">
      <w:pPr>
        <w:spacing w:after="0"/>
        <w:rPr>
          <w:szCs w:val="24"/>
          <w:u w:val="single"/>
        </w:rPr>
      </w:pPr>
    </w:p>
    <w:p w:rsidR="00611781" w:rsidRDefault="00241EAE" w:rsidP="004D0B30">
      <w:pPr>
        <w:spacing w:after="0"/>
        <w:rPr>
          <w:szCs w:val="24"/>
        </w:rPr>
      </w:pPr>
      <w:r>
        <w:rPr>
          <w:szCs w:val="24"/>
        </w:rPr>
        <w:tab/>
      </w:r>
      <w:r>
        <w:rPr>
          <w:szCs w:val="24"/>
        </w:rPr>
        <w:tab/>
        <w:t>The evidence supports a finding that Respo</w:t>
      </w:r>
      <w:r w:rsidR="005211CA">
        <w:rPr>
          <w:szCs w:val="24"/>
        </w:rPr>
        <w:t xml:space="preserve">nd Power violated 52 </w:t>
      </w:r>
      <w:r w:rsidR="0079588A">
        <w:rPr>
          <w:szCs w:val="24"/>
        </w:rPr>
        <w:t>Pa.Code</w:t>
      </w:r>
      <w:r w:rsidR="005211CA">
        <w:rPr>
          <w:szCs w:val="24"/>
        </w:rPr>
        <w:t xml:space="preserve"> § </w:t>
      </w:r>
      <w:r>
        <w:rPr>
          <w:szCs w:val="24"/>
        </w:rPr>
        <w:t xml:space="preserve">54.7(a) because the prices advertised by Mr. Majek to Mr. Herp did not reflect the actual billed prices Mr. Herp received in the months of November, 2013 through March, 2014. </w:t>
      </w:r>
    </w:p>
    <w:p w:rsidR="004D0B30" w:rsidRDefault="004D0B30" w:rsidP="004D0B30">
      <w:pPr>
        <w:spacing w:after="0"/>
        <w:rPr>
          <w:szCs w:val="24"/>
          <w:u w:val="single"/>
        </w:rPr>
      </w:pPr>
    </w:p>
    <w:p w:rsidR="009310FB" w:rsidRDefault="009310FB">
      <w:pPr>
        <w:spacing w:line="276" w:lineRule="auto"/>
        <w:rPr>
          <w:szCs w:val="24"/>
          <w:u w:val="single"/>
        </w:rPr>
      </w:pPr>
      <w:r>
        <w:rPr>
          <w:szCs w:val="24"/>
          <w:u w:val="single"/>
        </w:rPr>
        <w:br w:type="page"/>
      </w:r>
    </w:p>
    <w:p w:rsidR="00291E50" w:rsidRDefault="00291E50" w:rsidP="00F81524">
      <w:pPr>
        <w:spacing w:after="0"/>
        <w:rPr>
          <w:szCs w:val="24"/>
          <w:u w:val="single"/>
        </w:rPr>
      </w:pPr>
      <w:r>
        <w:rPr>
          <w:szCs w:val="24"/>
          <w:u w:val="single"/>
        </w:rPr>
        <w:t xml:space="preserve">52 </w:t>
      </w:r>
      <w:r w:rsidR="0079588A">
        <w:rPr>
          <w:szCs w:val="24"/>
          <w:u w:val="single"/>
        </w:rPr>
        <w:t>Pa.Code</w:t>
      </w:r>
      <w:r>
        <w:rPr>
          <w:szCs w:val="24"/>
          <w:u w:val="single"/>
        </w:rPr>
        <w:t xml:space="preserve"> § 54.42(a)</w:t>
      </w:r>
    </w:p>
    <w:p w:rsidR="00291E50" w:rsidRDefault="00291E50" w:rsidP="00F81524">
      <w:pPr>
        <w:spacing w:after="0"/>
        <w:rPr>
          <w:szCs w:val="24"/>
          <w:u w:val="single"/>
        </w:rPr>
      </w:pPr>
    </w:p>
    <w:p w:rsidR="00291E50" w:rsidRDefault="00291E50" w:rsidP="00F81524">
      <w:pPr>
        <w:spacing w:after="0"/>
        <w:rPr>
          <w:szCs w:val="24"/>
        </w:rPr>
      </w:pPr>
      <w:r>
        <w:rPr>
          <w:szCs w:val="24"/>
        </w:rPr>
        <w:tab/>
      </w:r>
      <w:r>
        <w:rPr>
          <w:szCs w:val="24"/>
        </w:rPr>
        <w:tab/>
        <w:t xml:space="preserve">I find Complainant has sustained his burden of proving by a preponderance of the evidence that Respond Power did not comply with the Public Utility Code and Commission regulations and orders in violation of 52 </w:t>
      </w:r>
      <w:r w:rsidR="0079588A">
        <w:rPr>
          <w:szCs w:val="24"/>
        </w:rPr>
        <w:t>Pa.Code</w:t>
      </w:r>
      <w:r>
        <w:rPr>
          <w:szCs w:val="24"/>
        </w:rPr>
        <w:t xml:space="preserve"> § 54.42(a).</w:t>
      </w:r>
    </w:p>
    <w:p w:rsidR="00291E50" w:rsidRPr="00291E50" w:rsidRDefault="00291E50" w:rsidP="00F81524">
      <w:pPr>
        <w:spacing w:after="0"/>
        <w:rPr>
          <w:szCs w:val="24"/>
        </w:rPr>
      </w:pPr>
      <w:r>
        <w:rPr>
          <w:szCs w:val="24"/>
        </w:rPr>
        <w:t xml:space="preserve"> </w:t>
      </w:r>
    </w:p>
    <w:p w:rsidR="00AA4045" w:rsidRPr="00645B5E" w:rsidRDefault="00AA4045" w:rsidP="00F81524">
      <w:pPr>
        <w:spacing w:after="0"/>
        <w:rPr>
          <w:szCs w:val="24"/>
          <w:u w:val="single"/>
        </w:rPr>
      </w:pPr>
      <w:r w:rsidRPr="00645B5E">
        <w:rPr>
          <w:szCs w:val="24"/>
          <w:u w:val="single"/>
        </w:rPr>
        <w:t xml:space="preserve">52 </w:t>
      </w:r>
      <w:r w:rsidR="0079588A">
        <w:rPr>
          <w:szCs w:val="24"/>
          <w:u w:val="single"/>
        </w:rPr>
        <w:t>Pa.Code</w:t>
      </w:r>
      <w:r w:rsidRPr="00645B5E">
        <w:rPr>
          <w:szCs w:val="24"/>
          <w:u w:val="single"/>
        </w:rPr>
        <w:t xml:space="preserve"> § 54.43(1</w:t>
      </w:r>
      <w:proofErr w:type="gramStart"/>
      <w:r w:rsidRPr="00645B5E">
        <w:rPr>
          <w:szCs w:val="24"/>
          <w:u w:val="single"/>
        </w:rPr>
        <w:t>)(</w:t>
      </w:r>
      <w:proofErr w:type="gramEnd"/>
      <w:r w:rsidRPr="00645B5E">
        <w:rPr>
          <w:szCs w:val="24"/>
          <w:u w:val="single"/>
        </w:rPr>
        <w:t>f) and (g)</w:t>
      </w:r>
    </w:p>
    <w:p w:rsidR="00F81524" w:rsidRPr="00AA4045" w:rsidRDefault="00F81524" w:rsidP="00F81524">
      <w:pPr>
        <w:spacing w:after="0"/>
        <w:rPr>
          <w:b/>
          <w:i/>
          <w:szCs w:val="24"/>
          <w:u w:val="single"/>
        </w:rPr>
      </w:pPr>
    </w:p>
    <w:p w:rsidR="00F81524" w:rsidRDefault="00F81524" w:rsidP="00F81524">
      <w:pPr>
        <w:spacing w:after="0"/>
        <w:ind w:firstLine="720"/>
        <w:rPr>
          <w:szCs w:val="24"/>
        </w:rPr>
      </w:pPr>
      <w:r>
        <w:rPr>
          <w:szCs w:val="24"/>
        </w:rPr>
        <w:tab/>
        <w:t>There is no doubt that the Commission is a strong proponent of competition among electric generation suppliers and the ability of consumers to shop for and choose their own electric generation supplier.  However, the Commissioners have also emphasized the importance of fair and honest sales and marketing practices in safeguarding consumers and preserving the integrity of the electric generation market.</w:t>
      </w:r>
      <w:r>
        <w:rPr>
          <w:rStyle w:val="FootnoteReference"/>
          <w:szCs w:val="24"/>
        </w:rPr>
        <w:footnoteReference w:id="16"/>
      </w:r>
      <w:r>
        <w:rPr>
          <w:szCs w:val="24"/>
        </w:rPr>
        <w:t xml:space="preserve">  Accordingly, Section 54.43</w:t>
      </w:r>
      <w:r>
        <w:rPr>
          <w:rStyle w:val="FootnoteReference"/>
          <w:szCs w:val="24"/>
        </w:rPr>
        <w:footnoteReference w:id="17"/>
      </w:r>
      <w:r>
        <w:rPr>
          <w:szCs w:val="24"/>
        </w:rPr>
        <w:t xml:space="preserve"> of the Commission’s regulations sets forth a code of conduct for EGS’s which is as follows in pertinent part:</w:t>
      </w:r>
    </w:p>
    <w:p w:rsidR="00F81524" w:rsidRDefault="00F81524" w:rsidP="00F81524">
      <w:pPr>
        <w:spacing w:after="0" w:line="240" w:lineRule="auto"/>
        <w:ind w:left="1440" w:right="1440"/>
      </w:pPr>
      <w:bookmarkStart w:id="1" w:name="54.43."/>
    </w:p>
    <w:p w:rsidR="00F81524" w:rsidRDefault="00F81524" w:rsidP="00F81524">
      <w:pPr>
        <w:spacing w:after="0" w:line="240" w:lineRule="auto"/>
        <w:ind w:left="1440" w:right="1440"/>
      </w:pPr>
      <w:r>
        <w:t xml:space="preserve">To protect consumers of this Commonwealth, licensees shall adhere to the following principles in the provision of electric generation service: </w:t>
      </w:r>
    </w:p>
    <w:p w:rsidR="00F81524" w:rsidRDefault="00F81524" w:rsidP="00F81524">
      <w:pPr>
        <w:spacing w:after="0" w:line="240" w:lineRule="auto"/>
        <w:ind w:left="1440" w:right="1440"/>
      </w:pPr>
    </w:p>
    <w:p w:rsidR="00F81524" w:rsidRDefault="00F81524" w:rsidP="00F81524">
      <w:pPr>
        <w:spacing w:after="0" w:line="240" w:lineRule="auto"/>
        <w:ind w:left="1440" w:right="1440"/>
      </w:pPr>
      <w:r>
        <w:t xml:space="preserve">   (1)  A licensee shall provide accurate information about their electric generation services using plain language and common terms in communications with consumers.  When new terms are used, the terms shall be defined again using plain language. Information shall be provided in a format that enables customers to compare the various electric generation services offered and the prices charged for each type of service. </w:t>
      </w:r>
    </w:p>
    <w:p w:rsidR="00F81524" w:rsidRDefault="00F81524" w:rsidP="00F81524">
      <w:pPr>
        <w:spacing w:after="0" w:line="240" w:lineRule="auto"/>
        <w:ind w:left="1440" w:right="1440"/>
      </w:pPr>
    </w:p>
    <w:p w:rsidR="00F81524" w:rsidRDefault="00F81524" w:rsidP="00F81524">
      <w:pPr>
        <w:spacing w:after="0" w:line="240" w:lineRule="auto"/>
        <w:ind w:left="1440" w:right="1440"/>
      </w:pPr>
      <w:r>
        <w:t> (f)  A licensee is responsible for any fraudulent deceptive or other unlawful marketing or billing acts performed by the licensee, its employe</w:t>
      </w:r>
      <w:r w:rsidR="00DF7018">
        <w:t>e</w:t>
      </w:r>
      <w:r>
        <w:t xml:space="preserve">s, agents or representatives.  Licensee shall inform consumers of state consumer protection laws that govern the cancellation or rescission of electric generation supply contracts.  See section 7 of the Unfair Trade Practices and Consumer Protection Law (73 P. S. § 201-7). </w:t>
      </w:r>
    </w:p>
    <w:p w:rsidR="00F81524" w:rsidRDefault="00F81524" w:rsidP="00F81524">
      <w:pPr>
        <w:spacing w:after="0" w:line="240" w:lineRule="auto"/>
        <w:ind w:left="1440" w:right="1440"/>
      </w:pPr>
    </w:p>
    <w:p w:rsidR="00F81524" w:rsidRDefault="00F81524" w:rsidP="00F81524">
      <w:pPr>
        <w:spacing w:after="0" w:line="240" w:lineRule="auto"/>
        <w:ind w:left="1440" w:right="1440"/>
      </w:pPr>
      <w:r>
        <w:t> (g)  A licensee shall comply with relevant Commission regulations, orders and directives that may be adopted.</w:t>
      </w:r>
    </w:p>
    <w:bookmarkEnd w:id="1"/>
    <w:p w:rsidR="00F81524" w:rsidRDefault="00F81524" w:rsidP="00F81524">
      <w:pPr>
        <w:spacing w:after="0"/>
        <w:rPr>
          <w:szCs w:val="24"/>
        </w:rPr>
      </w:pPr>
    </w:p>
    <w:p w:rsidR="00F81524" w:rsidRDefault="00F81524" w:rsidP="00F81524">
      <w:pPr>
        <w:spacing w:after="0"/>
        <w:rPr>
          <w:szCs w:val="24"/>
        </w:rPr>
      </w:pPr>
      <w:r>
        <w:rPr>
          <w:szCs w:val="24"/>
        </w:rPr>
        <w:t>The Commission regulation also provides that an EGS license may be revoked or suspended for failing to comply with the code of conduct as embodied in Section 54.43, but also specifically provides for enforcement action for “a violation of Pennsylvania consumer protection law.”</w:t>
      </w:r>
      <w:r>
        <w:rPr>
          <w:rStyle w:val="FootnoteReference"/>
          <w:szCs w:val="24"/>
        </w:rPr>
        <w:footnoteReference w:id="18"/>
      </w:r>
    </w:p>
    <w:p w:rsidR="00F81524" w:rsidRDefault="00F81524" w:rsidP="00F81524">
      <w:pPr>
        <w:spacing w:after="0"/>
        <w:rPr>
          <w:szCs w:val="24"/>
        </w:rPr>
      </w:pPr>
    </w:p>
    <w:p w:rsidR="00F81524" w:rsidRDefault="00F81524" w:rsidP="00611781">
      <w:pPr>
        <w:spacing w:after="0"/>
        <w:ind w:firstLine="1440"/>
        <w:rPr>
          <w:szCs w:val="24"/>
        </w:rPr>
      </w:pPr>
      <w:r>
        <w:rPr>
          <w:szCs w:val="24"/>
        </w:rPr>
        <w:t xml:space="preserve">The regulation does not define “Pennsylvania consumer protection law,” but guidance on its meaning may be derived from other Commission sources.  </w:t>
      </w:r>
      <w:r w:rsidRPr="00754F98">
        <w:rPr>
          <w:szCs w:val="24"/>
        </w:rPr>
        <w:t xml:space="preserve">Commission proceedings at </w:t>
      </w:r>
      <w:r w:rsidRPr="00754F98">
        <w:t xml:space="preserve">PUC Docket No. L-2010-2208332 have detailed </w:t>
      </w:r>
      <w:r w:rsidRPr="00754F98">
        <w:rPr>
          <w:szCs w:val="24"/>
        </w:rPr>
        <w:t>numerous proposed and tentative orders have been published, discussed and commented on by representatives of various stakeholders which signals to suppliers what types of practices are likely to be frowned upon by the Commission.</w:t>
      </w:r>
      <w:r w:rsidRPr="00754F98">
        <w:rPr>
          <w:rStyle w:val="FootnoteReference"/>
          <w:szCs w:val="24"/>
        </w:rPr>
        <w:footnoteReference w:id="19"/>
      </w:r>
      <w:r w:rsidRPr="00754F98">
        <w:rPr>
          <w:szCs w:val="24"/>
        </w:rPr>
        <w:t xml:space="preserve"> </w:t>
      </w:r>
      <w:r>
        <w:rPr>
          <w:szCs w:val="24"/>
        </w:rPr>
        <w:t xml:space="preserve"> Additionally, </w:t>
      </w:r>
      <w:r w:rsidR="00DF7018">
        <w:rPr>
          <w:szCs w:val="24"/>
        </w:rPr>
        <w:t xml:space="preserve">at the time the alleged violations occurred, </w:t>
      </w:r>
      <w:r>
        <w:rPr>
          <w:szCs w:val="24"/>
        </w:rPr>
        <w:t>the Commission require</w:t>
      </w:r>
      <w:r w:rsidR="00DF7018">
        <w:rPr>
          <w:szCs w:val="24"/>
        </w:rPr>
        <w:t>d</w:t>
      </w:r>
      <w:r>
        <w:rPr>
          <w:szCs w:val="24"/>
        </w:rPr>
        <w:t xml:space="preserve"> suppliers to adhere to the </w:t>
      </w:r>
      <w:r>
        <w:rPr>
          <w:i/>
        </w:rPr>
        <w:t xml:space="preserve">Interim Guidelines on Marketing and Sales Practices for Electric Generation Suppliers and Natural Gas Suppliers, </w:t>
      </w:r>
      <w:r>
        <w:t>PUC Docket No. M-2010-2185981.</w:t>
      </w:r>
      <w:r>
        <w:rPr>
          <w:rStyle w:val="FootnoteReference"/>
        </w:rPr>
        <w:footnoteReference w:id="20"/>
      </w:r>
      <w:r>
        <w:t xml:space="preserve">  </w:t>
      </w:r>
      <w:r>
        <w:rPr>
          <w:szCs w:val="24"/>
        </w:rPr>
        <w:t>Section 54.42(f) as well as the 2010 Interim Guidelines and 2012 Rulemaking clearly provide that an EGS is responsible for the actions of third parties retained for marketing to consumers.</w:t>
      </w:r>
    </w:p>
    <w:p w:rsidR="00291E50" w:rsidRDefault="00291E50" w:rsidP="00611781">
      <w:pPr>
        <w:spacing w:after="0"/>
        <w:rPr>
          <w:rFonts w:eastAsia="Calibri"/>
          <w:u w:val="single"/>
        </w:rPr>
      </w:pPr>
    </w:p>
    <w:p w:rsidR="00291E50" w:rsidRDefault="00291E50" w:rsidP="00611781">
      <w:pPr>
        <w:spacing w:after="0"/>
        <w:rPr>
          <w:rFonts w:eastAsia="Calibri"/>
          <w:u w:val="single"/>
        </w:rPr>
      </w:pPr>
      <w:r w:rsidRPr="00395B0C">
        <w:rPr>
          <w:rFonts w:eastAsia="Calibri"/>
          <w:u w:val="single"/>
        </w:rPr>
        <w:t xml:space="preserve">52 </w:t>
      </w:r>
      <w:r w:rsidR="0079588A">
        <w:rPr>
          <w:rFonts w:eastAsia="Calibri"/>
          <w:u w:val="single"/>
        </w:rPr>
        <w:t>Pa.Code</w:t>
      </w:r>
      <w:r w:rsidRPr="00395B0C">
        <w:rPr>
          <w:rFonts w:eastAsia="Calibri"/>
          <w:u w:val="single"/>
        </w:rPr>
        <w:t xml:space="preserve"> § 56.12</w:t>
      </w:r>
      <w:r>
        <w:rPr>
          <w:rFonts w:eastAsia="Calibri"/>
        </w:rPr>
        <w:t xml:space="preserve"> </w:t>
      </w:r>
      <w:r>
        <w:rPr>
          <w:rFonts w:eastAsia="Calibri"/>
          <w:u w:val="single"/>
        </w:rPr>
        <w:t>Meter Readings</w:t>
      </w:r>
    </w:p>
    <w:p w:rsidR="00611781" w:rsidRPr="002668F9" w:rsidRDefault="00611781" w:rsidP="00611781">
      <w:pPr>
        <w:spacing w:after="0"/>
        <w:rPr>
          <w:rFonts w:eastAsia="Calibri"/>
          <w:u w:val="single"/>
        </w:rPr>
      </w:pPr>
    </w:p>
    <w:p w:rsidR="00291E50" w:rsidRDefault="00291E50" w:rsidP="002C5805">
      <w:pPr>
        <w:spacing w:after="0"/>
        <w:rPr>
          <w:rFonts w:eastAsia="Calibri"/>
        </w:rPr>
      </w:pPr>
      <w:r>
        <w:rPr>
          <w:rFonts w:eastAsia="Calibri"/>
        </w:rPr>
        <w:tab/>
      </w:r>
      <w:r>
        <w:rPr>
          <w:rFonts w:eastAsia="Calibri"/>
        </w:rPr>
        <w:tab/>
        <w:t xml:space="preserve"> Since the EGS relies upon accurate meter readings on at least a bi-monthly basis, in order to apply the then current monthly variable rate to the usage, in the event that the EDC does not make bi-monthly actual readings, but as in the instant case, uses estimated meter readings for three or four consecutive months during a “polar vortex,”  it may be considered unjust that the customer be required to pay a “true up” bill at the end of the four months at a higher variable rate than he would have been charged, had his meter been actually read on a bi-monthly basis.  Even so, I can find no legal requirement to assign accountability upon the EGS in this case for the estimated meter reads, as the EGS relies upon the EDC for meter reading data and there is no legal requirement for EGSs to ensure an actual meter read occurs each month for the variable rate customer.   </w:t>
      </w:r>
    </w:p>
    <w:p w:rsidR="00611781" w:rsidRDefault="00611781" w:rsidP="002C5805">
      <w:pPr>
        <w:spacing w:after="0"/>
        <w:rPr>
          <w:rFonts w:eastAsia="Calibri"/>
        </w:rPr>
      </w:pPr>
    </w:p>
    <w:p w:rsidR="00291E50" w:rsidRDefault="00291E50" w:rsidP="002C5805">
      <w:pPr>
        <w:spacing w:after="0"/>
        <w:rPr>
          <w:rFonts w:eastAsia="Calibri"/>
        </w:rPr>
      </w:pPr>
      <w:r>
        <w:rPr>
          <w:rFonts w:eastAsia="Calibri"/>
        </w:rPr>
        <w:tab/>
        <w:t xml:space="preserve">52 </w:t>
      </w:r>
      <w:r w:rsidR="0079588A">
        <w:rPr>
          <w:rFonts w:eastAsia="Calibri"/>
        </w:rPr>
        <w:t>Pa.Code</w:t>
      </w:r>
      <w:r>
        <w:rPr>
          <w:rFonts w:eastAsia="Calibri"/>
        </w:rPr>
        <w:t xml:space="preserve"> § 56.12 provides as follows:</w:t>
      </w:r>
    </w:p>
    <w:p w:rsidR="002C5805" w:rsidRDefault="002C5805" w:rsidP="002C5805">
      <w:pPr>
        <w:spacing w:after="0"/>
        <w:rPr>
          <w:rFonts w:eastAsia="Calibri"/>
        </w:rPr>
      </w:pPr>
    </w:p>
    <w:p w:rsidR="00291E50" w:rsidRPr="00411ACA" w:rsidRDefault="00291E50" w:rsidP="002C5805">
      <w:pPr>
        <w:pStyle w:val="Heading4"/>
        <w:spacing w:before="0" w:line="240" w:lineRule="auto"/>
        <w:ind w:left="720" w:right="720"/>
        <w:rPr>
          <w:rFonts w:ascii="Times New Roman" w:hAnsi="Times New Roman"/>
          <w:color w:val="auto"/>
        </w:rPr>
      </w:pPr>
      <w:bookmarkStart w:id="2" w:name="56.12."/>
      <w:r w:rsidRPr="00411ACA">
        <w:rPr>
          <w:rFonts w:ascii="Times New Roman" w:hAnsi="Times New Roman"/>
          <w:color w:val="auto"/>
          <w:szCs w:val="27"/>
        </w:rPr>
        <w:t xml:space="preserve">§ 56.12. </w:t>
      </w:r>
      <w:r w:rsidRPr="00411ACA">
        <w:rPr>
          <w:rFonts w:ascii="Times New Roman" w:hAnsi="Times New Roman"/>
          <w:color w:val="auto"/>
        </w:rPr>
        <w:t>Meter reading; estimated billing; customer readings.</w:t>
      </w:r>
    </w:p>
    <w:p w:rsidR="00291E50" w:rsidRPr="00411ACA" w:rsidRDefault="00291E50" w:rsidP="002C5805">
      <w:pPr>
        <w:pStyle w:val="NormalWeb"/>
        <w:spacing w:before="0" w:beforeAutospacing="0" w:after="0" w:afterAutospacing="0"/>
        <w:ind w:left="720" w:right="720"/>
      </w:pPr>
      <w:r w:rsidRPr="00411ACA">
        <w:t xml:space="preserve">Except as provided in this section, a public utility shall render bills based on actual meter readings by public utility company personnel. </w:t>
      </w:r>
    </w:p>
    <w:p w:rsidR="00291E50" w:rsidRPr="00411ACA" w:rsidRDefault="00291E50" w:rsidP="002C5805">
      <w:pPr>
        <w:pStyle w:val="NormalWeb"/>
        <w:spacing w:before="0" w:beforeAutospacing="0" w:after="0" w:afterAutospacing="0"/>
        <w:ind w:left="720" w:right="720"/>
      </w:pPr>
      <w:r w:rsidRPr="00411ACA">
        <w:t xml:space="preserve">(1) </w:t>
      </w:r>
      <w:r w:rsidRPr="00411ACA">
        <w:rPr>
          <w:i/>
          <w:iCs/>
        </w:rPr>
        <w:t xml:space="preserve">Inapplicability to seasonally billed customers. </w:t>
      </w:r>
      <w:r w:rsidRPr="00411ACA">
        <w:t xml:space="preserve">This section does not apply to customers billed on a seasonal basis under terms included in the tariff of the public utility. </w:t>
      </w:r>
    </w:p>
    <w:p w:rsidR="00291E50" w:rsidRPr="00411ACA" w:rsidRDefault="00291E50" w:rsidP="00291E50">
      <w:pPr>
        <w:pStyle w:val="NormalWeb"/>
        <w:ind w:left="720" w:right="720"/>
      </w:pPr>
      <w:r w:rsidRPr="00411ACA">
        <w:t xml:space="preserve">(2) </w:t>
      </w:r>
      <w:r w:rsidRPr="00411ACA">
        <w:rPr>
          <w:i/>
          <w:iCs/>
        </w:rPr>
        <w:t xml:space="preserve">Estimates for bills rendered on a monthly basis. </w:t>
      </w:r>
      <w:r w:rsidRPr="00411ACA">
        <w:t xml:space="preserve">If a public utility bills on a monthly basis, it may estimate usage of service every other billing month, so long as the public utility provides a customer with the opportunity to read the meter and report the quantity of usage in lieu of the estimated bill. The resulting bills must be based on the information provided, except for an account when it is apparent that the information is erroneous. </w:t>
      </w:r>
    </w:p>
    <w:p w:rsidR="00291E50" w:rsidRPr="00411ACA" w:rsidRDefault="00611781" w:rsidP="00291E50">
      <w:pPr>
        <w:pStyle w:val="NormalWeb"/>
        <w:ind w:left="720" w:right="720"/>
      </w:pPr>
      <w:r>
        <w:t xml:space="preserve">  </w:t>
      </w:r>
      <w:r w:rsidR="00291E50" w:rsidRPr="00411ACA">
        <w:t xml:space="preserve">(i) Upon the request of the customer, the public utility shall, at least annually, provide preaddressed postcards on which the customer may report the reading. The public utility shall provide additional preaddressed postcards on request. The public utility may choose to make available electronic and telephonic methods for customers to report meter reading information. </w:t>
      </w:r>
    </w:p>
    <w:p w:rsidR="00291E50" w:rsidRPr="00411ACA" w:rsidRDefault="00611781" w:rsidP="00291E50">
      <w:pPr>
        <w:pStyle w:val="NormalWeb"/>
        <w:ind w:left="720" w:right="720"/>
      </w:pPr>
      <w:r>
        <w:t xml:space="preserve">  </w:t>
      </w:r>
      <w:r w:rsidR="00291E50" w:rsidRPr="00411ACA">
        <w:t xml:space="preserve">(ii) The public utility may establish due dates by which the customer supplied reading shall be received for a bill to be based upon the meter reading of the customer or occupant. If the reading of a customer or occupant is not received by that due date, the public utility may estimate the quantity of usage. The public utility may establish due dates for submitting a meter reading when the customer or occupant utilizes an electronic method for reporting meter readings. </w:t>
      </w:r>
    </w:p>
    <w:p w:rsidR="00291E50" w:rsidRPr="00411ACA" w:rsidRDefault="00291E50" w:rsidP="00291E50">
      <w:pPr>
        <w:pStyle w:val="NormalWeb"/>
        <w:ind w:left="720" w:right="720"/>
      </w:pPr>
      <w:r w:rsidRPr="00411ACA">
        <w:t xml:space="preserve">(3) </w:t>
      </w:r>
      <w:r w:rsidRPr="00411ACA">
        <w:rPr>
          <w:i/>
          <w:iCs/>
        </w:rPr>
        <w:t xml:space="preserve">Estimates permitted under exigent circumstances. </w:t>
      </w:r>
      <w:r w:rsidRPr="00411ACA">
        <w:t xml:space="preserve">A public utility may estimate the bill of a customer if extreme weather conditions, emergencies, equipment failure, work stoppages or other circumstances prevent actual meter reading. </w:t>
      </w:r>
    </w:p>
    <w:p w:rsidR="00291E50" w:rsidRDefault="00291E50" w:rsidP="002C5805">
      <w:pPr>
        <w:pStyle w:val="NormalWeb"/>
        <w:spacing w:before="0" w:beforeAutospacing="0" w:after="0" w:afterAutospacing="0"/>
        <w:ind w:left="720" w:right="720"/>
      </w:pPr>
      <w:r w:rsidRPr="00411ACA">
        <w:t xml:space="preserve">(4) </w:t>
      </w:r>
      <w:r w:rsidRPr="00411ACA">
        <w:rPr>
          <w:i/>
          <w:iCs/>
        </w:rPr>
        <w:t xml:space="preserve">Estimates when public utility personnel are unable to gain access. </w:t>
      </w:r>
      <w:r w:rsidRPr="00411ACA">
        <w:t xml:space="preserve">A public utility may estimate the bill of a customer if public utility personnel are unable to gain access to obtain an actual meter reading, as long as the following apply: </w:t>
      </w:r>
    </w:p>
    <w:p w:rsidR="002C5805" w:rsidRPr="00411ACA" w:rsidRDefault="002C5805" w:rsidP="002C5805">
      <w:pPr>
        <w:pStyle w:val="NormalWeb"/>
        <w:spacing w:before="0" w:beforeAutospacing="0" w:after="0" w:afterAutospacing="0" w:line="360" w:lineRule="auto"/>
        <w:ind w:left="720" w:right="720"/>
      </w:pPr>
    </w:p>
    <w:bookmarkEnd w:id="2"/>
    <w:p w:rsidR="00291E50" w:rsidRDefault="00291E50" w:rsidP="002C5805">
      <w:pPr>
        <w:spacing w:after="0"/>
        <w:rPr>
          <w:rFonts w:eastAsia="Calibri"/>
        </w:rPr>
      </w:pPr>
      <w:r>
        <w:rPr>
          <w:rFonts w:eastAsia="Calibri"/>
        </w:rPr>
        <w:t>The obligation is upon the EDC under Section 56.12 and possibly under its tariff to take bi-monthly actual reads unless estimated reads must be made under exigent circumstances.  Respond Power has no tariff in Pennsylvania.  West Penn Power was not a party to this proceeding.  However, it does demonstrate the intertwining responsibilities between an EDC and the EGS in these types of v</w:t>
      </w:r>
      <w:r w:rsidR="002C5805">
        <w:rPr>
          <w:rFonts w:eastAsia="Calibri"/>
        </w:rPr>
        <w:t xml:space="preserve">ariable rate complaint cases.  </w:t>
      </w:r>
      <w:r>
        <w:rPr>
          <w:rFonts w:eastAsia="Calibri"/>
        </w:rPr>
        <w:t xml:space="preserve">The EDC may have violated a Commission regulation in not taking actual meter reads on a bi-monthly basis in the months of December 2013 – March 2014; however, the EDC (West Penn Power) is not a named Respondent in this case.  Then again there is a question of whether despite Respond Power’s dependence upon the West Penn Power’s meter reads, since it also received a monthly EDI report from West Penn Power showing Mr. Herp’s usage, could Respond Power have taken some action to have billed Mr. Herp differently, and is there a legal obligation to do so?  I am unaware of any legal obligation to do so.  Therefore, I find no violation of 52 </w:t>
      </w:r>
      <w:r w:rsidR="0079588A">
        <w:rPr>
          <w:rFonts w:eastAsia="Calibri"/>
        </w:rPr>
        <w:t>Pa.Code</w:t>
      </w:r>
      <w:r>
        <w:rPr>
          <w:rFonts w:eastAsia="Calibri"/>
        </w:rPr>
        <w:t xml:space="preserve"> § 56.12.</w:t>
      </w:r>
    </w:p>
    <w:p w:rsidR="00F81524" w:rsidRDefault="00F81524" w:rsidP="002C5805">
      <w:pPr>
        <w:spacing w:after="0"/>
        <w:ind w:firstLine="1440"/>
        <w:rPr>
          <w:szCs w:val="24"/>
        </w:rPr>
      </w:pPr>
    </w:p>
    <w:p w:rsidR="001844B8" w:rsidRDefault="00095106" w:rsidP="002C5805">
      <w:pPr>
        <w:spacing w:after="0"/>
        <w:rPr>
          <w:i/>
          <w:u w:val="single"/>
        </w:rPr>
      </w:pPr>
      <w:proofErr w:type="gramStart"/>
      <w:r>
        <w:rPr>
          <w:u w:val="single"/>
        </w:rPr>
        <w:t xml:space="preserve">52 </w:t>
      </w:r>
      <w:r w:rsidR="0079588A">
        <w:rPr>
          <w:u w:val="single"/>
        </w:rPr>
        <w:t>Pa.Code</w:t>
      </w:r>
      <w:r>
        <w:rPr>
          <w:u w:val="single"/>
        </w:rPr>
        <w:t xml:space="preserve"> §§ 111 </w:t>
      </w:r>
      <w:r>
        <w:rPr>
          <w:i/>
          <w:u w:val="single"/>
        </w:rPr>
        <w:t>et seq.</w:t>
      </w:r>
      <w:proofErr w:type="gramEnd"/>
    </w:p>
    <w:p w:rsidR="002C5805" w:rsidRPr="002C5805" w:rsidRDefault="002C5805" w:rsidP="002C5805">
      <w:pPr>
        <w:spacing w:after="0"/>
      </w:pPr>
    </w:p>
    <w:p w:rsidR="00EC30F8" w:rsidRDefault="00627BD0" w:rsidP="002C5805">
      <w:pPr>
        <w:spacing w:after="0"/>
      </w:pPr>
      <w:r>
        <w:tab/>
      </w:r>
      <w:r>
        <w:tab/>
      </w:r>
      <w:r w:rsidR="00EC30F8">
        <w:t>Chapter 111 (relating to Marketing and Sales Practices for the Retail Residential Energy Market</w:t>
      </w:r>
      <w:r w:rsidR="00C21DAC">
        <w:t xml:space="preserve">) of title 52, </w:t>
      </w:r>
      <w:r w:rsidR="0079588A">
        <w:t>Pa.Code</w:t>
      </w:r>
      <w:r w:rsidR="00C21DAC">
        <w:t>,</w:t>
      </w:r>
      <w:r w:rsidR="00EC30F8">
        <w:t xml:space="preserve"> became effective June 29, 2013, 43 Pa. B. 3473</w:t>
      </w:r>
      <w:r w:rsidR="00C21DAC">
        <w:t xml:space="preserve">.  </w:t>
      </w:r>
      <w:r w:rsidR="00EC30F8">
        <w:tab/>
      </w:r>
      <w:r w:rsidR="00EC30F8">
        <w:tab/>
      </w:r>
    </w:p>
    <w:p w:rsidR="00627BD0" w:rsidRDefault="00627BD0" w:rsidP="002C5805">
      <w:pPr>
        <w:spacing w:after="0" w:line="240" w:lineRule="auto"/>
        <w:ind w:left="720" w:right="720"/>
      </w:pPr>
    </w:p>
    <w:p w:rsidR="009A6DCD" w:rsidRDefault="009A6DCD" w:rsidP="002C5805">
      <w:pPr>
        <w:spacing w:after="0"/>
        <w:rPr>
          <w:bCs/>
        </w:rPr>
      </w:pPr>
      <w:r>
        <w:rPr>
          <w:bCs/>
        </w:rPr>
        <w:tab/>
      </w:r>
      <w:r>
        <w:rPr>
          <w:bCs/>
        </w:rPr>
        <w:tab/>
        <w:t xml:space="preserve">Section 111.3 provides that a supplier may use an agent to conduct marketing or sales activities in accordance with applicable Commission rules, regulations, and orders.  A supplier may be responsible for representations made by an agent in the course of sales and marketing contacts with Complainant.  </w:t>
      </w:r>
    </w:p>
    <w:p w:rsidR="009A6DCD" w:rsidRDefault="009A6DCD" w:rsidP="002C5805">
      <w:pPr>
        <w:spacing w:after="0"/>
      </w:pPr>
    </w:p>
    <w:p w:rsidR="00E81B4C" w:rsidRDefault="002C5805" w:rsidP="002C5805">
      <w:pPr>
        <w:spacing w:after="0"/>
      </w:pPr>
      <w:r>
        <w:tab/>
      </w:r>
      <w:r w:rsidR="00E81B4C">
        <w:t xml:space="preserve">52 </w:t>
      </w:r>
      <w:r w:rsidR="0079588A">
        <w:t>Pa.Code</w:t>
      </w:r>
      <w:r w:rsidR="00E81B4C">
        <w:t xml:space="preserve"> § 111.7(a</w:t>
      </w:r>
      <w:proofErr w:type="gramStart"/>
      <w:r w:rsidR="00E81B4C">
        <w:t>)(</w:t>
      </w:r>
      <w:proofErr w:type="gramEnd"/>
      <w:r w:rsidR="00E81B4C">
        <w:t>1)(i) provides:</w:t>
      </w:r>
    </w:p>
    <w:p w:rsidR="00E81B4C" w:rsidRDefault="00E81B4C" w:rsidP="002C5805">
      <w:pPr>
        <w:spacing w:after="0" w:line="240" w:lineRule="auto"/>
      </w:pPr>
    </w:p>
    <w:p w:rsidR="00E81B4C" w:rsidRDefault="00E81B4C" w:rsidP="002C5805">
      <w:pPr>
        <w:spacing w:after="0" w:line="240" w:lineRule="auto"/>
        <w:ind w:left="720" w:right="720"/>
      </w:pPr>
      <w:r>
        <w:t>(a) a supplier shall establish a written, oral or electronic transaction process for a customer to authorize the transfer of the customer’s account to the supplier.</w:t>
      </w:r>
    </w:p>
    <w:p w:rsidR="00E81B4C" w:rsidRDefault="00E81B4C" w:rsidP="00E81B4C">
      <w:pPr>
        <w:spacing w:after="0" w:line="240" w:lineRule="auto"/>
        <w:ind w:left="720" w:right="720"/>
      </w:pPr>
      <w:r>
        <w:t>(1) a document used to complete a transaction must include a means to identify, when an agent is involved, the agent who completed the transaction and a notation indicating whether the transaction was the result of:</w:t>
      </w:r>
    </w:p>
    <w:p w:rsidR="00E81B4C" w:rsidRDefault="002C5805" w:rsidP="00E81B4C">
      <w:pPr>
        <w:spacing w:after="0" w:line="240" w:lineRule="auto"/>
        <w:ind w:left="720" w:right="720"/>
      </w:pPr>
      <w:r>
        <w:t xml:space="preserve">  </w:t>
      </w:r>
      <w:r w:rsidR="00E81B4C">
        <w:t>(i) a door-to-door call or other in-person contact with an agent.</w:t>
      </w:r>
    </w:p>
    <w:p w:rsidR="00E81B4C" w:rsidRDefault="00E81B4C" w:rsidP="00E81B4C">
      <w:pPr>
        <w:spacing w:after="0" w:line="240" w:lineRule="auto"/>
        <w:ind w:left="720" w:right="720"/>
      </w:pPr>
    </w:p>
    <w:p w:rsidR="00E81B4C" w:rsidRDefault="00E81B4C" w:rsidP="00B90E93">
      <w:pPr>
        <w:spacing w:after="0"/>
      </w:pPr>
      <w:r>
        <w:t xml:space="preserve">52 </w:t>
      </w:r>
      <w:r w:rsidR="0079588A">
        <w:t>Pa.Code</w:t>
      </w:r>
      <w:r>
        <w:t xml:space="preserve"> § 111.7(a</w:t>
      </w:r>
      <w:proofErr w:type="gramStart"/>
      <w:r>
        <w:t>)(</w:t>
      </w:r>
      <w:proofErr w:type="gramEnd"/>
      <w:r>
        <w:t>1)(i).</w:t>
      </w:r>
    </w:p>
    <w:p w:rsidR="00E81B4C" w:rsidRDefault="00E81B4C" w:rsidP="00B90E93">
      <w:pPr>
        <w:spacing w:after="0"/>
      </w:pPr>
    </w:p>
    <w:p w:rsidR="00E64F61" w:rsidRDefault="00E81B4C" w:rsidP="00045A3A">
      <w:pPr>
        <w:spacing w:after="0"/>
      </w:pPr>
      <w:r>
        <w:rPr>
          <w:rFonts w:eastAsia="Calibri"/>
        </w:rPr>
        <w:tab/>
      </w:r>
      <w:r>
        <w:rPr>
          <w:rFonts w:eastAsia="Calibri"/>
        </w:rPr>
        <w:tab/>
        <w:t xml:space="preserve">The Sales Agreement (Respondent’s Exhibit 1) </w:t>
      </w:r>
      <w:r w:rsidR="00D73B96">
        <w:rPr>
          <w:rFonts w:eastAsia="Calibri"/>
        </w:rPr>
        <w:t xml:space="preserve">is the document used to complete the transaction with Mr. Herp and it </w:t>
      </w:r>
      <w:r>
        <w:rPr>
          <w:rFonts w:eastAsia="Calibri"/>
        </w:rPr>
        <w:t xml:space="preserve">does not have any indication whether this was a door-to-door or in-person contact with an agent in violation of 52 </w:t>
      </w:r>
      <w:r w:rsidR="0079588A">
        <w:rPr>
          <w:rFonts w:eastAsia="Calibri"/>
        </w:rPr>
        <w:t>Pa.Code</w:t>
      </w:r>
      <w:r>
        <w:rPr>
          <w:rFonts w:eastAsia="Calibri"/>
        </w:rPr>
        <w:t xml:space="preserve"> § 111.7(a)(1)(i).</w:t>
      </w:r>
      <w:r w:rsidR="00045A3A">
        <w:rPr>
          <w:rFonts w:eastAsia="Calibri"/>
        </w:rPr>
        <w:t xml:space="preserve"> </w:t>
      </w:r>
      <w:r>
        <w:rPr>
          <w:rFonts w:eastAsia="Calibri"/>
        </w:rPr>
        <w:t xml:space="preserve"> </w:t>
      </w:r>
      <w:r w:rsidR="00D73B96">
        <w:rPr>
          <w:rFonts w:eastAsia="Calibri"/>
        </w:rPr>
        <w:t xml:space="preserve">In fact, there is no indication whether the agent contacted the customer by telephone, in-person, or received a written completed sales agreement without any interaction at all between the customer and agent. </w:t>
      </w:r>
      <w:r w:rsidR="00E64F61">
        <w:rPr>
          <w:rFonts w:eastAsia="Calibri"/>
        </w:rPr>
        <w:t xml:space="preserve"> Additionally, although there appears to be a verification record, Respondent did not offer it into evidence to show compliance with this regulation  Accordingly, I find Respond Power violated</w:t>
      </w:r>
      <w:r w:rsidR="00D73B96">
        <w:rPr>
          <w:rFonts w:eastAsia="Calibri"/>
        </w:rPr>
        <w:t xml:space="preserve"> </w:t>
      </w:r>
      <w:r w:rsidR="00E64F61">
        <w:t xml:space="preserve">52 </w:t>
      </w:r>
      <w:r w:rsidR="0079588A">
        <w:t>Pa.Code</w:t>
      </w:r>
      <w:r w:rsidR="00E64F61">
        <w:t xml:space="preserve"> § 111.7(a)(1)(i).</w:t>
      </w:r>
    </w:p>
    <w:p w:rsidR="009E55B4" w:rsidRDefault="009E55B4" w:rsidP="00045A3A">
      <w:pPr>
        <w:spacing w:after="0"/>
        <w:rPr>
          <w:bCs/>
        </w:rPr>
      </w:pPr>
    </w:p>
    <w:p w:rsidR="009A6DCD" w:rsidRDefault="002F7CF0" w:rsidP="00045A3A">
      <w:pPr>
        <w:spacing w:after="0"/>
        <w:rPr>
          <w:bCs/>
        </w:rPr>
      </w:pPr>
      <w:r>
        <w:rPr>
          <w:bCs/>
        </w:rPr>
        <w:tab/>
      </w:r>
      <w:r>
        <w:rPr>
          <w:bCs/>
        </w:rPr>
        <w:tab/>
      </w:r>
      <w:r w:rsidR="009A6DCD">
        <w:rPr>
          <w:bCs/>
        </w:rPr>
        <w:t>The Commission’s regulations regarding consumer protection at Section 111.12(d)(2) provide:</w:t>
      </w:r>
    </w:p>
    <w:p w:rsidR="009A6DCD" w:rsidRDefault="009A6DCD" w:rsidP="00045A3A">
      <w:pPr>
        <w:spacing w:after="0"/>
        <w:rPr>
          <w:bCs/>
        </w:rPr>
      </w:pPr>
    </w:p>
    <w:p w:rsidR="009A6DCD" w:rsidRDefault="009A6DCD" w:rsidP="00045A3A">
      <w:pPr>
        <w:spacing w:after="0" w:line="240" w:lineRule="auto"/>
        <w:ind w:left="720" w:right="720"/>
        <w:rPr>
          <w:bCs/>
        </w:rPr>
      </w:pPr>
      <w:r>
        <w:rPr>
          <w:bCs/>
        </w:rPr>
        <w:tab/>
        <w:t>(d)</w:t>
      </w:r>
      <w:r>
        <w:rPr>
          <w:bCs/>
        </w:rPr>
        <w:tab/>
        <w:t>A supplier:</w:t>
      </w:r>
    </w:p>
    <w:p w:rsidR="009A6DCD" w:rsidRDefault="009A6DCD" w:rsidP="00045A3A">
      <w:pPr>
        <w:spacing w:after="0" w:line="240" w:lineRule="auto"/>
        <w:ind w:left="720" w:right="720"/>
        <w:rPr>
          <w:bCs/>
        </w:rPr>
      </w:pPr>
      <w:r>
        <w:rPr>
          <w:bCs/>
        </w:rPr>
        <w:tab/>
        <w:t>(2)</w:t>
      </w:r>
      <w:r>
        <w:rPr>
          <w:bCs/>
        </w:rPr>
        <w:tab/>
        <w:t>May not make false or misleading representations including misrepresenting rates or savings offered by the supplier.</w:t>
      </w:r>
    </w:p>
    <w:p w:rsidR="009A6DCD" w:rsidRDefault="009A6DCD" w:rsidP="00045A3A">
      <w:pPr>
        <w:spacing w:after="0" w:line="240" w:lineRule="auto"/>
        <w:ind w:left="720" w:right="720"/>
        <w:rPr>
          <w:bCs/>
        </w:rPr>
      </w:pPr>
    </w:p>
    <w:p w:rsidR="009A6DCD" w:rsidRDefault="009A6DCD" w:rsidP="00045A3A">
      <w:pPr>
        <w:spacing w:after="0" w:line="240" w:lineRule="auto"/>
        <w:ind w:left="1440" w:right="720"/>
        <w:rPr>
          <w:bCs/>
        </w:rPr>
      </w:pPr>
      <w:r>
        <w:rPr>
          <w:bCs/>
        </w:rPr>
        <w:t xml:space="preserve">* * * * </w:t>
      </w:r>
    </w:p>
    <w:p w:rsidR="00045A3A" w:rsidRDefault="00045A3A" w:rsidP="00045A3A">
      <w:pPr>
        <w:spacing w:after="0" w:line="240" w:lineRule="auto"/>
        <w:ind w:left="1440" w:right="720"/>
        <w:rPr>
          <w:bCs/>
        </w:rPr>
      </w:pPr>
    </w:p>
    <w:p w:rsidR="009A6DCD" w:rsidRDefault="009A6DCD" w:rsidP="00045A3A">
      <w:pPr>
        <w:spacing w:after="0" w:line="240" w:lineRule="auto"/>
        <w:ind w:left="1440" w:right="720"/>
        <w:rPr>
          <w:bCs/>
        </w:rPr>
      </w:pPr>
      <w:r>
        <w:rPr>
          <w:bCs/>
        </w:rPr>
        <w:t>(4)</w:t>
      </w:r>
      <w:r>
        <w:rPr>
          <w:bCs/>
        </w:rPr>
        <w:tab/>
        <w:t xml:space="preserve">Shall provide accurate and timely information about services and products being offered.  Information includes rates being offered, contract terms, early termination fees and right of cancellation and rescission. </w:t>
      </w:r>
    </w:p>
    <w:p w:rsidR="009A6DCD" w:rsidRDefault="009A6DCD" w:rsidP="00045A3A">
      <w:pPr>
        <w:spacing w:after="0" w:line="240" w:lineRule="auto"/>
        <w:ind w:left="1440" w:right="720"/>
        <w:rPr>
          <w:bCs/>
        </w:rPr>
      </w:pPr>
    </w:p>
    <w:p w:rsidR="002F7CF0" w:rsidRDefault="002F7CF0" w:rsidP="00045A3A">
      <w:pPr>
        <w:spacing w:after="0" w:line="240" w:lineRule="auto"/>
        <w:ind w:right="720"/>
        <w:rPr>
          <w:bCs/>
        </w:rPr>
      </w:pPr>
      <w:r>
        <w:rPr>
          <w:bCs/>
        </w:rPr>
        <w:t xml:space="preserve">52 </w:t>
      </w:r>
      <w:r w:rsidR="0079588A">
        <w:rPr>
          <w:bCs/>
        </w:rPr>
        <w:t>Pa.Code</w:t>
      </w:r>
      <w:r>
        <w:rPr>
          <w:bCs/>
        </w:rPr>
        <w:t xml:space="preserve"> § 111.12(d</w:t>
      </w:r>
      <w:proofErr w:type="gramStart"/>
      <w:r>
        <w:rPr>
          <w:bCs/>
        </w:rPr>
        <w:t>)(</w:t>
      </w:r>
      <w:proofErr w:type="gramEnd"/>
      <w:r>
        <w:rPr>
          <w:bCs/>
        </w:rPr>
        <w:t>2) and (4).</w:t>
      </w:r>
    </w:p>
    <w:p w:rsidR="00045A3A" w:rsidRDefault="00045A3A" w:rsidP="00045A3A">
      <w:pPr>
        <w:spacing w:after="0"/>
        <w:ind w:right="720"/>
        <w:rPr>
          <w:bCs/>
        </w:rPr>
      </w:pPr>
    </w:p>
    <w:p w:rsidR="002F7CF0" w:rsidRDefault="00E64F61" w:rsidP="00045A3A">
      <w:pPr>
        <w:spacing w:after="0"/>
        <w:rPr>
          <w:bCs/>
        </w:rPr>
      </w:pPr>
      <w:r>
        <w:rPr>
          <w:bCs/>
        </w:rPr>
        <w:tab/>
      </w:r>
      <w:r>
        <w:rPr>
          <w:bCs/>
        </w:rPr>
        <w:tab/>
        <w:t>I find Complainant’s testimony credible that Mr. Majek made false or misleading representations regarding the rates Respo</w:t>
      </w:r>
      <w:r w:rsidR="00045A3A">
        <w:rPr>
          <w:bCs/>
        </w:rPr>
        <w:t>nd Energy would be charging Mr. </w:t>
      </w:r>
      <w:r>
        <w:rPr>
          <w:bCs/>
        </w:rPr>
        <w:t xml:space="preserve">Herp under the variable rate service agreement.  </w:t>
      </w:r>
      <w:r w:rsidR="00004867">
        <w:rPr>
          <w:bCs/>
        </w:rPr>
        <w:t>The testimony of Mr. Hacke</w:t>
      </w:r>
      <w:r w:rsidR="00045A3A">
        <w:rPr>
          <w:bCs/>
        </w:rPr>
        <w:t>tt refutes the testimony of Mr. </w:t>
      </w:r>
      <w:r w:rsidR="00004867">
        <w:rPr>
          <w:bCs/>
        </w:rPr>
        <w:t xml:space="preserve">Small that his agents are trained to not guarantee savings.  </w:t>
      </w:r>
      <w:r>
        <w:rPr>
          <w:bCs/>
        </w:rPr>
        <w:t xml:space="preserve">Complainant </w:t>
      </w:r>
      <w:r w:rsidR="002F7CF0">
        <w:rPr>
          <w:bCs/>
        </w:rPr>
        <w:t xml:space="preserve">has sustained his burden of proof in showing Respond Power violated 52 </w:t>
      </w:r>
      <w:r w:rsidR="0079588A">
        <w:rPr>
          <w:bCs/>
        </w:rPr>
        <w:t>Pa.Code</w:t>
      </w:r>
      <w:r w:rsidR="002F7CF0">
        <w:rPr>
          <w:bCs/>
        </w:rPr>
        <w:t xml:space="preserve"> § 111.12(d</w:t>
      </w:r>
      <w:proofErr w:type="gramStart"/>
      <w:r w:rsidR="002F7CF0">
        <w:rPr>
          <w:bCs/>
        </w:rPr>
        <w:t>)(</w:t>
      </w:r>
      <w:proofErr w:type="gramEnd"/>
      <w:r w:rsidR="002F7CF0">
        <w:rPr>
          <w:bCs/>
        </w:rPr>
        <w:t>2) and (4).</w:t>
      </w:r>
      <w:r w:rsidR="00291E50">
        <w:rPr>
          <w:bCs/>
        </w:rPr>
        <w:t xml:space="preserve">  I further find Respond Power violated 52 </w:t>
      </w:r>
      <w:r w:rsidR="0079588A">
        <w:rPr>
          <w:bCs/>
        </w:rPr>
        <w:t>Pa.Code</w:t>
      </w:r>
      <w:r w:rsidR="00291E50">
        <w:rPr>
          <w:bCs/>
        </w:rPr>
        <w:t xml:space="preserve"> § 111.9(b) as its agent, Larry Majek, did not comply with regulations governing marketing, consumer protection and door-to-door sales including consumer protection regulations at Chapter 54 and billing practices in Chapter 56.</w:t>
      </w:r>
    </w:p>
    <w:p w:rsidR="00107148" w:rsidRDefault="00107148" w:rsidP="00045A3A">
      <w:pPr>
        <w:spacing w:after="0"/>
        <w:rPr>
          <w:rFonts w:eastAsia="Calibri"/>
          <w:u w:val="single"/>
        </w:rPr>
      </w:pPr>
    </w:p>
    <w:p w:rsidR="0051481B" w:rsidRDefault="0051481B" w:rsidP="00045A3A">
      <w:pPr>
        <w:spacing w:after="0"/>
        <w:rPr>
          <w:rFonts w:eastAsia="Calibri"/>
          <w:u w:val="single"/>
        </w:rPr>
      </w:pPr>
      <w:r>
        <w:rPr>
          <w:rFonts w:eastAsia="Calibri"/>
          <w:u w:val="single"/>
        </w:rPr>
        <w:t>Complainant’s Request for Knowledge About Energy Costs Prior to Energy Use</w:t>
      </w:r>
    </w:p>
    <w:p w:rsidR="00045A3A" w:rsidRDefault="00045A3A" w:rsidP="00045A3A">
      <w:pPr>
        <w:spacing w:after="0"/>
        <w:rPr>
          <w:rFonts w:eastAsia="Calibri"/>
          <w:u w:val="single"/>
        </w:rPr>
      </w:pPr>
    </w:p>
    <w:p w:rsidR="0051481B" w:rsidRDefault="0051481B" w:rsidP="00045A3A">
      <w:pPr>
        <w:spacing w:after="0"/>
        <w:rPr>
          <w:rFonts w:eastAsia="Calibri"/>
        </w:rPr>
      </w:pPr>
      <w:r>
        <w:rPr>
          <w:rFonts w:eastAsia="Calibri"/>
        </w:rPr>
        <w:tab/>
      </w:r>
      <w:r>
        <w:rPr>
          <w:rFonts w:eastAsia="Calibri"/>
        </w:rPr>
        <w:tab/>
        <w:t xml:space="preserve">On April 3, 2014, the Commission entered a Final-Omitted Rulemaking Order which became codified and effective June 14, 2014, </w:t>
      </w:r>
      <w:r>
        <w:rPr>
          <w:rFonts w:eastAsia="Calibri"/>
          <w:i/>
        </w:rPr>
        <w:t xml:space="preserve">Rulemaking to Amend the Provisions of 52 </w:t>
      </w:r>
      <w:r w:rsidR="0079588A">
        <w:rPr>
          <w:rFonts w:eastAsia="Calibri"/>
          <w:i/>
        </w:rPr>
        <w:t>Pa.Code</w:t>
      </w:r>
      <w:r>
        <w:rPr>
          <w:rFonts w:eastAsia="Calibri"/>
          <w:i/>
        </w:rPr>
        <w:t xml:space="preserve">, Chapter 57, Regulations Regarding Standards for Changing a Customer’s EGS, </w:t>
      </w:r>
      <w:r>
        <w:rPr>
          <w:rFonts w:eastAsia="Calibri"/>
        </w:rPr>
        <w:t xml:space="preserve">Final-Omitted Order, L-2014-2409383, April 3, 2014, 44 </w:t>
      </w:r>
      <w:r w:rsidRPr="00E90BA5">
        <w:rPr>
          <w:rFonts w:ascii="Times New Roman Italic" w:eastAsia="Calibri" w:hAnsi="Times New Roman Italic"/>
          <w:i/>
        </w:rPr>
        <w:t>Pa. B.</w:t>
      </w:r>
      <w:r>
        <w:rPr>
          <w:rFonts w:eastAsia="Calibri"/>
        </w:rPr>
        <w:t xml:space="preserve"> 3539, effective June 14, 2014.  EGSs are now required to provide with their disclosure statements, a separate EGS contract summary in a table format as directed by the Commission under 52 </w:t>
      </w:r>
      <w:r w:rsidR="0079588A">
        <w:rPr>
          <w:rFonts w:eastAsia="Calibri"/>
        </w:rPr>
        <w:t>Pa.Code</w:t>
      </w:r>
      <w:r>
        <w:rPr>
          <w:rFonts w:eastAsia="Calibri"/>
        </w:rPr>
        <w:t xml:space="preserve"> §54.5(i).  </w:t>
      </w:r>
    </w:p>
    <w:p w:rsidR="00045A3A" w:rsidRPr="00FE08FD" w:rsidRDefault="00045A3A" w:rsidP="00045A3A">
      <w:pPr>
        <w:spacing w:after="0"/>
        <w:rPr>
          <w:u w:val="single"/>
        </w:rPr>
      </w:pPr>
    </w:p>
    <w:p w:rsidR="0051481B" w:rsidRDefault="0051481B" w:rsidP="00045A3A">
      <w:pPr>
        <w:spacing w:after="0"/>
      </w:pPr>
      <w:r>
        <w:tab/>
      </w:r>
      <w:r>
        <w:tab/>
      </w:r>
      <w:r>
        <w:rPr>
          <w:rFonts w:eastAsia="Calibri"/>
        </w:rPr>
        <w:t xml:space="preserve">Additionally, the Commission added subsections (A) and (B) to Section </w:t>
      </w:r>
      <w:r w:rsidRPr="00E90BA5">
        <w:t>54.5(c)(2)(ii)</w:t>
      </w:r>
      <w:r>
        <w:t xml:space="preserve">.  In the instant case, 52 </w:t>
      </w:r>
      <w:r w:rsidR="0079588A">
        <w:t>Pa.Code</w:t>
      </w:r>
      <w:r>
        <w:t xml:space="preserve"> § 54.5(c</w:t>
      </w:r>
      <w:proofErr w:type="gramStart"/>
      <w:r>
        <w:t>)(</w:t>
      </w:r>
      <w:proofErr w:type="gramEnd"/>
      <w:r>
        <w:t xml:space="preserve">2)(ii) required at the time the alleged violations took place, that the limits on price variability be disclosed.  In June, 2014, a new provision became effective at 52 </w:t>
      </w:r>
      <w:r w:rsidR="0079588A">
        <w:t>Pa.Code</w:t>
      </w:r>
      <w:r>
        <w:t xml:space="preserve"> § 54.5(c</w:t>
      </w:r>
      <w:proofErr w:type="gramStart"/>
      <w:r>
        <w:t>)(</w:t>
      </w:r>
      <w:proofErr w:type="gramEnd"/>
      <w:r>
        <w:t>2)(ii)(B) which provides in pertinent part:</w:t>
      </w:r>
    </w:p>
    <w:p w:rsidR="0051481B" w:rsidRDefault="0051481B" w:rsidP="00045A3A">
      <w:pPr>
        <w:spacing w:after="0"/>
      </w:pPr>
    </w:p>
    <w:p w:rsidR="0051481B" w:rsidRDefault="0051481B" w:rsidP="00045A3A">
      <w:pPr>
        <w:spacing w:after="0" w:line="240" w:lineRule="auto"/>
        <w:ind w:left="720" w:right="720"/>
      </w:pPr>
      <w:r>
        <w:tab/>
        <w:t xml:space="preserve">(B)  If there is not a limit on price variability, the EGS shall clearly and conspicuously state that there is not a limit on how much the price may change from one billing cycle to the next. </w:t>
      </w:r>
    </w:p>
    <w:p w:rsidR="0051481B" w:rsidRDefault="0051481B" w:rsidP="00045A3A">
      <w:pPr>
        <w:spacing w:after="0" w:line="240" w:lineRule="auto"/>
        <w:ind w:left="720" w:right="720"/>
      </w:pPr>
    </w:p>
    <w:p w:rsidR="0051481B" w:rsidRDefault="0051481B" w:rsidP="00047659">
      <w:pPr>
        <w:spacing w:after="0" w:line="240" w:lineRule="auto"/>
        <w:ind w:left="720" w:right="720" w:hanging="720"/>
      </w:pPr>
      <w:r>
        <w:t xml:space="preserve">52 </w:t>
      </w:r>
      <w:r w:rsidR="0079588A">
        <w:t>Pa.Code</w:t>
      </w:r>
      <w:r>
        <w:t xml:space="preserve"> § 54.5(c</w:t>
      </w:r>
      <w:proofErr w:type="gramStart"/>
      <w:r>
        <w:t>)(</w:t>
      </w:r>
      <w:proofErr w:type="gramEnd"/>
      <w:r>
        <w:t>2)(ii)(B).</w:t>
      </w:r>
    </w:p>
    <w:p w:rsidR="0051481B" w:rsidRDefault="0051481B" w:rsidP="00045A3A">
      <w:pPr>
        <w:spacing w:after="0"/>
        <w:ind w:left="720" w:right="720"/>
      </w:pPr>
    </w:p>
    <w:p w:rsidR="0051481B" w:rsidRDefault="0051481B" w:rsidP="00045A3A">
      <w:pPr>
        <w:spacing w:after="0"/>
      </w:pPr>
      <w:r>
        <w:tab/>
      </w:r>
      <w:r>
        <w:tab/>
        <w:t>Although I am not applying this new provision to the facts in the instant case as the amendment occurred after the alleged violation, in order to address Complainant’s request for more knowledge prior to energy usage, it is worth noting that the Commission seems to be acknowledging EGSs can have no limits to their variable rates; however, if they do, that EGSs must clearly and conspicuously state as such in their terms of contract.</w:t>
      </w:r>
      <w:r>
        <w:rPr>
          <w:rStyle w:val="FootnoteReference"/>
        </w:rPr>
        <w:footnoteReference w:id="21"/>
      </w:r>
      <w:r>
        <w:t xml:space="preserve">  Thus, the Commission has addressed some of Complainant’s concerns through recent rulemaking efforts.</w:t>
      </w:r>
    </w:p>
    <w:p w:rsidR="0051481B" w:rsidRDefault="0051481B" w:rsidP="00045A3A">
      <w:pPr>
        <w:spacing w:after="0"/>
        <w:rPr>
          <w:rFonts w:eastAsia="Calibri"/>
          <w:u w:val="single"/>
        </w:rPr>
      </w:pPr>
      <w:r>
        <w:rPr>
          <w:rFonts w:eastAsia="Calibri"/>
          <w:u w:val="single"/>
        </w:rPr>
        <w:t>Complainant’s Request for a Reduction in Switching Delays</w:t>
      </w:r>
    </w:p>
    <w:p w:rsidR="00045A3A" w:rsidRDefault="00045A3A" w:rsidP="00045A3A">
      <w:pPr>
        <w:spacing w:after="0"/>
        <w:rPr>
          <w:rFonts w:eastAsia="Calibri"/>
          <w:u w:val="single"/>
        </w:rPr>
      </w:pPr>
    </w:p>
    <w:p w:rsidR="0051481B" w:rsidRDefault="0051481B" w:rsidP="00045A3A">
      <w:pPr>
        <w:spacing w:after="0"/>
        <w:rPr>
          <w:rFonts w:eastAsia="Calibri"/>
        </w:rPr>
      </w:pPr>
      <w:r>
        <w:rPr>
          <w:rFonts w:eastAsia="Calibri"/>
        </w:rPr>
        <w:tab/>
      </w:r>
      <w:r>
        <w:rPr>
          <w:rFonts w:eastAsia="Calibri"/>
        </w:rPr>
        <w:tab/>
        <w:t xml:space="preserve">Mr. Herp complains that although he telephoned to return to his EDC on March 7, 2014, he was not actually switched back to West Penn Power until March 28, 2014, approximately 21 days later.  Thus, he incurred extra costs.  Mr. Herp complained generally about the delay from when agreements are executed until the time the actual switch takes place, after a billing cycle.  </w:t>
      </w:r>
      <w:r>
        <w:rPr>
          <w:rFonts w:eastAsia="Calibri"/>
        </w:rPr>
        <w:tab/>
      </w:r>
      <w:r>
        <w:rPr>
          <w:rFonts w:eastAsia="Calibri"/>
        </w:rPr>
        <w:tab/>
      </w:r>
    </w:p>
    <w:p w:rsidR="00045A3A" w:rsidRDefault="00045A3A" w:rsidP="00045A3A">
      <w:pPr>
        <w:spacing w:after="0"/>
        <w:rPr>
          <w:rFonts w:eastAsia="Calibri"/>
        </w:rPr>
      </w:pPr>
    </w:p>
    <w:p w:rsidR="0051481B" w:rsidRPr="002668F9" w:rsidRDefault="0051481B" w:rsidP="00045A3A">
      <w:pPr>
        <w:spacing w:after="0"/>
        <w:rPr>
          <w:rFonts w:eastAsia="Calibri"/>
        </w:rPr>
      </w:pPr>
      <w:r>
        <w:rPr>
          <w:rFonts w:eastAsia="Calibri"/>
        </w:rPr>
        <w:tab/>
      </w:r>
      <w:r>
        <w:rPr>
          <w:rFonts w:eastAsia="Calibri"/>
        </w:rPr>
        <w:tab/>
        <w:t>It is apparent from this case, that failure to read the “fine print” or understand the service contracts and terms in the disclosure statements can have disastrous econom</w:t>
      </w:r>
      <w:r w:rsidR="00045A3A">
        <w:rPr>
          <w:rFonts w:eastAsia="Calibri"/>
        </w:rPr>
        <w:t xml:space="preserve">ic results for the customers.  </w:t>
      </w:r>
      <w:r>
        <w:rPr>
          <w:rFonts w:eastAsia="Calibri"/>
        </w:rPr>
        <w:t xml:space="preserve">The selection of plans with low introductory rates which then immediately escalate dramatically under a variable rate plan, causing consumers to incur bills which they cannot afford is of concern.  Customers are somewhat unprotected as there is a delay from when contracts are signed and verified to when the actual switch takes place.  A customer would be more protected if he or she could choose a variable rate, and be locked in and switched that day.   But, this concept has to be feasible and to date, there is no legal requirement that a switch in electric generation supplier occur on the same date as the customer executes an agreement to switch.  At least recently, new regulations became effective requiring EGSs to switch customers wishing to terminate their variable rate contracts within 3 business days as opposed to 15 – 45 days until the end of billing cycles.  That addresses one of Complainant’s requests for relief regarding Commission action to facilitate quicker switching.  </w:t>
      </w:r>
      <w:r>
        <w:rPr>
          <w:rFonts w:eastAsia="Calibri"/>
          <w:i/>
        </w:rPr>
        <w:t xml:space="preserve">Rulemaking to Amend the Provisions of 52 </w:t>
      </w:r>
      <w:r w:rsidR="0079588A">
        <w:rPr>
          <w:rFonts w:eastAsia="Calibri"/>
          <w:i/>
        </w:rPr>
        <w:t>Pa.Code</w:t>
      </w:r>
      <w:r>
        <w:rPr>
          <w:rFonts w:eastAsia="Calibri"/>
          <w:i/>
        </w:rPr>
        <w:t xml:space="preserve">, Chapter 57, Regulations Regarding Standards for Changing a Customer’s EGS, </w:t>
      </w:r>
      <w:r>
        <w:rPr>
          <w:rFonts w:eastAsia="Calibri"/>
        </w:rPr>
        <w:t xml:space="preserve">Final-Omitted Order, L-2014-2409383, April 3, 2014, 44 Pa. B. 3539, effective June 14, 2014.  The companies have until December 15, 2014 to begin implementation of the new 3-business day switch requirement under 52 </w:t>
      </w:r>
      <w:r w:rsidR="0079588A">
        <w:rPr>
          <w:rFonts w:eastAsia="Calibri"/>
        </w:rPr>
        <w:t>Pa.Code</w:t>
      </w:r>
      <w:r>
        <w:rPr>
          <w:rFonts w:eastAsia="Calibri"/>
        </w:rPr>
        <w:t xml:space="preserve"> § 57.174.  Further, the Commission’s Office of Competitive Oversight is working on reducing the delay in switching because any delay is a perceived lost savings and leads to customer frustration.</w:t>
      </w:r>
      <w:r>
        <w:rPr>
          <w:rFonts w:eastAsia="Calibri"/>
          <w:i/>
        </w:rPr>
        <w:t xml:space="preserve"> </w:t>
      </w:r>
    </w:p>
    <w:p w:rsidR="00107148" w:rsidRDefault="00107148" w:rsidP="00045A3A">
      <w:pPr>
        <w:spacing w:after="0"/>
        <w:rPr>
          <w:u w:val="single"/>
        </w:rPr>
      </w:pPr>
    </w:p>
    <w:p w:rsidR="00F35E9A" w:rsidRPr="00AE0B7B" w:rsidRDefault="00F35E9A" w:rsidP="00045A3A">
      <w:pPr>
        <w:spacing w:after="0"/>
        <w:rPr>
          <w:u w:val="single"/>
        </w:rPr>
      </w:pPr>
      <w:r w:rsidRPr="00AE0B7B">
        <w:rPr>
          <w:u w:val="single"/>
        </w:rPr>
        <w:t>Civil Penalty Assessment</w:t>
      </w:r>
    </w:p>
    <w:p w:rsidR="00305E45" w:rsidRDefault="00305E45" w:rsidP="00045A3A">
      <w:pPr>
        <w:spacing w:after="0"/>
      </w:pPr>
    </w:p>
    <w:p w:rsidR="00F35E9A" w:rsidRDefault="00F35E9A" w:rsidP="00045A3A">
      <w:pPr>
        <w:spacing w:after="0"/>
        <w:ind w:firstLine="1440"/>
      </w:pPr>
      <w:r>
        <w:t xml:space="preserve">The </w:t>
      </w:r>
      <w:r w:rsidR="0091216E">
        <w:t xml:space="preserve">OCA and </w:t>
      </w:r>
      <w:r>
        <w:t>Complainant requested that the Commission asse</w:t>
      </w:r>
      <w:r w:rsidR="00C91956">
        <w:t xml:space="preserve">ss a civil penalty on </w:t>
      </w:r>
      <w:r w:rsidR="0091216E">
        <w:t>Respond Power and/or revoke its license</w:t>
      </w:r>
      <w:r>
        <w:t>.</w:t>
      </w:r>
      <w:r w:rsidR="00750B24">
        <w:t xml:space="preserve"> </w:t>
      </w:r>
      <w:r w:rsidR="00E54DF2">
        <w:t xml:space="preserve"> </w:t>
      </w:r>
      <w:r w:rsidR="00B5165F">
        <w:t xml:space="preserve">  </w:t>
      </w:r>
    </w:p>
    <w:p w:rsidR="00305E45" w:rsidRDefault="00305E45" w:rsidP="00045A3A">
      <w:pPr>
        <w:spacing w:after="0"/>
        <w:ind w:firstLine="1440"/>
      </w:pPr>
    </w:p>
    <w:p w:rsidR="00330595" w:rsidRPr="00B40636" w:rsidRDefault="00330595" w:rsidP="00045A3A">
      <w:pPr>
        <w:spacing w:after="0"/>
        <w:ind w:firstLine="1440"/>
        <w:rPr>
          <w:rFonts w:cs="Times New Roman"/>
        </w:rPr>
      </w:pPr>
      <w:r w:rsidRPr="00B40636">
        <w:rPr>
          <w:rFonts w:cs="Times New Roman"/>
          <w:snapToGrid w:val="0"/>
        </w:rPr>
        <w:t xml:space="preserve">Section 3301 of the Public Utility Code provides that if any </w:t>
      </w:r>
      <w:r w:rsidR="00C91956">
        <w:rPr>
          <w:rFonts w:cs="Times New Roman"/>
          <w:snapToGrid w:val="0"/>
        </w:rPr>
        <w:t>regulated entity</w:t>
      </w:r>
      <w:r w:rsidRPr="00B40636">
        <w:rPr>
          <w:rFonts w:cs="Times New Roman"/>
          <w:snapToGrid w:val="0"/>
        </w:rPr>
        <w:t xml:space="preserve"> fails to comply with any Commission regulation it shall forfeit and pay to the Commonwealth a sum not exceeding $1,000.00</w:t>
      </w:r>
      <w:r>
        <w:rPr>
          <w:rFonts w:cs="Times New Roman"/>
          <w:snapToGrid w:val="0"/>
        </w:rPr>
        <w:t xml:space="preserve"> per day of violation.</w:t>
      </w:r>
      <w:r>
        <w:rPr>
          <w:rStyle w:val="FootnoteReference"/>
          <w:rFonts w:cs="Times New Roman"/>
          <w:snapToGrid w:val="0"/>
        </w:rPr>
        <w:footnoteReference w:id="22"/>
      </w:r>
      <w:r>
        <w:rPr>
          <w:rFonts w:cs="Times New Roman"/>
          <w:snapToGrid w:val="0"/>
        </w:rPr>
        <w:t xml:space="preserve">  To implement this section, t</w:t>
      </w:r>
      <w:r w:rsidRPr="00B40636">
        <w:rPr>
          <w:rFonts w:cs="Times New Roman"/>
          <w:snapToGrid w:val="0"/>
        </w:rPr>
        <w:t>he Commission has adopted certain standards that must be applied when imposing a civil penalty for violations of Commission directives and regulations.</w:t>
      </w:r>
      <w:r>
        <w:rPr>
          <w:rStyle w:val="FootnoteReference"/>
          <w:rFonts w:cs="Times New Roman"/>
          <w:snapToGrid w:val="0"/>
        </w:rPr>
        <w:footnoteReference w:id="23"/>
      </w:r>
      <w:r w:rsidRPr="00B40636">
        <w:rPr>
          <w:rFonts w:cs="Times New Roman"/>
          <w:snapToGrid w:val="0"/>
        </w:rPr>
        <w:t xml:space="preserve">  </w:t>
      </w:r>
      <w:r w:rsidRPr="00B40636">
        <w:rPr>
          <w:rFonts w:cs="Times New Roman"/>
        </w:rPr>
        <w:t>Section 69.1201(a) of the Commission’s regulations states:</w:t>
      </w:r>
    </w:p>
    <w:p w:rsidR="00330595" w:rsidRDefault="00330595" w:rsidP="00045A3A">
      <w:pPr>
        <w:spacing w:after="0" w:line="240" w:lineRule="auto"/>
        <w:ind w:left="1440" w:right="1440"/>
        <w:rPr>
          <w:rFonts w:cs="Times New Roman"/>
        </w:rPr>
      </w:pPr>
    </w:p>
    <w:p w:rsidR="00330595" w:rsidRPr="00B40636" w:rsidRDefault="00330595" w:rsidP="00045A3A">
      <w:pPr>
        <w:spacing w:after="0" w:line="240" w:lineRule="auto"/>
        <w:ind w:left="1440" w:right="1440"/>
        <w:rPr>
          <w:rFonts w:cs="Times New Roman"/>
        </w:rPr>
      </w:pPr>
      <w:r w:rsidRPr="00B40636">
        <w:rPr>
          <w:rFonts w:cs="Times New Roman"/>
        </w:rPr>
        <w:t>The Commission will consider specific factors</w:t>
      </w:r>
      <w:r>
        <w:rPr>
          <w:rFonts w:cs="Times New Roman"/>
        </w:rPr>
        <w:t xml:space="preserve"> and standards</w:t>
      </w:r>
      <w:r w:rsidRPr="00B40636">
        <w:rPr>
          <w:rFonts w:cs="Times New Roman"/>
        </w:rPr>
        <w:t xml:space="preserve"> in evaluating litigated … cases involving violations of 66 Pa.C.S. (relating to the Public Utility Code) and this title.  These factors and standards will be utilized by the Commission in determining if a fine for violating a Commission order, regulation or statute is appropriate.</w:t>
      </w:r>
      <w:r>
        <w:rPr>
          <w:rStyle w:val="FootnoteReference"/>
          <w:rFonts w:cs="Times New Roman"/>
        </w:rPr>
        <w:footnoteReference w:id="24"/>
      </w:r>
      <w:r w:rsidRPr="00B40636">
        <w:rPr>
          <w:rFonts w:cs="Times New Roman"/>
        </w:rPr>
        <w:t xml:space="preserve">  </w:t>
      </w:r>
    </w:p>
    <w:p w:rsidR="00330595" w:rsidRPr="00B40636" w:rsidRDefault="00330595" w:rsidP="00045A3A">
      <w:pPr>
        <w:spacing w:after="0"/>
        <w:ind w:left="1440" w:right="1440"/>
        <w:rPr>
          <w:rFonts w:cs="Times New Roman"/>
        </w:rPr>
      </w:pPr>
    </w:p>
    <w:p w:rsidR="00330595" w:rsidRPr="00B40636" w:rsidRDefault="00330595" w:rsidP="00045A3A">
      <w:pPr>
        <w:spacing w:after="0"/>
        <w:outlineLvl w:val="0"/>
        <w:rPr>
          <w:rFonts w:cs="Times New Roman"/>
        </w:rPr>
      </w:pPr>
      <w:r>
        <w:rPr>
          <w:rFonts w:cs="Times New Roman"/>
        </w:rPr>
        <w:t xml:space="preserve">These </w:t>
      </w:r>
      <w:r w:rsidRPr="00B40636">
        <w:rPr>
          <w:rFonts w:cs="Times New Roman"/>
        </w:rPr>
        <w:t>factors and standards to be considered</w:t>
      </w:r>
      <w:r>
        <w:rPr>
          <w:rFonts w:cs="Times New Roman"/>
        </w:rPr>
        <w:t xml:space="preserve"> are enumerated in subsection (c)</w:t>
      </w:r>
      <w:r w:rsidRPr="00B40636">
        <w:rPr>
          <w:rFonts w:cs="Times New Roman"/>
        </w:rPr>
        <w:t>:</w:t>
      </w:r>
    </w:p>
    <w:p w:rsidR="00330595" w:rsidRDefault="00330595" w:rsidP="00045A3A">
      <w:pPr>
        <w:spacing w:after="0" w:line="240" w:lineRule="auto"/>
        <w:ind w:left="1440" w:right="1440"/>
        <w:rPr>
          <w:rFonts w:cs="Times New Roman"/>
        </w:rPr>
      </w:pPr>
    </w:p>
    <w:p w:rsidR="00330595" w:rsidRDefault="00330595" w:rsidP="00045A3A">
      <w:pPr>
        <w:spacing w:after="0" w:line="240" w:lineRule="auto"/>
        <w:ind w:left="1440" w:right="1440"/>
        <w:rPr>
          <w:rFonts w:cs="Times New Roman"/>
        </w:rPr>
      </w:pPr>
      <w:r w:rsidRPr="00B40636">
        <w:rPr>
          <w:rFonts w:cs="Times New Roman"/>
        </w:rPr>
        <w:t>(1)</w:t>
      </w:r>
      <w:r w:rsidRPr="00B40636">
        <w:rPr>
          <w:rFonts w:cs="Times New Roman"/>
        </w:rPr>
        <w:tab/>
        <w:t>Whether the conduct at issue was of a serious nature.  When conduct of a serious nature is involved, such as willful fraud or misrepresentation, the conduct may warrant a higher penalty.  When the conduct is less egregious, such as administrative filing, or technical errors, it may warrant a lower penalty.</w:t>
      </w:r>
    </w:p>
    <w:p w:rsidR="00330595" w:rsidRPr="00B40636" w:rsidRDefault="00330595" w:rsidP="00045A3A">
      <w:pPr>
        <w:spacing w:after="0" w:line="240" w:lineRule="auto"/>
        <w:ind w:left="1440" w:right="1440"/>
        <w:rPr>
          <w:rFonts w:cs="Times New Roman"/>
        </w:rPr>
      </w:pPr>
    </w:p>
    <w:p w:rsidR="00330595" w:rsidRDefault="00330595" w:rsidP="00045A3A">
      <w:pPr>
        <w:spacing w:after="0" w:line="240" w:lineRule="auto"/>
        <w:ind w:left="1440" w:right="1440"/>
        <w:rPr>
          <w:rFonts w:cs="Times New Roman"/>
        </w:rPr>
      </w:pPr>
      <w:r w:rsidRPr="00B40636">
        <w:rPr>
          <w:rFonts w:cs="Times New Roman"/>
        </w:rPr>
        <w:t>(2)</w:t>
      </w:r>
      <w:r w:rsidRPr="00B40636">
        <w:rPr>
          <w:rFonts w:cs="Times New Roman"/>
        </w:rPr>
        <w:tab/>
        <w:t>Whether the resulting consequences of the conduct at issue were of a serious nature.  When consequences of a serious nature are involved, such as personal injury or property damage, the consequences may warrant a higher penalty.</w:t>
      </w:r>
    </w:p>
    <w:p w:rsidR="00330595" w:rsidRPr="00B40636" w:rsidRDefault="00330595" w:rsidP="00045A3A">
      <w:pPr>
        <w:spacing w:after="0" w:line="240" w:lineRule="auto"/>
        <w:ind w:left="1440" w:right="1440"/>
        <w:rPr>
          <w:rFonts w:cs="Times New Roman"/>
        </w:rPr>
      </w:pPr>
    </w:p>
    <w:p w:rsidR="00330595" w:rsidRDefault="00330595" w:rsidP="00045A3A">
      <w:pPr>
        <w:spacing w:after="0" w:line="240" w:lineRule="auto"/>
        <w:ind w:left="1440" w:right="1440"/>
        <w:rPr>
          <w:rFonts w:cs="Times New Roman"/>
        </w:rPr>
      </w:pPr>
      <w:r w:rsidRPr="00B40636">
        <w:rPr>
          <w:rFonts w:cs="Times New Roman"/>
        </w:rPr>
        <w:t>(3)</w:t>
      </w:r>
      <w:r w:rsidRPr="00B40636">
        <w:rPr>
          <w:rFonts w:cs="Times New Roman"/>
        </w:rPr>
        <w:tab/>
        <w:t>Whether the conduct at issue was deemed intentional or negligent.  This factor may only be considered in evaluating litigated cases.  When conduct has been deemed intentional, the conduct may result in a higher penalty.</w:t>
      </w:r>
    </w:p>
    <w:p w:rsidR="00330595" w:rsidRPr="00B40636" w:rsidRDefault="00330595" w:rsidP="00045A3A">
      <w:pPr>
        <w:spacing w:after="0" w:line="240" w:lineRule="auto"/>
        <w:ind w:left="1440" w:right="1440"/>
        <w:rPr>
          <w:rFonts w:cs="Times New Roman"/>
        </w:rPr>
      </w:pPr>
    </w:p>
    <w:p w:rsidR="00330595" w:rsidRPr="00B40636" w:rsidRDefault="00330595" w:rsidP="00045A3A">
      <w:pPr>
        <w:spacing w:after="0" w:line="240" w:lineRule="auto"/>
        <w:ind w:left="1440" w:right="1440"/>
        <w:rPr>
          <w:rFonts w:cs="Times New Roman"/>
        </w:rPr>
      </w:pPr>
      <w:r w:rsidRPr="00B40636">
        <w:rPr>
          <w:rFonts w:cs="Times New Roman"/>
        </w:rPr>
        <w:t>(4)</w:t>
      </w:r>
      <w:r w:rsidRPr="00B40636">
        <w:rPr>
          <w:rFonts w:cs="Times New Roman"/>
        </w:rPr>
        <w:tab/>
        <w:t>Whether the regulated entity made efforts to modify internal practices and procedures to address the conduct at issue and prevent similar conduct in the future.  These modifications may include activities such as training and improving company techniques and supervision.  The amount of time it took the utility to correct the conduct once it was discovered and the involvement of top-level management in correcting the conduct may be considered.</w:t>
      </w:r>
    </w:p>
    <w:p w:rsidR="00330595" w:rsidRPr="00B40636" w:rsidRDefault="00330595" w:rsidP="00045A3A">
      <w:pPr>
        <w:spacing w:after="0" w:line="240" w:lineRule="auto"/>
        <w:ind w:left="1440" w:right="1440"/>
        <w:rPr>
          <w:rFonts w:cs="Times New Roman"/>
        </w:rPr>
      </w:pPr>
    </w:p>
    <w:p w:rsidR="00330595" w:rsidRDefault="00330595" w:rsidP="00045A3A">
      <w:pPr>
        <w:spacing w:after="0" w:line="240" w:lineRule="auto"/>
        <w:ind w:left="1440" w:right="1440"/>
        <w:rPr>
          <w:rFonts w:cs="Times New Roman"/>
        </w:rPr>
      </w:pPr>
      <w:r w:rsidRPr="00B40636">
        <w:rPr>
          <w:rFonts w:cs="Times New Roman"/>
        </w:rPr>
        <w:t>(5)</w:t>
      </w:r>
      <w:r w:rsidRPr="00B40636">
        <w:rPr>
          <w:rFonts w:cs="Times New Roman"/>
        </w:rPr>
        <w:tab/>
        <w:t>The number of customers affected and the duration of the violation.</w:t>
      </w:r>
    </w:p>
    <w:p w:rsidR="00330595" w:rsidRPr="00B40636" w:rsidRDefault="00330595" w:rsidP="00045A3A">
      <w:pPr>
        <w:spacing w:after="0" w:line="240" w:lineRule="auto"/>
        <w:ind w:left="1440" w:right="1440"/>
        <w:rPr>
          <w:rFonts w:cs="Times New Roman"/>
        </w:rPr>
      </w:pPr>
    </w:p>
    <w:p w:rsidR="00330595" w:rsidRDefault="00330595" w:rsidP="00045A3A">
      <w:pPr>
        <w:spacing w:after="0" w:line="240" w:lineRule="auto"/>
        <w:ind w:left="1440" w:right="1440"/>
        <w:rPr>
          <w:rFonts w:cs="Times New Roman"/>
        </w:rPr>
      </w:pPr>
      <w:r w:rsidRPr="00B40636">
        <w:rPr>
          <w:rFonts w:cs="Times New Roman"/>
        </w:rPr>
        <w:t>(6)</w:t>
      </w:r>
      <w:r w:rsidRPr="00B40636">
        <w:rPr>
          <w:rFonts w:cs="Times New Roman"/>
        </w:rPr>
        <w:tab/>
        <w:t>The compliance history of the regulated entity which committed the violation.  An isolated incident from an otherwise compliant utility may result in a lower penalty, whereas frequent, recurrent violations by a utility may result in a higher penalty.</w:t>
      </w:r>
    </w:p>
    <w:p w:rsidR="00330595" w:rsidRPr="00B40636" w:rsidRDefault="00330595" w:rsidP="00045A3A">
      <w:pPr>
        <w:spacing w:after="0" w:line="240" w:lineRule="auto"/>
        <w:ind w:left="1440" w:right="1440"/>
        <w:rPr>
          <w:rFonts w:cs="Times New Roman"/>
        </w:rPr>
      </w:pPr>
    </w:p>
    <w:p w:rsidR="00330595" w:rsidRDefault="00330595" w:rsidP="00045A3A">
      <w:pPr>
        <w:spacing w:after="0" w:line="240" w:lineRule="auto"/>
        <w:ind w:left="1440" w:right="1440"/>
        <w:rPr>
          <w:rFonts w:cs="Times New Roman"/>
        </w:rPr>
      </w:pPr>
      <w:r w:rsidRPr="00B40636">
        <w:rPr>
          <w:rFonts w:cs="Times New Roman"/>
        </w:rPr>
        <w:t>(7)</w:t>
      </w:r>
      <w:r w:rsidRPr="00B40636">
        <w:rPr>
          <w:rFonts w:cs="Times New Roman"/>
        </w:rPr>
        <w:tab/>
        <w:t>Whether the regulated entity cooperated with the Commission’s investigation.  Facts establishing bad faith, active concealment of violations or attempts to interfere with Commission investigations may result in a higher penalty.</w:t>
      </w:r>
    </w:p>
    <w:p w:rsidR="00330595" w:rsidRPr="00B40636" w:rsidRDefault="00330595" w:rsidP="00045A3A">
      <w:pPr>
        <w:spacing w:after="0" w:line="240" w:lineRule="auto"/>
        <w:ind w:left="1440" w:right="1440"/>
        <w:rPr>
          <w:rFonts w:cs="Times New Roman"/>
        </w:rPr>
      </w:pPr>
    </w:p>
    <w:p w:rsidR="00330595" w:rsidRDefault="00330595" w:rsidP="00045A3A">
      <w:pPr>
        <w:spacing w:after="0" w:line="240" w:lineRule="auto"/>
        <w:ind w:left="1440" w:right="1440"/>
        <w:rPr>
          <w:rFonts w:cs="Times New Roman"/>
        </w:rPr>
      </w:pPr>
      <w:r w:rsidRPr="00B40636">
        <w:rPr>
          <w:rFonts w:cs="Times New Roman"/>
        </w:rPr>
        <w:t>(8)</w:t>
      </w:r>
      <w:r w:rsidRPr="00B40636">
        <w:rPr>
          <w:rFonts w:cs="Times New Roman"/>
        </w:rPr>
        <w:tab/>
        <w:t>The amount of the civil penalty or fine necessary to deter future violations.  The size of the utility may be considered to determine an appropriate penalty amount.</w:t>
      </w:r>
    </w:p>
    <w:p w:rsidR="00330595" w:rsidRPr="00B40636" w:rsidRDefault="00330595" w:rsidP="00045A3A">
      <w:pPr>
        <w:spacing w:after="0" w:line="240" w:lineRule="auto"/>
        <w:ind w:left="1440" w:right="1440"/>
        <w:rPr>
          <w:rFonts w:cs="Times New Roman"/>
        </w:rPr>
      </w:pPr>
    </w:p>
    <w:p w:rsidR="00330595" w:rsidRDefault="00330595" w:rsidP="00045A3A">
      <w:pPr>
        <w:spacing w:after="0" w:line="240" w:lineRule="auto"/>
        <w:ind w:left="1440" w:right="1440"/>
        <w:rPr>
          <w:rFonts w:cs="Times New Roman"/>
        </w:rPr>
      </w:pPr>
      <w:r w:rsidRPr="00B40636">
        <w:rPr>
          <w:rFonts w:cs="Times New Roman"/>
        </w:rPr>
        <w:t>(9)</w:t>
      </w:r>
      <w:r w:rsidRPr="00B40636">
        <w:rPr>
          <w:rFonts w:cs="Times New Roman"/>
        </w:rPr>
        <w:tab/>
        <w:t>Past Commission decision</w:t>
      </w:r>
      <w:r w:rsidR="00E54DF2">
        <w:rPr>
          <w:rFonts w:cs="Times New Roman"/>
        </w:rPr>
        <w:t>s</w:t>
      </w:r>
      <w:r w:rsidRPr="00B40636">
        <w:rPr>
          <w:rFonts w:cs="Times New Roman"/>
        </w:rPr>
        <w:t xml:space="preserve"> in similar situations.</w:t>
      </w:r>
    </w:p>
    <w:p w:rsidR="00330595" w:rsidRPr="00B40636" w:rsidRDefault="00330595" w:rsidP="00045A3A">
      <w:pPr>
        <w:spacing w:after="0" w:line="240" w:lineRule="auto"/>
        <w:ind w:left="1440" w:right="1440"/>
        <w:rPr>
          <w:rFonts w:cs="Times New Roman"/>
        </w:rPr>
      </w:pPr>
    </w:p>
    <w:p w:rsidR="00330595" w:rsidRDefault="00330595" w:rsidP="00045A3A">
      <w:pPr>
        <w:spacing w:after="0"/>
        <w:ind w:left="1440" w:right="1440"/>
        <w:rPr>
          <w:rFonts w:cs="Times New Roman"/>
        </w:rPr>
      </w:pPr>
      <w:r>
        <w:rPr>
          <w:rFonts w:cs="Times New Roman"/>
        </w:rPr>
        <w:t>(10)</w:t>
      </w:r>
      <w:r>
        <w:rPr>
          <w:rFonts w:cs="Times New Roman"/>
        </w:rPr>
        <w:tab/>
        <w:t>Other relevant factors.</w:t>
      </w:r>
      <w:r>
        <w:rPr>
          <w:rStyle w:val="FootnoteReference"/>
          <w:rFonts w:cs="Times New Roman"/>
        </w:rPr>
        <w:footnoteReference w:id="25"/>
      </w:r>
    </w:p>
    <w:p w:rsidR="00330595" w:rsidRDefault="00330595" w:rsidP="00045A3A">
      <w:pPr>
        <w:spacing w:after="0"/>
        <w:rPr>
          <w:rFonts w:cs="Times New Roman"/>
        </w:rPr>
      </w:pPr>
    </w:p>
    <w:p w:rsidR="007B5CCD" w:rsidRDefault="0035505B" w:rsidP="00045A3A">
      <w:pPr>
        <w:spacing w:after="0"/>
        <w:ind w:firstLine="1440"/>
        <w:rPr>
          <w:rFonts w:cs="Times New Roman"/>
        </w:rPr>
      </w:pPr>
      <w:r>
        <w:rPr>
          <w:rFonts w:cs="Times New Roman"/>
        </w:rPr>
        <w:t>I agree with the Complainant</w:t>
      </w:r>
      <w:r w:rsidR="0055438E">
        <w:rPr>
          <w:rFonts w:cs="Times New Roman"/>
        </w:rPr>
        <w:t xml:space="preserve"> and OCA</w:t>
      </w:r>
      <w:r>
        <w:rPr>
          <w:rFonts w:cs="Times New Roman"/>
        </w:rPr>
        <w:t xml:space="preserve"> that</w:t>
      </w:r>
      <w:r w:rsidR="009C6B08">
        <w:rPr>
          <w:rFonts w:cs="Times New Roman"/>
        </w:rPr>
        <w:t xml:space="preserve"> a civil penalty is appropriate</w:t>
      </w:r>
      <w:r w:rsidR="00CC2F0D">
        <w:rPr>
          <w:rFonts w:cs="Times New Roman"/>
        </w:rPr>
        <w:t xml:space="preserve">.  </w:t>
      </w:r>
      <w:r w:rsidR="0091216E">
        <w:rPr>
          <w:rFonts w:cs="Times New Roman"/>
        </w:rPr>
        <w:t>Respond Power</w:t>
      </w:r>
      <w:r w:rsidR="00CC2F0D">
        <w:rPr>
          <w:rFonts w:cs="Times New Roman"/>
        </w:rPr>
        <w:t xml:space="preserve"> violated the Commission’s </w:t>
      </w:r>
      <w:r w:rsidR="00107148">
        <w:rPr>
          <w:rFonts w:cs="Times New Roman"/>
          <w:i/>
        </w:rPr>
        <w:t xml:space="preserve">License Order </w:t>
      </w:r>
      <w:r w:rsidR="00160578">
        <w:rPr>
          <w:rFonts w:cs="Times New Roman"/>
        </w:rPr>
        <w:t xml:space="preserve">and </w:t>
      </w:r>
      <w:r w:rsidR="00C91956">
        <w:rPr>
          <w:rFonts w:cs="Times New Roman"/>
        </w:rPr>
        <w:t xml:space="preserve">several </w:t>
      </w:r>
      <w:r w:rsidR="00160578">
        <w:rPr>
          <w:rFonts w:cs="Times New Roman"/>
        </w:rPr>
        <w:t xml:space="preserve">consumer protection </w:t>
      </w:r>
      <w:r w:rsidR="0091216E">
        <w:rPr>
          <w:rFonts w:cs="Times New Roman"/>
        </w:rPr>
        <w:t xml:space="preserve">regulations </w:t>
      </w:r>
      <w:r w:rsidR="00160578">
        <w:rPr>
          <w:rFonts w:cs="Times New Roman"/>
        </w:rPr>
        <w:t xml:space="preserve">by </w:t>
      </w:r>
      <w:r w:rsidR="0091216E">
        <w:rPr>
          <w:rFonts w:cs="Times New Roman"/>
        </w:rPr>
        <w:t xml:space="preserve">its agent’s misrepresentations of promised savings in comparison to West Penn Power’s prices during his in-person sales pitch to Complainant at Complainant’s residence.  </w:t>
      </w:r>
    </w:p>
    <w:p w:rsidR="0091216E" w:rsidRDefault="0091216E" w:rsidP="00045A3A">
      <w:pPr>
        <w:spacing w:after="0"/>
        <w:ind w:firstLine="1440"/>
        <w:rPr>
          <w:rFonts w:cs="Times New Roman"/>
        </w:rPr>
      </w:pPr>
    </w:p>
    <w:p w:rsidR="00D42EAE" w:rsidRDefault="00D42EAE" w:rsidP="007B5CCD">
      <w:pPr>
        <w:spacing w:after="0"/>
        <w:ind w:firstLine="1440"/>
        <w:rPr>
          <w:rFonts w:cs="Times New Roman"/>
        </w:rPr>
      </w:pPr>
      <w:r>
        <w:rPr>
          <w:rFonts w:cs="Times New Roman"/>
        </w:rPr>
        <w:t xml:space="preserve">Similar to the Commission’s finding in the </w:t>
      </w:r>
      <w:r w:rsidR="005A6C6F">
        <w:rPr>
          <w:rFonts w:cs="Times New Roman"/>
          <w:i/>
        </w:rPr>
        <w:t xml:space="preserve">Towne </w:t>
      </w:r>
      <w:r>
        <w:rPr>
          <w:rFonts w:cs="Times New Roman"/>
        </w:rPr>
        <w:t xml:space="preserve">case, </w:t>
      </w:r>
      <w:r w:rsidR="005A6C6F">
        <w:rPr>
          <w:rFonts w:cs="Times New Roman"/>
        </w:rPr>
        <w:t xml:space="preserve">wherein the Commission ordered civil penalties against another EGS, </w:t>
      </w:r>
      <w:r>
        <w:rPr>
          <w:rFonts w:cs="Times New Roman"/>
        </w:rPr>
        <w:t>Respond Power’s general counsel, Mr. Small, testified that Respond Power has hired multiple third</w:t>
      </w:r>
      <w:r w:rsidR="005A6C6F">
        <w:rPr>
          <w:rFonts w:cs="Times New Roman"/>
        </w:rPr>
        <w:t>-</w:t>
      </w:r>
      <w:r>
        <w:rPr>
          <w:rFonts w:cs="Times New Roman"/>
        </w:rPr>
        <w:t>party marketer vendors in the Pennsylvania region to handle internet, telemarking and door-to-door marketing of Respond Power’s services.  This appears to be an intensive telemarketing campaign, and Respond Power has some duty to control the content and to train and monitor the actions and scripts of the field agents such that they comply with Commission regulations regarding sales and marketing practices.  There seems to be a lack of supervision or control of field agents as the agents are not direct employees of the company, but rather agents of independent contractors.</w:t>
      </w:r>
    </w:p>
    <w:p w:rsidR="00D42EAE" w:rsidRDefault="00D42EAE" w:rsidP="007B5CCD">
      <w:pPr>
        <w:spacing w:after="0"/>
        <w:ind w:firstLine="1440"/>
        <w:rPr>
          <w:rFonts w:cs="Times New Roman"/>
        </w:rPr>
      </w:pPr>
    </w:p>
    <w:p w:rsidR="007B5CCD" w:rsidRDefault="002D73C5" w:rsidP="009321A2">
      <w:pPr>
        <w:spacing w:after="0"/>
        <w:ind w:firstLine="1440"/>
        <w:rPr>
          <w:rFonts w:cs="Times New Roman"/>
        </w:rPr>
      </w:pPr>
      <w:r>
        <w:rPr>
          <w:rFonts w:cs="Times New Roman"/>
        </w:rPr>
        <w:t>In developing the rules of conduct for suppliers in the competitive retail market, the Commission has emphasized the importance of favorable customer opinion of interactions with the participants in the market.  Indeed, “customer opinion is key to the success of any retail market . . . .”</w:t>
      </w:r>
      <w:r>
        <w:rPr>
          <w:rStyle w:val="FootnoteReference"/>
          <w:rFonts w:cs="Times New Roman"/>
        </w:rPr>
        <w:footnoteReference w:id="26"/>
      </w:r>
      <w:r>
        <w:rPr>
          <w:rFonts w:cs="Times New Roman"/>
        </w:rPr>
        <w:t xml:space="preserve">  Accordingly, the type of </w:t>
      </w:r>
      <w:r w:rsidR="00F03953">
        <w:rPr>
          <w:rFonts w:cs="Times New Roman"/>
        </w:rPr>
        <w:t xml:space="preserve">misrepresentation </w:t>
      </w:r>
      <w:r>
        <w:rPr>
          <w:rFonts w:cs="Times New Roman"/>
        </w:rPr>
        <w:t>described by the Complainant in these proceedings negatively impacts not only the Complainant and other individual customers, but negatively impacts</w:t>
      </w:r>
      <w:r w:rsidR="00282166">
        <w:rPr>
          <w:rFonts w:cs="Times New Roman"/>
        </w:rPr>
        <w:t xml:space="preserve"> other market participants and</w:t>
      </w:r>
      <w:r>
        <w:rPr>
          <w:rFonts w:cs="Times New Roman"/>
        </w:rPr>
        <w:t xml:space="preserve"> the success of the retail market as a whole.  Therefore, the nature and consequences of these violations merit a higher penalty.</w:t>
      </w:r>
      <w:r>
        <w:rPr>
          <w:rStyle w:val="FootnoteReference"/>
          <w:rFonts w:cs="Times New Roman"/>
        </w:rPr>
        <w:footnoteReference w:id="27"/>
      </w:r>
      <w:r>
        <w:rPr>
          <w:rFonts w:cs="Times New Roman"/>
        </w:rPr>
        <w:t xml:space="preserve"> </w:t>
      </w:r>
    </w:p>
    <w:p w:rsidR="002D73C5" w:rsidRDefault="002D73C5" w:rsidP="009321A2">
      <w:pPr>
        <w:spacing w:after="0"/>
        <w:ind w:firstLine="1440"/>
        <w:rPr>
          <w:rFonts w:cs="Times New Roman"/>
        </w:rPr>
      </w:pPr>
      <w:r>
        <w:rPr>
          <w:rFonts w:cs="Times New Roman"/>
        </w:rPr>
        <w:t xml:space="preserve"> </w:t>
      </w:r>
    </w:p>
    <w:p w:rsidR="00667C0A" w:rsidRDefault="00F62ED8" w:rsidP="009321A2">
      <w:pPr>
        <w:spacing w:after="0"/>
        <w:ind w:firstLine="1440"/>
        <w:rPr>
          <w:rFonts w:cs="Times New Roman"/>
        </w:rPr>
        <w:sectPr w:rsidR="00667C0A" w:rsidSect="003E7C14">
          <w:pgSz w:w="12240" w:h="15840" w:code="1"/>
          <w:pgMar w:top="1440" w:right="1440" w:bottom="1440" w:left="1440" w:header="720" w:footer="720" w:gutter="0"/>
          <w:cols w:space="720"/>
          <w:titlePg/>
          <w:docGrid w:linePitch="360"/>
        </w:sectPr>
      </w:pPr>
      <w:r>
        <w:rPr>
          <w:rFonts w:cs="Times New Roman"/>
        </w:rPr>
        <w:t xml:space="preserve">This conduct is at least negligent.  The Commission’s regulations very plainly provide that a supplier is responsible for the conduct of its representatives.  As explained above, </w:t>
      </w:r>
      <w:r w:rsidR="00F03953">
        <w:rPr>
          <w:rFonts w:cs="Times New Roman"/>
        </w:rPr>
        <w:t>Respond Power</w:t>
      </w:r>
      <w:r>
        <w:rPr>
          <w:rFonts w:cs="Times New Roman"/>
        </w:rPr>
        <w:t xml:space="preserve">’s </w:t>
      </w:r>
      <w:r w:rsidR="00F03953">
        <w:rPr>
          <w:rFonts w:cs="Times New Roman"/>
        </w:rPr>
        <w:t>control over its</w:t>
      </w:r>
      <w:r>
        <w:rPr>
          <w:rFonts w:cs="Times New Roman"/>
        </w:rPr>
        <w:t xml:space="preserve"> </w:t>
      </w:r>
      <w:r w:rsidR="00F03953">
        <w:rPr>
          <w:rFonts w:cs="Times New Roman"/>
        </w:rPr>
        <w:t>field agent was minimal</w:t>
      </w:r>
      <w:r>
        <w:rPr>
          <w:rFonts w:cs="Times New Roman"/>
        </w:rPr>
        <w:t xml:space="preserve">.  There is no evidence that </w:t>
      </w:r>
      <w:r w:rsidR="00F03953">
        <w:rPr>
          <w:rFonts w:cs="Times New Roman"/>
        </w:rPr>
        <w:t>Respond Power</w:t>
      </w:r>
      <w:r>
        <w:rPr>
          <w:rFonts w:cs="Times New Roman"/>
        </w:rPr>
        <w:t xml:space="preserve"> monitored </w:t>
      </w:r>
      <w:r w:rsidR="00107148">
        <w:rPr>
          <w:rFonts w:cs="Times New Roman"/>
        </w:rPr>
        <w:t xml:space="preserve">the individual field agents </w:t>
      </w:r>
      <w:r>
        <w:rPr>
          <w:rFonts w:cs="Times New Roman"/>
        </w:rPr>
        <w:t>for compliance</w:t>
      </w:r>
      <w:r w:rsidR="00522E97">
        <w:rPr>
          <w:rFonts w:cs="Times New Roman"/>
        </w:rPr>
        <w:t xml:space="preserve"> with Commission regulations. </w:t>
      </w:r>
      <w:r>
        <w:rPr>
          <w:rFonts w:cs="Times New Roman"/>
        </w:rPr>
        <w:t xml:space="preserve"> </w:t>
      </w:r>
      <w:r w:rsidR="005A6C6F">
        <w:rPr>
          <w:rFonts w:cs="Times New Roman"/>
        </w:rPr>
        <w:t>In fact, the arguments Respond Power puts forth lead me to believe the company does not believe the statements made by a door-to-door salesman are relevant at all to the enforceability of the sales agreement, or to whether the EGS is in compliance with Commission regulations.</w:t>
      </w:r>
      <w:r>
        <w:rPr>
          <w:rFonts w:cs="Times New Roman"/>
        </w:rPr>
        <w:t xml:space="preserve"> </w:t>
      </w:r>
      <w:r w:rsidR="00107148">
        <w:rPr>
          <w:rFonts w:cs="Times New Roman"/>
        </w:rPr>
        <w:t>Although Mr. Small testified agents are instructed to not guarantee savings, there was no supporting documentation in the form of a training manual to support this assertion.</w:t>
      </w:r>
      <w:r w:rsidR="005A6C6F">
        <w:rPr>
          <w:rFonts w:cs="Times New Roman"/>
        </w:rPr>
        <w:t xml:space="preserve"> </w:t>
      </w:r>
      <w:r>
        <w:rPr>
          <w:rFonts w:cs="Times New Roman"/>
        </w:rPr>
        <w:t>This factor merits a higher penalty.</w:t>
      </w:r>
      <w:r>
        <w:rPr>
          <w:rStyle w:val="FootnoteReference"/>
          <w:rFonts w:cs="Times New Roman"/>
        </w:rPr>
        <w:footnoteReference w:id="28"/>
      </w:r>
    </w:p>
    <w:p w:rsidR="00F62ED8" w:rsidRDefault="00F62ED8" w:rsidP="009321A2">
      <w:pPr>
        <w:spacing w:after="0"/>
        <w:ind w:firstLine="1440"/>
        <w:rPr>
          <w:rFonts w:cs="Times New Roman"/>
        </w:rPr>
      </w:pPr>
      <w:r>
        <w:rPr>
          <w:rFonts w:cs="Times New Roman"/>
        </w:rPr>
        <w:t>The fourth factor to be considered when assessing a civil penalty is the efforts made by the regulated entity to modify its internal practices and the involvement of top-level management in correcting the conduct.</w:t>
      </w:r>
      <w:r w:rsidR="00E67B30">
        <w:rPr>
          <w:rStyle w:val="FootnoteReference"/>
          <w:rFonts w:cs="Times New Roman"/>
        </w:rPr>
        <w:footnoteReference w:id="29"/>
      </w:r>
      <w:r>
        <w:rPr>
          <w:rFonts w:cs="Times New Roman"/>
        </w:rPr>
        <w:t xml:space="preserve">  </w:t>
      </w:r>
      <w:r w:rsidR="00522E97">
        <w:rPr>
          <w:rFonts w:cs="Times New Roman"/>
        </w:rPr>
        <w:t xml:space="preserve">Adam Small did not testify that the company had made any internal investigation as a result of this complaint.  There was no evidence to suggest Respond Power has in any way modified its internal practices to correct the training, disciplining, or </w:t>
      </w:r>
      <w:r w:rsidR="005A6C6F">
        <w:rPr>
          <w:rFonts w:cs="Times New Roman"/>
        </w:rPr>
        <w:t>statements made by its field</w:t>
      </w:r>
      <w:r w:rsidR="00522E97">
        <w:rPr>
          <w:rFonts w:cs="Times New Roman"/>
        </w:rPr>
        <w:t xml:space="preserve"> agents.  </w:t>
      </w:r>
      <w:r>
        <w:rPr>
          <w:rFonts w:cs="Times New Roman"/>
        </w:rPr>
        <w:t xml:space="preserve">Therefore this factor too merits a higher penalty inasmuch </w:t>
      </w:r>
      <w:r w:rsidR="00E72961">
        <w:rPr>
          <w:rFonts w:cs="Times New Roman"/>
        </w:rPr>
        <w:t xml:space="preserve">as </w:t>
      </w:r>
      <w:r w:rsidR="00522E97">
        <w:rPr>
          <w:rFonts w:cs="Times New Roman"/>
        </w:rPr>
        <w:t>Respond Power denies any wrong doing, and asserts the written sales agreement is the only controlling factor</w:t>
      </w:r>
      <w:r w:rsidR="005A6C6F">
        <w:rPr>
          <w:rFonts w:cs="Times New Roman"/>
        </w:rPr>
        <w:t xml:space="preserve">.  </w:t>
      </w:r>
      <w:r w:rsidR="00522E97">
        <w:rPr>
          <w:rFonts w:cs="Times New Roman"/>
        </w:rPr>
        <w:t>The Company shows a disregard for the regulations regarding marketing practices which warrants a higher penalty.</w:t>
      </w:r>
    </w:p>
    <w:p w:rsidR="007B5CCD" w:rsidRDefault="007B5CCD" w:rsidP="009321A2">
      <w:pPr>
        <w:spacing w:after="0"/>
        <w:ind w:firstLine="1440"/>
        <w:rPr>
          <w:rFonts w:cs="Times New Roman"/>
        </w:rPr>
      </w:pPr>
    </w:p>
    <w:p w:rsidR="00E67B30" w:rsidRDefault="00E67B30" w:rsidP="009321A2">
      <w:pPr>
        <w:spacing w:after="0"/>
        <w:ind w:firstLine="1440"/>
        <w:rPr>
          <w:rFonts w:cs="Times New Roman"/>
        </w:rPr>
      </w:pPr>
      <w:r>
        <w:rPr>
          <w:rFonts w:cs="Times New Roman"/>
        </w:rPr>
        <w:t>The next factor is the number of customers affected and the duration of the violation.</w:t>
      </w:r>
      <w:r>
        <w:rPr>
          <w:rStyle w:val="FootnoteReference"/>
          <w:rFonts w:cs="Times New Roman"/>
        </w:rPr>
        <w:footnoteReference w:id="30"/>
      </w:r>
      <w:r>
        <w:rPr>
          <w:rFonts w:cs="Times New Roman"/>
        </w:rPr>
        <w:t xml:space="preserve">  Here there is only evidence concerning the experience of one customer</w:t>
      </w:r>
      <w:r w:rsidR="008845BD">
        <w:rPr>
          <w:rFonts w:cs="Times New Roman"/>
        </w:rPr>
        <w:t>, possibly two including Mr. Hackett</w:t>
      </w:r>
      <w:r>
        <w:rPr>
          <w:rFonts w:cs="Times New Roman"/>
        </w:rPr>
        <w:t xml:space="preserve">.  </w:t>
      </w:r>
    </w:p>
    <w:p w:rsidR="0055438E" w:rsidRDefault="0055438E" w:rsidP="009321A2">
      <w:pPr>
        <w:spacing w:after="0"/>
        <w:ind w:firstLine="1440"/>
        <w:rPr>
          <w:rFonts w:cs="Times New Roman"/>
        </w:rPr>
      </w:pPr>
    </w:p>
    <w:p w:rsidR="00E67B30" w:rsidRDefault="00E67B30" w:rsidP="009321A2">
      <w:pPr>
        <w:spacing w:after="0"/>
        <w:ind w:firstLine="1440"/>
        <w:rPr>
          <w:rFonts w:cs="Times New Roman"/>
        </w:rPr>
      </w:pPr>
      <w:r>
        <w:rPr>
          <w:rFonts w:cs="Times New Roman"/>
        </w:rPr>
        <w:t>Deterrence is perhaps the most important factor for consideration in assessing this penalty.</w:t>
      </w:r>
      <w:r w:rsidR="00C560F8">
        <w:rPr>
          <w:rStyle w:val="FootnoteReference"/>
          <w:rFonts w:cs="Times New Roman"/>
        </w:rPr>
        <w:footnoteReference w:id="31"/>
      </w:r>
      <w:r>
        <w:rPr>
          <w:rFonts w:cs="Times New Roman"/>
        </w:rPr>
        <w:t xml:space="preserve">  Clearly, </w:t>
      </w:r>
      <w:r w:rsidR="00522E97">
        <w:rPr>
          <w:rFonts w:cs="Times New Roman"/>
        </w:rPr>
        <w:t>Respond Power</w:t>
      </w:r>
      <w:r>
        <w:rPr>
          <w:rFonts w:cs="Times New Roman"/>
        </w:rPr>
        <w:t xml:space="preserve"> did not take its obligation to comply with the Commission</w:t>
      </w:r>
      <w:r w:rsidR="00E7200E">
        <w:rPr>
          <w:rFonts w:cs="Times New Roman"/>
        </w:rPr>
        <w:t>’</w:t>
      </w:r>
      <w:r>
        <w:rPr>
          <w:rFonts w:cs="Times New Roman"/>
        </w:rPr>
        <w:t xml:space="preserve">s regulations and codes of conduct seriously in its design of this campaign and supervision of its </w:t>
      </w:r>
      <w:r w:rsidR="00522E97">
        <w:rPr>
          <w:rFonts w:cs="Times New Roman"/>
        </w:rPr>
        <w:t xml:space="preserve">independent </w:t>
      </w:r>
      <w:r>
        <w:rPr>
          <w:rFonts w:cs="Times New Roman"/>
        </w:rPr>
        <w:t>contractor</w:t>
      </w:r>
      <w:r w:rsidR="00522E97">
        <w:rPr>
          <w:rFonts w:cs="Times New Roman"/>
        </w:rPr>
        <w:t>s’ field agents</w:t>
      </w:r>
      <w:r>
        <w:rPr>
          <w:rFonts w:cs="Times New Roman"/>
        </w:rPr>
        <w:t xml:space="preserve">.  Moreover, the penalty in this case may also serve </w:t>
      </w:r>
      <w:r w:rsidR="00C560F8">
        <w:rPr>
          <w:rFonts w:cs="Times New Roman"/>
        </w:rPr>
        <w:t xml:space="preserve">as a reminder to other suppliers who are designing intensive </w:t>
      </w:r>
      <w:r w:rsidR="00522E97">
        <w:rPr>
          <w:rFonts w:cs="Times New Roman"/>
        </w:rPr>
        <w:t>door to door</w:t>
      </w:r>
      <w:r w:rsidR="00C560F8">
        <w:rPr>
          <w:rFonts w:cs="Times New Roman"/>
        </w:rPr>
        <w:t xml:space="preserve"> campaigns.</w:t>
      </w:r>
      <w:r w:rsidR="00A1780F">
        <w:rPr>
          <w:rFonts w:cs="Times New Roman"/>
        </w:rPr>
        <w:t xml:space="preserve">  Therefore</w:t>
      </w:r>
      <w:r w:rsidR="00224F13">
        <w:rPr>
          <w:rFonts w:cs="Times New Roman"/>
        </w:rPr>
        <w:t>,</w:t>
      </w:r>
      <w:r w:rsidR="00A1780F">
        <w:rPr>
          <w:rFonts w:cs="Times New Roman"/>
        </w:rPr>
        <w:t xml:space="preserve"> a civil penalty </w:t>
      </w:r>
      <w:r w:rsidR="008845BD">
        <w:rPr>
          <w:rFonts w:cs="Times New Roman"/>
        </w:rPr>
        <w:t xml:space="preserve">of $1,000 per violation </w:t>
      </w:r>
      <w:r w:rsidR="00A1780F">
        <w:rPr>
          <w:rFonts w:cs="Times New Roman"/>
        </w:rPr>
        <w:t xml:space="preserve">is necessary in order to emphasize the importance of </w:t>
      </w:r>
      <w:r w:rsidR="008845BD">
        <w:rPr>
          <w:rFonts w:cs="Times New Roman"/>
        </w:rPr>
        <w:t xml:space="preserve">compliance and training agents to comply with the legal </w:t>
      </w:r>
      <w:r w:rsidR="00A1780F">
        <w:rPr>
          <w:rFonts w:cs="Times New Roman"/>
        </w:rPr>
        <w:t xml:space="preserve">requirements of </w:t>
      </w:r>
      <w:r w:rsidR="008845BD">
        <w:rPr>
          <w:rFonts w:cs="Times New Roman"/>
        </w:rPr>
        <w:t>conducting business in Pennsylvania</w:t>
      </w:r>
      <w:r w:rsidR="00A1780F">
        <w:rPr>
          <w:rFonts w:cs="Times New Roman"/>
        </w:rPr>
        <w:t xml:space="preserve"> and to deter not only this supplier, but other suppliers as well.</w:t>
      </w:r>
    </w:p>
    <w:p w:rsidR="00047659" w:rsidRDefault="00047659" w:rsidP="009321A2">
      <w:pPr>
        <w:spacing w:after="0"/>
        <w:ind w:firstLine="1440"/>
        <w:rPr>
          <w:rFonts w:cs="Times New Roman"/>
        </w:rPr>
      </w:pPr>
    </w:p>
    <w:p w:rsidR="007B5CCD" w:rsidRDefault="00BA01DA" w:rsidP="009321A2">
      <w:pPr>
        <w:spacing w:after="0"/>
        <w:ind w:firstLine="1440"/>
        <w:rPr>
          <w:rFonts w:cs="Times New Roman"/>
        </w:rPr>
      </w:pPr>
      <w:r>
        <w:rPr>
          <w:rFonts w:cs="Times New Roman"/>
        </w:rPr>
        <w:t>The civil penalty guidelines also permit consideration of “other relevant factors.”</w:t>
      </w:r>
      <w:r>
        <w:rPr>
          <w:rStyle w:val="FootnoteReference"/>
          <w:rFonts w:cs="Times New Roman"/>
        </w:rPr>
        <w:footnoteReference w:id="32"/>
      </w:r>
      <w:r>
        <w:rPr>
          <w:rFonts w:cs="Times New Roman"/>
        </w:rPr>
        <w:t xml:space="preserve">  The importance of compliance with the Commission’s regulations, guidelines and code of conduct for suppliers in our burgeoning retail market cannot be over emphasized.  When designing sales campaigns, it is not enough for a supplier to simply contract with a telemarketing or other marketing enterprise and contract its responsibilities away</w:t>
      </w:r>
      <w:r w:rsidR="005A6C6F">
        <w:rPr>
          <w:rFonts w:cs="Times New Roman"/>
        </w:rPr>
        <w:t>.</w:t>
      </w:r>
    </w:p>
    <w:p w:rsidR="00097DB4" w:rsidRDefault="00097DB4" w:rsidP="009321A2">
      <w:pPr>
        <w:spacing w:after="0"/>
        <w:ind w:firstLine="1440"/>
        <w:rPr>
          <w:rFonts w:cs="Times New Roman"/>
        </w:rPr>
      </w:pPr>
    </w:p>
    <w:p w:rsidR="00A1780F" w:rsidRPr="00224F13" w:rsidRDefault="00A1780F" w:rsidP="009321A2">
      <w:pPr>
        <w:spacing w:after="0"/>
        <w:ind w:firstLine="1440"/>
        <w:rPr>
          <w:rFonts w:cs="Times New Roman"/>
        </w:rPr>
      </w:pPr>
      <w:r>
        <w:rPr>
          <w:rFonts w:cs="Times New Roman"/>
        </w:rPr>
        <w:t xml:space="preserve">The remaining factors are not considerations in assessing the civil penalty in this case.  There is no evidence in the record concerning </w:t>
      </w:r>
      <w:r w:rsidR="005A6C6F">
        <w:rPr>
          <w:rFonts w:cs="Times New Roman"/>
        </w:rPr>
        <w:t>Respond Power</w:t>
      </w:r>
      <w:r>
        <w:rPr>
          <w:rFonts w:cs="Times New Roman"/>
        </w:rPr>
        <w:t>’s compliance history</w:t>
      </w:r>
      <w:r w:rsidR="005A6C6F">
        <w:rPr>
          <w:rFonts w:cs="Times New Roman"/>
        </w:rPr>
        <w:t xml:space="preserve">.  </w:t>
      </w:r>
      <w:r>
        <w:rPr>
          <w:rFonts w:cs="Times New Roman"/>
        </w:rPr>
        <w:t>There is no Commission investigation in this case.</w:t>
      </w:r>
      <w:r>
        <w:rPr>
          <w:rStyle w:val="FootnoteReference"/>
          <w:rFonts w:cs="Times New Roman"/>
        </w:rPr>
        <w:footnoteReference w:id="33"/>
      </w:r>
      <w:r>
        <w:rPr>
          <w:rFonts w:cs="Times New Roman"/>
        </w:rPr>
        <w:t xml:space="preserve"> </w:t>
      </w:r>
      <w:r w:rsidR="00EE5250">
        <w:rPr>
          <w:rFonts w:cs="Times New Roman"/>
        </w:rPr>
        <w:t xml:space="preserve"> </w:t>
      </w:r>
      <w:r w:rsidR="00224F13">
        <w:rPr>
          <w:rFonts w:cs="Times New Roman"/>
        </w:rPr>
        <w:t xml:space="preserve">Many of the formal complaints filed by other </w:t>
      </w:r>
      <w:r w:rsidR="00224F13">
        <w:rPr>
          <w:rFonts w:cs="Times New Roman"/>
          <w:i/>
        </w:rPr>
        <w:t>pro se</w:t>
      </w:r>
      <w:r w:rsidR="00224F13">
        <w:rPr>
          <w:rFonts w:cs="Times New Roman"/>
        </w:rPr>
        <w:t xml:space="preserve"> complainants against Respondent have settled, or are pending.  There are currently two noteworthy cases pending including: </w:t>
      </w:r>
      <w:r w:rsidR="00224F13">
        <w:rPr>
          <w:rFonts w:cs="Times New Roman"/>
          <w:i/>
        </w:rPr>
        <w:t xml:space="preserve">Commonwealth of PA, Office of Attorney General and Office of Consumer Advocate v. Respond Power </w:t>
      </w:r>
      <w:r w:rsidR="00224F13">
        <w:rPr>
          <w:rFonts w:cs="Times New Roman"/>
        </w:rPr>
        <w:t xml:space="preserve">at C-2014-2427659 and the </w:t>
      </w:r>
      <w:r w:rsidR="00224F13">
        <w:rPr>
          <w:rFonts w:cs="Times New Roman"/>
          <w:i/>
        </w:rPr>
        <w:t xml:space="preserve">Pennsylvania Public Utility Commission, Bureau of Investigation and Enforcement v. Respond Power </w:t>
      </w:r>
      <w:r w:rsidR="00EE5250">
        <w:rPr>
          <w:rFonts w:cs="Times New Roman"/>
        </w:rPr>
        <w:t>at C</w:t>
      </w:r>
      <w:r w:rsidR="00EE5250">
        <w:rPr>
          <w:rFonts w:cs="Times New Roman"/>
        </w:rPr>
        <w:noBreakHyphen/>
      </w:r>
      <w:r w:rsidR="00224F13">
        <w:rPr>
          <w:rFonts w:cs="Times New Roman"/>
        </w:rPr>
        <w:t>2014-2438640.  These two cases have been consolidated and evidentiary hearings are scheduled to begin January 26, 2015.</w:t>
      </w:r>
    </w:p>
    <w:p w:rsidR="007B5CCD" w:rsidRDefault="007B5CCD" w:rsidP="009321A2">
      <w:pPr>
        <w:spacing w:after="0"/>
        <w:ind w:firstLine="1440"/>
        <w:rPr>
          <w:rFonts w:cs="Times New Roman"/>
        </w:rPr>
      </w:pPr>
    </w:p>
    <w:p w:rsidR="00EE2CC0" w:rsidRDefault="00EE2CC0" w:rsidP="009321A2">
      <w:pPr>
        <w:spacing w:after="0"/>
        <w:ind w:firstLine="1440"/>
        <w:rPr>
          <w:rFonts w:cs="Times New Roman"/>
        </w:rPr>
      </w:pPr>
      <w:r>
        <w:rPr>
          <w:rFonts w:cs="Times New Roman"/>
        </w:rPr>
        <w:t>After consideration of all these factors, a civil penalty in the amount of $</w:t>
      </w:r>
      <w:r w:rsidR="005A6C6F">
        <w:rPr>
          <w:rFonts w:cs="Times New Roman"/>
        </w:rPr>
        <w:t>10</w:t>
      </w:r>
      <w:r>
        <w:rPr>
          <w:rFonts w:cs="Times New Roman"/>
        </w:rPr>
        <w:t>,000 is appropriate.  This penalty is sufficient to emphasize the importance of compliance with the Commission</w:t>
      </w:r>
      <w:r w:rsidR="00E7200E">
        <w:rPr>
          <w:rFonts w:cs="Times New Roman"/>
        </w:rPr>
        <w:t>’</w:t>
      </w:r>
      <w:r>
        <w:rPr>
          <w:rFonts w:cs="Times New Roman"/>
        </w:rPr>
        <w:t xml:space="preserve">s regulations and to put </w:t>
      </w:r>
      <w:r w:rsidR="00522E97">
        <w:rPr>
          <w:rFonts w:cs="Times New Roman"/>
        </w:rPr>
        <w:t>Respond Power</w:t>
      </w:r>
      <w:r>
        <w:rPr>
          <w:rFonts w:cs="Times New Roman"/>
        </w:rPr>
        <w:t xml:space="preserve"> and other suppliers on notice that </w:t>
      </w:r>
      <w:r w:rsidR="00522E97">
        <w:rPr>
          <w:rFonts w:cs="Times New Roman"/>
        </w:rPr>
        <w:t>EGSs must</w:t>
      </w:r>
      <w:r w:rsidR="005A6C6F">
        <w:rPr>
          <w:rFonts w:cs="Times New Roman"/>
        </w:rPr>
        <w:t xml:space="preserve"> respect the Marketing and Sales Practices Regulations at Chapter 111 of the Pennsylvania Code,</w:t>
      </w:r>
      <w:r w:rsidR="00522E97">
        <w:rPr>
          <w:rFonts w:cs="Times New Roman"/>
        </w:rPr>
        <w:t xml:space="preserve"> train their agents better to follow the Commission’s regulations, must investigate complaints against their agents, and follow up with audits and disciplinary action.  </w:t>
      </w:r>
      <w:r>
        <w:rPr>
          <w:rFonts w:cs="Times New Roman"/>
        </w:rPr>
        <w:t xml:space="preserve"> </w:t>
      </w:r>
    </w:p>
    <w:p w:rsidR="003E7C14" w:rsidRDefault="003E7C14" w:rsidP="00C36B01">
      <w:pPr>
        <w:spacing w:after="0"/>
        <w:rPr>
          <w:rFonts w:cs="Times New Roman"/>
          <w:u w:val="single"/>
        </w:rPr>
      </w:pPr>
    </w:p>
    <w:p w:rsidR="007B5CCD" w:rsidRDefault="006F6FBC" w:rsidP="00C36B01">
      <w:pPr>
        <w:spacing w:after="0"/>
        <w:rPr>
          <w:rFonts w:cs="Times New Roman"/>
          <w:u w:val="single"/>
        </w:rPr>
      </w:pPr>
      <w:r>
        <w:rPr>
          <w:rFonts w:cs="Times New Roman"/>
          <w:u w:val="single"/>
        </w:rPr>
        <w:t>Suspension or Revocation of EGS License</w:t>
      </w:r>
    </w:p>
    <w:p w:rsidR="006F6FBC" w:rsidRDefault="006F6FBC" w:rsidP="009321A2">
      <w:pPr>
        <w:spacing w:after="0"/>
        <w:ind w:firstLine="1440"/>
        <w:rPr>
          <w:rFonts w:cs="Times New Roman"/>
          <w:u w:val="single"/>
        </w:rPr>
      </w:pPr>
    </w:p>
    <w:p w:rsidR="00C36B01" w:rsidRDefault="00C36B01" w:rsidP="00C36B01">
      <w:pPr>
        <w:spacing w:after="0"/>
        <w:ind w:firstLine="1440"/>
        <w:rPr>
          <w:rFonts w:cs="Times New Roman"/>
        </w:rPr>
      </w:pPr>
      <w:r>
        <w:rPr>
          <w:rFonts w:cs="Times New Roman"/>
        </w:rPr>
        <w:t xml:space="preserve">Although </w:t>
      </w:r>
      <w:r w:rsidR="007D101A">
        <w:rPr>
          <w:rFonts w:cs="Times New Roman"/>
        </w:rPr>
        <w:t xml:space="preserve">this case is indicative of a systemic problem concerning disregard for Commission regulations and </w:t>
      </w:r>
      <w:r>
        <w:rPr>
          <w:rFonts w:cs="Times New Roman"/>
        </w:rPr>
        <w:t>the Commission’s regulations permit the Commission to suspend or revoke the license of a supplier who fails to comply with Commission rules or Pennsylvania consumer protection laws,</w:t>
      </w:r>
      <w:r>
        <w:rPr>
          <w:rStyle w:val="FootnoteReference"/>
          <w:rFonts w:cs="Times New Roman"/>
        </w:rPr>
        <w:footnoteReference w:id="34"/>
      </w:r>
      <w:r>
        <w:rPr>
          <w:rFonts w:cs="Times New Roman"/>
        </w:rPr>
        <w:t xml:space="preserve"> this drastic measure is not merited at this point</w:t>
      </w:r>
      <w:r w:rsidR="007D101A">
        <w:rPr>
          <w:rFonts w:cs="Times New Roman"/>
        </w:rPr>
        <w:t xml:space="preserve"> because this is one of the first variable rate complaint cases to be fully litigated instead of settling prior to hearing</w:t>
      </w:r>
      <w:r>
        <w:rPr>
          <w:rFonts w:cs="Times New Roman"/>
        </w:rPr>
        <w:t xml:space="preserve">.  </w:t>
      </w:r>
      <w:r w:rsidR="007D101A">
        <w:rPr>
          <w:rFonts w:cs="Times New Roman"/>
        </w:rPr>
        <w:t xml:space="preserve">Therefore, I find the facts in this case alone do not warrant a suspension or revocation of EGS license at this time.  </w:t>
      </w:r>
      <w:r>
        <w:rPr>
          <w:rFonts w:cs="Times New Roman"/>
        </w:rPr>
        <w:t xml:space="preserve">However, Respond Power is notified that if further conduct in violation of statutes, regulations and Commission orders </w:t>
      </w:r>
      <w:r w:rsidR="00224F13">
        <w:rPr>
          <w:rFonts w:cs="Times New Roman"/>
        </w:rPr>
        <w:t xml:space="preserve">are </w:t>
      </w:r>
      <w:r w:rsidR="00040374">
        <w:rPr>
          <w:rFonts w:cs="Times New Roman"/>
        </w:rPr>
        <w:t>established in other cases</w:t>
      </w:r>
      <w:r>
        <w:rPr>
          <w:rFonts w:cs="Times New Roman"/>
        </w:rPr>
        <w:t>, the Commission may reconsider the status of its license to participate in Pennsylvania’s retail electricity market.</w:t>
      </w:r>
    </w:p>
    <w:p w:rsidR="00C36B01" w:rsidRDefault="00C36B01" w:rsidP="009321A2">
      <w:pPr>
        <w:spacing w:after="0"/>
        <w:ind w:firstLine="1440"/>
        <w:rPr>
          <w:rFonts w:cs="Times New Roman"/>
        </w:rPr>
      </w:pPr>
    </w:p>
    <w:p w:rsidR="00386D32" w:rsidRDefault="007D101A" w:rsidP="009321A2">
      <w:pPr>
        <w:spacing w:after="0"/>
        <w:ind w:firstLine="1440"/>
        <w:rPr>
          <w:rFonts w:cs="Times New Roman"/>
        </w:rPr>
      </w:pPr>
      <w:r>
        <w:rPr>
          <w:rFonts w:cs="Times New Roman"/>
        </w:rPr>
        <w:t>Further,</w:t>
      </w:r>
      <w:r w:rsidR="006F6FBC">
        <w:rPr>
          <w:rFonts w:cs="Times New Roman"/>
        </w:rPr>
        <w:t xml:space="preserve"> </w:t>
      </w:r>
      <w:r w:rsidR="005D1A6C">
        <w:rPr>
          <w:rFonts w:cs="Times New Roman"/>
        </w:rPr>
        <w:t xml:space="preserve">I do recommend the Commission </w:t>
      </w:r>
      <w:r w:rsidR="00B93674">
        <w:rPr>
          <w:rFonts w:cs="Times New Roman"/>
        </w:rPr>
        <w:t>consi</w:t>
      </w:r>
      <w:r w:rsidR="00EE5250">
        <w:rPr>
          <w:rFonts w:cs="Times New Roman"/>
        </w:rPr>
        <w:t xml:space="preserve">der placing certain conditions </w:t>
      </w:r>
      <w:r w:rsidR="00B93674">
        <w:rPr>
          <w:rFonts w:cs="Times New Roman"/>
        </w:rPr>
        <w:t xml:space="preserve">upon Respond Power’s license similar to those </w:t>
      </w:r>
      <w:r>
        <w:rPr>
          <w:rFonts w:cs="Times New Roman"/>
        </w:rPr>
        <w:t>it did</w:t>
      </w:r>
      <w:r w:rsidR="00B93674">
        <w:rPr>
          <w:rFonts w:cs="Times New Roman"/>
        </w:rPr>
        <w:t xml:space="preserve"> in the </w:t>
      </w:r>
      <w:r w:rsidR="00B93674" w:rsidRPr="006F6FBC">
        <w:rPr>
          <w:rFonts w:cs="Times New Roman"/>
          <w:i/>
        </w:rPr>
        <w:t xml:space="preserve">Towne </w:t>
      </w:r>
      <w:r w:rsidR="00B93674">
        <w:rPr>
          <w:rFonts w:cs="Times New Roman"/>
        </w:rPr>
        <w:t xml:space="preserve">case.  </w:t>
      </w:r>
      <w:r>
        <w:rPr>
          <w:rFonts w:cs="Times New Roman"/>
        </w:rPr>
        <w:t>For example, I recommend t</w:t>
      </w:r>
      <w:r w:rsidR="00B93674">
        <w:rPr>
          <w:rFonts w:cs="Times New Roman"/>
        </w:rPr>
        <w:t>he Commission ensure</w:t>
      </w:r>
      <w:r w:rsidR="005D1A6C">
        <w:rPr>
          <w:rFonts w:cs="Times New Roman"/>
        </w:rPr>
        <w:t xml:space="preserve"> Respond Power change</w:t>
      </w:r>
      <w:r w:rsidR="00B93674">
        <w:rPr>
          <w:rFonts w:cs="Times New Roman"/>
        </w:rPr>
        <w:t>s</w:t>
      </w:r>
      <w:r w:rsidR="005D1A6C">
        <w:rPr>
          <w:rFonts w:cs="Times New Roman"/>
        </w:rPr>
        <w:t xml:space="preserve"> its Disclosure Statement such that it complies with the Commission’s </w:t>
      </w:r>
      <w:r w:rsidR="00B93674">
        <w:rPr>
          <w:rFonts w:cs="Times New Roman"/>
        </w:rPr>
        <w:t xml:space="preserve">current </w:t>
      </w:r>
      <w:r w:rsidR="005D1A6C">
        <w:rPr>
          <w:rFonts w:cs="Times New Roman"/>
        </w:rPr>
        <w:t xml:space="preserve">regulations.  </w:t>
      </w:r>
    </w:p>
    <w:p w:rsidR="00040374" w:rsidRDefault="00040374" w:rsidP="009321A2">
      <w:pPr>
        <w:spacing w:after="0"/>
        <w:ind w:firstLine="1440"/>
        <w:rPr>
          <w:rFonts w:cs="Times New Roman"/>
        </w:rPr>
      </w:pPr>
    </w:p>
    <w:p w:rsidR="00386D32" w:rsidRDefault="007D101A" w:rsidP="009321A2">
      <w:pPr>
        <w:spacing w:after="0"/>
        <w:ind w:firstLine="1440"/>
        <w:rPr>
          <w:rFonts w:cs="Times New Roman"/>
        </w:rPr>
      </w:pPr>
      <w:r>
        <w:rPr>
          <w:rFonts w:cs="Times New Roman"/>
        </w:rPr>
        <w:t xml:space="preserve">Finally, </w:t>
      </w:r>
      <w:r w:rsidR="00386D32">
        <w:rPr>
          <w:rFonts w:cs="Times New Roman"/>
        </w:rPr>
        <w:t>I recommend the C</w:t>
      </w:r>
      <w:r w:rsidR="005D1A6C">
        <w:rPr>
          <w:rFonts w:cs="Times New Roman"/>
        </w:rPr>
        <w:t>ommission’s Office of Competitive Oversight and Bureau of Investigation and Enforcement investigate Respond Power’s</w:t>
      </w:r>
      <w:r w:rsidR="00386D32">
        <w:rPr>
          <w:rFonts w:cs="Times New Roman"/>
        </w:rPr>
        <w:t xml:space="preserve"> verification records,</w:t>
      </w:r>
      <w:r w:rsidR="005D1A6C">
        <w:rPr>
          <w:rFonts w:cs="Times New Roman"/>
        </w:rPr>
        <w:t xml:space="preserve"> training manuals</w:t>
      </w:r>
      <w:r w:rsidR="00386D32">
        <w:rPr>
          <w:rFonts w:cs="Times New Roman"/>
        </w:rPr>
        <w:t>, marketing materials (including scripts), and the audit and discipline history of door-to-door agents,</w:t>
      </w:r>
      <w:r w:rsidR="005D1A6C">
        <w:rPr>
          <w:rFonts w:cs="Times New Roman"/>
        </w:rPr>
        <w:t xml:space="preserve"> </w:t>
      </w:r>
      <w:r w:rsidR="00B93674">
        <w:rPr>
          <w:rFonts w:cs="Times New Roman"/>
        </w:rPr>
        <w:t xml:space="preserve">to determine </w:t>
      </w:r>
      <w:r w:rsidR="00040374">
        <w:rPr>
          <w:rFonts w:cs="Times New Roman"/>
        </w:rPr>
        <w:t xml:space="preserve">compliance regarding these aforementioned and </w:t>
      </w:r>
      <w:r w:rsidR="00B93674">
        <w:rPr>
          <w:rFonts w:cs="Times New Roman"/>
        </w:rPr>
        <w:t xml:space="preserve">other </w:t>
      </w:r>
      <w:r w:rsidR="00386D32">
        <w:rPr>
          <w:rFonts w:cs="Times New Roman"/>
        </w:rPr>
        <w:t xml:space="preserve">Commission regulations.    </w:t>
      </w:r>
    </w:p>
    <w:p w:rsidR="006F6FBC" w:rsidRPr="006F6FBC" w:rsidRDefault="006F6FBC" w:rsidP="009321A2">
      <w:pPr>
        <w:spacing w:after="0"/>
        <w:ind w:firstLine="1440"/>
        <w:rPr>
          <w:rFonts w:cs="Times New Roman"/>
        </w:rPr>
      </w:pPr>
    </w:p>
    <w:p w:rsidR="0052682F" w:rsidRDefault="00E84B00" w:rsidP="0052682F">
      <w:pPr>
        <w:spacing w:after="0"/>
        <w:jc w:val="center"/>
        <w:rPr>
          <w:rFonts w:cs="Times New Roman"/>
          <w:u w:val="single"/>
        </w:rPr>
      </w:pPr>
      <w:r w:rsidRPr="00605E99">
        <w:rPr>
          <w:rFonts w:cs="Times New Roman"/>
          <w:u w:val="single"/>
        </w:rPr>
        <w:t>CONCLUSIONS OF LAW</w:t>
      </w:r>
    </w:p>
    <w:p w:rsidR="0052682F" w:rsidRDefault="0052682F" w:rsidP="0052682F">
      <w:pPr>
        <w:spacing w:after="0"/>
        <w:jc w:val="center"/>
        <w:rPr>
          <w:rFonts w:cs="Times New Roman"/>
          <w:u w:val="single"/>
        </w:rPr>
      </w:pPr>
    </w:p>
    <w:p w:rsidR="0052682F" w:rsidRDefault="0052682F" w:rsidP="0052682F">
      <w:pPr>
        <w:spacing w:after="0"/>
      </w:pPr>
      <w:r>
        <w:rPr>
          <w:rFonts w:cs="Times New Roman"/>
        </w:rPr>
        <w:tab/>
      </w:r>
      <w:r>
        <w:rPr>
          <w:rFonts w:cs="Times New Roman"/>
        </w:rPr>
        <w:tab/>
        <w:t>1.</w:t>
      </w:r>
      <w:r>
        <w:rPr>
          <w:rFonts w:cs="Times New Roman"/>
        </w:rPr>
        <w:tab/>
      </w:r>
      <w:r w:rsidR="00E84B00" w:rsidRPr="002864AC">
        <w:t xml:space="preserve">The Commission has jurisdiction over the parties and subject matter of this dispute. </w:t>
      </w:r>
      <w:r w:rsidR="002864AC">
        <w:t xml:space="preserve"> </w:t>
      </w:r>
      <w:proofErr w:type="gramStart"/>
      <w:r w:rsidR="00E84B00" w:rsidRPr="002864AC">
        <w:t xml:space="preserve">66 </w:t>
      </w:r>
      <w:r w:rsidR="0079588A">
        <w:t>Pa.C.S.</w:t>
      </w:r>
      <w:proofErr w:type="gramEnd"/>
      <w:r w:rsidR="00E84B00" w:rsidRPr="002864AC">
        <w:t xml:space="preserve"> §§ 701, 2809.</w:t>
      </w:r>
    </w:p>
    <w:p w:rsidR="0052682F" w:rsidRDefault="0052682F" w:rsidP="0052682F">
      <w:pPr>
        <w:spacing w:after="0"/>
      </w:pPr>
    </w:p>
    <w:p w:rsidR="002864AC" w:rsidRPr="0052682F" w:rsidRDefault="0052682F" w:rsidP="0052682F">
      <w:pPr>
        <w:spacing w:after="0"/>
        <w:rPr>
          <w:rFonts w:cs="Times New Roman"/>
          <w:u w:val="single"/>
        </w:rPr>
      </w:pPr>
      <w:r>
        <w:tab/>
      </w:r>
      <w:r>
        <w:tab/>
        <w:t>2.</w:t>
      </w:r>
      <w:r>
        <w:tab/>
      </w:r>
      <w:r w:rsidR="002864AC">
        <w:t xml:space="preserve">The Complainant bears the burden of proof.  </w:t>
      </w:r>
      <w:proofErr w:type="gramStart"/>
      <w:r w:rsidR="002864AC">
        <w:t xml:space="preserve">66 </w:t>
      </w:r>
      <w:r w:rsidR="0079588A">
        <w:t>Pa.C.S.</w:t>
      </w:r>
      <w:proofErr w:type="gramEnd"/>
      <w:r w:rsidR="00E54DF2">
        <w:t xml:space="preserve"> </w:t>
      </w:r>
      <w:r w:rsidR="00E54DF2" w:rsidRPr="002864AC">
        <w:t>§</w:t>
      </w:r>
      <w:r w:rsidR="002864AC">
        <w:t xml:space="preserve"> 332 (a).</w:t>
      </w:r>
    </w:p>
    <w:p w:rsidR="002864AC" w:rsidRDefault="002864AC" w:rsidP="00AF7248">
      <w:pPr>
        <w:tabs>
          <w:tab w:val="left" w:pos="3360"/>
        </w:tabs>
        <w:spacing w:after="0"/>
        <w:ind w:firstLine="1440"/>
        <w:rPr>
          <w:rFonts w:cs="Times New Roman"/>
        </w:rPr>
      </w:pPr>
    </w:p>
    <w:p w:rsidR="00AF7248" w:rsidRDefault="00AF7248" w:rsidP="00AF7248">
      <w:pPr>
        <w:spacing w:after="0"/>
        <w:ind w:firstLine="1440"/>
        <w:rPr>
          <w:rFonts w:cs="Times New Roman"/>
        </w:rPr>
      </w:pPr>
      <w:r>
        <w:rPr>
          <w:rFonts w:cs="Times New Roman"/>
        </w:rPr>
        <w:t>3.</w:t>
      </w:r>
      <w:r>
        <w:rPr>
          <w:rFonts w:cs="Times New Roman"/>
        </w:rPr>
        <w:tab/>
        <w:t xml:space="preserve">Respond Power violated </w:t>
      </w:r>
      <w:r w:rsidR="00386D32">
        <w:rPr>
          <w:rFonts w:cs="Times New Roman"/>
        </w:rPr>
        <w:t xml:space="preserve">the Commission’s Order </w:t>
      </w:r>
      <w:r w:rsidRPr="008512D2">
        <w:rPr>
          <w:i/>
          <w:szCs w:val="24"/>
        </w:rPr>
        <w:t>In re: License Application of Respond Power LLC for Approval to Offer, Render, Furnish or Supply Electricity or Electric Generation Services as a Supplier of Retail Electric Power,</w:t>
      </w:r>
      <w:r w:rsidRPr="008512D2">
        <w:rPr>
          <w:szCs w:val="24"/>
        </w:rPr>
        <w:t xml:space="preserve"> Docket No. A-2010-2163898, Order at 3 (Aug. 19, 2010)</w:t>
      </w:r>
      <w:r>
        <w:rPr>
          <w:rFonts w:cs="Times New Roman"/>
        </w:rPr>
        <w:t>.</w:t>
      </w:r>
    </w:p>
    <w:p w:rsidR="00E84B00" w:rsidRDefault="00E84B00" w:rsidP="002864AC">
      <w:pPr>
        <w:spacing w:after="0"/>
        <w:ind w:firstLine="1440"/>
        <w:rPr>
          <w:rFonts w:cs="Times New Roman"/>
        </w:rPr>
      </w:pPr>
    </w:p>
    <w:p w:rsidR="00097DB4" w:rsidRDefault="00097DB4" w:rsidP="00EE5250">
      <w:pPr>
        <w:spacing w:after="0"/>
        <w:ind w:firstLine="720"/>
        <w:rPr>
          <w:rFonts w:cs="Times New Roman"/>
        </w:rPr>
      </w:pPr>
      <w:r>
        <w:rPr>
          <w:rFonts w:cs="Times New Roman"/>
        </w:rPr>
        <w:tab/>
        <w:t>4.</w:t>
      </w:r>
      <w:r>
        <w:rPr>
          <w:rFonts w:cs="Times New Roman"/>
        </w:rPr>
        <w:tab/>
        <w:t xml:space="preserve">Respond Power violated 52 </w:t>
      </w:r>
      <w:r w:rsidR="0079588A">
        <w:rPr>
          <w:rFonts w:cs="Times New Roman"/>
        </w:rPr>
        <w:t>Pa.Code</w:t>
      </w:r>
      <w:r>
        <w:rPr>
          <w:rFonts w:cs="Times New Roman"/>
        </w:rPr>
        <w:t xml:space="preserve"> §54.4(a) by not billing Mr. Herp the prices marketed to him by sales agent, Larry Majek.</w:t>
      </w:r>
    </w:p>
    <w:p w:rsidR="00097DB4" w:rsidRDefault="00097DB4" w:rsidP="00EE5250">
      <w:pPr>
        <w:spacing w:after="0"/>
        <w:ind w:firstLine="720"/>
        <w:rPr>
          <w:rFonts w:cs="Times New Roman"/>
        </w:rPr>
      </w:pPr>
    </w:p>
    <w:p w:rsidR="00097DB4" w:rsidRDefault="00097DB4" w:rsidP="00EE5250">
      <w:pPr>
        <w:spacing w:after="0"/>
        <w:ind w:firstLine="720"/>
        <w:rPr>
          <w:rFonts w:cs="Times New Roman"/>
        </w:rPr>
      </w:pPr>
      <w:r>
        <w:rPr>
          <w:rFonts w:cs="Times New Roman"/>
        </w:rPr>
        <w:tab/>
        <w:t>5.</w:t>
      </w:r>
      <w:r>
        <w:rPr>
          <w:rFonts w:cs="Times New Roman"/>
        </w:rPr>
        <w:tab/>
        <w:t xml:space="preserve">Respond Power violated 52 </w:t>
      </w:r>
      <w:r w:rsidR="0079588A">
        <w:rPr>
          <w:rFonts w:cs="Times New Roman"/>
        </w:rPr>
        <w:t>Pa.Code</w:t>
      </w:r>
      <w:r>
        <w:rPr>
          <w:rFonts w:cs="Times New Roman"/>
        </w:rPr>
        <w:t xml:space="preserve"> §54.5</w:t>
      </w:r>
      <w:r w:rsidR="008845BD">
        <w:rPr>
          <w:rFonts w:cs="Times New Roman"/>
        </w:rPr>
        <w:t>(c)(10)</w:t>
      </w:r>
      <w:r>
        <w:rPr>
          <w:rFonts w:cs="Times New Roman"/>
        </w:rPr>
        <w:t xml:space="preserve"> by </w:t>
      </w:r>
      <w:r w:rsidR="008845BD">
        <w:rPr>
          <w:rFonts w:cs="Times New Roman"/>
        </w:rPr>
        <w:t xml:space="preserve">having the explanation of limits on penalties, fees or </w:t>
      </w:r>
      <w:r w:rsidR="00B93674">
        <w:rPr>
          <w:rFonts w:cs="Times New Roman"/>
        </w:rPr>
        <w:t>exceptions</w:t>
      </w:r>
      <w:r w:rsidR="008845BD">
        <w:rPr>
          <w:rFonts w:cs="Times New Roman"/>
        </w:rPr>
        <w:t xml:space="preserve"> printed in the same type size as printed in the rest of the disclosure statement</w:t>
      </w:r>
      <w:r w:rsidR="00B93674">
        <w:rPr>
          <w:rFonts w:cs="Times New Roman"/>
        </w:rPr>
        <w:t>.</w:t>
      </w:r>
      <w:r w:rsidR="008845BD">
        <w:rPr>
          <w:rFonts w:cs="Times New Roman"/>
        </w:rPr>
        <w:t xml:space="preserve"> </w:t>
      </w:r>
    </w:p>
    <w:p w:rsidR="00086666" w:rsidRDefault="00AF7248" w:rsidP="00EE5250">
      <w:pPr>
        <w:spacing w:after="0"/>
        <w:rPr>
          <w:rFonts w:cs="Times New Roman"/>
        </w:rPr>
      </w:pPr>
      <w:r>
        <w:rPr>
          <w:rFonts w:cs="Times New Roman"/>
        </w:rPr>
        <w:tab/>
      </w:r>
      <w:r>
        <w:rPr>
          <w:rFonts w:cs="Times New Roman"/>
        </w:rPr>
        <w:tab/>
      </w:r>
      <w:r w:rsidR="00B93674">
        <w:rPr>
          <w:rFonts w:cs="Times New Roman"/>
        </w:rPr>
        <w:t>6</w:t>
      </w:r>
      <w:r>
        <w:rPr>
          <w:rFonts w:cs="Times New Roman"/>
        </w:rPr>
        <w:t>.</w:t>
      </w:r>
      <w:r>
        <w:rPr>
          <w:rFonts w:cs="Times New Roman"/>
        </w:rPr>
        <w:tab/>
      </w:r>
      <w:r w:rsidR="00086666">
        <w:rPr>
          <w:rFonts w:cs="Times New Roman"/>
        </w:rPr>
        <w:t xml:space="preserve">Respond Power violated 52 </w:t>
      </w:r>
      <w:r w:rsidR="0079588A">
        <w:rPr>
          <w:rFonts w:cs="Times New Roman"/>
        </w:rPr>
        <w:t>Pa.Code</w:t>
      </w:r>
      <w:r w:rsidR="00086666">
        <w:rPr>
          <w:rFonts w:cs="Times New Roman"/>
        </w:rPr>
        <w:t xml:space="preserve"> § 54.7(a) in that its advertised prices did not reflect its billed prices.</w:t>
      </w:r>
    </w:p>
    <w:p w:rsidR="00B93674" w:rsidRDefault="00B93674" w:rsidP="00EE5250">
      <w:pPr>
        <w:spacing w:after="0"/>
        <w:rPr>
          <w:rFonts w:cs="Times New Roman"/>
        </w:rPr>
      </w:pPr>
    </w:p>
    <w:p w:rsidR="00E42A98" w:rsidRDefault="00B93674" w:rsidP="00EE5250">
      <w:pPr>
        <w:spacing w:after="0"/>
        <w:rPr>
          <w:rFonts w:cs="Times New Roman"/>
        </w:rPr>
      </w:pPr>
      <w:r>
        <w:rPr>
          <w:rFonts w:cs="Times New Roman"/>
        </w:rPr>
        <w:tab/>
      </w:r>
      <w:r>
        <w:rPr>
          <w:rFonts w:cs="Times New Roman"/>
        </w:rPr>
        <w:tab/>
        <w:t>7</w:t>
      </w:r>
      <w:r w:rsidR="00E42A98">
        <w:rPr>
          <w:rFonts w:cs="Times New Roman"/>
        </w:rPr>
        <w:t>.</w:t>
      </w:r>
      <w:r w:rsidR="00E42A98">
        <w:rPr>
          <w:rFonts w:cs="Times New Roman"/>
        </w:rPr>
        <w:tab/>
        <w:t xml:space="preserve">A licensee shall comply with the applicable requirements of the code and Commission regulations and orders.  </w:t>
      </w:r>
      <w:proofErr w:type="gramStart"/>
      <w:r w:rsidR="00E42A98">
        <w:rPr>
          <w:rFonts w:cs="Times New Roman"/>
        </w:rPr>
        <w:t xml:space="preserve">52 </w:t>
      </w:r>
      <w:r w:rsidR="0079588A">
        <w:rPr>
          <w:rFonts w:cs="Times New Roman"/>
        </w:rPr>
        <w:t>Pa.Code</w:t>
      </w:r>
      <w:r w:rsidR="00E42A98">
        <w:rPr>
          <w:rFonts w:cs="Times New Roman"/>
        </w:rPr>
        <w:t xml:space="preserve"> § 54.42(a).</w:t>
      </w:r>
      <w:proofErr w:type="gramEnd"/>
    </w:p>
    <w:p w:rsidR="00E42A98" w:rsidRDefault="00E42A98" w:rsidP="00EE5250">
      <w:pPr>
        <w:spacing w:after="0"/>
        <w:rPr>
          <w:rFonts w:cs="Times New Roman"/>
        </w:rPr>
      </w:pPr>
    </w:p>
    <w:p w:rsidR="007B5CCD" w:rsidRDefault="00B93674" w:rsidP="00EE5250">
      <w:pPr>
        <w:spacing w:after="0"/>
        <w:rPr>
          <w:rFonts w:cs="Times New Roman"/>
        </w:rPr>
      </w:pPr>
      <w:r>
        <w:rPr>
          <w:rFonts w:cs="Times New Roman"/>
        </w:rPr>
        <w:tab/>
      </w:r>
      <w:r>
        <w:rPr>
          <w:rFonts w:cs="Times New Roman"/>
        </w:rPr>
        <w:tab/>
        <w:t>8</w:t>
      </w:r>
      <w:r w:rsidR="00086666">
        <w:rPr>
          <w:rFonts w:cs="Times New Roman"/>
        </w:rPr>
        <w:t>.</w:t>
      </w:r>
      <w:r w:rsidR="00086666">
        <w:rPr>
          <w:rFonts w:cs="Times New Roman"/>
        </w:rPr>
        <w:tab/>
      </w:r>
      <w:r w:rsidR="00AF7248">
        <w:rPr>
          <w:rFonts w:cs="Times New Roman"/>
        </w:rPr>
        <w:t xml:space="preserve">Respond Power violated 52 </w:t>
      </w:r>
      <w:r w:rsidR="0079588A">
        <w:rPr>
          <w:rFonts w:cs="Times New Roman"/>
        </w:rPr>
        <w:t>Pa.Code</w:t>
      </w:r>
      <w:r w:rsidR="00AF7248">
        <w:rPr>
          <w:rFonts w:cs="Times New Roman"/>
        </w:rPr>
        <w:t xml:space="preserve"> § 54.43(1)(f) by not providing accurate information about its electric generation services using plain language  and common terms in communications with Mr. Herp, and by the deceptive marketing acts of its agent or representative, Mr. Majek.</w:t>
      </w:r>
    </w:p>
    <w:p w:rsidR="00AF7248" w:rsidRDefault="00AF7248" w:rsidP="00EE5250">
      <w:pPr>
        <w:spacing w:after="0"/>
        <w:rPr>
          <w:rFonts w:cs="Times New Roman"/>
        </w:rPr>
      </w:pPr>
    </w:p>
    <w:p w:rsidR="00AF7248" w:rsidRDefault="00B93674" w:rsidP="00EE5250">
      <w:pPr>
        <w:spacing w:after="0"/>
        <w:ind w:firstLine="1440"/>
        <w:rPr>
          <w:rFonts w:cs="Times New Roman"/>
        </w:rPr>
      </w:pPr>
      <w:r>
        <w:rPr>
          <w:rFonts w:cs="Times New Roman"/>
        </w:rPr>
        <w:t>9</w:t>
      </w:r>
      <w:r w:rsidR="00AF7248">
        <w:rPr>
          <w:rFonts w:cs="Times New Roman"/>
        </w:rPr>
        <w:t>.</w:t>
      </w:r>
      <w:r w:rsidR="00AF7248">
        <w:rPr>
          <w:rFonts w:cs="Times New Roman"/>
        </w:rPr>
        <w:tab/>
        <w:t xml:space="preserve">Respond Power violated 52 </w:t>
      </w:r>
      <w:r w:rsidR="0079588A">
        <w:rPr>
          <w:rFonts w:cs="Times New Roman"/>
        </w:rPr>
        <w:t>Pa.Code</w:t>
      </w:r>
      <w:r w:rsidR="00AF7248">
        <w:rPr>
          <w:rFonts w:cs="Times New Roman"/>
        </w:rPr>
        <w:t xml:space="preserve"> § 54.43(1)(g) by not complying with the Commission’s Order </w:t>
      </w:r>
      <w:r w:rsidR="00AF7248" w:rsidRPr="008512D2">
        <w:rPr>
          <w:i/>
          <w:szCs w:val="24"/>
        </w:rPr>
        <w:t>In re: License Application of Respond Power LLC for Approval to Offer, Render, Furnish or Supply Electricity or Electric Generation Services as a Supplier of Retail Electric Power,</w:t>
      </w:r>
      <w:r w:rsidR="00AF7248" w:rsidRPr="008512D2">
        <w:rPr>
          <w:szCs w:val="24"/>
        </w:rPr>
        <w:t xml:space="preserve"> Docket No. A-2010-2163898, Order at 3 (Aug. 19, 2010)</w:t>
      </w:r>
      <w:r w:rsidR="00AF7248">
        <w:rPr>
          <w:rFonts w:cs="Times New Roman"/>
        </w:rPr>
        <w:t>.</w:t>
      </w:r>
    </w:p>
    <w:p w:rsidR="00AF7248" w:rsidRDefault="00AF7248" w:rsidP="00EE5250">
      <w:pPr>
        <w:spacing w:after="0"/>
        <w:ind w:firstLine="1440"/>
        <w:rPr>
          <w:rFonts w:cs="Times New Roman"/>
        </w:rPr>
      </w:pPr>
    </w:p>
    <w:p w:rsidR="00E42A98" w:rsidRDefault="00E42A98" w:rsidP="00EE5250">
      <w:pPr>
        <w:spacing w:after="0"/>
        <w:rPr>
          <w:rFonts w:cs="Times New Roman"/>
        </w:rPr>
      </w:pPr>
      <w:r>
        <w:rPr>
          <w:rFonts w:cs="Times New Roman"/>
        </w:rPr>
        <w:tab/>
      </w:r>
      <w:r>
        <w:rPr>
          <w:rFonts w:cs="Times New Roman"/>
        </w:rPr>
        <w:tab/>
      </w:r>
      <w:r w:rsidR="00B93674">
        <w:rPr>
          <w:rFonts w:cs="Times New Roman"/>
        </w:rPr>
        <w:t>10</w:t>
      </w:r>
      <w:r>
        <w:rPr>
          <w:rFonts w:cs="Times New Roman"/>
        </w:rPr>
        <w:t>.</w:t>
      </w:r>
      <w:r>
        <w:rPr>
          <w:rFonts w:cs="Times New Roman"/>
        </w:rPr>
        <w:tab/>
        <w:t xml:space="preserve">A license may be suspended or revoked and fines may be imposed against the licensee for a violation of Pennsylvania consumer protection law, and the failure to follow the principles in Section 54.43 (relating to standards of conduct and disclosure for licensees).  52 </w:t>
      </w:r>
      <w:r w:rsidR="0079588A">
        <w:rPr>
          <w:rFonts w:cs="Times New Roman"/>
        </w:rPr>
        <w:t>Pa.Code</w:t>
      </w:r>
      <w:r>
        <w:rPr>
          <w:rFonts w:cs="Times New Roman"/>
        </w:rPr>
        <w:t xml:space="preserve"> § 54.42(a</w:t>
      </w:r>
      <w:proofErr w:type="gramStart"/>
      <w:r>
        <w:rPr>
          <w:rFonts w:cs="Times New Roman"/>
        </w:rPr>
        <w:t>)(</w:t>
      </w:r>
      <w:proofErr w:type="gramEnd"/>
      <w:r>
        <w:rPr>
          <w:rFonts w:cs="Times New Roman"/>
        </w:rPr>
        <w:t>6) and (8).</w:t>
      </w:r>
    </w:p>
    <w:p w:rsidR="00B93674" w:rsidRDefault="00B93674" w:rsidP="00EE5250">
      <w:pPr>
        <w:spacing w:after="0"/>
        <w:ind w:firstLine="1440"/>
        <w:rPr>
          <w:rFonts w:cs="Times New Roman"/>
        </w:rPr>
      </w:pPr>
    </w:p>
    <w:p w:rsidR="00E42A98" w:rsidRDefault="00B93674" w:rsidP="00EE5250">
      <w:pPr>
        <w:spacing w:after="0"/>
        <w:ind w:firstLine="1440"/>
        <w:rPr>
          <w:rFonts w:eastAsia="Calibri"/>
        </w:rPr>
      </w:pPr>
      <w:r>
        <w:rPr>
          <w:rFonts w:cs="Times New Roman"/>
        </w:rPr>
        <w:t>11.</w:t>
      </w:r>
      <w:r w:rsidR="00E42A98">
        <w:rPr>
          <w:rFonts w:cs="Times New Roman"/>
        </w:rPr>
        <w:tab/>
        <w:t xml:space="preserve">Respond Power did not violate </w:t>
      </w:r>
      <w:r w:rsidR="00E42A98">
        <w:rPr>
          <w:rFonts w:eastAsia="Calibri"/>
        </w:rPr>
        <w:t xml:space="preserve">52 </w:t>
      </w:r>
      <w:r w:rsidR="0079588A">
        <w:rPr>
          <w:rFonts w:eastAsia="Calibri"/>
        </w:rPr>
        <w:t>Pa.Code</w:t>
      </w:r>
      <w:r w:rsidR="00E42A98">
        <w:rPr>
          <w:rFonts w:eastAsia="Calibri"/>
        </w:rPr>
        <w:t xml:space="preserve"> § 56.12, relating to metering.</w:t>
      </w:r>
    </w:p>
    <w:p w:rsidR="00E42A98" w:rsidRDefault="00E42A98" w:rsidP="00EE5250">
      <w:pPr>
        <w:spacing w:after="0"/>
        <w:rPr>
          <w:rFonts w:cs="Times New Roman"/>
        </w:rPr>
      </w:pPr>
    </w:p>
    <w:p w:rsidR="009C4920" w:rsidRDefault="00B93674" w:rsidP="00EE5250">
      <w:pPr>
        <w:spacing w:after="0"/>
        <w:ind w:firstLine="1440"/>
        <w:rPr>
          <w:color w:val="000000"/>
          <w:szCs w:val="24"/>
          <w:shd w:val="clear" w:color="auto" w:fill="FFFFFF"/>
        </w:rPr>
      </w:pPr>
      <w:r>
        <w:rPr>
          <w:rFonts w:cs="Times New Roman"/>
        </w:rPr>
        <w:t>12</w:t>
      </w:r>
      <w:r w:rsidR="00AF7248">
        <w:rPr>
          <w:rFonts w:cs="Times New Roman"/>
        </w:rPr>
        <w:t>.</w:t>
      </w:r>
      <w:r w:rsidR="0052682F">
        <w:rPr>
          <w:color w:val="000000"/>
          <w:szCs w:val="24"/>
          <w:shd w:val="clear" w:color="auto" w:fill="FFFFFF"/>
        </w:rPr>
        <w:tab/>
      </w:r>
      <w:r w:rsidR="009C4920">
        <w:rPr>
          <w:color w:val="000000"/>
          <w:szCs w:val="24"/>
          <w:shd w:val="clear" w:color="auto" w:fill="FFFFFF"/>
        </w:rPr>
        <w:t xml:space="preserve">Respond Power violated 52 </w:t>
      </w:r>
      <w:r w:rsidR="0079588A">
        <w:rPr>
          <w:color w:val="000000"/>
          <w:szCs w:val="24"/>
          <w:shd w:val="clear" w:color="auto" w:fill="FFFFFF"/>
        </w:rPr>
        <w:t>Pa.Code</w:t>
      </w:r>
      <w:r w:rsidR="009C4920">
        <w:rPr>
          <w:color w:val="000000"/>
          <w:szCs w:val="24"/>
          <w:shd w:val="clear" w:color="auto" w:fill="FFFFFF"/>
        </w:rPr>
        <w:t xml:space="preserve"> § 111.7(a</w:t>
      </w:r>
      <w:proofErr w:type="gramStart"/>
      <w:r w:rsidR="009C4920">
        <w:rPr>
          <w:color w:val="000000"/>
          <w:szCs w:val="24"/>
          <w:shd w:val="clear" w:color="auto" w:fill="FFFFFF"/>
        </w:rPr>
        <w:t>)(</w:t>
      </w:r>
      <w:proofErr w:type="gramEnd"/>
      <w:r w:rsidR="009C4920">
        <w:rPr>
          <w:color w:val="000000"/>
          <w:szCs w:val="24"/>
          <w:shd w:val="clear" w:color="auto" w:fill="FFFFFF"/>
        </w:rPr>
        <w:t xml:space="preserve">1) because the written service agreement did not identify whether the transaction was the result of a door-to-door call or other in-person contact with an agent.  </w:t>
      </w:r>
    </w:p>
    <w:p w:rsidR="00667C0A" w:rsidRDefault="00667C0A" w:rsidP="00EE5250">
      <w:pPr>
        <w:spacing w:after="0"/>
        <w:ind w:firstLine="1440"/>
        <w:rPr>
          <w:color w:val="000000"/>
          <w:szCs w:val="24"/>
          <w:shd w:val="clear" w:color="auto" w:fill="FFFFFF"/>
        </w:rPr>
      </w:pPr>
    </w:p>
    <w:p w:rsidR="009C4920" w:rsidRDefault="00B93674" w:rsidP="00EE5250">
      <w:pPr>
        <w:spacing w:after="0"/>
        <w:ind w:firstLine="1440"/>
        <w:rPr>
          <w:color w:val="000000"/>
          <w:szCs w:val="24"/>
          <w:shd w:val="clear" w:color="auto" w:fill="FFFFFF"/>
        </w:rPr>
      </w:pPr>
      <w:r>
        <w:rPr>
          <w:color w:val="000000"/>
          <w:szCs w:val="24"/>
          <w:shd w:val="clear" w:color="auto" w:fill="FFFFFF"/>
        </w:rPr>
        <w:t>13</w:t>
      </w:r>
      <w:r w:rsidR="009C4920">
        <w:rPr>
          <w:color w:val="000000"/>
          <w:szCs w:val="24"/>
          <w:shd w:val="clear" w:color="auto" w:fill="FFFFFF"/>
        </w:rPr>
        <w:t>.</w:t>
      </w:r>
      <w:r w:rsidR="009C4920">
        <w:rPr>
          <w:color w:val="000000"/>
          <w:szCs w:val="24"/>
          <w:shd w:val="clear" w:color="auto" w:fill="FFFFFF"/>
        </w:rPr>
        <w:tab/>
        <w:t xml:space="preserve">Respond Power and its agent, Larry Majek, did not comply with regulations governing marketing, consumer protection and door-to-door sales including consumer protection regulations at Chapters 54 and billing practices in Chapter 56 in violation of 52 </w:t>
      </w:r>
      <w:r w:rsidR="0079588A">
        <w:rPr>
          <w:color w:val="000000"/>
          <w:szCs w:val="24"/>
          <w:shd w:val="clear" w:color="auto" w:fill="FFFFFF"/>
        </w:rPr>
        <w:t>Pa.Code</w:t>
      </w:r>
      <w:r w:rsidR="009C4920">
        <w:rPr>
          <w:color w:val="000000"/>
          <w:szCs w:val="24"/>
          <w:shd w:val="clear" w:color="auto" w:fill="FFFFFF"/>
        </w:rPr>
        <w:t xml:space="preserve"> § 111.9(b).  </w:t>
      </w:r>
    </w:p>
    <w:p w:rsidR="009C4920" w:rsidRDefault="009C4920" w:rsidP="00EE5250">
      <w:pPr>
        <w:spacing w:after="0"/>
        <w:ind w:firstLine="1440"/>
        <w:rPr>
          <w:color w:val="000000"/>
          <w:szCs w:val="24"/>
          <w:shd w:val="clear" w:color="auto" w:fill="FFFFFF"/>
        </w:rPr>
      </w:pPr>
    </w:p>
    <w:p w:rsidR="00E42A98" w:rsidRPr="00DE1423" w:rsidRDefault="00B93674" w:rsidP="00EE5250">
      <w:pPr>
        <w:spacing w:after="0"/>
        <w:ind w:firstLine="1440"/>
        <w:rPr>
          <w:rFonts w:eastAsia="Calibri"/>
        </w:rPr>
      </w:pPr>
      <w:r>
        <w:rPr>
          <w:color w:val="000000"/>
          <w:szCs w:val="24"/>
          <w:shd w:val="clear" w:color="auto" w:fill="FFFFFF"/>
        </w:rPr>
        <w:t>14</w:t>
      </w:r>
      <w:r w:rsidR="009C4920">
        <w:rPr>
          <w:color w:val="000000"/>
          <w:szCs w:val="24"/>
          <w:shd w:val="clear" w:color="auto" w:fill="FFFFFF"/>
        </w:rPr>
        <w:t>.</w:t>
      </w:r>
      <w:r w:rsidR="009C4920">
        <w:rPr>
          <w:color w:val="000000"/>
          <w:szCs w:val="24"/>
          <w:shd w:val="clear" w:color="auto" w:fill="FFFFFF"/>
        </w:rPr>
        <w:tab/>
      </w:r>
      <w:r w:rsidR="00E42A98">
        <w:rPr>
          <w:rFonts w:eastAsia="Calibri"/>
        </w:rPr>
        <w:t xml:space="preserve">A supplier may use an agent to conduct marketing or sales activities in accordance with applicable Commission rules, regulations and orders; however, consistent with due process, for violations committed by the supplier’s agent, the Commission may suspend or revoke a supplier’s license and impose fines for fraudulent acts, violations of Commission regulations and orders.  52 </w:t>
      </w:r>
      <w:r w:rsidR="0079588A">
        <w:rPr>
          <w:rFonts w:eastAsia="Calibri"/>
        </w:rPr>
        <w:t>Pa.Code</w:t>
      </w:r>
      <w:r w:rsidR="00E42A98">
        <w:rPr>
          <w:rFonts w:eastAsia="Calibri"/>
        </w:rPr>
        <w:t xml:space="preserve"> § 111.3(a</w:t>
      </w:r>
      <w:proofErr w:type="gramStart"/>
      <w:r w:rsidR="00E42A98">
        <w:rPr>
          <w:rFonts w:eastAsia="Calibri"/>
        </w:rPr>
        <w:t>)(</w:t>
      </w:r>
      <w:proofErr w:type="gramEnd"/>
      <w:r w:rsidR="00E42A98">
        <w:rPr>
          <w:rFonts w:eastAsia="Calibri"/>
        </w:rPr>
        <w:t>c).</w:t>
      </w:r>
    </w:p>
    <w:p w:rsidR="00E42A98" w:rsidRDefault="00E42A98" w:rsidP="00EE5250">
      <w:pPr>
        <w:spacing w:after="0"/>
        <w:rPr>
          <w:rFonts w:cs="Times New Roman"/>
          <w:u w:val="single"/>
        </w:rPr>
      </w:pPr>
    </w:p>
    <w:p w:rsidR="00E42A98" w:rsidRDefault="00B93674" w:rsidP="00EE5250">
      <w:pPr>
        <w:spacing w:after="0"/>
        <w:ind w:firstLine="1440"/>
        <w:rPr>
          <w:rFonts w:cs="Times New Roman"/>
        </w:rPr>
      </w:pPr>
      <w:r>
        <w:rPr>
          <w:color w:val="000000"/>
          <w:szCs w:val="24"/>
          <w:shd w:val="clear" w:color="auto" w:fill="FFFFFF"/>
        </w:rPr>
        <w:t>15</w:t>
      </w:r>
      <w:r w:rsidR="00E42A98">
        <w:rPr>
          <w:color w:val="000000"/>
          <w:szCs w:val="24"/>
          <w:shd w:val="clear" w:color="auto" w:fill="FFFFFF"/>
        </w:rPr>
        <w:t>.</w:t>
      </w:r>
      <w:r w:rsidR="00E42A98">
        <w:rPr>
          <w:color w:val="000000"/>
          <w:szCs w:val="24"/>
          <w:shd w:val="clear" w:color="auto" w:fill="FFFFFF"/>
        </w:rPr>
        <w:tab/>
      </w:r>
      <w:r w:rsidR="007904CF">
        <w:rPr>
          <w:color w:val="000000"/>
          <w:szCs w:val="24"/>
          <w:shd w:val="clear" w:color="auto" w:fill="FFFFFF"/>
        </w:rPr>
        <w:t xml:space="preserve">Respond Power violated 52 </w:t>
      </w:r>
      <w:r w:rsidR="0079588A">
        <w:rPr>
          <w:color w:val="000000"/>
          <w:szCs w:val="24"/>
          <w:shd w:val="clear" w:color="auto" w:fill="FFFFFF"/>
        </w:rPr>
        <w:t>Pa.Code</w:t>
      </w:r>
      <w:r w:rsidR="007904CF">
        <w:rPr>
          <w:color w:val="000000"/>
          <w:szCs w:val="24"/>
          <w:shd w:val="clear" w:color="auto" w:fill="FFFFFF"/>
        </w:rPr>
        <w:t xml:space="preserve"> § 111.12(d), as the disclosure statement given to Mr. Herp was not in plain and clear language designed to be understood by a customer, and Respond Power’s agent made false and misleading statements including misrepresenting rates or savings offered by the supplier. </w:t>
      </w:r>
      <w:r w:rsidR="00AF7248">
        <w:rPr>
          <w:rFonts w:cs="Times New Roman"/>
        </w:rPr>
        <w:tab/>
      </w:r>
    </w:p>
    <w:p w:rsidR="00E42A98" w:rsidRDefault="00E42A98" w:rsidP="00EE5250">
      <w:pPr>
        <w:spacing w:after="0"/>
        <w:ind w:firstLine="1440"/>
        <w:rPr>
          <w:rFonts w:cs="Times New Roman"/>
        </w:rPr>
      </w:pPr>
    </w:p>
    <w:p w:rsidR="00AF7248" w:rsidRDefault="00B93674" w:rsidP="003E7C14">
      <w:pPr>
        <w:spacing w:after="0"/>
        <w:ind w:firstLine="1440"/>
      </w:pPr>
      <w:r>
        <w:rPr>
          <w:rFonts w:cs="Times New Roman"/>
        </w:rPr>
        <w:t>16.</w:t>
      </w:r>
      <w:r>
        <w:rPr>
          <w:rFonts w:cs="Times New Roman"/>
        </w:rPr>
        <w:tab/>
      </w:r>
      <w:r w:rsidR="00107C6C">
        <w:rPr>
          <w:rFonts w:cs="Times New Roman"/>
        </w:rPr>
        <w:t xml:space="preserve">Complainant sustained his burden of proving Respond Power violated 52 </w:t>
      </w:r>
      <w:r w:rsidR="0079588A">
        <w:rPr>
          <w:rFonts w:cs="Times New Roman"/>
        </w:rPr>
        <w:t>Pa.Code</w:t>
      </w:r>
      <w:r w:rsidR="00107C6C">
        <w:rPr>
          <w:rFonts w:cs="Times New Roman"/>
        </w:rPr>
        <w:t xml:space="preserve"> §54.4(a), and, accordingly under the powers vested in the Commission pursuant to 66 </w:t>
      </w:r>
      <w:r w:rsidR="0079588A">
        <w:rPr>
          <w:rFonts w:cs="Times New Roman"/>
        </w:rPr>
        <w:t>Pa.C.S.</w:t>
      </w:r>
      <w:r w:rsidR="00107C6C">
        <w:rPr>
          <w:rFonts w:cs="Times New Roman"/>
        </w:rPr>
        <w:t xml:space="preserve"> 501, 1301, 1312, </w:t>
      </w:r>
      <w:r w:rsidR="00E42A98">
        <w:rPr>
          <w:rFonts w:cs="Times New Roman"/>
        </w:rPr>
        <w:t xml:space="preserve">Complainant is entitled to a </w:t>
      </w:r>
      <w:r w:rsidR="0051481B">
        <w:rPr>
          <w:rFonts w:cs="Times New Roman"/>
        </w:rPr>
        <w:t xml:space="preserve">credit or </w:t>
      </w:r>
      <w:r w:rsidR="00E42A98">
        <w:rPr>
          <w:rFonts w:cs="Times New Roman"/>
        </w:rPr>
        <w:t xml:space="preserve">refund in the amount of the difference between what he paid Respond Power during the months of November, 2013 – March, 2014 and what he would have paid West Penn Power, his electric distribution company and default service provider during the same time period for service at 136 Golden Lane, Butler, Pennsylvania. </w:t>
      </w:r>
      <w:r w:rsidR="0077638A">
        <w:t xml:space="preserve"> </w:t>
      </w:r>
    </w:p>
    <w:p w:rsidR="00107C6C" w:rsidRDefault="00107C6C" w:rsidP="003E7C14">
      <w:pPr>
        <w:spacing w:after="0"/>
        <w:ind w:firstLine="1440"/>
      </w:pPr>
    </w:p>
    <w:p w:rsidR="00107C6C" w:rsidRDefault="00B93674" w:rsidP="003E7C14">
      <w:pPr>
        <w:spacing w:after="0"/>
        <w:ind w:firstLine="1440"/>
      </w:pPr>
      <w:r>
        <w:t>17.</w:t>
      </w:r>
      <w:r>
        <w:tab/>
      </w:r>
      <w:r w:rsidR="00107C6C">
        <w:t xml:space="preserve">A civil penalty of $1,000 per violation for a total civil penalty of $10,000 is reasonable and </w:t>
      </w:r>
      <w:r>
        <w:t xml:space="preserve">a </w:t>
      </w:r>
      <w:r w:rsidR="00107C6C">
        <w:t>deterrent for Respond Power and other EGSs</w:t>
      </w:r>
      <w:r>
        <w:t xml:space="preserve"> to violate the Commission’s regulations</w:t>
      </w:r>
      <w:r w:rsidR="00107C6C">
        <w:t>.</w:t>
      </w:r>
    </w:p>
    <w:p w:rsidR="00047659" w:rsidRDefault="00047659" w:rsidP="003E7C14">
      <w:pPr>
        <w:spacing w:after="0"/>
        <w:ind w:firstLine="1440"/>
        <w:rPr>
          <w:rFonts w:cs="Times New Roman"/>
        </w:rPr>
      </w:pPr>
    </w:p>
    <w:p w:rsidR="00E84B00" w:rsidRDefault="00E84B00" w:rsidP="003E7C14">
      <w:pPr>
        <w:spacing w:line="276" w:lineRule="auto"/>
        <w:jc w:val="center"/>
        <w:rPr>
          <w:rFonts w:cs="Times New Roman"/>
          <w:u w:val="single"/>
        </w:rPr>
      </w:pPr>
      <w:r w:rsidRPr="00605E99">
        <w:rPr>
          <w:rFonts w:cs="Times New Roman"/>
          <w:u w:val="single"/>
        </w:rPr>
        <w:t>ORDER</w:t>
      </w:r>
    </w:p>
    <w:p w:rsidR="00EE5250" w:rsidRDefault="00EE5250" w:rsidP="003E7C14">
      <w:pPr>
        <w:spacing w:after="0" w:line="276" w:lineRule="auto"/>
        <w:jc w:val="center"/>
        <w:rPr>
          <w:rFonts w:cs="Times New Roman"/>
          <w:u w:val="single"/>
        </w:rPr>
      </w:pPr>
    </w:p>
    <w:p w:rsidR="003E7C14" w:rsidRDefault="003E7C14" w:rsidP="003E7C14">
      <w:pPr>
        <w:spacing w:after="0" w:line="276" w:lineRule="auto"/>
        <w:jc w:val="center"/>
        <w:rPr>
          <w:rFonts w:cs="Times New Roman"/>
          <w:u w:val="single"/>
        </w:rPr>
      </w:pPr>
    </w:p>
    <w:p w:rsidR="00E84B00" w:rsidRDefault="00E84B00" w:rsidP="003E7C14">
      <w:pPr>
        <w:spacing w:after="0"/>
        <w:ind w:firstLine="1440"/>
        <w:rPr>
          <w:rFonts w:cs="Times New Roman"/>
        </w:rPr>
      </w:pPr>
      <w:r>
        <w:rPr>
          <w:rFonts w:cs="Times New Roman"/>
        </w:rPr>
        <w:t>THEREFORE,</w:t>
      </w:r>
    </w:p>
    <w:p w:rsidR="007B5CCD" w:rsidRDefault="007B5CCD" w:rsidP="003E7C14">
      <w:pPr>
        <w:spacing w:after="0" w:line="276" w:lineRule="auto"/>
        <w:ind w:firstLine="1440"/>
        <w:rPr>
          <w:rFonts w:cs="Times New Roman"/>
        </w:rPr>
      </w:pPr>
    </w:p>
    <w:p w:rsidR="00E84B00" w:rsidRDefault="00E84B00" w:rsidP="003E7C14">
      <w:pPr>
        <w:spacing w:after="0"/>
        <w:ind w:firstLine="1440"/>
        <w:rPr>
          <w:rFonts w:cs="Times New Roman"/>
        </w:rPr>
      </w:pPr>
      <w:r>
        <w:rPr>
          <w:rFonts w:cs="Times New Roman"/>
        </w:rPr>
        <w:t>IT IS ORDERED</w:t>
      </w:r>
      <w:r w:rsidR="007B5CCD">
        <w:rPr>
          <w:rFonts w:cs="Times New Roman"/>
        </w:rPr>
        <w:t>:</w:t>
      </w:r>
    </w:p>
    <w:p w:rsidR="007B5CCD" w:rsidRDefault="007B5CCD" w:rsidP="003E7C14">
      <w:pPr>
        <w:spacing w:after="0"/>
        <w:ind w:firstLine="1440"/>
        <w:rPr>
          <w:rFonts w:cs="Times New Roman"/>
        </w:rPr>
      </w:pPr>
    </w:p>
    <w:p w:rsidR="00E84B00" w:rsidRDefault="00E84B00" w:rsidP="003E7C14">
      <w:pPr>
        <w:spacing w:after="0"/>
        <w:ind w:firstLine="1440"/>
        <w:rPr>
          <w:rFonts w:cs="Times New Roman"/>
        </w:rPr>
      </w:pPr>
      <w:r>
        <w:rPr>
          <w:rFonts w:cs="Times New Roman"/>
        </w:rPr>
        <w:t>1.</w:t>
      </w:r>
      <w:r>
        <w:rPr>
          <w:rFonts w:cs="Times New Roman"/>
        </w:rPr>
        <w:tab/>
        <w:t xml:space="preserve">That the complaint of </w:t>
      </w:r>
      <w:r w:rsidR="00522E97">
        <w:rPr>
          <w:rFonts w:cs="Times New Roman"/>
        </w:rPr>
        <w:t xml:space="preserve">Justin </w:t>
      </w:r>
      <w:r w:rsidR="009C4EC2">
        <w:rPr>
          <w:rFonts w:cs="Times New Roman"/>
        </w:rPr>
        <w:t xml:space="preserve">L. </w:t>
      </w:r>
      <w:r w:rsidR="00522E97">
        <w:rPr>
          <w:rFonts w:cs="Times New Roman"/>
        </w:rPr>
        <w:t>Herp agai</w:t>
      </w:r>
      <w:r>
        <w:rPr>
          <w:rFonts w:cs="Times New Roman"/>
        </w:rPr>
        <w:t xml:space="preserve">nst </w:t>
      </w:r>
      <w:r w:rsidR="00522E97">
        <w:rPr>
          <w:rFonts w:cs="Times New Roman"/>
        </w:rPr>
        <w:t xml:space="preserve">Respond Power LLC </w:t>
      </w:r>
      <w:r>
        <w:rPr>
          <w:rFonts w:cs="Times New Roman"/>
        </w:rPr>
        <w:t xml:space="preserve">at PUC Docket No. </w:t>
      </w:r>
      <w:r w:rsidR="009C4EC2">
        <w:rPr>
          <w:rFonts w:cs="Times New Roman"/>
        </w:rPr>
        <w:t>C-2014-2413756,</w:t>
      </w:r>
      <w:r>
        <w:rPr>
          <w:rFonts w:cs="Times New Roman"/>
        </w:rPr>
        <w:t xml:space="preserve"> is </w:t>
      </w:r>
      <w:r w:rsidR="00D00348">
        <w:rPr>
          <w:rFonts w:cs="Times New Roman"/>
        </w:rPr>
        <w:t>sustained.</w:t>
      </w:r>
    </w:p>
    <w:p w:rsidR="007B5CCD" w:rsidRDefault="007B5CCD" w:rsidP="003E7C14">
      <w:pPr>
        <w:spacing w:after="0"/>
        <w:ind w:firstLine="1440"/>
        <w:rPr>
          <w:rFonts w:cs="Times New Roman"/>
        </w:rPr>
      </w:pPr>
    </w:p>
    <w:p w:rsidR="009C4EC2" w:rsidRDefault="009C4EC2" w:rsidP="003E7C14">
      <w:pPr>
        <w:spacing w:after="0"/>
        <w:ind w:firstLine="1440"/>
        <w:rPr>
          <w:rFonts w:cs="Times New Roman"/>
        </w:rPr>
      </w:pPr>
      <w:r>
        <w:rPr>
          <w:rFonts w:cs="Times New Roman"/>
        </w:rPr>
        <w:t>2.</w:t>
      </w:r>
      <w:r>
        <w:rPr>
          <w:rFonts w:cs="Times New Roman"/>
        </w:rPr>
        <w:tab/>
        <w:t xml:space="preserve">That Respond Power, LLC shall pay a refund </w:t>
      </w:r>
      <w:r w:rsidR="0051481B">
        <w:rPr>
          <w:rFonts w:cs="Times New Roman"/>
        </w:rPr>
        <w:t xml:space="preserve">or issue a credit </w:t>
      </w:r>
      <w:r>
        <w:rPr>
          <w:rFonts w:cs="Times New Roman"/>
        </w:rPr>
        <w:t xml:space="preserve">to Justin L. Herp within 60 days from the date of entry of the final order in the amount of the difference between what Mr. Herp paid Respond Power for the months of </w:t>
      </w:r>
      <w:r w:rsidR="00107C6C">
        <w:rPr>
          <w:rFonts w:cs="Times New Roman"/>
        </w:rPr>
        <w:t>November</w:t>
      </w:r>
      <w:r>
        <w:rPr>
          <w:rFonts w:cs="Times New Roman"/>
        </w:rPr>
        <w:t>, 2013 through and including March, 2014 and what he would have paid his electric distribution company, West Penn Power, for the same service at service address 135 Golden Lane, Butler, Pennsylvania.</w:t>
      </w:r>
    </w:p>
    <w:p w:rsidR="009C4EC2" w:rsidRDefault="009C4EC2" w:rsidP="003E7C14">
      <w:pPr>
        <w:spacing w:after="0"/>
        <w:ind w:firstLine="1440"/>
        <w:rPr>
          <w:rFonts w:cs="Times New Roman"/>
        </w:rPr>
      </w:pPr>
    </w:p>
    <w:p w:rsidR="00D00348" w:rsidRDefault="00EE5250" w:rsidP="003E7C14">
      <w:pPr>
        <w:spacing w:after="0"/>
        <w:ind w:firstLine="1440"/>
      </w:pPr>
      <w:r>
        <w:rPr>
          <w:rFonts w:cs="Times New Roman"/>
        </w:rPr>
        <w:t>3.</w:t>
      </w:r>
      <w:r w:rsidR="00D00348" w:rsidRPr="00D00348">
        <w:rPr>
          <w:rFonts w:cs="Times New Roman"/>
        </w:rPr>
        <w:tab/>
      </w:r>
      <w:r w:rsidR="00E54DF2">
        <w:t xml:space="preserve">That </w:t>
      </w:r>
      <w:r w:rsidR="000A16A2">
        <w:t>Respond Power</w:t>
      </w:r>
      <w:r w:rsidR="00E54DF2">
        <w:t>, LLC</w:t>
      </w:r>
      <w:r w:rsidR="00D00348">
        <w:t xml:space="preserve"> shall pay a civil penalty as set forth in the amount of $</w:t>
      </w:r>
      <w:r w:rsidR="00107C6C">
        <w:t>10</w:t>
      </w:r>
      <w:r w:rsidR="00D00348">
        <w:t>,000 for the violations of the Public Utility Code and the Commission’s regulations by certified check or money order</w:t>
      </w:r>
      <w:r w:rsidR="00D0593D">
        <w:t xml:space="preserve"> payable to “The Commonwealth of Pennsylvania”</w:t>
      </w:r>
      <w:r w:rsidR="00D00348">
        <w:t>, within twenty (20) days after service of the Commission’s Order, forwarded and payable to:</w:t>
      </w:r>
    </w:p>
    <w:p w:rsidR="00D00348" w:rsidRDefault="00D00348" w:rsidP="003E7C14">
      <w:pPr>
        <w:spacing w:after="0" w:line="240" w:lineRule="auto"/>
        <w:jc w:val="center"/>
      </w:pPr>
    </w:p>
    <w:p w:rsidR="00D0593D" w:rsidRDefault="00D0593D" w:rsidP="003E7C14">
      <w:pPr>
        <w:spacing w:after="0" w:line="240" w:lineRule="auto"/>
        <w:ind w:left="2160" w:firstLine="720"/>
      </w:pPr>
      <w:r>
        <w:t>Secretary</w:t>
      </w:r>
    </w:p>
    <w:p w:rsidR="00D00348" w:rsidRDefault="00D00348" w:rsidP="003E7C14">
      <w:pPr>
        <w:spacing w:after="0" w:line="240" w:lineRule="auto"/>
        <w:ind w:left="2160" w:firstLine="720"/>
      </w:pPr>
      <w:r>
        <w:t>Pennsylvania Public Utility Commission</w:t>
      </w:r>
    </w:p>
    <w:p w:rsidR="00D00348" w:rsidRDefault="00D00348" w:rsidP="003E7C14">
      <w:pPr>
        <w:spacing w:after="0" w:line="240" w:lineRule="auto"/>
        <w:ind w:left="2160" w:firstLine="720"/>
      </w:pPr>
      <w:r>
        <w:t>P.O. Box 3265</w:t>
      </w:r>
    </w:p>
    <w:p w:rsidR="00D00348" w:rsidRDefault="00D00348" w:rsidP="003E7C14">
      <w:pPr>
        <w:spacing w:after="0" w:line="240" w:lineRule="auto"/>
        <w:ind w:left="2160" w:firstLine="720"/>
      </w:pPr>
      <w:r>
        <w:t>Harrisburg, PA  17105-3265</w:t>
      </w:r>
    </w:p>
    <w:p w:rsidR="00D00348" w:rsidRDefault="00D00348" w:rsidP="003E7C14">
      <w:pPr>
        <w:spacing w:after="0" w:line="240" w:lineRule="auto"/>
      </w:pPr>
    </w:p>
    <w:p w:rsidR="00D00348" w:rsidRDefault="00D00348" w:rsidP="003E7C14">
      <w:pPr>
        <w:spacing w:after="0" w:line="240" w:lineRule="auto"/>
      </w:pPr>
    </w:p>
    <w:p w:rsidR="00D00348" w:rsidRDefault="00D00348" w:rsidP="00EE5250">
      <w:pPr>
        <w:spacing w:after="0"/>
        <w:ind w:firstLine="1440"/>
      </w:pPr>
      <w:r>
        <w:t>4.</w:t>
      </w:r>
      <w:r>
        <w:tab/>
        <w:t xml:space="preserve">That </w:t>
      </w:r>
      <w:r w:rsidR="000A16A2">
        <w:t>Respond Power, LLC</w:t>
      </w:r>
      <w:r>
        <w:t xml:space="preserve"> shall cease and desist from further violations of the Public Utility Commission’s regulations.</w:t>
      </w:r>
    </w:p>
    <w:p w:rsidR="000A16A2" w:rsidRDefault="000A16A2" w:rsidP="00EE5250">
      <w:pPr>
        <w:spacing w:after="0"/>
        <w:ind w:firstLine="1440"/>
      </w:pPr>
    </w:p>
    <w:p w:rsidR="006F713C" w:rsidRDefault="006C0F3C" w:rsidP="00EE5250">
      <w:pPr>
        <w:spacing w:after="0"/>
      </w:pPr>
      <w:r>
        <w:tab/>
      </w:r>
      <w:r>
        <w:tab/>
        <w:t>5.</w:t>
      </w:r>
      <w:r>
        <w:tab/>
        <w:t>That a copy of this Order shall be served upon the Office of Competitive Market Oversight</w:t>
      </w:r>
      <w:r w:rsidR="00B93674">
        <w:t xml:space="preserve"> and the Bureau of Consumer Services</w:t>
      </w:r>
      <w:r>
        <w:t>.</w:t>
      </w:r>
    </w:p>
    <w:p w:rsidR="00EE5250" w:rsidRDefault="00EE5250" w:rsidP="00EE5250">
      <w:pPr>
        <w:tabs>
          <w:tab w:val="left" w:pos="0"/>
        </w:tabs>
        <w:spacing w:after="0" w:line="240" w:lineRule="auto"/>
        <w:jc w:val="both"/>
        <w:rPr>
          <w:rFonts w:cs="Times New Roman"/>
          <w:szCs w:val="24"/>
        </w:rPr>
      </w:pPr>
      <w:bookmarkStart w:id="3" w:name="_GoBack"/>
      <w:bookmarkEnd w:id="3"/>
    </w:p>
    <w:p w:rsidR="003E7C14" w:rsidRDefault="003E7C14" w:rsidP="00EE5250">
      <w:pPr>
        <w:tabs>
          <w:tab w:val="left" w:pos="0"/>
        </w:tabs>
        <w:spacing w:after="0" w:line="240" w:lineRule="auto"/>
        <w:jc w:val="both"/>
        <w:rPr>
          <w:rFonts w:cs="Times New Roman"/>
          <w:szCs w:val="24"/>
        </w:rPr>
      </w:pPr>
    </w:p>
    <w:p w:rsidR="006F713C" w:rsidRPr="009E6175" w:rsidRDefault="006F713C" w:rsidP="00EE5250">
      <w:pPr>
        <w:tabs>
          <w:tab w:val="left" w:pos="0"/>
        </w:tabs>
        <w:spacing w:after="0" w:line="240" w:lineRule="auto"/>
        <w:jc w:val="both"/>
        <w:rPr>
          <w:rFonts w:cs="Times New Roman"/>
          <w:szCs w:val="24"/>
          <w:u w:val="single"/>
        </w:rPr>
      </w:pPr>
      <w:r w:rsidRPr="009E6175">
        <w:rPr>
          <w:rFonts w:cs="Times New Roman"/>
          <w:szCs w:val="24"/>
        </w:rPr>
        <w:t xml:space="preserve">Date:  </w:t>
      </w:r>
      <w:r w:rsidR="000A16A2">
        <w:rPr>
          <w:rFonts w:cs="Times New Roman"/>
          <w:szCs w:val="24"/>
          <w:u w:val="single"/>
        </w:rPr>
        <w:t>December 1</w:t>
      </w:r>
      <w:r w:rsidR="00040374">
        <w:rPr>
          <w:rFonts w:cs="Times New Roman"/>
          <w:szCs w:val="24"/>
          <w:u w:val="single"/>
        </w:rPr>
        <w:t>7</w:t>
      </w:r>
      <w:r>
        <w:rPr>
          <w:rFonts w:cs="Times New Roman"/>
          <w:szCs w:val="24"/>
          <w:u w:val="single"/>
        </w:rPr>
        <w:t>,</w:t>
      </w:r>
      <w:r w:rsidRPr="009E6175">
        <w:rPr>
          <w:rFonts w:cs="Times New Roman"/>
          <w:szCs w:val="24"/>
          <w:u w:val="single"/>
        </w:rPr>
        <w:t xml:space="preserve"> 201</w:t>
      </w:r>
      <w:r w:rsidR="000A16A2">
        <w:rPr>
          <w:rFonts w:cs="Times New Roman"/>
          <w:szCs w:val="24"/>
          <w:u w:val="single"/>
        </w:rPr>
        <w:t>4</w:t>
      </w:r>
      <w:r w:rsidRPr="009E6175">
        <w:rPr>
          <w:rFonts w:cs="Times New Roman"/>
          <w:szCs w:val="24"/>
        </w:rPr>
        <w:tab/>
      </w:r>
      <w:r w:rsidRPr="009E6175">
        <w:rPr>
          <w:rFonts w:cs="Times New Roman"/>
          <w:szCs w:val="24"/>
        </w:rPr>
        <w:tab/>
      </w:r>
      <w:r>
        <w:rPr>
          <w:rFonts w:cs="Times New Roman"/>
          <w:szCs w:val="24"/>
        </w:rPr>
        <w:tab/>
      </w:r>
      <w:r w:rsidRPr="009E6175">
        <w:rPr>
          <w:rFonts w:cs="Times New Roman"/>
          <w:szCs w:val="24"/>
        </w:rPr>
        <w:tab/>
      </w:r>
      <w:r w:rsidRPr="009E6175">
        <w:rPr>
          <w:rFonts w:cs="Times New Roman"/>
          <w:szCs w:val="24"/>
          <w:u w:val="single"/>
        </w:rPr>
        <w:tab/>
      </w:r>
      <w:r w:rsidRPr="009E6175">
        <w:rPr>
          <w:rFonts w:cs="Times New Roman"/>
          <w:szCs w:val="24"/>
          <w:u w:val="single"/>
        </w:rPr>
        <w:tab/>
        <w:t>/s/</w:t>
      </w:r>
      <w:r w:rsidRPr="009E6175">
        <w:rPr>
          <w:rFonts w:cs="Times New Roman"/>
          <w:szCs w:val="24"/>
          <w:u w:val="single"/>
        </w:rPr>
        <w:tab/>
      </w:r>
      <w:r w:rsidRPr="009E6175">
        <w:rPr>
          <w:rFonts w:cs="Times New Roman"/>
          <w:szCs w:val="24"/>
          <w:u w:val="single"/>
        </w:rPr>
        <w:tab/>
      </w:r>
      <w:r w:rsidRPr="009E6175">
        <w:rPr>
          <w:rFonts w:cs="Times New Roman"/>
          <w:szCs w:val="24"/>
          <w:u w:val="single"/>
        </w:rPr>
        <w:tab/>
      </w:r>
    </w:p>
    <w:p w:rsidR="006F713C" w:rsidRPr="009E6175" w:rsidRDefault="006F713C" w:rsidP="00EE5250">
      <w:pPr>
        <w:tabs>
          <w:tab w:val="left" w:pos="0"/>
        </w:tabs>
        <w:spacing w:after="0" w:line="240" w:lineRule="auto"/>
        <w:jc w:val="both"/>
        <w:rPr>
          <w:rFonts w:cs="Times New Roman"/>
          <w:szCs w:val="24"/>
        </w:rPr>
      </w:pPr>
      <w:r w:rsidRPr="009E6175">
        <w:rPr>
          <w:rFonts w:cs="Times New Roman"/>
          <w:szCs w:val="24"/>
        </w:rPr>
        <w:tab/>
      </w:r>
      <w:r w:rsidRPr="009E6175">
        <w:rPr>
          <w:rFonts w:cs="Times New Roman"/>
          <w:szCs w:val="24"/>
        </w:rPr>
        <w:tab/>
      </w:r>
      <w:r w:rsidRPr="009E6175">
        <w:rPr>
          <w:rFonts w:cs="Times New Roman"/>
          <w:szCs w:val="24"/>
        </w:rPr>
        <w:tab/>
      </w:r>
      <w:r w:rsidRPr="009E6175">
        <w:rPr>
          <w:rFonts w:cs="Times New Roman"/>
          <w:szCs w:val="24"/>
        </w:rPr>
        <w:tab/>
      </w:r>
      <w:r w:rsidRPr="009E6175">
        <w:rPr>
          <w:rFonts w:cs="Times New Roman"/>
          <w:szCs w:val="24"/>
        </w:rPr>
        <w:tab/>
      </w:r>
      <w:r w:rsidRPr="009E6175">
        <w:rPr>
          <w:rFonts w:cs="Times New Roman"/>
          <w:szCs w:val="24"/>
        </w:rPr>
        <w:tab/>
      </w:r>
      <w:r w:rsidRPr="009E6175">
        <w:rPr>
          <w:rFonts w:cs="Times New Roman"/>
          <w:szCs w:val="24"/>
        </w:rPr>
        <w:tab/>
      </w:r>
      <w:r w:rsidR="000A16A2">
        <w:rPr>
          <w:rFonts w:cs="Times New Roman"/>
          <w:szCs w:val="24"/>
        </w:rPr>
        <w:t>Elizabeth H. Barnes</w:t>
      </w:r>
    </w:p>
    <w:p w:rsidR="002864AC" w:rsidRDefault="006F713C" w:rsidP="003E7C14">
      <w:pPr>
        <w:tabs>
          <w:tab w:val="left" w:pos="0"/>
        </w:tabs>
        <w:spacing w:after="0" w:line="240" w:lineRule="auto"/>
        <w:jc w:val="both"/>
      </w:pPr>
      <w:r w:rsidRPr="009E6175">
        <w:rPr>
          <w:rFonts w:cs="Times New Roman"/>
          <w:szCs w:val="24"/>
        </w:rPr>
        <w:tab/>
      </w:r>
      <w:r w:rsidRPr="009E6175">
        <w:rPr>
          <w:rFonts w:cs="Times New Roman"/>
          <w:szCs w:val="24"/>
        </w:rPr>
        <w:tab/>
      </w:r>
      <w:r w:rsidRPr="009E6175">
        <w:rPr>
          <w:rFonts w:cs="Times New Roman"/>
          <w:szCs w:val="24"/>
        </w:rPr>
        <w:tab/>
      </w:r>
      <w:r w:rsidRPr="009E6175">
        <w:rPr>
          <w:rFonts w:cs="Times New Roman"/>
          <w:szCs w:val="24"/>
        </w:rPr>
        <w:tab/>
      </w:r>
      <w:r w:rsidRPr="009E6175">
        <w:rPr>
          <w:rFonts w:cs="Times New Roman"/>
          <w:szCs w:val="24"/>
        </w:rPr>
        <w:tab/>
      </w:r>
      <w:r w:rsidRPr="009E6175">
        <w:rPr>
          <w:rFonts w:cs="Times New Roman"/>
          <w:szCs w:val="24"/>
        </w:rPr>
        <w:tab/>
      </w:r>
      <w:r w:rsidRPr="009E6175">
        <w:rPr>
          <w:rFonts w:cs="Times New Roman"/>
          <w:szCs w:val="24"/>
        </w:rPr>
        <w:tab/>
        <w:t>Administrative Law Judge</w:t>
      </w:r>
    </w:p>
    <w:sectPr w:rsidR="002864AC" w:rsidSect="00667C0A">
      <w:pgSz w:w="12240" w:h="15840" w:code="1"/>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EE3" w:rsidRDefault="00AD1EE3" w:rsidP="009457EF">
      <w:pPr>
        <w:spacing w:after="0" w:line="240" w:lineRule="auto"/>
      </w:pPr>
      <w:r>
        <w:separator/>
      </w:r>
    </w:p>
  </w:endnote>
  <w:endnote w:type="continuationSeparator" w:id="0">
    <w:p w:rsidR="00AD1EE3" w:rsidRDefault="00AD1EE3" w:rsidP="00945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Times New Roman Bold">
    <w:panose1 w:val="00000000000000000000"/>
    <w:charset w:val="00"/>
    <w:family w:val="roman"/>
    <w:notTrueType/>
    <w:pitch w:val="variable"/>
    <w:sig w:usb0="00000003" w:usb1="00000000" w:usb2="00000000" w:usb3="00000000" w:csb0="00000001" w:csb1="00000000"/>
  </w:font>
  <w:font w:name="Times New Roman Italic">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0791173"/>
      <w:docPartObj>
        <w:docPartGallery w:val="Page Numbers (Bottom of Page)"/>
        <w:docPartUnique/>
      </w:docPartObj>
    </w:sdtPr>
    <w:sdtEndPr>
      <w:rPr>
        <w:noProof/>
      </w:rPr>
    </w:sdtEndPr>
    <w:sdtContent>
      <w:p w:rsidR="00C765B4" w:rsidRDefault="00C765B4">
        <w:pPr>
          <w:pStyle w:val="Footer"/>
          <w:jc w:val="center"/>
        </w:pPr>
        <w:r w:rsidRPr="005A12D3">
          <w:rPr>
            <w:sz w:val="20"/>
            <w:szCs w:val="20"/>
          </w:rPr>
          <w:fldChar w:fldCharType="begin"/>
        </w:r>
        <w:r w:rsidRPr="005A12D3">
          <w:rPr>
            <w:sz w:val="20"/>
            <w:szCs w:val="20"/>
          </w:rPr>
          <w:instrText xml:space="preserve"> PAGE   \* MERGEFORMAT </w:instrText>
        </w:r>
        <w:r w:rsidRPr="005A12D3">
          <w:rPr>
            <w:sz w:val="20"/>
            <w:szCs w:val="20"/>
          </w:rPr>
          <w:fldChar w:fldCharType="separate"/>
        </w:r>
        <w:r w:rsidR="00667C0A">
          <w:rPr>
            <w:noProof/>
            <w:sz w:val="20"/>
            <w:szCs w:val="20"/>
          </w:rPr>
          <w:t>44</w:t>
        </w:r>
        <w:r w:rsidRPr="005A12D3">
          <w:rPr>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5B4" w:rsidRDefault="00C765B4">
    <w:pPr>
      <w:pStyle w:val="Footer"/>
      <w:jc w:val="center"/>
    </w:pPr>
  </w:p>
  <w:p w:rsidR="00C765B4" w:rsidRDefault="00C765B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229031093"/>
      <w:docPartObj>
        <w:docPartGallery w:val="Page Numbers (Bottom of Page)"/>
        <w:docPartUnique/>
      </w:docPartObj>
    </w:sdtPr>
    <w:sdtEndPr>
      <w:rPr>
        <w:noProof/>
      </w:rPr>
    </w:sdtEndPr>
    <w:sdtContent>
      <w:p w:rsidR="009310FB" w:rsidRPr="009310FB" w:rsidRDefault="009310FB">
        <w:pPr>
          <w:pStyle w:val="Footer"/>
          <w:jc w:val="center"/>
          <w:rPr>
            <w:sz w:val="20"/>
            <w:szCs w:val="20"/>
          </w:rPr>
        </w:pPr>
        <w:r w:rsidRPr="009310FB">
          <w:rPr>
            <w:sz w:val="20"/>
            <w:szCs w:val="20"/>
          </w:rPr>
          <w:fldChar w:fldCharType="begin"/>
        </w:r>
        <w:r w:rsidRPr="009310FB">
          <w:rPr>
            <w:sz w:val="20"/>
            <w:szCs w:val="20"/>
          </w:rPr>
          <w:instrText xml:space="preserve"> PAGE   \* MERGEFORMAT </w:instrText>
        </w:r>
        <w:r w:rsidRPr="009310FB">
          <w:rPr>
            <w:sz w:val="20"/>
            <w:szCs w:val="20"/>
          </w:rPr>
          <w:fldChar w:fldCharType="separate"/>
        </w:r>
        <w:r w:rsidR="00667C0A">
          <w:rPr>
            <w:noProof/>
            <w:sz w:val="20"/>
            <w:szCs w:val="20"/>
          </w:rPr>
          <w:t>48</w:t>
        </w:r>
        <w:r w:rsidRPr="009310FB">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EE3" w:rsidRDefault="00AD1EE3" w:rsidP="009457EF">
      <w:pPr>
        <w:spacing w:after="0" w:line="240" w:lineRule="auto"/>
      </w:pPr>
      <w:r>
        <w:separator/>
      </w:r>
    </w:p>
  </w:footnote>
  <w:footnote w:type="continuationSeparator" w:id="0">
    <w:p w:rsidR="00AD1EE3" w:rsidRDefault="00AD1EE3" w:rsidP="009457EF">
      <w:pPr>
        <w:spacing w:after="0" w:line="240" w:lineRule="auto"/>
      </w:pPr>
      <w:r>
        <w:continuationSeparator/>
      </w:r>
    </w:p>
  </w:footnote>
  <w:footnote w:id="1">
    <w:p w:rsidR="00C765B4" w:rsidRDefault="00C765B4" w:rsidP="002024BD">
      <w:pPr>
        <w:pStyle w:val="FootnoteText"/>
      </w:pPr>
      <w:r>
        <w:rPr>
          <w:rStyle w:val="FootnoteReference"/>
        </w:rPr>
        <w:footnoteRef/>
      </w:r>
      <w:r>
        <w:tab/>
      </w:r>
      <w:r w:rsidRPr="008F25EA">
        <w:t>The name of the field agent is handwritten on the sales agreement</w:t>
      </w:r>
      <w:r>
        <w:t xml:space="preserve"> </w:t>
      </w:r>
      <w:r w:rsidRPr="008F25EA">
        <w:t>and it is not clear if the last name is Majel, Majek, or Majer</w:t>
      </w:r>
      <w:r>
        <w:t xml:space="preserve">.  </w:t>
      </w:r>
      <w:r w:rsidRPr="008F25EA">
        <w:t>For purposes of this Initial Decision, he shall be referred to as Mr. Majek.</w:t>
      </w:r>
      <w:r>
        <w:t xml:space="preserve"> N.T. 17, Respondent’s Exhibit 1-2. </w:t>
      </w:r>
    </w:p>
  </w:footnote>
  <w:footnote w:id="2">
    <w:p w:rsidR="00C765B4" w:rsidRPr="00855E2E" w:rsidRDefault="00C765B4">
      <w:pPr>
        <w:pStyle w:val="FootnoteText"/>
      </w:pPr>
      <w:r>
        <w:rPr>
          <w:rStyle w:val="FootnoteReference"/>
        </w:rPr>
        <w:footnoteRef/>
      </w:r>
      <w:r>
        <w:t xml:space="preserve"> </w:t>
      </w:r>
      <w:r>
        <w:tab/>
      </w:r>
      <w:r w:rsidRPr="00855E2E">
        <w:rPr>
          <w:rFonts w:eastAsiaTheme="minorHAnsi" w:cstheme="minorBidi"/>
          <w:bCs/>
          <w:lang w:val="en"/>
        </w:rPr>
        <w:t>Electronic data interchange</w:t>
      </w:r>
      <w:r w:rsidRPr="00855E2E">
        <w:rPr>
          <w:rFonts w:eastAsiaTheme="minorHAnsi" w:cstheme="minorBidi"/>
          <w:lang w:val="en"/>
        </w:rPr>
        <w:t xml:space="preserve"> (</w:t>
      </w:r>
      <w:r w:rsidRPr="00855E2E">
        <w:rPr>
          <w:rFonts w:eastAsiaTheme="minorHAnsi" w:cstheme="minorBidi"/>
          <w:bCs/>
          <w:lang w:val="en"/>
        </w:rPr>
        <w:t>EDI</w:t>
      </w:r>
      <w:r w:rsidRPr="00855E2E">
        <w:rPr>
          <w:rFonts w:eastAsiaTheme="minorHAnsi" w:cstheme="minorBidi"/>
          <w:lang w:val="en"/>
        </w:rPr>
        <w:t xml:space="preserve">) is an electronic communication method that </w:t>
      </w:r>
      <w:r w:rsidRPr="00855E2E">
        <w:rPr>
          <w:lang w:val="en"/>
        </w:rPr>
        <w:t>transfers structured data, by agreed message standards, from one company’s computer system to another, in or out of the country, without human intervention. It distinguishes mere electronic communication or data exchange, specifying that "in EDI, the usual processing of received messages is by computer only. Human intervention in the processing of a received message is typically intended only for error conditions, for quality review, and for special situations.</w:t>
      </w:r>
      <w:r>
        <w:rPr>
          <w:lang w:val="en"/>
        </w:rPr>
        <w:t>”</w:t>
      </w:r>
      <w:r w:rsidRPr="00855E2E">
        <w:rPr>
          <w:lang w:val="en"/>
        </w:rPr>
        <w:t xml:space="preserve"> </w:t>
      </w:r>
      <w:hyperlink r:id="rId1" w:tooltip="Michael Kantor" w:history="1">
        <w:proofErr w:type="gramStart"/>
        <w:r w:rsidRPr="00855E2E">
          <w:rPr>
            <w:rStyle w:val="Hyperlink"/>
            <w:color w:val="auto"/>
            <w:lang w:val="en"/>
          </w:rPr>
          <w:t>Kantor, Michael</w:t>
        </w:r>
      </w:hyperlink>
      <w:r w:rsidRPr="00855E2E">
        <w:rPr>
          <w:rStyle w:val="citation"/>
          <w:lang w:val="en"/>
        </w:rPr>
        <w:t>; James H. Burrows (1996-04-29).</w:t>
      </w:r>
      <w:proofErr w:type="gramEnd"/>
      <w:r w:rsidRPr="00855E2E">
        <w:rPr>
          <w:rStyle w:val="citation"/>
          <w:lang w:val="en"/>
        </w:rPr>
        <w:t xml:space="preserve"> </w:t>
      </w:r>
      <w:hyperlink r:id="rId2" w:history="1">
        <w:r w:rsidRPr="00855E2E">
          <w:rPr>
            <w:rStyle w:val="Hyperlink"/>
            <w:color w:val="auto"/>
            <w:lang w:val="en"/>
          </w:rPr>
          <w:t>"Electronic Data Interchange (EDI)"</w:t>
        </w:r>
      </w:hyperlink>
      <w:r w:rsidRPr="00855E2E">
        <w:rPr>
          <w:rStyle w:val="citation"/>
          <w:lang w:val="en"/>
        </w:rPr>
        <w:t xml:space="preserve">. </w:t>
      </w:r>
      <w:proofErr w:type="gramStart"/>
      <w:r w:rsidRPr="00855E2E">
        <w:rPr>
          <w:rStyle w:val="citation"/>
          <w:lang w:val="en"/>
        </w:rPr>
        <w:t>National Institute of Standards and Technology</w:t>
      </w:r>
      <w:r w:rsidRPr="00855E2E">
        <w:rPr>
          <w:rStyle w:val="reference-accessdate"/>
          <w:lang w:val="en"/>
        </w:rPr>
        <w:t>.</w:t>
      </w:r>
      <w:proofErr w:type="gramEnd"/>
      <w:r w:rsidRPr="00855E2E">
        <w:rPr>
          <w:rStyle w:val="reference-accessdate"/>
          <w:lang w:val="en"/>
        </w:rPr>
        <w:t xml:space="preserve"> </w:t>
      </w:r>
      <w:proofErr w:type="gramStart"/>
      <w:r w:rsidRPr="00855E2E">
        <w:rPr>
          <w:rStyle w:val="reference-accessdate"/>
          <w:lang w:val="en"/>
        </w:rPr>
        <w:t xml:space="preserve">Retrieved </w:t>
      </w:r>
      <w:r w:rsidRPr="00855E2E">
        <w:rPr>
          <w:rStyle w:val="nowrap1"/>
          <w:lang w:val="en"/>
        </w:rPr>
        <w:t>2008-05-13</w:t>
      </w:r>
      <w:r w:rsidRPr="00855E2E">
        <w:rPr>
          <w:rStyle w:val="citation"/>
          <w:lang w:val="en"/>
        </w:rPr>
        <w:t>.</w:t>
      </w:r>
      <w:proofErr w:type="gramEnd"/>
      <w:r w:rsidRPr="00855E2E">
        <w:rPr>
          <w:lang w:val="en"/>
        </w:rPr>
        <w:t xml:space="preserve"> </w:t>
      </w:r>
    </w:p>
  </w:footnote>
  <w:footnote w:id="3">
    <w:p w:rsidR="00C765B4" w:rsidRDefault="00C765B4" w:rsidP="002C6CE0">
      <w:pPr>
        <w:pStyle w:val="FootnoteText"/>
      </w:pPr>
      <w:r>
        <w:rPr>
          <w:rStyle w:val="FootnoteReference"/>
        </w:rPr>
        <w:footnoteRef/>
      </w:r>
      <w:r>
        <w:t xml:space="preserve"> </w:t>
      </w:r>
      <w:r>
        <w:tab/>
      </w:r>
      <w:proofErr w:type="gramStart"/>
      <w:r w:rsidRPr="00D46EC2">
        <w:t xml:space="preserve">52 </w:t>
      </w:r>
      <w:r>
        <w:t>Pa.Code</w:t>
      </w:r>
      <w:r w:rsidRPr="00D46EC2">
        <w:t xml:space="preserve"> § 54.4.</w:t>
      </w:r>
      <w:proofErr w:type="gramEnd"/>
    </w:p>
    <w:p w:rsidR="00C765B4" w:rsidRPr="00D46EC2" w:rsidRDefault="00C765B4" w:rsidP="002C6CE0">
      <w:pPr>
        <w:pStyle w:val="FootnoteText"/>
      </w:pPr>
    </w:p>
  </w:footnote>
  <w:footnote w:id="4">
    <w:p w:rsidR="00C765B4" w:rsidRDefault="00C765B4" w:rsidP="002C6CE0">
      <w:pPr>
        <w:pStyle w:val="FootnoteText"/>
      </w:pPr>
      <w:r w:rsidRPr="00D46EC2">
        <w:rPr>
          <w:rStyle w:val="FootnoteReference"/>
        </w:rPr>
        <w:footnoteRef/>
      </w:r>
      <w:r w:rsidRPr="00D46EC2">
        <w:t xml:space="preserve"> </w:t>
      </w:r>
      <w:r w:rsidRPr="00D46EC2">
        <w:tab/>
      </w:r>
      <w:proofErr w:type="gramStart"/>
      <w:r w:rsidRPr="00D46EC2">
        <w:t xml:space="preserve">52 </w:t>
      </w:r>
      <w:r>
        <w:t>Pa.Code</w:t>
      </w:r>
      <w:r w:rsidRPr="00D46EC2">
        <w:t xml:space="preserve"> § 54.5.</w:t>
      </w:r>
      <w:proofErr w:type="gramEnd"/>
    </w:p>
    <w:p w:rsidR="00C765B4" w:rsidRPr="00D46EC2" w:rsidRDefault="00C765B4" w:rsidP="002C6CE0">
      <w:pPr>
        <w:pStyle w:val="FootnoteText"/>
      </w:pPr>
    </w:p>
  </w:footnote>
  <w:footnote w:id="5">
    <w:p w:rsidR="00C765B4" w:rsidRDefault="00C765B4" w:rsidP="002C6CE0">
      <w:pPr>
        <w:pStyle w:val="FootnoteText"/>
      </w:pPr>
      <w:r w:rsidRPr="00D46EC2">
        <w:rPr>
          <w:rStyle w:val="FootnoteReference"/>
        </w:rPr>
        <w:footnoteRef/>
      </w:r>
      <w:r w:rsidRPr="00D46EC2">
        <w:t xml:space="preserve"> </w:t>
      </w:r>
      <w:r w:rsidRPr="00D46EC2">
        <w:tab/>
      </w:r>
      <w:proofErr w:type="gramStart"/>
      <w:r w:rsidRPr="00D46EC2">
        <w:t xml:space="preserve">52 </w:t>
      </w:r>
      <w:r>
        <w:t>Pa.Code</w:t>
      </w:r>
      <w:r w:rsidRPr="00D46EC2">
        <w:t xml:space="preserve"> §§ 54.3, 54.6, and 54.7; 52 </w:t>
      </w:r>
      <w:r>
        <w:t>Pa.Code</w:t>
      </w:r>
      <w:r w:rsidRPr="00D46EC2">
        <w:t xml:space="preserve"> §§ 54.43(</w:t>
      </w:r>
      <w:r>
        <w:t>1) and 54.43(f); 52 Pa.Code §§ </w:t>
      </w:r>
      <w:r w:rsidRPr="00D46EC2">
        <w:t>54.122(3).</w:t>
      </w:r>
      <w:proofErr w:type="gramEnd"/>
      <w:r w:rsidRPr="00D46EC2">
        <w:t xml:space="preserve">  The Commission also has marketing and sales rules at 52 </w:t>
      </w:r>
      <w:r>
        <w:t>Pa.Code</w:t>
      </w:r>
      <w:r w:rsidRPr="00D46EC2">
        <w:t xml:space="preserve"> §§ 111.1-111.14 applicable to residential customers only. </w:t>
      </w:r>
    </w:p>
    <w:p w:rsidR="00C765B4" w:rsidRPr="00D46EC2" w:rsidRDefault="00C765B4" w:rsidP="002C6CE0">
      <w:pPr>
        <w:pStyle w:val="FootnoteText"/>
      </w:pPr>
    </w:p>
  </w:footnote>
  <w:footnote w:id="6">
    <w:p w:rsidR="00C765B4" w:rsidRPr="00D46EC2" w:rsidRDefault="00C765B4" w:rsidP="002C6CE0">
      <w:pPr>
        <w:pStyle w:val="FootnoteText"/>
      </w:pPr>
      <w:r w:rsidRPr="00D46EC2">
        <w:rPr>
          <w:rStyle w:val="FootnoteReference"/>
        </w:rPr>
        <w:footnoteRef/>
      </w:r>
      <w:r w:rsidRPr="00D46EC2">
        <w:t xml:space="preserve"> </w:t>
      </w:r>
      <w:r w:rsidRPr="00D46EC2">
        <w:tab/>
      </w:r>
      <w:proofErr w:type="gramStart"/>
      <w:r w:rsidRPr="00D46EC2">
        <w:t xml:space="preserve">52 </w:t>
      </w:r>
      <w:r>
        <w:t>Pa.Code</w:t>
      </w:r>
      <w:r w:rsidRPr="00D46EC2">
        <w:t xml:space="preserve"> § 54.10 (effective June 2014).</w:t>
      </w:r>
      <w:proofErr w:type="gramEnd"/>
    </w:p>
  </w:footnote>
  <w:footnote w:id="7">
    <w:p w:rsidR="00C765B4" w:rsidRDefault="00C765B4" w:rsidP="00E6489B">
      <w:pPr>
        <w:pStyle w:val="FootnoteText"/>
      </w:pPr>
      <w:r>
        <w:rPr>
          <w:rStyle w:val="FootnoteReference"/>
        </w:rPr>
        <w:footnoteRef/>
      </w:r>
      <w:r>
        <w:t xml:space="preserve"> </w:t>
      </w:r>
      <w:r>
        <w:tab/>
        <w:t xml:space="preserve">For the purpose of adjudication of Mr. Herp’s Formal Complaint, the OCA’s references to Commission regulations apply to the version of Chapters 54, 56, 57, and 111 in effect when Respond Power marketed its supply service to Mr. Herp through the time of Mr. Herp’s switch away from Respond Power in March 2014 and the filing of his Formal Complaint.  </w:t>
      </w:r>
    </w:p>
    <w:p w:rsidR="00C765B4" w:rsidRDefault="00C765B4" w:rsidP="00E6489B">
      <w:pPr>
        <w:pStyle w:val="FootnoteText"/>
      </w:pPr>
    </w:p>
  </w:footnote>
  <w:footnote w:id="8">
    <w:p w:rsidR="00C765B4" w:rsidRDefault="00C765B4" w:rsidP="00E6489B">
      <w:pPr>
        <w:pStyle w:val="FootnoteText"/>
      </w:pPr>
      <w:r>
        <w:rPr>
          <w:rStyle w:val="FootnoteReference"/>
        </w:rPr>
        <w:footnoteRef/>
      </w:r>
      <w:r>
        <w:t xml:space="preserve"> </w:t>
      </w:r>
      <w:r>
        <w:tab/>
        <w:t xml:space="preserve">Sections 54.2 and 54.3 apply to all customers.  Sections 54.4 through 54.9 of Subchapter A of Chapter 54 apply to residential and small business customers, as defined in Section 54.2.  </w:t>
      </w:r>
      <w:proofErr w:type="gramStart"/>
      <w:r>
        <w:t>52 Pa.Code § 54.1(b).</w:t>
      </w:r>
      <w:proofErr w:type="gramEnd"/>
      <w:r>
        <w:t xml:space="preserve">  Respond Power enrolled Mr. Herp as a residential customer for service at his business, an apartment.  Respond Power Exh. No. 1; N.T. 12; N.T. 32.  Respond Power did not treat Mr. Herp as a potential commercial customer until March 2014 when he contacted Respond Power to discuss his high charges and switch to West Penn Power.  N.T. 20.  </w:t>
      </w:r>
    </w:p>
  </w:footnote>
  <w:footnote w:id="9">
    <w:p w:rsidR="00C765B4" w:rsidRDefault="00C765B4" w:rsidP="00386D32">
      <w:pPr>
        <w:pStyle w:val="FootnoteText"/>
      </w:pPr>
      <w:r>
        <w:rPr>
          <w:rStyle w:val="FootnoteReference"/>
        </w:rPr>
        <w:footnoteRef/>
      </w:r>
      <w:r>
        <w:t xml:space="preserve"> </w:t>
      </w:r>
      <w:r>
        <w:tab/>
      </w:r>
      <w:r w:rsidRPr="00482B1E">
        <w:rPr>
          <w:i/>
        </w:rPr>
        <w:t xml:space="preserve">Rulemaking to Amend the Provisions of 52 </w:t>
      </w:r>
      <w:r>
        <w:rPr>
          <w:i/>
        </w:rPr>
        <w:t>Pa.Code</w:t>
      </w:r>
      <w:r w:rsidRPr="00482B1E">
        <w:rPr>
          <w:i/>
        </w:rPr>
        <w:t>, Section 54.5 Regulations Regarding Disclosure Statement for Residential and Small Business Customers</w:t>
      </w:r>
      <w:r>
        <w:t>, Docket No. L-2014-2409385 (April 3, 2014)</w:t>
      </w:r>
      <w:r>
        <w:fldChar w:fldCharType="begin"/>
      </w:r>
      <w:r>
        <w:instrText xml:space="preserve"> TA \l "</w:instrText>
      </w:r>
      <w:r w:rsidRPr="00325317">
        <w:instrText>Rulemaking to Amend the Provisions of 52 Pa. Code, Section 54.5 Regulations Regarding Disclosure Statement for Residential and Small Business Customers, Docket No. L-2014-2409385 (April 3, 2014)</w:instrText>
      </w:r>
      <w:r>
        <w:instrText xml:space="preserve">" \s "Rulemaking to Amend the Provisions of 52 Pa. Code, Section 54.5 Regulations Regarding Disclosure Statement for Residential and Small Business Customers, Docket No. L-2014-2409385 (April 3, 2014)" \c 1 </w:instrText>
      </w:r>
      <w:r>
        <w:fldChar w:fldCharType="end"/>
      </w:r>
      <w:r>
        <w:t>.</w:t>
      </w:r>
    </w:p>
    <w:p w:rsidR="00C765B4" w:rsidRDefault="00C765B4" w:rsidP="00386D32">
      <w:pPr>
        <w:pStyle w:val="FootnoteText"/>
      </w:pPr>
    </w:p>
  </w:footnote>
  <w:footnote w:id="10">
    <w:p w:rsidR="00C765B4" w:rsidRDefault="00C765B4" w:rsidP="00386D32">
      <w:pPr>
        <w:pStyle w:val="FootnoteText"/>
      </w:pPr>
      <w:r>
        <w:rPr>
          <w:rStyle w:val="FootnoteReference"/>
        </w:rPr>
        <w:footnoteRef/>
      </w:r>
      <w:r>
        <w:t xml:space="preserve"> </w:t>
      </w:r>
      <w:r>
        <w:tab/>
        <w:t xml:space="preserve">Herp Exhibits 1 through 5.  </w:t>
      </w:r>
    </w:p>
  </w:footnote>
  <w:footnote w:id="11">
    <w:p w:rsidR="00C765B4" w:rsidRPr="008630CB" w:rsidRDefault="00C765B4" w:rsidP="008630CB">
      <w:pPr>
        <w:pStyle w:val="Default"/>
        <w:rPr>
          <w:rFonts w:ascii="Times New Roman" w:hAnsi="Times New Roman" w:cs="Times New Roman"/>
          <w:sz w:val="20"/>
          <w:szCs w:val="20"/>
        </w:rPr>
      </w:pPr>
      <w:r>
        <w:tab/>
      </w:r>
      <w:r>
        <w:rPr>
          <w:rStyle w:val="FootnoteReference"/>
        </w:rPr>
        <w:footnoteRef/>
      </w:r>
      <w:r>
        <w:t xml:space="preserve"> </w:t>
      </w:r>
      <w:r>
        <w:tab/>
      </w:r>
      <w:r w:rsidRPr="008630CB">
        <w:rPr>
          <w:rFonts w:ascii="Times New Roman" w:hAnsi="Times New Roman" w:cs="Times New Roman"/>
          <w:sz w:val="20"/>
          <w:szCs w:val="20"/>
          <w:lang w:val="en"/>
        </w:rPr>
        <w:t xml:space="preserve">Allegheny Energy operates its electric distribution operations under the trade name Allegheny Power. Its regulated subsidiaries include West Penn Power (serving Southwestern and Central Pennsylvania) as well as other electric distribution companies located in </w:t>
      </w:r>
      <w:r>
        <w:rPr>
          <w:rFonts w:ascii="Times New Roman" w:hAnsi="Times New Roman" w:cs="Times New Roman"/>
          <w:sz w:val="20"/>
          <w:szCs w:val="20"/>
          <w:lang w:val="en"/>
        </w:rPr>
        <w:t xml:space="preserve">some </w:t>
      </w:r>
      <w:r w:rsidRPr="008630CB">
        <w:rPr>
          <w:rFonts w:ascii="Times New Roman" w:hAnsi="Times New Roman" w:cs="Times New Roman"/>
          <w:sz w:val="20"/>
          <w:szCs w:val="20"/>
          <w:lang w:val="en"/>
        </w:rPr>
        <w:t xml:space="preserve">other States.  Under West Penn Power’s Tariff, Supplement No. 244 to Electric – Pa. P.U.C. No. 39, Definitions, the term </w:t>
      </w:r>
      <w:r w:rsidRPr="008630CB">
        <w:rPr>
          <w:rFonts w:ascii="Times New Roman" w:hAnsi="Times New Roman" w:cs="Times New Roman"/>
          <w:sz w:val="20"/>
          <w:szCs w:val="20"/>
        </w:rPr>
        <w:t xml:space="preserve">“Allegheny Power" is defined as a trade name of West Penn Power Company under the Fictitious Names Act. </w:t>
      </w:r>
      <w:r w:rsidRPr="008630CB">
        <w:rPr>
          <w:rFonts w:ascii="Times New Roman" w:hAnsi="Times New Roman" w:cs="Times New Roman"/>
          <w:sz w:val="20"/>
          <w:szCs w:val="20"/>
          <w:lang w:val="en"/>
        </w:rPr>
        <w:t xml:space="preserve"> Although Ordering Paragraph No. 2 of the Commission’s </w:t>
      </w:r>
      <w:r w:rsidRPr="008630CB">
        <w:rPr>
          <w:rFonts w:ascii="Times New Roman" w:hAnsi="Times New Roman" w:cs="Times New Roman"/>
          <w:i/>
          <w:sz w:val="20"/>
          <w:szCs w:val="20"/>
          <w:lang w:val="en"/>
        </w:rPr>
        <w:t>License Order</w:t>
      </w:r>
      <w:r w:rsidRPr="008630CB">
        <w:rPr>
          <w:rFonts w:ascii="Times New Roman" w:hAnsi="Times New Roman" w:cs="Times New Roman"/>
          <w:sz w:val="20"/>
          <w:szCs w:val="20"/>
          <w:lang w:val="en"/>
        </w:rPr>
        <w:t xml:space="preserve"> </w:t>
      </w:r>
      <w:r w:rsidRPr="008630CB">
        <w:rPr>
          <w:rFonts w:ascii="Times New Roman" w:hAnsi="Times New Roman" w:cs="Times New Roman"/>
          <w:sz w:val="20"/>
          <w:szCs w:val="20"/>
        </w:rPr>
        <w:t xml:space="preserve">does not expressly </w:t>
      </w:r>
      <w:r>
        <w:rPr>
          <w:rFonts w:ascii="Times New Roman" w:hAnsi="Times New Roman" w:cs="Times New Roman"/>
          <w:sz w:val="20"/>
          <w:szCs w:val="20"/>
        </w:rPr>
        <w:t>state</w:t>
      </w:r>
      <w:r w:rsidRPr="008630CB">
        <w:rPr>
          <w:rFonts w:ascii="Times New Roman" w:hAnsi="Times New Roman" w:cs="Times New Roman"/>
          <w:sz w:val="20"/>
          <w:szCs w:val="20"/>
        </w:rPr>
        <w:t xml:space="preserve"> West Penn Power’s electric distribution service territory, but rather, Allegheny Power’s service territory, I infer the Commission intended Respond Power to have authority to provide electric generation supplier service in the service territory of West Penn Power d</w:t>
      </w:r>
      <w:r>
        <w:rPr>
          <w:rFonts w:ascii="Times New Roman" w:hAnsi="Times New Roman" w:cs="Times New Roman"/>
          <w:sz w:val="20"/>
          <w:szCs w:val="20"/>
        </w:rPr>
        <w:t xml:space="preserve">oing business as (d/b/a) </w:t>
      </w:r>
      <w:r w:rsidRPr="008630CB">
        <w:rPr>
          <w:rFonts w:ascii="Times New Roman" w:hAnsi="Times New Roman" w:cs="Times New Roman"/>
          <w:sz w:val="20"/>
          <w:szCs w:val="20"/>
        </w:rPr>
        <w:t xml:space="preserve">Allegheny Power.     </w:t>
      </w:r>
    </w:p>
    <w:p w:rsidR="00C765B4" w:rsidRPr="00814328" w:rsidRDefault="00C765B4" w:rsidP="009B008D">
      <w:pPr>
        <w:autoSpaceDE w:val="0"/>
        <w:autoSpaceDN w:val="0"/>
        <w:adjustRightInd w:val="0"/>
        <w:spacing w:after="0" w:line="240" w:lineRule="auto"/>
        <w:rPr>
          <w:rFonts w:cs="Times New Roman"/>
          <w:sz w:val="20"/>
          <w:szCs w:val="24"/>
        </w:rPr>
      </w:pPr>
    </w:p>
  </w:footnote>
  <w:footnote w:id="12">
    <w:p w:rsidR="00C765B4" w:rsidRDefault="00C765B4" w:rsidP="00E6489B">
      <w:pPr>
        <w:pStyle w:val="FootnoteText"/>
        <w:rPr>
          <w:i/>
        </w:rPr>
      </w:pPr>
      <w:r>
        <w:rPr>
          <w:rStyle w:val="FootnoteReference"/>
        </w:rPr>
        <w:footnoteRef/>
      </w:r>
      <w:r>
        <w:t xml:space="preserve">  </w:t>
      </w:r>
      <w:r>
        <w:tab/>
      </w:r>
      <w:r w:rsidRPr="00482B1E">
        <w:rPr>
          <w:i/>
        </w:rPr>
        <w:t>Application of Major Energy Services, LLC To Become A Licensed Supplier Of Natural Gas Supply,</w:t>
      </w:r>
      <w:r>
        <w:t xml:space="preserve"> Docket No. A-2009-2118836, Order (Oct. 8, 2009)(</w:t>
      </w:r>
      <w:r w:rsidRPr="00482B1E">
        <w:rPr>
          <w:i/>
        </w:rPr>
        <w:t>Major Energy I).</w:t>
      </w:r>
    </w:p>
    <w:p w:rsidR="00C765B4" w:rsidRDefault="00C765B4" w:rsidP="00E6489B">
      <w:pPr>
        <w:pStyle w:val="FootnoteText"/>
      </w:pPr>
    </w:p>
  </w:footnote>
  <w:footnote w:id="13">
    <w:p w:rsidR="00C765B4" w:rsidRPr="00482B1E" w:rsidRDefault="00C765B4" w:rsidP="00E6489B">
      <w:pPr>
        <w:pStyle w:val="FootnoteText"/>
        <w:rPr>
          <w:i/>
        </w:rPr>
      </w:pPr>
      <w:r>
        <w:rPr>
          <w:rStyle w:val="FootnoteReference"/>
        </w:rPr>
        <w:footnoteRef/>
      </w:r>
      <w:r>
        <w:t xml:space="preserve"> </w:t>
      </w:r>
      <w:r>
        <w:tab/>
      </w:r>
      <w:r w:rsidRPr="00482B1E">
        <w:rPr>
          <w:i/>
        </w:rPr>
        <w:t>Application of Major Energy, LLC For Amendment Of Its Natural Gas Supplier License,</w:t>
      </w:r>
      <w:r>
        <w:t xml:space="preserve"> Docket No. A</w:t>
      </w:r>
      <w:r>
        <w:noBreakHyphen/>
        <w:t>2009-2118836, Final Order (May 21, 2012) (Amendment granted, subject to conditions for 18 months</w:t>
      </w:r>
      <w:r w:rsidRPr="00482B1E">
        <w:rPr>
          <w:i/>
        </w:rPr>
        <w:t>.)(Major Energy II).</w:t>
      </w:r>
    </w:p>
  </w:footnote>
  <w:footnote w:id="14">
    <w:p w:rsidR="00C765B4" w:rsidRPr="002024BD" w:rsidRDefault="00C765B4" w:rsidP="00655286">
      <w:pPr>
        <w:pStyle w:val="FootnoteText"/>
      </w:pPr>
      <w:r w:rsidRPr="002024BD">
        <w:rPr>
          <w:rStyle w:val="FootnoteReference"/>
        </w:rPr>
        <w:footnoteRef/>
      </w:r>
      <w:r w:rsidRPr="002024BD">
        <w:t xml:space="preserve"> </w:t>
      </w:r>
      <w:r>
        <w:tab/>
      </w:r>
      <w:r w:rsidRPr="002024BD">
        <w:rPr>
          <w:i/>
        </w:rPr>
        <w:t>William Towne v. Great American Power, LLC</w:t>
      </w:r>
      <w:r w:rsidRPr="002024BD">
        <w:t xml:space="preserve"> Docket No. C-2012-2307991, (Opinion and Order entered October 18, 2013).</w:t>
      </w:r>
    </w:p>
  </w:footnote>
  <w:footnote w:id="15">
    <w:p w:rsidR="00C765B4" w:rsidRPr="00930A7F" w:rsidRDefault="00C765B4" w:rsidP="00241EAE">
      <w:pPr>
        <w:pStyle w:val="FootnoteText"/>
      </w:pPr>
      <w:r w:rsidRPr="00793F29">
        <w:rPr>
          <w:rStyle w:val="FootnoteReference"/>
        </w:rPr>
        <w:footnoteRef/>
      </w:r>
      <w:r w:rsidRPr="00793F29">
        <w:rPr>
          <w:sz w:val="26"/>
          <w:szCs w:val="26"/>
        </w:rPr>
        <w:t xml:space="preserve"> </w:t>
      </w:r>
      <w:r w:rsidRPr="00793F29">
        <w:rPr>
          <w:sz w:val="26"/>
          <w:szCs w:val="26"/>
        </w:rPr>
        <w:tab/>
      </w:r>
      <w:r w:rsidRPr="00930A7F">
        <w:t>These remedies</w:t>
      </w:r>
      <w:r>
        <w:t xml:space="preserve"> applying to EGSs</w:t>
      </w:r>
      <w:r w:rsidRPr="00930A7F">
        <w:t xml:space="preserve"> include, but are not limited to, civil penalties, 66 </w:t>
      </w:r>
      <w:r>
        <w:t>Pa.C.S. § </w:t>
      </w:r>
      <w:r w:rsidRPr="00930A7F">
        <w:t xml:space="preserve">3301, as well as license suspension or revocation. </w:t>
      </w:r>
      <w:proofErr w:type="gramStart"/>
      <w:r w:rsidRPr="00930A7F">
        <w:t xml:space="preserve">52 </w:t>
      </w:r>
      <w:r>
        <w:t>Pa.Code</w:t>
      </w:r>
      <w:r w:rsidRPr="00930A7F">
        <w:t xml:space="preserve"> § 62.113.</w:t>
      </w:r>
      <w:proofErr w:type="gramEnd"/>
      <w:r w:rsidRPr="00930A7F">
        <w:t xml:space="preserve">  </w:t>
      </w:r>
      <w:r w:rsidRPr="00930A7F">
        <w:rPr>
          <w:i/>
        </w:rPr>
        <w:t>William Mac Luckie v. Palmco Energy PA LLC</w:t>
      </w:r>
      <w:r w:rsidRPr="00930A7F">
        <w:t xml:space="preserve">, Docket No. C-2014-2402558, </w:t>
      </w:r>
      <w:r>
        <w:t>(</w:t>
      </w:r>
      <w:r w:rsidRPr="00930A7F">
        <w:t>Opinion and Order entered December 4, 2014</w:t>
      </w:r>
      <w:r>
        <w:t>)</w:t>
      </w:r>
      <w:r w:rsidRPr="00930A7F">
        <w:t xml:space="preserve">. </w:t>
      </w:r>
    </w:p>
  </w:footnote>
  <w:footnote w:id="16">
    <w:p w:rsidR="00C765B4" w:rsidRDefault="00C765B4" w:rsidP="00F81524">
      <w:pPr>
        <w:pStyle w:val="FootnoteText"/>
      </w:pPr>
      <w:r>
        <w:rPr>
          <w:rStyle w:val="FootnoteReference"/>
        </w:rPr>
        <w:footnoteRef/>
      </w:r>
      <w:r>
        <w:t xml:space="preserve">  </w:t>
      </w:r>
      <w:r>
        <w:tab/>
        <w:t>E.g., Public Utility Commission v. MXEnergy Electric, Inc., PUC Docket No. M-2012-2201861 (Opinion and Order entered May 3, 2012), Joseph Nadav v. Respond Power, LLC, C-2014-2429159, Motion of Vice Chairman John F. Coleman, Jr. dated November 13, 2014..</w:t>
      </w:r>
    </w:p>
    <w:p w:rsidR="00C765B4" w:rsidRPr="00F85825" w:rsidRDefault="00C765B4" w:rsidP="00F81524">
      <w:pPr>
        <w:pStyle w:val="FootnoteText"/>
      </w:pPr>
    </w:p>
  </w:footnote>
  <w:footnote w:id="17">
    <w:p w:rsidR="00C765B4" w:rsidRDefault="00C765B4" w:rsidP="00F81524">
      <w:pPr>
        <w:pStyle w:val="FootnoteText"/>
      </w:pPr>
      <w:r>
        <w:rPr>
          <w:rStyle w:val="FootnoteReference"/>
        </w:rPr>
        <w:footnoteRef/>
      </w:r>
      <w:r>
        <w:t xml:space="preserve">  </w:t>
      </w:r>
      <w:r>
        <w:tab/>
      </w:r>
      <w:proofErr w:type="gramStart"/>
      <w:r>
        <w:t>52 Pa.Code § 54.43.</w:t>
      </w:r>
      <w:proofErr w:type="gramEnd"/>
    </w:p>
    <w:p w:rsidR="00C765B4" w:rsidRDefault="00C765B4" w:rsidP="00F81524">
      <w:pPr>
        <w:pStyle w:val="FootnoteText"/>
      </w:pPr>
    </w:p>
  </w:footnote>
  <w:footnote w:id="18">
    <w:p w:rsidR="00C765B4" w:rsidRDefault="00C765B4" w:rsidP="00F81524">
      <w:pPr>
        <w:pStyle w:val="FootnoteText"/>
      </w:pPr>
      <w:r>
        <w:rPr>
          <w:rStyle w:val="FootnoteReference"/>
        </w:rPr>
        <w:footnoteRef/>
      </w:r>
      <w:r>
        <w:t xml:space="preserve">  </w:t>
      </w:r>
      <w:r>
        <w:tab/>
      </w:r>
      <w:proofErr w:type="gramStart"/>
      <w:r>
        <w:t>52 Pa.Code § 54.42.</w:t>
      </w:r>
      <w:proofErr w:type="gramEnd"/>
    </w:p>
    <w:p w:rsidR="00C765B4" w:rsidRDefault="00C765B4" w:rsidP="00F81524">
      <w:pPr>
        <w:pStyle w:val="FootnoteText"/>
      </w:pPr>
    </w:p>
  </w:footnote>
  <w:footnote w:id="19">
    <w:p w:rsidR="00C765B4" w:rsidRDefault="00C765B4" w:rsidP="00F81524">
      <w:pPr>
        <w:pStyle w:val="FootnoteText"/>
      </w:pPr>
      <w:r>
        <w:rPr>
          <w:rStyle w:val="FootnoteReference"/>
        </w:rPr>
        <w:footnoteRef/>
      </w:r>
      <w:r>
        <w:t xml:space="preserve">   </w:t>
      </w:r>
      <w:r>
        <w:tab/>
      </w:r>
      <w:r>
        <w:rPr>
          <w:i/>
        </w:rPr>
        <w:t>See</w:t>
      </w:r>
      <w:r>
        <w:t xml:space="preserve"> </w:t>
      </w:r>
      <w:r>
        <w:rPr>
          <w:i/>
        </w:rPr>
        <w:t>Rulemaking re: Marketing and Sales Practices for the Retail Residential Energy Market</w:t>
      </w:r>
      <w:r>
        <w:t xml:space="preserve">, PUC Docket No. L-2010-2208332 (Corrected Final Rulemaking Order entered October 24, 2012), </w:t>
      </w:r>
      <w:r>
        <w:rPr>
          <w:i/>
        </w:rPr>
        <w:t>reconsideration granted</w:t>
      </w:r>
      <w:r>
        <w:t xml:space="preserve">, Order entered November 19, 2012 (2012 Rulemaking).  </w:t>
      </w:r>
    </w:p>
    <w:p w:rsidR="00C765B4" w:rsidRPr="00D154E0" w:rsidRDefault="00C765B4" w:rsidP="00F81524">
      <w:pPr>
        <w:pStyle w:val="FootnoteText"/>
      </w:pPr>
    </w:p>
  </w:footnote>
  <w:footnote w:id="20">
    <w:p w:rsidR="00C765B4" w:rsidRDefault="00C765B4" w:rsidP="00F81524">
      <w:pPr>
        <w:pStyle w:val="FootnoteText"/>
      </w:pPr>
      <w:r>
        <w:rPr>
          <w:rStyle w:val="FootnoteReference"/>
        </w:rPr>
        <w:footnoteRef/>
      </w:r>
      <w:r>
        <w:t xml:space="preserve">  </w:t>
      </w:r>
      <w:r>
        <w:tab/>
        <w:t xml:space="preserve">See also </w:t>
      </w:r>
      <w:r w:rsidRPr="00EB04CD">
        <w:t>Interim Guidelines on Marketing and Sales Practices for Electric Generation Suppliers and Natural Gas Suppliers</w:t>
      </w:r>
      <w:r>
        <w:t>, PUC Docket No. M-2010-2185981 (Final Order entered November 4, 2010) (2010 Interim Guidelines).</w:t>
      </w:r>
    </w:p>
    <w:p w:rsidR="00C765B4" w:rsidRDefault="00C765B4" w:rsidP="00F81524">
      <w:pPr>
        <w:pStyle w:val="FootnoteText"/>
      </w:pPr>
    </w:p>
  </w:footnote>
  <w:footnote w:id="21">
    <w:p w:rsidR="00C765B4" w:rsidRPr="009E55B4" w:rsidRDefault="00C765B4" w:rsidP="0051481B">
      <w:pPr>
        <w:spacing w:after="0" w:line="240" w:lineRule="auto"/>
        <w:rPr>
          <w:sz w:val="20"/>
          <w:szCs w:val="20"/>
        </w:rPr>
      </w:pPr>
      <w:r>
        <w:rPr>
          <w:sz w:val="20"/>
          <w:szCs w:val="20"/>
        </w:rPr>
        <w:tab/>
      </w:r>
      <w:r w:rsidRPr="009E55B4">
        <w:rPr>
          <w:rStyle w:val="FootnoteReference"/>
          <w:sz w:val="20"/>
          <w:szCs w:val="20"/>
        </w:rPr>
        <w:footnoteRef/>
      </w:r>
      <w:r w:rsidRPr="009E55B4">
        <w:rPr>
          <w:sz w:val="20"/>
          <w:szCs w:val="20"/>
        </w:rPr>
        <w:t xml:space="preserve"> </w:t>
      </w:r>
      <w:r>
        <w:rPr>
          <w:sz w:val="20"/>
          <w:szCs w:val="20"/>
        </w:rPr>
        <w:tab/>
        <w:t>T</w:t>
      </w:r>
      <w:r w:rsidRPr="009E55B4">
        <w:rPr>
          <w:sz w:val="20"/>
          <w:szCs w:val="20"/>
        </w:rPr>
        <w:t xml:space="preserve">he issue of whether the Commission can place caps on EGSs’ variable rates is pending before the Commonwealth Court in the case of </w:t>
      </w:r>
      <w:r w:rsidRPr="009E55B4">
        <w:rPr>
          <w:i/>
          <w:sz w:val="20"/>
          <w:szCs w:val="20"/>
        </w:rPr>
        <w:t xml:space="preserve">Coalition for Affordable Utility Services and Energy Efficiency in Pennsylvania; the Tenant Union Representative Network and Action Alliance of Senior Citizens of Greater Philadelphia v. Pa.PUC, </w:t>
      </w:r>
      <w:r w:rsidRPr="009E55B4">
        <w:rPr>
          <w:sz w:val="20"/>
          <w:szCs w:val="20"/>
        </w:rPr>
        <w:t xml:space="preserve">N. 445 C.D. 2014.  In this case, the Petitioners argue the Commission made reversible errors of law in their January 24, 2014 and March 12, 2014 Orders when it determined nothing in the Public Utility Code permits the Commission to limit prices that an EGS charges CAP customers.  As this determination affects the rates of CAP and non-CAP EDC customers, the Petitioners argue that the Commission has the authority to limit prices an EGS can charge, and ensure affordability is maintained for low income customers as part of the Customer Assistance Programs under 66 </w:t>
      </w:r>
      <w:r>
        <w:rPr>
          <w:sz w:val="20"/>
          <w:szCs w:val="20"/>
        </w:rPr>
        <w:t>Pa.C.S.</w:t>
      </w:r>
      <w:r w:rsidRPr="009E55B4">
        <w:rPr>
          <w:sz w:val="20"/>
          <w:szCs w:val="20"/>
        </w:rPr>
        <w:t xml:space="preserve"> §§ 2802(10), 2803, 2804(8)-(9), 2806(h), and 2809(e).  </w:t>
      </w:r>
    </w:p>
    <w:p w:rsidR="00C765B4" w:rsidRDefault="00C765B4" w:rsidP="0051481B">
      <w:pPr>
        <w:pStyle w:val="FootnoteText"/>
      </w:pPr>
    </w:p>
  </w:footnote>
  <w:footnote w:id="22">
    <w:p w:rsidR="00C765B4" w:rsidRDefault="00C765B4" w:rsidP="002024BD">
      <w:pPr>
        <w:pStyle w:val="FootnoteText"/>
        <w:rPr>
          <w:snapToGrid w:val="0"/>
        </w:rPr>
      </w:pPr>
      <w:r w:rsidRPr="00305E45">
        <w:rPr>
          <w:rStyle w:val="FootnoteReference"/>
        </w:rPr>
        <w:footnoteRef/>
      </w:r>
      <w:r w:rsidRPr="00305E45">
        <w:t xml:space="preserve"> </w:t>
      </w:r>
      <w:r w:rsidRPr="00305E45">
        <w:tab/>
      </w:r>
      <w:proofErr w:type="gramStart"/>
      <w:r w:rsidRPr="00305E45">
        <w:rPr>
          <w:snapToGrid w:val="0"/>
        </w:rPr>
        <w:t xml:space="preserve">66 </w:t>
      </w:r>
      <w:r>
        <w:rPr>
          <w:snapToGrid w:val="0"/>
        </w:rPr>
        <w:t>Pa.C.S.</w:t>
      </w:r>
      <w:proofErr w:type="gramEnd"/>
      <w:r w:rsidRPr="00305E45">
        <w:rPr>
          <w:snapToGrid w:val="0"/>
        </w:rPr>
        <w:t xml:space="preserve"> § 3301.</w:t>
      </w:r>
    </w:p>
    <w:p w:rsidR="00C765B4" w:rsidRPr="00305E45" w:rsidRDefault="00C765B4" w:rsidP="002024BD">
      <w:pPr>
        <w:pStyle w:val="FootnoteText"/>
      </w:pPr>
    </w:p>
  </w:footnote>
  <w:footnote w:id="23">
    <w:p w:rsidR="00C765B4" w:rsidRDefault="00C765B4" w:rsidP="002024BD">
      <w:pPr>
        <w:pStyle w:val="FootnoteText"/>
        <w:rPr>
          <w:snapToGrid w:val="0"/>
        </w:rPr>
      </w:pPr>
      <w:r w:rsidRPr="00305E45">
        <w:rPr>
          <w:rStyle w:val="FootnoteReference"/>
        </w:rPr>
        <w:footnoteRef/>
      </w:r>
      <w:r w:rsidRPr="00305E45">
        <w:t xml:space="preserve">  </w:t>
      </w:r>
      <w:r w:rsidRPr="00305E45">
        <w:tab/>
      </w:r>
      <w:r w:rsidRPr="00305E45">
        <w:rPr>
          <w:i/>
          <w:snapToGrid w:val="0"/>
        </w:rPr>
        <w:t>See</w:t>
      </w:r>
      <w:r w:rsidRPr="00305E45">
        <w:rPr>
          <w:snapToGrid w:val="0"/>
        </w:rPr>
        <w:t xml:space="preserve"> 52 </w:t>
      </w:r>
      <w:r>
        <w:rPr>
          <w:snapToGrid w:val="0"/>
        </w:rPr>
        <w:t>Pa.Code</w:t>
      </w:r>
      <w:r w:rsidRPr="00305E45">
        <w:rPr>
          <w:snapToGrid w:val="0"/>
        </w:rPr>
        <w:t xml:space="preserve"> § 69.1201; </w:t>
      </w:r>
      <w:r w:rsidRPr="00305E45">
        <w:rPr>
          <w:i/>
          <w:snapToGrid w:val="0"/>
        </w:rPr>
        <w:t>see also, Rosi v. Bell Atlantic-Pa., Inc. and Sprint Communica</w:t>
      </w:r>
      <w:r w:rsidRPr="00305E45">
        <w:rPr>
          <w:i/>
          <w:snapToGrid w:val="0"/>
        </w:rPr>
        <w:softHyphen/>
        <w:t>tions Company</w:t>
      </w:r>
      <w:r w:rsidRPr="00305E45">
        <w:rPr>
          <w:snapToGrid w:val="0"/>
        </w:rPr>
        <w:t>, Docket No. C</w:t>
      </w:r>
      <w:r w:rsidRPr="00305E45">
        <w:rPr>
          <w:snapToGrid w:val="0"/>
        </w:rPr>
        <w:noBreakHyphen/>
        <w:t>00992409 (Order entered February 10, 2000) (</w:t>
      </w:r>
      <w:r w:rsidRPr="00305E45">
        <w:rPr>
          <w:i/>
          <w:snapToGrid w:val="0"/>
        </w:rPr>
        <w:t>Rosi</w:t>
      </w:r>
      <w:r w:rsidRPr="00305E45">
        <w:rPr>
          <w:snapToGrid w:val="0"/>
        </w:rPr>
        <w:t>).</w:t>
      </w:r>
    </w:p>
    <w:p w:rsidR="00C765B4" w:rsidRPr="00305E45" w:rsidRDefault="00C765B4" w:rsidP="002024BD">
      <w:pPr>
        <w:pStyle w:val="FootnoteText"/>
      </w:pPr>
    </w:p>
  </w:footnote>
  <w:footnote w:id="24">
    <w:p w:rsidR="00C765B4" w:rsidRPr="00334C7C" w:rsidRDefault="00C765B4" w:rsidP="002024BD">
      <w:pPr>
        <w:pStyle w:val="FootnoteText"/>
      </w:pPr>
      <w:r w:rsidRPr="00334C7C">
        <w:rPr>
          <w:rStyle w:val="FootnoteReference"/>
        </w:rPr>
        <w:footnoteRef/>
      </w:r>
      <w:r w:rsidRPr="00334C7C">
        <w:t xml:space="preserve"> </w:t>
      </w:r>
      <w:r w:rsidRPr="00334C7C">
        <w:tab/>
        <w:t xml:space="preserve"> </w:t>
      </w:r>
      <w:proofErr w:type="gramStart"/>
      <w:r w:rsidRPr="00334C7C">
        <w:t xml:space="preserve">52 </w:t>
      </w:r>
      <w:r>
        <w:t>Pa.Code</w:t>
      </w:r>
      <w:r w:rsidRPr="00334C7C">
        <w:t xml:space="preserve"> § 69.1201(a).</w:t>
      </w:r>
      <w:proofErr w:type="gramEnd"/>
      <w:r w:rsidRPr="00334C7C">
        <w:t xml:space="preserve">  </w:t>
      </w:r>
    </w:p>
  </w:footnote>
  <w:footnote w:id="25">
    <w:p w:rsidR="00C765B4" w:rsidRDefault="00C765B4" w:rsidP="002024BD">
      <w:pPr>
        <w:pStyle w:val="FootnoteText"/>
      </w:pPr>
      <w:r w:rsidRPr="00334C7C">
        <w:rPr>
          <w:rStyle w:val="FootnoteReference"/>
        </w:rPr>
        <w:footnoteRef/>
      </w:r>
      <w:r w:rsidRPr="00334C7C">
        <w:t xml:space="preserve">  </w:t>
      </w:r>
      <w:r w:rsidRPr="00334C7C">
        <w:tab/>
      </w:r>
      <w:proofErr w:type="gramStart"/>
      <w:r w:rsidRPr="00334C7C">
        <w:t xml:space="preserve">52 </w:t>
      </w:r>
      <w:r>
        <w:t>Pa.Code</w:t>
      </w:r>
      <w:r w:rsidRPr="00334C7C">
        <w:t xml:space="preserve"> § 69.1201(c).</w:t>
      </w:r>
      <w:proofErr w:type="gramEnd"/>
    </w:p>
    <w:p w:rsidR="00C765B4" w:rsidRPr="00334C7C" w:rsidRDefault="00C765B4" w:rsidP="002024BD">
      <w:pPr>
        <w:pStyle w:val="FootnoteText"/>
      </w:pPr>
    </w:p>
  </w:footnote>
  <w:footnote w:id="26">
    <w:p w:rsidR="00C765B4" w:rsidRDefault="00C765B4" w:rsidP="002024BD">
      <w:pPr>
        <w:pStyle w:val="FootnoteText"/>
      </w:pPr>
      <w:r>
        <w:rPr>
          <w:rStyle w:val="FootnoteReference"/>
        </w:rPr>
        <w:footnoteRef/>
      </w:r>
      <w:r>
        <w:t xml:space="preserve">   </w:t>
      </w:r>
      <w:r>
        <w:tab/>
      </w:r>
      <w:r w:rsidRPr="00E54DF2">
        <w:t>Interim Guidelines Regarding Standards for Changing a Customer’s Electricity Generation Supplier</w:t>
      </w:r>
      <w:r>
        <w:t>, PUC Docket No. M-2011-2270442 (Final Order dated October 24, 2012).</w:t>
      </w:r>
    </w:p>
    <w:p w:rsidR="00C765B4" w:rsidRDefault="00C765B4" w:rsidP="002024BD">
      <w:pPr>
        <w:pStyle w:val="FootnoteText"/>
      </w:pPr>
    </w:p>
  </w:footnote>
  <w:footnote w:id="27">
    <w:p w:rsidR="00C765B4" w:rsidRDefault="00C765B4" w:rsidP="002024BD">
      <w:pPr>
        <w:pStyle w:val="FootnoteText"/>
      </w:pPr>
      <w:r>
        <w:rPr>
          <w:rStyle w:val="FootnoteReference"/>
        </w:rPr>
        <w:footnoteRef/>
      </w:r>
      <w:r>
        <w:t xml:space="preserve">  </w:t>
      </w:r>
      <w:r>
        <w:tab/>
        <w:t>Section 69.1201(c)(1) and (c)(2).</w:t>
      </w:r>
    </w:p>
    <w:p w:rsidR="00C765B4" w:rsidRDefault="00C765B4" w:rsidP="002024BD">
      <w:pPr>
        <w:pStyle w:val="FootnoteText"/>
      </w:pPr>
    </w:p>
  </w:footnote>
  <w:footnote w:id="28">
    <w:p w:rsidR="00C765B4" w:rsidRDefault="00C765B4" w:rsidP="002024BD">
      <w:pPr>
        <w:pStyle w:val="FootnoteText"/>
      </w:pPr>
      <w:r>
        <w:rPr>
          <w:rStyle w:val="FootnoteReference"/>
        </w:rPr>
        <w:footnoteRef/>
      </w:r>
      <w:r>
        <w:t xml:space="preserve">  </w:t>
      </w:r>
      <w:r>
        <w:tab/>
        <w:t>Section 69.1201(c)(3).</w:t>
      </w:r>
    </w:p>
    <w:p w:rsidR="00C765B4" w:rsidRDefault="00C765B4" w:rsidP="002024BD">
      <w:pPr>
        <w:pStyle w:val="FootnoteText"/>
      </w:pPr>
    </w:p>
  </w:footnote>
  <w:footnote w:id="29">
    <w:p w:rsidR="00C765B4" w:rsidRDefault="00C765B4" w:rsidP="002024BD">
      <w:pPr>
        <w:pStyle w:val="FootnoteText"/>
      </w:pPr>
      <w:r>
        <w:rPr>
          <w:rStyle w:val="FootnoteReference"/>
        </w:rPr>
        <w:footnoteRef/>
      </w:r>
      <w:r>
        <w:t xml:space="preserve">  </w:t>
      </w:r>
      <w:r>
        <w:tab/>
        <w:t>Section 69.1201(c)(4).</w:t>
      </w:r>
    </w:p>
    <w:p w:rsidR="00C765B4" w:rsidRDefault="00C765B4" w:rsidP="002024BD">
      <w:pPr>
        <w:pStyle w:val="FootnoteText"/>
      </w:pPr>
    </w:p>
  </w:footnote>
  <w:footnote w:id="30">
    <w:p w:rsidR="00C765B4" w:rsidRDefault="00C765B4" w:rsidP="002024BD">
      <w:pPr>
        <w:pStyle w:val="FootnoteText"/>
      </w:pPr>
      <w:r w:rsidRPr="007B5CCD">
        <w:rPr>
          <w:rStyle w:val="FootnoteReference"/>
        </w:rPr>
        <w:footnoteRef/>
      </w:r>
      <w:r w:rsidRPr="007B5CCD">
        <w:t xml:space="preserve">  </w:t>
      </w:r>
      <w:r w:rsidRPr="007B5CCD">
        <w:tab/>
        <w:t>Section 69.1201(c)(5).</w:t>
      </w:r>
    </w:p>
    <w:p w:rsidR="00C765B4" w:rsidRPr="007B5CCD" w:rsidRDefault="00C765B4" w:rsidP="002024BD">
      <w:pPr>
        <w:pStyle w:val="FootnoteText"/>
      </w:pPr>
    </w:p>
  </w:footnote>
  <w:footnote w:id="31">
    <w:p w:rsidR="00C765B4" w:rsidRDefault="00C765B4" w:rsidP="002024BD">
      <w:pPr>
        <w:pStyle w:val="FootnoteText"/>
      </w:pPr>
      <w:r w:rsidRPr="007B5CCD">
        <w:rPr>
          <w:rStyle w:val="FootnoteReference"/>
        </w:rPr>
        <w:footnoteRef/>
      </w:r>
      <w:r w:rsidRPr="007B5CCD">
        <w:t xml:space="preserve">  </w:t>
      </w:r>
      <w:r w:rsidRPr="007B5CCD">
        <w:tab/>
        <w:t>Section 69.1201(c)(8).</w:t>
      </w:r>
    </w:p>
    <w:p w:rsidR="00C765B4" w:rsidRPr="007B5CCD" w:rsidRDefault="00C765B4" w:rsidP="002024BD">
      <w:pPr>
        <w:pStyle w:val="FootnoteText"/>
      </w:pPr>
    </w:p>
  </w:footnote>
  <w:footnote w:id="32">
    <w:p w:rsidR="00C765B4" w:rsidRDefault="00C765B4" w:rsidP="002024BD">
      <w:pPr>
        <w:pStyle w:val="FootnoteText"/>
      </w:pPr>
      <w:r w:rsidRPr="007B5CCD">
        <w:rPr>
          <w:rStyle w:val="FootnoteReference"/>
        </w:rPr>
        <w:footnoteRef/>
      </w:r>
      <w:r w:rsidRPr="007B5CCD">
        <w:t xml:space="preserve">  </w:t>
      </w:r>
      <w:r w:rsidRPr="007B5CCD">
        <w:tab/>
        <w:t>Section 69.1201(c)(10).</w:t>
      </w:r>
    </w:p>
    <w:p w:rsidR="00C765B4" w:rsidRPr="007B5CCD" w:rsidRDefault="00C765B4" w:rsidP="002024BD">
      <w:pPr>
        <w:pStyle w:val="FootnoteText"/>
      </w:pPr>
    </w:p>
  </w:footnote>
  <w:footnote w:id="33">
    <w:p w:rsidR="00C765B4" w:rsidRDefault="00C765B4" w:rsidP="002024BD">
      <w:pPr>
        <w:pStyle w:val="FootnoteText"/>
      </w:pPr>
      <w:r w:rsidRPr="007B5CCD">
        <w:rPr>
          <w:rStyle w:val="FootnoteReference"/>
        </w:rPr>
        <w:footnoteRef/>
      </w:r>
      <w:r w:rsidRPr="007B5CCD">
        <w:t xml:space="preserve">  </w:t>
      </w:r>
      <w:r w:rsidRPr="007B5CCD">
        <w:tab/>
        <w:t>Section 69.1201(c)(7).</w:t>
      </w:r>
    </w:p>
    <w:p w:rsidR="00C765B4" w:rsidRPr="007B5CCD" w:rsidRDefault="00C765B4" w:rsidP="002024BD">
      <w:pPr>
        <w:pStyle w:val="FootnoteText"/>
      </w:pPr>
    </w:p>
  </w:footnote>
  <w:footnote w:id="34">
    <w:p w:rsidR="00C765B4" w:rsidRPr="007B5CCD" w:rsidRDefault="00C765B4" w:rsidP="00C36B01">
      <w:pPr>
        <w:pStyle w:val="FootnoteText"/>
      </w:pPr>
      <w:r w:rsidRPr="007B5CCD">
        <w:rPr>
          <w:rStyle w:val="FootnoteReference"/>
        </w:rPr>
        <w:footnoteRef/>
      </w:r>
      <w:r w:rsidRPr="007B5CCD">
        <w:t xml:space="preserve"> </w:t>
      </w:r>
      <w:r w:rsidRPr="007B5CCD">
        <w:tab/>
      </w:r>
      <w:proofErr w:type="gramStart"/>
      <w:r w:rsidRPr="007B5CCD">
        <w:t xml:space="preserve">52 </w:t>
      </w:r>
      <w:r>
        <w:t>Pa.Code</w:t>
      </w:r>
      <w:r w:rsidRPr="007B5CCD">
        <w:t xml:space="preserve"> § 54.42.</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92A727E"/>
    <w:lvl w:ilvl="0">
      <w:start w:val="1"/>
      <w:numFmt w:val="decimal"/>
      <w:lvlText w:val="%1."/>
      <w:lvlJc w:val="left"/>
      <w:pPr>
        <w:tabs>
          <w:tab w:val="num" w:pos="1800"/>
        </w:tabs>
        <w:ind w:left="1800" w:hanging="360"/>
      </w:pPr>
    </w:lvl>
  </w:abstractNum>
  <w:abstractNum w:abstractNumId="1">
    <w:nsid w:val="FFFFFF7D"/>
    <w:multiLevelType w:val="singleLevel"/>
    <w:tmpl w:val="E1BA5D40"/>
    <w:lvl w:ilvl="0">
      <w:start w:val="1"/>
      <w:numFmt w:val="decimal"/>
      <w:lvlText w:val="%1."/>
      <w:lvlJc w:val="left"/>
      <w:pPr>
        <w:tabs>
          <w:tab w:val="num" w:pos="1440"/>
        </w:tabs>
        <w:ind w:left="1440" w:hanging="360"/>
      </w:pPr>
    </w:lvl>
  </w:abstractNum>
  <w:abstractNum w:abstractNumId="2">
    <w:nsid w:val="FFFFFF7E"/>
    <w:multiLevelType w:val="singleLevel"/>
    <w:tmpl w:val="9C0A9682"/>
    <w:lvl w:ilvl="0">
      <w:start w:val="1"/>
      <w:numFmt w:val="decimal"/>
      <w:lvlText w:val="%1."/>
      <w:lvlJc w:val="left"/>
      <w:pPr>
        <w:tabs>
          <w:tab w:val="num" w:pos="1080"/>
        </w:tabs>
        <w:ind w:left="1080" w:hanging="360"/>
      </w:pPr>
    </w:lvl>
  </w:abstractNum>
  <w:abstractNum w:abstractNumId="3">
    <w:nsid w:val="FFFFFF7F"/>
    <w:multiLevelType w:val="singleLevel"/>
    <w:tmpl w:val="B3925AF8"/>
    <w:lvl w:ilvl="0">
      <w:start w:val="1"/>
      <w:numFmt w:val="decimal"/>
      <w:lvlText w:val="%1."/>
      <w:lvlJc w:val="left"/>
      <w:pPr>
        <w:tabs>
          <w:tab w:val="num" w:pos="720"/>
        </w:tabs>
        <w:ind w:left="720" w:hanging="360"/>
      </w:pPr>
    </w:lvl>
  </w:abstractNum>
  <w:abstractNum w:abstractNumId="4">
    <w:nsid w:val="FFFFFF80"/>
    <w:multiLevelType w:val="singleLevel"/>
    <w:tmpl w:val="5A16543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1D6139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FBAC29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53E791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2D6E95E"/>
    <w:lvl w:ilvl="0">
      <w:start w:val="1"/>
      <w:numFmt w:val="decimal"/>
      <w:lvlText w:val="%1."/>
      <w:lvlJc w:val="left"/>
      <w:pPr>
        <w:tabs>
          <w:tab w:val="num" w:pos="360"/>
        </w:tabs>
        <w:ind w:left="360" w:hanging="360"/>
      </w:pPr>
    </w:lvl>
  </w:abstractNum>
  <w:abstractNum w:abstractNumId="9">
    <w:nsid w:val="FFFFFF89"/>
    <w:multiLevelType w:val="singleLevel"/>
    <w:tmpl w:val="C8E0C930"/>
    <w:lvl w:ilvl="0">
      <w:start w:val="1"/>
      <w:numFmt w:val="bullet"/>
      <w:lvlText w:val=""/>
      <w:lvlJc w:val="left"/>
      <w:pPr>
        <w:tabs>
          <w:tab w:val="num" w:pos="360"/>
        </w:tabs>
        <w:ind w:left="360" w:hanging="360"/>
      </w:pPr>
      <w:rPr>
        <w:rFonts w:ascii="Symbol" w:hAnsi="Symbol" w:hint="default"/>
      </w:rPr>
    </w:lvl>
  </w:abstractNum>
  <w:abstractNum w:abstractNumId="10">
    <w:nsid w:val="031B437C"/>
    <w:multiLevelType w:val="hybridMultilevel"/>
    <w:tmpl w:val="63BA5F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89C09A1"/>
    <w:multiLevelType w:val="hybridMultilevel"/>
    <w:tmpl w:val="10304F4C"/>
    <w:lvl w:ilvl="0" w:tplc="483EEE42">
      <w:numFmt w:val="bullet"/>
      <w:lvlText w:val=""/>
      <w:lvlJc w:val="left"/>
      <w:pPr>
        <w:ind w:left="2520" w:hanging="360"/>
      </w:pPr>
      <w:rPr>
        <w:rFonts w:ascii="Symbol" w:eastAsiaTheme="minorHAnsi" w:hAnsi="Symbol"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nsid w:val="114539BB"/>
    <w:multiLevelType w:val="hybridMultilevel"/>
    <w:tmpl w:val="F510FE48"/>
    <w:lvl w:ilvl="0" w:tplc="B6E4CDCE">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4012698"/>
    <w:multiLevelType w:val="hybridMultilevel"/>
    <w:tmpl w:val="3C3C2AC2"/>
    <w:lvl w:ilvl="0" w:tplc="598A9262">
      <w:start w:val="1"/>
      <w:numFmt w:val="decimal"/>
      <w:lvlText w:val="(%1)"/>
      <w:lvlJc w:val="left"/>
      <w:pPr>
        <w:ind w:left="1908" w:hanging="408"/>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4">
    <w:nsid w:val="19225AFE"/>
    <w:multiLevelType w:val="hybridMultilevel"/>
    <w:tmpl w:val="4DEA747A"/>
    <w:lvl w:ilvl="0" w:tplc="3BB8801C">
      <w:start w:val="1"/>
      <w:numFmt w:val="lowerRoman"/>
      <w:lvlText w:val="(%1)"/>
      <w:lvlJc w:val="left"/>
      <w:pPr>
        <w:ind w:left="315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20201F0F"/>
    <w:multiLevelType w:val="hybridMultilevel"/>
    <w:tmpl w:val="4B5A38A2"/>
    <w:lvl w:ilvl="0" w:tplc="7E3AF03A">
      <w:start w:val="1"/>
      <w:numFmt w:val="upperLetter"/>
      <w:pStyle w:val="Heading2"/>
      <w:lvlText w:val="%1."/>
      <w:lvlJc w:val="left"/>
      <w:pPr>
        <w:ind w:left="720" w:hanging="360"/>
      </w:pPr>
      <w:rPr>
        <w:rFonts w:hint="default"/>
      </w:rPr>
    </w:lvl>
    <w:lvl w:ilvl="1" w:tplc="754E8FE6" w:tentative="1">
      <w:start w:val="1"/>
      <w:numFmt w:val="lowerLetter"/>
      <w:lvlText w:val="%2."/>
      <w:lvlJc w:val="left"/>
      <w:pPr>
        <w:ind w:left="1440" w:hanging="360"/>
      </w:pPr>
    </w:lvl>
    <w:lvl w:ilvl="2" w:tplc="F1F87B6A" w:tentative="1">
      <w:start w:val="1"/>
      <w:numFmt w:val="lowerRoman"/>
      <w:lvlText w:val="%3."/>
      <w:lvlJc w:val="right"/>
      <w:pPr>
        <w:ind w:left="2160" w:hanging="180"/>
      </w:pPr>
    </w:lvl>
    <w:lvl w:ilvl="3" w:tplc="0B10DA5A" w:tentative="1">
      <w:start w:val="1"/>
      <w:numFmt w:val="decimal"/>
      <w:lvlText w:val="%4."/>
      <w:lvlJc w:val="left"/>
      <w:pPr>
        <w:ind w:left="2880" w:hanging="360"/>
      </w:pPr>
    </w:lvl>
    <w:lvl w:ilvl="4" w:tplc="404274CE" w:tentative="1">
      <w:start w:val="1"/>
      <w:numFmt w:val="lowerLetter"/>
      <w:lvlText w:val="%5."/>
      <w:lvlJc w:val="left"/>
      <w:pPr>
        <w:ind w:left="3600" w:hanging="360"/>
      </w:pPr>
    </w:lvl>
    <w:lvl w:ilvl="5" w:tplc="7522260A" w:tentative="1">
      <w:start w:val="1"/>
      <w:numFmt w:val="lowerRoman"/>
      <w:lvlText w:val="%6."/>
      <w:lvlJc w:val="right"/>
      <w:pPr>
        <w:ind w:left="4320" w:hanging="180"/>
      </w:pPr>
    </w:lvl>
    <w:lvl w:ilvl="6" w:tplc="D026BFD8" w:tentative="1">
      <w:start w:val="1"/>
      <w:numFmt w:val="decimal"/>
      <w:lvlText w:val="%7."/>
      <w:lvlJc w:val="left"/>
      <w:pPr>
        <w:ind w:left="5040" w:hanging="360"/>
      </w:pPr>
    </w:lvl>
    <w:lvl w:ilvl="7" w:tplc="3D54485E" w:tentative="1">
      <w:start w:val="1"/>
      <w:numFmt w:val="lowerLetter"/>
      <w:lvlText w:val="%8."/>
      <w:lvlJc w:val="left"/>
      <w:pPr>
        <w:ind w:left="5760" w:hanging="360"/>
      </w:pPr>
    </w:lvl>
    <w:lvl w:ilvl="8" w:tplc="BE369D1A" w:tentative="1">
      <w:start w:val="1"/>
      <w:numFmt w:val="lowerRoman"/>
      <w:lvlText w:val="%9."/>
      <w:lvlJc w:val="right"/>
      <w:pPr>
        <w:ind w:left="6480" w:hanging="180"/>
      </w:pPr>
    </w:lvl>
  </w:abstractNum>
  <w:abstractNum w:abstractNumId="16">
    <w:nsid w:val="2FEF1760"/>
    <w:multiLevelType w:val="hybridMultilevel"/>
    <w:tmpl w:val="D4D228E4"/>
    <w:lvl w:ilvl="0" w:tplc="2E48FE64">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346A7541"/>
    <w:multiLevelType w:val="hybridMultilevel"/>
    <w:tmpl w:val="CCA0AC06"/>
    <w:lvl w:ilvl="0" w:tplc="6A18728C">
      <w:start w:val="1"/>
      <w:numFmt w:val="decimal"/>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51C400B"/>
    <w:multiLevelType w:val="hybridMultilevel"/>
    <w:tmpl w:val="E8DE11C0"/>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4827DB"/>
    <w:multiLevelType w:val="hybridMultilevel"/>
    <w:tmpl w:val="2500D574"/>
    <w:lvl w:ilvl="0" w:tplc="B6A44082">
      <w:start w:val="1"/>
      <w:numFmt w:val="upperRoman"/>
      <w:pStyle w:val="Heading1"/>
      <w:lvlText w:val="%1."/>
      <w:lvlJc w:val="left"/>
      <w:pPr>
        <w:ind w:left="1080" w:hanging="720"/>
      </w:pPr>
      <w:rPr>
        <w:rFonts w:hint="default"/>
      </w:rPr>
    </w:lvl>
    <w:lvl w:ilvl="1" w:tplc="35E05580" w:tentative="1">
      <w:start w:val="1"/>
      <w:numFmt w:val="lowerLetter"/>
      <w:lvlText w:val="%2."/>
      <w:lvlJc w:val="left"/>
      <w:pPr>
        <w:ind w:left="1440" w:hanging="360"/>
      </w:pPr>
    </w:lvl>
    <w:lvl w:ilvl="2" w:tplc="9BB04BB8" w:tentative="1">
      <w:start w:val="1"/>
      <w:numFmt w:val="lowerRoman"/>
      <w:lvlText w:val="%3."/>
      <w:lvlJc w:val="right"/>
      <w:pPr>
        <w:ind w:left="2160" w:hanging="180"/>
      </w:pPr>
    </w:lvl>
    <w:lvl w:ilvl="3" w:tplc="295C3946" w:tentative="1">
      <w:start w:val="1"/>
      <w:numFmt w:val="decimal"/>
      <w:lvlText w:val="%4."/>
      <w:lvlJc w:val="left"/>
      <w:pPr>
        <w:ind w:left="2880" w:hanging="360"/>
      </w:pPr>
    </w:lvl>
    <w:lvl w:ilvl="4" w:tplc="7BA87892" w:tentative="1">
      <w:start w:val="1"/>
      <w:numFmt w:val="lowerLetter"/>
      <w:lvlText w:val="%5."/>
      <w:lvlJc w:val="left"/>
      <w:pPr>
        <w:ind w:left="3600" w:hanging="360"/>
      </w:pPr>
    </w:lvl>
    <w:lvl w:ilvl="5" w:tplc="1E249D32" w:tentative="1">
      <w:start w:val="1"/>
      <w:numFmt w:val="lowerRoman"/>
      <w:lvlText w:val="%6."/>
      <w:lvlJc w:val="right"/>
      <w:pPr>
        <w:ind w:left="4320" w:hanging="180"/>
      </w:pPr>
    </w:lvl>
    <w:lvl w:ilvl="6" w:tplc="16BA34C0" w:tentative="1">
      <w:start w:val="1"/>
      <w:numFmt w:val="decimal"/>
      <w:lvlText w:val="%7."/>
      <w:lvlJc w:val="left"/>
      <w:pPr>
        <w:ind w:left="5040" w:hanging="360"/>
      </w:pPr>
    </w:lvl>
    <w:lvl w:ilvl="7" w:tplc="FC56FA54" w:tentative="1">
      <w:start w:val="1"/>
      <w:numFmt w:val="lowerLetter"/>
      <w:lvlText w:val="%8."/>
      <w:lvlJc w:val="left"/>
      <w:pPr>
        <w:ind w:left="5760" w:hanging="360"/>
      </w:pPr>
    </w:lvl>
    <w:lvl w:ilvl="8" w:tplc="05F61734" w:tentative="1">
      <w:start w:val="1"/>
      <w:numFmt w:val="lowerRoman"/>
      <w:lvlText w:val="%9."/>
      <w:lvlJc w:val="right"/>
      <w:pPr>
        <w:ind w:left="6480" w:hanging="180"/>
      </w:pPr>
    </w:lvl>
  </w:abstractNum>
  <w:abstractNum w:abstractNumId="20">
    <w:nsid w:val="56FA77DF"/>
    <w:multiLevelType w:val="hybridMultilevel"/>
    <w:tmpl w:val="8188BEA2"/>
    <w:lvl w:ilvl="0" w:tplc="C9ECE74A">
      <w:start w:val="1"/>
      <w:numFmt w:val="decimal"/>
      <w:pStyle w:val="ListParagraph"/>
      <w:lvlText w:val="%1."/>
      <w:lvlJc w:val="left"/>
      <w:pPr>
        <w:ind w:left="11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6F3386A"/>
    <w:multiLevelType w:val="hybridMultilevel"/>
    <w:tmpl w:val="F7F2C9D4"/>
    <w:lvl w:ilvl="0" w:tplc="7CBCC1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A685EC4"/>
    <w:multiLevelType w:val="hybridMultilevel"/>
    <w:tmpl w:val="56FA336A"/>
    <w:lvl w:ilvl="0" w:tplc="E8F817E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6B8A4AA8"/>
    <w:multiLevelType w:val="hybridMultilevel"/>
    <w:tmpl w:val="209A0F94"/>
    <w:lvl w:ilvl="0" w:tplc="23B2D9E8">
      <w:start w:val="1"/>
      <w:numFmt w:val="upperLetter"/>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86C1A3E"/>
    <w:multiLevelType w:val="hybridMultilevel"/>
    <w:tmpl w:val="2CD2F4DA"/>
    <w:lvl w:ilvl="0" w:tplc="C7CC7EDC">
      <w:numFmt w:val="bullet"/>
      <w:lvlText w:val=""/>
      <w:lvlJc w:val="left"/>
      <w:pPr>
        <w:ind w:left="3960" w:hanging="360"/>
      </w:pPr>
      <w:rPr>
        <w:rFonts w:ascii="Symbol" w:eastAsiaTheme="minorHAnsi" w:hAnsi="Symbol" w:cstheme="minorBidi"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num w:numId="1">
    <w:abstractNumId w:val="25"/>
  </w:num>
  <w:num w:numId="2">
    <w:abstractNumId w:val="21"/>
  </w:num>
  <w:num w:numId="3">
    <w:abstractNumId w:val="2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7"/>
  </w:num>
  <w:num w:numId="15">
    <w:abstractNumId w:val="23"/>
  </w:num>
  <w:num w:numId="16">
    <w:abstractNumId w:val="20"/>
    <w:lvlOverride w:ilvl="0">
      <w:startOverride w:val="1"/>
    </w:lvlOverride>
  </w:num>
  <w:num w:numId="17">
    <w:abstractNumId w:val="16"/>
  </w:num>
  <w:num w:numId="18">
    <w:abstractNumId w:val="18"/>
  </w:num>
  <w:num w:numId="19">
    <w:abstractNumId w:val="10"/>
  </w:num>
  <w:num w:numId="20">
    <w:abstractNumId w:val="14"/>
  </w:num>
  <w:num w:numId="21">
    <w:abstractNumId w:val="19"/>
  </w:num>
  <w:num w:numId="22">
    <w:abstractNumId w:val="15"/>
  </w:num>
  <w:num w:numId="23">
    <w:abstractNumId w:val="13"/>
  </w:num>
  <w:num w:numId="24">
    <w:abstractNumId w:val="24"/>
  </w:num>
  <w:num w:numId="25">
    <w:abstractNumId w:val="11"/>
  </w:num>
  <w:num w:numId="26">
    <w:abstractNumId w:val="26"/>
  </w:num>
  <w:num w:numId="27">
    <w:abstractNumId w:val="22"/>
  </w:num>
  <w:num w:numId="28">
    <w:abstractNumId w:val="20"/>
    <w:lvlOverride w:ilvl="0">
      <w:startOverride w:val="1"/>
    </w:lvlOverride>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A29"/>
    <w:rsid w:val="00003D8A"/>
    <w:rsid w:val="00004867"/>
    <w:rsid w:val="00004C37"/>
    <w:rsid w:val="00005670"/>
    <w:rsid w:val="000075C1"/>
    <w:rsid w:val="00013232"/>
    <w:rsid w:val="00014D73"/>
    <w:rsid w:val="00023875"/>
    <w:rsid w:val="00023F89"/>
    <w:rsid w:val="00024C74"/>
    <w:rsid w:val="000358DE"/>
    <w:rsid w:val="00040374"/>
    <w:rsid w:val="000403D5"/>
    <w:rsid w:val="00044125"/>
    <w:rsid w:val="00045A3A"/>
    <w:rsid w:val="00046B13"/>
    <w:rsid w:val="00047619"/>
    <w:rsid w:val="00047659"/>
    <w:rsid w:val="00060249"/>
    <w:rsid w:val="000606D1"/>
    <w:rsid w:val="0006462D"/>
    <w:rsid w:val="00066F0F"/>
    <w:rsid w:val="00070475"/>
    <w:rsid w:val="00073D15"/>
    <w:rsid w:val="0008419E"/>
    <w:rsid w:val="00086666"/>
    <w:rsid w:val="00091383"/>
    <w:rsid w:val="00091C18"/>
    <w:rsid w:val="00095106"/>
    <w:rsid w:val="00095EB3"/>
    <w:rsid w:val="00095FB6"/>
    <w:rsid w:val="00097DB4"/>
    <w:rsid w:val="000A16A2"/>
    <w:rsid w:val="000A60EE"/>
    <w:rsid w:val="000B0329"/>
    <w:rsid w:val="000B539E"/>
    <w:rsid w:val="000C7611"/>
    <w:rsid w:val="000C7994"/>
    <w:rsid w:val="000D247B"/>
    <w:rsid w:val="000D6D45"/>
    <w:rsid w:val="000E0FDA"/>
    <w:rsid w:val="000E666C"/>
    <w:rsid w:val="000E77AC"/>
    <w:rsid w:val="000F34D5"/>
    <w:rsid w:val="000F6F31"/>
    <w:rsid w:val="000F7E5E"/>
    <w:rsid w:val="00107148"/>
    <w:rsid w:val="00107C6C"/>
    <w:rsid w:val="00110A23"/>
    <w:rsid w:val="00112F61"/>
    <w:rsid w:val="00113A18"/>
    <w:rsid w:val="001140CD"/>
    <w:rsid w:val="001169DA"/>
    <w:rsid w:val="001179B5"/>
    <w:rsid w:val="00120CD8"/>
    <w:rsid w:val="0013065C"/>
    <w:rsid w:val="00131616"/>
    <w:rsid w:val="00141030"/>
    <w:rsid w:val="00154F49"/>
    <w:rsid w:val="0015581A"/>
    <w:rsid w:val="00157A57"/>
    <w:rsid w:val="00160578"/>
    <w:rsid w:val="00164C48"/>
    <w:rsid w:val="00171DE4"/>
    <w:rsid w:val="00171EE7"/>
    <w:rsid w:val="0017558E"/>
    <w:rsid w:val="001765C5"/>
    <w:rsid w:val="001844B8"/>
    <w:rsid w:val="0018515B"/>
    <w:rsid w:val="0018548F"/>
    <w:rsid w:val="00186842"/>
    <w:rsid w:val="00187D67"/>
    <w:rsid w:val="00195A2A"/>
    <w:rsid w:val="00196486"/>
    <w:rsid w:val="001B277D"/>
    <w:rsid w:val="001B38C1"/>
    <w:rsid w:val="001B48A9"/>
    <w:rsid w:val="001B4F07"/>
    <w:rsid w:val="001C2110"/>
    <w:rsid w:val="001C5100"/>
    <w:rsid w:val="001D272D"/>
    <w:rsid w:val="001E0C64"/>
    <w:rsid w:val="001E26B7"/>
    <w:rsid w:val="001E30C9"/>
    <w:rsid w:val="001E3DF2"/>
    <w:rsid w:val="001E4200"/>
    <w:rsid w:val="001E76ED"/>
    <w:rsid w:val="001F15F3"/>
    <w:rsid w:val="001F59C3"/>
    <w:rsid w:val="002024BD"/>
    <w:rsid w:val="002069DF"/>
    <w:rsid w:val="00212A66"/>
    <w:rsid w:val="00214CC5"/>
    <w:rsid w:val="00223553"/>
    <w:rsid w:val="00224F13"/>
    <w:rsid w:val="00225645"/>
    <w:rsid w:val="00227572"/>
    <w:rsid w:val="00234C04"/>
    <w:rsid w:val="00235346"/>
    <w:rsid w:val="0023577A"/>
    <w:rsid w:val="00237C46"/>
    <w:rsid w:val="00241EAE"/>
    <w:rsid w:val="00253CD8"/>
    <w:rsid w:val="00261DD6"/>
    <w:rsid w:val="002668F9"/>
    <w:rsid w:val="00270B7F"/>
    <w:rsid w:val="00271B5F"/>
    <w:rsid w:val="0027462B"/>
    <w:rsid w:val="00282166"/>
    <w:rsid w:val="002830B9"/>
    <w:rsid w:val="002864AC"/>
    <w:rsid w:val="00291B31"/>
    <w:rsid w:val="00291E50"/>
    <w:rsid w:val="00292F05"/>
    <w:rsid w:val="002A505A"/>
    <w:rsid w:val="002C2339"/>
    <w:rsid w:val="002C342E"/>
    <w:rsid w:val="002C5023"/>
    <w:rsid w:val="002C5805"/>
    <w:rsid w:val="002C6CE0"/>
    <w:rsid w:val="002D390C"/>
    <w:rsid w:val="002D4CB8"/>
    <w:rsid w:val="002D73C5"/>
    <w:rsid w:val="002D7763"/>
    <w:rsid w:val="002F1390"/>
    <w:rsid w:val="002F30B7"/>
    <w:rsid w:val="002F7CF0"/>
    <w:rsid w:val="00305351"/>
    <w:rsid w:val="00305E45"/>
    <w:rsid w:val="0032064C"/>
    <w:rsid w:val="00327124"/>
    <w:rsid w:val="00330595"/>
    <w:rsid w:val="00330C55"/>
    <w:rsid w:val="00334EE4"/>
    <w:rsid w:val="00335E49"/>
    <w:rsid w:val="0034233C"/>
    <w:rsid w:val="0035505B"/>
    <w:rsid w:val="00356518"/>
    <w:rsid w:val="003566B7"/>
    <w:rsid w:val="003569EA"/>
    <w:rsid w:val="00361488"/>
    <w:rsid w:val="00362443"/>
    <w:rsid w:val="00363EC9"/>
    <w:rsid w:val="00377FE7"/>
    <w:rsid w:val="003835D5"/>
    <w:rsid w:val="00383A7E"/>
    <w:rsid w:val="00386D32"/>
    <w:rsid w:val="00387C31"/>
    <w:rsid w:val="00393C92"/>
    <w:rsid w:val="00395B0C"/>
    <w:rsid w:val="00397F26"/>
    <w:rsid w:val="003A0C32"/>
    <w:rsid w:val="003A2297"/>
    <w:rsid w:val="003A28E0"/>
    <w:rsid w:val="003C1911"/>
    <w:rsid w:val="003C5C77"/>
    <w:rsid w:val="003C5DCC"/>
    <w:rsid w:val="003D0E1A"/>
    <w:rsid w:val="003D1343"/>
    <w:rsid w:val="003D3E00"/>
    <w:rsid w:val="003E26E3"/>
    <w:rsid w:val="003E7C14"/>
    <w:rsid w:val="003F29E6"/>
    <w:rsid w:val="003F56AB"/>
    <w:rsid w:val="003F79C3"/>
    <w:rsid w:val="0041089C"/>
    <w:rsid w:val="00411ACA"/>
    <w:rsid w:val="004155A7"/>
    <w:rsid w:val="00423E02"/>
    <w:rsid w:val="00426A09"/>
    <w:rsid w:val="00426A28"/>
    <w:rsid w:val="004310A1"/>
    <w:rsid w:val="004369C1"/>
    <w:rsid w:val="00451112"/>
    <w:rsid w:val="004523A3"/>
    <w:rsid w:val="00455612"/>
    <w:rsid w:val="00457796"/>
    <w:rsid w:val="00457973"/>
    <w:rsid w:val="004650D2"/>
    <w:rsid w:val="0046714F"/>
    <w:rsid w:val="00482B1E"/>
    <w:rsid w:val="004830C3"/>
    <w:rsid w:val="004928A0"/>
    <w:rsid w:val="00494FB1"/>
    <w:rsid w:val="004B0466"/>
    <w:rsid w:val="004B0E34"/>
    <w:rsid w:val="004B22F2"/>
    <w:rsid w:val="004B5413"/>
    <w:rsid w:val="004B59AE"/>
    <w:rsid w:val="004B6AD4"/>
    <w:rsid w:val="004C4D0A"/>
    <w:rsid w:val="004C643B"/>
    <w:rsid w:val="004C6647"/>
    <w:rsid w:val="004D0B30"/>
    <w:rsid w:val="004D523C"/>
    <w:rsid w:val="004D5B37"/>
    <w:rsid w:val="004D656A"/>
    <w:rsid w:val="004D678F"/>
    <w:rsid w:val="004F1F55"/>
    <w:rsid w:val="004F3C08"/>
    <w:rsid w:val="004F60DF"/>
    <w:rsid w:val="00506A8C"/>
    <w:rsid w:val="0051481B"/>
    <w:rsid w:val="005164EE"/>
    <w:rsid w:val="005211CA"/>
    <w:rsid w:val="00522E97"/>
    <w:rsid w:val="005233A9"/>
    <w:rsid w:val="00525403"/>
    <w:rsid w:val="00525DAE"/>
    <w:rsid w:val="0052682F"/>
    <w:rsid w:val="00531075"/>
    <w:rsid w:val="00531E13"/>
    <w:rsid w:val="00534673"/>
    <w:rsid w:val="00543017"/>
    <w:rsid w:val="00546AB3"/>
    <w:rsid w:val="00552C2A"/>
    <w:rsid w:val="0055438E"/>
    <w:rsid w:val="00573F2E"/>
    <w:rsid w:val="00575241"/>
    <w:rsid w:val="00583372"/>
    <w:rsid w:val="00586972"/>
    <w:rsid w:val="00590CB7"/>
    <w:rsid w:val="00593953"/>
    <w:rsid w:val="00595ECC"/>
    <w:rsid w:val="005A12D3"/>
    <w:rsid w:val="005A6C6F"/>
    <w:rsid w:val="005B3224"/>
    <w:rsid w:val="005B4C20"/>
    <w:rsid w:val="005D154C"/>
    <w:rsid w:val="005D1A6C"/>
    <w:rsid w:val="005D7425"/>
    <w:rsid w:val="005D7F76"/>
    <w:rsid w:val="005E327F"/>
    <w:rsid w:val="005E43DA"/>
    <w:rsid w:val="005E62F2"/>
    <w:rsid w:val="005F0CD2"/>
    <w:rsid w:val="005F5904"/>
    <w:rsid w:val="006027AF"/>
    <w:rsid w:val="00602D07"/>
    <w:rsid w:val="00605E99"/>
    <w:rsid w:val="00611781"/>
    <w:rsid w:val="006130F6"/>
    <w:rsid w:val="006265DF"/>
    <w:rsid w:val="00627BD0"/>
    <w:rsid w:val="00630DE5"/>
    <w:rsid w:val="0063488A"/>
    <w:rsid w:val="006362AE"/>
    <w:rsid w:val="00640218"/>
    <w:rsid w:val="00640580"/>
    <w:rsid w:val="00643E1D"/>
    <w:rsid w:val="00645B5E"/>
    <w:rsid w:val="00646144"/>
    <w:rsid w:val="00646E07"/>
    <w:rsid w:val="00655286"/>
    <w:rsid w:val="006604D8"/>
    <w:rsid w:val="006672F9"/>
    <w:rsid w:val="00667C0A"/>
    <w:rsid w:val="00673457"/>
    <w:rsid w:val="00674785"/>
    <w:rsid w:val="00681F71"/>
    <w:rsid w:val="0068614B"/>
    <w:rsid w:val="00686A42"/>
    <w:rsid w:val="0068781F"/>
    <w:rsid w:val="00690A29"/>
    <w:rsid w:val="00693446"/>
    <w:rsid w:val="006A529C"/>
    <w:rsid w:val="006A52FF"/>
    <w:rsid w:val="006B25F6"/>
    <w:rsid w:val="006B508A"/>
    <w:rsid w:val="006C0F3C"/>
    <w:rsid w:val="006C5D16"/>
    <w:rsid w:val="006C6EEF"/>
    <w:rsid w:val="006C7E95"/>
    <w:rsid w:val="006C7FF0"/>
    <w:rsid w:val="006D1B27"/>
    <w:rsid w:val="006E3A74"/>
    <w:rsid w:val="006E550B"/>
    <w:rsid w:val="006F0AD6"/>
    <w:rsid w:val="006F6FBC"/>
    <w:rsid w:val="006F713C"/>
    <w:rsid w:val="007017A4"/>
    <w:rsid w:val="00707071"/>
    <w:rsid w:val="007239FF"/>
    <w:rsid w:val="00723C4C"/>
    <w:rsid w:val="00730546"/>
    <w:rsid w:val="00735787"/>
    <w:rsid w:val="00735854"/>
    <w:rsid w:val="00745AAB"/>
    <w:rsid w:val="007503C3"/>
    <w:rsid w:val="00750B24"/>
    <w:rsid w:val="00754F98"/>
    <w:rsid w:val="007603F4"/>
    <w:rsid w:val="00772079"/>
    <w:rsid w:val="00774909"/>
    <w:rsid w:val="0077638A"/>
    <w:rsid w:val="00784226"/>
    <w:rsid w:val="00784893"/>
    <w:rsid w:val="007904CF"/>
    <w:rsid w:val="00792796"/>
    <w:rsid w:val="00792C91"/>
    <w:rsid w:val="00794B3E"/>
    <w:rsid w:val="0079588A"/>
    <w:rsid w:val="00796710"/>
    <w:rsid w:val="0079676E"/>
    <w:rsid w:val="007A4780"/>
    <w:rsid w:val="007B5CCD"/>
    <w:rsid w:val="007B7ED0"/>
    <w:rsid w:val="007C1C52"/>
    <w:rsid w:val="007C39D5"/>
    <w:rsid w:val="007C4B2D"/>
    <w:rsid w:val="007C4FBF"/>
    <w:rsid w:val="007D08D5"/>
    <w:rsid w:val="007D101A"/>
    <w:rsid w:val="007D6F60"/>
    <w:rsid w:val="0080562D"/>
    <w:rsid w:val="00814328"/>
    <w:rsid w:val="008206DE"/>
    <w:rsid w:val="00820DD3"/>
    <w:rsid w:val="00827F2A"/>
    <w:rsid w:val="00833D74"/>
    <w:rsid w:val="00840EED"/>
    <w:rsid w:val="00842F87"/>
    <w:rsid w:val="008512D2"/>
    <w:rsid w:val="008529D2"/>
    <w:rsid w:val="00855AE8"/>
    <w:rsid w:val="00855E2E"/>
    <w:rsid w:val="00860B49"/>
    <w:rsid w:val="008630CB"/>
    <w:rsid w:val="00866760"/>
    <w:rsid w:val="00881377"/>
    <w:rsid w:val="008845BD"/>
    <w:rsid w:val="00890535"/>
    <w:rsid w:val="0089111E"/>
    <w:rsid w:val="00893F27"/>
    <w:rsid w:val="0089777C"/>
    <w:rsid w:val="00897F20"/>
    <w:rsid w:val="00897FA1"/>
    <w:rsid w:val="008A1338"/>
    <w:rsid w:val="008A134F"/>
    <w:rsid w:val="008A2650"/>
    <w:rsid w:val="008A2C03"/>
    <w:rsid w:val="008B2068"/>
    <w:rsid w:val="008B3439"/>
    <w:rsid w:val="008B785F"/>
    <w:rsid w:val="008C2CD9"/>
    <w:rsid w:val="008C4C60"/>
    <w:rsid w:val="008D48A0"/>
    <w:rsid w:val="008E4808"/>
    <w:rsid w:val="008F0A3D"/>
    <w:rsid w:val="008F25EA"/>
    <w:rsid w:val="00904865"/>
    <w:rsid w:val="009109B3"/>
    <w:rsid w:val="009117FB"/>
    <w:rsid w:val="0091216E"/>
    <w:rsid w:val="00913DDD"/>
    <w:rsid w:val="00914FA0"/>
    <w:rsid w:val="00916276"/>
    <w:rsid w:val="009175FF"/>
    <w:rsid w:val="00926A97"/>
    <w:rsid w:val="00930A7F"/>
    <w:rsid w:val="009310FB"/>
    <w:rsid w:val="009321A2"/>
    <w:rsid w:val="00934355"/>
    <w:rsid w:val="00936043"/>
    <w:rsid w:val="009457EF"/>
    <w:rsid w:val="0095516B"/>
    <w:rsid w:val="00960251"/>
    <w:rsid w:val="00993F36"/>
    <w:rsid w:val="009A6DCD"/>
    <w:rsid w:val="009B008D"/>
    <w:rsid w:val="009C4920"/>
    <w:rsid w:val="009C4AE5"/>
    <w:rsid w:val="009C4EC2"/>
    <w:rsid w:val="009C4F41"/>
    <w:rsid w:val="009C6B08"/>
    <w:rsid w:val="009C7A26"/>
    <w:rsid w:val="009D2F57"/>
    <w:rsid w:val="009D56C1"/>
    <w:rsid w:val="009D6557"/>
    <w:rsid w:val="009E55B4"/>
    <w:rsid w:val="009F1E18"/>
    <w:rsid w:val="009F6B0F"/>
    <w:rsid w:val="00A0423E"/>
    <w:rsid w:val="00A04316"/>
    <w:rsid w:val="00A13979"/>
    <w:rsid w:val="00A14C7F"/>
    <w:rsid w:val="00A1780F"/>
    <w:rsid w:val="00A23AB3"/>
    <w:rsid w:val="00A25780"/>
    <w:rsid w:val="00A257CD"/>
    <w:rsid w:val="00A33D8B"/>
    <w:rsid w:val="00A43554"/>
    <w:rsid w:val="00A45938"/>
    <w:rsid w:val="00A47089"/>
    <w:rsid w:val="00A47F71"/>
    <w:rsid w:val="00A54941"/>
    <w:rsid w:val="00A5586D"/>
    <w:rsid w:val="00A61997"/>
    <w:rsid w:val="00A65273"/>
    <w:rsid w:val="00A656D3"/>
    <w:rsid w:val="00A67146"/>
    <w:rsid w:val="00A678C1"/>
    <w:rsid w:val="00A75101"/>
    <w:rsid w:val="00A761FE"/>
    <w:rsid w:val="00A851E0"/>
    <w:rsid w:val="00A85999"/>
    <w:rsid w:val="00A90126"/>
    <w:rsid w:val="00A91161"/>
    <w:rsid w:val="00A93976"/>
    <w:rsid w:val="00AA315A"/>
    <w:rsid w:val="00AA39AC"/>
    <w:rsid w:val="00AA4045"/>
    <w:rsid w:val="00AB4C73"/>
    <w:rsid w:val="00AC0DCC"/>
    <w:rsid w:val="00AC647E"/>
    <w:rsid w:val="00AD0A08"/>
    <w:rsid w:val="00AD1EE3"/>
    <w:rsid w:val="00AD3984"/>
    <w:rsid w:val="00AE0B7B"/>
    <w:rsid w:val="00AE3BE8"/>
    <w:rsid w:val="00AE5F4F"/>
    <w:rsid w:val="00AE6749"/>
    <w:rsid w:val="00AF57AD"/>
    <w:rsid w:val="00AF7248"/>
    <w:rsid w:val="00B0335A"/>
    <w:rsid w:val="00B033C1"/>
    <w:rsid w:val="00B03CE3"/>
    <w:rsid w:val="00B052AE"/>
    <w:rsid w:val="00B116DA"/>
    <w:rsid w:val="00B12983"/>
    <w:rsid w:val="00B17CBD"/>
    <w:rsid w:val="00B2464E"/>
    <w:rsid w:val="00B310BD"/>
    <w:rsid w:val="00B312DA"/>
    <w:rsid w:val="00B31BE8"/>
    <w:rsid w:val="00B328B4"/>
    <w:rsid w:val="00B34B19"/>
    <w:rsid w:val="00B404FA"/>
    <w:rsid w:val="00B41358"/>
    <w:rsid w:val="00B5018F"/>
    <w:rsid w:val="00B50AF8"/>
    <w:rsid w:val="00B5165F"/>
    <w:rsid w:val="00B56E69"/>
    <w:rsid w:val="00B70AB9"/>
    <w:rsid w:val="00B73668"/>
    <w:rsid w:val="00B76F7E"/>
    <w:rsid w:val="00B9072F"/>
    <w:rsid w:val="00B90E93"/>
    <w:rsid w:val="00B93674"/>
    <w:rsid w:val="00B97658"/>
    <w:rsid w:val="00B97C63"/>
    <w:rsid w:val="00BA01DA"/>
    <w:rsid w:val="00BA630D"/>
    <w:rsid w:val="00BA7E4F"/>
    <w:rsid w:val="00BB3A1D"/>
    <w:rsid w:val="00BC403D"/>
    <w:rsid w:val="00BC4098"/>
    <w:rsid w:val="00BC7016"/>
    <w:rsid w:val="00BD442C"/>
    <w:rsid w:val="00BD53A4"/>
    <w:rsid w:val="00BE542F"/>
    <w:rsid w:val="00BE7104"/>
    <w:rsid w:val="00C01586"/>
    <w:rsid w:val="00C04B90"/>
    <w:rsid w:val="00C06887"/>
    <w:rsid w:val="00C1232D"/>
    <w:rsid w:val="00C1283D"/>
    <w:rsid w:val="00C13EEC"/>
    <w:rsid w:val="00C21DAC"/>
    <w:rsid w:val="00C30C55"/>
    <w:rsid w:val="00C36B01"/>
    <w:rsid w:val="00C37494"/>
    <w:rsid w:val="00C40AF5"/>
    <w:rsid w:val="00C40DBC"/>
    <w:rsid w:val="00C44C61"/>
    <w:rsid w:val="00C507A2"/>
    <w:rsid w:val="00C52911"/>
    <w:rsid w:val="00C560F8"/>
    <w:rsid w:val="00C628CB"/>
    <w:rsid w:val="00C632FB"/>
    <w:rsid w:val="00C65901"/>
    <w:rsid w:val="00C65FE6"/>
    <w:rsid w:val="00C66195"/>
    <w:rsid w:val="00C700DF"/>
    <w:rsid w:val="00C71343"/>
    <w:rsid w:val="00C765B4"/>
    <w:rsid w:val="00C84667"/>
    <w:rsid w:val="00C918CB"/>
    <w:rsid w:val="00C91956"/>
    <w:rsid w:val="00C943B6"/>
    <w:rsid w:val="00C96D89"/>
    <w:rsid w:val="00C97689"/>
    <w:rsid w:val="00CA183C"/>
    <w:rsid w:val="00CA466B"/>
    <w:rsid w:val="00CC0178"/>
    <w:rsid w:val="00CC0B1F"/>
    <w:rsid w:val="00CC1CEC"/>
    <w:rsid w:val="00CC2F0D"/>
    <w:rsid w:val="00CC495F"/>
    <w:rsid w:val="00CE01D3"/>
    <w:rsid w:val="00CE4D7F"/>
    <w:rsid w:val="00CE60E0"/>
    <w:rsid w:val="00CE7000"/>
    <w:rsid w:val="00CF0BD5"/>
    <w:rsid w:val="00CF1A07"/>
    <w:rsid w:val="00CF7331"/>
    <w:rsid w:val="00D00348"/>
    <w:rsid w:val="00D04DD7"/>
    <w:rsid w:val="00D0593D"/>
    <w:rsid w:val="00D0755A"/>
    <w:rsid w:val="00D11E62"/>
    <w:rsid w:val="00D15251"/>
    <w:rsid w:val="00D154E0"/>
    <w:rsid w:val="00D15E24"/>
    <w:rsid w:val="00D16A0A"/>
    <w:rsid w:val="00D179A0"/>
    <w:rsid w:val="00D2148B"/>
    <w:rsid w:val="00D25239"/>
    <w:rsid w:val="00D32C6A"/>
    <w:rsid w:val="00D33143"/>
    <w:rsid w:val="00D35332"/>
    <w:rsid w:val="00D35830"/>
    <w:rsid w:val="00D35EFF"/>
    <w:rsid w:val="00D37B9D"/>
    <w:rsid w:val="00D42713"/>
    <w:rsid w:val="00D42EAE"/>
    <w:rsid w:val="00D43E15"/>
    <w:rsid w:val="00D44820"/>
    <w:rsid w:val="00D46E4F"/>
    <w:rsid w:val="00D46EC2"/>
    <w:rsid w:val="00D50E0D"/>
    <w:rsid w:val="00D64665"/>
    <w:rsid w:val="00D70CC6"/>
    <w:rsid w:val="00D73B96"/>
    <w:rsid w:val="00D81E81"/>
    <w:rsid w:val="00D902EB"/>
    <w:rsid w:val="00D9183A"/>
    <w:rsid w:val="00DA015C"/>
    <w:rsid w:val="00DA6713"/>
    <w:rsid w:val="00DB197F"/>
    <w:rsid w:val="00DB2412"/>
    <w:rsid w:val="00DB3813"/>
    <w:rsid w:val="00DB4945"/>
    <w:rsid w:val="00DB5CD4"/>
    <w:rsid w:val="00DB5F4C"/>
    <w:rsid w:val="00DB70EA"/>
    <w:rsid w:val="00DC5108"/>
    <w:rsid w:val="00DD019A"/>
    <w:rsid w:val="00DD54DF"/>
    <w:rsid w:val="00DD5662"/>
    <w:rsid w:val="00DD5C37"/>
    <w:rsid w:val="00DD6C92"/>
    <w:rsid w:val="00DE0D10"/>
    <w:rsid w:val="00DE1423"/>
    <w:rsid w:val="00DE77F2"/>
    <w:rsid w:val="00DF087F"/>
    <w:rsid w:val="00DF0A02"/>
    <w:rsid w:val="00DF22BA"/>
    <w:rsid w:val="00DF24FC"/>
    <w:rsid w:val="00DF4515"/>
    <w:rsid w:val="00DF65DF"/>
    <w:rsid w:val="00DF7018"/>
    <w:rsid w:val="00DF7B58"/>
    <w:rsid w:val="00E01E59"/>
    <w:rsid w:val="00E04D54"/>
    <w:rsid w:val="00E1608C"/>
    <w:rsid w:val="00E17069"/>
    <w:rsid w:val="00E279EA"/>
    <w:rsid w:val="00E30975"/>
    <w:rsid w:val="00E3227B"/>
    <w:rsid w:val="00E42A8D"/>
    <w:rsid w:val="00E42A98"/>
    <w:rsid w:val="00E4302C"/>
    <w:rsid w:val="00E43E6E"/>
    <w:rsid w:val="00E44FB3"/>
    <w:rsid w:val="00E47D71"/>
    <w:rsid w:val="00E516F0"/>
    <w:rsid w:val="00E5345B"/>
    <w:rsid w:val="00E54DF2"/>
    <w:rsid w:val="00E63156"/>
    <w:rsid w:val="00E6489B"/>
    <w:rsid w:val="00E64F61"/>
    <w:rsid w:val="00E67B30"/>
    <w:rsid w:val="00E7200E"/>
    <w:rsid w:val="00E72961"/>
    <w:rsid w:val="00E73543"/>
    <w:rsid w:val="00E81B4C"/>
    <w:rsid w:val="00E84B00"/>
    <w:rsid w:val="00E86703"/>
    <w:rsid w:val="00E87ADC"/>
    <w:rsid w:val="00E90BA5"/>
    <w:rsid w:val="00E93334"/>
    <w:rsid w:val="00E9528F"/>
    <w:rsid w:val="00E96DA8"/>
    <w:rsid w:val="00EA102E"/>
    <w:rsid w:val="00EA462E"/>
    <w:rsid w:val="00EB04CD"/>
    <w:rsid w:val="00EC30F8"/>
    <w:rsid w:val="00EC7CE6"/>
    <w:rsid w:val="00EE2CC0"/>
    <w:rsid w:val="00EE5250"/>
    <w:rsid w:val="00EE7DF8"/>
    <w:rsid w:val="00EF4C77"/>
    <w:rsid w:val="00F00842"/>
    <w:rsid w:val="00F03953"/>
    <w:rsid w:val="00F0449C"/>
    <w:rsid w:val="00F0635E"/>
    <w:rsid w:val="00F1719A"/>
    <w:rsid w:val="00F22DD7"/>
    <w:rsid w:val="00F25A90"/>
    <w:rsid w:val="00F35E9A"/>
    <w:rsid w:val="00F37742"/>
    <w:rsid w:val="00F3788E"/>
    <w:rsid w:val="00F401A1"/>
    <w:rsid w:val="00F40BDB"/>
    <w:rsid w:val="00F44DDE"/>
    <w:rsid w:val="00F4719B"/>
    <w:rsid w:val="00F51157"/>
    <w:rsid w:val="00F54550"/>
    <w:rsid w:val="00F61CE0"/>
    <w:rsid w:val="00F62ED8"/>
    <w:rsid w:val="00F64D7D"/>
    <w:rsid w:val="00F742EF"/>
    <w:rsid w:val="00F76208"/>
    <w:rsid w:val="00F763A1"/>
    <w:rsid w:val="00F81524"/>
    <w:rsid w:val="00F85825"/>
    <w:rsid w:val="00F900C1"/>
    <w:rsid w:val="00F915DF"/>
    <w:rsid w:val="00FA63F9"/>
    <w:rsid w:val="00FB1E31"/>
    <w:rsid w:val="00FB7750"/>
    <w:rsid w:val="00FC0A30"/>
    <w:rsid w:val="00FD6D9D"/>
    <w:rsid w:val="00FD726D"/>
    <w:rsid w:val="00FE08FD"/>
    <w:rsid w:val="00FE135F"/>
    <w:rsid w:val="00FE3D34"/>
    <w:rsid w:val="00FF2666"/>
    <w:rsid w:val="00FF3E0D"/>
    <w:rsid w:val="00FF4551"/>
    <w:rsid w:val="00FF68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3" w:unhideWhenUsed="0" w:qFormat="1"/>
    <w:lsdException w:name="heading 2" w:uiPriority="13"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C73"/>
    <w:pPr>
      <w:spacing w:line="360" w:lineRule="auto"/>
    </w:pPr>
    <w:rPr>
      <w:rFonts w:ascii="Times New Roman" w:hAnsi="Times New Roman"/>
      <w:sz w:val="24"/>
    </w:rPr>
  </w:style>
  <w:style w:type="paragraph" w:styleId="Heading1">
    <w:name w:val="heading 1"/>
    <w:basedOn w:val="ListParagraph"/>
    <w:link w:val="Heading1Char"/>
    <w:uiPriority w:val="13"/>
    <w:qFormat/>
    <w:rsid w:val="00B97C63"/>
    <w:pPr>
      <w:numPr>
        <w:numId w:val="21"/>
      </w:numPr>
      <w:spacing w:line="480" w:lineRule="auto"/>
      <w:ind w:left="0" w:firstLine="0"/>
      <w:contextualSpacing/>
      <w:outlineLvl w:val="0"/>
    </w:pPr>
    <w:rPr>
      <w:rFonts w:eastAsia="Times New Roman" w:cs="Times New Roman"/>
      <w:b/>
      <w:szCs w:val="24"/>
      <w:u w:val="single"/>
    </w:rPr>
  </w:style>
  <w:style w:type="paragraph" w:styleId="Heading2">
    <w:name w:val="heading 2"/>
    <w:basedOn w:val="Heading1"/>
    <w:link w:val="Heading2Char"/>
    <w:uiPriority w:val="13"/>
    <w:qFormat/>
    <w:rsid w:val="00B97C63"/>
    <w:pPr>
      <w:numPr>
        <w:numId w:val="22"/>
      </w:numPr>
      <w:spacing w:line="240" w:lineRule="auto"/>
      <w:jc w:val="both"/>
      <w:outlineLvl w:val="1"/>
    </w:pPr>
    <w:rPr>
      <w:caps/>
      <w:u w:val="none"/>
    </w:rPr>
  </w:style>
  <w:style w:type="paragraph" w:styleId="Heading4">
    <w:name w:val="heading 4"/>
    <w:basedOn w:val="Normal"/>
    <w:next w:val="Normal"/>
    <w:link w:val="Heading4Char"/>
    <w:uiPriority w:val="9"/>
    <w:semiHidden/>
    <w:unhideWhenUsed/>
    <w:qFormat/>
    <w:rsid w:val="00B76F7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212A66"/>
    <w:pPr>
      <w:numPr>
        <w:numId w:val="3"/>
      </w:numPr>
      <w:spacing w:after="0"/>
      <w:ind w:left="0" w:firstLine="720"/>
    </w:pPr>
  </w:style>
  <w:style w:type="paragraph" w:styleId="Header">
    <w:name w:val="header"/>
    <w:basedOn w:val="Normal"/>
    <w:link w:val="HeaderChar"/>
    <w:uiPriority w:val="99"/>
    <w:unhideWhenUsed/>
    <w:rsid w:val="009457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7EF"/>
    <w:rPr>
      <w:rFonts w:ascii="Times New Roman" w:hAnsi="Times New Roman"/>
      <w:sz w:val="24"/>
    </w:rPr>
  </w:style>
  <w:style w:type="paragraph" w:styleId="Footer">
    <w:name w:val="footer"/>
    <w:basedOn w:val="Normal"/>
    <w:link w:val="FooterChar"/>
    <w:uiPriority w:val="99"/>
    <w:unhideWhenUsed/>
    <w:rsid w:val="009457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7EF"/>
    <w:rPr>
      <w:rFonts w:ascii="Times New Roman" w:hAnsi="Times New Roman"/>
      <w:sz w:val="24"/>
    </w:rPr>
  </w:style>
  <w:style w:type="character" w:styleId="FootnoteReference">
    <w:name w:val="footnote reference"/>
    <w:aliases w:val="o,fr"/>
    <w:basedOn w:val="DefaultParagraphFont"/>
    <w:unhideWhenUsed/>
    <w:rsid w:val="00363EC9"/>
    <w:rPr>
      <w:rFonts w:ascii="Times New Roman" w:hAnsi="Times New Roman"/>
      <w:vertAlign w:val="superscript"/>
    </w:rPr>
  </w:style>
  <w:style w:type="paragraph" w:styleId="FootnoteText">
    <w:name w:val="footnote text"/>
    <w:aliases w:val="Car,Footnote Text Char2,Footnote Text Char1 Char,Footnote Text Char Char Char,Footnote Text Char2 Char Char Char,Footnote Text Char Char1 Char Char Char,Footnote Text Char1 Char Char Char Char Char,ALTS FOOTNOTE,fn,Footnote Text 2"/>
    <w:basedOn w:val="Normal"/>
    <w:link w:val="FootnoteTextChar"/>
    <w:autoRedefine/>
    <w:uiPriority w:val="99"/>
    <w:unhideWhenUsed/>
    <w:qFormat/>
    <w:rsid w:val="002024BD"/>
    <w:pPr>
      <w:spacing w:after="0" w:line="240" w:lineRule="auto"/>
      <w:ind w:firstLine="720"/>
    </w:pPr>
    <w:rPr>
      <w:rFonts w:eastAsia="Times New Roman" w:cs="Times New Roman"/>
      <w:sz w:val="20"/>
      <w:szCs w:val="20"/>
    </w:rPr>
  </w:style>
  <w:style w:type="character" w:customStyle="1" w:styleId="FootnoteTextChar">
    <w:name w:val="Footnote Text Char"/>
    <w:aliases w:val="Car Char,Footnote Text Char2 Char,Footnote Text Char1 Char Char,Footnote Text Char Char Char Char,Footnote Text Char2 Char Char Char Char,Footnote Text Char Char1 Char Char Char Char,Footnote Text Char1 Char Char Char Char Char Char"/>
    <w:basedOn w:val="DefaultParagraphFont"/>
    <w:link w:val="FootnoteText"/>
    <w:uiPriority w:val="99"/>
    <w:rsid w:val="002024BD"/>
    <w:rPr>
      <w:rFonts w:ascii="Times New Roman" w:eastAsia="Times New Roman" w:hAnsi="Times New Roman" w:cs="Times New Roman"/>
      <w:sz w:val="20"/>
      <w:szCs w:val="20"/>
    </w:rPr>
  </w:style>
  <w:style w:type="paragraph" w:styleId="NormalIndent">
    <w:name w:val="Normal Indent"/>
    <w:basedOn w:val="Normal"/>
    <w:autoRedefine/>
    <w:uiPriority w:val="99"/>
    <w:unhideWhenUsed/>
    <w:qFormat/>
    <w:rsid w:val="00F0449C"/>
    <w:pPr>
      <w:spacing w:after="0" w:line="240" w:lineRule="auto"/>
      <w:ind w:left="1440" w:right="1440"/>
    </w:pPr>
  </w:style>
  <w:style w:type="paragraph" w:styleId="BalloonText">
    <w:name w:val="Balloon Text"/>
    <w:basedOn w:val="Normal"/>
    <w:link w:val="BalloonTextChar"/>
    <w:uiPriority w:val="99"/>
    <w:semiHidden/>
    <w:unhideWhenUsed/>
    <w:rsid w:val="00C661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6195"/>
    <w:rPr>
      <w:rFonts w:ascii="Tahoma" w:hAnsi="Tahoma" w:cs="Tahoma"/>
      <w:sz w:val="16"/>
      <w:szCs w:val="16"/>
    </w:rPr>
  </w:style>
  <w:style w:type="paragraph" w:customStyle="1" w:styleId="BodyFirst1SS">
    <w:name w:val="Body First 1 SS"/>
    <w:basedOn w:val="Normal"/>
    <w:uiPriority w:val="10"/>
    <w:qFormat/>
    <w:rsid w:val="004B59AE"/>
    <w:pPr>
      <w:spacing w:after="0" w:line="480" w:lineRule="auto"/>
      <w:ind w:firstLine="720"/>
      <w:jc w:val="both"/>
    </w:pPr>
    <w:rPr>
      <w:rFonts w:eastAsia="Times New Roman" w:cs="Times New Roman"/>
      <w:szCs w:val="24"/>
    </w:rPr>
  </w:style>
  <w:style w:type="character" w:customStyle="1" w:styleId="Heading1Char">
    <w:name w:val="Heading 1 Char"/>
    <w:basedOn w:val="DefaultParagraphFont"/>
    <w:link w:val="Heading1"/>
    <w:uiPriority w:val="13"/>
    <w:rsid w:val="00B97C63"/>
    <w:rPr>
      <w:rFonts w:ascii="Times New Roman" w:eastAsia="Times New Roman" w:hAnsi="Times New Roman" w:cs="Times New Roman"/>
      <w:b/>
      <w:sz w:val="24"/>
      <w:szCs w:val="24"/>
      <w:u w:val="single"/>
    </w:rPr>
  </w:style>
  <w:style w:type="character" w:customStyle="1" w:styleId="Heading2Char">
    <w:name w:val="Heading 2 Char"/>
    <w:basedOn w:val="DefaultParagraphFont"/>
    <w:link w:val="Heading2"/>
    <w:uiPriority w:val="13"/>
    <w:rsid w:val="00B97C63"/>
    <w:rPr>
      <w:rFonts w:ascii="Times New Roman" w:eastAsia="Times New Roman" w:hAnsi="Times New Roman" w:cs="Times New Roman"/>
      <w:b/>
      <w:caps/>
      <w:sz w:val="24"/>
      <w:szCs w:val="24"/>
    </w:rPr>
  </w:style>
  <w:style w:type="paragraph" w:customStyle="1" w:styleId="BodyFirst1DS">
    <w:name w:val="Body First 1 DS"/>
    <w:basedOn w:val="Heading1"/>
    <w:uiPriority w:val="11"/>
    <w:qFormat/>
    <w:rsid w:val="00B97C63"/>
    <w:pPr>
      <w:numPr>
        <w:numId w:val="0"/>
      </w:numPr>
      <w:spacing w:line="240" w:lineRule="auto"/>
      <w:ind w:left="720" w:right="720"/>
      <w:jc w:val="both"/>
    </w:pPr>
    <w:rPr>
      <w:b w:val="0"/>
      <w:u w:val="none"/>
    </w:rPr>
  </w:style>
  <w:style w:type="paragraph" w:styleId="BodyText">
    <w:name w:val="Body Text"/>
    <w:basedOn w:val="Normal"/>
    <w:link w:val="BodyTextChar"/>
    <w:rsid w:val="001E0C64"/>
    <w:pPr>
      <w:tabs>
        <w:tab w:val="left" w:pos="0"/>
      </w:tabs>
      <w:suppressAutoHyphens/>
      <w:spacing w:after="0" w:line="480" w:lineRule="auto"/>
    </w:pPr>
    <w:rPr>
      <w:rFonts w:eastAsia="Times New Roman" w:cs="Times New Roman"/>
      <w:color w:val="0000FF"/>
      <w:spacing w:val="-3"/>
      <w:kern w:val="1"/>
      <w:sz w:val="26"/>
      <w:szCs w:val="20"/>
    </w:rPr>
  </w:style>
  <w:style w:type="character" w:customStyle="1" w:styleId="BodyTextChar">
    <w:name w:val="Body Text Char"/>
    <w:basedOn w:val="DefaultParagraphFont"/>
    <w:link w:val="BodyText"/>
    <w:rsid w:val="001E0C64"/>
    <w:rPr>
      <w:rFonts w:ascii="Times New Roman" w:eastAsia="Times New Roman" w:hAnsi="Times New Roman" w:cs="Times New Roman"/>
      <w:color w:val="0000FF"/>
      <w:spacing w:val="-3"/>
      <w:kern w:val="1"/>
      <w:sz w:val="26"/>
      <w:szCs w:val="20"/>
    </w:rPr>
  </w:style>
  <w:style w:type="character" w:styleId="Hyperlink">
    <w:name w:val="Hyperlink"/>
    <w:basedOn w:val="DefaultParagraphFont"/>
    <w:uiPriority w:val="99"/>
    <w:unhideWhenUsed/>
    <w:rsid w:val="001844B8"/>
    <w:rPr>
      <w:color w:val="0000FF" w:themeColor="hyperlink"/>
      <w:u w:val="single"/>
    </w:rPr>
  </w:style>
  <w:style w:type="character" w:customStyle="1" w:styleId="Heading4Char">
    <w:name w:val="Heading 4 Char"/>
    <w:basedOn w:val="DefaultParagraphFont"/>
    <w:link w:val="Heading4"/>
    <w:uiPriority w:val="9"/>
    <w:semiHidden/>
    <w:rsid w:val="00B76F7E"/>
    <w:rPr>
      <w:rFonts w:asciiTheme="majorHAnsi" w:eastAsiaTheme="majorEastAsia" w:hAnsiTheme="majorHAnsi" w:cstheme="majorBidi"/>
      <w:b/>
      <w:bCs/>
      <w:i/>
      <w:iCs/>
      <w:color w:val="4F81BD" w:themeColor="accent1"/>
      <w:sz w:val="24"/>
    </w:rPr>
  </w:style>
  <w:style w:type="paragraph" w:styleId="NormalWeb">
    <w:name w:val="Normal (Web)"/>
    <w:basedOn w:val="Normal"/>
    <w:uiPriority w:val="99"/>
    <w:semiHidden/>
    <w:unhideWhenUsed/>
    <w:rsid w:val="00B76F7E"/>
    <w:pPr>
      <w:spacing w:before="100" w:beforeAutospacing="1" w:after="100" w:afterAutospacing="1" w:line="240" w:lineRule="auto"/>
    </w:pPr>
    <w:rPr>
      <w:rFonts w:eastAsia="Times New Roman" w:cs="Times New Roman"/>
      <w:szCs w:val="24"/>
      <w:lang w:eastAsia="zh-CN"/>
    </w:rPr>
  </w:style>
  <w:style w:type="paragraph" w:customStyle="1" w:styleId="Default">
    <w:name w:val="Default"/>
    <w:rsid w:val="008630CB"/>
    <w:pPr>
      <w:autoSpaceDE w:val="0"/>
      <w:autoSpaceDN w:val="0"/>
      <w:adjustRightInd w:val="0"/>
      <w:spacing w:after="0" w:line="240" w:lineRule="auto"/>
    </w:pPr>
    <w:rPr>
      <w:rFonts w:ascii="Arial" w:hAnsi="Arial" w:cs="Arial"/>
      <w:color w:val="000000"/>
      <w:sz w:val="24"/>
      <w:szCs w:val="24"/>
    </w:rPr>
  </w:style>
  <w:style w:type="character" w:customStyle="1" w:styleId="term1">
    <w:name w:val="term1"/>
    <w:basedOn w:val="DefaultParagraphFont"/>
    <w:rsid w:val="00525DAE"/>
    <w:rPr>
      <w:b/>
      <w:bCs/>
    </w:rPr>
  </w:style>
  <w:style w:type="character" w:customStyle="1" w:styleId="citation">
    <w:name w:val="citation"/>
    <w:basedOn w:val="DefaultParagraphFont"/>
    <w:rsid w:val="00855E2E"/>
  </w:style>
  <w:style w:type="character" w:customStyle="1" w:styleId="reference-accessdate">
    <w:name w:val="reference-accessdate"/>
    <w:basedOn w:val="DefaultParagraphFont"/>
    <w:rsid w:val="00855E2E"/>
  </w:style>
  <w:style w:type="character" w:customStyle="1" w:styleId="nowrap1">
    <w:name w:val="nowrap1"/>
    <w:basedOn w:val="DefaultParagraphFont"/>
    <w:rsid w:val="00855E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3" w:unhideWhenUsed="0" w:qFormat="1"/>
    <w:lsdException w:name="heading 2" w:uiPriority="13"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C73"/>
    <w:pPr>
      <w:spacing w:line="360" w:lineRule="auto"/>
    </w:pPr>
    <w:rPr>
      <w:rFonts w:ascii="Times New Roman" w:hAnsi="Times New Roman"/>
      <w:sz w:val="24"/>
    </w:rPr>
  </w:style>
  <w:style w:type="paragraph" w:styleId="Heading1">
    <w:name w:val="heading 1"/>
    <w:basedOn w:val="ListParagraph"/>
    <w:link w:val="Heading1Char"/>
    <w:uiPriority w:val="13"/>
    <w:qFormat/>
    <w:rsid w:val="00B97C63"/>
    <w:pPr>
      <w:numPr>
        <w:numId w:val="21"/>
      </w:numPr>
      <w:spacing w:line="480" w:lineRule="auto"/>
      <w:ind w:left="0" w:firstLine="0"/>
      <w:contextualSpacing/>
      <w:outlineLvl w:val="0"/>
    </w:pPr>
    <w:rPr>
      <w:rFonts w:eastAsia="Times New Roman" w:cs="Times New Roman"/>
      <w:b/>
      <w:szCs w:val="24"/>
      <w:u w:val="single"/>
    </w:rPr>
  </w:style>
  <w:style w:type="paragraph" w:styleId="Heading2">
    <w:name w:val="heading 2"/>
    <w:basedOn w:val="Heading1"/>
    <w:link w:val="Heading2Char"/>
    <w:uiPriority w:val="13"/>
    <w:qFormat/>
    <w:rsid w:val="00B97C63"/>
    <w:pPr>
      <w:numPr>
        <w:numId w:val="22"/>
      </w:numPr>
      <w:spacing w:line="240" w:lineRule="auto"/>
      <w:jc w:val="both"/>
      <w:outlineLvl w:val="1"/>
    </w:pPr>
    <w:rPr>
      <w:caps/>
      <w:u w:val="none"/>
    </w:rPr>
  </w:style>
  <w:style w:type="paragraph" w:styleId="Heading4">
    <w:name w:val="heading 4"/>
    <w:basedOn w:val="Normal"/>
    <w:next w:val="Normal"/>
    <w:link w:val="Heading4Char"/>
    <w:uiPriority w:val="9"/>
    <w:semiHidden/>
    <w:unhideWhenUsed/>
    <w:qFormat/>
    <w:rsid w:val="00B76F7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212A66"/>
    <w:pPr>
      <w:numPr>
        <w:numId w:val="3"/>
      </w:numPr>
      <w:spacing w:after="0"/>
      <w:ind w:left="0" w:firstLine="720"/>
    </w:pPr>
  </w:style>
  <w:style w:type="paragraph" w:styleId="Header">
    <w:name w:val="header"/>
    <w:basedOn w:val="Normal"/>
    <w:link w:val="HeaderChar"/>
    <w:uiPriority w:val="99"/>
    <w:unhideWhenUsed/>
    <w:rsid w:val="009457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7EF"/>
    <w:rPr>
      <w:rFonts w:ascii="Times New Roman" w:hAnsi="Times New Roman"/>
      <w:sz w:val="24"/>
    </w:rPr>
  </w:style>
  <w:style w:type="paragraph" w:styleId="Footer">
    <w:name w:val="footer"/>
    <w:basedOn w:val="Normal"/>
    <w:link w:val="FooterChar"/>
    <w:uiPriority w:val="99"/>
    <w:unhideWhenUsed/>
    <w:rsid w:val="009457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7EF"/>
    <w:rPr>
      <w:rFonts w:ascii="Times New Roman" w:hAnsi="Times New Roman"/>
      <w:sz w:val="24"/>
    </w:rPr>
  </w:style>
  <w:style w:type="character" w:styleId="FootnoteReference">
    <w:name w:val="footnote reference"/>
    <w:aliases w:val="o,fr"/>
    <w:basedOn w:val="DefaultParagraphFont"/>
    <w:unhideWhenUsed/>
    <w:rsid w:val="00363EC9"/>
    <w:rPr>
      <w:rFonts w:ascii="Times New Roman" w:hAnsi="Times New Roman"/>
      <w:vertAlign w:val="superscript"/>
    </w:rPr>
  </w:style>
  <w:style w:type="paragraph" w:styleId="FootnoteText">
    <w:name w:val="footnote text"/>
    <w:aliases w:val="Car,Footnote Text Char2,Footnote Text Char1 Char,Footnote Text Char Char Char,Footnote Text Char2 Char Char Char,Footnote Text Char Char1 Char Char Char,Footnote Text Char1 Char Char Char Char Char,ALTS FOOTNOTE,fn,Footnote Text 2"/>
    <w:basedOn w:val="Normal"/>
    <w:link w:val="FootnoteTextChar"/>
    <w:autoRedefine/>
    <w:uiPriority w:val="99"/>
    <w:unhideWhenUsed/>
    <w:qFormat/>
    <w:rsid w:val="002024BD"/>
    <w:pPr>
      <w:spacing w:after="0" w:line="240" w:lineRule="auto"/>
      <w:ind w:firstLine="720"/>
    </w:pPr>
    <w:rPr>
      <w:rFonts w:eastAsia="Times New Roman" w:cs="Times New Roman"/>
      <w:sz w:val="20"/>
      <w:szCs w:val="20"/>
    </w:rPr>
  </w:style>
  <w:style w:type="character" w:customStyle="1" w:styleId="FootnoteTextChar">
    <w:name w:val="Footnote Text Char"/>
    <w:aliases w:val="Car Char,Footnote Text Char2 Char,Footnote Text Char1 Char Char,Footnote Text Char Char Char Char,Footnote Text Char2 Char Char Char Char,Footnote Text Char Char1 Char Char Char Char,Footnote Text Char1 Char Char Char Char Char Char"/>
    <w:basedOn w:val="DefaultParagraphFont"/>
    <w:link w:val="FootnoteText"/>
    <w:uiPriority w:val="99"/>
    <w:rsid w:val="002024BD"/>
    <w:rPr>
      <w:rFonts w:ascii="Times New Roman" w:eastAsia="Times New Roman" w:hAnsi="Times New Roman" w:cs="Times New Roman"/>
      <w:sz w:val="20"/>
      <w:szCs w:val="20"/>
    </w:rPr>
  </w:style>
  <w:style w:type="paragraph" w:styleId="NormalIndent">
    <w:name w:val="Normal Indent"/>
    <w:basedOn w:val="Normal"/>
    <w:autoRedefine/>
    <w:uiPriority w:val="99"/>
    <w:unhideWhenUsed/>
    <w:qFormat/>
    <w:rsid w:val="00F0449C"/>
    <w:pPr>
      <w:spacing w:after="0" w:line="240" w:lineRule="auto"/>
      <w:ind w:left="1440" w:right="1440"/>
    </w:pPr>
  </w:style>
  <w:style w:type="paragraph" w:styleId="BalloonText">
    <w:name w:val="Balloon Text"/>
    <w:basedOn w:val="Normal"/>
    <w:link w:val="BalloonTextChar"/>
    <w:uiPriority w:val="99"/>
    <w:semiHidden/>
    <w:unhideWhenUsed/>
    <w:rsid w:val="00C661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6195"/>
    <w:rPr>
      <w:rFonts w:ascii="Tahoma" w:hAnsi="Tahoma" w:cs="Tahoma"/>
      <w:sz w:val="16"/>
      <w:szCs w:val="16"/>
    </w:rPr>
  </w:style>
  <w:style w:type="paragraph" w:customStyle="1" w:styleId="BodyFirst1SS">
    <w:name w:val="Body First 1 SS"/>
    <w:basedOn w:val="Normal"/>
    <w:uiPriority w:val="10"/>
    <w:qFormat/>
    <w:rsid w:val="004B59AE"/>
    <w:pPr>
      <w:spacing w:after="0" w:line="480" w:lineRule="auto"/>
      <w:ind w:firstLine="720"/>
      <w:jc w:val="both"/>
    </w:pPr>
    <w:rPr>
      <w:rFonts w:eastAsia="Times New Roman" w:cs="Times New Roman"/>
      <w:szCs w:val="24"/>
    </w:rPr>
  </w:style>
  <w:style w:type="character" w:customStyle="1" w:styleId="Heading1Char">
    <w:name w:val="Heading 1 Char"/>
    <w:basedOn w:val="DefaultParagraphFont"/>
    <w:link w:val="Heading1"/>
    <w:uiPriority w:val="13"/>
    <w:rsid w:val="00B97C63"/>
    <w:rPr>
      <w:rFonts w:ascii="Times New Roman" w:eastAsia="Times New Roman" w:hAnsi="Times New Roman" w:cs="Times New Roman"/>
      <w:b/>
      <w:sz w:val="24"/>
      <w:szCs w:val="24"/>
      <w:u w:val="single"/>
    </w:rPr>
  </w:style>
  <w:style w:type="character" w:customStyle="1" w:styleId="Heading2Char">
    <w:name w:val="Heading 2 Char"/>
    <w:basedOn w:val="DefaultParagraphFont"/>
    <w:link w:val="Heading2"/>
    <w:uiPriority w:val="13"/>
    <w:rsid w:val="00B97C63"/>
    <w:rPr>
      <w:rFonts w:ascii="Times New Roman" w:eastAsia="Times New Roman" w:hAnsi="Times New Roman" w:cs="Times New Roman"/>
      <w:b/>
      <w:caps/>
      <w:sz w:val="24"/>
      <w:szCs w:val="24"/>
    </w:rPr>
  </w:style>
  <w:style w:type="paragraph" w:customStyle="1" w:styleId="BodyFirst1DS">
    <w:name w:val="Body First 1 DS"/>
    <w:basedOn w:val="Heading1"/>
    <w:uiPriority w:val="11"/>
    <w:qFormat/>
    <w:rsid w:val="00B97C63"/>
    <w:pPr>
      <w:numPr>
        <w:numId w:val="0"/>
      </w:numPr>
      <w:spacing w:line="240" w:lineRule="auto"/>
      <w:ind w:left="720" w:right="720"/>
      <w:jc w:val="both"/>
    </w:pPr>
    <w:rPr>
      <w:b w:val="0"/>
      <w:u w:val="none"/>
    </w:rPr>
  </w:style>
  <w:style w:type="paragraph" w:styleId="BodyText">
    <w:name w:val="Body Text"/>
    <w:basedOn w:val="Normal"/>
    <w:link w:val="BodyTextChar"/>
    <w:rsid w:val="001E0C64"/>
    <w:pPr>
      <w:tabs>
        <w:tab w:val="left" w:pos="0"/>
      </w:tabs>
      <w:suppressAutoHyphens/>
      <w:spacing w:after="0" w:line="480" w:lineRule="auto"/>
    </w:pPr>
    <w:rPr>
      <w:rFonts w:eastAsia="Times New Roman" w:cs="Times New Roman"/>
      <w:color w:val="0000FF"/>
      <w:spacing w:val="-3"/>
      <w:kern w:val="1"/>
      <w:sz w:val="26"/>
      <w:szCs w:val="20"/>
    </w:rPr>
  </w:style>
  <w:style w:type="character" w:customStyle="1" w:styleId="BodyTextChar">
    <w:name w:val="Body Text Char"/>
    <w:basedOn w:val="DefaultParagraphFont"/>
    <w:link w:val="BodyText"/>
    <w:rsid w:val="001E0C64"/>
    <w:rPr>
      <w:rFonts w:ascii="Times New Roman" w:eastAsia="Times New Roman" w:hAnsi="Times New Roman" w:cs="Times New Roman"/>
      <w:color w:val="0000FF"/>
      <w:spacing w:val="-3"/>
      <w:kern w:val="1"/>
      <w:sz w:val="26"/>
      <w:szCs w:val="20"/>
    </w:rPr>
  </w:style>
  <w:style w:type="character" w:styleId="Hyperlink">
    <w:name w:val="Hyperlink"/>
    <w:basedOn w:val="DefaultParagraphFont"/>
    <w:uiPriority w:val="99"/>
    <w:unhideWhenUsed/>
    <w:rsid w:val="001844B8"/>
    <w:rPr>
      <w:color w:val="0000FF" w:themeColor="hyperlink"/>
      <w:u w:val="single"/>
    </w:rPr>
  </w:style>
  <w:style w:type="character" w:customStyle="1" w:styleId="Heading4Char">
    <w:name w:val="Heading 4 Char"/>
    <w:basedOn w:val="DefaultParagraphFont"/>
    <w:link w:val="Heading4"/>
    <w:uiPriority w:val="9"/>
    <w:semiHidden/>
    <w:rsid w:val="00B76F7E"/>
    <w:rPr>
      <w:rFonts w:asciiTheme="majorHAnsi" w:eastAsiaTheme="majorEastAsia" w:hAnsiTheme="majorHAnsi" w:cstheme="majorBidi"/>
      <w:b/>
      <w:bCs/>
      <w:i/>
      <w:iCs/>
      <w:color w:val="4F81BD" w:themeColor="accent1"/>
      <w:sz w:val="24"/>
    </w:rPr>
  </w:style>
  <w:style w:type="paragraph" w:styleId="NormalWeb">
    <w:name w:val="Normal (Web)"/>
    <w:basedOn w:val="Normal"/>
    <w:uiPriority w:val="99"/>
    <w:semiHidden/>
    <w:unhideWhenUsed/>
    <w:rsid w:val="00B76F7E"/>
    <w:pPr>
      <w:spacing w:before="100" w:beforeAutospacing="1" w:after="100" w:afterAutospacing="1" w:line="240" w:lineRule="auto"/>
    </w:pPr>
    <w:rPr>
      <w:rFonts w:eastAsia="Times New Roman" w:cs="Times New Roman"/>
      <w:szCs w:val="24"/>
      <w:lang w:eastAsia="zh-CN"/>
    </w:rPr>
  </w:style>
  <w:style w:type="paragraph" w:customStyle="1" w:styleId="Default">
    <w:name w:val="Default"/>
    <w:rsid w:val="008630CB"/>
    <w:pPr>
      <w:autoSpaceDE w:val="0"/>
      <w:autoSpaceDN w:val="0"/>
      <w:adjustRightInd w:val="0"/>
      <w:spacing w:after="0" w:line="240" w:lineRule="auto"/>
    </w:pPr>
    <w:rPr>
      <w:rFonts w:ascii="Arial" w:hAnsi="Arial" w:cs="Arial"/>
      <w:color w:val="000000"/>
      <w:sz w:val="24"/>
      <w:szCs w:val="24"/>
    </w:rPr>
  </w:style>
  <w:style w:type="character" w:customStyle="1" w:styleId="term1">
    <w:name w:val="term1"/>
    <w:basedOn w:val="DefaultParagraphFont"/>
    <w:rsid w:val="00525DAE"/>
    <w:rPr>
      <w:b/>
      <w:bCs/>
    </w:rPr>
  </w:style>
  <w:style w:type="character" w:customStyle="1" w:styleId="citation">
    <w:name w:val="citation"/>
    <w:basedOn w:val="DefaultParagraphFont"/>
    <w:rsid w:val="00855E2E"/>
  </w:style>
  <w:style w:type="character" w:customStyle="1" w:styleId="reference-accessdate">
    <w:name w:val="reference-accessdate"/>
    <w:basedOn w:val="DefaultParagraphFont"/>
    <w:rsid w:val="00855E2E"/>
  </w:style>
  <w:style w:type="character" w:customStyle="1" w:styleId="nowrap1">
    <w:name w:val="nowrap1"/>
    <w:basedOn w:val="DefaultParagraphFont"/>
    <w:rsid w:val="00855E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152457">
      <w:bodyDiv w:val="1"/>
      <w:marLeft w:val="0"/>
      <w:marRight w:val="0"/>
      <w:marTop w:val="0"/>
      <w:marBottom w:val="0"/>
      <w:divBdr>
        <w:top w:val="none" w:sz="0" w:space="0" w:color="auto"/>
        <w:left w:val="none" w:sz="0" w:space="0" w:color="auto"/>
        <w:bottom w:val="none" w:sz="0" w:space="0" w:color="auto"/>
        <w:right w:val="none" w:sz="0" w:space="0" w:color="auto"/>
      </w:divBdr>
      <w:divsChild>
        <w:div w:id="12904746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45981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33690476">
      <w:bodyDiv w:val="1"/>
      <w:marLeft w:val="0"/>
      <w:marRight w:val="0"/>
      <w:marTop w:val="0"/>
      <w:marBottom w:val="0"/>
      <w:divBdr>
        <w:top w:val="none" w:sz="0" w:space="0" w:color="auto"/>
        <w:left w:val="none" w:sz="0" w:space="0" w:color="auto"/>
        <w:bottom w:val="none" w:sz="0" w:space="0" w:color="auto"/>
        <w:right w:val="none" w:sz="0" w:space="0" w:color="auto"/>
      </w:divBdr>
    </w:div>
    <w:div w:id="1102645646">
      <w:bodyDiv w:val="1"/>
      <w:marLeft w:val="0"/>
      <w:marRight w:val="0"/>
      <w:marTop w:val="0"/>
      <w:marBottom w:val="0"/>
      <w:divBdr>
        <w:top w:val="none" w:sz="0" w:space="0" w:color="auto"/>
        <w:left w:val="none" w:sz="0" w:space="0" w:color="auto"/>
        <w:bottom w:val="none" w:sz="0" w:space="0" w:color="auto"/>
        <w:right w:val="none" w:sz="0" w:space="0" w:color="auto"/>
      </w:divBdr>
    </w:div>
    <w:div w:id="1206865094">
      <w:bodyDiv w:val="1"/>
      <w:marLeft w:val="0"/>
      <w:marRight w:val="0"/>
      <w:marTop w:val="0"/>
      <w:marBottom w:val="0"/>
      <w:divBdr>
        <w:top w:val="none" w:sz="0" w:space="0" w:color="auto"/>
        <w:left w:val="none" w:sz="0" w:space="0" w:color="auto"/>
        <w:bottom w:val="none" w:sz="0" w:space="0" w:color="auto"/>
        <w:right w:val="none" w:sz="0" w:space="0" w:color="auto"/>
      </w:divBdr>
      <w:divsChild>
        <w:div w:id="1449162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spondpower.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majorenergy.com" TargetMode="External"/><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www.itl.nist.gov/fipspubs/fip161-2.htm" TargetMode="External"/><Relationship Id="rId1" Type="http://schemas.openxmlformats.org/officeDocument/2006/relationships/hyperlink" Target="http://en.wikipedia.org/wiki/Michael_Kan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3A7435-D358-4545-B76E-7F9D5DACB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53</Pages>
  <Words>16066</Words>
  <Characters>91579</Characters>
  <Application>Microsoft Office Word</Application>
  <DocSecurity>0</DocSecurity>
  <Lines>763</Lines>
  <Paragraphs>214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107431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shoffner</cp:lastModifiedBy>
  <cp:revision>3</cp:revision>
  <cp:lastPrinted>2014-12-18T14:46:00Z</cp:lastPrinted>
  <dcterms:created xsi:type="dcterms:W3CDTF">2014-12-18T20:03:00Z</dcterms:created>
  <dcterms:modified xsi:type="dcterms:W3CDTF">2014-12-18T20:20:00Z</dcterms:modified>
</cp:coreProperties>
</file>