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5A" w:rsidRPr="00D03A5A" w:rsidRDefault="00D03A5A" w:rsidP="00D03A5A">
      <w:pPr>
        <w:widowControl w:val="0"/>
        <w:tabs>
          <w:tab w:val="clear" w:pos="1440"/>
          <w:tab w:val="left" w:pos="4490"/>
        </w:tabs>
        <w:autoSpaceDE w:val="0"/>
        <w:autoSpaceDN w:val="0"/>
        <w:adjustRightInd w:val="0"/>
        <w:spacing w:after="0" w:line="240" w:lineRule="auto"/>
        <w:jc w:val="center"/>
        <w:rPr>
          <w:b/>
          <w:szCs w:val="24"/>
        </w:rPr>
      </w:pPr>
      <w:r w:rsidRPr="00D03A5A">
        <w:rPr>
          <w:b/>
          <w:szCs w:val="24"/>
        </w:rPr>
        <w:t>BEFORE THE</w:t>
      </w:r>
    </w:p>
    <w:p w:rsidR="00D03A5A" w:rsidRPr="00D03A5A" w:rsidRDefault="00D03A5A" w:rsidP="00D03A5A">
      <w:pPr>
        <w:widowControl w:val="0"/>
        <w:tabs>
          <w:tab w:val="clear" w:pos="1440"/>
          <w:tab w:val="left" w:pos="4490"/>
        </w:tabs>
        <w:autoSpaceDE w:val="0"/>
        <w:autoSpaceDN w:val="0"/>
        <w:adjustRightInd w:val="0"/>
        <w:spacing w:after="0" w:line="240" w:lineRule="auto"/>
        <w:jc w:val="center"/>
        <w:rPr>
          <w:b/>
          <w:szCs w:val="24"/>
        </w:rPr>
      </w:pPr>
      <w:r w:rsidRPr="00D03A5A">
        <w:rPr>
          <w:b/>
          <w:szCs w:val="24"/>
        </w:rPr>
        <w:t>PENNSYLVANIA PUBLIC UTILITY COMMISSION</w:t>
      </w:r>
    </w:p>
    <w:p w:rsidR="00D03A5A" w:rsidRPr="00D03A5A" w:rsidRDefault="00D03A5A" w:rsidP="00D03A5A">
      <w:pPr>
        <w:widowControl w:val="0"/>
        <w:tabs>
          <w:tab w:val="clear" w:pos="1440"/>
          <w:tab w:val="left" w:pos="4490"/>
        </w:tabs>
        <w:autoSpaceDE w:val="0"/>
        <w:autoSpaceDN w:val="0"/>
        <w:adjustRightInd w:val="0"/>
        <w:spacing w:after="0" w:line="240" w:lineRule="auto"/>
        <w:rPr>
          <w:szCs w:val="24"/>
        </w:rPr>
      </w:pPr>
    </w:p>
    <w:p w:rsidR="00D03A5A" w:rsidRPr="00D03A5A" w:rsidRDefault="00D03A5A" w:rsidP="00D03A5A">
      <w:pPr>
        <w:widowControl w:val="0"/>
        <w:tabs>
          <w:tab w:val="clear" w:pos="1440"/>
          <w:tab w:val="left" w:pos="4490"/>
        </w:tabs>
        <w:autoSpaceDE w:val="0"/>
        <w:autoSpaceDN w:val="0"/>
        <w:adjustRightInd w:val="0"/>
        <w:spacing w:after="0" w:line="240" w:lineRule="auto"/>
        <w:rPr>
          <w:szCs w:val="24"/>
        </w:rPr>
      </w:pPr>
    </w:p>
    <w:p w:rsidR="00D03A5A" w:rsidRPr="00D03A5A" w:rsidRDefault="00D03A5A" w:rsidP="00D03A5A">
      <w:pPr>
        <w:widowControl w:val="0"/>
        <w:tabs>
          <w:tab w:val="clear" w:pos="1440"/>
          <w:tab w:val="left" w:pos="4490"/>
        </w:tabs>
        <w:autoSpaceDE w:val="0"/>
        <w:autoSpaceDN w:val="0"/>
        <w:adjustRightInd w:val="0"/>
        <w:spacing w:after="0" w:line="240" w:lineRule="auto"/>
        <w:rPr>
          <w:szCs w:val="24"/>
        </w:rPr>
      </w:pP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r>
        <w:rPr>
          <w:szCs w:val="24"/>
        </w:rPr>
        <w:t>Mary Rogers</w:t>
      </w:r>
      <w:r>
        <w:rPr>
          <w:szCs w:val="24"/>
        </w:rPr>
        <w:tab/>
      </w:r>
      <w:r w:rsidRPr="00D03A5A">
        <w:rPr>
          <w:szCs w:val="24"/>
        </w:rPr>
        <w:tab/>
      </w:r>
      <w:r w:rsidRPr="00D03A5A">
        <w:rPr>
          <w:szCs w:val="24"/>
        </w:rPr>
        <w:tab/>
        <w:t xml:space="preserve"> </w:t>
      </w:r>
      <w:r w:rsidRPr="00D03A5A">
        <w:rPr>
          <w:szCs w:val="24"/>
        </w:rPr>
        <w:tab/>
      </w:r>
      <w:r w:rsidRPr="00D03A5A">
        <w:rPr>
          <w:szCs w:val="24"/>
        </w:rPr>
        <w:tab/>
      </w:r>
      <w:r w:rsidRPr="00D03A5A">
        <w:rPr>
          <w:szCs w:val="24"/>
        </w:rPr>
        <w:tab/>
        <w:t>:</w:t>
      </w: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t>:</w:t>
      </w:r>
      <w:r w:rsidRPr="00D03A5A">
        <w:rPr>
          <w:szCs w:val="24"/>
        </w:rPr>
        <w:tab/>
      </w:r>
      <w:r w:rsidRPr="00D03A5A">
        <w:rPr>
          <w:szCs w:val="24"/>
        </w:rPr>
        <w:tab/>
      </w: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r w:rsidRPr="00D03A5A">
        <w:rPr>
          <w:szCs w:val="24"/>
        </w:rPr>
        <w:tab/>
      </w:r>
      <w:r w:rsidRPr="00D03A5A">
        <w:rPr>
          <w:szCs w:val="24"/>
        </w:rPr>
        <w:tab/>
        <w:t>v.</w:t>
      </w: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t>:</w:t>
      </w:r>
      <w:r w:rsidR="002E1B0B" w:rsidRPr="002E1B0B">
        <w:rPr>
          <w:szCs w:val="24"/>
        </w:rPr>
        <w:t xml:space="preserve"> </w:t>
      </w:r>
      <w:r w:rsidR="002E1B0B">
        <w:rPr>
          <w:szCs w:val="24"/>
        </w:rPr>
        <w:tab/>
      </w:r>
      <w:r w:rsidR="002E1B0B">
        <w:rPr>
          <w:szCs w:val="24"/>
        </w:rPr>
        <w:tab/>
        <w:t>F</w:t>
      </w:r>
      <w:r w:rsidR="002E1B0B" w:rsidRPr="00D03A5A">
        <w:rPr>
          <w:szCs w:val="24"/>
        </w:rPr>
        <w:t>-201</w:t>
      </w:r>
      <w:r w:rsidR="002E1B0B">
        <w:rPr>
          <w:szCs w:val="24"/>
        </w:rPr>
        <w:t>3</w:t>
      </w:r>
      <w:r w:rsidR="002E1B0B" w:rsidRPr="00D03A5A">
        <w:rPr>
          <w:szCs w:val="24"/>
        </w:rPr>
        <w:t>-2</w:t>
      </w:r>
      <w:r w:rsidR="002E1B0B">
        <w:rPr>
          <w:szCs w:val="24"/>
        </w:rPr>
        <w:t>3</w:t>
      </w:r>
      <w:r w:rsidR="002E1B0B" w:rsidRPr="00D03A5A">
        <w:rPr>
          <w:szCs w:val="24"/>
        </w:rPr>
        <w:t>7</w:t>
      </w:r>
      <w:r w:rsidR="002E1B0B">
        <w:rPr>
          <w:szCs w:val="24"/>
        </w:rPr>
        <w:t>8582</w:t>
      </w: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r>
      <w:r w:rsidRPr="00D03A5A">
        <w:rPr>
          <w:szCs w:val="24"/>
        </w:rPr>
        <w:tab/>
        <w:t>:</w:t>
      </w:r>
    </w:p>
    <w:p w:rsidR="00D03A5A" w:rsidRPr="00D03A5A" w:rsidRDefault="00D03A5A" w:rsidP="00D03A5A">
      <w:pPr>
        <w:widowControl w:val="0"/>
        <w:tabs>
          <w:tab w:val="clear" w:pos="1440"/>
        </w:tabs>
        <w:autoSpaceDE w:val="0"/>
        <w:autoSpaceDN w:val="0"/>
        <w:adjustRightInd w:val="0"/>
        <w:spacing w:after="0" w:line="240" w:lineRule="auto"/>
        <w:jc w:val="both"/>
        <w:rPr>
          <w:szCs w:val="24"/>
        </w:rPr>
      </w:pPr>
      <w:r>
        <w:rPr>
          <w:szCs w:val="24"/>
        </w:rPr>
        <w:t>PECO Energy Company</w:t>
      </w:r>
      <w:r w:rsidRPr="00D03A5A">
        <w:rPr>
          <w:szCs w:val="24"/>
        </w:rPr>
        <w:tab/>
      </w:r>
      <w:r w:rsidRPr="00D03A5A">
        <w:rPr>
          <w:szCs w:val="24"/>
        </w:rPr>
        <w:tab/>
      </w:r>
      <w:r w:rsidRPr="00D03A5A">
        <w:rPr>
          <w:szCs w:val="24"/>
        </w:rPr>
        <w:tab/>
      </w:r>
      <w:r w:rsidRPr="00D03A5A">
        <w:rPr>
          <w:szCs w:val="24"/>
        </w:rPr>
        <w:tab/>
        <w:t>:</w:t>
      </w: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p>
    <w:p w:rsidR="00D03A5A" w:rsidRPr="00D03A5A" w:rsidRDefault="00D03A5A" w:rsidP="00D03A5A">
      <w:pPr>
        <w:widowControl w:val="0"/>
        <w:tabs>
          <w:tab w:val="clear" w:pos="1440"/>
          <w:tab w:val="left" w:pos="204"/>
        </w:tabs>
        <w:autoSpaceDE w:val="0"/>
        <w:autoSpaceDN w:val="0"/>
        <w:adjustRightInd w:val="0"/>
        <w:spacing w:after="0" w:line="240" w:lineRule="auto"/>
        <w:jc w:val="center"/>
        <w:rPr>
          <w:b/>
          <w:szCs w:val="24"/>
          <w:u w:val="single"/>
        </w:rPr>
      </w:pPr>
      <w:r w:rsidRPr="00D03A5A">
        <w:rPr>
          <w:b/>
          <w:szCs w:val="24"/>
          <w:u w:val="single"/>
        </w:rPr>
        <w:t>INITIAL DECISION</w:t>
      </w:r>
    </w:p>
    <w:p w:rsidR="00D03A5A" w:rsidRPr="00D03A5A" w:rsidRDefault="00D03A5A" w:rsidP="00D03A5A">
      <w:pPr>
        <w:widowControl w:val="0"/>
        <w:tabs>
          <w:tab w:val="clear" w:pos="1440"/>
          <w:tab w:val="left" w:pos="204"/>
        </w:tabs>
        <w:autoSpaceDE w:val="0"/>
        <w:autoSpaceDN w:val="0"/>
        <w:adjustRightInd w:val="0"/>
        <w:spacing w:after="0" w:line="240" w:lineRule="auto"/>
        <w:jc w:val="both"/>
        <w:rPr>
          <w:szCs w:val="24"/>
        </w:rPr>
      </w:pPr>
    </w:p>
    <w:p w:rsidR="00AE679D" w:rsidRDefault="00AE679D" w:rsidP="00D03A5A">
      <w:pPr>
        <w:widowControl w:val="0"/>
        <w:tabs>
          <w:tab w:val="clear" w:pos="1440"/>
          <w:tab w:val="left" w:pos="204"/>
        </w:tabs>
        <w:autoSpaceDE w:val="0"/>
        <w:autoSpaceDN w:val="0"/>
        <w:adjustRightInd w:val="0"/>
        <w:spacing w:after="0" w:line="240" w:lineRule="auto"/>
        <w:jc w:val="center"/>
        <w:rPr>
          <w:szCs w:val="24"/>
        </w:rPr>
      </w:pPr>
    </w:p>
    <w:p w:rsidR="00D03A5A" w:rsidRPr="00D03A5A" w:rsidRDefault="00D03A5A" w:rsidP="00D03A5A">
      <w:pPr>
        <w:widowControl w:val="0"/>
        <w:tabs>
          <w:tab w:val="clear" w:pos="1440"/>
          <w:tab w:val="left" w:pos="204"/>
        </w:tabs>
        <w:autoSpaceDE w:val="0"/>
        <w:autoSpaceDN w:val="0"/>
        <w:adjustRightInd w:val="0"/>
        <w:spacing w:after="0" w:line="240" w:lineRule="auto"/>
        <w:jc w:val="center"/>
        <w:rPr>
          <w:szCs w:val="24"/>
        </w:rPr>
      </w:pPr>
      <w:r w:rsidRPr="00D03A5A">
        <w:rPr>
          <w:szCs w:val="24"/>
        </w:rPr>
        <w:t>Before</w:t>
      </w:r>
    </w:p>
    <w:p w:rsidR="00D03A5A" w:rsidRPr="00D03A5A" w:rsidRDefault="00D03A5A" w:rsidP="00D03A5A">
      <w:pPr>
        <w:widowControl w:val="0"/>
        <w:tabs>
          <w:tab w:val="clear" w:pos="1440"/>
          <w:tab w:val="left" w:pos="204"/>
        </w:tabs>
        <w:autoSpaceDE w:val="0"/>
        <w:autoSpaceDN w:val="0"/>
        <w:adjustRightInd w:val="0"/>
        <w:spacing w:after="0" w:line="240" w:lineRule="auto"/>
        <w:jc w:val="center"/>
        <w:rPr>
          <w:szCs w:val="24"/>
        </w:rPr>
      </w:pPr>
      <w:r w:rsidRPr="00D03A5A">
        <w:rPr>
          <w:szCs w:val="24"/>
        </w:rPr>
        <w:t>Conrad A. Johnson</w:t>
      </w:r>
    </w:p>
    <w:p w:rsidR="00D03A5A" w:rsidRPr="00D03A5A" w:rsidRDefault="00D03A5A" w:rsidP="00D03A5A">
      <w:pPr>
        <w:widowControl w:val="0"/>
        <w:tabs>
          <w:tab w:val="clear" w:pos="1440"/>
          <w:tab w:val="left" w:pos="204"/>
        </w:tabs>
        <w:autoSpaceDE w:val="0"/>
        <w:autoSpaceDN w:val="0"/>
        <w:adjustRightInd w:val="0"/>
        <w:spacing w:after="0" w:line="240" w:lineRule="auto"/>
        <w:jc w:val="center"/>
        <w:rPr>
          <w:szCs w:val="24"/>
        </w:rPr>
      </w:pPr>
      <w:r w:rsidRPr="00D03A5A">
        <w:rPr>
          <w:szCs w:val="24"/>
        </w:rPr>
        <w:t>Administrative Law Judge</w:t>
      </w:r>
    </w:p>
    <w:p w:rsidR="0029402E" w:rsidRDefault="0029402E" w:rsidP="0029402E">
      <w:pPr>
        <w:spacing w:after="0" w:line="240" w:lineRule="auto"/>
        <w:jc w:val="center"/>
      </w:pPr>
    </w:p>
    <w:p w:rsidR="0029402E" w:rsidRDefault="0029402E" w:rsidP="00D03A5A">
      <w:pPr>
        <w:spacing w:after="0" w:line="240" w:lineRule="auto"/>
      </w:pPr>
    </w:p>
    <w:p w:rsidR="0050089A" w:rsidRDefault="005C34C8" w:rsidP="006E0CB7">
      <w:pPr>
        <w:spacing w:after="0"/>
      </w:pPr>
      <w:r>
        <w:tab/>
        <w:t>Th</w:t>
      </w:r>
      <w:r w:rsidR="00D03A5A">
        <w:t xml:space="preserve">is decision sustains the </w:t>
      </w:r>
      <w:r>
        <w:t xml:space="preserve">complaint by a customer </w:t>
      </w:r>
      <w:r w:rsidR="00D03A5A">
        <w:t xml:space="preserve">alleging </w:t>
      </w:r>
      <w:r>
        <w:t xml:space="preserve">that a field technician violated her privacy by discussing the status of her </w:t>
      </w:r>
      <w:r w:rsidR="00AC2CE8">
        <w:t xml:space="preserve">utility service </w:t>
      </w:r>
      <w:r>
        <w:t xml:space="preserve">account with her </w:t>
      </w:r>
      <w:r w:rsidR="00AC2CE8">
        <w:t xml:space="preserve">home repair </w:t>
      </w:r>
      <w:r>
        <w:t>contractor</w:t>
      </w:r>
      <w:r w:rsidR="00D03A5A">
        <w:t xml:space="preserve">, thereby warranting the assessment of a </w:t>
      </w:r>
      <w:r>
        <w:t>civil penalty.</w:t>
      </w:r>
    </w:p>
    <w:p w:rsidR="00D03A5A" w:rsidRDefault="00D03A5A" w:rsidP="006E0CB7">
      <w:pPr>
        <w:spacing w:after="0"/>
      </w:pPr>
    </w:p>
    <w:p w:rsidR="0050089A" w:rsidRDefault="0050089A" w:rsidP="006E0CB7">
      <w:pPr>
        <w:spacing w:after="0"/>
        <w:jc w:val="center"/>
        <w:rPr>
          <w:u w:val="single"/>
        </w:rPr>
      </w:pPr>
      <w:r w:rsidRPr="0029402E">
        <w:rPr>
          <w:u w:val="single"/>
        </w:rPr>
        <w:t>HISTORY OF THE PROCEEDINGS</w:t>
      </w:r>
    </w:p>
    <w:p w:rsidR="008C16CA" w:rsidRPr="0029402E" w:rsidRDefault="008C16CA" w:rsidP="006E0CB7">
      <w:pPr>
        <w:spacing w:after="0"/>
        <w:jc w:val="center"/>
        <w:rPr>
          <w:u w:val="single"/>
        </w:rPr>
      </w:pPr>
    </w:p>
    <w:p w:rsidR="0050089A" w:rsidRDefault="0050089A" w:rsidP="006E0CB7">
      <w:pPr>
        <w:spacing w:after="0"/>
      </w:pPr>
      <w:r>
        <w:tab/>
        <w:t xml:space="preserve">On July 29, 2013, Mary A. Rogers (Complainant) filed a formal complaint against PECO Energy Company (PECO), </w:t>
      </w:r>
      <w:r w:rsidR="00AC2CE8">
        <w:t xml:space="preserve">seeking review of the June 24, 2013 decision of the Commission’s Bureau of Consumer Services (BCS) dismissing her informal complaint at BCS Case No. 003077844.  In her formal complaint Complainant </w:t>
      </w:r>
      <w:r>
        <w:t>alleg</w:t>
      </w:r>
      <w:r w:rsidR="00AC2CE8">
        <w:t>es</w:t>
      </w:r>
      <w:r>
        <w:t xml:space="preserve"> that a PECO technician behaved inappropriately when he attempted to force his</w:t>
      </w:r>
      <w:bookmarkStart w:id="0" w:name="_GoBack"/>
      <w:bookmarkEnd w:id="0"/>
      <w:r>
        <w:t xml:space="preserve"> way into her residence and discussed her account information with a contractor who was at her home at the time.  As relief, she wants PECO to educate their technicians on appropriate and professional behavior.  PECO filed a timely answer</w:t>
      </w:r>
      <w:r w:rsidR="00D03A5A">
        <w:t>,</w:t>
      </w:r>
      <w:r>
        <w:t xml:space="preserve"> which denied the material allegations of the complaint.  </w:t>
      </w:r>
    </w:p>
    <w:p w:rsidR="00D03A5A" w:rsidRDefault="00D03A5A" w:rsidP="006E0CB7">
      <w:pPr>
        <w:spacing w:after="0"/>
      </w:pPr>
    </w:p>
    <w:p w:rsidR="00F839BC" w:rsidRDefault="0050089A" w:rsidP="006E0CB7">
      <w:pPr>
        <w:spacing w:after="0"/>
      </w:pPr>
      <w:r>
        <w:tab/>
        <w:t>By hearing notice dated September 23,</w:t>
      </w:r>
      <w:r w:rsidR="008C16CA">
        <w:t xml:space="preserve"> 2013</w:t>
      </w:r>
      <w:r w:rsidR="006E0CB7">
        <w:t>,</w:t>
      </w:r>
      <w:r>
        <w:t xml:space="preserve"> this matter was assigned to me and scheduled for a telephonic hearing on Thursday, November 21, 2013.  The hearing convened as </w:t>
      </w:r>
      <w:r>
        <w:lastRenderedPageBreak/>
        <w:t>scheduled.  The Complainant represented herself and testified on her own behalf.  She also presented the testimony of one witness, Mr. Joel Powell.  PECO was represented by Shawane L. Lee, Esquire.  PECO presented the testimony of three witnesses.  The hearing generated a transcript of 163 pages</w:t>
      </w:r>
      <w:r w:rsidR="00F839BC">
        <w:t>.</w:t>
      </w:r>
    </w:p>
    <w:p w:rsidR="008C16CA" w:rsidRDefault="008C16CA" w:rsidP="006E0CB7">
      <w:pPr>
        <w:spacing w:after="0"/>
      </w:pPr>
    </w:p>
    <w:p w:rsidR="0050089A" w:rsidRDefault="00F839BC" w:rsidP="006E0CB7">
      <w:pPr>
        <w:spacing w:after="0"/>
      </w:pPr>
      <w:r>
        <w:tab/>
        <w:t>PECO was granted permission to file a late exhibit at the hearing.  PECO filed an exhibit which was identified as PECO Ex. 7 on November 22, 2013.  The Complainant did not file an objection.  PECO Ex. 7 is therefore admitted into the record.</w:t>
      </w:r>
      <w:r>
        <w:rPr>
          <w:rStyle w:val="FootnoteReference"/>
        </w:rPr>
        <w:footnoteReference w:id="1"/>
      </w:r>
      <w:r w:rsidR="00C6238C">
        <w:t xml:space="preserve"> </w:t>
      </w:r>
      <w:r w:rsidR="00AC2CE8">
        <w:t xml:space="preserve"> The record closed on December 23, 2013.</w:t>
      </w:r>
    </w:p>
    <w:p w:rsidR="00AE679D" w:rsidRDefault="00AE679D" w:rsidP="006E0CB7">
      <w:pPr>
        <w:spacing w:after="0"/>
        <w:jc w:val="center"/>
        <w:rPr>
          <w:u w:val="single"/>
        </w:rPr>
      </w:pPr>
    </w:p>
    <w:p w:rsidR="00C6238C" w:rsidRDefault="00C6238C" w:rsidP="006E0CB7">
      <w:pPr>
        <w:spacing w:after="0"/>
        <w:jc w:val="center"/>
      </w:pPr>
      <w:r w:rsidRPr="00C6238C">
        <w:rPr>
          <w:u w:val="single"/>
        </w:rPr>
        <w:t>FINDINGS OF FACT</w:t>
      </w:r>
    </w:p>
    <w:p w:rsidR="00AE679D" w:rsidRPr="00AE679D" w:rsidRDefault="00AE679D" w:rsidP="006E0CB7">
      <w:pPr>
        <w:spacing w:after="0"/>
        <w:jc w:val="center"/>
      </w:pPr>
    </w:p>
    <w:p w:rsidR="00797A11" w:rsidRDefault="00025F01" w:rsidP="006E0CB7">
      <w:pPr>
        <w:pStyle w:val="ListParagraph"/>
        <w:spacing w:after="0"/>
      </w:pPr>
      <w:r>
        <w:t>The Complainant, Mary A. Rogers, resides at 812 South 60</w:t>
      </w:r>
      <w:r w:rsidRPr="00025F01">
        <w:rPr>
          <w:vertAlign w:val="superscript"/>
        </w:rPr>
        <w:t>th</w:t>
      </w:r>
      <w:r>
        <w:t xml:space="preserve"> Street, Philadelphia, Pennsylvania.</w:t>
      </w:r>
    </w:p>
    <w:p w:rsidR="00AE679D" w:rsidRDefault="00AE679D" w:rsidP="006E0CB7">
      <w:pPr>
        <w:spacing w:after="0"/>
      </w:pPr>
    </w:p>
    <w:p w:rsidR="00524B5A" w:rsidRDefault="00524B5A" w:rsidP="006E0CB7">
      <w:pPr>
        <w:pStyle w:val="ListParagraph"/>
        <w:spacing w:after="0"/>
      </w:pPr>
      <w:r>
        <w:t xml:space="preserve">The Complainant receives residential electric service from PECO.  </w:t>
      </w:r>
      <w:r w:rsidR="005A5BFB">
        <w:t>Tr</w:t>
      </w:r>
      <w:r>
        <w:t>. 57</w:t>
      </w:r>
      <w:r w:rsidR="005A5BFB">
        <w:t>.</w:t>
      </w:r>
    </w:p>
    <w:p w:rsidR="00AE679D" w:rsidRDefault="00AE679D" w:rsidP="006E0CB7">
      <w:pPr>
        <w:spacing w:after="0"/>
      </w:pPr>
    </w:p>
    <w:p w:rsidR="00CB135F" w:rsidRDefault="00CB135F" w:rsidP="006E0CB7">
      <w:pPr>
        <w:pStyle w:val="ListParagraph"/>
        <w:spacing w:after="0"/>
      </w:pPr>
      <w:r>
        <w:t xml:space="preserve">On April 1, 2013, Joel Powell was working at the Complainant’s residence to install floor tile.  </w:t>
      </w:r>
      <w:r w:rsidR="005A5BFB">
        <w:t>Tr</w:t>
      </w:r>
      <w:r>
        <w:t>. 18, 27</w:t>
      </w:r>
      <w:r w:rsidR="005A5BFB">
        <w:t>.</w:t>
      </w:r>
    </w:p>
    <w:p w:rsidR="00AE679D" w:rsidRDefault="00AE679D" w:rsidP="006E0CB7">
      <w:pPr>
        <w:spacing w:after="0"/>
      </w:pPr>
    </w:p>
    <w:p w:rsidR="006634EE" w:rsidRDefault="00CB135F" w:rsidP="006E0CB7">
      <w:pPr>
        <w:pStyle w:val="ListParagraph"/>
        <w:spacing w:after="0"/>
      </w:pPr>
      <w:r>
        <w:t xml:space="preserve">A man came to the door and identified himself as a representative of PECO. </w:t>
      </w:r>
      <w:r w:rsidR="00AC2CE8">
        <w:t xml:space="preserve"> </w:t>
      </w:r>
      <w:r>
        <w:t xml:space="preserve">He stated that he needed to enter the residence to shut off service.  </w:t>
      </w:r>
      <w:r w:rsidR="005A5BFB">
        <w:t>Tr</w:t>
      </w:r>
      <w:r>
        <w:t>. 18</w:t>
      </w:r>
      <w:r w:rsidR="005A5BFB">
        <w:t>.</w:t>
      </w:r>
      <w:r w:rsidR="006634EE" w:rsidRPr="006634EE">
        <w:t xml:space="preserve"> </w:t>
      </w:r>
    </w:p>
    <w:p w:rsidR="00AE679D" w:rsidRDefault="00AE679D" w:rsidP="006E0CB7">
      <w:pPr>
        <w:spacing w:after="0"/>
      </w:pPr>
    </w:p>
    <w:p w:rsidR="006634EE" w:rsidRDefault="006634EE" w:rsidP="006E0CB7">
      <w:pPr>
        <w:pStyle w:val="ListParagraph"/>
        <w:spacing w:after="0"/>
      </w:pPr>
      <w:r>
        <w:t xml:space="preserve">The technician was German Laboy.  He is employed by Contract Callers, Inc.  </w:t>
      </w:r>
      <w:r w:rsidR="005A5BFB">
        <w:t>Tr</w:t>
      </w:r>
      <w:r>
        <w:t>. 121</w:t>
      </w:r>
      <w:r w:rsidR="005A5BFB">
        <w:t>.</w:t>
      </w:r>
    </w:p>
    <w:p w:rsidR="00AE679D" w:rsidRDefault="00AE679D" w:rsidP="006E0CB7">
      <w:pPr>
        <w:spacing w:after="0"/>
      </w:pPr>
    </w:p>
    <w:p w:rsidR="00CB135F" w:rsidRDefault="006634EE" w:rsidP="006E0CB7">
      <w:pPr>
        <w:pStyle w:val="ListParagraph"/>
        <w:spacing w:after="0"/>
      </w:pPr>
      <w:r>
        <w:t xml:space="preserve">Contract Callers, Inc. (CCI) is contracted by PECO to perform termination and </w:t>
      </w:r>
      <w:r w:rsidR="00AE679D">
        <w:t>r</w:t>
      </w:r>
      <w:r>
        <w:t xml:space="preserve">estoration of electricity service and to perform some repairs for residential and small business customers.  </w:t>
      </w:r>
      <w:r w:rsidR="005A5BFB">
        <w:t>Tr</w:t>
      </w:r>
      <w:r>
        <w:t>. 66-67</w:t>
      </w:r>
      <w:r w:rsidR="005A5BFB">
        <w:t>.</w:t>
      </w:r>
    </w:p>
    <w:p w:rsidR="00CB135F" w:rsidRDefault="00CB135F" w:rsidP="006E0CB7">
      <w:pPr>
        <w:pStyle w:val="ListParagraph"/>
        <w:spacing w:after="0"/>
      </w:pPr>
      <w:r>
        <w:lastRenderedPageBreak/>
        <w:t xml:space="preserve">Mr. Powell told </w:t>
      </w:r>
      <w:r w:rsidR="006634EE">
        <w:t>Mr. Laboy</w:t>
      </w:r>
      <w:r>
        <w:t xml:space="preserve"> that he could not permit him to enter the residence because he was just a contractor.  </w:t>
      </w:r>
      <w:r w:rsidR="005A5BFB">
        <w:t>Tr</w:t>
      </w:r>
      <w:r>
        <w:t>. 21</w:t>
      </w:r>
      <w:r w:rsidR="005A5BFB">
        <w:t>.</w:t>
      </w:r>
    </w:p>
    <w:p w:rsidR="00AE679D" w:rsidRDefault="00AE679D" w:rsidP="006E0CB7">
      <w:pPr>
        <w:spacing w:after="0"/>
      </w:pPr>
    </w:p>
    <w:p w:rsidR="00CB135F" w:rsidRDefault="00512DCB" w:rsidP="006E0CB7">
      <w:pPr>
        <w:pStyle w:val="ListParagraph"/>
        <w:spacing w:after="0"/>
      </w:pPr>
      <w:r>
        <w:t>Mr. Laboy asked</w:t>
      </w:r>
      <w:r w:rsidR="00CB135F">
        <w:t xml:space="preserve"> Mr. Powell to contact the Complainant.  Mr. Powell attempted to do so, but was unable to reach her.  </w:t>
      </w:r>
      <w:r w:rsidR="005A5BFB">
        <w:t>Tr</w:t>
      </w:r>
      <w:r w:rsidR="00CB135F">
        <w:t>. 35</w:t>
      </w:r>
      <w:r w:rsidR="00904618">
        <w:t>.</w:t>
      </w:r>
    </w:p>
    <w:p w:rsidR="00AE679D" w:rsidRDefault="00AE679D" w:rsidP="006E0CB7">
      <w:pPr>
        <w:spacing w:after="0"/>
      </w:pPr>
    </w:p>
    <w:p w:rsidR="00CB135F" w:rsidRDefault="00CB135F" w:rsidP="006E0CB7">
      <w:pPr>
        <w:pStyle w:val="ListParagraph"/>
        <w:spacing w:after="0"/>
      </w:pPr>
      <w:r>
        <w:t xml:space="preserve">The technician “flashed” a paper which showed the Complainant’s outstanding balance, and Mr. Powell could see what it was.  </w:t>
      </w:r>
      <w:r w:rsidR="005A5BFB">
        <w:t>Tr</w:t>
      </w:r>
      <w:r>
        <w:t>.  37-40</w:t>
      </w:r>
      <w:r w:rsidR="00904618">
        <w:t>.</w:t>
      </w:r>
    </w:p>
    <w:p w:rsidR="00AE679D" w:rsidRDefault="00AE679D" w:rsidP="006E0CB7">
      <w:pPr>
        <w:spacing w:after="0"/>
      </w:pPr>
    </w:p>
    <w:p w:rsidR="006634EE" w:rsidRDefault="006634EE" w:rsidP="006E0CB7">
      <w:pPr>
        <w:pStyle w:val="ListParagraph"/>
        <w:spacing w:after="0"/>
      </w:pPr>
      <w:r>
        <w:t xml:space="preserve">Mr. Laboy testified that he did not “flash” a paper.  However, he was holding </w:t>
      </w:r>
      <w:r w:rsidR="00512DCB">
        <w:t xml:space="preserve">in </w:t>
      </w:r>
      <w:r w:rsidR="00381862">
        <w:t>one</w:t>
      </w:r>
      <w:r w:rsidR="00512DCB">
        <w:t xml:space="preserve"> hand </w:t>
      </w:r>
      <w:r>
        <w:t xml:space="preserve">the field document which had the Complainant’s address, account number and delinquent balance printed on it as he stood on the porch.  </w:t>
      </w:r>
      <w:r w:rsidR="00904618">
        <w:t>Tr</w:t>
      </w:r>
      <w:r>
        <w:t xml:space="preserve">. </w:t>
      </w:r>
      <w:r w:rsidR="00512DCB">
        <w:t>135, 144</w:t>
      </w:r>
      <w:r w:rsidR="00904618">
        <w:t>.</w:t>
      </w:r>
    </w:p>
    <w:p w:rsidR="00AE679D" w:rsidRDefault="00AE679D" w:rsidP="006E0CB7">
      <w:pPr>
        <w:spacing w:after="0"/>
      </w:pPr>
    </w:p>
    <w:p w:rsidR="00CB135F" w:rsidRDefault="00CB135F" w:rsidP="006E0CB7">
      <w:pPr>
        <w:pStyle w:val="ListParagraph"/>
        <w:spacing w:after="0"/>
      </w:pPr>
      <w:r>
        <w:t>Mr. Powell left the premises in order to obtain supplies for the floor project.  The technician continued to talk to him when he crossed the street to go to his vehicle.  T</w:t>
      </w:r>
      <w:r w:rsidR="00904618">
        <w:t>r</w:t>
      </w:r>
      <w:r>
        <w:t>.  24-25; 42, 44</w:t>
      </w:r>
      <w:r w:rsidR="00904618">
        <w:t>.</w:t>
      </w:r>
    </w:p>
    <w:p w:rsidR="00AE679D" w:rsidRDefault="00AE679D" w:rsidP="006E0CB7">
      <w:pPr>
        <w:spacing w:after="0"/>
      </w:pPr>
    </w:p>
    <w:p w:rsidR="00CB135F" w:rsidRDefault="00512DCB" w:rsidP="006E0CB7">
      <w:pPr>
        <w:pStyle w:val="ListParagraph"/>
        <w:spacing w:after="0"/>
      </w:pPr>
      <w:r>
        <w:t>Mr. Laboy</w:t>
      </w:r>
      <w:r w:rsidR="00CB135F">
        <w:t xml:space="preserve"> told Mr. Powell that it would be better for the Complainant if he was permitted to turn off the electricity now because otherwise he would have to return with a bucket truck</w:t>
      </w:r>
      <w:r w:rsidR="00AC2CE8">
        <w:t>,</w:t>
      </w:r>
      <w:r w:rsidR="00CB135F">
        <w:t xml:space="preserve"> and the delinquent amount would be higher as a consequence.  T</w:t>
      </w:r>
      <w:r w:rsidR="00904618">
        <w:t>r</w:t>
      </w:r>
      <w:r w:rsidR="00CB135F">
        <w:t>.  23, 36</w:t>
      </w:r>
      <w:r w:rsidR="00904618">
        <w:t>.</w:t>
      </w:r>
    </w:p>
    <w:p w:rsidR="00AE679D" w:rsidRDefault="00AE679D" w:rsidP="006E0CB7">
      <w:pPr>
        <w:spacing w:after="0"/>
      </w:pPr>
    </w:p>
    <w:p w:rsidR="00512DCB" w:rsidRDefault="00512DCB" w:rsidP="006E0CB7">
      <w:pPr>
        <w:pStyle w:val="ListParagraph"/>
        <w:spacing w:after="0"/>
      </w:pPr>
      <w:r>
        <w:t>Mr. Laboy admits that he discussed termination procedures and the costs involved with Mr. Powell, even though he knew that Mr. Powell was not the customer of record.  T</w:t>
      </w:r>
      <w:r w:rsidR="00904618">
        <w:t>r</w:t>
      </w:r>
      <w:r>
        <w:t>. 129, 138, 139</w:t>
      </w:r>
      <w:r w:rsidR="00904618">
        <w:t>.</w:t>
      </w:r>
    </w:p>
    <w:p w:rsidR="00AE679D" w:rsidRDefault="00AE679D" w:rsidP="006E0CB7">
      <w:pPr>
        <w:spacing w:after="0"/>
      </w:pPr>
    </w:p>
    <w:p w:rsidR="006634EE" w:rsidRDefault="00CB135F" w:rsidP="006E0CB7">
      <w:pPr>
        <w:pStyle w:val="ListParagraph"/>
        <w:spacing w:after="0"/>
      </w:pPr>
      <w:r>
        <w:t>Mr. Powell could easily hear the technician speaking from the opposite side of the street.  There were at least five people nearby either on their porches or passing by who also would have been able to hear the technician speaking.  T</w:t>
      </w:r>
      <w:r w:rsidR="00904618">
        <w:t>r</w:t>
      </w:r>
      <w:r>
        <w:t>. 36. 44-45</w:t>
      </w:r>
      <w:r w:rsidR="00904618">
        <w:t>.</w:t>
      </w:r>
    </w:p>
    <w:p w:rsidR="00AE679D" w:rsidRDefault="00AE679D" w:rsidP="006E0CB7">
      <w:pPr>
        <w:spacing w:after="0"/>
      </w:pPr>
    </w:p>
    <w:p w:rsidR="00512DCB" w:rsidRDefault="00512DCB" w:rsidP="006E0CB7">
      <w:pPr>
        <w:pStyle w:val="ListParagraph"/>
        <w:spacing w:after="0"/>
      </w:pPr>
      <w:r>
        <w:t xml:space="preserve">Although Mr. Laboy did not have a specific memory of the incident until his supervisor informed him that a complaint had been made by the Complainant, he testified that his entire conversation with Mr. Powell took place on the porch and not in the street. </w:t>
      </w:r>
      <w:r w:rsidR="00E502E0">
        <w:t xml:space="preserve">       </w:t>
      </w:r>
      <w:r>
        <w:t xml:space="preserve"> T</w:t>
      </w:r>
      <w:r w:rsidR="00904618">
        <w:t>r</w:t>
      </w:r>
      <w:r>
        <w:t>. 130, 144, 151</w:t>
      </w:r>
      <w:r w:rsidR="00904618">
        <w:t>.</w:t>
      </w:r>
    </w:p>
    <w:p w:rsidR="00AE679D" w:rsidRDefault="00AE679D" w:rsidP="006E0CB7">
      <w:pPr>
        <w:spacing w:after="0"/>
      </w:pPr>
    </w:p>
    <w:p w:rsidR="00512DCB" w:rsidRDefault="00512DCB" w:rsidP="006E0CB7">
      <w:pPr>
        <w:pStyle w:val="ListParagraph"/>
        <w:spacing w:after="0"/>
      </w:pPr>
      <w:r>
        <w:t>Mr. Laboy could not recall whether the incident took place in the morning or in the afternoon.  T</w:t>
      </w:r>
      <w:r w:rsidR="00904618">
        <w:t>r</w:t>
      </w:r>
      <w:r>
        <w:t>. 148</w:t>
      </w:r>
      <w:r w:rsidR="00904618">
        <w:t>.</w:t>
      </w:r>
    </w:p>
    <w:p w:rsidR="00AE679D" w:rsidRDefault="00AE679D" w:rsidP="006E0CB7">
      <w:pPr>
        <w:spacing w:after="0"/>
      </w:pPr>
    </w:p>
    <w:p w:rsidR="00512DCB" w:rsidRDefault="00512DCB" w:rsidP="006E0CB7">
      <w:pPr>
        <w:pStyle w:val="ListParagraph"/>
        <w:spacing w:after="0"/>
      </w:pPr>
      <w:r>
        <w:t>Mr. Laboy did not force his way into the property.  T</w:t>
      </w:r>
      <w:r w:rsidR="00904618">
        <w:t>r</w:t>
      </w:r>
      <w:r>
        <w:t>.  34</w:t>
      </w:r>
      <w:r w:rsidR="00904618">
        <w:t>.</w:t>
      </w:r>
      <w:r>
        <w:t xml:space="preserve"> </w:t>
      </w:r>
    </w:p>
    <w:p w:rsidR="00AE679D" w:rsidRDefault="00AE679D" w:rsidP="006E0CB7">
      <w:pPr>
        <w:spacing w:after="0"/>
      </w:pPr>
    </w:p>
    <w:p w:rsidR="006634EE" w:rsidRDefault="006634EE" w:rsidP="006E0CB7">
      <w:pPr>
        <w:pStyle w:val="ListParagraph"/>
        <w:spacing w:after="0"/>
      </w:pPr>
      <w:r>
        <w:t>Field technicians employed by CCI are provided with two weeks of classroom training and two weeks of field training.  T</w:t>
      </w:r>
      <w:r w:rsidR="00904618">
        <w:t>r</w:t>
      </w:r>
      <w:r>
        <w:t>. 67-68</w:t>
      </w:r>
      <w:r w:rsidR="00904618">
        <w:t>.</w:t>
      </w:r>
    </w:p>
    <w:p w:rsidR="00AE679D" w:rsidRDefault="00AE679D" w:rsidP="006E0CB7">
      <w:pPr>
        <w:spacing w:after="0"/>
      </w:pPr>
    </w:p>
    <w:p w:rsidR="006634EE" w:rsidRDefault="006634EE" w:rsidP="006E0CB7">
      <w:pPr>
        <w:pStyle w:val="ListParagraph"/>
        <w:spacing w:after="0"/>
      </w:pPr>
      <w:r>
        <w:t xml:space="preserve">Mr. Laboy began working for CCI in February 2013.  At the time of the incident at the Complainant’s residence, he had just completed his training.  April 1, 2013, was the first day he performed terminations on his own.  </w:t>
      </w:r>
      <w:r w:rsidR="00904618">
        <w:t>Tr</w:t>
      </w:r>
      <w:r>
        <w:t>. 127</w:t>
      </w:r>
      <w:r w:rsidR="00512DCB">
        <w:t>.  See also T</w:t>
      </w:r>
      <w:r w:rsidR="00904618">
        <w:t>r</w:t>
      </w:r>
      <w:r w:rsidR="00512DCB">
        <w:t>. 100</w:t>
      </w:r>
      <w:r w:rsidR="00904618">
        <w:t>.</w:t>
      </w:r>
    </w:p>
    <w:p w:rsidR="00AE679D" w:rsidRDefault="00AE679D" w:rsidP="006E0CB7">
      <w:pPr>
        <w:spacing w:after="0"/>
      </w:pPr>
    </w:p>
    <w:p w:rsidR="00A81B54" w:rsidRDefault="00A81B54" w:rsidP="006E0CB7">
      <w:pPr>
        <w:pStyle w:val="ListParagraph"/>
        <w:spacing w:after="0"/>
      </w:pPr>
      <w:r>
        <w:t xml:space="preserve">Pursuant to CCI policy, a technician is permitted to inform a person who is not a customer that he is at the premise to terminate electricity service.  A technician is also permitted to discuss the different methods of termination and the relative costs involved.  </w:t>
      </w:r>
      <w:r w:rsidR="00904618">
        <w:t>Tr</w:t>
      </w:r>
      <w:r>
        <w:t>. 74, 81-82</w:t>
      </w:r>
      <w:r w:rsidR="00904618">
        <w:t>.</w:t>
      </w:r>
    </w:p>
    <w:p w:rsidR="00AE679D" w:rsidRDefault="00AE679D" w:rsidP="006E0CB7">
      <w:pPr>
        <w:spacing w:after="0"/>
      </w:pPr>
    </w:p>
    <w:p w:rsidR="006634EE" w:rsidRDefault="0010236D" w:rsidP="006E0CB7">
      <w:pPr>
        <w:pStyle w:val="ListParagraph"/>
        <w:spacing w:after="0"/>
      </w:pPr>
      <w:r>
        <w:t>Mr. Powell’</w:t>
      </w:r>
      <w:r w:rsidR="00A9560B">
        <w:t>s testimony</w:t>
      </w:r>
      <w:r>
        <w:t xml:space="preserve"> that the conversation about the termination of the Complainant’s electricity occurred, in part, in the street</w:t>
      </w:r>
      <w:r w:rsidR="00A9560B">
        <w:t>,</w:t>
      </w:r>
      <w:r>
        <w:t xml:space="preserve"> is more convincing than Mr. Laboy’s testimony that the entire conversation took place on the porch. </w:t>
      </w:r>
    </w:p>
    <w:p w:rsidR="00904618" w:rsidRDefault="00904618" w:rsidP="006E0CB7">
      <w:pPr>
        <w:spacing w:after="0"/>
        <w:jc w:val="center"/>
        <w:rPr>
          <w:u w:val="single"/>
        </w:rPr>
      </w:pPr>
    </w:p>
    <w:p w:rsidR="004C5709" w:rsidRDefault="004C5709" w:rsidP="006E0CB7">
      <w:pPr>
        <w:spacing w:after="0"/>
        <w:jc w:val="center"/>
        <w:rPr>
          <w:u w:val="single"/>
        </w:rPr>
      </w:pPr>
      <w:r w:rsidRPr="004C5709">
        <w:rPr>
          <w:u w:val="single"/>
        </w:rPr>
        <w:t>DISCUSSION</w:t>
      </w:r>
    </w:p>
    <w:p w:rsidR="00904618" w:rsidRPr="00904618" w:rsidRDefault="00904618" w:rsidP="006E0CB7">
      <w:pPr>
        <w:spacing w:after="0"/>
        <w:jc w:val="center"/>
      </w:pPr>
    </w:p>
    <w:p w:rsidR="00AE679D" w:rsidRDefault="004C5709" w:rsidP="006E0CB7">
      <w:pPr>
        <w:spacing w:after="0"/>
        <w:ind w:firstLine="1440"/>
        <w:rPr>
          <w:szCs w:val="24"/>
        </w:rPr>
      </w:pPr>
      <w:r w:rsidRPr="00035CC2">
        <w:rPr>
          <w:szCs w:val="24"/>
        </w:rPr>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00AE679D">
        <w:rPr>
          <w:szCs w:val="24"/>
        </w:rPr>
        <w:t>a</w:t>
      </w:r>
      <w:r w:rsidRPr="00035CC2">
        <w:rPr>
          <w:szCs w:val="24"/>
        </w:rPr>
        <w:t>dminister, or of any regulation or order of the Commission.</w:t>
      </w:r>
      <w:r w:rsidRPr="00035CC2">
        <w:rPr>
          <w:rStyle w:val="FootnoteReference"/>
          <w:szCs w:val="24"/>
        </w:rPr>
        <w:footnoteReference w:id="2"/>
      </w:r>
      <w:r w:rsidRPr="00035CC2">
        <w:rPr>
          <w:szCs w:val="24"/>
        </w:rPr>
        <w:t xml:space="preserve">  A person seeking affirmative </w:t>
      </w:r>
    </w:p>
    <w:p w:rsidR="004C5709" w:rsidRPr="00035CC2" w:rsidRDefault="004C5709" w:rsidP="006E0CB7">
      <w:pPr>
        <w:tabs>
          <w:tab w:val="clear" w:pos="1440"/>
        </w:tabs>
        <w:spacing w:after="0"/>
        <w:rPr>
          <w:szCs w:val="24"/>
        </w:rPr>
      </w:pPr>
      <w:r w:rsidRPr="00035CC2">
        <w:rPr>
          <w:szCs w:val="24"/>
        </w:rPr>
        <w:t>relief from the Commission has the burden of proof.</w:t>
      </w:r>
      <w:r w:rsidRPr="00035CC2">
        <w:rPr>
          <w:rStyle w:val="FootnoteReference"/>
          <w:szCs w:val="24"/>
        </w:rPr>
        <w:footnoteReference w:id="3"/>
      </w:r>
    </w:p>
    <w:p w:rsidR="00904618" w:rsidRDefault="00904618" w:rsidP="006E0CB7">
      <w:pPr>
        <w:spacing w:after="0"/>
        <w:ind w:firstLine="1440"/>
        <w:rPr>
          <w:szCs w:val="24"/>
        </w:rPr>
      </w:pPr>
    </w:p>
    <w:p w:rsidR="004C5709" w:rsidRDefault="004C5709" w:rsidP="006E0CB7">
      <w:pPr>
        <w:spacing w:after="0"/>
        <w:ind w:firstLine="1440"/>
        <w:rPr>
          <w:szCs w:val="24"/>
        </w:rPr>
      </w:pPr>
      <w:r w:rsidRPr="00035CC2">
        <w:rPr>
          <w:szCs w:val="24"/>
        </w:rPr>
        <w:t xml:space="preserve">In this matter, the Complainant is the party seeking affirmative relief from the Commission; therefore, </w:t>
      </w:r>
      <w:r w:rsidR="001D3DC7">
        <w:rPr>
          <w:szCs w:val="24"/>
        </w:rPr>
        <w:t>s</w:t>
      </w:r>
      <w:r w:rsidRPr="00035CC2">
        <w:rPr>
          <w:szCs w:val="24"/>
        </w:rPr>
        <w:t xml:space="preserve">he has the burden of proof.  This means that </w:t>
      </w:r>
      <w:r w:rsidR="001D3DC7">
        <w:rPr>
          <w:szCs w:val="24"/>
        </w:rPr>
        <w:t>s</w:t>
      </w:r>
      <w:r w:rsidRPr="00035CC2">
        <w:rPr>
          <w:szCs w:val="24"/>
        </w:rPr>
        <w:t xml:space="preserve">he has the duty to establish a fact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4"/>
      </w:r>
      <w:r w:rsidRPr="00035CC2">
        <w:rPr>
          <w:szCs w:val="24"/>
        </w:rPr>
        <w:t xml:space="preserve"> </w:t>
      </w:r>
    </w:p>
    <w:p w:rsidR="00904618" w:rsidRDefault="00904618" w:rsidP="006E0CB7">
      <w:pPr>
        <w:spacing w:after="0"/>
      </w:pPr>
    </w:p>
    <w:p w:rsidR="004C5709" w:rsidRDefault="004C5709" w:rsidP="006E0CB7">
      <w:pPr>
        <w:spacing w:after="0"/>
      </w:pPr>
      <w:r>
        <w:tab/>
        <w:t>PECO, like all Commission-regulated public utilities, is mandated to provide reasonable customer service:</w:t>
      </w:r>
    </w:p>
    <w:p w:rsidR="001D3DC7" w:rsidRDefault="001D3DC7" w:rsidP="001D3DC7">
      <w:pPr>
        <w:spacing w:after="0"/>
      </w:pPr>
    </w:p>
    <w:p w:rsidR="004C5709" w:rsidRDefault="004C5709" w:rsidP="00AE679D">
      <w:pPr>
        <w:spacing w:after="0" w:line="240" w:lineRule="auto"/>
        <w:ind w:left="1440" w:right="1440"/>
        <w:rPr>
          <w:szCs w:val="24"/>
        </w:rPr>
      </w:pPr>
      <w:r w:rsidRPr="0062657B">
        <w:rPr>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62657B">
        <w:rPr>
          <w:rStyle w:val="FootnoteReference"/>
          <w:szCs w:val="24"/>
        </w:rPr>
        <w:footnoteReference w:id="5"/>
      </w:r>
    </w:p>
    <w:p w:rsidR="004C5709" w:rsidRDefault="004C5709" w:rsidP="001D3DC7">
      <w:pPr>
        <w:spacing w:after="0"/>
        <w:ind w:left="1440" w:right="1440"/>
        <w:rPr>
          <w:szCs w:val="24"/>
        </w:rPr>
      </w:pPr>
    </w:p>
    <w:p w:rsidR="004C5709" w:rsidRDefault="001D3DC7" w:rsidP="001D3DC7">
      <w:pPr>
        <w:spacing w:after="0"/>
      </w:pPr>
      <w:r>
        <w:tab/>
      </w:r>
      <w:r w:rsidR="004C5709" w:rsidRPr="0062657B">
        <w:t>The Commonwealth Court has cautioned that the Commission may not sustain a complaint pursuant to Section 1501 unless it finds that a utility has violated a duty to render reasonable and reliable service.</w:t>
      </w:r>
      <w:r w:rsidR="004C5709" w:rsidRPr="0062657B">
        <w:rPr>
          <w:rStyle w:val="FootnoteReference"/>
          <w:szCs w:val="24"/>
        </w:rPr>
        <w:footnoteReference w:id="6"/>
      </w:r>
      <w:r w:rsidR="004C5709" w:rsidRPr="0062657B">
        <w:t xml:space="preserve">  The Commission has stated that a utility is not mandated to furnish perfect service:</w:t>
      </w:r>
    </w:p>
    <w:p w:rsidR="001D3DC7" w:rsidRPr="0062657B" w:rsidRDefault="001D3DC7" w:rsidP="001D3DC7">
      <w:pPr>
        <w:spacing w:after="0"/>
      </w:pPr>
    </w:p>
    <w:p w:rsidR="004C5709" w:rsidRDefault="004C5709" w:rsidP="00AE679D">
      <w:pPr>
        <w:spacing w:after="0" w:line="240" w:lineRule="auto"/>
        <w:ind w:left="1440" w:right="1440"/>
        <w:rPr>
          <w:szCs w:val="24"/>
        </w:rPr>
      </w:pPr>
      <w:r w:rsidRPr="0062657B">
        <w:rPr>
          <w:szCs w:val="24"/>
        </w:rPr>
        <w:t>[Section 1501] does not mandate perfect service nor must a public utility provide the best possible service.  Most certainly, a public utility is not a guarantor of either perfect service or the best possible service.</w:t>
      </w:r>
      <w:r w:rsidRPr="0062657B">
        <w:rPr>
          <w:rStyle w:val="FootnoteReference"/>
          <w:szCs w:val="24"/>
        </w:rPr>
        <w:footnoteReference w:id="7"/>
      </w:r>
    </w:p>
    <w:p w:rsidR="0028381A" w:rsidRDefault="0028381A" w:rsidP="0028381A">
      <w:pPr>
        <w:spacing w:after="0"/>
        <w:ind w:left="1440" w:right="1440"/>
        <w:rPr>
          <w:szCs w:val="24"/>
        </w:rPr>
      </w:pPr>
    </w:p>
    <w:p w:rsidR="004C5709" w:rsidRDefault="004C5709" w:rsidP="00AE679D">
      <w:pPr>
        <w:spacing w:after="0"/>
      </w:pPr>
      <w:r w:rsidRPr="0062657B">
        <w:t>Thus the test to determine the adequacy of a utility’s service is that of reasonableness.</w:t>
      </w:r>
      <w:r w:rsidRPr="0062657B">
        <w:rPr>
          <w:rStyle w:val="FootnoteReference"/>
          <w:szCs w:val="24"/>
        </w:rPr>
        <w:footnoteReference w:id="8"/>
      </w:r>
      <w:r w:rsidRPr="0062657B">
        <w:t xml:space="preserve">  This is also the test to determine the adequacy of a utility’s response to customer service complai</w:t>
      </w:r>
      <w:r>
        <w:t>nts</w:t>
      </w:r>
      <w:r w:rsidRPr="0062657B">
        <w:t>.</w:t>
      </w:r>
      <w:r w:rsidRPr="0062657B">
        <w:rPr>
          <w:rStyle w:val="FootnoteReference"/>
          <w:szCs w:val="24"/>
        </w:rPr>
        <w:footnoteReference w:id="9"/>
      </w:r>
    </w:p>
    <w:p w:rsidR="00904618" w:rsidRDefault="00904618" w:rsidP="00AE679D">
      <w:pPr>
        <w:spacing w:after="0"/>
      </w:pPr>
    </w:p>
    <w:p w:rsidR="00234851" w:rsidRDefault="004C5709" w:rsidP="00381862">
      <w:pPr>
        <w:spacing w:after="0"/>
      </w:pPr>
      <w:r>
        <w:tab/>
        <w:t>The essence of the Complainant’s complaint against PECO is that the status of her account with PECO and the execution of the termination were not handled privately as the</w:t>
      </w:r>
      <w:r w:rsidR="001D3DC7">
        <w:t>se matters</w:t>
      </w:r>
      <w:r>
        <w:t xml:space="preserve"> should have been.  PECO’s witnesses testified that CCI </w:t>
      </w:r>
      <w:r w:rsidR="00A81B54">
        <w:t>policy does not preclude field technicians from informing a contractor or employee of a customer that a customer’s electricity service is being terminated.</w:t>
      </w:r>
      <w:r w:rsidR="00477976">
        <w:t xml:space="preserve">  Further, a technician is permitted to discuss the various methods of termination and the fees that may be involved.</w:t>
      </w:r>
      <w:r w:rsidR="00B97F49">
        <w:t xml:space="preserve">  These policies result in the dissemination of the status of a customer’s account without any compelling reason</w:t>
      </w:r>
      <w:r w:rsidR="00234851">
        <w:t xml:space="preserve">.  </w:t>
      </w:r>
    </w:p>
    <w:p w:rsidR="00234851" w:rsidRDefault="00234851" w:rsidP="00381862">
      <w:pPr>
        <w:spacing w:after="0"/>
      </w:pPr>
    </w:p>
    <w:p w:rsidR="00234851" w:rsidRDefault="00234851" w:rsidP="00381862">
      <w:pPr>
        <w:spacing w:after="0"/>
        <w:rPr>
          <w:szCs w:val="24"/>
        </w:rPr>
      </w:pPr>
      <w:r>
        <w:tab/>
      </w:r>
      <w:r w:rsidR="00381862" w:rsidRPr="00381862">
        <w:rPr>
          <w:szCs w:val="24"/>
        </w:rPr>
        <w:t xml:space="preserve">There are no Commission regulations establishing a standard of conduct for public utility representatives.  In the absence of specific regulations addressing the conduct of public utility customer service representatives, 66 Pa.C.S. § 1501 governs a public utility’s obligation to provide reasonable service to its customers.  In </w:t>
      </w:r>
      <w:r w:rsidR="00381862" w:rsidRPr="009E1759">
        <w:rPr>
          <w:i/>
          <w:szCs w:val="24"/>
        </w:rPr>
        <w:t>G</w:t>
      </w:r>
      <w:r w:rsidR="00381862" w:rsidRPr="00381862">
        <w:rPr>
          <w:i/>
          <w:szCs w:val="24"/>
        </w:rPr>
        <w:t>allagher v. Bell Telephone Co. of Pa.</w:t>
      </w:r>
      <w:r w:rsidR="00381862" w:rsidRPr="00381862">
        <w:rPr>
          <w:szCs w:val="24"/>
        </w:rPr>
        <w:t xml:space="preserve">, Docket No. F-8958314, (Order entered September 23, 1992), the Commission held that a public utility had violated 66 Pa.C.S. § 1501 by allowing its customer service employees to refuse to identify themselves to a complainant, by calling the complainant a rude and filthy name and by hanging up on the complainant.  </w:t>
      </w:r>
    </w:p>
    <w:p w:rsidR="00234851" w:rsidRDefault="00234851" w:rsidP="00381862">
      <w:pPr>
        <w:spacing w:after="0"/>
        <w:rPr>
          <w:szCs w:val="24"/>
        </w:rPr>
      </w:pPr>
    </w:p>
    <w:p w:rsidR="004C5709" w:rsidRDefault="00234851" w:rsidP="00381862">
      <w:pPr>
        <w:spacing w:after="0"/>
      </w:pPr>
      <w:r>
        <w:rPr>
          <w:szCs w:val="24"/>
        </w:rPr>
        <w:tab/>
      </w:r>
      <w:r w:rsidR="00381862" w:rsidRPr="00381862">
        <w:t xml:space="preserve">While not identical to the utility company’s representative’s conduct in </w:t>
      </w:r>
      <w:r w:rsidR="00381862" w:rsidRPr="00381862">
        <w:rPr>
          <w:i/>
        </w:rPr>
        <w:t>Gallagher</w:t>
      </w:r>
      <w:r w:rsidR="009E1759">
        <w:rPr>
          <w:i/>
        </w:rPr>
        <w:t>,</w:t>
      </w:r>
      <w:r w:rsidR="008D69C9">
        <w:t xml:space="preserve"> </w:t>
      </w:r>
      <w:r>
        <w:t xml:space="preserve">here, PECO’s representative broadcast </w:t>
      </w:r>
      <w:r w:rsidR="008D69C9">
        <w:t xml:space="preserve">the status of the Complainant’s account on the street in front of her house within </w:t>
      </w:r>
      <w:r w:rsidR="00381862">
        <w:t>earshot</w:t>
      </w:r>
      <w:r w:rsidR="008D69C9">
        <w:t xml:space="preserve"> of her neighbors and people passing by, which no doubt caused her embarrassment.  In my view, these circumstances are a failure by PECO to provide reasonable customer service to the Complainant.  Even delinquent customers deserve to have their privacy protected and to be treated with dignity.</w:t>
      </w:r>
    </w:p>
    <w:p w:rsidR="00904618" w:rsidRDefault="00904618" w:rsidP="00AE679D">
      <w:pPr>
        <w:spacing w:after="0"/>
        <w:ind w:firstLine="1440"/>
        <w:rPr>
          <w:szCs w:val="24"/>
        </w:rPr>
      </w:pPr>
    </w:p>
    <w:p w:rsidR="001D3DC7" w:rsidRDefault="00201D16" w:rsidP="00AE679D">
      <w:pPr>
        <w:spacing w:after="0"/>
        <w:ind w:firstLine="1440"/>
        <w:rPr>
          <w:snapToGrid w:val="0"/>
          <w:szCs w:val="24"/>
        </w:rPr>
      </w:pPr>
      <w:r>
        <w:rPr>
          <w:szCs w:val="24"/>
        </w:rPr>
        <w:t xml:space="preserve">Having concluded that PECO violated the Public Utility Code by failing to provide reasonable service, it is appropriate to consider the assessment of a civil penalty. </w:t>
      </w:r>
      <w:r w:rsidRPr="0098528A">
        <w:rPr>
          <w:snapToGrid w:val="0"/>
          <w:szCs w:val="24"/>
        </w:rPr>
        <w:t>Section 3301 of the Public Utility Code provides that if any public utility fails to comply with any Commission regulation it shall forfeit and pay to the Commonwealth a sum not exceeding $1,000.00 per day of violation.</w:t>
      </w:r>
      <w:r w:rsidRPr="0098528A">
        <w:rPr>
          <w:rStyle w:val="FootnoteReference"/>
          <w:snapToGrid w:val="0"/>
          <w:szCs w:val="24"/>
        </w:rPr>
        <w:footnoteReference w:id="10"/>
      </w:r>
      <w:r w:rsidRPr="0098528A">
        <w:rPr>
          <w:snapToGrid w:val="0"/>
          <w:szCs w:val="24"/>
        </w:rPr>
        <w:t xml:space="preserve">  To implement this section, the Commission has adopted certain standards that must be applied when imposing a civil penalty for violations of Commission </w:t>
      </w:r>
    </w:p>
    <w:p w:rsidR="00201D16" w:rsidRDefault="00201D16" w:rsidP="001D3DC7">
      <w:pPr>
        <w:spacing w:after="0"/>
        <w:rPr>
          <w:szCs w:val="24"/>
        </w:rPr>
      </w:pPr>
      <w:r w:rsidRPr="0098528A">
        <w:rPr>
          <w:snapToGrid w:val="0"/>
          <w:szCs w:val="24"/>
        </w:rPr>
        <w:t>directives and regulations.</w:t>
      </w:r>
      <w:r w:rsidRPr="0098528A">
        <w:rPr>
          <w:rStyle w:val="FootnoteReference"/>
          <w:snapToGrid w:val="0"/>
          <w:szCs w:val="24"/>
        </w:rPr>
        <w:footnoteReference w:id="11"/>
      </w:r>
      <w:r w:rsidRPr="0098528A">
        <w:rPr>
          <w:snapToGrid w:val="0"/>
          <w:szCs w:val="24"/>
        </w:rPr>
        <w:t xml:space="preserve">  </w:t>
      </w:r>
      <w:r w:rsidRPr="0098528A">
        <w:rPr>
          <w:szCs w:val="24"/>
        </w:rPr>
        <w:t>Section 69.1201(a) of the Commission’s regulations states:</w:t>
      </w:r>
    </w:p>
    <w:p w:rsidR="00201D16" w:rsidRPr="0098528A" w:rsidRDefault="00201D16" w:rsidP="00AE679D">
      <w:pPr>
        <w:spacing w:after="0" w:line="240" w:lineRule="auto"/>
        <w:ind w:firstLine="1440"/>
        <w:rPr>
          <w:szCs w:val="24"/>
        </w:rPr>
      </w:pPr>
    </w:p>
    <w:p w:rsidR="00201D16" w:rsidRPr="0098528A" w:rsidRDefault="00201D16" w:rsidP="00AE679D">
      <w:pPr>
        <w:spacing w:after="0" w:line="240" w:lineRule="auto"/>
        <w:ind w:left="1440" w:right="1440"/>
        <w:rPr>
          <w:szCs w:val="24"/>
        </w:rPr>
      </w:pPr>
      <w:r w:rsidRPr="0098528A">
        <w:rPr>
          <w:szCs w:val="24"/>
        </w:rPr>
        <w:t>The Commission will consider specific factors and standards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sidRPr="0098528A">
        <w:rPr>
          <w:rStyle w:val="FootnoteReference"/>
          <w:szCs w:val="24"/>
        </w:rPr>
        <w:footnoteReference w:id="12"/>
      </w:r>
      <w:r w:rsidRPr="0098528A">
        <w:rPr>
          <w:szCs w:val="24"/>
        </w:rPr>
        <w:t xml:space="preserve">  </w:t>
      </w:r>
    </w:p>
    <w:p w:rsidR="00201D16" w:rsidRPr="0098528A" w:rsidRDefault="00201D16" w:rsidP="00AE679D">
      <w:pPr>
        <w:spacing w:after="0"/>
        <w:ind w:left="1440" w:right="1440"/>
        <w:rPr>
          <w:szCs w:val="24"/>
        </w:rPr>
      </w:pPr>
    </w:p>
    <w:p w:rsidR="00201D16" w:rsidRPr="0098528A" w:rsidRDefault="00904618" w:rsidP="00AE679D">
      <w:pPr>
        <w:spacing w:after="0" w:line="240" w:lineRule="auto"/>
        <w:outlineLvl w:val="0"/>
        <w:rPr>
          <w:szCs w:val="24"/>
        </w:rPr>
      </w:pPr>
      <w:r>
        <w:rPr>
          <w:szCs w:val="24"/>
        </w:rPr>
        <w:tab/>
      </w:r>
      <w:r w:rsidR="00201D16" w:rsidRPr="0098528A">
        <w:rPr>
          <w:szCs w:val="24"/>
        </w:rPr>
        <w:t>These factors and standards to be considered are enumerated in subsection (c):</w:t>
      </w:r>
    </w:p>
    <w:p w:rsidR="00201D16" w:rsidRPr="0098528A" w:rsidRDefault="00201D16" w:rsidP="00AE679D">
      <w:pPr>
        <w:spacing w:after="0" w:line="240" w:lineRule="auto"/>
        <w:ind w:left="1440" w:right="1440"/>
        <w:rPr>
          <w:szCs w:val="24"/>
        </w:rPr>
      </w:pPr>
    </w:p>
    <w:p w:rsidR="00201D16" w:rsidRDefault="00201D16" w:rsidP="00AE679D">
      <w:pPr>
        <w:spacing w:after="0" w:line="240" w:lineRule="auto"/>
        <w:ind w:left="1440" w:right="1440" w:firstLine="720"/>
        <w:rPr>
          <w:szCs w:val="24"/>
        </w:rPr>
      </w:pPr>
      <w:r w:rsidRPr="0098528A">
        <w:rPr>
          <w:szCs w:val="24"/>
        </w:rPr>
        <w:t>(1)</w:t>
      </w:r>
      <w:r w:rsidRPr="0098528A">
        <w:rPr>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201D16"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(2)</w:t>
      </w:r>
      <w:r w:rsidRPr="0098528A">
        <w:rPr>
          <w:szCs w:val="24"/>
        </w:rPr>
        <w:tab/>
        <w:t>Whether the resulting consequences of the conduct at issue were of a serious nature.  When consequences of a serious nature are involved, such as personal injury or property damage, the consequences may warrant a higher penalty.</w:t>
      </w:r>
    </w:p>
    <w:p w:rsidR="00201D16"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(3)</w:t>
      </w:r>
      <w:r w:rsidRPr="0098528A">
        <w:rPr>
          <w:szCs w:val="24"/>
        </w:rPr>
        <w:tab/>
        <w:t>Whether the conduct at issue was deemed intentional or negligent.  This factor may only be considered in evaluating litigated cases.  When conduct has been deemed intentional, the conduct may result in a higher penalty.</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(4)</w:t>
      </w:r>
      <w:r w:rsidRPr="0098528A">
        <w:rPr>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201D16" w:rsidRDefault="00201D16" w:rsidP="00AE679D">
      <w:pPr>
        <w:spacing w:after="0" w:line="240" w:lineRule="auto"/>
        <w:ind w:left="1440" w:right="1440" w:firstLine="720"/>
        <w:rPr>
          <w:szCs w:val="24"/>
        </w:rPr>
      </w:pPr>
      <w:r w:rsidRPr="0098528A">
        <w:rPr>
          <w:szCs w:val="24"/>
        </w:rPr>
        <w:t>(5)</w:t>
      </w:r>
      <w:r w:rsidRPr="0098528A">
        <w:rPr>
          <w:szCs w:val="24"/>
        </w:rPr>
        <w:tab/>
        <w:t>The number of customers affected and the duration of the violation.</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(6)</w:t>
      </w:r>
      <w:r w:rsidRPr="0098528A">
        <w:rPr>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(7)</w:t>
      </w:r>
      <w:r w:rsidRPr="0098528A">
        <w:rPr>
          <w:szCs w:val="24"/>
        </w:rPr>
        <w:tab/>
        <w:t>Whether the regulated entity cooperated with the Commission’s investigation.  Facts establishing bad faith, active concealment of violations or attempts to interfere with Commission investigations may result in a higher penalty.</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(8)</w:t>
      </w:r>
      <w:r w:rsidRPr="0098528A">
        <w:rPr>
          <w:szCs w:val="24"/>
        </w:rPr>
        <w:tab/>
        <w:t>The amount of the civil penalty or fine necessary to deter future violations.  The size of the utility may be considered to determine an appropriate penalty amount.</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1440" w:right="1440" w:firstLine="720"/>
        <w:rPr>
          <w:szCs w:val="24"/>
        </w:rPr>
      </w:pPr>
      <w:r w:rsidRPr="0098528A">
        <w:rPr>
          <w:szCs w:val="24"/>
        </w:rPr>
        <w:t>(9)</w:t>
      </w:r>
      <w:r w:rsidRPr="0098528A">
        <w:rPr>
          <w:szCs w:val="24"/>
        </w:rPr>
        <w:tab/>
        <w:t>Past Commission decision</w:t>
      </w:r>
      <w:r>
        <w:rPr>
          <w:szCs w:val="24"/>
        </w:rPr>
        <w:t>s</w:t>
      </w:r>
      <w:r w:rsidRPr="0098528A">
        <w:rPr>
          <w:szCs w:val="24"/>
        </w:rPr>
        <w:t xml:space="preserve"> in similar situations.</w:t>
      </w:r>
    </w:p>
    <w:p w:rsidR="00201D16" w:rsidRPr="0098528A" w:rsidRDefault="00201D16" w:rsidP="00AE679D">
      <w:pPr>
        <w:spacing w:after="0" w:line="240" w:lineRule="auto"/>
        <w:ind w:left="1440" w:right="1440" w:firstLine="720"/>
        <w:rPr>
          <w:szCs w:val="24"/>
        </w:rPr>
      </w:pPr>
    </w:p>
    <w:p w:rsidR="00201D16" w:rsidRDefault="00201D16" w:rsidP="00AE679D">
      <w:pPr>
        <w:spacing w:after="0" w:line="240" w:lineRule="auto"/>
        <w:ind w:left="720" w:right="1440" w:firstLine="1440"/>
        <w:rPr>
          <w:szCs w:val="24"/>
        </w:rPr>
      </w:pPr>
      <w:r w:rsidRPr="0098528A">
        <w:rPr>
          <w:szCs w:val="24"/>
        </w:rPr>
        <w:t>(10)</w:t>
      </w:r>
      <w:r w:rsidRPr="0098528A">
        <w:rPr>
          <w:szCs w:val="24"/>
        </w:rPr>
        <w:tab/>
        <w:t>Other relevant factors.</w:t>
      </w:r>
      <w:r w:rsidRPr="0098528A">
        <w:rPr>
          <w:rStyle w:val="FootnoteReference"/>
          <w:szCs w:val="24"/>
        </w:rPr>
        <w:footnoteReference w:id="13"/>
      </w:r>
    </w:p>
    <w:p w:rsidR="00AE679D" w:rsidRDefault="004C5709" w:rsidP="00AE679D">
      <w:pPr>
        <w:spacing w:after="0"/>
      </w:pPr>
      <w:r>
        <w:tab/>
      </w:r>
    </w:p>
    <w:p w:rsidR="005376B6" w:rsidRDefault="00AE679D" w:rsidP="00AE679D">
      <w:pPr>
        <w:spacing w:after="0"/>
      </w:pPr>
      <w:r>
        <w:tab/>
      </w:r>
      <w:r w:rsidR="00201D16">
        <w:t xml:space="preserve">Reviewing the facts of this case, a civil penalty of $500 is appropriate.  The violation is more than a mere technical error or administrative oversight.  A utility has a duty to protect the privacy </w:t>
      </w:r>
      <w:r w:rsidR="009E1759">
        <w:t xml:space="preserve">of </w:t>
      </w:r>
      <w:r w:rsidR="009601D8">
        <w:t>its</w:t>
      </w:r>
      <w:r w:rsidR="00201D16">
        <w:t xml:space="preserve"> customers.  Although the violation did not involve the damage of property or personal injury, the violation of the Complainant’s privacy is a serious violation.  At the very least, </w:t>
      </w:r>
      <w:r w:rsidR="009E1759">
        <w:t>PECO’s</w:t>
      </w:r>
      <w:r w:rsidR="00201D16">
        <w:t xml:space="preserve"> failure to communicate the importance of privacy to its contractor is a negligent violation.  Since there is no acknowledgement that revealing the status of the Complainant’s account was a violation of her privacy, PECO has not put any procedures in place to modify the training requirements of the technicians employed by </w:t>
      </w:r>
      <w:r w:rsidR="005376B6">
        <w:t>its contractor, CCI.  A $500 civil penalty is sufficient to deter future violations and encourage PECO to exercise more care in the future.</w:t>
      </w:r>
    </w:p>
    <w:p w:rsidR="00234851" w:rsidRDefault="00234851" w:rsidP="00AE679D">
      <w:pPr>
        <w:spacing w:after="0"/>
      </w:pPr>
    </w:p>
    <w:p w:rsidR="00AE679D" w:rsidRDefault="005376B6" w:rsidP="00AE679D">
      <w:pPr>
        <w:spacing w:after="0"/>
      </w:pPr>
      <w:r>
        <w:tab/>
        <w:t xml:space="preserve">There is no evidence in this record that more than one customer has been affected, that PECO has a history of similar violations or that the Commission has investigated PECO or </w:t>
      </w:r>
    </w:p>
    <w:p w:rsidR="004C5709" w:rsidRDefault="005376B6" w:rsidP="00AE679D">
      <w:pPr>
        <w:spacing w:after="0"/>
      </w:pPr>
      <w:r>
        <w:t>rendered any past decisions in similar situations.  Therefore, these factors are not part of my consideration.</w:t>
      </w:r>
      <w:r w:rsidR="001D3DC7">
        <w:t xml:space="preserve">   Further the record is silent on any other relevant factors</w:t>
      </w:r>
    </w:p>
    <w:p w:rsidR="00904618" w:rsidRDefault="00904618" w:rsidP="00AE679D">
      <w:pPr>
        <w:spacing w:after="0"/>
        <w:jc w:val="center"/>
        <w:rPr>
          <w:u w:val="single"/>
        </w:rPr>
      </w:pPr>
    </w:p>
    <w:p w:rsidR="005376B6" w:rsidRPr="009601D8" w:rsidRDefault="005376B6" w:rsidP="00AE679D">
      <w:pPr>
        <w:spacing w:after="0"/>
        <w:jc w:val="center"/>
        <w:rPr>
          <w:u w:val="single"/>
        </w:rPr>
      </w:pPr>
      <w:r w:rsidRPr="009601D8">
        <w:rPr>
          <w:u w:val="single"/>
        </w:rPr>
        <w:t>CONCLUSIONS OF LAW</w:t>
      </w:r>
    </w:p>
    <w:p w:rsidR="00904618" w:rsidRDefault="00904618" w:rsidP="00AE679D">
      <w:pPr>
        <w:spacing w:after="0"/>
      </w:pPr>
    </w:p>
    <w:p w:rsidR="005376B6" w:rsidRDefault="005376B6" w:rsidP="00AE679D">
      <w:pPr>
        <w:spacing w:after="0"/>
        <w:rPr>
          <w:szCs w:val="24"/>
        </w:rPr>
      </w:pPr>
      <w:r>
        <w:tab/>
        <w:t>1.</w:t>
      </w:r>
      <w:r>
        <w:tab/>
      </w:r>
      <w:r>
        <w:rPr>
          <w:szCs w:val="24"/>
        </w:rPr>
        <w:t>The Commission has jurisdiction over the parties and subject matter of this dispute.  66 Pa.C.S. § 701.</w:t>
      </w:r>
    </w:p>
    <w:p w:rsidR="005376B6" w:rsidRDefault="005376B6" w:rsidP="00AE679D">
      <w:pPr>
        <w:spacing w:after="0"/>
        <w:rPr>
          <w:szCs w:val="24"/>
        </w:rPr>
      </w:pPr>
    </w:p>
    <w:p w:rsidR="005376B6" w:rsidRDefault="005376B6" w:rsidP="00AE679D">
      <w:pPr>
        <w:spacing w:after="0"/>
        <w:rPr>
          <w:szCs w:val="24"/>
        </w:rPr>
      </w:pPr>
      <w:r>
        <w:rPr>
          <w:szCs w:val="24"/>
        </w:rPr>
        <w:tab/>
        <w:t>2.</w:t>
      </w:r>
      <w:r>
        <w:rPr>
          <w:szCs w:val="24"/>
        </w:rPr>
        <w:tab/>
        <w:t>The Complainant bears the burden of proof.  66 Pa.C.S. § 332.</w:t>
      </w:r>
    </w:p>
    <w:p w:rsidR="00234851" w:rsidRDefault="00234851" w:rsidP="00AE679D">
      <w:pPr>
        <w:spacing w:after="0"/>
        <w:rPr>
          <w:szCs w:val="24"/>
        </w:rPr>
      </w:pPr>
    </w:p>
    <w:p w:rsidR="005376B6" w:rsidRDefault="005376B6" w:rsidP="00AE679D">
      <w:pPr>
        <w:spacing w:after="0"/>
        <w:rPr>
          <w:szCs w:val="24"/>
        </w:rPr>
      </w:pPr>
      <w:r>
        <w:rPr>
          <w:szCs w:val="24"/>
        </w:rPr>
        <w:tab/>
        <w:t>3.</w:t>
      </w:r>
      <w:r>
        <w:rPr>
          <w:szCs w:val="24"/>
        </w:rPr>
        <w:tab/>
        <w:t>A public utility is required to provide adequate, efficient, safe and reasonable service.  This includes providing customers with complete and accurate explanation of the customer’s bill.  66 Pa.C.S. §§ 102 and1501.</w:t>
      </w:r>
    </w:p>
    <w:p w:rsidR="005376B6" w:rsidRDefault="005376B6" w:rsidP="00AE679D">
      <w:pPr>
        <w:spacing w:after="0"/>
        <w:rPr>
          <w:szCs w:val="24"/>
        </w:rPr>
      </w:pPr>
    </w:p>
    <w:p w:rsidR="005376B6" w:rsidRDefault="005376B6" w:rsidP="00AE679D">
      <w:pPr>
        <w:spacing w:after="0"/>
        <w:rPr>
          <w:szCs w:val="24"/>
        </w:rPr>
      </w:pPr>
      <w:r>
        <w:rPr>
          <w:szCs w:val="24"/>
        </w:rPr>
        <w:tab/>
        <w:t>4.</w:t>
      </w:r>
      <w:r>
        <w:rPr>
          <w:szCs w:val="24"/>
        </w:rPr>
        <w:tab/>
        <w:t xml:space="preserve">It is not reasonable service to reveal the status of a customer’s account to a contractor or employee and to discuss that status in a public area where passersby can hear. </w:t>
      </w:r>
    </w:p>
    <w:p w:rsidR="005376B6" w:rsidRDefault="005376B6" w:rsidP="00AE679D">
      <w:pPr>
        <w:spacing w:after="0"/>
        <w:rPr>
          <w:szCs w:val="24"/>
        </w:rPr>
      </w:pPr>
      <w:r>
        <w:rPr>
          <w:szCs w:val="24"/>
        </w:rPr>
        <w:t>66 Pa.C.S. § 1501.</w:t>
      </w:r>
    </w:p>
    <w:p w:rsidR="005376B6" w:rsidRDefault="005376B6" w:rsidP="00AE679D">
      <w:pPr>
        <w:spacing w:after="0"/>
        <w:rPr>
          <w:szCs w:val="24"/>
        </w:rPr>
      </w:pPr>
    </w:p>
    <w:p w:rsidR="00234851" w:rsidRDefault="00234851" w:rsidP="00AE679D">
      <w:pPr>
        <w:spacing w:after="0"/>
        <w:jc w:val="center"/>
        <w:rPr>
          <w:szCs w:val="24"/>
          <w:u w:val="single"/>
        </w:rPr>
      </w:pPr>
      <w:r>
        <w:rPr>
          <w:szCs w:val="24"/>
          <w:u w:val="single"/>
        </w:rPr>
        <w:br w:type="page"/>
      </w:r>
    </w:p>
    <w:p w:rsidR="005376B6" w:rsidRPr="009601D8" w:rsidRDefault="005376B6" w:rsidP="00AE679D">
      <w:pPr>
        <w:spacing w:after="0"/>
        <w:jc w:val="center"/>
        <w:rPr>
          <w:szCs w:val="24"/>
          <w:u w:val="single"/>
        </w:rPr>
      </w:pPr>
      <w:r w:rsidRPr="009601D8">
        <w:rPr>
          <w:szCs w:val="24"/>
          <w:u w:val="single"/>
        </w:rPr>
        <w:t>ORDER</w:t>
      </w:r>
    </w:p>
    <w:p w:rsidR="005376B6" w:rsidRDefault="005376B6" w:rsidP="00AE679D">
      <w:pPr>
        <w:spacing w:after="0"/>
        <w:rPr>
          <w:szCs w:val="24"/>
        </w:rPr>
      </w:pPr>
    </w:p>
    <w:p w:rsidR="005376B6" w:rsidRDefault="009601D8" w:rsidP="00AE679D">
      <w:pPr>
        <w:spacing w:after="0"/>
        <w:rPr>
          <w:szCs w:val="24"/>
        </w:rPr>
      </w:pPr>
      <w:r>
        <w:rPr>
          <w:szCs w:val="24"/>
        </w:rPr>
        <w:tab/>
      </w:r>
      <w:r w:rsidR="005376B6">
        <w:rPr>
          <w:szCs w:val="24"/>
        </w:rPr>
        <w:t>THEREFORE,</w:t>
      </w:r>
    </w:p>
    <w:p w:rsidR="009601D8" w:rsidRDefault="009601D8" w:rsidP="00AE679D">
      <w:pPr>
        <w:spacing w:after="0"/>
        <w:rPr>
          <w:szCs w:val="24"/>
        </w:rPr>
      </w:pPr>
    </w:p>
    <w:p w:rsidR="005376B6" w:rsidRDefault="009601D8" w:rsidP="00AE679D">
      <w:pPr>
        <w:spacing w:after="0"/>
        <w:rPr>
          <w:szCs w:val="24"/>
        </w:rPr>
      </w:pPr>
      <w:r>
        <w:rPr>
          <w:szCs w:val="24"/>
        </w:rPr>
        <w:tab/>
      </w:r>
      <w:r w:rsidR="005376B6">
        <w:rPr>
          <w:szCs w:val="24"/>
        </w:rPr>
        <w:t>IT IS ORDERED:</w:t>
      </w:r>
    </w:p>
    <w:p w:rsidR="009601D8" w:rsidRDefault="009601D8" w:rsidP="00AE679D">
      <w:pPr>
        <w:spacing w:after="0"/>
        <w:rPr>
          <w:szCs w:val="24"/>
        </w:rPr>
      </w:pPr>
    </w:p>
    <w:p w:rsidR="005376B6" w:rsidRDefault="005376B6" w:rsidP="00AE679D">
      <w:pPr>
        <w:spacing w:after="0"/>
        <w:rPr>
          <w:szCs w:val="24"/>
        </w:rPr>
      </w:pPr>
      <w:r>
        <w:rPr>
          <w:szCs w:val="24"/>
        </w:rPr>
        <w:tab/>
        <w:t>1.</w:t>
      </w:r>
      <w:r>
        <w:rPr>
          <w:szCs w:val="24"/>
        </w:rPr>
        <w:tab/>
        <w:t xml:space="preserve">That the </w:t>
      </w:r>
      <w:r w:rsidR="00646F39">
        <w:rPr>
          <w:szCs w:val="24"/>
        </w:rPr>
        <w:t>c</w:t>
      </w:r>
      <w:r>
        <w:rPr>
          <w:szCs w:val="24"/>
        </w:rPr>
        <w:t>omplaint of Mary Rogers at PUC Docket No. F-2013-2378582 is sustained.</w:t>
      </w:r>
    </w:p>
    <w:p w:rsidR="00234851" w:rsidRDefault="00234851" w:rsidP="00AE679D">
      <w:pPr>
        <w:spacing w:after="0"/>
        <w:rPr>
          <w:szCs w:val="24"/>
        </w:rPr>
      </w:pPr>
    </w:p>
    <w:p w:rsidR="005376B6" w:rsidRDefault="005376B6" w:rsidP="00AE679D">
      <w:pPr>
        <w:spacing w:after="0"/>
      </w:pPr>
      <w:r>
        <w:rPr>
          <w:szCs w:val="24"/>
        </w:rPr>
        <w:tab/>
        <w:t>2.</w:t>
      </w:r>
      <w:r>
        <w:rPr>
          <w:szCs w:val="24"/>
        </w:rPr>
        <w:tab/>
        <w:t xml:space="preserve">That PECO Energy Company </w:t>
      </w:r>
      <w:r>
        <w:t>shall pay a civil penalty as set forth in the amount of $500 for the violation of the Public Utility Code by sending a certified check or money order payable to the Commonwealth of Pennsylvania, within thirty (30) days from the entry of the Final Commission Order to:</w:t>
      </w:r>
    </w:p>
    <w:p w:rsidR="005376B6" w:rsidRDefault="005376B6" w:rsidP="00AE679D">
      <w:pPr>
        <w:spacing w:after="0" w:line="240" w:lineRule="auto"/>
        <w:ind w:left="2160" w:firstLine="720"/>
      </w:pPr>
    </w:p>
    <w:p w:rsidR="005376B6" w:rsidRDefault="005376B6" w:rsidP="00AE679D">
      <w:pPr>
        <w:spacing w:after="0" w:line="240" w:lineRule="auto"/>
        <w:ind w:left="2160" w:firstLine="720"/>
      </w:pPr>
      <w:r>
        <w:t>Secretary</w:t>
      </w:r>
    </w:p>
    <w:p w:rsidR="005376B6" w:rsidRDefault="005376B6" w:rsidP="00AE679D">
      <w:pPr>
        <w:spacing w:after="0" w:line="240" w:lineRule="auto"/>
        <w:ind w:left="2160" w:firstLine="720"/>
      </w:pPr>
      <w:r>
        <w:t>Pennsylvania Public Utility Commission</w:t>
      </w:r>
    </w:p>
    <w:p w:rsidR="005376B6" w:rsidRDefault="005376B6" w:rsidP="00AE679D">
      <w:pPr>
        <w:spacing w:after="0" w:line="240" w:lineRule="auto"/>
        <w:ind w:left="2160" w:firstLine="720"/>
      </w:pPr>
      <w:r>
        <w:t>P.O. Box 3265</w:t>
      </w:r>
    </w:p>
    <w:p w:rsidR="005376B6" w:rsidRDefault="005376B6" w:rsidP="00AE679D">
      <w:pPr>
        <w:spacing w:after="0" w:line="240" w:lineRule="auto"/>
        <w:ind w:left="2160" w:firstLine="720"/>
      </w:pPr>
      <w:r>
        <w:t>Harrisburg, PA  17105-3265</w:t>
      </w:r>
    </w:p>
    <w:p w:rsidR="005376B6" w:rsidRDefault="005376B6" w:rsidP="00AE679D">
      <w:pPr>
        <w:spacing w:after="0"/>
      </w:pPr>
    </w:p>
    <w:p w:rsidR="006E0CB7" w:rsidRDefault="005376B6" w:rsidP="009E1759">
      <w:pPr>
        <w:spacing w:after="0"/>
      </w:pPr>
      <w:r>
        <w:tab/>
        <w:t>3.</w:t>
      </w:r>
      <w:r>
        <w:tab/>
        <w:t>That PECO Energy Company shall cease and desist from further violations of Section 1501 of the Public Utility Code.</w:t>
      </w:r>
    </w:p>
    <w:p w:rsidR="009E1759" w:rsidRDefault="009E1759" w:rsidP="009E1759">
      <w:pPr>
        <w:spacing w:after="0"/>
      </w:pPr>
    </w:p>
    <w:p w:rsidR="004C5709" w:rsidRDefault="006E0CB7" w:rsidP="00AE679D">
      <w:pPr>
        <w:spacing w:after="0"/>
      </w:pPr>
      <w:r>
        <w:tab/>
      </w:r>
      <w:r w:rsidR="005376B6">
        <w:t>4.</w:t>
      </w:r>
      <w:r w:rsidR="005376B6">
        <w:tab/>
        <w:t>That upon payment of the civil penalty, the Secretary shall mark this docket closed.</w:t>
      </w:r>
    </w:p>
    <w:p w:rsidR="00014B79" w:rsidRPr="00014B79" w:rsidRDefault="00014B79" w:rsidP="00AE679D">
      <w:pPr>
        <w:keepLines/>
        <w:widowControl w:val="0"/>
        <w:tabs>
          <w:tab w:val="clear" w:pos="1440"/>
        </w:tabs>
        <w:autoSpaceDE w:val="0"/>
        <w:autoSpaceDN w:val="0"/>
        <w:adjustRightInd w:val="0"/>
        <w:spacing w:after="0"/>
        <w:ind w:firstLine="1440"/>
        <w:rPr>
          <w:snapToGrid w:val="0"/>
          <w:szCs w:val="24"/>
        </w:rPr>
      </w:pPr>
    </w:p>
    <w:p w:rsidR="00014B79" w:rsidRPr="00014B79" w:rsidRDefault="00014B79" w:rsidP="00AE679D">
      <w:pPr>
        <w:keepLines/>
        <w:widowControl w:val="0"/>
        <w:tabs>
          <w:tab w:val="clear" w:pos="1440"/>
        </w:tabs>
        <w:autoSpaceDE w:val="0"/>
        <w:autoSpaceDN w:val="0"/>
        <w:adjustRightInd w:val="0"/>
        <w:spacing w:after="0"/>
        <w:ind w:firstLine="1440"/>
        <w:rPr>
          <w:snapToGrid w:val="0"/>
          <w:szCs w:val="24"/>
        </w:rPr>
      </w:pPr>
    </w:p>
    <w:p w:rsidR="00014B79" w:rsidRPr="00014B79" w:rsidRDefault="00014B79" w:rsidP="00AE679D">
      <w:pPr>
        <w:keepLines/>
        <w:widowControl w:val="0"/>
        <w:tabs>
          <w:tab w:val="clear" w:pos="1440"/>
        </w:tabs>
        <w:autoSpaceDE w:val="0"/>
        <w:autoSpaceDN w:val="0"/>
        <w:adjustRightInd w:val="0"/>
        <w:spacing w:after="0" w:line="240" w:lineRule="auto"/>
        <w:jc w:val="both"/>
        <w:rPr>
          <w:snapToGrid w:val="0"/>
          <w:szCs w:val="24"/>
          <w:u w:val="single"/>
        </w:rPr>
      </w:pPr>
      <w:r w:rsidRPr="00014B79">
        <w:rPr>
          <w:snapToGrid w:val="0"/>
          <w:szCs w:val="24"/>
        </w:rPr>
        <w:t xml:space="preserve">Date:  </w:t>
      </w:r>
      <w:r w:rsidRPr="00014B79">
        <w:rPr>
          <w:snapToGrid w:val="0"/>
          <w:szCs w:val="24"/>
          <w:u w:val="single"/>
        </w:rPr>
        <w:t>December 1</w:t>
      </w:r>
      <w:r>
        <w:rPr>
          <w:snapToGrid w:val="0"/>
          <w:szCs w:val="24"/>
          <w:u w:val="single"/>
        </w:rPr>
        <w:t>1</w:t>
      </w:r>
      <w:r w:rsidRPr="00014B79">
        <w:rPr>
          <w:snapToGrid w:val="0"/>
          <w:szCs w:val="24"/>
          <w:u w:val="single"/>
        </w:rPr>
        <w:t>, 2014</w:t>
      </w: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u w:val="single"/>
        </w:rPr>
        <w:t xml:space="preserve">                           /s/</w:t>
      </w:r>
      <w:r w:rsidRPr="00014B79">
        <w:rPr>
          <w:snapToGrid w:val="0"/>
          <w:szCs w:val="24"/>
          <w:u w:val="single"/>
        </w:rPr>
        <w:tab/>
      </w:r>
      <w:r w:rsidRPr="00014B79">
        <w:rPr>
          <w:snapToGrid w:val="0"/>
          <w:szCs w:val="24"/>
          <w:u w:val="single"/>
        </w:rPr>
        <w:tab/>
      </w:r>
      <w:r w:rsidRPr="00014B79">
        <w:rPr>
          <w:snapToGrid w:val="0"/>
          <w:szCs w:val="24"/>
          <w:u w:val="single"/>
        </w:rPr>
        <w:tab/>
        <w:t xml:space="preserve">                                 </w:t>
      </w:r>
    </w:p>
    <w:p w:rsidR="00014B79" w:rsidRPr="00014B79" w:rsidRDefault="00014B79" w:rsidP="00AE679D">
      <w:pPr>
        <w:keepLines/>
        <w:widowControl w:val="0"/>
        <w:tabs>
          <w:tab w:val="clear" w:pos="1440"/>
        </w:tabs>
        <w:autoSpaceDE w:val="0"/>
        <w:autoSpaceDN w:val="0"/>
        <w:adjustRightInd w:val="0"/>
        <w:spacing w:after="0" w:line="240" w:lineRule="auto"/>
        <w:jc w:val="both"/>
        <w:rPr>
          <w:snapToGrid w:val="0"/>
          <w:szCs w:val="24"/>
        </w:rPr>
      </w:pP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t>Conrad A. Johnson</w:t>
      </w:r>
    </w:p>
    <w:p w:rsidR="00014B79" w:rsidRPr="00014B79" w:rsidRDefault="00014B79" w:rsidP="00AE679D">
      <w:pPr>
        <w:keepLines/>
        <w:widowControl w:val="0"/>
        <w:tabs>
          <w:tab w:val="clear" w:pos="1440"/>
        </w:tabs>
        <w:autoSpaceDE w:val="0"/>
        <w:autoSpaceDN w:val="0"/>
        <w:adjustRightInd w:val="0"/>
        <w:spacing w:after="0" w:line="240" w:lineRule="auto"/>
        <w:jc w:val="both"/>
        <w:rPr>
          <w:snapToGrid w:val="0"/>
          <w:szCs w:val="24"/>
        </w:rPr>
      </w:pP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r>
      <w:r w:rsidRPr="00014B79">
        <w:rPr>
          <w:snapToGrid w:val="0"/>
          <w:szCs w:val="24"/>
        </w:rPr>
        <w:tab/>
        <w:t>Administrative Law Judge</w:t>
      </w:r>
    </w:p>
    <w:p w:rsidR="00014B79" w:rsidRPr="00014B79" w:rsidRDefault="00014B79" w:rsidP="00AE679D">
      <w:pPr>
        <w:widowControl w:val="0"/>
        <w:tabs>
          <w:tab w:val="clear" w:pos="1440"/>
          <w:tab w:val="left" w:pos="2160"/>
        </w:tabs>
        <w:autoSpaceDE w:val="0"/>
        <w:autoSpaceDN w:val="0"/>
        <w:adjustRightInd w:val="0"/>
        <w:spacing w:after="0"/>
        <w:ind w:firstLine="1440"/>
        <w:rPr>
          <w:b/>
          <w:bCs/>
          <w:szCs w:val="24"/>
        </w:rPr>
      </w:pPr>
    </w:p>
    <w:p w:rsidR="00014B79" w:rsidRPr="00014B79" w:rsidRDefault="00014B79" w:rsidP="00AE679D">
      <w:pPr>
        <w:widowControl w:val="0"/>
        <w:tabs>
          <w:tab w:val="clear" w:pos="1440"/>
          <w:tab w:val="left" w:pos="1496"/>
          <w:tab w:val="left" w:pos="2239"/>
        </w:tabs>
        <w:autoSpaceDE w:val="0"/>
        <w:autoSpaceDN w:val="0"/>
        <w:adjustRightInd w:val="0"/>
        <w:spacing w:after="0"/>
        <w:rPr>
          <w:b/>
          <w:bCs/>
          <w:szCs w:val="24"/>
        </w:rPr>
      </w:pPr>
    </w:p>
    <w:p w:rsidR="004C5709" w:rsidRPr="00797A11" w:rsidRDefault="004C5709" w:rsidP="00AE679D">
      <w:pPr>
        <w:spacing w:after="0"/>
      </w:pPr>
    </w:p>
    <w:sectPr w:rsidR="004C5709" w:rsidRPr="00797A11" w:rsidSect="00797A1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A4" w:rsidRDefault="00094CA4" w:rsidP="00797A11">
      <w:pPr>
        <w:spacing w:after="0" w:line="240" w:lineRule="auto"/>
      </w:pPr>
      <w:r>
        <w:separator/>
      </w:r>
    </w:p>
  </w:endnote>
  <w:endnote w:type="continuationSeparator" w:id="0">
    <w:p w:rsidR="00094CA4" w:rsidRDefault="00094CA4" w:rsidP="0079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71129"/>
      <w:docPartObj>
        <w:docPartGallery w:val="Page Numbers (Bottom of Page)"/>
        <w:docPartUnique/>
      </w:docPartObj>
    </w:sdtPr>
    <w:sdtEndPr>
      <w:rPr>
        <w:noProof/>
      </w:rPr>
    </w:sdtEndPr>
    <w:sdtContent>
      <w:p w:rsidR="00797A11" w:rsidRDefault="00797A11">
        <w:pPr>
          <w:pStyle w:val="Footer"/>
          <w:jc w:val="center"/>
        </w:pPr>
        <w:r>
          <w:fldChar w:fldCharType="begin"/>
        </w:r>
        <w:r>
          <w:instrText xml:space="preserve"> PAGE   \* MERGEFORMAT </w:instrText>
        </w:r>
        <w:r>
          <w:fldChar w:fldCharType="separate"/>
        </w:r>
        <w:r w:rsidR="003F7B3A">
          <w:rPr>
            <w:noProof/>
          </w:rPr>
          <w:t>10</w:t>
        </w:r>
        <w:r>
          <w:rPr>
            <w:noProof/>
          </w:rPr>
          <w:fldChar w:fldCharType="end"/>
        </w:r>
      </w:p>
    </w:sdtContent>
  </w:sdt>
  <w:p w:rsidR="00797A11" w:rsidRDefault="00797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A4" w:rsidRDefault="00094CA4" w:rsidP="00797A11">
      <w:pPr>
        <w:spacing w:after="0" w:line="240" w:lineRule="auto"/>
      </w:pPr>
      <w:r>
        <w:separator/>
      </w:r>
    </w:p>
  </w:footnote>
  <w:footnote w:type="continuationSeparator" w:id="0">
    <w:p w:rsidR="00094CA4" w:rsidRDefault="00094CA4" w:rsidP="00797A11">
      <w:pPr>
        <w:spacing w:after="0" w:line="240" w:lineRule="auto"/>
      </w:pPr>
      <w:r>
        <w:continuationSeparator/>
      </w:r>
    </w:p>
  </w:footnote>
  <w:footnote w:id="1">
    <w:p w:rsidR="00F839BC" w:rsidRDefault="00F839BC" w:rsidP="009E1759">
      <w:pPr>
        <w:pStyle w:val="FootnoteText"/>
        <w:spacing w:after="0"/>
        <w:ind w:firstLine="720"/>
      </w:pPr>
      <w:r>
        <w:rPr>
          <w:rStyle w:val="FootnoteReference"/>
        </w:rPr>
        <w:footnoteRef/>
      </w:r>
      <w:r>
        <w:t xml:space="preserve">  </w:t>
      </w:r>
      <w:r>
        <w:tab/>
        <w:t>The Complainant also faxed an exhibit on December 11, 2013.  The Complainant was not granted leave to file a late exhibit</w:t>
      </w:r>
      <w:r w:rsidR="008C16CA">
        <w:t xml:space="preserve">. </w:t>
      </w:r>
      <w:r w:rsidR="00E502E0">
        <w:t xml:space="preserve"> </w:t>
      </w:r>
      <w:r w:rsidR="008C16CA">
        <w:t>T</w:t>
      </w:r>
      <w:r>
        <w:t>herefore</w:t>
      </w:r>
      <w:r w:rsidR="008C16CA">
        <w:t>,</w:t>
      </w:r>
      <w:r>
        <w:t xml:space="preserve"> this document is not admitted into the record and is not part of my consideration of the fact</w:t>
      </w:r>
      <w:r w:rsidR="00FD6E54">
        <w:t>s</w:t>
      </w:r>
      <w:r>
        <w:t xml:space="preserve"> of this case.</w:t>
      </w:r>
    </w:p>
  </w:footnote>
  <w:footnote w:id="2">
    <w:p w:rsidR="004C5709" w:rsidRPr="00C81B96" w:rsidRDefault="004C5709" w:rsidP="0028381A">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701.</w:t>
      </w:r>
    </w:p>
  </w:footnote>
  <w:footnote w:id="3">
    <w:p w:rsidR="004C5709" w:rsidRDefault="004C5709" w:rsidP="0028381A">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332(a).</w:t>
      </w:r>
    </w:p>
    <w:p w:rsidR="0028381A" w:rsidRPr="00C81B96" w:rsidRDefault="0028381A" w:rsidP="0028381A">
      <w:pPr>
        <w:pStyle w:val="FootnoteText"/>
        <w:spacing w:after="0"/>
        <w:ind w:firstLine="720"/>
      </w:pPr>
    </w:p>
  </w:footnote>
  <w:footnote w:id="4">
    <w:p w:rsidR="004C5709" w:rsidRDefault="004C5709" w:rsidP="0028381A">
      <w:pPr>
        <w:pStyle w:val="FootnoteText"/>
        <w:spacing w:after="0"/>
        <w:ind w:firstLine="72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w:t>
      </w:r>
      <w:r w:rsidR="00381862">
        <w:t xml:space="preserve">a. </w:t>
      </w:r>
      <w:r w:rsidRPr="00C81B96">
        <w:t>PUC 300 (1976).</w:t>
      </w:r>
    </w:p>
    <w:p w:rsidR="0028381A" w:rsidRPr="00C81B96" w:rsidRDefault="0028381A" w:rsidP="0028381A">
      <w:pPr>
        <w:pStyle w:val="FootnoteText"/>
        <w:spacing w:after="0"/>
        <w:ind w:firstLine="720"/>
      </w:pPr>
    </w:p>
  </w:footnote>
  <w:footnote w:id="5">
    <w:p w:rsidR="004C5709" w:rsidRDefault="004C5709" w:rsidP="0028381A">
      <w:pPr>
        <w:pStyle w:val="FootnoteText"/>
        <w:spacing w:after="0"/>
        <w:ind w:firstLine="720"/>
      </w:pPr>
      <w:r w:rsidRPr="00A64B1F">
        <w:rPr>
          <w:rStyle w:val="FootnoteReference"/>
        </w:rPr>
        <w:footnoteRef/>
      </w:r>
      <w:r w:rsidRPr="00A64B1F">
        <w:t xml:space="preserve">  </w:t>
      </w:r>
      <w:r w:rsidRPr="00A64B1F">
        <w:tab/>
        <w:t>66 Pa.C.S. § 1501.</w:t>
      </w:r>
      <w:r>
        <w:t xml:space="preserve"> </w:t>
      </w:r>
      <w:r>
        <w:rPr>
          <w:i/>
        </w:rPr>
        <w:t>See also Keating v. Genco Enterprises LLC d/b/a Town and Country Moving and Storage</w:t>
      </w:r>
      <w:r>
        <w:t>, Docket No. C-2012-2287152 (Initial Decision dated August 2, 2012, Final Order entered November 8, 2012).</w:t>
      </w:r>
    </w:p>
    <w:p w:rsidR="0028381A" w:rsidRPr="006F4B62" w:rsidRDefault="0028381A" w:rsidP="0028381A">
      <w:pPr>
        <w:pStyle w:val="FootnoteText"/>
        <w:spacing w:after="0"/>
        <w:ind w:firstLine="720"/>
        <w:rPr>
          <w:i/>
        </w:rPr>
      </w:pPr>
    </w:p>
  </w:footnote>
  <w:footnote w:id="6">
    <w:p w:rsidR="004C5709" w:rsidRPr="00A64B1F" w:rsidRDefault="004C5709" w:rsidP="0028381A">
      <w:pPr>
        <w:pStyle w:val="FootnoteText"/>
        <w:spacing w:after="0"/>
        <w:ind w:left="720"/>
      </w:pPr>
      <w:r w:rsidRPr="00A64B1F">
        <w:rPr>
          <w:rStyle w:val="FootnoteReference"/>
        </w:rPr>
        <w:footnoteRef/>
      </w:r>
      <w:r w:rsidRPr="00A64B1F">
        <w:t xml:space="preserve">  </w:t>
      </w:r>
      <w:r w:rsidRPr="00A64B1F">
        <w:tab/>
      </w:r>
      <w:r w:rsidRPr="00931E61">
        <w:rPr>
          <w:i/>
        </w:rPr>
        <w:t>West Penn Power Co. v. Pa. Pub</w:t>
      </w:r>
      <w:r>
        <w:rPr>
          <w:i/>
        </w:rPr>
        <w:t>.</w:t>
      </w:r>
      <w:r w:rsidRPr="00931E61">
        <w:rPr>
          <w:i/>
        </w:rPr>
        <w:t xml:space="preserve"> Util. Comm’n</w:t>
      </w:r>
      <w:r w:rsidRPr="00A64B1F">
        <w:t>, 478 A.2d 947, 949 (Pa.Cmwlth. 1984).</w:t>
      </w:r>
    </w:p>
  </w:footnote>
  <w:footnote w:id="7">
    <w:p w:rsidR="004C5709" w:rsidRDefault="004C5709" w:rsidP="0028381A">
      <w:pPr>
        <w:pStyle w:val="FootnoteText"/>
        <w:spacing w:after="0"/>
        <w:ind w:firstLine="720"/>
      </w:pPr>
      <w:r w:rsidRPr="00A64B1F">
        <w:rPr>
          <w:rStyle w:val="FootnoteReference"/>
        </w:rPr>
        <w:footnoteRef/>
      </w:r>
      <w:r w:rsidRPr="00A64B1F">
        <w:t xml:space="preserve">  </w:t>
      </w:r>
      <w:r w:rsidRPr="00A64B1F">
        <w:tab/>
      </w:r>
      <w:r w:rsidRPr="00A64B1F">
        <w:rPr>
          <w:i/>
        </w:rPr>
        <w:t>Re Metropolitan Edison Company</w:t>
      </w:r>
      <w:r w:rsidRPr="00A64B1F">
        <w:t>, 80 Pa. PUC 663, 672 (1993).</w:t>
      </w:r>
    </w:p>
    <w:p w:rsidR="0028381A" w:rsidRPr="00A64B1F" w:rsidRDefault="0028381A" w:rsidP="0028381A">
      <w:pPr>
        <w:pStyle w:val="FootnoteText"/>
        <w:spacing w:after="0"/>
        <w:ind w:firstLine="720"/>
      </w:pPr>
    </w:p>
  </w:footnote>
  <w:footnote w:id="8">
    <w:p w:rsidR="004C5709" w:rsidRDefault="004C5709" w:rsidP="0028381A">
      <w:pPr>
        <w:pStyle w:val="FootnoteText"/>
        <w:spacing w:after="0"/>
        <w:ind w:firstLine="720"/>
      </w:pPr>
      <w:r w:rsidRPr="00A64B1F">
        <w:rPr>
          <w:rStyle w:val="FootnoteReference"/>
        </w:rPr>
        <w:footnoteRef/>
      </w:r>
      <w:r w:rsidRPr="00A64B1F">
        <w:t xml:space="preserve"> </w:t>
      </w:r>
      <w:r w:rsidRPr="00A64B1F">
        <w:tab/>
      </w:r>
      <w:r w:rsidRPr="00A64B1F">
        <w:rPr>
          <w:i/>
        </w:rPr>
        <w:t>Scherich v. Verizon Pennsylvania Inc.</w:t>
      </w:r>
      <w:r w:rsidRPr="00A64B1F">
        <w:t>, PUC Docket Nos. C-2008-2061244, C-2008</w:t>
      </w:r>
      <w:r>
        <w:t>-</w:t>
      </w:r>
      <w:r w:rsidRPr="00A64B1F">
        <w:t>2068818 (Final Order January 28, 2010).</w:t>
      </w:r>
    </w:p>
    <w:p w:rsidR="0028381A" w:rsidRPr="00A64B1F" w:rsidRDefault="0028381A" w:rsidP="0028381A">
      <w:pPr>
        <w:pStyle w:val="FootnoteText"/>
        <w:spacing w:after="0"/>
        <w:ind w:firstLine="720"/>
      </w:pPr>
    </w:p>
  </w:footnote>
  <w:footnote w:id="9">
    <w:p w:rsidR="004C5709" w:rsidRDefault="004C5709" w:rsidP="0028381A">
      <w:pPr>
        <w:pStyle w:val="FootnoteText"/>
        <w:spacing w:after="0"/>
        <w:ind w:firstLine="720"/>
      </w:pPr>
      <w:r w:rsidRPr="00A64B1F">
        <w:rPr>
          <w:rStyle w:val="FootnoteReference"/>
        </w:rPr>
        <w:footnoteRef/>
      </w:r>
      <w:r w:rsidRPr="00A64B1F">
        <w:t xml:space="preserve">  </w:t>
      </w:r>
      <w:r w:rsidRPr="00A64B1F">
        <w:tab/>
      </w:r>
      <w:r w:rsidRPr="004A1C94">
        <w:rPr>
          <w:i/>
        </w:rPr>
        <w:t>Id</w:t>
      </w:r>
      <w:r w:rsidRPr="00A64B1F">
        <w:t>.</w:t>
      </w:r>
    </w:p>
    <w:p w:rsidR="004C5709" w:rsidRPr="00A64B1F" w:rsidRDefault="004C5709" w:rsidP="0028381A">
      <w:pPr>
        <w:pStyle w:val="FootnoteText"/>
        <w:spacing w:after="0"/>
        <w:ind w:firstLine="720"/>
      </w:pPr>
    </w:p>
  </w:footnote>
  <w:footnote w:id="10">
    <w:p w:rsidR="00201D16" w:rsidRDefault="00201D16" w:rsidP="0028381A">
      <w:pPr>
        <w:pStyle w:val="FootnoteText"/>
        <w:spacing w:after="0"/>
        <w:ind w:firstLine="720"/>
        <w:rPr>
          <w:snapToGrid w:val="0"/>
        </w:rPr>
      </w:pPr>
      <w:r>
        <w:rPr>
          <w:rStyle w:val="FootnoteReference"/>
        </w:rPr>
        <w:footnoteRef/>
      </w:r>
      <w:r>
        <w:t xml:space="preserve"> </w:t>
      </w:r>
      <w:r>
        <w:tab/>
      </w:r>
      <w:r>
        <w:rPr>
          <w:snapToGrid w:val="0"/>
        </w:rPr>
        <w:t>66 Pa.C.S. § 3301.</w:t>
      </w:r>
    </w:p>
    <w:p w:rsidR="00201D16" w:rsidRDefault="00201D16" w:rsidP="0028381A">
      <w:pPr>
        <w:pStyle w:val="FootnoteText"/>
        <w:spacing w:after="0"/>
        <w:ind w:firstLine="720"/>
      </w:pPr>
    </w:p>
  </w:footnote>
  <w:footnote w:id="11">
    <w:p w:rsidR="00201D16" w:rsidRPr="003D7B7B" w:rsidRDefault="00201D16" w:rsidP="0028381A">
      <w:pPr>
        <w:pStyle w:val="FootnoteText"/>
        <w:spacing w:after="0"/>
        <w:ind w:firstLine="720"/>
        <w:rPr>
          <w:snapToGrid w:val="0"/>
        </w:rPr>
      </w:pPr>
      <w:r>
        <w:rPr>
          <w:rStyle w:val="FootnoteReference"/>
        </w:rPr>
        <w:footnoteRef/>
      </w:r>
      <w:r>
        <w:t xml:space="preserve">  </w:t>
      </w:r>
      <w:r>
        <w:tab/>
      </w:r>
      <w:r>
        <w:rPr>
          <w:i/>
          <w:snapToGrid w:val="0"/>
        </w:rPr>
        <w:t>See</w:t>
      </w:r>
      <w:r>
        <w:rPr>
          <w:snapToGrid w:val="0"/>
        </w:rPr>
        <w:t xml:space="preserve"> 52 Pa.Code § 69.1201; </w:t>
      </w:r>
      <w:r>
        <w:rPr>
          <w:i/>
          <w:snapToGrid w:val="0"/>
        </w:rPr>
        <w:t>see also, Rosi v. Bell Atlantic-Pa., Inc. and Sprint Communica</w:t>
      </w:r>
      <w:r>
        <w:rPr>
          <w:i/>
          <w:snapToGrid w:val="0"/>
        </w:rPr>
        <w:softHyphen/>
        <w:t>tions Company</w:t>
      </w:r>
      <w:r>
        <w:rPr>
          <w:snapToGrid w:val="0"/>
        </w:rPr>
        <w:t>, Docket No. C</w:t>
      </w:r>
      <w:r>
        <w:rPr>
          <w:snapToGrid w:val="0"/>
        </w:rPr>
        <w:noBreakHyphen/>
        <w:t>00992409 (Order entered February 10, 2000) (</w:t>
      </w:r>
      <w:r>
        <w:rPr>
          <w:i/>
          <w:snapToGrid w:val="0"/>
        </w:rPr>
        <w:t>Rosi</w:t>
      </w:r>
      <w:r>
        <w:rPr>
          <w:snapToGrid w:val="0"/>
        </w:rPr>
        <w:t>).</w:t>
      </w:r>
    </w:p>
    <w:p w:rsidR="00201D16" w:rsidRDefault="00201D16" w:rsidP="0028381A">
      <w:pPr>
        <w:pStyle w:val="FootnoteText"/>
        <w:spacing w:after="0"/>
        <w:ind w:firstLine="720"/>
      </w:pPr>
    </w:p>
  </w:footnote>
  <w:footnote w:id="12">
    <w:p w:rsidR="00201D16" w:rsidRDefault="00201D16" w:rsidP="0028381A">
      <w:pPr>
        <w:pStyle w:val="FootnoteText"/>
        <w:spacing w:after="0"/>
        <w:ind w:firstLine="720"/>
      </w:pPr>
      <w:r>
        <w:rPr>
          <w:rStyle w:val="FootnoteReference"/>
        </w:rPr>
        <w:footnoteRef/>
      </w:r>
      <w:r>
        <w:t xml:space="preserve"> </w:t>
      </w:r>
      <w:r>
        <w:tab/>
        <w:t xml:space="preserve"> 52 Pa.Code § 69.1201(a).  </w:t>
      </w:r>
    </w:p>
  </w:footnote>
  <w:footnote w:id="13">
    <w:p w:rsidR="00201D16" w:rsidRDefault="00201D16" w:rsidP="0028381A">
      <w:pPr>
        <w:pStyle w:val="FootnoteText"/>
        <w:spacing w:after="0"/>
        <w:ind w:firstLine="720"/>
      </w:pPr>
      <w:r>
        <w:rPr>
          <w:rStyle w:val="FootnoteReference"/>
        </w:rPr>
        <w:footnoteRef/>
      </w:r>
      <w:r>
        <w:t xml:space="preserve">  </w:t>
      </w:r>
      <w:r>
        <w:tab/>
        <w:t>52 Pa.Code § 69.1201(c).</w:t>
      </w:r>
    </w:p>
    <w:p w:rsidR="00201D16" w:rsidRDefault="00201D16" w:rsidP="0028381A">
      <w:pPr>
        <w:pStyle w:val="FootnoteText"/>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2AC2C0"/>
    <w:lvl w:ilvl="0">
      <w:start w:val="1"/>
      <w:numFmt w:val="decimal"/>
      <w:lvlText w:val="%1."/>
      <w:lvlJc w:val="left"/>
      <w:pPr>
        <w:tabs>
          <w:tab w:val="num" w:pos="1800"/>
        </w:tabs>
        <w:ind w:left="1800" w:hanging="360"/>
      </w:pPr>
    </w:lvl>
  </w:abstractNum>
  <w:abstractNum w:abstractNumId="1">
    <w:nsid w:val="FFFFFF7D"/>
    <w:multiLevelType w:val="singleLevel"/>
    <w:tmpl w:val="E434599C"/>
    <w:lvl w:ilvl="0">
      <w:start w:val="1"/>
      <w:numFmt w:val="decimal"/>
      <w:lvlText w:val="%1."/>
      <w:lvlJc w:val="left"/>
      <w:pPr>
        <w:tabs>
          <w:tab w:val="num" w:pos="1440"/>
        </w:tabs>
        <w:ind w:left="1440" w:hanging="360"/>
      </w:pPr>
    </w:lvl>
  </w:abstractNum>
  <w:abstractNum w:abstractNumId="2">
    <w:nsid w:val="FFFFFF7E"/>
    <w:multiLevelType w:val="singleLevel"/>
    <w:tmpl w:val="1BC81F58"/>
    <w:lvl w:ilvl="0">
      <w:start w:val="1"/>
      <w:numFmt w:val="decimal"/>
      <w:lvlText w:val="%1."/>
      <w:lvlJc w:val="left"/>
      <w:pPr>
        <w:tabs>
          <w:tab w:val="num" w:pos="1080"/>
        </w:tabs>
        <w:ind w:left="1080" w:hanging="360"/>
      </w:pPr>
    </w:lvl>
  </w:abstractNum>
  <w:abstractNum w:abstractNumId="3">
    <w:nsid w:val="FFFFFF7F"/>
    <w:multiLevelType w:val="singleLevel"/>
    <w:tmpl w:val="A0CAF3C2"/>
    <w:lvl w:ilvl="0">
      <w:start w:val="1"/>
      <w:numFmt w:val="decimal"/>
      <w:lvlText w:val="%1."/>
      <w:lvlJc w:val="left"/>
      <w:pPr>
        <w:tabs>
          <w:tab w:val="num" w:pos="720"/>
        </w:tabs>
        <w:ind w:left="720" w:hanging="360"/>
      </w:pPr>
    </w:lvl>
  </w:abstractNum>
  <w:abstractNum w:abstractNumId="4">
    <w:nsid w:val="FFFFFF80"/>
    <w:multiLevelType w:val="singleLevel"/>
    <w:tmpl w:val="8ED627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ECD4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F019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02F2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778177E"/>
    <w:lvl w:ilvl="0">
      <w:start w:val="1"/>
      <w:numFmt w:val="decimal"/>
      <w:lvlText w:val="%1."/>
      <w:lvlJc w:val="left"/>
      <w:pPr>
        <w:tabs>
          <w:tab w:val="num" w:pos="360"/>
        </w:tabs>
        <w:ind w:left="360" w:hanging="360"/>
      </w:pPr>
    </w:lvl>
  </w:abstractNum>
  <w:abstractNum w:abstractNumId="9">
    <w:nsid w:val="FFFFFF89"/>
    <w:multiLevelType w:val="singleLevel"/>
    <w:tmpl w:val="7780EE46"/>
    <w:lvl w:ilvl="0">
      <w:start w:val="1"/>
      <w:numFmt w:val="bullet"/>
      <w:lvlText w:val=""/>
      <w:lvlJc w:val="left"/>
      <w:pPr>
        <w:tabs>
          <w:tab w:val="num" w:pos="360"/>
        </w:tabs>
        <w:ind w:left="360" w:hanging="360"/>
      </w:pPr>
      <w:rPr>
        <w:rFonts w:ascii="Symbol" w:hAnsi="Symbol" w:hint="default"/>
      </w:rPr>
    </w:lvl>
  </w:abstractNum>
  <w:abstractNum w:abstractNumId="1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B6BCD"/>
    <w:multiLevelType w:val="hybridMultilevel"/>
    <w:tmpl w:val="2EFAAABE"/>
    <w:lvl w:ilvl="0" w:tplc="C17C29C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7"/>
  </w:num>
  <w:num w:numId="4">
    <w:abstractNumId w:val="20"/>
  </w:num>
  <w:num w:numId="5">
    <w:abstractNumId w:val="13"/>
  </w:num>
  <w:num w:numId="6">
    <w:abstractNumId w:val="12"/>
  </w:num>
  <w:num w:numId="7">
    <w:abstractNumId w:val="11"/>
  </w:num>
  <w:num w:numId="8">
    <w:abstractNumId w:val="19"/>
  </w:num>
  <w:num w:numId="9">
    <w:abstractNumId w:val="10"/>
  </w:num>
  <w:num w:numId="10">
    <w:abstractNumId w:val="15"/>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58"/>
    <w:rsid w:val="00004C37"/>
    <w:rsid w:val="00014B79"/>
    <w:rsid w:val="00022AF6"/>
    <w:rsid w:val="00025F01"/>
    <w:rsid w:val="00093EDD"/>
    <w:rsid w:val="00094CA4"/>
    <w:rsid w:val="0010236D"/>
    <w:rsid w:val="00165806"/>
    <w:rsid w:val="001B1CBA"/>
    <w:rsid w:val="001D3DC7"/>
    <w:rsid w:val="00201D16"/>
    <w:rsid w:val="00213167"/>
    <w:rsid w:val="00234851"/>
    <w:rsid w:val="002512F9"/>
    <w:rsid w:val="0028381A"/>
    <w:rsid w:val="002936CC"/>
    <w:rsid w:val="0029402E"/>
    <w:rsid w:val="002A160B"/>
    <w:rsid w:val="002E1B0B"/>
    <w:rsid w:val="00303688"/>
    <w:rsid w:val="0036152B"/>
    <w:rsid w:val="00381862"/>
    <w:rsid w:val="00393C92"/>
    <w:rsid w:val="003C4173"/>
    <w:rsid w:val="003D6158"/>
    <w:rsid w:val="003F7B3A"/>
    <w:rsid w:val="00477976"/>
    <w:rsid w:val="004C5709"/>
    <w:rsid w:val="004D523C"/>
    <w:rsid w:val="004E1D9B"/>
    <w:rsid w:val="0050089A"/>
    <w:rsid w:val="0050799D"/>
    <w:rsid w:val="00512DCB"/>
    <w:rsid w:val="00524B5A"/>
    <w:rsid w:val="005376B6"/>
    <w:rsid w:val="005A2ABA"/>
    <w:rsid w:val="005A5BFB"/>
    <w:rsid w:val="005C34C8"/>
    <w:rsid w:val="0061775F"/>
    <w:rsid w:val="00646F39"/>
    <w:rsid w:val="006634EE"/>
    <w:rsid w:val="006973BB"/>
    <w:rsid w:val="00697EB4"/>
    <w:rsid w:val="006E0CB7"/>
    <w:rsid w:val="006F0329"/>
    <w:rsid w:val="00712E58"/>
    <w:rsid w:val="00792796"/>
    <w:rsid w:val="00797A11"/>
    <w:rsid w:val="007E6779"/>
    <w:rsid w:val="008529D2"/>
    <w:rsid w:val="008C16CA"/>
    <w:rsid w:val="008D69C9"/>
    <w:rsid w:val="00904618"/>
    <w:rsid w:val="009601D8"/>
    <w:rsid w:val="0097601E"/>
    <w:rsid w:val="009E1759"/>
    <w:rsid w:val="00A81B54"/>
    <w:rsid w:val="00A9560B"/>
    <w:rsid w:val="00AA2EC5"/>
    <w:rsid w:val="00AB4C73"/>
    <w:rsid w:val="00AC2CE8"/>
    <w:rsid w:val="00AE679D"/>
    <w:rsid w:val="00AE6F47"/>
    <w:rsid w:val="00B97F49"/>
    <w:rsid w:val="00BC6B21"/>
    <w:rsid w:val="00BF6ED4"/>
    <w:rsid w:val="00C6238C"/>
    <w:rsid w:val="00CB135F"/>
    <w:rsid w:val="00CB3336"/>
    <w:rsid w:val="00D03A5A"/>
    <w:rsid w:val="00D54035"/>
    <w:rsid w:val="00DD5C37"/>
    <w:rsid w:val="00E502E0"/>
    <w:rsid w:val="00EC1CBA"/>
    <w:rsid w:val="00F16554"/>
    <w:rsid w:val="00F544E1"/>
    <w:rsid w:val="00F839BC"/>
    <w:rsid w:val="00FD5C10"/>
    <w:rsid w:val="00FD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E679D"/>
    <w:pPr>
      <w:numPr>
        <w:numId w:val="11"/>
      </w:numPr>
      <w:tabs>
        <w:tab w:val="clear" w:pos="1440"/>
      </w:tabs>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797A1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97A11"/>
    <w:rPr>
      <w:rFonts w:ascii="Times New Roman" w:hAnsi="Times New Roman" w:cs="Times New Roman"/>
      <w:sz w:val="24"/>
      <w:szCs w:val="20"/>
    </w:rPr>
  </w:style>
  <w:style w:type="paragraph" w:styleId="Footer">
    <w:name w:val="footer"/>
    <w:basedOn w:val="Normal"/>
    <w:link w:val="FooterChar"/>
    <w:uiPriority w:val="99"/>
    <w:unhideWhenUsed/>
    <w:rsid w:val="00797A1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97A11"/>
    <w:rPr>
      <w:rFonts w:ascii="Times New Roman" w:hAnsi="Times New Roman" w:cs="Times New Roman"/>
      <w:sz w:val="24"/>
      <w:szCs w:val="20"/>
    </w:rPr>
  </w:style>
  <w:style w:type="character" w:styleId="FootnoteReference">
    <w:name w:val="footnote reference"/>
    <w:basedOn w:val="DefaultParagraphFont"/>
    <w:uiPriority w:val="99"/>
    <w:unhideWhenUsed/>
    <w:rsid w:val="00F839BC"/>
    <w:rPr>
      <w:vertAlign w:val="superscript"/>
    </w:rPr>
  </w:style>
  <w:style w:type="paragraph" w:styleId="BalloonText">
    <w:name w:val="Balloon Text"/>
    <w:basedOn w:val="Normal"/>
    <w:link w:val="BalloonTextChar"/>
    <w:uiPriority w:val="99"/>
    <w:semiHidden/>
    <w:unhideWhenUsed/>
    <w:rsid w:val="006E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E679D"/>
    <w:pPr>
      <w:numPr>
        <w:numId w:val="11"/>
      </w:numPr>
      <w:tabs>
        <w:tab w:val="clear" w:pos="1440"/>
      </w:tabs>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797A1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97A11"/>
    <w:rPr>
      <w:rFonts w:ascii="Times New Roman" w:hAnsi="Times New Roman" w:cs="Times New Roman"/>
      <w:sz w:val="24"/>
      <w:szCs w:val="20"/>
    </w:rPr>
  </w:style>
  <w:style w:type="paragraph" w:styleId="Footer">
    <w:name w:val="footer"/>
    <w:basedOn w:val="Normal"/>
    <w:link w:val="FooterChar"/>
    <w:uiPriority w:val="99"/>
    <w:unhideWhenUsed/>
    <w:rsid w:val="00797A1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97A11"/>
    <w:rPr>
      <w:rFonts w:ascii="Times New Roman" w:hAnsi="Times New Roman" w:cs="Times New Roman"/>
      <w:sz w:val="24"/>
      <w:szCs w:val="20"/>
    </w:rPr>
  </w:style>
  <w:style w:type="character" w:styleId="FootnoteReference">
    <w:name w:val="footnote reference"/>
    <w:basedOn w:val="DefaultParagraphFont"/>
    <w:uiPriority w:val="99"/>
    <w:unhideWhenUsed/>
    <w:rsid w:val="00F839BC"/>
    <w:rPr>
      <w:vertAlign w:val="superscript"/>
    </w:rPr>
  </w:style>
  <w:style w:type="paragraph" w:styleId="BalloonText">
    <w:name w:val="Balloon Text"/>
    <w:basedOn w:val="Normal"/>
    <w:link w:val="BalloonTextChar"/>
    <w:uiPriority w:val="99"/>
    <w:semiHidden/>
    <w:unhideWhenUsed/>
    <w:rsid w:val="006E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AD3B-760D-47FD-A913-B4A7CF7C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2285</Words>
  <Characters>13029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2</cp:revision>
  <cp:lastPrinted>2014-12-23T14:03:00Z</cp:lastPrinted>
  <dcterms:created xsi:type="dcterms:W3CDTF">2014-12-24T14:05:00Z</dcterms:created>
  <dcterms:modified xsi:type="dcterms:W3CDTF">2014-12-24T14:05:00Z</dcterms:modified>
</cp:coreProperties>
</file>