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689" w:rsidRPr="003A5CD9" w:rsidRDefault="00902689" w:rsidP="00902689">
      <w:pPr>
        <w:jc w:val="center"/>
        <w:rPr>
          <w:b/>
          <w:bCs/>
        </w:rPr>
      </w:pPr>
      <w:r w:rsidRPr="003A5CD9">
        <w:rPr>
          <w:b/>
          <w:bCs/>
        </w:rPr>
        <w:t>BEFORE THE</w:t>
      </w:r>
    </w:p>
    <w:p w:rsidR="00902689" w:rsidRPr="003A5CD9" w:rsidRDefault="00902689" w:rsidP="00902689">
      <w:pPr>
        <w:jc w:val="center"/>
        <w:rPr>
          <w:b/>
          <w:bCs/>
        </w:rPr>
      </w:pPr>
      <w:r w:rsidRPr="003A5CD9">
        <w:rPr>
          <w:b/>
          <w:bCs/>
        </w:rPr>
        <w:t>PENNSYLVANIA PUBLIC UTILITY COMMISSION</w:t>
      </w:r>
    </w:p>
    <w:p w:rsidR="00902689" w:rsidRDefault="00902689" w:rsidP="00902689">
      <w:pPr>
        <w:rPr>
          <w:bCs/>
        </w:rPr>
      </w:pPr>
    </w:p>
    <w:p w:rsidR="00F33C1D" w:rsidRPr="003A5CD9" w:rsidRDefault="00F33C1D" w:rsidP="00902689">
      <w:pPr>
        <w:rPr>
          <w:bCs/>
        </w:rPr>
      </w:pPr>
    </w:p>
    <w:p w:rsidR="00722162" w:rsidRPr="003A5CD9" w:rsidRDefault="00722162" w:rsidP="00722162">
      <w:pPr>
        <w:rPr>
          <w:bCs/>
        </w:rPr>
      </w:pPr>
    </w:p>
    <w:p w:rsidR="00722162" w:rsidRPr="003A5CD9" w:rsidRDefault="00722162" w:rsidP="00722162">
      <w:pPr>
        <w:widowControl w:val="0"/>
        <w:adjustRightInd w:val="0"/>
        <w:rPr>
          <w:bCs/>
          <w:color w:val="000000"/>
        </w:rPr>
      </w:pPr>
      <w:r>
        <w:rPr>
          <w:bCs/>
          <w:color w:val="000000"/>
        </w:rPr>
        <w:t>Pennsylvania Public Utility Commission</w:t>
      </w:r>
      <w:r w:rsidRPr="003A5CD9">
        <w:rPr>
          <w:bCs/>
          <w:color w:val="000000"/>
        </w:rPr>
        <w:tab/>
      </w:r>
      <w:r w:rsidRPr="003A5CD9">
        <w:rPr>
          <w:bCs/>
          <w:color w:val="000000"/>
        </w:rPr>
        <w:tab/>
        <w:t>:</w:t>
      </w:r>
    </w:p>
    <w:p w:rsidR="00722162" w:rsidRDefault="00722162" w:rsidP="00722162">
      <w:pPr>
        <w:widowControl w:val="0"/>
        <w:adjustRightInd w:val="0"/>
        <w:rPr>
          <w:bCs/>
          <w:color w:val="000000"/>
        </w:rPr>
      </w:pPr>
      <w:r>
        <w:rPr>
          <w:bCs/>
          <w:color w:val="000000"/>
        </w:rPr>
        <w:t>Bureau of Investigation and Enforcement</w:t>
      </w:r>
      <w:r w:rsidRPr="003A5CD9">
        <w:rPr>
          <w:bCs/>
          <w:color w:val="000000"/>
        </w:rPr>
        <w:tab/>
      </w:r>
      <w:r w:rsidRPr="003A5CD9">
        <w:rPr>
          <w:bCs/>
          <w:color w:val="000000"/>
        </w:rPr>
        <w:tab/>
        <w:t>:</w:t>
      </w:r>
    </w:p>
    <w:p w:rsidR="00722162" w:rsidRPr="003A5CD9" w:rsidRDefault="00722162" w:rsidP="00722162">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722162" w:rsidRPr="003A5CD9" w:rsidRDefault="00722162" w:rsidP="00722162">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w:t>
      </w:r>
      <w:r>
        <w:rPr>
          <w:bCs/>
          <w:color w:val="000000"/>
        </w:rPr>
        <w:t>2431410</w:t>
      </w:r>
    </w:p>
    <w:p w:rsidR="00722162" w:rsidRDefault="00722162" w:rsidP="00722162">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722162" w:rsidRPr="00F83A87" w:rsidRDefault="00722162" w:rsidP="00722162">
      <w:pPr>
        <w:widowControl w:val="0"/>
        <w:adjustRightInd w:val="0"/>
        <w:rPr>
          <w:bCs/>
          <w:color w:val="000000"/>
        </w:rPr>
      </w:pPr>
      <w:r>
        <w:rPr>
          <w:bCs/>
          <w:color w:val="000000"/>
        </w:rPr>
        <w:t>HIKO Energy LLC</w:t>
      </w:r>
      <w:r w:rsidRPr="003A5CD9">
        <w:rPr>
          <w:bCs/>
          <w:color w:val="000000"/>
        </w:rPr>
        <w:tab/>
      </w:r>
      <w:r w:rsidRPr="003A5CD9">
        <w:rPr>
          <w:bCs/>
          <w:color w:val="000000"/>
        </w:rPr>
        <w:tab/>
      </w:r>
      <w:r w:rsidRPr="003A5CD9">
        <w:rPr>
          <w:bCs/>
          <w:color w:val="000000"/>
        </w:rPr>
        <w:tab/>
      </w:r>
      <w:r>
        <w:rPr>
          <w:bCs/>
          <w:color w:val="000000"/>
        </w:rPr>
        <w:tab/>
      </w:r>
      <w:r>
        <w:rPr>
          <w:bCs/>
          <w:color w:val="000000"/>
        </w:rPr>
        <w:tab/>
        <w:t>:</w:t>
      </w:r>
    </w:p>
    <w:p w:rsidR="006E6385" w:rsidRDefault="006E6385" w:rsidP="006E6385"/>
    <w:p w:rsidR="00F33C1D" w:rsidRPr="006E6385" w:rsidRDefault="00F33C1D" w:rsidP="006E6385"/>
    <w:p w:rsidR="00CE7205" w:rsidRDefault="00CE7205" w:rsidP="004A240F">
      <w:pPr>
        <w:jc w:val="center"/>
        <w:rPr>
          <w:b/>
        </w:rPr>
      </w:pPr>
    </w:p>
    <w:p w:rsidR="00722162" w:rsidRDefault="004A240F" w:rsidP="00CE7205">
      <w:pPr>
        <w:jc w:val="center"/>
        <w:rPr>
          <w:b/>
          <w:u w:val="single"/>
        </w:rPr>
      </w:pPr>
      <w:r w:rsidRPr="00CE7205">
        <w:rPr>
          <w:b/>
          <w:u w:val="single"/>
        </w:rPr>
        <w:t xml:space="preserve">ORDER </w:t>
      </w:r>
      <w:r w:rsidR="00B77408" w:rsidRPr="00CE7205">
        <w:rPr>
          <w:b/>
          <w:u w:val="single"/>
        </w:rPr>
        <w:t xml:space="preserve">DENYING </w:t>
      </w:r>
      <w:r w:rsidR="00902689">
        <w:rPr>
          <w:b/>
          <w:u w:val="single"/>
        </w:rPr>
        <w:t xml:space="preserve">HIKO ENERGY LLC’S </w:t>
      </w:r>
      <w:r w:rsidRPr="00CE7205">
        <w:rPr>
          <w:b/>
          <w:u w:val="single"/>
        </w:rPr>
        <w:t>MOTION</w:t>
      </w:r>
      <w:r w:rsidR="00722162">
        <w:rPr>
          <w:b/>
          <w:u w:val="single"/>
        </w:rPr>
        <w:t>S</w:t>
      </w:r>
      <w:r w:rsidRPr="00CE7205">
        <w:rPr>
          <w:b/>
          <w:u w:val="single"/>
        </w:rPr>
        <w:t xml:space="preserve"> TO COMPEL</w:t>
      </w:r>
      <w:r w:rsidR="00722162">
        <w:rPr>
          <w:b/>
          <w:u w:val="single"/>
        </w:rPr>
        <w:t xml:space="preserve">, </w:t>
      </w:r>
    </w:p>
    <w:p w:rsidR="00B37BA6" w:rsidRDefault="00722162" w:rsidP="00EF2ED5">
      <w:pPr>
        <w:jc w:val="center"/>
        <w:rPr>
          <w:b/>
          <w:u w:val="single"/>
        </w:rPr>
      </w:pPr>
      <w:r>
        <w:rPr>
          <w:b/>
          <w:u w:val="single"/>
        </w:rPr>
        <w:t>DENYING A</w:t>
      </w:r>
      <w:r w:rsidR="00F3750B">
        <w:rPr>
          <w:b/>
          <w:u w:val="single"/>
        </w:rPr>
        <w:t>N APPLICATION</w:t>
      </w:r>
      <w:r>
        <w:rPr>
          <w:b/>
          <w:u w:val="single"/>
        </w:rPr>
        <w:t xml:space="preserve"> FOR SUBPOENA</w:t>
      </w:r>
      <w:r w:rsidR="00AE7A1F">
        <w:rPr>
          <w:b/>
          <w:u w:val="single"/>
        </w:rPr>
        <w:t xml:space="preserve"> </w:t>
      </w:r>
      <w:r w:rsidR="00AE7A1F" w:rsidRPr="00AE7A1F">
        <w:rPr>
          <w:b/>
          <w:i/>
          <w:u w:val="single"/>
        </w:rPr>
        <w:t>DUCES T</w:t>
      </w:r>
      <w:r w:rsidR="00C16B09">
        <w:rPr>
          <w:b/>
          <w:i/>
          <w:u w:val="single"/>
        </w:rPr>
        <w:t>ECU</w:t>
      </w:r>
      <w:r w:rsidR="00AE7A1F" w:rsidRPr="00AE7A1F">
        <w:rPr>
          <w:b/>
          <w:i/>
          <w:u w:val="single"/>
        </w:rPr>
        <w:t>M</w:t>
      </w:r>
      <w:r>
        <w:rPr>
          <w:b/>
          <w:u w:val="single"/>
        </w:rPr>
        <w:t xml:space="preserve">, </w:t>
      </w:r>
      <w:r w:rsidR="00EF2ED5">
        <w:rPr>
          <w:b/>
          <w:u w:val="single"/>
        </w:rPr>
        <w:t xml:space="preserve">AND </w:t>
      </w:r>
    </w:p>
    <w:p w:rsidR="004A240F" w:rsidRPr="00CE7205" w:rsidRDefault="00722162" w:rsidP="00EF2ED5">
      <w:pPr>
        <w:jc w:val="center"/>
        <w:rPr>
          <w:b/>
          <w:u w:val="single"/>
        </w:rPr>
      </w:pPr>
      <w:r>
        <w:rPr>
          <w:b/>
          <w:u w:val="single"/>
        </w:rPr>
        <w:t xml:space="preserve">GRANTING </w:t>
      </w:r>
      <w:proofErr w:type="gramStart"/>
      <w:r>
        <w:rPr>
          <w:b/>
          <w:u w:val="single"/>
        </w:rPr>
        <w:t>A  MOTION</w:t>
      </w:r>
      <w:proofErr w:type="gramEnd"/>
      <w:r>
        <w:rPr>
          <w:b/>
          <w:u w:val="single"/>
        </w:rPr>
        <w:t xml:space="preserve"> FOR ADMISSION </w:t>
      </w:r>
      <w:r w:rsidRPr="00AE7A1F">
        <w:rPr>
          <w:b/>
          <w:i/>
          <w:u w:val="single"/>
        </w:rPr>
        <w:t>PRO HAC VICE</w:t>
      </w:r>
      <w:r w:rsidR="004A240F" w:rsidRPr="00CE7205">
        <w:rPr>
          <w:b/>
          <w:u w:val="single"/>
        </w:rPr>
        <w:t xml:space="preserve"> </w:t>
      </w:r>
    </w:p>
    <w:p w:rsidR="004A240F" w:rsidRDefault="004A240F" w:rsidP="00CE7205"/>
    <w:p w:rsidR="00CE7205" w:rsidRDefault="00CE7205" w:rsidP="00CE7205"/>
    <w:p w:rsidR="00722162" w:rsidRDefault="00A470B6" w:rsidP="00B77408">
      <w:pPr>
        <w:pStyle w:val="BodyText2"/>
        <w:spacing w:line="360" w:lineRule="auto"/>
        <w:jc w:val="left"/>
      </w:pPr>
      <w:r>
        <w:tab/>
      </w:r>
      <w:r w:rsidR="00B77408">
        <w:t xml:space="preserve">This Order </w:t>
      </w:r>
      <w:r w:rsidR="00722162">
        <w:t>addresses several preliminary motions</w:t>
      </w:r>
      <w:r w:rsidR="007700E6">
        <w:t xml:space="preserve"> including: 1) a </w:t>
      </w:r>
      <w:r w:rsidR="00ED2681">
        <w:t>M</w:t>
      </w:r>
      <w:r w:rsidR="007700E6">
        <w:t xml:space="preserve">otion for </w:t>
      </w:r>
      <w:r w:rsidR="00ED2681">
        <w:t>A</w:t>
      </w:r>
      <w:r w:rsidR="007700E6">
        <w:t xml:space="preserve">dmission </w:t>
      </w:r>
      <w:r w:rsidR="00ED2681">
        <w:rPr>
          <w:i/>
        </w:rPr>
        <w:t>Pr</w:t>
      </w:r>
      <w:r w:rsidR="007700E6" w:rsidRPr="007700E6">
        <w:rPr>
          <w:i/>
        </w:rPr>
        <w:t xml:space="preserve">o </w:t>
      </w:r>
      <w:r w:rsidR="00ED2681">
        <w:rPr>
          <w:i/>
        </w:rPr>
        <w:t>H</w:t>
      </w:r>
      <w:r w:rsidR="007700E6" w:rsidRPr="007700E6">
        <w:rPr>
          <w:i/>
        </w:rPr>
        <w:t xml:space="preserve">ac </w:t>
      </w:r>
      <w:r w:rsidR="00ED2681">
        <w:rPr>
          <w:i/>
        </w:rPr>
        <w:t>V</w:t>
      </w:r>
      <w:r w:rsidR="007700E6" w:rsidRPr="007700E6">
        <w:rPr>
          <w:i/>
        </w:rPr>
        <w:t>ice</w:t>
      </w:r>
      <w:r w:rsidR="007700E6">
        <w:t xml:space="preserve"> of Andrew Dressel, Esquire on behalf of HIKO Energy, LLC (HIKO), filed on October 2, 2014; 2)</w:t>
      </w:r>
      <w:r w:rsidR="00A8282C">
        <w:t xml:space="preserve"> a Motion of Respondent HIKO Energy, LLC To Compel Further Responses by Pennsylvania Public Utility Commission, Bureau of Investigation and Enforcement to Interrogatories and Document Requests, Set</w:t>
      </w:r>
      <w:r w:rsidR="00A551C8">
        <w:t xml:space="preserve"> </w:t>
      </w:r>
      <w:r w:rsidR="00A8282C">
        <w:t>I</w:t>
      </w:r>
      <w:r w:rsidR="00A551C8">
        <w:t xml:space="preserve">, filed on November 12, 2014 </w:t>
      </w:r>
      <w:r w:rsidR="00F33C1D">
        <w:t>; 3) </w:t>
      </w:r>
      <w:r w:rsidR="00A8282C">
        <w:t xml:space="preserve">Respondent HIKO Energy, LLC’s Application for </w:t>
      </w:r>
      <w:r w:rsidR="00A8282C" w:rsidRPr="003A7A55">
        <w:t xml:space="preserve">Subpoena </w:t>
      </w:r>
      <w:r w:rsidR="00A8282C" w:rsidRPr="00A551C8">
        <w:rPr>
          <w:i/>
        </w:rPr>
        <w:t>Duces Tecum</w:t>
      </w:r>
      <w:r w:rsidR="00A8282C">
        <w:t xml:space="preserve"> Addressed to </w:t>
      </w:r>
      <w:r w:rsidR="00ED2681">
        <w:t xml:space="preserve">the </w:t>
      </w:r>
      <w:r w:rsidR="00A8282C">
        <w:t xml:space="preserve">Pennsylvania Public Utility Commission’s Bureau of Consumer Services filed on November 12, 2014; 4) a Motion to Compel Responses by the Bureau of Investigation and Enforcement to HIKO Energy, LLC’s Second Set of Interrogatories filed on November 24, 2014; </w:t>
      </w:r>
      <w:r w:rsidR="00ED2681">
        <w:t xml:space="preserve">and </w:t>
      </w:r>
      <w:r w:rsidR="00C16B09">
        <w:t>5</w:t>
      </w:r>
      <w:r w:rsidR="00A8282C">
        <w:t xml:space="preserve">) </w:t>
      </w:r>
      <w:r w:rsidR="003A7A55">
        <w:t>I&amp;E’s</w:t>
      </w:r>
      <w:r w:rsidR="00A8282C">
        <w:t xml:space="preserve"> informal request on December 19, 2014,</w:t>
      </w:r>
      <w:r w:rsidR="003A7A55">
        <w:t xml:space="preserve"> </w:t>
      </w:r>
      <w:r w:rsidR="00A8282C">
        <w:t>for an extension from December 23</w:t>
      </w:r>
      <w:r w:rsidR="003A7A55">
        <w:t>, 2014</w:t>
      </w:r>
      <w:r w:rsidR="00A8282C">
        <w:t xml:space="preserve"> to January 6, 2015 to serve its exhibits and until January 23, 2015 to serve </w:t>
      </w:r>
      <w:r w:rsidR="00C16B09">
        <w:t xml:space="preserve">supplemental </w:t>
      </w:r>
      <w:r w:rsidR="00A8282C">
        <w:t>direct testimony.</w:t>
      </w:r>
      <w:r w:rsidR="00722162">
        <w:t xml:space="preserve"> </w:t>
      </w:r>
      <w:r w:rsidR="00F506E8">
        <w:rPr>
          <w:rStyle w:val="FootnoteReference"/>
        </w:rPr>
        <w:footnoteReference w:id="1"/>
      </w:r>
      <w:r w:rsidR="00722162">
        <w:t xml:space="preserve"> </w:t>
      </w:r>
    </w:p>
    <w:p w:rsidR="003A7A55" w:rsidRDefault="003A7A55" w:rsidP="00B77408">
      <w:pPr>
        <w:pStyle w:val="BodyText2"/>
        <w:spacing w:line="360" w:lineRule="auto"/>
        <w:jc w:val="left"/>
      </w:pPr>
    </w:p>
    <w:p w:rsidR="00F33C1D" w:rsidRDefault="00F33C1D">
      <w:pPr>
        <w:rPr>
          <w:rFonts w:eastAsiaTheme="minorHAnsi" w:cstheme="minorBidi"/>
          <w:u w:val="single"/>
        </w:rPr>
      </w:pPr>
      <w:r>
        <w:rPr>
          <w:u w:val="single"/>
        </w:rPr>
        <w:br w:type="page"/>
      </w:r>
    </w:p>
    <w:p w:rsidR="002A488C" w:rsidRDefault="002A488C" w:rsidP="00F506E8">
      <w:pPr>
        <w:pStyle w:val="BodyText2"/>
        <w:spacing w:line="360" w:lineRule="auto"/>
        <w:ind w:firstLine="0"/>
        <w:jc w:val="center"/>
        <w:rPr>
          <w:u w:val="single"/>
        </w:rPr>
      </w:pPr>
      <w:r>
        <w:rPr>
          <w:u w:val="single"/>
        </w:rPr>
        <w:lastRenderedPageBreak/>
        <w:t>DISCUSSION</w:t>
      </w:r>
    </w:p>
    <w:p w:rsidR="002A488C" w:rsidRDefault="002A488C" w:rsidP="002A488C">
      <w:pPr>
        <w:spacing w:line="360" w:lineRule="auto"/>
        <w:rPr>
          <w:u w:val="single"/>
        </w:rPr>
      </w:pPr>
    </w:p>
    <w:p w:rsidR="002A488C" w:rsidRDefault="002A488C" w:rsidP="002A488C">
      <w:pPr>
        <w:spacing w:line="360" w:lineRule="auto"/>
      </w:pPr>
      <w:r>
        <w:tab/>
      </w:r>
      <w:r>
        <w:tab/>
        <w:t>The standard for permissible discovery is in the Commission’s regulations:</w:t>
      </w:r>
    </w:p>
    <w:p w:rsidR="002A488C" w:rsidRDefault="002A488C" w:rsidP="002A488C">
      <w:pPr>
        <w:pStyle w:val="Heading4"/>
        <w:ind w:left="1440" w:right="1440"/>
      </w:pPr>
      <w:bookmarkStart w:id="0" w:name="5.321."/>
      <w:r>
        <w:rPr>
          <w:sz w:val="27"/>
          <w:szCs w:val="27"/>
        </w:rPr>
        <w:t>§ 5.321. </w:t>
      </w:r>
      <w:r>
        <w:t>Scope.</w:t>
      </w:r>
    </w:p>
    <w:p w:rsidR="002A488C" w:rsidRDefault="002A488C" w:rsidP="002A488C">
      <w:pPr>
        <w:pStyle w:val="NormalWeb"/>
        <w:ind w:left="1440" w:right="1440"/>
      </w:pPr>
      <w:r>
        <w:t> (a)  </w:t>
      </w:r>
      <w:r>
        <w:rPr>
          <w:i/>
          <w:iCs/>
        </w:rPr>
        <w:t>Applicability</w:t>
      </w:r>
      <w:r>
        <w:t xml:space="preserve">. This subchapter applies to a proceeding in which: </w:t>
      </w:r>
    </w:p>
    <w:p w:rsidR="002A488C" w:rsidRDefault="002A488C" w:rsidP="002A488C">
      <w:pPr>
        <w:pStyle w:val="NormalWeb"/>
        <w:ind w:left="1440" w:right="1440"/>
      </w:pPr>
      <w:r>
        <w:t xml:space="preserve">   (1)  A complaint, protest or other adverse pleading has been filed. </w:t>
      </w:r>
    </w:p>
    <w:p w:rsidR="002A488C" w:rsidRDefault="002A488C" w:rsidP="002A488C">
      <w:pPr>
        <w:pStyle w:val="NormalWeb"/>
        <w:ind w:left="1440" w:right="1440"/>
      </w:pPr>
      <w:r>
        <w:t>* * *</w:t>
      </w:r>
    </w:p>
    <w:p w:rsidR="002A488C" w:rsidRDefault="002A488C" w:rsidP="002A488C">
      <w:pPr>
        <w:pStyle w:val="NormalWeb"/>
        <w:ind w:left="1440" w:right="1440"/>
      </w:pPr>
      <w:r>
        <w:t> (b)  </w:t>
      </w:r>
      <w:r>
        <w:rPr>
          <w:i/>
          <w:iCs/>
        </w:rPr>
        <w:t>Discretion</w:t>
      </w:r>
      <w:r>
        <w:t xml:space="preserve">. The presiding officer may vary provisions of this subchapter as justice requires. </w:t>
      </w:r>
    </w:p>
    <w:p w:rsidR="002A488C" w:rsidRDefault="002A488C" w:rsidP="002A488C">
      <w:pPr>
        <w:pStyle w:val="NormalWeb"/>
        <w:ind w:left="1440" w:right="1440"/>
      </w:pPr>
      <w:r>
        <w:t> (c)  </w:t>
      </w:r>
      <w:r>
        <w:rPr>
          <w:i/>
          <w:iCs/>
        </w:rPr>
        <w:t>Scope</w:t>
      </w:r>
      <w: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2A488C" w:rsidRDefault="002A488C" w:rsidP="002A488C">
      <w:pPr>
        <w:pStyle w:val="NormalWeb"/>
        <w:ind w:left="1440" w:right="1440"/>
      </w:pPr>
      <w:r>
        <w:t>* * *</w:t>
      </w:r>
    </w:p>
    <w:p w:rsidR="002A488C" w:rsidRDefault="002A488C" w:rsidP="002A488C">
      <w:pPr>
        <w:pStyle w:val="NormalWeb"/>
        <w:ind w:left="1440" w:right="1440"/>
      </w:pPr>
      <w:r>
        <w:t xml:space="preserve">52 Pa. Code § 5.321(a)-(c).  </w:t>
      </w:r>
    </w:p>
    <w:bookmarkEnd w:id="0"/>
    <w:p w:rsidR="002A488C" w:rsidRDefault="002A488C" w:rsidP="002A488C">
      <w:pPr>
        <w:spacing w:line="360" w:lineRule="auto"/>
      </w:pPr>
      <w:r>
        <w:tab/>
      </w:r>
      <w:r>
        <w:tab/>
        <w:t>The material sought to be discovered need not be admissible.  Rather, it must be reasonably expected to lead to the discovery of admissible evidence.  The limitations are broad:</w:t>
      </w:r>
    </w:p>
    <w:p w:rsidR="002A488C" w:rsidRDefault="002A488C" w:rsidP="002A488C">
      <w:pPr>
        <w:pStyle w:val="Heading4"/>
        <w:ind w:left="1440" w:right="1440"/>
      </w:pPr>
      <w:bookmarkStart w:id="1" w:name="5.361."/>
      <w:r>
        <w:rPr>
          <w:sz w:val="27"/>
          <w:szCs w:val="27"/>
        </w:rPr>
        <w:t>§ 5.361. </w:t>
      </w:r>
      <w:r>
        <w:t>Limitation of scope of discovery and deposition.</w:t>
      </w:r>
    </w:p>
    <w:p w:rsidR="002A488C" w:rsidRDefault="002A488C" w:rsidP="002A488C">
      <w:pPr>
        <w:pStyle w:val="NormalWeb"/>
        <w:ind w:left="1440" w:right="1440"/>
      </w:pPr>
      <w:r>
        <w:t xml:space="preserve"> (a)  Discovery or deposition is not permitted which: </w:t>
      </w:r>
    </w:p>
    <w:p w:rsidR="002A488C" w:rsidRDefault="002A488C" w:rsidP="002A488C">
      <w:pPr>
        <w:pStyle w:val="NormalWeb"/>
        <w:ind w:left="1440" w:right="1440"/>
      </w:pPr>
      <w:r>
        <w:t xml:space="preserve">   (1)  Is sought in bad faith. </w:t>
      </w:r>
    </w:p>
    <w:p w:rsidR="002A488C" w:rsidRDefault="002A488C" w:rsidP="002A488C">
      <w:pPr>
        <w:pStyle w:val="NormalWeb"/>
        <w:ind w:left="1440" w:right="1440"/>
      </w:pPr>
      <w:r>
        <w:t>   (2)  </w:t>
      </w:r>
      <w:bookmarkStart w:id="2" w:name="OLE_LINK1"/>
      <w:bookmarkStart w:id="3" w:name="OLE_LINK2"/>
      <w:r>
        <w:t xml:space="preserve">Would cause unreasonable annoyance, embarrassment, oppression, burden or expense to the deponent, a person or party. </w:t>
      </w:r>
    </w:p>
    <w:bookmarkEnd w:id="2"/>
    <w:bookmarkEnd w:id="3"/>
    <w:p w:rsidR="002A488C" w:rsidRDefault="002A488C" w:rsidP="002A488C">
      <w:pPr>
        <w:pStyle w:val="NormalWeb"/>
        <w:ind w:left="1440" w:right="1440"/>
      </w:pPr>
      <w:r>
        <w:t xml:space="preserve">   (3)  Relates to matter which is privileged. </w:t>
      </w:r>
    </w:p>
    <w:p w:rsidR="002A488C" w:rsidRDefault="002A488C" w:rsidP="002A488C">
      <w:pPr>
        <w:pStyle w:val="NormalWeb"/>
        <w:ind w:left="1440" w:right="1440"/>
      </w:pPr>
      <w:r>
        <w:t xml:space="preserve">   (4)  Would require the making of an unreasonable investigation by the deponent, a party or witness. </w:t>
      </w:r>
    </w:p>
    <w:p w:rsidR="002A488C" w:rsidRDefault="002A488C" w:rsidP="002A488C">
      <w:pPr>
        <w:pStyle w:val="NormalWeb"/>
        <w:ind w:left="1440" w:right="1440"/>
      </w:pPr>
      <w:r>
        <w:t>* * *</w:t>
      </w:r>
    </w:p>
    <w:p w:rsidR="002A488C" w:rsidRDefault="002A488C" w:rsidP="002A488C">
      <w:pPr>
        <w:pStyle w:val="NormalWeb"/>
        <w:ind w:left="1440" w:right="1440"/>
      </w:pPr>
      <w:r>
        <w:t>52 Pa. Code § 5.361.</w:t>
      </w:r>
    </w:p>
    <w:bookmarkEnd w:id="1"/>
    <w:p w:rsidR="002A488C" w:rsidRDefault="002A488C" w:rsidP="009C627A">
      <w:pPr>
        <w:spacing w:line="360" w:lineRule="auto"/>
        <w:jc w:val="both"/>
      </w:pPr>
      <w:r>
        <w:tab/>
      </w:r>
      <w:r>
        <w:tab/>
      </w:r>
      <w:r w:rsidRPr="009679E0">
        <w:t xml:space="preserve">Pursuant to Section 5.321(c), a party may obtain discovery of any matter not privileged that is relevant to a pending proceeding and that is reasonably calculated to lead to the discovery of admissible evidence.  52 Pa. Code § 5.321(c).  </w:t>
      </w:r>
    </w:p>
    <w:p w:rsidR="002A488C" w:rsidRPr="00363499" w:rsidRDefault="002A488C" w:rsidP="002A488C">
      <w:pPr>
        <w:spacing w:line="360" w:lineRule="auto"/>
        <w:ind w:firstLine="720"/>
      </w:pPr>
    </w:p>
    <w:p w:rsidR="002A488C" w:rsidRDefault="002A488C" w:rsidP="002A488C">
      <w:pPr>
        <w:spacing w:line="360" w:lineRule="auto"/>
        <w:ind w:firstLine="720"/>
      </w:pPr>
      <w:r>
        <w:tab/>
        <w:t xml:space="preserve">While discovery is broad in Pennsylvania, parties are not entitled to engage in “fishing expeditions.”  </w:t>
      </w:r>
      <w:r w:rsidRPr="00AF6251">
        <w:rPr>
          <w:rFonts w:ascii="Times New Roman Italic" w:hAnsi="Times New Roman Italic"/>
          <w:i/>
        </w:rPr>
        <w:t>Land v. State Farm Mut. Ins. Co.,</w:t>
      </w:r>
      <w:r>
        <w:t xml:space="preserve"> 410 Pa. Super. 579, 585, 600 A.2d 605, 608 (1991).  </w:t>
      </w:r>
    </w:p>
    <w:p w:rsidR="002A488C" w:rsidRDefault="002A488C" w:rsidP="002A488C">
      <w:pPr>
        <w:spacing w:line="360" w:lineRule="auto"/>
        <w:ind w:firstLine="720"/>
      </w:pPr>
    </w:p>
    <w:p w:rsidR="002A488C" w:rsidRDefault="002A488C" w:rsidP="002A488C">
      <w:pPr>
        <w:spacing w:line="360" w:lineRule="auto"/>
      </w:pPr>
      <w:r>
        <w:tab/>
      </w:r>
      <w:r>
        <w:tab/>
        <w:t xml:space="preserve">According to 9A Goodrich-Amram 2d § 4011(b), discovery will be denied where the facts disclose that discovery will impose an unreasonable burden.  This provision is similar to Section 5.361(a)(2) which prohibits discovery that would cause an unreasonable burden.  52 Pa. Code § 5.361(a)(2).  </w:t>
      </w:r>
    </w:p>
    <w:p w:rsidR="002A488C" w:rsidRDefault="002A488C" w:rsidP="002A488C">
      <w:pPr>
        <w:spacing w:line="360" w:lineRule="auto"/>
        <w:ind w:firstLine="720"/>
      </w:pPr>
    </w:p>
    <w:p w:rsidR="002A488C" w:rsidRPr="00DA7F09" w:rsidRDefault="002A488C" w:rsidP="002A488C">
      <w:pPr>
        <w:spacing w:line="360" w:lineRule="auto"/>
        <w:ind w:firstLine="720"/>
      </w:pPr>
      <w:r>
        <w:tab/>
        <w:t>Further</w:t>
      </w:r>
      <w:r w:rsidRPr="00DA7F09">
        <w:t xml:space="preserve">, the Commission has sustained interrogatory objections when the interrogatories are relevant to other proceedings and create an undue burden in the present proceeding.  </w:t>
      </w:r>
      <w:r w:rsidRPr="00AF6251">
        <w:rPr>
          <w:rFonts w:ascii="Times New Roman Italic" w:hAnsi="Times New Roman Italic"/>
          <w:i/>
        </w:rPr>
        <w:t>See Application of Newtown Artesian Water Company and Indian Rock Water Company,</w:t>
      </w:r>
      <w:r w:rsidRPr="00DA7F09">
        <w:t xml:space="preserve"> Order Granting Motion to Limit Issues, </w:t>
      </w:r>
      <w:r w:rsidRPr="00DA7F09">
        <w:rPr>
          <w:lang w:val="en"/>
        </w:rPr>
        <w:t>1990 Pa. PUC LEXIS 83</w:t>
      </w:r>
      <w:r w:rsidRPr="00DA7F09">
        <w:t xml:space="preserve"> (June 20, 1990).  </w:t>
      </w:r>
      <w:r w:rsidRPr="00DA7F09">
        <w:rPr>
          <w:lang w:val="en"/>
        </w:rPr>
        <w:t xml:space="preserve">In </w:t>
      </w:r>
      <w:r w:rsidRPr="00AF6251">
        <w:rPr>
          <w:rFonts w:ascii="Times New Roman Italic" w:hAnsi="Times New Roman Italic"/>
          <w:i/>
          <w:lang w:val="en"/>
        </w:rPr>
        <w:t>Newtown</w:t>
      </w:r>
      <w:r w:rsidRPr="00DA7F09">
        <w:rPr>
          <w:lang w:val="en"/>
        </w:rPr>
        <w:t xml:space="preserve">, Applicants objected to interrogatories filed by the Protestant, arguing that the Protestant was seeking extensive </w:t>
      </w:r>
      <w:r w:rsidRPr="00DA7F09">
        <w:rPr>
          <w:rStyle w:val="pnote"/>
          <w:lang w:val="en"/>
        </w:rPr>
        <w:t>discovery</w:t>
      </w:r>
      <w:r w:rsidRPr="00DA7F09">
        <w:rPr>
          <w:lang w:val="en"/>
        </w:rPr>
        <w:t xml:space="preserve"> outside the scope of the instant proceeding </w:t>
      </w:r>
      <w:r>
        <w:rPr>
          <w:lang w:val="en"/>
        </w:rPr>
        <w:t xml:space="preserve">and </w:t>
      </w:r>
      <w:r w:rsidRPr="00DA7F09">
        <w:rPr>
          <w:lang w:val="en"/>
        </w:rPr>
        <w:t xml:space="preserve">was also pursuing </w:t>
      </w:r>
      <w:r w:rsidRPr="00DA7F09">
        <w:rPr>
          <w:rStyle w:val="pnote"/>
          <w:lang w:val="en"/>
        </w:rPr>
        <w:t>discovery</w:t>
      </w:r>
      <w:r w:rsidRPr="00DA7F09">
        <w:rPr>
          <w:lang w:val="en"/>
        </w:rPr>
        <w:t xml:space="preserve"> related to a matter which was at issue in a separate proceeding.</w:t>
      </w:r>
      <w:r w:rsidRPr="00DA7F09">
        <w:rPr>
          <w:rFonts w:ascii="Verdana" w:hAnsi="Verdana"/>
          <w:lang w:val="en"/>
        </w:rPr>
        <w:t xml:space="preserve"> </w:t>
      </w:r>
      <w:r w:rsidRPr="00DA7F09">
        <w:rPr>
          <w:lang w:val="en"/>
        </w:rPr>
        <w:t>Acknowledging that these interrogatories would be relevant in the separate proceeding,</w:t>
      </w:r>
      <w:r w:rsidRPr="00DA7F09">
        <w:rPr>
          <w:rFonts w:ascii="Verdana" w:hAnsi="Verdana"/>
          <w:lang w:val="en"/>
        </w:rPr>
        <w:t xml:space="preserve"> </w:t>
      </w:r>
      <w:r w:rsidRPr="00DA7F09">
        <w:rPr>
          <w:lang w:val="en"/>
        </w:rPr>
        <w:t xml:space="preserve">the </w:t>
      </w:r>
      <w:r>
        <w:rPr>
          <w:lang w:val="en"/>
        </w:rPr>
        <w:t>Commission</w:t>
      </w:r>
      <w:r w:rsidRPr="00DA7F09">
        <w:rPr>
          <w:lang w:val="en"/>
        </w:rPr>
        <w:t xml:space="preserve"> determined that the effect in the proceeding before it would be to create an unreasonable burden and, accordingly, the </w:t>
      </w:r>
      <w:r>
        <w:rPr>
          <w:lang w:val="en"/>
        </w:rPr>
        <w:t>Commission</w:t>
      </w:r>
      <w:r w:rsidRPr="00DA7F09">
        <w:rPr>
          <w:lang w:val="en"/>
        </w:rPr>
        <w:t xml:space="preserve"> sustained these objections.</w:t>
      </w:r>
      <w:r w:rsidRPr="00DA7F09">
        <w:rPr>
          <w:rFonts w:ascii="Verdana" w:hAnsi="Verdana"/>
          <w:lang w:val="en"/>
        </w:rPr>
        <w:t xml:space="preserve">  </w:t>
      </w:r>
      <w:r w:rsidRPr="00725EB4">
        <w:rPr>
          <w:rFonts w:ascii="Times New Roman Italic" w:hAnsi="Times New Roman Italic"/>
          <w:i/>
        </w:rPr>
        <w:t>Id.</w:t>
      </w:r>
      <w:r w:rsidRPr="00DA7F09">
        <w:t xml:space="preserve">  The Commonwealth Court has also recognized the Commission’s right to limit discovery pursuant to 52 Pa. Code § 5.361.  </w:t>
      </w:r>
      <w:r w:rsidRPr="00725EB4">
        <w:rPr>
          <w:rFonts w:ascii="Times New Roman Italic" w:hAnsi="Times New Roman Italic"/>
          <w:i/>
        </w:rPr>
        <w:t xml:space="preserve">See </w:t>
      </w:r>
      <w:r w:rsidRPr="00725EB4">
        <w:rPr>
          <w:rFonts w:ascii="Times New Roman Italic" w:hAnsi="Times New Roman Italic"/>
          <w:i/>
          <w:lang w:val="en"/>
        </w:rPr>
        <w:t>Pittsburgh v. Pa. P</w:t>
      </w:r>
      <w:r w:rsidR="00725EB4">
        <w:rPr>
          <w:rFonts w:ascii="Times New Roman Italic" w:hAnsi="Times New Roman Italic"/>
          <w:i/>
          <w:lang w:val="en"/>
        </w:rPr>
        <w:t xml:space="preserve">ub. </w:t>
      </w:r>
      <w:r w:rsidRPr="00725EB4">
        <w:rPr>
          <w:rFonts w:ascii="Times New Roman Italic" w:hAnsi="Times New Roman Italic"/>
          <w:i/>
          <w:lang w:val="en"/>
        </w:rPr>
        <w:t>U</w:t>
      </w:r>
      <w:r w:rsidR="00725EB4">
        <w:rPr>
          <w:rFonts w:ascii="Times New Roman Italic" w:hAnsi="Times New Roman Italic"/>
          <w:i/>
          <w:lang w:val="en"/>
        </w:rPr>
        <w:t xml:space="preserve">til. </w:t>
      </w:r>
      <w:r w:rsidRPr="00725EB4">
        <w:rPr>
          <w:rFonts w:ascii="Times New Roman Italic" w:hAnsi="Times New Roman Italic"/>
          <w:i/>
          <w:lang w:val="en"/>
        </w:rPr>
        <w:t>C</w:t>
      </w:r>
      <w:r w:rsidR="00725EB4">
        <w:rPr>
          <w:rFonts w:ascii="Times New Roman Italic" w:hAnsi="Times New Roman Italic"/>
          <w:i/>
          <w:lang w:val="en"/>
        </w:rPr>
        <w:t>omm’n</w:t>
      </w:r>
      <w:r w:rsidRPr="00DA7F09">
        <w:rPr>
          <w:lang w:val="en"/>
        </w:rPr>
        <w:t xml:space="preserve">, 106 Pa. Commw. 437 </w:t>
      </w:r>
      <w:r>
        <w:rPr>
          <w:lang w:val="en"/>
        </w:rPr>
        <w:t>(1986) (The C</w:t>
      </w:r>
      <w:r w:rsidRPr="00DA7F09">
        <w:rPr>
          <w:lang w:val="en"/>
        </w:rPr>
        <w:t>ommission's rejection of the city's discovery request regarding per-district and per-customer class costs did not violate discovery rules.)</w:t>
      </w:r>
      <w:r>
        <w:rPr>
          <w:lang w:val="en"/>
        </w:rPr>
        <w:t>.</w:t>
      </w:r>
    </w:p>
    <w:p w:rsidR="003A7A55" w:rsidRDefault="003A7A55" w:rsidP="003A7A55">
      <w:pPr>
        <w:pStyle w:val="BodyText2"/>
        <w:spacing w:line="240" w:lineRule="auto"/>
        <w:ind w:firstLine="0"/>
        <w:jc w:val="left"/>
      </w:pPr>
    </w:p>
    <w:p w:rsidR="003A7A55" w:rsidRDefault="003A7A55" w:rsidP="003A7A55">
      <w:pPr>
        <w:pStyle w:val="BodyText2"/>
        <w:spacing w:line="240" w:lineRule="auto"/>
        <w:ind w:firstLine="0"/>
        <w:jc w:val="left"/>
      </w:pPr>
      <w:r w:rsidRPr="003A7A55">
        <w:rPr>
          <w:u w:val="single"/>
        </w:rPr>
        <w:t xml:space="preserve">Motion of Respondent HIKO Energy, LLC </w:t>
      </w:r>
      <w:proofErr w:type="gramStart"/>
      <w:r w:rsidRPr="003A7A55">
        <w:rPr>
          <w:u w:val="single"/>
        </w:rPr>
        <w:t>To</w:t>
      </w:r>
      <w:proofErr w:type="gramEnd"/>
      <w:r w:rsidRPr="003A7A55">
        <w:rPr>
          <w:u w:val="single"/>
        </w:rPr>
        <w:t xml:space="preserve"> Compel Further Responses by Pennsylvania Public Utility Commission, Bureau of Investigation and Enforcement to Interrogatories and Document Requests, Set I</w:t>
      </w:r>
      <w:r>
        <w:t xml:space="preserve"> </w:t>
      </w:r>
    </w:p>
    <w:p w:rsidR="003A7A55" w:rsidRDefault="003A7A55" w:rsidP="00F33C1D">
      <w:pPr>
        <w:pStyle w:val="BodyText2"/>
        <w:spacing w:line="360" w:lineRule="auto"/>
        <w:ind w:firstLine="0"/>
        <w:jc w:val="left"/>
      </w:pPr>
    </w:p>
    <w:p w:rsidR="00461CF8" w:rsidRDefault="00ED2681" w:rsidP="00990B07">
      <w:pPr>
        <w:pStyle w:val="BodyText2"/>
        <w:spacing w:line="360" w:lineRule="auto"/>
        <w:ind w:firstLine="0"/>
        <w:jc w:val="left"/>
      </w:pPr>
      <w:r>
        <w:tab/>
      </w:r>
      <w:r>
        <w:tab/>
      </w:r>
      <w:r w:rsidR="00461CF8">
        <w:t xml:space="preserve">On November 12, 2014, HIKO filed a Motion to Compel Further Responses by Pennsylvania Public Utility Commission, Bureau of Investigation and Enforcement, to HIKO’s First Set of Interrogatories and Request for Production of Documents.  As this Motion to Compel was </w:t>
      </w:r>
      <w:r w:rsidR="00683CBE">
        <w:t xml:space="preserve">expressly </w:t>
      </w:r>
      <w:r w:rsidR="00461CF8">
        <w:t xml:space="preserve">made pursuant to 52 Pa. Code § 5.103, and did not contain a Notice to Plead, I&amp;E had 20 days from service within which time to respond. </w:t>
      </w:r>
      <w:r w:rsidR="00990B07">
        <w:t xml:space="preserve"> I&amp;E </w:t>
      </w:r>
      <w:r w:rsidR="00683CBE">
        <w:t xml:space="preserve">timely </w:t>
      </w:r>
      <w:r w:rsidR="00990B07">
        <w:t>filed an Answer on December 2, 2014, contending it did answer the First Set of interrogatories and requests for documents to the extent the requested information was within the possession and control of the bureau.</w:t>
      </w:r>
      <w:r w:rsidR="00F506E8">
        <w:t xml:space="preserve"> </w:t>
      </w:r>
    </w:p>
    <w:p w:rsidR="00F506E8" w:rsidRDefault="00F506E8" w:rsidP="00990B07">
      <w:pPr>
        <w:pStyle w:val="BodyText2"/>
        <w:spacing w:line="360" w:lineRule="auto"/>
        <w:ind w:firstLine="0"/>
        <w:jc w:val="left"/>
      </w:pPr>
    </w:p>
    <w:p w:rsidR="00683CBE" w:rsidRDefault="00F506E8" w:rsidP="00990B07">
      <w:pPr>
        <w:pStyle w:val="BodyText2"/>
        <w:spacing w:line="360" w:lineRule="auto"/>
        <w:ind w:firstLine="0"/>
        <w:jc w:val="left"/>
      </w:pPr>
      <w:r>
        <w:tab/>
      </w:r>
      <w:r>
        <w:tab/>
      </w:r>
      <w:r w:rsidR="00683CBE">
        <w:t xml:space="preserve">HIKO seeks an order compelling I&amp;E to respond to twenty interrogatories and two document requests.  </w:t>
      </w:r>
    </w:p>
    <w:p w:rsidR="004F4859" w:rsidRDefault="004F4859" w:rsidP="00990B07">
      <w:pPr>
        <w:pStyle w:val="BodyText2"/>
        <w:spacing w:line="360" w:lineRule="auto"/>
        <w:ind w:firstLine="0"/>
        <w:jc w:val="left"/>
      </w:pPr>
    </w:p>
    <w:p w:rsidR="004F4859" w:rsidRDefault="004F4859" w:rsidP="00990B07">
      <w:pPr>
        <w:pStyle w:val="BodyText2"/>
        <w:spacing w:line="360" w:lineRule="auto"/>
        <w:ind w:firstLine="0"/>
        <w:jc w:val="left"/>
      </w:pPr>
      <w:r>
        <w:tab/>
      </w:r>
      <w:r>
        <w:tab/>
        <w:t>HIKO’s Interrogatory No. 6 states:</w:t>
      </w:r>
    </w:p>
    <w:p w:rsidR="004F4859" w:rsidRDefault="004F4859" w:rsidP="00990B07">
      <w:pPr>
        <w:pStyle w:val="BodyText2"/>
        <w:spacing w:line="360" w:lineRule="auto"/>
        <w:ind w:firstLine="0"/>
        <w:jc w:val="left"/>
      </w:pPr>
    </w:p>
    <w:p w:rsidR="004F4859" w:rsidRDefault="004F4859" w:rsidP="004F4859">
      <w:pPr>
        <w:pStyle w:val="BodyText2"/>
        <w:spacing w:line="240" w:lineRule="auto"/>
        <w:ind w:firstLine="0"/>
        <w:jc w:val="left"/>
      </w:pPr>
      <w:r>
        <w:tab/>
      </w:r>
      <w:r>
        <w:tab/>
        <w:t>6.</w:t>
      </w:r>
      <w:r>
        <w:tab/>
        <w:t>State whether you are aware of any other EGS companies that charged Duquesne customers during January 2014: a) between $0.1090 and $.1690 per kWh; and b) more than $0.1690 per kWh and, if any, for each response in subsection (a) and (b) state how many EGS companies and indicate the highest price per kWh any such company charged Duquesne customers during January 2014.</w:t>
      </w:r>
    </w:p>
    <w:p w:rsidR="00461CF8" w:rsidRDefault="00461CF8" w:rsidP="00F33C1D">
      <w:pPr>
        <w:pStyle w:val="BodyText2"/>
        <w:spacing w:line="360" w:lineRule="auto"/>
        <w:ind w:firstLine="0"/>
        <w:jc w:val="left"/>
      </w:pPr>
    </w:p>
    <w:p w:rsidR="00461CF8" w:rsidRDefault="004F4859" w:rsidP="003A7A55">
      <w:pPr>
        <w:pStyle w:val="BodyText2"/>
        <w:spacing w:line="360" w:lineRule="auto"/>
        <w:ind w:firstLine="0"/>
        <w:jc w:val="left"/>
      </w:pPr>
      <w:r>
        <w:tab/>
      </w:r>
      <w:r>
        <w:tab/>
        <w:t xml:space="preserve">HIKO’s Interrogatories Nos. 7-26 asked for the same information for each of the months and service areas alleged in the Complaint.  I&amp;E </w:t>
      </w:r>
      <w:r w:rsidR="006A693D">
        <w:t xml:space="preserve">initially </w:t>
      </w:r>
      <w:r>
        <w:t>answered these above interrogatories by stating I&amp;E was not aware of the rates charged by other EGS companies to Duquesne customers during January, 2014.</w:t>
      </w:r>
      <w:r w:rsidR="006A693D">
        <w:t xml:space="preserve">  On September 19, 2014, I&amp;E provided supplemental answers including this response to HIKO Interrogatory No. 6:</w:t>
      </w:r>
    </w:p>
    <w:p w:rsidR="006A693D" w:rsidRDefault="006A693D" w:rsidP="006A693D">
      <w:pPr>
        <w:pStyle w:val="BodyText2"/>
        <w:spacing w:line="240" w:lineRule="auto"/>
        <w:ind w:left="720" w:right="720" w:firstLine="0"/>
        <w:jc w:val="left"/>
      </w:pPr>
      <w:r>
        <w:t>SUPPLEMENTAL ANSWER:  After reasonable investigation, I&amp;E, as an independent prosecutory arm of the Commission, is not aware of other EGS companies that charged customers in this EDC service territory the above-mentioned rates during the time period in question.  I&amp;E believes that the Commission does not regulate the r</w:t>
      </w:r>
      <w:r w:rsidR="001A29FF">
        <w:t>a</w:t>
      </w:r>
      <w:r>
        <w:t xml:space="preserve">tes charged by EGSs and, therefore, neither imposes reporting requirements on EGSs to provide data pertaining to rates or prices, nor has any reason to maintain such information.  While current EGS pricing can be found at the Commission’s website, </w:t>
      </w:r>
      <w:hyperlink r:id="rId9" w:history="1">
        <w:r w:rsidR="001A29FF" w:rsidRPr="00FA696F">
          <w:rPr>
            <w:rStyle w:val="Hyperlink"/>
          </w:rPr>
          <w:t>www.papowerswitch.com/</w:t>
        </w:r>
      </w:hyperlink>
      <w:r>
        <w:t>, I&amp;E believes that EGSs are responsible for directly entering their pricing information on the website.  I&amp;E is not aware that the Commission maintains any current or archived data on prices entered by EGSs.</w:t>
      </w:r>
    </w:p>
    <w:p w:rsidR="006A693D" w:rsidRDefault="006A693D" w:rsidP="00F33C1D">
      <w:pPr>
        <w:pStyle w:val="BodyText2"/>
        <w:spacing w:line="360" w:lineRule="auto"/>
        <w:ind w:left="720" w:right="720" w:firstLine="0"/>
        <w:jc w:val="left"/>
      </w:pPr>
    </w:p>
    <w:p w:rsidR="00E37767" w:rsidRDefault="00E37767" w:rsidP="003A7A55">
      <w:pPr>
        <w:pStyle w:val="BodyText2"/>
        <w:spacing w:line="360" w:lineRule="auto"/>
        <w:ind w:firstLine="0"/>
        <w:jc w:val="left"/>
      </w:pPr>
      <w:r>
        <w:tab/>
      </w:r>
      <w:r>
        <w:tab/>
      </w:r>
      <w:r w:rsidR="001A29FF">
        <w:t xml:space="preserve">The above supplemental answer was repeated for interrogatories 7 through 26. </w:t>
      </w:r>
      <w:r>
        <w:t>HIKO argues that because I&amp;E did not file objections to these interrogatories, it lost its right to object and may not now under 52 Pa. Code § 5.37(a), (d)</w:t>
      </w:r>
      <w:r w:rsidR="006A693D">
        <w:t>.</w:t>
      </w:r>
      <w:r w:rsidR="001A29FF">
        <w:t xml:space="preserve">  HIKO contends that I&amp;E is “hedging its answers” and is not disclosing what efforts it has made to discover whether the information exists in the Commission. </w:t>
      </w:r>
      <w:r w:rsidR="006A693D">
        <w:t xml:space="preserve"> </w:t>
      </w:r>
      <w:r w:rsidR="001A29FF">
        <w:t>Further, HIKO contend as Mr. Daniel J. Mumford is the Complainant’s sole witness, I&amp;E can compel its witness to furnish the information sought in interrogatories 6-2</w:t>
      </w:r>
      <w:r w:rsidR="00821FFB">
        <w:t>6</w:t>
      </w:r>
      <w:r w:rsidR="001A29FF">
        <w:t>.</w:t>
      </w:r>
    </w:p>
    <w:p w:rsidR="00993DD4" w:rsidRDefault="00993DD4" w:rsidP="003A7A55">
      <w:pPr>
        <w:pStyle w:val="BodyText2"/>
        <w:spacing w:line="360" w:lineRule="auto"/>
        <w:ind w:firstLine="0"/>
        <w:jc w:val="left"/>
      </w:pPr>
    </w:p>
    <w:p w:rsidR="00F33C1D" w:rsidRDefault="00993DD4" w:rsidP="003A7A55">
      <w:pPr>
        <w:pStyle w:val="BodyText2"/>
        <w:spacing w:line="360" w:lineRule="auto"/>
        <w:ind w:firstLine="0"/>
        <w:jc w:val="left"/>
      </w:pPr>
      <w:r>
        <w:tab/>
      </w:r>
      <w:r>
        <w:tab/>
        <w:t>I&amp;E avers its awareness of rates charged by other EGSs during the time periods identified by HIKO can only be derived from discover</w:t>
      </w:r>
      <w:r w:rsidR="00DC2972">
        <w:t>y</w:t>
      </w:r>
      <w:r>
        <w:t xml:space="preserve"> currently ongoing in other litigated proceedings to which HIKO is not a party.  These other proceedings have protective orders in place precluding I&amp;E from disclosing confidential or proprietary information </w:t>
      </w:r>
      <w:r w:rsidR="00DC2972">
        <w:t>involving the rates four other EGSs</w:t>
      </w:r>
      <w:r w:rsidR="00DC2972">
        <w:rPr>
          <w:rStyle w:val="FootnoteReference"/>
        </w:rPr>
        <w:footnoteReference w:id="2"/>
      </w:r>
      <w:r w:rsidR="00DC2972">
        <w:t xml:space="preserve"> charged from January – April, 2014.   I&amp;E cites to our order in </w:t>
      </w:r>
      <w:r w:rsidR="00DC2972">
        <w:rPr>
          <w:i/>
        </w:rPr>
        <w:t>Commonwealth of Pa, et al. v. IDT Energy, Inc., Docket No. C-2014-2427657</w:t>
      </w:r>
      <w:r w:rsidR="005D46E6">
        <w:rPr>
          <w:i/>
        </w:rPr>
        <w:t xml:space="preserve">, </w:t>
      </w:r>
      <w:r w:rsidR="005D46E6">
        <w:t>(</w:t>
      </w:r>
      <w:r w:rsidR="005D46E6">
        <w:rPr>
          <w:i/>
        </w:rPr>
        <w:t xml:space="preserve">Order Denying Motion to Compel, </w:t>
      </w:r>
      <w:r w:rsidR="005D46E6" w:rsidRPr="005D46E6">
        <w:t>September 8, 2014</w:t>
      </w:r>
      <w:r w:rsidR="005D46E6">
        <w:rPr>
          <w:i/>
        </w:rPr>
        <w:t>).</w:t>
      </w:r>
      <w:r w:rsidR="00DC2972">
        <w:rPr>
          <w:i/>
        </w:rPr>
        <w:t xml:space="preserve"> </w:t>
      </w:r>
      <w:r w:rsidR="00DC2972" w:rsidRPr="005D46E6">
        <w:t xml:space="preserve">wherein we found the names of other EGSs and number of contacts and complaints filed against EGSs other than IDT to be </w:t>
      </w:r>
      <w:r w:rsidR="005D46E6" w:rsidRPr="005D46E6">
        <w:t>irrelevant</w:t>
      </w:r>
      <w:r w:rsidR="00DC2972" w:rsidRPr="005D46E6">
        <w:t xml:space="preserve"> to whether </w:t>
      </w:r>
      <w:r w:rsidR="005D46E6" w:rsidRPr="005D46E6">
        <w:t>the company violated any Commission orders or regulations or whether IDT’s disclosure statement was misleading or deceptive.</w:t>
      </w:r>
      <w:r w:rsidR="005D46E6">
        <w:t xml:space="preserve">  </w:t>
      </w:r>
      <w:r w:rsidR="005D46E6">
        <w:rPr>
          <w:i/>
        </w:rPr>
        <w:t xml:space="preserve">  </w:t>
      </w:r>
      <w:r w:rsidR="005D46E6" w:rsidRPr="005D46E6">
        <w:t xml:space="preserve">I&amp;E argues, similarly in the instant case, HIKO’s request for more </w:t>
      </w:r>
    </w:p>
    <w:p w:rsidR="00F33C1D" w:rsidRDefault="00F33C1D">
      <w:pPr>
        <w:rPr>
          <w:rFonts w:eastAsiaTheme="minorHAnsi" w:cstheme="minorBidi"/>
        </w:rPr>
      </w:pPr>
      <w:r>
        <w:br w:type="page"/>
      </w:r>
    </w:p>
    <w:p w:rsidR="00B37BA6" w:rsidRDefault="005D46E6" w:rsidP="003A7A55">
      <w:pPr>
        <w:pStyle w:val="BodyText2"/>
        <w:spacing w:line="360" w:lineRule="auto"/>
        <w:ind w:firstLine="0"/>
        <w:jc w:val="left"/>
      </w:pPr>
      <w:r w:rsidRPr="005D46E6">
        <w:t>information regarding rates charged by other EGSs and the number of customer complaints filed against other EGSs in comparison to HIKO would not lead to relevant information or admissible evidence regarding whether HIKO billed prices reflected the  agreed upon prices in the Welcome Letter and Disclosure Statement.</w:t>
      </w:r>
      <w:r w:rsidR="00E322F3">
        <w:t xml:space="preserve">  </w:t>
      </w:r>
    </w:p>
    <w:p w:rsidR="00B37BA6" w:rsidRDefault="00B37BA6" w:rsidP="003A7A55">
      <w:pPr>
        <w:pStyle w:val="BodyText2"/>
        <w:spacing w:line="360" w:lineRule="auto"/>
        <w:ind w:firstLine="0"/>
        <w:jc w:val="left"/>
      </w:pPr>
    </w:p>
    <w:p w:rsidR="00993DD4" w:rsidRPr="005D46E6" w:rsidRDefault="00B37BA6" w:rsidP="003A7A55">
      <w:pPr>
        <w:pStyle w:val="BodyText2"/>
        <w:spacing w:line="360" w:lineRule="auto"/>
        <w:ind w:firstLine="0"/>
        <w:jc w:val="left"/>
      </w:pPr>
      <w:r>
        <w:tab/>
      </w:r>
      <w:r>
        <w:tab/>
      </w:r>
      <w:r w:rsidR="00E322F3">
        <w:t xml:space="preserve">We agree with I&amp;E that any information it has regarding rates other EGSs charged during the winter of 2013-2014 is </w:t>
      </w:r>
      <w:r w:rsidR="00A91381">
        <w:t xml:space="preserve">confidential, </w:t>
      </w:r>
      <w:r w:rsidR="00E322F3">
        <w:t xml:space="preserve">subject to protective orders in other litigated proceedings.  As such, the information is </w:t>
      </w:r>
      <w:r w:rsidR="00A91381">
        <w:t>n</w:t>
      </w:r>
      <w:r w:rsidR="00E322F3">
        <w:t xml:space="preserve">ot subject to discovery requests in the instant proceeding.  Further, the number of customer complaints filed against other EGSs in comparison to HIKO is irrelevant and not likely to lead to admissible evidence in the instant case.  </w:t>
      </w:r>
      <w:r w:rsidR="00725EB4">
        <w:t>As I&amp;E has already responded it is not aware if the Commission keeps a data base on EGS rates, it would be unduly burdensome upon I&amp;E to research the prices EGSs offered their fixed and variable rate customers on the Commission’s papowerswitch.com  webpage during the winter of 2013-2014.</w:t>
      </w:r>
      <w:r>
        <w:t xml:space="preserve">  Therefore, the Motion to Compel with regard to interrogatories 6-26 shall be denied.</w:t>
      </w:r>
    </w:p>
    <w:p w:rsidR="001A29FF" w:rsidRPr="005D46E6" w:rsidRDefault="001A29FF" w:rsidP="003A7A55">
      <w:pPr>
        <w:pStyle w:val="BodyText2"/>
        <w:spacing w:line="360" w:lineRule="auto"/>
        <w:ind w:firstLine="0"/>
        <w:jc w:val="left"/>
      </w:pPr>
    </w:p>
    <w:p w:rsidR="00821FFB" w:rsidRDefault="001A29FF" w:rsidP="003A7A55">
      <w:pPr>
        <w:pStyle w:val="BodyText2"/>
        <w:spacing w:line="360" w:lineRule="auto"/>
        <w:ind w:firstLine="0"/>
        <w:jc w:val="left"/>
      </w:pPr>
      <w:r>
        <w:tab/>
      </w:r>
      <w:r>
        <w:tab/>
        <w:t xml:space="preserve">HIKO contends that causes beyond HIKO’s control caused its electric supply prices to spike during the past winter’s polar vortex.  Such evidence could potentially mitigate the sanction and civil penalties sought by I&amp;E. </w:t>
      </w:r>
      <w:r w:rsidR="00993DD4">
        <w:t xml:space="preserve"> </w:t>
      </w:r>
      <w:r w:rsidR="00821FFB">
        <w:t>HIKO’s Interrogatory No. 27 asks Complainant to:</w:t>
      </w:r>
    </w:p>
    <w:p w:rsidR="00821FFB" w:rsidRDefault="00821FFB" w:rsidP="003A7A55">
      <w:pPr>
        <w:pStyle w:val="BodyText2"/>
        <w:spacing w:line="360" w:lineRule="auto"/>
        <w:ind w:firstLine="0"/>
        <w:jc w:val="left"/>
      </w:pPr>
    </w:p>
    <w:p w:rsidR="00821FFB" w:rsidRDefault="00821FFB" w:rsidP="00821FFB">
      <w:pPr>
        <w:pStyle w:val="BodyText2"/>
        <w:spacing w:line="240" w:lineRule="auto"/>
        <w:ind w:left="720" w:right="720" w:firstLine="0"/>
        <w:jc w:val="left"/>
      </w:pPr>
      <w:r>
        <w:t>27.</w:t>
      </w:r>
      <w:r>
        <w:tab/>
        <w:t xml:space="preserve">State all of the factors </w:t>
      </w:r>
      <w:proofErr w:type="gramStart"/>
      <w:r>
        <w:t>You</w:t>
      </w:r>
      <w:proofErr w:type="gramEnd"/>
      <w:r>
        <w:t xml:space="preserve"> believe contributed to the increase in electricity supply prices in Pennsylvania during the period from November 1, 2013, through April 30, 2014, and describe how each factor contributed to the increased price and identify all studies, reports or analyses that support Your response.</w:t>
      </w:r>
    </w:p>
    <w:p w:rsidR="001A29FF" w:rsidRDefault="001A29FF" w:rsidP="003A7A55">
      <w:pPr>
        <w:pStyle w:val="BodyText2"/>
        <w:spacing w:line="360" w:lineRule="auto"/>
        <w:ind w:firstLine="0"/>
        <w:jc w:val="left"/>
      </w:pPr>
    </w:p>
    <w:p w:rsidR="00821FFB" w:rsidRDefault="00821FFB" w:rsidP="003A7A55">
      <w:pPr>
        <w:pStyle w:val="BodyText2"/>
        <w:spacing w:line="360" w:lineRule="auto"/>
        <w:ind w:firstLine="0"/>
        <w:jc w:val="left"/>
      </w:pPr>
      <w:r>
        <w:tab/>
      </w:r>
      <w:r>
        <w:tab/>
        <w:t>I&amp;E answered this interrogatory as follows.</w:t>
      </w:r>
    </w:p>
    <w:p w:rsidR="00821FFB" w:rsidRDefault="00821FFB" w:rsidP="003A7A55">
      <w:pPr>
        <w:pStyle w:val="BodyText2"/>
        <w:spacing w:line="360" w:lineRule="auto"/>
        <w:ind w:firstLine="0"/>
        <w:jc w:val="left"/>
      </w:pPr>
    </w:p>
    <w:p w:rsidR="00821FFB" w:rsidRDefault="00821FFB" w:rsidP="00821FFB">
      <w:pPr>
        <w:pStyle w:val="BodyText2"/>
        <w:spacing w:line="240" w:lineRule="auto"/>
        <w:ind w:left="720" w:right="720" w:firstLine="0"/>
        <w:jc w:val="left"/>
      </w:pPr>
      <w:r>
        <w:t>SUPPLEMENTAL ANSWER:  Upon reasonable investigation, I&amp;E, as an independent prosecutory arm of the Commission, does not know whether the Commission has a position regarding the factors that contributed to the increase in electricity supply prices in Pennsylvania during the [polar vortex].</w:t>
      </w:r>
    </w:p>
    <w:p w:rsidR="00016796" w:rsidRDefault="00821FFB" w:rsidP="00821FFB">
      <w:pPr>
        <w:pStyle w:val="BodyText2"/>
        <w:spacing w:line="360" w:lineRule="auto"/>
        <w:ind w:firstLine="0"/>
        <w:jc w:val="left"/>
      </w:pPr>
      <w:r>
        <w:tab/>
      </w:r>
      <w:r>
        <w:tab/>
      </w:r>
    </w:p>
    <w:p w:rsidR="00821FFB" w:rsidRDefault="00016796" w:rsidP="00821FFB">
      <w:pPr>
        <w:pStyle w:val="BodyText2"/>
        <w:spacing w:line="360" w:lineRule="auto"/>
        <w:ind w:firstLine="0"/>
        <w:jc w:val="left"/>
      </w:pPr>
      <w:r>
        <w:tab/>
      </w:r>
      <w:r>
        <w:tab/>
      </w:r>
      <w:r w:rsidR="00821FFB">
        <w:t xml:space="preserve">HIKO contends this response is unresponsive to the interrogatory No. 27 in that it does not contain a list of factors that the Commission has identified as contributing to the price increases. </w:t>
      </w:r>
      <w:r w:rsidR="000B48B1">
        <w:t>HIKO requests I&amp;E be compelled to list these factors.</w:t>
      </w:r>
    </w:p>
    <w:p w:rsidR="00B37BA6" w:rsidRDefault="00B37BA6" w:rsidP="00821FFB">
      <w:pPr>
        <w:pStyle w:val="BodyText2"/>
        <w:spacing w:line="360" w:lineRule="auto"/>
        <w:ind w:firstLine="0"/>
        <w:jc w:val="left"/>
      </w:pPr>
    </w:p>
    <w:p w:rsidR="00EE6CEB" w:rsidRDefault="00B37BA6" w:rsidP="00821FFB">
      <w:pPr>
        <w:pStyle w:val="BodyText2"/>
        <w:spacing w:line="360" w:lineRule="auto"/>
        <w:ind w:firstLine="0"/>
        <w:jc w:val="left"/>
      </w:pPr>
      <w:r>
        <w:tab/>
      </w:r>
      <w:r>
        <w:tab/>
      </w:r>
      <w:r w:rsidR="00EE6CEB">
        <w:t xml:space="preserve">I&amp;E responded that it is an independent, prosecutory bureau of the Commission.  As such, it is uncertain as to whether the Commission studied factors that contributed to the increase in electricity supply prices in Pennsylvania during the period of time in question.   </w:t>
      </w:r>
      <w:r>
        <w:t xml:space="preserve"> </w:t>
      </w:r>
      <w:r w:rsidR="00EE6CEB">
        <w:t xml:space="preserve">I&amp;E further responds that it has no position regarding the factors that contributed to an increase in electricity supply prices during the past winter season.  </w:t>
      </w:r>
      <w:r w:rsidR="00E56D22">
        <w:t xml:space="preserve">I&amp;E did not analyze or examine any factor that may have contributed to the increase in electricity supply in Pennsylvania and I&amp;E contends this information is not pertinent to I&amp;E’s investigation. </w:t>
      </w:r>
      <w:r w:rsidR="00EE6CEB">
        <w:t xml:space="preserve">We find this answer to be sufficiently responsive to Interrogatory No. 27.  The question calls for I&amp;E’s opinion regarding the factors contributing to increased prices.  </w:t>
      </w:r>
      <w:r w:rsidR="00E56D22">
        <w:t>I&amp;E responded it has no opinion.  T</w:t>
      </w:r>
      <w:r w:rsidR="00EE6CEB">
        <w:t xml:space="preserve">he motion to compel </w:t>
      </w:r>
      <w:r w:rsidR="00E56D22">
        <w:t xml:space="preserve">with regard to Interrogatory No. 27 </w:t>
      </w:r>
      <w:r w:rsidR="00EE6CEB">
        <w:t>shall be denied.</w:t>
      </w:r>
      <w:r w:rsidR="00EE6CEB">
        <w:tab/>
      </w:r>
      <w:r w:rsidR="00EE6CEB">
        <w:tab/>
      </w:r>
    </w:p>
    <w:p w:rsidR="000B48B1" w:rsidRDefault="000B48B1" w:rsidP="00821FFB">
      <w:pPr>
        <w:pStyle w:val="BodyText2"/>
        <w:spacing w:line="360" w:lineRule="auto"/>
        <w:ind w:firstLine="0"/>
        <w:jc w:val="left"/>
      </w:pPr>
    </w:p>
    <w:p w:rsidR="000B48B1" w:rsidRDefault="000B48B1" w:rsidP="00821FFB">
      <w:pPr>
        <w:pStyle w:val="BodyText2"/>
        <w:spacing w:line="360" w:lineRule="auto"/>
        <w:ind w:firstLine="0"/>
        <w:jc w:val="left"/>
      </w:pPr>
      <w:r>
        <w:tab/>
      </w:r>
      <w:r>
        <w:tab/>
        <w:t>HIKO seeks a response to document request No. 5 for:</w:t>
      </w:r>
    </w:p>
    <w:p w:rsidR="000B48B1" w:rsidRDefault="000B48B1" w:rsidP="00821FFB">
      <w:pPr>
        <w:pStyle w:val="BodyText2"/>
        <w:spacing w:line="360" w:lineRule="auto"/>
        <w:ind w:firstLine="0"/>
        <w:jc w:val="left"/>
      </w:pPr>
    </w:p>
    <w:p w:rsidR="000B48B1" w:rsidRDefault="000B48B1" w:rsidP="000B48B1">
      <w:pPr>
        <w:pStyle w:val="BodyText2"/>
        <w:spacing w:line="240" w:lineRule="auto"/>
        <w:ind w:left="720" w:right="720" w:firstLine="0"/>
        <w:jc w:val="left"/>
      </w:pPr>
      <w:r>
        <w:t>5.</w:t>
      </w:r>
      <w:r>
        <w:tab/>
        <w:t>All documents relating to any analysis, summary, compilation, or review of any complaints made during the period of December 2013 through April 2014 against any EGS operating within Pennsylvania.</w:t>
      </w:r>
    </w:p>
    <w:p w:rsidR="000B48B1" w:rsidRDefault="000B48B1" w:rsidP="000B48B1">
      <w:pPr>
        <w:pStyle w:val="BodyText2"/>
        <w:spacing w:line="240" w:lineRule="auto"/>
        <w:ind w:left="720" w:right="720" w:firstLine="0"/>
        <w:jc w:val="left"/>
      </w:pPr>
    </w:p>
    <w:p w:rsidR="000B48B1" w:rsidRDefault="000B48B1" w:rsidP="000B48B1">
      <w:pPr>
        <w:pStyle w:val="BodyText2"/>
        <w:spacing w:line="240" w:lineRule="auto"/>
        <w:ind w:left="720" w:right="720" w:firstLine="0"/>
        <w:jc w:val="left"/>
      </w:pPr>
      <w:r>
        <w:tab/>
        <w:t>I&amp;E’s Supplemental Answer states:</w:t>
      </w:r>
    </w:p>
    <w:p w:rsidR="000B48B1" w:rsidRDefault="000B48B1" w:rsidP="000B48B1">
      <w:pPr>
        <w:pStyle w:val="BodyText2"/>
        <w:spacing w:line="240" w:lineRule="auto"/>
        <w:ind w:left="720" w:right="720" w:firstLine="0"/>
        <w:jc w:val="left"/>
      </w:pPr>
    </w:p>
    <w:p w:rsidR="000B48B1" w:rsidRDefault="000B48B1" w:rsidP="000B48B1">
      <w:pPr>
        <w:pStyle w:val="BodyText2"/>
        <w:spacing w:line="240" w:lineRule="auto"/>
        <w:ind w:left="720" w:right="720" w:firstLine="0"/>
        <w:jc w:val="left"/>
      </w:pPr>
      <w:r>
        <w:t>SUPPLEMENTAL ANSWER: It is I&amp;E’s understanding that in early 2014, a confidential internal weekly report was issued to the Commissioners and certain Commission staff members (but not to I&amp;E) by the Bureau of Consumer Services.  The report purportedly provided information pertaining to informal complaint activity that the Commission received from EGS customers in a given week.  I&amp;E, as an independent prosecutory arm of the Commission, does not have custody or control of the referenced report.  The Commission’s procedure for seeking access to such documents can be found at 52 Pa. Code § 5.421.</w:t>
      </w:r>
    </w:p>
    <w:p w:rsidR="000B48B1" w:rsidRDefault="000B48B1" w:rsidP="00F33C1D">
      <w:pPr>
        <w:pStyle w:val="BodyText2"/>
        <w:spacing w:line="360" w:lineRule="auto"/>
        <w:ind w:left="720" w:right="720" w:firstLine="0"/>
        <w:jc w:val="left"/>
      </w:pPr>
    </w:p>
    <w:p w:rsidR="000B48B1" w:rsidRDefault="000B48B1" w:rsidP="005D5599">
      <w:pPr>
        <w:pStyle w:val="BodyText2"/>
        <w:spacing w:line="360" w:lineRule="auto"/>
        <w:ind w:right="720" w:firstLine="0"/>
        <w:jc w:val="left"/>
      </w:pPr>
      <w:r>
        <w:t xml:space="preserve">I&amp;E gave a similar answer to HIKO’s Document Request No. 7.  HIKO contends these responses are improper as I&amp;E’s witness, Mr. Mumford, was likely involved in the preparation or review of the BCS weekly report identified in I&amp;E’s supplemental answer to HIKO’s Document Request No. 5.   Thus, I&amp;E has the </w:t>
      </w:r>
      <w:r w:rsidR="005D5599">
        <w:t>ability to compel Mr. Mumford to share that report with I&amp;E and HIKO.  Also, HIKO contends I&amp;E has not disclosed any basis for believing the repor</w:t>
      </w:r>
      <w:r w:rsidR="00993DD4">
        <w:t>t</w:t>
      </w:r>
      <w:r w:rsidR="005D5599">
        <w:t xml:space="preserve">s are privileged or protected from discovery.  Thus, HIKO requests an order compelling I&amp;E to produce the weekly reports.  HIKO does not believe it should have to go through the subpoena process for the requested documents. </w:t>
      </w:r>
    </w:p>
    <w:p w:rsidR="005D5599" w:rsidRDefault="005D5599" w:rsidP="005D5599">
      <w:pPr>
        <w:pStyle w:val="BodyText2"/>
        <w:spacing w:line="360" w:lineRule="auto"/>
        <w:ind w:right="720" w:firstLine="0"/>
        <w:jc w:val="left"/>
      </w:pPr>
    </w:p>
    <w:p w:rsidR="005D5599" w:rsidRDefault="005D5599" w:rsidP="005D5599">
      <w:pPr>
        <w:pStyle w:val="BodyText2"/>
        <w:spacing w:line="360" w:lineRule="auto"/>
        <w:ind w:right="720" w:firstLine="0"/>
        <w:jc w:val="left"/>
      </w:pPr>
      <w:r>
        <w:tab/>
      </w:r>
      <w:r w:rsidR="00D54ECC">
        <w:tab/>
      </w:r>
      <w:r w:rsidR="005D46E6">
        <w:t>I&amp;E responds that no such documents are in</w:t>
      </w:r>
      <w:r w:rsidR="00715871">
        <w:t xml:space="preserve"> the Bureau’s possession.  Mr. </w:t>
      </w:r>
      <w:r w:rsidR="005D46E6">
        <w:t xml:space="preserve">Mumford, who serves as the Bureau of Consumer Services’ prosecutorial liaison to </w:t>
      </w:r>
      <w:proofErr w:type="gramStart"/>
      <w:r w:rsidR="005D46E6">
        <w:t>I&amp;E</w:t>
      </w:r>
      <w:proofErr w:type="gramEnd"/>
      <w:r w:rsidR="005D46E6">
        <w:t xml:space="preserve"> in this proceeding, prepared the confidential, internal weekly report to the </w:t>
      </w:r>
      <w:r w:rsidR="00940873">
        <w:t>Commissioners</w:t>
      </w:r>
      <w:r w:rsidR="005D46E6">
        <w:t xml:space="preserve"> and their staff members in Mr. Mumford’s advisory capacity.  The weekly report was not provided to I&amp;E by BCS in the materials I&amp;E used to initiate a Complaint in the instant case.  I&amp;E contends non-privileged materials provided to I&amp;E by Mr. Mumford in his capacity as prosecutorial liaison have been disclosed to HIKO. </w:t>
      </w:r>
    </w:p>
    <w:p w:rsidR="005D46E6" w:rsidRDefault="005D46E6" w:rsidP="005D5599">
      <w:pPr>
        <w:pStyle w:val="BodyText2"/>
        <w:spacing w:line="360" w:lineRule="auto"/>
        <w:ind w:right="720" w:firstLine="0"/>
        <w:jc w:val="left"/>
      </w:pPr>
    </w:p>
    <w:p w:rsidR="005D46E6" w:rsidRDefault="005D46E6" w:rsidP="005D5599">
      <w:pPr>
        <w:pStyle w:val="BodyText2"/>
        <w:spacing w:line="360" w:lineRule="auto"/>
        <w:ind w:right="720" w:firstLine="0"/>
        <w:jc w:val="left"/>
      </w:pPr>
      <w:r>
        <w:tab/>
      </w:r>
      <w:r w:rsidR="00D54ECC">
        <w:tab/>
      </w:r>
      <w:r>
        <w:t xml:space="preserve">I&amp;E argues its initial and supplemental responses to HIKO’s discovery requests were appropriate and sufficient and that it is not incumbent upon I&amp;E as an independent, prosecutory bureau, to conduct a Commission-wide search for advisory materials outside of its possession, custody or control. </w:t>
      </w:r>
      <w:r w:rsidR="0080188E">
        <w:t xml:space="preserve"> Discovery rules in litigated proceedings do not apply to Commission staff serving in an adjudicatory or advisory function, pursuant to 52 Pa. Code § 5.321(d) and HIKO is not entitled to obtain the relief it requests.</w:t>
      </w:r>
    </w:p>
    <w:p w:rsidR="007921F9" w:rsidRDefault="007921F9" w:rsidP="005D5599">
      <w:pPr>
        <w:pStyle w:val="BodyText2"/>
        <w:spacing w:line="360" w:lineRule="auto"/>
        <w:ind w:right="720" w:firstLine="0"/>
        <w:jc w:val="left"/>
      </w:pPr>
    </w:p>
    <w:p w:rsidR="007921F9" w:rsidRDefault="007921F9" w:rsidP="005D5599">
      <w:pPr>
        <w:pStyle w:val="BodyText2"/>
        <w:spacing w:line="360" w:lineRule="auto"/>
        <w:ind w:right="720" w:firstLine="0"/>
        <w:jc w:val="left"/>
      </w:pPr>
      <w:r>
        <w:tab/>
      </w:r>
      <w:r>
        <w:tab/>
        <w:t>We agree with I&amp;E that any advisory memorandums to the Commissioners from its advisory staff are confidential and not subject to discovery under 52 Pa. Code § 5.361(a)(3).</w:t>
      </w:r>
      <w:r w:rsidR="00A91381">
        <w:t xml:space="preserve">  Further, we are persuaded to find I&amp;E is not in possession of the confidential advisory memorandums from Commission Staff located in the Bureau of Consumer Services.</w:t>
      </w:r>
      <w:r w:rsidR="00725EB4">
        <w:t xml:space="preserve">  Therefore, the motion to compel </w:t>
      </w:r>
      <w:r w:rsidR="00E56D22">
        <w:t xml:space="preserve">with regard to Document Requests Nos. 5 and 7 </w:t>
      </w:r>
      <w:r w:rsidR="00725EB4">
        <w:t>shall be denied.</w:t>
      </w:r>
    </w:p>
    <w:p w:rsidR="00CA6B87" w:rsidRPr="00E7033C" w:rsidRDefault="00CA6B87" w:rsidP="00461CF8">
      <w:pPr>
        <w:pStyle w:val="BodyText2"/>
        <w:spacing w:line="240" w:lineRule="auto"/>
        <w:ind w:firstLine="0"/>
        <w:jc w:val="left"/>
      </w:pPr>
    </w:p>
    <w:p w:rsidR="00F33C1D" w:rsidRDefault="00F33C1D">
      <w:pPr>
        <w:rPr>
          <w:rFonts w:eastAsiaTheme="minorHAnsi" w:cstheme="minorBidi"/>
          <w:u w:val="single"/>
        </w:rPr>
      </w:pPr>
      <w:r>
        <w:rPr>
          <w:u w:val="single"/>
        </w:rPr>
        <w:br w:type="page"/>
      </w:r>
    </w:p>
    <w:p w:rsidR="00461CF8" w:rsidRPr="00461CF8" w:rsidRDefault="00461CF8" w:rsidP="00461CF8">
      <w:pPr>
        <w:pStyle w:val="BodyText2"/>
        <w:spacing w:line="240" w:lineRule="auto"/>
        <w:ind w:firstLine="0"/>
        <w:jc w:val="left"/>
        <w:rPr>
          <w:u w:val="single"/>
        </w:rPr>
      </w:pPr>
      <w:r w:rsidRPr="00461CF8">
        <w:rPr>
          <w:u w:val="single"/>
        </w:rPr>
        <w:t>Motion to Compel Responses by the Bureau of Investigation and Enforcement to HIKO Energy, LLC’s Second Set of Interrogatories</w:t>
      </w:r>
    </w:p>
    <w:p w:rsidR="00461CF8" w:rsidRDefault="00461CF8" w:rsidP="00F33C1D">
      <w:pPr>
        <w:pStyle w:val="BodyText2"/>
        <w:spacing w:line="360" w:lineRule="auto"/>
        <w:jc w:val="left"/>
      </w:pPr>
    </w:p>
    <w:p w:rsidR="00461CF8" w:rsidRDefault="00461CF8" w:rsidP="00461CF8">
      <w:pPr>
        <w:spacing w:line="360" w:lineRule="auto"/>
      </w:pPr>
      <w:r>
        <w:tab/>
      </w:r>
      <w:r>
        <w:tab/>
      </w:r>
      <w:r w:rsidR="00D54ECC">
        <w:t>On November 3, 2014, HIKO served upon I&amp;E its Second Set of Interrogatories and Requests for Production of Documents.  Complainant file</w:t>
      </w:r>
      <w:r w:rsidR="00F33C1D">
        <w:t>d timely objections on November </w:t>
      </w:r>
      <w:r w:rsidR="00D54ECC">
        <w:t xml:space="preserve">13, 2014 to Interrogatories 1, 2, 4, 23, 24, 25, and 26.  </w:t>
      </w:r>
      <w:r>
        <w:t xml:space="preserve">On November 24, 2014, HIKO filed a Motion to Compel Further Responses by the Pennsylvania Public Utility Commission’s Bureau of Investigation and Enforcement to certain of HIKO’s second set of interrogatories.  This motion to compel was filed pursuant to 52 Pa. Code § 5.342(g), thus giving I&amp;E five days to respond. Given the Commission’s </w:t>
      </w:r>
      <w:r w:rsidR="00841D54">
        <w:t xml:space="preserve">anticipated </w:t>
      </w:r>
      <w:r>
        <w:t>office closings</w:t>
      </w:r>
      <w:r w:rsidR="00841D54">
        <w:t xml:space="preserve"> for the Thanksgiving holiday on</w:t>
      </w:r>
      <w:r>
        <w:t xml:space="preserve"> November 2</w:t>
      </w:r>
      <w:r w:rsidR="0071389A">
        <w:t>7</w:t>
      </w:r>
      <w:r>
        <w:t>-28, I&amp;E informally requested an extension of the response due date to December 3, 2014, which was granted.</w:t>
      </w:r>
      <w:r w:rsidR="00B16ABA">
        <w:t xml:space="preserve">  On December 3, 2014, I&amp;E filed an Answer.</w:t>
      </w:r>
    </w:p>
    <w:p w:rsidR="00B16ABA" w:rsidRDefault="00B16ABA" w:rsidP="00461CF8">
      <w:pPr>
        <w:spacing w:line="360" w:lineRule="auto"/>
      </w:pPr>
    </w:p>
    <w:p w:rsidR="00B16ABA" w:rsidRDefault="00B16ABA" w:rsidP="00461CF8">
      <w:pPr>
        <w:spacing w:line="360" w:lineRule="auto"/>
      </w:pPr>
      <w:r>
        <w:tab/>
      </w:r>
      <w:r>
        <w:tab/>
      </w:r>
      <w:r w:rsidR="00D54ECC">
        <w:t xml:space="preserve">HIKO’s Second Set of Interrogatories, </w:t>
      </w:r>
      <w:r w:rsidR="008E6B3C">
        <w:t xml:space="preserve">Nos. </w:t>
      </w:r>
      <w:r w:rsidR="004872C2">
        <w:t>1, 2, and 4 request information about enforcement proceedings brought by I&amp;E against other EGS companies in which I&amp;E sought or obtained relief similar to that sought in this action.  HIKO sought that information because it believes the civil penalties sought against it are significantly more severe than the relief I&amp;E sought against other EGS companies whose conduct was more egregious.  Thus, the information sought goes to the issue of whether civil penalties and/or license suspension or revocation are warranted in the instant case.</w:t>
      </w:r>
      <w:r w:rsidR="008E6B3C">
        <w:t xml:space="preserve">  Interrogatory 4 states:</w:t>
      </w:r>
    </w:p>
    <w:p w:rsidR="008E6B3C" w:rsidRDefault="008E6B3C" w:rsidP="00461CF8">
      <w:pPr>
        <w:spacing w:line="360" w:lineRule="auto"/>
      </w:pPr>
    </w:p>
    <w:p w:rsidR="008E6B3C" w:rsidRDefault="008E6B3C" w:rsidP="008E6B3C">
      <w:pPr>
        <w:ind w:left="720" w:right="720"/>
      </w:pPr>
      <w:r>
        <w:t>4.</w:t>
      </w:r>
      <w:r>
        <w:tab/>
        <w:t>State whether You contend that revocation of HIKO’s license is necessary to protect Pennsylvania consumers and, if Your answer is anything but an unqualified “no,” set forth all facts that support Your answer and identify all witnesses who will testify in support of Your answer.</w:t>
      </w:r>
    </w:p>
    <w:p w:rsidR="008E6B3C" w:rsidRDefault="008E6B3C" w:rsidP="003F47DA">
      <w:pPr>
        <w:pStyle w:val="BodyText2"/>
        <w:spacing w:line="360" w:lineRule="auto"/>
        <w:jc w:val="left"/>
      </w:pPr>
    </w:p>
    <w:p w:rsidR="008E6B3C" w:rsidRDefault="008E6B3C" w:rsidP="008E6B3C">
      <w:pPr>
        <w:pStyle w:val="BodyText2"/>
        <w:spacing w:line="360" w:lineRule="auto"/>
        <w:jc w:val="left"/>
      </w:pPr>
      <w:r>
        <w:t xml:space="preserve">I&amp;E objects to Interrogatory No. 4 on the grounds that it seeks attorney work product and is protected by investigative privilege.  Objections at 11.  HIKO contends it is entitled to know why a revocation of license is being sought so that it is not </w:t>
      </w:r>
      <w:r w:rsidR="0099362C">
        <w:t>surprised</w:t>
      </w:r>
      <w:r>
        <w:t xml:space="preserve"> by evidence to support this proposed remedy.  </w:t>
      </w:r>
    </w:p>
    <w:p w:rsidR="008E6B3C" w:rsidRDefault="008E6B3C" w:rsidP="008E6B3C">
      <w:pPr>
        <w:pStyle w:val="BodyText2"/>
        <w:spacing w:line="360" w:lineRule="auto"/>
        <w:jc w:val="left"/>
      </w:pPr>
    </w:p>
    <w:p w:rsidR="008E6B3C" w:rsidRDefault="008E6B3C" w:rsidP="008E6B3C">
      <w:pPr>
        <w:pStyle w:val="BodyText2"/>
        <w:spacing w:line="360" w:lineRule="auto"/>
        <w:jc w:val="left"/>
      </w:pPr>
      <w:r>
        <w:t xml:space="preserve">Interrogatories Nos. 23 </w:t>
      </w:r>
      <w:r w:rsidR="0099362C">
        <w:t xml:space="preserve">- </w:t>
      </w:r>
      <w:r>
        <w:t>and 2</w:t>
      </w:r>
      <w:r w:rsidR="0099362C">
        <w:t>6</w:t>
      </w:r>
      <w:r>
        <w:t xml:space="preserve"> state as follows:</w:t>
      </w:r>
    </w:p>
    <w:p w:rsidR="008E6B3C" w:rsidRDefault="008E6B3C" w:rsidP="008E6B3C">
      <w:pPr>
        <w:pStyle w:val="BodyText2"/>
        <w:spacing w:line="360" w:lineRule="auto"/>
        <w:jc w:val="left"/>
      </w:pPr>
    </w:p>
    <w:p w:rsidR="008E6B3C" w:rsidRDefault="008E6B3C" w:rsidP="008E6B3C">
      <w:pPr>
        <w:pStyle w:val="BodyText2"/>
        <w:spacing w:line="240" w:lineRule="auto"/>
        <w:ind w:left="720" w:right="720"/>
        <w:jc w:val="left"/>
      </w:pPr>
      <w:r>
        <w:t>23.</w:t>
      </w:r>
      <w:r>
        <w:tab/>
        <w:t>State whether You contend that $14,780,000 is necessary to deter future violations by other electric generation service companies and, if Your answer is anything but an unqualified “no,” set forth the facts that support Your answer, provide all calculations or analyses showing that no lesser figure would serve as a deterrent, and identify all witnesses who will testify in support of Your answer.</w:t>
      </w:r>
    </w:p>
    <w:p w:rsidR="008E6B3C" w:rsidRDefault="008E6B3C" w:rsidP="00461CF8">
      <w:pPr>
        <w:pStyle w:val="BodyText2"/>
        <w:spacing w:line="240" w:lineRule="auto"/>
        <w:jc w:val="left"/>
      </w:pPr>
    </w:p>
    <w:p w:rsidR="008E6B3C" w:rsidRDefault="008E6B3C" w:rsidP="0099362C">
      <w:pPr>
        <w:pStyle w:val="BodyText2"/>
        <w:spacing w:line="240" w:lineRule="auto"/>
        <w:ind w:left="720" w:right="720"/>
        <w:jc w:val="left"/>
      </w:pPr>
      <w:r>
        <w:t>24.</w:t>
      </w:r>
      <w:r>
        <w:tab/>
        <w:t xml:space="preserve">State whether You have performed any calculations or analyses to determine the civil penalty amount that would serve as an adequate deterrent and, if Your answer is anything but an unqualified “no,” set forth the facts that support Your answer, provide all calculations or analyses showing that no lower figure would serve as a deterrent, and identify all witnesses who will testify in support of Your answer. </w:t>
      </w:r>
    </w:p>
    <w:p w:rsidR="0099362C" w:rsidRDefault="0099362C" w:rsidP="0099362C">
      <w:pPr>
        <w:pStyle w:val="BodyText2"/>
        <w:spacing w:line="240" w:lineRule="auto"/>
        <w:ind w:left="720" w:right="720"/>
        <w:jc w:val="left"/>
      </w:pPr>
    </w:p>
    <w:p w:rsidR="0099362C" w:rsidRDefault="0099362C" w:rsidP="0099362C">
      <w:pPr>
        <w:pStyle w:val="BodyText2"/>
        <w:spacing w:line="240" w:lineRule="auto"/>
        <w:ind w:left="720" w:right="720"/>
        <w:jc w:val="left"/>
      </w:pPr>
      <w:r>
        <w:t>25.</w:t>
      </w:r>
      <w:r>
        <w:tab/>
        <w:t>State whether Complainant is aware of any Formal Complaints by consumers against HIKO other than the following: Stephen R. Tashir, Diane Vincent, Heidi Siebels, Peter Signore, Jr., Sidonia Gojan, Joanne Smith, Chris George, Luena Falcone, and Craig Bixler.</w:t>
      </w:r>
    </w:p>
    <w:p w:rsidR="0099362C" w:rsidRDefault="0099362C" w:rsidP="0099362C">
      <w:pPr>
        <w:pStyle w:val="BodyText2"/>
        <w:spacing w:line="240" w:lineRule="auto"/>
        <w:ind w:left="720" w:right="720"/>
        <w:jc w:val="left"/>
      </w:pPr>
    </w:p>
    <w:p w:rsidR="0099362C" w:rsidRDefault="0099362C" w:rsidP="0099362C">
      <w:pPr>
        <w:pStyle w:val="BodyText2"/>
        <w:spacing w:line="240" w:lineRule="auto"/>
        <w:ind w:left="720" w:right="720"/>
        <w:jc w:val="left"/>
      </w:pPr>
      <w:r>
        <w:t>26.</w:t>
      </w:r>
      <w:r>
        <w:tab/>
        <w:t xml:space="preserve">State whether complainant is aware of any Formal Complaints by consumers against HIKO that have not been satisfied and, if Your answer is anything but an unqualified “no” identify each such Formal Complaint (by name of complainant, filing date and docket number). </w:t>
      </w:r>
    </w:p>
    <w:p w:rsidR="008E6B3C" w:rsidRDefault="008E6B3C" w:rsidP="003F47DA">
      <w:pPr>
        <w:pStyle w:val="BodyText2"/>
        <w:spacing w:line="360" w:lineRule="auto"/>
        <w:jc w:val="left"/>
      </w:pPr>
    </w:p>
    <w:p w:rsidR="0043450D" w:rsidRDefault="0099362C" w:rsidP="005A60BB">
      <w:pPr>
        <w:pStyle w:val="BodyText2"/>
        <w:spacing w:line="360" w:lineRule="auto"/>
        <w:jc w:val="left"/>
      </w:pPr>
      <w:r>
        <w:tab/>
      </w:r>
      <w:r w:rsidR="005A60BB">
        <w:t>HIKO contends the above requested information may lead to admissible evidence regarding the civil penalty and/or revocation issues in the proceeding.  HIKO seeks justification and explanation for the requested civil penalty of over $14 million and revocation of</w:t>
      </w:r>
      <w:r w:rsidR="0043450D">
        <w:t xml:space="preserve"> its EGS</w:t>
      </w:r>
      <w:r w:rsidR="005A60BB">
        <w:t xml:space="preserve"> license prior to the hearing because a relevant consideration in any penalty determination is the amount of civil penalty or fine necessary to deter future violations.  52 Pa. Code § 69.1201(c)(8).  I&amp;E contends that any complaint, judgment, consent order or settlement agreement sought or obtained from any EGS regarding civil penalties greater than $50,000, license revocation, injunctive relief and customer refunds are outside the scope of permissible discovery and not relevant to the instant proceeding.  </w:t>
      </w:r>
    </w:p>
    <w:p w:rsidR="0043450D" w:rsidRDefault="0043450D" w:rsidP="005A60BB">
      <w:pPr>
        <w:pStyle w:val="BodyText2"/>
        <w:spacing w:line="360" w:lineRule="auto"/>
        <w:jc w:val="left"/>
      </w:pPr>
    </w:p>
    <w:p w:rsidR="0099362C" w:rsidRDefault="0043450D" w:rsidP="005A60BB">
      <w:pPr>
        <w:pStyle w:val="BodyText2"/>
        <w:spacing w:line="360" w:lineRule="auto"/>
        <w:jc w:val="left"/>
      </w:pPr>
      <w:r>
        <w:tab/>
        <w:t xml:space="preserve">We agree with HIKO that </w:t>
      </w:r>
      <w:r w:rsidR="005A60BB">
        <w:t xml:space="preserve">the Commission considers civil penalties in prior similar cases in determining the appropriateness of a civil penalty if violations of Commission regulations are found by the Commission, </w:t>
      </w:r>
      <w:r w:rsidR="00456BFB" w:rsidRPr="00456BFB">
        <w:rPr>
          <w:i/>
        </w:rPr>
        <w:t>Pa. PUC, Bureau of Investigation and Enforcement v. P</w:t>
      </w:r>
      <w:r w:rsidR="00456BFB">
        <w:rPr>
          <w:i/>
        </w:rPr>
        <w:t>o</w:t>
      </w:r>
      <w:r w:rsidR="00456BFB" w:rsidRPr="00456BFB">
        <w:rPr>
          <w:i/>
        </w:rPr>
        <w:t>lzot</w:t>
      </w:r>
      <w:r w:rsidR="00456BFB">
        <w:t xml:space="preserve">, C-2011-2271305, 2013 WL 5947206 (Pa.PUC October 31, 2013).  Information on prior Commission decisions or settlements could be relevant to the determination of an appropriate penalty in the instant case if the Commission finds violations of 52 Pa. Code §54.4.  However, the Commission’s decisions regarding </w:t>
      </w:r>
      <w:r w:rsidR="005D7A30">
        <w:t xml:space="preserve">other cases involving </w:t>
      </w:r>
      <w:r w:rsidR="00456BFB">
        <w:t>I&amp;E and</w:t>
      </w:r>
      <w:r w:rsidR="005D7A30">
        <w:t>/or</w:t>
      </w:r>
      <w:r w:rsidR="00456BFB">
        <w:t xml:space="preserve"> other EGSs as well as outstanding </w:t>
      </w:r>
      <w:r w:rsidR="00A91381">
        <w:t xml:space="preserve">formal </w:t>
      </w:r>
      <w:r w:rsidR="00456BFB">
        <w:t>complaints pending against other EGSs are readily available to the public through legal research at the Commission’s Secretary’s Bureau or through the Commission’s website.  For this reason, the motion to compel responses to Interrogatories 1, 2 and 4</w:t>
      </w:r>
      <w:r w:rsidR="00564337">
        <w:t xml:space="preserve"> will be denied as it places an undue burden upon I&amp;E.  Additionally, the information requested in No. 4 consists of attorney work product which is protected by the investigative privilege at 52 Pa. Code § 5.323(a).  The work product doctrine provides broad protection for any material, including theories, notes, strategies and the like, prepared by the attorney or attorney’s representatives in anticipation of litigation regardless of whether it is confidential.  </w:t>
      </w:r>
      <w:r w:rsidR="00564337" w:rsidRPr="00564337">
        <w:rPr>
          <w:i/>
        </w:rPr>
        <w:t>Levy v. Senate of Pennsylvania</w:t>
      </w:r>
      <w:r w:rsidR="00564337">
        <w:t xml:space="preserve">, 94 A.3d 436 (Pa. Cmwlth. 2013). </w:t>
      </w:r>
    </w:p>
    <w:p w:rsidR="00564337" w:rsidRDefault="00564337" w:rsidP="005A60BB">
      <w:pPr>
        <w:pStyle w:val="BodyText2"/>
        <w:spacing w:line="360" w:lineRule="auto"/>
        <w:jc w:val="left"/>
      </w:pPr>
    </w:p>
    <w:p w:rsidR="0043450D" w:rsidRDefault="00564337" w:rsidP="00564337">
      <w:pPr>
        <w:pStyle w:val="BodyText2"/>
        <w:spacing w:line="360" w:lineRule="auto"/>
        <w:jc w:val="left"/>
      </w:pPr>
      <w:r>
        <w:tab/>
        <w:t>While we agree with HIKO that an issue in the case may be whether a civil penalty is necessary to deter violations by other electric generation suppliers, the requested calculations or analysis showing no lesser figure will serve as a deterrent i</w:t>
      </w:r>
      <w:r w:rsidR="0043450D">
        <w:t xml:space="preserve">s protected attorney work product which is privileged and not subject to discovery.  Accordingly, the motion to compel responses to Nos. 23 and 24 will be denied. </w:t>
      </w:r>
    </w:p>
    <w:p w:rsidR="0043450D" w:rsidRDefault="0043450D" w:rsidP="00564337">
      <w:pPr>
        <w:pStyle w:val="BodyText2"/>
        <w:spacing w:line="360" w:lineRule="auto"/>
        <w:jc w:val="left"/>
      </w:pPr>
    </w:p>
    <w:p w:rsidR="0043450D" w:rsidRDefault="0043450D" w:rsidP="00564337">
      <w:pPr>
        <w:pStyle w:val="BodyText2"/>
        <w:spacing w:line="360" w:lineRule="auto"/>
        <w:jc w:val="left"/>
      </w:pPr>
      <w:r>
        <w:tab/>
        <w:t xml:space="preserve">Finally, HIKO’s motion to compel responses to Nos. 25 and 26 will be denied because HIKO is in the best position to know whether there are any pending formal complaints against it by consumers or whether all formal complaints have been satisfied.  </w:t>
      </w:r>
      <w:r w:rsidR="00654EED">
        <w:t xml:space="preserve">Therefore, the request is unduly burdensome on I&amp;E.   </w:t>
      </w:r>
    </w:p>
    <w:p w:rsidR="00A91381" w:rsidRDefault="00A91381" w:rsidP="00A91381">
      <w:pPr>
        <w:pStyle w:val="BodyText2"/>
        <w:spacing w:line="240" w:lineRule="auto"/>
        <w:ind w:left="720" w:right="720" w:firstLine="0"/>
        <w:jc w:val="left"/>
      </w:pPr>
    </w:p>
    <w:p w:rsidR="00A91381" w:rsidRDefault="00A91381" w:rsidP="00A91381">
      <w:pPr>
        <w:pStyle w:val="BodyText2"/>
        <w:spacing w:line="240" w:lineRule="auto"/>
        <w:ind w:firstLine="0"/>
        <w:jc w:val="left"/>
        <w:rPr>
          <w:u w:val="single"/>
        </w:rPr>
      </w:pPr>
      <w:r w:rsidRPr="00461CF8">
        <w:rPr>
          <w:u w:val="single"/>
        </w:rPr>
        <w:t xml:space="preserve">Respondent HIKO Energy, LLC’s Application for Subpoena </w:t>
      </w:r>
      <w:r w:rsidRPr="00461CF8">
        <w:rPr>
          <w:i/>
          <w:u w:val="single"/>
        </w:rPr>
        <w:t>Duces Tecum</w:t>
      </w:r>
      <w:r w:rsidRPr="00461CF8">
        <w:rPr>
          <w:u w:val="single"/>
        </w:rPr>
        <w:t xml:space="preserve"> Addressed to Pennsylvania Public Utility Commission’s Bureau of Consumer Services</w:t>
      </w:r>
    </w:p>
    <w:p w:rsidR="00A91381" w:rsidRDefault="00A91381" w:rsidP="003F47DA">
      <w:pPr>
        <w:pStyle w:val="BodyText2"/>
        <w:spacing w:line="360" w:lineRule="auto"/>
        <w:ind w:firstLine="0"/>
        <w:jc w:val="left"/>
        <w:rPr>
          <w:u w:val="single"/>
        </w:rPr>
      </w:pPr>
    </w:p>
    <w:p w:rsidR="00A91381" w:rsidRDefault="00A91381" w:rsidP="00A91381">
      <w:pPr>
        <w:spacing w:line="360" w:lineRule="auto"/>
      </w:pPr>
      <w:r>
        <w:tab/>
      </w:r>
      <w:r>
        <w:tab/>
        <w:t xml:space="preserve">Also on November 12, 2014, HIKO filed an application for subpoena </w:t>
      </w:r>
      <w:r w:rsidRPr="007C5930">
        <w:rPr>
          <w:i/>
        </w:rPr>
        <w:t>duces tecum</w:t>
      </w:r>
      <w:r>
        <w:t xml:space="preserve"> addressed to the Pennsylvania Public Utility Commission’s Bureau of Consumer Services.  The notice to plead attached to the application addressed counsel for I&amp;E instead of the Commission’s Law Bureau, although it is noted that the certificate of service indicates the Law Bureau was served a copy of the application as well as Alexis Bechtel, Director of BCS.    </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r>
      <w:r>
        <w:tab/>
        <w:t xml:space="preserve">The Commission has the authority, pursuant to 66 Pa. C.S. § 309 to subpoena witnesses and compel the production of documents.  However, the Commission may refuse to require the production of persons or records that are not necessary or essential to a proper determination of the issues involved in a proceeding.  </w:t>
      </w:r>
      <w:r>
        <w:rPr>
          <w:i/>
        </w:rPr>
        <w:t xml:space="preserve">Pittsburgh &amp; LER Co. v. Pa. Pub. Util. Comm’n, </w:t>
      </w:r>
      <w:r>
        <w:t xml:space="preserve">85 A.2d 646 (Pa. Super. 1952); </w:t>
      </w:r>
      <w:r>
        <w:rPr>
          <w:i/>
        </w:rPr>
        <w:t xml:space="preserve">City of Pittsburgh v. Pa. Pub. Util. Comm’n, </w:t>
      </w:r>
      <w:r w:rsidRPr="00B62747">
        <w:t xml:space="preserve">101 A. 2d 127 (Pa. Super 1953). </w:t>
      </w:r>
    </w:p>
    <w:p w:rsidR="00A91381" w:rsidRDefault="00A91381" w:rsidP="00A91381">
      <w:pPr>
        <w:pStyle w:val="BodyText2"/>
        <w:spacing w:line="360" w:lineRule="auto"/>
        <w:ind w:firstLine="0"/>
        <w:jc w:val="left"/>
      </w:pPr>
    </w:p>
    <w:p w:rsidR="003E4CF9" w:rsidRDefault="00A91381" w:rsidP="00A91381">
      <w:pPr>
        <w:pStyle w:val="BodyText2"/>
        <w:spacing w:line="360" w:lineRule="auto"/>
        <w:ind w:firstLine="0"/>
        <w:jc w:val="left"/>
      </w:pPr>
      <w:r>
        <w:tab/>
      </w:r>
      <w:r>
        <w:tab/>
      </w:r>
      <w:r w:rsidRPr="00B62747">
        <w:t>Generally, a subpoena for th</w:t>
      </w:r>
      <w:r>
        <w:t xml:space="preserve">e attendance of a witness or for the production of documents, either for discovery or hearing before the Commission, will issue only upon written application.  52 Pa. Code §§ 5.373 and 5.421.  The application must specify as nearly as possible the general relevance, materiality and scope of the testimony or documentary evidence sought.   The application must contain a notice that an answer or objection thereto must be filed within 10 days of service of the application.  When the person for whom a subpoena is sought is not a participant, a copy of the application must be served on the person; the application must then identify the persons and their addresses, including the Secretary for the Commission, together with the presiding ALJ, to whom an answer or objection must be sent.  </w:t>
      </w:r>
    </w:p>
    <w:p w:rsidR="003E4CF9" w:rsidRDefault="003E4CF9" w:rsidP="00A91381">
      <w:pPr>
        <w:pStyle w:val="BodyText2"/>
        <w:spacing w:line="360" w:lineRule="auto"/>
        <w:ind w:firstLine="0"/>
        <w:jc w:val="left"/>
      </w:pPr>
    </w:p>
    <w:p w:rsidR="00A91381" w:rsidRPr="00E96A65" w:rsidRDefault="00A91381" w:rsidP="00A91381">
      <w:pPr>
        <w:pStyle w:val="BodyText2"/>
        <w:spacing w:line="360" w:lineRule="auto"/>
        <w:ind w:firstLine="0"/>
        <w:jc w:val="left"/>
      </w:pPr>
      <w:r>
        <w:tab/>
      </w:r>
      <w:r>
        <w:tab/>
        <w:t xml:space="preserve">In the instant case, according to 52 Pa. Code 5.421(c), the Commission’s Law Bureau represents BCS Director Alexis Bechtel with regard to the application filed by HIKO.  Therefore, even though the Objection of BCS to the application was due November 24, 2014, and filed on December 3, 2014, it is accepted it as if timely filed </w:t>
      </w:r>
      <w:r>
        <w:rPr>
          <w:i/>
        </w:rPr>
        <w:t>nunc pro tunc</w:t>
      </w:r>
      <w:r>
        <w:t>, because Law Bureau requested an extension of time on November 25, 2014 until December 3, 2014 to file an objection explaining that although it was served a copy of the application, as the notice to plead was directed to I&amp;E, Law Bureau claims it was unaware of the filing until November 25, 2014, and the Commission’s offices were closed on November 26-28, 2014.  This extension was granted through electronic mail on November 25, 2014.</w:t>
      </w:r>
    </w:p>
    <w:p w:rsidR="00A91381" w:rsidRDefault="00A91381" w:rsidP="00A91381">
      <w:pPr>
        <w:spacing w:line="360" w:lineRule="auto"/>
      </w:pPr>
    </w:p>
    <w:p w:rsidR="00A91381" w:rsidRDefault="00A91381" w:rsidP="00A91381">
      <w:pPr>
        <w:spacing w:line="360" w:lineRule="auto"/>
      </w:pPr>
      <w:r>
        <w:tab/>
      </w:r>
      <w:r>
        <w:tab/>
        <w:t>First, it is noted there is no protective order pursuant to 52 Pa. Code § 5.423 entered in this proceeding.  HIKO requests Alexis Bechtel produce: 1) any and all documentation relating to the rates charged by EGS companies in Pennsylva</w:t>
      </w:r>
      <w:r w:rsidR="003F47DA">
        <w:t>nia from December 2013 to April </w:t>
      </w:r>
      <w:r>
        <w:t xml:space="preserve">2014; </w:t>
      </w:r>
      <w:r w:rsidR="00E56D22">
        <w:t xml:space="preserve">and </w:t>
      </w:r>
      <w:r>
        <w:t xml:space="preserve">2) any and all documentation relating to any analysis, summary, compilation or review of any complaints made during </w:t>
      </w:r>
      <w:r w:rsidR="00E56D22">
        <w:t>t</w:t>
      </w:r>
      <w:r>
        <w:t>he period of December 2013 through April 2014 against any EGS operating within Pennsylvania, including but not limited to the internal weekly reports provided by or to the Commission’s bureau of consumer Services.</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r>
      <w:r>
        <w:tab/>
        <w:t>HIKO avers it believes BCS has investigated or reviewed other EGS companies’ variable rates during the polar vortex and would have this information which is vital to evaluate HIKO’s rates in the context of what other companies were charging.  HIKO does not seek names or specific prices charged by particular EGS companies but only aggregate information (e.g. how many EGS companies charged rates within or above the range of HIKO’s rates, how many and what types of consumer complaints were made against the other EGS companies during the polar vortex, etc.</w:t>
      </w:r>
      <w:r w:rsidR="00C16B09">
        <w:t>)</w:t>
      </w:r>
      <w:r>
        <w:t xml:space="preserve">  Additionally, HIKO avers it believes Mr. Mumford was likely involved in the preparation and/or review of documents identified by I&amp;E in its Answers to HIKO’s Discovery, namely, internal weekly reports issued to the Commissioners by BCS regarding informal complaint activity received by the Commission from EGS customers on a weekly basis.  HIKO argues it is highly likely that Mr. Mumford has access to or possession of these documents, which are relevant to HIKO’s defense. </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r>
      <w:r>
        <w:tab/>
        <w:t xml:space="preserve">Specifically, HIKO argues it should be able to compare its rates with the number and gravity of customer complaints to that of other EGS companies in Pennsylvania and to compare how the Commission has evaluated complaints against other EGS companies in Pennsylvania. </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r>
      <w:r>
        <w:tab/>
        <w:t>BCS objects to the application averring that it has six groups of documents that fit within the ambit of the Subpoena including the following.</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t>1.</w:t>
      </w:r>
      <w:r>
        <w:tab/>
        <w:t xml:space="preserve">Approximately 9500 Informal Complaints filed by residential customers with BCS during December 2013 through April 2014 time period.  A large majority, but not all, of these informal complaints relate to charges by EGSs.   The filings have documentation filed by the EGSs in response to the complaints. </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t>2.</w:t>
      </w:r>
      <w:r>
        <w:tab/>
        <w:t xml:space="preserve">Weekly email summaries of BCS call volume (informal complaints) to the Commissioner Offices, primarily related to calls regarding EGS variable rate issues. </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t>3.</w:t>
      </w:r>
      <w:r>
        <w:tab/>
        <w:t>Memorandums from BCS to the Bureau of Investigation and Enforcement (I&amp;E) regarding potential violations of the Public Utility Code relating to EGS charges for electricity to residential customers.</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t>4.</w:t>
      </w:r>
      <w:r>
        <w:tab/>
        <w:t xml:space="preserve">EGS variable rate disclosure statements for the winter of 2013-14.  In the Spring of 2014, the commission required EGSs who offered variable rate products to submit their customer disclosure statements, to gather information in the wake of the large number of residential customer informal complaints.  There are approximately 550 pages of such disclosure statements in total. </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t>5.</w:t>
      </w:r>
      <w:r>
        <w:tab/>
        <w:t>Material already disclosed to Mr. Gentile as part of the Commission’s response to Mr. Gentile’s July 10, 2014 Right-to-Know request.  These materials relate to various Commission Orders and PJM Interconnection reports regarding variable rate price increases by EGSs during the winter of 2013-14.</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t>6.</w:t>
      </w:r>
      <w:r>
        <w:tab/>
        <w:t xml:space="preserve">A six page memorandum entitled “Recommendations for addressing EGS winter-time price increases” dated February 12, 2014, from the Commission’s Office of Competitive Market Oversight (OCMO) to the Commissioners and Commissioner Staffs.  BCS staff served as part of the OCMO staff. </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r>
      <w:r>
        <w:tab/>
        <w:t xml:space="preserve">BCS objects to the Application because it fails to describe the materiality and scope of the documents sought.  The Application fails to state how the rates of EGSs other than Respondent are relevant to the Complaint against Respondent.  BCS objects on the grounds that the application contains only conclusory statements as to the materiality of the documents sought and does not identify any facts to be proven by the documents in sufficient detail to indicate the necessity of the documents.  Further BCS objects that the application seeks records which are subject to the Deliberative Process Privilege and attorney/client Privilege and Attorney Work Product Doctrine.  </w:t>
      </w:r>
      <w:r w:rsidR="00E56D22">
        <w:t>BCS objects that t</w:t>
      </w:r>
      <w:r>
        <w:t>he application is unduly burdensome in that it seeks the production of 10,000 records each of which must be redacted for confidential customer information and of minimal relevance to the issues in the case, if any relevance.</w:t>
      </w:r>
    </w:p>
    <w:p w:rsidR="00A91381" w:rsidRDefault="00A91381" w:rsidP="00A91381">
      <w:pPr>
        <w:pStyle w:val="BodyText2"/>
        <w:spacing w:line="360" w:lineRule="auto"/>
        <w:ind w:firstLine="0"/>
        <w:jc w:val="left"/>
      </w:pPr>
    </w:p>
    <w:p w:rsidR="00A91381" w:rsidRDefault="00A91381" w:rsidP="00A91381">
      <w:pPr>
        <w:pStyle w:val="BodyText2"/>
        <w:spacing w:line="360" w:lineRule="auto"/>
        <w:ind w:firstLine="0"/>
        <w:jc w:val="left"/>
      </w:pPr>
      <w:r>
        <w:tab/>
      </w:r>
      <w:r>
        <w:tab/>
        <w:t>The subpoena seeks records which are exempt from disclosure under Pennsylvania Right-to-Know Law P.S. §§67.101, et seq.  The subpoena application seeks records containing confidential, proprietary and market sensitive information as well as confidential consumer information.</w:t>
      </w:r>
    </w:p>
    <w:p w:rsidR="00A91381" w:rsidRDefault="00A91381" w:rsidP="00A91381">
      <w:pPr>
        <w:pStyle w:val="BodyText2"/>
        <w:spacing w:line="360" w:lineRule="auto"/>
        <w:ind w:firstLine="0"/>
        <w:jc w:val="left"/>
      </w:pPr>
    </w:p>
    <w:p w:rsidR="003E4CF9" w:rsidRDefault="00A91381" w:rsidP="00A91381">
      <w:pPr>
        <w:pStyle w:val="BodyText2"/>
        <w:spacing w:line="360" w:lineRule="auto"/>
        <w:ind w:firstLine="0"/>
        <w:jc w:val="left"/>
      </w:pPr>
      <w:r>
        <w:tab/>
      </w:r>
      <w:r>
        <w:tab/>
        <w:t xml:space="preserve">BCS asserts HIKO’s Motion to Compel is the appropriate forum for the issues raised by Respondent insofar as HIKO seeks to discover information from I&amp;E regarding I&amp;E’s decision making.  BCS asserts the other EGS rates are immaterial to I&amp;E’s prosecution.  </w:t>
      </w:r>
    </w:p>
    <w:p w:rsidR="003E4CF9" w:rsidRDefault="003E4CF9" w:rsidP="00A91381">
      <w:pPr>
        <w:pStyle w:val="BodyText2"/>
        <w:spacing w:line="360" w:lineRule="auto"/>
        <w:ind w:firstLine="0"/>
        <w:jc w:val="left"/>
      </w:pPr>
    </w:p>
    <w:p w:rsidR="00A91381" w:rsidRDefault="003E4CF9" w:rsidP="00A91381">
      <w:pPr>
        <w:pStyle w:val="BodyText2"/>
        <w:spacing w:line="360" w:lineRule="auto"/>
        <w:ind w:firstLine="0"/>
        <w:jc w:val="left"/>
      </w:pPr>
      <w:r>
        <w:tab/>
      </w:r>
      <w:r>
        <w:tab/>
      </w:r>
      <w:r w:rsidR="00A91381">
        <w:t xml:space="preserve">Mr. Mumford’s testimony at pages 45-53 discusses the civil penalty request.   Specifically at pages 51-52, Mr. Mumford testifies the maximum fine per violation is warranted to deter future violations and to his knowledge this is the first case involving so many egregious, willful, and flagrant overcharges.  Mr. Mumford does not compare HIKO’s winter rates to other EGS rates during the same time period.  Mr. Mumford does not compare the civil penalty requested in the instant case to </w:t>
      </w:r>
      <w:r>
        <w:t xml:space="preserve">specific </w:t>
      </w:r>
      <w:r w:rsidR="00A91381">
        <w:t>civil penalties that have been assessed against other EGSs in specific</w:t>
      </w:r>
      <w:r>
        <w:t xml:space="preserve"> cases.  </w:t>
      </w:r>
      <w:r w:rsidR="00A91381">
        <w:t xml:space="preserve">It appears </w:t>
      </w:r>
      <w:r>
        <w:t>th</w:t>
      </w:r>
      <w:r w:rsidR="00A91381">
        <w:t>at the other EGS rates are immaterial to the basis of I&amp;E’s complaint</w:t>
      </w:r>
      <w:r>
        <w:t xml:space="preserve"> in the instant case</w:t>
      </w:r>
      <w:r w:rsidR="00A91381">
        <w:t xml:space="preserve">.  Accordingly, as </w:t>
      </w:r>
      <w:proofErr w:type="gramStart"/>
      <w:r>
        <w:t>this material will</w:t>
      </w:r>
      <w:proofErr w:type="gramEnd"/>
      <w:r w:rsidR="00A91381">
        <w:t xml:space="preserve"> unlikely lead to admissible evidence, </w:t>
      </w:r>
      <w:r>
        <w:t xml:space="preserve">the application will be denied. </w:t>
      </w:r>
      <w:r w:rsidR="00A91381">
        <w:t xml:space="preserve"> </w:t>
      </w:r>
    </w:p>
    <w:p w:rsidR="008E6B3C" w:rsidRDefault="008E6B3C" w:rsidP="00564337">
      <w:pPr>
        <w:pStyle w:val="BodyText2"/>
        <w:spacing w:line="360" w:lineRule="auto"/>
        <w:jc w:val="left"/>
      </w:pPr>
    </w:p>
    <w:p w:rsidR="00801EC3" w:rsidRDefault="003C7CAD" w:rsidP="003E4CF9">
      <w:pPr>
        <w:spacing w:line="360" w:lineRule="auto"/>
        <w:rPr>
          <w:b/>
        </w:rPr>
      </w:pPr>
      <w:r>
        <w:tab/>
      </w:r>
      <w:r w:rsidR="00213866">
        <w:tab/>
      </w:r>
      <w:r w:rsidR="00213866" w:rsidRPr="0009127F">
        <w:t>The Commission has stated that “[</w:t>
      </w:r>
      <w:r w:rsidR="00213866" w:rsidRPr="0009127F">
        <w:rPr>
          <w:lang w:val="en"/>
        </w:rPr>
        <w:t xml:space="preserve">t]he law is … clear that the Commission has the right to limit </w:t>
      </w:r>
      <w:r w:rsidR="00213866" w:rsidRPr="0009127F">
        <w:rPr>
          <w:rStyle w:val="pnote"/>
          <w:lang w:val="en"/>
        </w:rPr>
        <w:t>discovery</w:t>
      </w:r>
      <w:r w:rsidR="00213866" w:rsidRPr="0009127F">
        <w:rPr>
          <w:lang w:val="en"/>
        </w:rPr>
        <w:t xml:space="preserve"> that would place an </w:t>
      </w:r>
      <w:r w:rsidR="00213866" w:rsidRPr="0009127F">
        <w:rPr>
          <w:rStyle w:val="sh2753270242"/>
          <w:lang w:val="en"/>
        </w:rPr>
        <w:t>unreasonable burden</w:t>
      </w:r>
      <w:r w:rsidR="00213866" w:rsidRPr="0009127F">
        <w:rPr>
          <w:lang w:val="en"/>
        </w:rPr>
        <w:t xml:space="preserve"> upon a </w:t>
      </w:r>
      <w:r w:rsidR="00213866" w:rsidRPr="00725EB4">
        <w:rPr>
          <w:lang w:val="en"/>
        </w:rPr>
        <w:t>participant in litigation</w:t>
      </w:r>
      <w:r w:rsidR="00213866" w:rsidRPr="0009127F">
        <w:t xml:space="preserve">.”  </w:t>
      </w:r>
      <w:r w:rsidR="00213866" w:rsidRPr="00725EB4">
        <w:rPr>
          <w:rFonts w:ascii="Times New Roman Italic" w:hAnsi="Times New Roman Italic"/>
          <w:i/>
        </w:rPr>
        <w:t>Application of Newtown Artesian Water Company and Indian Rock Water Company</w:t>
      </w:r>
      <w:r w:rsidR="00213866" w:rsidRPr="0009127F">
        <w:t xml:space="preserve">, Order Granting Motion to Limit Issues, </w:t>
      </w:r>
      <w:r w:rsidR="00213866" w:rsidRPr="0009127F">
        <w:rPr>
          <w:lang w:val="en"/>
        </w:rPr>
        <w:t>1990 Pa. PUC LEXIS 83</w:t>
      </w:r>
      <w:r w:rsidR="00213866" w:rsidRPr="0009127F">
        <w:t xml:space="preserve"> (June 20, 1990)</w:t>
      </w:r>
      <w:r w:rsidR="00213866">
        <w:t xml:space="preserve">.  </w:t>
      </w:r>
      <w:r w:rsidR="00801EC3">
        <w:t>In the instant case</w:t>
      </w:r>
      <w:r w:rsidR="00213866" w:rsidRPr="0009127F">
        <w:t>, HIKO</w:t>
      </w:r>
      <w:r w:rsidR="003E4CF9">
        <w:t>’s</w:t>
      </w:r>
      <w:r w:rsidR="00213866" w:rsidRPr="0009127F">
        <w:t xml:space="preserve"> Interrogator</w:t>
      </w:r>
      <w:r w:rsidR="003E4CF9">
        <w:t>ies</w:t>
      </w:r>
      <w:r w:rsidR="00213866" w:rsidRPr="0009127F">
        <w:t xml:space="preserve"> place an unreasonable burden upon </w:t>
      </w:r>
      <w:r w:rsidR="003E4CF9">
        <w:t xml:space="preserve">I&amp;E. </w:t>
      </w:r>
    </w:p>
    <w:p w:rsidR="00801EC3" w:rsidRDefault="00801EC3" w:rsidP="003C7CAD">
      <w:pPr>
        <w:spacing w:line="360" w:lineRule="auto"/>
        <w:ind w:firstLine="720"/>
        <w:rPr>
          <w:b/>
        </w:rPr>
      </w:pPr>
    </w:p>
    <w:p w:rsidR="00213866" w:rsidRPr="003F47DA" w:rsidRDefault="00801EC3" w:rsidP="003F47DA">
      <w:pPr>
        <w:spacing w:line="360" w:lineRule="auto"/>
        <w:ind w:firstLine="720"/>
      </w:pPr>
      <w:r>
        <w:rPr>
          <w:b/>
        </w:rPr>
        <w:tab/>
      </w:r>
      <w:r>
        <w:t xml:space="preserve">HIKO is free to investigate </w:t>
      </w:r>
      <w:r w:rsidR="003E4CF9">
        <w:t xml:space="preserve">prior Commission decisions regarding other EGS companies.  HIKO is free to question other EGS companies regarding the rates they charged during the winter months of 2013-2014.  </w:t>
      </w:r>
      <w:r w:rsidR="00C1595F">
        <w:t xml:space="preserve">HIKO may present its own witnesses regarding </w:t>
      </w:r>
      <w:r w:rsidR="00942DA2">
        <w:t>civil penalties and/or license suspension/revocation</w:t>
      </w:r>
      <w:r w:rsidR="00C1595F">
        <w:t xml:space="preserve">.  Accordingly, </w:t>
      </w:r>
      <w:r w:rsidR="00213866" w:rsidRPr="005C1F93">
        <w:t>for the reasons set forth above,</w:t>
      </w:r>
      <w:r w:rsidR="00213866" w:rsidRPr="007B2E49">
        <w:rPr>
          <w:b/>
        </w:rPr>
        <w:t xml:space="preserve"> </w:t>
      </w:r>
      <w:r w:rsidR="00213866" w:rsidRPr="003F47DA">
        <w:t xml:space="preserve">HIKO’s </w:t>
      </w:r>
      <w:r w:rsidR="00E56D22" w:rsidRPr="003F47DA">
        <w:t xml:space="preserve">Application for Subpoena </w:t>
      </w:r>
      <w:r w:rsidR="00E56D22" w:rsidRPr="003F47DA">
        <w:rPr>
          <w:i/>
        </w:rPr>
        <w:t xml:space="preserve">Duces </w:t>
      </w:r>
      <w:r w:rsidR="00C16B09" w:rsidRPr="003F47DA">
        <w:rPr>
          <w:i/>
        </w:rPr>
        <w:t>Tecum</w:t>
      </w:r>
      <w:r w:rsidR="00213866" w:rsidRPr="003F47DA">
        <w:t xml:space="preserve"> </w:t>
      </w:r>
      <w:r w:rsidR="00C1595F" w:rsidRPr="003F47DA">
        <w:t xml:space="preserve">shall </w:t>
      </w:r>
      <w:r w:rsidR="00213866" w:rsidRPr="003F47DA">
        <w:t>be denied.</w:t>
      </w:r>
    </w:p>
    <w:p w:rsidR="00223996" w:rsidRPr="003F47DA" w:rsidRDefault="00223996" w:rsidP="003F47DA">
      <w:pPr>
        <w:pStyle w:val="BodyText2"/>
        <w:spacing w:line="360" w:lineRule="auto"/>
        <w:ind w:firstLine="0"/>
        <w:jc w:val="left"/>
        <w:rPr>
          <w:rFonts w:cs="Times New Roman"/>
          <w:u w:val="single"/>
        </w:rPr>
      </w:pPr>
    </w:p>
    <w:p w:rsidR="00223996" w:rsidRPr="003F47DA" w:rsidRDefault="00223996" w:rsidP="003F47DA">
      <w:pPr>
        <w:pStyle w:val="BodyText2"/>
        <w:spacing w:line="360" w:lineRule="auto"/>
        <w:ind w:firstLine="0"/>
        <w:jc w:val="left"/>
        <w:rPr>
          <w:rFonts w:cs="Times New Roman"/>
          <w:i/>
          <w:u w:val="single"/>
        </w:rPr>
      </w:pPr>
      <w:r w:rsidRPr="003F47DA">
        <w:rPr>
          <w:rFonts w:cs="Times New Roman"/>
          <w:u w:val="single"/>
        </w:rPr>
        <w:t xml:space="preserve">Motion for Admission </w:t>
      </w:r>
      <w:r w:rsidRPr="003F47DA">
        <w:rPr>
          <w:rFonts w:cs="Times New Roman"/>
          <w:i/>
          <w:u w:val="single"/>
        </w:rPr>
        <w:t>Pro Hac Vice</w:t>
      </w:r>
    </w:p>
    <w:p w:rsidR="00223996" w:rsidRPr="003F47DA" w:rsidRDefault="00223996" w:rsidP="003F47DA">
      <w:pPr>
        <w:pStyle w:val="BodyText2"/>
        <w:spacing w:line="360" w:lineRule="auto"/>
        <w:ind w:firstLine="0"/>
        <w:jc w:val="left"/>
        <w:rPr>
          <w:rFonts w:cs="Times New Roman"/>
          <w:i/>
          <w:u w:val="single"/>
        </w:rPr>
      </w:pPr>
    </w:p>
    <w:p w:rsidR="00223996" w:rsidRPr="003F47DA" w:rsidRDefault="00223996" w:rsidP="003F47DA">
      <w:pPr>
        <w:tabs>
          <w:tab w:val="left" w:pos="-720"/>
        </w:tabs>
        <w:suppressAutoHyphens/>
        <w:spacing w:line="360" w:lineRule="auto"/>
      </w:pPr>
      <w:r w:rsidRPr="003F47DA">
        <w:tab/>
      </w:r>
      <w:r w:rsidRPr="003F47DA">
        <w:tab/>
        <w:t xml:space="preserve">On October 2, 2014, Ginene A. Lewis, Esquire, counsel for HIKO Energy LLC, moved for the admission </w:t>
      </w:r>
      <w:r w:rsidRPr="003F47DA">
        <w:rPr>
          <w:i/>
        </w:rPr>
        <w:t xml:space="preserve">pro hac vice </w:t>
      </w:r>
      <w:r w:rsidRPr="003F47DA">
        <w:t xml:space="preserve">of Andrew Dressel, Esquire.  As this motion is unopposed, Andrew Dressel, Esquire shall be granted leave to participate in this proceeding </w:t>
      </w:r>
      <w:r w:rsidRPr="003F47DA">
        <w:rPr>
          <w:i/>
        </w:rPr>
        <w:t>pro hac vice</w:t>
      </w:r>
      <w:r w:rsidRPr="003F47DA">
        <w:t>.</w:t>
      </w:r>
    </w:p>
    <w:p w:rsidR="00AE7808" w:rsidRPr="003F47DA" w:rsidRDefault="00AE7808" w:rsidP="003F47DA">
      <w:pPr>
        <w:pStyle w:val="BodyText2"/>
        <w:spacing w:line="360" w:lineRule="auto"/>
        <w:ind w:firstLine="0"/>
        <w:jc w:val="left"/>
        <w:rPr>
          <w:rFonts w:cs="Times New Roman"/>
        </w:rPr>
      </w:pPr>
    </w:p>
    <w:p w:rsidR="003E4CF9" w:rsidRPr="003F47DA" w:rsidRDefault="003E4CF9" w:rsidP="003F47DA">
      <w:pPr>
        <w:pStyle w:val="BodyText2"/>
        <w:spacing w:line="360" w:lineRule="auto"/>
        <w:ind w:firstLine="0"/>
        <w:jc w:val="left"/>
        <w:rPr>
          <w:rFonts w:cs="Times New Roman"/>
          <w:u w:val="single"/>
        </w:rPr>
      </w:pPr>
      <w:proofErr w:type="gramStart"/>
      <w:r w:rsidRPr="003F47DA">
        <w:rPr>
          <w:rFonts w:cs="Times New Roman"/>
          <w:u w:val="single"/>
        </w:rPr>
        <w:t>I&amp;E’s informal request on December 19, 2014, for an extension from December 23, 2014 to January 6, 2015 to serve its exhibits and until January 23, 2015 to serve direct testimony.</w:t>
      </w:r>
      <w:proofErr w:type="gramEnd"/>
      <w:r w:rsidRPr="003F47DA">
        <w:rPr>
          <w:rFonts w:cs="Times New Roman"/>
          <w:u w:val="single"/>
        </w:rPr>
        <w:t xml:space="preserve">  </w:t>
      </w:r>
    </w:p>
    <w:p w:rsidR="003E4CF9" w:rsidRPr="003F47DA" w:rsidRDefault="003E4CF9" w:rsidP="003F47DA">
      <w:pPr>
        <w:pStyle w:val="BodyText2"/>
        <w:spacing w:line="360" w:lineRule="auto"/>
        <w:ind w:firstLine="0"/>
        <w:jc w:val="left"/>
        <w:rPr>
          <w:rFonts w:cs="Times New Roman"/>
        </w:rPr>
      </w:pPr>
    </w:p>
    <w:p w:rsidR="003E4CF9" w:rsidRDefault="003E4CF9" w:rsidP="003F47DA">
      <w:pPr>
        <w:spacing w:line="360" w:lineRule="auto"/>
      </w:pPr>
      <w:r w:rsidRPr="003F47DA">
        <w:tab/>
      </w:r>
      <w:r w:rsidRPr="003F47DA">
        <w:tab/>
        <w:t>On December 19, 2014, we received an electronic mail request from Michael Swindler, Esquire,</w:t>
      </w:r>
      <w:r>
        <w:t xml:space="preserve"> </w:t>
      </w:r>
      <w:proofErr w:type="gramStart"/>
      <w:r>
        <w:t>counsel</w:t>
      </w:r>
      <w:proofErr w:type="gramEnd"/>
      <w:r>
        <w:t xml:space="preserve"> for I&amp;E, for an extension from December 23, 2014 to January 6, 2015 within which time to serve its exhibits because it had encountered formatting issues regarding spreadsheets.   I&amp;E further requested an extension in the deadline to serve supplemental direct testimony on or before January 23, 2015.  As these requests were unopposed by HIKO, they were informally granted by electronic mail on December 19, 2014 by ALJ Barnes.  The extensions will be noted in the ordering paragraphs below.</w:t>
      </w:r>
    </w:p>
    <w:p w:rsidR="00CE5A61" w:rsidRDefault="00CE5A61" w:rsidP="00CE5A61">
      <w:pPr>
        <w:spacing w:line="360" w:lineRule="auto"/>
      </w:pPr>
    </w:p>
    <w:p w:rsidR="003F47DA" w:rsidRDefault="003F47DA" w:rsidP="00CE5A61">
      <w:pPr>
        <w:spacing w:line="360" w:lineRule="auto"/>
      </w:pPr>
    </w:p>
    <w:p w:rsidR="00E47037" w:rsidRDefault="00E47037" w:rsidP="00E47037">
      <w:pPr>
        <w:spacing w:line="360" w:lineRule="auto"/>
        <w:jc w:val="center"/>
        <w:rPr>
          <w:u w:val="single"/>
        </w:rPr>
      </w:pPr>
      <w:r>
        <w:rPr>
          <w:u w:val="single"/>
        </w:rPr>
        <w:t>ORDER</w:t>
      </w:r>
    </w:p>
    <w:p w:rsidR="00E47037" w:rsidRPr="00E47037" w:rsidRDefault="00E47037" w:rsidP="00E47037">
      <w:pPr>
        <w:spacing w:line="360" w:lineRule="auto"/>
        <w:jc w:val="center"/>
        <w:rPr>
          <w:u w:val="single"/>
        </w:rPr>
      </w:pPr>
    </w:p>
    <w:p w:rsidR="000D0A57" w:rsidRDefault="000D0A57" w:rsidP="00B11B52">
      <w:pPr>
        <w:spacing w:line="360" w:lineRule="auto"/>
      </w:pPr>
      <w:r>
        <w:tab/>
      </w:r>
      <w:r>
        <w:tab/>
        <w:t>THEREFORE,</w:t>
      </w:r>
    </w:p>
    <w:p w:rsidR="000D0A57" w:rsidRDefault="000D0A57" w:rsidP="00B11B52">
      <w:pPr>
        <w:spacing w:line="360" w:lineRule="auto"/>
      </w:pPr>
    </w:p>
    <w:p w:rsidR="000D0A57" w:rsidRDefault="000D0A57" w:rsidP="00B11B52">
      <w:pPr>
        <w:spacing w:line="360" w:lineRule="auto"/>
      </w:pPr>
      <w:r>
        <w:tab/>
      </w:r>
      <w:r>
        <w:tab/>
        <w:t>IT IS ORDERED:</w:t>
      </w:r>
    </w:p>
    <w:p w:rsidR="000D0A57" w:rsidRDefault="000D0A57" w:rsidP="00B11B52">
      <w:pPr>
        <w:spacing w:line="360" w:lineRule="auto"/>
      </w:pPr>
    </w:p>
    <w:p w:rsidR="00A45B71" w:rsidRDefault="000D0A57" w:rsidP="00A45B71">
      <w:pPr>
        <w:tabs>
          <w:tab w:val="left" w:pos="-720"/>
        </w:tabs>
        <w:suppressAutoHyphens/>
        <w:spacing w:line="360" w:lineRule="auto"/>
        <w:rPr>
          <w:rFonts w:ascii="CG Times" w:hAnsi="CG Times" w:cs="CG Times"/>
        </w:rPr>
      </w:pPr>
      <w:r>
        <w:tab/>
      </w:r>
      <w:r>
        <w:tab/>
        <w:t>1.</w:t>
      </w:r>
      <w:r>
        <w:tab/>
      </w:r>
      <w:r w:rsidR="00A45B71">
        <w:t xml:space="preserve">That Andrew Dressel, Esquire, on behalf of HIKO Energy LLC, shall be granted leave to participate in this proceeding </w:t>
      </w:r>
      <w:r w:rsidR="00A45B71" w:rsidRPr="00A45B71">
        <w:rPr>
          <w:rFonts w:ascii="CG Times" w:hAnsi="CG Times" w:cs="CG Times"/>
          <w:i/>
        </w:rPr>
        <w:t>pro hac vice</w:t>
      </w:r>
      <w:r w:rsidR="00A45B71" w:rsidRPr="00A45B71">
        <w:rPr>
          <w:rFonts w:ascii="CG Times" w:hAnsi="CG Times" w:cs="CG Times"/>
        </w:rPr>
        <w:t>.</w:t>
      </w:r>
    </w:p>
    <w:p w:rsidR="00A45B71" w:rsidRDefault="00A45B71" w:rsidP="00A45B71">
      <w:pPr>
        <w:tabs>
          <w:tab w:val="left" w:pos="-720"/>
        </w:tabs>
        <w:suppressAutoHyphens/>
        <w:spacing w:line="360" w:lineRule="auto"/>
        <w:rPr>
          <w:rFonts w:ascii="CG Times" w:hAnsi="CG Times" w:cs="CG Times"/>
        </w:rPr>
      </w:pPr>
    </w:p>
    <w:p w:rsidR="00A470B6" w:rsidRDefault="00A45B71" w:rsidP="00A45B71">
      <w:pPr>
        <w:tabs>
          <w:tab w:val="left" w:pos="-720"/>
        </w:tabs>
        <w:suppressAutoHyphens/>
        <w:spacing w:line="360" w:lineRule="auto"/>
      </w:pPr>
      <w:r>
        <w:rPr>
          <w:rFonts w:ascii="CG Times" w:hAnsi="CG Times" w:cs="CG Times"/>
        </w:rPr>
        <w:tab/>
      </w:r>
      <w:r>
        <w:rPr>
          <w:rFonts w:ascii="CG Times" w:hAnsi="CG Times" w:cs="CG Times"/>
        </w:rPr>
        <w:tab/>
        <w:t>2.</w:t>
      </w:r>
      <w:r>
        <w:rPr>
          <w:rFonts w:ascii="CG Times" w:hAnsi="CG Times" w:cs="CG Times"/>
        </w:rPr>
        <w:tab/>
      </w:r>
      <w:r w:rsidR="000D0A57">
        <w:t xml:space="preserve">That </w:t>
      </w:r>
      <w:r w:rsidR="00C1595F">
        <w:t>HIKO Energy, LLC</w:t>
      </w:r>
      <w:r w:rsidR="002C7212">
        <w:t>’s</w:t>
      </w:r>
      <w:r w:rsidR="000D0A57">
        <w:t xml:space="preserve"> Motion</w:t>
      </w:r>
      <w:r w:rsidR="00654EED">
        <w:t>s</w:t>
      </w:r>
      <w:r w:rsidR="000D0A57">
        <w:t xml:space="preserve"> to Compel Answers to Interrogatories</w:t>
      </w:r>
      <w:r w:rsidR="00654EED">
        <w:t xml:space="preserve"> Set I and Set II</w:t>
      </w:r>
      <w:r w:rsidR="000D0A57">
        <w:t xml:space="preserve"> and Dismiss Objections of </w:t>
      </w:r>
      <w:r w:rsidR="00C1595F">
        <w:t xml:space="preserve">the </w:t>
      </w:r>
      <w:r>
        <w:t xml:space="preserve">Bureau of Investigation and Enforcement </w:t>
      </w:r>
      <w:r w:rsidR="00654EED">
        <w:t>are</w:t>
      </w:r>
      <w:r w:rsidR="00643833">
        <w:t xml:space="preserve"> denied.  </w:t>
      </w:r>
    </w:p>
    <w:p w:rsidR="00643833" w:rsidRDefault="00643833" w:rsidP="00643833">
      <w:pPr>
        <w:spacing w:line="360" w:lineRule="auto"/>
      </w:pPr>
    </w:p>
    <w:p w:rsidR="00420A22" w:rsidRDefault="00643833" w:rsidP="00420A22">
      <w:pPr>
        <w:spacing w:line="360" w:lineRule="auto"/>
        <w:ind w:firstLine="720"/>
      </w:pPr>
      <w:r>
        <w:tab/>
      </w:r>
      <w:r w:rsidR="00A45B71">
        <w:t>3</w:t>
      </w:r>
      <w:r>
        <w:t>.</w:t>
      </w:r>
      <w:r w:rsidR="00420A22">
        <w:tab/>
        <w:t xml:space="preserve">That the Objections of </w:t>
      </w:r>
      <w:r w:rsidR="00C1595F">
        <w:t>the</w:t>
      </w:r>
      <w:r w:rsidR="00A45B71">
        <w:t xml:space="preserve"> Bureau of Investigation and Enforcement</w:t>
      </w:r>
      <w:r w:rsidR="00C1595F">
        <w:t xml:space="preserve"> to HIKO Energy, LLC’s</w:t>
      </w:r>
      <w:r w:rsidR="00C1595F" w:rsidRPr="00C1595F">
        <w:t xml:space="preserve"> </w:t>
      </w:r>
      <w:r w:rsidR="00C1595F">
        <w:t>Interrogatory Set I</w:t>
      </w:r>
      <w:r w:rsidR="00654EED">
        <w:t>I</w:t>
      </w:r>
      <w:r w:rsidR="00A45B71">
        <w:t xml:space="preserve"> </w:t>
      </w:r>
      <w:r w:rsidR="00420A22">
        <w:t xml:space="preserve">are sustained. </w:t>
      </w:r>
    </w:p>
    <w:p w:rsidR="00802318" w:rsidRDefault="00802318" w:rsidP="00420A22">
      <w:pPr>
        <w:spacing w:line="360" w:lineRule="auto"/>
        <w:ind w:firstLine="720"/>
      </w:pPr>
    </w:p>
    <w:p w:rsidR="00802318" w:rsidRDefault="00802318" w:rsidP="00802318">
      <w:pPr>
        <w:pStyle w:val="BodyText2"/>
        <w:spacing w:line="360" w:lineRule="auto"/>
        <w:ind w:firstLine="0"/>
        <w:jc w:val="left"/>
      </w:pPr>
      <w:r>
        <w:tab/>
      </w:r>
      <w:r>
        <w:tab/>
        <w:t>4.</w:t>
      </w:r>
      <w:r>
        <w:tab/>
        <w:t xml:space="preserve">That HIKO Energy LLC’s </w:t>
      </w:r>
      <w:r w:rsidRPr="00802318">
        <w:t xml:space="preserve">Application for Subpoena </w:t>
      </w:r>
      <w:r w:rsidRPr="00802318">
        <w:rPr>
          <w:i/>
        </w:rPr>
        <w:t>Duces Tecum</w:t>
      </w:r>
      <w:r w:rsidRPr="00802318">
        <w:t xml:space="preserve"> Addressed to Pennsylvania Public Utility Commission’s Bureau of Consumer Services</w:t>
      </w:r>
      <w:r>
        <w:t xml:space="preserve"> is </w:t>
      </w:r>
      <w:r w:rsidR="00A91381">
        <w:t>denied</w:t>
      </w:r>
      <w:r>
        <w:t>.</w:t>
      </w:r>
    </w:p>
    <w:p w:rsidR="00420A22" w:rsidRDefault="00420A22" w:rsidP="00420A22">
      <w:pPr>
        <w:spacing w:line="360" w:lineRule="auto"/>
        <w:ind w:firstLine="720"/>
      </w:pPr>
    </w:p>
    <w:p w:rsidR="00A45B71" w:rsidRDefault="00A45B71" w:rsidP="00420A22">
      <w:pPr>
        <w:spacing w:line="360" w:lineRule="auto"/>
        <w:ind w:firstLine="720"/>
      </w:pPr>
      <w:r>
        <w:tab/>
      </w:r>
      <w:r w:rsidR="00802318">
        <w:t>5.</w:t>
      </w:r>
      <w:r w:rsidR="00802318">
        <w:tab/>
        <w:t>That</w:t>
      </w:r>
      <w:r w:rsidR="00654EED">
        <w:t xml:space="preserve"> </w:t>
      </w:r>
      <w:r w:rsidR="008C45B5">
        <w:t>t</w:t>
      </w:r>
      <w:r w:rsidR="00654EED">
        <w:t xml:space="preserve">he </w:t>
      </w:r>
      <w:r w:rsidR="008C45B5">
        <w:t>Scheduling</w:t>
      </w:r>
      <w:r w:rsidR="00654EED">
        <w:t xml:space="preserve"> Order dated </w:t>
      </w:r>
      <w:r w:rsidR="00802318">
        <w:t>September 30, 2014</w:t>
      </w:r>
      <w:r w:rsidR="00654EED">
        <w:t>, is hereby amended such that the Bureau of  Investigation and Enforcement is gra</w:t>
      </w:r>
      <w:r w:rsidR="00715871">
        <w:t>nted an extension from December </w:t>
      </w:r>
      <w:r w:rsidR="00654EED">
        <w:t xml:space="preserve">23, 2014 to January 6, 2015 within which time to serve its exhibits and </w:t>
      </w:r>
      <w:r w:rsidR="008C45B5">
        <w:t xml:space="preserve">is granted leave to file </w:t>
      </w:r>
      <w:r w:rsidR="00654EED">
        <w:t xml:space="preserve"> supplemental direct testimony </w:t>
      </w:r>
      <w:r w:rsidR="008C45B5">
        <w:t>until</w:t>
      </w:r>
      <w:r w:rsidR="00654EED">
        <w:t xml:space="preserve"> January 23, 2015.</w:t>
      </w:r>
    </w:p>
    <w:p w:rsidR="008C45B5" w:rsidRDefault="008C45B5" w:rsidP="00420A22">
      <w:pPr>
        <w:spacing w:line="360" w:lineRule="auto"/>
        <w:ind w:firstLine="720"/>
      </w:pPr>
    </w:p>
    <w:p w:rsidR="00A470B6" w:rsidRDefault="00420A22" w:rsidP="00A45B71">
      <w:pPr>
        <w:spacing w:line="360" w:lineRule="auto"/>
        <w:ind w:firstLine="720"/>
      </w:pPr>
      <w:r>
        <w:tab/>
      </w:r>
      <w:r w:rsidR="00A470B6">
        <w:tab/>
      </w:r>
      <w:r w:rsidR="00A470B6">
        <w:tab/>
      </w:r>
    </w:p>
    <w:p w:rsidR="00A470B6" w:rsidRDefault="00A470B6" w:rsidP="00B11B52">
      <w:r>
        <w:t xml:space="preserve">Dated:  </w:t>
      </w:r>
      <w:r w:rsidR="00A45B71">
        <w:rPr>
          <w:u w:val="single"/>
        </w:rPr>
        <w:t xml:space="preserve">December </w:t>
      </w:r>
      <w:r w:rsidR="00AF6251">
        <w:rPr>
          <w:u w:val="single"/>
        </w:rPr>
        <w:t>30</w:t>
      </w:r>
      <w:r w:rsidR="00A45B71">
        <w:rPr>
          <w:u w:val="single"/>
        </w:rPr>
        <w:t xml:space="preserve">, </w:t>
      </w:r>
      <w:r w:rsidR="00643833">
        <w:rPr>
          <w:u w:val="single"/>
        </w:rPr>
        <w:t>2014</w:t>
      </w:r>
      <w:r>
        <w:tab/>
      </w:r>
      <w:r>
        <w:tab/>
      </w:r>
      <w:r w:rsidR="003A0910">
        <w:tab/>
      </w:r>
      <w:r w:rsidR="003F47DA">
        <w:tab/>
      </w:r>
      <w:r>
        <w:t>___________________________________</w:t>
      </w:r>
    </w:p>
    <w:p w:rsidR="00A470B6" w:rsidRDefault="00A470B6" w:rsidP="00B11B52">
      <w:r>
        <w:tab/>
      </w:r>
      <w:r>
        <w:tab/>
      </w:r>
      <w:r>
        <w:tab/>
      </w:r>
      <w:r>
        <w:tab/>
      </w:r>
      <w:r>
        <w:tab/>
      </w:r>
      <w:r>
        <w:tab/>
      </w:r>
      <w:r w:rsidR="003F47DA">
        <w:tab/>
      </w:r>
      <w:r w:rsidR="003A0910">
        <w:t>Elizabeth H. Barnes</w:t>
      </w:r>
    </w:p>
    <w:p w:rsidR="00EF1538" w:rsidRDefault="00A470B6" w:rsidP="00B11B52">
      <w:r>
        <w:tab/>
      </w:r>
      <w:r>
        <w:tab/>
      </w:r>
      <w:r>
        <w:tab/>
      </w:r>
      <w:r>
        <w:tab/>
      </w:r>
      <w:r>
        <w:tab/>
      </w:r>
      <w:r>
        <w:tab/>
      </w:r>
      <w:r w:rsidR="003F47DA">
        <w:tab/>
      </w:r>
      <w:r>
        <w:t>Administrative Law Judge</w:t>
      </w:r>
    </w:p>
    <w:p w:rsidR="00C1595F" w:rsidRDefault="00C1595F" w:rsidP="00B11B52"/>
    <w:p w:rsidR="00C1595F" w:rsidRDefault="00C1595F" w:rsidP="003F47DA">
      <w:pPr>
        <w:ind w:firstLine="5040"/>
      </w:pPr>
      <w:r>
        <w:tab/>
      </w:r>
      <w:r w:rsidR="003F47DA">
        <w:tab/>
      </w:r>
      <w:r>
        <w:tab/>
      </w:r>
      <w:r>
        <w:tab/>
      </w:r>
      <w:r w:rsidR="003F47DA">
        <w:tab/>
      </w:r>
      <w:r w:rsidR="003F47DA">
        <w:tab/>
      </w:r>
      <w:r w:rsidR="003F47DA">
        <w:tab/>
      </w:r>
      <w:r w:rsidR="003F47DA">
        <w:tab/>
      </w:r>
      <w:r w:rsidR="003F47DA">
        <w:tab/>
      </w:r>
      <w:r w:rsidR="003F47DA">
        <w:tab/>
      </w:r>
      <w:r w:rsidR="003F47DA">
        <w:tab/>
      </w:r>
      <w:r w:rsidR="003F47DA">
        <w:tab/>
      </w:r>
      <w:r w:rsidR="003F47DA">
        <w:tab/>
      </w:r>
      <w:r>
        <w:t>_____</w:t>
      </w:r>
      <w:r w:rsidR="003F47DA">
        <w:t>_______________________________</w:t>
      </w:r>
    </w:p>
    <w:p w:rsidR="00C1595F" w:rsidRDefault="00C1595F" w:rsidP="00B11B52">
      <w:r>
        <w:tab/>
      </w:r>
      <w:r>
        <w:tab/>
      </w:r>
      <w:r>
        <w:tab/>
      </w:r>
      <w:r>
        <w:tab/>
      </w:r>
      <w:r>
        <w:tab/>
      </w:r>
      <w:r>
        <w:tab/>
      </w:r>
      <w:r w:rsidR="00715871">
        <w:tab/>
      </w:r>
      <w:r>
        <w:t>Joel H. Cheskis</w:t>
      </w:r>
    </w:p>
    <w:p w:rsidR="00EF1538" w:rsidRDefault="00C1595F" w:rsidP="00C1595F">
      <w:r>
        <w:tab/>
      </w:r>
      <w:r>
        <w:tab/>
      </w:r>
      <w:r>
        <w:tab/>
      </w:r>
      <w:r>
        <w:tab/>
      </w:r>
      <w:r>
        <w:tab/>
      </w:r>
      <w:r>
        <w:tab/>
      </w:r>
      <w:r w:rsidR="00715871">
        <w:tab/>
      </w:r>
      <w:r>
        <w:t>Administrative Law Judge</w:t>
      </w:r>
    </w:p>
    <w:p w:rsidR="00715871" w:rsidRDefault="00715871" w:rsidP="00C1595F">
      <w:pPr>
        <w:sectPr w:rsidR="00715871" w:rsidSect="00C1595F">
          <w:footerReference w:type="even" r:id="rId10"/>
          <w:footerReference w:type="default" r:id="rId11"/>
          <w:pgSz w:w="12240" w:h="15840"/>
          <w:pgMar w:top="1440" w:right="1440" w:bottom="1440" w:left="1440" w:header="720" w:footer="720" w:gutter="0"/>
          <w:cols w:space="720"/>
          <w:titlePg/>
          <w:docGrid w:linePitch="360"/>
        </w:sectPr>
      </w:pPr>
    </w:p>
    <w:p w:rsidR="00715871" w:rsidRDefault="00715871" w:rsidP="00C1595F"/>
    <w:p w:rsidR="00766F3C" w:rsidRPr="00766F3C" w:rsidRDefault="00766F3C" w:rsidP="00766F3C">
      <w:pPr>
        <w:rPr>
          <w:rFonts w:ascii="Microsoft Sans Serif" w:hAnsi="Calibri"/>
          <w:szCs w:val="22"/>
        </w:rPr>
      </w:pPr>
      <w:r w:rsidRPr="00766F3C">
        <w:rPr>
          <w:rFonts w:ascii="Microsoft Sans Serif" w:hAnsi="Calibri"/>
          <w:b/>
          <w:szCs w:val="22"/>
          <w:u w:val="single"/>
        </w:rPr>
        <w:t xml:space="preserve">C-2014-2431410 </w:t>
      </w:r>
      <w:r w:rsidRPr="00766F3C">
        <w:rPr>
          <w:rFonts w:ascii="Microsoft Sans Serif" w:hAnsi="Calibri"/>
          <w:b/>
          <w:szCs w:val="22"/>
          <w:u w:val="single"/>
        </w:rPr>
        <w:t>–</w:t>
      </w:r>
      <w:r w:rsidRPr="00766F3C">
        <w:rPr>
          <w:rFonts w:ascii="Microsoft Sans Serif" w:hAnsi="Calibri"/>
          <w:b/>
          <w:szCs w:val="22"/>
          <w:u w:val="single"/>
        </w:rPr>
        <w:t xml:space="preserve"> PENNSYLVANIA PUBLIC UTILITY COMMISSION BUREAU OF INVESTIGATION AND ENFORCEMENT v. HIKO ENERGY LLC</w:t>
      </w:r>
      <w:r w:rsidRPr="00766F3C">
        <w:rPr>
          <w:rFonts w:ascii="Microsoft Sans Serif" w:hAnsi="Calibri"/>
          <w:b/>
          <w:szCs w:val="22"/>
          <w:u w:val="single"/>
        </w:rPr>
        <w:cr/>
      </w:r>
      <w:r w:rsidRPr="00766F3C">
        <w:rPr>
          <w:rFonts w:ascii="Microsoft Sans Serif" w:hAnsi="Calibri"/>
          <w:b/>
          <w:szCs w:val="22"/>
          <w:u w:val="single"/>
        </w:rPr>
        <w:cr/>
      </w:r>
      <w:r w:rsidRPr="00766F3C">
        <w:rPr>
          <w:rFonts w:ascii="Microsoft Sans Serif" w:hAnsi="Calibri"/>
          <w:szCs w:val="22"/>
          <w:u w:val="single"/>
        </w:rPr>
        <w:t>UPDATED 12-30-14</w:t>
      </w:r>
    </w:p>
    <w:p w:rsidR="00766F3C" w:rsidRPr="00766F3C" w:rsidRDefault="00766F3C" w:rsidP="00766F3C">
      <w:pPr>
        <w:rPr>
          <w:rFonts w:ascii="Microsoft Sans Serif" w:hAnsi="Calibri"/>
          <w:szCs w:val="22"/>
        </w:rPr>
      </w:pPr>
    </w:p>
    <w:p w:rsidR="00766F3C" w:rsidRPr="00766F3C" w:rsidRDefault="00766F3C" w:rsidP="00766F3C">
      <w:pPr>
        <w:rPr>
          <w:rFonts w:ascii="Microsoft Sans Serif" w:hAnsi="Calibri"/>
          <w:b/>
          <w:i/>
          <w:szCs w:val="22"/>
          <w:u w:val="single"/>
        </w:rPr>
      </w:pPr>
      <w:r w:rsidRPr="00766F3C">
        <w:rPr>
          <w:rFonts w:ascii="Microsoft Sans Serif" w:hAnsi="Calibri"/>
          <w:szCs w:val="22"/>
        </w:rPr>
        <w:t>MICHAEL L SWINDLER ESQUIRE</w:t>
      </w:r>
      <w:r w:rsidRPr="00766F3C">
        <w:rPr>
          <w:rFonts w:ascii="Microsoft Sans Serif" w:hAnsi="Calibri"/>
          <w:szCs w:val="22"/>
        </w:rPr>
        <w:cr/>
        <w:t>PA PUC I&amp;E</w:t>
      </w:r>
      <w:r w:rsidRPr="00766F3C">
        <w:rPr>
          <w:rFonts w:ascii="Microsoft Sans Serif" w:hAnsi="Calibri"/>
          <w:szCs w:val="22"/>
        </w:rPr>
        <w:cr/>
        <w:t>400 NORTH STREET</w:t>
      </w:r>
      <w:r w:rsidRPr="00766F3C">
        <w:rPr>
          <w:rFonts w:ascii="Microsoft Sans Serif" w:hAnsi="Calibri"/>
          <w:szCs w:val="22"/>
        </w:rPr>
        <w:cr/>
        <w:t>PO BOX 3265</w:t>
      </w:r>
      <w:r w:rsidRPr="00766F3C">
        <w:rPr>
          <w:rFonts w:ascii="Microsoft Sans Serif" w:hAnsi="Calibri"/>
          <w:szCs w:val="22"/>
        </w:rPr>
        <w:cr/>
        <w:t>HARRISBURG PA  17105-3265</w:t>
      </w:r>
      <w:r w:rsidRPr="00766F3C">
        <w:rPr>
          <w:rFonts w:ascii="Microsoft Sans Serif" w:hAnsi="Calibri"/>
          <w:szCs w:val="22"/>
        </w:rPr>
        <w:cr/>
      </w:r>
      <w:r w:rsidRPr="00766F3C">
        <w:rPr>
          <w:rFonts w:ascii="Microsoft Sans Serif" w:hAnsi="Calibri"/>
          <w:b/>
          <w:szCs w:val="22"/>
        </w:rPr>
        <w:t>717-783-6369</w:t>
      </w:r>
      <w:r w:rsidRPr="00766F3C">
        <w:rPr>
          <w:rFonts w:ascii="Microsoft Sans Serif" w:hAnsi="Calibri"/>
          <w:b/>
          <w:szCs w:val="22"/>
        </w:rPr>
        <w:cr/>
      </w:r>
      <w:r w:rsidRPr="00766F3C">
        <w:rPr>
          <w:rFonts w:ascii="Microsoft Sans Serif" w:hAnsi="Calibri"/>
          <w:b/>
          <w:i/>
          <w:szCs w:val="22"/>
          <w:u w:val="single"/>
        </w:rPr>
        <w:t>Accepts e-Service</w:t>
      </w:r>
    </w:p>
    <w:p w:rsidR="00766F3C" w:rsidRPr="00766F3C" w:rsidRDefault="00766F3C" w:rsidP="00766F3C">
      <w:pPr>
        <w:rPr>
          <w:rFonts w:ascii="Microsoft Sans Serif" w:hAnsi="Calibri"/>
          <w:szCs w:val="22"/>
        </w:rPr>
      </w:pPr>
    </w:p>
    <w:p w:rsidR="00766F3C" w:rsidRPr="00766F3C" w:rsidRDefault="00766F3C" w:rsidP="00766F3C">
      <w:pPr>
        <w:rPr>
          <w:rFonts w:ascii="Microsoft Sans Serif" w:hAnsi="Calibri"/>
          <w:b/>
          <w:i/>
          <w:szCs w:val="22"/>
          <w:u w:val="single"/>
        </w:rPr>
      </w:pPr>
      <w:r w:rsidRPr="00766F3C">
        <w:rPr>
          <w:rFonts w:ascii="Microsoft Sans Serif" w:hAnsi="Calibri"/>
          <w:szCs w:val="22"/>
        </w:rPr>
        <w:t>STEPHANIE M WIMER ESQUIRE</w:t>
      </w:r>
      <w:r w:rsidRPr="00766F3C">
        <w:rPr>
          <w:rFonts w:ascii="Microsoft Sans Serif" w:hAnsi="Calibri"/>
          <w:szCs w:val="22"/>
        </w:rPr>
        <w:cr/>
        <w:t>PA PUC LAW BUREAU</w:t>
      </w:r>
      <w:r w:rsidRPr="00766F3C">
        <w:rPr>
          <w:rFonts w:ascii="Microsoft Sans Serif" w:hAnsi="Calibri"/>
          <w:szCs w:val="22"/>
        </w:rPr>
        <w:cr/>
        <w:t>PO BOX 3265</w:t>
      </w:r>
      <w:r w:rsidRPr="00766F3C">
        <w:rPr>
          <w:rFonts w:ascii="Microsoft Sans Serif" w:hAnsi="Calibri"/>
          <w:szCs w:val="22"/>
        </w:rPr>
        <w:cr/>
        <w:t>HARRISBURG PA  17105-3265</w:t>
      </w:r>
      <w:r w:rsidRPr="00766F3C">
        <w:rPr>
          <w:rFonts w:ascii="Microsoft Sans Serif" w:hAnsi="Calibri"/>
          <w:szCs w:val="22"/>
        </w:rPr>
        <w:cr/>
      </w:r>
      <w:r w:rsidRPr="00766F3C">
        <w:rPr>
          <w:rFonts w:ascii="Microsoft Sans Serif" w:hAnsi="Calibri"/>
          <w:b/>
          <w:szCs w:val="22"/>
        </w:rPr>
        <w:t>717-787-5000</w:t>
      </w:r>
      <w:r w:rsidRPr="00766F3C">
        <w:rPr>
          <w:rFonts w:ascii="Microsoft Sans Serif" w:hAnsi="Calibri"/>
          <w:b/>
          <w:szCs w:val="22"/>
        </w:rPr>
        <w:cr/>
      </w:r>
      <w:r w:rsidRPr="00766F3C">
        <w:rPr>
          <w:rFonts w:ascii="Microsoft Sans Serif" w:hAnsi="Calibri"/>
          <w:b/>
          <w:i/>
          <w:szCs w:val="22"/>
          <w:u w:val="single"/>
        </w:rPr>
        <w:t>Accepts e-Service</w:t>
      </w:r>
    </w:p>
    <w:p w:rsidR="00766F3C" w:rsidRPr="00766F3C" w:rsidRDefault="00766F3C" w:rsidP="00766F3C">
      <w:pPr>
        <w:rPr>
          <w:rFonts w:ascii="Microsoft Sans Serif" w:hAnsi="Calibri"/>
          <w:szCs w:val="22"/>
        </w:rPr>
      </w:pPr>
    </w:p>
    <w:p w:rsidR="00766F3C" w:rsidRPr="00766F3C" w:rsidRDefault="00766F3C" w:rsidP="00766F3C">
      <w:pPr>
        <w:rPr>
          <w:rFonts w:ascii="Microsoft Sans Serif" w:hAnsi="Calibri"/>
          <w:szCs w:val="22"/>
        </w:rPr>
      </w:pPr>
      <w:r w:rsidRPr="00766F3C">
        <w:rPr>
          <w:rFonts w:ascii="Microsoft Sans Serif" w:hAnsi="Calibri"/>
          <w:szCs w:val="22"/>
        </w:rPr>
        <w:t>WAYNE T SCOTT ESQUIRE</w:t>
      </w:r>
      <w:r w:rsidRPr="00766F3C">
        <w:rPr>
          <w:rFonts w:ascii="Microsoft Sans Serif" w:hAnsi="Calibri"/>
          <w:szCs w:val="22"/>
        </w:rPr>
        <w:cr/>
        <w:t xml:space="preserve">PA PUC BUREAU OF INVESTIGATION </w:t>
      </w:r>
    </w:p>
    <w:p w:rsidR="00766F3C" w:rsidRPr="00766F3C" w:rsidRDefault="00766F3C" w:rsidP="00766F3C">
      <w:pPr>
        <w:rPr>
          <w:rFonts w:ascii="Microsoft Sans Serif" w:hAnsi="Calibri"/>
          <w:szCs w:val="22"/>
        </w:rPr>
      </w:pPr>
      <w:r w:rsidRPr="00766F3C">
        <w:rPr>
          <w:rFonts w:ascii="Microsoft Sans Serif" w:hAnsi="Calibri"/>
          <w:szCs w:val="22"/>
        </w:rPr>
        <w:t>&amp; ENFORCEMENT</w:t>
      </w:r>
      <w:r w:rsidRPr="00766F3C">
        <w:rPr>
          <w:rFonts w:ascii="Microsoft Sans Serif" w:hAnsi="Calibri"/>
          <w:szCs w:val="22"/>
        </w:rPr>
        <w:cr/>
        <w:t>PO BOX 3265</w:t>
      </w:r>
      <w:r w:rsidRPr="00766F3C">
        <w:rPr>
          <w:rFonts w:ascii="Microsoft Sans Serif" w:hAnsi="Calibri"/>
          <w:szCs w:val="22"/>
        </w:rPr>
        <w:cr/>
        <w:t>HARRISBURG PA  17105-3265</w:t>
      </w:r>
      <w:r w:rsidRPr="00766F3C">
        <w:rPr>
          <w:rFonts w:ascii="Microsoft Sans Serif" w:hAnsi="Calibri"/>
          <w:szCs w:val="22"/>
        </w:rPr>
        <w:cr/>
      </w:r>
      <w:r w:rsidRPr="00766F3C">
        <w:rPr>
          <w:rFonts w:ascii="Microsoft Sans Serif" w:hAnsi="Calibri"/>
          <w:b/>
          <w:szCs w:val="22"/>
        </w:rPr>
        <w:t>717-783-6150</w:t>
      </w:r>
      <w:r w:rsidRPr="00766F3C">
        <w:rPr>
          <w:rFonts w:ascii="Microsoft Sans Serif" w:hAnsi="Calibri"/>
          <w:b/>
          <w:szCs w:val="22"/>
        </w:rPr>
        <w:cr/>
      </w:r>
    </w:p>
    <w:p w:rsidR="00766F3C" w:rsidRPr="00766F3C" w:rsidRDefault="00766F3C" w:rsidP="00766F3C">
      <w:pPr>
        <w:rPr>
          <w:rFonts w:ascii="Microsoft Sans Serif" w:hAnsi="Calibri"/>
          <w:b/>
          <w:szCs w:val="22"/>
          <w:u w:val="single"/>
        </w:rPr>
      </w:pPr>
      <w:r w:rsidRPr="00766F3C">
        <w:rPr>
          <w:rFonts w:ascii="Microsoft Sans Serif" w:hAnsi="Calibri"/>
          <w:szCs w:val="22"/>
        </w:rPr>
        <w:t>GINENE A LEWIS ESQUIRE</w:t>
      </w:r>
      <w:r w:rsidRPr="00766F3C">
        <w:rPr>
          <w:rFonts w:ascii="Microsoft Sans Serif" w:hAnsi="Calibri"/>
          <w:szCs w:val="22"/>
        </w:rPr>
        <w:cr/>
        <w:t>ONE LOGAN SQUARE</w:t>
      </w:r>
      <w:r w:rsidRPr="00766F3C">
        <w:rPr>
          <w:rFonts w:ascii="Microsoft Sans Serif" w:hAnsi="Calibri"/>
          <w:szCs w:val="22"/>
        </w:rPr>
        <w:cr/>
        <w:t>SUITE 2000</w:t>
      </w:r>
      <w:r w:rsidRPr="00766F3C">
        <w:rPr>
          <w:rFonts w:ascii="Microsoft Sans Serif" w:hAnsi="Calibri"/>
          <w:szCs w:val="22"/>
        </w:rPr>
        <w:cr/>
        <w:t>PHILADELPHIA PA  19103</w:t>
      </w:r>
      <w:r w:rsidRPr="00766F3C">
        <w:rPr>
          <w:rFonts w:ascii="Microsoft Sans Serif" w:hAnsi="Calibri"/>
          <w:szCs w:val="22"/>
        </w:rPr>
        <w:cr/>
      </w:r>
      <w:r w:rsidRPr="00766F3C">
        <w:rPr>
          <w:rFonts w:ascii="Microsoft Sans Serif" w:hAnsi="Calibri"/>
          <w:b/>
          <w:szCs w:val="22"/>
        </w:rPr>
        <w:t>215-988-2707</w:t>
      </w:r>
    </w:p>
    <w:p w:rsidR="00766F3C" w:rsidRPr="00766F3C" w:rsidRDefault="00766F3C" w:rsidP="00766F3C">
      <w:pPr>
        <w:rPr>
          <w:rFonts w:ascii="Microsoft Sans Serif" w:hAnsi="Calibri"/>
          <w:szCs w:val="22"/>
        </w:rPr>
      </w:pPr>
      <w:r w:rsidRPr="00766F3C">
        <w:rPr>
          <w:rFonts w:ascii="Microsoft Sans Serif" w:hAnsi="Calibri"/>
          <w:b/>
          <w:i/>
          <w:szCs w:val="22"/>
          <w:u w:val="single"/>
        </w:rPr>
        <w:t>Accepts e-Service</w:t>
      </w:r>
      <w:r w:rsidRPr="00766F3C">
        <w:rPr>
          <w:rFonts w:ascii="Microsoft Sans Serif" w:hAnsi="Calibri"/>
          <w:szCs w:val="22"/>
        </w:rPr>
        <w:t xml:space="preserve"> </w:t>
      </w:r>
    </w:p>
    <w:p w:rsidR="00766F3C" w:rsidRPr="00766F3C" w:rsidRDefault="00766F3C" w:rsidP="00766F3C">
      <w:pPr>
        <w:rPr>
          <w:rFonts w:ascii="Microsoft Sans Serif" w:hAnsi="Calibri"/>
          <w:szCs w:val="22"/>
        </w:rPr>
      </w:pPr>
    </w:p>
    <w:p w:rsidR="00766F3C" w:rsidRPr="00766F3C" w:rsidRDefault="00766F3C" w:rsidP="00766F3C">
      <w:pPr>
        <w:rPr>
          <w:rFonts w:ascii="Microsoft Sans Serif" w:hAnsi="Calibri"/>
          <w:szCs w:val="22"/>
        </w:rPr>
      </w:pPr>
      <w:r w:rsidRPr="00766F3C">
        <w:rPr>
          <w:rFonts w:ascii="Microsoft Sans Serif" w:hAnsi="Calibri"/>
          <w:szCs w:val="22"/>
        </w:rPr>
        <w:t>VINCENT E GENTILE ESQUIRE</w:t>
      </w:r>
      <w:r w:rsidRPr="00766F3C">
        <w:rPr>
          <w:rFonts w:ascii="Microsoft Sans Serif" w:hAnsi="Calibri"/>
          <w:szCs w:val="22"/>
        </w:rPr>
        <w:cr/>
      </w:r>
      <w:bookmarkStart w:id="4" w:name="_GoBack"/>
      <w:bookmarkEnd w:id="4"/>
      <w:r w:rsidRPr="00766F3C">
        <w:rPr>
          <w:rFonts w:ascii="Microsoft Sans Serif" w:hAnsi="Calibri"/>
          <w:szCs w:val="22"/>
        </w:rPr>
        <w:t>DRINKER BIDDLE &amp; REATH LLP</w:t>
      </w:r>
      <w:r w:rsidRPr="00766F3C">
        <w:rPr>
          <w:rFonts w:ascii="Microsoft Sans Serif" w:hAnsi="Calibri"/>
          <w:szCs w:val="22"/>
        </w:rPr>
        <w:cr/>
        <w:t>105 COLLEGE ROAD EAST SUITE 300</w:t>
      </w:r>
      <w:r w:rsidRPr="00766F3C">
        <w:rPr>
          <w:rFonts w:ascii="Microsoft Sans Serif" w:hAnsi="Calibri"/>
          <w:szCs w:val="22"/>
        </w:rPr>
        <w:cr/>
        <w:t>PRINCETON NJ  08540</w:t>
      </w:r>
      <w:r w:rsidRPr="00766F3C">
        <w:rPr>
          <w:rFonts w:ascii="Microsoft Sans Serif" w:hAnsi="Calibri"/>
          <w:szCs w:val="22"/>
        </w:rPr>
        <w:cr/>
      </w:r>
      <w:r w:rsidRPr="00766F3C">
        <w:rPr>
          <w:rFonts w:ascii="Microsoft Sans Serif" w:hAnsi="Calibri"/>
          <w:b/>
          <w:szCs w:val="22"/>
        </w:rPr>
        <w:t>609-716-6619</w:t>
      </w:r>
      <w:r w:rsidRPr="00766F3C">
        <w:rPr>
          <w:rFonts w:ascii="Microsoft Sans Serif" w:hAnsi="Calibri"/>
          <w:szCs w:val="22"/>
        </w:rPr>
        <w:cr/>
      </w:r>
      <w:r w:rsidRPr="00766F3C">
        <w:rPr>
          <w:rFonts w:ascii="Microsoft Sans Serif" w:hAnsi="Calibri"/>
          <w:b/>
          <w:i/>
          <w:szCs w:val="22"/>
          <w:u w:val="single"/>
        </w:rPr>
        <w:t>Accepts e-Service</w:t>
      </w:r>
      <w:r w:rsidRPr="00766F3C">
        <w:rPr>
          <w:rFonts w:ascii="Microsoft Sans Serif" w:hAnsi="Calibri"/>
          <w:szCs w:val="22"/>
        </w:rPr>
        <w:t xml:space="preserve"> </w:t>
      </w:r>
    </w:p>
    <w:p w:rsidR="00766F3C" w:rsidRPr="00766F3C" w:rsidRDefault="00766F3C" w:rsidP="00766F3C">
      <w:pPr>
        <w:rPr>
          <w:rFonts w:ascii="Microsoft Sans Serif" w:hAnsi="Calibri"/>
          <w:szCs w:val="22"/>
        </w:rPr>
      </w:pPr>
    </w:p>
    <w:p w:rsidR="00766F3C" w:rsidRPr="00766F3C" w:rsidRDefault="00766F3C" w:rsidP="00766F3C">
      <w:pPr>
        <w:rPr>
          <w:rFonts w:ascii="Microsoft Sans Serif" w:hAnsi="Calibri"/>
          <w:szCs w:val="22"/>
        </w:rPr>
      </w:pPr>
      <w:r w:rsidRPr="00766F3C">
        <w:rPr>
          <w:rFonts w:ascii="Microsoft Sans Serif" w:hAnsi="Calibri"/>
          <w:szCs w:val="22"/>
        </w:rPr>
        <w:t>WILLIAM MARSILLO ESQUIRE</w:t>
      </w:r>
      <w:r w:rsidRPr="00766F3C">
        <w:rPr>
          <w:rFonts w:ascii="Microsoft Sans Serif" w:hAnsi="Calibri"/>
          <w:szCs w:val="22"/>
        </w:rPr>
        <w:cr/>
        <w:t>MOTTY SHULMAN ESQUIRE</w:t>
      </w:r>
      <w:r w:rsidRPr="00766F3C">
        <w:rPr>
          <w:rFonts w:ascii="Microsoft Sans Serif" w:hAnsi="Calibri"/>
          <w:szCs w:val="22"/>
        </w:rPr>
        <w:cr/>
        <w:t>ANDREW DRESSEL ESQUIRE</w:t>
      </w:r>
      <w:r w:rsidRPr="00766F3C">
        <w:rPr>
          <w:rFonts w:ascii="Microsoft Sans Serif" w:hAnsi="Calibri"/>
          <w:szCs w:val="22"/>
        </w:rPr>
        <w:cr/>
        <w:t>BOIES SCHILLER &amp; FLEXNER LLP</w:t>
      </w:r>
      <w:r w:rsidRPr="00766F3C">
        <w:rPr>
          <w:rFonts w:ascii="Microsoft Sans Serif" w:hAnsi="Calibri"/>
          <w:szCs w:val="22"/>
        </w:rPr>
        <w:cr/>
        <w:t>333 MAIN STREET</w:t>
      </w:r>
      <w:r w:rsidRPr="00766F3C">
        <w:rPr>
          <w:rFonts w:ascii="Microsoft Sans Serif" w:hAnsi="Calibri"/>
          <w:szCs w:val="22"/>
        </w:rPr>
        <w:cr/>
        <w:t>ARMONK NY  10504</w:t>
      </w:r>
      <w:r w:rsidRPr="00766F3C">
        <w:rPr>
          <w:rFonts w:ascii="Microsoft Sans Serif" w:hAnsi="Calibri"/>
          <w:szCs w:val="22"/>
        </w:rPr>
        <w:cr/>
      </w:r>
      <w:r w:rsidRPr="00766F3C">
        <w:rPr>
          <w:rFonts w:ascii="Microsoft Sans Serif" w:hAnsi="Calibri"/>
          <w:b/>
          <w:szCs w:val="22"/>
        </w:rPr>
        <w:t>914-749-8200</w:t>
      </w:r>
      <w:r w:rsidRPr="00766F3C">
        <w:rPr>
          <w:rFonts w:ascii="Microsoft Sans Serif" w:hAnsi="Calibri"/>
          <w:szCs w:val="22"/>
        </w:rPr>
        <w:cr/>
      </w:r>
      <w:r w:rsidRPr="00766F3C">
        <w:rPr>
          <w:rFonts w:ascii="Microsoft Sans Serif" w:hAnsi="Calibri"/>
          <w:szCs w:val="22"/>
        </w:rPr>
        <w:cr/>
      </w:r>
    </w:p>
    <w:p w:rsidR="00766F3C" w:rsidRPr="00766F3C" w:rsidRDefault="00766F3C" w:rsidP="00766F3C">
      <w:pPr>
        <w:rPr>
          <w:rFonts w:ascii="Microsoft Sans Serif" w:hAnsi="Calibri"/>
          <w:szCs w:val="22"/>
        </w:rPr>
      </w:pPr>
    </w:p>
    <w:p w:rsidR="00766F3C" w:rsidRPr="00766F3C" w:rsidRDefault="00766F3C" w:rsidP="00766F3C">
      <w:pPr>
        <w:rPr>
          <w:rFonts w:ascii="Microsoft Sans Serif" w:hAnsi="Calibri"/>
          <w:szCs w:val="22"/>
        </w:rPr>
      </w:pPr>
    </w:p>
    <w:p w:rsidR="00766F3C" w:rsidRPr="00766F3C" w:rsidRDefault="00766F3C" w:rsidP="00766F3C">
      <w:pPr>
        <w:rPr>
          <w:rFonts w:ascii="Microsoft Sans Serif" w:hAnsi="Calibri"/>
          <w:szCs w:val="22"/>
        </w:rPr>
      </w:pPr>
      <w:r w:rsidRPr="00766F3C">
        <w:rPr>
          <w:rFonts w:ascii="Microsoft Sans Serif" w:hAnsi="Calibri"/>
          <w:szCs w:val="22"/>
        </w:rPr>
        <w:t>CANDIS A TUNILO ESQUIRE</w:t>
      </w:r>
      <w:r w:rsidRPr="00766F3C">
        <w:rPr>
          <w:rFonts w:ascii="Microsoft Sans Serif" w:hAnsi="Calibri"/>
          <w:szCs w:val="22"/>
        </w:rPr>
        <w:cr/>
        <w:t>KRISTINE E ROBINSON</w:t>
      </w:r>
      <w:r w:rsidRPr="00766F3C">
        <w:rPr>
          <w:rFonts w:ascii="Microsoft Sans Serif" w:hAnsi="Calibri"/>
          <w:szCs w:val="22"/>
        </w:rPr>
        <w:cr/>
        <w:t>OFFICE OF CONSUMER ADVOCATE</w:t>
      </w:r>
      <w:r w:rsidRPr="00766F3C">
        <w:rPr>
          <w:rFonts w:ascii="Microsoft Sans Serif" w:hAnsi="Calibri"/>
          <w:szCs w:val="22"/>
        </w:rPr>
        <w:cr/>
        <w:t>5</w:t>
      </w:r>
      <w:r w:rsidRPr="00766F3C">
        <w:rPr>
          <w:rFonts w:ascii="Microsoft Sans Serif" w:hAnsi="Calibri"/>
          <w:szCs w:val="22"/>
          <w:vertAlign w:val="superscript"/>
        </w:rPr>
        <w:t>TH</w:t>
      </w:r>
      <w:r w:rsidRPr="00766F3C">
        <w:rPr>
          <w:rFonts w:ascii="Microsoft Sans Serif" w:hAnsi="Calibri"/>
          <w:szCs w:val="22"/>
        </w:rPr>
        <w:t xml:space="preserve"> FLOOR FORUM PLACE</w:t>
      </w:r>
      <w:r w:rsidRPr="00766F3C">
        <w:rPr>
          <w:rFonts w:ascii="Microsoft Sans Serif" w:hAnsi="Calibri"/>
          <w:szCs w:val="22"/>
        </w:rPr>
        <w:cr/>
        <w:t>555 WALNUT STREET</w:t>
      </w:r>
      <w:r w:rsidRPr="00766F3C">
        <w:rPr>
          <w:rFonts w:ascii="Microsoft Sans Serif" w:hAnsi="Calibri"/>
          <w:szCs w:val="22"/>
        </w:rPr>
        <w:cr/>
        <w:t>HARRISBURG PA  17101-1923</w:t>
      </w:r>
      <w:r w:rsidRPr="00766F3C">
        <w:rPr>
          <w:rFonts w:ascii="Microsoft Sans Serif" w:hAnsi="Calibri"/>
          <w:szCs w:val="22"/>
        </w:rPr>
        <w:cr/>
      </w:r>
      <w:r w:rsidRPr="00766F3C">
        <w:rPr>
          <w:rFonts w:ascii="Microsoft Sans Serif" w:hAnsi="Calibri"/>
          <w:b/>
          <w:szCs w:val="22"/>
        </w:rPr>
        <w:t>1-800-684-6560</w:t>
      </w:r>
      <w:r w:rsidRPr="00766F3C">
        <w:rPr>
          <w:rFonts w:ascii="Microsoft Sans Serif" w:hAnsi="Calibri"/>
          <w:b/>
          <w:szCs w:val="22"/>
        </w:rPr>
        <w:cr/>
      </w:r>
    </w:p>
    <w:p w:rsidR="00766F3C" w:rsidRPr="00766F3C" w:rsidRDefault="00766F3C" w:rsidP="00766F3C">
      <w:pPr>
        <w:rPr>
          <w:rFonts w:ascii="Microsoft Sans Serif" w:hAnsi="Calibri"/>
          <w:szCs w:val="22"/>
        </w:rPr>
      </w:pPr>
      <w:r w:rsidRPr="00766F3C">
        <w:rPr>
          <w:rFonts w:ascii="Microsoft Sans Serif" w:hAnsi="Calibri"/>
          <w:szCs w:val="22"/>
        </w:rPr>
        <w:t>JOHN M ABEL ESQUIRE</w:t>
      </w:r>
      <w:r w:rsidRPr="00766F3C">
        <w:rPr>
          <w:rFonts w:ascii="Microsoft Sans Serif" w:hAnsi="Calibri"/>
          <w:szCs w:val="22"/>
        </w:rPr>
        <w:cr/>
        <w:t>NICOLE R BECK ESQUIRE</w:t>
      </w:r>
    </w:p>
    <w:p w:rsidR="00766F3C" w:rsidRPr="00766F3C" w:rsidRDefault="00766F3C" w:rsidP="00766F3C">
      <w:pPr>
        <w:rPr>
          <w:rFonts w:ascii="Microsoft Sans Serif" w:hAnsi="Calibri"/>
          <w:szCs w:val="22"/>
        </w:rPr>
      </w:pPr>
      <w:r w:rsidRPr="00766F3C">
        <w:rPr>
          <w:rFonts w:ascii="Microsoft Sans Serif" w:hAnsi="Calibri"/>
          <w:szCs w:val="22"/>
        </w:rPr>
        <w:t>PA OFFICE OF ATTORNEY GENERAL</w:t>
      </w:r>
      <w:r w:rsidRPr="00766F3C">
        <w:rPr>
          <w:rFonts w:ascii="Microsoft Sans Serif" w:hAnsi="Calibri"/>
          <w:szCs w:val="22"/>
        </w:rPr>
        <w:cr/>
        <w:t>BUREAU OF CONSUMER PROTECTION</w:t>
      </w:r>
      <w:r w:rsidRPr="00766F3C">
        <w:rPr>
          <w:rFonts w:ascii="Microsoft Sans Serif" w:hAnsi="Calibri"/>
          <w:szCs w:val="22"/>
        </w:rPr>
        <w:cr/>
        <w:t>15</w:t>
      </w:r>
      <w:r w:rsidRPr="00766F3C">
        <w:rPr>
          <w:rFonts w:ascii="Microsoft Sans Serif" w:hAnsi="Calibri"/>
          <w:szCs w:val="22"/>
          <w:vertAlign w:val="superscript"/>
        </w:rPr>
        <w:t>TH</w:t>
      </w:r>
      <w:r w:rsidRPr="00766F3C">
        <w:rPr>
          <w:rFonts w:ascii="Microsoft Sans Serif" w:hAnsi="Calibri"/>
          <w:szCs w:val="22"/>
        </w:rPr>
        <w:t xml:space="preserve"> FL STRAWBERRY SQUARE</w:t>
      </w:r>
      <w:r w:rsidRPr="00766F3C">
        <w:rPr>
          <w:rFonts w:ascii="Microsoft Sans Serif" w:hAnsi="Calibri"/>
          <w:szCs w:val="22"/>
        </w:rPr>
        <w:cr/>
        <w:t>HARRISBURG PA  17120</w:t>
      </w:r>
    </w:p>
    <w:p w:rsidR="00766F3C" w:rsidRPr="00766F3C" w:rsidRDefault="00766F3C" w:rsidP="00766F3C">
      <w:pPr>
        <w:rPr>
          <w:rFonts w:ascii="Microsoft Sans Serif" w:hAnsi="Calibri"/>
          <w:szCs w:val="22"/>
        </w:rPr>
      </w:pPr>
    </w:p>
    <w:p w:rsidR="00766F3C" w:rsidRPr="00766F3C" w:rsidRDefault="00766F3C" w:rsidP="00766F3C">
      <w:pPr>
        <w:rPr>
          <w:rFonts w:ascii="Microsoft Sans Serif" w:hAnsi="Calibri"/>
          <w:szCs w:val="22"/>
        </w:rPr>
      </w:pPr>
      <w:r w:rsidRPr="00766F3C">
        <w:rPr>
          <w:rFonts w:ascii="Microsoft Sans Serif" w:hAnsi="Calibri"/>
          <w:szCs w:val="22"/>
        </w:rPr>
        <w:t>STEVEN K BAINBRIDGE ESQUIRE</w:t>
      </w:r>
    </w:p>
    <w:p w:rsidR="00766F3C" w:rsidRPr="00766F3C" w:rsidRDefault="00766F3C" w:rsidP="00766F3C">
      <w:pPr>
        <w:rPr>
          <w:rFonts w:ascii="Microsoft Sans Serif" w:hAnsi="Calibri"/>
          <w:szCs w:val="22"/>
        </w:rPr>
      </w:pPr>
      <w:r w:rsidRPr="00766F3C">
        <w:rPr>
          <w:rFonts w:ascii="Microsoft Sans Serif" w:hAnsi="Calibri"/>
          <w:szCs w:val="22"/>
        </w:rPr>
        <w:t>PA PUC LAW BUREAU</w:t>
      </w:r>
    </w:p>
    <w:p w:rsidR="00766F3C" w:rsidRPr="00766F3C" w:rsidRDefault="00766F3C" w:rsidP="00766F3C">
      <w:pPr>
        <w:rPr>
          <w:rFonts w:ascii="Microsoft Sans Serif" w:hAnsi="Calibri"/>
          <w:szCs w:val="22"/>
        </w:rPr>
      </w:pPr>
      <w:r w:rsidRPr="00766F3C">
        <w:rPr>
          <w:rFonts w:ascii="Microsoft Sans Serif" w:hAnsi="Calibri"/>
          <w:szCs w:val="22"/>
        </w:rPr>
        <w:t>PO BOX 3265</w:t>
      </w:r>
    </w:p>
    <w:p w:rsidR="00766F3C" w:rsidRPr="00766F3C" w:rsidRDefault="00766F3C" w:rsidP="00766F3C">
      <w:pPr>
        <w:rPr>
          <w:rFonts w:ascii="Microsoft Sans Serif" w:hAnsi="Calibri"/>
          <w:szCs w:val="22"/>
        </w:rPr>
      </w:pPr>
      <w:r w:rsidRPr="00766F3C">
        <w:rPr>
          <w:rFonts w:ascii="Microsoft Sans Serif" w:hAnsi="Calibri"/>
          <w:szCs w:val="22"/>
        </w:rPr>
        <w:t>HARRISBURG PA  17120</w:t>
      </w:r>
    </w:p>
    <w:p w:rsidR="00766F3C" w:rsidRPr="00766F3C" w:rsidRDefault="00766F3C" w:rsidP="00766F3C">
      <w:pPr>
        <w:rPr>
          <w:rFonts w:ascii="Microsoft Sans Serif" w:hAnsi="Calibri"/>
          <w:szCs w:val="22"/>
        </w:rPr>
      </w:pPr>
      <w:r w:rsidRPr="00766F3C">
        <w:rPr>
          <w:rFonts w:ascii="Microsoft Sans Serif" w:hAnsi="Calibri"/>
          <w:szCs w:val="22"/>
        </w:rPr>
        <w:t>(Representing BCS)</w:t>
      </w:r>
    </w:p>
    <w:p w:rsidR="00766F3C" w:rsidRPr="00766F3C" w:rsidRDefault="00766F3C" w:rsidP="00766F3C">
      <w:pPr>
        <w:rPr>
          <w:rFonts w:ascii="Microsoft Sans Serif" w:hAnsi="Calibri"/>
          <w:b/>
          <w:szCs w:val="22"/>
        </w:rPr>
      </w:pPr>
      <w:r w:rsidRPr="00766F3C">
        <w:rPr>
          <w:rFonts w:ascii="Microsoft Sans Serif" w:hAnsi="Calibri"/>
          <w:b/>
          <w:szCs w:val="22"/>
        </w:rPr>
        <w:t>717-783-6165</w:t>
      </w:r>
    </w:p>
    <w:p w:rsidR="00766F3C" w:rsidRPr="00766F3C" w:rsidRDefault="00766F3C" w:rsidP="00766F3C">
      <w:pPr>
        <w:rPr>
          <w:rFonts w:ascii="Calibri" w:hAnsi="Calibri"/>
          <w:b/>
          <w:i/>
          <w:sz w:val="22"/>
          <w:szCs w:val="22"/>
          <w:u w:val="single"/>
        </w:rPr>
      </w:pPr>
      <w:r w:rsidRPr="00766F3C">
        <w:rPr>
          <w:rFonts w:ascii="Microsoft Sans Serif" w:hAnsi="Calibri"/>
          <w:b/>
          <w:i/>
          <w:szCs w:val="22"/>
          <w:u w:val="single"/>
        </w:rPr>
        <w:t>Accepts e-Service</w:t>
      </w:r>
    </w:p>
    <w:p w:rsidR="00A470B6" w:rsidRPr="00E6223D" w:rsidRDefault="00A470B6" w:rsidP="00B11B52"/>
    <w:sectPr w:rsidR="00A470B6" w:rsidRPr="00E6223D" w:rsidSect="00766F3C">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EB9" w:rsidRDefault="001B0EB9">
      <w:r>
        <w:separator/>
      </w:r>
    </w:p>
  </w:endnote>
  <w:endnote w:type="continuationSeparator" w:id="0">
    <w:p w:rsidR="001B0EB9" w:rsidRDefault="001B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F3" w:rsidRDefault="00072DF3"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2DF3" w:rsidRDefault="00072D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F3" w:rsidRPr="00E47037" w:rsidRDefault="00072DF3" w:rsidP="00FD0AA0">
    <w:pPr>
      <w:pStyle w:val="Footer"/>
      <w:framePr w:wrap="around" w:vAnchor="text" w:hAnchor="margin" w:xAlign="center" w:y="1"/>
      <w:rPr>
        <w:rStyle w:val="PageNumber"/>
        <w:sz w:val="20"/>
        <w:szCs w:val="20"/>
      </w:rPr>
    </w:pPr>
    <w:r w:rsidRPr="00E47037">
      <w:rPr>
        <w:rStyle w:val="PageNumber"/>
        <w:sz w:val="20"/>
        <w:szCs w:val="20"/>
      </w:rPr>
      <w:fldChar w:fldCharType="begin"/>
    </w:r>
    <w:r w:rsidRPr="00E47037">
      <w:rPr>
        <w:rStyle w:val="PageNumber"/>
        <w:sz w:val="20"/>
        <w:szCs w:val="20"/>
      </w:rPr>
      <w:instrText xml:space="preserve">PAGE  </w:instrText>
    </w:r>
    <w:r w:rsidRPr="00E47037">
      <w:rPr>
        <w:rStyle w:val="PageNumber"/>
        <w:sz w:val="20"/>
        <w:szCs w:val="20"/>
      </w:rPr>
      <w:fldChar w:fldCharType="separate"/>
    </w:r>
    <w:r w:rsidR="00766F3C">
      <w:rPr>
        <w:rStyle w:val="PageNumber"/>
        <w:noProof/>
        <w:sz w:val="20"/>
        <w:szCs w:val="20"/>
      </w:rPr>
      <w:t>17</w:t>
    </w:r>
    <w:r w:rsidRPr="00E47037">
      <w:rPr>
        <w:rStyle w:val="PageNumber"/>
        <w:sz w:val="20"/>
        <w:szCs w:val="20"/>
      </w:rPr>
      <w:fldChar w:fldCharType="end"/>
    </w:r>
  </w:p>
  <w:p w:rsidR="00072DF3" w:rsidRDefault="00072D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F3C" w:rsidRDefault="00766F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F3C" w:rsidRDefault="00766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EB9" w:rsidRDefault="001B0EB9">
      <w:r>
        <w:separator/>
      </w:r>
    </w:p>
  </w:footnote>
  <w:footnote w:type="continuationSeparator" w:id="0">
    <w:p w:rsidR="001B0EB9" w:rsidRDefault="001B0EB9">
      <w:r>
        <w:continuationSeparator/>
      </w:r>
    </w:p>
  </w:footnote>
  <w:footnote w:id="1">
    <w:p w:rsidR="00F506E8" w:rsidRPr="00F506E8" w:rsidRDefault="00F506E8" w:rsidP="00F506E8">
      <w:pPr>
        <w:pStyle w:val="BodyText2"/>
        <w:spacing w:line="240" w:lineRule="auto"/>
        <w:ind w:firstLine="0"/>
        <w:jc w:val="left"/>
        <w:rPr>
          <w:sz w:val="20"/>
        </w:rPr>
      </w:pPr>
      <w:r w:rsidRPr="00F506E8">
        <w:rPr>
          <w:rStyle w:val="FootnoteReference"/>
          <w:sz w:val="20"/>
        </w:rPr>
        <w:footnoteRef/>
      </w:r>
      <w:r w:rsidRPr="00F506E8">
        <w:rPr>
          <w:sz w:val="20"/>
        </w:rPr>
        <w:t xml:space="preserve"> </w:t>
      </w:r>
      <w:r w:rsidR="00715871">
        <w:rPr>
          <w:sz w:val="20"/>
        </w:rPr>
        <w:tab/>
      </w:r>
      <w:r w:rsidRPr="00F506E8">
        <w:rPr>
          <w:sz w:val="20"/>
        </w:rPr>
        <w:t>On December 23, 2014, I&amp;E pre-served written direct testimony of Daniel Mumford.  I&amp;E Statement No. 1.  By electronic mail on December 24, 2014, we notified the parties that given the complex and novel nature of the issues involved in the motions to compel and application for subpoena, and the fact that pre-served testimony had been received on December 23</w:t>
      </w:r>
      <w:r w:rsidRPr="00F506E8">
        <w:rPr>
          <w:sz w:val="20"/>
          <w:vertAlign w:val="superscript"/>
        </w:rPr>
        <w:t>rd</w:t>
      </w:r>
      <w:r w:rsidRPr="00F506E8">
        <w:rPr>
          <w:sz w:val="20"/>
        </w:rPr>
        <w:t>, that we would extend our deadlines to rule on the motions and application pursuant to 52 Pa. Code §§ 5.343(g)(2) and 52 Pa. Code Section 5.421(f) by several days given the pending work holidays until December 31, 2014.</w:t>
      </w:r>
    </w:p>
    <w:p w:rsidR="00F506E8" w:rsidRDefault="00F506E8">
      <w:pPr>
        <w:pStyle w:val="FootnoteText"/>
      </w:pPr>
    </w:p>
  </w:footnote>
  <w:footnote w:id="2">
    <w:p w:rsidR="00072DF3" w:rsidRPr="00DC2972" w:rsidRDefault="00072DF3">
      <w:pPr>
        <w:pStyle w:val="FootnoteText"/>
      </w:pPr>
      <w:r>
        <w:rPr>
          <w:rStyle w:val="FootnoteReference"/>
        </w:rPr>
        <w:footnoteRef/>
      </w:r>
      <w:r>
        <w:t xml:space="preserve"> </w:t>
      </w:r>
      <w:r w:rsidR="00715871">
        <w:tab/>
      </w:r>
      <w:r>
        <w:rPr>
          <w:i/>
        </w:rPr>
        <w:t xml:space="preserve">Commonwealth of Pennsylvania, et al. v. Blue Pilot Energy, LLC, </w:t>
      </w:r>
      <w:r>
        <w:t xml:space="preserve">Docket No. C-2014-2427655 (Protective Order entered September 3, 2014); </w:t>
      </w:r>
      <w:r>
        <w:rPr>
          <w:i/>
        </w:rPr>
        <w:t xml:space="preserve">Commonwealth of Pennsylvania, et al. v. IDT Energy, Inc., </w:t>
      </w:r>
      <w:r>
        <w:t xml:space="preserve">Docket No. C-2014-2427657 (Protective Order entered September 3, 2014); </w:t>
      </w:r>
      <w:r>
        <w:rPr>
          <w:i/>
        </w:rPr>
        <w:t xml:space="preserve">Commonwealth of </w:t>
      </w:r>
      <w:r w:rsidRPr="00DC2972">
        <w:rPr>
          <w:i/>
        </w:rPr>
        <w:t>Pennsylvania, et al. v. Energy Serv. “Providers, Inc. d/b/a Pa. Gas &amp; Electric,</w:t>
      </w:r>
      <w:r>
        <w:t xml:space="preserve"> Docket No. C-2014-2427656 (Protective Order entered September 3, 2014); </w:t>
      </w:r>
      <w:r>
        <w:rPr>
          <w:i/>
        </w:rPr>
        <w:t xml:space="preserve">Commonwealth of </w:t>
      </w:r>
      <w:r w:rsidRPr="00DC2972">
        <w:rPr>
          <w:i/>
        </w:rPr>
        <w:t>Pennsylvania, et al. v. Respond Power, LLC</w:t>
      </w:r>
      <w:r>
        <w:t xml:space="preserve">, Docket No. C-2014-2427659 (Protective Order entered September 3, 2014).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203B5"/>
    <w:multiLevelType w:val="hybridMultilevel"/>
    <w:tmpl w:val="DB84F520"/>
    <w:lvl w:ilvl="0" w:tplc="5DE6BC8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5924440"/>
    <w:multiLevelType w:val="multilevel"/>
    <w:tmpl w:val="4CBACC98"/>
    <w:name w:val="zzmpTabbed||Tabbed|2|3|1|1|12|9||1|12|1||1|12|1||1|12|1||1|12|0||1|12|0||1|12|0||1|12|0||1|12|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35BB"/>
    <w:rsid w:val="00005B6D"/>
    <w:rsid w:val="00006BC2"/>
    <w:rsid w:val="00007520"/>
    <w:rsid w:val="00007AD3"/>
    <w:rsid w:val="00010964"/>
    <w:rsid w:val="00010F3B"/>
    <w:rsid w:val="000113FD"/>
    <w:rsid w:val="00011E29"/>
    <w:rsid w:val="0001209D"/>
    <w:rsid w:val="00012624"/>
    <w:rsid w:val="00012AA7"/>
    <w:rsid w:val="00012F0F"/>
    <w:rsid w:val="000130CF"/>
    <w:rsid w:val="0001330B"/>
    <w:rsid w:val="0001395D"/>
    <w:rsid w:val="00013B00"/>
    <w:rsid w:val="00014B9B"/>
    <w:rsid w:val="00015637"/>
    <w:rsid w:val="00015FC5"/>
    <w:rsid w:val="00016796"/>
    <w:rsid w:val="0002042E"/>
    <w:rsid w:val="000205EF"/>
    <w:rsid w:val="00020DD2"/>
    <w:rsid w:val="000219E8"/>
    <w:rsid w:val="00021C47"/>
    <w:rsid w:val="00021E05"/>
    <w:rsid w:val="00021F05"/>
    <w:rsid w:val="000315D8"/>
    <w:rsid w:val="00031968"/>
    <w:rsid w:val="000320EA"/>
    <w:rsid w:val="000359CF"/>
    <w:rsid w:val="00035B8B"/>
    <w:rsid w:val="00036EC8"/>
    <w:rsid w:val="00037AB9"/>
    <w:rsid w:val="00037FC7"/>
    <w:rsid w:val="00040F65"/>
    <w:rsid w:val="0004187E"/>
    <w:rsid w:val="000431CB"/>
    <w:rsid w:val="00044226"/>
    <w:rsid w:val="000446DB"/>
    <w:rsid w:val="00044E4F"/>
    <w:rsid w:val="00046434"/>
    <w:rsid w:val="0004698F"/>
    <w:rsid w:val="00046F49"/>
    <w:rsid w:val="000479B4"/>
    <w:rsid w:val="00050656"/>
    <w:rsid w:val="00052AF9"/>
    <w:rsid w:val="0005373A"/>
    <w:rsid w:val="00053792"/>
    <w:rsid w:val="0005431F"/>
    <w:rsid w:val="0005568B"/>
    <w:rsid w:val="00055FE5"/>
    <w:rsid w:val="00061A14"/>
    <w:rsid w:val="00061CCC"/>
    <w:rsid w:val="00065D06"/>
    <w:rsid w:val="0006787E"/>
    <w:rsid w:val="00072DF3"/>
    <w:rsid w:val="0007460B"/>
    <w:rsid w:val="0007524A"/>
    <w:rsid w:val="000757AD"/>
    <w:rsid w:val="00076C46"/>
    <w:rsid w:val="00077E32"/>
    <w:rsid w:val="000831AA"/>
    <w:rsid w:val="000844DD"/>
    <w:rsid w:val="00085155"/>
    <w:rsid w:val="00085C0D"/>
    <w:rsid w:val="000868D6"/>
    <w:rsid w:val="000901CB"/>
    <w:rsid w:val="000928E5"/>
    <w:rsid w:val="000936AA"/>
    <w:rsid w:val="00094A2B"/>
    <w:rsid w:val="000958D2"/>
    <w:rsid w:val="000974D8"/>
    <w:rsid w:val="000A07BD"/>
    <w:rsid w:val="000A25EB"/>
    <w:rsid w:val="000A27C5"/>
    <w:rsid w:val="000A2D8C"/>
    <w:rsid w:val="000A5190"/>
    <w:rsid w:val="000A5360"/>
    <w:rsid w:val="000A741D"/>
    <w:rsid w:val="000A7657"/>
    <w:rsid w:val="000B4662"/>
    <w:rsid w:val="000B48B1"/>
    <w:rsid w:val="000B4A44"/>
    <w:rsid w:val="000B5EB5"/>
    <w:rsid w:val="000C0751"/>
    <w:rsid w:val="000C0E75"/>
    <w:rsid w:val="000C1740"/>
    <w:rsid w:val="000C1854"/>
    <w:rsid w:val="000C1970"/>
    <w:rsid w:val="000C21FB"/>
    <w:rsid w:val="000C4064"/>
    <w:rsid w:val="000C6FB8"/>
    <w:rsid w:val="000C70B4"/>
    <w:rsid w:val="000D02BC"/>
    <w:rsid w:val="000D083A"/>
    <w:rsid w:val="000D0A57"/>
    <w:rsid w:val="000D2334"/>
    <w:rsid w:val="000D2F5A"/>
    <w:rsid w:val="000D4D0A"/>
    <w:rsid w:val="000D567C"/>
    <w:rsid w:val="000D7761"/>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EE1"/>
    <w:rsid w:val="000F546F"/>
    <w:rsid w:val="000F5F2C"/>
    <w:rsid w:val="000F62EA"/>
    <w:rsid w:val="000F6639"/>
    <w:rsid w:val="001004D2"/>
    <w:rsid w:val="00101542"/>
    <w:rsid w:val="001071E3"/>
    <w:rsid w:val="0010766A"/>
    <w:rsid w:val="00107D91"/>
    <w:rsid w:val="00110DF3"/>
    <w:rsid w:val="0011139A"/>
    <w:rsid w:val="00111838"/>
    <w:rsid w:val="001129E3"/>
    <w:rsid w:val="00112C3C"/>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4BA"/>
    <w:rsid w:val="00130550"/>
    <w:rsid w:val="00134362"/>
    <w:rsid w:val="00134C94"/>
    <w:rsid w:val="00134EA8"/>
    <w:rsid w:val="001351C4"/>
    <w:rsid w:val="00136AF3"/>
    <w:rsid w:val="00136BC9"/>
    <w:rsid w:val="00136C9A"/>
    <w:rsid w:val="001372D2"/>
    <w:rsid w:val="00137A58"/>
    <w:rsid w:val="00137DBE"/>
    <w:rsid w:val="001404DB"/>
    <w:rsid w:val="00142279"/>
    <w:rsid w:val="00142920"/>
    <w:rsid w:val="00142C54"/>
    <w:rsid w:val="00143719"/>
    <w:rsid w:val="00143DCC"/>
    <w:rsid w:val="00144856"/>
    <w:rsid w:val="0014491A"/>
    <w:rsid w:val="00146443"/>
    <w:rsid w:val="00150E1C"/>
    <w:rsid w:val="00150FC9"/>
    <w:rsid w:val="00151911"/>
    <w:rsid w:val="00152302"/>
    <w:rsid w:val="00152391"/>
    <w:rsid w:val="00152ADD"/>
    <w:rsid w:val="00154FD6"/>
    <w:rsid w:val="001554C0"/>
    <w:rsid w:val="00155C48"/>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45BE"/>
    <w:rsid w:val="00184B50"/>
    <w:rsid w:val="00185A40"/>
    <w:rsid w:val="001905C8"/>
    <w:rsid w:val="00192956"/>
    <w:rsid w:val="00193A2A"/>
    <w:rsid w:val="00193B60"/>
    <w:rsid w:val="00193C8F"/>
    <w:rsid w:val="00195EBA"/>
    <w:rsid w:val="001973E5"/>
    <w:rsid w:val="00197934"/>
    <w:rsid w:val="001A039F"/>
    <w:rsid w:val="001A225A"/>
    <w:rsid w:val="001A28BE"/>
    <w:rsid w:val="001A29FF"/>
    <w:rsid w:val="001A4C79"/>
    <w:rsid w:val="001A4DCA"/>
    <w:rsid w:val="001A7526"/>
    <w:rsid w:val="001A77D3"/>
    <w:rsid w:val="001B009E"/>
    <w:rsid w:val="001B0BEE"/>
    <w:rsid w:val="001B0EB9"/>
    <w:rsid w:val="001B38CF"/>
    <w:rsid w:val="001B39C2"/>
    <w:rsid w:val="001B533D"/>
    <w:rsid w:val="001B6AFF"/>
    <w:rsid w:val="001B6F4A"/>
    <w:rsid w:val="001C0857"/>
    <w:rsid w:val="001C0959"/>
    <w:rsid w:val="001C2D99"/>
    <w:rsid w:val="001C45AF"/>
    <w:rsid w:val="001C4927"/>
    <w:rsid w:val="001C4A81"/>
    <w:rsid w:val="001C63D6"/>
    <w:rsid w:val="001C6995"/>
    <w:rsid w:val="001C7624"/>
    <w:rsid w:val="001C7868"/>
    <w:rsid w:val="001C7BDA"/>
    <w:rsid w:val="001D057D"/>
    <w:rsid w:val="001D17E6"/>
    <w:rsid w:val="001D235E"/>
    <w:rsid w:val="001D2EB6"/>
    <w:rsid w:val="001D2F5E"/>
    <w:rsid w:val="001D40D2"/>
    <w:rsid w:val="001D43E1"/>
    <w:rsid w:val="001D4AC8"/>
    <w:rsid w:val="001D63E0"/>
    <w:rsid w:val="001D66A1"/>
    <w:rsid w:val="001D6E1D"/>
    <w:rsid w:val="001D708E"/>
    <w:rsid w:val="001E0A25"/>
    <w:rsid w:val="001E12A6"/>
    <w:rsid w:val="001E168D"/>
    <w:rsid w:val="001E3219"/>
    <w:rsid w:val="001E4F80"/>
    <w:rsid w:val="001E5C7B"/>
    <w:rsid w:val="001F2E47"/>
    <w:rsid w:val="001F38DD"/>
    <w:rsid w:val="001F4C17"/>
    <w:rsid w:val="001F627F"/>
    <w:rsid w:val="001F6805"/>
    <w:rsid w:val="001F7426"/>
    <w:rsid w:val="00203EB1"/>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297C"/>
    <w:rsid w:val="00213866"/>
    <w:rsid w:val="00214AFE"/>
    <w:rsid w:val="00214D60"/>
    <w:rsid w:val="002152B2"/>
    <w:rsid w:val="0021546F"/>
    <w:rsid w:val="00215D5A"/>
    <w:rsid w:val="002165C5"/>
    <w:rsid w:val="002179FD"/>
    <w:rsid w:val="00220FE5"/>
    <w:rsid w:val="00221256"/>
    <w:rsid w:val="002224F9"/>
    <w:rsid w:val="00223996"/>
    <w:rsid w:val="0022431E"/>
    <w:rsid w:val="00224B6E"/>
    <w:rsid w:val="0022585A"/>
    <w:rsid w:val="002263AC"/>
    <w:rsid w:val="00227B69"/>
    <w:rsid w:val="00230D71"/>
    <w:rsid w:val="00231435"/>
    <w:rsid w:val="00232EF1"/>
    <w:rsid w:val="00233425"/>
    <w:rsid w:val="002336DD"/>
    <w:rsid w:val="00234AF5"/>
    <w:rsid w:val="00234ECC"/>
    <w:rsid w:val="0023608D"/>
    <w:rsid w:val="0024076C"/>
    <w:rsid w:val="00240D81"/>
    <w:rsid w:val="002415F2"/>
    <w:rsid w:val="0024317F"/>
    <w:rsid w:val="00244CBE"/>
    <w:rsid w:val="00244D31"/>
    <w:rsid w:val="0024513C"/>
    <w:rsid w:val="002452E3"/>
    <w:rsid w:val="00245819"/>
    <w:rsid w:val="002465F2"/>
    <w:rsid w:val="0024699A"/>
    <w:rsid w:val="0024750E"/>
    <w:rsid w:val="0025047B"/>
    <w:rsid w:val="00250849"/>
    <w:rsid w:val="00250AD4"/>
    <w:rsid w:val="002524AE"/>
    <w:rsid w:val="00252D91"/>
    <w:rsid w:val="0025313F"/>
    <w:rsid w:val="002534FF"/>
    <w:rsid w:val="00254DC4"/>
    <w:rsid w:val="002561C2"/>
    <w:rsid w:val="002568A1"/>
    <w:rsid w:val="002573E2"/>
    <w:rsid w:val="0026143B"/>
    <w:rsid w:val="0026175F"/>
    <w:rsid w:val="00261950"/>
    <w:rsid w:val="00262320"/>
    <w:rsid w:val="0026395A"/>
    <w:rsid w:val="0026397D"/>
    <w:rsid w:val="00265612"/>
    <w:rsid w:val="00266C2B"/>
    <w:rsid w:val="0026732E"/>
    <w:rsid w:val="00271A77"/>
    <w:rsid w:val="00272A22"/>
    <w:rsid w:val="0027358C"/>
    <w:rsid w:val="00273C64"/>
    <w:rsid w:val="0027536E"/>
    <w:rsid w:val="002757A4"/>
    <w:rsid w:val="00275E38"/>
    <w:rsid w:val="00276DCE"/>
    <w:rsid w:val="00277337"/>
    <w:rsid w:val="00277A4C"/>
    <w:rsid w:val="00281E25"/>
    <w:rsid w:val="00284168"/>
    <w:rsid w:val="00284CE5"/>
    <w:rsid w:val="002852ED"/>
    <w:rsid w:val="002864C9"/>
    <w:rsid w:val="00286757"/>
    <w:rsid w:val="00286EC1"/>
    <w:rsid w:val="00286F6A"/>
    <w:rsid w:val="00291609"/>
    <w:rsid w:val="00291FFF"/>
    <w:rsid w:val="00295BD3"/>
    <w:rsid w:val="00296273"/>
    <w:rsid w:val="002A488C"/>
    <w:rsid w:val="002A60FF"/>
    <w:rsid w:val="002A6105"/>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398C"/>
    <w:rsid w:val="002C5000"/>
    <w:rsid w:val="002C5896"/>
    <w:rsid w:val="002C665D"/>
    <w:rsid w:val="002C7212"/>
    <w:rsid w:val="002C75EE"/>
    <w:rsid w:val="002C7FF6"/>
    <w:rsid w:val="002D05FF"/>
    <w:rsid w:val="002D2E41"/>
    <w:rsid w:val="002D3A0E"/>
    <w:rsid w:val="002D45D1"/>
    <w:rsid w:val="002D5D82"/>
    <w:rsid w:val="002D79A2"/>
    <w:rsid w:val="002D7FA4"/>
    <w:rsid w:val="002E0D9D"/>
    <w:rsid w:val="002E1EED"/>
    <w:rsid w:val="002E4098"/>
    <w:rsid w:val="002E4FCF"/>
    <w:rsid w:val="002E546C"/>
    <w:rsid w:val="002E6570"/>
    <w:rsid w:val="002F19C5"/>
    <w:rsid w:val="002F2838"/>
    <w:rsid w:val="002F2FC5"/>
    <w:rsid w:val="002F3EE1"/>
    <w:rsid w:val="002F6B84"/>
    <w:rsid w:val="003015CD"/>
    <w:rsid w:val="00301F30"/>
    <w:rsid w:val="00302A6D"/>
    <w:rsid w:val="00304FE2"/>
    <w:rsid w:val="0030574A"/>
    <w:rsid w:val="00305D74"/>
    <w:rsid w:val="003069AE"/>
    <w:rsid w:val="00310B19"/>
    <w:rsid w:val="003124FC"/>
    <w:rsid w:val="003127C4"/>
    <w:rsid w:val="00313833"/>
    <w:rsid w:val="00314B32"/>
    <w:rsid w:val="00314D31"/>
    <w:rsid w:val="00317627"/>
    <w:rsid w:val="0031763C"/>
    <w:rsid w:val="00320F10"/>
    <w:rsid w:val="0032153C"/>
    <w:rsid w:val="00321F00"/>
    <w:rsid w:val="0032281C"/>
    <w:rsid w:val="003234F5"/>
    <w:rsid w:val="003271DE"/>
    <w:rsid w:val="003304AF"/>
    <w:rsid w:val="0033061B"/>
    <w:rsid w:val="003332E9"/>
    <w:rsid w:val="00333743"/>
    <w:rsid w:val="00333E5D"/>
    <w:rsid w:val="00337524"/>
    <w:rsid w:val="00340895"/>
    <w:rsid w:val="00341495"/>
    <w:rsid w:val="003426C9"/>
    <w:rsid w:val="00344367"/>
    <w:rsid w:val="003450D5"/>
    <w:rsid w:val="003465D9"/>
    <w:rsid w:val="003500FF"/>
    <w:rsid w:val="0035049A"/>
    <w:rsid w:val="00351F39"/>
    <w:rsid w:val="003531AF"/>
    <w:rsid w:val="0036211F"/>
    <w:rsid w:val="00362686"/>
    <w:rsid w:val="00362EA2"/>
    <w:rsid w:val="00363ADD"/>
    <w:rsid w:val="00364825"/>
    <w:rsid w:val="003662E1"/>
    <w:rsid w:val="00370894"/>
    <w:rsid w:val="00370A05"/>
    <w:rsid w:val="00371850"/>
    <w:rsid w:val="0037197D"/>
    <w:rsid w:val="003729A9"/>
    <w:rsid w:val="00372DCB"/>
    <w:rsid w:val="00374289"/>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374E"/>
    <w:rsid w:val="00393B86"/>
    <w:rsid w:val="003946AE"/>
    <w:rsid w:val="00394715"/>
    <w:rsid w:val="00395648"/>
    <w:rsid w:val="00396D06"/>
    <w:rsid w:val="00396DE8"/>
    <w:rsid w:val="0039789B"/>
    <w:rsid w:val="003A040B"/>
    <w:rsid w:val="003A0910"/>
    <w:rsid w:val="003A36F3"/>
    <w:rsid w:val="003A649E"/>
    <w:rsid w:val="003A7A55"/>
    <w:rsid w:val="003B116B"/>
    <w:rsid w:val="003B205A"/>
    <w:rsid w:val="003B5667"/>
    <w:rsid w:val="003B5C86"/>
    <w:rsid w:val="003B645B"/>
    <w:rsid w:val="003B71A0"/>
    <w:rsid w:val="003B78F7"/>
    <w:rsid w:val="003C032E"/>
    <w:rsid w:val="003C04E8"/>
    <w:rsid w:val="003C08DA"/>
    <w:rsid w:val="003C0E2C"/>
    <w:rsid w:val="003C14D4"/>
    <w:rsid w:val="003C23C4"/>
    <w:rsid w:val="003C280C"/>
    <w:rsid w:val="003C3594"/>
    <w:rsid w:val="003C3DD9"/>
    <w:rsid w:val="003C5112"/>
    <w:rsid w:val="003C5A84"/>
    <w:rsid w:val="003C64A0"/>
    <w:rsid w:val="003C6D65"/>
    <w:rsid w:val="003C7165"/>
    <w:rsid w:val="003C7A78"/>
    <w:rsid w:val="003C7CAD"/>
    <w:rsid w:val="003D112B"/>
    <w:rsid w:val="003D33F6"/>
    <w:rsid w:val="003D43BA"/>
    <w:rsid w:val="003D53CA"/>
    <w:rsid w:val="003D55B8"/>
    <w:rsid w:val="003D575B"/>
    <w:rsid w:val="003D7B0C"/>
    <w:rsid w:val="003E03B7"/>
    <w:rsid w:val="003E2005"/>
    <w:rsid w:val="003E24CD"/>
    <w:rsid w:val="003E4CF9"/>
    <w:rsid w:val="003E6024"/>
    <w:rsid w:val="003E670A"/>
    <w:rsid w:val="003E786D"/>
    <w:rsid w:val="003F0A3F"/>
    <w:rsid w:val="003F1704"/>
    <w:rsid w:val="003F25AC"/>
    <w:rsid w:val="003F4292"/>
    <w:rsid w:val="003F459E"/>
    <w:rsid w:val="003F45A1"/>
    <w:rsid w:val="003F471D"/>
    <w:rsid w:val="003F47DA"/>
    <w:rsid w:val="003F610F"/>
    <w:rsid w:val="003F6606"/>
    <w:rsid w:val="003F7E03"/>
    <w:rsid w:val="004034CE"/>
    <w:rsid w:val="00403B5A"/>
    <w:rsid w:val="00405FDA"/>
    <w:rsid w:val="0040648E"/>
    <w:rsid w:val="00407509"/>
    <w:rsid w:val="004110EC"/>
    <w:rsid w:val="004123F9"/>
    <w:rsid w:val="00415F43"/>
    <w:rsid w:val="00416181"/>
    <w:rsid w:val="00416E4C"/>
    <w:rsid w:val="00420A22"/>
    <w:rsid w:val="00420E18"/>
    <w:rsid w:val="00421A70"/>
    <w:rsid w:val="004229A6"/>
    <w:rsid w:val="004230D1"/>
    <w:rsid w:val="0042323A"/>
    <w:rsid w:val="0042498C"/>
    <w:rsid w:val="004258F4"/>
    <w:rsid w:val="00426CEB"/>
    <w:rsid w:val="0043010B"/>
    <w:rsid w:val="00430E36"/>
    <w:rsid w:val="0043450D"/>
    <w:rsid w:val="004351AD"/>
    <w:rsid w:val="004365FC"/>
    <w:rsid w:val="00437368"/>
    <w:rsid w:val="0043784A"/>
    <w:rsid w:val="0044190B"/>
    <w:rsid w:val="00443515"/>
    <w:rsid w:val="00443DE2"/>
    <w:rsid w:val="00443E23"/>
    <w:rsid w:val="004461E0"/>
    <w:rsid w:val="00446AD8"/>
    <w:rsid w:val="00450625"/>
    <w:rsid w:val="00456AF6"/>
    <w:rsid w:val="00456BFB"/>
    <w:rsid w:val="00456D91"/>
    <w:rsid w:val="00457018"/>
    <w:rsid w:val="00460B35"/>
    <w:rsid w:val="00460DCC"/>
    <w:rsid w:val="00461CF8"/>
    <w:rsid w:val="00461E61"/>
    <w:rsid w:val="00463744"/>
    <w:rsid w:val="0046382E"/>
    <w:rsid w:val="00464B98"/>
    <w:rsid w:val="00466080"/>
    <w:rsid w:val="004661AD"/>
    <w:rsid w:val="004663B3"/>
    <w:rsid w:val="00466C76"/>
    <w:rsid w:val="00466E13"/>
    <w:rsid w:val="00472C44"/>
    <w:rsid w:val="00472CC3"/>
    <w:rsid w:val="0047375A"/>
    <w:rsid w:val="00474243"/>
    <w:rsid w:val="00475928"/>
    <w:rsid w:val="00475949"/>
    <w:rsid w:val="00475D83"/>
    <w:rsid w:val="00475F0B"/>
    <w:rsid w:val="00480736"/>
    <w:rsid w:val="00480806"/>
    <w:rsid w:val="00481A65"/>
    <w:rsid w:val="0048289A"/>
    <w:rsid w:val="00482D88"/>
    <w:rsid w:val="004834AB"/>
    <w:rsid w:val="00483E47"/>
    <w:rsid w:val="00485294"/>
    <w:rsid w:val="00485861"/>
    <w:rsid w:val="00486532"/>
    <w:rsid w:val="004872C2"/>
    <w:rsid w:val="004873C6"/>
    <w:rsid w:val="00487A3E"/>
    <w:rsid w:val="00487B09"/>
    <w:rsid w:val="0049011C"/>
    <w:rsid w:val="00492E7B"/>
    <w:rsid w:val="00493614"/>
    <w:rsid w:val="00493BB3"/>
    <w:rsid w:val="00494FB0"/>
    <w:rsid w:val="0049510E"/>
    <w:rsid w:val="0049783F"/>
    <w:rsid w:val="00497922"/>
    <w:rsid w:val="004A240F"/>
    <w:rsid w:val="004A69DB"/>
    <w:rsid w:val="004A7E26"/>
    <w:rsid w:val="004B0562"/>
    <w:rsid w:val="004B0BCC"/>
    <w:rsid w:val="004B0F6B"/>
    <w:rsid w:val="004B1570"/>
    <w:rsid w:val="004B1B60"/>
    <w:rsid w:val="004B2E89"/>
    <w:rsid w:val="004B3046"/>
    <w:rsid w:val="004B3061"/>
    <w:rsid w:val="004B5E16"/>
    <w:rsid w:val="004B5F47"/>
    <w:rsid w:val="004B60FF"/>
    <w:rsid w:val="004C21C3"/>
    <w:rsid w:val="004C24C3"/>
    <w:rsid w:val="004C264B"/>
    <w:rsid w:val="004C3515"/>
    <w:rsid w:val="004C38A9"/>
    <w:rsid w:val="004C43FD"/>
    <w:rsid w:val="004C5E0F"/>
    <w:rsid w:val="004C6775"/>
    <w:rsid w:val="004C6C62"/>
    <w:rsid w:val="004D00F1"/>
    <w:rsid w:val="004D0854"/>
    <w:rsid w:val="004D0CD5"/>
    <w:rsid w:val="004D3350"/>
    <w:rsid w:val="004D5D57"/>
    <w:rsid w:val="004D749A"/>
    <w:rsid w:val="004D7523"/>
    <w:rsid w:val="004E0EDD"/>
    <w:rsid w:val="004E109F"/>
    <w:rsid w:val="004E12A2"/>
    <w:rsid w:val="004E1D7C"/>
    <w:rsid w:val="004E3785"/>
    <w:rsid w:val="004E5A27"/>
    <w:rsid w:val="004E5D60"/>
    <w:rsid w:val="004E681E"/>
    <w:rsid w:val="004E6B46"/>
    <w:rsid w:val="004E74A6"/>
    <w:rsid w:val="004E75A8"/>
    <w:rsid w:val="004F1A3C"/>
    <w:rsid w:val="004F2BEE"/>
    <w:rsid w:val="004F36F0"/>
    <w:rsid w:val="004F4859"/>
    <w:rsid w:val="004F52DC"/>
    <w:rsid w:val="004F5BBA"/>
    <w:rsid w:val="004F6F90"/>
    <w:rsid w:val="004F7610"/>
    <w:rsid w:val="004F7E21"/>
    <w:rsid w:val="0050099A"/>
    <w:rsid w:val="00500C09"/>
    <w:rsid w:val="00501176"/>
    <w:rsid w:val="005011AF"/>
    <w:rsid w:val="00502443"/>
    <w:rsid w:val="00503B86"/>
    <w:rsid w:val="00503E54"/>
    <w:rsid w:val="005048B2"/>
    <w:rsid w:val="00504EB6"/>
    <w:rsid w:val="00505A90"/>
    <w:rsid w:val="00505EEE"/>
    <w:rsid w:val="005062FF"/>
    <w:rsid w:val="0050663A"/>
    <w:rsid w:val="00506C92"/>
    <w:rsid w:val="0050721B"/>
    <w:rsid w:val="00507EDD"/>
    <w:rsid w:val="00511CE3"/>
    <w:rsid w:val="005171C1"/>
    <w:rsid w:val="005172EA"/>
    <w:rsid w:val="005201EE"/>
    <w:rsid w:val="0052087C"/>
    <w:rsid w:val="00520BA7"/>
    <w:rsid w:val="00522427"/>
    <w:rsid w:val="00522E20"/>
    <w:rsid w:val="005239AE"/>
    <w:rsid w:val="0052682A"/>
    <w:rsid w:val="005312D7"/>
    <w:rsid w:val="00532B8B"/>
    <w:rsid w:val="00533581"/>
    <w:rsid w:val="00533822"/>
    <w:rsid w:val="005409C5"/>
    <w:rsid w:val="00541FE1"/>
    <w:rsid w:val="00542A59"/>
    <w:rsid w:val="00543B4D"/>
    <w:rsid w:val="00545F93"/>
    <w:rsid w:val="005468E5"/>
    <w:rsid w:val="005469BF"/>
    <w:rsid w:val="005470FD"/>
    <w:rsid w:val="00547E46"/>
    <w:rsid w:val="00550669"/>
    <w:rsid w:val="005555A5"/>
    <w:rsid w:val="00561908"/>
    <w:rsid w:val="005624B6"/>
    <w:rsid w:val="00562A5B"/>
    <w:rsid w:val="00562D3A"/>
    <w:rsid w:val="00564337"/>
    <w:rsid w:val="0056496B"/>
    <w:rsid w:val="00566FDB"/>
    <w:rsid w:val="005675B1"/>
    <w:rsid w:val="00567A3A"/>
    <w:rsid w:val="00572CAC"/>
    <w:rsid w:val="005739F4"/>
    <w:rsid w:val="0057434B"/>
    <w:rsid w:val="005747F6"/>
    <w:rsid w:val="00574E2F"/>
    <w:rsid w:val="005768AF"/>
    <w:rsid w:val="00582597"/>
    <w:rsid w:val="005829ED"/>
    <w:rsid w:val="00582F1E"/>
    <w:rsid w:val="00583043"/>
    <w:rsid w:val="005839CA"/>
    <w:rsid w:val="0058421D"/>
    <w:rsid w:val="00584313"/>
    <w:rsid w:val="00586449"/>
    <w:rsid w:val="00586718"/>
    <w:rsid w:val="005901BD"/>
    <w:rsid w:val="00590C92"/>
    <w:rsid w:val="0059317E"/>
    <w:rsid w:val="0059326C"/>
    <w:rsid w:val="00593772"/>
    <w:rsid w:val="00593B6D"/>
    <w:rsid w:val="00594827"/>
    <w:rsid w:val="005948F4"/>
    <w:rsid w:val="00594AE8"/>
    <w:rsid w:val="0059536E"/>
    <w:rsid w:val="005970D4"/>
    <w:rsid w:val="005A3685"/>
    <w:rsid w:val="005A3ABC"/>
    <w:rsid w:val="005A60BB"/>
    <w:rsid w:val="005A6C80"/>
    <w:rsid w:val="005A6E9D"/>
    <w:rsid w:val="005A7A07"/>
    <w:rsid w:val="005A7F69"/>
    <w:rsid w:val="005B173E"/>
    <w:rsid w:val="005B2B71"/>
    <w:rsid w:val="005B3179"/>
    <w:rsid w:val="005B31C8"/>
    <w:rsid w:val="005B53FA"/>
    <w:rsid w:val="005B72FC"/>
    <w:rsid w:val="005C0391"/>
    <w:rsid w:val="005C1D12"/>
    <w:rsid w:val="005C30C9"/>
    <w:rsid w:val="005C5469"/>
    <w:rsid w:val="005C7488"/>
    <w:rsid w:val="005C780A"/>
    <w:rsid w:val="005C7C60"/>
    <w:rsid w:val="005D0166"/>
    <w:rsid w:val="005D130A"/>
    <w:rsid w:val="005D26CB"/>
    <w:rsid w:val="005D2A76"/>
    <w:rsid w:val="005D3D2A"/>
    <w:rsid w:val="005D460A"/>
    <w:rsid w:val="005D46E6"/>
    <w:rsid w:val="005D5186"/>
    <w:rsid w:val="005D5599"/>
    <w:rsid w:val="005D7A30"/>
    <w:rsid w:val="005D7EA0"/>
    <w:rsid w:val="005D7F6F"/>
    <w:rsid w:val="005E100E"/>
    <w:rsid w:val="005E1CCD"/>
    <w:rsid w:val="005E1D7F"/>
    <w:rsid w:val="005E2BB6"/>
    <w:rsid w:val="005E349A"/>
    <w:rsid w:val="005E3B4F"/>
    <w:rsid w:val="005E51CD"/>
    <w:rsid w:val="005E6B58"/>
    <w:rsid w:val="005E7BEB"/>
    <w:rsid w:val="005F0362"/>
    <w:rsid w:val="005F0681"/>
    <w:rsid w:val="005F1B8D"/>
    <w:rsid w:val="005F1C7E"/>
    <w:rsid w:val="005F1FCA"/>
    <w:rsid w:val="005F2201"/>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067A1"/>
    <w:rsid w:val="006105D0"/>
    <w:rsid w:val="0061246F"/>
    <w:rsid w:val="00613BF1"/>
    <w:rsid w:val="00615BB8"/>
    <w:rsid w:val="00616CCF"/>
    <w:rsid w:val="00616F7B"/>
    <w:rsid w:val="00617D73"/>
    <w:rsid w:val="0062025B"/>
    <w:rsid w:val="006225E8"/>
    <w:rsid w:val="00626FCB"/>
    <w:rsid w:val="00627898"/>
    <w:rsid w:val="00627A2B"/>
    <w:rsid w:val="0063039D"/>
    <w:rsid w:val="00630EB4"/>
    <w:rsid w:val="00631336"/>
    <w:rsid w:val="00631B51"/>
    <w:rsid w:val="00632AA1"/>
    <w:rsid w:val="00632AD7"/>
    <w:rsid w:val="0063436E"/>
    <w:rsid w:val="00634DDA"/>
    <w:rsid w:val="0063529C"/>
    <w:rsid w:val="006353E5"/>
    <w:rsid w:val="00636963"/>
    <w:rsid w:val="00637E6E"/>
    <w:rsid w:val="006401E8"/>
    <w:rsid w:val="00641579"/>
    <w:rsid w:val="00641629"/>
    <w:rsid w:val="00641FBD"/>
    <w:rsid w:val="00643833"/>
    <w:rsid w:val="00644547"/>
    <w:rsid w:val="00644B43"/>
    <w:rsid w:val="00644E30"/>
    <w:rsid w:val="006472F6"/>
    <w:rsid w:val="00647C81"/>
    <w:rsid w:val="0065008E"/>
    <w:rsid w:val="00651754"/>
    <w:rsid w:val="00652798"/>
    <w:rsid w:val="00652BC4"/>
    <w:rsid w:val="00653C1A"/>
    <w:rsid w:val="0065425D"/>
    <w:rsid w:val="00654315"/>
    <w:rsid w:val="00654EED"/>
    <w:rsid w:val="00654F90"/>
    <w:rsid w:val="0065547F"/>
    <w:rsid w:val="006562D7"/>
    <w:rsid w:val="00657E49"/>
    <w:rsid w:val="00660AC8"/>
    <w:rsid w:val="00662E10"/>
    <w:rsid w:val="00665135"/>
    <w:rsid w:val="00665C79"/>
    <w:rsid w:val="00667157"/>
    <w:rsid w:val="006676D1"/>
    <w:rsid w:val="006677EE"/>
    <w:rsid w:val="00670904"/>
    <w:rsid w:val="00672D33"/>
    <w:rsid w:val="006765AB"/>
    <w:rsid w:val="0067773D"/>
    <w:rsid w:val="006807DC"/>
    <w:rsid w:val="006821C5"/>
    <w:rsid w:val="006831A4"/>
    <w:rsid w:val="00683A60"/>
    <w:rsid w:val="00683CBE"/>
    <w:rsid w:val="0068439A"/>
    <w:rsid w:val="006849CE"/>
    <w:rsid w:val="00685947"/>
    <w:rsid w:val="00685B43"/>
    <w:rsid w:val="00685EC0"/>
    <w:rsid w:val="0068692C"/>
    <w:rsid w:val="00687E26"/>
    <w:rsid w:val="00690C53"/>
    <w:rsid w:val="00691C9D"/>
    <w:rsid w:val="00693994"/>
    <w:rsid w:val="00693BB2"/>
    <w:rsid w:val="00694BB0"/>
    <w:rsid w:val="006A1B4A"/>
    <w:rsid w:val="006A5395"/>
    <w:rsid w:val="006A5988"/>
    <w:rsid w:val="006A693D"/>
    <w:rsid w:val="006A6ADB"/>
    <w:rsid w:val="006A73DE"/>
    <w:rsid w:val="006B011C"/>
    <w:rsid w:val="006B0567"/>
    <w:rsid w:val="006B0593"/>
    <w:rsid w:val="006B252A"/>
    <w:rsid w:val="006B3FBF"/>
    <w:rsid w:val="006B4635"/>
    <w:rsid w:val="006B52B9"/>
    <w:rsid w:val="006C0470"/>
    <w:rsid w:val="006C06F9"/>
    <w:rsid w:val="006C1767"/>
    <w:rsid w:val="006C17F0"/>
    <w:rsid w:val="006C184E"/>
    <w:rsid w:val="006C2A14"/>
    <w:rsid w:val="006C4E10"/>
    <w:rsid w:val="006C7036"/>
    <w:rsid w:val="006C742D"/>
    <w:rsid w:val="006D0342"/>
    <w:rsid w:val="006D100A"/>
    <w:rsid w:val="006D1A24"/>
    <w:rsid w:val="006D1FC7"/>
    <w:rsid w:val="006D4730"/>
    <w:rsid w:val="006D5DAE"/>
    <w:rsid w:val="006D5E05"/>
    <w:rsid w:val="006D69AA"/>
    <w:rsid w:val="006E0829"/>
    <w:rsid w:val="006E0CC8"/>
    <w:rsid w:val="006E11B8"/>
    <w:rsid w:val="006E12B8"/>
    <w:rsid w:val="006E22EE"/>
    <w:rsid w:val="006E4873"/>
    <w:rsid w:val="006E589A"/>
    <w:rsid w:val="006E5AAC"/>
    <w:rsid w:val="006E5CF3"/>
    <w:rsid w:val="006E6385"/>
    <w:rsid w:val="006E660F"/>
    <w:rsid w:val="006F1247"/>
    <w:rsid w:val="006F3CEE"/>
    <w:rsid w:val="00700F0A"/>
    <w:rsid w:val="00704A41"/>
    <w:rsid w:val="00705290"/>
    <w:rsid w:val="007055F6"/>
    <w:rsid w:val="00706EAD"/>
    <w:rsid w:val="007071A5"/>
    <w:rsid w:val="0070782F"/>
    <w:rsid w:val="0071063F"/>
    <w:rsid w:val="00711DB4"/>
    <w:rsid w:val="007125E3"/>
    <w:rsid w:val="00712CF7"/>
    <w:rsid w:val="0071389A"/>
    <w:rsid w:val="007148DF"/>
    <w:rsid w:val="00715871"/>
    <w:rsid w:val="007161BC"/>
    <w:rsid w:val="007172AA"/>
    <w:rsid w:val="007203F9"/>
    <w:rsid w:val="00720A5D"/>
    <w:rsid w:val="00720BB7"/>
    <w:rsid w:val="00721125"/>
    <w:rsid w:val="0072152C"/>
    <w:rsid w:val="00721B90"/>
    <w:rsid w:val="00722162"/>
    <w:rsid w:val="00723174"/>
    <w:rsid w:val="007238AB"/>
    <w:rsid w:val="00724502"/>
    <w:rsid w:val="00725EB4"/>
    <w:rsid w:val="0072657D"/>
    <w:rsid w:val="007269F9"/>
    <w:rsid w:val="0072794D"/>
    <w:rsid w:val="00727999"/>
    <w:rsid w:val="00730DDB"/>
    <w:rsid w:val="007312F6"/>
    <w:rsid w:val="0073193D"/>
    <w:rsid w:val="007362CF"/>
    <w:rsid w:val="00736917"/>
    <w:rsid w:val="00737298"/>
    <w:rsid w:val="00737FEC"/>
    <w:rsid w:val="0074066D"/>
    <w:rsid w:val="00743C40"/>
    <w:rsid w:val="007453B1"/>
    <w:rsid w:val="0075097C"/>
    <w:rsid w:val="00750D18"/>
    <w:rsid w:val="00751F22"/>
    <w:rsid w:val="00752331"/>
    <w:rsid w:val="00753152"/>
    <w:rsid w:val="007536C6"/>
    <w:rsid w:val="00753FD1"/>
    <w:rsid w:val="007544B1"/>
    <w:rsid w:val="00754791"/>
    <w:rsid w:val="00754893"/>
    <w:rsid w:val="00755583"/>
    <w:rsid w:val="00755971"/>
    <w:rsid w:val="00755E5F"/>
    <w:rsid w:val="007573BD"/>
    <w:rsid w:val="007647B4"/>
    <w:rsid w:val="00766817"/>
    <w:rsid w:val="00766A47"/>
    <w:rsid w:val="00766D16"/>
    <w:rsid w:val="00766E4B"/>
    <w:rsid w:val="00766F3C"/>
    <w:rsid w:val="00767FA3"/>
    <w:rsid w:val="007700E6"/>
    <w:rsid w:val="00770354"/>
    <w:rsid w:val="00770F9F"/>
    <w:rsid w:val="007712D5"/>
    <w:rsid w:val="0077333C"/>
    <w:rsid w:val="007733E4"/>
    <w:rsid w:val="00774D85"/>
    <w:rsid w:val="0077529F"/>
    <w:rsid w:val="007765FE"/>
    <w:rsid w:val="00781356"/>
    <w:rsid w:val="00781D0B"/>
    <w:rsid w:val="007831C9"/>
    <w:rsid w:val="007836AD"/>
    <w:rsid w:val="007847DE"/>
    <w:rsid w:val="007859E7"/>
    <w:rsid w:val="00786881"/>
    <w:rsid w:val="00786D91"/>
    <w:rsid w:val="0078797D"/>
    <w:rsid w:val="00787AB7"/>
    <w:rsid w:val="007908A7"/>
    <w:rsid w:val="007910EF"/>
    <w:rsid w:val="007921F9"/>
    <w:rsid w:val="0079417E"/>
    <w:rsid w:val="0079526D"/>
    <w:rsid w:val="0079668E"/>
    <w:rsid w:val="007A1F4D"/>
    <w:rsid w:val="007A2046"/>
    <w:rsid w:val="007A2505"/>
    <w:rsid w:val="007A2B6B"/>
    <w:rsid w:val="007A3E44"/>
    <w:rsid w:val="007B0095"/>
    <w:rsid w:val="007B1062"/>
    <w:rsid w:val="007B19AC"/>
    <w:rsid w:val="007B1E26"/>
    <w:rsid w:val="007B2034"/>
    <w:rsid w:val="007B21F4"/>
    <w:rsid w:val="007B25AD"/>
    <w:rsid w:val="007B505F"/>
    <w:rsid w:val="007B69C6"/>
    <w:rsid w:val="007C00B2"/>
    <w:rsid w:val="007C078E"/>
    <w:rsid w:val="007C1657"/>
    <w:rsid w:val="007C34FB"/>
    <w:rsid w:val="007C3DE2"/>
    <w:rsid w:val="007C44A0"/>
    <w:rsid w:val="007C457A"/>
    <w:rsid w:val="007C4B96"/>
    <w:rsid w:val="007C5930"/>
    <w:rsid w:val="007C5CA4"/>
    <w:rsid w:val="007C65FB"/>
    <w:rsid w:val="007D0D5D"/>
    <w:rsid w:val="007D19CE"/>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B3C"/>
    <w:rsid w:val="007F21B9"/>
    <w:rsid w:val="007F3175"/>
    <w:rsid w:val="007F3220"/>
    <w:rsid w:val="007F55A8"/>
    <w:rsid w:val="007F5AE3"/>
    <w:rsid w:val="007F7F28"/>
    <w:rsid w:val="00800753"/>
    <w:rsid w:val="0080188E"/>
    <w:rsid w:val="00801EC3"/>
    <w:rsid w:val="00802318"/>
    <w:rsid w:val="008065C6"/>
    <w:rsid w:val="00807663"/>
    <w:rsid w:val="00807959"/>
    <w:rsid w:val="00807D17"/>
    <w:rsid w:val="00812D1B"/>
    <w:rsid w:val="00815510"/>
    <w:rsid w:val="0081647E"/>
    <w:rsid w:val="00816FE5"/>
    <w:rsid w:val="0081720D"/>
    <w:rsid w:val="008177E4"/>
    <w:rsid w:val="00820A0C"/>
    <w:rsid w:val="00821FFB"/>
    <w:rsid w:val="00825C97"/>
    <w:rsid w:val="00827F90"/>
    <w:rsid w:val="008304C8"/>
    <w:rsid w:val="00830CFD"/>
    <w:rsid w:val="00831192"/>
    <w:rsid w:val="008324DA"/>
    <w:rsid w:val="00832978"/>
    <w:rsid w:val="008341BA"/>
    <w:rsid w:val="00834B0B"/>
    <w:rsid w:val="008355D3"/>
    <w:rsid w:val="00836231"/>
    <w:rsid w:val="00836757"/>
    <w:rsid w:val="00837B3B"/>
    <w:rsid w:val="00837F6A"/>
    <w:rsid w:val="00841D54"/>
    <w:rsid w:val="00842A09"/>
    <w:rsid w:val="0084385D"/>
    <w:rsid w:val="0084647B"/>
    <w:rsid w:val="00850E6F"/>
    <w:rsid w:val="008511FD"/>
    <w:rsid w:val="00853852"/>
    <w:rsid w:val="00854545"/>
    <w:rsid w:val="00855B52"/>
    <w:rsid w:val="00856BF3"/>
    <w:rsid w:val="00856CC8"/>
    <w:rsid w:val="00860063"/>
    <w:rsid w:val="008611EB"/>
    <w:rsid w:val="008627DA"/>
    <w:rsid w:val="00862C37"/>
    <w:rsid w:val="00864378"/>
    <w:rsid w:val="008646D8"/>
    <w:rsid w:val="00865587"/>
    <w:rsid w:val="00866116"/>
    <w:rsid w:val="00866A06"/>
    <w:rsid w:val="0086746B"/>
    <w:rsid w:val="0086770D"/>
    <w:rsid w:val="00870FDC"/>
    <w:rsid w:val="00871C4E"/>
    <w:rsid w:val="0087426A"/>
    <w:rsid w:val="00874DF5"/>
    <w:rsid w:val="0087550F"/>
    <w:rsid w:val="00877702"/>
    <w:rsid w:val="00877ADC"/>
    <w:rsid w:val="00880197"/>
    <w:rsid w:val="00880410"/>
    <w:rsid w:val="00881B01"/>
    <w:rsid w:val="00881B83"/>
    <w:rsid w:val="00881BA1"/>
    <w:rsid w:val="008840E7"/>
    <w:rsid w:val="008847A8"/>
    <w:rsid w:val="00884945"/>
    <w:rsid w:val="00885CD4"/>
    <w:rsid w:val="00886683"/>
    <w:rsid w:val="008866C7"/>
    <w:rsid w:val="0088728A"/>
    <w:rsid w:val="008879F5"/>
    <w:rsid w:val="0089084E"/>
    <w:rsid w:val="00891224"/>
    <w:rsid w:val="00892232"/>
    <w:rsid w:val="00892917"/>
    <w:rsid w:val="00893A02"/>
    <w:rsid w:val="00893F35"/>
    <w:rsid w:val="00893F68"/>
    <w:rsid w:val="008955B1"/>
    <w:rsid w:val="00895FBB"/>
    <w:rsid w:val="00897A03"/>
    <w:rsid w:val="008A199D"/>
    <w:rsid w:val="008A2224"/>
    <w:rsid w:val="008A3670"/>
    <w:rsid w:val="008A36CB"/>
    <w:rsid w:val="008A38FA"/>
    <w:rsid w:val="008A3980"/>
    <w:rsid w:val="008A3ACC"/>
    <w:rsid w:val="008A3F67"/>
    <w:rsid w:val="008A4DAA"/>
    <w:rsid w:val="008A70B4"/>
    <w:rsid w:val="008A7DB0"/>
    <w:rsid w:val="008B00FE"/>
    <w:rsid w:val="008B0290"/>
    <w:rsid w:val="008B1335"/>
    <w:rsid w:val="008B1C07"/>
    <w:rsid w:val="008B1DB9"/>
    <w:rsid w:val="008B4B12"/>
    <w:rsid w:val="008B56B6"/>
    <w:rsid w:val="008C03C9"/>
    <w:rsid w:val="008C0676"/>
    <w:rsid w:val="008C0EE5"/>
    <w:rsid w:val="008C0F6E"/>
    <w:rsid w:val="008C1B33"/>
    <w:rsid w:val="008C20EC"/>
    <w:rsid w:val="008C2807"/>
    <w:rsid w:val="008C45B5"/>
    <w:rsid w:val="008C7A85"/>
    <w:rsid w:val="008D11BB"/>
    <w:rsid w:val="008D1CD4"/>
    <w:rsid w:val="008D35DF"/>
    <w:rsid w:val="008D4696"/>
    <w:rsid w:val="008D5922"/>
    <w:rsid w:val="008D5EB7"/>
    <w:rsid w:val="008D6A49"/>
    <w:rsid w:val="008D77BA"/>
    <w:rsid w:val="008D77C4"/>
    <w:rsid w:val="008D7AE4"/>
    <w:rsid w:val="008D7BCB"/>
    <w:rsid w:val="008E0A15"/>
    <w:rsid w:val="008E30E5"/>
    <w:rsid w:val="008E34FE"/>
    <w:rsid w:val="008E4FB2"/>
    <w:rsid w:val="008E6B3C"/>
    <w:rsid w:val="008E7D23"/>
    <w:rsid w:val="008F0230"/>
    <w:rsid w:val="008F1C3C"/>
    <w:rsid w:val="008F32E3"/>
    <w:rsid w:val="008F3D70"/>
    <w:rsid w:val="0090091E"/>
    <w:rsid w:val="0090153F"/>
    <w:rsid w:val="00901973"/>
    <w:rsid w:val="00901A3D"/>
    <w:rsid w:val="00902689"/>
    <w:rsid w:val="00904675"/>
    <w:rsid w:val="00905130"/>
    <w:rsid w:val="009068C9"/>
    <w:rsid w:val="00911A02"/>
    <w:rsid w:val="00911D1D"/>
    <w:rsid w:val="009125F3"/>
    <w:rsid w:val="00912850"/>
    <w:rsid w:val="0091286D"/>
    <w:rsid w:val="00912CE5"/>
    <w:rsid w:val="00914F87"/>
    <w:rsid w:val="00915BF2"/>
    <w:rsid w:val="00916A57"/>
    <w:rsid w:val="00916B55"/>
    <w:rsid w:val="00917013"/>
    <w:rsid w:val="00920115"/>
    <w:rsid w:val="00921FEA"/>
    <w:rsid w:val="00922359"/>
    <w:rsid w:val="0092380E"/>
    <w:rsid w:val="00925C2E"/>
    <w:rsid w:val="00926644"/>
    <w:rsid w:val="00930A00"/>
    <w:rsid w:val="00930A93"/>
    <w:rsid w:val="00930E49"/>
    <w:rsid w:val="0093135F"/>
    <w:rsid w:val="009320B6"/>
    <w:rsid w:val="009326EF"/>
    <w:rsid w:val="00935382"/>
    <w:rsid w:val="00940104"/>
    <w:rsid w:val="00940284"/>
    <w:rsid w:val="0094041A"/>
    <w:rsid w:val="00940873"/>
    <w:rsid w:val="00940E3C"/>
    <w:rsid w:val="009413B8"/>
    <w:rsid w:val="00941573"/>
    <w:rsid w:val="00942DA2"/>
    <w:rsid w:val="00943130"/>
    <w:rsid w:val="009437E2"/>
    <w:rsid w:val="00943E6C"/>
    <w:rsid w:val="00945DE7"/>
    <w:rsid w:val="00945DEF"/>
    <w:rsid w:val="00946F1F"/>
    <w:rsid w:val="0095032A"/>
    <w:rsid w:val="00950984"/>
    <w:rsid w:val="00950BD0"/>
    <w:rsid w:val="00951170"/>
    <w:rsid w:val="00953659"/>
    <w:rsid w:val="00953B78"/>
    <w:rsid w:val="00953C11"/>
    <w:rsid w:val="00953C14"/>
    <w:rsid w:val="00954FC5"/>
    <w:rsid w:val="0095679C"/>
    <w:rsid w:val="00957062"/>
    <w:rsid w:val="0095720C"/>
    <w:rsid w:val="00957A7C"/>
    <w:rsid w:val="00962711"/>
    <w:rsid w:val="0096285C"/>
    <w:rsid w:val="00962F73"/>
    <w:rsid w:val="00965150"/>
    <w:rsid w:val="00965596"/>
    <w:rsid w:val="00971270"/>
    <w:rsid w:val="00971653"/>
    <w:rsid w:val="00972480"/>
    <w:rsid w:val="009736C1"/>
    <w:rsid w:val="00973A60"/>
    <w:rsid w:val="00975481"/>
    <w:rsid w:val="00977106"/>
    <w:rsid w:val="00980066"/>
    <w:rsid w:val="009807ED"/>
    <w:rsid w:val="0098185A"/>
    <w:rsid w:val="00983505"/>
    <w:rsid w:val="00983EA0"/>
    <w:rsid w:val="0098558C"/>
    <w:rsid w:val="00986682"/>
    <w:rsid w:val="00990B07"/>
    <w:rsid w:val="009919DB"/>
    <w:rsid w:val="00991C41"/>
    <w:rsid w:val="00992621"/>
    <w:rsid w:val="00993512"/>
    <w:rsid w:val="0099362C"/>
    <w:rsid w:val="00993DD4"/>
    <w:rsid w:val="00994E33"/>
    <w:rsid w:val="00995309"/>
    <w:rsid w:val="00997697"/>
    <w:rsid w:val="0099796B"/>
    <w:rsid w:val="009979D7"/>
    <w:rsid w:val="009A18E2"/>
    <w:rsid w:val="009A217F"/>
    <w:rsid w:val="009A22A5"/>
    <w:rsid w:val="009A436E"/>
    <w:rsid w:val="009A4F24"/>
    <w:rsid w:val="009A5962"/>
    <w:rsid w:val="009A64B8"/>
    <w:rsid w:val="009A6D1E"/>
    <w:rsid w:val="009B0DED"/>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27A"/>
    <w:rsid w:val="009C6899"/>
    <w:rsid w:val="009D069F"/>
    <w:rsid w:val="009D22F4"/>
    <w:rsid w:val="009D315A"/>
    <w:rsid w:val="009D44B3"/>
    <w:rsid w:val="009D68B2"/>
    <w:rsid w:val="009D787D"/>
    <w:rsid w:val="009E1119"/>
    <w:rsid w:val="009E1321"/>
    <w:rsid w:val="009E4094"/>
    <w:rsid w:val="009E4226"/>
    <w:rsid w:val="009E54F2"/>
    <w:rsid w:val="009F0BEF"/>
    <w:rsid w:val="009F3737"/>
    <w:rsid w:val="009F611D"/>
    <w:rsid w:val="009F7E45"/>
    <w:rsid w:val="00A008DB"/>
    <w:rsid w:val="00A00AA7"/>
    <w:rsid w:val="00A00DC9"/>
    <w:rsid w:val="00A00E52"/>
    <w:rsid w:val="00A00F2D"/>
    <w:rsid w:val="00A0260B"/>
    <w:rsid w:val="00A02A5D"/>
    <w:rsid w:val="00A03B08"/>
    <w:rsid w:val="00A056DB"/>
    <w:rsid w:val="00A062AF"/>
    <w:rsid w:val="00A1010F"/>
    <w:rsid w:val="00A1068E"/>
    <w:rsid w:val="00A108C4"/>
    <w:rsid w:val="00A1150E"/>
    <w:rsid w:val="00A1170F"/>
    <w:rsid w:val="00A14EA7"/>
    <w:rsid w:val="00A15EEE"/>
    <w:rsid w:val="00A16467"/>
    <w:rsid w:val="00A1666F"/>
    <w:rsid w:val="00A16CFA"/>
    <w:rsid w:val="00A16E65"/>
    <w:rsid w:val="00A17889"/>
    <w:rsid w:val="00A20CED"/>
    <w:rsid w:val="00A20F0C"/>
    <w:rsid w:val="00A21A36"/>
    <w:rsid w:val="00A230A2"/>
    <w:rsid w:val="00A23EEF"/>
    <w:rsid w:val="00A258EB"/>
    <w:rsid w:val="00A267EC"/>
    <w:rsid w:val="00A26D9B"/>
    <w:rsid w:val="00A34056"/>
    <w:rsid w:val="00A36D45"/>
    <w:rsid w:val="00A36D91"/>
    <w:rsid w:val="00A3736C"/>
    <w:rsid w:val="00A408D7"/>
    <w:rsid w:val="00A409CA"/>
    <w:rsid w:val="00A40DD7"/>
    <w:rsid w:val="00A435B6"/>
    <w:rsid w:val="00A45267"/>
    <w:rsid w:val="00A458C0"/>
    <w:rsid w:val="00A45B71"/>
    <w:rsid w:val="00A468D4"/>
    <w:rsid w:val="00A470B6"/>
    <w:rsid w:val="00A470EF"/>
    <w:rsid w:val="00A47161"/>
    <w:rsid w:val="00A51129"/>
    <w:rsid w:val="00A5506C"/>
    <w:rsid w:val="00A551C8"/>
    <w:rsid w:val="00A559AF"/>
    <w:rsid w:val="00A55E4E"/>
    <w:rsid w:val="00A574E2"/>
    <w:rsid w:val="00A57923"/>
    <w:rsid w:val="00A57F59"/>
    <w:rsid w:val="00A61137"/>
    <w:rsid w:val="00A6294C"/>
    <w:rsid w:val="00A64E7C"/>
    <w:rsid w:val="00A65A1C"/>
    <w:rsid w:val="00A65E2A"/>
    <w:rsid w:val="00A66540"/>
    <w:rsid w:val="00A678EA"/>
    <w:rsid w:val="00A74AE5"/>
    <w:rsid w:val="00A74CA6"/>
    <w:rsid w:val="00A751B8"/>
    <w:rsid w:val="00A75A9D"/>
    <w:rsid w:val="00A75DF9"/>
    <w:rsid w:val="00A7621A"/>
    <w:rsid w:val="00A763A8"/>
    <w:rsid w:val="00A76EDA"/>
    <w:rsid w:val="00A80EF2"/>
    <w:rsid w:val="00A8282C"/>
    <w:rsid w:val="00A83524"/>
    <w:rsid w:val="00A84888"/>
    <w:rsid w:val="00A8564A"/>
    <w:rsid w:val="00A85D85"/>
    <w:rsid w:val="00A87C77"/>
    <w:rsid w:val="00A909C4"/>
    <w:rsid w:val="00A90F08"/>
    <w:rsid w:val="00A91381"/>
    <w:rsid w:val="00A92ED9"/>
    <w:rsid w:val="00A93BBB"/>
    <w:rsid w:val="00A9559D"/>
    <w:rsid w:val="00A961DC"/>
    <w:rsid w:val="00A966FD"/>
    <w:rsid w:val="00A96A18"/>
    <w:rsid w:val="00A96D8F"/>
    <w:rsid w:val="00A971E6"/>
    <w:rsid w:val="00AA06DE"/>
    <w:rsid w:val="00AA1646"/>
    <w:rsid w:val="00AA213E"/>
    <w:rsid w:val="00AA5B4D"/>
    <w:rsid w:val="00AA6DB6"/>
    <w:rsid w:val="00AA75DA"/>
    <w:rsid w:val="00AB2D7F"/>
    <w:rsid w:val="00AB2ED0"/>
    <w:rsid w:val="00AB37D5"/>
    <w:rsid w:val="00AB38FA"/>
    <w:rsid w:val="00AB3DCC"/>
    <w:rsid w:val="00AB3E36"/>
    <w:rsid w:val="00AB520A"/>
    <w:rsid w:val="00AB6499"/>
    <w:rsid w:val="00AB6F54"/>
    <w:rsid w:val="00AB749D"/>
    <w:rsid w:val="00AC0FBC"/>
    <w:rsid w:val="00AC2B9C"/>
    <w:rsid w:val="00AC2DB7"/>
    <w:rsid w:val="00AC38C4"/>
    <w:rsid w:val="00AC454B"/>
    <w:rsid w:val="00AC5DF4"/>
    <w:rsid w:val="00AC65E2"/>
    <w:rsid w:val="00AC6989"/>
    <w:rsid w:val="00AC6991"/>
    <w:rsid w:val="00AC6C2D"/>
    <w:rsid w:val="00AC6EE8"/>
    <w:rsid w:val="00AC722D"/>
    <w:rsid w:val="00AC7290"/>
    <w:rsid w:val="00AC72F9"/>
    <w:rsid w:val="00AC74B5"/>
    <w:rsid w:val="00AD21E1"/>
    <w:rsid w:val="00AD493B"/>
    <w:rsid w:val="00AD51D8"/>
    <w:rsid w:val="00AD5A50"/>
    <w:rsid w:val="00AD60C4"/>
    <w:rsid w:val="00AD6DE5"/>
    <w:rsid w:val="00AD6E2D"/>
    <w:rsid w:val="00AD7983"/>
    <w:rsid w:val="00AD7D0A"/>
    <w:rsid w:val="00AE231B"/>
    <w:rsid w:val="00AE5EF7"/>
    <w:rsid w:val="00AE6066"/>
    <w:rsid w:val="00AE6E3A"/>
    <w:rsid w:val="00AE7808"/>
    <w:rsid w:val="00AE7A1F"/>
    <w:rsid w:val="00AE7F92"/>
    <w:rsid w:val="00AF022B"/>
    <w:rsid w:val="00AF2254"/>
    <w:rsid w:val="00AF3324"/>
    <w:rsid w:val="00AF475F"/>
    <w:rsid w:val="00AF49E8"/>
    <w:rsid w:val="00AF5A08"/>
    <w:rsid w:val="00AF6251"/>
    <w:rsid w:val="00AF79FC"/>
    <w:rsid w:val="00B04219"/>
    <w:rsid w:val="00B0780B"/>
    <w:rsid w:val="00B07A6C"/>
    <w:rsid w:val="00B07B2E"/>
    <w:rsid w:val="00B11B52"/>
    <w:rsid w:val="00B13271"/>
    <w:rsid w:val="00B1367F"/>
    <w:rsid w:val="00B137C9"/>
    <w:rsid w:val="00B13D12"/>
    <w:rsid w:val="00B14E5D"/>
    <w:rsid w:val="00B157AA"/>
    <w:rsid w:val="00B157CB"/>
    <w:rsid w:val="00B16ABA"/>
    <w:rsid w:val="00B205EC"/>
    <w:rsid w:val="00B21863"/>
    <w:rsid w:val="00B21E57"/>
    <w:rsid w:val="00B224F8"/>
    <w:rsid w:val="00B2377E"/>
    <w:rsid w:val="00B23F37"/>
    <w:rsid w:val="00B23F83"/>
    <w:rsid w:val="00B241C8"/>
    <w:rsid w:val="00B2512F"/>
    <w:rsid w:val="00B26A52"/>
    <w:rsid w:val="00B3163F"/>
    <w:rsid w:val="00B31C75"/>
    <w:rsid w:val="00B33419"/>
    <w:rsid w:val="00B33CB5"/>
    <w:rsid w:val="00B356A4"/>
    <w:rsid w:val="00B35DA0"/>
    <w:rsid w:val="00B37BA6"/>
    <w:rsid w:val="00B40C92"/>
    <w:rsid w:val="00B41BC3"/>
    <w:rsid w:val="00B420CB"/>
    <w:rsid w:val="00B42D67"/>
    <w:rsid w:val="00B43E27"/>
    <w:rsid w:val="00B4463A"/>
    <w:rsid w:val="00B44BF7"/>
    <w:rsid w:val="00B44BF8"/>
    <w:rsid w:val="00B4523E"/>
    <w:rsid w:val="00B46B86"/>
    <w:rsid w:val="00B46BFF"/>
    <w:rsid w:val="00B51AB1"/>
    <w:rsid w:val="00B51B4D"/>
    <w:rsid w:val="00B521DC"/>
    <w:rsid w:val="00B52BF7"/>
    <w:rsid w:val="00B5348C"/>
    <w:rsid w:val="00B53A4F"/>
    <w:rsid w:val="00B54ABC"/>
    <w:rsid w:val="00B55DDB"/>
    <w:rsid w:val="00B5703C"/>
    <w:rsid w:val="00B5707C"/>
    <w:rsid w:val="00B61066"/>
    <w:rsid w:val="00B61400"/>
    <w:rsid w:val="00B61F24"/>
    <w:rsid w:val="00B62747"/>
    <w:rsid w:val="00B64663"/>
    <w:rsid w:val="00B6545C"/>
    <w:rsid w:val="00B66D65"/>
    <w:rsid w:val="00B67C7C"/>
    <w:rsid w:val="00B67E2E"/>
    <w:rsid w:val="00B67FE1"/>
    <w:rsid w:val="00B72423"/>
    <w:rsid w:val="00B740BD"/>
    <w:rsid w:val="00B742E9"/>
    <w:rsid w:val="00B755C2"/>
    <w:rsid w:val="00B76A92"/>
    <w:rsid w:val="00B77408"/>
    <w:rsid w:val="00B80AC9"/>
    <w:rsid w:val="00B81090"/>
    <w:rsid w:val="00B819CC"/>
    <w:rsid w:val="00B82BD3"/>
    <w:rsid w:val="00B8367F"/>
    <w:rsid w:val="00B83BF3"/>
    <w:rsid w:val="00B8424E"/>
    <w:rsid w:val="00B84AEB"/>
    <w:rsid w:val="00B858FB"/>
    <w:rsid w:val="00B86488"/>
    <w:rsid w:val="00B90D55"/>
    <w:rsid w:val="00B92DA4"/>
    <w:rsid w:val="00B94096"/>
    <w:rsid w:val="00B95103"/>
    <w:rsid w:val="00B963EF"/>
    <w:rsid w:val="00BA04F3"/>
    <w:rsid w:val="00BA0872"/>
    <w:rsid w:val="00BA1206"/>
    <w:rsid w:val="00BA2170"/>
    <w:rsid w:val="00BA309E"/>
    <w:rsid w:val="00BA4584"/>
    <w:rsid w:val="00BA4D59"/>
    <w:rsid w:val="00BA5C15"/>
    <w:rsid w:val="00BA66BE"/>
    <w:rsid w:val="00BA6FB4"/>
    <w:rsid w:val="00BB0C9F"/>
    <w:rsid w:val="00BB1285"/>
    <w:rsid w:val="00BB2136"/>
    <w:rsid w:val="00BB515E"/>
    <w:rsid w:val="00BB5EFD"/>
    <w:rsid w:val="00BB7BA3"/>
    <w:rsid w:val="00BC027B"/>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43C3"/>
    <w:rsid w:val="00BF6191"/>
    <w:rsid w:val="00BF7ED6"/>
    <w:rsid w:val="00C01880"/>
    <w:rsid w:val="00C0194F"/>
    <w:rsid w:val="00C0256F"/>
    <w:rsid w:val="00C03B88"/>
    <w:rsid w:val="00C041B3"/>
    <w:rsid w:val="00C0435C"/>
    <w:rsid w:val="00C0458C"/>
    <w:rsid w:val="00C05B41"/>
    <w:rsid w:val="00C068A2"/>
    <w:rsid w:val="00C134FC"/>
    <w:rsid w:val="00C136D1"/>
    <w:rsid w:val="00C1595F"/>
    <w:rsid w:val="00C1698C"/>
    <w:rsid w:val="00C16B09"/>
    <w:rsid w:val="00C16C51"/>
    <w:rsid w:val="00C16E89"/>
    <w:rsid w:val="00C2047D"/>
    <w:rsid w:val="00C21E65"/>
    <w:rsid w:val="00C24A46"/>
    <w:rsid w:val="00C24FB3"/>
    <w:rsid w:val="00C26836"/>
    <w:rsid w:val="00C26934"/>
    <w:rsid w:val="00C27176"/>
    <w:rsid w:val="00C2720B"/>
    <w:rsid w:val="00C33327"/>
    <w:rsid w:val="00C337E0"/>
    <w:rsid w:val="00C37C54"/>
    <w:rsid w:val="00C40F59"/>
    <w:rsid w:val="00C4154F"/>
    <w:rsid w:val="00C41C20"/>
    <w:rsid w:val="00C43E8C"/>
    <w:rsid w:val="00C44469"/>
    <w:rsid w:val="00C44B20"/>
    <w:rsid w:val="00C4555E"/>
    <w:rsid w:val="00C477F6"/>
    <w:rsid w:val="00C50693"/>
    <w:rsid w:val="00C5245D"/>
    <w:rsid w:val="00C525AE"/>
    <w:rsid w:val="00C52CF5"/>
    <w:rsid w:val="00C5370C"/>
    <w:rsid w:val="00C53D82"/>
    <w:rsid w:val="00C541DD"/>
    <w:rsid w:val="00C55BF4"/>
    <w:rsid w:val="00C60C95"/>
    <w:rsid w:val="00C61944"/>
    <w:rsid w:val="00C63007"/>
    <w:rsid w:val="00C6446C"/>
    <w:rsid w:val="00C64555"/>
    <w:rsid w:val="00C64D91"/>
    <w:rsid w:val="00C6776B"/>
    <w:rsid w:val="00C70971"/>
    <w:rsid w:val="00C7595C"/>
    <w:rsid w:val="00C803D5"/>
    <w:rsid w:val="00C807F7"/>
    <w:rsid w:val="00C81FA7"/>
    <w:rsid w:val="00C8226E"/>
    <w:rsid w:val="00C8360E"/>
    <w:rsid w:val="00C8571D"/>
    <w:rsid w:val="00C859CB"/>
    <w:rsid w:val="00C86EDC"/>
    <w:rsid w:val="00C8710E"/>
    <w:rsid w:val="00C87D84"/>
    <w:rsid w:val="00C908BE"/>
    <w:rsid w:val="00C90AFD"/>
    <w:rsid w:val="00C90D59"/>
    <w:rsid w:val="00C921E2"/>
    <w:rsid w:val="00C94596"/>
    <w:rsid w:val="00C95299"/>
    <w:rsid w:val="00C95A39"/>
    <w:rsid w:val="00C95AA4"/>
    <w:rsid w:val="00C97132"/>
    <w:rsid w:val="00C973E2"/>
    <w:rsid w:val="00CA039C"/>
    <w:rsid w:val="00CA1749"/>
    <w:rsid w:val="00CA2672"/>
    <w:rsid w:val="00CA2EA5"/>
    <w:rsid w:val="00CA4525"/>
    <w:rsid w:val="00CA4F94"/>
    <w:rsid w:val="00CA6029"/>
    <w:rsid w:val="00CA66C0"/>
    <w:rsid w:val="00CA6B87"/>
    <w:rsid w:val="00CA6DEB"/>
    <w:rsid w:val="00CB033F"/>
    <w:rsid w:val="00CB06E9"/>
    <w:rsid w:val="00CB0A05"/>
    <w:rsid w:val="00CB2293"/>
    <w:rsid w:val="00CB5914"/>
    <w:rsid w:val="00CB5C53"/>
    <w:rsid w:val="00CB7E7E"/>
    <w:rsid w:val="00CC053F"/>
    <w:rsid w:val="00CC057D"/>
    <w:rsid w:val="00CC2C94"/>
    <w:rsid w:val="00CC37F1"/>
    <w:rsid w:val="00CC3B04"/>
    <w:rsid w:val="00CC3B26"/>
    <w:rsid w:val="00CC4229"/>
    <w:rsid w:val="00CC4837"/>
    <w:rsid w:val="00CC5A0F"/>
    <w:rsid w:val="00CC5A46"/>
    <w:rsid w:val="00CC6182"/>
    <w:rsid w:val="00CD2AFA"/>
    <w:rsid w:val="00CD3192"/>
    <w:rsid w:val="00CD3EFF"/>
    <w:rsid w:val="00CD4681"/>
    <w:rsid w:val="00CD7A01"/>
    <w:rsid w:val="00CE0219"/>
    <w:rsid w:val="00CE09B6"/>
    <w:rsid w:val="00CE1B61"/>
    <w:rsid w:val="00CE1BAB"/>
    <w:rsid w:val="00CE32DE"/>
    <w:rsid w:val="00CE3530"/>
    <w:rsid w:val="00CE4F46"/>
    <w:rsid w:val="00CE5A61"/>
    <w:rsid w:val="00CE6597"/>
    <w:rsid w:val="00CE6A79"/>
    <w:rsid w:val="00CE70C3"/>
    <w:rsid w:val="00CE70C5"/>
    <w:rsid w:val="00CE7205"/>
    <w:rsid w:val="00CE7A35"/>
    <w:rsid w:val="00CF046B"/>
    <w:rsid w:val="00CF0B72"/>
    <w:rsid w:val="00CF16DF"/>
    <w:rsid w:val="00CF3A9B"/>
    <w:rsid w:val="00CF4E75"/>
    <w:rsid w:val="00CF5D20"/>
    <w:rsid w:val="00CF6038"/>
    <w:rsid w:val="00CF7061"/>
    <w:rsid w:val="00D00318"/>
    <w:rsid w:val="00D004EA"/>
    <w:rsid w:val="00D01DA1"/>
    <w:rsid w:val="00D0244C"/>
    <w:rsid w:val="00D02F9F"/>
    <w:rsid w:val="00D03F86"/>
    <w:rsid w:val="00D07606"/>
    <w:rsid w:val="00D07B01"/>
    <w:rsid w:val="00D07D43"/>
    <w:rsid w:val="00D10CE6"/>
    <w:rsid w:val="00D10D2B"/>
    <w:rsid w:val="00D10E80"/>
    <w:rsid w:val="00D11997"/>
    <w:rsid w:val="00D12D7C"/>
    <w:rsid w:val="00D1413E"/>
    <w:rsid w:val="00D15442"/>
    <w:rsid w:val="00D20EAA"/>
    <w:rsid w:val="00D20F3C"/>
    <w:rsid w:val="00D21459"/>
    <w:rsid w:val="00D21AEF"/>
    <w:rsid w:val="00D230C7"/>
    <w:rsid w:val="00D23680"/>
    <w:rsid w:val="00D24FEF"/>
    <w:rsid w:val="00D25456"/>
    <w:rsid w:val="00D259A7"/>
    <w:rsid w:val="00D25B02"/>
    <w:rsid w:val="00D2790D"/>
    <w:rsid w:val="00D32AA5"/>
    <w:rsid w:val="00D33019"/>
    <w:rsid w:val="00D3392F"/>
    <w:rsid w:val="00D34FE1"/>
    <w:rsid w:val="00D351BC"/>
    <w:rsid w:val="00D36462"/>
    <w:rsid w:val="00D37701"/>
    <w:rsid w:val="00D417CC"/>
    <w:rsid w:val="00D4224A"/>
    <w:rsid w:val="00D42BC8"/>
    <w:rsid w:val="00D42BCE"/>
    <w:rsid w:val="00D42C51"/>
    <w:rsid w:val="00D4444F"/>
    <w:rsid w:val="00D45198"/>
    <w:rsid w:val="00D46EC6"/>
    <w:rsid w:val="00D473E4"/>
    <w:rsid w:val="00D47D89"/>
    <w:rsid w:val="00D51AC1"/>
    <w:rsid w:val="00D52053"/>
    <w:rsid w:val="00D53F20"/>
    <w:rsid w:val="00D5468B"/>
    <w:rsid w:val="00D547E0"/>
    <w:rsid w:val="00D54ECC"/>
    <w:rsid w:val="00D55D11"/>
    <w:rsid w:val="00D57947"/>
    <w:rsid w:val="00D600A5"/>
    <w:rsid w:val="00D610DE"/>
    <w:rsid w:val="00D6207A"/>
    <w:rsid w:val="00D62B9A"/>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6D57"/>
    <w:rsid w:val="00D9297C"/>
    <w:rsid w:val="00D9314E"/>
    <w:rsid w:val="00D94A3E"/>
    <w:rsid w:val="00D962CC"/>
    <w:rsid w:val="00D96370"/>
    <w:rsid w:val="00D972B0"/>
    <w:rsid w:val="00DA1096"/>
    <w:rsid w:val="00DA16D3"/>
    <w:rsid w:val="00DA19F1"/>
    <w:rsid w:val="00DA2A9B"/>
    <w:rsid w:val="00DA4961"/>
    <w:rsid w:val="00DA65E9"/>
    <w:rsid w:val="00DA734C"/>
    <w:rsid w:val="00DB05E5"/>
    <w:rsid w:val="00DB09EB"/>
    <w:rsid w:val="00DB0E1A"/>
    <w:rsid w:val="00DB303E"/>
    <w:rsid w:val="00DB4421"/>
    <w:rsid w:val="00DB61E6"/>
    <w:rsid w:val="00DB647D"/>
    <w:rsid w:val="00DB6F9D"/>
    <w:rsid w:val="00DC0281"/>
    <w:rsid w:val="00DC058A"/>
    <w:rsid w:val="00DC2972"/>
    <w:rsid w:val="00DC4D37"/>
    <w:rsid w:val="00DC4FF6"/>
    <w:rsid w:val="00DD0566"/>
    <w:rsid w:val="00DD1587"/>
    <w:rsid w:val="00DD225E"/>
    <w:rsid w:val="00DD4EB0"/>
    <w:rsid w:val="00DD6134"/>
    <w:rsid w:val="00DD7572"/>
    <w:rsid w:val="00DD7C0F"/>
    <w:rsid w:val="00DE0176"/>
    <w:rsid w:val="00DE1E09"/>
    <w:rsid w:val="00DE1E33"/>
    <w:rsid w:val="00DE22AE"/>
    <w:rsid w:val="00DE275C"/>
    <w:rsid w:val="00DE43E4"/>
    <w:rsid w:val="00DE449F"/>
    <w:rsid w:val="00DF03F3"/>
    <w:rsid w:val="00DF0508"/>
    <w:rsid w:val="00DF1364"/>
    <w:rsid w:val="00DF231E"/>
    <w:rsid w:val="00DF2B4C"/>
    <w:rsid w:val="00DF3023"/>
    <w:rsid w:val="00DF38DF"/>
    <w:rsid w:val="00DF44B0"/>
    <w:rsid w:val="00DF4A91"/>
    <w:rsid w:val="00DF52C4"/>
    <w:rsid w:val="00DF5F3D"/>
    <w:rsid w:val="00DF65DA"/>
    <w:rsid w:val="00DF6689"/>
    <w:rsid w:val="00DF7100"/>
    <w:rsid w:val="00E00575"/>
    <w:rsid w:val="00E01CF3"/>
    <w:rsid w:val="00E01D32"/>
    <w:rsid w:val="00E02C2F"/>
    <w:rsid w:val="00E02FC7"/>
    <w:rsid w:val="00E03590"/>
    <w:rsid w:val="00E03703"/>
    <w:rsid w:val="00E042D8"/>
    <w:rsid w:val="00E049DB"/>
    <w:rsid w:val="00E129D3"/>
    <w:rsid w:val="00E13507"/>
    <w:rsid w:val="00E1415C"/>
    <w:rsid w:val="00E14AEB"/>
    <w:rsid w:val="00E14B86"/>
    <w:rsid w:val="00E163D0"/>
    <w:rsid w:val="00E1744E"/>
    <w:rsid w:val="00E2005E"/>
    <w:rsid w:val="00E20316"/>
    <w:rsid w:val="00E209F1"/>
    <w:rsid w:val="00E20E39"/>
    <w:rsid w:val="00E22C83"/>
    <w:rsid w:val="00E236A5"/>
    <w:rsid w:val="00E24E19"/>
    <w:rsid w:val="00E31FEE"/>
    <w:rsid w:val="00E3214D"/>
    <w:rsid w:val="00E322F3"/>
    <w:rsid w:val="00E3397C"/>
    <w:rsid w:val="00E347FD"/>
    <w:rsid w:val="00E36EC3"/>
    <w:rsid w:val="00E3718D"/>
    <w:rsid w:val="00E37767"/>
    <w:rsid w:val="00E4193B"/>
    <w:rsid w:val="00E42BE8"/>
    <w:rsid w:val="00E45361"/>
    <w:rsid w:val="00E45376"/>
    <w:rsid w:val="00E47037"/>
    <w:rsid w:val="00E52002"/>
    <w:rsid w:val="00E55B65"/>
    <w:rsid w:val="00E56D22"/>
    <w:rsid w:val="00E56E54"/>
    <w:rsid w:val="00E573E6"/>
    <w:rsid w:val="00E57A7C"/>
    <w:rsid w:val="00E62615"/>
    <w:rsid w:val="00E627BB"/>
    <w:rsid w:val="00E64CB9"/>
    <w:rsid w:val="00E6537A"/>
    <w:rsid w:val="00E656C1"/>
    <w:rsid w:val="00E65BBE"/>
    <w:rsid w:val="00E661DD"/>
    <w:rsid w:val="00E66889"/>
    <w:rsid w:val="00E7033C"/>
    <w:rsid w:val="00E70A64"/>
    <w:rsid w:val="00E71DF9"/>
    <w:rsid w:val="00E72297"/>
    <w:rsid w:val="00E75FD1"/>
    <w:rsid w:val="00E77178"/>
    <w:rsid w:val="00E77649"/>
    <w:rsid w:val="00E777D1"/>
    <w:rsid w:val="00E8091F"/>
    <w:rsid w:val="00E80A41"/>
    <w:rsid w:val="00E8357C"/>
    <w:rsid w:val="00E83731"/>
    <w:rsid w:val="00E839FC"/>
    <w:rsid w:val="00E858BF"/>
    <w:rsid w:val="00E862D5"/>
    <w:rsid w:val="00E86CAE"/>
    <w:rsid w:val="00E90ADA"/>
    <w:rsid w:val="00E910B7"/>
    <w:rsid w:val="00E92E17"/>
    <w:rsid w:val="00E93239"/>
    <w:rsid w:val="00E932D2"/>
    <w:rsid w:val="00E9565B"/>
    <w:rsid w:val="00E96A65"/>
    <w:rsid w:val="00EA00D4"/>
    <w:rsid w:val="00EA01A8"/>
    <w:rsid w:val="00EA3982"/>
    <w:rsid w:val="00EA3D52"/>
    <w:rsid w:val="00EA53BC"/>
    <w:rsid w:val="00EA6A5D"/>
    <w:rsid w:val="00EB1169"/>
    <w:rsid w:val="00EB3B29"/>
    <w:rsid w:val="00EB3FF7"/>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681"/>
    <w:rsid w:val="00ED2A39"/>
    <w:rsid w:val="00ED301C"/>
    <w:rsid w:val="00ED39FA"/>
    <w:rsid w:val="00ED57FB"/>
    <w:rsid w:val="00ED719D"/>
    <w:rsid w:val="00EE0471"/>
    <w:rsid w:val="00EE17A4"/>
    <w:rsid w:val="00EE18E3"/>
    <w:rsid w:val="00EE51D6"/>
    <w:rsid w:val="00EE6CEB"/>
    <w:rsid w:val="00EE7EDA"/>
    <w:rsid w:val="00EF1538"/>
    <w:rsid w:val="00EF1FB8"/>
    <w:rsid w:val="00EF230D"/>
    <w:rsid w:val="00EF2ED5"/>
    <w:rsid w:val="00EF3E9C"/>
    <w:rsid w:val="00EF4456"/>
    <w:rsid w:val="00EF6033"/>
    <w:rsid w:val="00EF6298"/>
    <w:rsid w:val="00EF72FA"/>
    <w:rsid w:val="00F000AA"/>
    <w:rsid w:val="00F0200A"/>
    <w:rsid w:val="00F02022"/>
    <w:rsid w:val="00F03479"/>
    <w:rsid w:val="00F043F3"/>
    <w:rsid w:val="00F06061"/>
    <w:rsid w:val="00F12523"/>
    <w:rsid w:val="00F12958"/>
    <w:rsid w:val="00F130A9"/>
    <w:rsid w:val="00F13605"/>
    <w:rsid w:val="00F13C85"/>
    <w:rsid w:val="00F14AA8"/>
    <w:rsid w:val="00F155FD"/>
    <w:rsid w:val="00F1718B"/>
    <w:rsid w:val="00F215D0"/>
    <w:rsid w:val="00F21611"/>
    <w:rsid w:val="00F24AAC"/>
    <w:rsid w:val="00F251C1"/>
    <w:rsid w:val="00F260C6"/>
    <w:rsid w:val="00F2704A"/>
    <w:rsid w:val="00F27D70"/>
    <w:rsid w:val="00F31552"/>
    <w:rsid w:val="00F316FF"/>
    <w:rsid w:val="00F317E5"/>
    <w:rsid w:val="00F31C93"/>
    <w:rsid w:val="00F32702"/>
    <w:rsid w:val="00F32808"/>
    <w:rsid w:val="00F33846"/>
    <w:rsid w:val="00F33C1D"/>
    <w:rsid w:val="00F34C63"/>
    <w:rsid w:val="00F34C86"/>
    <w:rsid w:val="00F34DBB"/>
    <w:rsid w:val="00F358FC"/>
    <w:rsid w:val="00F3676D"/>
    <w:rsid w:val="00F36A0F"/>
    <w:rsid w:val="00F36DE0"/>
    <w:rsid w:val="00F3750B"/>
    <w:rsid w:val="00F37A15"/>
    <w:rsid w:val="00F37AFA"/>
    <w:rsid w:val="00F40C3E"/>
    <w:rsid w:val="00F40CF8"/>
    <w:rsid w:val="00F40FD2"/>
    <w:rsid w:val="00F419F7"/>
    <w:rsid w:val="00F41EAE"/>
    <w:rsid w:val="00F43373"/>
    <w:rsid w:val="00F506E8"/>
    <w:rsid w:val="00F511BF"/>
    <w:rsid w:val="00F51ADF"/>
    <w:rsid w:val="00F520F9"/>
    <w:rsid w:val="00F549E8"/>
    <w:rsid w:val="00F54EC8"/>
    <w:rsid w:val="00F57FC3"/>
    <w:rsid w:val="00F6004E"/>
    <w:rsid w:val="00F60136"/>
    <w:rsid w:val="00F60852"/>
    <w:rsid w:val="00F62CCC"/>
    <w:rsid w:val="00F648F9"/>
    <w:rsid w:val="00F64D43"/>
    <w:rsid w:val="00F66781"/>
    <w:rsid w:val="00F70774"/>
    <w:rsid w:val="00F714CB"/>
    <w:rsid w:val="00F71620"/>
    <w:rsid w:val="00F77A7A"/>
    <w:rsid w:val="00F77EA1"/>
    <w:rsid w:val="00F77F2B"/>
    <w:rsid w:val="00F823C6"/>
    <w:rsid w:val="00F82889"/>
    <w:rsid w:val="00F83844"/>
    <w:rsid w:val="00F84A70"/>
    <w:rsid w:val="00F85B69"/>
    <w:rsid w:val="00F85F9D"/>
    <w:rsid w:val="00F8648B"/>
    <w:rsid w:val="00F8690A"/>
    <w:rsid w:val="00F86A5A"/>
    <w:rsid w:val="00F87F12"/>
    <w:rsid w:val="00F90BC9"/>
    <w:rsid w:val="00F90F6B"/>
    <w:rsid w:val="00F937D6"/>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0F2E"/>
    <w:rsid w:val="00FB11EF"/>
    <w:rsid w:val="00FB2F4C"/>
    <w:rsid w:val="00FB3431"/>
    <w:rsid w:val="00FB4438"/>
    <w:rsid w:val="00FB5A71"/>
    <w:rsid w:val="00FB62AB"/>
    <w:rsid w:val="00FB7379"/>
    <w:rsid w:val="00FB7B65"/>
    <w:rsid w:val="00FC0303"/>
    <w:rsid w:val="00FC37B8"/>
    <w:rsid w:val="00FC7E81"/>
    <w:rsid w:val="00FD0AA0"/>
    <w:rsid w:val="00FD1DF2"/>
    <w:rsid w:val="00FD3164"/>
    <w:rsid w:val="00FD34BD"/>
    <w:rsid w:val="00FD5B47"/>
    <w:rsid w:val="00FD6AC7"/>
    <w:rsid w:val="00FE10A7"/>
    <w:rsid w:val="00FE153E"/>
    <w:rsid w:val="00FE1D5C"/>
    <w:rsid w:val="00FE1FBE"/>
    <w:rsid w:val="00FE2D3A"/>
    <w:rsid w:val="00FE321A"/>
    <w:rsid w:val="00FE449A"/>
    <w:rsid w:val="00FE5ACD"/>
    <w:rsid w:val="00FE5BC5"/>
    <w:rsid w:val="00FE60FB"/>
    <w:rsid w:val="00FE6D1C"/>
    <w:rsid w:val="00FE73B7"/>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1"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3C"/>
    <w:rPr>
      <w:sz w:val="24"/>
      <w:szCs w:val="24"/>
    </w:rPr>
  </w:style>
  <w:style w:type="paragraph" w:styleId="Heading1">
    <w:name w:val="heading 1"/>
    <w:basedOn w:val="Normal"/>
    <w:next w:val="Normal"/>
    <w:link w:val="Heading1Char"/>
    <w:qFormat/>
    <w:rsid w:val="000113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470B6"/>
    <w:rPr>
      <w:sz w:val="20"/>
      <w:szCs w:val="20"/>
    </w:rPr>
  </w:style>
  <w:style w:type="character" w:styleId="FootnoteReference">
    <w:name w:val="footnote reference"/>
    <w:basedOn w:val="DefaultParagraphFont"/>
    <w:uiPriority w:val="99"/>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uiPriority w:val="99"/>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BodyText2">
    <w:name w:val="Body Text 2"/>
    <w:basedOn w:val="Normal"/>
    <w:link w:val="BodyText2Char"/>
    <w:uiPriority w:val="1"/>
    <w:qFormat/>
    <w:rsid w:val="00B77408"/>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B77408"/>
    <w:rPr>
      <w:rFonts w:eastAsiaTheme="minorHAnsi" w:cstheme="minorBidi"/>
      <w:sz w:val="24"/>
      <w:szCs w:val="24"/>
    </w:rPr>
  </w:style>
  <w:style w:type="character" w:customStyle="1" w:styleId="Heading1Char">
    <w:name w:val="Heading 1 Char"/>
    <w:basedOn w:val="DefaultParagraphFont"/>
    <w:link w:val="Heading1"/>
    <w:rsid w:val="000113FD"/>
    <w:rPr>
      <w:rFonts w:asciiTheme="majorHAnsi" w:eastAsiaTheme="majorEastAsia" w:hAnsiTheme="majorHAnsi" w:cstheme="majorBidi"/>
      <w:b/>
      <w:bCs/>
      <w:color w:val="365F91" w:themeColor="accent1" w:themeShade="BF"/>
      <w:sz w:val="28"/>
      <w:szCs w:val="28"/>
    </w:rPr>
  </w:style>
  <w:style w:type="paragraph" w:customStyle="1" w:styleId="IndentSingle">
    <w:name w:val="Indent Single"/>
    <w:basedOn w:val="Normal"/>
    <w:next w:val="BodyText"/>
    <w:qFormat/>
    <w:rsid w:val="000113FD"/>
    <w:pPr>
      <w:spacing w:after="240"/>
      <w:ind w:left="1440" w:right="1440"/>
      <w:jc w:val="both"/>
    </w:pPr>
    <w:rPr>
      <w:rFonts w:eastAsiaTheme="minorHAnsi" w:cstheme="minorBidi"/>
    </w:rPr>
  </w:style>
  <w:style w:type="paragraph" w:customStyle="1" w:styleId="IndentDouble">
    <w:name w:val="Indent Double"/>
    <w:basedOn w:val="Normal"/>
    <w:next w:val="BodyText"/>
    <w:qFormat/>
    <w:rsid w:val="000113FD"/>
    <w:pPr>
      <w:spacing w:after="240"/>
      <w:ind w:left="2160" w:right="2160"/>
      <w:jc w:val="both"/>
    </w:pPr>
    <w:rPr>
      <w:rFonts w:eastAsiaTheme="minorHAnsi" w:cstheme="minorBidi"/>
    </w:rPr>
  </w:style>
  <w:style w:type="character" w:customStyle="1" w:styleId="FootnoteTextChar">
    <w:name w:val="Footnote Text Char"/>
    <w:basedOn w:val="DefaultParagraphFont"/>
    <w:link w:val="FootnoteText"/>
    <w:uiPriority w:val="99"/>
    <w:semiHidden/>
    <w:rsid w:val="000113FD"/>
  </w:style>
  <w:style w:type="paragraph" w:styleId="BodyText">
    <w:name w:val="Body Text"/>
    <w:basedOn w:val="Normal"/>
    <w:link w:val="BodyTextChar"/>
    <w:rsid w:val="000113FD"/>
    <w:pPr>
      <w:spacing w:after="120"/>
    </w:pPr>
  </w:style>
  <w:style w:type="character" w:customStyle="1" w:styleId="BodyTextChar">
    <w:name w:val="Body Text Char"/>
    <w:basedOn w:val="DefaultParagraphFont"/>
    <w:link w:val="BodyText"/>
    <w:rsid w:val="000113FD"/>
    <w:rPr>
      <w:sz w:val="24"/>
      <w:szCs w:val="24"/>
    </w:rPr>
  </w:style>
  <w:style w:type="paragraph" w:styleId="Header">
    <w:name w:val="header"/>
    <w:basedOn w:val="Normal"/>
    <w:link w:val="HeaderChar"/>
    <w:rsid w:val="00E47037"/>
    <w:pPr>
      <w:tabs>
        <w:tab w:val="center" w:pos="4680"/>
        <w:tab w:val="right" w:pos="9360"/>
      </w:tabs>
    </w:pPr>
  </w:style>
  <w:style w:type="character" w:customStyle="1" w:styleId="HeaderChar">
    <w:name w:val="Header Char"/>
    <w:basedOn w:val="DefaultParagraphFont"/>
    <w:link w:val="Header"/>
    <w:rsid w:val="00E47037"/>
    <w:rPr>
      <w:sz w:val="24"/>
      <w:szCs w:val="24"/>
    </w:rPr>
  </w:style>
  <w:style w:type="paragraph" w:styleId="BalloonText">
    <w:name w:val="Balloon Text"/>
    <w:basedOn w:val="Normal"/>
    <w:link w:val="BalloonTextChar"/>
    <w:rsid w:val="00D57947"/>
    <w:rPr>
      <w:rFonts w:ascii="Tahoma" w:hAnsi="Tahoma" w:cs="Tahoma"/>
      <w:sz w:val="16"/>
      <w:szCs w:val="16"/>
    </w:rPr>
  </w:style>
  <w:style w:type="character" w:customStyle="1" w:styleId="BalloonTextChar">
    <w:name w:val="Balloon Text Char"/>
    <w:basedOn w:val="DefaultParagraphFont"/>
    <w:link w:val="BalloonText"/>
    <w:rsid w:val="00D57947"/>
    <w:rPr>
      <w:rFonts w:ascii="Tahoma" w:hAnsi="Tahoma" w:cs="Tahoma"/>
      <w:sz w:val="16"/>
      <w:szCs w:val="16"/>
    </w:rPr>
  </w:style>
  <w:style w:type="paragraph" w:customStyle="1" w:styleId="TabbedL1">
    <w:name w:val="Tabbed_L1"/>
    <w:basedOn w:val="Normal"/>
    <w:next w:val="BodyText"/>
    <w:link w:val="TabbedL1Char"/>
    <w:rsid w:val="00213866"/>
    <w:pPr>
      <w:numPr>
        <w:numId w:val="1"/>
      </w:numPr>
      <w:spacing w:after="240"/>
      <w:outlineLvl w:val="0"/>
    </w:pPr>
    <w:rPr>
      <w:szCs w:val="20"/>
    </w:rPr>
  </w:style>
  <w:style w:type="character" w:customStyle="1" w:styleId="TabbedL1Char">
    <w:name w:val="Tabbed_L1 Char"/>
    <w:link w:val="TabbedL1"/>
    <w:rsid w:val="00213866"/>
    <w:rPr>
      <w:sz w:val="24"/>
    </w:rPr>
  </w:style>
  <w:style w:type="paragraph" w:customStyle="1" w:styleId="TabbedL2">
    <w:name w:val="Tabbed_L2"/>
    <w:basedOn w:val="TabbedL1"/>
    <w:next w:val="BodyText"/>
    <w:link w:val="TabbedL2Char"/>
    <w:rsid w:val="00213866"/>
    <w:pPr>
      <w:numPr>
        <w:ilvl w:val="1"/>
      </w:numPr>
      <w:tabs>
        <w:tab w:val="clear" w:pos="2160"/>
      </w:tabs>
      <w:ind w:left="1080" w:hanging="360"/>
      <w:outlineLvl w:val="1"/>
    </w:pPr>
  </w:style>
  <w:style w:type="paragraph" w:customStyle="1" w:styleId="TabbedL3">
    <w:name w:val="Tabbed_L3"/>
    <w:basedOn w:val="TabbedL2"/>
    <w:next w:val="BodyText"/>
    <w:rsid w:val="00213866"/>
    <w:pPr>
      <w:numPr>
        <w:ilvl w:val="2"/>
      </w:numPr>
      <w:tabs>
        <w:tab w:val="clear" w:pos="2880"/>
        <w:tab w:val="num" w:pos="360"/>
      </w:tabs>
      <w:ind w:left="1800" w:hanging="180"/>
      <w:outlineLvl w:val="2"/>
    </w:pPr>
  </w:style>
  <w:style w:type="paragraph" w:customStyle="1" w:styleId="TabbedL4">
    <w:name w:val="Tabbed_L4"/>
    <w:basedOn w:val="TabbedL3"/>
    <w:next w:val="BodyText"/>
    <w:rsid w:val="00213866"/>
    <w:pPr>
      <w:numPr>
        <w:ilvl w:val="3"/>
      </w:numPr>
      <w:tabs>
        <w:tab w:val="clear" w:pos="3600"/>
        <w:tab w:val="num" w:pos="360"/>
      </w:tabs>
      <w:ind w:left="2520" w:hanging="360"/>
      <w:outlineLvl w:val="3"/>
    </w:pPr>
  </w:style>
  <w:style w:type="paragraph" w:customStyle="1" w:styleId="TabbedL5">
    <w:name w:val="Tabbed_L5"/>
    <w:basedOn w:val="TabbedL4"/>
    <w:next w:val="BodyText"/>
    <w:rsid w:val="00213866"/>
    <w:pPr>
      <w:numPr>
        <w:ilvl w:val="4"/>
      </w:numPr>
      <w:tabs>
        <w:tab w:val="clear" w:pos="4320"/>
        <w:tab w:val="num" w:pos="360"/>
      </w:tabs>
      <w:ind w:left="3240" w:hanging="360"/>
      <w:outlineLvl w:val="4"/>
    </w:pPr>
  </w:style>
  <w:style w:type="paragraph" w:customStyle="1" w:styleId="TabbedL6">
    <w:name w:val="Tabbed_L6"/>
    <w:basedOn w:val="TabbedL5"/>
    <w:next w:val="BodyText"/>
    <w:rsid w:val="00213866"/>
    <w:pPr>
      <w:numPr>
        <w:ilvl w:val="5"/>
      </w:numPr>
      <w:tabs>
        <w:tab w:val="clear" w:pos="5040"/>
        <w:tab w:val="num" w:pos="360"/>
      </w:tabs>
      <w:ind w:left="3960" w:hanging="180"/>
      <w:outlineLvl w:val="5"/>
    </w:pPr>
  </w:style>
  <w:style w:type="paragraph" w:customStyle="1" w:styleId="TabbedL7">
    <w:name w:val="Tabbed_L7"/>
    <w:basedOn w:val="TabbedL6"/>
    <w:next w:val="BodyText"/>
    <w:rsid w:val="00213866"/>
    <w:pPr>
      <w:numPr>
        <w:ilvl w:val="6"/>
      </w:numPr>
      <w:tabs>
        <w:tab w:val="clear" w:pos="5760"/>
        <w:tab w:val="num" w:pos="360"/>
      </w:tabs>
      <w:ind w:left="4680" w:hanging="360"/>
      <w:outlineLvl w:val="6"/>
    </w:pPr>
  </w:style>
  <w:style w:type="paragraph" w:customStyle="1" w:styleId="TabbedL8">
    <w:name w:val="Tabbed_L8"/>
    <w:basedOn w:val="TabbedL7"/>
    <w:next w:val="BodyText"/>
    <w:rsid w:val="00213866"/>
    <w:pPr>
      <w:numPr>
        <w:ilvl w:val="7"/>
      </w:numPr>
      <w:tabs>
        <w:tab w:val="clear" w:pos="6480"/>
        <w:tab w:val="num" w:pos="360"/>
      </w:tabs>
      <w:ind w:left="5400" w:hanging="360"/>
      <w:outlineLvl w:val="7"/>
    </w:pPr>
  </w:style>
  <w:style w:type="paragraph" w:customStyle="1" w:styleId="TabbedL9">
    <w:name w:val="Tabbed_L9"/>
    <w:basedOn w:val="TabbedL8"/>
    <w:next w:val="BodyText"/>
    <w:rsid w:val="00213866"/>
    <w:pPr>
      <w:numPr>
        <w:ilvl w:val="8"/>
      </w:numPr>
      <w:tabs>
        <w:tab w:val="clear" w:pos="7200"/>
        <w:tab w:val="num" w:pos="360"/>
      </w:tabs>
      <w:ind w:left="6120" w:hanging="180"/>
      <w:outlineLvl w:val="8"/>
    </w:pPr>
  </w:style>
  <w:style w:type="character" w:customStyle="1" w:styleId="TabbedL2Char">
    <w:name w:val="Tabbed_L2 Char"/>
    <w:link w:val="TabbedL2"/>
    <w:rsid w:val="00213866"/>
    <w:rPr>
      <w:sz w:val="24"/>
    </w:rPr>
  </w:style>
  <w:style w:type="paragraph" w:styleId="ListParagraph">
    <w:name w:val="List Paragraph"/>
    <w:basedOn w:val="Normal"/>
    <w:uiPriority w:val="34"/>
    <w:qFormat/>
    <w:rsid w:val="00213866"/>
    <w:pPr>
      <w:spacing w:after="200" w:line="276" w:lineRule="auto"/>
      <w:ind w:left="720"/>
      <w:contextualSpacing/>
    </w:pPr>
    <w:rPr>
      <w:rFonts w:eastAsia="Calibri"/>
    </w:rPr>
  </w:style>
  <w:style w:type="character" w:customStyle="1" w:styleId="pnote">
    <w:name w:val="pnote"/>
    <w:rsid w:val="00213866"/>
  </w:style>
  <w:style w:type="character" w:customStyle="1" w:styleId="sh2753270242">
    <w:name w:val="sh_2753270242"/>
    <w:rsid w:val="00213866"/>
  </w:style>
  <w:style w:type="character" w:customStyle="1" w:styleId="ssun2">
    <w:name w:val="ss_un2"/>
    <w:rsid w:val="00213866"/>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1"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3C"/>
    <w:rPr>
      <w:sz w:val="24"/>
      <w:szCs w:val="24"/>
    </w:rPr>
  </w:style>
  <w:style w:type="paragraph" w:styleId="Heading1">
    <w:name w:val="heading 1"/>
    <w:basedOn w:val="Normal"/>
    <w:next w:val="Normal"/>
    <w:link w:val="Heading1Char"/>
    <w:qFormat/>
    <w:rsid w:val="000113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470B6"/>
    <w:rPr>
      <w:sz w:val="20"/>
      <w:szCs w:val="20"/>
    </w:rPr>
  </w:style>
  <w:style w:type="character" w:styleId="FootnoteReference">
    <w:name w:val="footnote reference"/>
    <w:basedOn w:val="DefaultParagraphFont"/>
    <w:uiPriority w:val="99"/>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uiPriority w:val="99"/>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BodyText2">
    <w:name w:val="Body Text 2"/>
    <w:basedOn w:val="Normal"/>
    <w:link w:val="BodyText2Char"/>
    <w:uiPriority w:val="1"/>
    <w:qFormat/>
    <w:rsid w:val="00B77408"/>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B77408"/>
    <w:rPr>
      <w:rFonts w:eastAsiaTheme="minorHAnsi" w:cstheme="minorBidi"/>
      <w:sz w:val="24"/>
      <w:szCs w:val="24"/>
    </w:rPr>
  </w:style>
  <w:style w:type="character" w:customStyle="1" w:styleId="Heading1Char">
    <w:name w:val="Heading 1 Char"/>
    <w:basedOn w:val="DefaultParagraphFont"/>
    <w:link w:val="Heading1"/>
    <w:rsid w:val="000113FD"/>
    <w:rPr>
      <w:rFonts w:asciiTheme="majorHAnsi" w:eastAsiaTheme="majorEastAsia" w:hAnsiTheme="majorHAnsi" w:cstheme="majorBidi"/>
      <w:b/>
      <w:bCs/>
      <w:color w:val="365F91" w:themeColor="accent1" w:themeShade="BF"/>
      <w:sz w:val="28"/>
      <w:szCs w:val="28"/>
    </w:rPr>
  </w:style>
  <w:style w:type="paragraph" w:customStyle="1" w:styleId="IndentSingle">
    <w:name w:val="Indent Single"/>
    <w:basedOn w:val="Normal"/>
    <w:next w:val="BodyText"/>
    <w:qFormat/>
    <w:rsid w:val="000113FD"/>
    <w:pPr>
      <w:spacing w:after="240"/>
      <w:ind w:left="1440" w:right="1440"/>
      <w:jc w:val="both"/>
    </w:pPr>
    <w:rPr>
      <w:rFonts w:eastAsiaTheme="minorHAnsi" w:cstheme="minorBidi"/>
    </w:rPr>
  </w:style>
  <w:style w:type="paragraph" w:customStyle="1" w:styleId="IndentDouble">
    <w:name w:val="Indent Double"/>
    <w:basedOn w:val="Normal"/>
    <w:next w:val="BodyText"/>
    <w:qFormat/>
    <w:rsid w:val="000113FD"/>
    <w:pPr>
      <w:spacing w:after="240"/>
      <w:ind w:left="2160" w:right="2160"/>
      <w:jc w:val="both"/>
    </w:pPr>
    <w:rPr>
      <w:rFonts w:eastAsiaTheme="minorHAnsi" w:cstheme="minorBidi"/>
    </w:rPr>
  </w:style>
  <w:style w:type="character" w:customStyle="1" w:styleId="FootnoteTextChar">
    <w:name w:val="Footnote Text Char"/>
    <w:basedOn w:val="DefaultParagraphFont"/>
    <w:link w:val="FootnoteText"/>
    <w:uiPriority w:val="99"/>
    <w:semiHidden/>
    <w:rsid w:val="000113FD"/>
  </w:style>
  <w:style w:type="paragraph" w:styleId="BodyText">
    <w:name w:val="Body Text"/>
    <w:basedOn w:val="Normal"/>
    <w:link w:val="BodyTextChar"/>
    <w:rsid w:val="000113FD"/>
    <w:pPr>
      <w:spacing w:after="120"/>
    </w:pPr>
  </w:style>
  <w:style w:type="character" w:customStyle="1" w:styleId="BodyTextChar">
    <w:name w:val="Body Text Char"/>
    <w:basedOn w:val="DefaultParagraphFont"/>
    <w:link w:val="BodyText"/>
    <w:rsid w:val="000113FD"/>
    <w:rPr>
      <w:sz w:val="24"/>
      <w:szCs w:val="24"/>
    </w:rPr>
  </w:style>
  <w:style w:type="paragraph" w:styleId="Header">
    <w:name w:val="header"/>
    <w:basedOn w:val="Normal"/>
    <w:link w:val="HeaderChar"/>
    <w:rsid w:val="00E47037"/>
    <w:pPr>
      <w:tabs>
        <w:tab w:val="center" w:pos="4680"/>
        <w:tab w:val="right" w:pos="9360"/>
      </w:tabs>
    </w:pPr>
  </w:style>
  <w:style w:type="character" w:customStyle="1" w:styleId="HeaderChar">
    <w:name w:val="Header Char"/>
    <w:basedOn w:val="DefaultParagraphFont"/>
    <w:link w:val="Header"/>
    <w:rsid w:val="00E47037"/>
    <w:rPr>
      <w:sz w:val="24"/>
      <w:szCs w:val="24"/>
    </w:rPr>
  </w:style>
  <w:style w:type="paragraph" w:styleId="BalloonText">
    <w:name w:val="Balloon Text"/>
    <w:basedOn w:val="Normal"/>
    <w:link w:val="BalloonTextChar"/>
    <w:rsid w:val="00D57947"/>
    <w:rPr>
      <w:rFonts w:ascii="Tahoma" w:hAnsi="Tahoma" w:cs="Tahoma"/>
      <w:sz w:val="16"/>
      <w:szCs w:val="16"/>
    </w:rPr>
  </w:style>
  <w:style w:type="character" w:customStyle="1" w:styleId="BalloonTextChar">
    <w:name w:val="Balloon Text Char"/>
    <w:basedOn w:val="DefaultParagraphFont"/>
    <w:link w:val="BalloonText"/>
    <w:rsid w:val="00D57947"/>
    <w:rPr>
      <w:rFonts w:ascii="Tahoma" w:hAnsi="Tahoma" w:cs="Tahoma"/>
      <w:sz w:val="16"/>
      <w:szCs w:val="16"/>
    </w:rPr>
  </w:style>
  <w:style w:type="paragraph" w:customStyle="1" w:styleId="TabbedL1">
    <w:name w:val="Tabbed_L1"/>
    <w:basedOn w:val="Normal"/>
    <w:next w:val="BodyText"/>
    <w:link w:val="TabbedL1Char"/>
    <w:rsid w:val="00213866"/>
    <w:pPr>
      <w:numPr>
        <w:numId w:val="1"/>
      </w:numPr>
      <w:spacing w:after="240"/>
      <w:outlineLvl w:val="0"/>
    </w:pPr>
    <w:rPr>
      <w:szCs w:val="20"/>
    </w:rPr>
  </w:style>
  <w:style w:type="character" w:customStyle="1" w:styleId="TabbedL1Char">
    <w:name w:val="Tabbed_L1 Char"/>
    <w:link w:val="TabbedL1"/>
    <w:rsid w:val="00213866"/>
    <w:rPr>
      <w:sz w:val="24"/>
    </w:rPr>
  </w:style>
  <w:style w:type="paragraph" w:customStyle="1" w:styleId="TabbedL2">
    <w:name w:val="Tabbed_L2"/>
    <w:basedOn w:val="TabbedL1"/>
    <w:next w:val="BodyText"/>
    <w:link w:val="TabbedL2Char"/>
    <w:rsid w:val="00213866"/>
    <w:pPr>
      <w:numPr>
        <w:ilvl w:val="1"/>
      </w:numPr>
      <w:tabs>
        <w:tab w:val="clear" w:pos="2160"/>
      </w:tabs>
      <w:ind w:left="1080" w:hanging="360"/>
      <w:outlineLvl w:val="1"/>
    </w:pPr>
  </w:style>
  <w:style w:type="paragraph" w:customStyle="1" w:styleId="TabbedL3">
    <w:name w:val="Tabbed_L3"/>
    <w:basedOn w:val="TabbedL2"/>
    <w:next w:val="BodyText"/>
    <w:rsid w:val="00213866"/>
    <w:pPr>
      <w:numPr>
        <w:ilvl w:val="2"/>
      </w:numPr>
      <w:tabs>
        <w:tab w:val="clear" w:pos="2880"/>
        <w:tab w:val="num" w:pos="360"/>
      </w:tabs>
      <w:ind w:left="1800" w:hanging="180"/>
      <w:outlineLvl w:val="2"/>
    </w:pPr>
  </w:style>
  <w:style w:type="paragraph" w:customStyle="1" w:styleId="TabbedL4">
    <w:name w:val="Tabbed_L4"/>
    <w:basedOn w:val="TabbedL3"/>
    <w:next w:val="BodyText"/>
    <w:rsid w:val="00213866"/>
    <w:pPr>
      <w:numPr>
        <w:ilvl w:val="3"/>
      </w:numPr>
      <w:tabs>
        <w:tab w:val="clear" w:pos="3600"/>
        <w:tab w:val="num" w:pos="360"/>
      </w:tabs>
      <w:ind w:left="2520" w:hanging="360"/>
      <w:outlineLvl w:val="3"/>
    </w:pPr>
  </w:style>
  <w:style w:type="paragraph" w:customStyle="1" w:styleId="TabbedL5">
    <w:name w:val="Tabbed_L5"/>
    <w:basedOn w:val="TabbedL4"/>
    <w:next w:val="BodyText"/>
    <w:rsid w:val="00213866"/>
    <w:pPr>
      <w:numPr>
        <w:ilvl w:val="4"/>
      </w:numPr>
      <w:tabs>
        <w:tab w:val="clear" w:pos="4320"/>
        <w:tab w:val="num" w:pos="360"/>
      </w:tabs>
      <w:ind w:left="3240" w:hanging="360"/>
      <w:outlineLvl w:val="4"/>
    </w:pPr>
  </w:style>
  <w:style w:type="paragraph" w:customStyle="1" w:styleId="TabbedL6">
    <w:name w:val="Tabbed_L6"/>
    <w:basedOn w:val="TabbedL5"/>
    <w:next w:val="BodyText"/>
    <w:rsid w:val="00213866"/>
    <w:pPr>
      <w:numPr>
        <w:ilvl w:val="5"/>
      </w:numPr>
      <w:tabs>
        <w:tab w:val="clear" w:pos="5040"/>
        <w:tab w:val="num" w:pos="360"/>
      </w:tabs>
      <w:ind w:left="3960" w:hanging="180"/>
      <w:outlineLvl w:val="5"/>
    </w:pPr>
  </w:style>
  <w:style w:type="paragraph" w:customStyle="1" w:styleId="TabbedL7">
    <w:name w:val="Tabbed_L7"/>
    <w:basedOn w:val="TabbedL6"/>
    <w:next w:val="BodyText"/>
    <w:rsid w:val="00213866"/>
    <w:pPr>
      <w:numPr>
        <w:ilvl w:val="6"/>
      </w:numPr>
      <w:tabs>
        <w:tab w:val="clear" w:pos="5760"/>
        <w:tab w:val="num" w:pos="360"/>
      </w:tabs>
      <w:ind w:left="4680" w:hanging="360"/>
      <w:outlineLvl w:val="6"/>
    </w:pPr>
  </w:style>
  <w:style w:type="paragraph" w:customStyle="1" w:styleId="TabbedL8">
    <w:name w:val="Tabbed_L8"/>
    <w:basedOn w:val="TabbedL7"/>
    <w:next w:val="BodyText"/>
    <w:rsid w:val="00213866"/>
    <w:pPr>
      <w:numPr>
        <w:ilvl w:val="7"/>
      </w:numPr>
      <w:tabs>
        <w:tab w:val="clear" w:pos="6480"/>
        <w:tab w:val="num" w:pos="360"/>
      </w:tabs>
      <w:ind w:left="5400" w:hanging="360"/>
      <w:outlineLvl w:val="7"/>
    </w:pPr>
  </w:style>
  <w:style w:type="paragraph" w:customStyle="1" w:styleId="TabbedL9">
    <w:name w:val="Tabbed_L9"/>
    <w:basedOn w:val="TabbedL8"/>
    <w:next w:val="BodyText"/>
    <w:rsid w:val="00213866"/>
    <w:pPr>
      <w:numPr>
        <w:ilvl w:val="8"/>
      </w:numPr>
      <w:tabs>
        <w:tab w:val="clear" w:pos="7200"/>
        <w:tab w:val="num" w:pos="360"/>
      </w:tabs>
      <w:ind w:left="6120" w:hanging="180"/>
      <w:outlineLvl w:val="8"/>
    </w:pPr>
  </w:style>
  <w:style w:type="character" w:customStyle="1" w:styleId="TabbedL2Char">
    <w:name w:val="Tabbed_L2 Char"/>
    <w:link w:val="TabbedL2"/>
    <w:rsid w:val="00213866"/>
    <w:rPr>
      <w:sz w:val="24"/>
    </w:rPr>
  </w:style>
  <w:style w:type="paragraph" w:styleId="ListParagraph">
    <w:name w:val="List Paragraph"/>
    <w:basedOn w:val="Normal"/>
    <w:uiPriority w:val="34"/>
    <w:qFormat/>
    <w:rsid w:val="00213866"/>
    <w:pPr>
      <w:spacing w:after="200" w:line="276" w:lineRule="auto"/>
      <w:ind w:left="720"/>
      <w:contextualSpacing/>
    </w:pPr>
    <w:rPr>
      <w:rFonts w:eastAsia="Calibri"/>
    </w:rPr>
  </w:style>
  <w:style w:type="character" w:customStyle="1" w:styleId="pnote">
    <w:name w:val="pnote"/>
    <w:rsid w:val="00213866"/>
  </w:style>
  <w:style w:type="character" w:customStyle="1" w:styleId="sh2753270242">
    <w:name w:val="sh_2753270242"/>
    <w:rsid w:val="00213866"/>
  </w:style>
  <w:style w:type="character" w:customStyle="1" w:styleId="ssun2">
    <w:name w:val="ss_un2"/>
    <w:rsid w:val="0021386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apowerswit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F39AB-8E23-4382-AFEB-33CE6DBC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5221</Words>
  <Characters>29764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34916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shoffner</cp:lastModifiedBy>
  <cp:revision>3</cp:revision>
  <cp:lastPrinted>2014-12-30T16:29:00Z</cp:lastPrinted>
  <dcterms:created xsi:type="dcterms:W3CDTF">2014-12-30T15:43:00Z</dcterms:created>
  <dcterms:modified xsi:type="dcterms:W3CDTF">2014-12-30T16:32:00Z</dcterms:modified>
</cp:coreProperties>
</file>