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2C3" w:rsidRPr="008742C3" w:rsidRDefault="008742C3" w:rsidP="008742C3">
      <w:pPr>
        <w:tabs>
          <w:tab w:val="clear" w:pos="1440"/>
          <w:tab w:val="left" w:pos="0"/>
        </w:tabs>
        <w:spacing w:after="0" w:line="233" w:lineRule="auto"/>
        <w:jc w:val="center"/>
        <w:rPr>
          <w:rFonts w:eastAsia="SimSun"/>
          <w:b/>
        </w:rPr>
      </w:pPr>
      <w:r w:rsidRPr="008742C3">
        <w:rPr>
          <w:rFonts w:eastAsia="SimSun"/>
          <w:b/>
        </w:rPr>
        <w:t>BEFORE THE</w:t>
      </w:r>
    </w:p>
    <w:p w:rsidR="008742C3" w:rsidRPr="008742C3" w:rsidRDefault="008742C3" w:rsidP="008742C3">
      <w:pPr>
        <w:tabs>
          <w:tab w:val="clear" w:pos="1440"/>
          <w:tab w:val="left" w:pos="0"/>
        </w:tabs>
        <w:spacing w:after="0" w:line="233" w:lineRule="auto"/>
        <w:jc w:val="center"/>
        <w:rPr>
          <w:rFonts w:eastAsia="SimSun"/>
          <w:b/>
        </w:rPr>
      </w:pPr>
      <w:r w:rsidRPr="008742C3">
        <w:rPr>
          <w:rFonts w:eastAsia="SimSun"/>
          <w:b/>
        </w:rPr>
        <w:t>PENNSYLVANIA PUBLIC UTILITY COMMISSION</w:t>
      </w:r>
    </w:p>
    <w:p w:rsidR="008742C3" w:rsidRPr="008742C3" w:rsidRDefault="008742C3" w:rsidP="008742C3">
      <w:pPr>
        <w:tabs>
          <w:tab w:val="clear" w:pos="1440"/>
          <w:tab w:val="left" w:pos="0"/>
        </w:tabs>
        <w:spacing w:after="0" w:line="233" w:lineRule="auto"/>
        <w:jc w:val="both"/>
        <w:rPr>
          <w:rFonts w:eastAsia="SimSun"/>
          <w:b/>
        </w:rPr>
      </w:pPr>
    </w:p>
    <w:p w:rsidR="008742C3" w:rsidRPr="008742C3" w:rsidRDefault="008742C3" w:rsidP="008742C3">
      <w:pPr>
        <w:tabs>
          <w:tab w:val="clear" w:pos="1440"/>
          <w:tab w:val="left" w:pos="0"/>
        </w:tabs>
        <w:spacing w:after="0" w:line="233" w:lineRule="auto"/>
        <w:jc w:val="both"/>
        <w:rPr>
          <w:rFonts w:eastAsia="SimSun"/>
        </w:rPr>
      </w:pPr>
    </w:p>
    <w:p w:rsidR="008742C3" w:rsidRPr="008742C3" w:rsidRDefault="008742C3" w:rsidP="008742C3">
      <w:pPr>
        <w:tabs>
          <w:tab w:val="clear" w:pos="1440"/>
          <w:tab w:val="left" w:pos="0"/>
        </w:tabs>
        <w:spacing w:after="0" w:line="233" w:lineRule="auto"/>
        <w:jc w:val="both"/>
        <w:rPr>
          <w:rFonts w:eastAsia="SimSun"/>
        </w:rPr>
      </w:pPr>
    </w:p>
    <w:p w:rsidR="008742C3" w:rsidRPr="008742C3" w:rsidRDefault="008742C3" w:rsidP="008742C3">
      <w:pPr>
        <w:tabs>
          <w:tab w:val="clear" w:pos="1440"/>
          <w:tab w:val="left" w:pos="0"/>
        </w:tabs>
        <w:spacing w:after="0" w:line="233" w:lineRule="auto"/>
        <w:jc w:val="both"/>
        <w:rPr>
          <w:rFonts w:eastAsia="SimSun"/>
        </w:rPr>
      </w:pPr>
      <w:r>
        <w:rPr>
          <w:rFonts w:eastAsia="SimSun"/>
        </w:rPr>
        <w:t>Olafemi Mandley</w:t>
      </w:r>
      <w:r w:rsidRPr="008742C3">
        <w:rPr>
          <w:rFonts w:eastAsia="SimSun"/>
        </w:rPr>
        <w:tab/>
      </w:r>
      <w:r w:rsidRPr="008742C3">
        <w:rPr>
          <w:rFonts w:eastAsia="SimSun"/>
        </w:rPr>
        <w:tab/>
      </w:r>
      <w:r w:rsidRPr="008742C3">
        <w:rPr>
          <w:rFonts w:eastAsia="SimSun"/>
        </w:rPr>
        <w:tab/>
      </w:r>
      <w:r w:rsidRPr="008742C3">
        <w:rPr>
          <w:rFonts w:eastAsia="SimSun"/>
        </w:rPr>
        <w:tab/>
      </w:r>
      <w:r w:rsidRPr="008742C3">
        <w:rPr>
          <w:rFonts w:eastAsia="SimSun"/>
        </w:rPr>
        <w:tab/>
        <w:t>:</w:t>
      </w:r>
    </w:p>
    <w:p w:rsidR="008742C3" w:rsidRPr="008742C3" w:rsidRDefault="008742C3" w:rsidP="008742C3">
      <w:pPr>
        <w:tabs>
          <w:tab w:val="clear" w:pos="1440"/>
          <w:tab w:val="left" w:pos="0"/>
        </w:tabs>
        <w:spacing w:after="0" w:line="233" w:lineRule="auto"/>
        <w:jc w:val="both"/>
        <w:rPr>
          <w:rFonts w:eastAsia="SimSun"/>
        </w:rPr>
      </w:pPr>
      <w:r w:rsidRPr="008742C3">
        <w:rPr>
          <w:rFonts w:eastAsia="SimSun"/>
          <w:b/>
        </w:rPr>
        <w:tab/>
      </w:r>
      <w:r w:rsidRPr="008742C3">
        <w:rPr>
          <w:rFonts w:eastAsia="SimSun"/>
          <w:b/>
        </w:rPr>
        <w:tab/>
      </w:r>
      <w:r w:rsidRPr="008742C3">
        <w:rPr>
          <w:rFonts w:eastAsia="SimSun"/>
          <w:b/>
        </w:rPr>
        <w:tab/>
      </w:r>
      <w:r w:rsidRPr="008742C3">
        <w:rPr>
          <w:rFonts w:eastAsia="SimSun"/>
          <w:b/>
        </w:rPr>
        <w:tab/>
      </w:r>
      <w:r w:rsidRPr="008742C3">
        <w:rPr>
          <w:rFonts w:eastAsia="SimSun"/>
          <w:b/>
        </w:rPr>
        <w:tab/>
      </w:r>
      <w:r w:rsidRPr="008742C3">
        <w:rPr>
          <w:rFonts w:eastAsia="SimSun"/>
          <w:b/>
        </w:rPr>
        <w:tab/>
      </w:r>
      <w:r w:rsidRPr="008742C3">
        <w:rPr>
          <w:rFonts w:eastAsia="SimSun"/>
          <w:b/>
        </w:rPr>
        <w:tab/>
      </w:r>
      <w:r w:rsidRPr="008742C3">
        <w:rPr>
          <w:rFonts w:eastAsia="SimSun"/>
        </w:rPr>
        <w:t>:</w:t>
      </w:r>
    </w:p>
    <w:p w:rsidR="008742C3" w:rsidRPr="008742C3" w:rsidRDefault="008742C3" w:rsidP="008742C3">
      <w:pPr>
        <w:tabs>
          <w:tab w:val="clear" w:pos="1440"/>
          <w:tab w:val="left" w:pos="0"/>
        </w:tabs>
        <w:spacing w:after="0" w:line="233" w:lineRule="auto"/>
        <w:rPr>
          <w:rFonts w:eastAsia="SimSun"/>
        </w:rPr>
      </w:pPr>
      <w:r w:rsidRPr="008742C3">
        <w:rPr>
          <w:rFonts w:eastAsia="SimSun"/>
        </w:rPr>
        <w:tab/>
        <w:t>v.</w:t>
      </w:r>
      <w:r w:rsidRPr="008742C3">
        <w:rPr>
          <w:rFonts w:eastAsia="SimSun"/>
        </w:rPr>
        <w:tab/>
      </w:r>
      <w:r w:rsidRPr="008742C3">
        <w:rPr>
          <w:rFonts w:eastAsia="SimSun"/>
        </w:rPr>
        <w:tab/>
      </w:r>
      <w:r w:rsidRPr="008742C3">
        <w:rPr>
          <w:rFonts w:eastAsia="SimSun"/>
        </w:rPr>
        <w:tab/>
      </w:r>
      <w:r w:rsidRPr="008742C3">
        <w:rPr>
          <w:rFonts w:eastAsia="SimSun"/>
        </w:rPr>
        <w:tab/>
      </w:r>
      <w:r w:rsidRPr="008742C3">
        <w:rPr>
          <w:rFonts w:eastAsia="SimSun"/>
        </w:rPr>
        <w:tab/>
      </w:r>
      <w:r w:rsidRPr="008742C3">
        <w:rPr>
          <w:rFonts w:eastAsia="SimSun"/>
        </w:rPr>
        <w:tab/>
        <w:t>:</w:t>
      </w:r>
      <w:r w:rsidRPr="008742C3">
        <w:rPr>
          <w:rFonts w:eastAsia="SimSun"/>
        </w:rPr>
        <w:tab/>
      </w:r>
      <w:r w:rsidRPr="008742C3">
        <w:rPr>
          <w:rFonts w:eastAsia="SimSun"/>
        </w:rPr>
        <w:tab/>
      </w:r>
      <w:r w:rsidR="001A348E">
        <w:rPr>
          <w:rFonts w:eastAsia="SimSun"/>
        </w:rPr>
        <w:t>F</w:t>
      </w:r>
      <w:r w:rsidRPr="008742C3">
        <w:rPr>
          <w:rFonts w:eastAsia="SimSun"/>
        </w:rPr>
        <w:t>-201</w:t>
      </w:r>
      <w:r w:rsidR="001A348E">
        <w:rPr>
          <w:rFonts w:eastAsia="SimSun"/>
        </w:rPr>
        <w:t>2</w:t>
      </w:r>
      <w:r w:rsidRPr="008742C3">
        <w:rPr>
          <w:rFonts w:eastAsia="SimSun"/>
        </w:rPr>
        <w:t>-2</w:t>
      </w:r>
      <w:r w:rsidR="001A348E">
        <w:rPr>
          <w:rFonts w:eastAsia="SimSun"/>
        </w:rPr>
        <w:t>282175</w:t>
      </w:r>
    </w:p>
    <w:p w:rsidR="008742C3" w:rsidRPr="008742C3" w:rsidRDefault="008742C3" w:rsidP="008742C3">
      <w:pPr>
        <w:tabs>
          <w:tab w:val="clear" w:pos="1440"/>
          <w:tab w:val="left" w:pos="0"/>
        </w:tabs>
        <w:spacing w:after="0" w:line="233" w:lineRule="auto"/>
        <w:jc w:val="both"/>
        <w:rPr>
          <w:rFonts w:eastAsia="SimSun"/>
        </w:rPr>
      </w:pPr>
      <w:r w:rsidRPr="008742C3">
        <w:rPr>
          <w:rFonts w:eastAsia="SimSun"/>
        </w:rPr>
        <w:tab/>
      </w:r>
      <w:r w:rsidRPr="008742C3">
        <w:rPr>
          <w:rFonts w:eastAsia="SimSun"/>
        </w:rPr>
        <w:tab/>
      </w:r>
      <w:r w:rsidRPr="008742C3">
        <w:rPr>
          <w:rFonts w:eastAsia="SimSun"/>
        </w:rPr>
        <w:tab/>
      </w:r>
      <w:r w:rsidRPr="008742C3">
        <w:rPr>
          <w:rFonts w:eastAsia="SimSun"/>
        </w:rPr>
        <w:tab/>
      </w:r>
      <w:r w:rsidRPr="008742C3">
        <w:rPr>
          <w:rFonts w:eastAsia="SimSun"/>
        </w:rPr>
        <w:tab/>
      </w:r>
      <w:r w:rsidRPr="008742C3">
        <w:rPr>
          <w:rFonts w:eastAsia="SimSun"/>
        </w:rPr>
        <w:tab/>
      </w:r>
      <w:r w:rsidRPr="008742C3">
        <w:rPr>
          <w:rFonts w:eastAsia="SimSun"/>
        </w:rPr>
        <w:tab/>
        <w:t>:</w:t>
      </w:r>
    </w:p>
    <w:p w:rsidR="008742C3" w:rsidRPr="008742C3" w:rsidRDefault="008742C3" w:rsidP="008742C3">
      <w:pPr>
        <w:tabs>
          <w:tab w:val="clear" w:pos="1440"/>
          <w:tab w:val="left" w:pos="0"/>
        </w:tabs>
        <w:spacing w:after="0" w:line="233" w:lineRule="auto"/>
        <w:jc w:val="both"/>
        <w:rPr>
          <w:rFonts w:eastAsia="SimSun"/>
          <w:b/>
        </w:rPr>
      </w:pPr>
      <w:r>
        <w:rPr>
          <w:rFonts w:eastAsia="SimSun"/>
        </w:rPr>
        <w:t>Duquesne Light Company</w:t>
      </w:r>
      <w:r>
        <w:rPr>
          <w:rFonts w:eastAsia="SimSun"/>
        </w:rPr>
        <w:tab/>
      </w:r>
      <w:r w:rsidRPr="008742C3">
        <w:rPr>
          <w:rFonts w:eastAsia="SimSun"/>
        </w:rPr>
        <w:t xml:space="preserve"> </w:t>
      </w:r>
      <w:r w:rsidRPr="008742C3">
        <w:rPr>
          <w:rFonts w:eastAsia="SimSun"/>
        </w:rPr>
        <w:tab/>
      </w:r>
      <w:r w:rsidRPr="008742C3">
        <w:rPr>
          <w:rFonts w:eastAsia="SimSun"/>
        </w:rPr>
        <w:tab/>
      </w:r>
      <w:r w:rsidRPr="008742C3">
        <w:rPr>
          <w:rFonts w:eastAsia="SimSun"/>
        </w:rPr>
        <w:tab/>
        <w:t>:</w:t>
      </w:r>
    </w:p>
    <w:p w:rsidR="008742C3" w:rsidRPr="008742C3" w:rsidRDefault="008742C3" w:rsidP="008742C3">
      <w:pPr>
        <w:tabs>
          <w:tab w:val="clear" w:pos="1440"/>
          <w:tab w:val="left" w:pos="0"/>
        </w:tabs>
        <w:spacing w:after="0" w:line="233" w:lineRule="auto"/>
        <w:jc w:val="both"/>
        <w:rPr>
          <w:rFonts w:eastAsia="SimSun"/>
          <w:b/>
        </w:rPr>
      </w:pPr>
    </w:p>
    <w:p w:rsidR="008742C3" w:rsidRPr="008742C3" w:rsidRDefault="008742C3" w:rsidP="008742C3">
      <w:pPr>
        <w:tabs>
          <w:tab w:val="clear" w:pos="1440"/>
          <w:tab w:val="left" w:pos="0"/>
        </w:tabs>
        <w:spacing w:after="0" w:line="233" w:lineRule="auto"/>
        <w:jc w:val="both"/>
        <w:rPr>
          <w:rFonts w:eastAsia="SimSun"/>
          <w:b/>
        </w:rPr>
      </w:pPr>
    </w:p>
    <w:p w:rsidR="008742C3" w:rsidRPr="008742C3" w:rsidRDefault="008742C3" w:rsidP="008742C3">
      <w:pPr>
        <w:tabs>
          <w:tab w:val="clear" w:pos="1440"/>
          <w:tab w:val="left" w:pos="0"/>
        </w:tabs>
        <w:spacing w:after="0" w:line="233" w:lineRule="auto"/>
        <w:jc w:val="both"/>
        <w:rPr>
          <w:rFonts w:eastAsia="SimSun"/>
          <w:b/>
        </w:rPr>
      </w:pPr>
    </w:p>
    <w:p w:rsidR="008742C3" w:rsidRPr="008742C3" w:rsidRDefault="008742C3" w:rsidP="008742C3">
      <w:pPr>
        <w:tabs>
          <w:tab w:val="clear" w:pos="1440"/>
          <w:tab w:val="left" w:pos="0"/>
        </w:tabs>
        <w:spacing w:after="0" w:line="233" w:lineRule="auto"/>
        <w:jc w:val="center"/>
        <w:rPr>
          <w:rFonts w:eastAsia="SimSun"/>
          <w:b/>
          <w:u w:val="single"/>
        </w:rPr>
      </w:pPr>
      <w:r w:rsidRPr="008742C3">
        <w:rPr>
          <w:rFonts w:eastAsia="SimSun"/>
          <w:b/>
          <w:u w:val="single"/>
        </w:rPr>
        <w:t>INITIAL DECISION</w:t>
      </w:r>
    </w:p>
    <w:p w:rsidR="008742C3" w:rsidRPr="008742C3" w:rsidRDefault="008742C3" w:rsidP="008742C3">
      <w:pPr>
        <w:tabs>
          <w:tab w:val="clear" w:pos="1440"/>
          <w:tab w:val="left" w:pos="0"/>
        </w:tabs>
        <w:spacing w:after="0" w:line="233" w:lineRule="auto"/>
        <w:jc w:val="center"/>
        <w:rPr>
          <w:rFonts w:eastAsia="SimSun"/>
        </w:rPr>
      </w:pPr>
    </w:p>
    <w:p w:rsidR="008742C3" w:rsidRPr="008742C3" w:rsidRDefault="008742C3" w:rsidP="008742C3">
      <w:pPr>
        <w:tabs>
          <w:tab w:val="clear" w:pos="1440"/>
          <w:tab w:val="left" w:pos="0"/>
        </w:tabs>
        <w:spacing w:after="0" w:line="233" w:lineRule="auto"/>
        <w:jc w:val="center"/>
        <w:rPr>
          <w:rFonts w:eastAsia="SimSun"/>
        </w:rPr>
      </w:pPr>
    </w:p>
    <w:p w:rsidR="008742C3" w:rsidRPr="008742C3" w:rsidRDefault="008742C3" w:rsidP="008742C3">
      <w:pPr>
        <w:tabs>
          <w:tab w:val="clear" w:pos="1440"/>
          <w:tab w:val="left" w:pos="0"/>
        </w:tabs>
        <w:spacing w:after="0" w:line="233" w:lineRule="auto"/>
        <w:jc w:val="center"/>
        <w:rPr>
          <w:rFonts w:eastAsia="SimSun"/>
        </w:rPr>
      </w:pPr>
      <w:r w:rsidRPr="008742C3">
        <w:rPr>
          <w:rFonts w:eastAsia="SimSun"/>
        </w:rPr>
        <w:t>Before</w:t>
      </w:r>
    </w:p>
    <w:p w:rsidR="008742C3" w:rsidRPr="008742C3" w:rsidRDefault="008742C3" w:rsidP="008742C3">
      <w:pPr>
        <w:tabs>
          <w:tab w:val="clear" w:pos="1440"/>
          <w:tab w:val="left" w:pos="0"/>
        </w:tabs>
        <w:spacing w:after="0" w:line="233" w:lineRule="auto"/>
        <w:jc w:val="center"/>
        <w:rPr>
          <w:rFonts w:eastAsia="SimSun"/>
        </w:rPr>
      </w:pPr>
      <w:r w:rsidRPr="008742C3">
        <w:rPr>
          <w:rFonts w:eastAsia="SimSun"/>
        </w:rPr>
        <w:t>Conrad A. Johnson</w:t>
      </w:r>
    </w:p>
    <w:p w:rsidR="008742C3" w:rsidRDefault="008742C3" w:rsidP="001C2BC5">
      <w:pPr>
        <w:tabs>
          <w:tab w:val="clear" w:pos="1440"/>
          <w:tab w:val="left" w:pos="0"/>
        </w:tabs>
        <w:spacing w:after="0" w:line="480" w:lineRule="auto"/>
        <w:jc w:val="center"/>
        <w:rPr>
          <w:rFonts w:eastAsia="SimSun"/>
        </w:rPr>
      </w:pPr>
      <w:r w:rsidRPr="008742C3">
        <w:rPr>
          <w:rFonts w:eastAsia="SimSun"/>
        </w:rPr>
        <w:t>Administrative Law Judge</w:t>
      </w:r>
    </w:p>
    <w:p w:rsidR="00EB57BE" w:rsidRPr="008742C3" w:rsidRDefault="00EB57BE" w:rsidP="00EB57BE">
      <w:pPr>
        <w:tabs>
          <w:tab w:val="clear" w:pos="1440"/>
          <w:tab w:val="left" w:pos="0"/>
        </w:tabs>
        <w:spacing w:after="0" w:line="240" w:lineRule="auto"/>
        <w:jc w:val="center"/>
        <w:rPr>
          <w:rFonts w:eastAsia="SimSun"/>
        </w:rPr>
      </w:pPr>
    </w:p>
    <w:p w:rsidR="008742C3" w:rsidRPr="008742C3" w:rsidRDefault="008742C3" w:rsidP="00EB57BE">
      <w:pPr>
        <w:tabs>
          <w:tab w:val="clear" w:pos="1440"/>
          <w:tab w:val="left" w:pos="0"/>
        </w:tabs>
        <w:spacing w:after="0"/>
        <w:rPr>
          <w:rFonts w:eastAsia="SimSun"/>
        </w:rPr>
      </w:pPr>
      <w:r w:rsidRPr="008742C3">
        <w:rPr>
          <w:rFonts w:eastAsia="SimSun"/>
        </w:rPr>
        <w:tab/>
      </w:r>
      <w:r w:rsidRPr="008742C3">
        <w:rPr>
          <w:rFonts w:eastAsia="SimSun"/>
        </w:rPr>
        <w:tab/>
        <w:t>This decision dismisses the formal complaint filed in this</w:t>
      </w:r>
      <w:r w:rsidR="00E67624">
        <w:rPr>
          <w:rFonts w:eastAsia="SimSun"/>
        </w:rPr>
        <w:t xml:space="preserve"> case </w:t>
      </w:r>
      <w:r>
        <w:rPr>
          <w:rFonts w:eastAsia="SimSun"/>
        </w:rPr>
        <w:t>fo</w:t>
      </w:r>
      <w:r w:rsidR="00BE22C9">
        <w:rPr>
          <w:rFonts w:eastAsia="SimSun"/>
        </w:rPr>
        <w:t>r</w:t>
      </w:r>
      <w:r>
        <w:rPr>
          <w:rFonts w:eastAsia="SimSun"/>
        </w:rPr>
        <w:t xml:space="preserve"> Complainant’s failure to carry her burden of proof</w:t>
      </w:r>
      <w:r w:rsidRPr="008742C3">
        <w:rPr>
          <w:rFonts w:eastAsia="SimSun"/>
        </w:rPr>
        <w:t>.</w:t>
      </w:r>
    </w:p>
    <w:p w:rsidR="008742C3" w:rsidRDefault="008742C3" w:rsidP="00071816">
      <w:pPr>
        <w:spacing w:after="0"/>
        <w:jc w:val="center"/>
        <w:rPr>
          <w:u w:val="single"/>
        </w:rPr>
      </w:pPr>
    </w:p>
    <w:p w:rsidR="00382E13" w:rsidRDefault="00382E13" w:rsidP="00071816">
      <w:pPr>
        <w:spacing w:after="0"/>
        <w:jc w:val="center"/>
      </w:pPr>
      <w:r w:rsidRPr="001E7D41">
        <w:rPr>
          <w:u w:val="single"/>
        </w:rPr>
        <w:t>HISTORY OF THE PROCEEDINGS</w:t>
      </w:r>
    </w:p>
    <w:p w:rsidR="00071816" w:rsidRPr="00071816" w:rsidRDefault="00071816" w:rsidP="00071816">
      <w:pPr>
        <w:spacing w:after="0"/>
        <w:jc w:val="center"/>
      </w:pPr>
    </w:p>
    <w:p w:rsidR="00382E13" w:rsidRDefault="00382E13" w:rsidP="00071816">
      <w:pPr>
        <w:spacing w:after="0"/>
      </w:pPr>
      <w:r>
        <w:tab/>
        <w:t>Olafemi Mandley (Complainant) filed a formal complaint against Duquesne Light Company (Duquesne Light), which alleged that there were incorrect charges on her bill due to a foreign load.  Duquesne Light filed a timely answer which denied the material allegations of her complaint.</w:t>
      </w:r>
    </w:p>
    <w:p w:rsidR="00071816" w:rsidRDefault="00071816" w:rsidP="00071816">
      <w:pPr>
        <w:spacing w:after="0"/>
      </w:pPr>
    </w:p>
    <w:p w:rsidR="00382E13" w:rsidRDefault="00382E13" w:rsidP="00071816">
      <w:pPr>
        <w:spacing w:after="0"/>
      </w:pPr>
      <w:r>
        <w:tab/>
        <w:t xml:space="preserve">By hearing notice dated March 8, </w:t>
      </w:r>
      <w:proofErr w:type="gramStart"/>
      <w:r>
        <w:t>2012,</w:t>
      </w:r>
      <w:proofErr w:type="gramEnd"/>
      <w:r>
        <w:t xml:space="preserve"> this matter was assigned to me and scheduled for a hearing on April 11, 2012.  The hearing was held as scheduled.  The Complainant was self-represented and testified on her own behalf.  Duquesne Light appeared and was represented by Jennifer Allison, Esquire.  Two witnesses testified on behalf of Duquesne Light, and five exhibits were admitted into the record.  </w:t>
      </w:r>
    </w:p>
    <w:p w:rsidR="00071816" w:rsidRDefault="00071816" w:rsidP="00071816">
      <w:pPr>
        <w:spacing w:after="0"/>
      </w:pPr>
    </w:p>
    <w:p w:rsidR="00382E13" w:rsidRDefault="00382E13" w:rsidP="00071816">
      <w:pPr>
        <w:spacing w:after="0"/>
      </w:pPr>
      <w:r>
        <w:lastRenderedPageBreak/>
        <w:tab/>
        <w:t>A further hearing was held on May 21, 2012.  Additional testimony was taken from the Complainant and Duquesne Light’s witnesses and an additional exhibit was admitted into the record.  The hearing resulted in a transcript of 108 pages</w:t>
      </w:r>
      <w:r w:rsidR="00BE22C9">
        <w:t>, and</w:t>
      </w:r>
      <w:r w:rsidR="00E75003">
        <w:t xml:space="preserve"> the record was closed on June 21</w:t>
      </w:r>
      <w:r w:rsidR="00BE22C9">
        <w:t>, 2012.</w:t>
      </w:r>
    </w:p>
    <w:p w:rsidR="00071816" w:rsidRDefault="00071816" w:rsidP="00071816">
      <w:pPr>
        <w:spacing w:after="0"/>
      </w:pPr>
    </w:p>
    <w:p w:rsidR="00382E13" w:rsidRDefault="00382E13" w:rsidP="00071816">
      <w:pPr>
        <w:spacing w:after="0"/>
        <w:jc w:val="center"/>
      </w:pPr>
      <w:r w:rsidRPr="00087CE4">
        <w:rPr>
          <w:u w:val="single"/>
        </w:rPr>
        <w:t>FINDINGS OF FACT</w:t>
      </w:r>
    </w:p>
    <w:p w:rsidR="00071816" w:rsidRPr="00071816" w:rsidRDefault="00071816" w:rsidP="00071816">
      <w:pPr>
        <w:spacing w:after="0"/>
        <w:jc w:val="center"/>
      </w:pPr>
    </w:p>
    <w:p w:rsidR="00247E07" w:rsidRDefault="00247E07" w:rsidP="00071816">
      <w:pPr>
        <w:pStyle w:val="ListParagraph"/>
      </w:pPr>
      <w:r>
        <w:t>The Complainant resides at 900 Mehaffey Street, Duquesne, Pennsylvania and receives residential electricity service from Duquesne Light.  T</w:t>
      </w:r>
      <w:r w:rsidR="00BE22C9">
        <w:t>r</w:t>
      </w:r>
      <w:r>
        <w:t>. 29</w:t>
      </w:r>
      <w:r w:rsidR="00BE22C9">
        <w:t>.</w:t>
      </w:r>
    </w:p>
    <w:p w:rsidR="00071816" w:rsidRDefault="00071816" w:rsidP="00071816">
      <w:pPr>
        <w:spacing w:after="0"/>
        <w:ind w:firstLine="1440"/>
      </w:pPr>
    </w:p>
    <w:p w:rsidR="00382E13" w:rsidRDefault="00382E13" w:rsidP="00071816">
      <w:pPr>
        <w:pStyle w:val="ListParagraph"/>
      </w:pPr>
      <w:r>
        <w:t>The Complainant resides</w:t>
      </w:r>
      <w:r w:rsidR="00181658">
        <w:t xml:space="preserve"> in a </w:t>
      </w:r>
      <w:r w:rsidR="00B3594E">
        <w:t>house which has been converted to apartments.  The building</w:t>
      </w:r>
      <w:r w:rsidR="00181658">
        <w:t xml:space="preserve"> includes three living unit</w:t>
      </w:r>
      <w:r w:rsidR="008B5119">
        <w:t>s and a basement.  She lives in the third</w:t>
      </w:r>
      <w:r w:rsidR="00181658">
        <w:t xml:space="preserve"> unit</w:t>
      </w:r>
      <w:r w:rsidR="008B5119">
        <w:t>, which is on the second floor</w:t>
      </w:r>
      <w:r w:rsidR="00181658">
        <w:t xml:space="preserve">. </w:t>
      </w:r>
      <w:r w:rsidR="003C606D">
        <w:t xml:space="preserve"> </w:t>
      </w:r>
      <w:r w:rsidR="00B3594E">
        <w:t>The apartment includes two bedrooms, a living room, a dining room, kitchen and a bathroom.  It is approximately 980 square feet in size.</w:t>
      </w:r>
      <w:r w:rsidR="00181658">
        <w:t xml:space="preserve"> </w:t>
      </w:r>
      <w:r w:rsidR="003C606D">
        <w:t xml:space="preserve"> </w:t>
      </w:r>
      <w:r w:rsidR="00181658">
        <w:t>T</w:t>
      </w:r>
      <w:r w:rsidR="00BE22C9">
        <w:t>r</w:t>
      </w:r>
      <w:r w:rsidR="00181658">
        <w:t>. 13-14</w:t>
      </w:r>
      <w:r w:rsidR="00B3594E">
        <w:t>, 21</w:t>
      </w:r>
      <w:r w:rsidR="008B5119">
        <w:t>-24</w:t>
      </w:r>
      <w:r w:rsidR="00BE22C9">
        <w:t>.</w:t>
      </w:r>
    </w:p>
    <w:p w:rsidR="00071816" w:rsidRDefault="00071816" w:rsidP="00071816">
      <w:pPr>
        <w:spacing w:after="0"/>
        <w:ind w:firstLine="1440"/>
      </w:pPr>
    </w:p>
    <w:p w:rsidR="00181658" w:rsidRDefault="00181658" w:rsidP="00071816">
      <w:pPr>
        <w:pStyle w:val="ListParagraph"/>
      </w:pPr>
      <w:r>
        <w:t xml:space="preserve">The Complainant’s electric appliances include a refrigerator, electric heater, an air conditioner, a small television and a </w:t>
      </w:r>
      <w:r w:rsidR="00BE22C9">
        <w:t>personal computer</w:t>
      </w:r>
      <w:r>
        <w:t>.  T</w:t>
      </w:r>
      <w:r w:rsidR="00BE22C9">
        <w:t>r</w:t>
      </w:r>
      <w:r>
        <w:t>. 16</w:t>
      </w:r>
      <w:r w:rsidR="00BE22C9">
        <w:t>.</w:t>
      </w:r>
    </w:p>
    <w:p w:rsidR="00071816" w:rsidRDefault="00071816" w:rsidP="00071816">
      <w:pPr>
        <w:spacing w:after="0"/>
        <w:ind w:firstLine="1440"/>
      </w:pPr>
    </w:p>
    <w:p w:rsidR="00181658" w:rsidRDefault="00181658" w:rsidP="00071816">
      <w:pPr>
        <w:pStyle w:val="ListParagraph"/>
      </w:pPr>
      <w:r>
        <w:t xml:space="preserve">She primarily heats her apartment with a gas furnace. </w:t>
      </w:r>
      <w:r w:rsidR="00B3594E">
        <w:t xml:space="preserve"> She does not use </w:t>
      </w:r>
      <w:r w:rsidR="00BE22C9">
        <w:t>her</w:t>
      </w:r>
      <w:r w:rsidR="00B3594E">
        <w:t xml:space="preserve"> space heater frequently.</w:t>
      </w:r>
      <w:r>
        <w:t xml:space="preserve"> </w:t>
      </w:r>
      <w:r w:rsidR="00BE22C9">
        <w:t xml:space="preserve"> Tr</w:t>
      </w:r>
      <w:r>
        <w:t>. 16</w:t>
      </w:r>
      <w:r w:rsidR="00BE22C9">
        <w:t>.</w:t>
      </w:r>
    </w:p>
    <w:p w:rsidR="00071816" w:rsidRDefault="00071816" w:rsidP="00071816">
      <w:pPr>
        <w:spacing w:after="0"/>
        <w:ind w:firstLine="1440"/>
      </w:pPr>
    </w:p>
    <w:p w:rsidR="00181658" w:rsidRDefault="00181658" w:rsidP="00071816">
      <w:pPr>
        <w:pStyle w:val="ListParagraph"/>
      </w:pPr>
      <w:r>
        <w:t>The Complainant believed that her December 2010 bill was too high because she had been visiting relatives for the month of November and no one was in the apartment.</w:t>
      </w:r>
      <w:r w:rsidR="00FC6AF8">
        <w:t xml:space="preserve"> </w:t>
      </w:r>
      <w:r w:rsidR="00BE22C9">
        <w:t xml:space="preserve"> </w:t>
      </w:r>
      <w:r w:rsidR="00FC6AF8">
        <w:t>She also believes that her bill is high, because it is higher than the bill for one of the other units in the building.</w:t>
      </w:r>
      <w:r w:rsidR="00BE22C9">
        <w:t xml:space="preserve">  </w:t>
      </w:r>
      <w:r>
        <w:t>T</w:t>
      </w:r>
      <w:r w:rsidR="00BE22C9">
        <w:t>r</w:t>
      </w:r>
      <w:r>
        <w:t>. 14</w:t>
      </w:r>
      <w:r w:rsidR="00FC6AF8">
        <w:t>, 27</w:t>
      </w:r>
      <w:r w:rsidR="00BE22C9">
        <w:t>.</w:t>
      </w:r>
    </w:p>
    <w:p w:rsidR="00071816" w:rsidRDefault="00071816" w:rsidP="00071816">
      <w:pPr>
        <w:spacing w:after="0"/>
        <w:ind w:firstLine="1440"/>
      </w:pPr>
    </w:p>
    <w:p w:rsidR="00AC7ED4" w:rsidRDefault="00AC7ED4" w:rsidP="00071816">
      <w:pPr>
        <w:pStyle w:val="ListParagraph"/>
      </w:pPr>
      <w:r>
        <w:t>The Complainant’s apartment is significantly larger than her son’s apartmen</w:t>
      </w:r>
      <w:r w:rsidR="00BE22C9">
        <w:t>t in the building</w:t>
      </w:r>
      <w:r>
        <w:t xml:space="preserve">.  </w:t>
      </w:r>
      <w:r w:rsidR="00BE22C9">
        <w:t>Tr</w:t>
      </w:r>
      <w:r>
        <w:t>. 23-24</w:t>
      </w:r>
      <w:r w:rsidR="00BE22C9">
        <w:t>.</w:t>
      </w:r>
    </w:p>
    <w:p w:rsidR="00071816" w:rsidRDefault="00071816" w:rsidP="00071816">
      <w:pPr>
        <w:spacing w:after="0"/>
        <w:ind w:firstLine="1440"/>
      </w:pPr>
    </w:p>
    <w:p w:rsidR="002D48BD" w:rsidRDefault="0032611C" w:rsidP="002D48BD">
      <w:pPr>
        <w:pStyle w:val="ListParagraph"/>
      </w:pPr>
      <w:r>
        <w:t>There are four electricity accounts associated with 900 Mehaffey Street, inc</w:t>
      </w:r>
      <w:r w:rsidR="00BE22C9">
        <w:t xml:space="preserve">luding a house meter account.  </w:t>
      </w:r>
      <w:r>
        <w:t>T</w:t>
      </w:r>
      <w:r w:rsidR="00BE22C9">
        <w:t>r</w:t>
      </w:r>
      <w:r>
        <w:t>. 36</w:t>
      </w:r>
      <w:r w:rsidR="00BE22C9">
        <w:t>.</w:t>
      </w:r>
    </w:p>
    <w:p w:rsidR="00BE22C9" w:rsidRDefault="007039ED" w:rsidP="002D48BD">
      <w:pPr>
        <w:pStyle w:val="ListParagraph"/>
      </w:pPr>
      <w:r>
        <w:lastRenderedPageBreak/>
        <w:t xml:space="preserve">Comparing the periods of April 2010 to March 2011 and April 2011 </w:t>
      </w:r>
      <w:r w:rsidR="005735AE">
        <w:t>to</w:t>
      </w:r>
      <w:r>
        <w:t xml:space="preserve"> </w:t>
      </w:r>
    </w:p>
    <w:p w:rsidR="00181658" w:rsidRDefault="007039ED" w:rsidP="002D48BD">
      <w:pPr>
        <w:pStyle w:val="ListParagraph"/>
        <w:numPr>
          <w:ilvl w:val="0"/>
          <w:numId w:val="0"/>
        </w:numPr>
      </w:pPr>
      <w:r>
        <w:t>March 2012, the Complainant’s usage has been consistent.  Duquesne Light Ex</w:t>
      </w:r>
      <w:r w:rsidR="00BE22C9">
        <w:t xml:space="preserve">hibit </w:t>
      </w:r>
      <w:r>
        <w:t>3</w:t>
      </w:r>
      <w:r w:rsidR="00BE22C9">
        <w:t>.</w:t>
      </w:r>
    </w:p>
    <w:p w:rsidR="002D48BD" w:rsidRDefault="002D48BD" w:rsidP="002D48BD">
      <w:pPr>
        <w:pStyle w:val="ListParagraph"/>
        <w:numPr>
          <w:ilvl w:val="0"/>
          <w:numId w:val="0"/>
        </w:numPr>
      </w:pPr>
    </w:p>
    <w:p w:rsidR="007039ED" w:rsidRDefault="003423CD" w:rsidP="00071816">
      <w:pPr>
        <w:pStyle w:val="ListParagraph"/>
      </w:pPr>
      <w:r>
        <w:t>To test for a foreign load, Duquesne Light turns off all of the electric appliances to see if the meter stops running.  T</w:t>
      </w:r>
      <w:r w:rsidR="00BE22C9">
        <w:t>r</w:t>
      </w:r>
      <w:r>
        <w:t>. 53</w:t>
      </w:r>
      <w:r w:rsidR="00BE22C9">
        <w:t>.</w:t>
      </w:r>
    </w:p>
    <w:p w:rsidR="00071816" w:rsidRDefault="00071816" w:rsidP="00071816">
      <w:pPr>
        <w:spacing w:after="0"/>
      </w:pPr>
    </w:p>
    <w:p w:rsidR="003423CD" w:rsidRDefault="003423CD" w:rsidP="00071816">
      <w:pPr>
        <w:pStyle w:val="ListParagraph"/>
      </w:pPr>
      <w:r>
        <w:t>The Complainant’</w:t>
      </w:r>
      <w:r w:rsidR="00B4261D">
        <w:t xml:space="preserve">s meter was inspected </w:t>
      </w:r>
      <w:r w:rsidR="002D48BD">
        <w:t xml:space="preserve">by </w:t>
      </w:r>
      <w:r w:rsidR="00BE22C9">
        <w:t xml:space="preserve">Duquesne Light’s serviceman </w:t>
      </w:r>
      <w:r w:rsidR="00B4261D">
        <w:t>on May 11</w:t>
      </w:r>
      <w:r>
        <w:t xml:space="preserve">, 2011. </w:t>
      </w:r>
      <w:r w:rsidR="00BE22C9">
        <w:t xml:space="preserve"> </w:t>
      </w:r>
      <w:r>
        <w:t>T</w:t>
      </w:r>
      <w:r w:rsidR="00BE22C9">
        <w:t>r</w:t>
      </w:r>
      <w:r>
        <w:t>. 54; Duquesne Light Ex</w:t>
      </w:r>
      <w:r w:rsidR="00BE22C9">
        <w:t xml:space="preserve">hibit </w:t>
      </w:r>
      <w:r>
        <w:t>4</w:t>
      </w:r>
      <w:r w:rsidR="00BE22C9">
        <w:t>.</w:t>
      </w:r>
    </w:p>
    <w:p w:rsidR="00071816" w:rsidRDefault="00071816" w:rsidP="00071816">
      <w:pPr>
        <w:spacing w:after="0"/>
      </w:pPr>
    </w:p>
    <w:p w:rsidR="006236F8" w:rsidRDefault="006236F8" w:rsidP="00071816">
      <w:pPr>
        <w:pStyle w:val="ListParagraph"/>
      </w:pPr>
      <w:r>
        <w:t>The Complainant’s meter is located on the outside of the building.  T</w:t>
      </w:r>
      <w:r w:rsidR="00BE22C9">
        <w:t>r</w:t>
      </w:r>
      <w:r>
        <w:t>. 64</w:t>
      </w:r>
      <w:r w:rsidR="00BE22C9">
        <w:t>.</w:t>
      </w:r>
    </w:p>
    <w:p w:rsidR="00071816" w:rsidRDefault="00071816" w:rsidP="00071816">
      <w:pPr>
        <w:spacing w:after="0"/>
      </w:pPr>
    </w:p>
    <w:p w:rsidR="005F43E1" w:rsidRDefault="005F43E1" w:rsidP="00071816">
      <w:pPr>
        <w:pStyle w:val="ListParagraph"/>
      </w:pPr>
      <w:r>
        <w:t xml:space="preserve">However, </w:t>
      </w:r>
      <w:r w:rsidR="00BE22C9">
        <w:t>t</w:t>
      </w:r>
      <w:r>
        <w:t xml:space="preserve">he </w:t>
      </w:r>
      <w:r w:rsidR="00BE22C9">
        <w:t xml:space="preserve">serviceman </w:t>
      </w:r>
      <w:r>
        <w:t xml:space="preserve">could not check the basement in the building to verify that there was no foreign load on the meter.  </w:t>
      </w:r>
      <w:r w:rsidR="00C87C4B">
        <w:t xml:space="preserve">When </w:t>
      </w:r>
      <w:r w:rsidR="00C910D4">
        <w:t>he turned off Complainant’s appliances, t</w:t>
      </w:r>
      <w:r>
        <w:t>he meter “just about” stopped, which did not indicate a “significant” draw on the meter.  Ther</w:t>
      </w:r>
      <w:r w:rsidR="00B97C7F">
        <w:t>e</w:t>
      </w:r>
      <w:r>
        <w:t>fore, he concluded that there was no foreign load detected.  T</w:t>
      </w:r>
      <w:r w:rsidR="00C910D4">
        <w:t>r</w:t>
      </w:r>
      <w:r>
        <w:t xml:space="preserve">. </w:t>
      </w:r>
      <w:r w:rsidR="00C76976">
        <w:t>14,</w:t>
      </w:r>
      <w:r w:rsidR="00C50467">
        <w:t xml:space="preserve"> </w:t>
      </w:r>
      <w:r w:rsidR="00C76976">
        <w:t>57,</w:t>
      </w:r>
      <w:r>
        <w:t xml:space="preserve"> 67-69</w:t>
      </w:r>
      <w:r w:rsidR="00C910D4">
        <w:t>.</w:t>
      </w:r>
    </w:p>
    <w:p w:rsidR="00071816" w:rsidRDefault="00071816" w:rsidP="00071816">
      <w:pPr>
        <w:spacing w:after="0"/>
      </w:pPr>
    </w:p>
    <w:p w:rsidR="00460506" w:rsidRDefault="00C910D4" w:rsidP="00071816">
      <w:pPr>
        <w:pStyle w:val="ListParagraph"/>
      </w:pPr>
      <w:r>
        <w:t xml:space="preserve">The serviceman </w:t>
      </w:r>
      <w:r w:rsidR="00460506">
        <w:t>did not investigate the circuit breaker, because no foreign load was detected when he performed the initial testing of the Complainant’s meter.  T</w:t>
      </w:r>
      <w:r>
        <w:t>r</w:t>
      </w:r>
      <w:r w:rsidR="00460506">
        <w:t>. 57</w:t>
      </w:r>
      <w:r>
        <w:t>.</w:t>
      </w:r>
    </w:p>
    <w:p w:rsidR="00071816" w:rsidRDefault="00071816" w:rsidP="00071816">
      <w:pPr>
        <w:spacing w:after="0"/>
      </w:pPr>
    </w:p>
    <w:p w:rsidR="00CD540F" w:rsidRDefault="00CD540F" w:rsidP="00071816">
      <w:pPr>
        <w:pStyle w:val="ListParagraph"/>
      </w:pPr>
      <w:r>
        <w:t>Duquesne Light also visited the Complainant’s address on January 25, 2012 to again inspect the meter.  A message was left for the Complainant, but she did not return the call.  T</w:t>
      </w:r>
      <w:r w:rsidR="00C910D4">
        <w:t>r</w:t>
      </w:r>
      <w:r>
        <w:t>. 61</w:t>
      </w:r>
      <w:r w:rsidR="00C910D4">
        <w:t>.</w:t>
      </w:r>
    </w:p>
    <w:p w:rsidR="00071816" w:rsidRDefault="00071816" w:rsidP="00071816">
      <w:pPr>
        <w:spacing w:after="0"/>
      </w:pPr>
    </w:p>
    <w:p w:rsidR="00CD540F" w:rsidRDefault="00CD540F" w:rsidP="00071816">
      <w:pPr>
        <w:pStyle w:val="ListParagraph"/>
      </w:pPr>
      <w:r>
        <w:t xml:space="preserve">The </w:t>
      </w:r>
      <w:r w:rsidR="00C910D4">
        <w:t>serviceman</w:t>
      </w:r>
      <w:r>
        <w:t xml:space="preserve"> did a visual inspection of the meter at that time.  T</w:t>
      </w:r>
      <w:r w:rsidR="00C910D4">
        <w:t>r</w:t>
      </w:r>
      <w:r>
        <w:t>. 62</w:t>
      </w:r>
      <w:r w:rsidR="00C910D4">
        <w:t>.</w:t>
      </w:r>
    </w:p>
    <w:p w:rsidR="00071816" w:rsidRDefault="00071816" w:rsidP="00071816">
      <w:pPr>
        <w:spacing w:after="0"/>
      </w:pPr>
    </w:p>
    <w:p w:rsidR="00BF25EA" w:rsidRDefault="00BF25EA" w:rsidP="00071816">
      <w:pPr>
        <w:pStyle w:val="ListParagraph"/>
      </w:pPr>
      <w:r>
        <w:t xml:space="preserve">Another meter inspection took place on April 23, 2012.  At that time the </w:t>
      </w:r>
      <w:r w:rsidR="00C910D4">
        <w:t>servicema</w:t>
      </w:r>
      <w:r>
        <w:t>n was able to inspect the basement.  There were no appliances connected to the Complainant’s meter that did not belong there.  T</w:t>
      </w:r>
      <w:r w:rsidR="00C910D4">
        <w:t>r</w:t>
      </w:r>
      <w:r>
        <w:t>. 95; Duquesne Light Ex</w:t>
      </w:r>
      <w:r w:rsidR="00C910D4">
        <w:t>hibit</w:t>
      </w:r>
      <w:r>
        <w:t xml:space="preserve"> 6</w:t>
      </w:r>
      <w:r w:rsidR="00C910D4">
        <w:t>.</w:t>
      </w:r>
    </w:p>
    <w:p w:rsidR="00C910D4" w:rsidRDefault="00C910D4" w:rsidP="00C910D4">
      <w:pPr>
        <w:spacing w:after="0"/>
      </w:pPr>
    </w:p>
    <w:p w:rsidR="005D70F2" w:rsidRDefault="00BF25EA" w:rsidP="005D70F2">
      <w:pPr>
        <w:pStyle w:val="ListParagraph"/>
        <w:rPr>
          <w:u w:val="single"/>
        </w:rPr>
      </w:pPr>
      <w:r>
        <w:t>Only the Complainant’s appliances were connected to her meter.  T</w:t>
      </w:r>
      <w:r w:rsidR="00C910D4">
        <w:t>r</w:t>
      </w:r>
      <w:r>
        <w:t>.</w:t>
      </w:r>
      <w:r w:rsidR="00EF196E">
        <w:t> </w:t>
      </w:r>
      <w:r>
        <w:t>95</w:t>
      </w:r>
      <w:r w:rsidR="00EF196E">
        <w:noBreakHyphen/>
      </w:r>
      <w:r>
        <w:t>96</w:t>
      </w:r>
      <w:r w:rsidR="00C910D4">
        <w:t>.</w:t>
      </w:r>
    </w:p>
    <w:p w:rsidR="00FB6497" w:rsidRDefault="00FB6497" w:rsidP="0003155B">
      <w:pPr>
        <w:tabs>
          <w:tab w:val="clear" w:pos="1440"/>
        </w:tabs>
        <w:spacing w:after="0"/>
        <w:jc w:val="center"/>
      </w:pPr>
      <w:r w:rsidRPr="00FB6497">
        <w:rPr>
          <w:u w:val="single"/>
        </w:rPr>
        <w:lastRenderedPageBreak/>
        <w:t>DISCUSSION</w:t>
      </w:r>
    </w:p>
    <w:p w:rsidR="00071816" w:rsidRPr="00071816" w:rsidRDefault="00071816" w:rsidP="0003155B">
      <w:pPr>
        <w:tabs>
          <w:tab w:val="clear" w:pos="1440"/>
        </w:tabs>
        <w:spacing w:after="0"/>
        <w:jc w:val="center"/>
      </w:pPr>
    </w:p>
    <w:p w:rsidR="003D48D4" w:rsidRPr="0098528A" w:rsidRDefault="003D48D4" w:rsidP="00071816">
      <w:pPr>
        <w:tabs>
          <w:tab w:val="clear" w:pos="1440"/>
        </w:tabs>
        <w:spacing w:after="0"/>
        <w:ind w:firstLine="1440"/>
        <w:rPr>
          <w:szCs w:val="24"/>
        </w:rPr>
      </w:pPr>
      <w:r w:rsidRPr="0098528A">
        <w:rPr>
          <w:szCs w:val="24"/>
        </w:rPr>
        <w:t>In this matter, the Complainant is the party seeking affirmative relief from the Commission; therefore, she has the burden of proof.</w:t>
      </w:r>
      <w:r w:rsidRPr="0098528A">
        <w:rPr>
          <w:rStyle w:val="FootnoteReference"/>
          <w:szCs w:val="24"/>
        </w:rPr>
        <w:footnoteReference w:id="1"/>
      </w:r>
      <w:r w:rsidRPr="0098528A">
        <w:rPr>
          <w:szCs w:val="24"/>
        </w:rPr>
        <w:t xml:space="preserve">  This means that she has the duty to establish </w:t>
      </w:r>
      <w:r>
        <w:rPr>
          <w:szCs w:val="24"/>
        </w:rPr>
        <w:t>each</w:t>
      </w:r>
      <w:r w:rsidRPr="0098528A">
        <w:rPr>
          <w:szCs w:val="24"/>
        </w:rPr>
        <w:t xml:space="preserve"> fact by a preponderance of the evidence, and must show that Duquesne Light has violated the Public Utility Code or Commission regulations.</w:t>
      </w:r>
      <w:r w:rsidRPr="0098528A">
        <w:rPr>
          <w:rStyle w:val="FootnoteReference"/>
          <w:szCs w:val="24"/>
        </w:rPr>
        <w:footnoteReference w:id="2"/>
      </w:r>
      <w:r w:rsidRPr="0098528A">
        <w:rPr>
          <w:szCs w:val="24"/>
        </w:rPr>
        <w:t xml:space="preserve">  After reviewing the testimony and exhibits offered by both the Complainant and Duquesne Light, I must conclude there is no evidence that the Complainant’s meter is re</w:t>
      </w:r>
      <w:r w:rsidR="005735AE">
        <w:rPr>
          <w:szCs w:val="24"/>
        </w:rPr>
        <w:t>cording</w:t>
      </w:r>
      <w:r w:rsidRPr="0098528A">
        <w:rPr>
          <w:szCs w:val="24"/>
        </w:rPr>
        <w:t xml:space="preserve"> her consumption incorrectly.  </w:t>
      </w:r>
    </w:p>
    <w:p w:rsidR="003D48D4" w:rsidRPr="0098528A" w:rsidRDefault="003D48D4" w:rsidP="00071816">
      <w:pPr>
        <w:tabs>
          <w:tab w:val="clear" w:pos="1440"/>
        </w:tabs>
        <w:spacing w:after="0"/>
        <w:ind w:firstLine="1440"/>
        <w:rPr>
          <w:szCs w:val="24"/>
        </w:rPr>
      </w:pPr>
    </w:p>
    <w:p w:rsidR="00071816" w:rsidRDefault="003D48D4" w:rsidP="00071816">
      <w:pPr>
        <w:tabs>
          <w:tab w:val="clear" w:pos="1440"/>
        </w:tabs>
        <w:spacing w:after="0"/>
        <w:ind w:firstLine="1440"/>
        <w:rPr>
          <w:szCs w:val="24"/>
        </w:rPr>
      </w:pPr>
      <w:r w:rsidRPr="0098528A">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98528A">
        <w:rPr>
          <w:rStyle w:val="FootnoteReference"/>
          <w:szCs w:val="24"/>
        </w:rPr>
        <w:footnoteReference w:id="3"/>
      </w:r>
      <w:r w:rsidRPr="0098528A">
        <w:rPr>
          <w:szCs w:val="24"/>
        </w:rPr>
        <w:t xml:space="preserve">  The Complainant here alleges a billing dispute.  Therefore, the Complainant’s burden of proof is governed by </w:t>
      </w:r>
      <w:r w:rsidRPr="0098528A">
        <w:rPr>
          <w:i/>
          <w:szCs w:val="24"/>
        </w:rPr>
        <w:t xml:space="preserve">Waldron v. Philadelphia Electric </w:t>
      </w:r>
      <w:proofErr w:type="gramStart"/>
      <w:r w:rsidRPr="0098528A">
        <w:rPr>
          <w:i/>
          <w:szCs w:val="24"/>
        </w:rPr>
        <w:t>Co.</w:t>
      </w:r>
      <w:r w:rsidRPr="0098528A">
        <w:rPr>
          <w:szCs w:val="24"/>
          <w:vertAlign w:val="superscript"/>
        </w:rPr>
        <w:footnoteReference w:id="4"/>
      </w:r>
      <w:r w:rsidR="00C87C4B">
        <w:rPr>
          <w:szCs w:val="24"/>
        </w:rPr>
        <w:t xml:space="preserve">  In</w:t>
      </w:r>
      <w:proofErr w:type="gramEnd"/>
      <w:r w:rsidRPr="0098528A">
        <w:rPr>
          <w:szCs w:val="24"/>
        </w:rPr>
        <w:t xml:space="preserve"> </w:t>
      </w:r>
      <w:r w:rsidRPr="0098528A">
        <w:rPr>
          <w:i/>
          <w:szCs w:val="24"/>
        </w:rPr>
        <w:t>Waldron</w:t>
      </w:r>
      <w:r w:rsidRPr="0098528A">
        <w:rPr>
          <w:szCs w:val="24"/>
        </w:rPr>
        <w:t xml:space="preserve">, the Commission concluded that a complainant may establish a </w:t>
      </w:r>
      <w:r w:rsidRPr="0098528A">
        <w:rPr>
          <w:i/>
          <w:szCs w:val="24"/>
        </w:rPr>
        <w:t>prima facie</w:t>
      </w:r>
      <w:r w:rsidRPr="0098528A">
        <w:rPr>
          <w:szCs w:val="24"/>
        </w:rPr>
        <w:t xml:space="preserve"> case by showing that:  (1) the number of occupants of the household has not changed; (2) the potential for energy utilization is low; and (3) the prior billing history shows no previous abnormalities.</w:t>
      </w:r>
    </w:p>
    <w:p w:rsidR="003D48D4" w:rsidRDefault="003D48D4" w:rsidP="00071816">
      <w:pPr>
        <w:tabs>
          <w:tab w:val="clear" w:pos="1440"/>
        </w:tabs>
        <w:spacing w:after="0"/>
        <w:ind w:firstLine="1440"/>
        <w:rPr>
          <w:szCs w:val="24"/>
        </w:rPr>
      </w:pPr>
      <w:r w:rsidRPr="0098528A">
        <w:rPr>
          <w:szCs w:val="24"/>
        </w:rPr>
        <w:t xml:space="preserve">  </w:t>
      </w:r>
    </w:p>
    <w:p w:rsidR="002C6A9B" w:rsidRDefault="003D48D4" w:rsidP="00071816">
      <w:pPr>
        <w:tabs>
          <w:tab w:val="clear" w:pos="1440"/>
        </w:tabs>
        <w:spacing w:after="0"/>
        <w:ind w:firstLine="1440"/>
        <w:rPr>
          <w:szCs w:val="24"/>
        </w:rPr>
      </w:pPr>
      <w:r w:rsidRPr="0098528A">
        <w:rPr>
          <w:szCs w:val="24"/>
        </w:rPr>
        <w:t xml:space="preserve">The Commonwealth Court broadened the Commission’s ruling in </w:t>
      </w:r>
      <w:r w:rsidRPr="0098528A">
        <w:rPr>
          <w:i/>
          <w:szCs w:val="24"/>
        </w:rPr>
        <w:t>Waldron</w:t>
      </w:r>
      <w:r w:rsidRPr="0098528A">
        <w:rPr>
          <w:szCs w:val="24"/>
        </w:rPr>
        <w:t xml:space="preserve"> in </w:t>
      </w:r>
      <w:r w:rsidRPr="0098528A">
        <w:rPr>
          <w:i/>
          <w:szCs w:val="24"/>
        </w:rPr>
        <w:t xml:space="preserve">Milkie v. </w:t>
      </w:r>
      <w:r w:rsidR="00D30A13">
        <w:rPr>
          <w:i/>
          <w:szCs w:val="24"/>
        </w:rPr>
        <w:t xml:space="preserve">Pa. Pub. Util. </w:t>
      </w:r>
      <w:proofErr w:type="spellStart"/>
      <w:r w:rsidR="00D30A13">
        <w:rPr>
          <w:i/>
          <w:szCs w:val="24"/>
        </w:rPr>
        <w:t>Comm’n</w:t>
      </w:r>
      <w:proofErr w:type="spellEnd"/>
      <w:r w:rsidRPr="0098528A">
        <w:rPr>
          <w:szCs w:val="24"/>
        </w:rPr>
        <w:t>.</w:t>
      </w:r>
      <w:r w:rsidRPr="0098528A">
        <w:rPr>
          <w:szCs w:val="24"/>
          <w:vertAlign w:val="superscript"/>
        </w:rPr>
        <w:footnoteReference w:id="5"/>
      </w:r>
      <w:r w:rsidRPr="0098528A">
        <w:rPr>
          <w:szCs w:val="24"/>
        </w:rPr>
        <w:t xml:space="preserve">  The Commonwealth Court held that the Commission’s requirement that the Complainant must establish certain specific elements in order to make out a </w:t>
      </w:r>
      <w:r w:rsidRPr="0098528A">
        <w:rPr>
          <w:i/>
          <w:szCs w:val="24"/>
        </w:rPr>
        <w:t>prima facie</w:t>
      </w:r>
      <w:r w:rsidRPr="0098528A">
        <w:rPr>
          <w:szCs w:val="24"/>
        </w:rPr>
        <w:t xml:space="preserve"> case was too restrictive.  The Commonwealth Court ruled that even where the utility has presented evidence that it has tested the customer’s meter and found it to be </w:t>
      </w:r>
      <w:proofErr w:type="gramStart"/>
      <w:r w:rsidRPr="0098528A">
        <w:rPr>
          <w:szCs w:val="24"/>
        </w:rPr>
        <w:t>accurate,</w:t>
      </w:r>
      <w:proofErr w:type="gramEnd"/>
      <w:r w:rsidRPr="0098528A">
        <w:rPr>
          <w:szCs w:val="24"/>
        </w:rPr>
        <w:t xml:space="preserve"> the customer may prove his or her case by circumstantial evidence that the metered usage exceeded </w:t>
      </w:r>
      <w:r w:rsidRPr="0098528A">
        <w:rPr>
          <w:szCs w:val="24"/>
        </w:rPr>
        <w:lastRenderedPageBreak/>
        <w:t>actual usage.  Accordingly, the Commission may consider the billing history of the account, any change in usage pattern or any other relevant facts or circumstances that come to light during the proceeding.</w:t>
      </w:r>
      <w:r w:rsidRPr="0098528A">
        <w:rPr>
          <w:szCs w:val="24"/>
          <w:vertAlign w:val="superscript"/>
        </w:rPr>
        <w:footnoteReference w:id="6"/>
      </w:r>
      <w:r w:rsidRPr="0098528A">
        <w:rPr>
          <w:szCs w:val="24"/>
        </w:rPr>
        <w:t xml:space="preserve">  Further, the Commission has also held that in response to a high bill complaint, the accuracy of a meter test alone is not conclusive evidence and does not by itself mandate a finding against a complainant and in favor of a utility.</w:t>
      </w:r>
      <w:r w:rsidRPr="0098528A">
        <w:rPr>
          <w:szCs w:val="24"/>
          <w:vertAlign w:val="superscript"/>
        </w:rPr>
        <w:footnoteReference w:id="7"/>
      </w:r>
      <w:r w:rsidRPr="0098528A">
        <w:rPr>
          <w:szCs w:val="24"/>
        </w:rPr>
        <w:t xml:space="preserve">  This rule protects the complainant from dismissal because of h</w:t>
      </w:r>
      <w:r w:rsidR="00C910D4">
        <w:rPr>
          <w:szCs w:val="24"/>
        </w:rPr>
        <w:t>er</w:t>
      </w:r>
      <w:r w:rsidRPr="0098528A">
        <w:rPr>
          <w:szCs w:val="24"/>
        </w:rPr>
        <w:t xml:space="preserve"> inability to produce direct proof that the meter malfunctioned.</w:t>
      </w:r>
    </w:p>
    <w:p w:rsidR="003D48D4" w:rsidRDefault="003D48D4" w:rsidP="00071816">
      <w:pPr>
        <w:tabs>
          <w:tab w:val="clear" w:pos="1440"/>
        </w:tabs>
        <w:spacing w:after="0"/>
        <w:ind w:firstLine="1440"/>
        <w:rPr>
          <w:szCs w:val="24"/>
        </w:rPr>
      </w:pPr>
      <w:r w:rsidRPr="0098528A">
        <w:rPr>
          <w:szCs w:val="24"/>
        </w:rPr>
        <w:t xml:space="preserve"> </w:t>
      </w:r>
    </w:p>
    <w:p w:rsidR="00D844BD" w:rsidRDefault="00D844BD" w:rsidP="00071816">
      <w:pPr>
        <w:tabs>
          <w:tab w:val="clear" w:pos="1440"/>
        </w:tabs>
        <w:spacing w:after="0"/>
        <w:ind w:firstLine="1440"/>
        <w:rPr>
          <w:szCs w:val="24"/>
        </w:rPr>
      </w:pPr>
      <w:r>
        <w:rPr>
          <w:szCs w:val="24"/>
        </w:rPr>
        <w:t>Here, the Complainant alleges that there must be a foreign load on her meter because her usage is more than the usage of her son’s apartment in the same building.  She also argued that since she was absent from</w:t>
      </w:r>
      <w:r w:rsidR="008D0544">
        <w:rPr>
          <w:szCs w:val="24"/>
        </w:rPr>
        <w:t xml:space="preserve"> her</w:t>
      </w:r>
      <w:r>
        <w:rPr>
          <w:szCs w:val="24"/>
        </w:rPr>
        <w:t xml:space="preserve"> home for the large part of November 2010, her consumption should have been lower.</w:t>
      </w:r>
    </w:p>
    <w:p w:rsidR="002C6A9B" w:rsidRDefault="002C6A9B" w:rsidP="00071816">
      <w:pPr>
        <w:tabs>
          <w:tab w:val="clear" w:pos="1440"/>
        </w:tabs>
        <w:spacing w:after="0"/>
        <w:ind w:firstLine="1440"/>
        <w:rPr>
          <w:szCs w:val="24"/>
        </w:rPr>
      </w:pPr>
    </w:p>
    <w:p w:rsidR="00D844BD" w:rsidRDefault="00D844BD" w:rsidP="00071816">
      <w:pPr>
        <w:tabs>
          <w:tab w:val="clear" w:pos="1440"/>
          <w:tab w:val="left" w:pos="7290"/>
        </w:tabs>
        <w:spacing w:after="0"/>
        <w:ind w:firstLine="1440"/>
        <w:rPr>
          <w:szCs w:val="24"/>
        </w:rPr>
      </w:pPr>
      <w:r w:rsidRPr="00C94409">
        <w:rPr>
          <w:szCs w:val="24"/>
        </w:rPr>
        <w:t>Section 1529.1 of the Public Utility Code requires public utilities to place a utility account in a property owner’s name if a foreign load is discovered:</w:t>
      </w:r>
    </w:p>
    <w:p w:rsidR="002C6A9B" w:rsidRDefault="002C6A9B" w:rsidP="00071816">
      <w:pPr>
        <w:tabs>
          <w:tab w:val="clear" w:pos="1440"/>
        </w:tabs>
        <w:spacing w:after="0" w:line="240" w:lineRule="auto"/>
        <w:ind w:left="1440" w:right="1440" w:firstLine="1440"/>
        <w:rPr>
          <w:szCs w:val="24"/>
        </w:rPr>
      </w:pPr>
    </w:p>
    <w:p w:rsidR="00D844BD" w:rsidRPr="00C94409" w:rsidRDefault="00D844BD" w:rsidP="002C6A9B">
      <w:pPr>
        <w:tabs>
          <w:tab w:val="clear" w:pos="1440"/>
        </w:tabs>
        <w:spacing w:after="0" w:line="240" w:lineRule="auto"/>
        <w:ind w:left="1440" w:right="1440"/>
        <w:rPr>
          <w:szCs w:val="24"/>
        </w:rPr>
      </w:pPr>
      <w:r w:rsidRPr="00C94409">
        <w:rPr>
          <w:szCs w:val="24"/>
        </w:rPr>
        <w:t>(a) Notice to public utility.--It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D844BD" w:rsidRDefault="00D844BD" w:rsidP="00071816">
      <w:pPr>
        <w:tabs>
          <w:tab w:val="clear" w:pos="1440"/>
        </w:tabs>
        <w:spacing w:after="0" w:line="240" w:lineRule="auto"/>
        <w:ind w:left="1440" w:right="1440" w:firstLine="1440"/>
        <w:rPr>
          <w:szCs w:val="24"/>
        </w:rPr>
      </w:pPr>
    </w:p>
    <w:p w:rsidR="00D844BD" w:rsidRPr="00C94409" w:rsidRDefault="00D844BD" w:rsidP="002C6A9B">
      <w:pPr>
        <w:tabs>
          <w:tab w:val="clear" w:pos="1440"/>
        </w:tabs>
        <w:spacing w:after="0" w:line="240" w:lineRule="auto"/>
        <w:ind w:left="1440" w:right="1440"/>
        <w:rPr>
          <w:szCs w:val="24"/>
        </w:rPr>
      </w:pPr>
      <w:r w:rsidRPr="00C94409">
        <w:rPr>
          <w:szCs w:val="24"/>
        </w:rPr>
        <w:t>(b) History of account.--Upon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w:t>
      </w:r>
      <w:r>
        <w:rPr>
          <w:szCs w:val="24"/>
        </w:rPr>
        <w:t xml:space="preserve"> </w:t>
      </w:r>
      <w:r w:rsidRPr="00C94409">
        <w:rPr>
          <w:szCs w:val="24"/>
        </w:rPr>
        <w:t xml:space="preserve">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D844BD" w:rsidRPr="00C94409" w:rsidRDefault="00D844BD" w:rsidP="002C6A9B">
      <w:pPr>
        <w:tabs>
          <w:tab w:val="clear" w:pos="1440"/>
        </w:tabs>
        <w:spacing w:after="0" w:line="240" w:lineRule="auto"/>
        <w:ind w:left="1440" w:right="1440"/>
        <w:rPr>
          <w:szCs w:val="24"/>
        </w:rPr>
      </w:pPr>
      <w:r w:rsidRPr="00C94409">
        <w:rPr>
          <w:szCs w:val="24"/>
        </w:rPr>
        <w:lastRenderedPageBreak/>
        <w:t>(c) Failure to give notice.--Any owner of a residential building or mobile home park failing to notify affected public utilities as required by this section shall nonetheless be responsible for payment of the utility services as if the required notice had been given.</w:t>
      </w:r>
      <w:r w:rsidRPr="00C94409">
        <w:rPr>
          <w:rStyle w:val="FootnoteReference"/>
          <w:szCs w:val="24"/>
        </w:rPr>
        <w:footnoteReference w:id="8"/>
      </w:r>
      <w:r w:rsidRPr="00C94409">
        <w:rPr>
          <w:szCs w:val="24"/>
        </w:rPr>
        <w:t xml:space="preserve">  </w:t>
      </w:r>
    </w:p>
    <w:p w:rsidR="00D844BD" w:rsidRDefault="00D844BD" w:rsidP="00071816">
      <w:pPr>
        <w:tabs>
          <w:tab w:val="clear" w:pos="1440"/>
          <w:tab w:val="left" w:pos="7290"/>
        </w:tabs>
        <w:spacing w:after="0"/>
        <w:ind w:firstLine="1440"/>
        <w:rPr>
          <w:szCs w:val="24"/>
        </w:rPr>
      </w:pPr>
    </w:p>
    <w:p w:rsidR="00D844BD" w:rsidRDefault="00D844BD" w:rsidP="00071816">
      <w:pPr>
        <w:tabs>
          <w:tab w:val="clear" w:pos="1440"/>
          <w:tab w:val="left" w:pos="7290"/>
        </w:tabs>
        <w:spacing w:after="0"/>
        <w:ind w:firstLine="1440"/>
        <w:rPr>
          <w:szCs w:val="24"/>
        </w:rPr>
      </w:pPr>
      <w:r w:rsidRPr="00C94409">
        <w:rPr>
          <w:szCs w:val="24"/>
        </w:rPr>
        <w:t xml:space="preserve">Recently, the Commission explained the long-standing interpretation of this section which requires a property owner to be responsible not only for the current charges, but for any arrearages on the account as well.  This is true, even if the foreign load is simply an outlet or other so-called </w:t>
      </w:r>
      <w:r w:rsidRPr="00C94409">
        <w:rPr>
          <w:i/>
          <w:szCs w:val="24"/>
        </w:rPr>
        <w:t>de minimis</w:t>
      </w:r>
      <w:r w:rsidRPr="00C94409">
        <w:rPr>
          <w:szCs w:val="24"/>
        </w:rPr>
        <w:t xml:space="preserve"> load on a rental unit’s meter tha</w:t>
      </w:r>
      <w:r>
        <w:rPr>
          <w:szCs w:val="24"/>
        </w:rPr>
        <w:t>t is not part of the rental unit.</w:t>
      </w:r>
      <w:r>
        <w:rPr>
          <w:rStyle w:val="FootnoteReference"/>
          <w:szCs w:val="24"/>
        </w:rPr>
        <w:footnoteReference w:id="9"/>
      </w:r>
    </w:p>
    <w:p w:rsidR="002C6A9B" w:rsidRDefault="002C6A9B" w:rsidP="002C6A9B">
      <w:pPr>
        <w:tabs>
          <w:tab w:val="clear" w:pos="1440"/>
        </w:tabs>
        <w:spacing w:after="0"/>
        <w:ind w:firstLine="1440"/>
        <w:rPr>
          <w:szCs w:val="24"/>
        </w:rPr>
      </w:pPr>
    </w:p>
    <w:p w:rsidR="002A1C6A" w:rsidRDefault="002A1C6A" w:rsidP="00071816">
      <w:pPr>
        <w:tabs>
          <w:tab w:val="clear" w:pos="1440"/>
          <w:tab w:val="left" w:pos="7290"/>
        </w:tabs>
        <w:spacing w:after="0"/>
        <w:ind w:firstLine="1440"/>
        <w:rPr>
          <w:szCs w:val="24"/>
        </w:rPr>
      </w:pPr>
      <w:r>
        <w:rPr>
          <w:szCs w:val="24"/>
        </w:rPr>
        <w:t xml:space="preserve">There is no evidence that there are any power sources connected to the Complainant’s meter that do not belong to the Complainant.  When the Duquesne Light </w:t>
      </w:r>
      <w:r w:rsidR="00C910D4">
        <w:rPr>
          <w:szCs w:val="24"/>
        </w:rPr>
        <w:t>servicem</w:t>
      </w:r>
      <w:r>
        <w:rPr>
          <w:szCs w:val="24"/>
        </w:rPr>
        <w:t xml:space="preserve">an examined the Complainant’s meter in May 2011, he concluded that there was no foreign load on the Complainant’s meter.  His conclusion was verified by his inspection of the meter and the basement of the premises in </w:t>
      </w:r>
      <w:r w:rsidR="00F05F40">
        <w:rPr>
          <w:szCs w:val="24"/>
        </w:rPr>
        <w:t>April</w:t>
      </w:r>
      <w:bookmarkStart w:id="0" w:name="_GoBack"/>
      <w:bookmarkEnd w:id="0"/>
      <w:r>
        <w:rPr>
          <w:szCs w:val="24"/>
        </w:rPr>
        <w:t xml:space="preserve"> 2012.</w:t>
      </w:r>
    </w:p>
    <w:p w:rsidR="002C6A9B" w:rsidRDefault="002C6A9B" w:rsidP="00071816">
      <w:pPr>
        <w:tabs>
          <w:tab w:val="clear" w:pos="1440"/>
          <w:tab w:val="left" w:pos="7290"/>
        </w:tabs>
        <w:spacing w:after="0"/>
        <w:ind w:firstLine="1440"/>
        <w:rPr>
          <w:szCs w:val="24"/>
        </w:rPr>
      </w:pPr>
    </w:p>
    <w:p w:rsidR="002A1C6A" w:rsidRDefault="002A1C6A" w:rsidP="002C6A9B">
      <w:pPr>
        <w:tabs>
          <w:tab w:val="clear" w:pos="1440"/>
        </w:tabs>
        <w:spacing w:after="0"/>
        <w:ind w:firstLine="1440"/>
        <w:rPr>
          <w:szCs w:val="24"/>
        </w:rPr>
      </w:pPr>
      <w:r>
        <w:rPr>
          <w:szCs w:val="24"/>
        </w:rPr>
        <w:t>There is also no evidence that the Complainant’s meter is no</w:t>
      </w:r>
      <w:r w:rsidR="002B40E0">
        <w:rPr>
          <w:szCs w:val="24"/>
        </w:rPr>
        <w:t>t</w:t>
      </w:r>
      <w:r>
        <w:rPr>
          <w:szCs w:val="24"/>
        </w:rPr>
        <w:t xml:space="preserve"> working properly or that there has been unusual consumption on her meter.  There is no evidence that given her electrical appliances and size of her home, that she does not have the potential to use the electricity that her meter reports that she consumes.  Therefore, the Complainant has failed to carry her burden of proof, and the complaint will be dismissed.</w:t>
      </w:r>
    </w:p>
    <w:p w:rsidR="002C6A9B" w:rsidRDefault="002C6A9B" w:rsidP="002C6A9B">
      <w:pPr>
        <w:tabs>
          <w:tab w:val="clear" w:pos="1440"/>
        </w:tabs>
        <w:spacing w:after="0"/>
        <w:ind w:firstLine="1440"/>
        <w:rPr>
          <w:szCs w:val="24"/>
        </w:rPr>
      </w:pPr>
    </w:p>
    <w:p w:rsidR="002C6A9B" w:rsidRPr="002C6A9B" w:rsidRDefault="002A1C6A" w:rsidP="002C6A9B">
      <w:pPr>
        <w:tabs>
          <w:tab w:val="clear" w:pos="1440"/>
        </w:tabs>
        <w:spacing w:after="0"/>
        <w:jc w:val="center"/>
        <w:rPr>
          <w:szCs w:val="24"/>
          <w:u w:val="single"/>
        </w:rPr>
      </w:pPr>
      <w:r w:rsidRPr="002C6A9B">
        <w:rPr>
          <w:szCs w:val="24"/>
          <w:u w:val="single"/>
        </w:rPr>
        <w:t>CONCLUSION</w:t>
      </w:r>
      <w:r w:rsidR="002C6A9B" w:rsidRPr="002C6A9B">
        <w:rPr>
          <w:szCs w:val="24"/>
          <w:u w:val="single"/>
        </w:rPr>
        <w:t>S</w:t>
      </w:r>
      <w:r w:rsidRPr="002C6A9B">
        <w:rPr>
          <w:szCs w:val="24"/>
          <w:u w:val="single"/>
        </w:rPr>
        <w:t xml:space="preserve"> OF LAW</w:t>
      </w:r>
    </w:p>
    <w:p w:rsidR="002C6A9B" w:rsidRDefault="002C6A9B" w:rsidP="002C6A9B">
      <w:pPr>
        <w:tabs>
          <w:tab w:val="clear" w:pos="1440"/>
        </w:tabs>
        <w:spacing w:after="0"/>
        <w:ind w:firstLine="1440"/>
        <w:rPr>
          <w:szCs w:val="24"/>
        </w:rPr>
      </w:pPr>
    </w:p>
    <w:p w:rsidR="002A1C6A" w:rsidRDefault="002A1C6A" w:rsidP="002C6A9B">
      <w:pPr>
        <w:tabs>
          <w:tab w:val="clear" w:pos="1440"/>
        </w:tabs>
        <w:spacing w:after="0"/>
        <w:ind w:firstLine="1440"/>
        <w:rPr>
          <w:szCs w:val="24"/>
        </w:rPr>
      </w:pPr>
      <w:r>
        <w:rPr>
          <w:szCs w:val="24"/>
        </w:rPr>
        <w:t>1.</w:t>
      </w:r>
      <w:r>
        <w:rPr>
          <w:szCs w:val="24"/>
        </w:rPr>
        <w:tab/>
        <w:t>The Commission has jurisdiction over the pa</w:t>
      </w:r>
      <w:r w:rsidR="002C6A9B">
        <w:rPr>
          <w:szCs w:val="24"/>
        </w:rPr>
        <w:t>rties and the subject</w:t>
      </w:r>
      <w:r w:rsidR="002B40E0">
        <w:rPr>
          <w:szCs w:val="24"/>
        </w:rPr>
        <w:t xml:space="preserve"> </w:t>
      </w:r>
      <w:r w:rsidR="002C6A9B">
        <w:rPr>
          <w:szCs w:val="24"/>
        </w:rPr>
        <w:t xml:space="preserve">matter of </w:t>
      </w:r>
      <w:r>
        <w:rPr>
          <w:szCs w:val="24"/>
        </w:rPr>
        <w:t xml:space="preserve">this dispute.  </w:t>
      </w:r>
      <w:proofErr w:type="gramStart"/>
      <w:r>
        <w:rPr>
          <w:szCs w:val="24"/>
        </w:rPr>
        <w:t>66 Pa.C.S.</w:t>
      </w:r>
      <w:proofErr w:type="gramEnd"/>
      <w:r>
        <w:rPr>
          <w:szCs w:val="24"/>
        </w:rPr>
        <w:t xml:space="preserve"> § 701.</w:t>
      </w:r>
    </w:p>
    <w:p w:rsidR="002C6A9B" w:rsidRDefault="002C6A9B" w:rsidP="002C6A9B">
      <w:pPr>
        <w:tabs>
          <w:tab w:val="clear" w:pos="1440"/>
        </w:tabs>
        <w:spacing w:after="0"/>
        <w:ind w:firstLine="1440"/>
        <w:rPr>
          <w:szCs w:val="24"/>
        </w:rPr>
      </w:pPr>
    </w:p>
    <w:p w:rsidR="002A1C6A" w:rsidRDefault="002A1C6A" w:rsidP="002C6A9B">
      <w:pPr>
        <w:tabs>
          <w:tab w:val="clear" w:pos="1440"/>
        </w:tabs>
        <w:spacing w:after="0"/>
        <w:ind w:firstLine="1440"/>
        <w:rPr>
          <w:szCs w:val="24"/>
        </w:rPr>
      </w:pPr>
      <w:r>
        <w:rPr>
          <w:szCs w:val="24"/>
        </w:rPr>
        <w:t>2.</w:t>
      </w:r>
      <w:r>
        <w:rPr>
          <w:szCs w:val="24"/>
        </w:rPr>
        <w:tab/>
        <w:t xml:space="preserve">The Complainant bears the burden of proof.  </w:t>
      </w:r>
      <w:proofErr w:type="gramStart"/>
      <w:r>
        <w:rPr>
          <w:szCs w:val="24"/>
        </w:rPr>
        <w:t>66 Pa.C.S.</w:t>
      </w:r>
      <w:proofErr w:type="gramEnd"/>
      <w:r>
        <w:rPr>
          <w:szCs w:val="24"/>
        </w:rPr>
        <w:t xml:space="preserve"> § 332.</w:t>
      </w:r>
    </w:p>
    <w:p w:rsidR="002C6A9B" w:rsidRDefault="002A1C6A" w:rsidP="002C6A9B">
      <w:pPr>
        <w:tabs>
          <w:tab w:val="clear" w:pos="1440"/>
        </w:tabs>
        <w:spacing w:after="0"/>
        <w:ind w:firstLine="1440"/>
        <w:rPr>
          <w:szCs w:val="24"/>
        </w:rPr>
      </w:pPr>
      <w:r>
        <w:rPr>
          <w:szCs w:val="24"/>
        </w:rPr>
        <w:lastRenderedPageBreak/>
        <w:t>3.</w:t>
      </w:r>
      <w:r>
        <w:rPr>
          <w:szCs w:val="24"/>
        </w:rPr>
        <w:tab/>
        <w:t xml:space="preserve">The Complainant failed to prove that </w:t>
      </w:r>
      <w:r w:rsidRPr="0098528A">
        <w:rPr>
          <w:szCs w:val="24"/>
        </w:rPr>
        <w:t>the metered usage</w:t>
      </w:r>
      <w:r>
        <w:rPr>
          <w:szCs w:val="24"/>
        </w:rPr>
        <w:t xml:space="preserve"> recorded on her account</w:t>
      </w:r>
      <w:r w:rsidRPr="0098528A">
        <w:rPr>
          <w:szCs w:val="24"/>
        </w:rPr>
        <w:t xml:space="preserve"> exceeded actual usage.</w:t>
      </w:r>
    </w:p>
    <w:p w:rsidR="002A1C6A" w:rsidRDefault="002A1C6A" w:rsidP="002C6A9B">
      <w:pPr>
        <w:tabs>
          <w:tab w:val="clear" w:pos="1440"/>
        </w:tabs>
        <w:spacing w:after="0"/>
        <w:ind w:firstLine="1440"/>
        <w:rPr>
          <w:szCs w:val="24"/>
        </w:rPr>
      </w:pPr>
      <w:r>
        <w:rPr>
          <w:szCs w:val="24"/>
        </w:rPr>
        <w:t xml:space="preserve"> </w:t>
      </w:r>
    </w:p>
    <w:p w:rsidR="002A1C6A" w:rsidRDefault="002A1C6A" w:rsidP="003203DC">
      <w:pPr>
        <w:tabs>
          <w:tab w:val="clear" w:pos="1440"/>
        </w:tabs>
        <w:spacing w:after="0"/>
        <w:jc w:val="center"/>
        <w:rPr>
          <w:szCs w:val="24"/>
          <w:u w:val="single"/>
        </w:rPr>
      </w:pPr>
      <w:r w:rsidRPr="006A0CFB">
        <w:rPr>
          <w:szCs w:val="24"/>
          <w:u w:val="single"/>
        </w:rPr>
        <w:t>ORDER</w:t>
      </w:r>
    </w:p>
    <w:p w:rsidR="005B736B" w:rsidRPr="006A0CFB" w:rsidRDefault="005B736B" w:rsidP="002C6A9B">
      <w:pPr>
        <w:tabs>
          <w:tab w:val="clear" w:pos="1440"/>
        </w:tabs>
        <w:spacing w:after="0"/>
        <w:ind w:firstLine="1440"/>
        <w:jc w:val="center"/>
        <w:rPr>
          <w:szCs w:val="24"/>
          <w:u w:val="single"/>
        </w:rPr>
      </w:pPr>
    </w:p>
    <w:p w:rsidR="002A1C6A" w:rsidRDefault="002A1C6A" w:rsidP="00071816">
      <w:pPr>
        <w:tabs>
          <w:tab w:val="left" w:pos="2160"/>
          <w:tab w:val="left" w:pos="7290"/>
        </w:tabs>
        <w:spacing w:after="0"/>
        <w:ind w:firstLine="1440"/>
        <w:rPr>
          <w:szCs w:val="24"/>
        </w:rPr>
      </w:pPr>
    </w:p>
    <w:p w:rsidR="002A1C6A" w:rsidRDefault="002A1C6A" w:rsidP="00071816">
      <w:pPr>
        <w:tabs>
          <w:tab w:val="left" w:pos="2160"/>
          <w:tab w:val="left" w:pos="7290"/>
        </w:tabs>
        <w:spacing w:after="0"/>
        <w:ind w:firstLine="1440"/>
        <w:rPr>
          <w:szCs w:val="24"/>
        </w:rPr>
      </w:pPr>
      <w:r>
        <w:rPr>
          <w:szCs w:val="24"/>
        </w:rPr>
        <w:t>THEREFORE</w:t>
      </w:r>
      <w:r w:rsidR="00F266B4">
        <w:rPr>
          <w:szCs w:val="24"/>
        </w:rPr>
        <w:t>,</w:t>
      </w:r>
    </w:p>
    <w:p w:rsidR="002C6A9B" w:rsidRDefault="002C6A9B" w:rsidP="00071816">
      <w:pPr>
        <w:tabs>
          <w:tab w:val="left" w:pos="2160"/>
          <w:tab w:val="left" w:pos="7290"/>
        </w:tabs>
        <w:spacing w:after="0"/>
        <w:ind w:firstLine="1440"/>
        <w:rPr>
          <w:szCs w:val="24"/>
        </w:rPr>
      </w:pPr>
    </w:p>
    <w:p w:rsidR="002A1C6A" w:rsidRDefault="002A1C6A" w:rsidP="00071816">
      <w:pPr>
        <w:tabs>
          <w:tab w:val="left" w:pos="2160"/>
          <w:tab w:val="left" w:pos="7290"/>
        </w:tabs>
        <w:spacing w:after="0"/>
        <w:ind w:firstLine="1440"/>
        <w:rPr>
          <w:szCs w:val="24"/>
        </w:rPr>
      </w:pPr>
      <w:r>
        <w:rPr>
          <w:szCs w:val="24"/>
        </w:rPr>
        <w:t>IT IS ORDERED:</w:t>
      </w:r>
    </w:p>
    <w:p w:rsidR="002C6A9B" w:rsidRDefault="002C6A9B" w:rsidP="00071816">
      <w:pPr>
        <w:tabs>
          <w:tab w:val="left" w:pos="2160"/>
          <w:tab w:val="left" w:pos="7290"/>
        </w:tabs>
        <w:spacing w:after="0"/>
        <w:ind w:firstLine="1440"/>
        <w:rPr>
          <w:szCs w:val="24"/>
        </w:rPr>
      </w:pPr>
    </w:p>
    <w:p w:rsidR="002A1C6A" w:rsidRDefault="002A1C6A" w:rsidP="002C6A9B">
      <w:pPr>
        <w:tabs>
          <w:tab w:val="clear" w:pos="1440"/>
        </w:tabs>
        <w:spacing w:after="0"/>
        <w:ind w:firstLine="1440"/>
        <w:rPr>
          <w:szCs w:val="24"/>
        </w:rPr>
      </w:pPr>
      <w:r>
        <w:rPr>
          <w:szCs w:val="24"/>
        </w:rPr>
        <w:t>1.</w:t>
      </w:r>
      <w:r>
        <w:rPr>
          <w:szCs w:val="24"/>
        </w:rPr>
        <w:tab/>
        <w:t xml:space="preserve">That the complaint of Olafemi Mandley </w:t>
      </w:r>
      <w:r w:rsidR="00C910D4">
        <w:rPr>
          <w:szCs w:val="24"/>
        </w:rPr>
        <w:t xml:space="preserve">filed against Duquesne Light Company at </w:t>
      </w:r>
      <w:r>
        <w:rPr>
          <w:szCs w:val="24"/>
        </w:rPr>
        <w:t>Docket No. F-2012-2282175 is dismissed.</w:t>
      </w:r>
    </w:p>
    <w:p w:rsidR="002C6A9B" w:rsidRDefault="002C6A9B" w:rsidP="002C6A9B">
      <w:pPr>
        <w:tabs>
          <w:tab w:val="clear" w:pos="1440"/>
        </w:tabs>
        <w:spacing w:after="0"/>
        <w:ind w:firstLine="1440"/>
        <w:rPr>
          <w:szCs w:val="24"/>
        </w:rPr>
      </w:pPr>
    </w:p>
    <w:p w:rsidR="002A1C6A" w:rsidRPr="00C94409" w:rsidRDefault="002A1C6A" w:rsidP="002C6A9B">
      <w:pPr>
        <w:tabs>
          <w:tab w:val="clear" w:pos="1440"/>
        </w:tabs>
        <w:spacing w:after="0"/>
        <w:ind w:firstLine="1440"/>
        <w:rPr>
          <w:szCs w:val="24"/>
        </w:rPr>
      </w:pPr>
      <w:r>
        <w:rPr>
          <w:szCs w:val="24"/>
        </w:rPr>
        <w:t>2.</w:t>
      </w:r>
      <w:r w:rsidR="002C6A9B">
        <w:rPr>
          <w:szCs w:val="24"/>
        </w:rPr>
        <w:tab/>
      </w:r>
      <w:r>
        <w:rPr>
          <w:szCs w:val="24"/>
        </w:rPr>
        <w:t xml:space="preserve">That the Secretary shall mark </w:t>
      </w:r>
      <w:r w:rsidR="00C910D4">
        <w:rPr>
          <w:szCs w:val="24"/>
        </w:rPr>
        <w:t xml:space="preserve">Docket No. F-2012-2282175 </w:t>
      </w:r>
      <w:r>
        <w:rPr>
          <w:szCs w:val="24"/>
        </w:rPr>
        <w:t>closed.</w:t>
      </w:r>
    </w:p>
    <w:p w:rsidR="00D844BD" w:rsidRDefault="00D844BD" w:rsidP="00071816">
      <w:pPr>
        <w:spacing w:after="0"/>
        <w:ind w:firstLine="1440"/>
        <w:rPr>
          <w:szCs w:val="24"/>
        </w:rPr>
      </w:pPr>
    </w:p>
    <w:p w:rsidR="00A50C37" w:rsidRPr="009E7B03" w:rsidRDefault="00A50C37" w:rsidP="00A50C37">
      <w:pPr>
        <w:tabs>
          <w:tab w:val="left" w:pos="0"/>
        </w:tabs>
        <w:spacing w:after="0"/>
        <w:contextualSpacing/>
        <w:jc w:val="both"/>
        <w:rPr>
          <w:rFonts w:eastAsia="Calibri"/>
          <w:szCs w:val="24"/>
        </w:rPr>
      </w:pPr>
    </w:p>
    <w:p w:rsidR="00CF4EBF" w:rsidRDefault="00A50C37" w:rsidP="00CF4EBF">
      <w:pPr>
        <w:tabs>
          <w:tab w:val="left" w:pos="0"/>
        </w:tabs>
        <w:spacing w:after="0" w:line="240" w:lineRule="auto"/>
        <w:contextualSpacing/>
        <w:jc w:val="both"/>
        <w:rPr>
          <w:rFonts w:eastAsia="Calibri"/>
          <w:szCs w:val="24"/>
          <w:u w:val="single"/>
        </w:rPr>
      </w:pPr>
      <w:r w:rsidRPr="009E7B03">
        <w:rPr>
          <w:rFonts w:eastAsia="Calibri"/>
          <w:szCs w:val="24"/>
        </w:rPr>
        <w:t xml:space="preserve">Date:  </w:t>
      </w:r>
      <w:r w:rsidRPr="00CA4284">
        <w:rPr>
          <w:rFonts w:eastAsia="Calibri"/>
          <w:szCs w:val="24"/>
          <w:u w:val="single"/>
        </w:rPr>
        <w:t xml:space="preserve">December </w:t>
      </w:r>
      <w:r w:rsidR="00C910D4">
        <w:rPr>
          <w:rFonts w:eastAsia="Calibri"/>
          <w:szCs w:val="24"/>
          <w:u w:val="single"/>
        </w:rPr>
        <w:t>22</w:t>
      </w:r>
      <w:r>
        <w:rPr>
          <w:rFonts w:eastAsia="Calibri"/>
          <w:szCs w:val="24"/>
          <w:u w:val="single"/>
        </w:rPr>
        <w:t>, 2014</w:t>
      </w:r>
      <w:r w:rsidRPr="009E7B03">
        <w:rPr>
          <w:rFonts w:eastAsia="Calibri"/>
          <w:szCs w:val="24"/>
        </w:rPr>
        <w:tab/>
      </w:r>
      <w:r w:rsidRPr="009E7B03">
        <w:rPr>
          <w:rFonts w:eastAsia="Calibri"/>
          <w:szCs w:val="24"/>
        </w:rPr>
        <w:tab/>
      </w:r>
      <w:r w:rsidRPr="009E7B03">
        <w:rPr>
          <w:rFonts w:eastAsia="Calibri"/>
          <w:szCs w:val="24"/>
        </w:rPr>
        <w:tab/>
      </w:r>
      <w:r w:rsidRPr="009E7B03">
        <w:rPr>
          <w:rFonts w:eastAsia="Calibri"/>
          <w:szCs w:val="24"/>
        </w:rPr>
        <w:tab/>
      </w:r>
      <w:r w:rsidR="00EF196E">
        <w:rPr>
          <w:rFonts w:eastAsia="Calibri"/>
          <w:szCs w:val="24"/>
        </w:rPr>
        <w:tab/>
      </w:r>
      <w:r w:rsidRPr="009E7B03">
        <w:rPr>
          <w:rFonts w:eastAsia="Calibri"/>
          <w:szCs w:val="24"/>
          <w:u w:val="single"/>
        </w:rPr>
        <w:tab/>
      </w:r>
      <w:r w:rsidRPr="009E7B03">
        <w:rPr>
          <w:rFonts w:eastAsia="Calibri"/>
          <w:szCs w:val="24"/>
          <w:u w:val="single"/>
        </w:rPr>
        <w:tab/>
        <w:t>/s/</w:t>
      </w:r>
      <w:r w:rsidRPr="009E7B03">
        <w:rPr>
          <w:rFonts w:eastAsia="Calibri"/>
          <w:szCs w:val="24"/>
          <w:u w:val="single"/>
        </w:rPr>
        <w:tab/>
      </w:r>
      <w:r w:rsidRPr="009E7B03">
        <w:rPr>
          <w:rFonts w:eastAsia="Calibri"/>
          <w:szCs w:val="24"/>
          <w:u w:val="single"/>
        </w:rPr>
        <w:tab/>
      </w:r>
      <w:r w:rsidRPr="009E7B03">
        <w:rPr>
          <w:rFonts w:eastAsia="Calibri"/>
          <w:szCs w:val="24"/>
          <w:u w:val="single"/>
        </w:rPr>
        <w:tab/>
      </w:r>
    </w:p>
    <w:p w:rsidR="00A50C37" w:rsidRPr="009E7B03" w:rsidRDefault="00CF4EBF" w:rsidP="00CF4EBF">
      <w:pPr>
        <w:tabs>
          <w:tab w:val="left" w:pos="0"/>
        </w:tabs>
        <w:spacing w:after="0" w:line="240" w:lineRule="auto"/>
        <w:contextualSpacing/>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EF196E">
        <w:rPr>
          <w:rFonts w:eastAsia="Calibri"/>
          <w:szCs w:val="24"/>
        </w:rPr>
        <w:tab/>
      </w:r>
      <w:r w:rsidR="00A50C37" w:rsidRPr="009E7B03">
        <w:rPr>
          <w:rFonts w:eastAsia="Calibri"/>
          <w:szCs w:val="24"/>
        </w:rPr>
        <w:t>Conrad A. Johnson</w:t>
      </w:r>
    </w:p>
    <w:p w:rsidR="00A50C37" w:rsidRDefault="00A50C37" w:rsidP="00A50C37">
      <w:pPr>
        <w:tabs>
          <w:tab w:val="left" w:pos="0"/>
        </w:tabs>
        <w:spacing w:after="0"/>
        <w:contextualSpacing/>
        <w:jc w:val="both"/>
        <w:rPr>
          <w:rFonts w:eastAsia="Calibri"/>
          <w:szCs w:val="24"/>
        </w:rPr>
      </w:pPr>
      <w:r w:rsidRPr="009E7B03">
        <w:rPr>
          <w:rFonts w:eastAsia="Calibri"/>
          <w:szCs w:val="24"/>
        </w:rPr>
        <w:tab/>
      </w:r>
      <w:r w:rsidRPr="009E7B03">
        <w:rPr>
          <w:rFonts w:eastAsia="Calibri"/>
          <w:szCs w:val="24"/>
        </w:rPr>
        <w:tab/>
      </w:r>
      <w:r w:rsidRPr="009E7B03">
        <w:rPr>
          <w:rFonts w:eastAsia="Calibri"/>
          <w:szCs w:val="24"/>
        </w:rPr>
        <w:tab/>
      </w:r>
      <w:r w:rsidRPr="009E7B03">
        <w:rPr>
          <w:rFonts w:eastAsia="Calibri"/>
          <w:szCs w:val="24"/>
        </w:rPr>
        <w:tab/>
      </w:r>
      <w:r w:rsidRPr="009E7B03">
        <w:rPr>
          <w:rFonts w:eastAsia="Calibri"/>
          <w:szCs w:val="24"/>
        </w:rPr>
        <w:tab/>
      </w:r>
      <w:r w:rsidRPr="009E7B03">
        <w:rPr>
          <w:rFonts w:eastAsia="Calibri"/>
          <w:szCs w:val="24"/>
        </w:rPr>
        <w:tab/>
      </w:r>
      <w:r w:rsidRPr="009E7B03">
        <w:rPr>
          <w:rFonts w:eastAsia="Calibri"/>
          <w:szCs w:val="24"/>
        </w:rPr>
        <w:tab/>
        <w:t>Administrative Law Judge</w:t>
      </w:r>
    </w:p>
    <w:p w:rsidR="00A50C37" w:rsidRDefault="00A50C37" w:rsidP="00A50C37">
      <w:pPr>
        <w:tabs>
          <w:tab w:val="left" w:pos="0"/>
        </w:tabs>
        <w:jc w:val="both"/>
        <w:rPr>
          <w:rFonts w:eastAsia="Calibri"/>
          <w:szCs w:val="24"/>
        </w:rPr>
      </w:pPr>
    </w:p>
    <w:p w:rsidR="003D48D4" w:rsidRPr="00FB6497" w:rsidRDefault="003D48D4" w:rsidP="00A50C37">
      <w:pPr>
        <w:tabs>
          <w:tab w:val="clear" w:pos="1440"/>
        </w:tabs>
        <w:spacing w:after="0"/>
      </w:pPr>
    </w:p>
    <w:sectPr w:rsidR="003D48D4" w:rsidRPr="00FB6497" w:rsidSect="008009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B4D" w:rsidRDefault="00E25B4D" w:rsidP="003D48D4">
      <w:pPr>
        <w:spacing w:after="0" w:line="240" w:lineRule="auto"/>
      </w:pPr>
      <w:r>
        <w:separator/>
      </w:r>
    </w:p>
  </w:endnote>
  <w:endnote w:type="continuationSeparator" w:id="0">
    <w:p w:rsidR="00E25B4D" w:rsidRDefault="00E25B4D" w:rsidP="003D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084553"/>
      <w:docPartObj>
        <w:docPartGallery w:val="Page Numbers (Bottom of Page)"/>
        <w:docPartUnique/>
      </w:docPartObj>
    </w:sdtPr>
    <w:sdtEndPr>
      <w:rPr>
        <w:noProof/>
        <w:sz w:val="20"/>
      </w:rPr>
    </w:sdtEndPr>
    <w:sdtContent>
      <w:p w:rsidR="0080093B" w:rsidRPr="003203DC" w:rsidRDefault="0080093B">
        <w:pPr>
          <w:pStyle w:val="Footer"/>
          <w:jc w:val="center"/>
          <w:rPr>
            <w:sz w:val="20"/>
          </w:rPr>
        </w:pPr>
        <w:r w:rsidRPr="003203DC">
          <w:rPr>
            <w:sz w:val="20"/>
          </w:rPr>
          <w:fldChar w:fldCharType="begin"/>
        </w:r>
        <w:r w:rsidRPr="003203DC">
          <w:rPr>
            <w:sz w:val="20"/>
          </w:rPr>
          <w:instrText xml:space="preserve"> PAGE   \* MERGEFORMAT </w:instrText>
        </w:r>
        <w:r w:rsidRPr="003203DC">
          <w:rPr>
            <w:sz w:val="20"/>
          </w:rPr>
          <w:fldChar w:fldCharType="separate"/>
        </w:r>
        <w:r w:rsidR="00F05F40">
          <w:rPr>
            <w:noProof/>
            <w:sz w:val="20"/>
          </w:rPr>
          <w:t>6</w:t>
        </w:r>
        <w:r w:rsidRPr="003203DC">
          <w:rPr>
            <w:noProof/>
            <w:sz w:val="20"/>
          </w:rPr>
          <w:fldChar w:fldCharType="end"/>
        </w:r>
      </w:p>
    </w:sdtContent>
  </w:sdt>
  <w:p w:rsidR="0080093B" w:rsidRDefault="00800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B4D" w:rsidRDefault="00E25B4D" w:rsidP="003D48D4">
      <w:pPr>
        <w:spacing w:after="0" w:line="240" w:lineRule="auto"/>
      </w:pPr>
      <w:r>
        <w:separator/>
      </w:r>
    </w:p>
  </w:footnote>
  <w:footnote w:type="continuationSeparator" w:id="0">
    <w:p w:rsidR="00E25B4D" w:rsidRDefault="00E25B4D" w:rsidP="003D48D4">
      <w:pPr>
        <w:spacing w:after="0" w:line="240" w:lineRule="auto"/>
      </w:pPr>
      <w:r>
        <w:continuationSeparator/>
      </w:r>
    </w:p>
  </w:footnote>
  <w:footnote w:id="1">
    <w:p w:rsidR="003D48D4" w:rsidRDefault="003D48D4" w:rsidP="00071816">
      <w:pPr>
        <w:pStyle w:val="FootnoteText"/>
        <w:spacing w:after="0"/>
        <w:ind w:firstLine="720"/>
      </w:pPr>
      <w:r>
        <w:rPr>
          <w:rStyle w:val="FootnoteReference"/>
        </w:rPr>
        <w:footnoteRef/>
      </w:r>
      <w:r>
        <w:t xml:space="preserve"> </w:t>
      </w:r>
      <w:r>
        <w:tab/>
      </w:r>
      <w:proofErr w:type="gramStart"/>
      <w:r>
        <w:t>66 Pa.C.S.</w:t>
      </w:r>
      <w:proofErr w:type="gramEnd"/>
      <w:r>
        <w:t xml:space="preserve"> § 332(a).</w:t>
      </w:r>
    </w:p>
    <w:p w:rsidR="00071816" w:rsidRDefault="00071816" w:rsidP="00071816">
      <w:pPr>
        <w:pStyle w:val="FootnoteText"/>
        <w:spacing w:after="0"/>
        <w:ind w:firstLine="720"/>
      </w:pPr>
    </w:p>
  </w:footnote>
  <w:footnote w:id="2">
    <w:p w:rsidR="003D48D4" w:rsidRDefault="003D48D4" w:rsidP="002C6A9B">
      <w:pPr>
        <w:pStyle w:val="FootnoteText"/>
        <w:spacing w:after="0"/>
        <w:ind w:firstLine="720"/>
      </w:pPr>
      <w:r>
        <w:rPr>
          <w:rStyle w:val="FootnoteReference"/>
        </w:rPr>
        <w:footnoteRef/>
      </w:r>
      <w:r>
        <w:t xml:space="preserve"> </w:t>
      </w:r>
      <w:r>
        <w:tab/>
      </w:r>
      <w:proofErr w:type="gramStart"/>
      <w:r>
        <w:rPr>
          <w:i/>
        </w:rPr>
        <w:t>Se-Ling Hosiery, Inc. v. Margulies</w:t>
      </w:r>
      <w:r>
        <w:t xml:space="preserve">, 70 A.2d 854 (Pa. 1950); </w:t>
      </w:r>
      <w:r>
        <w:rPr>
          <w:i/>
        </w:rPr>
        <w:t>Feinstein v. Philadelphia Suburban Water Company</w:t>
      </w:r>
      <w:r>
        <w:t>, 50 Pa. PUC 300 (1976).</w:t>
      </w:r>
      <w:proofErr w:type="gramEnd"/>
    </w:p>
    <w:p w:rsidR="002C6A9B" w:rsidRDefault="002C6A9B" w:rsidP="002C6A9B">
      <w:pPr>
        <w:pStyle w:val="FootnoteText"/>
        <w:spacing w:after="0"/>
        <w:ind w:firstLine="720"/>
      </w:pPr>
    </w:p>
  </w:footnote>
  <w:footnote w:id="3">
    <w:p w:rsidR="003D48D4" w:rsidRDefault="003D48D4" w:rsidP="002C6A9B">
      <w:pPr>
        <w:pStyle w:val="FootnoteText"/>
        <w:spacing w:after="0"/>
        <w:ind w:firstLine="720"/>
      </w:pPr>
      <w:r>
        <w:rPr>
          <w:rStyle w:val="FootnoteReference"/>
        </w:rPr>
        <w:footnoteRef/>
      </w:r>
      <w:r>
        <w:t xml:space="preserve"> </w:t>
      </w:r>
      <w:r>
        <w:tab/>
      </w:r>
      <w:proofErr w:type="gramStart"/>
      <w:r>
        <w:t>66 Pa.C.S.</w:t>
      </w:r>
      <w:proofErr w:type="gramEnd"/>
      <w:r>
        <w:t xml:space="preserve"> § 701.</w:t>
      </w:r>
    </w:p>
    <w:p w:rsidR="002C6A9B" w:rsidRDefault="002C6A9B" w:rsidP="002C6A9B">
      <w:pPr>
        <w:pStyle w:val="FootnoteText"/>
        <w:spacing w:after="0"/>
        <w:ind w:firstLine="720"/>
      </w:pPr>
    </w:p>
  </w:footnote>
  <w:footnote w:id="4">
    <w:p w:rsidR="003D48D4" w:rsidRDefault="003D48D4" w:rsidP="007C4CE6">
      <w:pPr>
        <w:pStyle w:val="FootnoteText"/>
        <w:spacing w:after="0"/>
        <w:ind w:firstLine="720"/>
      </w:pPr>
      <w:r>
        <w:rPr>
          <w:rStyle w:val="FootnoteReference"/>
        </w:rPr>
        <w:footnoteRef/>
      </w:r>
      <w:r>
        <w:t xml:space="preserve"> </w:t>
      </w:r>
      <w:r>
        <w:tab/>
      </w:r>
      <w:proofErr w:type="gramStart"/>
      <w:r>
        <w:t>54 Pa. PUC 98 (1980) (</w:t>
      </w:r>
      <w:r w:rsidRPr="00515E96">
        <w:rPr>
          <w:i/>
        </w:rPr>
        <w:t>Waldron</w:t>
      </w:r>
      <w:r>
        <w:t>).</w:t>
      </w:r>
      <w:proofErr w:type="gramEnd"/>
    </w:p>
    <w:p w:rsidR="003D48D4" w:rsidRDefault="003D48D4" w:rsidP="007C4CE6">
      <w:pPr>
        <w:pStyle w:val="FootnoteText"/>
        <w:spacing w:after="0"/>
      </w:pPr>
    </w:p>
  </w:footnote>
  <w:footnote w:id="5">
    <w:p w:rsidR="003D48D4" w:rsidRDefault="003D48D4" w:rsidP="002C6A9B">
      <w:pPr>
        <w:pStyle w:val="FootnoteText"/>
        <w:spacing w:after="0"/>
        <w:ind w:left="720"/>
      </w:pPr>
      <w:r>
        <w:rPr>
          <w:rStyle w:val="FootnoteReference"/>
        </w:rPr>
        <w:footnoteRef/>
      </w:r>
      <w:r>
        <w:t xml:space="preserve"> </w:t>
      </w:r>
      <w:r>
        <w:tab/>
      </w:r>
      <w:proofErr w:type="gramStart"/>
      <w:r>
        <w:t>768 A.2d 1217 (Pa.Cmwlth. 2001) (</w:t>
      </w:r>
      <w:r>
        <w:rPr>
          <w:i/>
        </w:rPr>
        <w:t>Milkie</w:t>
      </w:r>
      <w:r>
        <w:t>).</w:t>
      </w:r>
      <w:proofErr w:type="gramEnd"/>
      <w:r>
        <w:t xml:space="preserve">  </w:t>
      </w:r>
    </w:p>
  </w:footnote>
  <w:footnote w:id="6">
    <w:p w:rsidR="002C6A9B" w:rsidRDefault="003D48D4" w:rsidP="002C6A9B">
      <w:pPr>
        <w:pStyle w:val="FootnoteText"/>
        <w:spacing w:after="0"/>
        <w:ind w:firstLine="720"/>
      </w:pPr>
      <w:r>
        <w:rPr>
          <w:rStyle w:val="FootnoteReference"/>
        </w:rPr>
        <w:footnoteRef/>
      </w:r>
      <w:r>
        <w:t xml:space="preserve"> </w:t>
      </w:r>
      <w:r>
        <w:tab/>
      </w:r>
      <w:r>
        <w:rPr>
          <w:i/>
        </w:rPr>
        <w:t>Bennett v. Peoples Natural Gas Co.</w:t>
      </w:r>
      <w:r>
        <w:t xml:space="preserve">, Docket No. C-2009-2122979 (Order entered October 13, 2010); </w:t>
      </w:r>
      <w:r>
        <w:rPr>
          <w:i/>
        </w:rPr>
        <w:t>Thomas v. PECO Energy Co.,</w:t>
      </w:r>
      <w:r>
        <w:t xml:space="preserve"> Docket No. C-2010-2187197 (Order entered November 15, 2011).</w:t>
      </w:r>
    </w:p>
    <w:p w:rsidR="003D48D4" w:rsidRDefault="003D48D4" w:rsidP="002C6A9B">
      <w:pPr>
        <w:pStyle w:val="FootnoteText"/>
        <w:spacing w:after="0"/>
        <w:ind w:firstLine="720"/>
      </w:pPr>
      <w:r>
        <w:t xml:space="preserve"> </w:t>
      </w:r>
    </w:p>
  </w:footnote>
  <w:footnote w:id="7">
    <w:p w:rsidR="003D48D4" w:rsidRDefault="003D48D4" w:rsidP="002C6A9B">
      <w:pPr>
        <w:pStyle w:val="FootnoteText"/>
        <w:spacing w:after="0"/>
        <w:ind w:firstLine="720"/>
      </w:pPr>
      <w:r>
        <w:rPr>
          <w:rStyle w:val="FootnoteReference"/>
        </w:rPr>
        <w:footnoteRef/>
      </w:r>
      <w:r>
        <w:t xml:space="preserve"> </w:t>
      </w:r>
      <w:r>
        <w:tab/>
      </w:r>
      <w:proofErr w:type="gramStart"/>
      <w:r>
        <w:rPr>
          <w:i/>
        </w:rPr>
        <w:t xml:space="preserve">Bennett, </w:t>
      </w:r>
      <w:r>
        <w:t>Slip op. at 7.</w:t>
      </w:r>
      <w:proofErr w:type="gramEnd"/>
    </w:p>
  </w:footnote>
  <w:footnote w:id="8">
    <w:p w:rsidR="00D844BD" w:rsidRDefault="00D844BD" w:rsidP="002C6A9B">
      <w:pPr>
        <w:pStyle w:val="FootnoteText"/>
        <w:spacing w:after="0"/>
        <w:ind w:firstLine="720"/>
      </w:pPr>
      <w:r>
        <w:rPr>
          <w:rStyle w:val="FootnoteReference"/>
        </w:rPr>
        <w:footnoteRef/>
      </w:r>
      <w:r>
        <w:t xml:space="preserve">  </w:t>
      </w:r>
      <w:r>
        <w:tab/>
      </w:r>
      <w:proofErr w:type="gramStart"/>
      <w:r>
        <w:t>66 Pa.C.S.</w:t>
      </w:r>
      <w:proofErr w:type="gramEnd"/>
      <w:r>
        <w:t xml:space="preserve"> § 1529.1.</w:t>
      </w:r>
    </w:p>
    <w:p w:rsidR="002C6A9B" w:rsidRDefault="002C6A9B" w:rsidP="002C6A9B">
      <w:pPr>
        <w:pStyle w:val="FootnoteText"/>
        <w:spacing w:after="0"/>
        <w:ind w:firstLine="720"/>
      </w:pPr>
    </w:p>
  </w:footnote>
  <w:footnote w:id="9">
    <w:p w:rsidR="00D844BD" w:rsidRDefault="00D844BD" w:rsidP="002C6A9B">
      <w:pPr>
        <w:pStyle w:val="FootnoteText"/>
        <w:spacing w:after="0"/>
        <w:ind w:firstLine="720"/>
      </w:pPr>
      <w:r>
        <w:rPr>
          <w:rStyle w:val="FootnoteReference"/>
        </w:rPr>
        <w:footnoteRef/>
      </w:r>
      <w:r>
        <w:t xml:space="preserve">  </w:t>
      </w:r>
      <w:r>
        <w:tab/>
      </w:r>
      <w:proofErr w:type="gramStart"/>
      <w:r>
        <w:rPr>
          <w:i/>
        </w:rPr>
        <w:t>Kopf v. PECO Energy Company</w:t>
      </w:r>
      <w:r>
        <w:t>, PUC Docket No.</w:t>
      </w:r>
      <w:proofErr w:type="gramEnd"/>
      <w:r>
        <w:t xml:space="preserve"> </w:t>
      </w:r>
      <w:proofErr w:type="gramStart"/>
      <w:r>
        <w:t>C-2012-2332993 (Opinion and Order entered June 13, 2013), slip op. at 9</w:t>
      </w:r>
      <w:r>
        <w:rPr>
          <w:sz w:val="26"/>
          <w:szCs w:val="26"/>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ECAC4E"/>
    <w:lvl w:ilvl="0">
      <w:start w:val="1"/>
      <w:numFmt w:val="decimal"/>
      <w:lvlText w:val="%1."/>
      <w:lvlJc w:val="left"/>
      <w:pPr>
        <w:tabs>
          <w:tab w:val="num" w:pos="1800"/>
        </w:tabs>
        <w:ind w:left="1800" w:hanging="360"/>
      </w:pPr>
    </w:lvl>
  </w:abstractNum>
  <w:abstractNum w:abstractNumId="1">
    <w:nsid w:val="FFFFFF7D"/>
    <w:multiLevelType w:val="singleLevel"/>
    <w:tmpl w:val="D400BA4A"/>
    <w:lvl w:ilvl="0">
      <w:start w:val="1"/>
      <w:numFmt w:val="decimal"/>
      <w:lvlText w:val="%1."/>
      <w:lvlJc w:val="left"/>
      <w:pPr>
        <w:tabs>
          <w:tab w:val="num" w:pos="1440"/>
        </w:tabs>
        <w:ind w:left="1440" w:hanging="360"/>
      </w:pPr>
    </w:lvl>
  </w:abstractNum>
  <w:abstractNum w:abstractNumId="2">
    <w:nsid w:val="FFFFFF7E"/>
    <w:multiLevelType w:val="singleLevel"/>
    <w:tmpl w:val="899240D6"/>
    <w:lvl w:ilvl="0">
      <w:start w:val="1"/>
      <w:numFmt w:val="decimal"/>
      <w:lvlText w:val="%1."/>
      <w:lvlJc w:val="left"/>
      <w:pPr>
        <w:tabs>
          <w:tab w:val="num" w:pos="1080"/>
        </w:tabs>
        <w:ind w:left="1080" w:hanging="360"/>
      </w:pPr>
    </w:lvl>
  </w:abstractNum>
  <w:abstractNum w:abstractNumId="3">
    <w:nsid w:val="FFFFFF7F"/>
    <w:multiLevelType w:val="singleLevel"/>
    <w:tmpl w:val="91E6B13A"/>
    <w:lvl w:ilvl="0">
      <w:start w:val="1"/>
      <w:numFmt w:val="decimal"/>
      <w:lvlText w:val="%1."/>
      <w:lvlJc w:val="left"/>
      <w:pPr>
        <w:tabs>
          <w:tab w:val="num" w:pos="720"/>
        </w:tabs>
        <w:ind w:left="720" w:hanging="360"/>
      </w:pPr>
    </w:lvl>
  </w:abstractNum>
  <w:abstractNum w:abstractNumId="4">
    <w:nsid w:val="FFFFFF80"/>
    <w:multiLevelType w:val="singleLevel"/>
    <w:tmpl w:val="2BF6D6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802FA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5DA92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F70D67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36CB58"/>
    <w:lvl w:ilvl="0">
      <w:start w:val="1"/>
      <w:numFmt w:val="decimal"/>
      <w:lvlText w:val="%1."/>
      <w:lvlJc w:val="left"/>
      <w:pPr>
        <w:tabs>
          <w:tab w:val="num" w:pos="360"/>
        </w:tabs>
        <w:ind w:left="360" w:hanging="360"/>
      </w:pPr>
    </w:lvl>
  </w:abstractNum>
  <w:abstractNum w:abstractNumId="9">
    <w:nsid w:val="FFFFFF89"/>
    <w:multiLevelType w:val="singleLevel"/>
    <w:tmpl w:val="7C506A50"/>
    <w:lvl w:ilvl="0">
      <w:start w:val="1"/>
      <w:numFmt w:val="bullet"/>
      <w:lvlText w:val=""/>
      <w:lvlJc w:val="left"/>
      <w:pPr>
        <w:tabs>
          <w:tab w:val="num" w:pos="360"/>
        </w:tabs>
        <w:ind w:left="360" w:hanging="360"/>
      </w:pPr>
      <w:rPr>
        <w:rFonts w:ascii="Symbol" w:hAnsi="Symbol" w:hint="default"/>
      </w:rPr>
    </w:lvl>
  </w:abstractNum>
  <w:abstractNum w:abstractNumId="1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2B4994"/>
    <w:multiLevelType w:val="hybridMultilevel"/>
    <w:tmpl w:val="4A889478"/>
    <w:lvl w:ilvl="0" w:tplc="3F308B56">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5"/>
  </w:num>
  <w:num w:numId="3">
    <w:abstractNumId w:val="19"/>
  </w:num>
  <w:num w:numId="4">
    <w:abstractNumId w:val="22"/>
  </w:num>
  <w:num w:numId="5">
    <w:abstractNumId w:val="13"/>
  </w:num>
  <w:num w:numId="6">
    <w:abstractNumId w:val="12"/>
  </w:num>
  <w:num w:numId="7">
    <w:abstractNumId w:val="11"/>
  </w:num>
  <w:num w:numId="8">
    <w:abstractNumId w:val="21"/>
  </w:num>
  <w:num w:numId="9">
    <w:abstractNumId w:val="10"/>
  </w:num>
  <w:num w:numId="10">
    <w:abstractNumId w:val="16"/>
  </w:num>
  <w:num w:numId="11">
    <w:abstractNumId w:val="18"/>
  </w:num>
  <w:num w:numId="12">
    <w:abstractNumId w:val="14"/>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42"/>
    <w:rsid w:val="00004C37"/>
    <w:rsid w:val="0003155B"/>
    <w:rsid w:val="00071816"/>
    <w:rsid w:val="00087CE4"/>
    <w:rsid w:val="00094D92"/>
    <w:rsid w:val="0011363E"/>
    <w:rsid w:val="0012788D"/>
    <w:rsid w:val="00181658"/>
    <w:rsid w:val="001A348E"/>
    <w:rsid w:val="001B1CBA"/>
    <w:rsid w:val="001C2BC5"/>
    <w:rsid w:val="001E7D41"/>
    <w:rsid w:val="00213167"/>
    <w:rsid w:val="00216340"/>
    <w:rsid w:val="00234030"/>
    <w:rsid w:val="00247E07"/>
    <w:rsid w:val="002512F9"/>
    <w:rsid w:val="00257D21"/>
    <w:rsid w:val="0027488A"/>
    <w:rsid w:val="002A1C6A"/>
    <w:rsid w:val="002B40E0"/>
    <w:rsid w:val="002C6A9B"/>
    <w:rsid w:val="002D48BD"/>
    <w:rsid w:val="003203DC"/>
    <w:rsid w:val="00320E44"/>
    <w:rsid w:val="0032611C"/>
    <w:rsid w:val="003423CD"/>
    <w:rsid w:val="003427FB"/>
    <w:rsid w:val="00382E13"/>
    <w:rsid w:val="00393C92"/>
    <w:rsid w:val="003C606D"/>
    <w:rsid w:val="003D48D4"/>
    <w:rsid w:val="00460506"/>
    <w:rsid w:val="00485F41"/>
    <w:rsid w:val="00486499"/>
    <w:rsid w:val="004D523C"/>
    <w:rsid w:val="004F1061"/>
    <w:rsid w:val="005735AE"/>
    <w:rsid w:val="005A1C17"/>
    <w:rsid w:val="005A2ABA"/>
    <w:rsid w:val="005B736B"/>
    <w:rsid w:val="005D70F2"/>
    <w:rsid w:val="005F43E1"/>
    <w:rsid w:val="0061775F"/>
    <w:rsid w:val="006236F8"/>
    <w:rsid w:val="00685969"/>
    <w:rsid w:val="006A0CFB"/>
    <w:rsid w:val="006B3EED"/>
    <w:rsid w:val="006F0329"/>
    <w:rsid w:val="007039ED"/>
    <w:rsid w:val="00712E58"/>
    <w:rsid w:val="00760681"/>
    <w:rsid w:val="00792796"/>
    <w:rsid w:val="007C4CE6"/>
    <w:rsid w:val="007E6779"/>
    <w:rsid w:val="0080093B"/>
    <w:rsid w:val="00813890"/>
    <w:rsid w:val="008529D2"/>
    <w:rsid w:val="008742C3"/>
    <w:rsid w:val="00890182"/>
    <w:rsid w:val="008B5119"/>
    <w:rsid w:val="008D0544"/>
    <w:rsid w:val="00A40509"/>
    <w:rsid w:val="00A50C37"/>
    <w:rsid w:val="00A65DE5"/>
    <w:rsid w:val="00AA2EC5"/>
    <w:rsid w:val="00AB4C73"/>
    <w:rsid w:val="00AC7ED4"/>
    <w:rsid w:val="00AE6F47"/>
    <w:rsid w:val="00B20179"/>
    <w:rsid w:val="00B3594E"/>
    <w:rsid w:val="00B4261D"/>
    <w:rsid w:val="00B45E42"/>
    <w:rsid w:val="00B97C7F"/>
    <w:rsid w:val="00BB0DCB"/>
    <w:rsid w:val="00BC6B21"/>
    <w:rsid w:val="00BE22C9"/>
    <w:rsid w:val="00BF25EA"/>
    <w:rsid w:val="00C41E23"/>
    <w:rsid w:val="00C50467"/>
    <w:rsid w:val="00C636B3"/>
    <w:rsid w:val="00C76976"/>
    <w:rsid w:val="00C87C4B"/>
    <w:rsid w:val="00C87E57"/>
    <w:rsid w:val="00C910D4"/>
    <w:rsid w:val="00CD540F"/>
    <w:rsid w:val="00CF4EBF"/>
    <w:rsid w:val="00D30A13"/>
    <w:rsid w:val="00D844BD"/>
    <w:rsid w:val="00DD5C37"/>
    <w:rsid w:val="00E25B4D"/>
    <w:rsid w:val="00E67624"/>
    <w:rsid w:val="00E75003"/>
    <w:rsid w:val="00EB27EA"/>
    <w:rsid w:val="00EB57BE"/>
    <w:rsid w:val="00EC1CBA"/>
    <w:rsid w:val="00EF196E"/>
    <w:rsid w:val="00F05F40"/>
    <w:rsid w:val="00F16554"/>
    <w:rsid w:val="00F266B4"/>
    <w:rsid w:val="00F544E1"/>
    <w:rsid w:val="00FB6497"/>
    <w:rsid w:val="00FC6AF8"/>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71816"/>
    <w:pPr>
      <w:numPr>
        <w:numId w:val="13"/>
      </w:numPr>
      <w:tabs>
        <w:tab w:val="clear" w:pos="1440"/>
      </w:tabs>
      <w:spacing w:after="0"/>
      <w:ind w:left="0" w:firstLine="14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3D48D4"/>
    <w:rPr>
      <w:rFonts w:ascii="Times New Roman" w:hAnsi="Times New Roman" w:cs="Times New Roman" w:hint="default"/>
      <w:vertAlign w:val="superscript"/>
    </w:rPr>
  </w:style>
  <w:style w:type="paragraph" w:styleId="Header">
    <w:name w:val="header"/>
    <w:basedOn w:val="Normal"/>
    <w:link w:val="HeaderChar"/>
    <w:uiPriority w:val="99"/>
    <w:unhideWhenUsed/>
    <w:rsid w:val="0080093B"/>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80093B"/>
    <w:rPr>
      <w:rFonts w:ascii="Times New Roman" w:hAnsi="Times New Roman" w:cs="Times New Roman"/>
      <w:sz w:val="24"/>
      <w:szCs w:val="20"/>
    </w:rPr>
  </w:style>
  <w:style w:type="paragraph" w:styleId="Footer">
    <w:name w:val="footer"/>
    <w:basedOn w:val="Normal"/>
    <w:link w:val="FooterChar"/>
    <w:uiPriority w:val="99"/>
    <w:unhideWhenUsed/>
    <w:rsid w:val="0080093B"/>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80093B"/>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485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F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71816"/>
    <w:pPr>
      <w:numPr>
        <w:numId w:val="13"/>
      </w:numPr>
      <w:tabs>
        <w:tab w:val="clear" w:pos="1440"/>
      </w:tabs>
      <w:spacing w:after="0"/>
      <w:ind w:left="0" w:firstLine="14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3D48D4"/>
    <w:rPr>
      <w:rFonts w:ascii="Times New Roman" w:hAnsi="Times New Roman" w:cs="Times New Roman" w:hint="default"/>
      <w:vertAlign w:val="superscript"/>
    </w:rPr>
  </w:style>
  <w:style w:type="paragraph" w:styleId="Header">
    <w:name w:val="header"/>
    <w:basedOn w:val="Normal"/>
    <w:link w:val="HeaderChar"/>
    <w:uiPriority w:val="99"/>
    <w:unhideWhenUsed/>
    <w:rsid w:val="0080093B"/>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80093B"/>
    <w:rPr>
      <w:rFonts w:ascii="Times New Roman" w:hAnsi="Times New Roman" w:cs="Times New Roman"/>
      <w:sz w:val="24"/>
      <w:szCs w:val="20"/>
    </w:rPr>
  </w:style>
  <w:style w:type="paragraph" w:styleId="Footer">
    <w:name w:val="footer"/>
    <w:basedOn w:val="Normal"/>
    <w:link w:val="FooterChar"/>
    <w:uiPriority w:val="99"/>
    <w:unhideWhenUsed/>
    <w:rsid w:val="0080093B"/>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80093B"/>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485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6A15-A7F0-416F-AEC9-02B28ED6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3</cp:revision>
  <cp:lastPrinted>2014-12-22T20:09:00Z</cp:lastPrinted>
  <dcterms:created xsi:type="dcterms:W3CDTF">2014-12-30T16:03:00Z</dcterms:created>
  <dcterms:modified xsi:type="dcterms:W3CDTF">2014-12-30T16:53:00Z</dcterms:modified>
</cp:coreProperties>
</file>