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AC7AB7" w:rsidP="00D65D31">
      <w:pPr>
        <w:widowControl w:val="0"/>
        <w:adjustRightInd w:val="0"/>
        <w:rPr>
          <w:bCs/>
          <w:color w:val="000000"/>
        </w:rPr>
      </w:pPr>
      <w:r>
        <w:rPr>
          <w:bCs/>
          <w:color w:val="000000"/>
        </w:rPr>
        <w:t>Anthony Gonzalez</w:t>
      </w:r>
      <w:r>
        <w:rPr>
          <w:bCs/>
          <w:color w:val="000000"/>
        </w:rPr>
        <w:tab/>
      </w:r>
      <w:r>
        <w:rPr>
          <w:bCs/>
          <w:color w:val="000000"/>
        </w:rPr>
        <w:tab/>
      </w:r>
      <w:r>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AC7AB7">
        <w:rPr>
          <w:bCs/>
          <w:color w:val="000000"/>
        </w:rPr>
        <w:t>F-2014-2439898</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C438C1" w:rsidRDefault="00C438C1" w:rsidP="0062545F">
      <w:pPr>
        <w:tabs>
          <w:tab w:val="center" w:pos="4680"/>
        </w:tabs>
        <w:suppressAutoHyphens/>
        <w:jc w:val="center"/>
        <w:rPr>
          <w:b/>
          <w:bCs/>
          <w:spacing w:val="-3"/>
          <w:u w:val="single"/>
        </w:rPr>
      </w:pPr>
      <w:r w:rsidRPr="004A3DB7">
        <w:rPr>
          <w:b/>
          <w:bCs/>
          <w:spacing w:val="-3"/>
          <w:u w:val="single"/>
        </w:rPr>
        <w:t xml:space="preserve">DENYING </w:t>
      </w:r>
      <w:r w:rsidR="00071CA9">
        <w:rPr>
          <w:b/>
          <w:bCs/>
          <w:spacing w:val="-3"/>
          <w:u w:val="single"/>
        </w:rPr>
        <w:t>MOTION FOR SUMMARY JUDGMENT</w:t>
      </w:r>
      <w:r w:rsidR="00F21B5D">
        <w:rPr>
          <w:b/>
          <w:bCs/>
          <w:spacing w:val="-3"/>
          <w:u w:val="single"/>
        </w:rPr>
        <w:t xml:space="preserve"> </w:t>
      </w:r>
    </w:p>
    <w:p w:rsidR="000629B2" w:rsidRDefault="000629B2" w:rsidP="00C438C1">
      <w:pPr>
        <w:widowControl w:val="0"/>
        <w:adjustRightInd w:val="0"/>
        <w:spacing w:line="360" w:lineRule="auto"/>
        <w:rPr>
          <w:b/>
          <w:bCs/>
          <w:spacing w:val="-3"/>
          <w:u w:val="single"/>
        </w:rPr>
      </w:pPr>
    </w:p>
    <w:p w:rsidR="00B1232D" w:rsidRDefault="00F21B5D" w:rsidP="00C438C1">
      <w:pPr>
        <w:widowControl w:val="0"/>
        <w:adjustRightInd w:val="0"/>
        <w:spacing w:line="360" w:lineRule="auto"/>
        <w:rPr>
          <w:bCs/>
          <w:color w:val="000000"/>
        </w:rPr>
      </w:pPr>
      <w:r>
        <w:rPr>
          <w:bCs/>
          <w:color w:val="000000"/>
        </w:rPr>
        <w:tab/>
      </w:r>
      <w:r>
        <w:rPr>
          <w:bCs/>
          <w:color w:val="000000"/>
        </w:rPr>
        <w:tab/>
        <w:t xml:space="preserve">On </w:t>
      </w:r>
      <w:r w:rsidR="00FD1E5D">
        <w:rPr>
          <w:bCs/>
          <w:color w:val="000000"/>
        </w:rPr>
        <w:t xml:space="preserve">July 20, 2014, Anthony Gonzalez filed with the Pennsylvania Public Utility Commission (Commission) a formal Complaint against Respond Power LLC (Respond or “the Company”), Docket Number F-2014-2439898.  The Complaint was a timely appeal of a decision of the Commission’s Bureau of Consumer Services at case number 3245656.  In his Complaint, Mr. Gonzalez </w:t>
      </w:r>
      <w:r w:rsidR="00B1232D">
        <w:rPr>
          <w:bCs/>
          <w:color w:val="000000"/>
        </w:rPr>
        <w:t>averred that there are incorrect charges on his bill and that he would like a payment agreement that he can afford.  Mr. Gonzalez further averred that he would like the Company to stop charging three times the amount per kilowatt hour (</w:t>
      </w:r>
      <w:proofErr w:type="gramStart"/>
      <w:r w:rsidR="00B1232D">
        <w:rPr>
          <w:bCs/>
          <w:color w:val="000000"/>
        </w:rPr>
        <w:t>kwh</w:t>
      </w:r>
      <w:proofErr w:type="gramEnd"/>
      <w:r w:rsidR="00B1232D">
        <w:rPr>
          <w:bCs/>
          <w:color w:val="000000"/>
        </w:rPr>
        <w:t>).</w:t>
      </w:r>
    </w:p>
    <w:p w:rsidR="00B1232D" w:rsidRDefault="00B1232D" w:rsidP="00B1232D">
      <w:pPr>
        <w:widowControl w:val="0"/>
        <w:adjustRightInd w:val="0"/>
        <w:spacing w:line="360" w:lineRule="auto"/>
        <w:ind w:firstLine="1440"/>
        <w:rPr>
          <w:bCs/>
          <w:color w:val="000000"/>
        </w:rPr>
      </w:pPr>
    </w:p>
    <w:p w:rsidR="00EF1081" w:rsidRDefault="00B1232D" w:rsidP="00B1232D">
      <w:pPr>
        <w:widowControl w:val="0"/>
        <w:adjustRightInd w:val="0"/>
        <w:spacing w:line="360" w:lineRule="auto"/>
        <w:ind w:firstLine="1440"/>
        <w:rPr>
          <w:bCs/>
          <w:color w:val="000000"/>
        </w:rPr>
      </w:pPr>
      <w:r>
        <w:rPr>
          <w:bCs/>
          <w:color w:val="000000"/>
        </w:rPr>
        <w:t xml:space="preserve">On September 17, 2014, Respond filed an Answer to Mr. Gonzalez’s Complaint.  In its Answer, Respond </w:t>
      </w:r>
      <w:r w:rsidR="00EF1081">
        <w:rPr>
          <w:bCs/>
          <w:color w:val="000000"/>
        </w:rPr>
        <w:t>admitted or denied the various averments Mr. Gonzalez made in his Complaint, including specifically denying that there were incorrect charges on his bill.  Respond averred that, to the contrary, Mr. Gonzalez’s rates were reflective of the energy market and were consistent with the disclosure statement provided by Respond.  Respond further averred that it is without knowledge or information to form a basis as to whether Mr. Gonzalez has been offered an unaffordable payment plan from his local utility.</w:t>
      </w:r>
    </w:p>
    <w:p w:rsidR="00EF1081" w:rsidRDefault="00EF1081" w:rsidP="00B1232D">
      <w:pPr>
        <w:widowControl w:val="0"/>
        <w:adjustRightInd w:val="0"/>
        <w:spacing w:line="360" w:lineRule="auto"/>
        <w:ind w:firstLine="1440"/>
        <w:rPr>
          <w:bCs/>
          <w:color w:val="000000"/>
        </w:rPr>
      </w:pPr>
    </w:p>
    <w:p w:rsidR="0083648A" w:rsidRDefault="00EF1081" w:rsidP="000F3094">
      <w:pPr>
        <w:widowControl w:val="0"/>
        <w:adjustRightInd w:val="0"/>
        <w:spacing w:line="360" w:lineRule="auto"/>
        <w:ind w:firstLine="1440"/>
        <w:rPr>
          <w:bCs/>
          <w:color w:val="000000"/>
        </w:rPr>
      </w:pPr>
      <w:r>
        <w:rPr>
          <w:bCs/>
          <w:color w:val="000000"/>
        </w:rPr>
        <w:t xml:space="preserve">Also on September 17, 2014, Respond filed Preliminary Objections in response to the Complaint filed by Mr. Gonzalez.  In its Preliminary </w:t>
      </w:r>
      <w:r w:rsidR="00006E5D">
        <w:rPr>
          <w:bCs/>
          <w:color w:val="000000"/>
        </w:rPr>
        <w:t>Objection</w:t>
      </w:r>
      <w:r w:rsidR="004A3DB7">
        <w:rPr>
          <w:bCs/>
          <w:color w:val="000000"/>
        </w:rPr>
        <w:t>s</w:t>
      </w:r>
      <w:r w:rsidR="00006E5D">
        <w:rPr>
          <w:bCs/>
          <w:color w:val="000000"/>
        </w:rPr>
        <w:t xml:space="preserve">, which </w:t>
      </w:r>
      <w:r w:rsidR="00EB5149">
        <w:rPr>
          <w:bCs/>
          <w:color w:val="000000"/>
        </w:rPr>
        <w:t>were</w:t>
      </w:r>
      <w:r w:rsidR="00006E5D">
        <w:rPr>
          <w:bCs/>
          <w:color w:val="000000"/>
        </w:rPr>
        <w:t xml:space="preserve"> accompanied by a Notice to Plead, </w:t>
      </w:r>
      <w:r w:rsidR="0083648A">
        <w:rPr>
          <w:bCs/>
          <w:color w:val="000000"/>
        </w:rPr>
        <w:t>Respond</w:t>
      </w:r>
      <w:r w:rsidR="00B1232D">
        <w:rPr>
          <w:bCs/>
          <w:color w:val="000000"/>
        </w:rPr>
        <w:t xml:space="preserve"> </w:t>
      </w:r>
      <w:r w:rsidR="0083648A">
        <w:rPr>
          <w:bCs/>
          <w:color w:val="000000"/>
        </w:rPr>
        <w:t xml:space="preserve">argued that Mr. Gonzalez’s Complaint </w:t>
      </w:r>
      <w:r w:rsidR="0083648A">
        <w:rPr>
          <w:bCs/>
          <w:color w:val="000000"/>
        </w:rPr>
        <w:lastRenderedPageBreak/>
        <w:t xml:space="preserve">should </w:t>
      </w:r>
      <w:r w:rsidR="00A97FF2">
        <w:rPr>
          <w:bCs/>
          <w:color w:val="000000"/>
        </w:rPr>
        <w:t xml:space="preserve">be </w:t>
      </w:r>
      <w:r w:rsidR="0083648A">
        <w:rPr>
          <w:bCs/>
          <w:color w:val="000000"/>
        </w:rPr>
        <w:t xml:space="preserve">dismissed because the Complaint does not allege that the increase in variable rates violated the terms of his contract with Respond and does not allege a violation of any law which the Commission has jurisdiction to enforce.  Respond added, among other </w:t>
      </w:r>
      <w:proofErr w:type="gramStart"/>
      <w:r w:rsidR="0083648A">
        <w:rPr>
          <w:bCs/>
          <w:color w:val="000000"/>
        </w:rPr>
        <w:t xml:space="preserve">things, </w:t>
      </w:r>
      <w:r w:rsidR="004A3DB7">
        <w:rPr>
          <w:bCs/>
          <w:color w:val="000000"/>
        </w:rPr>
        <w:t>t</w:t>
      </w:r>
      <w:r w:rsidR="0083648A">
        <w:rPr>
          <w:bCs/>
          <w:color w:val="000000"/>
        </w:rPr>
        <w:t>hat,</w:t>
      </w:r>
      <w:proofErr w:type="gramEnd"/>
      <w:r w:rsidR="0083648A">
        <w:rPr>
          <w:bCs/>
          <w:color w:val="000000"/>
        </w:rPr>
        <w:t xml:space="preserve"> assuming that all the facts pleaded in the Complaint were accepted as true, Mr. Gonzalez has failed to state a claim upon which the Commission could grant relief.  Respond argued that Mr. Gonzalez’s Complaint should be dismissed because the Commission lacks jurisdiction, the Complaint is legally insufficient and the Complaint is insufficient</w:t>
      </w:r>
      <w:r w:rsidR="004A3DB7">
        <w:rPr>
          <w:bCs/>
          <w:color w:val="000000"/>
        </w:rPr>
        <w:t>ly</w:t>
      </w:r>
      <w:r w:rsidR="0083648A">
        <w:rPr>
          <w:bCs/>
          <w:color w:val="000000"/>
        </w:rPr>
        <w:t xml:space="preserve"> specific.</w:t>
      </w:r>
      <w:r w:rsidR="000F3094">
        <w:rPr>
          <w:bCs/>
          <w:color w:val="000000"/>
        </w:rPr>
        <w:t xml:space="preserve">  </w:t>
      </w:r>
      <w:r w:rsidR="007228C9">
        <w:rPr>
          <w:bCs/>
          <w:color w:val="000000"/>
        </w:rPr>
        <w:t>Mr. Gonzalez did not submit an Answer to the Preliminary Objections.</w:t>
      </w:r>
    </w:p>
    <w:p w:rsidR="0083648A" w:rsidRDefault="0083648A" w:rsidP="0094648D">
      <w:pPr>
        <w:widowControl w:val="0"/>
        <w:adjustRightInd w:val="0"/>
        <w:spacing w:line="360" w:lineRule="auto"/>
        <w:ind w:firstLine="1440"/>
        <w:rPr>
          <w:bCs/>
          <w:color w:val="000000"/>
        </w:rPr>
      </w:pPr>
    </w:p>
    <w:p w:rsidR="00C0641C" w:rsidRDefault="0083648A" w:rsidP="007228C9">
      <w:pPr>
        <w:pStyle w:val="Style"/>
        <w:spacing w:line="360" w:lineRule="auto"/>
        <w:ind w:firstLine="1440"/>
        <w:rPr>
          <w:bCs/>
          <w:color w:val="000000"/>
        </w:rPr>
      </w:pPr>
      <w:r>
        <w:rPr>
          <w:bCs/>
          <w:color w:val="000000"/>
        </w:rPr>
        <w:t xml:space="preserve">On October 20, 2014, </w:t>
      </w:r>
      <w:r w:rsidR="007228C9" w:rsidRPr="007228C9">
        <w:rPr>
          <w:color w:val="000000"/>
        </w:rPr>
        <w:t>the Commission issued a Motion Judge Assignment Notice</w:t>
      </w:r>
      <w:r w:rsidR="007228C9" w:rsidRPr="007228C9">
        <w:rPr>
          <w:bCs/>
          <w:color w:val="000000"/>
        </w:rPr>
        <w:t xml:space="preserve"> informing the parties that I was assigned as the Presiding Officer and responsible to resolve any issues which might arise during the prelimi</w:t>
      </w:r>
      <w:r w:rsidR="000F3094">
        <w:rPr>
          <w:bCs/>
          <w:color w:val="000000"/>
        </w:rPr>
        <w:t>nary phase of this proceeding</w:t>
      </w:r>
      <w:r w:rsidR="007228C9" w:rsidRPr="007228C9">
        <w:rPr>
          <w:bCs/>
          <w:color w:val="000000"/>
        </w:rPr>
        <w:t xml:space="preserve">.  </w:t>
      </w:r>
      <w:r w:rsidR="00E41299">
        <w:rPr>
          <w:bCs/>
          <w:color w:val="000000"/>
        </w:rPr>
        <w:t xml:space="preserve">By Order dated November 19, 2014, </w:t>
      </w:r>
      <w:r w:rsidR="007228C9">
        <w:rPr>
          <w:bCs/>
          <w:color w:val="000000"/>
        </w:rPr>
        <w:t xml:space="preserve">Respond’s </w:t>
      </w:r>
      <w:r w:rsidR="007228C9" w:rsidRPr="007228C9">
        <w:rPr>
          <w:bCs/>
          <w:color w:val="000000"/>
        </w:rPr>
        <w:t>Preliminary Objection</w:t>
      </w:r>
      <w:r w:rsidR="003F06E9">
        <w:rPr>
          <w:bCs/>
          <w:color w:val="000000"/>
        </w:rPr>
        <w:t>s</w:t>
      </w:r>
      <w:r w:rsidR="007228C9" w:rsidRPr="007228C9">
        <w:rPr>
          <w:bCs/>
          <w:color w:val="000000"/>
        </w:rPr>
        <w:t xml:space="preserve"> </w:t>
      </w:r>
      <w:r w:rsidR="00E41299">
        <w:rPr>
          <w:bCs/>
          <w:color w:val="000000"/>
        </w:rPr>
        <w:t xml:space="preserve">were </w:t>
      </w:r>
      <w:r w:rsidR="007228C9" w:rsidRPr="004A3DB7">
        <w:rPr>
          <w:bCs/>
          <w:color w:val="000000"/>
        </w:rPr>
        <w:t xml:space="preserve">denied </w:t>
      </w:r>
      <w:r w:rsidR="007228C9" w:rsidRPr="007228C9">
        <w:rPr>
          <w:bCs/>
          <w:color w:val="000000"/>
        </w:rPr>
        <w:t xml:space="preserve">and the </w:t>
      </w:r>
      <w:r w:rsidR="004A3DB7">
        <w:rPr>
          <w:bCs/>
          <w:color w:val="000000"/>
        </w:rPr>
        <w:t xml:space="preserve">Complaint </w:t>
      </w:r>
      <w:r w:rsidR="00E41299">
        <w:rPr>
          <w:bCs/>
          <w:color w:val="000000"/>
        </w:rPr>
        <w:t xml:space="preserve">was scheduled for </w:t>
      </w:r>
      <w:r w:rsidR="007228C9" w:rsidRPr="007228C9">
        <w:rPr>
          <w:bCs/>
          <w:color w:val="000000"/>
        </w:rPr>
        <w:t>a hearing.</w:t>
      </w:r>
      <w:r w:rsidR="00E41299">
        <w:rPr>
          <w:bCs/>
          <w:color w:val="000000"/>
        </w:rPr>
        <w:t xml:space="preserve">  A</w:t>
      </w:r>
      <w:r w:rsidR="00C0641C">
        <w:rPr>
          <w:bCs/>
          <w:color w:val="000000"/>
        </w:rPr>
        <w:t>s a result, the Commission issued a</w:t>
      </w:r>
      <w:r w:rsidR="00E41299">
        <w:rPr>
          <w:bCs/>
          <w:color w:val="000000"/>
        </w:rPr>
        <w:t xml:space="preserve"> Tele</w:t>
      </w:r>
      <w:r w:rsidR="00C0641C">
        <w:rPr>
          <w:bCs/>
          <w:color w:val="000000"/>
        </w:rPr>
        <w:t xml:space="preserve">phonic Hearing Notice setting an Initial Telephonic Hearing for Wednesday, January 7, 2015 at 10:00 a.m.  </w:t>
      </w:r>
    </w:p>
    <w:p w:rsidR="00C0641C" w:rsidRDefault="00C0641C" w:rsidP="007228C9">
      <w:pPr>
        <w:pStyle w:val="Style"/>
        <w:spacing w:line="360" w:lineRule="auto"/>
        <w:ind w:firstLine="1440"/>
        <w:rPr>
          <w:bCs/>
          <w:color w:val="000000"/>
        </w:rPr>
      </w:pPr>
    </w:p>
    <w:p w:rsidR="007228C9" w:rsidRDefault="00C0641C" w:rsidP="007228C9">
      <w:pPr>
        <w:pStyle w:val="Style"/>
        <w:spacing w:line="360" w:lineRule="auto"/>
        <w:ind w:firstLine="1440"/>
        <w:rPr>
          <w:bCs/>
          <w:color w:val="000000"/>
        </w:rPr>
      </w:pPr>
      <w:r>
        <w:rPr>
          <w:bCs/>
          <w:color w:val="000000"/>
        </w:rPr>
        <w:t xml:space="preserve">On December 12, 2014, Respond filed a Motion for Summary Judgment.  In its Motion, which was accompanied by a Notice to Plead, Respond argued </w:t>
      </w:r>
      <w:r w:rsidR="00E40843">
        <w:rPr>
          <w:bCs/>
          <w:color w:val="000000"/>
        </w:rPr>
        <w:t>that the Complaint should be dismissed on the basis that Mr. Gonzalez signed a variable rate contract with Respond, his price was lawfully increased pursuant to that contract and the Commission does not regulate prices charged by electric generation suppliers (EGSs), such as Respond.  Respond attached an affidavit to its Motion it claimed demonstrated that Mr. Gonzalez signed a Sales Agreement on August 21, 2011 and received a Disclosure Statement which provided that Mr. Gonzalez was enrolling in a variable rate plan and that his rate could vary monthly to reflect various factors.  Respond concluded its Motion by arguing that the Complaint should be dismissed because the pleadings, as well as the affidavit</w:t>
      </w:r>
      <w:r w:rsidR="00371DE8">
        <w:rPr>
          <w:bCs/>
          <w:color w:val="000000"/>
        </w:rPr>
        <w:t>,</w:t>
      </w:r>
      <w:r w:rsidR="00E40843">
        <w:rPr>
          <w:bCs/>
          <w:color w:val="000000"/>
        </w:rPr>
        <w:t xml:space="preserve"> demonstrate there is no genuine issue of material fact and the Commission does not have jurisdiction over EGS prices.</w:t>
      </w:r>
    </w:p>
    <w:p w:rsidR="00C0641C" w:rsidRDefault="00C0641C" w:rsidP="007228C9">
      <w:pPr>
        <w:pStyle w:val="Style"/>
        <w:spacing w:line="360" w:lineRule="auto"/>
        <w:ind w:firstLine="1440"/>
        <w:rPr>
          <w:bCs/>
          <w:color w:val="000000"/>
        </w:rPr>
      </w:pPr>
    </w:p>
    <w:p w:rsidR="00EB668D" w:rsidRDefault="00C0641C" w:rsidP="007228C9">
      <w:pPr>
        <w:pStyle w:val="Style"/>
        <w:spacing w:line="360" w:lineRule="auto"/>
        <w:ind w:firstLine="1440"/>
        <w:rPr>
          <w:bCs/>
          <w:color w:val="000000"/>
        </w:rPr>
      </w:pPr>
      <w:r>
        <w:rPr>
          <w:bCs/>
          <w:color w:val="000000"/>
        </w:rPr>
        <w:lastRenderedPageBreak/>
        <w:t>In light of Respond’s Motion for Summary Judgment, Prehearing Order #2 was issued cancelling the Initial Telephonic Hearing scheduled for January 7, 2015 and allowing Mr. Gonzalez until January 5, 2015 to file an Answer to the Motion.  A Cancellation Notice was also issued on December 16, 2015 formally cancelling the Initial Telephonic Hearing scheduled for January 7, 2015.</w:t>
      </w:r>
    </w:p>
    <w:p w:rsidR="00C0641C" w:rsidRDefault="00C0641C" w:rsidP="007228C9">
      <w:pPr>
        <w:pStyle w:val="Style"/>
        <w:spacing w:line="360" w:lineRule="auto"/>
        <w:ind w:firstLine="1440"/>
        <w:rPr>
          <w:bCs/>
          <w:color w:val="000000"/>
        </w:rPr>
      </w:pPr>
    </w:p>
    <w:p w:rsidR="00C0641C" w:rsidRDefault="000B07F1" w:rsidP="007228C9">
      <w:pPr>
        <w:pStyle w:val="Style"/>
        <w:spacing w:line="360" w:lineRule="auto"/>
        <w:ind w:firstLine="1440"/>
        <w:rPr>
          <w:bCs/>
          <w:color w:val="000000"/>
        </w:rPr>
      </w:pPr>
      <w:r>
        <w:rPr>
          <w:bCs/>
          <w:color w:val="000000"/>
        </w:rPr>
        <w:t xml:space="preserve">Mr. Gonzalez did not submit an Answer to </w:t>
      </w:r>
      <w:proofErr w:type="gramStart"/>
      <w:r>
        <w:rPr>
          <w:bCs/>
          <w:color w:val="000000"/>
        </w:rPr>
        <w:t>Respond’s</w:t>
      </w:r>
      <w:proofErr w:type="gramEnd"/>
      <w:r>
        <w:rPr>
          <w:bCs/>
          <w:color w:val="000000"/>
        </w:rPr>
        <w:t xml:space="preserve"> Motion.</w:t>
      </w:r>
    </w:p>
    <w:p w:rsidR="00C0641C" w:rsidRDefault="00C0641C" w:rsidP="007228C9">
      <w:pPr>
        <w:pStyle w:val="Style"/>
        <w:spacing w:line="360" w:lineRule="auto"/>
        <w:ind w:firstLine="1440"/>
        <w:rPr>
          <w:bCs/>
          <w:color w:val="000000"/>
        </w:rPr>
      </w:pPr>
    </w:p>
    <w:p w:rsidR="00C0641C" w:rsidRDefault="00C0641C" w:rsidP="007228C9">
      <w:pPr>
        <w:pStyle w:val="Style"/>
        <w:spacing w:line="360" w:lineRule="auto"/>
        <w:ind w:firstLine="1440"/>
        <w:rPr>
          <w:bCs/>
          <w:color w:val="000000"/>
        </w:rPr>
      </w:pPr>
      <w:r>
        <w:rPr>
          <w:bCs/>
          <w:color w:val="000000"/>
        </w:rPr>
        <w:t>Respond’s Motion for Summary Judgment is now ready for disposition.  For the reasons discussed below, Respond’s Motion will be denied and the formal Complaint filed by Mr. Gonzalez will be scheduled for a Hearing.</w:t>
      </w:r>
    </w:p>
    <w:p w:rsidR="0009371E" w:rsidRDefault="0009371E" w:rsidP="007228C9">
      <w:pPr>
        <w:pStyle w:val="Style"/>
        <w:spacing w:line="360" w:lineRule="auto"/>
        <w:ind w:firstLine="1440"/>
        <w:rPr>
          <w:bCs/>
          <w:color w:val="000000"/>
        </w:rPr>
      </w:pPr>
    </w:p>
    <w:p w:rsidR="005470E2" w:rsidRPr="008211BB" w:rsidRDefault="005470E2" w:rsidP="005470E2">
      <w:pPr>
        <w:spacing w:line="360" w:lineRule="auto"/>
        <w:ind w:firstLine="1440"/>
        <w:rPr>
          <w:rFonts w:eastAsia="Calibri"/>
          <w:bCs/>
          <w:color w:val="000000"/>
        </w:rPr>
      </w:pPr>
      <w:r w:rsidRPr="008211BB">
        <w:rPr>
          <w:color w:val="000000"/>
        </w:rPr>
        <w:t>The Commission’s Rules of Administrative Practice and Procedure, 52 Pa. Code Chapters 1, 3 and 5, provide for the filing of Motions for Summary Judgment.  In particular, Section 5.102 of t</w:t>
      </w:r>
      <w:r w:rsidRPr="008211BB">
        <w:rPr>
          <w:rFonts w:eastAsia="Calibri"/>
          <w:bCs/>
          <w:color w:val="000000"/>
        </w:rPr>
        <w:t>he Commission’s Rules provides in relevant part:</w:t>
      </w:r>
    </w:p>
    <w:p w:rsidR="005470E2" w:rsidRPr="008211BB" w:rsidRDefault="005470E2" w:rsidP="005470E2">
      <w:pPr>
        <w:ind w:left="1440" w:right="1440"/>
        <w:rPr>
          <w:rFonts w:eastAsia="Calibri"/>
          <w:b/>
          <w:bCs/>
          <w:color w:val="000000"/>
        </w:rPr>
      </w:pPr>
    </w:p>
    <w:p w:rsidR="005470E2" w:rsidRPr="008211BB" w:rsidRDefault="005470E2" w:rsidP="005470E2">
      <w:pPr>
        <w:ind w:left="1440" w:right="1440"/>
        <w:rPr>
          <w:rFonts w:eastAsia="Calibri"/>
          <w:b/>
          <w:bCs/>
          <w:color w:val="000000"/>
        </w:rPr>
      </w:pPr>
      <w:r w:rsidRPr="008211BB">
        <w:rPr>
          <w:rFonts w:eastAsia="Calibri"/>
          <w:b/>
          <w:bCs/>
          <w:color w:val="000000"/>
        </w:rPr>
        <w:t>§ 5.102 Motions for summary judgment and judgment on the pleadings.</w:t>
      </w:r>
    </w:p>
    <w:p w:rsidR="005470E2" w:rsidRPr="008211BB" w:rsidRDefault="005470E2" w:rsidP="005470E2">
      <w:pPr>
        <w:ind w:left="1440" w:right="1440"/>
        <w:rPr>
          <w:rFonts w:eastAsia="Calibri"/>
          <w:b/>
          <w:bCs/>
          <w:color w:val="000000"/>
        </w:rPr>
      </w:pPr>
    </w:p>
    <w:p w:rsidR="005470E2" w:rsidRPr="008211BB" w:rsidRDefault="005470E2" w:rsidP="005470E2">
      <w:pPr>
        <w:numPr>
          <w:ilvl w:val="0"/>
          <w:numId w:val="25"/>
        </w:numPr>
        <w:ind w:left="1440" w:right="1440" w:firstLine="0"/>
        <w:rPr>
          <w:rFonts w:eastAsia="Calibri"/>
          <w:bCs/>
          <w:color w:val="000000"/>
        </w:rPr>
      </w:pPr>
      <w:r w:rsidRPr="008211BB">
        <w:rPr>
          <w:rFonts w:eastAsia="Calibri"/>
          <w:bCs/>
          <w:i/>
          <w:color w:val="000000"/>
        </w:rPr>
        <w:t>Generally</w:t>
      </w:r>
      <w:r w:rsidRPr="008211BB">
        <w:rPr>
          <w:rFonts w:eastAsia="Calibri"/>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5470E2" w:rsidRPr="008211BB" w:rsidRDefault="005470E2" w:rsidP="005470E2">
      <w:pPr>
        <w:ind w:left="1440" w:right="1440"/>
        <w:rPr>
          <w:rFonts w:eastAsia="Calibri"/>
          <w:bCs/>
          <w:color w:val="000000"/>
        </w:rPr>
      </w:pPr>
    </w:p>
    <w:p w:rsidR="005470E2" w:rsidRPr="008211BB" w:rsidRDefault="005470E2" w:rsidP="005470E2">
      <w:pPr>
        <w:ind w:left="1440" w:right="1440"/>
        <w:jc w:val="center"/>
        <w:rPr>
          <w:rFonts w:eastAsia="Calibri"/>
          <w:bCs/>
          <w:color w:val="000000"/>
        </w:rPr>
      </w:pPr>
      <w:r w:rsidRPr="008211BB">
        <w:rPr>
          <w:rFonts w:eastAsia="Calibri"/>
          <w:bCs/>
          <w:color w:val="000000"/>
        </w:rPr>
        <w:t>* * *</w:t>
      </w:r>
    </w:p>
    <w:p w:rsidR="005470E2" w:rsidRPr="008211BB" w:rsidRDefault="005470E2" w:rsidP="005470E2">
      <w:pPr>
        <w:ind w:left="1440" w:right="1440"/>
        <w:jc w:val="center"/>
        <w:rPr>
          <w:rFonts w:eastAsia="Calibri"/>
          <w:bCs/>
          <w:color w:val="000000"/>
        </w:rPr>
      </w:pPr>
    </w:p>
    <w:p w:rsidR="005470E2" w:rsidRPr="008211BB" w:rsidRDefault="005470E2" w:rsidP="005470E2">
      <w:pPr>
        <w:ind w:left="1440" w:right="1440"/>
        <w:rPr>
          <w:rFonts w:eastAsia="Calibri"/>
          <w:bCs/>
          <w:color w:val="000000"/>
        </w:rPr>
      </w:pPr>
      <w:r w:rsidRPr="008211BB">
        <w:rPr>
          <w:rFonts w:eastAsia="Calibri"/>
          <w:bCs/>
          <w:color w:val="000000"/>
        </w:rPr>
        <w:t xml:space="preserve">(d) </w:t>
      </w:r>
      <w:r w:rsidRPr="008211BB">
        <w:rPr>
          <w:rFonts w:eastAsia="Calibri"/>
          <w:bCs/>
          <w:color w:val="000000"/>
        </w:rPr>
        <w:tab/>
      </w:r>
      <w:r w:rsidRPr="008211BB">
        <w:rPr>
          <w:rFonts w:eastAsia="Calibri"/>
          <w:bCs/>
          <w:i/>
          <w:color w:val="000000"/>
        </w:rPr>
        <w:t>Decisions on Motions</w:t>
      </w:r>
      <w:r w:rsidRPr="008211BB">
        <w:rPr>
          <w:rFonts w:eastAsia="Calibri"/>
          <w:bCs/>
          <w:color w:val="000000"/>
        </w:rPr>
        <w:t>.</w:t>
      </w:r>
    </w:p>
    <w:p w:rsidR="005470E2" w:rsidRPr="008211BB" w:rsidRDefault="005470E2" w:rsidP="005470E2">
      <w:pPr>
        <w:ind w:left="1440" w:right="1440"/>
        <w:rPr>
          <w:rFonts w:eastAsia="Calibri"/>
          <w:bCs/>
          <w:color w:val="000000"/>
        </w:rPr>
      </w:pPr>
    </w:p>
    <w:p w:rsidR="005470E2" w:rsidRPr="008211BB" w:rsidRDefault="005470E2" w:rsidP="005470E2">
      <w:pPr>
        <w:numPr>
          <w:ilvl w:val="0"/>
          <w:numId w:val="26"/>
        </w:numPr>
        <w:ind w:left="1440" w:right="1440" w:firstLine="0"/>
        <w:rPr>
          <w:rFonts w:eastAsia="Calibri"/>
          <w:bCs/>
          <w:color w:val="000000"/>
        </w:rPr>
      </w:pPr>
      <w:r w:rsidRPr="008211BB">
        <w:rPr>
          <w:rFonts w:eastAsia="Calibri"/>
          <w:bCs/>
          <w:i/>
          <w:color w:val="000000"/>
        </w:rPr>
        <w:t>Standard for grant or denial on all counts</w:t>
      </w:r>
      <w:r w:rsidRPr="008211BB">
        <w:rPr>
          <w:rFonts w:eastAsia="Calibri"/>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5470E2" w:rsidRPr="008211BB" w:rsidRDefault="005470E2" w:rsidP="005470E2">
      <w:pPr>
        <w:ind w:left="1440" w:right="1440"/>
        <w:rPr>
          <w:rFonts w:eastAsia="Calibri"/>
          <w:bCs/>
          <w:color w:val="000000"/>
        </w:rPr>
      </w:pPr>
    </w:p>
    <w:p w:rsidR="005470E2" w:rsidRPr="008211BB" w:rsidRDefault="005470E2" w:rsidP="005470E2">
      <w:pPr>
        <w:ind w:left="1440" w:right="1440"/>
        <w:rPr>
          <w:rFonts w:eastAsia="Calibri"/>
          <w:bCs/>
          <w:color w:val="000000"/>
        </w:rPr>
      </w:pPr>
      <w:r w:rsidRPr="008211BB">
        <w:rPr>
          <w:rFonts w:eastAsia="Calibri"/>
          <w:bCs/>
          <w:color w:val="000000"/>
        </w:rPr>
        <w:t xml:space="preserve">(2)  </w:t>
      </w:r>
      <w:r w:rsidRPr="008211BB">
        <w:rPr>
          <w:rFonts w:eastAsia="Calibri"/>
          <w:bCs/>
          <w:color w:val="000000"/>
        </w:rPr>
        <w:tab/>
      </w:r>
      <w:r w:rsidRPr="008211BB">
        <w:rPr>
          <w:rFonts w:eastAsia="Calibri"/>
          <w:bCs/>
          <w:i/>
          <w:color w:val="000000"/>
        </w:rPr>
        <w:t>Standard for grant or denial in part</w:t>
      </w:r>
      <w:r w:rsidRPr="008211BB">
        <w:rPr>
          <w:rFonts w:eastAsia="Calibri"/>
          <w:bCs/>
          <w:color w:val="000000"/>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rsidR="005470E2" w:rsidRPr="008211BB" w:rsidRDefault="005470E2" w:rsidP="005470E2">
      <w:pPr>
        <w:ind w:left="1440" w:right="1440"/>
        <w:rPr>
          <w:rFonts w:eastAsia="Calibri"/>
          <w:bCs/>
          <w:color w:val="000000"/>
        </w:rPr>
      </w:pPr>
    </w:p>
    <w:p w:rsidR="005470E2" w:rsidRPr="008211BB" w:rsidRDefault="005470E2" w:rsidP="005470E2">
      <w:pPr>
        <w:spacing w:line="360" w:lineRule="auto"/>
        <w:rPr>
          <w:rFonts w:eastAsia="Calibri"/>
          <w:bCs/>
          <w:color w:val="000000"/>
        </w:rPr>
      </w:pPr>
      <w:r w:rsidRPr="008211BB">
        <w:rPr>
          <w:rFonts w:eastAsia="Calibri"/>
          <w:bCs/>
          <w:color w:val="000000"/>
        </w:rPr>
        <w:t>52 Pa. Code § 5.102(a), (d</w:t>
      </w:r>
      <w:proofErr w:type="gramStart"/>
      <w:r w:rsidRPr="008211BB">
        <w:rPr>
          <w:rFonts w:eastAsia="Calibri"/>
          <w:bCs/>
          <w:color w:val="000000"/>
        </w:rPr>
        <w:t>)(</w:t>
      </w:r>
      <w:proofErr w:type="gramEnd"/>
      <w:r w:rsidRPr="008211BB">
        <w:rPr>
          <w:rFonts w:eastAsia="Calibri"/>
          <w:bCs/>
          <w:color w:val="000000"/>
        </w:rPr>
        <w:t xml:space="preserve">1) and (d)(2).  </w:t>
      </w:r>
      <w:r w:rsidR="000B07F1">
        <w:rPr>
          <w:snapToGrid w:val="0"/>
        </w:rPr>
        <w:t>When disposing of a Motion for Summary Judgment</w:t>
      </w:r>
      <w:r w:rsidRPr="008211BB">
        <w:rPr>
          <w:snapToGrid w:val="0"/>
        </w:rPr>
        <w:t xml:space="preserve">, the record must be examined in the light most favorable to the nonmoving party.  </w:t>
      </w:r>
      <w:r w:rsidRPr="008211BB">
        <w:rPr>
          <w:snapToGrid w:val="0"/>
          <w:u w:val="single"/>
        </w:rPr>
        <w:t>First Mortgage Co. of Pennsylvania v. McCall</w:t>
      </w:r>
      <w:r w:rsidRPr="008211BB">
        <w:rPr>
          <w:snapToGrid w:val="0"/>
        </w:rPr>
        <w:t xml:space="preserve">, 313 Pa. Superior Ct. 54, 56, 459 A.2d 406, 408 (1983).  To avoid the motion for summary judgment, the nonmoving party must set forth facts showing that there is a genuine issue for trial.  </w:t>
      </w:r>
      <w:r w:rsidRPr="008211BB">
        <w:rPr>
          <w:snapToGrid w:val="0"/>
          <w:u w:val="single"/>
        </w:rPr>
        <w:t>Id</w:t>
      </w:r>
      <w:r w:rsidRPr="008211BB">
        <w:rPr>
          <w:snapToGrid w:val="0"/>
        </w:rPr>
        <w:t>. at 58-59.</w:t>
      </w:r>
    </w:p>
    <w:p w:rsidR="005470E2" w:rsidRPr="008211BB" w:rsidRDefault="005470E2" w:rsidP="005470E2">
      <w:pPr>
        <w:spacing w:line="360" w:lineRule="auto"/>
        <w:ind w:firstLine="1440"/>
        <w:rPr>
          <w:snapToGrid w:val="0"/>
        </w:rPr>
      </w:pPr>
    </w:p>
    <w:p w:rsidR="0009371E" w:rsidRDefault="005470E2" w:rsidP="005470E2">
      <w:pPr>
        <w:pStyle w:val="Style"/>
        <w:spacing w:line="360" w:lineRule="auto"/>
        <w:ind w:firstLine="1440"/>
        <w:rPr>
          <w:snapToGrid w:val="0"/>
        </w:rPr>
      </w:pPr>
      <w:r w:rsidRPr="008211BB">
        <w:rPr>
          <w:snapToGrid w:val="0"/>
        </w:rPr>
        <w:t>In this case,</w:t>
      </w:r>
      <w:r w:rsidR="000B07F1">
        <w:rPr>
          <w:snapToGrid w:val="0"/>
        </w:rPr>
        <w:t xml:space="preserve"> </w:t>
      </w:r>
      <w:r w:rsidR="008A1BD7">
        <w:rPr>
          <w:snapToGrid w:val="0"/>
        </w:rPr>
        <w:t xml:space="preserve">Mr. Gonzalez stated that there are incorrect charges on his bill and that he would like Respond to “stop charging 3x the amount” per </w:t>
      </w:r>
      <w:proofErr w:type="gramStart"/>
      <w:r w:rsidR="008A1BD7">
        <w:rPr>
          <w:snapToGrid w:val="0"/>
        </w:rPr>
        <w:t>kwh</w:t>
      </w:r>
      <w:proofErr w:type="gramEnd"/>
      <w:r w:rsidR="008A1BD7">
        <w:rPr>
          <w:snapToGrid w:val="0"/>
        </w:rPr>
        <w:t>.  Mr. Gonzalez did not file an Answer to Respond’s Motion, yet, similar to Respond’s Preliminary Objections, Summary Judgment is also not appropriate in this case and, as discussed below, Respond’s Motion will be denied.</w:t>
      </w:r>
    </w:p>
    <w:p w:rsidR="008A1BD7" w:rsidRDefault="008A1BD7" w:rsidP="005470E2">
      <w:pPr>
        <w:pStyle w:val="Style"/>
        <w:spacing w:line="360" w:lineRule="auto"/>
        <w:ind w:firstLine="1440"/>
        <w:rPr>
          <w:snapToGrid w:val="0"/>
        </w:rPr>
      </w:pPr>
    </w:p>
    <w:p w:rsidR="008A1BD7" w:rsidRDefault="00365D33" w:rsidP="005470E2">
      <w:pPr>
        <w:pStyle w:val="Style"/>
        <w:spacing w:line="360" w:lineRule="auto"/>
        <w:ind w:firstLine="1440"/>
        <w:rPr>
          <w:bCs/>
          <w:color w:val="000000"/>
        </w:rPr>
      </w:pPr>
      <w:r>
        <w:rPr>
          <w:bCs/>
          <w:color w:val="000000"/>
        </w:rPr>
        <w:t xml:space="preserve">To begin, the record in this case must be examined in the light most favorable to Mr. Gonzalez.  When doing so, it is not clear that there is no genuine issue of material fact or that Respond is entitled to judgment as a matter of law. </w:t>
      </w:r>
      <w:r w:rsidR="00344D73">
        <w:rPr>
          <w:bCs/>
          <w:color w:val="000000"/>
        </w:rPr>
        <w:t xml:space="preserve"> </w:t>
      </w:r>
      <w:r w:rsidR="009720C7">
        <w:rPr>
          <w:bCs/>
          <w:color w:val="000000"/>
        </w:rPr>
        <w:t xml:space="preserve">Mr. Gonzalez’s averment that he would like Respond to stop charging three times the amount per </w:t>
      </w:r>
      <w:proofErr w:type="gramStart"/>
      <w:r w:rsidR="009720C7">
        <w:rPr>
          <w:bCs/>
          <w:color w:val="000000"/>
        </w:rPr>
        <w:t>kwh</w:t>
      </w:r>
      <w:proofErr w:type="gramEnd"/>
      <w:r w:rsidR="009720C7">
        <w:rPr>
          <w:bCs/>
          <w:color w:val="000000"/>
        </w:rPr>
        <w:t xml:space="preserve"> raises several issues that could present a violation of the Public Utility Code, a Commission Order or regulation or a Commission-approved Company tariff if brought to a hearing.  This includes </w:t>
      </w:r>
      <w:r w:rsidR="005A6ACF">
        <w:rPr>
          <w:bCs/>
          <w:color w:val="000000"/>
        </w:rPr>
        <w:t xml:space="preserve">whether Respond’s Disclosure Statement complies with Commission regulations or whether Respond, or its agents, engaged in any deceptive or misleading telemarketing when enrolling Mr. Gonzalez.  </w:t>
      </w:r>
      <w:r w:rsidR="00A10AFA">
        <w:rPr>
          <w:bCs/>
          <w:color w:val="000000"/>
        </w:rPr>
        <w:t>These are all genuine issues of material facts that arise from Mr. Gonzalez’s averment in his Complaint and that warrant denying Respond’s Motion for Summary Judgment.</w:t>
      </w:r>
    </w:p>
    <w:p w:rsidR="00183FF0" w:rsidRDefault="00183FF0" w:rsidP="005470E2">
      <w:pPr>
        <w:pStyle w:val="Style"/>
        <w:spacing w:line="360" w:lineRule="auto"/>
        <w:ind w:firstLine="1440"/>
        <w:rPr>
          <w:bCs/>
          <w:color w:val="000000"/>
        </w:rPr>
      </w:pPr>
    </w:p>
    <w:p w:rsidR="00371DE8" w:rsidRDefault="00183FF0" w:rsidP="005470E2">
      <w:pPr>
        <w:pStyle w:val="Style"/>
        <w:spacing w:line="360" w:lineRule="auto"/>
        <w:ind w:firstLine="1440"/>
        <w:rPr>
          <w:bCs/>
          <w:color w:val="000000"/>
        </w:rPr>
      </w:pPr>
      <w:r>
        <w:rPr>
          <w:bCs/>
          <w:color w:val="000000"/>
        </w:rPr>
        <w:t xml:space="preserve">It is not sufficient that Respond provide a signed </w:t>
      </w:r>
      <w:r w:rsidR="00EC7DE2">
        <w:rPr>
          <w:bCs/>
          <w:color w:val="000000"/>
        </w:rPr>
        <w:t xml:space="preserve">application with </w:t>
      </w:r>
      <w:r w:rsidR="00EC7DE2">
        <w:rPr>
          <w:bCs/>
          <w:color w:val="000000"/>
        </w:rPr>
        <w:lastRenderedPageBreak/>
        <w:t xml:space="preserve">accompanying </w:t>
      </w:r>
      <w:r>
        <w:rPr>
          <w:bCs/>
          <w:color w:val="000000"/>
        </w:rPr>
        <w:t>Disclosure Statement to warrant dismissing Mr. Gonzalez’s Complaint before a hearing</w:t>
      </w:r>
      <w:r w:rsidR="00EC7DE2">
        <w:rPr>
          <w:bCs/>
          <w:color w:val="000000"/>
        </w:rPr>
        <w:t xml:space="preserve"> when the record must be examined in the light most favorable to Mr. Gonzalez</w:t>
      </w:r>
      <w:r>
        <w:rPr>
          <w:bCs/>
          <w:color w:val="000000"/>
        </w:rPr>
        <w:t xml:space="preserve">.  </w:t>
      </w:r>
      <w:r w:rsidR="00371DE8">
        <w:rPr>
          <w:bCs/>
          <w:color w:val="000000"/>
        </w:rPr>
        <w:t>In this case, Mr. Gonzalez averred in his Complaint that the rates he was being charged were incorrect</w:t>
      </w:r>
      <w:r w:rsidR="007F2FFA">
        <w:rPr>
          <w:bCs/>
          <w:color w:val="000000"/>
        </w:rPr>
        <w:t xml:space="preserve"> – “3x the amount per kwh</w:t>
      </w:r>
      <w:r w:rsidR="00371DE8">
        <w:rPr>
          <w:bCs/>
          <w:color w:val="000000"/>
        </w:rPr>
        <w:t>.</w:t>
      </w:r>
      <w:r w:rsidR="007F2FFA">
        <w:rPr>
          <w:bCs/>
          <w:color w:val="000000"/>
        </w:rPr>
        <w:t>”</w:t>
      </w:r>
      <w:r w:rsidR="00371DE8">
        <w:rPr>
          <w:bCs/>
          <w:color w:val="000000"/>
        </w:rPr>
        <w:t xml:space="preserve">  </w:t>
      </w:r>
      <w:r w:rsidR="007F2FFA">
        <w:rPr>
          <w:bCs/>
          <w:color w:val="000000"/>
        </w:rPr>
        <w:t>In its Motion for Summary Judgment, Respond presented an affidavit from a Respond employee that stated that Mr. Gonzalez “signed a Sales Agreement to take service from Respond under a variable rate plan” and that he was provided a copy of the Sales Agreement and Disclosure Statement at that time.  Respond attached a copy of both documents to the affidavit and stated that “consistent with the terms of service of the contract, the Complainant was billed at a variable rate for the entire thirty-four billing cycles of his enrollment with Respond.”</w:t>
      </w:r>
      <w:r w:rsidR="00744362">
        <w:rPr>
          <w:bCs/>
          <w:color w:val="000000"/>
        </w:rPr>
        <w:t xml:space="preserve">  Yet, there is no way</w:t>
      </w:r>
      <w:r w:rsidR="00131711">
        <w:rPr>
          <w:bCs/>
          <w:color w:val="000000"/>
        </w:rPr>
        <w:t>,</w:t>
      </w:r>
      <w:r w:rsidR="00744362">
        <w:rPr>
          <w:bCs/>
          <w:color w:val="000000"/>
        </w:rPr>
        <w:t xml:space="preserve"> based on a review of the affidavit</w:t>
      </w:r>
      <w:r w:rsidR="00131711">
        <w:rPr>
          <w:bCs/>
          <w:color w:val="000000"/>
        </w:rPr>
        <w:t>,</w:t>
      </w:r>
      <w:r w:rsidR="00744362">
        <w:rPr>
          <w:bCs/>
          <w:color w:val="000000"/>
        </w:rPr>
        <w:t xml:space="preserve"> to determine that Respond is entitled to judgment as a matter of law.</w:t>
      </w:r>
    </w:p>
    <w:p w:rsidR="00744362" w:rsidRDefault="00744362" w:rsidP="005470E2">
      <w:pPr>
        <w:pStyle w:val="Style"/>
        <w:spacing w:line="360" w:lineRule="auto"/>
        <w:ind w:firstLine="1440"/>
        <w:rPr>
          <w:bCs/>
          <w:color w:val="000000"/>
        </w:rPr>
      </w:pPr>
    </w:p>
    <w:p w:rsidR="00131711" w:rsidRDefault="00744362" w:rsidP="005470E2">
      <w:pPr>
        <w:pStyle w:val="Style"/>
        <w:spacing w:line="360" w:lineRule="auto"/>
        <w:ind w:firstLine="1440"/>
        <w:rPr>
          <w:bCs/>
          <w:color w:val="000000"/>
        </w:rPr>
      </w:pPr>
      <w:r>
        <w:rPr>
          <w:bCs/>
          <w:color w:val="000000"/>
        </w:rPr>
        <w:t xml:space="preserve">For example, there is no indication in any pleading what rate Mr. Gonzalez was in fact charged.  Nor is there any indication in any pleading what rate either party thinks Mr. Gonzalez should have been charged.  Mr. Gonzalez averred that the rate he was charged was three times the amount it should be; Respond argued that the rate was not three times the amount it should be.  </w:t>
      </w:r>
      <w:proofErr w:type="gramStart"/>
      <w:r>
        <w:rPr>
          <w:bCs/>
          <w:color w:val="000000"/>
        </w:rPr>
        <w:t>Respond’s</w:t>
      </w:r>
      <w:proofErr w:type="gramEnd"/>
      <w:r>
        <w:rPr>
          <w:bCs/>
          <w:color w:val="000000"/>
        </w:rPr>
        <w:t xml:space="preserve"> only argument is that Mr. Gonzalez was on a variable rate plan, knew he was on a variable rate plan and was billed consistent with the variable rate plan.  The only way to determine whether the charges on Mr. Gonzalez’s bills were correct would be to know what Mr. Gonzalez was billed and how that rate was determined.</w:t>
      </w:r>
      <w:r w:rsidR="00CD604F">
        <w:rPr>
          <w:bCs/>
          <w:color w:val="000000"/>
        </w:rPr>
        <w:t xml:space="preserve">  To support its Motion, Respond should have included copies of Mr. Gonzalez’s bills and verified documentation indicating why the rates charged on those bills are consistent with the terms Mr. Gonzalez agreed to.  </w:t>
      </w:r>
      <w:r w:rsidR="00131711">
        <w:rPr>
          <w:bCs/>
          <w:color w:val="000000"/>
        </w:rPr>
        <w:t>The Disclosure Statement attached to the affidavit accompanying Respond’s Motion provides:</w:t>
      </w:r>
    </w:p>
    <w:p w:rsidR="00131711" w:rsidRDefault="00131711" w:rsidP="00131711">
      <w:pPr>
        <w:pStyle w:val="Style"/>
        <w:spacing w:line="360" w:lineRule="auto"/>
        <w:rPr>
          <w:bCs/>
          <w:color w:val="000000"/>
        </w:rPr>
      </w:pPr>
    </w:p>
    <w:p w:rsidR="00131711" w:rsidRPr="00F17C06" w:rsidRDefault="00F17C06" w:rsidP="00F17C06">
      <w:pPr>
        <w:pStyle w:val="Style"/>
        <w:ind w:left="1440" w:right="1440"/>
        <w:rPr>
          <w:bCs/>
          <w:color w:val="000000"/>
        </w:rPr>
      </w:pPr>
      <w:proofErr w:type="gramStart"/>
      <w:r>
        <w:rPr>
          <w:b/>
          <w:bCs/>
          <w:color w:val="000000"/>
        </w:rPr>
        <w:t>Variable Rate.</w:t>
      </w:r>
      <w:proofErr w:type="gramEnd"/>
      <w:r>
        <w:rPr>
          <w:bCs/>
          <w:color w:val="000000"/>
        </w:rPr>
        <w:t xml:space="preserve">  Your price may vary from month to month.  This rate is set by Respond Power and reflects their Generation charge as reflected by the PJM Day-Ahead Market, Installed capacity (the cost of reserve or standby power), electricity lost on the transmission system (“losses”), estimated state taxes, and any other costs that Respond Power incurs to deliver your electricity to your </w:t>
      </w:r>
      <w:r>
        <w:rPr>
          <w:bCs/>
          <w:color w:val="000000"/>
        </w:rPr>
        <w:lastRenderedPageBreak/>
        <w:t>electric Utility’s Transmission System (where they receive electricity).  For their services, Respond Power adds a profit margin to the electricity and Respond Power’s goal each and every month is to deliver your power at a price that is less than what you would have paid had your [sic] purchased your power from your local utility company, however, due to market fluctuations and conditions, Respond Power cannot always guarantee that every month you will see savings.  Commodity charges exclude Pennsylvania sales tax, if applicable.  You may contact Respond Power for our current Variable Rate.</w:t>
      </w:r>
    </w:p>
    <w:p w:rsidR="00131711" w:rsidRDefault="00131711" w:rsidP="00131711">
      <w:pPr>
        <w:pStyle w:val="Style"/>
        <w:spacing w:line="360" w:lineRule="auto"/>
        <w:rPr>
          <w:bCs/>
          <w:color w:val="000000"/>
        </w:rPr>
      </w:pPr>
    </w:p>
    <w:p w:rsidR="00744362" w:rsidRDefault="00CD604F" w:rsidP="00131711">
      <w:pPr>
        <w:pStyle w:val="Style"/>
        <w:spacing w:line="360" w:lineRule="auto"/>
        <w:rPr>
          <w:bCs/>
          <w:color w:val="000000"/>
        </w:rPr>
      </w:pPr>
      <w:r>
        <w:rPr>
          <w:bCs/>
          <w:color w:val="000000"/>
        </w:rPr>
        <w:t>Respond did not make any demonstration in its Motion</w:t>
      </w:r>
      <w:r w:rsidR="00F17C06">
        <w:rPr>
          <w:bCs/>
          <w:color w:val="000000"/>
        </w:rPr>
        <w:t xml:space="preserve"> of what that resulting rate is to demonstrate that Mr. Gonzalez was correctly billed</w:t>
      </w:r>
      <w:r>
        <w:rPr>
          <w:bCs/>
          <w:color w:val="000000"/>
        </w:rPr>
        <w:t xml:space="preserve">.  </w:t>
      </w:r>
      <w:r w:rsidR="00F17C06">
        <w:rPr>
          <w:bCs/>
          <w:color w:val="000000"/>
        </w:rPr>
        <w:t xml:space="preserve">For example, </w:t>
      </w:r>
      <w:r w:rsidR="000E133E">
        <w:rPr>
          <w:bCs/>
          <w:color w:val="000000"/>
        </w:rPr>
        <w:t xml:space="preserve">Respond did not indicate </w:t>
      </w:r>
      <w:r w:rsidR="00F17C06">
        <w:rPr>
          <w:bCs/>
          <w:color w:val="000000"/>
        </w:rPr>
        <w:t xml:space="preserve">what the PJM Day-Ahead Market </w:t>
      </w:r>
      <w:r w:rsidR="000E133E">
        <w:rPr>
          <w:bCs/>
          <w:color w:val="000000"/>
        </w:rPr>
        <w:t xml:space="preserve">price was </w:t>
      </w:r>
      <w:r w:rsidR="00F17C06">
        <w:rPr>
          <w:bCs/>
          <w:color w:val="000000"/>
        </w:rPr>
        <w:t xml:space="preserve">during the period Mr. Gonzalez believes he was incorrectly billed.  </w:t>
      </w:r>
      <w:r>
        <w:rPr>
          <w:bCs/>
          <w:color w:val="000000"/>
        </w:rPr>
        <w:t>Therefore, under the standard by which the Motion must be examined, a genuine issue of material fact exists and a hearing is necessary to determine whether Mr. Gonzalez was charged three times the amount he was supposed to be charged.</w:t>
      </w:r>
    </w:p>
    <w:p w:rsidR="00CD604F" w:rsidRDefault="00CD604F" w:rsidP="005470E2">
      <w:pPr>
        <w:pStyle w:val="Style"/>
        <w:spacing w:line="360" w:lineRule="auto"/>
        <w:ind w:firstLine="1440"/>
        <w:rPr>
          <w:bCs/>
          <w:color w:val="000000"/>
        </w:rPr>
      </w:pPr>
    </w:p>
    <w:p w:rsidR="007F2FFA" w:rsidRDefault="00CD604F" w:rsidP="005470E2">
      <w:pPr>
        <w:pStyle w:val="Style"/>
        <w:spacing w:line="360" w:lineRule="auto"/>
        <w:ind w:firstLine="1440"/>
        <w:rPr>
          <w:bCs/>
          <w:color w:val="000000"/>
        </w:rPr>
      </w:pPr>
      <w:r>
        <w:rPr>
          <w:bCs/>
          <w:color w:val="000000"/>
        </w:rPr>
        <w:t>Respond’s Motion portends that, just because a customer is on a variable rate plan, they can be charged three times the amount they otherwise should have been charged.  The Affidavit and accompanying attachment</w:t>
      </w:r>
      <w:r w:rsidR="0065305A">
        <w:rPr>
          <w:bCs/>
          <w:color w:val="000000"/>
        </w:rPr>
        <w:t>s</w:t>
      </w:r>
      <w:r>
        <w:rPr>
          <w:bCs/>
          <w:color w:val="000000"/>
        </w:rPr>
        <w:t xml:space="preserve"> that Respond included with its Motion </w:t>
      </w:r>
      <w:r w:rsidR="0065305A">
        <w:rPr>
          <w:bCs/>
          <w:color w:val="000000"/>
        </w:rPr>
        <w:t xml:space="preserve">are </w:t>
      </w:r>
      <w:r>
        <w:rPr>
          <w:bCs/>
          <w:color w:val="000000"/>
        </w:rPr>
        <w:t>not sufficient to grant the Motion.</w:t>
      </w:r>
    </w:p>
    <w:p w:rsidR="00371DE8" w:rsidRDefault="00371DE8" w:rsidP="005470E2">
      <w:pPr>
        <w:pStyle w:val="Style"/>
        <w:spacing w:line="360" w:lineRule="auto"/>
        <w:ind w:firstLine="1440"/>
        <w:rPr>
          <w:bCs/>
          <w:color w:val="000000"/>
        </w:rPr>
      </w:pPr>
    </w:p>
    <w:p w:rsidR="00183FF0" w:rsidRDefault="00371DE8" w:rsidP="005470E2">
      <w:pPr>
        <w:pStyle w:val="Style"/>
        <w:spacing w:line="360" w:lineRule="auto"/>
        <w:ind w:firstLine="1440"/>
        <w:rPr>
          <w:bCs/>
          <w:color w:val="000000"/>
        </w:rPr>
      </w:pPr>
      <w:r>
        <w:rPr>
          <w:bCs/>
          <w:color w:val="000000"/>
        </w:rPr>
        <w:t xml:space="preserve">Additionally, </w:t>
      </w:r>
      <w:r w:rsidR="00CD604F">
        <w:rPr>
          <w:bCs/>
          <w:color w:val="000000"/>
        </w:rPr>
        <w:t>Respond’s Motion should be denied because, based on Mr. Gonzalez’s averment in his Complaint, other genuine issues of material fact exist that warrant a hearing.  It</w:t>
      </w:r>
      <w:r w:rsidR="00183FF0">
        <w:rPr>
          <w:bCs/>
          <w:color w:val="000000"/>
        </w:rPr>
        <w:t xml:space="preserve"> may be</w:t>
      </w:r>
      <w:r w:rsidR="00EC7DE2">
        <w:rPr>
          <w:bCs/>
          <w:color w:val="000000"/>
        </w:rPr>
        <w:t>, for example,</w:t>
      </w:r>
      <w:r w:rsidR="00183FF0">
        <w:rPr>
          <w:bCs/>
          <w:color w:val="000000"/>
        </w:rPr>
        <w:t xml:space="preserve"> that </w:t>
      </w:r>
      <w:r w:rsidR="00EC7DE2">
        <w:rPr>
          <w:bCs/>
          <w:color w:val="000000"/>
        </w:rPr>
        <w:t xml:space="preserve">when reviewing the application or disclosure statement, Mr. Gonzalez was led to believe that he would be paying a rate that was less than what Respond charged.  Mr. Gonzalez’s averment that he would like Respond to stop charging him three times the amount indicates that he believed he would be paying less.  At a minimum, an issue of material fact exists as to what price Mr. Gonzalez was offered and what price he agreed to pay for service from Respond.  Similarly, an issue of material fact exists with regard to circumstances surrounding Mr. Gonzalez’s enrollment with Respond and how the application may have been </w:t>
      </w:r>
      <w:r w:rsidR="000E133E">
        <w:rPr>
          <w:bCs/>
          <w:color w:val="000000"/>
        </w:rPr>
        <w:t xml:space="preserve">agreed </w:t>
      </w:r>
      <w:r w:rsidR="00EC7DE2">
        <w:rPr>
          <w:bCs/>
          <w:color w:val="000000"/>
        </w:rPr>
        <w:t xml:space="preserve">to.  </w:t>
      </w:r>
      <w:r w:rsidR="00226DA2">
        <w:rPr>
          <w:bCs/>
          <w:color w:val="000000"/>
        </w:rPr>
        <w:lastRenderedPageBreak/>
        <w:t xml:space="preserve">An issue of material fact also exists with regard to whether the language of the disclosure statement is sufficiently clear and in conformity with the Commission’s regulations.  </w:t>
      </w:r>
      <w:r w:rsidR="00EC7DE2">
        <w:rPr>
          <w:bCs/>
          <w:color w:val="000000"/>
        </w:rPr>
        <w:t>These, and others, are all issues, when examined in a light most favorable to Mr. Gonzalez, that arise from Mr. Gonzalez’s averment that present issues of material fact that warrant a hearing.</w:t>
      </w:r>
    </w:p>
    <w:p w:rsidR="00365D33" w:rsidRDefault="00365D33" w:rsidP="005470E2">
      <w:pPr>
        <w:pStyle w:val="Style"/>
        <w:spacing w:line="360" w:lineRule="auto"/>
        <w:ind w:firstLine="1440"/>
        <w:rPr>
          <w:bCs/>
          <w:color w:val="000000"/>
        </w:rPr>
      </w:pPr>
    </w:p>
    <w:p w:rsidR="00A10AFA" w:rsidRDefault="00A10AFA" w:rsidP="00A10AFA">
      <w:pPr>
        <w:widowControl w:val="0"/>
        <w:adjustRightInd w:val="0"/>
        <w:spacing w:line="360" w:lineRule="auto"/>
        <w:ind w:firstLine="1440"/>
        <w:rPr>
          <w:color w:val="000000"/>
        </w:rPr>
      </w:pPr>
      <w:r>
        <w:rPr>
          <w:color w:val="000000"/>
        </w:rPr>
        <w:t xml:space="preserve">I note that this is the second preliminary motion filed by Respond in this case that is being denied.  </w:t>
      </w:r>
      <w:r w:rsidR="00CD604F">
        <w:rPr>
          <w:color w:val="000000"/>
        </w:rPr>
        <w:t>As with Preliminary Objections, t</w:t>
      </w:r>
      <w:r w:rsidR="00FD13D4">
        <w:t xml:space="preserve">he standard for granting a Motion for Summary Judgment is very high.  Summary Judgment may only be granted in those cases where the record clearly shows that there are no genuine issues of material fact and that the moving party is entitled to judgment as a matter of law when viewing the record in the light most favorable to the nonmoving party.  </w:t>
      </w:r>
      <w:r w:rsidR="000E133E">
        <w:t xml:space="preserve">Furthermore, </w:t>
      </w:r>
      <w:r w:rsidR="00CD604F" w:rsidRPr="00365D33">
        <w:rPr>
          <w:color w:val="000000"/>
        </w:rPr>
        <w:t xml:space="preserve">Commission precedent supports allowing unrepresented complainants an opportunity to be heard orally, and not have their case dismissed on the basis of a preliminary pleading.  </w:t>
      </w:r>
      <w:r w:rsidR="00CD604F" w:rsidRPr="00365D33">
        <w:rPr>
          <w:i/>
          <w:color w:val="000000"/>
        </w:rPr>
        <w:t>See</w:t>
      </w:r>
      <w:r w:rsidR="00CD604F" w:rsidRPr="00365D33">
        <w:rPr>
          <w:color w:val="000000"/>
        </w:rPr>
        <w:t xml:space="preserve">, </w:t>
      </w:r>
      <w:r w:rsidR="00CD604F" w:rsidRPr="00365D33">
        <w:rPr>
          <w:color w:val="000000"/>
          <w:u w:val="single"/>
        </w:rPr>
        <w:t xml:space="preserve">Richard </w:t>
      </w:r>
      <w:proofErr w:type="spellStart"/>
      <w:r w:rsidR="00CD604F" w:rsidRPr="00365D33">
        <w:rPr>
          <w:color w:val="000000"/>
          <w:u w:val="single"/>
        </w:rPr>
        <w:t>Carlock</w:t>
      </w:r>
      <w:proofErr w:type="spellEnd"/>
      <w:r w:rsidR="00CD604F" w:rsidRPr="00365D33">
        <w:rPr>
          <w:color w:val="000000"/>
          <w:u w:val="single"/>
        </w:rPr>
        <w:t xml:space="preserve"> v. The United Telephone Company of Pennsylvania</w:t>
      </w:r>
      <w:r w:rsidR="00CD604F" w:rsidRPr="00365D33">
        <w:rPr>
          <w:color w:val="000000"/>
        </w:rPr>
        <w:t>, Docket No. F-00163617, Order (entered July 14, 1993).</w:t>
      </w:r>
      <w:r w:rsidR="00CD604F" w:rsidRPr="00365D33">
        <w:rPr>
          <w:color w:val="000000"/>
          <w:vertAlign w:val="superscript"/>
        </w:rPr>
        <w:footnoteReference w:id="1"/>
      </w:r>
      <w:r w:rsidR="00CD604F">
        <w:rPr>
          <w:color w:val="000000"/>
        </w:rPr>
        <w:t xml:space="preserve"> </w:t>
      </w:r>
      <w:r w:rsidR="00CD604F" w:rsidRPr="00365D33">
        <w:rPr>
          <w:color w:val="000000"/>
        </w:rPr>
        <w:t xml:space="preserve"> </w:t>
      </w:r>
      <w:r w:rsidR="00FD13D4">
        <w:t xml:space="preserve">Respond has failed to satisfy this standard with regard to Mr. Gonzalez’s Complaint.  Genuine issues of material facts exist that require a hearing and cannot be dismissed on a preliminary basis.  </w:t>
      </w:r>
    </w:p>
    <w:p w:rsidR="005A6ACF" w:rsidRDefault="005A6ACF" w:rsidP="00A10AFA">
      <w:pPr>
        <w:widowControl w:val="0"/>
        <w:adjustRightInd w:val="0"/>
        <w:spacing w:line="360" w:lineRule="auto"/>
        <w:ind w:firstLine="1440"/>
        <w:rPr>
          <w:color w:val="000000"/>
        </w:rPr>
      </w:pPr>
    </w:p>
    <w:p w:rsidR="005A6ACF" w:rsidRPr="00365D33" w:rsidRDefault="005A6ACF" w:rsidP="00A10AFA">
      <w:pPr>
        <w:widowControl w:val="0"/>
        <w:adjustRightInd w:val="0"/>
        <w:spacing w:line="360" w:lineRule="auto"/>
        <w:ind w:firstLine="1440"/>
        <w:rPr>
          <w:color w:val="000000"/>
        </w:rPr>
      </w:pPr>
      <w:r>
        <w:rPr>
          <w:color w:val="000000"/>
        </w:rPr>
        <w:t xml:space="preserve">With regard to Respond’s argument that the Commission lacks jurisdiction over EGS prices, this argument will also be rejected.  Respond is correct that </w:t>
      </w:r>
      <w:r w:rsidR="00CE7EE7">
        <w:rPr>
          <w:color w:val="000000"/>
        </w:rPr>
        <w:t xml:space="preserve">the Commission has only the powers and authority granted to it by the General Assembly and that the Commission must act within, and cannot exceed, such authority.  Respond is also correct that </w:t>
      </w:r>
      <w:r w:rsidR="00964E3D">
        <w:rPr>
          <w:color w:val="000000"/>
        </w:rPr>
        <w:t>the Commission lacks jurisdiction over EGS rates.  Nonetheless, h</w:t>
      </w:r>
      <w:r>
        <w:rPr>
          <w:color w:val="000000"/>
        </w:rPr>
        <w:t xml:space="preserve">owever, the Commission does </w:t>
      </w:r>
      <w:r w:rsidR="00964E3D">
        <w:rPr>
          <w:color w:val="000000"/>
        </w:rPr>
        <w:t>have jurisdiction to direct an EGS to provide a refund when a customer’s supplier has been changed without the customer’</w:t>
      </w:r>
      <w:r w:rsidR="00852B69">
        <w:rPr>
          <w:color w:val="000000"/>
        </w:rPr>
        <w:t xml:space="preserve">s affirmative consent and to determine whether prices billed by an EGS reflect the EGS’s disclosure statement.  </w:t>
      </w:r>
      <w:r w:rsidR="00852B69">
        <w:rPr>
          <w:i/>
          <w:color w:val="000000"/>
        </w:rPr>
        <w:t>See</w:t>
      </w:r>
      <w:r w:rsidR="00852B69">
        <w:rPr>
          <w:color w:val="000000"/>
        </w:rPr>
        <w:t xml:space="preserve">, </w:t>
      </w:r>
      <w:r w:rsidR="00852B69">
        <w:rPr>
          <w:color w:val="000000"/>
          <w:u w:val="single"/>
        </w:rPr>
        <w:t xml:space="preserve">Commonwealth of Pa, </w:t>
      </w:r>
      <w:r w:rsidR="00852B69">
        <w:rPr>
          <w:i/>
          <w:color w:val="000000"/>
          <w:u w:val="single"/>
        </w:rPr>
        <w:t>et al</w:t>
      </w:r>
      <w:r w:rsidR="00852B69">
        <w:rPr>
          <w:color w:val="000000"/>
          <w:u w:val="single"/>
        </w:rPr>
        <w:t>. v. IDT Energy, Inc.</w:t>
      </w:r>
      <w:r w:rsidR="00852B69">
        <w:rPr>
          <w:color w:val="000000"/>
        </w:rPr>
        <w:t xml:space="preserve">, Docket No. C-2014-2427657, Opinion </w:t>
      </w:r>
      <w:r w:rsidR="00852B69">
        <w:rPr>
          <w:color w:val="000000"/>
        </w:rPr>
        <w:lastRenderedPageBreak/>
        <w:t xml:space="preserve">and Order (entered Dec. 18, 2014); </w:t>
      </w:r>
      <w:r w:rsidR="00852B69">
        <w:rPr>
          <w:i/>
          <w:color w:val="000000"/>
        </w:rPr>
        <w:t>see also</w:t>
      </w:r>
      <w:r w:rsidR="00852B69">
        <w:rPr>
          <w:color w:val="000000"/>
        </w:rPr>
        <w:t xml:space="preserve">, </w:t>
      </w:r>
      <w:r w:rsidR="00852B69">
        <w:rPr>
          <w:color w:val="000000"/>
          <w:u w:val="single"/>
        </w:rPr>
        <w:t xml:space="preserve">Joseph </w:t>
      </w:r>
      <w:proofErr w:type="spellStart"/>
      <w:r w:rsidR="00852B69">
        <w:rPr>
          <w:color w:val="000000"/>
          <w:u w:val="single"/>
        </w:rPr>
        <w:t>Nadav</w:t>
      </w:r>
      <w:proofErr w:type="spellEnd"/>
      <w:r w:rsidR="00852B69">
        <w:rPr>
          <w:color w:val="000000"/>
          <w:u w:val="single"/>
        </w:rPr>
        <w:t xml:space="preserve"> v. Respond Power, LLC</w:t>
      </w:r>
      <w:r w:rsidR="00852B69">
        <w:rPr>
          <w:color w:val="000000"/>
        </w:rPr>
        <w:t xml:space="preserve">, </w:t>
      </w:r>
      <w:proofErr w:type="gramStart"/>
      <w:r w:rsidR="00852B69">
        <w:rPr>
          <w:color w:val="000000"/>
        </w:rPr>
        <w:t>Docket</w:t>
      </w:r>
      <w:proofErr w:type="gramEnd"/>
      <w:r w:rsidR="00852B69">
        <w:rPr>
          <w:color w:val="000000"/>
        </w:rPr>
        <w:t xml:space="preserve"> No. C-2014-2429159, Opinion and Order (entered Dec. 19, 2014).  As such, a hearing is </w:t>
      </w:r>
      <w:r w:rsidR="00BD6EF7">
        <w:rPr>
          <w:color w:val="000000"/>
        </w:rPr>
        <w:t xml:space="preserve">also </w:t>
      </w:r>
      <w:r w:rsidR="000E133E">
        <w:rPr>
          <w:color w:val="000000"/>
        </w:rPr>
        <w:t xml:space="preserve">required to determine, among other things, </w:t>
      </w:r>
      <w:r w:rsidR="00852B69">
        <w:rPr>
          <w:color w:val="000000"/>
        </w:rPr>
        <w:t>whether Mr. Gonzalez’s supplier was change</w:t>
      </w:r>
      <w:r w:rsidR="00CD604F">
        <w:rPr>
          <w:color w:val="000000"/>
        </w:rPr>
        <w:t>d</w:t>
      </w:r>
      <w:r w:rsidR="00852B69">
        <w:rPr>
          <w:color w:val="000000"/>
        </w:rPr>
        <w:t xml:space="preserve"> without his consent or whether he was billed prices consistent with Respond’s disclosure statement.</w:t>
      </w:r>
    </w:p>
    <w:p w:rsidR="00A10AFA" w:rsidRPr="00365D33" w:rsidRDefault="00A10AFA" w:rsidP="00A10AFA">
      <w:pPr>
        <w:pStyle w:val="Style"/>
        <w:spacing w:line="360" w:lineRule="auto"/>
        <w:ind w:firstLine="1440"/>
        <w:rPr>
          <w:bCs/>
          <w:color w:val="000000"/>
        </w:rPr>
      </w:pPr>
    </w:p>
    <w:p w:rsidR="00CD604F" w:rsidRDefault="00A10AFA" w:rsidP="00CD604F">
      <w:pPr>
        <w:widowControl w:val="0"/>
        <w:adjustRightInd w:val="0"/>
        <w:spacing w:line="360" w:lineRule="auto"/>
        <w:ind w:firstLine="1440"/>
        <w:rPr>
          <w:color w:val="000000"/>
        </w:rPr>
      </w:pPr>
      <w:r>
        <w:rPr>
          <w:bCs/>
          <w:color w:val="000000"/>
        </w:rPr>
        <w:t>As such</w:t>
      </w:r>
      <w:r w:rsidR="00365D33" w:rsidRPr="00365D33">
        <w:rPr>
          <w:bCs/>
          <w:color w:val="000000"/>
        </w:rPr>
        <w:t>,</w:t>
      </w:r>
      <w:r>
        <w:rPr>
          <w:bCs/>
          <w:color w:val="000000"/>
        </w:rPr>
        <w:t xml:space="preserve"> Respond’s Motion for Summary Judgment will be denied</w:t>
      </w:r>
      <w:r w:rsidR="00E24C47">
        <w:rPr>
          <w:bCs/>
          <w:color w:val="000000"/>
        </w:rPr>
        <w:t xml:space="preserve">.  Mr. Gonzalez’s Complaint has averred issues of material fact that, when viewed in the light most favorable to Mr. Gonzalez, </w:t>
      </w:r>
      <w:r w:rsidR="001860A1">
        <w:rPr>
          <w:bCs/>
          <w:color w:val="000000"/>
        </w:rPr>
        <w:t xml:space="preserve">demonstrate </w:t>
      </w:r>
      <w:r w:rsidR="001860A1" w:rsidRPr="008211BB">
        <w:rPr>
          <w:rFonts w:eastAsia="Calibri"/>
          <w:bCs/>
          <w:color w:val="000000"/>
        </w:rPr>
        <w:t xml:space="preserve">that there </w:t>
      </w:r>
      <w:r w:rsidR="001860A1">
        <w:rPr>
          <w:rFonts w:eastAsia="Calibri"/>
          <w:bCs/>
          <w:color w:val="000000"/>
        </w:rPr>
        <w:t xml:space="preserve">are </w:t>
      </w:r>
      <w:r w:rsidR="001860A1" w:rsidRPr="008211BB">
        <w:rPr>
          <w:rFonts w:eastAsia="Calibri"/>
          <w:bCs/>
          <w:color w:val="000000"/>
        </w:rPr>
        <w:t>genuine issue</w:t>
      </w:r>
      <w:r w:rsidR="001860A1">
        <w:rPr>
          <w:rFonts w:eastAsia="Calibri"/>
          <w:bCs/>
          <w:color w:val="000000"/>
        </w:rPr>
        <w:t>s</w:t>
      </w:r>
      <w:r w:rsidR="001860A1" w:rsidRPr="008211BB">
        <w:rPr>
          <w:rFonts w:eastAsia="Calibri"/>
          <w:bCs/>
          <w:color w:val="000000"/>
        </w:rPr>
        <w:t xml:space="preserve"> </w:t>
      </w:r>
      <w:r w:rsidR="000E133E">
        <w:rPr>
          <w:rFonts w:eastAsia="Calibri"/>
          <w:bCs/>
          <w:color w:val="000000"/>
        </w:rPr>
        <w:t xml:space="preserve">of </w:t>
      </w:r>
      <w:r w:rsidR="001860A1">
        <w:rPr>
          <w:rFonts w:eastAsia="Calibri"/>
          <w:bCs/>
          <w:color w:val="000000"/>
        </w:rPr>
        <w:t>m</w:t>
      </w:r>
      <w:r w:rsidR="001860A1" w:rsidRPr="008211BB">
        <w:rPr>
          <w:rFonts w:eastAsia="Calibri"/>
          <w:bCs/>
          <w:color w:val="000000"/>
        </w:rPr>
        <w:t xml:space="preserve">aterial fact and that the moving party is </w:t>
      </w:r>
      <w:r w:rsidR="001860A1">
        <w:rPr>
          <w:rFonts w:eastAsia="Calibri"/>
          <w:bCs/>
          <w:color w:val="000000"/>
        </w:rPr>
        <w:t xml:space="preserve">not </w:t>
      </w:r>
      <w:r w:rsidR="001860A1" w:rsidRPr="008211BB">
        <w:rPr>
          <w:rFonts w:eastAsia="Calibri"/>
          <w:bCs/>
          <w:color w:val="000000"/>
        </w:rPr>
        <w:t>entitled to a judgment as a matter of law</w:t>
      </w:r>
      <w:r w:rsidR="001860A1">
        <w:rPr>
          <w:rFonts w:eastAsia="Calibri"/>
          <w:bCs/>
          <w:color w:val="000000"/>
        </w:rPr>
        <w:t>.  Mr. Gonzalez’s Complaint will, therefore, be allowed to proceed to a hearing.</w:t>
      </w:r>
      <w:r w:rsidR="00CD604F">
        <w:rPr>
          <w:rFonts w:eastAsia="Calibri"/>
          <w:bCs/>
          <w:color w:val="000000"/>
        </w:rPr>
        <w:t xml:space="preserve">  </w:t>
      </w:r>
      <w:r w:rsidR="00CD604F">
        <w:rPr>
          <w:color w:val="000000"/>
        </w:rPr>
        <w:t xml:space="preserve">Mr. Gonzalez is advised, however, that a hearing on his Complaint will require him to carry his burden of proof by a preponderance of the evidence and that all decisions of the Commission must be supported by substantial evidence.  This is a different standard of review than when addressing </w:t>
      </w:r>
      <w:r w:rsidR="000E133E">
        <w:rPr>
          <w:color w:val="000000"/>
        </w:rPr>
        <w:t>a Motion for Summary Judgment</w:t>
      </w:r>
      <w:r w:rsidR="00CD604F">
        <w:rPr>
          <w:color w:val="000000"/>
        </w:rPr>
        <w:t>.  Nonetheless, Mr. Gonzalez is entitled to have his Complaint heard and not be dismissed as a result of a Motion for Summary Judgment.</w:t>
      </w:r>
    </w:p>
    <w:p w:rsidR="00CD604F" w:rsidRDefault="00CD604F" w:rsidP="00CD604F">
      <w:pPr>
        <w:widowControl w:val="0"/>
        <w:adjustRightInd w:val="0"/>
        <w:spacing w:line="360" w:lineRule="auto"/>
        <w:ind w:firstLine="1440"/>
        <w:rPr>
          <w:color w:val="000000"/>
        </w:rPr>
      </w:pPr>
    </w:p>
    <w:p w:rsidR="00AA5A3B" w:rsidRPr="005470E2" w:rsidRDefault="00FA0DC0" w:rsidP="00FA0DC0">
      <w:pPr>
        <w:spacing w:line="360" w:lineRule="auto"/>
        <w:jc w:val="center"/>
      </w:pPr>
      <w:r w:rsidRPr="005470E2">
        <w:rPr>
          <w:u w:val="single"/>
        </w:rPr>
        <w:t>ORDER</w:t>
      </w:r>
    </w:p>
    <w:p w:rsidR="005E7BB9" w:rsidRPr="005470E2" w:rsidRDefault="005E7BB9" w:rsidP="00E93D93">
      <w:pPr>
        <w:spacing w:line="360" w:lineRule="auto"/>
      </w:pPr>
    </w:p>
    <w:p w:rsidR="006D33B5" w:rsidRPr="005470E2" w:rsidRDefault="006D33B5">
      <w:pPr>
        <w:spacing w:line="360" w:lineRule="auto"/>
        <w:ind w:firstLine="1440"/>
        <w:rPr>
          <w:bCs/>
        </w:rPr>
      </w:pPr>
      <w:r w:rsidRPr="005470E2">
        <w:rPr>
          <w:bCs/>
        </w:rPr>
        <w:t>THEREFORE,</w:t>
      </w:r>
    </w:p>
    <w:p w:rsidR="006D33B5" w:rsidRPr="005470E2" w:rsidRDefault="006D33B5">
      <w:pPr>
        <w:spacing w:line="360" w:lineRule="auto"/>
        <w:ind w:firstLine="1440"/>
      </w:pPr>
    </w:p>
    <w:p w:rsidR="0013770C" w:rsidRPr="005470E2" w:rsidRDefault="006D33B5" w:rsidP="0013770C">
      <w:pPr>
        <w:spacing w:line="360" w:lineRule="auto"/>
        <w:ind w:firstLine="1440"/>
        <w:rPr>
          <w:bCs/>
        </w:rPr>
      </w:pPr>
      <w:r w:rsidRPr="005470E2">
        <w:rPr>
          <w:bCs/>
        </w:rPr>
        <w:t>IT IS ORDERED:</w:t>
      </w:r>
    </w:p>
    <w:p w:rsidR="0013770C" w:rsidRPr="005470E2" w:rsidRDefault="0013770C" w:rsidP="0013770C">
      <w:pPr>
        <w:spacing w:line="360" w:lineRule="auto"/>
        <w:ind w:firstLine="1440"/>
        <w:rPr>
          <w:bCs/>
        </w:rPr>
      </w:pPr>
    </w:p>
    <w:p w:rsidR="009011DC" w:rsidRPr="005470E2" w:rsidRDefault="009011DC" w:rsidP="009011DC">
      <w:pPr>
        <w:numPr>
          <w:ilvl w:val="0"/>
          <w:numId w:val="24"/>
        </w:numPr>
        <w:tabs>
          <w:tab w:val="left" w:pos="-720"/>
        </w:tabs>
        <w:suppressAutoHyphens/>
        <w:autoSpaceDE/>
        <w:autoSpaceDN/>
        <w:spacing w:after="200" w:line="360" w:lineRule="auto"/>
        <w:ind w:left="0" w:firstLine="1440"/>
        <w:rPr>
          <w:spacing w:val="-3"/>
        </w:rPr>
      </w:pPr>
      <w:r w:rsidRPr="005470E2">
        <w:rPr>
          <w:spacing w:val="-3"/>
        </w:rPr>
        <w:t xml:space="preserve">That the </w:t>
      </w:r>
      <w:r w:rsidR="005470E2">
        <w:rPr>
          <w:spacing w:val="-3"/>
        </w:rPr>
        <w:t>Motion for Summary Judgment</w:t>
      </w:r>
      <w:r w:rsidRPr="005470E2">
        <w:rPr>
          <w:spacing w:val="-3"/>
        </w:rPr>
        <w:t xml:space="preserve"> filed by </w:t>
      </w:r>
      <w:r w:rsidRPr="005470E2">
        <w:rPr>
          <w:bCs/>
          <w:color w:val="000000"/>
        </w:rPr>
        <w:t>Respond Power LLC</w:t>
      </w:r>
      <w:r w:rsidRPr="005470E2">
        <w:rPr>
          <w:spacing w:val="-3"/>
        </w:rPr>
        <w:t xml:space="preserve"> at Docket Number F-2014-2439898 on </w:t>
      </w:r>
      <w:r w:rsidR="005470E2">
        <w:rPr>
          <w:spacing w:val="-3"/>
        </w:rPr>
        <w:t>December 12</w:t>
      </w:r>
      <w:r w:rsidRPr="005470E2">
        <w:rPr>
          <w:spacing w:val="-3"/>
        </w:rPr>
        <w:t xml:space="preserve">, 2014 </w:t>
      </w:r>
      <w:r w:rsidR="005470E2">
        <w:rPr>
          <w:spacing w:val="-3"/>
        </w:rPr>
        <w:t xml:space="preserve">is </w:t>
      </w:r>
      <w:r w:rsidRPr="005470E2">
        <w:rPr>
          <w:spacing w:val="-3"/>
        </w:rPr>
        <w:t>hereby denied.</w:t>
      </w:r>
    </w:p>
    <w:p w:rsidR="000E133E" w:rsidRDefault="000E133E">
      <w:pPr>
        <w:autoSpaceDE/>
        <w:autoSpaceDN/>
        <w:rPr>
          <w:spacing w:val="-3"/>
        </w:rPr>
      </w:pPr>
      <w:r>
        <w:rPr>
          <w:spacing w:val="-3"/>
        </w:rPr>
        <w:br w:type="page"/>
      </w:r>
    </w:p>
    <w:p w:rsidR="009011DC" w:rsidRPr="005470E2" w:rsidRDefault="009011DC" w:rsidP="009011DC">
      <w:pPr>
        <w:tabs>
          <w:tab w:val="left" w:pos="-720"/>
        </w:tabs>
        <w:suppressAutoHyphens/>
        <w:spacing w:line="360" w:lineRule="auto"/>
        <w:ind w:left="1440"/>
        <w:rPr>
          <w:spacing w:val="-3"/>
        </w:rPr>
      </w:pPr>
    </w:p>
    <w:p w:rsidR="009011DC" w:rsidRPr="005470E2" w:rsidRDefault="009011DC" w:rsidP="009011DC">
      <w:pPr>
        <w:numPr>
          <w:ilvl w:val="0"/>
          <w:numId w:val="24"/>
        </w:numPr>
        <w:tabs>
          <w:tab w:val="left" w:pos="-720"/>
        </w:tabs>
        <w:suppressAutoHyphens/>
        <w:autoSpaceDE/>
        <w:autoSpaceDN/>
        <w:spacing w:after="200" w:line="360" w:lineRule="auto"/>
        <w:ind w:left="0" w:firstLine="1440"/>
        <w:rPr>
          <w:spacing w:val="-3"/>
        </w:rPr>
      </w:pPr>
      <w:r w:rsidRPr="005470E2">
        <w:rPr>
          <w:spacing w:val="-3"/>
        </w:rPr>
        <w:t xml:space="preserve">That the formal Complaint filed by Anthony Gonzalez at Docket Number F-2014-2439898 will be heard in an </w:t>
      </w:r>
      <w:r w:rsidRPr="005470E2">
        <w:rPr>
          <w:rFonts w:eastAsiaTheme="minorEastAsia"/>
        </w:rPr>
        <w:t>Initial Hearing before an Administrative Law Judge</w:t>
      </w:r>
      <w:r w:rsidRPr="005470E2">
        <w:rPr>
          <w:spacing w:val="-3"/>
        </w:rPr>
        <w:t>.</w:t>
      </w:r>
    </w:p>
    <w:p w:rsidR="00860410" w:rsidRPr="009011DC" w:rsidRDefault="00860410" w:rsidP="00860410">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E41299">
        <w:rPr>
          <w:u w:val="single"/>
        </w:rPr>
        <w:t xml:space="preserve">January </w:t>
      </w:r>
      <w:r w:rsidR="00CD604F">
        <w:rPr>
          <w:u w:val="single"/>
        </w:rPr>
        <w:t>9</w:t>
      </w:r>
      <w:r w:rsidR="00E41299">
        <w:rPr>
          <w:u w:val="single"/>
        </w:rPr>
        <w:t>, 2015</w:t>
      </w:r>
      <w:r w:rsidRPr="00550B34">
        <w:tab/>
      </w:r>
      <w:r w:rsidRPr="00550B34">
        <w:tab/>
      </w:r>
      <w:r w:rsidR="00CD604F">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444E27" w:rsidRPr="00550B34" w:rsidRDefault="0089750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FB0190" w:rsidRDefault="00FB0190" w:rsidP="00444E27"/>
    <w:p w:rsidR="00FB0190" w:rsidRDefault="00FB0190" w:rsidP="00444E27">
      <w:pPr>
        <w:sectPr w:rsidR="00FB0190" w:rsidSect="00713D64">
          <w:footerReference w:type="default" r:id="rId9"/>
          <w:pgSz w:w="12240" w:h="15840"/>
          <w:pgMar w:top="1440" w:right="1800" w:bottom="1440" w:left="1800" w:header="720" w:footer="720" w:gutter="0"/>
          <w:cols w:space="720"/>
          <w:titlePg/>
        </w:sectPr>
      </w:pPr>
    </w:p>
    <w:p w:rsidR="005F1EB6" w:rsidRDefault="005F1EB6" w:rsidP="005F1EB6">
      <w:pPr>
        <w:contextualSpacing/>
        <w:rPr>
          <w:rFonts w:ascii="Microsoft Sans Serif"/>
          <w:b/>
          <w:u w:val="single"/>
        </w:rPr>
      </w:pPr>
      <w:r>
        <w:rPr>
          <w:rFonts w:ascii="Microsoft Sans Serif"/>
          <w:b/>
          <w:u w:val="single"/>
        </w:rPr>
        <w:lastRenderedPageBreak/>
        <w:t>F-2014-2439898 - ANTHONY GONZALEZ v. RESPOND POWER LLC</w:t>
      </w:r>
    </w:p>
    <w:p w:rsidR="005F1EB6" w:rsidRDefault="005F1EB6" w:rsidP="005F1EB6">
      <w:pPr>
        <w:contextualSpacing/>
        <w:rPr>
          <w:rFonts w:ascii="Microsoft Sans Serif"/>
          <w:b/>
          <w:u w:val="single"/>
        </w:rPr>
      </w:pPr>
      <w:r>
        <w:rPr>
          <w:rFonts w:ascii="Microsoft Sans Serif"/>
          <w:b/>
          <w:u w:val="single"/>
        </w:rPr>
        <w:cr/>
      </w:r>
    </w:p>
    <w:p w:rsidR="005F1EB6" w:rsidRDefault="005F1EB6" w:rsidP="005F1EB6">
      <w:pPr>
        <w:contextualSpacing/>
        <w:rPr>
          <w:rFonts w:ascii="Microsoft Sans Serif"/>
          <w:b/>
          <w:u w:val="single"/>
        </w:rPr>
      </w:pPr>
    </w:p>
    <w:p w:rsidR="005F1EB6" w:rsidRPr="003269B7" w:rsidRDefault="005F1EB6" w:rsidP="005F1EB6">
      <w:pPr>
        <w:contextualSpacing/>
        <w:rPr>
          <w:b/>
          <w:i/>
          <w:u w:val="single"/>
        </w:rPr>
      </w:pPr>
      <w:r>
        <w:rPr>
          <w:rFonts w:ascii="Microsoft Sans Serif"/>
        </w:rPr>
        <w:t>ANTHONY GONZALEZ</w:t>
      </w:r>
      <w:r>
        <w:rPr>
          <w:rFonts w:ascii="Microsoft Sans Serif"/>
        </w:rPr>
        <w:cr/>
        <w:t xml:space="preserve">5 NORTH </w:t>
      </w:r>
      <w:proofErr w:type="spellStart"/>
      <w:r>
        <w:rPr>
          <w:rFonts w:ascii="Microsoft Sans Serif"/>
        </w:rPr>
        <w:t>18</w:t>
      </w:r>
      <w:r w:rsidRPr="005F1EB6">
        <w:rPr>
          <w:rFonts w:ascii="Microsoft Sans Serif"/>
          <w:vertAlign w:val="superscript"/>
        </w:rPr>
        <w:t>TH</w:t>
      </w:r>
      <w:bookmarkStart w:id="0" w:name="_GoBack"/>
      <w:bookmarkEnd w:id="0"/>
      <w:proofErr w:type="spellEnd"/>
      <w:r>
        <w:rPr>
          <w:rFonts w:ascii="Microsoft Sans Serif"/>
        </w:rPr>
        <w:t xml:space="preserve"> STREET</w:t>
      </w:r>
      <w:r>
        <w:rPr>
          <w:rFonts w:ascii="Microsoft Sans Serif"/>
        </w:rPr>
        <w:cr/>
        <w:t>ALLENTOWN PA  18104</w:t>
      </w:r>
      <w:r>
        <w:rPr>
          <w:rFonts w:ascii="Microsoft Sans Serif"/>
        </w:rPr>
        <w:cr/>
        <w:t>484.358.7016</w:t>
      </w:r>
      <w:r>
        <w:rPr>
          <w:rFonts w:ascii="Microsoft Sans Serif"/>
        </w:rPr>
        <w:cr/>
      </w:r>
      <w:r>
        <w:rPr>
          <w:rFonts w:ascii="Microsoft Sans Serif"/>
        </w:rPr>
        <w:cr/>
        <w:t>KAREN MOURY ESQUIRE</w:t>
      </w:r>
      <w:r>
        <w:rPr>
          <w:rFonts w:ascii="Microsoft Sans Serif"/>
        </w:rPr>
        <w:cr/>
        <w:t>BUCHANAN INGERSOLL &amp; ROONEY PC</w:t>
      </w:r>
      <w:r>
        <w:rPr>
          <w:rFonts w:ascii="Microsoft Sans Serif"/>
        </w:rPr>
        <w:cr/>
        <w:t xml:space="preserve">409 NORTH SECOND </w:t>
      </w:r>
      <w:proofErr w:type="gramStart"/>
      <w:r>
        <w:rPr>
          <w:rFonts w:ascii="Microsoft Sans Serif"/>
        </w:rPr>
        <w:t>STREET</w:t>
      </w:r>
      <w:proofErr w:type="gramEnd"/>
      <w:r>
        <w:rPr>
          <w:rFonts w:ascii="Microsoft Sans Serif"/>
        </w:rPr>
        <w:cr/>
        <w:t>SUITE 500</w:t>
      </w:r>
      <w:r>
        <w:rPr>
          <w:rFonts w:ascii="Microsoft Sans Serif"/>
        </w:rPr>
        <w:cr/>
        <w:t>HARRISBURG PA  17101</w:t>
      </w:r>
      <w:r>
        <w:rPr>
          <w:rFonts w:ascii="Microsoft Sans Serif"/>
        </w:rPr>
        <w:cr/>
        <w:t>717.237.4820</w:t>
      </w:r>
      <w:r>
        <w:rPr>
          <w:rFonts w:ascii="Microsoft Sans Serif"/>
        </w:rPr>
        <w:cr/>
      </w:r>
      <w:r>
        <w:rPr>
          <w:rFonts w:ascii="Microsoft Sans Serif"/>
          <w:b/>
          <w:i/>
          <w:u w:val="single"/>
        </w:rPr>
        <w:t>ACCEPTS ELECTRONIC SERVICE-</w:t>
      </w:r>
    </w:p>
    <w:p w:rsidR="005F1EB6" w:rsidRDefault="005F1EB6" w:rsidP="005F1EB6">
      <w:pPr>
        <w:contextualSpacing/>
      </w:pPr>
    </w:p>
    <w:p w:rsidR="00FB0190" w:rsidRPr="00550B34" w:rsidRDefault="00FB0190" w:rsidP="00444E27"/>
    <w:sectPr w:rsidR="00FB0190" w:rsidRPr="00550B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00" w:rsidRDefault="00BF7F00">
      <w:r>
        <w:separator/>
      </w:r>
    </w:p>
  </w:endnote>
  <w:endnote w:type="continuationSeparator" w:id="0">
    <w:p w:rsidR="00BF7F00" w:rsidRDefault="00BF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F1EB6">
      <w:rPr>
        <w:rStyle w:val="PageNumber"/>
        <w:noProof/>
        <w:sz w:val="23"/>
        <w:szCs w:val="23"/>
      </w:rPr>
      <w:t>10</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00" w:rsidRDefault="00BF7F00">
      <w:r>
        <w:separator/>
      </w:r>
    </w:p>
  </w:footnote>
  <w:footnote w:type="continuationSeparator" w:id="0">
    <w:p w:rsidR="00BF7F00" w:rsidRDefault="00BF7F00">
      <w:r>
        <w:continuationSeparator/>
      </w:r>
    </w:p>
  </w:footnote>
  <w:footnote w:id="1">
    <w:p w:rsidR="00CD604F" w:rsidRPr="005B33EB" w:rsidRDefault="00CD604F" w:rsidP="00CD604F">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C-00957557, Opinion and Order (entered June 12, 1996). </w:t>
      </w:r>
    </w:p>
    <w:p w:rsidR="00CD604F" w:rsidRDefault="00CD604F" w:rsidP="00CD604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29B2"/>
    <w:rsid w:val="00063F87"/>
    <w:rsid w:val="00071CA9"/>
    <w:rsid w:val="00073240"/>
    <w:rsid w:val="00080E54"/>
    <w:rsid w:val="00081A6A"/>
    <w:rsid w:val="0008210E"/>
    <w:rsid w:val="000851FC"/>
    <w:rsid w:val="000878EC"/>
    <w:rsid w:val="00092274"/>
    <w:rsid w:val="0009371E"/>
    <w:rsid w:val="000A1610"/>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1711"/>
    <w:rsid w:val="00132928"/>
    <w:rsid w:val="00133F23"/>
    <w:rsid w:val="0013576E"/>
    <w:rsid w:val="00135EAF"/>
    <w:rsid w:val="0013770C"/>
    <w:rsid w:val="00140883"/>
    <w:rsid w:val="00141DCE"/>
    <w:rsid w:val="00142EE0"/>
    <w:rsid w:val="00143290"/>
    <w:rsid w:val="001441F9"/>
    <w:rsid w:val="00144EB5"/>
    <w:rsid w:val="00153529"/>
    <w:rsid w:val="001547B2"/>
    <w:rsid w:val="001611E5"/>
    <w:rsid w:val="001714A2"/>
    <w:rsid w:val="001767DF"/>
    <w:rsid w:val="00180A87"/>
    <w:rsid w:val="00181BAB"/>
    <w:rsid w:val="00182ECA"/>
    <w:rsid w:val="00183FF0"/>
    <w:rsid w:val="00185A9D"/>
    <w:rsid w:val="001860A1"/>
    <w:rsid w:val="00187495"/>
    <w:rsid w:val="00187940"/>
    <w:rsid w:val="001900E6"/>
    <w:rsid w:val="00190843"/>
    <w:rsid w:val="00192A66"/>
    <w:rsid w:val="00193F4C"/>
    <w:rsid w:val="0019509B"/>
    <w:rsid w:val="00197B84"/>
    <w:rsid w:val="001A1495"/>
    <w:rsid w:val="001A397D"/>
    <w:rsid w:val="001A62B0"/>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40576"/>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5465"/>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4D73"/>
    <w:rsid w:val="00345906"/>
    <w:rsid w:val="00345AF2"/>
    <w:rsid w:val="00347167"/>
    <w:rsid w:val="00353CE7"/>
    <w:rsid w:val="00360A2F"/>
    <w:rsid w:val="0036322E"/>
    <w:rsid w:val="00364A6D"/>
    <w:rsid w:val="00365D33"/>
    <w:rsid w:val="00366708"/>
    <w:rsid w:val="00366F51"/>
    <w:rsid w:val="00367E2E"/>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4E1"/>
    <w:rsid w:val="00476814"/>
    <w:rsid w:val="0048022D"/>
    <w:rsid w:val="00480D1C"/>
    <w:rsid w:val="00484CA9"/>
    <w:rsid w:val="00485942"/>
    <w:rsid w:val="00486F2F"/>
    <w:rsid w:val="00487C67"/>
    <w:rsid w:val="0049010E"/>
    <w:rsid w:val="004907E0"/>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470E2"/>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9641C"/>
    <w:rsid w:val="00596654"/>
    <w:rsid w:val="005A0C2C"/>
    <w:rsid w:val="005A268E"/>
    <w:rsid w:val="005A36C7"/>
    <w:rsid w:val="005A3B57"/>
    <w:rsid w:val="005A6A5B"/>
    <w:rsid w:val="005A6ACF"/>
    <w:rsid w:val="005B063C"/>
    <w:rsid w:val="005B49D8"/>
    <w:rsid w:val="005B6C33"/>
    <w:rsid w:val="005C038C"/>
    <w:rsid w:val="005C1B4B"/>
    <w:rsid w:val="005C7120"/>
    <w:rsid w:val="005D0602"/>
    <w:rsid w:val="005D092D"/>
    <w:rsid w:val="005D470C"/>
    <w:rsid w:val="005E5B28"/>
    <w:rsid w:val="005E7BB9"/>
    <w:rsid w:val="005F081B"/>
    <w:rsid w:val="005F179B"/>
    <w:rsid w:val="005F1EB6"/>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2FFA"/>
    <w:rsid w:val="007F6BDD"/>
    <w:rsid w:val="007F6F2B"/>
    <w:rsid w:val="007F7EA4"/>
    <w:rsid w:val="00801014"/>
    <w:rsid w:val="008027C4"/>
    <w:rsid w:val="00802923"/>
    <w:rsid w:val="00816880"/>
    <w:rsid w:val="00817C41"/>
    <w:rsid w:val="0082084D"/>
    <w:rsid w:val="00820EA8"/>
    <w:rsid w:val="008253A9"/>
    <w:rsid w:val="00830CF6"/>
    <w:rsid w:val="00835203"/>
    <w:rsid w:val="0083648A"/>
    <w:rsid w:val="008413F8"/>
    <w:rsid w:val="00842C17"/>
    <w:rsid w:val="008438CF"/>
    <w:rsid w:val="00843D58"/>
    <w:rsid w:val="00845486"/>
    <w:rsid w:val="008454B9"/>
    <w:rsid w:val="00845A5B"/>
    <w:rsid w:val="0084613F"/>
    <w:rsid w:val="00852A8C"/>
    <w:rsid w:val="00852B69"/>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E93"/>
    <w:rsid w:val="0091132C"/>
    <w:rsid w:val="00922597"/>
    <w:rsid w:val="009242C7"/>
    <w:rsid w:val="00926832"/>
    <w:rsid w:val="00933A0A"/>
    <w:rsid w:val="00935A17"/>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AFA"/>
    <w:rsid w:val="00A17814"/>
    <w:rsid w:val="00A21C65"/>
    <w:rsid w:val="00A24EEC"/>
    <w:rsid w:val="00A30723"/>
    <w:rsid w:val="00A319FB"/>
    <w:rsid w:val="00A33DC1"/>
    <w:rsid w:val="00A4123B"/>
    <w:rsid w:val="00A414F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2373"/>
    <w:rsid w:val="00A93FB7"/>
    <w:rsid w:val="00A97FF2"/>
    <w:rsid w:val="00AA23BA"/>
    <w:rsid w:val="00AA3B44"/>
    <w:rsid w:val="00AA3DE8"/>
    <w:rsid w:val="00AA5A3B"/>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D6EF7"/>
    <w:rsid w:val="00BE0854"/>
    <w:rsid w:val="00BE1ED2"/>
    <w:rsid w:val="00BE2FE3"/>
    <w:rsid w:val="00BE726C"/>
    <w:rsid w:val="00BF25F0"/>
    <w:rsid w:val="00BF3079"/>
    <w:rsid w:val="00BF341D"/>
    <w:rsid w:val="00BF3473"/>
    <w:rsid w:val="00BF5D32"/>
    <w:rsid w:val="00BF6876"/>
    <w:rsid w:val="00BF718F"/>
    <w:rsid w:val="00BF7F00"/>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5DCE"/>
    <w:rsid w:val="00C773A3"/>
    <w:rsid w:val="00C77DA0"/>
    <w:rsid w:val="00C843D7"/>
    <w:rsid w:val="00C86D82"/>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2A61"/>
    <w:rsid w:val="00CF326B"/>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3123C"/>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20D55"/>
    <w:rsid w:val="00E21F02"/>
    <w:rsid w:val="00E22703"/>
    <w:rsid w:val="00E2272C"/>
    <w:rsid w:val="00E24228"/>
    <w:rsid w:val="00E24C47"/>
    <w:rsid w:val="00E25125"/>
    <w:rsid w:val="00E27B5F"/>
    <w:rsid w:val="00E32F69"/>
    <w:rsid w:val="00E40843"/>
    <w:rsid w:val="00E41299"/>
    <w:rsid w:val="00E445D8"/>
    <w:rsid w:val="00E46ACA"/>
    <w:rsid w:val="00E47B07"/>
    <w:rsid w:val="00E50FFA"/>
    <w:rsid w:val="00E526F5"/>
    <w:rsid w:val="00E53FAB"/>
    <w:rsid w:val="00E5528B"/>
    <w:rsid w:val="00E5593B"/>
    <w:rsid w:val="00E63742"/>
    <w:rsid w:val="00E63F24"/>
    <w:rsid w:val="00E70A61"/>
    <w:rsid w:val="00E77251"/>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149"/>
    <w:rsid w:val="00EB5B7B"/>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F00D62"/>
    <w:rsid w:val="00F01005"/>
    <w:rsid w:val="00F0305C"/>
    <w:rsid w:val="00F03989"/>
    <w:rsid w:val="00F12B16"/>
    <w:rsid w:val="00F139D5"/>
    <w:rsid w:val="00F13DFB"/>
    <w:rsid w:val="00F1692D"/>
    <w:rsid w:val="00F17C06"/>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9081A"/>
    <w:rsid w:val="00F90A9D"/>
    <w:rsid w:val="00F91D36"/>
    <w:rsid w:val="00FA0DC0"/>
    <w:rsid w:val="00FA0E84"/>
    <w:rsid w:val="00FA5B52"/>
    <w:rsid w:val="00FA66AD"/>
    <w:rsid w:val="00FA73C3"/>
    <w:rsid w:val="00FA7A69"/>
    <w:rsid w:val="00FA7F14"/>
    <w:rsid w:val="00FB0190"/>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4ED6-82E2-4A3A-BEE5-E2B4E20B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Reitenbach, Dawn</cp:lastModifiedBy>
  <cp:revision>4</cp:revision>
  <cp:lastPrinted>2014-11-10T17:02:00Z</cp:lastPrinted>
  <dcterms:created xsi:type="dcterms:W3CDTF">2015-01-13T17:00:00Z</dcterms:created>
  <dcterms:modified xsi:type="dcterms:W3CDTF">2015-01-13T17:02:00Z</dcterms:modified>
</cp:coreProperties>
</file>