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D32284" w:rsidP="00D32284">
      <w:pPr>
        <w:spacing w:line="240" w:lineRule="auto"/>
        <w:rPr>
          <w:b/>
        </w:rPr>
      </w:pPr>
      <w:r>
        <w:rPr>
          <w:b/>
        </w:rPr>
        <w:t>BEFORE THE</w:t>
      </w:r>
    </w:p>
    <w:p w:rsidR="00D32284" w:rsidRDefault="00D32284" w:rsidP="00D32284">
      <w:pPr>
        <w:spacing w:line="240" w:lineRule="auto"/>
        <w:rPr>
          <w:b/>
        </w:rPr>
      </w:pPr>
      <w:r>
        <w:rPr>
          <w:b/>
        </w:rPr>
        <w:t>PENNSYLVANIA PUBLIC UTILITY COMMISSION</w:t>
      </w:r>
    </w:p>
    <w:p w:rsidR="00D32284" w:rsidRDefault="00D32284" w:rsidP="00D32284">
      <w:pPr>
        <w:spacing w:line="240" w:lineRule="auto"/>
        <w:rPr>
          <w:b/>
        </w:rPr>
      </w:pPr>
    </w:p>
    <w:p w:rsidR="00D32284" w:rsidRDefault="00D32284" w:rsidP="00D32284">
      <w:pPr>
        <w:spacing w:line="240" w:lineRule="auto"/>
        <w:rPr>
          <w:b/>
        </w:rPr>
      </w:pPr>
    </w:p>
    <w:p w:rsidR="00D32284" w:rsidRDefault="00D32284" w:rsidP="00D32284">
      <w:pPr>
        <w:spacing w:line="240" w:lineRule="auto"/>
        <w:jc w:val="left"/>
        <w:rPr>
          <w:b/>
        </w:rPr>
      </w:pPr>
    </w:p>
    <w:p w:rsidR="00D32284" w:rsidRDefault="00D32284" w:rsidP="00D32284">
      <w:pPr>
        <w:spacing w:line="240" w:lineRule="auto"/>
        <w:jc w:val="left"/>
      </w:pPr>
      <w:r>
        <w:t>Bernadette Williams</w:t>
      </w:r>
      <w:r>
        <w:tab/>
      </w:r>
      <w:r>
        <w:tab/>
      </w:r>
      <w:r>
        <w:tab/>
      </w:r>
      <w:r>
        <w:tab/>
      </w:r>
      <w:r w:rsidR="006023A7">
        <w:tab/>
      </w:r>
      <w:r>
        <w:t>:</w:t>
      </w:r>
    </w:p>
    <w:p w:rsidR="00D32284" w:rsidRDefault="00D32284" w:rsidP="00D32284">
      <w:pPr>
        <w:spacing w:line="240" w:lineRule="auto"/>
        <w:jc w:val="left"/>
      </w:pPr>
      <w:r>
        <w:tab/>
      </w:r>
      <w:r>
        <w:tab/>
      </w:r>
      <w:r>
        <w:tab/>
      </w:r>
      <w:r>
        <w:tab/>
      </w:r>
      <w:r>
        <w:tab/>
      </w:r>
      <w:r>
        <w:tab/>
      </w:r>
      <w:r w:rsidR="006023A7">
        <w:tab/>
      </w:r>
      <w:r>
        <w:t>:</w:t>
      </w:r>
    </w:p>
    <w:p w:rsidR="00D32284" w:rsidRDefault="00D32284" w:rsidP="00D32284">
      <w:pPr>
        <w:spacing w:line="240" w:lineRule="auto"/>
        <w:jc w:val="left"/>
      </w:pPr>
      <w:r>
        <w:tab/>
        <w:t>v.</w:t>
      </w:r>
      <w:r>
        <w:tab/>
      </w:r>
      <w:r>
        <w:tab/>
      </w:r>
      <w:r>
        <w:tab/>
      </w:r>
      <w:r>
        <w:tab/>
      </w:r>
      <w:r>
        <w:tab/>
      </w:r>
      <w:r w:rsidR="006023A7">
        <w:tab/>
        <w:t>:</w:t>
      </w:r>
      <w:r w:rsidR="006023A7">
        <w:tab/>
      </w:r>
      <w:r w:rsidR="006023A7">
        <w:tab/>
      </w:r>
      <w:r>
        <w:t>F-2014-</w:t>
      </w:r>
      <w:r w:rsidR="00E46EBA">
        <w:t>2</w:t>
      </w:r>
      <w:r>
        <w:t>443218</w:t>
      </w:r>
    </w:p>
    <w:p w:rsidR="00D32284" w:rsidRDefault="00D32284" w:rsidP="00D32284">
      <w:pPr>
        <w:spacing w:line="240" w:lineRule="auto"/>
        <w:jc w:val="left"/>
      </w:pPr>
      <w:r>
        <w:tab/>
      </w:r>
      <w:r>
        <w:tab/>
      </w:r>
      <w:r>
        <w:tab/>
      </w:r>
      <w:r>
        <w:tab/>
      </w:r>
      <w:r>
        <w:tab/>
      </w:r>
      <w:r>
        <w:tab/>
      </w:r>
      <w:r w:rsidR="006023A7">
        <w:tab/>
      </w:r>
      <w:r>
        <w:t>:</w:t>
      </w:r>
    </w:p>
    <w:p w:rsidR="00D32284" w:rsidRDefault="00D32284" w:rsidP="00D32284">
      <w:pPr>
        <w:spacing w:line="240" w:lineRule="auto"/>
        <w:jc w:val="left"/>
      </w:pPr>
      <w:r>
        <w:t>Philadelphia Gas Works</w:t>
      </w:r>
      <w:r>
        <w:tab/>
      </w:r>
      <w:r>
        <w:tab/>
      </w:r>
      <w:r>
        <w:tab/>
      </w:r>
      <w:r w:rsidR="006023A7">
        <w:tab/>
      </w:r>
      <w:r>
        <w:t>:</w:t>
      </w:r>
    </w:p>
    <w:p w:rsidR="00D32284" w:rsidRDefault="00D32284" w:rsidP="00D32284">
      <w:pPr>
        <w:spacing w:line="240" w:lineRule="auto"/>
        <w:jc w:val="left"/>
      </w:pPr>
    </w:p>
    <w:p w:rsidR="006023A7" w:rsidRDefault="006023A7" w:rsidP="00D32284">
      <w:pPr>
        <w:spacing w:line="240" w:lineRule="auto"/>
        <w:jc w:val="left"/>
      </w:pPr>
    </w:p>
    <w:p w:rsidR="00D32284" w:rsidRDefault="00D32284" w:rsidP="00D32284">
      <w:pPr>
        <w:spacing w:line="240" w:lineRule="auto"/>
      </w:pPr>
    </w:p>
    <w:p w:rsidR="00D32284" w:rsidRPr="006023A7" w:rsidRDefault="00D32284" w:rsidP="00D32284">
      <w:pPr>
        <w:spacing w:line="240" w:lineRule="auto"/>
        <w:rPr>
          <w:b/>
          <w:u w:val="single"/>
        </w:rPr>
      </w:pPr>
      <w:r w:rsidRPr="006023A7">
        <w:rPr>
          <w:b/>
          <w:u w:val="single"/>
        </w:rPr>
        <w:t>ORDER DENYING MOTION FOR CONTINUANCE</w:t>
      </w:r>
    </w:p>
    <w:p w:rsidR="00D32284" w:rsidRDefault="00D32284" w:rsidP="00D32284">
      <w:pPr>
        <w:spacing w:line="240" w:lineRule="auto"/>
        <w:rPr>
          <w:b/>
        </w:rPr>
      </w:pPr>
    </w:p>
    <w:p w:rsidR="006023A7" w:rsidRDefault="006023A7" w:rsidP="00D32284">
      <w:pPr>
        <w:spacing w:line="240" w:lineRule="auto"/>
        <w:rPr>
          <w:b/>
        </w:rPr>
      </w:pPr>
    </w:p>
    <w:p w:rsidR="00E86C53" w:rsidRDefault="00D32284" w:rsidP="00D32284">
      <w:pPr>
        <w:jc w:val="left"/>
      </w:pPr>
      <w:r>
        <w:tab/>
      </w:r>
      <w:r>
        <w:tab/>
        <w:t xml:space="preserve">On September 8, 2014, Bernadette Williams (Complainant) filed a formal Complaint </w:t>
      </w:r>
      <w:r w:rsidR="00E86C53">
        <w:t xml:space="preserve">alleging that Philadelphia Gas Works (PGW or Respondent) had terminated her residential gas service and </w:t>
      </w:r>
      <w:r w:rsidR="00E46EBA">
        <w:t>is</w:t>
      </w:r>
      <w:r w:rsidR="00E86C53">
        <w:t xml:space="preserve"> requiring $3,000.00 before they will turn it on again.  She asks for a payment arrangement as she can only afford $25.00 to $30.00 per month, based on her monthly income of $316. 00.  She states that she has a 10 year old son with a disability and that she does not want to be in the cold this winter.  This is a timely appeal of an informal decision of the Commission's Bureau of Consumer Services at BCS #3266089.</w:t>
      </w:r>
    </w:p>
    <w:p w:rsidR="00E86C53" w:rsidRDefault="00E86C53" w:rsidP="00D32284">
      <w:pPr>
        <w:jc w:val="left"/>
      </w:pPr>
    </w:p>
    <w:p w:rsidR="00E86C53" w:rsidRDefault="00E86C53" w:rsidP="00D32284">
      <w:pPr>
        <w:jc w:val="left"/>
      </w:pPr>
      <w:r>
        <w:tab/>
      </w:r>
      <w:r>
        <w:tab/>
        <w:t>The Complaint was served by the Commission's Secretary on September 18, 2014.</w:t>
      </w:r>
    </w:p>
    <w:p w:rsidR="00E86C53" w:rsidRDefault="00E86C53" w:rsidP="00D32284">
      <w:pPr>
        <w:jc w:val="left"/>
      </w:pPr>
    </w:p>
    <w:p w:rsidR="00B83E53" w:rsidRDefault="00E86C53" w:rsidP="00D32284">
      <w:pPr>
        <w:jc w:val="left"/>
      </w:pPr>
      <w:r>
        <w:tab/>
      </w:r>
      <w:r>
        <w:tab/>
        <w:t>On October 8, 2014, PGW filed its Answer admitting that the Complainant's service had been terminated on May 6, 2014.  PGW alleged further that service had been established on October 2, 2006, that on November 1, 201</w:t>
      </w:r>
      <w:r w:rsidR="00E46EBA">
        <w:t xml:space="preserve">1, </w:t>
      </w:r>
      <w:r>
        <w:t xml:space="preserve">the Complainant was enrolled in PGW's Customer Responsibility Program (CRP) with a beginning balance of $7,454.61 and a monthly CRP amount of $185.00.  </w:t>
      </w:r>
      <w:r w:rsidR="00B83E53">
        <w:t>At the time of termination, the account balance was $11,173.77.  Only two payments had been made during the prior 12 month period.</w:t>
      </w:r>
    </w:p>
    <w:p w:rsidR="00B83E53" w:rsidRDefault="00B83E53" w:rsidP="00D32284">
      <w:pPr>
        <w:jc w:val="left"/>
      </w:pPr>
    </w:p>
    <w:p w:rsidR="006023A7" w:rsidRDefault="00B83E53" w:rsidP="00D32284">
      <w:pPr>
        <w:jc w:val="left"/>
        <w:sectPr w:rsidR="006023A7" w:rsidSect="00E46EBA">
          <w:footerReference w:type="default" r:id="rId7"/>
          <w:footerReference w:type="first" r:id="rId8"/>
          <w:pgSz w:w="12240" w:h="15840"/>
          <w:pgMar w:top="1440" w:right="1440" w:bottom="1440" w:left="1440" w:header="720" w:footer="720" w:gutter="0"/>
          <w:cols w:space="720"/>
          <w:titlePg/>
          <w:docGrid w:linePitch="360"/>
        </w:sectPr>
      </w:pPr>
      <w:r>
        <w:tab/>
      </w:r>
      <w:r>
        <w:tab/>
        <w:t>On December 2, 2014, a Telephonic Hearing Notice was issued which scheduled a formal hearing for Wednesday, January 21, 2015,</w:t>
      </w:r>
      <w:r w:rsidR="00E86C53">
        <w:t xml:space="preserve"> </w:t>
      </w:r>
      <w:r>
        <w:t xml:space="preserve">and assigned the matter to me.  I issued a </w:t>
      </w:r>
    </w:p>
    <w:p w:rsidR="00D32284" w:rsidRDefault="00B83E53" w:rsidP="00D32284">
      <w:pPr>
        <w:jc w:val="left"/>
      </w:pPr>
      <w:proofErr w:type="gramStart"/>
      <w:r>
        <w:lastRenderedPageBreak/>
        <w:t>prehearing</w:t>
      </w:r>
      <w:proofErr w:type="gramEnd"/>
      <w:r>
        <w:t xml:space="preserve"> order on December 3, 2014, which set forth some of the requirements of a formal hearing before the Commission.  </w:t>
      </w:r>
    </w:p>
    <w:p w:rsidR="00B83E53" w:rsidRDefault="00B83E53" w:rsidP="00D32284">
      <w:pPr>
        <w:jc w:val="left"/>
      </w:pPr>
    </w:p>
    <w:p w:rsidR="00B83E53" w:rsidRDefault="00B83E53" w:rsidP="00D32284">
      <w:pPr>
        <w:jc w:val="left"/>
      </w:pPr>
      <w:r>
        <w:tab/>
      </w:r>
      <w:r>
        <w:tab/>
        <w:t xml:space="preserve">Among other things, the prehearing order directs PGW to contact the Complainant before the hearing in order to attempt to settle the matter. </w:t>
      </w:r>
    </w:p>
    <w:p w:rsidR="00B83E53" w:rsidRDefault="00B83E53" w:rsidP="00D32284">
      <w:pPr>
        <w:jc w:val="left"/>
      </w:pPr>
    </w:p>
    <w:p w:rsidR="00B83E53" w:rsidRDefault="00B83E53" w:rsidP="00D32284">
      <w:pPr>
        <w:jc w:val="left"/>
      </w:pPr>
      <w:r>
        <w:tab/>
      </w:r>
      <w:r>
        <w:tab/>
        <w:t xml:space="preserve">On January 14, 2015, PGW filed a Motion for Continuance, stating that it had left messages at both telephone numbers provided by the Complainant but that the calls had not been returned.  As justification for the continuance, PGW alleges that it is in the process of investigating recent issues related to the Complainant's account but has been unable make direct contact.  </w:t>
      </w:r>
    </w:p>
    <w:p w:rsidR="00B83E53" w:rsidRDefault="00B83E53" w:rsidP="00D32284">
      <w:pPr>
        <w:jc w:val="left"/>
      </w:pPr>
    </w:p>
    <w:p w:rsidR="00B83E53" w:rsidRDefault="00B83E53" w:rsidP="00D32284">
      <w:pPr>
        <w:jc w:val="left"/>
      </w:pPr>
      <w:r>
        <w:tab/>
      </w:r>
      <w:r>
        <w:tab/>
        <w:t>The prehearing order states that a continuance will be granted only in those rare instances where sufficient cause exists.  A vague reference to the investigation of unidentified issues and the failure of the Complainant to call the utility does not constitute sufficient cause.  Accordingly, the hearing will be held as scheduled.</w:t>
      </w:r>
    </w:p>
    <w:p w:rsidR="00B83E53" w:rsidRDefault="00B83E53" w:rsidP="00D32284">
      <w:pPr>
        <w:jc w:val="left"/>
      </w:pPr>
    </w:p>
    <w:p w:rsidR="00B83E53" w:rsidRDefault="00B83E53" w:rsidP="00D32284">
      <w:pPr>
        <w:jc w:val="left"/>
      </w:pPr>
      <w:r>
        <w:tab/>
      </w:r>
      <w:r>
        <w:tab/>
        <w:t>THEREFORE,</w:t>
      </w:r>
    </w:p>
    <w:p w:rsidR="00B83E53" w:rsidRDefault="00B83E53" w:rsidP="00D32284">
      <w:pPr>
        <w:jc w:val="left"/>
      </w:pPr>
    </w:p>
    <w:p w:rsidR="00B83E53" w:rsidRDefault="00B83E53" w:rsidP="00D32284">
      <w:pPr>
        <w:jc w:val="left"/>
      </w:pPr>
      <w:r>
        <w:tab/>
      </w:r>
      <w:r>
        <w:tab/>
        <w:t>IT IS ORDERED:</w:t>
      </w:r>
    </w:p>
    <w:p w:rsidR="00B83E53" w:rsidRDefault="00B83E53" w:rsidP="00D32284">
      <w:pPr>
        <w:jc w:val="left"/>
      </w:pPr>
    </w:p>
    <w:p w:rsidR="00B83E53" w:rsidRDefault="00B83E53" w:rsidP="00D32284">
      <w:pPr>
        <w:jc w:val="left"/>
      </w:pPr>
      <w:r>
        <w:tab/>
      </w:r>
      <w:r>
        <w:tab/>
        <w:t>1.</w:t>
      </w:r>
      <w:r>
        <w:tab/>
        <w:t xml:space="preserve">That the Motion for Continuance filed by Philadelphia Gas Works in the case captioned </w:t>
      </w:r>
      <w:r>
        <w:rPr>
          <w:i/>
        </w:rPr>
        <w:t>Bernadette Williams v. Philadelphia Gas Works</w:t>
      </w:r>
      <w:r w:rsidR="00E46EBA">
        <w:t>, filed at Docket No. F-2014-</w:t>
      </w:r>
      <w:proofErr w:type="gramStart"/>
      <w:r w:rsidR="00E46EBA">
        <w:t>2443218,</w:t>
      </w:r>
      <w:proofErr w:type="gramEnd"/>
      <w:r w:rsidR="00E46EBA">
        <w:t xml:space="preserve"> is denied.</w:t>
      </w:r>
    </w:p>
    <w:p w:rsidR="00E46EBA" w:rsidRDefault="00E46EBA" w:rsidP="00D32284">
      <w:pPr>
        <w:jc w:val="left"/>
      </w:pPr>
    </w:p>
    <w:p w:rsidR="00E46EBA" w:rsidRDefault="00E46EBA" w:rsidP="00D32284">
      <w:pPr>
        <w:jc w:val="left"/>
      </w:pPr>
      <w:r>
        <w:tab/>
      </w:r>
      <w:r>
        <w:tab/>
        <w:t>2.</w:t>
      </w:r>
      <w:r>
        <w:tab/>
        <w:t xml:space="preserve">That the formal hearing will be held as scheduled on Wednesday, January 21, 2014 at 10:00 am.  </w:t>
      </w:r>
    </w:p>
    <w:p w:rsidR="00E46EBA" w:rsidRDefault="00E46EBA" w:rsidP="00D32284">
      <w:pPr>
        <w:jc w:val="left"/>
      </w:pPr>
    </w:p>
    <w:p w:rsidR="006023A7" w:rsidRDefault="006023A7" w:rsidP="00D32284">
      <w:pPr>
        <w:jc w:val="left"/>
      </w:pPr>
    </w:p>
    <w:p w:rsidR="00E46EBA" w:rsidRDefault="00E46EBA" w:rsidP="00E46EBA">
      <w:pPr>
        <w:spacing w:line="240" w:lineRule="auto"/>
        <w:jc w:val="left"/>
      </w:pPr>
      <w:r w:rsidRPr="00E46EBA">
        <w:t>Dated:</w:t>
      </w:r>
      <w:r w:rsidRPr="00E46EBA">
        <w:tab/>
      </w:r>
      <w:r>
        <w:rPr>
          <w:u w:val="single"/>
        </w:rPr>
        <w:t>January 14, 2015</w:t>
      </w:r>
      <w:r>
        <w:tab/>
      </w:r>
      <w:r>
        <w:tab/>
      </w:r>
      <w:r>
        <w:tab/>
      </w:r>
      <w:r>
        <w:tab/>
      </w:r>
      <w:r>
        <w:tab/>
        <w:t>______________________________</w:t>
      </w:r>
    </w:p>
    <w:p w:rsidR="00E46EBA" w:rsidRDefault="00E46EBA" w:rsidP="00E46EBA">
      <w:pPr>
        <w:spacing w:line="240" w:lineRule="auto"/>
        <w:jc w:val="left"/>
      </w:pPr>
      <w:r>
        <w:tab/>
      </w:r>
      <w:r>
        <w:tab/>
      </w:r>
      <w:r>
        <w:tab/>
      </w:r>
      <w:r>
        <w:tab/>
      </w:r>
      <w:r>
        <w:tab/>
      </w:r>
      <w:r>
        <w:tab/>
      </w:r>
      <w:r>
        <w:tab/>
      </w:r>
      <w:r>
        <w:tab/>
        <w:t>Susan D. Colwell</w:t>
      </w:r>
    </w:p>
    <w:p w:rsidR="006023A7" w:rsidRDefault="00E46EBA" w:rsidP="00E46EBA">
      <w:pPr>
        <w:spacing w:line="240" w:lineRule="auto"/>
        <w:jc w:val="left"/>
        <w:sectPr w:rsidR="006023A7" w:rsidSect="00E46EBA">
          <w:footerReference w:type="first" r:id="rId9"/>
          <w:pgSz w:w="12240" w:h="15840"/>
          <w:pgMar w:top="1440" w:right="1440" w:bottom="1440" w:left="1440" w:header="720" w:footer="720" w:gutter="0"/>
          <w:cols w:space="720"/>
          <w:titlePg/>
          <w:docGrid w:linePitch="360"/>
        </w:sectPr>
      </w:pPr>
      <w:r>
        <w:tab/>
      </w:r>
      <w:r>
        <w:tab/>
      </w:r>
      <w:r>
        <w:tab/>
      </w:r>
      <w:r>
        <w:tab/>
      </w:r>
      <w:r>
        <w:tab/>
      </w:r>
      <w:r>
        <w:tab/>
      </w:r>
      <w:r>
        <w:tab/>
      </w:r>
      <w:r>
        <w:tab/>
        <w:t>Administrative Law Judge</w:t>
      </w:r>
      <w:r>
        <w:tab/>
      </w:r>
    </w:p>
    <w:p w:rsidR="00E46EBA" w:rsidRPr="00E46EBA" w:rsidRDefault="00E46EBA" w:rsidP="00E46EBA">
      <w:pPr>
        <w:spacing w:line="240" w:lineRule="auto"/>
        <w:jc w:val="left"/>
      </w:pPr>
    </w:p>
    <w:p w:rsidR="00C3367B" w:rsidRPr="00FD7700" w:rsidRDefault="00C3367B" w:rsidP="00F55F00">
      <w:pPr>
        <w:spacing w:line="240" w:lineRule="auto"/>
        <w:contextualSpacing/>
        <w:jc w:val="left"/>
        <w:rPr>
          <w:b/>
          <w:i/>
          <w:u w:val="single"/>
        </w:rPr>
      </w:pPr>
      <w:r>
        <w:rPr>
          <w:rFonts w:ascii="Microsoft Sans Serif"/>
          <w:b/>
          <w:u w:val="single"/>
        </w:rPr>
        <w:t>F-2014-2443218 - BERNADETTE WILLIAMS v. PHILADELPHIA GAS WORKS</w:t>
      </w:r>
      <w:r>
        <w:rPr>
          <w:rFonts w:ascii="Microsoft Sans Serif"/>
          <w:b/>
          <w:u w:val="single"/>
        </w:rPr>
        <w:cr/>
      </w:r>
      <w:r>
        <w:rPr>
          <w:rFonts w:ascii="Microsoft Sans Serif"/>
          <w:b/>
          <w:u w:val="single"/>
        </w:rPr>
        <w:cr/>
      </w:r>
      <w:r>
        <w:rPr>
          <w:rFonts w:ascii="Microsoft Sans Serif"/>
        </w:rPr>
        <w:t>BERNADETTE WILLIAMS</w:t>
      </w:r>
      <w:r>
        <w:rPr>
          <w:rFonts w:ascii="Microsoft Sans Serif"/>
        </w:rPr>
        <w:cr/>
        <w:t>6928 REED BIRD PLACE</w:t>
      </w:r>
      <w:r>
        <w:rPr>
          <w:rFonts w:ascii="Microsoft Sans Serif"/>
        </w:rPr>
        <w:cr/>
        <w:t>PHILADELPHIA PA  19142</w:t>
      </w:r>
      <w:r>
        <w:rPr>
          <w:rFonts w:ascii="Microsoft Sans Serif"/>
        </w:rPr>
        <w:cr/>
        <w:t>215.365.4648</w:t>
      </w:r>
      <w:r>
        <w:rPr>
          <w:rFonts w:ascii="Microsoft Sans Serif"/>
        </w:rPr>
        <w:cr/>
      </w:r>
      <w:r>
        <w:rPr>
          <w:rFonts w:ascii="Microsoft Sans Serif"/>
        </w:rPr>
        <w:cr/>
        <w:t>GRACIELA CHRISTLIEB ESQUIRE</w:t>
      </w:r>
      <w:r>
        <w:rPr>
          <w:rFonts w:ascii="Microsoft Sans Serif"/>
        </w:rPr>
        <w:cr/>
        <w:t>PHILADELPHIA GAS WORKS</w:t>
      </w:r>
      <w:r>
        <w:rPr>
          <w:rFonts w:ascii="Microsoft Sans Serif"/>
        </w:rPr>
        <w:cr/>
        <w:t>800 WEST MONTGOMERY AVENUE</w:t>
      </w:r>
      <w:r>
        <w:rPr>
          <w:rFonts w:ascii="Microsoft Sans Serif"/>
        </w:rPr>
        <w:cr/>
        <w:t>PHILADELPHIA PA  19122</w:t>
      </w:r>
      <w:r>
        <w:rPr>
          <w:rFonts w:ascii="Microsoft Sans Serif"/>
        </w:rPr>
        <w:cr/>
        <w:t>215.684.6164</w:t>
      </w:r>
      <w:r>
        <w:rPr>
          <w:rFonts w:ascii="Microsoft Sans Serif"/>
        </w:rPr>
        <w:cr/>
      </w:r>
      <w:bookmarkStart w:id="0" w:name="_GoBack"/>
      <w:bookmarkEnd w:id="0"/>
      <w:r>
        <w:rPr>
          <w:rFonts w:ascii="Microsoft Sans Serif"/>
          <w:b/>
          <w:i/>
          <w:u w:val="single"/>
        </w:rPr>
        <w:t>-ACCEPTS ELECTRONIC SERVICE-</w:t>
      </w:r>
    </w:p>
    <w:p w:rsidR="00E86C53" w:rsidRDefault="00E86C53" w:rsidP="00D32284">
      <w:pPr>
        <w:jc w:val="left"/>
      </w:pPr>
    </w:p>
    <w:p w:rsidR="00E86C53" w:rsidRPr="00D32284" w:rsidRDefault="00E86C53" w:rsidP="00D32284">
      <w:pPr>
        <w:jc w:val="left"/>
      </w:pPr>
      <w:r>
        <w:tab/>
      </w:r>
      <w:r>
        <w:tab/>
      </w:r>
    </w:p>
    <w:sectPr w:rsidR="00E86C53" w:rsidRPr="00D32284" w:rsidSect="00E46EBA">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6C6" w:rsidRDefault="006326C6" w:rsidP="00E46EBA">
      <w:pPr>
        <w:spacing w:line="240" w:lineRule="auto"/>
      </w:pPr>
      <w:r>
        <w:separator/>
      </w:r>
    </w:p>
  </w:endnote>
  <w:endnote w:type="continuationSeparator" w:id="0">
    <w:p w:rsidR="006326C6" w:rsidRDefault="006326C6" w:rsidP="00E46E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9690460"/>
      <w:docPartObj>
        <w:docPartGallery w:val="Page Numbers (Bottom of Page)"/>
        <w:docPartUnique/>
      </w:docPartObj>
    </w:sdtPr>
    <w:sdtEndPr>
      <w:rPr>
        <w:noProof/>
        <w:sz w:val="20"/>
        <w:szCs w:val="20"/>
      </w:rPr>
    </w:sdtEndPr>
    <w:sdtContent>
      <w:p w:rsidR="00E46EBA" w:rsidRPr="006023A7" w:rsidRDefault="00E46EBA">
        <w:pPr>
          <w:pStyle w:val="Footer"/>
          <w:rPr>
            <w:sz w:val="20"/>
            <w:szCs w:val="20"/>
          </w:rPr>
        </w:pPr>
        <w:r w:rsidRPr="006023A7">
          <w:rPr>
            <w:sz w:val="20"/>
            <w:szCs w:val="20"/>
          </w:rPr>
          <w:fldChar w:fldCharType="begin"/>
        </w:r>
        <w:r w:rsidRPr="006023A7">
          <w:rPr>
            <w:sz w:val="20"/>
            <w:szCs w:val="20"/>
          </w:rPr>
          <w:instrText xml:space="preserve"> PAGE   \* MERGEFORMAT </w:instrText>
        </w:r>
        <w:r w:rsidRPr="006023A7">
          <w:rPr>
            <w:sz w:val="20"/>
            <w:szCs w:val="20"/>
          </w:rPr>
          <w:fldChar w:fldCharType="separate"/>
        </w:r>
        <w:r w:rsidR="006023A7">
          <w:rPr>
            <w:noProof/>
            <w:sz w:val="20"/>
            <w:szCs w:val="20"/>
          </w:rPr>
          <w:t>3</w:t>
        </w:r>
        <w:r w:rsidRPr="006023A7">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3A7" w:rsidRDefault="006023A7">
    <w:pPr>
      <w:pStyle w:val="Footer"/>
    </w:pPr>
  </w:p>
  <w:p w:rsidR="006023A7" w:rsidRDefault="006023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286257"/>
      <w:docPartObj>
        <w:docPartGallery w:val="Page Numbers (Bottom of Page)"/>
        <w:docPartUnique/>
      </w:docPartObj>
    </w:sdtPr>
    <w:sdtEndPr>
      <w:rPr>
        <w:noProof/>
      </w:rPr>
    </w:sdtEndPr>
    <w:sdtContent>
      <w:p w:rsidR="006023A7" w:rsidRDefault="006023A7">
        <w:pPr>
          <w:pStyle w:val="Footer"/>
        </w:pPr>
        <w:r>
          <w:fldChar w:fldCharType="begin"/>
        </w:r>
        <w:r>
          <w:instrText xml:space="preserve"> PAGE   \* MERGEFORMAT </w:instrText>
        </w:r>
        <w:r>
          <w:fldChar w:fldCharType="separate"/>
        </w:r>
        <w:r w:rsidR="00F55F00">
          <w:rPr>
            <w:noProof/>
          </w:rPr>
          <w:t>2</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3A7" w:rsidRDefault="006023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6C6" w:rsidRDefault="006326C6" w:rsidP="00E46EBA">
      <w:pPr>
        <w:spacing w:line="240" w:lineRule="auto"/>
      </w:pPr>
      <w:r>
        <w:separator/>
      </w:r>
    </w:p>
  </w:footnote>
  <w:footnote w:type="continuationSeparator" w:id="0">
    <w:p w:rsidR="006326C6" w:rsidRDefault="006326C6" w:rsidP="00E46EB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284"/>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23A7"/>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C6"/>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6BF"/>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3E53"/>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367B"/>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8EE"/>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2284"/>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6EB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86C53"/>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5F00"/>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EBA"/>
    <w:pPr>
      <w:tabs>
        <w:tab w:val="center" w:pos="4680"/>
        <w:tab w:val="right" w:pos="9360"/>
      </w:tabs>
      <w:spacing w:line="240" w:lineRule="auto"/>
    </w:pPr>
  </w:style>
  <w:style w:type="character" w:customStyle="1" w:styleId="HeaderChar">
    <w:name w:val="Header Char"/>
    <w:basedOn w:val="DefaultParagraphFont"/>
    <w:link w:val="Header"/>
    <w:uiPriority w:val="99"/>
    <w:rsid w:val="00E46EBA"/>
  </w:style>
  <w:style w:type="paragraph" w:styleId="Footer">
    <w:name w:val="footer"/>
    <w:basedOn w:val="Normal"/>
    <w:link w:val="FooterChar"/>
    <w:uiPriority w:val="99"/>
    <w:unhideWhenUsed/>
    <w:rsid w:val="00E46EBA"/>
    <w:pPr>
      <w:tabs>
        <w:tab w:val="center" w:pos="4680"/>
        <w:tab w:val="right" w:pos="9360"/>
      </w:tabs>
      <w:spacing w:line="240" w:lineRule="auto"/>
    </w:pPr>
  </w:style>
  <w:style w:type="character" w:customStyle="1" w:styleId="FooterChar">
    <w:name w:val="Footer Char"/>
    <w:basedOn w:val="DefaultParagraphFont"/>
    <w:link w:val="Footer"/>
    <w:uiPriority w:val="99"/>
    <w:rsid w:val="00E46EBA"/>
  </w:style>
  <w:style w:type="paragraph" w:styleId="BalloonText">
    <w:name w:val="Balloon Text"/>
    <w:basedOn w:val="Normal"/>
    <w:link w:val="BalloonTextChar"/>
    <w:uiPriority w:val="99"/>
    <w:semiHidden/>
    <w:unhideWhenUsed/>
    <w:rsid w:val="00E46E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E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EBA"/>
    <w:pPr>
      <w:tabs>
        <w:tab w:val="center" w:pos="4680"/>
        <w:tab w:val="right" w:pos="9360"/>
      </w:tabs>
      <w:spacing w:line="240" w:lineRule="auto"/>
    </w:pPr>
  </w:style>
  <w:style w:type="character" w:customStyle="1" w:styleId="HeaderChar">
    <w:name w:val="Header Char"/>
    <w:basedOn w:val="DefaultParagraphFont"/>
    <w:link w:val="Header"/>
    <w:uiPriority w:val="99"/>
    <w:rsid w:val="00E46EBA"/>
  </w:style>
  <w:style w:type="paragraph" w:styleId="Footer">
    <w:name w:val="footer"/>
    <w:basedOn w:val="Normal"/>
    <w:link w:val="FooterChar"/>
    <w:uiPriority w:val="99"/>
    <w:unhideWhenUsed/>
    <w:rsid w:val="00E46EBA"/>
    <w:pPr>
      <w:tabs>
        <w:tab w:val="center" w:pos="4680"/>
        <w:tab w:val="right" w:pos="9360"/>
      </w:tabs>
      <w:spacing w:line="240" w:lineRule="auto"/>
    </w:pPr>
  </w:style>
  <w:style w:type="character" w:customStyle="1" w:styleId="FooterChar">
    <w:name w:val="Footer Char"/>
    <w:basedOn w:val="DefaultParagraphFont"/>
    <w:link w:val="Footer"/>
    <w:uiPriority w:val="99"/>
    <w:rsid w:val="00E46EBA"/>
  </w:style>
  <w:style w:type="paragraph" w:styleId="BalloonText">
    <w:name w:val="Balloon Text"/>
    <w:basedOn w:val="Normal"/>
    <w:link w:val="BalloonTextChar"/>
    <w:uiPriority w:val="99"/>
    <w:semiHidden/>
    <w:unhideWhenUsed/>
    <w:rsid w:val="00E46E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E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3</cp:revision>
  <cp:lastPrinted>2015-01-14T20:11:00Z</cp:lastPrinted>
  <dcterms:created xsi:type="dcterms:W3CDTF">2015-01-14T20:00:00Z</dcterms:created>
  <dcterms:modified xsi:type="dcterms:W3CDTF">2015-01-14T20:11:00Z</dcterms:modified>
</cp:coreProperties>
</file>