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6E" w:rsidRPr="0017656E" w:rsidRDefault="0017656E" w:rsidP="0017656E">
      <w:pPr>
        <w:rPr>
          <w:sz w:val="26"/>
          <w:szCs w:val="26"/>
        </w:rPr>
      </w:pPr>
    </w:p>
    <w:tbl>
      <w:tblPr>
        <w:tblW w:w="0" w:type="auto"/>
        <w:tblLayout w:type="fixed"/>
        <w:tblLook w:val="0000" w:firstRow="0" w:lastRow="0" w:firstColumn="0" w:lastColumn="0" w:noHBand="0" w:noVBand="0"/>
      </w:tblPr>
      <w:tblGrid>
        <w:gridCol w:w="2448"/>
        <w:gridCol w:w="2250"/>
        <w:gridCol w:w="1530"/>
        <w:gridCol w:w="450"/>
        <w:gridCol w:w="2880"/>
      </w:tblGrid>
      <w:tr w:rsidR="0017656E" w:rsidRPr="0017656E" w:rsidTr="002F3AFE">
        <w:tc>
          <w:tcPr>
            <w:tcW w:w="2448" w:type="dxa"/>
          </w:tcPr>
          <w:p w:rsidR="0017656E" w:rsidRPr="0017656E" w:rsidRDefault="0017656E" w:rsidP="002F3AFE">
            <w:pPr>
              <w:rPr>
                <w:sz w:val="26"/>
                <w:szCs w:val="26"/>
              </w:rPr>
            </w:pPr>
          </w:p>
        </w:tc>
        <w:tc>
          <w:tcPr>
            <w:tcW w:w="4230" w:type="dxa"/>
            <w:gridSpan w:val="3"/>
          </w:tcPr>
          <w:p w:rsidR="0017656E" w:rsidRPr="0017656E" w:rsidRDefault="0017656E" w:rsidP="002F3AFE">
            <w:pPr>
              <w:jc w:val="center"/>
              <w:rPr>
                <w:b/>
                <w:sz w:val="26"/>
                <w:szCs w:val="26"/>
              </w:rPr>
            </w:pPr>
            <w:r w:rsidRPr="0017656E">
              <w:rPr>
                <w:b/>
                <w:sz w:val="26"/>
                <w:szCs w:val="26"/>
              </w:rPr>
              <w:t>PENNSYLVANIA</w:t>
            </w:r>
          </w:p>
          <w:p w:rsidR="0017656E" w:rsidRPr="0017656E" w:rsidRDefault="0017656E" w:rsidP="002F3AFE">
            <w:pPr>
              <w:jc w:val="center"/>
              <w:rPr>
                <w:b/>
                <w:sz w:val="26"/>
                <w:szCs w:val="26"/>
              </w:rPr>
            </w:pPr>
            <w:r w:rsidRPr="0017656E">
              <w:rPr>
                <w:b/>
                <w:sz w:val="26"/>
                <w:szCs w:val="26"/>
              </w:rPr>
              <w:t>PUBLIC UTILITY COMMISSION</w:t>
            </w:r>
          </w:p>
          <w:p w:rsidR="0017656E" w:rsidRPr="0017656E" w:rsidRDefault="0017656E" w:rsidP="002F3AFE">
            <w:pPr>
              <w:jc w:val="center"/>
              <w:rPr>
                <w:sz w:val="26"/>
                <w:szCs w:val="26"/>
              </w:rPr>
            </w:pPr>
            <w:r w:rsidRPr="0017656E">
              <w:rPr>
                <w:b/>
                <w:sz w:val="26"/>
                <w:szCs w:val="26"/>
              </w:rPr>
              <w:t>Harrisburg, PA  17105-3265</w:t>
            </w:r>
          </w:p>
        </w:tc>
        <w:tc>
          <w:tcPr>
            <w:tcW w:w="2880" w:type="dxa"/>
          </w:tcPr>
          <w:p w:rsidR="0017656E" w:rsidRPr="0017656E" w:rsidRDefault="0017656E" w:rsidP="002F3AFE">
            <w:pPr>
              <w:rPr>
                <w:sz w:val="26"/>
                <w:szCs w:val="26"/>
              </w:rPr>
            </w:pPr>
          </w:p>
        </w:tc>
      </w:tr>
      <w:tr w:rsidR="0017656E" w:rsidRPr="0017656E" w:rsidTr="002F3AFE">
        <w:tc>
          <w:tcPr>
            <w:tcW w:w="2448" w:type="dxa"/>
          </w:tcPr>
          <w:p w:rsidR="0017656E" w:rsidRPr="0017656E" w:rsidRDefault="0017656E" w:rsidP="002F3AFE">
            <w:pPr>
              <w:rPr>
                <w:sz w:val="26"/>
                <w:szCs w:val="26"/>
              </w:rPr>
            </w:pPr>
          </w:p>
        </w:tc>
        <w:tc>
          <w:tcPr>
            <w:tcW w:w="4230" w:type="dxa"/>
            <w:gridSpan w:val="3"/>
          </w:tcPr>
          <w:p w:rsidR="0017656E" w:rsidRPr="0017656E" w:rsidRDefault="0017656E" w:rsidP="002F3AFE">
            <w:pPr>
              <w:jc w:val="center"/>
              <w:rPr>
                <w:b/>
                <w:sz w:val="26"/>
                <w:szCs w:val="26"/>
              </w:rPr>
            </w:pPr>
          </w:p>
        </w:tc>
        <w:tc>
          <w:tcPr>
            <w:tcW w:w="2880" w:type="dxa"/>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rPr>
                <w:sz w:val="26"/>
                <w:szCs w:val="26"/>
              </w:rPr>
            </w:pPr>
          </w:p>
        </w:tc>
        <w:tc>
          <w:tcPr>
            <w:tcW w:w="4860" w:type="dxa"/>
            <w:gridSpan w:val="3"/>
          </w:tcPr>
          <w:p w:rsidR="0017656E" w:rsidRPr="0017656E" w:rsidRDefault="0017656E" w:rsidP="0017656E">
            <w:pPr>
              <w:jc w:val="right"/>
              <w:rPr>
                <w:sz w:val="26"/>
                <w:szCs w:val="26"/>
                <w:highlight w:val="green"/>
              </w:rPr>
            </w:pPr>
            <w:r w:rsidRPr="0017656E">
              <w:rPr>
                <w:sz w:val="26"/>
                <w:szCs w:val="26"/>
              </w:rPr>
              <w:t xml:space="preserve">Public Meeting held </w:t>
            </w:r>
            <w:r>
              <w:rPr>
                <w:sz w:val="26"/>
                <w:szCs w:val="26"/>
              </w:rPr>
              <w:t>January 15, 2015</w:t>
            </w:r>
          </w:p>
        </w:tc>
      </w:tr>
      <w:tr w:rsidR="0017656E" w:rsidRPr="0017656E" w:rsidTr="002F3AFE">
        <w:tc>
          <w:tcPr>
            <w:tcW w:w="4698" w:type="dxa"/>
            <w:gridSpan w:val="2"/>
          </w:tcPr>
          <w:p w:rsidR="0017656E" w:rsidRPr="0017656E" w:rsidRDefault="0017656E" w:rsidP="002F3AFE">
            <w:pPr>
              <w:rPr>
                <w:sz w:val="26"/>
                <w:szCs w:val="26"/>
              </w:rPr>
            </w:pPr>
          </w:p>
          <w:p w:rsidR="0017656E" w:rsidRPr="0017656E" w:rsidRDefault="0017656E" w:rsidP="002F3AFE">
            <w:pPr>
              <w:rPr>
                <w:sz w:val="26"/>
                <w:szCs w:val="26"/>
              </w:rPr>
            </w:pPr>
          </w:p>
          <w:p w:rsidR="0017656E" w:rsidRPr="0017656E" w:rsidRDefault="0017656E" w:rsidP="002F3AFE">
            <w:pPr>
              <w:rPr>
                <w:sz w:val="26"/>
                <w:szCs w:val="26"/>
              </w:rPr>
            </w:pPr>
            <w:r w:rsidRPr="0017656E">
              <w:rPr>
                <w:sz w:val="26"/>
                <w:szCs w:val="26"/>
              </w:rPr>
              <w:t>Commissioners Present:</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rPr>
                <w:sz w:val="26"/>
                <w:szCs w:val="26"/>
              </w:rPr>
            </w:pP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r w:rsidRPr="0017656E">
              <w:rPr>
                <w:sz w:val="26"/>
                <w:szCs w:val="26"/>
              </w:rPr>
              <w:t>Robert F. Powelson, Chairman</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r w:rsidRPr="0017656E">
              <w:rPr>
                <w:sz w:val="26"/>
                <w:szCs w:val="26"/>
              </w:rPr>
              <w:t>John F. Coleman, Jr., Vice Chairman</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r w:rsidRPr="0017656E">
              <w:rPr>
                <w:sz w:val="26"/>
                <w:szCs w:val="26"/>
              </w:rPr>
              <w:t>James H. Cawley</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r w:rsidRPr="0017656E">
              <w:rPr>
                <w:sz w:val="26"/>
                <w:szCs w:val="26"/>
              </w:rPr>
              <w:t>Pamela A. Witmer</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r w:rsidRPr="0017656E">
              <w:rPr>
                <w:sz w:val="26"/>
                <w:szCs w:val="26"/>
              </w:rPr>
              <w:t>Gladys M. Brown</w:t>
            </w:r>
          </w:p>
        </w:tc>
        <w:tc>
          <w:tcPr>
            <w:tcW w:w="4860" w:type="dxa"/>
            <w:gridSpan w:val="3"/>
          </w:tcPr>
          <w:p w:rsidR="0017656E" w:rsidRPr="0017656E" w:rsidRDefault="0017656E" w:rsidP="002F3AFE">
            <w:pPr>
              <w:rPr>
                <w:sz w:val="26"/>
                <w:szCs w:val="26"/>
              </w:rPr>
            </w:pPr>
          </w:p>
        </w:tc>
      </w:tr>
      <w:tr w:rsidR="0017656E" w:rsidRPr="0017656E" w:rsidTr="002F3AFE">
        <w:tc>
          <w:tcPr>
            <w:tcW w:w="4698" w:type="dxa"/>
            <w:gridSpan w:val="2"/>
          </w:tcPr>
          <w:p w:rsidR="0017656E" w:rsidRPr="0017656E" w:rsidRDefault="0017656E" w:rsidP="002F3AFE">
            <w:pPr>
              <w:ind w:firstLine="450"/>
              <w:rPr>
                <w:sz w:val="26"/>
                <w:szCs w:val="26"/>
              </w:rPr>
            </w:pPr>
          </w:p>
        </w:tc>
        <w:tc>
          <w:tcPr>
            <w:tcW w:w="4860" w:type="dxa"/>
            <w:gridSpan w:val="3"/>
          </w:tcPr>
          <w:p w:rsidR="0017656E" w:rsidRPr="0017656E" w:rsidRDefault="0017656E" w:rsidP="002F3AFE">
            <w:pPr>
              <w:rPr>
                <w:sz w:val="26"/>
                <w:szCs w:val="26"/>
              </w:rPr>
            </w:pPr>
          </w:p>
        </w:tc>
      </w:tr>
      <w:tr w:rsidR="0017656E" w:rsidRPr="0017656E" w:rsidTr="002F3AFE">
        <w:tc>
          <w:tcPr>
            <w:tcW w:w="6228" w:type="dxa"/>
            <w:gridSpan w:val="3"/>
          </w:tcPr>
          <w:p w:rsidR="0017656E" w:rsidRPr="0017656E" w:rsidRDefault="0017656E" w:rsidP="002F3AFE">
            <w:pPr>
              <w:jc w:val="center"/>
              <w:rPr>
                <w:sz w:val="26"/>
                <w:szCs w:val="26"/>
                <w:highlight w:val="green"/>
              </w:rPr>
            </w:pPr>
          </w:p>
        </w:tc>
        <w:tc>
          <w:tcPr>
            <w:tcW w:w="3330" w:type="dxa"/>
            <w:gridSpan w:val="2"/>
          </w:tcPr>
          <w:p w:rsidR="0017656E" w:rsidRPr="0017656E" w:rsidRDefault="0017656E" w:rsidP="002F3AFE">
            <w:pPr>
              <w:ind w:firstLine="1332"/>
              <w:rPr>
                <w:sz w:val="26"/>
                <w:szCs w:val="26"/>
                <w:highlight w:val="green"/>
              </w:rPr>
            </w:pPr>
          </w:p>
        </w:tc>
      </w:tr>
      <w:tr w:rsidR="0017656E" w:rsidRPr="0017656E" w:rsidTr="002F3AFE">
        <w:tc>
          <w:tcPr>
            <w:tcW w:w="4698" w:type="dxa"/>
            <w:gridSpan w:val="2"/>
            <w:vAlign w:val="center"/>
          </w:tcPr>
          <w:p w:rsidR="0017656E" w:rsidRDefault="0017656E" w:rsidP="00564364">
            <w:pPr>
              <w:rPr>
                <w:sz w:val="26"/>
                <w:szCs w:val="26"/>
              </w:rPr>
            </w:pPr>
            <w:r w:rsidRPr="0017656E">
              <w:rPr>
                <w:sz w:val="26"/>
                <w:szCs w:val="26"/>
              </w:rPr>
              <w:t>Pennsylvania Public Utility Commission</w:t>
            </w:r>
          </w:p>
          <w:p w:rsidR="00E47B93" w:rsidRPr="0017656E" w:rsidRDefault="00E47B93" w:rsidP="002F3AFE">
            <w:pPr>
              <w:jc w:val="center"/>
              <w:rPr>
                <w:sz w:val="26"/>
                <w:szCs w:val="26"/>
              </w:rPr>
            </w:pPr>
          </w:p>
          <w:p w:rsidR="0017656E" w:rsidRPr="0017656E" w:rsidRDefault="0017656E" w:rsidP="002F3AFE">
            <w:pPr>
              <w:tabs>
                <w:tab w:val="left" w:pos="1455"/>
              </w:tabs>
              <w:jc w:val="center"/>
              <w:rPr>
                <w:sz w:val="26"/>
                <w:szCs w:val="26"/>
              </w:rPr>
            </w:pPr>
            <w:r w:rsidRPr="0017656E">
              <w:rPr>
                <w:sz w:val="26"/>
                <w:szCs w:val="26"/>
              </w:rPr>
              <w:t>v.</w:t>
            </w:r>
          </w:p>
          <w:p w:rsidR="0017656E" w:rsidRDefault="0017656E" w:rsidP="002F3AFE">
            <w:pPr>
              <w:jc w:val="center"/>
              <w:rPr>
                <w:sz w:val="26"/>
                <w:szCs w:val="26"/>
              </w:rPr>
            </w:pPr>
          </w:p>
          <w:p w:rsidR="0017656E" w:rsidRPr="0017656E" w:rsidRDefault="0017656E" w:rsidP="0017656E">
            <w:pPr>
              <w:rPr>
                <w:sz w:val="26"/>
                <w:szCs w:val="26"/>
              </w:rPr>
            </w:pPr>
            <w:r w:rsidRPr="0017656E">
              <w:rPr>
                <w:sz w:val="26"/>
                <w:szCs w:val="26"/>
              </w:rPr>
              <w:t>PPL Electric Utilities Corporation</w:t>
            </w:r>
          </w:p>
        </w:tc>
        <w:tc>
          <w:tcPr>
            <w:tcW w:w="1530" w:type="dxa"/>
            <w:vAlign w:val="center"/>
          </w:tcPr>
          <w:p w:rsidR="0017656E" w:rsidRPr="0017656E" w:rsidRDefault="0017656E" w:rsidP="002F3AFE">
            <w:pPr>
              <w:jc w:val="center"/>
              <w:rPr>
                <w:sz w:val="26"/>
                <w:szCs w:val="26"/>
              </w:rPr>
            </w:pPr>
          </w:p>
        </w:tc>
        <w:tc>
          <w:tcPr>
            <w:tcW w:w="3330" w:type="dxa"/>
            <w:gridSpan w:val="2"/>
          </w:tcPr>
          <w:p w:rsidR="0017656E" w:rsidRPr="0017656E" w:rsidRDefault="0017656E" w:rsidP="002F3AFE">
            <w:pPr>
              <w:rPr>
                <w:sz w:val="26"/>
                <w:szCs w:val="26"/>
              </w:rPr>
            </w:pPr>
            <w:r w:rsidRPr="0017656E">
              <w:rPr>
                <w:sz w:val="26"/>
                <w:szCs w:val="26"/>
              </w:rPr>
              <w:t>R-2012-2290597</w:t>
            </w:r>
          </w:p>
          <w:p w:rsidR="0017656E" w:rsidRPr="0017656E" w:rsidRDefault="0017656E" w:rsidP="002F3AFE">
            <w:pPr>
              <w:rPr>
                <w:i/>
                <w:sz w:val="26"/>
                <w:szCs w:val="26"/>
              </w:rPr>
            </w:pPr>
          </w:p>
        </w:tc>
      </w:tr>
      <w:tr w:rsidR="0017656E" w:rsidRPr="0017656E" w:rsidTr="002F3AFE">
        <w:tc>
          <w:tcPr>
            <w:tcW w:w="6228" w:type="dxa"/>
            <w:gridSpan w:val="3"/>
          </w:tcPr>
          <w:p w:rsidR="0017656E" w:rsidRPr="0017656E" w:rsidRDefault="0017656E" w:rsidP="002F3AFE">
            <w:pPr>
              <w:jc w:val="center"/>
              <w:rPr>
                <w:sz w:val="26"/>
                <w:szCs w:val="26"/>
              </w:rPr>
            </w:pPr>
          </w:p>
        </w:tc>
        <w:tc>
          <w:tcPr>
            <w:tcW w:w="3330" w:type="dxa"/>
            <w:gridSpan w:val="2"/>
          </w:tcPr>
          <w:p w:rsidR="0017656E" w:rsidRPr="0017656E" w:rsidRDefault="0017656E" w:rsidP="002F3AFE">
            <w:pPr>
              <w:ind w:firstLine="1332"/>
              <w:rPr>
                <w:sz w:val="26"/>
                <w:szCs w:val="26"/>
              </w:rPr>
            </w:pPr>
          </w:p>
        </w:tc>
      </w:tr>
      <w:tr w:rsidR="0017656E" w:rsidRPr="0017656E" w:rsidTr="002F3AFE">
        <w:tc>
          <w:tcPr>
            <w:tcW w:w="6228" w:type="dxa"/>
            <w:gridSpan w:val="3"/>
          </w:tcPr>
          <w:p w:rsidR="0017656E" w:rsidRPr="0017656E" w:rsidRDefault="0017656E" w:rsidP="0017656E">
            <w:pPr>
              <w:rPr>
                <w:sz w:val="26"/>
                <w:szCs w:val="26"/>
              </w:rPr>
            </w:pPr>
          </w:p>
        </w:tc>
        <w:tc>
          <w:tcPr>
            <w:tcW w:w="3330" w:type="dxa"/>
            <w:gridSpan w:val="2"/>
          </w:tcPr>
          <w:p w:rsidR="0017656E" w:rsidRPr="0017656E" w:rsidRDefault="0017656E" w:rsidP="002F3AFE">
            <w:pPr>
              <w:ind w:firstLine="1332"/>
              <w:rPr>
                <w:sz w:val="26"/>
                <w:szCs w:val="26"/>
              </w:rPr>
            </w:pPr>
          </w:p>
        </w:tc>
      </w:tr>
    </w:tbl>
    <w:p w:rsidR="0017656E" w:rsidRPr="0017656E" w:rsidRDefault="0017656E" w:rsidP="0017656E">
      <w:pPr>
        <w:jc w:val="center"/>
        <w:rPr>
          <w:sz w:val="26"/>
          <w:szCs w:val="26"/>
        </w:rPr>
      </w:pPr>
      <w:r w:rsidRPr="0017656E">
        <w:rPr>
          <w:b/>
          <w:sz w:val="26"/>
          <w:szCs w:val="26"/>
        </w:rPr>
        <w:t>OPINION AND ORDER</w:t>
      </w:r>
    </w:p>
    <w:p w:rsidR="0017656E" w:rsidRPr="0017656E" w:rsidRDefault="0017656E" w:rsidP="0017656E">
      <w:pPr>
        <w:spacing w:line="360" w:lineRule="auto"/>
        <w:rPr>
          <w:b/>
          <w:sz w:val="26"/>
          <w:szCs w:val="26"/>
        </w:rPr>
      </w:pPr>
    </w:p>
    <w:p w:rsidR="0017656E" w:rsidRPr="0017656E" w:rsidRDefault="0017656E" w:rsidP="0017656E">
      <w:pPr>
        <w:spacing w:line="360" w:lineRule="auto"/>
        <w:rPr>
          <w:b/>
          <w:sz w:val="26"/>
          <w:szCs w:val="26"/>
        </w:rPr>
      </w:pPr>
      <w:r>
        <w:rPr>
          <w:b/>
          <w:sz w:val="26"/>
          <w:szCs w:val="26"/>
        </w:rPr>
        <w:t>BY THE COMMISSION:</w:t>
      </w:r>
    </w:p>
    <w:p w:rsidR="0017656E" w:rsidRDefault="0017656E" w:rsidP="00761956">
      <w:pPr>
        <w:rPr>
          <w:sz w:val="26"/>
          <w:szCs w:val="26"/>
        </w:rPr>
      </w:pPr>
    </w:p>
    <w:p w:rsidR="00DF3A3E" w:rsidRDefault="00761956" w:rsidP="00761956">
      <w:pPr>
        <w:spacing w:line="360" w:lineRule="auto"/>
        <w:ind w:firstLine="1440"/>
        <w:rPr>
          <w:sz w:val="26"/>
          <w:szCs w:val="26"/>
        </w:rPr>
      </w:pPr>
      <w:r>
        <w:rPr>
          <w:sz w:val="26"/>
          <w:szCs w:val="26"/>
        </w:rPr>
        <w:t xml:space="preserve">Before the Pennsylvania Public Utility Commission (Commission) for </w:t>
      </w:r>
      <w:r w:rsidR="0093208A">
        <w:rPr>
          <w:sz w:val="26"/>
          <w:szCs w:val="26"/>
        </w:rPr>
        <w:t>consideration</w:t>
      </w:r>
      <w:r w:rsidR="001F58FE">
        <w:rPr>
          <w:sz w:val="26"/>
          <w:szCs w:val="26"/>
        </w:rPr>
        <w:t xml:space="preserve"> and dispos</w:t>
      </w:r>
      <w:r w:rsidR="00797047">
        <w:rPr>
          <w:sz w:val="26"/>
          <w:szCs w:val="26"/>
        </w:rPr>
        <w:t>i</w:t>
      </w:r>
      <w:r w:rsidR="001F58FE">
        <w:rPr>
          <w:sz w:val="26"/>
          <w:szCs w:val="26"/>
        </w:rPr>
        <w:t>tion</w:t>
      </w:r>
      <w:r>
        <w:rPr>
          <w:sz w:val="26"/>
          <w:szCs w:val="26"/>
        </w:rPr>
        <w:t xml:space="preserve"> </w:t>
      </w:r>
      <w:r w:rsidR="00104F51">
        <w:rPr>
          <w:sz w:val="26"/>
          <w:szCs w:val="26"/>
        </w:rPr>
        <w:t>is the Order</w:t>
      </w:r>
      <w:r w:rsidR="0093208A">
        <w:rPr>
          <w:sz w:val="26"/>
          <w:szCs w:val="26"/>
        </w:rPr>
        <w:t>,</w:t>
      </w:r>
      <w:r w:rsidR="00104F51">
        <w:rPr>
          <w:sz w:val="26"/>
          <w:szCs w:val="26"/>
        </w:rPr>
        <w:t xml:space="preserve"> </w:t>
      </w:r>
      <w:r w:rsidR="0093208A">
        <w:rPr>
          <w:sz w:val="26"/>
          <w:szCs w:val="26"/>
        </w:rPr>
        <w:t>“</w:t>
      </w:r>
      <w:r w:rsidR="00104F51">
        <w:rPr>
          <w:sz w:val="26"/>
          <w:szCs w:val="26"/>
        </w:rPr>
        <w:t>Certif</w:t>
      </w:r>
      <w:r w:rsidR="0093208A">
        <w:rPr>
          <w:sz w:val="26"/>
          <w:szCs w:val="26"/>
        </w:rPr>
        <w:t>ication of</w:t>
      </w:r>
      <w:r w:rsidR="00104F51">
        <w:rPr>
          <w:sz w:val="26"/>
          <w:szCs w:val="26"/>
        </w:rPr>
        <w:t xml:space="preserve"> </w:t>
      </w:r>
      <w:r w:rsidR="0093208A">
        <w:rPr>
          <w:sz w:val="26"/>
          <w:szCs w:val="26"/>
        </w:rPr>
        <w:t xml:space="preserve">a </w:t>
      </w:r>
      <w:r w:rsidR="00104F51">
        <w:rPr>
          <w:sz w:val="26"/>
          <w:szCs w:val="26"/>
        </w:rPr>
        <w:t xml:space="preserve">Material Question </w:t>
      </w:r>
      <w:r w:rsidR="0093208A">
        <w:rPr>
          <w:sz w:val="26"/>
          <w:szCs w:val="26"/>
        </w:rPr>
        <w:t>to the Commission”</w:t>
      </w:r>
      <w:r w:rsidR="00797047">
        <w:rPr>
          <w:sz w:val="26"/>
          <w:szCs w:val="26"/>
        </w:rPr>
        <w:t xml:space="preserve"> (</w:t>
      </w:r>
      <w:r w:rsidR="00797047" w:rsidRPr="00564364">
        <w:rPr>
          <w:i/>
          <w:sz w:val="26"/>
          <w:szCs w:val="26"/>
        </w:rPr>
        <w:t>Certification Order</w:t>
      </w:r>
      <w:r w:rsidR="00797047">
        <w:rPr>
          <w:sz w:val="26"/>
          <w:szCs w:val="26"/>
        </w:rPr>
        <w:t>),</w:t>
      </w:r>
      <w:r w:rsidR="0093208A">
        <w:rPr>
          <w:sz w:val="26"/>
          <w:szCs w:val="26"/>
        </w:rPr>
        <w:t xml:space="preserve"> </w:t>
      </w:r>
      <w:r w:rsidR="00104F51">
        <w:rPr>
          <w:sz w:val="26"/>
          <w:szCs w:val="26"/>
        </w:rPr>
        <w:t xml:space="preserve">issued by </w:t>
      </w:r>
      <w:r>
        <w:rPr>
          <w:color w:val="000000"/>
          <w:sz w:val="26"/>
        </w:rPr>
        <w:t xml:space="preserve">Administrative Law Judge (ALJ) </w:t>
      </w:r>
      <w:r w:rsidR="00104F51">
        <w:rPr>
          <w:color w:val="000000"/>
          <w:sz w:val="26"/>
        </w:rPr>
        <w:t>Susan D. Colwell on January 1</w:t>
      </w:r>
      <w:r w:rsidR="00375E16">
        <w:rPr>
          <w:color w:val="000000"/>
          <w:sz w:val="26"/>
        </w:rPr>
        <w:t>2</w:t>
      </w:r>
      <w:r w:rsidR="00104F51">
        <w:rPr>
          <w:color w:val="000000"/>
          <w:sz w:val="26"/>
        </w:rPr>
        <w:t>, 2015</w:t>
      </w:r>
      <w:r w:rsidR="0017656E">
        <w:rPr>
          <w:color w:val="000000"/>
          <w:sz w:val="26"/>
        </w:rPr>
        <w:t>, in the above-captioned proceeding</w:t>
      </w:r>
      <w:r>
        <w:rPr>
          <w:color w:val="000000"/>
          <w:sz w:val="26"/>
        </w:rPr>
        <w:t>.</w:t>
      </w:r>
      <w:r w:rsidR="0093208A">
        <w:rPr>
          <w:color w:val="000000"/>
          <w:sz w:val="26"/>
        </w:rPr>
        <w:t xml:space="preserve">  </w:t>
      </w:r>
      <w:r w:rsidR="0093208A" w:rsidRPr="00515A83">
        <w:rPr>
          <w:sz w:val="26"/>
          <w:szCs w:val="26"/>
        </w:rPr>
        <w:t>The purpose of th</w:t>
      </w:r>
      <w:r w:rsidR="0093208A">
        <w:rPr>
          <w:sz w:val="26"/>
          <w:szCs w:val="26"/>
        </w:rPr>
        <w:t>e</w:t>
      </w:r>
      <w:r w:rsidR="0093208A" w:rsidRPr="00515A83">
        <w:rPr>
          <w:sz w:val="26"/>
          <w:szCs w:val="26"/>
        </w:rPr>
        <w:t xml:space="preserve"> </w:t>
      </w:r>
      <w:r w:rsidR="007E679A" w:rsidRPr="00564364">
        <w:rPr>
          <w:i/>
          <w:sz w:val="26"/>
          <w:szCs w:val="26"/>
        </w:rPr>
        <w:t>Certification Order</w:t>
      </w:r>
      <w:r w:rsidR="007E679A">
        <w:rPr>
          <w:sz w:val="26"/>
          <w:szCs w:val="26"/>
        </w:rPr>
        <w:t xml:space="preserve"> </w:t>
      </w:r>
      <w:r w:rsidR="0093208A" w:rsidRPr="00515A83">
        <w:rPr>
          <w:sz w:val="26"/>
          <w:szCs w:val="26"/>
        </w:rPr>
        <w:t xml:space="preserve">is to seek Commission authority to terminate the investigation </w:t>
      </w:r>
      <w:r w:rsidR="00A87552">
        <w:rPr>
          <w:sz w:val="26"/>
          <w:szCs w:val="26"/>
        </w:rPr>
        <w:t xml:space="preserve">at Docket No. R-2012-2290597 into </w:t>
      </w:r>
      <w:r w:rsidR="00A87552" w:rsidRPr="007818F5">
        <w:rPr>
          <w:sz w:val="26"/>
          <w:szCs w:val="26"/>
        </w:rPr>
        <w:t>PPL Electric Utilities Corporation</w:t>
      </w:r>
      <w:r w:rsidR="00A87552">
        <w:rPr>
          <w:sz w:val="26"/>
          <w:szCs w:val="26"/>
        </w:rPr>
        <w:t>’</w:t>
      </w:r>
      <w:r w:rsidR="00A87552" w:rsidRPr="007818F5">
        <w:rPr>
          <w:sz w:val="26"/>
          <w:szCs w:val="26"/>
        </w:rPr>
        <w:t xml:space="preserve">s proposed </w:t>
      </w:r>
      <w:r w:rsidR="007E679A">
        <w:rPr>
          <w:sz w:val="26"/>
          <w:szCs w:val="26"/>
        </w:rPr>
        <w:t>S</w:t>
      </w:r>
      <w:r w:rsidR="00A87552" w:rsidRPr="007818F5">
        <w:rPr>
          <w:sz w:val="26"/>
          <w:szCs w:val="26"/>
        </w:rPr>
        <w:t>upplement No. 165 to Tariff – Electric Pa. P.U.C. No. 201</w:t>
      </w:r>
      <w:r w:rsidR="0025098C" w:rsidRPr="0025098C">
        <w:rPr>
          <w:sz w:val="26"/>
          <w:szCs w:val="26"/>
        </w:rPr>
        <w:t xml:space="preserve"> </w:t>
      </w:r>
      <w:r w:rsidR="0025098C" w:rsidRPr="00515A83">
        <w:rPr>
          <w:sz w:val="26"/>
          <w:szCs w:val="26"/>
        </w:rPr>
        <w:t>implement</w:t>
      </w:r>
      <w:r w:rsidR="0025098C">
        <w:rPr>
          <w:sz w:val="26"/>
          <w:szCs w:val="26"/>
        </w:rPr>
        <w:t>ing</w:t>
      </w:r>
      <w:r w:rsidR="0025098C" w:rsidRPr="00515A83">
        <w:rPr>
          <w:sz w:val="26"/>
          <w:szCs w:val="26"/>
        </w:rPr>
        <w:t xml:space="preserve"> </w:t>
      </w:r>
      <w:r w:rsidR="0025098C">
        <w:rPr>
          <w:sz w:val="26"/>
          <w:szCs w:val="26"/>
        </w:rPr>
        <w:t>an</w:t>
      </w:r>
      <w:r w:rsidR="0025098C" w:rsidRPr="00515A83">
        <w:rPr>
          <w:sz w:val="26"/>
          <w:szCs w:val="26"/>
        </w:rPr>
        <w:t xml:space="preserve"> initial Storm Damage Expense Rider (SDER) for the period January 1, 2015 through December 31, 2015</w:t>
      </w:r>
      <w:r w:rsidR="00DF3A3E">
        <w:rPr>
          <w:sz w:val="26"/>
          <w:szCs w:val="26"/>
        </w:rPr>
        <w:t>.  This investigation</w:t>
      </w:r>
      <w:r w:rsidR="0093208A">
        <w:rPr>
          <w:sz w:val="26"/>
          <w:szCs w:val="26"/>
        </w:rPr>
        <w:t xml:space="preserve"> was initiated </w:t>
      </w:r>
      <w:r w:rsidR="0093208A" w:rsidRPr="00515A83">
        <w:rPr>
          <w:sz w:val="26"/>
          <w:szCs w:val="26"/>
        </w:rPr>
        <w:t>by Order of December 18, 2014</w:t>
      </w:r>
      <w:r w:rsidR="00797047">
        <w:rPr>
          <w:sz w:val="26"/>
          <w:szCs w:val="26"/>
        </w:rPr>
        <w:t xml:space="preserve"> (</w:t>
      </w:r>
      <w:r w:rsidR="00797047" w:rsidRPr="00564364">
        <w:rPr>
          <w:i/>
          <w:sz w:val="26"/>
          <w:szCs w:val="26"/>
        </w:rPr>
        <w:t xml:space="preserve">December </w:t>
      </w:r>
      <w:r w:rsidR="00797047" w:rsidRPr="00564364">
        <w:rPr>
          <w:i/>
          <w:sz w:val="26"/>
          <w:szCs w:val="26"/>
        </w:rPr>
        <w:lastRenderedPageBreak/>
        <w:t>2014 Order</w:t>
      </w:r>
      <w:r w:rsidR="00797047">
        <w:rPr>
          <w:sz w:val="26"/>
          <w:szCs w:val="26"/>
        </w:rPr>
        <w:t>)</w:t>
      </w:r>
      <w:r w:rsidR="008B293E">
        <w:rPr>
          <w:sz w:val="26"/>
          <w:szCs w:val="26"/>
        </w:rPr>
        <w:t>.  Authority to terminate the investigation is</w:t>
      </w:r>
      <w:r w:rsidR="0093208A" w:rsidRPr="00515A83">
        <w:rPr>
          <w:sz w:val="26"/>
          <w:szCs w:val="26"/>
        </w:rPr>
        <w:t xml:space="preserve"> </w:t>
      </w:r>
      <w:r w:rsidR="00DF3A3E">
        <w:rPr>
          <w:sz w:val="26"/>
          <w:szCs w:val="26"/>
        </w:rPr>
        <w:t xml:space="preserve">sought </w:t>
      </w:r>
      <w:r w:rsidR="000114BF">
        <w:rPr>
          <w:sz w:val="26"/>
          <w:szCs w:val="26"/>
        </w:rPr>
        <w:t>based on</w:t>
      </w:r>
      <w:r w:rsidR="0093208A" w:rsidRPr="00515A83">
        <w:rPr>
          <w:sz w:val="26"/>
          <w:szCs w:val="26"/>
        </w:rPr>
        <w:t xml:space="preserve"> the withdrawal of </w:t>
      </w:r>
      <w:r w:rsidR="0093208A">
        <w:rPr>
          <w:sz w:val="26"/>
          <w:szCs w:val="26"/>
        </w:rPr>
        <w:t>a</w:t>
      </w:r>
      <w:r w:rsidR="0093208A" w:rsidRPr="00515A83">
        <w:rPr>
          <w:sz w:val="26"/>
          <w:szCs w:val="26"/>
        </w:rPr>
        <w:t xml:space="preserve"> </w:t>
      </w:r>
      <w:r w:rsidR="0093208A">
        <w:rPr>
          <w:sz w:val="26"/>
          <w:szCs w:val="26"/>
        </w:rPr>
        <w:t>F</w:t>
      </w:r>
      <w:r w:rsidR="0093208A" w:rsidRPr="00515A83">
        <w:rPr>
          <w:sz w:val="26"/>
          <w:szCs w:val="26"/>
        </w:rPr>
        <w:t xml:space="preserve">ormal </w:t>
      </w:r>
      <w:r w:rsidR="0093208A">
        <w:rPr>
          <w:sz w:val="26"/>
          <w:szCs w:val="26"/>
        </w:rPr>
        <w:t>C</w:t>
      </w:r>
      <w:r w:rsidR="0093208A" w:rsidRPr="00515A83">
        <w:rPr>
          <w:sz w:val="26"/>
          <w:szCs w:val="26"/>
        </w:rPr>
        <w:t>omplaint</w:t>
      </w:r>
      <w:r w:rsidR="0093208A">
        <w:rPr>
          <w:sz w:val="26"/>
          <w:szCs w:val="26"/>
        </w:rPr>
        <w:t xml:space="preserve"> filed </w:t>
      </w:r>
      <w:r w:rsidR="008B293E">
        <w:rPr>
          <w:sz w:val="26"/>
          <w:szCs w:val="26"/>
        </w:rPr>
        <w:t xml:space="preserve">on December 3, 2014, </w:t>
      </w:r>
      <w:r w:rsidR="0093208A">
        <w:rPr>
          <w:sz w:val="26"/>
          <w:szCs w:val="26"/>
        </w:rPr>
        <w:t>by the Office of Consumer Advocate (OCA)</w:t>
      </w:r>
      <w:r w:rsidR="000114BF">
        <w:rPr>
          <w:sz w:val="26"/>
          <w:szCs w:val="26"/>
        </w:rPr>
        <w:t>.</w:t>
      </w:r>
      <w:r w:rsidR="008B293E">
        <w:rPr>
          <w:sz w:val="26"/>
          <w:szCs w:val="26"/>
        </w:rPr>
        <w:t xml:space="preserve">  </w:t>
      </w:r>
    </w:p>
    <w:p w:rsidR="00DF3A3E" w:rsidRDefault="00DF3A3E" w:rsidP="00761956">
      <w:pPr>
        <w:spacing w:line="360" w:lineRule="auto"/>
        <w:ind w:firstLine="1440"/>
        <w:rPr>
          <w:sz w:val="26"/>
          <w:szCs w:val="26"/>
        </w:rPr>
      </w:pPr>
    </w:p>
    <w:p w:rsidR="00A87552" w:rsidRDefault="008B293E" w:rsidP="00761956">
      <w:pPr>
        <w:spacing w:line="360" w:lineRule="auto"/>
        <w:ind w:firstLine="1440"/>
        <w:rPr>
          <w:sz w:val="26"/>
          <w:szCs w:val="26"/>
        </w:rPr>
      </w:pPr>
      <w:r>
        <w:rPr>
          <w:sz w:val="26"/>
          <w:szCs w:val="26"/>
        </w:rPr>
        <w:t>In</w:t>
      </w:r>
      <w:r w:rsidR="000114BF">
        <w:rPr>
          <w:sz w:val="26"/>
          <w:szCs w:val="26"/>
        </w:rPr>
        <w:t xml:space="preserve"> </w:t>
      </w:r>
      <w:r w:rsidR="007E679A">
        <w:rPr>
          <w:sz w:val="26"/>
          <w:szCs w:val="26"/>
        </w:rPr>
        <w:t>a separate Initial Decision</w:t>
      </w:r>
      <w:r>
        <w:rPr>
          <w:sz w:val="26"/>
          <w:szCs w:val="26"/>
        </w:rPr>
        <w:t>,</w:t>
      </w:r>
      <w:r w:rsidR="007E679A">
        <w:rPr>
          <w:sz w:val="26"/>
          <w:szCs w:val="26"/>
        </w:rPr>
        <w:t xml:space="preserve"> issued January 12, 2015, ALJ Colwell has granted the OCA</w:t>
      </w:r>
      <w:r w:rsidR="002A22DD">
        <w:rPr>
          <w:sz w:val="26"/>
          <w:szCs w:val="26"/>
        </w:rPr>
        <w:t>’s P</w:t>
      </w:r>
      <w:r w:rsidR="007E679A">
        <w:rPr>
          <w:sz w:val="26"/>
          <w:szCs w:val="26"/>
        </w:rPr>
        <w:t xml:space="preserve">etition </w:t>
      </w:r>
      <w:r w:rsidR="002A22DD">
        <w:rPr>
          <w:sz w:val="26"/>
          <w:szCs w:val="26"/>
        </w:rPr>
        <w:t xml:space="preserve">for Leave </w:t>
      </w:r>
      <w:r w:rsidR="007E679A">
        <w:rPr>
          <w:sz w:val="26"/>
          <w:szCs w:val="26"/>
        </w:rPr>
        <w:t xml:space="preserve">to </w:t>
      </w:r>
      <w:r w:rsidR="002A22DD">
        <w:rPr>
          <w:sz w:val="26"/>
          <w:szCs w:val="26"/>
        </w:rPr>
        <w:t>W</w:t>
      </w:r>
      <w:r w:rsidR="007E679A">
        <w:rPr>
          <w:sz w:val="26"/>
          <w:szCs w:val="26"/>
        </w:rPr>
        <w:t xml:space="preserve">ithdraw </w:t>
      </w:r>
      <w:r>
        <w:rPr>
          <w:sz w:val="26"/>
          <w:szCs w:val="26"/>
        </w:rPr>
        <w:t>Complaint</w:t>
      </w:r>
      <w:r w:rsidR="007E679A">
        <w:rPr>
          <w:sz w:val="26"/>
          <w:szCs w:val="26"/>
        </w:rPr>
        <w:t xml:space="preserve">.  </w:t>
      </w:r>
      <w:r w:rsidR="007E679A">
        <w:rPr>
          <w:i/>
          <w:sz w:val="26"/>
          <w:szCs w:val="26"/>
        </w:rPr>
        <w:t xml:space="preserve">See </w:t>
      </w:r>
      <w:r w:rsidR="007E679A">
        <w:rPr>
          <w:sz w:val="26"/>
          <w:szCs w:val="26"/>
        </w:rPr>
        <w:t xml:space="preserve">52 Pa. Code </w:t>
      </w:r>
      <w:r w:rsidR="002A22DD">
        <w:rPr>
          <w:sz w:val="26"/>
          <w:szCs w:val="26"/>
        </w:rPr>
        <w:br/>
      </w:r>
      <w:r w:rsidR="007E679A">
        <w:rPr>
          <w:sz w:val="26"/>
          <w:szCs w:val="26"/>
        </w:rPr>
        <w:t xml:space="preserve">§ 5.94(a).  </w:t>
      </w:r>
      <w:r w:rsidR="000114BF">
        <w:rPr>
          <w:sz w:val="26"/>
          <w:szCs w:val="26"/>
        </w:rPr>
        <w:t xml:space="preserve">The </w:t>
      </w:r>
      <w:r w:rsidR="00A87552">
        <w:rPr>
          <w:sz w:val="26"/>
          <w:szCs w:val="26"/>
        </w:rPr>
        <w:t xml:space="preserve">issues asserted in the </w:t>
      </w:r>
      <w:r w:rsidR="000114BF">
        <w:rPr>
          <w:sz w:val="26"/>
          <w:szCs w:val="26"/>
        </w:rPr>
        <w:t>OCA</w:t>
      </w:r>
      <w:r w:rsidR="002A22DD">
        <w:rPr>
          <w:sz w:val="26"/>
          <w:szCs w:val="26"/>
        </w:rPr>
        <w:t>’s</w:t>
      </w:r>
      <w:r w:rsidR="000114BF">
        <w:rPr>
          <w:sz w:val="26"/>
          <w:szCs w:val="26"/>
        </w:rPr>
        <w:t xml:space="preserve"> Formal Complaint</w:t>
      </w:r>
      <w:r w:rsidR="0093208A">
        <w:rPr>
          <w:sz w:val="26"/>
          <w:szCs w:val="26"/>
        </w:rPr>
        <w:t xml:space="preserve"> </w:t>
      </w:r>
      <w:r w:rsidR="00A87552">
        <w:rPr>
          <w:sz w:val="26"/>
          <w:szCs w:val="26"/>
        </w:rPr>
        <w:t>formed the</w:t>
      </w:r>
      <w:r w:rsidR="000114BF">
        <w:rPr>
          <w:sz w:val="26"/>
          <w:szCs w:val="26"/>
        </w:rPr>
        <w:t xml:space="preserve"> </w:t>
      </w:r>
      <w:r w:rsidR="00A87552">
        <w:rPr>
          <w:sz w:val="26"/>
          <w:szCs w:val="26"/>
        </w:rPr>
        <w:t xml:space="preserve">essential basis for the </w:t>
      </w:r>
      <w:r w:rsidR="0093208A" w:rsidRPr="00515A83">
        <w:rPr>
          <w:sz w:val="26"/>
          <w:szCs w:val="26"/>
        </w:rPr>
        <w:t>investigation</w:t>
      </w:r>
      <w:r w:rsidR="0093208A">
        <w:rPr>
          <w:sz w:val="26"/>
          <w:szCs w:val="26"/>
        </w:rPr>
        <w:t>.</w:t>
      </w:r>
      <w:r w:rsidR="0093208A" w:rsidRPr="00515A83">
        <w:rPr>
          <w:sz w:val="26"/>
          <w:szCs w:val="26"/>
        </w:rPr>
        <w:t xml:space="preserve"> </w:t>
      </w:r>
      <w:r w:rsidR="0093208A">
        <w:rPr>
          <w:sz w:val="26"/>
          <w:szCs w:val="26"/>
        </w:rPr>
        <w:t xml:space="preserve"> </w:t>
      </w:r>
    </w:p>
    <w:p w:rsidR="00A87552" w:rsidRDefault="00A87552" w:rsidP="00761956">
      <w:pPr>
        <w:spacing w:line="360" w:lineRule="auto"/>
        <w:ind w:firstLine="1440"/>
        <w:rPr>
          <w:sz w:val="26"/>
          <w:szCs w:val="26"/>
        </w:rPr>
      </w:pPr>
    </w:p>
    <w:p w:rsidR="00A87552" w:rsidRDefault="008B293E" w:rsidP="00761956">
      <w:pPr>
        <w:spacing w:line="360" w:lineRule="auto"/>
        <w:ind w:firstLine="1440"/>
        <w:rPr>
          <w:sz w:val="26"/>
          <w:szCs w:val="26"/>
        </w:rPr>
      </w:pPr>
      <w:r>
        <w:rPr>
          <w:sz w:val="26"/>
          <w:szCs w:val="26"/>
        </w:rPr>
        <w:t>A prehearing conference was convened in this matter o</w:t>
      </w:r>
      <w:r w:rsidR="003A4B7A">
        <w:rPr>
          <w:sz w:val="26"/>
          <w:szCs w:val="26"/>
        </w:rPr>
        <w:t>n</w:t>
      </w:r>
      <w:r>
        <w:rPr>
          <w:sz w:val="26"/>
          <w:szCs w:val="26"/>
        </w:rPr>
        <w:t xml:space="preserve"> January 9, 2015.  </w:t>
      </w:r>
      <w:r w:rsidR="0093208A">
        <w:rPr>
          <w:sz w:val="26"/>
          <w:szCs w:val="26"/>
        </w:rPr>
        <w:t xml:space="preserve">On </w:t>
      </w:r>
      <w:r w:rsidR="00954320">
        <w:rPr>
          <w:sz w:val="26"/>
          <w:szCs w:val="26"/>
        </w:rPr>
        <w:t>receipt of information</w:t>
      </w:r>
      <w:r w:rsidR="0093208A">
        <w:rPr>
          <w:sz w:val="26"/>
          <w:szCs w:val="26"/>
        </w:rPr>
        <w:t xml:space="preserve"> from all </w:t>
      </w:r>
      <w:r w:rsidR="00A87552">
        <w:rPr>
          <w:sz w:val="26"/>
          <w:szCs w:val="26"/>
        </w:rPr>
        <w:t xml:space="preserve">of </w:t>
      </w:r>
      <w:r w:rsidR="0093208A">
        <w:rPr>
          <w:sz w:val="26"/>
          <w:szCs w:val="26"/>
        </w:rPr>
        <w:t xml:space="preserve">the active participants </w:t>
      </w:r>
      <w:r w:rsidR="00954320">
        <w:rPr>
          <w:sz w:val="26"/>
          <w:szCs w:val="26"/>
        </w:rPr>
        <w:t>to</w:t>
      </w:r>
      <w:r w:rsidR="0093208A">
        <w:rPr>
          <w:sz w:val="26"/>
          <w:szCs w:val="26"/>
        </w:rPr>
        <w:t xml:space="preserve"> this </w:t>
      </w:r>
      <w:r w:rsidR="00A87552">
        <w:rPr>
          <w:sz w:val="26"/>
          <w:szCs w:val="26"/>
        </w:rPr>
        <w:t>phase of proceedings</w:t>
      </w:r>
      <w:r w:rsidR="0093208A">
        <w:rPr>
          <w:sz w:val="26"/>
          <w:szCs w:val="26"/>
        </w:rPr>
        <w:t xml:space="preserve">, </w:t>
      </w:r>
      <w:r w:rsidR="00A87552">
        <w:rPr>
          <w:sz w:val="26"/>
          <w:szCs w:val="26"/>
        </w:rPr>
        <w:t>A</w:t>
      </w:r>
      <w:r w:rsidR="0093208A">
        <w:rPr>
          <w:sz w:val="26"/>
          <w:szCs w:val="26"/>
        </w:rPr>
        <w:t xml:space="preserve">LJ </w:t>
      </w:r>
      <w:r w:rsidR="00A87552">
        <w:rPr>
          <w:sz w:val="26"/>
          <w:szCs w:val="26"/>
        </w:rPr>
        <w:t xml:space="preserve">Colwell </w:t>
      </w:r>
      <w:r w:rsidR="0093208A">
        <w:rPr>
          <w:sz w:val="26"/>
          <w:szCs w:val="26"/>
        </w:rPr>
        <w:t xml:space="preserve">is advised that </w:t>
      </w:r>
      <w:r w:rsidR="0093208A" w:rsidRPr="00515A83">
        <w:rPr>
          <w:sz w:val="26"/>
          <w:szCs w:val="26"/>
        </w:rPr>
        <w:t xml:space="preserve">no </w:t>
      </w:r>
      <w:r w:rsidR="00A87552">
        <w:rPr>
          <w:sz w:val="26"/>
          <w:szCs w:val="26"/>
        </w:rPr>
        <w:t>P</w:t>
      </w:r>
      <w:r w:rsidR="0093208A" w:rsidRPr="00515A83">
        <w:rPr>
          <w:sz w:val="26"/>
          <w:szCs w:val="26"/>
        </w:rPr>
        <w:t>arty remains which seeks to continue the investigation.</w:t>
      </w:r>
      <w:r w:rsidR="00A87552">
        <w:rPr>
          <w:sz w:val="26"/>
          <w:szCs w:val="26"/>
        </w:rPr>
        <w:t xml:space="preserve">  The active participants are: </w:t>
      </w:r>
      <w:r w:rsidR="00A87552" w:rsidRPr="007818F5">
        <w:rPr>
          <w:sz w:val="26"/>
          <w:szCs w:val="26"/>
        </w:rPr>
        <w:t>PPL Electric Utilities</w:t>
      </w:r>
      <w:r w:rsidR="00A87552">
        <w:rPr>
          <w:sz w:val="26"/>
          <w:szCs w:val="26"/>
        </w:rPr>
        <w:t xml:space="preserve"> Corporation (PPL or Company), the OCA, the Commission’s Bureau of Investigation and Enforcement (I&amp;E), and</w:t>
      </w:r>
      <w:r w:rsidR="00B118A7">
        <w:rPr>
          <w:sz w:val="26"/>
          <w:szCs w:val="26"/>
        </w:rPr>
        <w:t xml:space="preserve"> </w:t>
      </w:r>
      <w:r w:rsidR="00B118A7" w:rsidRPr="00515A83">
        <w:rPr>
          <w:sz w:val="26"/>
          <w:szCs w:val="26"/>
        </w:rPr>
        <w:t xml:space="preserve">the PP&amp;L Industrial </w:t>
      </w:r>
      <w:r w:rsidR="009E4DCC">
        <w:rPr>
          <w:sz w:val="26"/>
          <w:szCs w:val="26"/>
        </w:rPr>
        <w:t xml:space="preserve">Customer </w:t>
      </w:r>
      <w:r w:rsidR="00B118A7" w:rsidRPr="00515A83">
        <w:rPr>
          <w:sz w:val="26"/>
          <w:szCs w:val="26"/>
        </w:rPr>
        <w:t>Alliance (PPLICA)</w:t>
      </w:r>
      <w:r w:rsidR="00B118A7">
        <w:rPr>
          <w:sz w:val="26"/>
          <w:szCs w:val="26"/>
        </w:rPr>
        <w:t>.</w:t>
      </w:r>
      <w:r w:rsidR="00B118A7" w:rsidRPr="00515A83">
        <w:rPr>
          <w:sz w:val="26"/>
          <w:szCs w:val="26"/>
        </w:rPr>
        <w:t xml:space="preserve"> </w:t>
      </w:r>
      <w:r w:rsidR="00A87552">
        <w:rPr>
          <w:sz w:val="26"/>
          <w:szCs w:val="26"/>
        </w:rPr>
        <w:t xml:space="preserve">  </w:t>
      </w:r>
    </w:p>
    <w:p w:rsidR="0093208A" w:rsidRDefault="0093208A" w:rsidP="00761956">
      <w:pPr>
        <w:spacing w:line="360" w:lineRule="auto"/>
        <w:ind w:firstLine="1440"/>
        <w:rPr>
          <w:color w:val="000000"/>
          <w:sz w:val="26"/>
        </w:rPr>
      </w:pPr>
      <w:r>
        <w:rPr>
          <w:color w:val="000000"/>
          <w:sz w:val="26"/>
        </w:rPr>
        <w:t xml:space="preserve">  </w:t>
      </w:r>
    </w:p>
    <w:p w:rsidR="0017656E" w:rsidRDefault="0093208A" w:rsidP="00761956">
      <w:pPr>
        <w:spacing w:line="360" w:lineRule="auto"/>
        <w:ind w:firstLine="1440"/>
        <w:rPr>
          <w:color w:val="000000"/>
          <w:sz w:val="26"/>
        </w:rPr>
      </w:pPr>
      <w:r>
        <w:rPr>
          <w:color w:val="000000"/>
          <w:sz w:val="26"/>
        </w:rPr>
        <w:t>Based on the foregoing, ALJ Colwell</w:t>
      </w:r>
      <w:r w:rsidR="008B293E">
        <w:rPr>
          <w:color w:val="000000"/>
          <w:sz w:val="26"/>
        </w:rPr>
        <w:t>, pursuant to 52 Pa. Code § 5.305,</w:t>
      </w:r>
      <w:r>
        <w:rPr>
          <w:color w:val="000000"/>
          <w:sz w:val="26"/>
        </w:rPr>
        <w:t xml:space="preserve"> certifie</w:t>
      </w:r>
      <w:r w:rsidR="009169CE">
        <w:rPr>
          <w:color w:val="000000"/>
          <w:sz w:val="26"/>
        </w:rPr>
        <w:t>d</w:t>
      </w:r>
      <w:r>
        <w:rPr>
          <w:color w:val="000000"/>
          <w:sz w:val="26"/>
        </w:rPr>
        <w:t xml:space="preserve"> the following question for Commission review</w:t>
      </w:r>
      <w:r w:rsidR="00B118A7">
        <w:rPr>
          <w:color w:val="000000"/>
          <w:sz w:val="26"/>
        </w:rPr>
        <w:t xml:space="preserve"> and answer</w:t>
      </w:r>
      <w:r>
        <w:rPr>
          <w:color w:val="000000"/>
          <w:sz w:val="26"/>
        </w:rPr>
        <w:t>:</w:t>
      </w:r>
    </w:p>
    <w:p w:rsidR="0093208A" w:rsidRDefault="0093208A" w:rsidP="00761956">
      <w:pPr>
        <w:spacing w:line="360" w:lineRule="auto"/>
        <w:ind w:firstLine="1440"/>
        <w:rPr>
          <w:color w:val="000000"/>
          <w:sz w:val="26"/>
        </w:rPr>
      </w:pPr>
    </w:p>
    <w:p w:rsidR="0093208A" w:rsidRPr="007818F5" w:rsidRDefault="0093208A" w:rsidP="0093208A">
      <w:pPr>
        <w:ind w:left="1440" w:right="1440"/>
        <w:rPr>
          <w:sz w:val="26"/>
          <w:szCs w:val="26"/>
        </w:rPr>
      </w:pPr>
      <w:r w:rsidRPr="007818F5">
        <w:rPr>
          <w:sz w:val="26"/>
          <w:szCs w:val="26"/>
        </w:rPr>
        <w:t>Whether the investigation ordered by the Commission Order of December 18, 2014, at this docket to determine the lawfulness, justness, and reasonableness of the rates, rules, and regulations contained in PPL Electric Utilities Corporation</w:t>
      </w:r>
      <w:r w:rsidR="00564364">
        <w:rPr>
          <w:sz w:val="26"/>
          <w:szCs w:val="26"/>
        </w:rPr>
        <w:t>’</w:t>
      </w:r>
      <w:r w:rsidRPr="007818F5">
        <w:rPr>
          <w:sz w:val="26"/>
          <w:szCs w:val="26"/>
        </w:rPr>
        <w:t>s proposed supplement No. 165 to Tariff – Electric Pa. P.U.C. No. 201 should be terminated and PPL Electric Utilities Corporation should be permitted to file a tariff supplement effective on February 1, 2015 to implement the proposed Storm Damage Expense Rider where the formal Complaint of the Office of Consumer Advocate is withdrawn and when no party remains that seeks to investigate the matter further?</w:t>
      </w:r>
    </w:p>
    <w:p w:rsidR="0017656E" w:rsidRDefault="0017656E" w:rsidP="0093208A">
      <w:pPr>
        <w:spacing w:line="360" w:lineRule="auto"/>
        <w:rPr>
          <w:color w:val="000000"/>
          <w:sz w:val="26"/>
        </w:rPr>
      </w:pPr>
    </w:p>
    <w:p w:rsidR="00051F2D" w:rsidRDefault="00051F2D" w:rsidP="0025098C">
      <w:pPr>
        <w:tabs>
          <w:tab w:val="left" w:pos="2160"/>
        </w:tabs>
        <w:spacing w:line="360" w:lineRule="auto"/>
        <w:ind w:firstLine="1440"/>
        <w:rPr>
          <w:color w:val="000000"/>
          <w:sz w:val="26"/>
        </w:rPr>
      </w:pPr>
    </w:p>
    <w:p w:rsidR="008B293E" w:rsidRDefault="0093208A" w:rsidP="0025098C">
      <w:pPr>
        <w:tabs>
          <w:tab w:val="left" w:pos="2160"/>
        </w:tabs>
        <w:spacing w:line="360" w:lineRule="auto"/>
        <w:ind w:firstLine="1440"/>
        <w:rPr>
          <w:color w:val="000000"/>
          <w:sz w:val="26"/>
        </w:rPr>
      </w:pPr>
      <w:r>
        <w:rPr>
          <w:color w:val="000000"/>
          <w:sz w:val="26"/>
        </w:rPr>
        <w:lastRenderedPageBreak/>
        <w:t xml:space="preserve">On consideration of the </w:t>
      </w:r>
      <w:r w:rsidR="008B293E" w:rsidRPr="00564364">
        <w:rPr>
          <w:i/>
          <w:color w:val="000000"/>
          <w:sz w:val="26"/>
        </w:rPr>
        <w:t xml:space="preserve">Certification </w:t>
      </w:r>
      <w:r w:rsidRPr="00564364">
        <w:rPr>
          <w:i/>
          <w:color w:val="000000"/>
          <w:sz w:val="26"/>
        </w:rPr>
        <w:t>Order</w:t>
      </w:r>
      <w:r>
        <w:rPr>
          <w:color w:val="000000"/>
          <w:sz w:val="26"/>
        </w:rPr>
        <w:t xml:space="preserve"> and the positions </w:t>
      </w:r>
      <w:r w:rsidR="008B293E">
        <w:rPr>
          <w:color w:val="000000"/>
          <w:sz w:val="26"/>
        </w:rPr>
        <w:t xml:space="preserve">and submittals </w:t>
      </w:r>
      <w:r>
        <w:rPr>
          <w:color w:val="000000"/>
          <w:sz w:val="26"/>
        </w:rPr>
        <w:t>of the Parties, we shall consider the certified question</w:t>
      </w:r>
      <w:r w:rsidR="008B293E">
        <w:rPr>
          <w:color w:val="000000"/>
          <w:sz w:val="26"/>
        </w:rPr>
        <w:t xml:space="preserve">.  </w:t>
      </w:r>
      <w:r w:rsidR="008B293E" w:rsidRPr="009169CE">
        <w:rPr>
          <w:color w:val="000000"/>
          <w:sz w:val="26"/>
        </w:rPr>
        <w:t>We, hereby,</w:t>
      </w:r>
      <w:r w:rsidRPr="009169CE">
        <w:rPr>
          <w:color w:val="000000"/>
          <w:sz w:val="26"/>
        </w:rPr>
        <w:t xml:space="preserve"> answer </w:t>
      </w:r>
      <w:r w:rsidR="00B118A7" w:rsidRPr="009169CE">
        <w:rPr>
          <w:color w:val="000000"/>
          <w:sz w:val="26"/>
        </w:rPr>
        <w:t>the</w:t>
      </w:r>
      <w:r w:rsidRPr="009169CE">
        <w:rPr>
          <w:color w:val="000000"/>
          <w:sz w:val="26"/>
        </w:rPr>
        <w:t xml:space="preserve"> </w:t>
      </w:r>
      <w:r w:rsidR="008B293E" w:rsidRPr="009169CE">
        <w:rPr>
          <w:color w:val="000000"/>
          <w:sz w:val="26"/>
        </w:rPr>
        <w:t xml:space="preserve">certified </w:t>
      </w:r>
      <w:r w:rsidRPr="009169CE">
        <w:rPr>
          <w:color w:val="000000"/>
          <w:sz w:val="26"/>
        </w:rPr>
        <w:t xml:space="preserve">question in the affirmative.  </w:t>
      </w:r>
      <w:r w:rsidRPr="009169CE">
        <w:rPr>
          <w:i/>
          <w:color w:val="000000"/>
          <w:sz w:val="26"/>
        </w:rPr>
        <w:t>See</w:t>
      </w:r>
      <w:r w:rsidRPr="009169CE">
        <w:rPr>
          <w:color w:val="000000"/>
          <w:sz w:val="26"/>
        </w:rPr>
        <w:t xml:space="preserve"> 52 Pa. Code § 5.305(e)(3).  Our answer of the certified question in the affirmative will result in the termination of the investigation</w:t>
      </w:r>
      <w:r w:rsidR="00B118A7" w:rsidRPr="009169CE">
        <w:rPr>
          <w:color w:val="000000"/>
          <w:sz w:val="26"/>
        </w:rPr>
        <w:t>, consistent with the discussion contained in this Opinion and Order</w:t>
      </w:r>
      <w:r w:rsidR="0025098C" w:rsidRPr="009169CE">
        <w:rPr>
          <w:color w:val="000000"/>
          <w:sz w:val="26"/>
        </w:rPr>
        <w:t>.</w:t>
      </w:r>
    </w:p>
    <w:p w:rsidR="00DF3A3E" w:rsidRDefault="00DF3A3E" w:rsidP="00923201">
      <w:pPr>
        <w:tabs>
          <w:tab w:val="left" w:pos="2160"/>
        </w:tabs>
        <w:spacing w:line="360" w:lineRule="auto"/>
        <w:jc w:val="center"/>
        <w:rPr>
          <w:b/>
          <w:color w:val="000000"/>
          <w:sz w:val="26"/>
        </w:rPr>
      </w:pPr>
    </w:p>
    <w:p w:rsidR="00DB1DEF" w:rsidRPr="00DB1DEF" w:rsidRDefault="0093208A" w:rsidP="00564364">
      <w:pPr>
        <w:tabs>
          <w:tab w:val="left" w:pos="2160"/>
        </w:tabs>
        <w:spacing w:line="360" w:lineRule="auto"/>
        <w:jc w:val="center"/>
        <w:rPr>
          <w:b/>
          <w:sz w:val="26"/>
          <w:szCs w:val="26"/>
        </w:rPr>
      </w:pPr>
      <w:r w:rsidRPr="0093208A">
        <w:rPr>
          <w:b/>
          <w:color w:val="000000"/>
          <w:sz w:val="26"/>
        </w:rPr>
        <w:t>Background</w:t>
      </w:r>
    </w:p>
    <w:p w:rsidR="00DB1DEF" w:rsidRDefault="00DB1DEF" w:rsidP="00923201">
      <w:pPr>
        <w:spacing w:line="360" w:lineRule="auto"/>
        <w:ind w:firstLine="1440"/>
        <w:rPr>
          <w:sz w:val="26"/>
          <w:szCs w:val="26"/>
        </w:rPr>
      </w:pPr>
    </w:p>
    <w:p w:rsidR="005B0957" w:rsidRDefault="00DB1DEF" w:rsidP="00356C35">
      <w:pPr>
        <w:spacing w:line="360" w:lineRule="auto"/>
        <w:ind w:firstLine="1440"/>
        <w:rPr>
          <w:sz w:val="26"/>
          <w:szCs w:val="26"/>
        </w:rPr>
      </w:pPr>
      <w:r>
        <w:rPr>
          <w:sz w:val="26"/>
          <w:szCs w:val="26"/>
        </w:rPr>
        <w:t xml:space="preserve">The PPL SDER has its origins in PPL’s 2012 base rate case.  </w:t>
      </w:r>
      <w:r>
        <w:rPr>
          <w:i/>
          <w:sz w:val="26"/>
          <w:szCs w:val="26"/>
        </w:rPr>
        <w:t xml:space="preserve">See </w:t>
      </w:r>
      <w:r w:rsidR="002E7BA2">
        <w:rPr>
          <w:i/>
          <w:sz w:val="26"/>
          <w:szCs w:val="26"/>
        </w:rPr>
        <w:t>Pa. PUC v. PPL Electric Utilities Corporation</w:t>
      </w:r>
      <w:r w:rsidR="002E7BA2">
        <w:rPr>
          <w:sz w:val="26"/>
          <w:szCs w:val="26"/>
        </w:rPr>
        <w:t>,</w:t>
      </w:r>
      <w:r w:rsidR="002E7BA2" w:rsidRPr="00F5268F">
        <w:rPr>
          <w:sz w:val="26"/>
          <w:szCs w:val="26"/>
        </w:rPr>
        <w:t xml:space="preserve"> </w:t>
      </w:r>
      <w:r w:rsidR="002E7BA2">
        <w:rPr>
          <w:sz w:val="26"/>
          <w:szCs w:val="26"/>
        </w:rPr>
        <w:t xml:space="preserve">Docket No.  </w:t>
      </w:r>
      <w:r w:rsidR="002E7BA2" w:rsidRPr="0017656E">
        <w:rPr>
          <w:sz w:val="26"/>
          <w:szCs w:val="26"/>
        </w:rPr>
        <w:t>R-2012-2290597</w:t>
      </w:r>
      <w:r w:rsidR="002E7BA2">
        <w:rPr>
          <w:sz w:val="26"/>
          <w:szCs w:val="26"/>
        </w:rPr>
        <w:t xml:space="preserve"> (Order entered </w:t>
      </w:r>
      <w:r w:rsidR="00DF3A3E">
        <w:rPr>
          <w:sz w:val="26"/>
          <w:szCs w:val="26"/>
        </w:rPr>
        <w:t xml:space="preserve">December 28, </w:t>
      </w:r>
      <w:r w:rsidR="002E7BA2">
        <w:rPr>
          <w:sz w:val="26"/>
          <w:szCs w:val="26"/>
        </w:rPr>
        <w:t>201</w:t>
      </w:r>
      <w:r w:rsidR="00DF3A3E">
        <w:rPr>
          <w:sz w:val="26"/>
          <w:szCs w:val="26"/>
        </w:rPr>
        <w:t>2</w:t>
      </w:r>
      <w:r w:rsidR="002E7BA2">
        <w:rPr>
          <w:sz w:val="26"/>
          <w:szCs w:val="26"/>
        </w:rPr>
        <w:t>)</w:t>
      </w:r>
      <w:r>
        <w:rPr>
          <w:i/>
          <w:sz w:val="26"/>
          <w:szCs w:val="26"/>
        </w:rPr>
        <w:t xml:space="preserve">. </w:t>
      </w:r>
      <w:r>
        <w:rPr>
          <w:sz w:val="26"/>
          <w:szCs w:val="26"/>
        </w:rPr>
        <w:t xml:space="preserve"> The purpose of the SDER is to recover PPL’s storm damage expenses pursuant to an automatic rate recovery mechanism </w:t>
      </w:r>
      <w:r w:rsidR="0025098C">
        <w:rPr>
          <w:sz w:val="26"/>
          <w:szCs w:val="26"/>
        </w:rPr>
        <w:t xml:space="preserve">(rider) </w:t>
      </w:r>
      <w:r>
        <w:rPr>
          <w:sz w:val="26"/>
          <w:szCs w:val="26"/>
        </w:rPr>
        <w:t>as authorized by Section 1307(a)</w:t>
      </w:r>
      <w:r w:rsidR="00DF3A3E">
        <w:rPr>
          <w:sz w:val="26"/>
          <w:szCs w:val="26"/>
        </w:rPr>
        <w:t>, and 1307(e),</w:t>
      </w:r>
      <w:r>
        <w:rPr>
          <w:sz w:val="26"/>
          <w:szCs w:val="26"/>
        </w:rPr>
        <w:t xml:space="preserve"> of the Public Utility Code</w:t>
      </w:r>
      <w:r w:rsidR="00051F2D">
        <w:rPr>
          <w:sz w:val="26"/>
          <w:szCs w:val="26"/>
        </w:rPr>
        <w:t xml:space="preserve"> (Code)</w:t>
      </w:r>
      <w:r>
        <w:rPr>
          <w:sz w:val="26"/>
          <w:szCs w:val="26"/>
        </w:rPr>
        <w:t>, 66 Pa. C.S. §</w:t>
      </w:r>
      <w:r w:rsidR="00DF3A3E">
        <w:rPr>
          <w:sz w:val="26"/>
          <w:szCs w:val="26"/>
        </w:rPr>
        <w:t>§</w:t>
      </w:r>
      <w:r>
        <w:rPr>
          <w:sz w:val="26"/>
          <w:szCs w:val="26"/>
        </w:rPr>
        <w:t xml:space="preserve"> 1307(a), </w:t>
      </w:r>
      <w:r w:rsidR="00DF3A3E">
        <w:rPr>
          <w:sz w:val="26"/>
          <w:szCs w:val="26"/>
        </w:rPr>
        <w:t xml:space="preserve">(e), </w:t>
      </w:r>
      <w:r>
        <w:rPr>
          <w:sz w:val="26"/>
          <w:szCs w:val="26"/>
        </w:rPr>
        <w:t xml:space="preserve">between </w:t>
      </w:r>
      <w:r w:rsidR="0025098C">
        <w:rPr>
          <w:sz w:val="26"/>
          <w:szCs w:val="26"/>
        </w:rPr>
        <w:t xml:space="preserve">PPL </w:t>
      </w:r>
      <w:r>
        <w:rPr>
          <w:sz w:val="26"/>
          <w:szCs w:val="26"/>
        </w:rPr>
        <w:t xml:space="preserve">base rate proceedings </w:t>
      </w:r>
      <w:r w:rsidR="00DF3A3E">
        <w:rPr>
          <w:sz w:val="26"/>
          <w:szCs w:val="26"/>
        </w:rPr>
        <w:t xml:space="preserve">that are </w:t>
      </w:r>
      <w:r w:rsidR="00D51EC5">
        <w:rPr>
          <w:sz w:val="26"/>
          <w:szCs w:val="26"/>
        </w:rPr>
        <w:t xml:space="preserve">filed </w:t>
      </w:r>
      <w:r>
        <w:rPr>
          <w:sz w:val="26"/>
          <w:szCs w:val="26"/>
        </w:rPr>
        <w:t>under Section 1308 of the Code, 66 Pa. C.S. § 1308.  Only “reportable”</w:t>
      </w:r>
      <w:r w:rsidR="0025098C">
        <w:rPr>
          <w:sz w:val="26"/>
          <w:szCs w:val="26"/>
        </w:rPr>
        <w:t xml:space="preserve"> storm</w:t>
      </w:r>
      <w:r w:rsidR="00356C35">
        <w:rPr>
          <w:sz w:val="26"/>
          <w:szCs w:val="26"/>
        </w:rPr>
        <w:t>s,</w:t>
      </w:r>
      <w:r w:rsidR="00356C35" w:rsidRPr="00F5268F">
        <w:rPr>
          <w:sz w:val="26"/>
          <w:szCs w:val="26"/>
        </w:rPr>
        <w:t xml:space="preserve"> consistent with the Commission’s </w:t>
      </w:r>
      <w:r w:rsidR="00051F2D">
        <w:rPr>
          <w:sz w:val="26"/>
          <w:szCs w:val="26"/>
        </w:rPr>
        <w:t>R</w:t>
      </w:r>
      <w:r w:rsidR="00356C35" w:rsidRPr="00F5268F">
        <w:rPr>
          <w:sz w:val="26"/>
          <w:szCs w:val="26"/>
        </w:rPr>
        <w:t>egulations at 52 Pa. Code § 67.1(b)</w:t>
      </w:r>
      <w:r w:rsidR="00356C35">
        <w:rPr>
          <w:sz w:val="26"/>
          <w:szCs w:val="26"/>
        </w:rPr>
        <w:t>, are included for purposes of the SDER</w:t>
      </w:r>
      <w:r w:rsidR="00356C35" w:rsidRPr="00F5268F">
        <w:rPr>
          <w:sz w:val="26"/>
          <w:szCs w:val="26"/>
        </w:rPr>
        <w:t>.</w:t>
      </w:r>
      <w:r w:rsidR="00356C35">
        <w:rPr>
          <w:sz w:val="26"/>
          <w:szCs w:val="26"/>
        </w:rPr>
        <w:t xml:space="preserve">  </w:t>
      </w:r>
      <w:r w:rsidR="00356C35">
        <w:rPr>
          <w:i/>
          <w:sz w:val="26"/>
          <w:szCs w:val="26"/>
        </w:rPr>
        <w:t>See</w:t>
      </w:r>
      <w:r w:rsidR="00356C35">
        <w:rPr>
          <w:sz w:val="26"/>
          <w:szCs w:val="26"/>
        </w:rPr>
        <w:t xml:space="preserve"> </w:t>
      </w:r>
      <w:r w:rsidR="00356C35">
        <w:rPr>
          <w:i/>
          <w:sz w:val="26"/>
          <w:szCs w:val="26"/>
        </w:rPr>
        <w:t>Pa. PUC v. PPL Electric Utilities Corporation</w:t>
      </w:r>
      <w:r w:rsidR="00356C35">
        <w:rPr>
          <w:sz w:val="26"/>
          <w:szCs w:val="26"/>
        </w:rPr>
        <w:t>,</w:t>
      </w:r>
      <w:r w:rsidR="00356C35" w:rsidRPr="00F5268F">
        <w:rPr>
          <w:sz w:val="26"/>
          <w:szCs w:val="26"/>
        </w:rPr>
        <w:t xml:space="preserve"> </w:t>
      </w:r>
      <w:r w:rsidR="00356C35">
        <w:rPr>
          <w:sz w:val="26"/>
          <w:szCs w:val="26"/>
        </w:rPr>
        <w:t xml:space="preserve">Docket No.  </w:t>
      </w:r>
      <w:r w:rsidR="00356C35" w:rsidRPr="0017656E">
        <w:rPr>
          <w:sz w:val="26"/>
          <w:szCs w:val="26"/>
        </w:rPr>
        <w:t>R-2012-2290597</w:t>
      </w:r>
      <w:r w:rsidR="00356C35">
        <w:rPr>
          <w:sz w:val="26"/>
          <w:szCs w:val="26"/>
        </w:rPr>
        <w:t xml:space="preserve"> (Order entered April 3, 2014) (</w:t>
      </w:r>
      <w:r w:rsidR="00356C35" w:rsidRPr="00356C35">
        <w:rPr>
          <w:i/>
          <w:sz w:val="26"/>
          <w:szCs w:val="26"/>
        </w:rPr>
        <w:t>April 3 Order</w:t>
      </w:r>
      <w:r w:rsidR="00356C35">
        <w:rPr>
          <w:sz w:val="26"/>
          <w:szCs w:val="26"/>
        </w:rPr>
        <w:t xml:space="preserve">).  </w:t>
      </w:r>
      <w:r w:rsidR="00356C35" w:rsidRPr="00F5268F">
        <w:rPr>
          <w:sz w:val="26"/>
          <w:szCs w:val="26"/>
        </w:rPr>
        <w:t xml:space="preserve">The SDER would reconcile, on an annual basis, </w:t>
      </w:r>
      <w:r w:rsidR="00356C35">
        <w:rPr>
          <w:sz w:val="26"/>
          <w:szCs w:val="26"/>
        </w:rPr>
        <w:t>PPL</w:t>
      </w:r>
      <w:r w:rsidR="00760B1B">
        <w:rPr>
          <w:sz w:val="26"/>
          <w:szCs w:val="26"/>
        </w:rPr>
        <w:t>’s</w:t>
      </w:r>
      <w:r w:rsidR="00356C35">
        <w:rPr>
          <w:sz w:val="26"/>
          <w:szCs w:val="26"/>
        </w:rPr>
        <w:t xml:space="preserve"> </w:t>
      </w:r>
      <w:r w:rsidR="00356C35" w:rsidRPr="00F5268F">
        <w:rPr>
          <w:sz w:val="26"/>
          <w:szCs w:val="26"/>
        </w:rPr>
        <w:t xml:space="preserve">actual storm damage expenses from reportable storms against the </w:t>
      </w:r>
      <w:r w:rsidR="00356C35">
        <w:rPr>
          <w:sz w:val="26"/>
          <w:szCs w:val="26"/>
        </w:rPr>
        <w:t xml:space="preserve">amount of </w:t>
      </w:r>
      <w:r w:rsidR="00356C35" w:rsidRPr="00F5268F">
        <w:rPr>
          <w:sz w:val="26"/>
          <w:szCs w:val="26"/>
        </w:rPr>
        <w:t xml:space="preserve">$14.7 million </w:t>
      </w:r>
      <w:r w:rsidR="00356C35">
        <w:rPr>
          <w:sz w:val="26"/>
          <w:szCs w:val="26"/>
        </w:rPr>
        <w:t xml:space="preserve">for such expenses </w:t>
      </w:r>
      <w:r w:rsidR="005B0957">
        <w:rPr>
          <w:sz w:val="26"/>
          <w:szCs w:val="26"/>
        </w:rPr>
        <w:t xml:space="preserve">that is </w:t>
      </w:r>
      <w:r w:rsidR="00356C35" w:rsidRPr="00F5268F">
        <w:rPr>
          <w:sz w:val="26"/>
          <w:szCs w:val="26"/>
        </w:rPr>
        <w:t>presently included in PPL base rates.</w:t>
      </w:r>
      <w:r w:rsidR="00356C35">
        <w:rPr>
          <w:sz w:val="26"/>
          <w:szCs w:val="26"/>
        </w:rPr>
        <w:t xml:space="preserve">  </w:t>
      </w:r>
      <w:r w:rsidR="00356C35">
        <w:rPr>
          <w:i/>
          <w:sz w:val="26"/>
          <w:szCs w:val="26"/>
        </w:rPr>
        <w:t>Id</w:t>
      </w:r>
      <w:r w:rsidR="00356C35">
        <w:rPr>
          <w:sz w:val="26"/>
          <w:szCs w:val="26"/>
        </w:rPr>
        <w:t>.</w:t>
      </w:r>
      <w:r w:rsidR="00356C35" w:rsidRPr="00F5268F">
        <w:rPr>
          <w:sz w:val="26"/>
          <w:szCs w:val="26"/>
        </w:rPr>
        <w:t xml:space="preserve"> </w:t>
      </w:r>
    </w:p>
    <w:p w:rsidR="005B0957" w:rsidRDefault="005B0957" w:rsidP="00356C35">
      <w:pPr>
        <w:spacing w:line="360" w:lineRule="auto"/>
        <w:ind w:firstLine="1440"/>
        <w:rPr>
          <w:sz w:val="26"/>
          <w:szCs w:val="26"/>
        </w:rPr>
      </w:pPr>
    </w:p>
    <w:p w:rsidR="002E7BA2" w:rsidRDefault="005B0957" w:rsidP="00564364">
      <w:pPr>
        <w:widowControl/>
        <w:spacing w:line="360" w:lineRule="auto"/>
        <w:ind w:firstLine="1440"/>
        <w:rPr>
          <w:sz w:val="26"/>
          <w:szCs w:val="26"/>
        </w:rPr>
      </w:pPr>
      <w:r>
        <w:rPr>
          <w:sz w:val="26"/>
          <w:szCs w:val="26"/>
        </w:rPr>
        <w:t>The SDER has created substantial controversy as between the Company, the statutory advocates, and PPLICA.</w:t>
      </w:r>
      <w:r w:rsidR="00A305D1">
        <w:rPr>
          <w:rStyle w:val="FootnoteReference"/>
          <w:sz w:val="26"/>
          <w:szCs w:val="26"/>
        </w:rPr>
        <w:footnoteReference w:id="1"/>
      </w:r>
      <w:r>
        <w:rPr>
          <w:sz w:val="26"/>
          <w:szCs w:val="26"/>
        </w:rPr>
        <w:t xml:space="preserve">  </w:t>
      </w:r>
      <w:r>
        <w:rPr>
          <w:i/>
          <w:sz w:val="26"/>
          <w:szCs w:val="26"/>
        </w:rPr>
        <w:t xml:space="preserve">See </w:t>
      </w:r>
      <w:r w:rsidRPr="00356C35">
        <w:rPr>
          <w:i/>
          <w:sz w:val="26"/>
          <w:szCs w:val="26"/>
        </w:rPr>
        <w:t>April 3 Order</w:t>
      </w:r>
      <w:r>
        <w:rPr>
          <w:sz w:val="26"/>
          <w:szCs w:val="26"/>
        </w:rPr>
        <w:t xml:space="preserve">.  The statutory advocates generally opposed use of the SDER based, </w:t>
      </w:r>
      <w:r>
        <w:rPr>
          <w:i/>
          <w:sz w:val="26"/>
          <w:szCs w:val="26"/>
        </w:rPr>
        <w:t>inter alia</w:t>
      </w:r>
      <w:r>
        <w:rPr>
          <w:sz w:val="26"/>
          <w:szCs w:val="26"/>
        </w:rPr>
        <w:t xml:space="preserve">, on legal and policy grounds that </w:t>
      </w:r>
      <w:r w:rsidR="002E7BA2">
        <w:rPr>
          <w:sz w:val="26"/>
          <w:szCs w:val="26"/>
        </w:rPr>
        <w:t xml:space="preserve">such an expense is more appropriately recovered through use of reserve accounting – not </w:t>
      </w:r>
      <w:r w:rsidR="002E7BA2">
        <w:rPr>
          <w:sz w:val="26"/>
          <w:szCs w:val="26"/>
        </w:rPr>
        <w:lastRenderedPageBreak/>
        <w:t xml:space="preserve">through a tariff rider funding, and that identification of storm damage expense for such recovery violated the principles of “single issue” ratemaking.  </w:t>
      </w:r>
      <w:r w:rsidR="002E7BA2">
        <w:rPr>
          <w:i/>
          <w:sz w:val="26"/>
          <w:szCs w:val="26"/>
        </w:rPr>
        <w:t>Id</w:t>
      </w:r>
      <w:r w:rsidR="002E7BA2">
        <w:rPr>
          <w:sz w:val="26"/>
          <w:szCs w:val="26"/>
        </w:rPr>
        <w:t>.</w:t>
      </w:r>
      <w:r w:rsidR="002E7BA2">
        <w:rPr>
          <w:rStyle w:val="FootnoteReference"/>
          <w:sz w:val="26"/>
          <w:szCs w:val="26"/>
        </w:rPr>
        <w:footnoteReference w:id="2"/>
      </w:r>
    </w:p>
    <w:p w:rsidR="002E7BA2" w:rsidRDefault="002E7BA2" w:rsidP="00356C35">
      <w:pPr>
        <w:spacing w:line="360" w:lineRule="auto"/>
        <w:ind w:firstLine="1440"/>
        <w:rPr>
          <w:sz w:val="26"/>
          <w:szCs w:val="26"/>
        </w:rPr>
      </w:pPr>
    </w:p>
    <w:p w:rsidR="005849CE" w:rsidRDefault="002E7BA2" w:rsidP="00356C35">
      <w:pPr>
        <w:spacing w:line="360" w:lineRule="auto"/>
        <w:ind w:firstLine="1440"/>
        <w:rPr>
          <w:sz w:val="26"/>
          <w:szCs w:val="26"/>
        </w:rPr>
      </w:pPr>
      <w:r>
        <w:rPr>
          <w:sz w:val="26"/>
          <w:szCs w:val="26"/>
        </w:rPr>
        <w:t xml:space="preserve">In our </w:t>
      </w:r>
      <w:r w:rsidRPr="00356C35">
        <w:rPr>
          <w:i/>
          <w:sz w:val="26"/>
          <w:szCs w:val="26"/>
        </w:rPr>
        <w:t>April 3 Order</w:t>
      </w:r>
      <w:r>
        <w:rPr>
          <w:i/>
          <w:sz w:val="26"/>
          <w:szCs w:val="26"/>
        </w:rPr>
        <w:t xml:space="preserve"> </w:t>
      </w:r>
      <w:r>
        <w:rPr>
          <w:sz w:val="26"/>
          <w:szCs w:val="26"/>
        </w:rPr>
        <w:t xml:space="preserve">we considered and discussed, at length, the legal and policy issues surrounding adoption of the SDER.  We approved PPL’s use of the SDER with modifications set forth in the </w:t>
      </w:r>
      <w:r w:rsidRPr="00356C35">
        <w:rPr>
          <w:i/>
          <w:sz w:val="26"/>
          <w:szCs w:val="26"/>
        </w:rPr>
        <w:t>April 3 Order</w:t>
      </w:r>
      <w:r>
        <w:rPr>
          <w:sz w:val="26"/>
          <w:szCs w:val="26"/>
        </w:rPr>
        <w:t xml:space="preserve">.  </w:t>
      </w:r>
      <w:r w:rsidR="005849CE">
        <w:rPr>
          <w:i/>
          <w:sz w:val="26"/>
          <w:szCs w:val="26"/>
        </w:rPr>
        <w:t>See</w:t>
      </w:r>
      <w:r w:rsidR="005849CE">
        <w:rPr>
          <w:sz w:val="26"/>
          <w:szCs w:val="26"/>
        </w:rPr>
        <w:t xml:space="preserve"> </w:t>
      </w:r>
      <w:r w:rsidR="005849CE" w:rsidRPr="00356C35">
        <w:rPr>
          <w:i/>
          <w:sz w:val="26"/>
          <w:szCs w:val="26"/>
        </w:rPr>
        <w:t>April 3 Order</w:t>
      </w:r>
      <w:r w:rsidR="004A6F60">
        <w:rPr>
          <w:sz w:val="26"/>
          <w:szCs w:val="26"/>
        </w:rPr>
        <w:t xml:space="preserve"> </w:t>
      </w:r>
      <w:r w:rsidR="005849CE">
        <w:rPr>
          <w:sz w:val="26"/>
          <w:szCs w:val="26"/>
        </w:rPr>
        <w:t>at 23-27.</w:t>
      </w:r>
      <w:r>
        <w:rPr>
          <w:sz w:val="26"/>
          <w:szCs w:val="26"/>
        </w:rPr>
        <w:t xml:space="preserve"> </w:t>
      </w:r>
      <w:r w:rsidR="005B0957">
        <w:rPr>
          <w:sz w:val="26"/>
          <w:szCs w:val="26"/>
        </w:rPr>
        <w:t xml:space="preserve"> </w:t>
      </w:r>
    </w:p>
    <w:p w:rsidR="005849CE" w:rsidRDefault="005849CE" w:rsidP="00356C35">
      <w:pPr>
        <w:spacing w:line="360" w:lineRule="auto"/>
        <w:ind w:firstLine="1440"/>
        <w:rPr>
          <w:sz w:val="26"/>
          <w:szCs w:val="26"/>
        </w:rPr>
      </w:pPr>
    </w:p>
    <w:p w:rsidR="00356C35" w:rsidRDefault="005849CE" w:rsidP="005849CE">
      <w:pPr>
        <w:spacing w:line="360" w:lineRule="auto"/>
        <w:ind w:firstLine="1440"/>
        <w:rPr>
          <w:sz w:val="26"/>
          <w:szCs w:val="26"/>
        </w:rPr>
      </w:pPr>
      <w:r>
        <w:rPr>
          <w:sz w:val="26"/>
          <w:szCs w:val="26"/>
        </w:rPr>
        <w:t xml:space="preserve">On a request for reconsideration and/or clarification, we affirmed our determination to permit the implementation of the SDER, with those modifications set forth in the </w:t>
      </w:r>
      <w:r w:rsidRPr="00356C35">
        <w:rPr>
          <w:i/>
          <w:sz w:val="26"/>
          <w:szCs w:val="26"/>
        </w:rPr>
        <w:t>April 3 Order</w:t>
      </w:r>
      <w:r>
        <w:rPr>
          <w:sz w:val="26"/>
          <w:szCs w:val="26"/>
        </w:rPr>
        <w:t xml:space="preserve">.  </w:t>
      </w:r>
      <w:r>
        <w:rPr>
          <w:i/>
          <w:sz w:val="26"/>
          <w:szCs w:val="26"/>
        </w:rPr>
        <w:t>See Pa. PUC v. PPL Electric Utilities Corporation</w:t>
      </w:r>
      <w:r>
        <w:rPr>
          <w:sz w:val="26"/>
          <w:szCs w:val="26"/>
        </w:rPr>
        <w:t>,</w:t>
      </w:r>
      <w:r w:rsidRPr="00F5268F">
        <w:rPr>
          <w:sz w:val="26"/>
          <w:szCs w:val="26"/>
        </w:rPr>
        <w:t xml:space="preserve"> </w:t>
      </w:r>
      <w:r>
        <w:rPr>
          <w:sz w:val="26"/>
          <w:szCs w:val="26"/>
        </w:rPr>
        <w:t xml:space="preserve">Docket No. </w:t>
      </w:r>
      <w:r w:rsidRPr="0017656E">
        <w:rPr>
          <w:sz w:val="26"/>
          <w:szCs w:val="26"/>
        </w:rPr>
        <w:t>R-2012-2290597</w:t>
      </w:r>
      <w:r>
        <w:rPr>
          <w:sz w:val="26"/>
          <w:szCs w:val="26"/>
        </w:rPr>
        <w:t xml:space="preserve"> (Order entered May 22, 2014).   </w:t>
      </w:r>
      <w:r w:rsidR="005B0957">
        <w:rPr>
          <w:sz w:val="26"/>
          <w:szCs w:val="26"/>
        </w:rPr>
        <w:t xml:space="preserve"> </w:t>
      </w:r>
      <w:r w:rsidR="00356C35" w:rsidRPr="00F5268F">
        <w:rPr>
          <w:sz w:val="26"/>
          <w:szCs w:val="26"/>
        </w:rPr>
        <w:t xml:space="preserve"> </w:t>
      </w:r>
    </w:p>
    <w:p w:rsidR="00356C35" w:rsidRPr="0017656E" w:rsidRDefault="00356C35" w:rsidP="00356C35">
      <w:pPr>
        <w:spacing w:line="360" w:lineRule="auto"/>
        <w:ind w:firstLine="1440"/>
        <w:rPr>
          <w:sz w:val="26"/>
          <w:szCs w:val="26"/>
        </w:rPr>
      </w:pPr>
    </w:p>
    <w:p w:rsidR="00DB1DEF" w:rsidRDefault="00356C35" w:rsidP="00356C35">
      <w:pPr>
        <w:spacing w:line="360" w:lineRule="auto"/>
        <w:ind w:firstLine="1440"/>
        <w:rPr>
          <w:sz w:val="26"/>
          <w:szCs w:val="26"/>
        </w:rPr>
      </w:pPr>
      <w:r w:rsidRPr="00F5268F">
        <w:rPr>
          <w:sz w:val="26"/>
          <w:szCs w:val="26"/>
        </w:rPr>
        <w:t xml:space="preserve"> </w:t>
      </w:r>
      <w:r w:rsidR="005849CE">
        <w:rPr>
          <w:sz w:val="26"/>
          <w:szCs w:val="26"/>
        </w:rPr>
        <w:t xml:space="preserve">It is against the foregoing background that PPL has filed </w:t>
      </w:r>
      <w:r w:rsidR="005849CE" w:rsidRPr="00515A83">
        <w:rPr>
          <w:sz w:val="26"/>
          <w:szCs w:val="26"/>
        </w:rPr>
        <w:t>Supplement No. 165 to Tariff – Electric Pa. P.U.C. No. 201</w:t>
      </w:r>
      <w:r w:rsidR="005849CE">
        <w:rPr>
          <w:sz w:val="26"/>
          <w:szCs w:val="26"/>
        </w:rPr>
        <w:t>.</w:t>
      </w:r>
    </w:p>
    <w:p w:rsidR="005849CE" w:rsidRDefault="005849CE" w:rsidP="00356C35">
      <w:pPr>
        <w:spacing w:line="360" w:lineRule="auto"/>
        <w:ind w:firstLine="1440"/>
        <w:rPr>
          <w:sz w:val="26"/>
          <w:szCs w:val="26"/>
        </w:rPr>
      </w:pPr>
    </w:p>
    <w:p w:rsidR="005849CE" w:rsidRDefault="005849CE" w:rsidP="005849CE">
      <w:pPr>
        <w:spacing w:line="360" w:lineRule="auto"/>
        <w:jc w:val="center"/>
        <w:rPr>
          <w:b/>
          <w:sz w:val="26"/>
          <w:szCs w:val="26"/>
        </w:rPr>
      </w:pPr>
      <w:r>
        <w:rPr>
          <w:b/>
          <w:sz w:val="26"/>
          <w:szCs w:val="26"/>
        </w:rPr>
        <w:t>History of the Proceedings</w:t>
      </w:r>
    </w:p>
    <w:p w:rsidR="005849CE" w:rsidRPr="005849CE" w:rsidRDefault="005849CE" w:rsidP="005849CE">
      <w:pPr>
        <w:spacing w:line="360" w:lineRule="auto"/>
        <w:rPr>
          <w:sz w:val="26"/>
          <w:szCs w:val="26"/>
        </w:rPr>
      </w:pPr>
    </w:p>
    <w:p w:rsidR="00586647" w:rsidRDefault="00586647" w:rsidP="00923201">
      <w:pPr>
        <w:spacing w:line="360" w:lineRule="auto"/>
        <w:ind w:firstLine="1440"/>
        <w:rPr>
          <w:sz w:val="26"/>
          <w:szCs w:val="26"/>
        </w:rPr>
      </w:pPr>
      <w:r>
        <w:rPr>
          <w:sz w:val="26"/>
          <w:szCs w:val="26"/>
        </w:rPr>
        <w:t xml:space="preserve">We </w:t>
      </w:r>
      <w:r w:rsidR="00797710">
        <w:rPr>
          <w:sz w:val="26"/>
          <w:szCs w:val="26"/>
        </w:rPr>
        <w:t>provide</w:t>
      </w:r>
      <w:r>
        <w:rPr>
          <w:sz w:val="26"/>
          <w:szCs w:val="26"/>
        </w:rPr>
        <w:t xml:space="preserve"> the</w:t>
      </w:r>
      <w:r w:rsidR="00812407">
        <w:rPr>
          <w:sz w:val="26"/>
          <w:szCs w:val="26"/>
        </w:rPr>
        <w:t xml:space="preserve"> </w:t>
      </w:r>
      <w:r>
        <w:rPr>
          <w:sz w:val="26"/>
          <w:szCs w:val="26"/>
        </w:rPr>
        <w:t>history</w:t>
      </w:r>
      <w:r w:rsidR="00797710">
        <w:rPr>
          <w:sz w:val="26"/>
          <w:szCs w:val="26"/>
        </w:rPr>
        <w:t xml:space="preserve"> of this proceeding</w:t>
      </w:r>
      <w:r>
        <w:rPr>
          <w:sz w:val="26"/>
          <w:szCs w:val="26"/>
        </w:rPr>
        <w:t xml:space="preserve">, as adopted from the </w:t>
      </w:r>
      <w:r w:rsidRPr="00564364">
        <w:rPr>
          <w:i/>
          <w:sz w:val="26"/>
          <w:szCs w:val="26"/>
        </w:rPr>
        <w:t>Certification Order</w:t>
      </w:r>
      <w:r>
        <w:rPr>
          <w:sz w:val="26"/>
          <w:szCs w:val="26"/>
        </w:rPr>
        <w:t>.</w:t>
      </w:r>
    </w:p>
    <w:p w:rsidR="00586647" w:rsidRDefault="00586647" w:rsidP="00923201">
      <w:pPr>
        <w:spacing w:line="360" w:lineRule="auto"/>
        <w:ind w:firstLine="1440"/>
        <w:rPr>
          <w:sz w:val="26"/>
          <w:szCs w:val="26"/>
        </w:rPr>
      </w:pPr>
    </w:p>
    <w:p w:rsidR="0093208A" w:rsidRPr="00515A83" w:rsidRDefault="0093208A" w:rsidP="00923201">
      <w:pPr>
        <w:spacing w:line="360" w:lineRule="auto"/>
        <w:ind w:firstLine="1440"/>
        <w:rPr>
          <w:sz w:val="26"/>
          <w:szCs w:val="26"/>
        </w:rPr>
      </w:pPr>
      <w:r w:rsidRPr="00515A83">
        <w:rPr>
          <w:sz w:val="26"/>
          <w:szCs w:val="26"/>
        </w:rPr>
        <w:t>On October 31, 2014, PPL filed Supplement No. 165 to Tariff – Electric Pa. P.U.C. No. 201 to become effective January 1, 2015</w:t>
      </w:r>
      <w:r w:rsidR="00923201">
        <w:rPr>
          <w:sz w:val="26"/>
          <w:szCs w:val="26"/>
        </w:rPr>
        <w:t>,</w:t>
      </w:r>
      <w:r w:rsidRPr="00515A83">
        <w:rPr>
          <w:sz w:val="26"/>
          <w:szCs w:val="26"/>
        </w:rPr>
        <w:t xml:space="preserve"> to implement its SDER for the period January 1, 2015 through December 31, 2015.</w:t>
      </w:r>
    </w:p>
    <w:p w:rsidR="0093208A" w:rsidRPr="00515A83" w:rsidRDefault="0093208A" w:rsidP="003F1457">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tab/>
      </w:r>
      <w:r w:rsidRPr="00515A83">
        <w:rPr>
          <w:sz w:val="26"/>
          <w:szCs w:val="26"/>
        </w:rPr>
        <w:tab/>
        <w:t>On November 10, 2014, PPLICA filed a letter in response to the tariff filing identifying concerns and proposing modifications.  PPL filed its response on November 24, 2014, requesting that the PPLICA modifications be rejected.</w:t>
      </w:r>
    </w:p>
    <w:p w:rsidR="0093208A" w:rsidRPr="00515A83" w:rsidRDefault="0093208A" w:rsidP="00A87552">
      <w:pPr>
        <w:spacing w:line="360" w:lineRule="auto"/>
        <w:rPr>
          <w:sz w:val="26"/>
          <w:szCs w:val="26"/>
        </w:rPr>
      </w:pPr>
      <w:r w:rsidRPr="00515A83">
        <w:rPr>
          <w:sz w:val="26"/>
          <w:szCs w:val="26"/>
        </w:rPr>
        <w:lastRenderedPageBreak/>
        <w:tab/>
      </w:r>
      <w:r w:rsidRPr="00515A83">
        <w:rPr>
          <w:sz w:val="26"/>
          <w:szCs w:val="26"/>
        </w:rPr>
        <w:tab/>
        <w:t xml:space="preserve">On December 3, 2014, the OCA filed a </w:t>
      </w:r>
      <w:r w:rsidR="00B118A7">
        <w:rPr>
          <w:sz w:val="26"/>
          <w:szCs w:val="26"/>
        </w:rPr>
        <w:t>F</w:t>
      </w:r>
      <w:r w:rsidRPr="00515A83">
        <w:rPr>
          <w:sz w:val="26"/>
          <w:szCs w:val="26"/>
        </w:rPr>
        <w:t>ormal Complaint requesting hearings on the tariff filing.</w:t>
      </w:r>
    </w:p>
    <w:p w:rsidR="0093208A" w:rsidRPr="00515A83" w:rsidRDefault="0093208A" w:rsidP="00A87552">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tab/>
      </w:r>
      <w:r w:rsidRPr="00515A83">
        <w:rPr>
          <w:sz w:val="26"/>
          <w:szCs w:val="26"/>
        </w:rPr>
        <w:tab/>
        <w:t xml:space="preserve">On December 18, 2014, </w:t>
      </w:r>
      <w:r w:rsidR="00B118A7">
        <w:rPr>
          <w:sz w:val="26"/>
          <w:szCs w:val="26"/>
        </w:rPr>
        <w:t xml:space="preserve">we entered an Order </w:t>
      </w:r>
      <w:r w:rsidR="00B118A7" w:rsidRPr="00515A83">
        <w:rPr>
          <w:sz w:val="26"/>
          <w:szCs w:val="26"/>
        </w:rPr>
        <w:t>pursuant to 66 Pa.</w:t>
      </w:r>
      <w:r w:rsidR="00B118A7">
        <w:rPr>
          <w:sz w:val="26"/>
          <w:szCs w:val="26"/>
        </w:rPr>
        <w:t xml:space="preserve"> </w:t>
      </w:r>
      <w:r w:rsidR="00B118A7" w:rsidRPr="00515A83">
        <w:rPr>
          <w:sz w:val="26"/>
          <w:szCs w:val="26"/>
        </w:rPr>
        <w:t xml:space="preserve">C.S. </w:t>
      </w:r>
      <w:r w:rsidR="00C85C74">
        <w:rPr>
          <w:sz w:val="26"/>
          <w:szCs w:val="26"/>
        </w:rPr>
        <w:br/>
      </w:r>
      <w:r w:rsidR="00B118A7" w:rsidRPr="00515A83">
        <w:rPr>
          <w:sz w:val="26"/>
          <w:szCs w:val="26"/>
        </w:rPr>
        <w:t>§ 1307</w:t>
      </w:r>
      <w:r w:rsidR="00B118A7">
        <w:rPr>
          <w:sz w:val="26"/>
          <w:szCs w:val="26"/>
        </w:rPr>
        <w:t>, s</w:t>
      </w:r>
      <w:r w:rsidRPr="00515A83">
        <w:rPr>
          <w:sz w:val="26"/>
          <w:szCs w:val="26"/>
        </w:rPr>
        <w:t>uspend</w:t>
      </w:r>
      <w:r w:rsidR="00B118A7">
        <w:rPr>
          <w:sz w:val="26"/>
          <w:szCs w:val="26"/>
        </w:rPr>
        <w:t>ing</w:t>
      </w:r>
      <w:r w:rsidRPr="00515A83">
        <w:rPr>
          <w:sz w:val="26"/>
          <w:szCs w:val="26"/>
        </w:rPr>
        <w:t xml:space="preserve"> the tariff filing until April 20, 2015, unless permitted by Commission Order to become effective at an earlier date.  By </w:t>
      </w:r>
      <w:r w:rsidR="00B118A7">
        <w:rPr>
          <w:sz w:val="26"/>
          <w:szCs w:val="26"/>
        </w:rPr>
        <w:t xml:space="preserve">the same </w:t>
      </w:r>
      <w:r w:rsidRPr="00515A83">
        <w:rPr>
          <w:sz w:val="26"/>
          <w:szCs w:val="26"/>
        </w:rPr>
        <w:t xml:space="preserve">Order, the matter was referred to the Office of Administrative Law Judge </w:t>
      </w:r>
      <w:r w:rsidR="00B118A7">
        <w:rPr>
          <w:sz w:val="26"/>
          <w:szCs w:val="26"/>
        </w:rPr>
        <w:t>for such proceedings as necessary and the issuance of a Recommended Decision</w:t>
      </w:r>
      <w:r w:rsidR="00C85C74">
        <w:rPr>
          <w:sz w:val="26"/>
          <w:szCs w:val="26"/>
        </w:rPr>
        <w:t xml:space="preserve"> within sixty days</w:t>
      </w:r>
      <w:r w:rsidRPr="00515A83">
        <w:rPr>
          <w:sz w:val="26"/>
          <w:szCs w:val="26"/>
        </w:rPr>
        <w:t>.</w:t>
      </w:r>
      <w:r w:rsidR="00B118A7">
        <w:rPr>
          <w:sz w:val="26"/>
          <w:szCs w:val="26"/>
        </w:rPr>
        <w:t xml:space="preserve">  The matter was, thereafter, assigned to ALJ Colwell.</w:t>
      </w:r>
      <w:r w:rsidRPr="00515A83">
        <w:rPr>
          <w:sz w:val="26"/>
          <w:szCs w:val="26"/>
        </w:rPr>
        <w:t xml:space="preserve">  </w:t>
      </w:r>
    </w:p>
    <w:p w:rsidR="0093208A" w:rsidRPr="00515A83" w:rsidRDefault="0093208A" w:rsidP="00A87552">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tab/>
      </w:r>
      <w:r w:rsidRPr="00515A83">
        <w:rPr>
          <w:sz w:val="26"/>
          <w:szCs w:val="26"/>
        </w:rPr>
        <w:tab/>
        <w:t xml:space="preserve">A prehearing conference was scheduled by notice issued December 18, 2014 and served on the parties to the original rate case.  </w:t>
      </w:r>
      <w:r w:rsidR="00B118A7">
        <w:rPr>
          <w:sz w:val="26"/>
          <w:szCs w:val="26"/>
        </w:rPr>
        <w:t>A</w:t>
      </w:r>
      <w:r w:rsidR="00586647">
        <w:rPr>
          <w:sz w:val="26"/>
          <w:szCs w:val="26"/>
        </w:rPr>
        <w:t>lso on December 18, 2014,</w:t>
      </w:r>
      <w:r w:rsidR="00B118A7">
        <w:rPr>
          <w:sz w:val="26"/>
          <w:szCs w:val="26"/>
        </w:rPr>
        <w:t xml:space="preserve"> </w:t>
      </w:r>
      <w:r w:rsidR="00586647">
        <w:rPr>
          <w:sz w:val="26"/>
          <w:szCs w:val="26"/>
        </w:rPr>
        <w:t xml:space="preserve">a </w:t>
      </w:r>
      <w:r w:rsidR="00B118A7">
        <w:rPr>
          <w:sz w:val="26"/>
          <w:szCs w:val="26"/>
        </w:rPr>
        <w:t>preh</w:t>
      </w:r>
      <w:r w:rsidRPr="00515A83">
        <w:rPr>
          <w:sz w:val="26"/>
          <w:szCs w:val="26"/>
        </w:rPr>
        <w:t xml:space="preserve">earing order was issued with procedural directions, including a </w:t>
      </w:r>
      <w:r w:rsidR="00B118A7">
        <w:rPr>
          <w:sz w:val="26"/>
          <w:szCs w:val="26"/>
        </w:rPr>
        <w:t xml:space="preserve">notice </w:t>
      </w:r>
      <w:r w:rsidRPr="00515A83">
        <w:rPr>
          <w:sz w:val="26"/>
          <w:szCs w:val="26"/>
        </w:rPr>
        <w:t>that failure to participate in the prehearing conference would result in the removal of the party from this portion of the proceeding.</w:t>
      </w:r>
    </w:p>
    <w:p w:rsidR="0093208A" w:rsidRPr="00515A83" w:rsidRDefault="0093208A" w:rsidP="00A87552">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tab/>
      </w:r>
      <w:r w:rsidRPr="00515A83">
        <w:rPr>
          <w:sz w:val="26"/>
          <w:szCs w:val="26"/>
        </w:rPr>
        <w:tab/>
        <w:t>On December 19, 2014, the Company filed a final rate calculation for the SDER that included data for the full twelve-month calculation period.  On December 22, 2014, the Company filed: (1) its Supplement No. 172 to implement the final SDER for the period of January 1, 2015 through December 31, 2015; and (2) Supplement No. 173 suspending supplement Nos. 165 and 172 in compliance with the December 18, 2014</w:t>
      </w:r>
      <w:r w:rsidR="00586647">
        <w:rPr>
          <w:sz w:val="26"/>
          <w:szCs w:val="26"/>
        </w:rPr>
        <w:t xml:space="preserve"> Order</w:t>
      </w:r>
      <w:r w:rsidRPr="00515A83">
        <w:rPr>
          <w:sz w:val="26"/>
          <w:szCs w:val="26"/>
        </w:rPr>
        <w:t xml:space="preserve">.   </w:t>
      </w:r>
    </w:p>
    <w:p w:rsidR="0093208A" w:rsidRPr="00515A83" w:rsidRDefault="0093208A" w:rsidP="00A87552">
      <w:pPr>
        <w:spacing w:line="360" w:lineRule="auto"/>
        <w:rPr>
          <w:sz w:val="26"/>
          <w:szCs w:val="26"/>
        </w:rPr>
      </w:pPr>
    </w:p>
    <w:p w:rsidR="0093208A" w:rsidRPr="00515A83" w:rsidRDefault="00B118A7" w:rsidP="00B118A7">
      <w:pPr>
        <w:spacing w:line="360" w:lineRule="auto"/>
        <w:ind w:firstLine="1440"/>
        <w:rPr>
          <w:sz w:val="26"/>
          <w:szCs w:val="26"/>
        </w:rPr>
      </w:pPr>
      <w:r>
        <w:rPr>
          <w:sz w:val="26"/>
          <w:szCs w:val="26"/>
        </w:rPr>
        <w:t>PPL</w:t>
      </w:r>
      <w:r w:rsidR="0093208A" w:rsidRPr="00515A83">
        <w:rPr>
          <w:sz w:val="26"/>
          <w:szCs w:val="26"/>
        </w:rPr>
        <w:t xml:space="preserve"> filed its Answer to the OCA </w:t>
      </w:r>
      <w:r>
        <w:rPr>
          <w:sz w:val="26"/>
          <w:szCs w:val="26"/>
        </w:rPr>
        <w:t xml:space="preserve">Formal </w:t>
      </w:r>
      <w:r w:rsidR="0093208A" w:rsidRPr="00515A83">
        <w:rPr>
          <w:sz w:val="26"/>
          <w:szCs w:val="26"/>
        </w:rPr>
        <w:t xml:space="preserve">Complaint on December 29, 2014,  </w:t>
      </w:r>
      <w:r w:rsidR="00586647">
        <w:rPr>
          <w:sz w:val="26"/>
          <w:szCs w:val="26"/>
        </w:rPr>
        <w:t>taking the position</w:t>
      </w:r>
      <w:r w:rsidR="0093208A" w:rsidRPr="00515A83">
        <w:rPr>
          <w:sz w:val="26"/>
          <w:szCs w:val="26"/>
        </w:rPr>
        <w:t xml:space="preserve"> that the tariff supplement is </w:t>
      </w:r>
      <w:r w:rsidR="00586647">
        <w:rPr>
          <w:sz w:val="26"/>
          <w:szCs w:val="26"/>
        </w:rPr>
        <w:t>a</w:t>
      </w:r>
      <w:r w:rsidR="0093208A" w:rsidRPr="00515A83">
        <w:rPr>
          <w:sz w:val="26"/>
          <w:szCs w:val="26"/>
        </w:rPr>
        <w:t xml:space="preserve"> compliance filing pursuant to the SDER Order of April 3, 2014, and that the reportable expenses listed there are actual total storm damage expenses incurred by the Company for all reportable storms during the period of December 1, 2013 through November 30, 2014.  </w:t>
      </w:r>
    </w:p>
    <w:p w:rsidR="0093208A" w:rsidRPr="00515A83" w:rsidRDefault="0093208A" w:rsidP="00A87552">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lastRenderedPageBreak/>
        <w:tab/>
      </w:r>
      <w:r w:rsidRPr="00515A83">
        <w:rPr>
          <w:sz w:val="26"/>
          <w:szCs w:val="26"/>
        </w:rPr>
        <w:tab/>
        <w:t>Accordingly, a prehearing conference was held on Friday, January 9, 2015.  Prehearing mem</w:t>
      </w:r>
      <w:r w:rsidR="00B118A7">
        <w:rPr>
          <w:sz w:val="26"/>
          <w:szCs w:val="26"/>
        </w:rPr>
        <w:t xml:space="preserve">oranda </w:t>
      </w:r>
      <w:r w:rsidRPr="00515A83">
        <w:rPr>
          <w:sz w:val="26"/>
          <w:szCs w:val="26"/>
        </w:rPr>
        <w:t xml:space="preserve">were filed by I&amp;E, </w:t>
      </w:r>
      <w:r w:rsidR="00B118A7">
        <w:rPr>
          <w:sz w:val="26"/>
          <w:szCs w:val="26"/>
        </w:rPr>
        <w:t xml:space="preserve">the </w:t>
      </w:r>
      <w:r w:rsidRPr="00515A83">
        <w:rPr>
          <w:sz w:val="26"/>
          <w:szCs w:val="26"/>
        </w:rPr>
        <w:t>OCA, PPL</w:t>
      </w:r>
      <w:r w:rsidR="00B118A7">
        <w:rPr>
          <w:sz w:val="26"/>
          <w:szCs w:val="26"/>
        </w:rPr>
        <w:t>,</w:t>
      </w:r>
      <w:r w:rsidRPr="00515A83">
        <w:rPr>
          <w:sz w:val="26"/>
          <w:szCs w:val="26"/>
        </w:rPr>
        <w:t xml:space="preserve"> </w:t>
      </w:r>
      <w:r w:rsidR="00B118A7">
        <w:rPr>
          <w:sz w:val="26"/>
          <w:szCs w:val="26"/>
        </w:rPr>
        <w:t>an</w:t>
      </w:r>
      <w:r w:rsidRPr="00515A83">
        <w:rPr>
          <w:sz w:val="26"/>
          <w:szCs w:val="26"/>
        </w:rPr>
        <w:t xml:space="preserve">d PPLICA.  </w:t>
      </w:r>
      <w:r w:rsidR="00B118A7">
        <w:rPr>
          <w:sz w:val="26"/>
          <w:szCs w:val="26"/>
        </w:rPr>
        <w:t>The following representatives of the active participants were p</w:t>
      </w:r>
      <w:r w:rsidRPr="00515A83">
        <w:rPr>
          <w:sz w:val="26"/>
          <w:szCs w:val="26"/>
        </w:rPr>
        <w:t xml:space="preserve">resent at the </w:t>
      </w:r>
      <w:r w:rsidR="00586647">
        <w:rPr>
          <w:sz w:val="26"/>
          <w:szCs w:val="26"/>
        </w:rPr>
        <w:t xml:space="preserve">January 9, 2015 </w:t>
      </w:r>
      <w:r w:rsidRPr="00515A83">
        <w:rPr>
          <w:sz w:val="26"/>
          <w:szCs w:val="26"/>
        </w:rPr>
        <w:t>prehearing conference: on behalf of PPL, David B. MacGregor, Esq., Paul E. Russell, Esq., and Christopher T. Wright, Esq.; on behalf of the Commission's Bureau of Investigation &amp; Enforcement (I&amp;E), Scott Granger, Esq.; on behalf of PPLICA, Adeolu Bakare, Esq.; and on behalf of the OCA, Darryl Lawrence, Esq.  These represent</w:t>
      </w:r>
      <w:r w:rsidR="00B118A7">
        <w:rPr>
          <w:sz w:val="26"/>
          <w:szCs w:val="26"/>
        </w:rPr>
        <w:t>ed</w:t>
      </w:r>
      <w:r w:rsidRPr="00515A83">
        <w:rPr>
          <w:sz w:val="26"/>
          <w:szCs w:val="26"/>
        </w:rPr>
        <w:t xml:space="preserve"> the only active parties in this portion of the litigation.  </w:t>
      </w:r>
    </w:p>
    <w:p w:rsidR="0093208A" w:rsidRPr="00515A83" w:rsidRDefault="0093208A" w:rsidP="00A87552">
      <w:pPr>
        <w:spacing w:line="360" w:lineRule="auto"/>
        <w:rPr>
          <w:sz w:val="26"/>
          <w:szCs w:val="26"/>
        </w:rPr>
      </w:pPr>
    </w:p>
    <w:p w:rsidR="0093208A" w:rsidRPr="00515A83" w:rsidRDefault="0093208A" w:rsidP="00A87552">
      <w:pPr>
        <w:spacing w:line="360" w:lineRule="auto"/>
        <w:rPr>
          <w:sz w:val="26"/>
          <w:szCs w:val="26"/>
        </w:rPr>
      </w:pPr>
      <w:r w:rsidRPr="00515A83">
        <w:rPr>
          <w:sz w:val="26"/>
          <w:szCs w:val="26"/>
        </w:rPr>
        <w:tab/>
      </w:r>
      <w:r w:rsidRPr="00515A83">
        <w:rPr>
          <w:sz w:val="26"/>
          <w:szCs w:val="26"/>
        </w:rPr>
        <w:tab/>
        <w:t xml:space="preserve">At the </w:t>
      </w:r>
      <w:r w:rsidR="00B118A7">
        <w:rPr>
          <w:sz w:val="26"/>
          <w:szCs w:val="26"/>
        </w:rPr>
        <w:t xml:space="preserve">January 9, 2015 </w:t>
      </w:r>
      <w:r w:rsidRPr="00515A83">
        <w:rPr>
          <w:sz w:val="26"/>
          <w:szCs w:val="26"/>
        </w:rPr>
        <w:t xml:space="preserve">prehearing conference, the OCA indicated that, after discussions with the Company and further review of the matter, it </w:t>
      </w:r>
      <w:r w:rsidR="00B118A7">
        <w:rPr>
          <w:sz w:val="26"/>
          <w:szCs w:val="26"/>
        </w:rPr>
        <w:t>proposed</w:t>
      </w:r>
      <w:r w:rsidRPr="00515A83">
        <w:rPr>
          <w:sz w:val="26"/>
          <w:szCs w:val="26"/>
        </w:rPr>
        <w:t xml:space="preserve"> to withdraw its formal complaint.</w:t>
      </w:r>
      <w:r w:rsidR="00B118A7">
        <w:rPr>
          <w:sz w:val="26"/>
          <w:szCs w:val="26"/>
        </w:rPr>
        <w:t xml:space="preserve">  On January 12, 2015, </w:t>
      </w:r>
      <w:r w:rsidR="0043286D">
        <w:rPr>
          <w:sz w:val="26"/>
          <w:szCs w:val="26"/>
        </w:rPr>
        <w:t>the OCA filed its Petition for Leave to Withdraw Complaint.  No</w:t>
      </w:r>
      <w:r w:rsidR="0043286D" w:rsidRPr="00B118A7">
        <w:rPr>
          <w:sz w:val="26"/>
          <w:szCs w:val="26"/>
        </w:rPr>
        <w:t xml:space="preserve"> party oppose</w:t>
      </w:r>
      <w:r w:rsidR="0043286D">
        <w:rPr>
          <w:sz w:val="26"/>
          <w:szCs w:val="26"/>
        </w:rPr>
        <w:t>d</w:t>
      </w:r>
      <w:r w:rsidR="0043286D" w:rsidRPr="00B118A7">
        <w:rPr>
          <w:sz w:val="26"/>
          <w:szCs w:val="26"/>
        </w:rPr>
        <w:t xml:space="preserve"> the withdrawal of the </w:t>
      </w:r>
      <w:r w:rsidR="0043286D">
        <w:rPr>
          <w:sz w:val="26"/>
          <w:szCs w:val="26"/>
        </w:rPr>
        <w:t>OCA F</w:t>
      </w:r>
      <w:r w:rsidR="0043286D" w:rsidRPr="00B118A7">
        <w:rPr>
          <w:sz w:val="26"/>
          <w:szCs w:val="26"/>
        </w:rPr>
        <w:t>ormal Complaint</w:t>
      </w:r>
      <w:r w:rsidR="0043286D">
        <w:rPr>
          <w:sz w:val="26"/>
          <w:szCs w:val="26"/>
        </w:rPr>
        <w:t>.  Th</w:t>
      </w:r>
      <w:r w:rsidR="0043286D" w:rsidRPr="00515A83">
        <w:rPr>
          <w:sz w:val="26"/>
          <w:szCs w:val="26"/>
        </w:rPr>
        <w:t>e Commission</w:t>
      </w:r>
      <w:r w:rsidR="0043286D">
        <w:rPr>
          <w:sz w:val="26"/>
          <w:szCs w:val="26"/>
        </w:rPr>
        <w:t>’</w:t>
      </w:r>
      <w:r w:rsidR="0043286D" w:rsidRPr="00515A83">
        <w:rPr>
          <w:sz w:val="26"/>
          <w:szCs w:val="26"/>
        </w:rPr>
        <w:t xml:space="preserve">s I&amp;E indicated that it had no issue with the </w:t>
      </w:r>
      <w:r w:rsidR="0043286D">
        <w:rPr>
          <w:sz w:val="26"/>
          <w:szCs w:val="26"/>
        </w:rPr>
        <w:t xml:space="preserve">PPL </w:t>
      </w:r>
      <w:r w:rsidR="0043286D" w:rsidRPr="00515A83">
        <w:rPr>
          <w:sz w:val="26"/>
          <w:szCs w:val="26"/>
        </w:rPr>
        <w:t xml:space="preserve">compliance filing and that further litigation on the specific filing under review would serve no purpose.  </w:t>
      </w:r>
      <w:r w:rsidR="00586647">
        <w:rPr>
          <w:sz w:val="26"/>
          <w:szCs w:val="26"/>
        </w:rPr>
        <w:t xml:space="preserve">ALJ Colwell issued </w:t>
      </w:r>
      <w:r w:rsidR="00B118A7">
        <w:rPr>
          <w:sz w:val="26"/>
          <w:szCs w:val="26"/>
        </w:rPr>
        <w:t>a</w:t>
      </w:r>
      <w:r w:rsidR="00B118A7" w:rsidRPr="00B118A7">
        <w:rPr>
          <w:sz w:val="26"/>
          <w:szCs w:val="26"/>
        </w:rPr>
        <w:t xml:space="preserve"> separate Initial Decision granting the</w:t>
      </w:r>
      <w:r w:rsidR="00B118A7">
        <w:rPr>
          <w:sz w:val="26"/>
          <w:szCs w:val="26"/>
        </w:rPr>
        <w:t xml:space="preserve"> OCA</w:t>
      </w:r>
      <w:r w:rsidR="0043286D">
        <w:rPr>
          <w:sz w:val="26"/>
          <w:szCs w:val="26"/>
        </w:rPr>
        <w:t>’s</w:t>
      </w:r>
      <w:r w:rsidR="00B118A7" w:rsidRPr="00B118A7">
        <w:rPr>
          <w:sz w:val="26"/>
          <w:szCs w:val="26"/>
        </w:rPr>
        <w:t xml:space="preserve"> petition</w:t>
      </w:r>
      <w:r w:rsidR="00586647">
        <w:rPr>
          <w:sz w:val="26"/>
          <w:szCs w:val="26"/>
        </w:rPr>
        <w:t xml:space="preserve">.  </w:t>
      </w:r>
      <w:r w:rsidR="0043286D">
        <w:rPr>
          <w:sz w:val="26"/>
          <w:szCs w:val="26"/>
        </w:rPr>
        <w:t>The active parties have filed correspondence indicating that they will not file Exceptions to this decision.</w:t>
      </w:r>
    </w:p>
    <w:p w:rsidR="0093208A" w:rsidRPr="00515A83" w:rsidRDefault="0093208A" w:rsidP="00A87552">
      <w:pPr>
        <w:spacing w:line="360" w:lineRule="auto"/>
        <w:rPr>
          <w:sz w:val="26"/>
          <w:szCs w:val="26"/>
        </w:rPr>
      </w:pPr>
    </w:p>
    <w:p w:rsidR="0086474E" w:rsidRDefault="0093208A" w:rsidP="00A87552">
      <w:pPr>
        <w:spacing w:line="360" w:lineRule="auto"/>
        <w:rPr>
          <w:sz w:val="26"/>
          <w:szCs w:val="26"/>
        </w:rPr>
      </w:pPr>
      <w:r w:rsidRPr="00515A83">
        <w:rPr>
          <w:sz w:val="26"/>
          <w:szCs w:val="26"/>
        </w:rPr>
        <w:tab/>
      </w:r>
      <w:r w:rsidRPr="00515A83">
        <w:rPr>
          <w:sz w:val="26"/>
          <w:szCs w:val="26"/>
        </w:rPr>
        <w:tab/>
      </w:r>
      <w:r w:rsidR="0086474E">
        <w:rPr>
          <w:sz w:val="26"/>
          <w:szCs w:val="26"/>
        </w:rPr>
        <w:t>Based on the foregoing, t</w:t>
      </w:r>
      <w:r w:rsidRPr="00515A83">
        <w:rPr>
          <w:sz w:val="26"/>
          <w:szCs w:val="26"/>
        </w:rPr>
        <w:t xml:space="preserve">he </w:t>
      </w:r>
      <w:r w:rsidR="0086474E">
        <w:rPr>
          <w:sz w:val="26"/>
          <w:szCs w:val="26"/>
        </w:rPr>
        <w:t>P</w:t>
      </w:r>
      <w:r w:rsidRPr="00515A83">
        <w:rPr>
          <w:sz w:val="26"/>
          <w:szCs w:val="26"/>
        </w:rPr>
        <w:t>arties agreed at the prehearing conference that the expedient action would be to seek immediate relief from the Commission</w:t>
      </w:r>
      <w:r w:rsidR="0086474E">
        <w:rPr>
          <w:sz w:val="26"/>
          <w:szCs w:val="26"/>
        </w:rPr>
        <w:t xml:space="preserve"> providing ALJ Colwell with authority to terminate the investigation</w:t>
      </w:r>
      <w:r w:rsidRPr="00515A83">
        <w:rPr>
          <w:sz w:val="26"/>
          <w:szCs w:val="26"/>
        </w:rPr>
        <w:t xml:space="preserve">. </w:t>
      </w:r>
      <w:r w:rsidR="00C667BA">
        <w:rPr>
          <w:sz w:val="26"/>
          <w:szCs w:val="26"/>
        </w:rPr>
        <w:t xml:space="preserve"> On January 12, 2015, ALJ Colwell issued her order certifying a material question to the Commission, pursuant to 52 Pa. Code § 5.305.</w:t>
      </w:r>
      <w:r w:rsidR="00E55C24">
        <w:rPr>
          <w:sz w:val="26"/>
          <w:szCs w:val="26"/>
        </w:rPr>
        <w:t xml:space="preserve">  Our Regulation permits parties to file a brief on the certified question, within seven days of the date the question is certified.  52 Pa. Code § 5.305(c).  In this case, all of the Parties have filed correspondence indicating their support of the certified question.   </w:t>
      </w:r>
      <w:r w:rsidRPr="00515A83">
        <w:rPr>
          <w:sz w:val="26"/>
          <w:szCs w:val="26"/>
        </w:rPr>
        <w:t xml:space="preserve"> </w:t>
      </w:r>
    </w:p>
    <w:p w:rsidR="0086474E" w:rsidRDefault="0086474E" w:rsidP="00A87552">
      <w:pPr>
        <w:spacing w:line="360" w:lineRule="auto"/>
        <w:rPr>
          <w:sz w:val="26"/>
          <w:szCs w:val="26"/>
        </w:rPr>
      </w:pPr>
    </w:p>
    <w:p w:rsidR="00D30623" w:rsidRDefault="00D30623">
      <w:pPr>
        <w:widowControl/>
        <w:spacing w:after="200" w:line="276" w:lineRule="auto"/>
        <w:rPr>
          <w:b/>
          <w:sz w:val="26"/>
          <w:szCs w:val="26"/>
        </w:rPr>
      </w:pPr>
      <w:r>
        <w:rPr>
          <w:b/>
          <w:sz w:val="26"/>
          <w:szCs w:val="26"/>
        </w:rPr>
        <w:br w:type="page"/>
      </w:r>
    </w:p>
    <w:p w:rsidR="00761956" w:rsidRDefault="0086474E" w:rsidP="00586647">
      <w:pPr>
        <w:spacing w:line="360" w:lineRule="auto"/>
        <w:jc w:val="center"/>
        <w:rPr>
          <w:sz w:val="26"/>
          <w:szCs w:val="26"/>
        </w:rPr>
      </w:pPr>
      <w:r>
        <w:rPr>
          <w:b/>
          <w:sz w:val="26"/>
          <w:szCs w:val="26"/>
        </w:rPr>
        <w:lastRenderedPageBreak/>
        <w:t>Discussion</w:t>
      </w:r>
    </w:p>
    <w:p w:rsidR="00E70BB7" w:rsidRDefault="00E70BB7" w:rsidP="00C71614">
      <w:pPr>
        <w:keepNext/>
        <w:spacing w:line="360" w:lineRule="auto"/>
        <w:rPr>
          <w:sz w:val="26"/>
          <w:szCs w:val="26"/>
        </w:rPr>
      </w:pPr>
    </w:p>
    <w:p w:rsidR="00E70BB7" w:rsidRPr="002974AA" w:rsidRDefault="00E70BB7" w:rsidP="00E70BB7">
      <w:pPr>
        <w:spacing w:line="360" w:lineRule="auto"/>
        <w:ind w:firstLine="1440"/>
        <w:rPr>
          <w:color w:val="333333"/>
          <w:sz w:val="26"/>
          <w:szCs w:val="26"/>
        </w:rPr>
      </w:pPr>
      <w:r>
        <w:rPr>
          <w:sz w:val="26"/>
          <w:szCs w:val="26"/>
        </w:rPr>
        <w:t xml:space="preserve">The pertinent consideration for our grant of interlocutory review is whether such review is necessary in order to prevent prejudice or expedite the conduct of the proceeding.  </w:t>
      </w:r>
      <w:r>
        <w:rPr>
          <w:i/>
          <w:sz w:val="26"/>
          <w:szCs w:val="26"/>
        </w:rPr>
        <w:t xml:space="preserve">See </w:t>
      </w:r>
      <w:r>
        <w:rPr>
          <w:sz w:val="26"/>
          <w:szCs w:val="26"/>
        </w:rPr>
        <w:t>52 Pa. Code § 5.305(a)(1).</w:t>
      </w:r>
      <w:r w:rsidR="00E52941">
        <w:rPr>
          <w:sz w:val="26"/>
          <w:szCs w:val="26"/>
        </w:rPr>
        <w:t xml:space="preserve">  We conclude that certification, under the circumstances that exist in this matter was proper and that the question should be answered in the affirmative.  </w:t>
      </w:r>
      <w:r>
        <w:rPr>
          <w:sz w:val="26"/>
          <w:szCs w:val="26"/>
        </w:rPr>
        <w:t xml:space="preserve">  </w:t>
      </w:r>
    </w:p>
    <w:p w:rsidR="00E70BB7" w:rsidRDefault="00E70BB7" w:rsidP="00564364">
      <w:pPr>
        <w:spacing w:line="360" w:lineRule="auto"/>
        <w:rPr>
          <w:b/>
          <w:sz w:val="26"/>
          <w:szCs w:val="26"/>
        </w:rPr>
      </w:pPr>
    </w:p>
    <w:p w:rsidR="00761956" w:rsidRPr="00564364" w:rsidRDefault="00761956" w:rsidP="00564364">
      <w:pPr>
        <w:spacing w:line="360" w:lineRule="auto"/>
        <w:rPr>
          <w:b/>
          <w:sz w:val="26"/>
          <w:szCs w:val="26"/>
        </w:rPr>
      </w:pPr>
      <w:r w:rsidRPr="00564364">
        <w:rPr>
          <w:b/>
          <w:sz w:val="26"/>
          <w:szCs w:val="26"/>
        </w:rPr>
        <w:t>ALJ</w:t>
      </w:r>
      <w:r w:rsidR="00E7436D" w:rsidRPr="00564364">
        <w:rPr>
          <w:b/>
          <w:sz w:val="26"/>
          <w:szCs w:val="26"/>
        </w:rPr>
        <w:t>’s</w:t>
      </w:r>
      <w:r w:rsidRPr="00564364">
        <w:rPr>
          <w:b/>
          <w:sz w:val="26"/>
          <w:szCs w:val="26"/>
        </w:rPr>
        <w:t xml:space="preserve"> Recommendation </w:t>
      </w:r>
    </w:p>
    <w:p w:rsidR="00761956" w:rsidRDefault="00761956" w:rsidP="00761956">
      <w:pPr>
        <w:spacing w:line="360" w:lineRule="auto"/>
        <w:ind w:firstLine="1440"/>
        <w:rPr>
          <w:b/>
          <w:sz w:val="26"/>
          <w:szCs w:val="26"/>
          <w:u w:val="single"/>
        </w:rPr>
      </w:pPr>
    </w:p>
    <w:p w:rsidR="00AC2252" w:rsidRDefault="00761956" w:rsidP="00AC2252">
      <w:pPr>
        <w:spacing w:line="360" w:lineRule="auto"/>
        <w:ind w:firstLine="1440"/>
        <w:rPr>
          <w:sz w:val="26"/>
          <w:szCs w:val="26"/>
        </w:rPr>
      </w:pPr>
      <w:r>
        <w:rPr>
          <w:sz w:val="26"/>
          <w:szCs w:val="26"/>
        </w:rPr>
        <w:t>The pertinent</w:t>
      </w:r>
      <w:r w:rsidR="00586647">
        <w:rPr>
          <w:sz w:val="26"/>
          <w:szCs w:val="26"/>
        </w:rPr>
        <w:t xml:space="preserve"> Commission Regulation, 52 Pa. Code 5. 305, states, in pertinent part:</w:t>
      </w:r>
    </w:p>
    <w:p w:rsidR="00AC2252" w:rsidRPr="00595F30" w:rsidRDefault="00AC2252" w:rsidP="00AC2252">
      <w:pPr>
        <w:spacing w:before="100" w:beforeAutospacing="1" w:after="100" w:afterAutospacing="1"/>
        <w:ind w:left="1440" w:right="1440"/>
        <w:rPr>
          <w:b/>
          <w:bCs/>
          <w:sz w:val="26"/>
          <w:szCs w:val="26"/>
        </w:rPr>
      </w:pPr>
      <w:r w:rsidRPr="00595F30">
        <w:rPr>
          <w:b/>
          <w:bCs/>
          <w:sz w:val="26"/>
          <w:szCs w:val="26"/>
        </w:rPr>
        <w:t>§ 5.305. Interlocutory review of a material question submitted by a presiding officer.</w:t>
      </w:r>
    </w:p>
    <w:p w:rsidR="00AC2252" w:rsidRPr="00595F30" w:rsidRDefault="00AC2252" w:rsidP="00AC2252">
      <w:pPr>
        <w:spacing w:before="100" w:beforeAutospacing="1" w:after="100" w:afterAutospacing="1"/>
        <w:ind w:left="1440" w:right="1440"/>
        <w:rPr>
          <w:sz w:val="26"/>
          <w:szCs w:val="26"/>
        </w:rPr>
      </w:pPr>
      <w:r w:rsidRPr="00595F30">
        <w:rPr>
          <w:sz w:val="26"/>
          <w:szCs w:val="26"/>
        </w:rPr>
        <w:t xml:space="preserve">(a) During the course of a proceeding, a presiding officer may certify to the Commission for review and answer a material question which has arisen or is likely to arise. The question will be accompanied by the following: </w:t>
      </w:r>
    </w:p>
    <w:p w:rsidR="00AC2252" w:rsidRPr="00595F30" w:rsidRDefault="00D30623" w:rsidP="00AC2252">
      <w:pPr>
        <w:spacing w:before="100" w:beforeAutospacing="1" w:after="100" w:afterAutospacing="1"/>
        <w:ind w:left="1440" w:right="1440"/>
        <w:rPr>
          <w:sz w:val="26"/>
          <w:szCs w:val="26"/>
        </w:rPr>
      </w:pPr>
      <w:r>
        <w:rPr>
          <w:sz w:val="26"/>
          <w:szCs w:val="26"/>
        </w:rPr>
        <w:tab/>
      </w:r>
      <w:r w:rsidR="00AC2252" w:rsidRPr="00595F30">
        <w:rPr>
          <w:sz w:val="26"/>
          <w:szCs w:val="26"/>
        </w:rPr>
        <w:t xml:space="preserve">(1) An explanation of the compelling reasons why interlocutory review will prevent prejudice or expedite the conduct of the proceeding. </w:t>
      </w:r>
    </w:p>
    <w:p w:rsidR="00AC2252" w:rsidRPr="00595F30" w:rsidRDefault="00AC2252" w:rsidP="00AC2252">
      <w:pPr>
        <w:spacing w:before="100" w:beforeAutospacing="1" w:after="100" w:afterAutospacing="1"/>
        <w:ind w:left="1440" w:right="1440"/>
        <w:rPr>
          <w:sz w:val="26"/>
          <w:szCs w:val="26"/>
        </w:rPr>
      </w:pPr>
      <w:r>
        <w:rPr>
          <w:sz w:val="26"/>
          <w:szCs w:val="26"/>
        </w:rPr>
        <w:t xml:space="preserve">                                  *          *          *</w:t>
      </w:r>
      <w:r w:rsidRPr="00595F30">
        <w:rPr>
          <w:sz w:val="26"/>
          <w:szCs w:val="26"/>
        </w:rPr>
        <w:t xml:space="preserve"> </w:t>
      </w:r>
    </w:p>
    <w:p w:rsidR="00AC2252" w:rsidRPr="00595F30" w:rsidRDefault="00AC2252" w:rsidP="00AC2252">
      <w:pPr>
        <w:spacing w:before="100" w:beforeAutospacing="1" w:after="100" w:afterAutospacing="1"/>
        <w:ind w:left="1440" w:right="1440"/>
        <w:rPr>
          <w:sz w:val="26"/>
          <w:szCs w:val="26"/>
        </w:rPr>
      </w:pPr>
      <w:r w:rsidRPr="00595F30">
        <w:rPr>
          <w:sz w:val="26"/>
          <w:szCs w:val="26"/>
        </w:rPr>
        <w:t xml:space="preserve">(e) Within 30 days of receipt of the certified question, the Commission will, without permitting oral argument, do one of the following: </w:t>
      </w:r>
    </w:p>
    <w:p w:rsidR="00AC2252" w:rsidRPr="00595F30" w:rsidRDefault="00D30623" w:rsidP="00AC2252">
      <w:pPr>
        <w:spacing w:before="100" w:beforeAutospacing="1" w:after="100" w:afterAutospacing="1"/>
        <w:ind w:left="1440" w:right="1440"/>
        <w:rPr>
          <w:sz w:val="26"/>
          <w:szCs w:val="26"/>
        </w:rPr>
      </w:pPr>
      <w:r>
        <w:rPr>
          <w:sz w:val="26"/>
          <w:szCs w:val="26"/>
        </w:rPr>
        <w:tab/>
      </w:r>
      <w:r w:rsidR="00AC2252" w:rsidRPr="00595F30">
        <w:rPr>
          <w:sz w:val="26"/>
          <w:szCs w:val="26"/>
        </w:rPr>
        <w:t xml:space="preserve">(1) Continue, revoke or grant a stay of proceedings. </w:t>
      </w:r>
    </w:p>
    <w:p w:rsidR="00AC2252" w:rsidRPr="00595F30" w:rsidRDefault="00D30623" w:rsidP="00AC2252">
      <w:pPr>
        <w:spacing w:before="100" w:beforeAutospacing="1" w:after="100" w:afterAutospacing="1"/>
        <w:ind w:left="1440" w:right="1440"/>
        <w:rPr>
          <w:sz w:val="26"/>
          <w:szCs w:val="26"/>
        </w:rPr>
      </w:pPr>
      <w:r>
        <w:rPr>
          <w:sz w:val="26"/>
          <w:szCs w:val="26"/>
        </w:rPr>
        <w:tab/>
      </w:r>
      <w:r w:rsidR="00AC2252" w:rsidRPr="00595F30">
        <w:rPr>
          <w:sz w:val="26"/>
          <w:szCs w:val="26"/>
        </w:rPr>
        <w:t xml:space="preserve">(2) Determine that the certification was improper and return the matter to the presiding officer for resolution. </w:t>
      </w:r>
    </w:p>
    <w:p w:rsidR="00761956" w:rsidRDefault="00D30623" w:rsidP="00AC2252">
      <w:pPr>
        <w:spacing w:before="100" w:beforeAutospacing="1" w:after="100" w:afterAutospacing="1"/>
        <w:ind w:left="1440" w:right="1440"/>
        <w:rPr>
          <w:sz w:val="26"/>
          <w:szCs w:val="26"/>
        </w:rPr>
      </w:pPr>
      <w:r>
        <w:rPr>
          <w:sz w:val="26"/>
          <w:szCs w:val="26"/>
        </w:rPr>
        <w:tab/>
      </w:r>
      <w:r w:rsidR="00AC2252" w:rsidRPr="00595F30">
        <w:rPr>
          <w:sz w:val="26"/>
          <w:szCs w:val="26"/>
        </w:rPr>
        <w:t xml:space="preserve">(3) Answer the certified question. </w:t>
      </w:r>
      <w:r w:rsidR="00586647">
        <w:rPr>
          <w:sz w:val="26"/>
          <w:szCs w:val="26"/>
        </w:rPr>
        <w:t xml:space="preserve"> </w:t>
      </w:r>
    </w:p>
    <w:p w:rsidR="00761956" w:rsidRDefault="00761956" w:rsidP="002974AA">
      <w:pPr>
        <w:spacing w:line="360" w:lineRule="auto"/>
        <w:ind w:firstLine="1440"/>
        <w:rPr>
          <w:b/>
          <w:sz w:val="26"/>
          <w:szCs w:val="26"/>
        </w:rPr>
      </w:pPr>
    </w:p>
    <w:p w:rsidR="00E52941" w:rsidRDefault="002974AA" w:rsidP="002974AA">
      <w:pPr>
        <w:spacing w:line="360" w:lineRule="auto"/>
        <w:ind w:firstLine="1440"/>
        <w:rPr>
          <w:sz w:val="26"/>
          <w:szCs w:val="26"/>
        </w:rPr>
      </w:pPr>
      <w:r>
        <w:rPr>
          <w:sz w:val="26"/>
          <w:szCs w:val="26"/>
        </w:rPr>
        <w:t xml:space="preserve">ALJ Colwell has addressed each consideration set forth in 52 Pa. Code </w:t>
      </w:r>
      <w:r w:rsidR="00C9363B">
        <w:rPr>
          <w:sz w:val="26"/>
          <w:szCs w:val="26"/>
        </w:rPr>
        <w:br/>
      </w:r>
      <w:r>
        <w:rPr>
          <w:sz w:val="26"/>
          <w:szCs w:val="26"/>
        </w:rPr>
        <w:t xml:space="preserve">§ 5.305 at pages 3-7 of the </w:t>
      </w:r>
      <w:r w:rsidRPr="00564364">
        <w:rPr>
          <w:i/>
          <w:sz w:val="26"/>
          <w:szCs w:val="26"/>
        </w:rPr>
        <w:t>Certification Order</w:t>
      </w:r>
      <w:r>
        <w:rPr>
          <w:sz w:val="26"/>
          <w:szCs w:val="26"/>
        </w:rPr>
        <w:t>.</w:t>
      </w:r>
      <w:r w:rsidR="00E52941">
        <w:rPr>
          <w:sz w:val="26"/>
          <w:szCs w:val="26"/>
        </w:rPr>
        <w:t xml:space="preserve">  ALJ Colwell has articulated those compelling reasons why interlocutory review will prevent prejudice or expedite the conduct of the proceeding as follows:</w:t>
      </w:r>
    </w:p>
    <w:p w:rsidR="00E52941" w:rsidRDefault="00E52941" w:rsidP="002974AA">
      <w:pPr>
        <w:spacing w:line="360" w:lineRule="auto"/>
        <w:ind w:firstLine="1440"/>
        <w:rPr>
          <w:sz w:val="26"/>
          <w:szCs w:val="26"/>
        </w:rPr>
      </w:pPr>
    </w:p>
    <w:p w:rsidR="00E52941" w:rsidRPr="00E30DAD" w:rsidRDefault="00E52941" w:rsidP="00E52941">
      <w:pPr>
        <w:ind w:left="1440" w:right="1440"/>
        <w:rPr>
          <w:sz w:val="26"/>
          <w:szCs w:val="26"/>
        </w:rPr>
      </w:pPr>
      <w:r w:rsidRPr="00E30DAD">
        <w:rPr>
          <w:sz w:val="26"/>
          <w:szCs w:val="26"/>
        </w:rPr>
        <w:t xml:space="preserve">The Commission suspended the Company proposed Supplement No. 165-to Tariff – Electric Pa. P.U.C. No. 201 and instituted an investigation into the lawfulness, justness, and reasonableness of the rates, rules, and regulations contained therein after the OCA filed a formal Complaint against the proposed tariff.  The OCA has decided to withdraw its formal Complaint after its further review of the matter, and there is no party opposing the tariff filing.  Litigation now would be the Company submitting testimony and supporting documentation followed by the preparation and issuance of a recommended decision.  No meaningful scrutiny is anticipated by the other parties, and no opposition remains to the tariff filing.  The parties seek to end this litigation before they are required to expend further resources.  Because the investigation was instituted by Commission Order, it can only be canceled by a Commission Order.  </w:t>
      </w:r>
    </w:p>
    <w:p w:rsidR="00C33602" w:rsidRDefault="00C33602" w:rsidP="00C33602">
      <w:pPr>
        <w:spacing w:line="360" w:lineRule="auto"/>
        <w:rPr>
          <w:i/>
          <w:sz w:val="26"/>
          <w:szCs w:val="26"/>
        </w:rPr>
      </w:pPr>
    </w:p>
    <w:p w:rsidR="002974AA" w:rsidRPr="002974AA" w:rsidRDefault="00E52941" w:rsidP="00C33602">
      <w:pPr>
        <w:spacing w:line="360" w:lineRule="auto"/>
        <w:rPr>
          <w:sz w:val="26"/>
          <w:szCs w:val="26"/>
        </w:rPr>
      </w:pPr>
      <w:proofErr w:type="gramStart"/>
      <w:r>
        <w:rPr>
          <w:i/>
          <w:sz w:val="26"/>
          <w:szCs w:val="26"/>
        </w:rPr>
        <w:t xml:space="preserve">Certification Order </w:t>
      </w:r>
      <w:r>
        <w:rPr>
          <w:sz w:val="26"/>
          <w:szCs w:val="26"/>
        </w:rPr>
        <w:t>at 5.</w:t>
      </w:r>
      <w:proofErr w:type="gramEnd"/>
      <w:r>
        <w:rPr>
          <w:sz w:val="26"/>
          <w:szCs w:val="26"/>
        </w:rPr>
        <w:t xml:space="preserve"> </w:t>
      </w:r>
      <w:r w:rsidR="002974AA">
        <w:rPr>
          <w:sz w:val="26"/>
          <w:szCs w:val="26"/>
        </w:rPr>
        <w:t xml:space="preserve">    </w:t>
      </w:r>
    </w:p>
    <w:p w:rsidR="002974AA" w:rsidRDefault="002974AA" w:rsidP="00AC2252">
      <w:pPr>
        <w:spacing w:line="360" w:lineRule="auto"/>
        <w:rPr>
          <w:b/>
          <w:sz w:val="26"/>
          <w:szCs w:val="26"/>
        </w:rPr>
      </w:pPr>
    </w:p>
    <w:p w:rsidR="00402180" w:rsidRPr="00564364" w:rsidRDefault="00402180" w:rsidP="00564364">
      <w:pPr>
        <w:spacing w:line="360" w:lineRule="auto"/>
        <w:rPr>
          <w:b/>
          <w:bCs/>
          <w:color w:val="000000"/>
          <w:sz w:val="26"/>
          <w:szCs w:val="26"/>
        </w:rPr>
      </w:pPr>
      <w:r w:rsidRPr="00564364">
        <w:rPr>
          <w:b/>
          <w:bCs/>
          <w:color w:val="000000"/>
          <w:sz w:val="26"/>
          <w:szCs w:val="26"/>
        </w:rPr>
        <w:t>Disposition</w:t>
      </w:r>
    </w:p>
    <w:p w:rsidR="00402180" w:rsidRDefault="00402180" w:rsidP="00761956">
      <w:pPr>
        <w:spacing w:line="360" w:lineRule="auto"/>
        <w:ind w:firstLine="1440"/>
        <w:rPr>
          <w:bCs/>
          <w:color w:val="000000"/>
          <w:sz w:val="26"/>
          <w:szCs w:val="26"/>
        </w:rPr>
      </w:pPr>
    </w:p>
    <w:p w:rsidR="008D7964" w:rsidRDefault="00761956" w:rsidP="00A305D1">
      <w:pPr>
        <w:spacing w:line="360" w:lineRule="auto"/>
        <w:ind w:firstLine="1440"/>
        <w:rPr>
          <w:bCs/>
          <w:color w:val="000000"/>
          <w:sz w:val="26"/>
          <w:szCs w:val="26"/>
        </w:rPr>
      </w:pPr>
      <w:r>
        <w:rPr>
          <w:bCs/>
          <w:color w:val="000000"/>
          <w:sz w:val="26"/>
          <w:szCs w:val="26"/>
        </w:rPr>
        <w:t xml:space="preserve">On application of the principles for interlocutory review to the </w:t>
      </w:r>
      <w:r w:rsidR="002974AA" w:rsidRPr="00C33602">
        <w:rPr>
          <w:bCs/>
          <w:i/>
          <w:color w:val="000000"/>
          <w:sz w:val="26"/>
          <w:szCs w:val="26"/>
        </w:rPr>
        <w:t>Certification Order</w:t>
      </w:r>
      <w:r w:rsidR="002974AA">
        <w:rPr>
          <w:bCs/>
          <w:color w:val="000000"/>
          <w:sz w:val="26"/>
          <w:szCs w:val="26"/>
        </w:rPr>
        <w:t xml:space="preserve">, </w:t>
      </w:r>
      <w:r>
        <w:rPr>
          <w:bCs/>
          <w:color w:val="000000"/>
          <w:sz w:val="26"/>
          <w:szCs w:val="26"/>
        </w:rPr>
        <w:t xml:space="preserve">we shall </w:t>
      </w:r>
      <w:r w:rsidR="002974AA">
        <w:rPr>
          <w:bCs/>
          <w:color w:val="000000"/>
          <w:sz w:val="26"/>
          <w:szCs w:val="26"/>
        </w:rPr>
        <w:t xml:space="preserve">consider the </w:t>
      </w:r>
      <w:r w:rsidR="002974AA" w:rsidRPr="00705962">
        <w:rPr>
          <w:bCs/>
          <w:color w:val="000000"/>
          <w:sz w:val="26"/>
          <w:szCs w:val="26"/>
        </w:rPr>
        <w:t>question and answer the question in the affirmative</w:t>
      </w:r>
      <w:r w:rsidRPr="00705962">
        <w:rPr>
          <w:bCs/>
          <w:color w:val="000000"/>
          <w:sz w:val="26"/>
          <w:szCs w:val="26"/>
        </w:rPr>
        <w:t>, consistent with the discussion herein</w:t>
      </w:r>
      <w:r w:rsidR="002974AA" w:rsidRPr="00705962">
        <w:rPr>
          <w:bCs/>
          <w:color w:val="000000"/>
          <w:sz w:val="26"/>
          <w:szCs w:val="26"/>
        </w:rPr>
        <w:t>.</w:t>
      </w:r>
      <w:r w:rsidR="002974AA">
        <w:rPr>
          <w:bCs/>
          <w:color w:val="000000"/>
          <w:sz w:val="26"/>
          <w:szCs w:val="26"/>
        </w:rPr>
        <w:t xml:space="preserve">  Our answer to the question raised by the </w:t>
      </w:r>
      <w:r w:rsidR="002974AA" w:rsidRPr="00C33602">
        <w:rPr>
          <w:bCs/>
          <w:i/>
          <w:color w:val="000000"/>
          <w:sz w:val="26"/>
          <w:szCs w:val="26"/>
        </w:rPr>
        <w:t>Certification Order</w:t>
      </w:r>
      <w:r w:rsidR="002974AA">
        <w:rPr>
          <w:bCs/>
          <w:color w:val="000000"/>
          <w:sz w:val="26"/>
          <w:szCs w:val="26"/>
        </w:rPr>
        <w:t xml:space="preserve"> </w:t>
      </w:r>
      <w:r w:rsidR="00E52941">
        <w:rPr>
          <w:bCs/>
          <w:color w:val="000000"/>
          <w:sz w:val="26"/>
          <w:szCs w:val="26"/>
        </w:rPr>
        <w:t xml:space="preserve">in the affirmative </w:t>
      </w:r>
      <w:r w:rsidR="002974AA">
        <w:rPr>
          <w:bCs/>
          <w:color w:val="000000"/>
          <w:sz w:val="26"/>
          <w:szCs w:val="26"/>
        </w:rPr>
        <w:t xml:space="preserve">will expedite the conduct of this proceeding by terminating an investigation in which all active Parties have expressed their </w:t>
      </w:r>
      <w:r w:rsidR="00740098">
        <w:rPr>
          <w:bCs/>
          <w:color w:val="000000"/>
          <w:sz w:val="26"/>
          <w:szCs w:val="26"/>
        </w:rPr>
        <w:t xml:space="preserve">intent to discontinue and withdraw opposition to the </w:t>
      </w:r>
      <w:r w:rsidR="00A305D1">
        <w:rPr>
          <w:bCs/>
          <w:color w:val="000000"/>
          <w:sz w:val="26"/>
          <w:szCs w:val="26"/>
        </w:rPr>
        <w:t xml:space="preserve">SDER </w:t>
      </w:r>
      <w:r w:rsidR="00740098">
        <w:rPr>
          <w:bCs/>
          <w:color w:val="000000"/>
          <w:sz w:val="26"/>
          <w:szCs w:val="26"/>
        </w:rPr>
        <w:t xml:space="preserve">filing and </w:t>
      </w:r>
      <w:r w:rsidR="00E52941">
        <w:rPr>
          <w:bCs/>
          <w:color w:val="000000"/>
          <w:sz w:val="26"/>
          <w:szCs w:val="26"/>
        </w:rPr>
        <w:t xml:space="preserve">not oppose </w:t>
      </w:r>
      <w:r w:rsidR="00740098">
        <w:rPr>
          <w:bCs/>
          <w:color w:val="000000"/>
          <w:sz w:val="26"/>
          <w:szCs w:val="26"/>
        </w:rPr>
        <w:t xml:space="preserve">implementation of the </w:t>
      </w:r>
      <w:r w:rsidR="00A305D1">
        <w:rPr>
          <w:bCs/>
          <w:color w:val="000000"/>
          <w:sz w:val="26"/>
          <w:szCs w:val="26"/>
        </w:rPr>
        <w:t xml:space="preserve">initial </w:t>
      </w:r>
      <w:r w:rsidR="00740098">
        <w:rPr>
          <w:bCs/>
          <w:color w:val="000000"/>
          <w:sz w:val="26"/>
          <w:szCs w:val="26"/>
        </w:rPr>
        <w:t>PPL SDER.</w:t>
      </w:r>
      <w:r w:rsidR="00705962">
        <w:rPr>
          <w:bCs/>
          <w:color w:val="000000"/>
          <w:sz w:val="26"/>
          <w:szCs w:val="26"/>
        </w:rPr>
        <w:t xml:space="preserve">  Moreover, it will eliminate the need for the ALJ to hold a </w:t>
      </w:r>
      <w:r w:rsidR="00705962">
        <w:rPr>
          <w:bCs/>
          <w:color w:val="000000"/>
          <w:sz w:val="26"/>
          <w:szCs w:val="26"/>
        </w:rPr>
        <w:lastRenderedPageBreak/>
        <w:t xml:space="preserve">hearing and issue a Recommended Decision, as required by the </w:t>
      </w:r>
      <w:r w:rsidR="00705962" w:rsidRPr="00564364">
        <w:rPr>
          <w:bCs/>
          <w:i/>
          <w:color w:val="000000"/>
          <w:sz w:val="26"/>
          <w:szCs w:val="26"/>
        </w:rPr>
        <w:t>December 2014 Order</w:t>
      </w:r>
      <w:r w:rsidR="00705962">
        <w:rPr>
          <w:bCs/>
          <w:color w:val="000000"/>
          <w:sz w:val="26"/>
          <w:szCs w:val="26"/>
        </w:rPr>
        <w:t>.</w:t>
      </w:r>
      <w:r w:rsidR="005134AD">
        <w:rPr>
          <w:bCs/>
          <w:color w:val="000000"/>
          <w:sz w:val="26"/>
          <w:szCs w:val="26"/>
        </w:rPr>
        <w:t xml:space="preserve">  Based </w:t>
      </w:r>
      <w:r w:rsidR="00740098">
        <w:rPr>
          <w:bCs/>
          <w:color w:val="000000"/>
          <w:sz w:val="26"/>
          <w:szCs w:val="26"/>
        </w:rPr>
        <w:t>on the concurrence of all active Parties to the investigation, w</w:t>
      </w:r>
      <w:r>
        <w:rPr>
          <w:bCs/>
          <w:color w:val="000000"/>
          <w:sz w:val="26"/>
          <w:szCs w:val="26"/>
        </w:rPr>
        <w:t>e are persuaded to find compelling reasons to</w:t>
      </w:r>
      <w:r w:rsidR="00740098">
        <w:rPr>
          <w:bCs/>
          <w:color w:val="000000"/>
          <w:sz w:val="26"/>
          <w:szCs w:val="26"/>
        </w:rPr>
        <w:t xml:space="preserve"> </w:t>
      </w:r>
      <w:r>
        <w:rPr>
          <w:bCs/>
          <w:color w:val="000000"/>
          <w:sz w:val="26"/>
          <w:szCs w:val="26"/>
        </w:rPr>
        <w:t xml:space="preserve">answer the </w:t>
      </w:r>
      <w:r w:rsidR="00740098">
        <w:rPr>
          <w:bCs/>
          <w:color w:val="000000"/>
          <w:sz w:val="26"/>
          <w:szCs w:val="26"/>
        </w:rPr>
        <w:t>certified</w:t>
      </w:r>
      <w:r>
        <w:rPr>
          <w:bCs/>
          <w:color w:val="000000"/>
          <w:sz w:val="26"/>
          <w:szCs w:val="26"/>
        </w:rPr>
        <w:t xml:space="preserve"> question </w:t>
      </w:r>
      <w:r w:rsidR="00740098">
        <w:rPr>
          <w:bCs/>
          <w:color w:val="000000"/>
          <w:sz w:val="26"/>
          <w:szCs w:val="26"/>
        </w:rPr>
        <w:t xml:space="preserve">and terminate this </w:t>
      </w:r>
      <w:r w:rsidR="005134AD">
        <w:rPr>
          <w:bCs/>
          <w:color w:val="000000"/>
          <w:sz w:val="26"/>
          <w:szCs w:val="26"/>
        </w:rPr>
        <w:t>investigation</w:t>
      </w:r>
      <w:r w:rsidR="00740098">
        <w:rPr>
          <w:bCs/>
          <w:color w:val="000000"/>
          <w:sz w:val="26"/>
          <w:szCs w:val="26"/>
        </w:rPr>
        <w:t xml:space="preserve">.  </w:t>
      </w:r>
      <w:r w:rsidR="006B4B25">
        <w:rPr>
          <w:bCs/>
          <w:color w:val="000000"/>
          <w:sz w:val="26"/>
          <w:szCs w:val="26"/>
        </w:rPr>
        <w:t xml:space="preserve">We </w:t>
      </w:r>
      <w:r w:rsidR="00A305D1">
        <w:rPr>
          <w:bCs/>
          <w:color w:val="000000"/>
          <w:sz w:val="26"/>
          <w:szCs w:val="26"/>
        </w:rPr>
        <w:t xml:space="preserve">conclude that conservation of administrative resources will be promoted by terminating this </w:t>
      </w:r>
      <w:r w:rsidR="007469EA">
        <w:rPr>
          <w:bCs/>
          <w:color w:val="000000"/>
          <w:sz w:val="26"/>
          <w:szCs w:val="26"/>
        </w:rPr>
        <w:t>investigation</w:t>
      </w:r>
      <w:r w:rsidR="00E52941">
        <w:rPr>
          <w:bCs/>
          <w:color w:val="000000"/>
          <w:sz w:val="26"/>
          <w:szCs w:val="26"/>
        </w:rPr>
        <w:t xml:space="preserve"> as there remain no outstanding issues or considerations in the public interest that have not, heretofore, been substantively addressed in our </w:t>
      </w:r>
      <w:r w:rsidR="00E52941">
        <w:rPr>
          <w:bCs/>
          <w:i/>
          <w:color w:val="000000"/>
          <w:sz w:val="26"/>
          <w:szCs w:val="26"/>
        </w:rPr>
        <w:t xml:space="preserve">April 3 Order </w:t>
      </w:r>
      <w:r w:rsidR="00E52941">
        <w:rPr>
          <w:bCs/>
          <w:color w:val="000000"/>
          <w:sz w:val="26"/>
          <w:szCs w:val="26"/>
        </w:rPr>
        <w:t xml:space="preserve">and </w:t>
      </w:r>
      <w:r w:rsidR="00E52941">
        <w:rPr>
          <w:bCs/>
          <w:i/>
          <w:color w:val="000000"/>
          <w:sz w:val="26"/>
          <w:szCs w:val="26"/>
        </w:rPr>
        <w:t>May 22 Order on Reconsideration</w:t>
      </w:r>
      <w:r w:rsidR="005134AD">
        <w:rPr>
          <w:bCs/>
          <w:color w:val="000000"/>
          <w:sz w:val="26"/>
          <w:szCs w:val="26"/>
        </w:rPr>
        <w:t>.</w:t>
      </w:r>
      <w:r w:rsidR="007469EA">
        <w:rPr>
          <w:bCs/>
          <w:color w:val="000000"/>
          <w:sz w:val="26"/>
          <w:szCs w:val="26"/>
        </w:rPr>
        <w:t xml:space="preserve"> </w:t>
      </w:r>
      <w:r w:rsidR="00E52941">
        <w:rPr>
          <w:bCs/>
          <w:color w:val="000000"/>
          <w:sz w:val="26"/>
          <w:szCs w:val="26"/>
        </w:rPr>
        <w:t xml:space="preserve"> </w:t>
      </w:r>
    </w:p>
    <w:p w:rsidR="00C33602" w:rsidRDefault="00C33602" w:rsidP="00E52941">
      <w:pPr>
        <w:spacing w:line="360" w:lineRule="auto"/>
        <w:jc w:val="center"/>
        <w:rPr>
          <w:b/>
          <w:bCs/>
          <w:color w:val="000000"/>
          <w:sz w:val="26"/>
          <w:szCs w:val="26"/>
        </w:rPr>
      </w:pPr>
    </w:p>
    <w:p w:rsidR="008D7964" w:rsidRPr="00564364" w:rsidRDefault="008D7964" w:rsidP="00E52941">
      <w:pPr>
        <w:spacing w:line="360" w:lineRule="auto"/>
        <w:jc w:val="center"/>
        <w:rPr>
          <w:b/>
          <w:bCs/>
          <w:color w:val="000000"/>
          <w:sz w:val="26"/>
          <w:szCs w:val="26"/>
        </w:rPr>
      </w:pPr>
      <w:r w:rsidRPr="00564364">
        <w:rPr>
          <w:b/>
          <w:bCs/>
          <w:color w:val="000000"/>
          <w:sz w:val="26"/>
          <w:szCs w:val="26"/>
        </w:rPr>
        <w:t>Conclusion</w:t>
      </w:r>
    </w:p>
    <w:p w:rsidR="008D7964" w:rsidRDefault="008D7964" w:rsidP="00564364">
      <w:pPr>
        <w:spacing w:line="360" w:lineRule="auto"/>
        <w:jc w:val="center"/>
        <w:rPr>
          <w:bCs/>
          <w:color w:val="000000"/>
          <w:sz w:val="26"/>
          <w:szCs w:val="26"/>
        </w:rPr>
      </w:pPr>
    </w:p>
    <w:p w:rsidR="007469EA" w:rsidRDefault="002C72AF" w:rsidP="00A305D1">
      <w:pPr>
        <w:spacing w:line="360" w:lineRule="auto"/>
        <w:ind w:firstLine="1440"/>
        <w:rPr>
          <w:b/>
          <w:bCs/>
          <w:color w:val="000000"/>
          <w:sz w:val="26"/>
          <w:szCs w:val="26"/>
        </w:rPr>
      </w:pPr>
      <w:r>
        <w:rPr>
          <w:bCs/>
          <w:color w:val="000000"/>
          <w:sz w:val="26"/>
          <w:szCs w:val="26"/>
        </w:rPr>
        <w:t xml:space="preserve">Based on our review of the record and the applicable law, we will </w:t>
      </w:r>
      <w:r w:rsidR="00705962">
        <w:rPr>
          <w:bCs/>
          <w:color w:val="000000"/>
          <w:sz w:val="26"/>
          <w:szCs w:val="26"/>
        </w:rPr>
        <w:t>answer certified question in the affirmative</w:t>
      </w:r>
      <w:r>
        <w:rPr>
          <w:bCs/>
          <w:color w:val="000000"/>
          <w:sz w:val="26"/>
          <w:szCs w:val="26"/>
        </w:rPr>
        <w:t xml:space="preserve">, consistent with the foregoing discussion; </w:t>
      </w:r>
      <w:r w:rsidR="007469EA">
        <w:rPr>
          <w:b/>
          <w:bCs/>
          <w:color w:val="000000"/>
          <w:sz w:val="26"/>
          <w:szCs w:val="26"/>
        </w:rPr>
        <w:t xml:space="preserve">THEREFORE, </w:t>
      </w:r>
    </w:p>
    <w:p w:rsidR="002C72AF" w:rsidRDefault="002C72AF" w:rsidP="00A305D1">
      <w:pPr>
        <w:spacing w:line="360" w:lineRule="auto"/>
        <w:ind w:firstLine="1440"/>
        <w:rPr>
          <w:b/>
          <w:bCs/>
          <w:color w:val="000000"/>
          <w:sz w:val="26"/>
          <w:szCs w:val="26"/>
        </w:rPr>
      </w:pPr>
    </w:p>
    <w:p w:rsidR="007469EA" w:rsidRDefault="007469EA" w:rsidP="007469EA">
      <w:pPr>
        <w:spacing w:line="360" w:lineRule="auto"/>
        <w:ind w:firstLine="1440"/>
        <w:rPr>
          <w:b/>
          <w:sz w:val="26"/>
          <w:szCs w:val="26"/>
        </w:rPr>
      </w:pPr>
      <w:r w:rsidRPr="007469EA">
        <w:rPr>
          <w:b/>
          <w:sz w:val="26"/>
          <w:szCs w:val="26"/>
        </w:rPr>
        <w:t>IT IS ORDERED:</w:t>
      </w:r>
    </w:p>
    <w:p w:rsidR="007469EA" w:rsidRDefault="007469EA" w:rsidP="007469EA">
      <w:pPr>
        <w:tabs>
          <w:tab w:val="left" w:pos="1440"/>
        </w:tabs>
        <w:spacing w:line="360" w:lineRule="auto"/>
        <w:rPr>
          <w:sz w:val="26"/>
          <w:szCs w:val="26"/>
        </w:rPr>
      </w:pPr>
    </w:p>
    <w:p w:rsidR="007469EA" w:rsidRPr="00CD4796" w:rsidRDefault="007469EA" w:rsidP="007469EA">
      <w:pPr>
        <w:pStyle w:val="ListParagraph"/>
        <w:numPr>
          <w:ilvl w:val="0"/>
          <w:numId w:val="5"/>
        </w:numPr>
        <w:tabs>
          <w:tab w:val="left" w:pos="1440"/>
        </w:tabs>
        <w:spacing w:line="360" w:lineRule="auto"/>
        <w:ind w:left="0" w:firstLine="1440"/>
        <w:rPr>
          <w:sz w:val="26"/>
          <w:szCs w:val="26"/>
        </w:rPr>
      </w:pPr>
      <w:r w:rsidRPr="007469EA">
        <w:rPr>
          <w:sz w:val="26"/>
          <w:szCs w:val="26"/>
        </w:rPr>
        <w:t>That pursuant to 52 Pa. Code §5.305</w:t>
      </w:r>
      <w:r>
        <w:rPr>
          <w:sz w:val="26"/>
          <w:szCs w:val="26"/>
        </w:rPr>
        <w:t xml:space="preserve">, the Commission hereby answers </w:t>
      </w:r>
      <w:r w:rsidRPr="007469EA">
        <w:rPr>
          <w:sz w:val="26"/>
          <w:szCs w:val="26"/>
        </w:rPr>
        <w:t xml:space="preserve">the following question certified to the Commission at the above-captioned </w:t>
      </w:r>
      <w:r w:rsidRPr="00CD4796">
        <w:rPr>
          <w:sz w:val="26"/>
          <w:szCs w:val="26"/>
        </w:rPr>
        <w:t xml:space="preserve">docket in the affirmative: </w:t>
      </w:r>
    </w:p>
    <w:p w:rsidR="007469EA" w:rsidRDefault="007469EA" w:rsidP="007469EA">
      <w:pPr>
        <w:spacing w:line="360" w:lineRule="auto"/>
        <w:ind w:firstLine="1440"/>
        <w:rPr>
          <w:b/>
          <w:sz w:val="26"/>
          <w:szCs w:val="26"/>
        </w:rPr>
      </w:pPr>
    </w:p>
    <w:p w:rsidR="007469EA" w:rsidRDefault="007469EA" w:rsidP="00C33602">
      <w:pPr>
        <w:widowControl/>
        <w:ind w:left="1440" w:right="1440"/>
        <w:rPr>
          <w:sz w:val="26"/>
          <w:szCs w:val="26"/>
        </w:rPr>
      </w:pPr>
      <w:r w:rsidRPr="007818F5">
        <w:rPr>
          <w:sz w:val="26"/>
          <w:szCs w:val="26"/>
        </w:rPr>
        <w:t>Whether the investigation ordered by the Commission Order of December 18, 2014, at this docket to determine the lawfulness, justness, and reasonableness of the rates, rules, and regulations contained in PPL Electric Utilities Corporation's proposed supplement No. 165 to Tariff – Electric Pa. P.U.C. No. 201 should be terminated and PPL Electric Utilities Corporation should be permitted to file a tariff supplement effective on February 1, 2015 to implement the proposed Storm Damage Expense Rider where the formal Complaint of the Office of Consumer Advocate is withdrawn and when no party remains that seeks to investigate the matter further?</w:t>
      </w:r>
    </w:p>
    <w:p w:rsidR="00C33602" w:rsidRPr="007818F5" w:rsidRDefault="00C33602" w:rsidP="00C33602">
      <w:pPr>
        <w:widowControl/>
        <w:ind w:left="1440" w:right="1440"/>
        <w:rPr>
          <w:sz w:val="26"/>
          <w:szCs w:val="26"/>
        </w:rPr>
      </w:pPr>
    </w:p>
    <w:p w:rsidR="007469EA" w:rsidRPr="007469EA" w:rsidRDefault="007469EA" w:rsidP="007469EA">
      <w:pPr>
        <w:ind w:firstLine="720"/>
        <w:rPr>
          <w:b/>
          <w:sz w:val="26"/>
          <w:szCs w:val="26"/>
        </w:rPr>
      </w:pPr>
    </w:p>
    <w:p w:rsidR="007469EA" w:rsidRDefault="007469EA" w:rsidP="007469EA">
      <w:pPr>
        <w:spacing w:line="360" w:lineRule="auto"/>
        <w:ind w:firstLine="1440"/>
        <w:rPr>
          <w:sz w:val="26"/>
          <w:szCs w:val="26"/>
        </w:rPr>
      </w:pPr>
      <w:r>
        <w:rPr>
          <w:sz w:val="26"/>
          <w:szCs w:val="26"/>
        </w:rPr>
        <w:t>2</w:t>
      </w:r>
      <w:r w:rsidRPr="007469EA">
        <w:rPr>
          <w:sz w:val="26"/>
          <w:szCs w:val="26"/>
        </w:rPr>
        <w:t>.</w:t>
      </w:r>
      <w:r w:rsidRPr="007469EA">
        <w:rPr>
          <w:sz w:val="26"/>
          <w:szCs w:val="26"/>
        </w:rPr>
        <w:tab/>
        <w:t xml:space="preserve">That PPL Electric Utilities Corporation </w:t>
      </w:r>
      <w:r>
        <w:rPr>
          <w:sz w:val="26"/>
          <w:szCs w:val="26"/>
        </w:rPr>
        <w:t xml:space="preserve">shall be permitted to file a </w:t>
      </w:r>
      <w:r w:rsidR="004F03EE">
        <w:rPr>
          <w:sz w:val="26"/>
          <w:szCs w:val="26"/>
        </w:rPr>
        <w:t xml:space="preserve">compliance </w:t>
      </w:r>
      <w:r>
        <w:rPr>
          <w:sz w:val="26"/>
          <w:szCs w:val="26"/>
        </w:rPr>
        <w:t>tariff s</w:t>
      </w:r>
      <w:r w:rsidRPr="007469EA">
        <w:rPr>
          <w:sz w:val="26"/>
          <w:szCs w:val="26"/>
        </w:rPr>
        <w:t>upplement</w:t>
      </w:r>
      <w:r>
        <w:rPr>
          <w:sz w:val="26"/>
          <w:szCs w:val="26"/>
        </w:rPr>
        <w:t xml:space="preserve">, </w:t>
      </w:r>
      <w:r w:rsidR="004F03EE">
        <w:rPr>
          <w:sz w:val="26"/>
          <w:szCs w:val="26"/>
        </w:rPr>
        <w:t xml:space="preserve">on one day’s notice, </w:t>
      </w:r>
      <w:r>
        <w:rPr>
          <w:sz w:val="26"/>
          <w:szCs w:val="26"/>
        </w:rPr>
        <w:t xml:space="preserve">effective on February 1, 2015, to implement </w:t>
      </w:r>
      <w:r w:rsidR="00BA5206">
        <w:rPr>
          <w:sz w:val="26"/>
          <w:szCs w:val="26"/>
        </w:rPr>
        <w:t>the</w:t>
      </w:r>
      <w:r>
        <w:rPr>
          <w:sz w:val="26"/>
          <w:szCs w:val="26"/>
        </w:rPr>
        <w:t xml:space="preserve"> proposed Storm Damage Expense Rider</w:t>
      </w:r>
      <w:r w:rsidRPr="007469EA">
        <w:rPr>
          <w:sz w:val="26"/>
          <w:szCs w:val="26"/>
        </w:rPr>
        <w:t>.</w:t>
      </w:r>
    </w:p>
    <w:p w:rsidR="00BA5206" w:rsidRDefault="00BA5206" w:rsidP="007469EA">
      <w:pPr>
        <w:spacing w:line="360" w:lineRule="auto"/>
        <w:ind w:firstLine="1440"/>
        <w:rPr>
          <w:sz w:val="26"/>
          <w:szCs w:val="26"/>
        </w:rPr>
      </w:pPr>
    </w:p>
    <w:p w:rsidR="00BA5206" w:rsidRPr="007469EA" w:rsidRDefault="00BA5206" w:rsidP="00BA5206">
      <w:pPr>
        <w:tabs>
          <w:tab w:val="left" w:pos="2160"/>
        </w:tabs>
        <w:spacing w:line="360" w:lineRule="auto"/>
        <w:ind w:firstLine="1440"/>
        <w:rPr>
          <w:sz w:val="26"/>
          <w:szCs w:val="26"/>
        </w:rPr>
      </w:pPr>
      <w:r>
        <w:rPr>
          <w:sz w:val="26"/>
          <w:szCs w:val="26"/>
        </w:rPr>
        <w:t>3.</w:t>
      </w:r>
      <w:r>
        <w:rPr>
          <w:sz w:val="26"/>
          <w:szCs w:val="26"/>
        </w:rPr>
        <w:tab/>
      </w:r>
      <w:r w:rsidRPr="007469EA">
        <w:rPr>
          <w:sz w:val="26"/>
          <w:szCs w:val="26"/>
        </w:rPr>
        <w:t xml:space="preserve">That </w:t>
      </w:r>
      <w:r>
        <w:rPr>
          <w:sz w:val="26"/>
          <w:szCs w:val="26"/>
        </w:rPr>
        <w:t>the</w:t>
      </w:r>
      <w:r w:rsidRPr="007469EA">
        <w:rPr>
          <w:sz w:val="26"/>
          <w:szCs w:val="26"/>
        </w:rPr>
        <w:t xml:space="preserve"> investigation on Commission motion instituted </w:t>
      </w:r>
      <w:r>
        <w:rPr>
          <w:sz w:val="26"/>
          <w:szCs w:val="26"/>
        </w:rPr>
        <w:t xml:space="preserve">pursuant to the Order of December 18, 2014, </w:t>
      </w:r>
      <w:r w:rsidRPr="007469EA">
        <w:rPr>
          <w:sz w:val="26"/>
          <w:szCs w:val="26"/>
        </w:rPr>
        <w:t>to determine the lawfulness, justness, and reasonableness of the rates, rules, and regulations contained in PPL Electric Utilities Corporation’s proposed Supplement No. 165 to Tariff - Electric Pa. P.U.C. No. 201</w:t>
      </w:r>
      <w:r>
        <w:rPr>
          <w:sz w:val="26"/>
          <w:szCs w:val="26"/>
        </w:rPr>
        <w:t xml:space="preserve"> is, hereby, terminated and the Secretary shall mark this matter “closed</w:t>
      </w:r>
      <w:r w:rsidRPr="007469EA">
        <w:rPr>
          <w:sz w:val="26"/>
          <w:szCs w:val="26"/>
        </w:rPr>
        <w:t>.</w:t>
      </w:r>
      <w:r>
        <w:rPr>
          <w:sz w:val="26"/>
          <w:szCs w:val="26"/>
        </w:rPr>
        <w:t>”</w:t>
      </w:r>
      <w:r w:rsidRPr="007469EA">
        <w:rPr>
          <w:sz w:val="26"/>
          <w:szCs w:val="26"/>
        </w:rPr>
        <w:t xml:space="preserve"> </w:t>
      </w:r>
    </w:p>
    <w:p w:rsidR="007469EA" w:rsidRPr="007469EA" w:rsidRDefault="00AE4C1C" w:rsidP="007469EA">
      <w:pPr>
        <w:spacing w:line="360" w:lineRule="auto"/>
        <w:ind w:firstLine="1440"/>
        <w:rPr>
          <w:sz w:val="26"/>
          <w:szCs w:val="26"/>
        </w:rPr>
      </w:pPr>
      <w:bookmarkStart w:id="0" w:name="_GoBack"/>
      <w:r>
        <w:rPr>
          <w:noProof/>
        </w:rPr>
        <w:drawing>
          <wp:anchor distT="0" distB="0" distL="114300" distR="114300" simplePos="0" relativeHeight="251659264" behindDoc="1" locked="0" layoutInCell="1" allowOverlap="1" wp14:anchorId="73CF2FB3" wp14:editId="6E65E9F9">
            <wp:simplePos x="0" y="0"/>
            <wp:positionH relativeFrom="column">
              <wp:posOffset>3014980</wp:posOffset>
            </wp:positionH>
            <wp:positionV relativeFrom="paragraph">
              <wp:posOffset>262255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7469EA" w:rsidRDefault="007469EA" w:rsidP="00A305D1">
      <w:pPr>
        <w:spacing w:line="360" w:lineRule="auto"/>
        <w:ind w:firstLine="1440"/>
        <w:rPr>
          <w:b/>
          <w:bCs/>
          <w:color w:val="000000"/>
          <w:sz w:val="26"/>
          <w:szCs w:val="26"/>
        </w:rPr>
      </w:pP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
          <w:bCs/>
          <w:color w:val="000000"/>
          <w:sz w:val="26"/>
          <w:szCs w:val="26"/>
        </w:rPr>
        <w:t>BY THE COMMISSION</w:t>
      </w:r>
    </w:p>
    <w:p w:rsidR="007469EA" w:rsidRDefault="007469EA" w:rsidP="00A305D1">
      <w:pPr>
        <w:spacing w:line="360" w:lineRule="auto"/>
        <w:ind w:firstLine="1440"/>
        <w:rPr>
          <w:b/>
          <w:bCs/>
          <w:color w:val="000000"/>
          <w:sz w:val="26"/>
          <w:szCs w:val="26"/>
        </w:rPr>
      </w:pPr>
    </w:p>
    <w:p w:rsidR="007469EA" w:rsidRDefault="007469EA" w:rsidP="00A305D1">
      <w:pPr>
        <w:spacing w:line="360" w:lineRule="auto"/>
        <w:ind w:firstLine="1440"/>
        <w:rPr>
          <w:b/>
          <w:bCs/>
          <w:color w:val="000000"/>
          <w:sz w:val="26"/>
          <w:szCs w:val="26"/>
        </w:rPr>
      </w:pPr>
    </w:p>
    <w:p w:rsidR="007469EA" w:rsidRPr="007469EA" w:rsidRDefault="007469EA" w:rsidP="007469EA">
      <w:pPr>
        <w:tabs>
          <w:tab w:val="left" w:pos="4320"/>
        </w:tabs>
        <w:rPr>
          <w:sz w:val="26"/>
          <w:szCs w:val="26"/>
        </w:rPr>
      </w:pPr>
      <w:r>
        <w:rPr>
          <w:b/>
          <w:bCs/>
          <w:color w:val="000000"/>
          <w:sz w:val="26"/>
          <w:szCs w:val="26"/>
        </w:rPr>
        <w:tab/>
      </w:r>
      <w:r>
        <w:rPr>
          <w:b/>
          <w:bCs/>
          <w:color w:val="000000"/>
          <w:sz w:val="26"/>
          <w:szCs w:val="26"/>
        </w:rPr>
        <w:tab/>
      </w:r>
      <w:r w:rsidRPr="007469EA">
        <w:rPr>
          <w:sz w:val="26"/>
          <w:szCs w:val="26"/>
        </w:rPr>
        <w:t>Rosemary Chiavetta</w:t>
      </w:r>
    </w:p>
    <w:p w:rsidR="007469EA" w:rsidRPr="007469EA" w:rsidRDefault="007469EA" w:rsidP="007469EA">
      <w:pPr>
        <w:tabs>
          <w:tab w:val="left" w:pos="4320"/>
        </w:tabs>
        <w:rPr>
          <w:sz w:val="26"/>
          <w:szCs w:val="26"/>
        </w:rPr>
      </w:pPr>
      <w:r w:rsidRPr="007469EA">
        <w:rPr>
          <w:sz w:val="26"/>
          <w:szCs w:val="26"/>
        </w:rPr>
        <w:tab/>
        <w:t xml:space="preserve">           Secretary</w:t>
      </w:r>
    </w:p>
    <w:p w:rsidR="007469EA" w:rsidRPr="007469EA" w:rsidRDefault="007469EA" w:rsidP="007469EA">
      <w:pPr>
        <w:tabs>
          <w:tab w:val="left" w:pos="4320"/>
        </w:tabs>
        <w:rPr>
          <w:sz w:val="26"/>
          <w:szCs w:val="26"/>
        </w:rPr>
      </w:pPr>
    </w:p>
    <w:p w:rsidR="007469EA" w:rsidRPr="007469EA" w:rsidRDefault="007469EA" w:rsidP="007469EA">
      <w:pPr>
        <w:tabs>
          <w:tab w:val="left" w:pos="4320"/>
        </w:tabs>
        <w:spacing w:line="360" w:lineRule="auto"/>
        <w:rPr>
          <w:sz w:val="26"/>
          <w:szCs w:val="26"/>
        </w:rPr>
      </w:pPr>
    </w:p>
    <w:p w:rsidR="00761956" w:rsidRPr="007469EA" w:rsidRDefault="007469EA" w:rsidP="007469EA">
      <w:pPr>
        <w:tabs>
          <w:tab w:val="left" w:pos="4320"/>
        </w:tabs>
        <w:spacing w:line="360" w:lineRule="auto"/>
        <w:rPr>
          <w:sz w:val="26"/>
          <w:szCs w:val="26"/>
        </w:rPr>
      </w:pPr>
      <w:r w:rsidRPr="007469EA">
        <w:rPr>
          <w:sz w:val="26"/>
          <w:szCs w:val="26"/>
        </w:rPr>
        <w:t>(SEAL)</w:t>
      </w:r>
    </w:p>
    <w:p w:rsidR="00E47B93" w:rsidRDefault="007469EA" w:rsidP="007469EA">
      <w:pPr>
        <w:rPr>
          <w:bCs/>
          <w:color w:val="000000"/>
          <w:sz w:val="26"/>
          <w:szCs w:val="26"/>
        </w:rPr>
      </w:pPr>
      <w:r>
        <w:rPr>
          <w:bCs/>
          <w:color w:val="000000"/>
          <w:sz w:val="26"/>
          <w:szCs w:val="26"/>
        </w:rPr>
        <w:t>ORDER ADOPTED:</w:t>
      </w:r>
      <w:r w:rsidR="00E47B93">
        <w:rPr>
          <w:bCs/>
          <w:color w:val="000000"/>
          <w:sz w:val="26"/>
          <w:szCs w:val="26"/>
        </w:rPr>
        <w:tab/>
        <w:t>January 15, 2015</w:t>
      </w:r>
    </w:p>
    <w:p w:rsidR="007469EA" w:rsidRDefault="007469EA" w:rsidP="007469EA">
      <w:pPr>
        <w:rPr>
          <w:bCs/>
          <w:color w:val="000000"/>
          <w:sz w:val="26"/>
          <w:szCs w:val="26"/>
        </w:rPr>
      </w:pPr>
    </w:p>
    <w:p w:rsidR="007469EA" w:rsidRPr="007469EA" w:rsidRDefault="007469EA" w:rsidP="007469EA">
      <w:pPr>
        <w:rPr>
          <w:bCs/>
          <w:color w:val="000000"/>
          <w:sz w:val="26"/>
          <w:szCs w:val="26"/>
        </w:rPr>
      </w:pPr>
      <w:r>
        <w:rPr>
          <w:bCs/>
          <w:color w:val="000000"/>
          <w:sz w:val="26"/>
          <w:szCs w:val="26"/>
        </w:rPr>
        <w:t>ORDER ENTERED:</w:t>
      </w:r>
      <w:r w:rsidR="00AE4C1C">
        <w:rPr>
          <w:bCs/>
          <w:color w:val="000000"/>
          <w:sz w:val="26"/>
          <w:szCs w:val="26"/>
        </w:rPr>
        <w:t xml:space="preserve">  January 15, 2015</w:t>
      </w:r>
    </w:p>
    <w:sectPr w:rsidR="007469EA" w:rsidRPr="007469EA" w:rsidSect="00C6724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BA" w:rsidRDefault="00686ABA" w:rsidP="00761956">
      <w:r>
        <w:separator/>
      </w:r>
    </w:p>
  </w:endnote>
  <w:endnote w:type="continuationSeparator" w:id="0">
    <w:p w:rsidR="00686ABA" w:rsidRDefault="00686ABA" w:rsidP="0076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34797"/>
      <w:docPartObj>
        <w:docPartGallery w:val="Page Numbers (Bottom of Page)"/>
        <w:docPartUnique/>
      </w:docPartObj>
    </w:sdtPr>
    <w:sdtEndPr>
      <w:rPr>
        <w:noProof/>
      </w:rPr>
    </w:sdtEndPr>
    <w:sdtContent>
      <w:p w:rsidR="007E679A" w:rsidRDefault="007E679A">
        <w:pPr>
          <w:pStyle w:val="Footer"/>
          <w:jc w:val="center"/>
        </w:pPr>
        <w:r>
          <w:fldChar w:fldCharType="begin"/>
        </w:r>
        <w:r>
          <w:instrText xml:space="preserve"> PAGE   \* MERGEFORMAT </w:instrText>
        </w:r>
        <w:r>
          <w:fldChar w:fldCharType="separate"/>
        </w:r>
        <w:r w:rsidR="00AE4C1C">
          <w:rPr>
            <w:noProof/>
          </w:rPr>
          <w:t>10</w:t>
        </w:r>
        <w:r>
          <w:rPr>
            <w:noProof/>
          </w:rPr>
          <w:fldChar w:fldCharType="end"/>
        </w:r>
      </w:p>
    </w:sdtContent>
  </w:sdt>
  <w:p w:rsidR="007E679A" w:rsidRDefault="007E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BA" w:rsidRDefault="00686ABA" w:rsidP="00761956">
      <w:r>
        <w:separator/>
      </w:r>
    </w:p>
  </w:footnote>
  <w:footnote w:type="continuationSeparator" w:id="0">
    <w:p w:rsidR="00686ABA" w:rsidRDefault="00686ABA" w:rsidP="00761956">
      <w:r>
        <w:continuationSeparator/>
      </w:r>
    </w:p>
  </w:footnote>
  <w:footnote w:id="1">
    <w:p w:rsidR="00A305D1" w:rsidRPr="00A305D1" w:rsidRDefault="00A305D1" w:rsidP="00A305D1">
      <w:pPr>
        <w:pStyle w:val="FootnoteText"/>
        <w:ind w:firstLine="720"/>
      </w:pPr>
      <w:r>
        <w:rPr>
          <w:rStyle w:val="FootnoteReference"/>
        </w:rPr>
        <w:footnoteRef/>
      </w:r>
      <w:r>
        <w:t xml:space="preserve"> </w:t>
      </w:r>
      <w:r>
        <w:tab/>
      </w:r>
      <w:r w:rsidRPr="00A305D1">
        <w:rPr>
          <w:sz w:val="26"/>
          <w:szCs w:val="26"/>
        </w:rPr>
        <w:t>ALJ Colwell advises that</w:t>
      </w:r>
      <w:r>
        <w:t xml:space="preserve"> </w:t>
      </w:r>
      <w:r w:rsidRPr="00A305D1">
        <w:rPr>
          <w:sz w:val="26"/>
          <w:szCs w:val="26"/>
        </w:rPr>
        <w:t>t</w:t>
      </w:r>
      <w:r w:rsidRPr="005849CE">
        <w:rPr>
          <w:sz w:val="26"/>
          <w:szCs w:val="26"/>
        </w:rPr>
        <w:t>he OCA filed a Petition for Review at Commonwealth Court Docket No 1023 CD 2014</w:t>
      </w:r>
      <w:r>
        <w:rPr>
          <w:sz w:val="26"/>
          <w:szCs w:val="26"/>
        </w:rPr>
        <w:t xml:space="preserve"> regarding, </w:t>
      </w:r>
      <w:r>
        <w:rPr>
          <w:i/>
          <w:sz w:val="26"/>
          <w:szCs w:val="26"/>
        </w:rPr>
        <w:t>inter alia</w:t>
      </w:r>
      <w:r w:rsidRPr="00A305D1">
        <w:rPr>
          <w:sz w:val="26"/>
          <w:szCs w:val="26"/>
        </w:rPr>
        <w:t>, the SDER</w:t>
      </w:r>
      <w:r>
        <w:rPr>
          <w:i/>
          <w:sz w:val="26"/>
          <w:szCs w:val="26"/>
        </w:rPr>
        <w:t>.</w:t>
      </w:r>
      <w:r>
        <w:rPr>
          <w:sz w:val="26"/>
          <w:szCs w:val="26"/>
        </w:rPr>
        <w:t xml:space="preserve">  </w:t>
      </w:r>
      <w:r>
        <w:rPr>
          <w:i/>
          <w:sz w:val="26"/>
          <w:szCs w:val="26"/>
        </w:rPr>
        <w:t>See</w:t>
      </w:r>
      <w:r>
        <w:rPr>
          <w:sz w:val="26"/>
          <w:szCs w:val="26"/>
        </w:rPr>
        <w:t xml:space="preserve"> Certification Order, n. 2.</w:t>
      </w:r>
    </w:p>
  </w:footnote>
  <w:footnote w:id="2">
    <w:p w:rsidR="002E7BA2" w:rsidRPr="002E7BA2" w:rsidRDefault="002E7BA2" w:rsidP="002E7BA2">
      <w:pPr>
        <w:pStyle w:val="FootnoteText"/>
        <w:ind w:firstLine="720"/>
        <w:rPr>
          <w:sz w:val="26"/>
          <w:szCs w:val="26"/>
        </w:rPr>
      </w:pPr>
      <w:r>
        <w:rPr>
          <w:rStyle w:val="FootnoteReference"/>
        </w:rPr>
        <w:footnoteRef/>
      </w:r>
      <w:r>
        <w:t xml:space="preserve"> </w:t>
      </w:r>
      <w:r>
        <w:tab/>
      </w:r>
      <w:r w:rsidRPr="002E7BA2">
        <w:rPr>
          <w:sz w:val="26"/>
          <w:szCs w:val="26"/>
        </w:rPr>
        <w:t xml:space="preserve">The Office of Small Business Advocate (OSBA) generally supported the opposition to the SDER argued by the OCA and I&amp;E. </w:t>
      </w:r>
      <w:r>
        <w:rPr>
          <w:sz w:val="26"/>
          <w:szCs w:val="26"/>
        </w:rPr>
        <w:t xml:space="preserve"> </w:t>
      </w:r>
      <w:r>
        <w:rPr>
          <w:i/>
          <w:sz w:val="26"/>
          <w:szCs w:val="26"/>
        </w:rPr>
        <w:t>April 3 Order</w:t>
      </w:r>
      <w:r>
        <w:rPr>
          <w:sz w:val="26"/>
          <w:szCs w:val="26"/>
        </w:rPr>
        <w:t xml:space="preserve"> at 12.</w:t>
      </w:r>
      <w:r w:rsidRPr="002E7BA2">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4776"/>
    <w:multiLevelType w:val="hybridMultilevel"/>
    <w:tmpl w:val="4094CA1C"/>
    <w:lvl w:ilvl="0" w:tplc="3E98DAFA">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A92B2B"/>
    <w:multiLevelType w:val="hybridMultilevel"/>
    <w:tmpl w:val="319A614E"/>
    <w:lvl w:ilvl="0" w:tplc="FA4CFA76">
      <w:start w:val="1"/>
      <w:numFmt w:val="decimal"/>
      <w:lvlText w:val="%1."/>
      <w:lvlJc w:val="left"/>
      <w:pPr>
        <w:ind w:left="2940" w:hanging="1428"/>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nsid w:val="25420180"/>
    <w:multiLevelType w:val="hybridMultilevel"/>
    <w:tmpl w:val="05B40C9A"/>
    <w:lvl w:ilvl="0" w:tplc="A56C8CB8">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7F0C34"/>
    <w:multiLevelType w:val="hybridMultilevel"/>
    <w:tmpl w:val="CCC084AE"/>
    <w:lvl w:ilvl="0" w:tplc="A352FC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174525"/>
    <w:multiLevelType w:val="hybridMultilevel"/>
    <w:tmpl w:val="31BEB4CC"/>
    <w:lvl w:ilvl="0" w:tplc="92764590">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56"/>
    <w:rsid w:val="00004020"/>
    <w:rsid w:val="000114BF"/>
    <w:rsid w:val="00015299"/>
    <w:rsid w:val="00024BCA"/>
    <w:rsid w:val="00051F2D"/>
    <w:rsid w:val="00104F51"/>
    <w:rsid w:val="00152864"/>
    <w:rsid w:val="0017656E"/>
    <w:rsid w:val="001F58FE"/>
    <w:rsid w:val="0021676D"/>
    <w:rsid w:val="00246230"/>
    <w:rsid w:val="0025098C"/>
    <w:rsid w:val="00250CE0"/>
    <w:rsid w:val="002974AA"/>
    <w:rsid w:val="002A22DD"/>
    <w:rsid w:val="002B26FD"/>
    <w:rsid w:val="002C72AF"/>
    <w:rsid w:val="002D46BE"/>
    <w:rsid w:val="002E222A"/>
    <w:rsid w:val="002E534D"/>
    <w:rsid w:val="002E7BA2"/>
    <w:rsid w:val="00356C35"/>
    <w:rsid w:val="00375E16"/>
    <w:rsid w:val="003A4B7A"/>
    <w:rsid w:val="003E24A1"/>
    <w:rsid w:val="003F1457"/>
    <w:rsid w:val="00402180"/>
    <w:rsid w:val="0043286D"/>
    <w:rsid w:val="0045285F"/>
    <w:rsid w:val="004A6F60"/>
    <w:rsid w:val="004F03EE"/>
    <w:rsid w:val="0050348C"/>
    <w:rsid w:val="005134AD"/>
    <w:rsid w:val="00564364"/>
    <w:rsid w:val="005849CE"/>
    <w:rsid w:val="00586647"/>
    <w:rsid w:val="005B0957"/>
    <w:rsid w:val="00667F34"/>
    <w:rsid w:val="00686ABA"/>
    <w:rsid w:val="006B4B25"/>
    <w:rsid w:val="006D2E5B"/>
    <w:rsid w:val="00705962"/>
    <w:rsid w:val="00740098"/>
    <w:rsid w:val="007469EA"/>
    <w:rsid w:val="00760B1B"/>
    <w:rsid w:val="00761956"/>
    <w:rsid w:val="00797047"/>
    <w:rsid w:val="00797710"/>
    <w:rsid w:val="007E679A"/>
    <w:rsid w:val="007F0BAC"/>
    <w:rsid w:val="00812407"/>
    <w:rsid w:val="0086474E"/>
    <w:rsid w:val="00880DAD"/>
    <w:rsid w:val="008B293E"/>
    <w:rsid w:val="008D7964"/>
    <w:rsid w:val="008E5493"/>
    <w:rsid w:val="009169CE"/>
    <w:rsid w:val="00920BA8"/>
    <w:rsid w:val="00923201"/>
    <w:rsid w:val="0093208A"/>
    <w:rsid w:val="00934BA8"/>
    <w:rsid w:val="009521D7"/>
    <w:rsid w:val="00954320"/>
    <w:rsid w:val="009566E3"/>
    <w:rsid w:val="0096503C"/>
    <w:rsid w:val="00997779"/>
    <w:rsid w:val="009B60F3"/>
    <w:rsid w:val="009C46C1"/>
    <w:rsid w:val="009C68D4"/>
    <w:rsid w:val="009E4DCC"/>
    <w:rsid w:val="00A305D1"/>
    <w:rsid w:val="00A87552"/>
    <w:rsid w:val="00A91ED1"/>
    <w:rsid w:val="00AC2252"/>
    <w:rsid w:val="00AE4C1C"/>
    <w:rsid w:val="00B118A7"/>
    <w:rsid w:val="00B3764A"/>
    <w:rsid w:val="00B472E7"/>
    <w:rsid w:val="00BA5206"/>
    <w:rsid w:val="00C33602"/>
    <w:rsid w:val="00C667BA"/>
    <w:rsid w:val="00C6724E"/>
    <w:rsid w:val="00C71614"/>
    <w:rsid w:val="00C82506"/>
    <w:rsid w:val="00C85C74"/>
    <w:rsid w:val="00C9363B"/>
    <w:rsid w:val="00CC620D"/>
    <w:rsid w:val="00CD4796"/>
    <w:rsid w:val="00D30623"/>
    <w:rsid w:val="00D51EC5"/>
    <w:rsid w:val="00D67EB3"/>
    <w:rsid w:val="00D7544B"/>
    <w:rsid w:val="00DB1DEF"/>
    <w:rsid w:val="00DF3A3E"/>
    <w:rsid w:val="00E47B93"/>
    <w:rsid w:val="00E52941"/>
    <w:rsid w:val="00E55C24"/>
    <w:rsid w:val="00E70BB7"/>
    <w:rsid w:val="00E7436D"/>
    <w:rsid w:val="00F856CE"/>
    <w:rsid w:val="00F9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5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semiHidden/>
    <w:locked/>
    <w:rsid w:val="00761956"/>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
    <w:basedOn w:val="Normal"/>
    <w:link w:val="FootnoteTextChar"/>
    <w:uiPriority w:val="99"/>
    <w:semiHidden/>
    <w:unhideWhenUsed/>
    <w:rsid w:val="00761956"/>
  </w:style>
  <w:style w:type="character" w:customStyle="1" w:styleId="FootnoteTextChar1">
    <w:name w:val="Footnote Text Char1"/>
    <w:basedOn w:val="DefaultParagraphFont"/>
    <w:uiPriority w:val="99"/>
    <w:semiHidden/>
    <w:rsid w:val="00761956"/>
    <w:rPr>
      <w:rFonts w:ascii="Times New Roman" w:eastAsia="Times New Roman" w:hAnsi="Times New Roman" w:cs="Times New Roman"/>
      <w:sz w:val="20"/>
      <w:szCs w:val="20"/>
    </w:rPr>
  </w:style>
  <w:style w:type="paragraph" w:styleId="ListParagraph">
    <w:name w:val="List Paragraph"/>
    <w:basedOn w:val="Normal"/>
    <w:uiPriority w:val="34"/>
    <w:qFormat/>
    <w:rsid w:val="00761956"/>
    <w:pPr>
      <w:ind w:left="720"/>
      <w:contextualSpacing/>
    </w:pPr>
  </w:style>
  <w:style w:type="character" w:styleId="FootnoteReference">
    <w:name w:val="footnote reference"/>
    <w:basedOn w:val="DefaultParagraphFont"/>
    <w:uiPriority w:val="99"/>
    <w:semiHidden/>
    <w:unhideWhenUsed/>
    <w:rsid w:val="00761956"/>
    <w:rPr>
      <w:vertAlign w:val="superscript"/>
    </w:rPr>
  </w:style>
  <w:style w:type="character" w:customStyle="1" w:styleId="term1">
    <w:name w:val="term1"/>
    <w:basedOn w:val="DefaultParagraphFont"/>
    <w:rsid w:val="00761956"/>
    <w:rPr>
      <w:b/>
      <w:bCs/>
    </w:rPr>
  </w:style>
  <w:style w:type="table" w:styleId="TableGrid">
    <w:name w:val="Table Grid"/>
    <w:basedOn w:val="TableNormal"/>
    <w:uiPriority w:val="59"/>
    <w:rsid w:val="007619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61956"/>
    <w:rPr>
      <w:color w:val="0000FF"/>
      <w:u w:val="single"/>
    </w:rPr>
  </w:style>
  <w:style w:type="paragraph" w:styleId="Header">
    <w:name w:val="header"/>
    <w:basedOn w:val="Normal"/>
    <w:link w:val="HeaderChar"/>
    <w:uiPriority w:val="99"/>
    <w:unhideWhenUsed/>
    <w:rsid w:val="007E679A"/>
    <w:pPr>
      <w:tabs>
        <w:tab w:val="center" w:pos="4680"/>
        <w:tab w:val="right" w:pos="9360"/>
      </w:tabs>
    </w:pPr>
  </w:style>
  <w:style w:type="character" w:customStyle="1" w:styleId="HeaderChar">
    <w:name w:val="Header Char"/>
    <w:basedOn w:val="DefaultParagraphFont"/>
    <w:link w:val="Header"/>
    <w:uiPriority w:val="99"/>
    <w:rsid w:val="007E67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679A"/>
    <w:pPr>
      <w:tabs>
        <w:tab w:val="center" w:pos="4680"/>
        <w:tab w:val="right" w:pos="9360"/>
      </w:tabs>
    </w:pPr>
  </w:style>
  <w:style w:type="character" w:customStyle="1" w:styleId="FooterChar">
    <w:name w:val="Footer Char"/>
    <w:basedOn w:val="DefaultParagraphFont"/>
    <w:link w:val="Footer"/>
    <w:uiPriority w:val="99"/>
    <w:rsid w:val="007E67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7B93"/>
    <w:rPr>
      <w:rFonts w:ascii="Tahoma" w:hAnsi="Tahoma" w:cs="Tahoma"/>
      <w:sz w:val="16"/>
      <w:szCs w:val="16"/>
    </w:rPr>
  </w:style>
  <w:style w:type="character" w:customStyle="1" w:styleId="BalloonTextChar">
    <w:name w:val="Balloon Text Char"/>
    <w:basedOn w:val="DefaultParagraphFont"/>
    <w:link w:val="BalloonText"/>
    <w:uiPriority w:val="99"/>
    <w:semiHidden/>
    <w:rsid w:val="00E47B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24BCA"/>
    <w:rPr>
      <w:sz w:val="16"/>
      <w:szCs w:val="16"/>
    </w:rPr>
  </w:style>
  <w:style w:type="paragraph" w:styleId="CommentText">
    <w:name w:val="annotation text"/>
    <w:basedOn w:val="Normal"/>
    <w:link w:val="CommentTextChar"/>
    <w:uiPriority w:val="99"/>
    <w:semiHidden/>
    <w:unhideWhenUsed/>
    <w:rsid w:val="00024BCA"/>
  </w:style>
  <w:style w:type="character" w:customStyle="1" w:styleId="CommentTextChar">
    <w:name w:val="Comment Text Char"/>
    <w:basedOn w:val="DefaultParagraphFont"/>
    <w:link w:val="CommentText"/>
    <w:uiPriority w:val="99"/>
    <w:semiHidden/>
    <w:rsid w:val="0002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BCA"/>
    <w:rPr>
      <w:b/>
      <w:bCs/>
    </w:rPr>
  </w:style>
  <w:style w:type="character" w:customStyle="1" w:styleId="CommentSubjectChar">
    <w:name w:val="Comment Subject Char"/>
    <w:basedOn w:val="CommentTextChar"/>
    <w:link w:val="CommentSubject"/>
    <w:uiPriority w:val="99"/>
    <w:semiHidden/>
    <w:rsid w:val="00024BCA"/>
    <w:rPr>
      <w:rFonts w:ascii="Times New Roman" w:eastAsia="Times New Roman" w:hAnsi="Times New Roman" w:cs="Times New Roman"/>
      <w:b/>
      <w:bCs/>
      <w:sz w:val="20"/>
      <w:szCs w:val="20"/>
    </w:rPr>
  </w:style>
  <w:style w:type="paragraph" w:styleId="Revision">
    <w:name w:val="Revision"/>
    <w:hidden/>
    <w:uiPriority w:val="99"/>
    <w:semiHidden/>
    <w:rsid w:val="00024BC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5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semiHidden/>
    <w:locked/>
    <w:rsid w:val="00761956"/>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
    <w:basedOn w:val="Normal"/>
    <w:link w:val="FootnoteTextChar"/>
    <w:uiPriority w:val="99"/>
    <w:semiHidden/>
    <w:unhideWhenUsed/>
    <w:rsid w:val="00761956"/>
  </w:style>
  <w:style w:type="character" w:customStyle="1" w:styleId="FootnoteTextChar1">
    <w:name w:val="Footnote Text Char1"/>
    <w:basedOn w:val="DefaultParagraphFont"/>
    <w:uiPriority w:val="99"/>
    <w:semiHidden/>
    <w:rsid w:val="00761956"/>
    <w:rPr>
      <w:rFonts w:ascii="Times New Roman" w:eastAsia="Times New Roman" w:hAnsi="Times New Roman" w:cs="Times New Roman"/>
      <w:sz w:val="20"/>
      <w:szCs w:val="20"/>
    </w:rPr>
  </w:style>
  <w:style w:type="paragraph" w:styleId="ListParagraph">
    <w:name w:val="List Paragraph"/>
    <w:basedOn w:val="Normal"/>
    <w:uiPriority w:val="34"/>
    <w:qFormat/>
    <w:rsid w:val="00761956"/>
    <w:pPr>
      <w:ind w:left="720"/>
      <w:contextualSpacing/>
    </w:pPr>
  </w:style>
  <w:style w:type="character" w:styleId="FootnoteReference">
    <w:name w:val="footnote reference"/>
    <w:basedOn w:val="DefaultParagraphFont"/>
    <w:uiPriority w:val="99"/>
    <w:semiHidden/>
    <w:unhideWhenUsed/>
    <w:rsid w:val="00761956"/>
    <w:rPr>
      <w:vertAlign w:val="superscript"/>
    </w:rPr>
  </w:style>
  <w:style w:type="character" w:customStyle="1" w:styleId="term1">
    <w:name w:val="term1"/>
    <w:basedOn w:val="DefaultParagraphFont"/>
    <w:rsid w:val="00761956"/>
    <w:rPr>
      <w:b/>
      <w:bCs/>
    </w:rPr>
  </w:style>
  <w:style w:type="table" w:styleId="TableGrid">
    <w:name w:val="Table Grid"/>
    <w:basedOn w:val="TableNormal"/>
    <w:uiPriority w:val="59"/>
    <w:rsid w:val="007619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61956"/>
    <w:rPr>
      <w:color w:val="0000FF"/>
      <w:u w:val="single"/>
    </w:rPr>
  </w:style>
  <w:style w:type="paragraph" w:styleId="Header">
    <w:name w:val="header"/>
    <w:basedOn w:val="Normal"/>
    <w:link w:val="HeaderChar"/>
    <w:uiPriority w:val="99"/>
    <w:unhideWhenUsed/>
    <w:rsid w:val="007E679A"/>
    <w:pPr>
      <w:tabs>
        <w:tab w:val="center" w:pos="4680"/>
        <w:tab w:val="right" w:pos="9360"/>
      </w:tabs>
    </w:pPr>
  </w:style>
  <w:style w:type="character" w:customStyle="1" w:styleId="HeaderChar">
    <w:name w:val="Header Char"/>
    <w:basedOn w:val="DefaultParagraphFont"/>
    <w:link w:val="Header"/>
    <w:uiPriority w:val="99"/>
    <w:rsid w:val="007E67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679A"/>
    <w:pPr>
      <w:tabs>
        <w:tab w:val="center" w:pos="4680"/>
        <w:tab w:val="right" w:pos="9360"/>
      </w:tabs>
    </w:pPr>
  </w:style>
  <w:style w:type="character" w:customStyle="1" w:styleId="FooterChar">
    <w:name w:val="Footer Char"/>
    <w:basedOn w:val="DefaultParagraphFont"/>
    <w:link w:val="Footer"/>
    <w:uiPriority w:val="99"/>
    <w:rsid w:val="007E67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7B93"/>
    <w:rPr>
      <w:rFonts w:ascii="Tahoma" w:hAnsi="Tahoma" w:cs="Tahoma"/>
      <w:sz w:val="16"/>
      <w:szCs w:val="16"/>
    </w:rPr>
  </w:style>
  <w:style w:type="character" w:customStyle="1" w:styleId="BalloonTextChar">
    <w:name w:val="Balloon Text Char"/>
    <w:basedOn w:val="DefaultParagraphFont"/>
    <w:link w:val="BalloonText"/>
    <w:uiPriority w:val="99"/>
    <w:semiHidden/>
    <w:rsid w:val="00E47B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24BCA"/>
    <w:rPr>
      <w:sz w:val="16"/>
      <w:szCs w:val="16"/>
    </w:rPr>
  </w:style>
  <w:style w:type="paragraph" w:styleId="CommentText">
    <w:name w:val="annotation text"/>
    <w:basedOn w:val="Normal"/>
    <w:link w:val="CommentTextChar"/>
    <w:uiPriority w:val="99"/>
    <w:semiHidden/>
    <w:unhideWhenUsed/>
    <w:rsid w:val="00024BCA"/>
  </w:style>
  <w:style w:type="character" w:customStyle="1" w:styleId="CommentTextChar">
    <w:name w:val="Comment Text Char"/>
    <w:basedOn w:val="DefaultParagraphFont"/>
    <w:link w:val="CommentText"/>
    <w:uiPriority w:val="99"/>
    <w:semiHidden/>
    <w:rsid w:val="0002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BCA"/>
    <w:rPr>
      <w:b/>
      <w:bCs/>
    </w:rPr>
  </w:style>
  <w:style w:type="character" w:customStyle="1" w:styleId="CommentSubjectChar">
    <w:name w:val="Comment Subject Char"/>
    <w:basedOn w:val="CommentTextChar"/>
    <w:link w:val="CommentSubject"/>
    <w:uiPriority w:val="99"/>
    <w:semiHidden/>
    <w:rsid w:val="00024BCA"/>
    <w:rPr>
      <w:rFonts w:ascii="Times New Roman" w:eastAsia="Times New Roman" w:hAnsi="Times New Roman" w:cs="Times New Roman"/>
      <w:b/>
      <w:bCs/>
      <w:sz w:val="20"/>
      <w:szCs w:val="20"/>
    </w:rPr>
  </w:style>
  <w:style w:type="paragraph" w:styleId="Revision">
    <w:name w:val="Revision"/>
    <w:hidden/>
    <w:uiPriority w:val="99"/>
    <w:semiHidden/>
    <w:rsid w:val="00024BC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C5A2-ED67-4CD1-B090-F835D2D7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Farner, Joyce</cp:lastModifiedBy>
  <cp:revision>4</cp:revision>
  <cp:lastPrinted>2015-01-14T16:55:00Z</cp:lastPrinted>
  <dcterms:created xsi:type="dcterms:W3CDTF">2015-01-13T20:37:00Z</dcterms:created>
  <dcterms:modified xsi:type="dcterms:W3CDTF">2015-01-14T16:55:00Z</dcterms:modified>
</cp:coreProperties>
</file>