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E8A" w:rsidRPr="0096775E" w:rsidRDefault="00DC2E8A" w:rsidP="00DC2E8A">
      <w:pPr>
        <w:pStyle w:val="Subtitle"/>
        <w:rPr>
          <w:rFonts w:ascii="Times New Roman" w:hAnsi="Times New Roman"/>
          <w:sz w:val="26"/>
          <w:szCs w:val="26"/>
        </w:rPr>
      </w:pPr>
      <w:r w:rsidRPr="0096775E">
        <w:rPr>
          <w:rFonts w:ascii="Times New Roman" w:hAnsi="Times New Roman"/>
          <w:sz w:val="26"/>
          <w:szCs w:val="26"/>
        </w:rPr>
        <w:t>PENNSYLVANIA</w:t>
      </w:r>
    </w:p>
    <w:p w:rsidR="00DC2E8A" w:rsidRPr="0096775E" w:rsidRDefault="00DC2E8A" w:rsidP="00DC2E8A">
      <w:pPr>
        <w:pStyle w:val="Subtitle"/>
        <w:rPr>
          <w:rFonts w:ascii="Times New Roman" w:hAnsi="Times New Roman"/>
          <w:sz w:val="26"/>
          <w:szCs w:val="26"/>
        </w:rPr>
      </w:pPr>
      <w:r w:rsidRPr="0096775E">
        <w:rPr>
          <w:rFonts w:ascii="Times New Roman" w:hAnsi="Times New Roman"/>
          <w:sz w:val="26"/>
          <w:szCs w:val="26"/>
        </w:rPr>
        <w:t>PUBLIC UTILITY COMMISSION</w:t>
      </w:r>
    </w:p>
    <w:p w:rsidR="00DC2E8A" w:rsidRPr="0096775E" w:rsidRDefault="00DC2E8A" w:rsidP="00DC2E8A">
      <w:pPr>
        <w:pStyle w:val="Subtitle"/>
        <w:rPr>
          <w:rFonts w:ascii="Times New Roman" w:hAnsi="Times New Roman"/>
          <w:sz w:val="26"/>
          <w:szCs w:val="26"/>
        </w:rPr>
      </w:pPr>
      <w:r w:rsidRPr="0096775E">
        <w:rPr>
          <w:rFonts w:ascii="Times New Roman" w:hAnsi="Times New Roman"/>
          <w:sz w:val="26"/>
          <w:szCs w:val="26"/>
        </w:rPr>
        <w:t>Harrisburg, PA 17105-3265</w:t>
      </w:r>
    </w:p>
    <w:p w:rsidR="00DC2E8A" w:rsidRPr="0096775E" w:rsidRDefault="00DC2E8A" w:rsidP="00DC2E8A">
      <w:pPr>
        <w:pStyle w:val="Subtitle"/>
        <w:rPr>
          <w:rFonts w:ascii="Times New Roman" w:hAnsi="Times New Roman"/>
          <w:sz w:val="26"/>
          <w:szCs w:val="26"/>
        </w:rPr>
      </w:pPr>
    </w:p>
    <w:p w:rsidR="00DC2E8A" w:rsidRPr="0096775E" w:rsidRDefault="00DC2E8A" w:rsidP="00DC2E8A">
      <w:pPr>
        <w:pStyle w:val="Subtitle"/>
        <w:rPr>
          <w:rFonts w:ascii="Times New Roman" w:hAnsi="Times New Roman"/>
          <w:sz w:val="26"/>
          <w:szCs w:val="26"/>
        </w:rPr>
      </w:pPr>
    </w:p>
    <w:p w:rsidR="00DC2E8A" w:rsidRPr="0096775E" w:rsidRDefault="00DC2E8A" w:rsidP="00DC2E8A">
      <w:pPr>
        <w:spacing w:line="240" w:lineRule="auto"/>
        <w:jc w:val="right"/>
        <w:rPr>
          <w:rFonts w:ascii="Times New Roman" w:hAnsi="Times New Roman"/>
          <w:sz w:val="26"/>
          <w:szCs w:val="26"/>
        </w:rPr>
      </w:pPr>
      <w:r w:rsidRPr="0096775E">
        <w:rPr>
          <w:rFonts w:ascii="Times New Roman" w:hAnsi="Times New Roman"/>
          <w:sz w:val="26"/>
          <w:szCs w:val="26"/>
        </w:rPr>
        <w:t>Public Meeting held January 15, 2015</w:t>
      </w:r>
    </w:p>
    <w:p w:rsidR="00DC2E8A" w:rsidRPr="0096775E" w:rsidRDefault="00DC2E8A" w:rsidP="00DC2E8A">
      <w:pPr>
        <w:spacing w:line="240" w:lineRule="auto"/>
        <w:jc w:val="right"/>
        <w:rPr>
          <w:rFonts w:ascii="Times New Roman" w:hAnsi="Times New Roman"/>
          <w:sz w:val="26"/>
          <w:szCs w:val="26"/>
        </w:rPr>
      </w:pPr>
    </w:p>
    <w:p w:rsidR="00DC2E8A" w:rsidRPr="0096775E" w:rsidRDefault="00DC2E8A" w:rsidP="00DC2E8A">
      <w:pPr>
        <w:spacing w:line="240" w:lineRule="auto"/>
        <w:jc w:val="right"/>
        <w:rPr>
          <w:rFonts w:ascii="Times New Roman" w:hAnsi="Times New Roman"/>
          <w:sz w:val="26"/>
          <w:szCs w:val="26"/>
        </w:rPr>
      </w:pPr>
    </w:p>
    <w:p w:rsidR="00DC2E8A" w:rsidRPr="0096775E" w:rsidRDefault="00DC2E8A" w:rsidP="00DC2E8A">
      <w:pPr>
        <w:rPr>
          <w:rFonts w:ascii="Times New Roman" w:hAnsi="Times New Roman"/>
          <w:sz w:val="26"/>
          <w:szCs w:val="26"/>
        </w:rPr>
      </w:pPr>
      <w:r w:rsidRPr="0096775E">
        <w:rPr>
          <w:rFonts w:ascii="Times New Roman" w:hAnsi="Times New Roman"/>
          <w:sz w:val="26"/>
          <w:szCs w:val="26"/>
        </w:rPr>
        <w:t>Commissioners Present:</w:t>
      </w:r>
      <w:bookmarkStart w:id="0" w:name="_GoBack"/>
      <w:bookmarkEnd w:id="0"/>
    </w:p>
    <w:p w:rsidR="00DC2E8A" w:rsidRPr="0096775E" w:rsidRDefault="00DC2E8A" w:rsidP="00DC2E8A">
      <w:pPr>
        <w:rPr>
          <w:rFonts w:ascii="Times New Roman" w:hAnsi="Times New Roman"/>
          <w:sz w:val="26"/>
          <w:szCs w:val="26"/>
        </w:rPr>
      </w:pPr>
    </w:p>
    <w:p w:rsidR="00DC2E8A" w:rsidRPr="0096775E" w:rsidRDefault="00DC2E8A" w:rsidP="00DC2E8A">
      <w:pPr>
        <w:spacing w:line="240" w:lineRule="auto"/>
        <w:ind w:firstLine="720"/>
        <w:rPr>
          <w:rFonts w:ascii="Times New Roman" w:hAnsi="Times New Roman"/>
          <w:sz w:val="26"/>
          <w:szCs w:val="26"/>
        </w:rPr>
      </w:pPr>
      <w:r w:rsidRPr="0096775E">
        <w:rPr>
          <w:rFonts w:ascii="Times New Roman" w:hAnsi="Times New Roman"/>
          <w:sz w:val="26"/>
          <w:szCs w:val="26"/>
        </w:rPr>
        <w:t>Robert F. Powelson, Chairman</w:t>
      </w:r>
    </w:p>
    <w:p w:rsidR="00DC2E8A" w:rsidRPr="0096775E" w:rsidRDefault="00DC2E8A" w:rsidP="00DC2E8A">
      <w:pPr>
        <w:spacing w:line="240" w:lineRule="auto"/>
        <w:ind w:firstLine="720"/>
        <w:rPr>
          <w:rFonts w:ascii="Times New Roman" w:hAnsi="Times New Roman"/>
          <w:sz w:val="26"/>
          <w:szCs w:val="26"/>
        </w:rPr>
      </w:pPr>
      <w:r w:rsidRPr="0096775E">
        <w:rPr>
          <w:rFonts w:ascii="Times New Roman" w:hAnsi="Times New Roman"/>
          <w:sz w:val="26"/>
          <w:szCs w:val="26"/>
        </w:rPr>
        <w:t>John F. Coleman, Jr., Vice Chairman</w:t>
      </w:r>
    </w:p>
    <w:p w:rsidR="00DC2E8A" w:rsidRPr="0096775E" w:rsidRDefault="00DC2E8A" w:rsidP="00DC2E8A">
      <w:pPr>
        <w:spacing w:line="240" w:lineRule="auto"/>
        <w:ind w:firstLine="720"/>
        <w:rPr>
          <w:rFonts w:ascii="Times New Roman" w:hAnsi="Times New Roman"/>
          <w:sz w:val="26"/>
          <w:szCs w:val="26"/>
        </w:rPr>
      </w:pPr>
      <w:r w:rsidRPr="0096775E">
        <w:rPr>
          <w:rFonts w:ascii="Times New Roman" w:hAnsi="Times New Roman"/>
          <w:sz w:val="26"/>
          <w:szCs w:val="26"/>
        </w:rPr>
        <w:t xml:space="preserve">James H. Cawley </w:t>
      </w:r>
    </w:p>
    <w:p w:rsidR="00DC2E8A" w:rsidRPr="0096775E" w:rsidRDefault="00DC2E8A" w:rsidP="00DC2E8A">
      <w:pPr>
        <w:spacing w:line="240" w:lineRule="auto"/>
        <w:ind w:firstLine="720"/>
        <w:rPr>
          <w:rFonts w:ascii="Times New Roman" w:hAnsi="Times New Roman"/>
          <w:sz w:val="26"/>
          <w:szCs w:val="26"/>
        </w:rPr>
      </w:pPr>
      <w:r w:rsidRPr="0096775E">
        <w:rPr>
          <w:rFonts w:ascii="Times New Roman" w:hAnsi="Times New Roman"/>
          <w:sz w:val="26"/>
          <w:szCs w:val="26"/>
        </w:rPr>
        <w:t>Pamela A. Witmer</w:t>
      </w:r>
    </w:p>
    <w:p w:rsidR="00DC2E8A" w:rsidRPr="0096775E" w:rsidRDefault="00DC2E8A" w:rsidP="00DC2E8A">
      <w:pPr>
        <w:spacing w:line="240" w:lineRule="auto"/>
        <w:ind w:firstLine="720"/>
        <w:rPr>
          <w:rFonts w:ascii="Times New Roman" w:hAnsi="Times New Roman"/>
          <w:sz w:val="26"/>
          <w:szCs w:val="26"/>
        </w:rPr>
      </w:pPr>
      <w:r w:rsidRPr="0096775E">
        <w:rPr>
          <w:rFonts w:ascii="Times New Roman" w:hAnsi="Times New Roman"/>
          <w:sz w:val="26"/>
          <w:szCs w:val="26"/>
        </w:rPr>
        <w:t>Gladys M. Brown</w:t>
      </w:r>
      <w:r w:rsidR="005B3191">
        <w:rPr>
          <w:rFonts w:ascii="Times New Roman" w:hAnsi="Times New Roman"/>
          <w:sz w:val="26"/>
          <w:szCs w:val="26"/>
        </w:rPr>
        <w:t>, Dissenting Statement</w:t>
      </w:r>
    </w:p>
    <w:p w:rsidR="00DC2E8A" w:rsidRPr="0096775E" w:rsidRDefault="00DC2E8A" w:rsidP="00DC2E8A">
      <w:pPr>
        <w:ind w:firstLine="720"/>
        <w:rPr>
          <w:rFonts w:ascii="Times New Roman" w:hAnsi="Times New Roman"/>
          <w:sz w:val="26"/>
          <w:szCs w:val="26"/>
        </w:rPr>
      </w:pPr>
    </w:p>
    <w:p w:rsidR="00DC2E8A" w:rsidRPr="0096775E" w:rsidRDefault="00DC2E8A" w:rsidP="00DC2E8A">
      <w:pPr>
        <w:ind w:firstLine="720"/>
        <w:rPr>
          <w:rFonts w:ascii="Times New Roman" w:hAnsi="Times New Roman"/>
          <w:sz w:val="26"/>
          <w:szCs w:val="26"/>
        </w:rPr>
      </w:pPr>
    </w:p>
    <w:p w:rsidR="00DC2E8A" w:rsidRPr="0096775E" w:rsidRDefault="00DC2E8A" w:rsidP="00DC2E8A">
      <w:pPr>
        <w:spacing w:line="240" w:lineRule="auto"/>
        <w:rPr>
          <w:rFonts w:ascii="Times New Roman" w:hAnsi="Times New Roman"/>
          <w:sz w:val="26"/>
          <w:szCs w:val="26"/>
        </w:rPr>
      </w:pPr>
      <w:r w:rsidRPr="0096775E">
        <w:rPr>
          <w:rFonts w:ascii="Times New Roman" w:hAnsi="Times New Roman"/>
          <w:sz w:val="26"/>
          <w:szCs w:val="26"/>
        </w:rPr>
        <w:t>Petition of Duquesne Light Company</w:t>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t>P-2014-2418242</w:t>
      </w:r>
    </w:p>
    <w:p w:rsidR="00DC2E8A" w:rsidRPr="0096775E" w:rsidRDefault="00DC2E8A" w:rsidP="00DC2E8A">
      <w:pPr>
        <w:spacing w:line="240" w:lineRule="auto"/>
        <w:rPr>
          <w:rFonts w:ascii="Times New Roman" w:hAnsi="Times New Roman"/>
          <w:sz w:val="26"/>
          <w:szCs w:val="26"/>
        </w:rPr>
      </w:pPr>
      <w:r w:rsidRPr="0096775E">
        <w:rPr>
          <w:rFonts w:ascii="Times New Roman" w:hAnsi="Times New Roman"/>
          <w:sz w:val="26"/>
          <w:szCs w:val="26"/>
        </w:rPr>
        <w:t>for Approval of a Default Service Program</w:t>
      </w:r>
    </w:p>
    <w:p w:rsidR="00DC2E8A" w:rsidRPr="0096775E" w:rsidRDefault="00DC2E8A" w:rsidP="00DC2E8A">
      <w:pPr>
        <w:spacing w:line="240" w:lineRule="auto"/>
        <w:rPr>
          <w:rFonts w:ascii="Times New Roman" w:hAnsi="Times New Roman"/>
          <w:sz w:val="26"/>
          <w:szCs w:val="26"/>
        </w:rPr>
      </w:pPr>
      <w:r w:rsidRPr="0096775E">
        <w:rPr>
          <w:rFonts w:ascii="Times New Roman" w:hAnsi="Times New Roman"/>
          <w:sz w:val="26"/>
          <w:szCs w:val="26"/>
        </w:rPr>
        <w:t>for the Period from June 1, 2015 through</w:t>
      </w:r>
    </w:p>
    <w:p w:rsidR="00DC2E8A" w:rsidRPr="0096775E" w:rsidRDefault="00DC2E8A" w:rsidP="00DC2E8A">
      <w:pPr>
        <w:spacing w:line="240" w:lineRule="auto"/>
        <w:rPr>
          <w:rFonts w:ascii="Times New Roman" w:hAnsi="Times New Roman"/>
          <w:sz w:val="26"/>
          <w:szCs w:val="26"/>
        </w:rPr>
      </w:pPr>
      <w:r w:rsidRPr="0096775E">
        <w:rPr>
          <w:rFonts w:ascii="Times New Roman" w:hAnsi="Times New Roman"/>
          <w:sz w:val="26"/>
          <w:szCs w:val="26"/>
        </w:rPr>
        <w:t>May 31, 2017</w:t>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p>
    <w:p w:rsidR="00DC2E8A" w:rsidRPr="0096775E" w:rsidRDefault="00DC2E8A" w:rsidP="00DC2E8A">
      <w:pPr>
        <w:rPr>
          <w:rFonts w:ascii="Times New Roman" w:hAnsi="Times New Roman"/>
          <w:sz w:val="26"/>
          <w:szCs w:val="26"/>
        </w:rPr>
      </w:pPr>
    </w:p>
    <w:p w:rsidR="00DC2E8A" w:rsidRPr="0096775E" w:rsidRDefault="00DC2E8A" w:rsidP="00DC2E8A">
      <w:pPr>
        <w:rPr>
          <w:rFonts w:ascii="Times New Roman" w:hAnsi="Times New Roman"/>
          <w:sz w:val="26"/>
          <w:szCs w:val="26"/>
        </w:rPr>
      </w:pPr>
    </w:p>
    <w:p w:rsidR="00DC2E8A" w:rsidRPr="0096775E" w:rsidRDefault="00DC2E8A" w:rsidP="00DC2E8A">
      <w:pPr>
        <w:jc w:val="center"/>
        <w:rPr>
          <w:rFonts w:ascii="Times New Roman" w:hAnsi="Times New Roman"/>
          <w:b/>
          <w:sz w:val="26"/>
          <w:szCs w:val="26"/>
        </w:rPr>
      </w:pPr>
      <w:r w:rsidRPr="0096775E">
        <w:rPr>
          <w:rFonts w:ascii="Times New Roman" w:hAnsi="Times New Roman"/>
          <w:b/>
          <w:sz w:val="26"/>
          <w:szCs w:val="26"/>
        </w:rPr>
        <w:t>OPINION AND ORDER</w:t>
      </w:r>
    </w:p>
    <w:p w:rsidR="00DC2E8A" w:rsidRPr="0096775E" w:rsidRDefault="00DC2E8A" w:rsidP="00DC2E8A">
      <w:pPr>
        <w:jc w:val="center"/>
        <w:rPr>
          <w:rFonts w:ascii="Times New Roman" w:hAnsi="Times New Roman"/>
          <w:b/>
          <w:sz w:val="26"/>
          <w:szCs w:val="26"/>
        </w:rPr>
      </w:pPr>
    </w:p>
    <w:p w:rsidR="00DC2E8A" w:rsidRPr="0096775E" w:rsidRDefault="00DC2E8A" w:rsidP="00DC2E8A">
      <w:pPr>
        <w:pStyle w:val="BodyTextIndent"/>
        <w:keepNext/>
        <w:spacing w:after="0"/>
        <w:ind w:left="0"/>
        <w:rPr>
          <w:rFonts w:ascii="Times New Roman" w:hAnsi="Times New Roman"/>
          <w:b/>
          <w:sz w:val="26"/>
          <w:szCs w:val="26"/>
        </w:rPr>
      </w:pPr>
      <w:r w:rsidRPr="0096775E">
        <w:rPr>
          <w:rFonts w:ascii="Times New Roman" w:hAnsi="Times New Roman"/>
          <w:b/>
          <w:sz w:val="26"/>
          <w:szCs w:val="26"/>
        </w:rPr>
        <w:t>BY THE COMMISSION:</w:t>
      </w:r>
    </w:p>
    <w:p w:rsidR="00DC2E8A" w:rsidRPr="0096775E" w:rsidRDefault="00DC2E8A" w:rsidP="00DC2E8A">
      <w:pPr>
        <w:pStyle w:val="BodyTextIndent"/>
        <w:keepNext/>
        <w:spacing w:after="0"/>
        <w:ind w:left="0"/>
        <w:rPr>
          <w:rFonts w:ascii="Times New Roman" w:hAnsi="Times New Roman"/>
          <w:b/>
          <w:sz w:val="26"/>
          <w:szCs w:val="26"/>
        </w:rPr>
      </w:pPr>
    </w:p>
    <w:p w:rsidR="00DC2E8A" w:rsidRDefault="00DC2E8A" w:rsidP="00DC2E8A">
      <w:pPr>
        <w:pStyle w:val="BodyTextIndent"/>
        <w:spacing w:after="0"/>
        <w:ind w:left="0" w:firstLine="1440"/>
        <w:rPr>
          <w:rFonts w:ascii="Times New Roman" w:hAnsi="Times New Roman"/>
          <w:sz w:val="26"/>
          <w:szCs w:val="26"/>
        </w:rPr>
      </w:pPr>
      <w:r w:rsidRPr="0096775E">
        <w:rPr>
          <w:rFonts w:ascii="Times New Roman" w:hAnsi="Times New Roman"/>
          <w:sz w:val="26"/>
          <w:szCs w:val="26"/>
        </w:rPr>
        <w:t xml:space="preserve">Before the Pennsylvania Public Utility Commission (Commission) for consideration and disposition are the Exceptions </w:t>
      </w:r>
      <w:r w:rsidR="00593881" w:rsidRPr="0096775E">
        <w:rPr>
          <w:rFonts w:ascii="Times New Roman" w:hAnsi="Times New Roman"/>
          <w:sz w:val="26"/>
          <w:szCs w:val="26"/>
        </w:rPr>
        <w:t>of Duquesne</w:t>
      </w:r>
      <w:r w:rsidRPr="0096775E">
        <w:rPr>
          <w:rFonts w:ascii="Times New Roman" w:hAnsi="Times New Roman"/>
          <w:sz w:val="26"/>
          <w:szCs w:val="26"/>
        </w:rPr>
        <w:t xml:space="preserve"> Light Company (Duquesne or the Company), the Retail E</w:t>
      </w:r>
      <w:r w:rsidR="009C2E4D" w:rsidRPr="0096775E">
        <w:rPr>
          <w:rFonts w:ascii="Times New Roman" w:hAnsi="Times New Roman"/>
          <w:sz w:val="26"/>
          <w:szCs w:val="26"/>
        </w:rPr>
        <w:t>nergy Supply Association (RESA) and</w:t>
      </w:r>
      <w:r w:rsidRPr="0096775E">
        <w:rPr>
          <w:rFonts w:ascii="Times New Roman" w:hAnsi="Times New Roman"/>
          <w:sz w:val="26"/>
          <w:szCs w:val="26"/>
        </w:rPr>
        <w:t xml:space="preserve"> Noble Americas Energy Solutions LLC (</w:t>
      </w:r>
      <w:r w:rsidR="009C2E4D" w:rsidRPr="0096775E">
        <w:rPr>
          <w:rFonts w:ascii="Times New Roman" w:hAnsi="Times New Roman"/>
          <w:sz w:val="26"/>
          <w:szCs w:val="26"/>
        </w:rPr>
        <w:t>Noble</w:t>
      </w:r>
      <w:r w:rsidRPr="0096775E">
        <w:rPr>
          <w:rFonts w:ascii="Times New Roman" w:hAnsi="Times New Roman"/>
          <w:sz w:val="26"/>
          <w:szCs w:val="26"/>
        </w:rPr>
        <w:t>)</w:t>
      </w:r>
      <w:r w:rsidR="009C2E4D" w:rsidRPr="0096775E">
        <w:rPr>
          <w:rFonts w:ascii="Times New Roman" w:hAnsi="Times New Roman"/>
          <w:sz w:val="26"/>
          <w:szCs w:val="26"/>
        </w:rPr>
        <w:t xml:space="preserve"> </w:t>
      </w:r>
      <w:r w:rsidRPr="0096775E">
        <w:rPr>
          <w:rFonts w:ascii="Times New Roman" w:hAnsi="Times New Roman"/>
          <w:sz w:val="26"/>
          <w:szCs w:val="26"/>
        </w:rPr>
        <w:t xml:space="preserve">filed on </w:t>
      </w:r>
      <w:r w:rsidR="009C2E4D" w:rsidRPr="0096775E">
        <w:rPr>
          <w:rFonts w:ascii="Times New Roman" w:hAnsi="Times New Roman"/>
          <w:sz w:val="26"/>
          <w:szCs w:val="26"/>
        </w:rPr>
        <w:t>November 14</w:t>
      </w:r>
      <w:r w:rsidRPr="0096775E">
        <w:rPr>
          <w:rFonts w:ascii="Times New Roman" w:hAnsi="Times New Roman"/>
          <w:sz w:val="26"/>
          <w:szCs w:val="26"/>
        </w:rPr>
        <w:t xml:space="preserve">, 2014, to the Recommended Decision (R.D.) of Administrative Law Judge (ALJ) </w:t>
      </w:r>
      <w:r w:rsidR="009C2E4D" w:rsidRPr="0096775E">
        <w:rPr>
          <w:rFonts w:ascii="Times New Roman" w:hAnsi="Times New Roman"/>
          <w:sz w:val="26"/>
          <w:szCs w:val="26"/>
        </w:rPr>
        <w:t>Katrina L. Dunderdale,</w:t>
      </w:r>
      <w:r w:rsidRPr="0096775E">
        <w:rPr>
          <w:rFonts w:ascii="Times New Roman" w:hAnsi="Times New Roman"/>
          <w:sz w:val="26"/>
          <w:szCs w:val="26"/>
        </w:rPr>
        <w:t xml:space="preserve"> issued on </w:t>
      </w:r>
      <w:r w:rsidR="009C2E4D" w:rsidRPr="0096775E">
        <w:rPr>
          <w:rFonts w:ascii="Times New Roman" w:hAnsi="Times New Roman"/>
          <w:sz w:val="26"/>
          <w:szCs w:val="26"/>
        </w:rPr>
        <w:t>Octo</w:t>
      </w:r>
      <w:r w:rsidRPr="0096775E">
        <w:rPr>
          <w:rFonts w:ascii="Times New Roman" w:hAnsi="Times New Roman"/>
          <w:sz w:val="26"/>
          <w:szCs w:val="26"/>
        </w:rPr>
        <w:t xml:space="preserve">ber </w:t>
      </w:r>
      <w:r w:rsidR="009C2E4D" w:rsidRPr="0096775E">
        <w:rPr>
          <w:rFonts w:ascii="Times New Roman" w:hAnsi="Times New Roman"/>
          <w:sz w:val="26"/>
          <w:szCs w:val="26"/>
        </w:rPr>
        <w:t>31</w:t>
      </w:r>
      <w:r w:rsidRPr="0096775E">
        <w:rPr>
          <w:rFonts w:ascii="Times New Roman" w:hAnsi="Times New Roman"/>
          <w:sz w:val="26"/>
          <w:szCs w:val="26"/>
        </w:rPr>
        <w:t xml:space="preserve">, 2014, relative to the above-captioned proceeding.  Replies to Exceptions </w:t>
      </w:r>
      <w:r w:rsidRPr="0096775E">
        <w:rPr>
          <w:rFonts w:ascii="Times New Roman" w:hAnsi="Times New Roman"/>
          <w:sz w:val="26"/>
          <w:szCs w:val="26"/>
        </w:rPr>
        <w:lastRenderedPageBreak/>
        <w:t xml:space="preserve">were filed by </w:t>
      </w:r>
      <w:r w:rsidR="009C2E4D" w:rsidRPr="0096775E">
        <w:rPr>
          <w:rFonts w:ascii="Times New Roman" w:hAnsi="Times New Roman"/>
          <w:sz w:val="26"/>
          <w:szCs w:val="26"/>
        </w:rPr>
        <w:t>Duquesne</w:t>
      </w:r>
      <w:r w:rsidR="0000350E">
        <w:rPr>
          <w:rFonts w:ascii="Times New Roman" w:hAnsi="Times New Roman"/>
          <w:sz w:val="26"/>
          <w:szCs w:val="26"/>
        </w:rPr>
        <w:t>, the Office of Small Business Advocate (OSBA)</w:t>
      </w:r>
      <w:r w:rsidRPr="0096775E">
        <w:rPr>
          <w:rFonts w:ascii="Times New Roman" w:hAnsi="Times New Roman"/>
          <w:sz w:val="26"/>
          <w:szCs w:val="26"/>
        </w:rPr>
        <w:t xml:space="preserve"> and </w:t>
      </w:r>
      <w:r w:rsidR="0000350E">
        <w:rPr>
          <w:rFonts w:ascii="Times New Roman" w:hAnsi="Times New Roman"/>
          <w:sz w:val="26"/>
          <w:szCs w:val="26"/>
        </w:rPr>
        <w:t>the Duquesne Industrial Intervenors (DII)</w:t>
      </w:r>
      <w:r w:rsidRPr="0096775E">
        <w:rPr>
          <w:rFonts w:ascii="Times New Roman" w:hAnsi="Times New Roman"/>
          <w:sz w:val="26"/>
          <w:szCs w:val="26"/>
        </w:rPr>
        <w:t xml:space="preserve"> on </w:t>
      </w:r>
      <w:r w:rsidR="009C2E4D" w:rsidRPr="0096775E">
        <w:rPr>
          <w:rFonts w:ascii="Times New Roman" w:hAnsi="Times New Roman"/>
          <w:sz w:val="26"/>
          <w:szCs w:val="26"/>
        </w:rPr>
        <w:t>November 24</w:t>
      </w:r>
      <w:r w:rsidRPr="0096775E">
        <w:rPr>
          <w:rFonts w:ascii="Times New Roman" w:hAnsi="Times New Roman"/>
          <w:sz w:val="26"/>
          <w:szCs w:val="26"/>
        </w:rPr>
        <w:t xml:space="preserve">, 2014.  </w:t>
      </w:r>
    </w:p>
    <w:p w:rsidR="0000350E" w:rsidRPr="0096775E" w:rsidRDefault="0000350E" w:rsidP="00DC2E8A">
      <w:pPr>
        <w:pStyle w:val="BodyTextIndent"/>
        <w:spacing w:after="0"/>
        <w:ind w:left="0" w:firstLine="1440"/>
        <w:rPr>
          <w:rFonts w:ascii="Times New Roman" w:hAnsi="Times New Roman"/>
          <w:sz w:val="26"/>
          <w:szCs w:val="26"/>
        </w:rPr>
      </w:pPr>
    </w:p>
    <w:p w:rsidR="00DC2E8A" w:rsidRPr="0096775E" w:rsidRDefault="00DC2E8A" w:rsidP="00DC2E8A">
      <w:pPr>
        <w:pStyle w:val="Heading1"/>
        <w:keepNext/>
      </w:pPr>
      <w:bookmarkStart w:id="1" w:name="_Toc385423060"/>
      <w:r w:rsidRPr="0096775E">
        <w:t>History of the Proceeding</w:t>
      </w:r>
      <w:bookmarkEnd w:id="1"/>
    </w:p>
    <w:p w:rsidR="00B20A33" w:rsidRPr="0096775E" w:rsidRDefault="00B20A33">
      <w:pPr>
        <w:rPr>
          <w:rFonts w:ascii="Times New Roman" w:hAnsi="Times New Roman"/>
          <w:sz w:val="26"/>
          <w:szCs w:val="26"/>
        </w:rPr>
      </w:pPr>
    </w:p>
    <w:p w:rsidR="009C2E4D" w:rsidRPr="0096775E" w:rsidRDefault="009C2E4D" w:rsidP="009C2E4D">
      <w:pPr>
        <w:pStyle w:val="BodyText2"/>
        <w:spacing w:after="0" w:line="360" w:lineRule="auto"/>
        <w:ind w:firstLine="1440"/>
        <w:rPr>
          <w:sz w:val="26"/>
          <w:szCs w:val="26"/>
        </w:rPr>
      </w:pPr>
      <w:r w:rsidRPr="0096775E">
        <w:rPr>
          <w:sz w:val="26"/>
          <w:szCs w:val="26"/>
        </w:rPr>
        <w:t xml:space="preserve">On April 24, 2014, Duquesne filed </w:t>
      </w:r>
      <w:r w:rsidR="00CB4A43" w:rsidRPr="0096775E">
        <w:rPr>
          <w:sz w:val="26"/>
          <w:szCs w:val="26"/>
          <w:lang w:val="en-US"/>
        </w:rPr>
        <w:t xml:space="preserve">a </w:t>
      </w:r>
      <w:r w:rsidRPr="0096775E">
        <w:rPr>
          <w:sz w:val="26"/>
          <w:szCs w:val="26"/>
        </w:rPr>
        <w:t xml:space="preserve">Petition </w:t>
      </w:r>
      <w:r w:rsidR="00CB4A43" w:rsidRPr="0096775E">
        <w:rPr>
          <w:sz w:val="26"/>
          <w:szCs w:val="26"/>
          <w:lang w:val="en-US"/>
        </w:rPr>
        <w:t xml:space="preserve">for Approval of a Default Service Program (DSP VII) for the Period from June 1, 2015 through May 31, 2017, </w:t>
      </w:r>
      <w:r w:rsidRPr="0096775E">
        <w:rPr>
          <w:sz w:val="26"/>
          <w:szCs w:val="26"/>
        </w:rPr>
        <w:t>with the Commission</w:t>
      </w:r>
      <w:r w:rsidR="00CB4A43" w:rsidRPr="0096775E">
        <w:rPr>
          <w:sz w:val="26"/>
          <w:szCs w:val="26"/>
          <w:lang w:val="en-US"/>
        </w:rPr>
        <w:t>.  In its Petition, Duq</w:t>
      </w:r>
      <w:r w:rsidRPr="0096775E">
        <w:rPr>
          <w:sz w:val="26"/>
          <w:szCs w:val="26"/>
        </w:rPr>
        <w:t>uesne proposed separate default supply procurements for:  (1) Residential and Lighting (Residential) default service customers</w:t>
      </w:r>
      <w:r w:rsidR="00CD14C3">
        <w:rPr>
          <w:sz w:val="26"/>
          <w:szCs w:val="26"/>
          <w:lang w:val="en-US"/>
        </w:rPr>
        <w:t>;</w:t>
      </w:r>
      <w:r w:rsidRPr="0096775E">
        <w:rPr>
          <w:sz w:val="26"/>
          <w:szCs w:val="26"/>
        </w:rPr>
        <w:t xml:space="preserve"> (2)</w:t>
      </w:r>
      <w:r w:rsidR="00CD14C3">
        <w:rPr>
          <w:sz w:val="26"/>
          <w:szCs w:val="26"/>
          <w:lang w:val="en-US"/>
        </w:rPr>
        <w:t> </w:t>
      </w:r>
      <w:r w:rsidRPr="0096775E">
        <w:rPr>
          <w:sz w:val="26"/>
          <w:szCs w:val="26"/>
        </w:rPr>
        <w:t>Small Commercial and Industrial (Small C&amp;I) default service customers with monthly metered demands less than 25 kW</w:t>
      </w:r>
      <w:r w:rsidR="00CD14C3">
        <w:rPr>
          <w:sz w:val="26"/>
          <w:szCs w:val="26"/>
          <w:lang w:val="en-US"/>
        </w:rPr>
        <w:t>;</w:t>
      </w:r>
      <w:r w:rsidRPr="0096775E">
        <w:rPr>
          <w:sz w:val="26"/>
          <w:szCs w:val="26"/>
        </w:rPr>
        <w:t xml:space="preserve"> (3) Medium Commercial and Industrial (Medium C&amp;I) default service customers with monthly metered demands equal to or greater than 25 kW and less than 300 kW</w:t>
      </w:r>
      <w:r w:rsidR="00CD14C3">
        <w:rPr>
          <w:sz w:val="26"/>
          <w:szCs w:val="26"/>
          <w:lang w:val="en-US"/>
        </w:rPr>
        <w:t>;</w:t>
      </w:r>
      <w:r w:rsidRPr="0096775E">
        <w:rPr>
          <w:sz w:val="26"/>
          <w:szCs w:val="26"/>
        </w:rPr>
        <w:t xml:space="preserve"> and (4) Large Commercial and Industrial (Large C&amp;I) default service customers with monthly metered demands equal to or great</w:t>
      </w:r>
      <w:r w:rsidR="00FB6AC0" w:rsidRPr="0096775E">
        <w:rPr>
          <w:sz w:val="26"/>
          <w:szCs w:val="26"/>
        </w:rPr>
        <w:t xml:space="preserve">er than 300 kW.  Duquesne </w:t>
      </w:r>
      <w:r w:rsidR="00FB6AC0" w:rsidRPr="0096775E">
        <w:rPr>
          <w:sz w:val="26"/>
          <w:szCs w:val="26"/>
          <w:lang w:val="en-US"/>
        </w:rPr>
        <w:t xml:space="preserve">further </w:t>
      </w:r>
      <w:r w:rsidRPr="0096775E">
        <w:rPr>
          <w:sz w:val="26"/>
          <w:szCs w:val="26"/>
        </w:rPr>
        <w:t>proposed to procure supplies for Residential, Small C&amp;I and Medium C&amp;I default service customers through fixed-price full requirements contracts</w:t>
      </w:r>
      <w:r w:rsidRPr="0096775E">
        <w:rPr>
          <w:sz w:val="26"/>
          <w:szCs w:val="26"/>
          <w:lang w:val="en-US"/>
        </w:rPr>
        <w:t xml:space="preserve">, and </w:t>
      </w:r>
      <w:r w:rsidRPr="0096775E">
        <w:rPr>
          <w:sz w:val="26"/>
          <w:szCs w:val="26"/>
        </w:rPr>
        <w:t>proposed to continue to procure supplies for Large C&amp;I default service customers through the PJM Interconnection, LLC (PJM) day-ahead hourly spot market.</w:t>
      </w:r>
    </w:p>
    <w:p w:rsidR="009C2E4D" w:rsidRPr="0096775E" w:rsidRDefault="009C2E4D" w:rsidP="009C2E4D">
      <w:pPr>
        <w:ind w:firstLine="1440"/>
        <w:rPr>
          <w:rFonts w:ascii="Times New Roman" w:hAnsi="Times New Roman"/>
          <w:sz w:val="26"/>
          <w:szCs w:val="26"/>
        </w:rPr>
      </w:pPr>
    </w:p>
    <w:p w:rsidR="009C2E4D" w:rsidRPr="0096775E" w:rsidRDefault="009C2E4D" w:rsidP="009C2E4D">
      <w:pPr>
        <w:ind w:firstLine="1440"/>
        <w:rPr>
          <w:rFonts w:ascii="Times New Roman" w:hAnsi="Times New Roman"/>
          <w:sz w:val="26"/>
          <w:szCs w:val="26"/>
        </w:rPr>
      </w:pPr>
      <w:r w:rsidRPr="0096775E">
        <w:rPr>
          <w:rFonts w:ascii="Times New Roman" w:hAnsi="Times New Roman"/>
          <w:sz w:val="26"/>
          <w:szCs w:val="26"/>
        </w:rPr>
        <w:t xml:space="preserve">In addition, the Company proposed to revise its Standard Offer Program (SOP) to provide for third party enrollment as used by other </w:t>
      </w:r>
      <w:r w:rsidR="00C42BBD" w:rsidRPr="0096775E">
        <w:rPr>
          <w:rFonts w:ascii="Times New Roman" w:hAnsi="Times New Roman"/>
          <w:sz w:val="26"/>
          <w:szCs w:val="26"/>
        </w:rPr>
        <w:t>electric distribution companies (</w:t>
      </w:r>
      <w:r w:rsidRPr="0096775E">
        <w:rPr>
          <w:rFonts w:ascii="Times New Roman" w:hAnsi="Times New Roman"/>
          <w:sz w:val="26"/>
          <w:szCs w:val="26"/>
        </w:rPr>
        <w:t>EDCs</w:t>
      </w:r>
      <w:r w:rsidR="00C42BBD" w:rsidRPr="0096775E">
        <w:rPr>
          <w:rFonts w:ascii="Times New Roman" w:hAnsi="Times New Roman"/>
          <w:sz w:val="26"/>
          <w:szCs w:val="26"/>
        </w:rPr>
        <w:t>)</w:t>
      </w:r>
      <w:r w:rsidRPr="0096775E">
        <w:rPr>
          <w:rFonts w:ascii="Times New Roman" w:hAnsi="Times New Roman"/>
          <w:sz w:val="26"/>
          <w:szCs w:val="26"/>
        </w:rPr>
        <w:t xml:space="preserve"> in Pennsylvania in order to enhance competition in its service territory.  The Company also proposed a Time-of-Use (TOU) Program under which electric supply for TOU customers would be provided by an electric generation supplier (EGS) selected through a competitive Request for Proposal (RFP) process. </w:t>
      </w:r>
    </w:p>
    <w:p w:rsidR="009C2E4D" w:rsidRPr="0096775E" w:rsidRDefault="009C2E4D" w:rsidP="009C2E4D">
      <w:pPr>
        <w:ind w:firstLine="1440"/>
        <w:rPr>
          <w:rFonts w:ascii="Times New Roman" w:hAnsi="Times New Roman"/>
          <w:sz w:val="26"/>
          <w:szCs w:val="26"/>
        </w:rPr>
      </w:pPr>
    </w:p>
    <w:p w:rsidR="00F073F9" w:rsidRPr="0096775E" w:rsidRDefault="009C2E4D" w:rsidP="009C2E4D">
      <w:pPr>
        <w:ind w:firstLine="1440"/>
        <w:rPr>
          <w:rFonts w:ascii="Times New Roman" w:hAnsi="Times New Roman"/>
          <w:sz w:val="26"/>
          <w:szCs w:val="26"/>
        </w:rPr>
      </w:pPr>
      <w:r w:rsidRPr="0096775E">
        <w:rPr>
          <w:rFonts w:ascii="Times New Roman" w:hAnsi="Times New Roman"/>
          <w:sz w:val="26"/>
          <w:szCs w:val="26"/>
        </w:rPr>
        <w:t xml:space="preserve">Copies of the Petition were served in accordance with </w:t>
      </w:r>
      <w:bookmarkStart w:id="2" w:name="_BA_Cite_82"/>
      <w:r w:rsidRPr="0096775E">
        <w:rPr>
          <w:rFonts w:ascii="Times New Roman" w:hAnsi="Times New Roman"/>
          <w:color w:val="000000"/>
          <w:sz w:val="26"/>
          <w:szCs w:val="26"/>
        </w:rPr>
        <w:t>52 Pa.</w:t>
      </w:r>
      <w:r w:rsidR="00A356B0">
        <w:rPr>
          <w:rFonts w:ascii="Times New Roman" w:hAnsi="Times New Roman"/>
          <w:color w:val="000000"/>
          <w:sz w:val="26"/>
          <w:szCs w:val="26"/>
        </w:rPr>
        <w:t xml:space="preserve"> </w:t>
      </w:r>
      <w:r w:rsidRPr="0096775E">
        <w:rPr>
          <w:rFonts w:ascii="Times New Roman" w:hAnsi="Times New Roman"/>
          <w:color w:val="000000"/>
          <w:sz w:val="26"/>
          <w:szCs w:val="26"/>
        </w:rPr>
        <w:t>Code §</w:t>
      </w:r>
      <w:r w:rsidR="00CD14C3">
        <w:rPr>
          <w:rFonts w:ascii="Times New Roman" w:hAnsi="Times New Roman"/>
          <w:color w:val="000000"/>
          <w:sz w:val="26"/>
          <w:szCs w:val="26"/>
        </w:rPr>
        <w:t> </w:t>
      </w:r>
      <w:r w:rsidRPr="0096775E">
        <w:rPr>
          <w:rFonts w:ascii="Times New Roman" w:hAnsi="Times New Roman"/>
          <w:color w:val="000000"/>
          <w:sz w:val="26"/>
          <w:szCs w:val="26"/>
        </w:rPr>
        <w:t>54.185(b)</w:t>
      </w:r>
      <w:bookmarkEnd w:id="2"/>
      <w:r w:rsidRPr="0096775E">
        <w:rPr>
          <w:rFonts w:ascii="Times New Roman" w:hAnsi="Times New Roman"/>
          <w:sz w:val="26"/>
          <w:szCs w:val="26"/>
        </w:rPr>
        <w:t xml:space="preserve">, and the Commission published notice in the </w:t>
      </w:r>
      <w:r w:rsidRPr="0096775E">
        <w:rPr>
          <w:rFonts w:ascii="Times New Roman" w:hAnsi="Times New Roman"/>
          <w:i/>
          <w:sz w:val="26"/>
          <w:szCs w:val="26"/>
        </w:rPr>
        <w:t>Pennsylvania Bulletin</w:t>
      </w:r>
      <w:r w:rsidRPr="0096775E">
        <w:rPr>
          <w:rFonts w:ascii="Times New Roman" w:hAnsi="Times New Roman"/>
          <w:sz w:val="26"/>
          <w:szCs w:val="26"/>
        </w:rPr>
        <w:t xml:space="preserve"> set</w:t>
      </w:r>
      <w:r w:rsidR="00F073F9" w:rsidRPr="0096775E">
        <w:rPr>
          <w:rFonts w:ascii="Times New Roman" w:hAnsi="Times New Roman"/>
          <w:sz w:val="26"/>
          <w:szCs w:val="26"/>
        </w:rPr>
        <w:t>ting</w:t>
      </w:r>
      <w:r w:rsidRPr="0096775E">
        <w:rPr>
          <w:rFonts w:ascii="Times New Roman" w:hAnsi="Times New Roman"/>
          <w:sz w:val="26"/>
          <w:szCs w:val="26"/>
        </w:rPr>
        <w:t xml:space="preserve"> a deadline for filing protests, complaints or petitions to intervene </w:t>
      </w:r>
      <w:r w:rsidR="00F073F9" w:rsidRPr="0096775E">
        <w:rPr>
          <w:rFonts w:ascii="Times New Roman" w:hAnsi="Times New Roman"/>
          <w:sz w:val="26"/>
          <w:szCs w:val="26"/>
        </w:rPr>
        <w:t>by</w:t>
      </w:r>
      <w:r w:rsidRPr="0096775E">
        <w:rPr>
          <w:rFonts w:ascii="Times New Roman" w:hAnsi="Times New Roman"/>
          <w:sz w:val="26"/>
          <w:szCs w:val="26"/>
        </w:rPr>
        <w:t xml:space="preserve"> May 27, 2014.</w:t>
      </w:r>
    </w:p>
    <w:p w:rsidR="009C2E4D" w:rsidRPr="0096775E" w:rsidRDefault="009C2E4D" w:rsidP="009C2E4D">
      <w:pPr>
        <w:ind w:firstLine="1440"/>
        <w:rPr>
          <w:rFonts w:ascii="Times New Roman" w:hAnsi="Times New Roman"/>
          <w:sz w:val="26"/>
          <w:szCs w:val="26"/>
        </w:rPr>
      </w:pPr>
    </w:p>
    <w:p w:rsidR="009C2E4D" w:rsidRPr="0096775E" w:rsidRDefault="00244F10" w:rsidP="009C2E4D">
      <w:pPr>
        <w:ind w:firstLine="1440"/>
        <w:rPr>
          <w:rFonts w:ascii="Times New Roman" w:hAnsi="Times New Roman"/>
          <w:sz w:val="26"/>
          <w:szCs w:val="26"/>
        </w:rPr>
      </w:pPr>
      <w:r w:rsidRPr="0096775E">
        <w:rPr>
          <w:rFonts w:ascii="Times New Roman" w:hAnsi="Times New Roman"/>
          <w:sz w:val="26"/>
          <w:szCs w:val="26"/>
        </w:rPr>
        <w:t>On May 12, 2014, the Office of Consumer Advocate (OCA) filed a Notice of Intervention, Public Statement and an Answer to the Pet</w:t>
      </w:r>
      <w:r w:rsidR="0033192C">
        <w:rPr>
          <w:rFonts w:ascii="Times New Roman" w:hAnsi="Times New Roman"/>
          <w:sz w:val="26"/>
          <w:szCs w:val="26"/>
        </w:rPr>
        <w:t>ition.  On May 15, 2014, the OSBA</w:t>
      </w:r>
      <w:r w:rsidRPr="0096775E">
        <w:rPr>
          <w:rFonts w:ascii="Times New Roman" w:hAnsi="Times New Roman"/>
          <w:sz w:val="26"/>
          <w:szCs w:val="26"/>
        </w:rPr>
        <w:t xml:space="preserve"> filed a Notice of Intervention and an Answer to the Petition.  </w:t>
      </w:r>
      <w:r w:rsidR="00873A7A" w:rsidRPr="0096775E">
        <w:rPr>
          <w:rFonts w:ascii="Times New Roman" w:hAnsi="Times New Roman"/>
          <w:sz w:val="26"/>
          <w:szCs w:val="26"/>
        </w:rPr>
        <w:t xml:space="preserve">On May 19, 2014, the Coalition for Affordable Utility Services and Energy Efficiency in PA (CAUSE-PA) filed a Petition to Intervene and an Answer to the Petition.  </w:t>
      </w:r>
      <w:r w:rsidR="00F073F9" w:rsidRPr="0096775E">
        <w:rPr>
          <w:rFonts w:ascii="Times New Roman" w:hAnsi="Times New Roman"/>
          <w:sz w:val="26"/>
          <w:szCs w:val="26"/>
        </w:rPr>
        <w:t>Petit</w:t>
      </w:r>
      <w:r w:rsidR="00873A7A" w:rsidRPr="0096775E">
        <w:rPr>
          <w:rFonts w:ascii="Times New Roman" w:hAnsi="Times New Roman"/>
          <w:sz w:val="26"/>
          <w:szCs w:val="26"/>
        </w:rPr>
        <w:t>ions to Intervene were also filed by</w:t>
      </w:r>
      <w:r w:rsidR="009C2E4D" w:rsidRPr="0096775E">
        <w:rPr>
          <w:rFonts w:ascii="Times New Roman" w:hAnsi="Times New Roman"/>
          <w:sz w:val="26"/>
          <w:szCs w:val="26"/>
        </w:rPr>
        <w:t xml:space="preserve"> </w:t>
      </w:r>
      <w:r w:rsidR="00873A7A" w:rsidRPr="0096775E">
        <w:rPr>
          <w:rFonts w:ascii="Times New Roman" w:hAnsi="Times New Roman"/>
          <w:sz w:val="26"/>
          <w:szCs w:val="26"/>
        </w:rPr>
        <w:t>FirstEnergy Solutions Corp</w:t>
      </w:r>
      <w:r w:rsidR="00550BD2">
        <w:rPr>
          <w:rFonts w:ascii="Times New Roman" w:hAnsi="Times New Roman"/>
          <w:sz w:val="26"/>
          <w:szCs w:val="26"/>
        </w:rPr>
        <w:t>oration</w:t>
      </w:r>
      <w:r w:rsidR="00873A7A" w:rsidRPr="0096775E">
        <w:rPr>
          <w:rFonts w:ascii="Times New Roman" w:hAnsi="Times New Roman"/>
          <w:sz w:val="26"/>
          <w:szCs w:val="26"/>
        </w:rPr>
        <w:t xml:space="preserve"> (FES), Noble, Citizen’s for Penns</w:t>
      </w:r>
      <w:r w:rsidR="00593881" w:rsidRPr="0096775E">
        <w:rPr>
          <w:rFonts w:ascii="Times New Roman" w:hAnsi="Times New Roman"/>
          <w:sz w:val="26"/>
          <w:szCs w:val="26"/>
        </w:rPr>
        <w:t>ylvania’s Future (Penn</w:t>
      </w:r>
      <w:r w:rsidR="0033192C">
        <w:rPr>
          <w:rFonts w:ascii="Times New Roman" w:hAnsi="Times New Roman"/>
          <w:sz w:val="26"/>
          <w:szCs w:val="26"/>
        </w:rPr>
        <w:t>Future), DII</w:t>
      </w:r>
      <w:r w:rsidR="00873A7A" w:rsidRPr="0096775E">
        <w:rPr>
          <w:rFonts w:ascii="Times New Roman" w:hAnsi="Times New Roman"/>
          <w:sz w:val="26"/>
          <w:szCs w:val="26"/>
        </w:rPr>
        <w:t>, NextEra Energy Servic</w:t>
      </w:r>
      <w:r w:rsidR="00D90799" w:rsidRPr="0096775E">
        <w:rPr>
          <w:rFonts w:ascii="Times New Roman" w:hAnsi="Times New Roman"/>
          <w:sz w:val="26"/>
          <w:szCs w:val="26"/>
        </w:rPr>
        <w:t>es Pennsylvania, LLC (NextEra)</w:t>
      </w:r>
      <w:r w:rsidR="007077A3" w:rsidRPr="0096775E">
        <w:rPr>
          <w:rFonts w:ascii="Times New Roman" w:hAnsi="Times New Roman"/>
          <w:sz w:val="26"/>
          <w:szCs w:val="26"/>
        </w:rPr>
        <w:t>, Exelon Generation Company</w:t>
      </w:r>
      <w:r w:rsidR="00550BD2">
        <w:rPr>
          <w:rFonts w:ascii="Times New Roman" w:hAnsi="Times New Roman"/>
          <w:sz w:val="26"/>
          <w:szCs w:val="26"/>
        </w:rPr>
        <w:t>, LLC</w:t>
      </w:r>
      <w:r w:rsidR="007077A3" w:rsidRPr="0096775E">
        <w:rPr>
          <w:rFonts w:ascii="Times New Roman" w:hAnsi="Times New Roman"/>
          <w:sz w:val="26"/>
          <w:szCs w:val="26"/>
        </w:rPr>
        <w:t xml:space="preserve"> (Exelon</w:t>
      </w:r>
      <w:r w:rsidR="00932239">
        <w:rPr>
          <w:rFonts w:ascii="Times New Roman" w:hAnsi="Times New Roman"/>
          <w:sz w:val="26"/>
          <w:szCs w:val="26"/>
        </w:rPr>
        <w:t xml:space="preserve"> Gen</w:t>
      </w:r>
      <w:r w:rsidR="007077A3" w:rsidRPr="0096775E">
        <w:rPr>
          <w:rFonts w:ascii="Times New Roman" w:hAnsi="Times New Roman"/>
          <w:sz w:val="26"/>
          <w:szCs w:val="26"/>
        </w:rPr>
        <w:t>)</w:t>
      </w:r>
      <w:r w:rsidR="00D90799" w:rsidRPr="0096775E">
        <w:rPr>
          <w:rFonts w:ascii="Times New Roman" w:hAnsi="Times New Roman"/>
          <w:sz w:val="26"/>
          <w:szCs w:val="26"/>
        </w:rPr>
        <w:t xml:space="preserve"> </w:t>
      </w:r>
      <w:r w:rsidR="009C2E4D" w:rsidRPr="0096775E">
        <w:rPr>
          <w:rFonts w:ascii="Times New Roman" w:hAnsi="Times New Roman"/>
          <w:sz w:val="26"/>
          <w:szCs w:val="26"/>
        </w:rPr>
        <w:t xml:space="preserve">and </w:t>
      </w:r>
      <w:r w:rsidR="00593881" w:rsidRPr="0096775E">
        <w:rPr>
          <w:rFonts w:ascii="Times New Roman" w:hAnsi="Times New Roman"/>
          <w:sz w:val="26"/>
          <w:szCs w:val="26"/>
        </w:rPr>
        <w:t>RESA</w:t>
      </w:r>
      <w:r w:rsidR="009C2E4D" w:rsidRPr="0096775E">
        <w:rPr>
          <w:rFonts w:ascii="Times New Roman" w:hAnsi="Times New Roman"/>
          <w:sz w:val="26"/>
          <w:szCs w:val="26"/>
        </w:rPr>
        <w:t>.</w:t>
      </w:r>
      <w:r w:rsidR="000F346B" w:rsidRPr="0096775E">
        <w:rPr>
          <w:rFonts w:ascii="Times New Roman" w:hAnsi="Times New Roman"/>
          <w:sz w:val="26"/>
          <w:szCs w:val="26"/>
        </w:rPr>
        <w:t xml:space="preserve">  The </w:t>
      </w:r>
      <w:r w:rsidR="00593881" w:rsidRPr="0096775E">
        <w:rPr>
          <w:rFonts w:ascii="Times New Roman" w:hAnsi="Times New Roman"/>
          <w:sz w:val="26"/>
          <w:szCs w:val="26"/>
        </w:rPr>
        <w:t xml:space="preserve">Commission’s </w:t>
      </w:r>
      <w:r w:rsidR="000F346B" w:rsidRPr="0096775E">
        <w:rPr>
          <w:rFonts w:ascii="Times New Roman" w:hAnsi="Times New Roman"/>
          <w:sz w:val="26"/>
          <w:szCs w:val="26"/>
        </w:rPr>
        <w:t xml:space="preserve">Bureau of Investigation and Enforcement </w:t>
      </w:r>
      <w:r w:rsidR="00192248">
        <w:rPr>
          <w:rFonts w:ascii="Times New Roman" w:hAnsi="Times New Roman"/>
          <w:sz w:val="26"/>
          <w:szCs w:val="26"/>
        </w:rPr>
        <w:t xml:space="preserve">(I&amp;E) </w:t>
      </w:r>
      <w:r w:rsidR="000F346B" w:rsidRPr="0096775E">
        <w:rPr>
          <w:rFonts w:ascii="Times New Roman" w:hAnsi="Times New Roman"/>
          <w:sz w:val="26"/>
          <w:szCs w:val="26"/>
        </w:rPr>
        <w:t>filed a Notice of Appearance</w:t>
      </w:r>
      <w:r w:rsidR="00AF7A3F">
        <w:rPr>
          <w:rFonts w:ascii="Times New Roman" w:hAnsi="Times New Roman"/>
          <w:sz w:val="26"/>
          <w:szCs w:val="26"/>
        </w:rPr>
        <w:t xml:space="preserve"> on May 20, 2014</w:t>
      </w:r>
      <w:r w:rsidR="000F346B" w:rsidRPr="0096775E">
        <w:rPr>
          <w:rFonts w:ascii="Times New Roman" w:hAnsi="Times New Roman"/>
          <w:sz w:val="26"/>
          <w:szCs w:val="26"/>
        </w:rPr>
        <w:t>.</w:t>
      </w:r>
    </w:p>
    <w:p w:rsidR="000F346B" w:rsidRPr="0096775E" w:rsidRDefault="000F346B" w:rsidP="009C2E4D">
      <w:pPr>
        <w:rPr>
          <w:rFonts w:ascii="Times New Roman" w:hAnsi="Times New Roman"/>
          <w:sz w:val="26"/>
          <w:szCs w:val="26"/>
        </w:rPr>
      </w:pPr>
    </w:p>
    <w:p w:rsidR="009C2E4D" w:rsidRPr="0096775E" w:rsidRDefault="009C2E4D" w:rsidP="007077A3">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On June 12, 2014, the Office of Administrative Law Judge issued the Prehearing Order and the</w:t>
      </w:r>
      <w:r w:rsidR="007077A3" w:rsidRPr="0096775E">
        <w:rPr>
          <w:rFonts w:ascii="Times New Roman" w:hAnsi="Times New Roman"/>
          <w:sz w:val="26"/>
          <w:szCs w:val="26"/>
        </w:rPr>
        <w:t xml:space="preserve"> Hearing Notice, which set forth a litigation schedule.</w:t>
      </w:r>
      <w:r w:rsidR="00192248">
        <w:rPr>
          <w:rFonts w:ascii="Times New Roman" w:hAnsi="Times New Roman"/>
          <w:sz w:val="26"/>
          <w:szCs w:val="26"/>
        </w:rPr>
        <w:t xml:space="preserve">  On July</w:t>
      </w:r>
      <w:r w:rsidR="00CD14C3">
        <w:rPr>
          <w:rFonts w:ascii="Times New Roman" w:hAnsi="Times New Roman"/>
          <w:sz w:val="26"/>
          <w:szCs w:val="26"/>
        </w:rPr>
        <w:t> </w:t>
      </w:r>
      <w:r w:rsidR="00192248">
        <w:rPr>
          <w:rFonts w:ascii="Times New Roman" w:hAnsi="Times New Roman"/>
          <w:sz w:val="26"/>
          <w:szCs w:val="26"/>
        </w:rPr>
        <w:t xml:space="preserve">8, 2014, </w:t>
      </w:r>
      <w:r w:rsidRPr="0096775E">
        <w:rPr>
          <w:rFonts w:ascii="Times New Roman" w:hAnsi="Times New Roman"/>
          <w:sz w:val="26"/>
          <w:szCs w:val="26"/>
        </w:rPr>
        <w:t>I</w:t>
      </w:r>
      <w:r w:rsidR="00192248">
        <w:rPr>
          <w:rFonts w:ascii="Times New Roman" w:hAnsi="Times New Roman"/>
          <w:sz w:val="26"/>
          <w:szCs w:val="26"/>
        </w:rPr>
        <w:t>&amp;</w:t>
      </w:r>
      <w:r w:rsidRPr="0096775E">
        <w:rPr>
          <w:rFonts w:ascii="Times New Roman" w:hAnsi="Times New Roman"/>
          <w:sz w:val="26"/>
          <w:szCs w:val="26"/>
        </w:rPr>
        <w:t xml:space="preserve">E, </w:t>
      </w:r>
      <w:r w:rsidR="007077A3" w:rsidRPr="0096775E">
        <w:rPr>
          <w:rFonts w:ascii="Times New Roman" w:hAnsi="Times New Roman"/>
          <w:sz w:val="26"/>
          <w:szCs w:val="26"/>
        </w:rPr>
        <w:t xml:space="preserve">the </w:t>
      </w:r>
      <w:r w:rsidRPr="0096775E">
        <w:rPr>
          <w:rFonts w:ascii="Times New Roman" w:hAnsi="Times New Roman"/>
          <w:sz w:val="26"/>
          <w:szCs w:val="26"/>
        </w:rPr>
        <w:t xml:space="preserve">OCA, </w:t>
      </w:r>
      <w:r w:rsidR="007077A3" w:rsidRPr="0096775E">
        <w:rPr>
          <w:rFonts w:ascii="Times New Roman" w:hAnsi="Times New Roman"/>
          <w:sz w:val="26"/>
          <w:szCs w:val="26"/>
        </w:rPr>
        <w:t xml:space="preserve">the </w:t>
      </w:r>
      <w:r w:rsidRPr="0096775E">
        <w:rPr>
          <w:rFonts w:ascii="Times New Roman" w:hAnsi="Times New Roman"/>
          <w:sz w:val="26"/>
          <w:szCs w:val="26"/>
        </w:rPr>
        <w:t>OSBA, Ex</w:t>
      </w:r>
      <w:r w:rsidR="00FA28EC" w:rsidRPr="0096775E">
        <w:rPr>
          <w:rFonts w:ascii="Times New Roman" w:hAnsi="Times New Roman"/>
          <w:sz w:val="26"/>
          <w:szCs w:val="26"/>
        </w:rPr>
        <w:t>e</w:t>
      </w:r>
      <w:r w:rsidR="007077A3" w:rsidRPr="0096775E">
        <w:rPr>
          <w:rFonts w:ascii="Times New Roman" w:hAnsi="Times New Roman"/>
          <w:sz w:val="26"/>
          <w:szCs w:val="26"/>
        </w:rPr>
        <w:t>lon</w:t>
      </w:r>
      <w:r w:rsidR="00932239">
        <w:rPr>
          <w:rFonts w:ascii="Times New Roman" w:hAnsi="Times New Roman"/>
          <w:sz w:val="26"/>
          <w:szCs w:val="26"/>
        </w:rPr>
        <w:t xml:space="preserve"> Gen</w:t>
      </w:r>
      <w:r w:rsidRPr="0096775E">
        <w:rPr>
          <w:rFonts w:ascii="Times New Roman" w:hAnsi="Times New Roman"/>
          <w:sz w:val="26"/>
          <w:szCs w:val="26"/>
        </w:rPr>
        <w:t>, NextEra, PennFuture and RESA served direct testimony.  On August </w:t>
      </w:r>
      <w:r w:rsidR="00FA28EC" w:rsidRPr="0096775E">
        <w:rPr>
          <w:rFonts w:ascii="Times New Roman" w:hAnsi="Times New Roman"/>
          <w:sz w:val="26"/>
          <w:szCs w:val="26"/>
        </w:rPr>
        <w:t>1, 2014, Duquesne</w:t>
      </w:r>
      <w:r w:rsidRPr="0096775E">
        <w:rPr>
          <w:rFonts w:ascii="Times New Roman" w:hAnsi="Times New Roman"/>
          <w:sz w:val="26"/>
          <w:szCs w:val="26"/>
        </w:rPr>
        <w:t xml:space="preserve">, </w:t>
      </w:r>
      <w:r w:rsidR="00FA28EC" w:rsidRPr="0096775E">
        <w:rPr>
          <w:rFonts w:ascii="Times New Roman" w:hAnsi="Times New Roman"/>
          <w:sz w:val="26"/>
          <w:szCs w:val="26"/>
        </w:rPr>
        <w:t xml:space="preserve">the </w:t>
      </w:r>
      <w:r w:rsidRPr="0096775E">
        <w:rPr>
          <w:rFonts w:ascii="Times New Roman" w:hAnsi="Times New Roman"/>
          <w:sz w:val="26"/>
          <w:szCs w:val="26"/>
        </w:rPr>
        <w:t xml:space="preserve">OCA, </w:t>
      </w:r>
      <w:r w:rsidR="00FA28EC" w:rsidRPr="0096775E">
        <w:rPr>
          <w:rFonts w:ascii="Times New Roman" w:hAnsi="Times New Roman"/>
          <w:sz w:val="26"/>
          <w:szCs w:val="26"/>
        </w:rPr>
        <w:t>the OSBA</w:t>
      </w:r>
      <w:r w:rsidRPr="0096775E">
        <w:rPr>
          <w:rFonts w:ascii="Times New Roman" w:hAnsi="Times New Roman"/>
          <w:sz w:val="26"/>
          <w:szCs w:val="26"/>
        </w:rPr>
        <w:t xml:space="preserve"> and RESA served rebuttal testimony.  On</w:t>
      </w:r>
      <w:r w:rsidR="00FA28EC" w:rsidRPr="0096775E">
        <w:rPr>
          <w:rFonts w:ascii="Times New Roman" w:hAnsi="Times New Roman"/>
          <w:sz w:val="26"/>
          <w:szCs w:val="26"/>
        </w:rPr>
        <w:t xml:space="preserve"> August 15, 2014, Duquesne</w:t>
      </w:r>
      <w:r w:rsidR="00192248">
        <w:rPr>
          <w:rFonts w:ascii="Times New Roman" w:hAnsi="Times New Roman"/>
          <w:sz w:val="26"/>
          <w:szCs w:val="26"/>
        </w:rPr>
        <w:t xml:space="preserve">, </w:t>
      </w:r>
      <w:r w:rsidRPr="0096775E">
        <w:rPr>
          <w:rFonts w:ascii="Times New Roman" w:hAnsi="Times New Roman"/>
          <w:sz w:val="26"/>
          <w:szCs w:val="26"/>
        </w:rPr>
        <w:t>I</w:t>
      </w:r>
      <w:r w:rsidR="00192248">
        <w:rPr>
          <w:rFonts w:ascii="Times New Roman" w:hAnsi="Times New Roman"/>
          <w:sz w:val="26"/>
          <w:szCs w:val="26"/>
        </w:rPr>
        <w:t>&amp;</w:t>
      </w:r>
      <w:r w:rsidRPr="0096775E">
        <w:rPr>
          <w:rFonts w:ascii="Times New Roman" w:hAnsi="Times New Roman"/>
          <w:sz w:val="26"/>
          <w:szCs w:val="26"/>
        </w:rPr>
        <w:t xml:space="preserve">E, </w:t>
      </w:r>
      <w:r w:rsidR="00FA28EC" w:rsidRPr="0096775E">
        <w:rPr>
          <w:rFonts w:ascii="Times New Roman" w:hAnsi="Times New Roman"/>
          <w:sz w:val="26"/>
          <w:szCs w:val="26"/>
        </w:rPr>
        <w:t xml:space="preserve">the </w:t>
      </w:r>
      <w:r w:rsidRPr="0096775E">
        <w:rPr>
          <w:rFonts w:ascii="Times New Roman" w:hAnsi="Times New Roman"/>
          <w:sz w:val="26"/>
          <w:szCs w:val="26"/>
        </w:rPr>
        <w:t xml:space="preserve">OCA, </w:t>
      </w:r>
      <w:r w:rsidR="00FA28EC" w:rsidRPr="0096775E">
        <w:rPr>
          <w:rFonts w:ascii="Times New Roman" w:hAnsi="Times New Roman"/>
          <w:sz w:val="26"/>
          <w:szCs w:val="26"/>
        </w:rPr>
        <w:t xml:space="preserve">the </w:t>
      </w:r>
      <w:r w:rsidRPr="0096775E">
        <w:rPr>
          <w:rFonts w:ascii="Times New Roman" w:hAnsi="Times New Roman"/>
          <w:sz w:val="26"/>
          <w:szCs w:val="26"/>
        </w:rPr>
        <w:t xml:space="preserve">OSBA, NextEra, PennFuture and RESA served surrebuttal testimony.  On </w:t>
      </w:r>
      <w:r w:rsidR="00FA28EC" w:rsidRPr="0096775E">
        <w:rPr>
          <w:rFonts w:ascii="Times New Roman" w:hAnsi="Times New Roman"/>
          <w:sz w:val="26"/>
          <w:szCs w:val="26"/>
        </w:rPr>
        <w:t>August</w:t>
      </w:r>
      <w:r w:rsidR="00CD14C3">
        <w:rPr>
          <w:rFonts w:ascii="Times New Roman" w:hAnsi="Times New Roman"/>
          <w:sz w:val="26"/>
          <w:szCs w:val="26"/>
        </w:rPr>
        <w:t> </w:t>
      </w:r>
      <w:r w:rsidR="00FA28EC" w:rsidRPr="0096775E">
        <w:rPr>
          <w:rFonts w:ascii="Times New Roman" w:hAnsi="Times New Roman"/>
          <w:sz w:val="26"/>
          <w:szCs w:val="26"/>
        </w:rPr>
        <w:t xml:space="preserve">21, 2014, Duquesne </w:t>
      </w:r>
      <w:r w:rsidRPr="0096775E">
        <w:rPr>
          <w:rFonts w:ascii="Times New Roman" w:hAnsi="Times New Roman"/>
          <w:sz w:val="26"/>
          <w:szCs w:val="26"/>
        </w:rPr>
        <w:t>served rejoinder testimony.</w:t>
      </w:r>
    </w:p>
    <w:p w:rsidR="00FA28EC" w:rsidRPr="0096775E" w:rsidRDefault="00FA28EC" w:rsidP="007077A3">
      <w:pPr>
        <w:rPr>
          <w:rFonts w:ascii="Times New Roman" w:hAnsi="Times New Roman"/>
          <w:sz w:val="26"/>
          <w:szCs w:val="26"/>
        </w:rPr>
      </w:pPr>
    </w:p>
    <w:p w:rsidR="009C2E4D" w:rsidRPr="00CD14C3" w:rsidRDefault="00FA28EC" w:rsidP="009C2E4D">
      <w:pPr>
        <w:pStyle w:val="BodyText2"/>
        <w:spacing w:after="0" w:line="360" w:lineRule="auto"/>
        <w:ind w:firstLine="1440"/>
        <w:rPr>
          <w:sz w:val="26"/>
          <w:szCs w:val="26"/>
          <w:lang w:val="en-US"/>
        </w:rPr>
      </w:pPr>
      <w:r w:rsidRPr="0096775E">
        <w:rPr>
          <w:sz w:val="26"/>
          <w:szCs w:val="26"/>
          <w:lang w:val="en-US"/>
        </w:rPr>
        <w:t>An</w:t>
      </w:r>
      <w:r w:rsidR="009C2E4D" w:rsidRPr="0096775E">
        <w:rPr>
          <w:sz w:val="26"/>
          <w:szCs w:val="26"/>
          <w:lang w:val="en-US"/>
        </w:rPr>
        <w:t xml:space="preserve"> evidentiary </w:t>
      </w:r>
      <w:r w:rsidR="009C2E4D" w:rsidRPr="0096775E">
        <w:rPr>
          <w:sz w:val="26"/>
          <w:szCs w:val="26"/>
        </w:rPr>
        <w:t xml:space="preserve">hearing </w:t>
      </w:r>
      <w:r w:rsidRPr="0096775E">
        <w:rPr>
          <w:sz w:val="26"/>
          <w:szCs w:val="26"/>
          <w:lang w:val="en-US"/>
        </w:rPr>
        <w:t xml:space="preserve">was held </w:t>
      </w:r>
      <w:r w:rsidR="009C2E4D" w:rsidRPr="0096775E">
        <w:rPr>
          <w:sz w:val="26"/>
          <w:szCs w:val="26"/>
        </w:rPr>
        <w:t>on August 25, 2014</w:t>
      </w:r>
      <w:r w:rsidRPr="0096775E">
        <w:rPr>
          <w:sz w:val="26"/>
          <w:szCs w:val="26"/>
          <w:lang w:val="en-US"/>
        </w:rPr>
        <w:t>,</w:t>
      </w:r>
      <w:r w:rsidR="009C2E4D" w:rsidRPr="0096775E">
        <w:rPr>
          <w:sz w:val="26"/>
          <w:szCs w:val="26"/>
          <w:lang w:val="en-US"/>
        </w:rPr>
        <w:t xml:space="preserve"> at which al</w:t>
      </w:r>
      <w:r w:rsidR="009C2E4D" w:rsidRPr="0096775E">
        <w:rPr>
          <w:sz w:val="26"/>
          <w:szCs w:val="26"/>
        </w:rPr>
        <w:t xml:space="preserve">l </w:t>
      </w:r>
      <w:r w:rsidRPr="0096775E">
        <w:rPr>
          <w:sz w:val="26"/>
          <w:szCs w:val="26"/>
          <w:lang w:val="en-US"/>
        </w:rPr>
        <w:t>the P</w:t>
      </w:r>
      <w:r w:rsidR="009C2E4D" w:rsidRPr="0096775E">
        <w:rPr>
          <w:sz w:val="26"/>
          <w:szCs w:val="26"/>
        </w:rPr>
        <w:t>a</w:t>
      </w:r>
      <w:r w:rsidRPr="0096775E">
        <w:rPr>
          <w:sz w:val="26"/>
          <w:szCs w:val="26"/>
        </w:rPr>
        <w:t>rties waived cross-examination</w:t>
      </w:r>
      <w:r w:rsidRPr="0096775E">
        <w:rPr>
          <w:sz w:val="26"/>
          <w:szCs w:val="26"/>
          <w:lang w:val="en-US"/>
        </w:rPr>
        <w:t xml:space="preserve"> and </w:t>
      </w:r>
      <w:r w:rsidR="009C2E4D" w:rsidRPr="0096775E">
        <w:rPr>
          <w:sz w:val="26"/>
          <w:szCs w:val="26"/>
        </w:rPr>
        <w:t>stipulated to the admission of the previously served testimony and exhibits.</w:t>
      </w:r>
      <w:r w:rsidR="00550BD2">
        <w:rPr>
          <w:sz w:val="26"/>
          <w:szCs w:val="26"/>
          <w:lang w:val="en-US"/>
        </w:rPr>
        <w:t xml:space="preserve">  Tr. at 33.</w:t>
      </w:r>
    </w:p>
    <w:p w:rsidR="009C2E4D" w:rsidRPr="0096775E" w:rsidRDefault="009C2E4D" w:rsidP="009C2E4D">
      <w:pPr>
        <w:pStyle w:val="BodyText2"/>
        <w:spacing w:after="0" w:line="360" w:lineRule="auto"/>
        <w:rPr>
          <w:sz w:val="26"/>
          <w:szCs w:val="26"/>
          <w:lang w:val="en-US"/>
        </w:rPr>
      </w:pPr>
    </w:p>
    <w:p w:rsidR="009C2E4D" w:rsidRPr="0096775E" w:rsidRDefault="009C2E4D" w:rsidP="009C2E4D">
      <w:pPr>
        <w:pStyle w:val="BodyText2"/>
        <w:spacing w:after="0" w:line="360" w:lineRule="auto"/>
        <w:ind w:firstLine="1440"/>
        <w:rPr>
          <w:sz w:val="26"/>
          <w:szCs w:val="26"/>
          <w:lang w:val="en-US"/>
        </w:rPr>
      </w:pPr>
      <w:r w:rsidRPr="0096775E">
        <w:rPr>
          <w:sz w:val="26"/>
          <w:szCs w:val="26"/>
        </w:rPr>
        <w:t>On Sep</w:t>
      </w:r>
      <w:r w:rsidR="00526A93" w:rsidRPr="0096775E">
        <w:rPr>
          <w:sz w:val="26"/>
          <w:szCs w:val="26"/>
        </w:rPr>
        <w:t xml:space="preserve">tember 15, 2014, Duquesne </w:t>
      </w:r>
      <w:r w:rsidRPr="0096775E">
        <w:rPr>
          <w:sz w:val="26"/>
          <w:szCs w:val="26"/>
        </w:rPr>
        <w:t xml:space="preserve">entered into a Stipulation </w:t>
      </w:r>
      <w:r w:rsidRPr="0096775E">
        <w:rPr>
          <w:sz w:val="26"/>
          <w:szCs w:val="26"/>
          <w:lang w:val="en-US"/>
        </w:rPr>
        <w:t xml:space="preserve">(Settlement or Settlement Stipulation) </w:t>
      </w:r>
      <w:r w:rsidRPr="0096775E">
        <w:rPr>
          <w:sz w:val="26"/>
          <w:szCs w:val="26"/>
        </w:rPr>
        <w:t xml:space="preserve">with </w:t>
      </w:r>
      <w:r w:rsidRPr="0096775E">
        <w:rPr>
          <w:sz w:val="26"/>
          <w:szCs w:val="26"/>
          <w:lang w:val="en-US"/>
        </w:rPr>
        <w:t>I</w:t>
      </w:r>
      <w:r w:rsidR="00192248">
        <w:rPr>
          <w:sz w:val="26"/>
          <w:szCs w:val="26"/>
          <w:lang w:val="en-US"/>
        </w:rPr>
        <w:t>&amp;</w:t>
      </w:r>
      <w:r w:rsidRPr="0096775E">
        <w:rPr>
          <w:sz w:val="26"/>
          <w:szCs w:val="26"/>
          <w:lang w:val="en-US"/>
        </w:rPr>
        <w:t>E</w:t>
      </w:r>
      <w:r w:rsidRPr="0096775E">
        <w:rPr>
          <w:sz w:val="26"/>
          <w:szCs w:val="26"/>
        </w:rPr>
        <w:t xml:space="preserve">, </w:t>
      </w:r>
      <w:r w:rsidR="002728E9" w:rsidRPr="0096775E">
        <w:rPr>
          <w:sz w:val="26"/>
          <w:szCs w:val="26"/>
          <w:lang w:val="en-US"/>
        </w:rPr>
        <w:t xml:space="preserve">the </w:t>
      </w:r>
      <w:r w:rsidRPr="0096775E">
        <w:rPr>
          <w:sz w:val="26"/>
          <w:szCs w:val="26"/>
        </w:rPr>
        <w:t xml:space="preserve">OCA, </w:t>
      </w:r>
      <w:r w:rsidR="002728E9" w:rsidRPr="0096775E">
        <w:rPr>
          <w:sz w:val="26"/>
          <w:szCs w:val="26"/>
        </w:rPr>
        <w:t>CAUSE-PA, Ex</w:t>
      </w:r>
      <w:r w:rsidR="002728E9" w:rsidRPr="0096775E">
        <w:rPr>
          <w:sz w:val="26"/>
          <w:szCs w:val="26"/>
          <w:lang w:val="en-US"/>
        </w:rPr>
        <w:t>elon</w:t>
      </w:r>
      <w:r w:rsidR="00932239">
        <w:rPr>
          <w:sz w:val="26"/>
          <w:szCs w:val="26"/>
          <w:lang w:val="en-US"/>
        </w:rPr>
        <w:t xml:space="preserve"> Gen</w:t>
      </w:r>
      <w:r w:rsidRPr="0096775E">
        <w:rPr>
          <w:sz w:val="26"/>
          <w:szCs w:val="26"/>
        </w:rPr>
        <w:t xml:space="preserve">, NextEra and RESA, which resolved issues regarding the Residential Procurement Plan, the SOP, the TOU Program, the Supply Master Agreement (SMA) and </w:t>
      </w:r>
      <w:r w:rsidR="002728E9" w:rsidRPr="0096775E">
        <w:rPr>
          <w:sz w:val="26"/>
          <w:szCs w:val="26"/>
          <w:lang w:val="en-US"/>
        </w:rPr>
        <w:t xml:space="preserve">the </w:t>
      </w:r>
      <w:r w:rsidRPr="0096775E">
        <w:rPr>
          <w:sz w:val="26"/>
          <w:szCs w:val="26"/>
        </w:rPr>
        <w:t>unbundling of default service costs</w:t>
      </w:r>
      <w:r w:rsidRPr="0096775E">
        <w:rPr>
          <w:sz w:val="26"/>
          <w:szCs w:val="26"/>
          <w:lang w:val="en-US"/>
        </w:rPr>
        <w:t xml:space="preserve">.  </w:t>
      </w:r>
      <w:r w:rsidR="002728E9" w:rsidRPr="0096775E">
        <w:rPr>
          <w:sz w:val="26"/>
          <w:szCs w:val="26"/>
        </w:rPr>
        <w:t>The S</w:t>
      </w:r>
      <w:r w:rsidR="002728E9" w:rsidRPr="0096775E">
        <w:rPr>
          <w:sz w:val="26"/>
          <w:szCs w:val="26"/>
          <w:lang w:val="en-US"/>
        </w:rPr>
        <w:t>tipulation</w:t>
      </w:r>
      <w:r w:rsidRPr="0096775E">
        <w:rPr>
          <w:sz w:val="26"/>
          <w:szCs w:val="26"/>
        </w:rPr>
        <w:t xml:space="preserve"> reserve</w:t>
      </w:r>
      <w:r w:rsidRPr="0096775E">
        <w:rPr>
          <w:sz w:val="26"/>
          <w:szCs w:val="26"/>
          <w:lang w:val="en-US"/>
        </w:rPr>
        <w:t>d</w:t>
      </w:r>
      <w:r w:rsidRPr="0096775E">
        <w:rPr>
          <w:sz w:val="26"/>
          <w:szCs w:val="26"/>
        </w:rPr>
        <w:t xml:space="preserve"> for litigation issues regarding the Small C&amp;I </w:t>
      </w:r>
      <w:r w:rsidRPr="0096775E">
        <w:rPr>
          <w:sz w:val="26"/>
          <w:szCs w:val="26"/>
        </w:rPr>
        <w:lastRenderedPageBreak/>
        <w:t>procurement plan, the Medium C&amp;I procurement plan, the Large C&amp;I procurement plan, procurement of alternative energy credits (AECs) and the methodology for recovering certain PJM trans</w:t>
      </w:r>
      <w:r w:rsidR="002728E9" w:rsidRPr="0096775E">
        <w:rPr>
          <w:sz w:val="26"/>
          <w:szCs w:val="26"/>
        </w:rPr>
        <w:t>mission charges.  The S</w:t>
      </w:r>
      <w:r w:rsidR="002728E9" w:rsidRPr="0096775E">
        <w:rPr>
          <w:sz w:val="26"/>
          <w:szCs w:val="26"/>
          <w:lang w:val="en-US"/>
        </w:rPr>
        <w:t>tipulation</w:t>
      </w:r>
      <w:r w:rsidRPr="0096775E">
        <w:rPr>
          <w:sz w:val="26"/>
          <w:szCs w:val="26"/>
        </w:rPr>
        <w:t xml:space="preserve"> </w:t>
      </w:r>
      <w:r w:rsidRPr="0096775E">
        <w:rPr>
          <w:sz w:val="26"/>
          <w:szCs w:val="26"/>
          <w:lang w:val="en-US"/>
        </w:rPr>
        <w:t xml:space="preserve">was </w:t>
      </w:r>
      <w:r w:rsidRPr="0096775E">
        <w:rPr>
          <w:sz w:val="26"/>
          <w:szCs w:val="26"/>
        </w:rPr>
        <w:t xml:space="preserve">agreed to or not opposed by all </w:t>
      </w:r>
      <w:r w:rsidR="002728E9" w:rsidRPr="0096775E">
        <w:rPr>
          <w:sz w:val="26"/>
          <w:szCs w:val="26"/>
          <w:lang w:val="en-US"/>
        </w:rPr>
        <w:t xml:space="preserve">the </w:t>
      </w:r>
      <w:r w:rsidRPr="0096775E">
        <w:rPr>
          <w:sz w:val="26"/>
          <w:szCs w:val="26"/>
        </w:rPr>
        <w:t xml:space="preserve">Parties in this proceeding and </w:t>
      </w:r>
      <w:r w:rsidRPr="0096775E">
        <w:rPr>
          <w:sz w:val="26"/>
          <w:szCs w:val="26"/>
          <w:lang w:val="en-US"/>
        </w:rPr>
        <w:t>was</w:t>
      </w:r>
      <w:r w:rsidRPr="0096775E">
        <w:rPr>
          <w:sz w:val="26"/>
          <w:szCs w:val="26"/>
        </w:rPr>
        <w:t xml:space="preserve"> filed contemporaneously with </w:t>
      </w:r>
      <w:r w:rsidRPr="0096775E">
        <w:rPr>
          <w:sz w:val="26"/>
          <w:szCs w:val="26"/>
          <w:lang w:val="en-US"/>
        </w:rPr>
        <w:t>the</w:t>
      </w:r>
      <w:r w:rsidRPr="0096775E">
        <w:rPr>
          <w:sz w:val="26"/>
          <w:szCs w:val="26"/>
        </w:rPr>
        <w:t xml:space="preserve"> Main Briefs.</w:t>
      </w:r>
      <w:r w:rsidR="002728E9" w:rsidRPr="0096775E">
        <w:rPr>
          <w:sz w:val="26"/>
          <w:szCs w:val="26"/>
          <w:lang w:val="en-US"/>
        </w:rPr>
        <w:t xml:space="preserve">  Main Briefs were filed by Duquesne, DII, PennFuture, RESA, the OSBA and Noble.</w:t>
      </w:r>
      <w:r w:rsidRPr="0096775E">
        <w:rPr>
          <w:rStyle w:val="FootnoteReference"/>
          <w:sz w:val="26"/>
          <w:szCs w:val="26"/>
        </w:rPr>
        <w:footnoteReference w:id="1"/>
      </w:r>
      <w:r w:rsidRPr="0096775E">
        <w:rPr>
          <w:sz w:val="26"/>
          <w:szCs w:val="26"/>
        </w:rPr>
        <w:t xml:space="preserve">  As directed by the ALJ, the Parties file</w:t>
      </w:r>
      <w:r w:rsidRPr="0096775E">
        <w:rPr>
          <w:sz w:val="26"/>
          <w:szCs w:val="26"/>
          <w:lang w:val="en-US"/>
        </w:rPr>
        <w:t>d</w:t>
      </w:r>
      <w:r w:rsidRPr="0096775E">
        <w:rPr>
          <w:sz w:val="26"/>
          <w:szCs w:val="26"/>
        </w:rPr>
        <w:t xml:space="preserve"> Statements in Support with respect to the settled issues on September 30, 2014, contemporaneously with</w:t>
      </w:r>
      <w:r w:rsidRPr="0096775E">
        <w:rPr>
          <w:sz w:val="26"/>
          <w:szCs w:val="26"/>
          <w:lang w:val="en-US"/>
        </w:rPr>
        <w:t xml:space="preserve"> the filing of</w:t>
      </w:r>
      <w:r w:rsidRPr="0096775E">
        <w:rPr>
          <w:sz w:val="26"/>
          <w:szCs w:val="26"/>
        </w:rPr>
        <w:t xml:space="preserve"> Reply Briefs.</w:t>
      </w:r>
      <w:r w:rsidRPr="0096775E">
        <w:rPr>
          <w:sz w:val="26"/>
          <w:szCs w:val="26"/>
          <w:lang w:val="en-US"/>
        </w:rPr>
        <w:t xml:space="preserve">  </w:t>
      </w:r>
      <w:r w:rsidR="002728E9" w:rsidRPr="0096775E">
        <w:rPr>
          <w:sz w:val="26"/>
          <w:szCs w:val="26"/>
          <w:lang w:val="en-US"/>
        </w:rPr>
        <w:t>Reply Briefs were filed by Duquesne, the OSBA, DII, RESA and Exelon</w:t>
      </w:r>
      <w:r w:rsidR="00932239">
        <w:rPr>
          <w:sz w:val="26"/>
          <w:szCs w:val="26"/>
          <w:lang w:val="en-US"/>
        </w:rPr>
        <w:t xml:space="preserve"> Gen</w:t>
      </w:r>
      <w:r w:rsidR="002728E9" w:rsidRPr="0096775E">
        <w:rPr>
          <w:sz w:val="26"/>
          <w:szCs w:val="26"/>
          <w:lang w:val="en-US"/>
        </w:rPr>
        <w:t xml:space="preserve">.  </w:t>
      </w:r>
      <w:r w:rsidRPr="0096775E">
        <w:rPr>
          <w:sz w:val="26"/>
          <w:szCs w:val="26"/>
        </w:rPr>
        <w:t xml:space="preserve">All briefs were considered timely filed and the record closed on </w:t>
      </w:r>
      <w:r w:rsidRPr="0096775E">
        <w:rPr>
          <w:sz w:val="26"/>
          <w:szCs w:val="26"/>
          <w:lang w:val="en-US"/>
        </w:rPr>
        <w:t>October 3, 2014</w:t>
      </w:r>
      <w:r w:rsidRPr="0096775E">
        <w:rPr>
          <w:sz w:val="26"/>
          <w:szCs w:val="26"/>
        </w:rPr>
        <w:t>.</w:t>
      </w:r>
    </w:p>
    <w:p w:rsidR="007C727D" w:rsidRPr="0096775E" w:rsidRDefault="007C727D" w:rsidP="009C2E4D">
      <w:pPr>
        <w:pStyle w:val="BodyText2"/>
        <w:spacing w:after="0" w:line="360" w:lineRule="auto"/>
        <w:ind w:firstLine="1440"/>
        <w:rPr>
          <w:sz w:val="26"/>
          <w:szCs w:val="26"/>
          <w:lang w:val="en-US"/>
        </w:rPr>
      </w:pPr>
    </w:p>
    <w:p w:rsidR="007C727D" w:rsidRPr="0096775E" w:rsidRDefault="007C727D" w:rsidP="009C2E4D">
      <w:pPr>
        <w:pStyle w:val="BodyText2"/>
        <w:spacing w:after="0" w:line="360" w:lineRule="auto"/>
        <w:ind w:firstLine="1440"/>
        <w:rPr>
          <w:sz w:val="26"/>
          <w:szCs w:val="26"/>
          <w:lang w:val="en-US"/>
        </w:rPr>
      </w:pPr>
      <w:r w:rsidRPr="0096775E">
        <w:rPr>
          <w:sz w:val="26"/>
          <w:szCs w:val="26"/>
          <w:lang w:val="en-US"/>
        </w:rPr>
        <w:t>In a Recommended Decision issued on October 31, 2014, ALJ Dunderdale recommended approval of Duquesne’s DSP VII</w:t>
      </w:r>
      <w:r w:rsidR="00192248">
        <w:rPr>
          <w:sz w:val="26"/>
          <w:szCs w:val="26"/>
          <w:lang w:val="en-US"/>
        </w:rPr>
        <w:t>,</w:t>
      </w:r>
      <w:r w:rsidRPr="0096775E">
        <w:rPr>
          <w:sz w:val="26"/>
          <w:szCs w:val="26"/>
          <w:lang w:val="en-US"/>
        </w:rPr>
        <w:t xml:space="preserve"> as modified by the </w:t>
      </w:r>
      <w:r w:rsidR="00593881" w:rsidRPr="0096775E">
        <w:rPr>
          <w:sz w:val="26"/>
          <w:szCs w:val="26"/>
          <w:lang w:val="en-US"/>
        </w:rPr>
        <w:t xml:space="preserve">Settlement </w:t>
      </w:r>
      <w:r w:rsidRPr="0096775E">
        <w:rPr>
          <w:sz w:val="26"/>
          <w:szCs w:val="26"/>
          <w:lang w:val="en-US"/>
        </w:rPr>
        <w:t>Stipulation, and made recommendations in regard to each of the litigated issues.</w:t>
      </w:r>
    </w:p>
    <w:p w:rsidR="007C727D" w:rsidRPr="0096775E" w:rsidRDefault="007C727D" w:rsidP="009C2E4D">
      <w:pPr>
        <w:pStyle w:val="BodyText2"/>
        <w:spacing w:after="0" w:line="360" w:lineRule="auto"/>
        <w:ind w:firstLine="1440"/>
        <w:rPr>
          <w:sz w:val="26"/>
          <w:szCs w:val="26"/>
          <w:lang w:val="en-US"/>
        </w:rPr>
      </w:pPr>
    </w:p>
    <w:p w:rsidR="007C727D" w:rsidRPr="0096775E" w:rsidRDefault="007C727D" w:rsidP="009C2E4D">
      <w:pPr>
        <w:pStyle w:val="BodyText2"/>
        <w:spacing w:after="0" w:line="360" w:lineRule="auto"/>
        <w:ind w:firstLine="1440"/>
        <w:rPr>
          <w:sz w:val="26"/>
          <w:szCs w:val="26"/>
          <w:lang w:val="en-US"/>
        </w:rPr>
      </w:pPr>
      <w:r w:rsidRPr="0096775E">
        <w:rPr>
          <w:sz w:val="26"/>
          <w:szCs w:val="26"/>
          <w:lang w:val="en-US"/>
        </w:rPr>
        <w:t>As noted, Exceptions were filed by Duquesne, Noble and RESA on November 14, 2014.  On No</w:t>
      </w:r>
      <w:r w:rsidR="0033192C">
        <w:rPr>
          <w:sz w:val="26"/>
          <w:szCs w:val="26"/>
          <w:lang w:val="en-US"/>
        </w:rPr>
        <w:t>vember 24, 2014, Duquesne, the OSBA</w:t>
      </w:r>
      <w:r w:rsidRPr="0096775E">
        <w:rPr>
          <w:sz w:val="26"/>
          <w:szCs w:val="26"/>
          <w:lang w:val="en-US"/>
        </w:rPr>
        <w:t xml:space="preserve"> and </w:t>
      </w:r>
      <w:r w:rsidR="0033192C">
        <w:rPr>
          <w:sz w:val="26"/>
          <w:szCs w:val="26"/>
          <w:lang w:val="en-US"/>
        </w:rPr>
        <w:t>DII</w:t>
      </w:r>
      <w:r w:rsidR="00CD14C3">
        <w:rPr>
          <w:sz w:val="26"/>
          <w:szCs w:val="26"/>
          <w:lang w:val="en-US"/>
        </w:rPr>
        <w:t xml:space="preserve"> filed Replies to Exceptions.</w:t>
      </w:r>
    </w:p>
    <w:p w:rsidR="00E9268F" w:rsidRPr="0096775E" w:rsidRDefault="00E9268F" w:rsidP="009C2E4D">
      <w:pPr>
        <w:pStyle w:val="BodyText2"/>
        <w:spacing w:after="0" w:line="360" w:lineRule="auto"/>
        <w:ind w:firstLine="1440"/>
        <w:rPr>
          <w:sz w:val="26"/>
          <w:szCs w:val="26"/>
          <w:lang w:val="en-US"/>
        </w:rPr>
      </w:pPr>
    </w:p>
    <w:p w:rsidR="00E9268F" w:rsidRPr="0096775E" w:rsidRDefault="00E9268F" w:rsidP="00CD14C3">
      <w:pPr>
        <w:keepNext/>
        <w:jc w:val="center"/>
        <w:rPr>
          <w:rFonts w:ascii="Times New Roman" w:hAnsi="Times New Roman"/>
          <w:b/>
          <w:sz w:val="26"/>
          <w:szCs w:val="26"/>
        </w:rPr>
      </w:pPr>
      <w:r w:rsidRPr="0096775E">
        <w:rPr>
          <w:rFonts w:ascii="Times New Roman" w:hAnsi="Times New Roman"/>
          <w:b/>
          <w:sz w:val="26"/>
          <w:szCs w:val="26"/>
        </w:rPr>
        <w:t>II.</w:t>
      </w:r>
      <w:r w:rsidRPr="0096775E">
        <w:rPr>
          <w:rFonts w:ascii="Times New Roman" w:hAnsi="Times New Roman"/>
          <w:b/>
          <w:sz w:val="26"/>
          <w:szCs w:val="26"/>
        </w:rPr>
        <w:tab/>
        <w:t>Disc</w:t>
      </w:r>
      <w:r w:rsidR="00064E4E">
        <w:rPr>
          <w:rFonts w:ascii="Times New Roman" w:hAnsi="Times New Roman"/>
          <w:b/>
          <w:sz w:val="26"/>
          <w:szCs w:val="26"/>
        </w:rPr>
        <w:t>ussion of the Stipulation</w:t>
      </w:r>
    </w:p>
    <w:p w:rsidR="00E9268F" w:rsidRPr="0096775E" w:rsidRDefault="00E9268F" w:rsidP="00CD14C3">
      <w:pPr>
        <w:keepNext/>
        <w:jc w:val="center"/>
        <w:rPr>
          <w:rFonts w:ascii="Times New Roman" w:hAnsi="Times New Roman"/>
          <w:b/>
          <w:sz w:val="26"/>
          <w:szCs w:val="26"/>
        </w:rPr>
      </w:pPr>
    </w:p>
    <w:p w:rsidR="00E9268F" w:rsidRPr="0096775E" w:rsidRDefault="00E9268F" w:rsidP="00CD14C3">
      <w:pPr>
        <w:keepNext/>
        <w:rPr>
          <w:rFonts w:ascii="Times New Roman" w:hAnsi="Times New Roman"/>
          <w:b/>
          <w:sz w:val="26"/>
          <w:szCs w:val="26"/>
        </w:rPr>
      </w:pPr>
      <w:r w:rsidRPr="0096775E">
        <w:rPr>
          <w:rFonts w:ascii="Times New Roman" w:hAnsi="Times New Roman"/>
          <w:b/>
          <w:sz w:val="26"/>
          <w:szCs w:val="26"/>
        </w:rPr>
        <w:t>A.</w:t>
      </w:r>
      <w:r w:rsidRPr="0096775E">
        <w:rPr>
          <w:rFonts w:ascii="Times New Roman" w:hAnsi="Times New Roman"/>
          <w:b/>
          <w:sz w:val="26"/>
          <w:szCs w:val="26"/>
        </w:rPr>
        <w:tab/>
        <w:t>Terms and Cond</w:t>
      </w:r>
      <w:r w:rsidR="00064E4E">
        <w:rPr>
          <w:rFonts w:ascii="Times New Roman" w:hAnsi="Times New Roman"/>
          <w:b/>
          <w:sz w:val="26"/>
          <w:szCs w:val="26"/>
        </w:rPr>
        <w:t>itions of the Stipulation</w:t>
      </w:r>
    </w:p>
    <w:p w:rsidR="00E9268F" w:rsidRPr="0096775E" w:rsidRDefault="00E9268F" w:rsidP="00CD14C3">
      <w:pPr>
        <w:keepNext/>
        <w:rPr>
          <w:rFonts w:ascii="Times New Roman" w:hAnsi="Times New Roman"/>
          <w:b/>
          <w:sz w:val="26"/>
          <w:szCs w:val="26"/>
        </w:rPr>
      </w:pPr>
    </w:p>
    <w:p w:rsidR="005F6C1D" w:rsidRPr="0096775E" w:rsidRDefault="005F6C1D" w:rsidP="005F6C1D">
      <w:pPr>
        <w:pStyle w:val="BodyText2"/>
        <w:spacing w:after="0" w:line="360" w:lineRule="auto"/>
        <w:ind w:firstLine="1440"/>
        <w:rPr>
          <w:sz w:val="26"/>
          <w:szCs w:val="26"/>
        </w:rPr>
      </w:pPr>
      <w:r w:rsidRPr="0096775E">
        <w:rPr>
          <w:sz w:val="26"/>
          <w:szCs w:val="26"/>
          <w:lang w:val="en-US"/>
        </w:rPr>
        <w:t xml:space="preserve">The following Parties entered into the Settlement Stipulation:  </w:t>
      </w:r>
      <w:r w:rsidRPr="0096775E">
        <w:rPr>
          <w:sz w:val="26"/>
          <w:szCs w:val="26"/>
        </w:rPr>
        <w:t>Duquesne</w:t>
      </w:r>
      <w:r w:rsidR="00192248">
        <w:rPr>
          <w:sz w:val="26"/>
          <w:szCs w:val="26"/>
          <w:lang w:val="en-US"/>
        </w:rPr>
        <w:t xml:space="preserve">, </w:t>
      </w:r>
      <w:r w:rsidRPr="0096775E">
        <w:rPr>
          <w:sz w:val="26"/>
          <w:szCs w:val="26"/>
          <w:lang w:val="en-US"/>
        </w:rPr>
        <w:t>I</w:t>
      </w:r>
      <w:r w:rsidR="00192248">
        <w:rPr>
          <w:sz w:val="26"/>
          <w:szCs w:val="26"/>
          <w:lang w:val="en-US"/>
        </w:rPr>
        <w:t>&amp;</w:t>
      </w:r>
      <w:r w:rsidRPr="0096775E">
        <w:rPr>
          <w:sz w:val="26"/>
          <w:szCs w:val="26"/>
          <w:lang w:val="en-US"/>
        </w:rPr>
        <w:t>E, the OCA, CAUSE-PA, Exelon, NextEra, and RESA</w:t>
      </w:r>
      <w:r w:rsidRPr="0096775E">
        <w:rPr>
          <w:sz w:val="26"/>
          <w:szCs w:val="26"/>
        </w:rPr>
        <w:t xml:space="preserve">.  </w:t>
      </w:r>
      <w:r w:rsidR="00192248">
        <w:rPr>
          <w:sz w:val="26"/>
          <w:szCs w:val="26"/>
          <w:lang w:val="en-US"/>
        </w:rPr>
        <w:t>According to the ALJ, a</w:t>
      </w:r>
      <w:r w:rsidRPr="0096775E">
        <w:rPr>
          <w:sz w:val="26"/>
          <w:szCs w:val="26"/>
          <w:lang w:val="en-US"/>
        </w:rPr>
        <w:t xml:space="preserve">ll the </w:t>
      </w:r>
      <w:r w:rsidRPr="0096775E">
        <w:rPr>
          <w:sz w:val="26"/>
          <w:szCs w:val="26"/>
          <w:lang w:val="en-US"/>
        </w:rPr>
        <w:lastRenderedPageBreak/>
        <w:t>Parties in this proceeding either agreed to the Settlement</w:t>
      </w:r>
      <w:r w:rsidR="006B2AF4" w:rsidRPr="0096775E">
        <w:rPr>
          <w:sz w:val="26"/>
          <w:szCs w:val="26"/>
          <w:lang w:val="en-US"/>
        </w:rPr>
        <w:t xml:space="preserve"> Stipulation</w:t>
      </w:r>
      <w:r w:rsidRPr="0096775E">
        <w:rPr>
          <w:sz w:val="26"/>
          <w:szCs w:val="26"/>
          <w:lang w:val="en-US"/>
        </w:rPr>
        <w:t xml:space="preserve"> or did not oppose it</w:t>
      </w:r>
      <w:r w:rsidRPr="0096775E">
        <w:rPr>
          <w:sz w:val="26"/>
          <w:szCs w:val="26"/>
        </w:rPr>
        <w:t>.</w:t>
      </w:r>
      <w:r w:rsidRPr="0096775E">
        <w:rPr>
          <w:rStyle w:val="FootnoteReference"/>
          <w:sz w:val="26"/>
          <w:szCs w:val="26"/>
        </w:rPr>
        <w:footnoteReference w:id="2"/>
      </w:r>
      <w:r w:rsidRPr="0096775E">
        <w:rPr>
          <w:sz w:val="26"/>
          <w:szCs w:val="26"/>
          <w:lang w:val="en-US"/>
        </w:rPr>
        <w:t xml:space="preserve">  </w:t>
      </w:r>
      <w:r w:rsidRPr="0096775E">
        <w:rPr>
          <w:sz w:val="26"/>
          <w:szCs w:val="26"/>
        </w:rPr>
        <w:t>The S</w:t>
      </w:r>
      <w:r w:rsidRPr="0096775E">
        <w:rPr>
          <w:sz w:val="26"/>
          <w:szCs w:val="26"/>
          <w:lang w:val="en-US"/>
        </w:rPr>
        <w:t>tipulation</w:t>
      </w:r>
      <w:r w:rsidRPr="0096775E">
        <w:rPr>
          <w:sz w:val="26"/>
          <w:szCs w:val="26"/>
        </w:rPr>
        <w:t xml:space="preserve"> resolve</w:t>
      </w:r>
      <w:r w:rsidRPr="0096775E">
        <w:rPr>
          <w:sz w:val="26"/>
          <w:szCs w:val="26"/>
          <w:lang w:val="en-US"/>
        </w:rPr>
        <w:t>d</w:t>
      </w:r>
      <w:r w:rsidRPr="0096775E">
        <w:rPr>
          <w:sz w:val="26"/>
          <w:szCs w:val="26"/>
        </w:rPr>
        <w:t xml:space="preserve"> issues regarding the </w:t>
      </w:r>
      <w:r w:rsidRPr="0096775E">
        <w:rPr>
          <w:sz w:val="26"/>
          <w:szCs w:val="26"/>
          <w:lang w:val="en-US"/>
        </w:rPr>
        <w:t>r</w:t>
      </w:r>
      <w:r w:rsidRPr="0096775E">
        <w:rPr>
          <w:sz w:val="26"/>
          <w:szCs w:val="26"/>
        </w:rPr>
        <w:t>esidential default service proc</w:t>
      </w:r>
      <w:r w:rsidR="00593881" w:rsidRPr="0096775E">
        <w:rPr>
          <w:sz w:val="26"/>
          <w:szCs w:val="26"/>
        </w:rPr>
        <w:t>urement plan, the S</w:t>
      </w:r>
      <w:r w:rsidR="00593881" w:rsidRPr="0096775E">
        <w:rPr>
          <w:sz w:val="26"/>
          <w:szCs w:val="26"/>
          <w:lang w:val="en-US"/>
        </w:rPr>
        <w:t>O</w:t>
      </w:r>
      <w:r w:rsidRPr="0096775E">
        <w:rPr>
          <w:sz w:val="26"/>
          <w:szCs w:val="26"/>
        </w:rPr>
        <w:t>P</w:t>
      </w:r>
      <w:r w:rsidRPr="0096775E">
        <w:rPr>
          <w:sz w:val="26"/>
          <w:szCs w:val="26"/>
          <w:lang w:val="en-US"/>
        </w:rPr>
        <w:t>,</w:t>
      </w:r>
      <w:r w:rsidRPr="0096775E">
        <w:rPr>
          <w:sz w:val="26"/>
          <w:szCs w:val="26"/>
        </w:rPr>
        <w:t xml:space="preserve"> the T</w:t>
      </w:r>
      <w:r w:rsidR="00593881" w:rsidRPr="0096775E">
        <w:rPr>
          <w:sz w:val="26"/>
          <w:szCs w:val="26"/>
          <w:lang w:val="en-US"/>
        </w:rPr>
        <w:t xml:space="preserve">OU </w:t>
      </w:r>
      <w:r w:rsidRPr="0096775E">
        <w:rPr>
          <w:sz w:val="26"/>
          <w:szCs w:val="26"/>
        </w:rPr>
        <w:t>Prog</w:t>
      </w:r>
      <w:r w:rsidR="00593881" w:rsidRPr="0096775E">
        <w:rPr>
          <w:sz w:val="26"/>
          <w:szCs w:val="26"/>
        </w:rPr>
        <w:t>ram, the S</w:t>
      </w:r>
      <w:r w:rsidR="00593881" w:rsidRPr="0096775E">
        <w:rPr>
          <w:sz w:val="26"/>
          <w:szCs w:val="26"/>
          <w:lang w:val="en-US"/>
        </w:rPr>
        <w:t>MA</w:t>
      </w:r>
      <w:r w:rsidRPr="0096775E">
        <w:rPr>
          <w:sz w:val="26"/>
          <w:szCs w:val="26"/>
          <w:lang w:val="en-US"/>
        </w:rPr>
        <w:t xml:space="preserve">, </w:t>
      </w:r>
      <w:r w:rsidRPr="0096775E">
        <w:rPr>
          <w:sz w:val="26"/>
          <w:szCs w:val="26"/>
        </w:rPr>
        <w:t xml:space="preserve">and </w:t>
      </w:r>
      <w:r w:rsidR="00D6083A" w:rsidRPr="0096775E">
        <w:rPr>
          <w:sz w:val="26"/>
          <w:szCs w:val="26"/>
          <w:lang w:val="en-US"/>
        </w:rPr>
        <w:t xml:space="preserve">the </w:t>
      </w:r>
      <w:r w:rsidRPr="0096775E">
        <w:rPr>
          <w:sz w:val="26"/>
          <w:szCs w:val="26"/>
        </w:rPr>
        <w:t>unbundling of default service procurement costs.</w:t>
      </w:r>
      <w:r w:rsidRPr="0096775E">
        <w:rPr>
          <w:rStyle w:val="FootnoteReference"/>
          <w:sz w:val="26"/>
          <w:szCs w:val="26"/>
        </w:rPr>
        <w:footnoteReference w:id="3"/>
      </w:r>
      <w:r w:rsidR="006B2AF4" w:rsidRPr="0096775E">
        <w:rPr>
          <w:sz w:val="26"/>
          <w:szCs w:val="26"/>
        </w:rPr>
        <w:t xml:space="preserve">  The S</w:t>
      </w:r>
      <w:r w:rsidR="006B2AF4" w:rsidRPr="0096775E">
        <w:rPr>
          <w:sz w:val="26"/>
          <w:szCs w:val="26"/>
          <w:lang w:val="en-US"/>
        </w:rPr>
        <w:t>tipulation</w:t>
      </w:r>
      <w:r w:rsidRPr="0096775E">
        <w:rPr>
          <w:sz w:val="26"/>
          <w:szCs w:val="26"/>
        </w:rPr>
        <w:t xml:space="preserve"> reserve</w:t>
      </w:r>
      <w:r w:rsidRPr="0096775E">
        <w:rPr>
          <w:sz w:val="26"/>
          <w:szCs w:val="26"/>
          <w:lang w:val="en-US"/>
        </w:rPr>
        <w:t>d</w:t>
      </w:r>
      <w:r w:rsidRPr="0096775E">
        <w:rPr>
          <w:sz w:val="26"/>
          <w:szCs w:val="26"/>
        </w:rPr>
        <w:t xml:space="preserve"> for litigation issues regarding the Small C&amp;I procurement plan, the Medium C&amp;I procurement plan, the Large C&amp;I procurement plan, procurem</w:t>
      </w:r>
      <w:r w:rsidR="00064E4E">
        <w:rPr>
          <w:sz w:val="26"/>
          <w:szCs w:val="26"/>
        </w:rPr>
        <w:t xml:space="preserve">ent of </w:t>
      </w:r>
      <w:r w:rsidR="00064E4E">
        <w:rPr>
          <w:sz w:val="26"/>
          <w:szCs w:val="26"/>
          <w:lang w:val="en-US"/>
        </w:rPr>
        <w:t>AEC</w:t>
      </w:r>
      <w:r w:rsidRPr="0096775E">
        <w:rPr>
          <w:sz w:val="26"/>
          <w:szCs w:val="26"/>
        </w:rPr>
        <w:t>s</w:t>
      </w:r>
      <w:r w:rsidRPr="0096775E">
        <w:rPr>
          <w:sz w:val="26"/>
          <w:szCs w:val="26"/>
          <w:lang w:val="en-US"/>
        </w:rPr>
        <w:t>,</w:t>
      </w:r>
      <w:r w:rsidRPr="0096775E">
        <w:rPr>
          <w:sz w:val="26"/>
          <w:szCs w:val="26"/>
        </w:rPr>
        <w:t xml:space="preserve"> and the methodology for recovering certain PJM transmission charges.  The issues that have been resolved by the Settlement Stipulation are addressed in </w:t>
      </w:r>
      <w:r w:rsidRPr="0096775E">
        <w:rPr>
          <w:sz w:val="26"/>
          <w:szCs w:val="26"/>
          <w:lang w:val="en-US"/>
        </w:rPr>
        <w:t>the P</w:t>
      </w:r>
      <w:r w:rsidRPr="0096775E">
        <w:rPr>
          <w:sz w:val="26"/>
          <w:szCs w:val="26"/>
        </w:rPr>
        <w:t xml:space="preserve">arties’ Statements in Support.  The issues that have been reserved for litigation </w:t>
      </w:r>
      <w:r w:rsidRPr="0096775E">
        <w:rPr>
          <w:sz w:val="26"/>
          <w:szCs w:val="26"/>
          <w:lang w:val="en-US"/>
        </w:rPr>
        <w:t>were</w:t>
      </w:r>
      <w:r w:rsidRPr="0096775E">
        <w:rPr>
          <w:sz w:val="26"/>
          <w:szCs w:val="26"/>
        </w:rPr>
        <w:t xml:space="preserve"> addressed in </w:t>
      </w:r>
      <w:r w:rsidRPr="0096775E">
        <w:rPr>
          <w:sz w:val="26"/>
          <w:szCs w:val="26"/>
          <w:lang w:val="en-US"/>
        </w:rPr>
        <w:t>the Parties’</w:t>
      </w:r>
      <w:r w:rsidRPr="0096775E">
        <w:rPr>
          <w:sz w:val="26"/>
          <w:szCs w:val="26"/>
        </w:rPr>
        <w:t xml:space="preserve"> Main and Reply Briefs.</w:t>
      </w:r>
    </w:p>
    <w:p w:rsidR="00E9268F" w:rsidRPr="0096775E" w:rsidRDefault="00E9268F" w:rsidP="00E9268F">
      <w:pPr>
        <w:rPr>
          <w:rFonts w:ascii="Times New Roman" w:hAnsi="Times New Roman"/>
          <w:sz w:val="26"/>
          <w:szCs w:val="26"/>
        </w:rPr>
      </w:pPr>
    </w:p>
    <w:p w:rsidR="00F66F6C" w:rsidRDefault="00E9268F" w:rsidP="00E9268F">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454FF4" w:rsidRPr="0096775E">
        <w:rPr>
          <w:rFonts w:ascii="Times New Roman" w:hAnsi="Times New Roman"/>
          <w:sz w:val="26"/>
          <w:szCs w:val="26"/>
        </w:rPr>
        <w:t>The essential terms of the Stipulation</w:t>
      </w:r>
      <w:r w:rsidRPr="0096775E">
        <w:rPr>
          <w:rFonts w:ascii="Times New Roman" w:hAnsi="Times New Roman"/>
          <w:sz w:val="26"/>
          <w:szCs w:val="26"/>
        </w:rPr>
        <w:t xml:space="preserve"> are set forth in ¶¶</w:t>
      </w:r>
      <w:r w:rsidR="009903DD" w:rsidRPr="0096775E">
        <w:rPr>
          <w:rFonts w:ascii="Times New Roman" w:hAnsi="Times New Roman"/>
          <w:sz w:val="26"/>
          <w:szCs w:val="26"/>
        </w:rPr>
        <w:t xml:space="preserve"> 1-13</w:t>
      </w:r>
      <w:r w:rsidR="00D6083A" w:rsidRPr="0096775E">
        <w:rPr>
          <w:rFonts w:ascii="Times New Roman" w:hAnsi="Times New Roman"/>
          <w:sz w:val="26"/>
          <w:szCs w:val="26"/>
        </w:rPr>
        <w:t>.  The settling Parties</w:t>
      </w:r>
      <w:r w:rsidRPr="0096775E">
        <w:rPr>
          <w:rFonts w:ascii="Times New Roman" w:hAnsi="Times New Roman"/>
          <w:sz w:val="26"/>
          <w:szCs w:val="26"/>
        </w:rPr>
        <w:t xml:space="preserve"> agreed to the following terms and conditions:</w:t>
      </w:r>
    </w:p>
    <w:p w:rsidR="00F66F6C" w:rsidRPr="00F66F6C" w:rsidRDefault="00F66F6C" w:rsidP="00F66F6C">
      <w:pPr>
        <w:pStyle w:val="BodyText2"/>
        <w:spacing w:before="240" w:line="240" w:lineRule="auto"/>
        <w:ind w:left="1440" w:right="1440"/>
        <w:rPr>
          <w:b/>
          <w:sz w:val="26"/>
          <w:szCs w:val="26"/>
          <w:u w:val="single"/>
        </w:rPr>
      </w:pPr>
      <w:r w:rsidRPr="00F66F6C">
        <w:rPr>
          <w:b/>
          <w:sz w:val="26"/>
          <w:szCs w:val="26"/>
          <w:u w:val="single"/>
        </w:rPr>
        <w:t>Default Service Procurement and AEC Contracts</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Duquesne Light’s proposed default service procurement plan for Residential customers will be approved, provided that, should the Commission determine, any time prior to the last solicitation under the DSP VII program in 2016, that Duquesne Light will not continue in its role as Default Service provider beyond May 31, 2017, Duquesne Light agrees to file an appropriate petition with the Commission requesting to amend the DSP VII program to ensure that no fixed-priced contracts extend beyond May 31, 2017, or the date set by the Commission for the termination of Duquesne Light’s role as Default Service provider.</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lastRenderedPageBreak/>
        <w:t>Issues regarding the procurement plans for Small Commercial &amp; Industrial (“Small C&amp;I”), Medium Commercial &amp; Industrial (“Medium C&amp;I”) and Large Commercial &amp; Industrial (“Large C&amp;I”) customers will be reserved for litigation.</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 xml:space="preserve">Issues regarding the procurement of long-term alternative energy credit contracts will be reserved for litigation. </w:t>
      </w:r>
    </w:p>
    <w:p w:rsidR="00F66F6C" w:rsidRPr="00F66F6C" w:rsidRDefault="00F66F6C" w:rsidP="00F66F6C">
      <w:pPr>
        <w:pStyle w:val="BodyText2"/>
        <w:spacing w:before="240" w:line="240" w:lineRule="auto"/>
        <w:ind w:left="1440" w:right="1440"/>
        <w:rPr>
          <w:b/>
          <w:sz w:val="26"/>
          <w:szCs w:val="26"/>
          <w:u w:val="single"/>
        </w:rPr>
      </w:pPr>
      <w:r w:rsidRPr="00F66F6C">
        <w:rPr>
          <w:b/>
          <w:sz w:val="26"/>
          <w:szCs w:val="26"/>
          <w:u w:val="single"/>
        </w:rPr>
        <w:t xml:space="preserve">Standard Offer Program (“SOP”) </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Within 90 days of approval of this Settlement, Duquesne Light agrees to revise its current introductory script for eligible residential customers for the purpose of clarifying that the 7% discount is subject to change during the 12 month program.  Duquesne Light will revise its SOP script to include the following language:</w:t>
      </w:r>
    </w:p>
    <w:p w:rsidR="00F66F6C" w:rsidRPr="00F66F6C" w:rsidRDefault="00F66F6C" w:rsidP="00DA528A">
      <w:pPr>
        <w:pStyle w:val="ListNumber"/>
        <w:numPr>
          <w:ilvl w:val="0"/>
          <w:numId w:val="0"/>
        </w:numPr>
        <w:spacing w:line="240" w:lineRule="auto"/>
        <w:ind w:left="2880" w:right="1440"/>
        <w:rPr>
          <w:sz w:val="26"/>
          <w:szCs w:val="26"/>
        </w:rPr>
      </w:pPr>
      <w:r w:rsidRPr="00F66F6C">
        <w:rPr>
          <w:sz w:val="26"/>
          <w:szCs w:val="26"/>
        </w:rPr>
        <w:t>“I see that you are eligible for a voluntary program that offers a price for generation service for 12 months that is 7% off of the current price to compare.  The price to compare may change during the 12 months but your rate will remain fixed at ___.  If you are interested, I will transfer you to a supplier who is participating in this program for more information.”</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Duquesne Light and the Parties agree to conduct a collaborative with interested Parties to consider changes to the Company’s existing SOP, including, among other things, the following:</w:t>
      </w:r>
    </w:p>
    <w:p w:rsidR="00F66F6C" w:rsidRPr="00F66F6C" w:rsidRDefault="00F66F6C" w:rsidP="00DA528A">
      <w:pPr>
        <w:pStyle w:val="ListNumber"/>
        <w:numPr>
          <w:ilvl w:val="1"/>
          <w:numId w:val="5"/>
        </w:numPr>
        <w:spacing w:after="240" w:line="240" w:lineRule="auto"/>
        <w:ind w:left="2880" w:right="1440"/>
        <w:jc w:val="both"/>
        <w:rPr>
          <w:sz w:val="26"/>
          <w:szCs w:val="26"/>
        </w:rPr>
      </w:pPr>
      <w:r w:rsidRPr="00F66F6C">
        <w:rPr>
          <w:sz w:val="26"/>
          <w:szCs w:val="26"/>
        </w:rPr>
        <w:t xml:space="preserve">Enhanced customer disclosure of the SOP offer and future PTC changes to include disclosures that:  (i) the initial discount is based on the current PTC; (ii) the PTC will change semi-annually with the next change in [month]; (iii) the percentage savings a customer will experience will vary as the PTC changes; and (iv) the SOP rate may be higher or lower than the next PTC; </w:t>
      </w:r>
    </w:p>
    <w:p w:rsidR="00F66F6C" w:rsidRPr="00F66F6C" w:rsidRDefault="00DA528A" w:rsidP="00DA528A">
      <w:pPr>
        <w:pStyle w:val="ListNumber"/>
        <w:numPr>
          <w:ilvl w:val="0"/>
          <w:numId w:val="0"/>
        </w:numPr>
        <w:spacing w:after="240" w:line="240" w:lineRule="auto"/>
        <w:ind w:left="2880" w:right="1440" w:hanging="720"/>
        <w:jc w:val="both"/>
        <w:rPr>
          <w:sz w:val="26"/>
          <w:szCs w:val="26"/>
        </w:rPr>
      </w:pPr>
      <w:r>
        <w:rPr>
          <w:sz w:val="26"/>
          <w:szCs w:val="26"/>
          <w:lang w:val="en-US"/>
        </w:rPr>
        <w:t>b)</w:t>
      </w:r>
      <w:r>
        <w:rPr>
          <w:sz w:val="26"/>
          <w:szCs w:val="26"/>
          <w:lang w:val="en-US"/>
        </w:rPr>
        <w:tab/>
      </w:r>
      <w:r w:rsidR="00F66F6C" w:rsidRPr="00F66F6C">
        <w:rPr>
          <w:sz w:val="26"/>
          <w:szCs w:val="26"/>
        </w:rPr>
        <w:t>Other program improvements including use of a third party to enroll customers or other means to improve customer enrollment; and</w:t>
      </w:r>
    </w:p>
    <w:p w:rsidR="00F66F6C" w:rsidRPr="00F66F6C" w:rsidRDefault="00DA528A" w:rsidP="00DA528A">
      <w:pPr>
        <w:pStyle w:val="ListNumber"/>
        <w:numPr>
          <w:ilvl w:val="0"/>
          <w:numId w:val="0"/>
        </w:numPr>
        <w:spacing w:after="240" w:line="240" w:lineRule="auto"/>
        <w:ind w:left="2880" w:right="1440" w:hanging="720"/>
        <w:jc w:val="both"/>
        <w:rPr>
          <w:sz w:val="26"/>
          <w:szCs w:val="26"/>
        </w:rPr>
      </w:pPr>
      <w:r>
        <w:rPr>
          <w:sz w:val="26"/>
          <w:szCs w:val="26"/>
          <w:lang w:val="en-US"/>
        </w:rPr>
        <w:lastRenderedPageBreak/>
        <w:t>c)</w:t>
      </w:r>
      <w:r>
        <w:rPr>
          <w:sz w:val="26"/>
          <w:szCs w:val="26"/>
          <w:lang w:val="en-US"/>
        </w:rPr>
        <w:tab/>
      </w:r>
      <w:r w:rsidR="00F66F6C" w:rsidRPr="00F66F6C">
        <w:rPr>
          <w:sz w:val="26"/>
          <w:szCs w:val="26"/>
        </w:rPr>
        <w:t>Cost recovery, provided however, that the collaborative shall not address or consider any proposals to recover SOP costs from EGSs that do not participate in Duquesne Light’s POR Program or from Medium or Large Commercial and Industrial customers (i.e., customers with cumulative demands equal to or greater than 25 kW) that are not eligible for the SOP program or to recover SOP costs through an increase to the Medium C&amp;I Purchase of Receivables discount rate.</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The collaborative will commence within 45 days of entry of the Commission’s Final Order in this proceeding.</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Duquesne Light will be required to implement any revised SOP resulting from this collaborative and resulting Commission Order approving a revised SOP within six months after entry of the Commission Order approving a revised SOP, provided that any Information Technology changes required to implement the revised SOP can be completed in that time frame.</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Duquesne Light will continue its current SOP (with a $10.28 customer enrollment fee for participating EGSs becoming effective September 1, 2014) until it is replaced by a revised SOP approved by the Commission.  The Customer Acquisition Fee established in September 2014 will remain in effect until the program is revised and approved by the Commission.</w:t>
      </w:r>
    </w:p>
    <w:p w:rsidR="00F66F6C" w:rsidRPr="00F66F6C" w:rsidRDefault="00F66F6C" w:rsidP="00F66F6C">
      <w:pPr>
        <w:pStyle w:val="BodyText2"/>
        <w:spacing w:before="240" w:line="240" w:lineRule="auto"/>
        <w:ind w:left="1440" w:right="1440"/>
        <w:rPr>
          <w:sz w:val="26"/>
          <w:szCs w:val="26"/>
        </w:rPr>
      </w:pPr>
      <w:r w:rsidRPr="00F66F6C">
        <w:rPr>
          <w:b/>
          <w:sz w:val="26"/>
          <w:szCs w:val="26"/>
          <w:u w:val="single"/>
        </w:rPr>
        <w:t>Time of Use (“TOU”) Program</w:t>
      </w:r>
    </w:p>
    <w:p w:rsidR="00F66F6C" w:rsidRPr="00C46EB6"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 xml:space="preserve">Duquesne Light’s TOU Program for the first year of DSP VII will be approved for Residential (other than those customers enrolled in Duquesne Light’s Customer Assistance Program (“CAP”)), Small C&amp;I and Medium C&amp;I customers with interval meters, as long as the customer also has the necessary data collection and communications systems in place, and the systems have been successfully tested.  CAP customers will not be eligible for the TOU Program in the first year of DSP VII because issues regarding CAP portability have not been finally determined at this time, and there will be a limited window for TOU enrollment in the first year of DSP VII.  </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lastRenderedPageBreak/>
        <w:t>Duquesne Light will conduct a collaborative to develop a TOU Program and cost recovery mechanism for the year commencing June 1, 2016 and ending May 31, 2017, to identify ways to permit multiple EGSs to participate in a TOU offering(s) and will explore how to effectively integrate the TOU Program with CAP provided that general issues regarding CAP portability have otherwise been decided by the Commission.  In order to permit the Company time to identify new options available for TOU service and assess necessary TOU Program changes to potentially integrate CAP customers if CAP portability issues have been decided, the collaborative will commence no later than June 30, 2015.  The collaborative will continue for 60 days.  Following the collaborative, the Company will file with the Commission by September 30, 2015, a TOU Program proposal reflecting any consensus that has been achieved and the Company’s proposal on unresolved issues.  The Commission will provide an opportunity for comments by interested parties, and issue a final order by January 31, 2016, so that any actions necessary to commence the approved TOU program commencing June 1, 2016 can be completed.</w:t>
      </w:r>
    </w:p>
    <w:p w:rsidR="00F66F6C" w:rsidRPr="00F66F6C" w:rsidRDefault="00F66F6C" w:rsidP="00F66F6C">
      <w:pPr>
        <w:pStyle w:val="BodyText2"/>
        <w:keepNext/>
        <w:spacing w:before="240" w:line="240" w:lineRule="auto"/>
        <w:ind w:left="1440" w:right="1440"/>
        <w:rPr>
          <w:b/>
          <w:sz w:val="26"/>
          <w:szCs w:val="26"/>
          <w:u w:val="single"/>
        </w:rPr>
      </w:pPr>
      <w:r w:rsidRPr="00F66F6C">
        <w:rPr>
          <w:b/>
          <w:sz w:val="26"/>
          <w:szCs w:val="26"/>
          <w:u w:val="single"/>
        </w:rPr>
        <w:t>Supply Master Agreement (“SMA”)</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The Company’s proposed SMA is adopted, including the revisions agreed to by the Company in its rebuttal testimony, and the following revisions:</w:t>
      </w:r>
    </w:p>
    <w:p w:rsidR="00F66F6C" w:rsidRPr="00F66F6C" w:rsidRDefault="00F66F6C" w:rsidP="00DA528A">
      <w:pPr>
        <w:pStyle w:val="ListNumber"/>
        <w:numPr>
          <w:ilvl w:val="0"/>
          <w:numId w:val="0"/>
        </w:numPr>
        <w:spacing w:line="240" w:lineRule="auto"/>
        <w:ind w:left="3600" w:right="1440" w:hanging="720"/>
        <w:rPr>
          <w:sz w:val="26"/>
          <w:szCs w:val="26"/>
        </w:rPr>
      </w:pPr>
      <w:r w:rsidRPr="00F66F6C">
        <w:rPr>
          <w:sz w:val="26"/>
          <w:szCs w:val="26"/>
        </w:rPr>
        <w:t>a)</w:t>
      </w:r>
      <w:r w:rsidRPr="00F66F6C">
        <w:rPr>
          <w:sz w:val="26"/>
          <w:szCs w:val="26"/>
        </w:rPr>
        <w:tab/>
        <w:t>Duquesne Light agrees to revise the definition of “Termination Payment” to read as follows:  “A payment resulting from an Early Termination that is calculated in accordance with Article 5.4.”</w:t>
      </w:r>
    </w:p>
    <w:p w:rsidR="00F66F6C" w:rsidRPr="00F66F6C" w:rsidRDefault="00F66F6C" w:rsidP="00DA528A">
      <w:pPr>
        <w:pStyle w:val="ListNumber"/>
        <w:numPr>
          <w:ilvl w:val="0"/>
          <w:numId w:val="0"/>
        </w:numPr>
        <w:spacing w:line="240" w:lineRule="auto"/>
        <w:ind w:left="3600" w:right="1440" w:hanging="720"/>
        <w:rPr>
          <w:sz w:val="26"/>
          <w:szCs w:val="26"/>
        </w:rPr>
      </w:pPr>
      <w:r w:rsidRPr="00F66F6C">
        <w:rPr>
          <w:sz w:val="26"/>
          <w:szCs w:val="26"/>
        </w:rPr>
        <w:t>b)</w:t>
      </w:r>
      <w:r w:rsidRPr="00F66F6C">
        <w:rPr>
          <w:sz w:val="26"/>
          <w:szCs w:val="26"/>
        </w:rPr>
        <w:tab/>
        <w:t>Duquesne Light will revise the following Section of Article 5.4:</w:t>
      </w:r>
    </w:p>
    <w:p w:rsidR="00F66F6C" w:rsidRPr="00F66F6C" w:rsidRDefault="00F66F6C" w:rsidP="00DA528A">
      <w:pPr>
        <w:pStyle w:val="Quote"/>
        <w:ind w:left="4320" w:right="1440" w:firstLine="0"/>
        <w:rPr>
          <w:sz w:val="26"/>
          <w:szCs w:val="26"/>
        </w:rPr>
      </w:pPr>
      <w:r w:rsidRPr="00F66F6C">
        <w:rPr>
          <w:sz w:val="26"/>
          <w:szCs w:val="26"/>
        </w:rPr>
        <w:t xml:space="preserve">“The DS Supplier may, in its sole discretion, select the notional quantity in the following subsection 5.4(a)(i) by indicating yes or no on Appendix E.  If the DS Supplier does not select subsection 5.4(a)(i) it will be </w:t>
      </w:r>
      <w:r w:rsidRPr="00F66F6C">
        <w:rPr>
          <w:sz w:val="26"/>
          <w:szCs w:val="26"/>
        </w:rPr>
        <w:lastRenderedPageBreak/>
        <w:t>deemed to be excluded from this Agreement.  [CHECK BOX]”</w:t>
      </w:r>
    </w:p>
    <w:p w:rsidR="00F66F6C" w:rsidRPr="00F66F6C" w:rsidRDefault="00F66F6C" w:rsidP="002400B2">
      <w:pPr>
        <w:pStyle w:val="Quote"/>
        <w:ind w:left="3600" w:right="1440" w:firstLine="0"/>
        <w:rPr>
          <w:sz w:val="26"/>
          <w:szCs w:val="26"/>
        </w:rPr>
      </w:pPr>
      <w:r w:rsidRPr="00F66F6C">
        <w:rPr>
          <w:sz w:val="26"/>
          <w:szCs w:val="26"/>
        </w:rPr>
        <w:t>to read as follows:</w:t>
      </w:r>
    </w:p>
    <w:p w:rsidR="00F66F6C" w:rsidRPr="00F66F6C" w:rsidRDefault="00F66F6C" w:rsidP="002400B2">
      <w:pPr>
        <w:pStyle w:val="ListNumber"/>
        <w:numPr>
          <w:ilvl w:val="0"/>
          <w:numId w:val="0"/>
        </w:numPr>
        <w:spacing w:line="240" w:lineRule="auto"/>
        <w:ind w:left="4320" w:right="1440"/>
        <w:rPr>
          <w:sz w:val="26"/>
          <w:szCs w:val="26"/>
        </w:rPr>
      </w:pPr>
      <w:r w:rsidRPr="00F66F6C">
        <w:rPr>
          <w:sz w:val="26"/>
          <w:szCs w:val="26"/>
        </w:rPr>
        <w:t>“</w:t>
      </w:r>
      <w:r w:rsidRPr="00F66F6C">
        <w:rPr>
          <w:sz w:val="26"/>
          <w:szCs w:val="26"/>
        </w:rPr>
        <w:sym w:font="Symbol" w:char="F0F0"/>
      </w:r>
      <w:r w:rsidRPr="00F66F6C">
        <w:rPr>
          <w:sz w:val="26"/>
          <w:szCs w:val="26"/>
        </w:rPr>
        <w:t xml:space="preserve"> The DS Supplier may, in its sole discretion, add the following subsection 5.4(a)(1) by checking this box.  If DS Supplier does not check this box, subsection 5.4(a)(1) will be deemed to be excluded from this Agreement.”</w:t>
      </w:r>
    </w:p>
    <w:p w:rsidR="00F66F6C" w:rsidRPr="00F66F6C" w:rsidRDefault="00F66F6C" w:rsidP="002400B2">
      <w:pPr>
        <w:pStyle w:val="ListNumber"/>
        <w:numPr>
          <w:ilvl w:val="0"/>
          <w:numId w:val="0"/>
        </w:numPr>
        <w:spacing w:line="240" w:lineRule="auto"/>
        <w:ind w:left="2880" w:right="1440"/>
        <w:rPr>
          <w:sz w:val="26"/>
          <w:szCs w:val="26"/>
        </w:rPr>
      </w:pPr>
      <w:r w:rsidRPr="00F66F6C">
        <w:rPr>
          <w:sz w:val="26"/>
          <w:szCs w:val="26"/>
        </w:rPr>
        <w:t>c)</w:t>
      </w:r>
      <w:r w:rsidRPr="00F66F6C">
        <w:rPr>
          <w:sz w:val="26"/>
          <w:szCs w:val="26"/>
        </w:rPr>
        <w:tab/>
        <w:t>The Company will revise Article 6.7 of its SMA as follows:</w:t>
      </w:r>
    </w:p>
    <w:p w:rsidR="00F66F6C" w:rsidRPr="00F66F6C" w:rsidRDefault="002C6380" w:rsidP="002400B2">
      <w:pPr>
        <w:pStyle w:val="BlockText"/>
        <w:ind w:left="4320"/>
        <w:rPr>
          <w:sz w:val="26"/>
          <w:szCs w:val="26"/>
        </w:rPr>
      </w:pPr>
      <w:r w:rsidRPr="00F66F6C">
        <w:rPr>
          <w:b/>
          <w:sz w:val="26"/>
          <w:szCs w:val="26"/>
        </w:rPr>
        <w:t>6.7 Security Instruments</w:t>
      </w:r>
      <w:r w:rsidRPr="00F66F6C">
        <w:rPr>
          <w:sz w:val="26"/>
          <w:szCs w:val="26"/>
        </w:rPr>
        <w:t xml:space="preserve">  At each DS Supplier’s choice, the following are deemed to be acceptable methods for posting security, if required:</w:t>
      </w:r>
    </w:p>
    <w:p w:rsidR="00F66F6C" w:rsidRPr="00F66F6C" w:rsidRDefault="00F66F6C" w:rsidP="002400B2">
      <w:pPr>
        <w:pStyle w:val="ListNumber"/>
        <w:numPr>
          <w:ilvl w:val="0"/>
          <w:numId w:val="0"/>
        </w:numPr>
        <w:spacing w:line="240" w:lineRule="auto"/>
        <w:ind w:left="4320" w:right="1440"/>
        <w:rPr>
          <w:sz w:val="26"/>
          <w:szCs w:val="26"/>
        </w:rPr>
      </w:pPr>
      <w:r w:rsidRPr="00F66F6C">
        <w:rPr>
          <w:sz w:val="26"/>
          <w:szCs w:val="26"/>
        </w:rPr>
        <w:t>(a) Cash; or</w:t>
      </w:r>
    </w:p>
    <w:p w:rsidR="00F66F6C" w:rsidRPr="00F66F6C" w:rsidRDefault="00F66F6C" w:rsidP="002400B2">
      <w:pPr>
        <w:pStyle w:val="ListNumber"/>
        <w:numPr>
          <w:ilvl w:val="0"/>
          <w:numId w:val="0"/>
        </w:numPr>
        <w:spacing w:line="240" w:lineRule="auto"/>
        <w:ind w:left="4320" w:right="1440"/>
        <w:rPr>
          <w:sz w:val="26"/>
          <w:szCs w:val="26"/>
        </w:rPr>
      </w:pPr>
      <w:r w:rsidRPr="00F66F6C">
        <w:rPr>
          <w:sz w:val="26"/>
          <w:szCs w:val="26"/>
        </w:rPr>
        <w:t xml:space="preserve">(b) A standby irrevocable letter of credit acceptable to the Company, in its sole discretion, issued by a bank or other financial institution with a minimum </w:t>
      </w:r>
      <w:r w:rsidRPr="00F66F6C">
        <w:rPr>
          <w:strike/>
          <w:sz w:val="26"/>
          <w:szCs w:val="26"/>
        </w:rPr>
        <w:t>[“A”]</w:t>
      </w:r>
      <w:r w:rsidRPr="00F66F6C">
        <w:rPr>
          <w:sz w:val="26"/>
          <w:szCs w:val="26"/>
        </w:rPr>
        <w:t xml:space="preserve"> “A-” senior unsecured debt rating (or, if unavailable, corporate issuer rating discounted one notch) from S&amp;P and </w:t>
      </w:r>
      <w:r w:rsidRPr="00F66F6C">
        <w:rPr>
          <w:strike/>
          <w:sz w:val="26"/>
          <w:szCs w:val="26"/>
        </w:rPr>
        <w:t>[“A2”]</w:t>
      </w:r>
      <w:r w:rsidRPr="00F66F6C">
        <w:rPr>
          <w:sz w:val="26"/>
          <w:szCs w:val="26"/>
        </w:rPr>
        <w:t xml:space="preserve"> “A3” from Moody’s (see standard format in Appendix __).</w:t>
      </w:r>
    </w:p>
    <w:p w:rsidR="00F66F6C" w:rsidRDefault="00F66F6C" w:rsidP="002400B2">
      <w:pPr>
        <w:pStyle w:val="ListNumber"/>
        <w:numPr>
          <w:ilvl w:val="0"/>
          <w:numId w:val="0"/>
        </w:numPr>
        <w:spacing w:after="0" w:line="240" w:lineRule="auto"/>
        <w:ind w:left="3600" w:right="1440" w:hanging="720"/>
        <w:rPr>
          <w:sz w:val="26"/>
          <w:szCs w:val="26"/>
          <w:lang w:val="en-US"/>
        </w:rPr>
      </w:pPr>
      <w:r w:rsidRPr="00F66F6C">
        <w:rPr>
          <w:sz w:val="26"/>
          <w:szCs w:val="26"/>
        </w:rPr>
        <w:t>d)</w:t>
      </w:r>
      <w:r w:rsidRPr="00F66F6C">
        <w:rPr>
          <w:sz w:val="26"/>
          <w:szCs w:val="26"/>
        </w:rPr>
        <w:tab/>
        <w:t xml:space="preserve">The first sentence of Paragraph 2 in Appendix E shall be replaced with the following:  “AECs shall be provided on a six (6) month basis or at the end of any Delivery Period, if the Delivery Period is less than six (6) months, and shall be transferred to the Company within 30 days from the final day of any such six month period or Delivery Period; provided; however, that if the term of </w:t>
      </w:r>
      <w:r w:rsidRPr="00F66F6C">
        <w:rPr>
          <w:sz w:val="26"/>
          <w:szCs w:val="26"/>
        </w:rPr>
        <w:lastRenderedPageBreak/>
        <w:t>any Delivery Period includes two different AEPS reporting years, then DS Supplier shall provide the AECs required for the first AEPS reporting year by June 30th of each year.”</w:t>
      </w:r>
    </w:p>
    <w:p w:rsidR="00F66F6C" w:rsidRPr="00F66F6C" w:rsidRDefault="00F66F6C" w:rsidP="00F66F6C">
      <w:pPr>
        <w:pStyle w:val="ListNumber"/>
        <w:numPr>
          <w:ilvl w:val="0"/>
          <w:numId w:val="0"/>
        </w:numPr>
        <w:spacing w:after="0" w:line="240" w:lineRule="auto"/>
        <w:ind w:left="1440" w:right="1440" w:hanging="720"/>
        <w:rPr>
          <w:sz w:val="26"/>
          <w:szCs w:val="26"/>
          <w:lang w:val="en-US"/>
        </w:rPr>
      </w:pPr>
    </w:p>
    <w:p w:rsidR="00F66F6C" w:rsidRDefault="00F66F6C" w:rsidP="00F66F6C">
      <w:pPr>
        <w:pStyle w:val="ListNumber"/>
        <w:numPr>
          <w:ilvl w:val="0"/>
          <w:numId w:val="0"/>
        </w:numPr>
        <w:spacing w:after="0" w:line="240" w:lineRule="auto"/>
        <w:ind w:left="1440" w:right="1440"/>
        <w:rPr>
          <w:sz w:val="26"/>
          <w:szCs w:val="26"/>
          <w:lang w:val="en-US"/>
        </w:rPr>
      </w:pPr>
      <w:r w:rsidRPr="00F66F6C">
        <w:rPr>
          <w:b/>
          <w:sz w:val="26"/>
          <w:szCs w:val="26"/>
          <w:u w:val="single"/>
        </w:rPr>
        <w:t>Transmission Charges</w:t>
      </w:r>
      <w:r w:rsidRPr="00F66F6C">
        <w:rPr>
          <w:sz w:val="26"/>
          <w:szCs w:val="26"/>
        </w:rPr>
        <w:t xml:space="preserve"> </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The issue of cost responsibility and the methodology for recovering Network Integration Transmission Service (“NITS”), Regional Transmission Expansion Plan (“RTEP”), Generation Deactivation and Unaccounted for Energy (“UFE”), and other non-market based charges is reserved for litigation.</w:t>
      </w:r>
    </w:p>
    <w:p w:rsidR="00F66F6C" w:rsidRPr="00F66F6C" w:rsidRDefault="00F66F6C" w:rsidP="00F66F6C">
      <w:pPr>
        <w:pStyle w:val="BodyText2"/>
        <w:spacing w:before="240" w:line="240" w:lineRule="auto"/>
        <w:ind w:left="1440" w:right="1440"/>
        <w:rPr>
          <w:sz w:val="26"/>
          <w:szCs w:val="26"/>
        </w:rPr>
      </w:pPr>
      <w:r w:rsidRPr="00F66F6C">
        <w:rPr>
          <w:b/>
          <w:sz w:val="26"/>
          <w:szCs w:val="26"/>
          <w:u w:val="single"/>
        </w:rPr>
        <w:t>Unbundling of Default Service Costs</w:t>
      </w:r>
    </w:p>
    <w:p w:rsidR="00F66F6C" w:rsidRPr="00F66F6C" w:rsidRDefault="00F66F6C" w:rsidP="00F66F6C">
      <w:pPr>
        <w:pStyle w:val="ListNumber"/>
        <w:numPr>
          <w:ilvl w:val="0"/>
          <w:numId w:val="5"/>
        </w:numPr>
        <w:spacing w:after="0" w:line="240" w:lineRule="auto"/>
        <w:ind w:right="1440" w:firstLine="720"/>
        <w:jc w:val="both"/>
        <w:rPr>
          <w:sz w:val="26"/>
          <w:szCs w:val="26"/>
        </w:rPr>
      </w:pPr>
      <w:r w:rsidRPr="00F66F6C">
        <w:rPr>
          <w:sz w:val="26"/>
          <w:szCs w:val="26"/>
        </w:rPr>
        <w:t>In the earlier of its next general rate increase filing or its Default Service Plan filing for the period commencing June 1, 2017,  Duquesne Light will propose to unbundle from base rates costs associated with the provision of default service, including default service proceeding and procurement costs, and cash working capital with regard to default service procurements.  Duquesne Light will simultaneously propose a mechanism for recovery of such costs from default service customers.  All parties reserve the right to comment on and oppose such proposal.</w:t>
      </w:r>
    </w:p>
    <w:p w:rsidR="00B503CE" w:rsidRPr="00F66F6C" w:rsidRDefault="00B503CE" w:rsidP="00F66F6C">
      <w:pPr>
        <w:spacing w:line="240" w:lineRule="auto"/>
        <w:ind w:left="1440" w:right="1440"/>
        <w:rPr>
          <w:rFonts w:ascii="Times New Roman" w:hAnsi="Times New Roman"/>
          <w:sz w:val="26"/>
          <w:szCs w:val="26"/>
        </w:rPr>
      </w:pPr>
    </w:p>
    <w:p w:rsidR="006B2AF4" w:rsidRPr="0096775E" w:rsidRDefault="00B503CE" w:rsidP="00B503CE">
      <w:pPr>
        <w:pStyle w:val="OutlineL2"/>
        <w:numPr>
          <w:ilvl w:val="0"/>
          <w:numId w:val="0"/>
        </w:numPr>
        <w:tabs>
          <w:tab w:val="left" w:pos="0"/>
        </w:tabs>
        <w:spacing w:after="0" w:line="360" w:lineRule="auto"/>
        <w:rPr>
          <w:sz w:val="26"/>
          <w:szCs w:val="26"/>
        </w:rPr>
      </w:pPr>
      <w:r w:rsidRPr="0096775E">
        <w:rPr>
          <w:sz w:val="26"/>
          <w:szCs w:val="26"/>
        </w:rPr>
        <w:t>In addition to the specif</w:t>
      </w:r>
      <w:r w:rsidR="006B2AF4" w:rsidRPr="0096775E">
        <w:rPr>
          <w:sz w:val="26"/>
          <w:szCs w:val="26"/>
        </w:rPr>
        <w:t>ic terms to which the Parties</w:t>
      </w:r>
      <w:r w:rsidR="007F52E3" w:rsidRPr="0096775E">
        <w:rPr>
          <w:sz w:val="26"/>
          <w:szCs w:val="26"/>
        </w:rPr>
        <w:t xml:space="preserve"> have agreed, the</w:t>
      </w:r>
      <w:r w:rsidRPr="0096775E">
        <w:rPr>
          <w:sz w:val="26"/>
          <w:szCs w:val="26"/>
        </w:rPr>
        <w:t xml:space="preserve"> Settlement</w:t>
      </w:r>
      <w:r w:rsidR="007F52E3" w:rsidRPr="0096775E">
        <w:rPr>
          <w:sz w:val="26"/>
          <w:szCs w:val="26"/>
        </w:rPr>
        <w:t xml:space="preserve"> Stipulation </w:t>
      </w:r>
      <w:r w:rsidRPr="0096775E">
        <w:rPr>
          <w:sz w:val="26"/>
          <w:szCs w:val="26"/>
        </w:rPr>
        <w:t>contains certain general, mi</w:t>
      </w:r>
      <w:r w:rsidR="009903DD" w:rsidRPr="0096775E">
        <w:rPr>
          <w:sz w:val="26"/>
          <w:szCs w:val="26"/>
        </w:rPr>
        <w:t>scellaneous terms.  The Stipulation</w:t>
      </w:r>
      <w:r w:rsidRPr="0096775E">
        <w:rPr>
          <w:sz w:val="26"/>
          <w:szCs w:val="26"/>
        </w:rPr>
        <w:t xml:space="preserve"> is conditioned upon the Commission’s approval of the terms and conditions without modif</w:t>
      </w:r>
      <w:r w:rsidR="009903DD" w:rsidRPr="0096775E">
        <w:rPr>
          <w:sz w:val="26"/>
          <w:szCs w:val="26"/>
        </w:rPr>
        <w:t>ication.  The Stipulation</w:t>
      </w:r>
      <w:r w:rsidRPr="0096775E">
        <w:rPr>
          <w:sz w:val="26"/>
          <w:szCs w:val="26"/>
        </w:rPr>
        <w:t xml:space="preserve"> establishes the procedure by wh</w:t>
      </w:r>
      <w:r w:rsidR="006B2AF4" w:rsidRPr="0096775E">
        <w:rPr>
          <w:sz w:val="26"/>
          <w:szCs w:val="26"/>
        </w:rPr>
        <w:t xml:space="preserve">ich any of the Parties may withdraw from the </w:t>
      </w:r>
      <w:r w:rsidRPr="0096775E">
        <w:rPr>
          <w:sz w:val="26"/>
          <w:szCs w:val="26"/>
        </w:rPr>
        <w:t xml:space="preserve">Settlement </w:t>
      </w:r>
      <w:r w:rsidR="006B2AF4" w:rsidRPr="0096775E">
        <w:rPr>
          <w:sz w:val="26"/>
          <w:szCs w:val="26"/>
        </w:rPr>
        <w:t xml:space="preserve">Stipulation </w:t>
      </w:r>
      <w:r w:rsidRPr="0096775E">
        <w:rPr>
          <w:sz w:val="26"/>
          <w:szCs w:val="26"/>
        </w:rPr>
        <w:t xml:space="preserve">and proceed to litigate this case, if the Commission should act </w:t>
      </w:r>
      <w:r w:rsidR="006B2AF4" w:rsidRPr="0096775E">
        <w:rPr>
          <w:sz w:val="26"/>
          <w:szCs w:val="26"/>
        </w:rPr>
        <w:t>to modify the Stipulation</w:t>
      </w:r>
      <w:r w:rsidRPr="0096775E">
        <w:rPr>
          <w:sz w:val="26"/>
          <w:szCs w:val="26"/>
        </w:rPr>
        <w:t xml:space="preserve">.  </w:t>
      </w:r>
      <w:r w:rsidR="006B2AF4" w:rsidRPr="0096775E">
        <w:rPr>
          <w:sz w:val="26"/>
          <w:szCs w:val="26"/>
        </w:rPr>
        <w:t>Stipulation ¶ 14 at 6.</w:t>
      </w:r>
    </w:p>
    <w:p w:rsidR="00B503CE" w:rsidRPr="0096775E" w:rsidRDefault="00B503CE" w:rsidP="00B503CE">
      <w:pPr>
        <w:pStyle w:val="OutlineL2"/>
        <w:numPr>
          <w:ilvl w:val="0"/>
          <w:numId w:val="0"/>
        </w:numPr>
        <w:tabs>
          <w:tab w:val="left" w:pos="0"/>
        </w:tabs>
        <w:spacing w:after="0" w:line="360" w:lineRule="auto"/>
        <w:rPr>
          <w:sz w:val="26"/>
          <w:szCs w:val="26"/>
        </w:rPr>
      </w:pPr>
      <w:r w:rsidRPr="0096775E">
        <w:rPr>
          <w:sz w:val="26"/>
          <w:szCs w:val="26"/>
        </w:rPr>
        <w:t xml:space="preserve"> </w:t>
      </w:r>
    </w:p>
    <w:p w:rsidR="00B503CE" w:rsidRPr="0096775E" w:rsidRDefault="006B2AF4" w:rsidP="00B503CE">
      <w:pPr>
        <w:pStyle w:val="OutlineL2"/>
        <w:numPr>
          <w:ilvl w:val="0"/>
          <w:numId w:val="0"/>
        </w:numPr>
        <w:tabs>
          <w:tab w:val="left" w:pos="0"/>
        </w:tabs>
        <w:spacing w:after="0" w:line="360" w:lineRule="auto"/>
        <w:rPr>
          <w:sz w:val="26"/>
          <w:szCs w:val="26"/>
        </w:rPr>
      </w:pPr>
      <w:r w:rsidRPr="0096775E">
        <w:rPr>
          <w:sz w:val="26"/>
          <w:szCs w:val="26"/>
        </w:rPr>
        <w:tab/>
      </w:r>
      <w:r w:rsidRPr="0096775E">
        <w:rPr>
          <w:sz w:val="26"/>
          <w:szCs w:val="26"/>
        </w:rPr>
        <w:tab/>
      </w:r>
      <w:r w:rsidR="00B503CE" w:rsidRPr="0096775E">
        <w:rPr>
          <w:sz w:val="26"/>
          <w:szCs w:val="26"/>
        </w:rPr>
        <w:t xml:space="preserve">In </w:t>
      </w:r>
      <w:r w:rsidRPr="0096775E">
        <w:rPr>
          <w:sz w:val="26"/>
          <w:szCs w:val="26"/>
        </w:rPr>
        <w:t>addition, the Stipulation</w:t>
      </w:r>
      <w:r w:rsidR="00B503CE" w:rsidRPr="0096775E">
        <w:rPr>
          <w:sz w:val="26"/>
          <w:szCs w:val="26"/>
        </w:rPr>
        <w:t xml:space="preserve"> states that it </w:t>
      </w:r>
      <w:r w:rsidRPr="0096775E">
        <w:rPr>
          <w:sz w:val="26"/>
          <w:szCs w:val="26"/>
        </w:rPr>
        <w:t xml:space="preserve">is made without any </w:t>
      </w:r>
      <w:r w:rsidR="00B503CE" w:rsidRPr="0096775E">
        <w:rPr>
          <w:sz w:val="26"/>
          <w:szCs w:val="26"/>
        </w:rPr>
        <w:t xml:space="preserve">admission against, or prejudice to, any position which any </w:t>
      </w:r>
      <w:r w:rsidRPr="0096775E">
        <w:rPr>
          <w:sz w:val="26"/>
          <w:szCs w:val="26"/>
        </w:rPr>
        <w:t>Party may</w:t>
      </w:r>
      <w:r w:rsidR="00B503CE" w:rsidRPr="0096775E">
        <w:rPr>
          <w:sz w:val="26"/>
          <w:szCs w:val="26"/>
        </w:rPr>
        <w:t xml:space="preserve"> adopt </w:t>
      </w:r>
      <w:r w:rsidRPr="0096775E">
        <w:rPr>
          <w:sz w:val="26"/>
          <w:szCs w:val="26"/>
        </w:rPr>
        <w:t xml:space="preserve">in the event of any </w:t>
      </w:r>
      <w:r w:rsidR="00B503CE" w:rsidRPr="0096775E">
        <w:rPr>
          <w:sz w:val="26"/>
          <w:szCs w:val="26"/>
        </w:rPr>
        <w:t>su</w:t>
      </w:r>
      <w:r w:rsidRPr="0096775E">
        <w:rPr>
          <w:sz w:val="26"/>
          <w:szCs w:val="26"/>
        </w:rPr>
        <w:t>bsequent litigation of this proceeding</w:t>
      </w:r>
      <w:r w:rsidR="00B503CE" w:rsidRPr="0096775E">
        <w:rPr>
          <w:sz w:val="26"/>
          <w:szCs w:val="26"/>
        </w:rPr>
        <w:t xml:space="preserve"> or </w:t>
      </w:r>
      <w:r w:rsidRPr="0096775E">
        <w:rPr>
          <w:sz w:val="26"/>
          <w:szCs w:val="26"/>
        </w:rPr>
        <w:t xml:space="preserve">in </w:t>
      </w:r>
      <w:r w:rsidR="00B503CE" w:rsidRPr="0096775E">
        <w:rPr>
          <w:sz w:val="26"/>
          <w:szCs w:val="26"/>
        </w:rPr>
        <w:t xml:space="preserve">any other </w:t>
      </w:r>
      <w:r w:rsidRPr="0096775E">
        <w:rPr>
          <w:sz w:val="26"/>
          <w:szCs w:val="26"/>
        </w:rPr>
        <w:t>proceeding</w:t>
      </w:r>
      <w:r w:rsidR="00B503CE" w:rsidRPr="0096775E">
        <w:rPr>
          <w:sz w:val="26"/>
          <w:szCs w:val="26"/>
        </w:rPr>
        <w:t xml:space="preserve">.  </w:t>
      </w:r>
      <w:r w:rsidRPr="0096775E">
        <w:rPr>
          <w:sz w:val="26"/>
          <w:szCs w:val="26"/>
        </w:rPr>
        <w:t>Stipulation</w:t>
      </w:r>
      <w:r w:rsidR="00B503CE" w:rsidRPr="0096775E">
        <w:rPr>
          <w:sz w:val="26"/>
          <w:szCs w:val="26"/>
        </w:rPr>
        <w:t xml:space="preserve"> ¶ </w:t>
      </w:r>
      <w:r w:rsidRPr="0096775E">
        <w:rPr>
          <w:sz w:val="26"/>
          <w:szCs w:val="26"/>
        </w:rPr>
        <w:t>15 at 6</w:t>
      </w:r>
      <w:r w:rsidR="00B503CE" w:rsidRPr="0096775E">
        <w:rPr>
          <w:sz w:val="26"/>
          <w:szCs w:val="26"/>
        </w:rPr>
        <w:t>.</w:t>
      </w:r>
    </w:p>
    <w:p w:rsidR="00B503CE" w:rsidRPr="0096775E" w:rsidRDefault="00B503CE" w:rsidP="00B503CE">
      <w:pPr>
        <w:pStyle w:val="OutlineL2"/>
        <w:numPr>
          <w:ilvl w:val="0"/>
          <w:numId w:val="0"/>
        </w:numPr>
        <w:tabs>
          <w:tab w:val="left" w:pos="0"/>
        </w:tabs>
        <w:spacing w:after="0" w:line="360" w:lineRule="auto"/>
        <w:rPr>
          <w:sz w:val="26"/>
          <w:szCs w:val="26"/>
        </w:rPr>
      </w:pPr>
    </w:p>
    <w:p w:rsidR="00B503CE" w:rsidRPr="0096775E" w:rsidRDefault="00B503CE" w:rsidP="00B503CE">
      <w:pPr>
        <w:pStyle w:val="OutlineL2"/>
        <w:numPr>
          <w:ilvl w:val="0"/>
          <w:numId w:val="0"/>
        </w:numPr>
        <w:tabs>
          <w:tab w:val="left" w:pos="0"/>
        </w:tabs>
        <w:spacing w:after="0" w:line="360" w:lineRule="auto"/>
        <w:rPr>
          <w:sz w:val="26"/>
          <w:szCs w:val="26"/>
        </w:rPr>
      </w:pPr>
      <w:r w:rsidRPr="0096775E">
        <w:rPr>
          <w:sz w:val="26"/>
          <w:szCs w:val="26"/>
        </w:rPr>
        <w:lastRenderedPageBreak/>
        <w:tab/>
      </w:r>
      <w:r w:rsidRPr="0096775E">
        <w:rPr>
          <w:sz w:val="26"/>
          <w:szCs w:val="26"/>
        </w:rPr>
        <w:tab/>
      </w:r>
      <w:r w:rsidR="006B2AF4" w:rsidRPr="0096775E">
        <w:rPr>
          <w:sz w:val="26"/>
          <w:szCs w:val="26"/>
        </w:rPr>
        <w:t>Further, the Stipulation</w:t>
      </w:r>
      <w:r w:rsidRPr="0096775E">
        <w:rPr>
          <w:sz w:val="26"/>
          <w:szCs w:val="26"/>
        </w:rPr>
        <w:t xml:space="preserve"> provides that </w:t>
      </w:r>
      <w:r w:rsidR="006B2AF4" w:rsidRPr="0096775E">
        <w:rPr>
          <w:sz w:val="26"/>
          <w:szCs w:val="26"/>
        </w:rPr>
        <w:t>this Stipulation reflects a compromise and do</w:t>
      </w:r>
      <w:r w:rsidR="003B7784">
        <w:rPr>
          <w:sz w:val="26"/>
          <w:szCs w:val="26"/>
        </w:rPr>
        <w:t>es not necessarily reflect any P</w:t>
      </w:r>
      <w:r w:rsidR="006B2AF4" w:rsidRPr="0096775E">
        <w:rPr>
          <w:sz w:val="26"/>
          <w:szCs w:val="26"/>
        </w:rPr>
        <w:t>arty’s position with respect to issues raised in this proceeding</w:t>
      </w:r>
      <w:r w:rsidRPr="0096775E">
        <w:rPr>
          <w:sz w:val="26"/>
          <w:szCs w:val="26"/>
        </w:rPr>
        <w:t xml:space="preserve">.  </w:t>
      </w:r>
      <w:r w:rsidR="006B2AF4" w:rsidRPr="0096775E">
        <w:rPr>
          <w:sz w:val="26"/>
          <w:szCs w:val="26"/>
        </w:rPr>
        <w:t>Stipulation</w:t>
      </w:r>
      <w:r w:rsidRPr="0096775E">
        <w:rPr>
          <w:sz w:val="26"/>
          <w:szCs w:val="26"/>
        </w:rPr>
        <w:t xml:space="preserve"> ¶ </w:t>
      </w:r>
      <w:r w:rsidR="006B2AF4" w:rsidRPr="0096775E">
        <w:rPr>
          <w:sz w:val="26"/>
          <w:szCs w:val="26"/>
        </w:rPr>
        <w:t>1</w:t>
      </w:r>
      <w:r w:rsidRPr="0096775E">
        <w:rPr>
          <w:sz w:val="26"/>
          <w:szCs w:val="26"/>
        </w:rPr>
        <w:t xml:space="preserve">6 at </w:t>
      </w:r>
      <w:r w:rsidR="006B2AF4" w:rsidRPr="0096775E">
        <w:rPr>
          <w:sz w:val="26"/>
          <w:szCs w:val="26"/>
        </w:rPr>
        <w:t>6</w:t>
      </w:r>
      <w:r w:rsidRPr="0096775E">
        <w:rPr>
          <w:sz w:val="26"/>
          <w:szCs w:val="26"/>
        </w:rPr>
        <w:t>.</w:t>
      </w:r>
    </w:p>
    <w:p w:rsidR="00B503CE" w:rsidRPr="0096775E" w:rsidRDefault="00B503CE" w:rsidP="00B503CE">
      <w:pPr>
        <w:pStyle w:val="OutlineL2"/>
        <w:numPr>
          <w:ilvl w:val="0"/>
          <w:numId w:val="0"/>
        </w:numPr>
        <w:tabs>
          <w:tab w:val="left" w:pos="0"/>
        </w:tabs>
        <w:spacing w:after="0" w:line="360" w:lineRule="auto"/>
        <w:rPr>
          <w:sz w:val="26"/>
          <w:szCs w:val="26"/>
        </w:rPr>
      </w:pPr>
    </w:p>
    <w:p w:rsidR="00B503CE" w:rsidRPr="0096775E" w:rsidRDefault="00B503CE" w:rsidP="00B503CE">
      <w:pPr>
        <w:pStyle w:val="OutlineL2"/>
        <w:numPr>
          <w:ilvl w:val="0"/>
          <w:numId w:val="0"/>
        </w:numPr>
        <w:tabs>
          <w:tab w:val="left" w:pos="0"/>
        </w:tabs>
        <w:spacing w:after="0" w:line="360" w:lineRule="auto"/>
        <w:rPr>
          <w:b/>
          <w:sz w:val="26"/>
          <w:szCs w:val="26"/>
        </w:rPr>
      </w:pPr>
      <w:r w:rsidRPr="0096775E">
        <w:rPr>
          <w:b/>
          <w:sz w:val="26"/>
          <w:szCs w:val="26"/>
        </w:rPr>
        <w:t>B.</w:t>
      </w:r>
      <w:r w:rsidRPr="0096775E">
        <w:rPr>
          <w:b/>
          <w:sz w:val="26"/>
          <w:szCs w:val="26"/>
        </w:rPr>
        <w:tab/>
        <w:t>Legal Standards</w:t>
      </w:r>
    </w:p>
    <w:p w:rsidR="00B503CE" w:rsidRPr="0096775E" w:rsidRDefault="00B503CE" w:rsidP="00B503CE">
      <w:pPr>
        <w:pStyle w:val="OutlineL2"/>
        <w:numPr>
          <w:ilvl w:val="0"/>
          <w:numId w:val="0"/>
        </w:numPr>
        <w:tabs>
          <w:tab w:val="left" w:pos="0"/>
        </w:tabs>
        <w:spacing w:after="0" w:line="360" w:lineRule="auto"/>
        <w:rPr>
          <w:b/>
          <w:sz w:val="26"/>
          <w:szCs w:val="26"/>
        </w:rPr>
      </w:pPr>
    </w:p>
    <w:p w:rsidR="00B503CE" w:rsidRPr="0096775E" w:rsidRDefault="00B503CE" w:rsidP="00B503CE">
      <w:pPr>
        <w:ind w:firstLine="1440"/>
        <w:rPr>
          <w:rFonts w:ascii="Times New Roman" w:hAnsi="Times New Roman"/>
          <w:sz w:val="26"/>
          <w:szCs w:val="26"/>
        </w:rPr>
      </w:pPr>
      <w:r w:rsidRPr="0096775E">
        <w:rPr>
          <w:rFonts w:ascii="Times New Roman" w:hAnsi="Times New Roman"/>
          <w:sz w:val="26"/>
          <w:szCs w:val="26"/>
        </w:rPr>
        <w:t xml:space="preserve">The policy of the Commission is to encourage settlements, and the Commission has stated that settlement rates are often preferable to those achieved at the conclusion of a fully litigated proceeding.  52 Pa. Code §§ 5.231, 69.401.  A full settlement of all the issues in a proceeding eliminates the time, effort and expense that otherwise would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B503CE" w:rsidRPr="0096775E" w:rsidRDefault="00B503CE" w:rsidP="00B503CE">
      <w:pPr>
        <w:ind w:firstLine="1440"/>
        <w:rPr>
          <w:rFonts w:ascii="Times New Roman" w:hAnsi="Times New Roman"/>
          <w:sz w:val="26"/>
          <w:szCs w:val="26"/>
        </w:rPr>
      </w:pPr>
    </w:p>
    <w:p w:rsidR="00B503CE" w:rsidRPr="0096775E" w:rsidRDefault="00B503CE" w:rsidP="00B503CE">
      <w:pPr>
        <w:suppressAutoHyphens/>
        <w:ind w:firstLine="1440"/>
        <w:rPr>
          <w:rFonts w:ascii="Times New Roman" w:hAnsi="Times New Roman"/>
          <w:sz w:val="26"/>
          <w:szCs w:val="26"/>
        </w:rPr>
      </w:pPr>
      <w:r w:rsidRPr="0096775E">
        <w:rPr>
          <w:rFonts w:ascii="Times New Roman" w:hAnsi="Times New Roman"/>
          <w:sz w:val="26"/>
          <w:szCs w:val="26"/>
        </w:rPr>
        <w:t>Regulatory proceedings are expensive to litigate, and the reasonable cost of such litigation is an operating expense recovered in the rates approved by the Commission.  Partial or full settlements allow the parties to avoid the substantial costs of preparing and serving testimony and the cross-examination of witnesses in lengthy hearings, the preparation and service of briefs, reply briefs, exceptions and replies to 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B503CE" w:rsidRPr="0096775E" w:rsidRDefault="00B503CE" w:rsidP="00B503CE">
      <w:pPr>
        <w:suppressAutoHyphens/>
        <w:ind w:firstLine="1440"/>
        <w:rPr>
          <w:rFonts w:ascii="Times New Roman" w:hAnsi="Times New Roman"/>
          <w:sz w:val="26"/>
          <w:szCs w:val="26"/>
        </w:rPr>
      </w:pPr>
    </w:p>
    <w:p w:rsidR="00B503CE" w:rsidRPr="0096775E" w:rsidRDefault="00B503CE" w:rsidP="00B503CE">
      <w:pPr>
        <w:ind w:firstLine="1440"/>
        <w:rPr>
          <w:rFonts w:ascii="Times New Roman" w:hAnsi="Times New Roman"/>
          <w:sz w:val="26"/>
          <w:szCs w:val="26"/>
        </w:rPr>
      </w:pPr>
      <w:r w:rsidRPr="0096775E">
        <w:rPr>
          <w:rFonts w:ascii="Times New Roman" w:hAnsi="Times New Roman"/>
          <w:sz w:val="26"/>
          <w:szCs w:val="26"/>
        </w:rPr>
        <w:t xml:space="preserve">Despite the policy favoring settlements, the Commission does not simply rubber stamp settlements without further inquiry.  In order to accept a settlement such as that proposed here, the Commission must determine that the proposed terms and conditions are in the public interest.  </w:t>
      </w:r>
      <w:r w:rsidRPr="0096775E">
        <w:rPr>
          <w:rFonts w:ascii="Times New Roman" w:hAnsi="Times New Roman"/>
          <w:i/>
          <w:sz w:val="26"/>
          <w:szCs w:val="26"/>
        </w:rPr>
        <w:t>Pa. PUC v. York Water Co.</w:t>
      </w:r>
      <w:r w:rsidRPr="0096775E">
        <w:rPr>
          <w:rFonts w:ascii="Times New Roman" w:hAnsi="Times New Roman"/>
          <w:sz w:val="26"/>
          <w:szCs w:val="26"/>
        </w:rPr>
        <w:t xml:space="preserve">, Docket No. </w:t>
      </w:r>
    </w:p>
    <w:p w:rsidR="00B503CE" w:rsidRPr="0096775E" w:rsidRDefault="00B503CE" w:rsidP="00B503CE">
      <w:pPr>
        <w:rPr>
          <w:rFonts w:ascii="Times New Roman" w:hAnsi="Times New Roman"/>
          <w:sz w:val="26"/>
          <w:szCs w:val="26"/>
        </w:rPr>
      </w:pPr>
      <w:r w:rsidRPr="0096775E">
        <w:rPr>
          <w:rFonts w:ascii="Times New Roman" w:hAnsi="Times New Roman"/>
          <w:sz w:val="26"/>
          <w:szCs w:val="26"/>
        </w:rPr>
        <w:lastRenderedPageBreak/>
        <w:t xml:space="preserve">R-00049165 (Order entered October 4, 2004); </w:t>
      </w:r>
      <w:r w:rsidRPr="0096775E">
        <w:rPr>
          <w:rFonts w:ascii="Times New Roman" w:hAnsi="Times New Roman"/>
          <w:i/>
          <w:sz w:val="26"/>
          <w:szCs w:val="26"/>
        </w:rPr>
        <w:t>Pa. PUC v. C. S. Water and Sewer Assoc.</w:t>
      </w:r>
      <w:r w:rsidRPr="0096775E">
        <w:rPr>
          <w:rFonts w:ascii="Times New Roman" w:hAnsi="Times New Roman"/>
          <w:sz w:val="26"/>
          <w:szCs w:val="26"/>
        </w:rPr>
        <w:t>, 74 Pa. P.U.C. 767 (1991).</w:t>
      </w:r>
    </w:p>
    <w:p w:rsidR="00B503CE" w:rsidRPr="0096775E" w:rsidRDefault="00B503CE" w:rsidP="00B503CE">
      <w:pPr>
        <w:rPr>
          <w:rFonts w:ascii="Times New Roman" w:hAnsi="Times New Roman"/>
          <w:sz w:val="26"/>
          <w:szCs w:val="26"/>
        </w:rPr>
      </w:pPr>
    </w:p>
    <w:p w:rsidR="00B503CE" w:rsidRPr="0096775E" w:rsidRDefault="00B503CE" w:rsidP="00B503CE">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color w:val="000000"/>
          <w:sz w:val="26"/>
          <w:szCs w:val="26"/>
        </w:rPr>
        <w:t xml:space="preserve">The Company has the burden of proof in this proceeding to establish that it is entitled to the relief it is seeking.  66 Pa. C.S. § 332(a).  The Company must establish its case by a preponderance of the evidence.  </w:t>
      </w:r>
      <w:r w:rsidRPr="0096775E">
        <w:rPr>
          <w:rFonts w:ascii="Times New Roman" w:hAnsi="Times New Roman"/>
          <w:i/>
          <w:color w:val="000000"/>
          <w:sz w:val="26"/>
          <w:szCs w:val="26"/>
        </w:rPr>
        <w:t>Samuel J. Lansberry, Inc. v. Pennsylvania Pub. Util. Comm’n</w:t>
      </w:r>
      <w:r w:rsidRPr="0096775E">
        <w:rPr>
          <w:rFonts w:ascii="Times New Roman" w:hAnsi="Times New Roman"/>
          <w:color w:val="000000"/>
          <w:sz w:val="26"/>
          <w:szCs w:val="26"/>
        </w:rPr>
        <w:t xml:space="preserve">, 578 A.2d 600 (Pa. Cmwlth. 1990), </w:t>
      </w:r>
      <w:r w:rsidRPr="0096775E">
        <w:rPr>
          <w:rFonts w:ascii="Times New Roman" w:hAnsi="Times New Roman"/>
          <w:i/>
          <w:color w:val="000000"/>
          <w:sz w:val="26"/>
          <w:szCs w:val="26"/>
        </w:rPr>
        <w:t>alloc. den.,</w:t>
      </w:r>
      <w:r w:rsidRPr="0096775E">
        <w:rPr>
          <w:rFonts w:ascii="Times New Roman" w:hAnsi="Times New Roman"/>
          <w:color w:val="000000"/>
          <w:sz w:val="26"/>
          <w:szCs w:val="26"/>
        </w:rPr>
        <w:t xml:space="preserve"> 602 A.2d 863 (Pa. 1992)  To meet its burden of proof, the Company must present evidence more convincing, by even the smallest amount, than that presented by any opposing party.  </w:t>
      </w:r>
      <w:r w:rsidRPr="0096775E">
        <w:rPr>
          <w:rFonts w:ascii="Times New Roman" w:hAnsi="Times New Roman"/>
          <w:i/>
          <w:color w:val="000000"/>
          <w:sz w:val="26"/>
          <w:szCs w:val="26"/>
        </w:rPr>
        <w:t>Se</w:t>
      </w:r>
      <w:r w:rsidR="00311032">
        <w:rPr>
          <w:rFonts w:ascii="Times New Roman" w:hAnsi="Times New Roman"/>
          <w:i/>
          <w:color w:val="000000"/>
          <w:sz w:val="26"/>
          <w:szCs w:val="26"/>
        </w:rPr>
        <w:noBreakHyphen/>
      </w:r>
      <w:r w:rsidRPr="0096775E">
        <w:rPr>
          <w:rFonts w:ascii="Times New Roman" w:hAnsi="Times New Roman"/>
          <w:i/>
          <w:color w:val="000000"/>
          <w:sz w:val="26"/>
          <w:szCs w:val="26"/>
        </w:rPr>
        <w:t>Ling Hosiery v. Margulies</w:t>
      </w:r>
      <w:r w:rsidRPr="0096775E">
        <w:rPr>
          <w:rFonts w:ascii="Times New Roman" w:hAnsi="Times New Roman"/>
          <w:color w:val="000000"/>
          <w:sz w:val="26"/>
          <w:szCs w:val="26"/>
        </w:rPr>
        <w:t xml:space="preserve">, 70 A.2d 854 (Pa. 1950).  In this case, the Company </w:t>
      </w:r>
      <w:r w:rsidRPr="0096775E">
        <w:rPr>
          <w:rFonts w:ascii="Times New Roman" w:hAnsi="Times New Roman"/>
          <w:sz w:val="26"/>
          <w:szCs w:val="26"/>
        </w:rPr>
        <w:t>requests that the Commission approve the filing establishing the proposed DSP.</w:t>
      </w:r>
      <w:r w:rsidR="00FB6CC9" w:rsidRPr="0096775E">
        <w:rPr>
          <w:rFonts w:ascii="Times New Roman" w:hAnsi="Times New Roman"/>
          <w:sz w:val="26"/>
          <w:szCs w:val="26"/>
        </w:rPr>
        <w:t xml:space="preserve">  The Parties</w:t>
      </w:r>
      <w:r w:rsidRPr="0096775E">
        <w:rPr>
          <w:rFonts w:ascii="Times New Roman" w:hAnsi="Times New Roman"/>
          <w:sz w:val="26"/>
          <w:szCs w:val="26"/>
        </w:rPr>
        <w:t xml:space="preserve"> have reached an accord on many of the issues and claims that arose in this proceeding and submitted the </w:t>
      </w:r>
      <w:r w:rsidR="00FB6CC9" w:rsidRPr="0096775E">
        <w:rPr>
          <w:rFonts w:ascii="Times New Roman" w:hAnsi="Times New Roman"/>
          <w:sz w:val="26"/>
          <w:szCs w:val="26"/>
        </w:rPr>
        <w:t>Stipulation.  The Parties to the Stipulation</w:t>
      </w:r>
      <w:r w:rsidRPr="0096775E">
        <w:rPr>
          <w:rFonts w:ascii="Times New Roman" w:hAnsi="Times New Roman"/>
          <w:sz w:val="26"/>
          <w:szCs w:val="26"/>
        </w:rPr>
        <w:t xml:space="preserve"> have the burden to prove that the </w:t>
      </w:r>
      <w:r w:rsidR="00FB6CC9" w:rsidRPr="0096775E">
        <w:rPr>
          <w:rFonts w:ascii="Times New Roman" w:hAnsi="Times New Roman"/>
          <w:sz w:val="26"/>
          <w:szCs w:val="26"/>
        </w:rPr>
        <w:t>partial Settlement Stipulation</w:t>
      </w:r>
      <w:r w:rsidRPr="0096775E">
        <w:rPr>
          <w:rFonts w:ascii="Times New Roman" w:hAnsi="Times New Roman"/>
          <w:sz w:val="26"/>
          <w:szCs w:val="26"/>
        </w:rPr>
        <w:t xml:space="preserve"> is in the public interest. </w:t>
      </w:r>
    </w:p>
    <w:p w:rsidR="00B503CE" w:rsidRPr="0096775E" w:rsidRDefault="00B503CE" w:rsidP="00B503CE">
      <w:pPr>
        <w:rPr>
          <w:rFonts w:ascii="Times New Roman" w:hAnsi="Times New Roman"/>
          <w:sz w:val="26"/>
          <w:szCs w:val="26"/>
        </w:rPr>
      </w:pPr>
    </w:p>
    <w:p w:rsidR="00B503CE" w:rsidRPr="0096775E" w:rsidRDefault="00B503CE" w:rsidP="00B503CE">
      <w:pPr>
        <w:tabs>
          <w:tab w:val="left" w:pos="0"/>
        </w:tabs>
        <w:rPr>
          <w:rFonts w:ascii="Times New Roman" w:hAnsi="Times New Roman"/>
          <w:b/>
          <w:sz w:val="26"/>
          <w:szCs w:val="26"/>
        </w:rPr>
      </w:pPr>
      <w:r w:rsidRPr="0096775E">
        <w:rPr>
          <w:rFonts w:ascii="Times New Roman" w:hAnsi="Times New Roman"/>
          <w:b/>
          <w:sz w:val="26"/>
          <w:szCs w:val="26"/>
        </w:rPr>
        <w:t>C.</w:t>
      </w:r>
      <w:r w:rsidRPr="0096775E">
        <w:rPr>
          <w:rFonts w:ascii="Times New Roman" w:hAnsi="Times New Roman"/>
          <w:b/>
          <w:sz w:val="26"/>
          <w:szCs w:val="26"/>
        </w:rPr>
        <w:tab/>
        <w:t>Standards for Default Service</w:t>
      </w:r>
    </w:p>
    <w:p w:rsidR="00B503CE" w:rsidRPr="0096775E" w:rsidRDefault="00B503CE" w:rsidP="00B503CE">
      <w:pPr>
        <w:tabs>
          <w:tab w:val="left" w:pos="0"/>
        </w:tabs>
        <w:rPr>
          <w:rFonts w:ascii="Times New Roman" w:hAnsi="Times New Roman"/>
          <w:sz w:val="26"/>
          <w:szCs w:val="26"/>
        </w:rPr>
      </w:pPr>
    </w:p>
    <w:p w:rsidR="00B503CE" w:rsidRDefault="00B503CE" w:rsidP="00B503CE">
      <w:pPr>
        <w:contextualSpacing/>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 xml:space="preserve">The requirements of a default service plan appear in </w:t>
      </w:r>
      <w:r w:rsidR="004A0C24">
        <w:rPr>
          <w:rFonts w:ascii="Times New Roman" w:hAnsi="Times New Roman"/>
          <w:sz w:val="26"/>
          <w:szCs w:val="26"/>
        </w:rPr>
        <w:t xml:space="preserve">Chapter 28, </w:t>
      </w:r>
      <w:r w:rsidRPr="0096775E">
        <w:rPr>
          <w:rFonts w:ascii="Times New Roman" w:hAnsi="Times New Roman"/>
          <w:sz w:val="26"/>
          <w:szCs w:val="26"/>
        </w:rPr>
        <w:t>Section 2807(e) of the Public Utility Code (Code), 66 Pa. C.S. § 2807(e).  The requirements include that the default service provider follow a Commission-approved competitive procurement plan that include</w:t>
      </w:r>
      <w:r w:rsidR="004A0C24">
        <w:rPr>
          <w:rFonts w:ascii="Times New Roman" w:hAnsi="Times New Roman"/>
          <w:sz w:val="26"/>
          <w:szCs w:val="26"/>
        </w:rPr>
        <w:t>s</w:t>
      </w:r>
      <w:r w:rsidRPr="0096775E">
        <w:rPr>
          <w:rFonts w:ascii="Times New Roman" w:hAnsi="Times New Roman"/>
          <w:sz w:val="26"/>
          <w:szCs w:val="26"/>
        </w:rPr>
        <w:t xml:space="preserve"> auctions, requests for proposal, and/or bilateral agreements, </w:t>
      </w:r>
      <w:r w:rsidR="004A0C24">
        <w:rPr>
          <w:rFonts w:ascii="Times New Roman" w:hAnsi="Times New Roman"/>
          <w:sz w:val="26"/>
          <w:szCs w:val="26"/>
        </w:rPr>
        <w:t xml:space="preserve">as well as </w:t>
      </w:r>
      <w:r w:rsidRPr="0096775E">
        <w:rPr>
          <w:rFonts w:ascii="Times New Roman" w:hAnsi="Times New Roman"/>
          <w:sz w:val="26"/>
          <w:szCs w:val="26"/>
        </w:rPr>
        <w:t>a prudent mix of spot market purchases, short-term contracts, and long-term purchase contracts designed to ensure adequate and reliable service at the least cost to customers over time</w:t>
      </w:r>
      <w:r w:rsidR="004A0C24">
        <w:rPr>
          <w:rFonts w:ascii="Times New Roman" w:hAnsi="Times New Roman"/>
          <w:sz w:val="26"/>
          <w:szCs w:val="26"/>
        </w:rPr>
        <w:t>.  66 Pa. C.S. § 2807(e).  The default service provider is also required to</w:t>
      </w:r>
      <w:r w:rsidRPr="0096775E">
        <w:rPr>
          <w:rFonts w:ascii="Times New Roman" w:hAnsi="Times New Roman"/>
          <w:sz w:val="26"/>
          <w:szCs w:val="26"/>
        </w:rPr>
        <w:t xml:space="preserve"> offer a time-of-use program for customers who have smart meter technology.  66 Pa. C.S. § 2807(f).</w:t>
      </w:r>
    </w:p>
    <w:p w:rsidR="004A0C24" w:rsidRDefault="004A0C24" w:rsidP="00B503CE">
      <w:pPr>
        <w:contextualSpacing/>
        <w:rPr>
          <w:rFonts w:ascii="Times New Roman" w:hAnsi="Times New Roman"/>
          <w:sz w:val="26"/>
          <w:szCs w:val="26"/>
        </w:rPr>
      </w:pPr>
    </w:p>
    <w:p w:rsidR="004A0C24" w:rsidRPr="0096775E" w:rsidRDefault="004A0C24" w:rsidP="00311032">
      <w:pPr>
        <w:keepNext/>
        <w:contextualSpacing/>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In a prior order, we also found as follows:</w:t>
      </w:r>
    </w:p>
    <w:p w:rsidR="00B503CE" w:rsidRPr="0096775E" w:rsidRDefault="00B503CE" w:rsidP="00311032">
      <w:pPr>
        <w:keepNext/>
        <w:contextualSpacing/>
        <w:rPr>
          <w:rFonts w:ascii="Times New Roman" w:hAnsi="Times New Roman"/>
          <w:sz w:val="26"/>
          <w:szCs w:val="26"/>
        </w:rPr>
      </w:pPr>
    </w:p>
    <w:p w:rsidR="00B503CE" w:rsidRPr="0096775E" w:rsidRDefault="00B503CE" w:rsidP="00B503CE">
      <w:pPr>
        <w:spacing w:line="240" w:lineRule="auto"/>
        <w:ind w:left="1440" w:right="1440"/>
        <w:contextualSpacing/>
        <w:rPr>
          <w:rFonts w:ascii="Times New Roman" w:hAnsi="Times New Roman"/>
          <w:sz w:val="26"/>
          <w:szCs w:val="26"/>
        </w:rPr>
      </w:pPr>
      <w:r w:rsidRPr="0096775E">
        <w:rPr>
          <w:rFonts w:ascii="Times New Roman" w:hAnsi="Times New Roman"/>
          <w:sz w:val="26"/>
          <w:szCs w:val="26"/>
        </w:rPr>
        <w:tab/>
        <w:t xml:space="preserve">The Competition Act also mandates that customers have direct access to a competitive retail generation market.  66 Pa.C.S. § 2802(3).  This mandate is based on the legislative finding that “competitive market forces are more effective than economic regulation in controlling the cost of generating electricity.” </w:t>
      </w:r>
    </w:p>
    <w:p w:rsidR="00B503CE" w:rsidRPr="0096775E" w:rsidRDefault="00B503CE" w:rsidP="00B503CE">
      <w:pPr>
        <w:spacing w:line="240" w:lineRule="auto"/>
        <w:ind w:left="1440" w:right="1440"/>
        <w:contextualSpacing/>
        <w:rPr>
          <w:rFonts w:ascii="Times New Roman" w:hAnsi="Times New Roman"/>
          <w:sz w:val="26"/>
          <w:szCs w:val="26"/>
        </w:rPr>
      </w:pPr>
      <w:r w:rsidRPr="0096775E">
        <w:rPr>
          <w:rFonts w:ascii="Times New Roman" w:hAnsi="Times New Roman"/>
          <w:sz w:val="26"/>
          <w:szCs w:val="26"/>
        </w:rPr>
        <w:t xml:space="preserve">66 Pa.C.S. § 2802(5).  </w:t>
      </w:r>
      <w:r w:rsidRPr="0096775E">
        <w:rPr>
          <w:rFonts w:ascii="Times New Roman" w:hAnsi="Times New Roman"/>
          <w:i/>
          <w:sz w:val="26"/>
          <w:szCs w:val="26"/>
        </w:rPr>
        <w:t xml:space="preserve">See, Green Mountain Energy Company v. Pa. PUC, </w:t>
      </w:r>
      <w:r w:rsidRPr="0096775E">
        <w:rPr>
          <w:rFonts w:ascii="Times New Roman" w:hAnsi="Times New Roman"/>
          <w:sz w:val="26"/>
          <w:szCs w:val="26"/>
        </w:rPr>
        <w:t xml:space="preserve">812 A.2d 740, 742 (Pa.Cmwlth. 2002).  Thus, a fundamental policy underlying the Competition Act is that competition is more effective than economic regulation in controlling the costs of generating electricity.  66 Pa. C.S. § 2802(5).  </w:t>
      </w:r>
    </w:p>
    <w:p w:rsidR="00B503CE" w:rsidRPr="0096775E" w:rsidRDefault="00B503CE" w:rsidP="00B503CE">
      <w:pPr>
        <w:spacing w:line="240" w:lineRule="auto"/>
        <w:ind w:left="1440" w:right="1440"/>
        <w:contextualSpacing/>
        <w:rPr>
          <w:rFonts w:ascii="Times New Roman" w:hAnsi="Times New Roman"/>
          <w:sz w:val="26"/>
          <w:szCs w:val="26"/>
        </w:rPr>
      </w:pPr>
    </w:p>
    <w:p w:rsidR="00B503CE" w:rsidRPr="0096775E" w:rsidRDefault="00B503CE" w:rsidP="00B503CE">
      <w:pPr>
        <w:contextualSpacing/>
        <w:rPr>
          <w:rFonts w:ascii="Times New Roman" w:hAnsi="Times New Roman"/>
          <w:sz w:val="26"/>
          <w:szCs w:val="26"/>
        </w:rPr>
      </w:pPr>
      <w:r w:rsidRPr="0096775E">
        <w:rPr>
          <w:rFonts w:ascii="Times New Roman" w:hAnsi="Times New Roman"/>
          <w:i/>
          <w:sz w:val="26"/>
          <w:szCs w:val="26"/>
        </w:rPr>
        <w:t xml:space="preserve">Joint Petition of Metropolitan Edison Company, Pennsylvania Electric Company, Pennsylvania Power Company and West Penn Power Company For Approval of Their Default Service Programs, </w:t>
      </w:r>
      <w:r w:rsidRPr="0096775E">
        <w:rPr>
          <w:rFonts w:ascii="Times New Roman" w:hAnsi="Times New Roman"/>
          <w:sz w:val="26"/>
          <w:szCs w:val="26"/>
        </w:rPr>
        <w:t>Docket Nos. P-2011-2273650, P-2011-2273668, P-2011-2273669, and P-2011-2273670, at 7-8 (Order entered August 16, 2012).</w:t>
      </w:r>
    </w:p>
    <w:p w:rsidR="00B503CE" w:rsidRPr="0096775E" w:rsidRDefault="00B503CE" w:rsidP="00B503CE">
      <w:pPr>
        <w:contextualSpacing/>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p>
    <w:p w:rsidR="00B503CE" w:rsidRDefault="00B503CE" w:rsidP="00B503CE">
      <w:pPr>
        <w:ind w:firstLine="1440"/>
        <w:contextualSpacing/>
        <w:rPr>
          <w:rFonts w:ascii="Times New Roman" w:hAnsi="Times New Roman"/>
          <w:sz w:val="26"/>
          <w:szCs w:val="26"/>
        </w:rPr>
      </w:pPr>
      <w:r w:rsidRPr="0096775E">
        <w:rPr>
          <w:rFonts w:ascii="Times New Roman" w:hAnsi="Times New Roman"/>
          <w:sz w:val="26"/>
          <w:szCs w:val="26"/>
        </w:rPr>
        <w:t xml:space="preserve">Also applicable are the Commission’s default service Regulations, 52 Pa. Code §§ 54.181-54.189, and a Policy Statement addressing default service plans, 52 Pa. Code §§ 69.1802-69.1817.  The Commission has directed that EDCs consider the incorporation of certain market enhancement programs into their DSPs in order to foster a more robust retail competitive market.  </w:t>
      </w:r>
      <w:r w:rsidRPr="0096775E">
        <w:rPr>
          <w:rFonts w:ascii="Times New Roman" w:hAnsi="Times New Roman"/>
          <w:i/>
          <w:sz w:val="26"/>
          <w:szCs w:val="26"/>
        </w:rPr>
        <w:t>Investigation of Pennsylvania’s Retail Electricity Market: Recommendations Regarding Upcoming Default Service Plans,</w:t>
      </w:r>
      <w:r w:rsidRPr="0096775E">
        <w:rPr>
          <w:rFonts w:ascii="Times New Roman" w:hAnsi="Times New Roman"/>
          <w:sz w:val="26"/>
          <w:szCs w:val="26"/>
        </w:rPr>
        <w:t xml:space="preserve"> Docket No. I-2011-2237952 (Order entered December 16, 2011), and </w:t>
      </w:r>
      <w:r w:rsidRPr="0096775E">
        <w:rPr>
          <w:rFonts w:ascii="Times New Roman" w:hAnsi="Times New Roman"/>
          <w:i/>
          <w:sz w:val="26"/>
          <w:szCs w:val="26"/>
        </w:rPr>
        <w:t xml:space="preserve">Intermediate Work Plan </w:t>
      </w:r>
      <w:r w:rsidRPr="0096775E">
        <w:rPr>
          <w:rFonts w:ascii="Times New Roman" w:hAnsi="Times New Roman"/>
          <w:sz w:val="26"/>
          <w:szCs w:val="26"/>
        </w:rPr>
        <w:t>(Final Order entered March 2, 2012) (</w:t>
      </w:r>
      <w:r w:rsidRPr="0096775E">
        <w:rPr>
          <w:rFonts w:ascii="Times New Roman" w:hAnsi="Times New Roman"/>
          <w:i/>
          <w:sz w:val="26"/>
          <w:szCs w:val="26"/>
        </w:rPr>
        <w:t>IWP Order</w:t>
      </w:r>
      <w:r w:rsidRPr="0096775E">
        <w:rPr>
          <w:rFonts w:ascii="Times New Roman" w:hAnsi="Times New Roman"/>
          <w:sz w:val="26"/>
          <w:szCs w:val="26"/>
        </w:rPr>
        <w:t>).</w:t>
      </w:r>
    </w:p>
    <w:p w:rsidR="00CB14C9" w:rsidRPr="0096775E" w:rsidRDefault="00CB14C9" w:rsidP="00B503CE">
      <w:pPr>
        <w:ind w:firstLine="1440"/>
        <w:contextualSpacing/>
        <w:rPr>
          <w:rFonts w:ascii="Times New Roman" w:hAnsi="Times New Roman"/>
          <w:sz w:val="26"/>
          <w:szCs w:val="26"/>
        </w:rPr>
      </w:pPr>
    </w:p>
    <w:p w:rsidR="00B503CE" w:rsidRPr="0096775E" w:rsidRDefault="00B503CE" w:rsidP="00B503CE">
      <w:pPr>
        <w:contextualSpacing/>
        <w:rPr>
          <w:rFonts w:ascii="Times New Roman" w:hAnsi="Times New Roman"/>
          <w:b/>
          <w:sz w:val="26"/>
          <w:szCs w:val="26"/>
        </w:rPr>
      </w:pPr>
      <w:r w:rsidRPr="0096775E">
        <w:rPr>
          <w:rFonts w:ascii="Times New Roman" w:hAnsi="Times New Roman"/>
          <w:b/>
          <w:sz w:val="26"/>
          <w:szCs w:val="26"/>
        </w:rPr>
        <w:t>D.</w:t>
      </w:r>
      <w:r w:rsidRPr="0096775E">
        <w:rPr>
          <w:rFonts w:ascii="Times New Roman" w:hAnsi="Times New Roman"/>
          <w:b/>
          <w:sz w:val="26"/>
          <w:szCs w:val="26"/>
        </w:rPr>
        <w:tab/>
        <w:t>ALJ’s Recommendation</w:t>
      </w:r>
    </w:p>
    <w:p w:rsidR="00B503CE" w:rsidRPr="0096775E" w:rsidRDefault="00B503CE" w:rsidP="00B503CE">
      <w:pPr>
        <w:contextualSpacing/>
        <w:rPr>
          <w:rFonts w:ascii="Times New Roman" w:hAnsi="Times New Roman"/>
          <w:b/>
          <w:sz w:val="26"/>
          <w:szCs w:val="26"/>
        </w:rPr>
      </w:pPr>
    </w:p>
    <w:p w:rsidR="00B503CE" w:rsidRPr="0096775E" w:rsidRDefault="00B503CE" w:rsidP="00B503CE">
      <w:pPr>
        <w:rPr>
          <w:rFonts w:ascii="Times New Roman" w:hAnsi="Times New Roman"/>
          <w:sz w:val="26"/>
          <w:szCs w:val="26"/>
        </w:rPr>
      </w:pPr>
      <w:r w:rsidRPr="0096775E">
        <w:rPr>
          <w:rFonts w:ascii="Times New Roman" w:hAnsi="Times New Roman"/>
          <w:b/>
          <w:sz w:val="26"/>
          <w:szCs w:val="26"/>
        </w:rPr>
        <w:tab/>
      </w:r>
      <w:r w:rsidRPr="0096775E">
        <w:rPr>
          <w:rFonts w:ascii="Times New Roman" w:hAnsi="Times New Roman"/>
          <w:b/>
          <w:sz w:val="26"/>
          <w:szCs w:val="26"/>
        </w:rPr>
        <w:tab/>
      </w:r>
      <w:r w:rsidRPr="0096775E">
        <w:rPr>
          <w:rFonts w:ascii="Times New Roman" w:hAnsi="Times New Roman"/>
          <w:sz w:val="26"/>
          <w:szCs w:val="26"/>
        </w:rPr>
        <w:t xml:space="preserve">The ALJ found that the proposed </w:t>
      </w:r>
      <w:r w:rsidR="00D72F20" w:rsidRPr="0096775E">
        <w:rPr>
          <w:rFonts w:ascii="Times New Roman" w:hAnsi="Times New Roman"/>
          <w:sz w:val="26"/>
          <w:szCs w:val="26"/>
        </w:rPr>
        <w:t>p</w:t>
      </w:r>
      <w:r w:rsidRPr="0096775E">
        <w:rPr>
          <w:rFonts w:ascii="Times New Roman" w:hAnsi="Times New Roman"/>
          <w:sz w:val="26"/>
          <w:szCs w:val="26"/>
        </w:rPr>
        <w:t xml:space="preserve">artial Settlement </w:t>
      </w:r>
      <w:r w:rsidR="00D72F20" w:rsidRPr="0096775E">
        <w:rPr>
          <w:rFonts w:ascii="Times New Roman" w:hAnsi="Times New Roman"/>
          <w:sz w:val="26"/>
          <w:szCs w:val="26"/>
        </w:rPr>
        <w:t>Stipulation</w:t>
      </w:r>
      <w:r w:rsidR="0046278E" w:rsidRPr="0096775E">
        <w:rPr>
          <w:rFonts w:ascii="Times New Roman" w:hAnsi="Times New Roman"/>
          <w:sz w:val="26"/>
          <w:szCs w:val="26"/>
        </w:rPr>
        <w:t xml:space="preserve"> terms </w:t>
      </w:r>
      <w:r w:rsidRPr="0096775E">
        <w:rPr>
          <w:rFonts w:ascii="Times New Roman" w:hAnsi="Times New Roman"/>
          <w:sz w:val="26"/>
          <w:szCs w:val="26"/>
        </w:rPr>
        <w:t>w</w:t>
      </w:r>
      <w:r w:rsidR="0046278E" w:rsidRPr="0096775E">
        <w:rPr>
          <w:rFonts w:ascii="Times New Roman" w:hAnsi="Times New Roman"/>
          <w:sz w:val="26"/>
          <w:szCs w:val="26"/>
        </w:rPr>
        <w:t>ere</w:t>
      </w:r>
      <w:r w:rsidRPr="0096775E">
        <w:rPr>
          <w:rFonts w:ascii="Times New Roman" w:hAnsi="Times New Roman"/>
          <w:sz w:val="26"/>
          <w:szCs w:val="26"/>
        </w:rPr>
        <w:t xml:space="preserve"> in the public </w:t>
      </w:r>
      <w:r w:rsidR="0046278E" w:rsidRPr="0096775E">
        <w:rPr>
          <w:rFonts w:ascii="Times New Roman" w:hAnsi="Times New Roman"/>
          <w:sz w:val="26"/>
          <w:szCs w:val="26"/>
        </w:rPr>
        <w:t>interest and recommended that the Stipulation</w:t>
      </w:r>
      <w:r w:rsidRPr="0096775E">
        <w:rPr>
          <w:rFonts w:ascii="Times New Roman" w:hAnsi="Times New Roman"/>
          <w:sz w:val="26"/>
          <w:szCs w:val="26"/>
        </w:rPr>
        <w:t xml:space="preserve"> be approved without </w:t>
      </w:r>
      <w:r w:rsidRPr="0096775E">
        <w:rPr>
          <w:rFonts w:ascii="Times New Roman" w:hAnsi="Times New Roman"/>
          <w:sz w:val="26"/>
          <w:szCs w:val="26"/>
        </w:rPr>
        <w:lastRenderedPageBreak/>
        <w:t xml:space="preserve">modification.  According to the ALJ, </w:t>
      </w:r>
      <w:r w:rsidR="0046278E" w:rsidRPr="0096775E">
        <w:rPr>
          <w:rFonts w:ascii="Times New Roman" w:hAnsi="Times New Roman"/>
          <w:sz w:val="26"/>
          <w:szCs w:val="26"/>
        </w:rPr>
        <w:t>the Stipulation was agreed to or not opposed by all Parties in this proceeding.</w:t>
      </w:r>
      <w:r w:rsidRPr="0096775E">
        <w:rPr>
          <w:rFonts w:ascii="Times New Roman" w:hAnsi="Times New Roman"/>
          <w:sz w:val="26"/>
          <w:szCs w:val="26"/>
        </w:rPr>
        <w:t xml:space="preserve">  The ALJ s</w:t>
      </w:r>
      <w:r w:rsidR="0046278E" w:rsidRPr="0096775E">
        <w:rPr>
          <w:rFonts w:ascii="Times New Roman" w:hAnsi="Times New Roman"/>
          <w:sz w:val="26"/>
          <w:szCs w:val="26"/>
        </w:rPr>
        <w:t>tated that the Parties</w:t>
      </w:r>
      <w:r w:rsidRPr="0096775E">
        <w:rPr>
          <w:rFonts w:ascii="Times New Roman" w:hAnsi="Times New Roman"/>
          <w:sz w:val="26"/>
          <w:szCs w:val="26"/>
        </w:rPr>
        <w:t xml:space="preserve"> have shown that the prov</w:t>
      </w:r>
      <w:r w:rsidR="0046278E" w:rsidRPr="0096775E">
        <w:rPr>
          <w:rFonts w:ascii="Times New Roman" w:hAnsi="Times New Roman"/>
          <w:sz w:val="26"/>
          <w:szCs w:val="26"/>
        </w:rPr>
        <w:t>isions in the Stipulation</w:t>
      </w:r>
      <w:r w:rsidRPr="0096775E">
        <w:rPr>
          <w:rFonts w:ascii="Times New Roman" w:hAnsi="Times New Roman"/>
          <w:sz w:val="26"/>
          <w:szCs w:val="26"/>
        </w:rPr>
        <w:t xml:space="preserve"> are reasonable compromises</w:t>
      </w:r>
      <w:r w:rsidR="00007F57" w:rsidRPr="0096775E">
        <w:rPr>
          <w:rFonts w:ascii="Times New Roman" w:hAnsi="Times New Roman"/>
          <w:sz w:val="26"/>
          <w:szCs w:val="26"/>
        </w:rPr>
        <w:t xml:space="preserve"> and avoid unnecessary litigation</w:t>
      </w:r>
      <w:r w:rsidRPr="0096775E">
        <w:rPr>
          <w:rFonts w:ascii="Times New Roman" w:hAnsi="Times New Roman"/>
          <w:sz w:val="26"/>
          <w:szCs w:val="26"/>
        </w:rPr>
        <w:t>.  R.D. at 1</w:t>
      </w:r>
      <w:r w:rsidR="0046278E" w:rsidRPr="0096775E">
        <w:rPr>
          <w:rFonts w:ascii="Times New Roman" w:hAnsi="Times New Roman"/>
          <w:sz w:val="26"/>
          <w:szCs w:val="26"/>
        </w:rPr>
        <w:t>6</w:t>
      </w:r>
      <w:r w:rsidRPr="0096775E">
        <w:rPr>
          <w:rFonts w:ascii="Times New Roman" w:hAnsi="Times New Roman"/>
          <w:sz w:val="26"/>
          <w:szCs w:val="26"/>
        </w:rPr>
        <w:t xml:space="preserve">, </w:t>
      </w:r>
      <w:r w:rsidR="00007F57" w:rsidRPr="0096775E">
        <w:rPr>
          <w:rFonts w:ascii="Times New Roman" w:hAnsi="Times New Roman"/>
          <w:sz w:val="26"/>
          <w:szCs w:val="26"/>
        </w:rPr>
        <w:t>17, 19, 33, 34, 38</w:t>
      </w:r>
      <w:r w:rsidRPr="0096775E">
        <w:rPr>
          <w:rFonts w:ascii="Times New Roman" w:hAnsi="Times New Roman"/>
          <w:sz w:val="26"/>
          <w:szCs w:val="26"/>
        </w:rPr>
        <w:t xml:space="preserve"> and 40.</w:t>
      </w:r>
      <w:r w:rsidR="00007F57" w:rsidRPr="0096775E">
        <w:rPr>
          <w:rFonts w:ascii="Times New Roman" w:hAnsi="Times New Roman"/>
          <w:sz w:val="26"/>
          <w:szCs w:val="26"/>
        </w:rPr>
        <w:t xml:space="preserve">  The ALJ further recommended that the Commission approve Duquesne’s DSP VII Plan as modified by the partial Settlement Stipulation.  R.D. at 41.</w:t>
      </w:r>
      <w:r w:rsidRPr="0096775E">
        <w:rPr>
          <w:rFonts w:ascii="Times New Roman" w:hAnsi="Times New Roman"/>
          <w:sz w:val="26"/>
          <w:szCs w:val="26"/>
        </w:rPr>
        <w:t xml:space="preserve"> </w:t>
      </w:r>
    </w:p>
    <w:p w:rsidR="00B503CE" w:rsidRPr="0096775E" w:rsidRDefault="00B503CE" w:rsidP="00B503CE">
      <w:pPr>
        <w:pStyle w:val="OutlineL2"/>
        <w:numPr>
          <w:ilvl w:val="0"/>
          <w:numId w:val="0"/>
        </w:numPr>
        <w:tabs>
          <w:tab w:val="left" w:pos="0"/>
        </w:tabs>
        <w:spacing w:after="0" w:line="360" w:lineRule="auto"/>
        <w:rPr>
          <w:b/>
          <w:sz w:val="26"/>
          <w:szCs w:val="26"/>
        </w:rPr>
      </w:pPr>
    </w:p>
    <w:p w:rsidR="00B503CE" w:rsidRPr="0096775E" w:rsidRDefault="00B503CE" w:rsidP="00B503CE">
      <w:pPr>
        <w:pStyle w:val="OutlineL2"/>
        <w:numPr>
          <w:ilvl w:val="0"/>
          <w:numId w:val="0"/>
        </w:numPr>
        <w:tabs>
          <w:tab w:val="left" w:pos="0"/>
        </w:tabs>
        <w:spacing w:after="0" w:line="360" w:lineRule="auto"/>
        <w:rPr>
          <w:b/>
          <w:sz w:val="26"/>
          <w:szCs w:val="26"/>
        </w:rPr>
      </w:pPr>
      <w:r w:rsidRPr="0096775E">
        <w:rPr>
          <w:b/>
          <w:sz w:val="26"/>
          <w:szCs w:val="26"/>
        </w:rPr>
        <w:t>E.</w:t>
      </w:r>
      <w:r w:rsidRPr="0096775E">
        <w:rPr>
          <w:b/>
          <w:sz w:val="26"/>
          <w:szCs w:val="26"/>
        </w:rPr>
        <w:tab/>
        <w:t>Exceptions and Replies</w:t>
      </w:r>
    </w:p>
    <w:p w:rsidR="00B503CE" w:rsidRPr="0096775E" w:rsidRDefault="00B503CE" w:rsidP="00B503CE">
      <w:pPr>
        <w:pStyle w:val="OutlineL2"/>
        <w:numPr>
          <w:ilvl w:val="0"/>
          <w:numId w:val="0"/>
        </w:numPr>
        <w:tabs>
          <w:tab w:val="left" w:pos="0"/>
        </w:tabs>
        <w:spacing w:after="0" w:line="360" w:lineRule="auto"/>
        <w:rPr>
          <w:b/>
          <w:sz w:val="26"/>
          <w:szCs w:val="26"/>
        </w:rPr>
      </w:pPr>
    </w:p>
    <w:p w:rsidR="00D773B0" w:rsidRPr="0096775E" w:rsidRDefault="00B503CE" w:rsidP="00B503CE">
      <w:pPr>
        <w:rPr>
          <w:rFonts w:ascii="Times New Roman" w:hAnsi="Times New Roman"/>
          <w:sz w:val="26"/>
          <w:szCs w:val="26"/>
        </w:rPr>
      </w:pPr>
      <w:r w:rsidRPr="0096775E">
        <w:rPr>
          <w:rFonts w:ascii="Times New Roman" w:hAnsi="Times New Roman"/>
          <w:b/>
          <w:sz w:val="26"/>
          <w:szCs w:val="26"/>
        </w:rPr>
        <w:tab/>
      </w:r>
      <w:r w:rsidRPr="0096775E">
        <w:rPr>
          <w:rFonts w:ascii="Times New Roman" w:hAnsi="Times New Roman"/>
          <w:b/>
          <w:sz w:val="26"/>
          <w:szCs w:val="26"/>
        </w:rPr>
        <w:tab/>
      </w:r>
      <w:r w:rsidR="00D276E3" w:rsidRPr="0096775E">
        <w:rPr>
          <w:rFonts w:ascii="Times New Roman" w:hAnsi="Times New Roman"/>
          <w:sz w:val="26"/>
          <w:szCs w:val="26"/>
        </w:rPr>
        <w:t xml:space="preserve">Noble filed an Exception to the Recommended Decision stating that it disagrees with the characterization of its position in regard to the Settlement Stipulation as one of non-opposition.  Noble requests that the Recommended Decision be modified to correctly note that it took no position on the issues resolved by the Stipulation.  Noble points out that the ALJ characterized Noble as a party that did not oppose the Stipulation.  </w:t>
      </w:r>
      <w:r w:rsidR="00D276E3" w:rsidRPr="0096775E">
        <w:rPr>
          <w:rFonts w:ascii="Times New Roman" w:hAnsi="Times New Roman"/>
          <w:i/>
          <w:sz w:val="26"/>
          <w:szCs w:val="26"/>
        </w:rPr>
        <w:t xml:space="preserve">See </w:t>
      </w:r>
      <w:r w:rsidR="00D276E3" w:rsidRPr="0096775E">
        <w:rPr>
          <w:rFonts w:ascii="Times New Roman" w:hAnsi="Times New Roman"/>
          <w:sz w:val="26"/>
          <w:szCs w:val="26"/>
        </w:rPr>
        <w:t>Fn. 3 at 8</w:t>
      </w:r>
      <w:r w:rsidR="00EF1218">
        <w:rPr>
          <w:rFonts w:ascii="Times New Roman" w:hAnsi="Times New Roman"/>
          <w:sz w:val="26"/>
          <w:szCs w:val="26"/>
        </w:rPr>
        <w:t xml:space="preserve"> of the R.D</w:t>
      </w:r>
      <w:r w:rsidR="00D276E3" w:rsidRPr="0096775E">
        <w:rPr>
          <w:rFonts w:ascii="Times New Roman" w:hAnsi="Times New Roman"/>
          <w:sz w:val="26"/>
          <w:szCs w:val="26"/>
        </w:rPr>
        <w:t xml:space="preserve">.  According to Noble, on September 30, 2014, it filed a letter with the Commission advising that it “takes no position on the issues resolved by the Stipulation.”  Therefore, Noble asserts it would be incorrect for </w:t>
      </w:r>
      <w:r w:rsidR="00733BBA">
        <w:rPr>
          <w:rFonts w:ascii="Times New Roman" w:hAnsi="Times New Roman"/>
          <w:sz w:val="26"/>
          <w:szCs w:val="26"/>
        </w:rPr>
        <w:t>the ALJ to identify Noble as a P</w:t>
      </w:r>
      <w:r w:rsidR="00D276E3" w:rsidRPr="0096775E">
        <w:rPr>
          <w:rFonts w:ascii="Times New Roman" w:hAnsi="Times New Roman"/>
          <w:sz w:val="26"/>
          <w:szCs w:val="26"/>
        </w:rPr>
        <w:t>arty that did not oppose the Stipulation.</w:t>
      </w:r>
      <w:r w:rsidR="00D0029C">
        <w:rPr>
          <w:rFonts w:ascii="Times New Roman" w:hAnsi="Times New Roman"/>
          <w:sz w:val="26"/>
          <w:szCs w:val="26"/>
        </w:rPr>
        <w:t xml:space="preserve">  Noble Exc. at 2-3.</w:t>
      </w:r>
    </w:p>
    <w:p w:rsidR="00D773B0" w:rsidRPr="0096775E" w:rsidRDefault="00D773B0" w:rsidP="00B503CE">
      <w:pPr>
        <w:rPr>
          <w:rFonts w:ascii="Times New Roman" w:hAnsi="Times New Roman"/>
          <w:sz w:val="26"/>
          <w:szCs w:val="26"/>
        </w:rPr>
      </w:pPr>
    </w:p>
    <w:p w:rsidR="00D773B0" w:rsidRPr="0096775E" w:rsidRDefault="00D773B0" w:rsidP="00B503CE">
      <w:pPr>
        <w:rPr>
          <w:rFonts w:ascii="Times New Roman" w:hAnsi="Times New Roman"/>
          <w:b/>
          <w:sz w:val="26"/>
          <w:szCs w:val="26"/>
        </w:rPr>
      </w:pPr>
      <w:r w:rsidRPr="0096775E">
        <w:rPr>
          <w:rFonts w:ascii="Times New Roman" w:hAnsi="Times New Roman"/>
          <w:b/>
          <w:sz w:val="26"/>
          <w:szCs w:val="26"/>
        </w:rPr>
        <w:t>F.</w:t>
      </w:r>
      <w:r w:rsidRPr="0096775E">
        <w:rPr>
          <w:rFonts w:ascii="Times New Roman" w:hAnsi="Times New Roman"/>
          <w:b/>
          <w:sz w:val="26"/>
          <w:szCs w:val="26"/>
        </w:rPr>
        <w:tab/>
        <w:t>Disposition of the Partial Settlement</w:t>
      </w:r>
    </w:p>
    <w:p w:rsidR="00D773B0" w:rsidRPr="0096775E" w:rsidRDefault="00D773B0" w:rsidP="00B503CE">
      <w:pPr>
        <w:rPr>
          <w:rFonts w:ascii="Times New Roman" w:hAnsi="Times New Roman"/>
          <w:b/>
          <w:sz w:val="26"/>
          <w:szCs w:val="26"/>
        </w:rPr>
      </w:pPr>
    </w:p>
    <w:p w:rsidR="00D773B0" w:rsidRPr="00616452" w:rsidRDefault="00D773B0" w:rsidP="002557AC">
      <w:pPr>
        <w:ind w:firstLine="1440"/>
        <w:rPr>
          <w:rFonts w:ascii="Times New Roman" w:hAnsi="Times New Roman"/>
          <w:sz w:val="26"/>
          <w:szCs w:val="26"/>
        </w:rPr>
      </w:pPr>
      <w:r w:rsidRPr="0096775E">
        <w:rPr>
          <w:rFonts w:ascii="Times New Roman" w:hAnsi="Times New Roman"/>
          <w:sz w:val="26"/>
          <w:szCs w:val="26"/>
        </w:rPr>
        <w:t xml:space="preserve">As noted above, a </w:t>
      </w:r>
      <w:r w:rsidR="002557AC" w:rsidRPr="0096775E">
        <w:rPr>
          <w:rFonts w:ascii="Times New Roman" w:hAnsi="Times New Roman"/>
          <w:sz w:val="26"/>
          <w:szCs w:val="26"/>
        </w:rPr>
        <w:t>p</w:t>
      </w:r>
      <w:r w:rsidRPr="0096775E">
        <w:rPr>
          <w:rFonts w:ascii="Times New Roman" w:hAnsi="Times New Roman"/>
          <w:sz w:val="26"/>
          <w:szCs w:val="26"/>
        </w:rPr>
        <w:t xml:space="preserve">artial Settlement </w:t>
      </w:r>
      <w:r w:rsidR="0061278C">
        <w:rPr>
          <w:rFonts w:ascii="Times New Roman" w:hAnsi="Times New Roman"/>
          <w:sz w:val="26"/>
          <w:szCs w:val="26"/>
        </w:rPr>
        <w:t>S</w:t>
      </w:r>
      <w:r w:rsidR="002557AC" w:rsidRPr="0096775E">
        <w:rPr>
          <w:rFonts w:ascii="Times New Roman" w:hAnsi="Times New Roman"/>
          <w:sz w:val="26"/>
          <w:szCs w:val="26"/>
        </w:rPr>
        <w:t xml:space="preserve">tipulation </w:t>
      </w:r>
      <w:r w:rsidRPr="0096775E">
        <w:rPr>
          <w:rFonts w:ascii="Times New Roman" w:hAnsi="Times New Roman"/>
          <w:sz w:val="26"/>
          <w:szCs w:val="26"/>
        </w:rPr>
        <w:t>in principle of the majority of issues was reached prior to the hearing dates, thereby negating the need for the scheduled evidentiary hearings on the settled issu</w:t>
      </w:r>
      <w:r w:rsidR="00616452">
        <w:rPr>
          <w:rFonts w:ascii="Times New Roman" w:hAnsi="Times New Roman"/>
          <w:sz w:val="26"/>
          <w:szCs w:val="26"/>
        </w:rPr>
        <w:t>es.  Cross-examination of</w:t>
      </w:r>
      <w:r w:rsidRPr="0096775E">
        <w:rPr>
          <w:rFonts w:ascii="Times New Roman" w:hAnsi="Times New Roman"/>
          <w:sz w:val="26"/>
          <w:szCs w:val="26"/>
        </w:rPr>
        <w:t xml:space="preserve"> the witnesses was waived.  However, an evidentiary hearing</w:t>
      </w:r>
      <w:r w:rsidR="002557AC" w:rsidRPr="0096775E">
        <w:rPr>
          <w:rFonts w:ascii="Times New Roman" w:hAnsi="Times New Roman"/>
          <w:sz w:val="26"/>
          <w:szCs w:val="26"/>
        </w:rPr>
        <w:t xml:space="preserve"> was held </w:t>
      </w:r>
      <w:r w:rsidR="00616452">
        <w:rPr>
          <w:rFonts w:ascii="Times New Roman" w:hAnsi="Times New Roman"/>
          <w:sz w:val="26"/>
          <w:szCs w:val="26"/>
        </w:rPr>
        <w:t xml:space="preserve">on August 25, 2014, </w:t>
      </w:r>
      <w:r w:rsidR="002557AC" w:rsidRPr="0096775E">
        <w:rPr>
          <w:rFonts w:ascii="Times New Roman" w:hAnsi="Times New Roman"/>
          <w:sz w:val="26"/>
          <w:szCs w:val="26"/>
        </w:rPr>
        <w:t>for purposes of</w:t>
      </w:r>
      <w:r w:rsidR="00616452">
        <w:rPr>
          <w:rFonts w:ascii="Times New Roman" w:hAnsi="Times New Roman"/>
          <w:sz w:val="26"/>
          <w:szCs w:val="26"/>
        </w:rPr>
        <w:t xml:space="preserve"> the admission of the previously served testimony and exhibits.</w:t>
      </w:r>
      <w:r w:rsidR="002557AC" w:rsidRPr="0096775E">
        <w:rPr>
          <w:rFonts w:ascii="Times New Roman" w:hAnsi="Times New Roman"/>
          <w:sz w:val="26"/>
          <w:szCs w:val="26"/>
        </w:rPr>
        <w:t xml:space="preserve">  </w:t>
      </w:r>
      <w:r w:rsidR="00616452">
        <w:rPr>
          <w:rFonts w:ascii="Times New Roman" w:hAnsi="Times New Roman"/>
          <w:sz w:val="26"/>
          <w:szCs w:val="26"/>
        </w:rPr>
        <w:t>As such, during the hearing</w:t>
      </w:r>
      <w:r w:rsidRPr="0096775E">
        <w:rPr>
          <w:rFonts w:ascii="Times New Roman" w:hAnsi="Times New Roman"/>
          <w:sz w:val="26"/>
          <w:szCs w:val="26"/>
        </w:rPr>
        <w:t xml:space="preserve">, the Parties’ respective testimonies and exhibits were admitted into the record.  The </w:t>
      </w:r>
      <w:r w:rsidR="002557AC" w:rsidRPr="0096775E">
        <w:rPr>
          <w:rFonts w:ascii="Times New Roman" w:hAnsi="Times New Roman"/>
          <w:sz w:val="26"/>
          <w:szCs w:val="26"/>
        </w:rPr>
        <w:t>Stipulation</w:t>
      </w:r>
      <w:r w:rsidRPr="0096775E">
        <w:rPr>
          <w:rFonts w:ascii="Times New Roman" w:hAnsi="Times New Roman"/>
          <w:sz w:val="26"/>
          <w:szCs w:val="26"/>
        </w:rPr>
        <w:t xml:space="preserve"> was not signed by all the Parties</w:t>
      </w:r>
      <w:r w:rsidR="00557278">
        <w:rPr>
          <w:rFonts w:ascii="Times New Roman" w:hAnsi="Times New Roman"/>
          <w:sz w:val="26"/>
          <w:szCs w:val="26"/>
        </w:rPr>
        <w:t>.  Likewise</w:t>
      </w:r>
      <w:r w:rsidRPr="0096775E">
        <w:rPr>
          <w:rFonts w:ascii="Times New Roman" w:hAnsi="Times New Roman"/>
          <w:sz w:val="26"/>
          <w:szCs w:val="26"/>
        </w:rPr>
        <w:t xml:space="preserve">, it was also unopposed by any </w:t>
      </w:r>
      <w:r w:rsidRPr="0096775E">
        <w:rPr>
          <w:rFonts w:ascii="Times New Roman" w:hAnsi="Times New Roman"/>
          <w:sz w:val="26"/>
          <w:szCs w:val="26"/>
        </w:rPr>
        <w:lastRenderedPageBreak/>
        <w:t>Party</w:t>
      </w:r>
      <w:r w:rsidR="00557278">
        <w:rPr>
          <w:rFonts w:ascii="Times New Roman" w:hAnsi="Times New Roman"/>
          <w:sz w:val="26"/>
          <w:szCs w:val="26"/>
        </w:rPr>
        <w:t>.  In E</w:t>
      </w:r>
      <w:r w:rsidR="002557AC" w:rsidRPr="0096775E">
        <w:rPr>
          <w:rFonts w:ascii="Times New Roman" w:hAnsi="Times New Roman"/>
          <w:sz w:val="26"/>
          <w:szCs w:val="26"/>
        </w:rPr>
        <w:t>xception</w:t>
      </w:r>
      <w:r w:rsidR="00557278">
        <w:rPr>
          <w:rFonts w:ascii="Times New Roman" w:hAnsi="Times New Roman"/>
          <w:sz w:val="26"/>
          <w:szCs w:val="26"/>
        </w:rPr>
        <w:t xml:space="preserve">s, </w:t>
      </w:r>
      <w:r w:rsidR="002557AC" w:rsidRPr="0096775E">
        <w:rPr>
          <w:rFonts w:ascii="Times New Roman" w:hAnsi="Times New Roman"/>
          <w:sz w:val="26"/>
          <w:szCs w:val="26"/>
        </w:rPr>
        <w:t xml:space="preserve">Noble </w:t>
      </w:r>
      <w:r w:rsidR="00733BBA">
        <w:rPr>
          <w:rFonts w:ascii="Times New Roman" w:hAnsi="Times New Roman"/>
          <w:sz w:val="26"/>
          <w:szCs w:val="26"/>
        </w:rPr>
        <w:t xml:space="preserve">claims that it </w:t>
      </w:r>
      <w:r w:rsidR="002557AC" w:rsidRPr="0096775E">
        <w:rPr>
          <w:rFonts w:ascii="Times New Roman" w:hAnsi="Times New Roman"/>
          <w:sz w:val="26"/>
          <w:szCs w:val="26"/>
        </w:rPr>
        <w:t>did not take a position on the Stipulation.</w:t>
      </w:r>
      <w:r w:rsidR="00616452">
        <w:rPr>
          <w:rFonts w:ascii="Times New Roman" w:hAnsi="Times New Roman"/>
          <w:sz w:val="26"/>
          <w:szCs w:val="26"/>
        </w:rPr>
        <w:t xml:space="preserve">  </w:t>
      </w:r>
      <w:r w:rsidR="00616452">
        <w:rPr>
          <w:rFonts w:ascii="Times New Roman" w:hAnsi="Times New Roman"/>
          <w:i/>
          <w:sz w:val="26"/>
          <w:szCs w:val="26"/>
        </w:rPr>
        <w:t>See</w:t>
      </w:r>
      <w:r w:rsidR="00616452">
        <w:rPr>
          <w:rFonts w:ascii="Times New Roman" w:hAnsi="Times New Roman"/>
          <w:sz w:val="26"/>
          <w:szCs w:val="26"/>
        </w:rPr>
        <w:t xml:space="preserve"> Exc. of Noble.</w:t>
      </w:r>
    </w:p>
    <w:p w:rsidR="00D773B0" w:rsidRPr="0096775E" w:rsidRDefault="00D773B0" w:rsidP="00D773B0">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p>
    <w:p w:rsidR="00D773B0" w:rsidRPr="0096775E" w:rsidRDefault="00D773B0" w:rsidP="00D773B0">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i/>
          <w:sz w:val="26"/>
          <w:szCs w:val="26"/>
        </w:rPr>
        <w:tab/>
      </w:r>
      <w:r w:rsidRPr="0096775E">
        <w:rPr>
          <w:rFonts w:ascii="Times New Roman" w:hAnsi="Times New Roman"/>
          <w:sz w:val="26"/>
          <w:szCs w:val="26"/>
        </w:rPr>
        <w:t xml:space="preserve">Based on our </w:t>
      </w:r>
      <w:r w:rsidR="002557AC" w:rsidRPr="0096775E">
        <w:rPr>
          <w:rFonts w:ascii="Times New Roman" w:hAnsi="Times New Roman"/>
          <w:sz w:val="26"/>
          <w:szCs w:val="26"/>
        </w:rPr>
        <w:t>review of the Stipulation</w:t>
      </w:r>
      <w:r w:rsidR="005D3DB4">
        <w:rPr>
          <w:rFonts w:ascii="Times New Roman" w:hAnsi="Times New Roman"/>
          <w:sz w:val="26"/>
          <w:szCs w:val="26"/>
        </w:rPr>
        <w:t xml:space="preserve"> </w:t>
      </w:r>
      <w:r w:rsidRPr="0096775E">
        <w:rPr>
          <w:rFonts w:ascii="Times New Roman" w:hAnsi="Times New Roman"/>
          <w:sz w:val="26"/>
          <w:szCs w:val="26"/>
        </w:rPr>
        <w:t xml:space="preserve">we find that there are a number of settled issues within the </w:t>
      </w:r>
      <w:r w:rsidR="002557AC" w:rsidRPr="0096775E">
        <w:rPr>
          <w:rFonts w:ascii="Times New Roman" w:hAnsi="Times New Roman"/>
          <w:sz w:val="26"/>
          <w:szCs w:val="26"/>
        </w:rPr>
        <w:t>Stipulation</w:t>
      </w:r>
      <w:r w:rsidRPr="0096775E">
        <w:rPr>
          <w:rFonts w:ascii="Times New Roman" w:hAnsi="Times New Roman"/>
          <w:sz w:val="26"/>
          <w:szCs w:val="26"/>
        </w:rPr>
        <w:t xml:space="preserve"> that are beneficial to all customers.  Among these provisions are:  (1) the avoidance of substantial litigation and associated costs;</w:t>
      </w:r>
      <w:r w:rsidR="005D3DB4">
        <w:rPr>
          <w:rFonts w:ascii="Times New Roman" w:hAnsi="Times New Roman"/>
          <w:sz w:val="26"/>
          <w:szCs w:val="26"/>
        </w:rPr>
        <w:t xml:space="preserve"> (2) the movement of Residential default service procurement from twelve-month supply rate changes to six-month supply rate changes</w:t>
      </w:r>
      <w:r w:rsidRPr="0096775E">
        <w:rPr>
          <w:rFonts w:ascii="Times New Roman" w:hAnsi="Times New Roman"/>
          <w:sz w:val="26"/>
          <w:szCs w:val="26"/>
        </w:rPr>
        <w:t xml:space="preserve">; (3) the provision of flexibility to address new default service structures in the future; (4) the </w:t>
      </w:r>
      <w:r w:rsidR="0019775A">
        <w:rPr>
          <w:rFonts w:ascii="Times New Roman" w:hAnsi="Times New Roman"/>
          <w:sz w:val="26"/>
          <w:szCs w:val="26"/>
        </w:rPr>
        <w:t>initiation of a Time of Use Program for certain Residential, Small C&amp;I customers and Medium C&amp;I customers</w:t>
      </w:r>
      <w:r w:rsidR="00922E83">
        <w:rPr>
          <w:rFonts w:ascii="Times New Roman" w:hAnsi="Times New Roman"/>
          <w:sz w:val="26"/>
          <w:szCs w:val="26"/>
        </w:rPr>
        <w:t xml:space="preserve"> for one year, as well as providing for a collaborative to discuss TOU issues for the second year of the DSP Plan</w:t>
      </w:r>
      <w:r w:rsidRPr="0096775E">
        <w:rPr>
          <w:rFonts w:ascii="Times New Roman" w:hAnsi="Times New Roman"/>
          <w:sz w:val="26"/>
          <w:szCs w:val="26"/>
        </w:rPr>
        <w:t xml:space="preserve">; (5) </w:t>
      </w:r>
      <w:r w:rsidR="00922E83">
        <w:rPr>
          <w:rFonts w:ascii="Times New Roman" w:hAnsi="Times New Roman"/>
          <w:sz w:val="26"/>
          <w:szCs w:val="26"/>
        </w:rPr>
        <w:t>the adoption of proposed modifications to the Company’s Supply Master Agreement</w:t>
      </w:r>
      <w:r w:rsidRPr="0096775E">
        <w:rPr>
          <w:rFonts w:ascii="Times New Roman" w:hAnsi="Times New Roman"/>
          <w:sz w:val="26"/>
          <w:szCs w:val="26"/>
        </w:rPr>
        <w:t xml:space="preserve">; (6) </w:t>
      </w:r>
      <w:r w:rsidR="00922E83">
        <w:rPr>
          <w:rFonts w:ascii="Times New Roman" w:hAnsi="Times New Roman"/>
          <w:sz w:val="26"/>
          <w:szCs w:val="26"/>
        </w:rPr>
        <w:t>the inclusion of the agreement by Duquesne to file a plan to unbundle from base rates costs associated with the provision of default service</w:t>
      </w:r>
      <w:r w:rsidRPr="0096775E">
        <w:rPr>
          <w:rFonts w:ascii="Times New Roman" w:hAnsi="Times New Roman"/>
          <w:sz w:val="26"/>
          <w:szCs w:val="26"/>
        </w:rPr>
        <w:t>; (7) the continuance of the Company’s Commission-approved existing SOP as well as the incorporation of certain revisions to the SOP call center scripts to clarify the nature of the SOP’s discounted price and revisions to the operation of</w:t>
      </w:r>
      <w:r w:rsidR="00E46768">
        <w:rPr>
          <w:rFonts w:ascii="Times New Roman" w:hAnsi="Times New Roman"/>
          <w:sz w:val="26"/>
          <w:szCs w:val="26"/>
        </w:rPr>
        <w:t xml:space="preserve"> the SOP program itself; and (8</w:t>
      </w:r>
      <w:r w:rsidRPr="0096775E">
        <w:rPr>
          <w:rFonts w:ascii="Times New Roman" w:hAnsi="Times New Roman"/>
          <w:sz w:val="26"/>
          <w:szCs w:val="26"/>
        </w:rPr>
        <w:t>) the agreement to convene a stakeholder process to review potential improvements to the administration of the SOP that may enhance the customer experience and/or increase EGS participation.</w:t>
      </w:r>
    </w:p>
    <w:p w:rsidR="00D773B0" w:rsidRPr="0096775E" w:rsidRDefault="00D773B0" w:rsidP="00D773B0">
      <w:pPr>
        <w:rPr>
          <w:rFonts w:ascii="Times New Roman" w:hAnsi="Times New Roman"/>
          <w:sz w:val="26"/>
          <w:szCs w:val="26"/>
        </w:rPr>
      </w:pPr>
    </w:p>
    <w:p w:rsidR="00D773B0" w:rsidRDefault="00D773B0" w:rsidP="00D773B0">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 xml:space="preserve">We find that these many beneficial aspects within the partial Settlement Stipulation all support a finding that the Stipulation is in the public interest.  </w:t>
      </w:r>
      <w:r w:rsidR="002C6380" w:rsidRPr="0096775E">
        <w:rPr>
          <w:rFonts w:ascii="Times New Roman" w:hAnsi="Times New Roman"/>
          <w:sz w:val="26"/>
          <w:szCs w:val="26"/>
        </w:rPr>
        <w:t>The Stipulation</w:t>
      </w:r>
      <w:r w:rsidRPr="0096775E">
        <w:rPr>
          <w:rFonts w:ascii="Times New Roman" w:hAnsi="Times New Roman"/>
          <w:sz w:val="26"/>
          <w:szCs w:val="26"/>
        </w:rPr>
        <w:t xml:space="preserve"> resolves the majority of the issues impacting residential consumers,</w:t>
      </w:r>
      <w:r w:rsidR="00AA71A6">
        <w:rPr>
          <w:rFonts w:ascii="Times New Roman" w:hAnsi="Times New Roman"/>
          <w:sz w:val="26"/>
          <w:szCs w:val="26"/>
        </w:rPr>
        <w:t xml:space="preserve"> </w:t>
      </w:r>
      <w:r w:rsidRPr="0096775E">
        <w:rPr>
          <w:rFonts w:ascii="Times New Roman" w:hAnsi="Times New Roman"/>
          <w:sz w:val="26"/>
          <w:szCs w:val="26"/>
        </w:rPr>
        <w:t>business customers and the public interest at large.  The bene</w:t>
      </w:r>
      <w:r w:rsidR="00DD3B61">
        <w:rPr>
          <w:rFonts w:ascii="Times New Roman" w:hAnsi="Times New Roman"/>
          <w:sz w:val="26"/>
          <w:szCs w:val="26"/>
        </w:rPr>
        <w:t>fits of the p</w:t>
      </w:r>
      <w:r w:rsidRPr="0096775E">
        <w:rPr>
          <w:rFonts w:ascii="Times New Roman" w:hAnsi="Times New Roman"/>
          <w:sz w:val="26"/>
          <w:szCs w:val="26"/>
        </w:rPr>
        <w:t xml:space="preserve">artial Settlement </w:t>
      </w:r>
      <w:r w:rsidR="00DD3B61">
        <w:rPr>
          <w:rFonts w:ascii="Times New Roman" w:hAnsi="Times New Roman"/>
          <w:sz w:val="26"/>
          <w:szCs w:val="26"/>
        </w:rPr>
        <w:t xml:space="preserve">Stipulation </w:t>
      </w:r>
      <w:r w:rsidRPr="0096775E">
        <w:rPr>
          <w:rFonts w:ascii="Times New Roman" w:hAnsi="Times New Roman"/>
          <w:sz w:val="26"/>
          <w:szCs w:val="26"/>
        </w:rPr>
        <w:t>are numerous and will result in significant savings of time and expenses for all Parties involved by avoiding the necessity of further administrative proceedings, as well as possible appellate court proceedings.  For the reasons stated her</w:t>
      </w:r>
      <w:r w:rsidR="00DD3B61">
        <w:rPr>
          <w:rFonts w:ascii="Times New Roman" w:hAnsi="Times New Roman"/>
          <w:sz w:val="26"/>
          <w:szCs w:val="26"/>
        </w:rPr>
        <w:t>ein and in the settling Parties</w:t>
      </w:r>
      <w:r w:rsidRPr="0096775E">
        <w:rPr>
          <w:rFonts w:ascii="Times New Roman" w:hAnsi="Times New Roman"/>
          <w:sz w:val="26"/>
          <w:szCs w:val="26"/>
        </w:rPr>
        <w:t>’ Statements in Support, we agree with the</w:t>
      </w:r>
      <w:r w:rsidR="00DD3B61">
        <w:rPr>
          <w:rFonts w:ascii="Times New Roman" w:hAnsi="Times New Roman"/>
          <w:sz w:val="26"/>
          <w:szCs w:val="26"/>
        </w:rPr>
        <w:t xml:space="preserve"> ALJ’s conclusion that the </w:t>
      </w:r>
      <w:r w:rsidR="00DD3B61">
        <w:rPr>
          <w:rFonts w:ascii="Times New Roman" w:hAnsi="Times New Roman"/>
          <w:sz w:val="26"/>
          <w:szCs w:val="26"/>
        </w:rPr>
        <w:lastRenderedPageBreak/>
        <w:t>Stipulation</w:t>
      </w:r>
      <w:r w:rsidRPr="0096775E">
        <w:rPr>
          <w:rFonts w:ascii="Times New Roman" w:hAnsi="Times New Roman"/>
          <w:sz w:val="26"/>
          <w:szCs w:val="26"/>
        </w:rPr>
        <w:t xml:space="preserve"> is in the public interest.  Accordingly, we shall adopt the ALJ’s recom</w:t>
      </w:r>
      <w:r w:rsidR="00DD3B61">
        <w:rPr>
          <w:rFonts w:ascii="Times New Roman" w:hAnsi="Times New Roman"/>
          <w:sz w:val="26"/>
          <w:szCs w:val="26"/>
        </w:rPr>
        <w:t>mendation to approve the p</w:t>
      </w:r>
      <w:r w:rsidRPr="0096775E">
        <w:rPr>
          <w:rFonts w:ascii="Times New Roman" w:hAnsi="Times New Roman"/>
          <w:sz w:val="26"/>
          <w:szCs w:val="26"/>
        </w:rPr>
        <w:t xml:space="preserve">artial Settlement </w:t>
      </w:r>
      <w:r w:rsidR="00DD3B61">
        <w:rPr>
          <w:rFonts w:ascii="Times New Roman" w:hAnsi="Times New Roman"/>
          <w:sz w:val="26"/>
          <w:szCs w:val="26"/>
        </w:rPr>
        <w:t xml:space="preserve">Stipulation, </w:t>
      </w:r>
      <w:r w:rsidRPr="0096775E">
        <w:rPr>
          <w:rFonts w:ascii="Times New Roman" w:hAnsi="Times New Roman"/>
          <w:sz w:val="26"/>
          <w:szCs w:val="26"/>
        </w:rPr>
        <w:t xml:space="preserve">without modification.  </w:t>
      </w:r>
      <w:r w:rsidR="00DD3B61">
        <w:rPr>
          <w:rFonts w:ascii="Times New Roman" w:hAnsi="Times New Roman"/>
          <w:sz w:val="26"/>
          <w:szCs w:val="26"/>
        </w:rPr>
        <w:t>Furthermore, we shall grant</w:t>
      </w:r>
      <w:r w:rsidRPr="0096775E">
        <w:rPr>
          <w:rFonts w:ascii="Times New Roman" w:hAnsi="Times New Roman"/>
          <w:sz w:val="26"/>
          <w:szCs w:val="26"/>
        </w:rPr>
        <w:t xml:space="preserve"> the Exception filed by </w:t>
      </w:r>
      <w:r w:rsidR="00DD3B61">
        <w:rPr>
          <w:rFonts w:ascii="Times New Roman" w:hAnsi="Times New Roman"/>
          <w:sz w:val="26"/>
          <w:szCs w:val="26"/>
        </w:rPr>
        <w:t>Noble</w:t>
      </w:r>
      <w:r w:rsidRPr="0096775E">
        <w:rPr>
          <w:rFonts w:ascii="Times New Roman" w:hAnsi="Times New Roman"/>
          <w:sz w:val="26"/>
          <w:szCs w:val="26"/>
        </w:rPr>
        <w:t xml:space="preserve"> </w:t>
      </w:r>
      <w:r w:rsidR="00DD3B61">
        <w:rPr>
          <w:rFonts w:ascii="Times New Roman" w:hAnsi="Times New Roman"/>
          <w:sz w:val="26"/>
          <w:szCs w:val="26"/>
        </w:rPr>
        <w:t>and modify the ALJ’s Recommended Decision to note that Noble did not take a position on the Stipulation</w:t>
      </w:r>
      <w:r w:rsidR="000461D6">
        <w:rPr>
          <w:rFonts w:ascii="Times New Roman" w:hAnsi="Times New Roman"/>
          <w:sz w:val="26"/>
          <w:szCs w:val="26"/>
        </w:rPr>
        <w:t xml:space="preserve">. </w:t>
      </w:r>
    </w:p>
    <w:p w:rsidR="00AA71A6" w:rsidRPr="0096775E" w:rsidRDefault="00AA71A6" w:rsidP="00D773B0">
      <w:pPr>
        <w:rPr>
          <w:rFonts w:ascii="Times New Roman" w:hAnsi="Times New Roman"/>
          <w:sz w:val="26"/>
          <w:szCs w:val="26"/>
        </w:rPr>
      </w:pPr>
    </w:p>
    <w:p w:rsidR="00D773B0" w:rsidRDefault="00D773B0" w:rsidP="00D773B0">
      <w:pPr>
        <w:pStyle w:val="OutlineL2"/>
        <w:numPr>
          <w:ilvl w:val="0"/>
          <w:numId w:val="0"/>
        </w:numPr>
        <w:tabs>
          <w:tab w:val="left" w:pos="0"/>
        </w:tabs>
        <w:spacing w:after="0" w:line="360" w:lineRule="auto"/>
        <w:jc w:val="center"/>
        <w:rPr>
          <w:b/>
          <w:sz w:val="26"/>
          <w:szCs w:val="26"/>
        </w:rPr>
      </w:pPr>
      <w:r w:rsidRPr="0096775E">
        <w:rPr>
          <w:b/>
          <w:sz w:val="26"/>
          <w:szCs w:val="26"/>
        </w:rPr>
        <w:t>III.</w:t>
      </w:r>
      <w:r w:rsidRPr="0096775E">
        <w:rPr>
          <w:b/>
          <w:sz w:val="26"/>
          <w:szCs w:val="26"/>
        </w:rPr>
        <w:tab/>
        <w:t>Discussion of Contested Issues</w:t>
      </w:r>
    </w:p>
    <w:p w:rsidR="00CE026F" w:rsidRDefault="00CE026F" w:rsidP="00D773B0">
      <w:pPr>
        <w:pStyle w:val="OutlineL2"/>
        <w:numPr>
          <w:ilvl w:val="0"/>
          <w:numId w:val="0"/>
        </w:numPr>
        <w:tabs>
          <w:tab w:val="left" w:pos="0"/>
        </w:tabs>
        <w:spacing w:after="0" w:line="360" w:lineRule="auto"/>
        <w:jc w:val="center"/>
        <w:rPr>
          <w:b/>
          <w:sz w:val="26"/>
          <w:szCs w:val="26"/>
        </w:rPr>
      </w:pPr>
    </w:p>
    <w:p w:rsidR="00CE026F" w:rsidRPr="002D60BF" w:rsidRDefault="00CE026F" w:rsidP="00CE026F">
      <w:pPr>
        <w:tabs>
          <w:tab w:val="left" w:pos="-720"/>
        </w:tabs>
        <w:suppressAutoHyphen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2D60BF">
        <w:rPr>
          <w:rFonts w:ascii="Times New Roman" w:hAnsi="Times New Roman"/>
          <w:sz w:val="26"/>
          <w:szCs w:val="26"/>
        </w:rPr>
        <w:t xml:space="preserve">As we proceed in our review of the various positions espoused in this proceeding, we are reminded that we are not required to consider expressly or at great length each and every contention raised by a party to our proceedings.  </w:t>
      </w:r>
      <w:r w:rsidRPr="002D60BF">
        <w:rPr>
          <w:rFonts w:ascii="Times New Roman" w:hAnsi="Times New Roman"/>
          <w:i/>
          <w:sz w:val="26"/>
          <w:szCs w:val="26"/>
        </w:rPr>
        <w:t>University of Pennsylvania</w:t>
      </w:r>
      <w:r w:rsidRPr="002D60BF">
        <w:rPr>
          <w:rFonts w:ascii="Times New Roman" w:hAnsi="Times New Roman"/>
          <w:sz w:val="26"/>
          <w:szCs w:val="26"/>
        </w:rPr>
        <w:t xml:space="preserve"> </w:t>
      </w:r>
      <w:r w:rsidRPr="002D60BF">
        <w:rPr>
          <w:rFonts w:ascii="Times New Roman" w:hAnsi="Times New Roman"/>
          <w:i/>
          <w:sz w:val="26"/>
          <w:szCs w:val="26"/>
        </w:rPr>
        <w:t>v. Pa. PUC</w:t>
      </w:r>
      <w:r w:rsidRPr="002D60BF">
        <w:rPr>
          <w:rFonts w:ascii="Times New Roman" w:hAnsi="Times New Roman"/>
          <w:sz w:val="26"/>
          <w:szCs w:val="26"/>
        </w:rPr>
        <w:t>, 485 A.2d 1217, 1222 (Pa. Cmwlth. 1984).  Moreover, any exception or argument that is not specifically addressed herein shall be deemed to have been duly considered and denied without further discussion.</w:t>
      </w:r>
    </w:p>
    <w:p w:rsidR="00CE026F" w:rsidRPr="0096775E" w:rsidRDefault="00CE026F" w:rsidP="00CE026F">
      <w:pPr>
        <w:pStyle w:val="OutlineL2"/>
        <w:numPr>
          <w:ilvl w:val="0"/>
          <w:numId w:val="0"/>
        </w:numPr>
        <w:tabs>
          <w:tab w:val="left" w:pos="0"/>
        </w:tabs>
        <w:spacing w:after="0" w:line="360" w:lineRule="auto"/>
        <w:rPr>
          <w:b/>
          <w:sz w:val="26"/>
          <w:szCs w:val="26"/>
        </w:rPr>
      </w:pPr>
    </w:p>
    <w:p w:rsidR="00D773B0" w:rsidRPr="0096775E" w:rsidRDefault="00F73812" w:rsidP="00D773B0">
      <w:pPr>
        <w:pStyle w:val="OutlineL2"/>
        <w:numPr>
          <w:ilvl w:val="0"/>
          <w:numId w:val="0"/>
        </w:numPr>
        <w:tabs>
          <w:tab w:val="left" w:pos="0"/>
        </w:tabs>
        <w:spacing w:after="0" w:line="360" w:lineRule="auto"/>
        <w:rPr>
          <w:b/>
          <w:sz w:val="26"/>
          <w:szCs w:val="26"/>
        </w:rPr>
      </w:pPr>
      <w:r w:rsidRPr="0096775E">
        <w:rPr>
          <w:b/>
          <w:sz w:val="26"/>
          <w:szCs w:val="26"/>
        </w:rPr>
        <w:t>A.</w:t>
      </w:r>
      <w:r w:rsidRPr="0096775E">
        <w:rPr>
          <w:b/>
          <w:sz w:val="26"/>
          <w:szCs w:val="26"/>
        </w:rPr>
        <w:tab/>
        <w:t>Small</w:t>
      </w:r>
      <w:r w:rsidR="00D773B0" w:rsidRPr="0096775E">
        <w:rPr>
          <w:b/>
          <w:sz w:val="26"/>
          <w:szCs w:val="26"/>
        </w:rPr>
        <w:t xml:space="preserve"> Commercial </w:t>
      </w:r>
      <w:r w:rsidRPr="0096775E">
        <w:rPr>
          <w:b/>
          <w:sz w:val="26"/>
          <w:szCs w:val="26"/>
        </w:rPr>
        <w:t>and Industrial</w:t>
      </w:r>
      <w:r w:rsidR="00D773B0" w:rsidRPr="0096775E">
        <w:rPr>
          <w:b/>
          <w:sz w:val="26"/>
          <w:szCs w:val="26"/>
        </w:rPr>
        <w:t xml:space="preserve"> Procurement</w:t>
      </w:r>
    </w:p>
    <w:p w:rsidR="00D773B0" w:rsidRPr="0096775E" w:rsidRDefault="00D773B0" w:rsidP="00D773B0">
      <w:pPr>
        <w:pStyle w:val="OutlineL2"/>
        <w:numPr>
          <w:ilvl w:val="0"/>
          <w:numId w:val="0"/>
        </w:numPr>
        <w:tabs>
          <w:tab w:val="left" w:pos="0"/>
        </w:tabs>
        <w:spacing w:after="0" w:line="360" w:lineRule="auto"/>
        <w:rPr>
          <w:sz w:val="26"/>
          <w:szCs w:val="26"/>
        </w:rPr>
      </w:pPr>
      <w:r w:rsidRPr="0096775E">
        <w:rPr>
          <w:b/>
          <w:sz w:val="26"/>
          <w:szCs w:val="26"/>
        </w:rPr>
        <w:tab/>
      </w:r>
      <w:r w:rsidRPr="0096775E">
        <w:rPr>
          <w:b/>
          <w:sz w:val="26"/>
          <w:szCs w:val="26"/>
        </w:rPr>
        <w:tab/>
      </w:r>
    </w:p>
    <w:p w:rsidR="00D773B0" w:rsidRPr="0096775E" w:rsidRDefault="00D773B0" w:rsidP="00D773B0">
      <w:pPr>
        <w:pStyle w:val="OutlineL2"/>
        <w:numPr>
          <w:ilvl w:val="0"/>
          <w:numId w:val="0"/>
        </w:numPr>
        <w:tabs>
          <w:tab w:val="left" w:pos="0"/>
        </w:tabs>
        <w:spacing w:after="0" w:line="360" w:lineRule="auto"/>
        <w:rPr>
          <w:b/>
          <w:sz w:val="26"/>
          <w:szCs w:val="26"/>
        </w:rPr>
      </w:pPr>
      <w:r w:rsidRPr="0096775E">
        <w:rPr>
          <w:b/>
          <w:sz w:val="26"/>
          <w:szCs w:val="26"/>
        </w:rPr>
        <w:tab/>
        <w:t>1.</w:t>
      </w:r>
      <w:r w:rsidRPr="0096775E">
        <w:rPr>
          <w:b/>
          <w:sz w:val="26"/>
          <w:szCs w:val="26"/>
        </w:rPr>
        <w:tab/>
        <w:t>Positions of the Parties</w:t>
      </w:r>
    </w:p>
    <w:p w:rsidR="00F73812" w:rsidRPr="0096775E" w:rsidRDefault="00F73812" w:rsidP="00D773B0">
      <w:pPr>
        <w:pStyle w:val="OutlineL2"/>
        <w:numPr>
          <w:ilvl w:val="0"/>
          <w:numId w:val="0"/>
        </w:numPr>
        <w:tabs>
          <w:tab w:val="left" w:pos="0"/>
        </w:tabs>
        <w:spacing w:after="0" w:line="360" w:lineRule="auto"/>
        <w:rPr>
          <w:b/>
          <w:sz w:val="26"/>
          <w:szCs w:val="26"/>
        </w:rPr>
      </w:pPr>
    </w:p>
    <w:p w:rsidR="00F73812" w:rsidRPr="000E6288" w:rsidRDefault="00F73812" w:rsidP="00F73812">
      <w:pPr>
        <w:pStyle w:val="BodyText2"/>
        <w:spacing w:after="0" w:line="360" w:lineRule="auto"/>
        <w:ind w:firstLine="1440"/>
        <w:rPr>
          <w:sz w:val="26"/>
          <w:szCs w:val="26"/>
          <w:lang w:val="en-US"/>
        </w:rPr>
      </w:pPr>
      <w:r w:rsidRPr="0096775E">
        <w:rPr>
          <w:sz w:val="26"/>
          <w:szCs w:val="26"/>
        </w:rPr>
        <w:t>Duquesne propose</w:t>
      </w:r>
      <w:r w:rsidRPr="0096775E">
        <w:rPr>
          <w:sz w:val="26"/>
          <w:szCs w:val="26"/>
          <w:lang w:val="en-US"/>
        </w:rPr>
        <w:t>d</w:t>
      </w:r>
      <w:r w:rsidRPr="0096775E">
        <w:rPr>
          <w:sz w:val="26"/>
          <w:szCs w:val="26"/>
        </w:rPr>
        <w:t xml:space="preserve"> to </w:t>
      </w:r>
      <w:r w:rsidR="00C571F6">
        <w:rPr>
          <w:sz w:val="26"/>
          <w:szCs w:val="26"/>
          <w:lang w:val="en-US"/>
        </w:rPr>
        <w:t xml:space="preserve">maintain its DSP VI procurement plan for Small C&amp;I customers to </w:t>
      </w:r>
      <w:r w:rsidRPr="0096775E">
        <w:rPr>
          <w:sz w:val="26"/>
          <w:szCs w:val="26"/>
        </w:rPr>
        <w:t>obtain d</w:t>
      </w:r>
      <w:r w:rsidR="004F79E0">
        <w:rPr>
          <w:sz w:val="26"/>
          <w:szCs w:val="26"/>
        </w:rPr>
        <w:t xml:space="preserve">efault service supply through </w:t>
      </w:r>
      <w:r w:rsidR="004F79E0">
        <w:rPr>
          <w:sz w:val="26"/>
          <w:szCs w:val="26"/>
          <w:lang w:val="en-US"/>
        </w:rPr>
        <w:t>twelve</w:t>
      </w:r>
      <w:r w:rsidRPr="0096775E">
        <w:rPr>
          <w:sz w:val="26"/>
          <w:szCs w:val="26"/>
        </w:rPr>
        <w:t>-month, laddered</w:t>
      </w:r>
      <w:r w:rsidRPr="0096775E">
        <w:rPr>
          <w:rStyle w:val="FootnoteReference"/>
          <w:sz w:val="26"/>
          <w:szCs w:val="26"/>
        </w:rPr>
        <w:footnoteReference w:id="4"/>
      </w:r>
      <w:r w:rsidRPr="0096775E">
        <w:rPr>
          <w:sz w:val="26"/>
          <w:szCs w:val="26"/>
        </w:rPr>
        <w:t xml:space="preserve"> full</w:t>
      </w:r>
      <w:r w:rsidRPr="0096775E">
        <w:rPr>
          <w:sz w:val="26"/>
          <w:szCs w:val="26"/>
          <w:lang w:val="en-US"/>
        </w:rPr>
        <w:t>-</w:t>
      </w:r>
      <w:r w:rsidRPr="0096775E">
        <w:rPr>
          <w:sz w:val="26"/>
          <w:szCs w:val="26"/>
        </w:rPr>
        <w:t xml:space="preserve">requirements supply contracts from third party suppliers obtained through semi-annual RFPs.  </w:t>
      </w:r>
      <w:r w:rsidR="004F79E0">
        <w:rPr>
          <w:sz w:val="26"/>
          <w:szCs w:val="26"/>
          <w:lang w:val="en-US"/>
        </w:rPr>
        <w:t>Duquesne stated that a</w:t>
      </w:r>
      <w:r w:rsidRPr="0096775E">
        <w:rPr>
          <w:sz w:val="26"/>
          <w:szCs w:val="26"/>
        </w:rPr>
        <w:t xml:space="preserve"> full requirements contract requires a supplier to provide energy, capacity, ancillary services, AECs and any other services or products necessary to serve a specified percentage of default service load 24 hours a day, for the term of the contract.  Initially, Du</w:t>
      </w:r>
      <w:r w:rsidR="004F79E0">
        <w:rPr>
          <w:sz w:val="26"/>
          <w:szCs w:val="26"/>
        </w:rPr>
        <w:t xml:space="preserve">quesne proposed to procure one </w:t>
      </w:r>
      <w:r w:rsidR="004F79E0">
        <w:rPr>
          <w:sz w:val="26"/>
          <w:szCs w:val="26"/>
          <w:lang w:val="en-US"/>
        </w:rPr>
        <w:t>six</w:t>
      </w:r>
      <w:r w:rsidRPr="0096775E">
        <w:rPr>
          <w:sz w:val="26"/>
          <w:szCs w:val="26"/>
        </w:rPr>
        <w:t xml:space="preserve">-month full requirements </w:t>
      </w:r>
      <w:r w:rsidRPr="0096775E">
        <w:rPr>
          <w:sz w:val="26"/>
          <w:szCs w:val="26"/>
        </w:rPr>
        <w:lastRenderedPageBreak/>
        <w:t>contract at the beginning of the DSP VII period</w:t>
      </w:r>
      <w:r w:rsidRPr="0096775E">
        <w:rPr>
          <w:sz w:val="26"/>
          <w:szCs w:val="26"/>
          <w:lang w:val="en-US"/>
        </w:rPr>
        <w:t>,</w:t>
      </w:r>
      <w:r w:rsidRPr="0096775E">
        <w:rPr>
          <w:rStyle w:val="FootnoteReference"/>
          <w:sz w:val="26"/>
          <w:szCs w:val="26"/>
        </w:rPr>
        <w:footnoteReference w:id="5"/>
      </w:r>
      <w:r w:rsidRPr="0096775E">
        <w:rPr>
          <w:sz w:val="26"/>
          <w:szCs w:val="26"/>
          <w:lang w:val="en-US"/>
        </w:rPr>
        <w:t xml:space="preserve"> h</w:t>
      </w:r>
      <w:r w:rsidRPr="0096775E">
        <w:rPr>
          <w:sz w:val="26"/>
          <w:szCs w:val="26"/>
        </w:rPr>
        <w:t xml:space="preserve">owever, </w:t>
      </w:r>
      <w:r w:rsidR="005569E4" w:rsidRPr="0096775E">
        <w:rPr>
          <w:sz w:val="26"/>
          <w:szCs w:val="26"/>
        </w:rPr>
        <w:t xml:space="preserve">on June 5, 2014, Duquesne </w:t>
      </w:r>
      <w:r w:rsidRPr="0096775E">
        <w:rPr>
          <w:sz w:val="26"/>
          <w:szCs w:val="26"/>
        </w:rPr>
        <w:t xml:space="preserve">filed a Petition with the Commission requesting to extend the final Small C&amp;I procurement term under DSP VI by </w:t>
      </w:r>
      <w:r w:rsidRPr="0096775E">
        <w:rPr>
          <w:sz w:val="26"/>
          <w:szCs w:val="26"/>
          <w:lang w:val="en-US"/>
        </w:rPr>
        <w:t>six</w:t>
      </w:r>
      <w:r w:rsidRPr="0096775E">
        <w:rPr>
          <w:sz w:val="26"/>
          <w:szCs w:val="26"/>
        </w:rPr>
        <w:t xml:space="preserve"> months so the DSP VI contract would extend through</w:t>
      </w:r>
      <w:r w:rsidR="004F79E0">
        <w:rPr>
          <w:sz w:val="26"/>
          <w:szCs w:val="26"/>
        </w:rPr>
        <w:t xml:space="preserve"> November </w:t>
      </w:r>
      <w:r w:rsidR="000E6288">
        <w:rPr>
          <w:sz w:val="26"/>
          <w:szCs w:val="26"/>
          <w:lang w:val="en-US"/>
        </w:rPr>
        <w:t xml:space="preserve">of </w:t>
      </w:r>
      <w:r w:rsidR="004F79E0">
        <w:rPr>
          <w:sz w:val="26"/>
          <w:szCs w:val="26"/>
        </w:rPr>
        <w:t xml:space="preserve">2015 and replace the </w:t>
      </w:r>
      <w:r w:rsidR="004F79E0">
        <w:rPr>
          <w:sz w:val="26"/>
          <w:szCs w:val="26"/>
          <w:lang w:val="en-US"/>
        </w:rPr>
        <w:t>six</w:t>
      </w:r>
      <w:r w:rsidRPr="0096775E">
        <w:rPr>
          <w:sz w:val="26"/>
          <w:szCs w:val="26"/>
        </w:rPr>
        <w:t xml:space="preserve">-month contract scheduled to be procured in February </w:t>
      </w:r>
      <w:r w:rsidR="004F79E0">
        <w:rPr>
          <w:sz w:val="26"/>
          <w:szCs w:val="26"/>
          <w:lang w:val="en-US"/>
        </w:rPr>
        <w:t xml:space="preserve">of </w:t>
      </w:r>
      <w:r w:rsidRPr="0096775E">
        <w:rPr>
          <w:sz w:val="26"/>
          <w:szCs w:val="26"/>
        </w:rPr>
        <w:t>2015.  The Comm</w:t>
      </w:r>
      <w:r w:rsidR="005569E4" w:rsidRPr="0096775E">
        <w:rPr>
          <w:sz w:val="26"/>
          <w:szCs w:val="26"/>
        </w:rPr>
        <w:t xml:space="preserve">ission granted this Petition </w:t>
      </w:r>
      <w:r w:rsidRPr="0096775E">
        <w:rPr>
          <w:sz w:val="26"/>
          <w:szCs w:val="26"/>
        </w:rPr>
        <w:t>by Order entered September 11, 2014</w:t>
      </w:r>
      <w:r w:rsidR="000E6288">
        <w:rPr>
          <w:sz w:val="26"/>
          <w:szCs w:val="26"/>
          <w:lang w:val="en-US"/>
        </w:rPr>
        <w:t>,</w:t>
      </w:r>
      <w:r w:rsidRPr="0096775E">
        <w:rPr>
          <w:sz w:val="26"/>
          <w:szCs w:val="26"/>
        </w:rPr>
        <w:t xml:space="preserve"> at Docket No. P-2012-2301664.</w:t>
      </w:r>
      <w:r w:rsidR="000E6288">
        <w:rPr>
          <w:sz w:val="26"/>
          <w:szCs w:val="26"/>
          <w:lang w:val="en-US"/>
        </w:rPr>
        <w:t xml:space="preserve">  Duquesne M.B. at 12.</w:t>
      </w:r>
    </w:p>
    <w:p w:rsidR="00F73812" w:rsidRPr="0096775E" w:rsidRDefault="00F73812" w:rsidP="00F73812">
      <w:pPr>
        <w:pStyle w:val="BodyText2"/>
        <w:spacing w:after="0" w:line="360" w:lineRule="auto"/>
        <w:ind w:firstLine="1440"/>
        <w:rPr>
          <w:sz w:val="26"/>
          <w:szCs w:val="26"/>
          <w:lang w:val="en-US"/>
        </w:rPr>
      </w:pPr>
    </w:p>
    <w:p w:rsidR="00F73812" w:rsidRPr="0096775E" w:rsidRDefault="005569E4" w:rsidP="00F73812">
      <w:pPr>
        <w:pStyle w:val="BodyText2"/>
        <w:spacing w:after="0" w:line="360" w:lineRule="auto"/>
        <w:ind w:firstLine="1440"/>
        <w:rPr>
          <w:sz w:val="26"/>
          <w:szCs w:val="26"/>
          <w:lang w:val="en-US"/>
        </w:rPr>
      </w:pPr>
      <w:r w:rsidRPr="0096775E">
        <w:rPr>
          <w:sz w:val="26"/>
          <w:szCs w:val="26"/>
          <w:lang w:val="en-US"/>
        </w:rPr>
        <w:t>Duquesne</w:t>
      </w:r>
      <w:r w:rsidR="00F73812" w:rsidRPr="0096775E">
        <w:rPr>
          <w:sz w:val="26"/>
          <w:szCs w:val="26"/>
          <w:lang w:val="en-US"/>
        </w:rPr>
        <w:t xml:space="preserve"> provided the </w:t>
      </w:r>
      <w:r w:rsidRPr="0096775E">
        <w:rPr>
          <w:sz w:val="26"/>
          <w:szCs w:val="26"/>
          <w:lang w:val="en-US"/>
        </w:rPr>
        <w:t xml:space="preserve">following </w:t>
      </w:r>
      <w:r w:rsidR="00F73812" w:rsidRPr="0096775E">
        <w:rPr>
          <w:sz w:val="26"/>
          <w:szCs w:val="26"/>
        </w:rPr>
        <w:t xml:space="preserve">table </w:t>
      </w:r>
      <w:r w:rsidR="00F73812" w:rsidRPr="0096775E">
        <w:rPr>
          <w:sz w:val="26"/>
          <w:szCs w:val="26"/>
          <w:lang w:val="en-US"/>
        </w:rPr>
        <w:t>to illustrate</w:t>
      </w:r>
      <w:r w:rsidR="00F73812" w:rsidRPr="0096775E">
        <w:rPr>
          <w:sz w:val="26"/>
          <w:szCs w:val="26"/>
        </w:rPr>
        <w:t xml:space="preserve"> the RFP Date, Procurement Amount, Contra</w:t>
      </w:r>
      <w:r w:rsidR="00AC09C8">
        <w:rPr>
          <w:sz w:val="26"/>
          <w:szCs w:val="26"/>
        </w:rPr>
        <w:t>ct Term and Delivery Period for</w:t>
      </w:r>
      <w:r w:rsidR="00AC09C8">
        <w:rPr>
          <w:sz w:val="26"/>
          <w:szCs w:val="26"/>
          <w:lang w:val="en-US"/>
        </w:rPr>
        <w:t xml:space="preserve"> </w:t>
      </w:r>
      <w:r w:rsidR="00F73812" w:rsidRPr="0096775E">
        <w:rPr>
          <w:sz w:val="26"/>
          <w:szCs w:val="26"/>
        </w:rPr>
        <w:t>each procurement under DSP VII, reflecting the DSP VI modifications approved by the Commission on September 11, 2014.</w:t>
      </w:r>
      <w:r w:rsidR="00F73812" w:rsidRPr="0096775E">
        <w:rPr>
          <w:rStyle w:val="FootnoteReference"/>
          <w:sz w:val="26"/>
          <w:szCs w:val="26"/>
        </w:rPr>
        <w:footnoteReference w:id="6"/>
      </w:r>
    </w:p>
    <w:p w:rsidR="00F73812" w:rsidRPr="0096775E" w:rsidRDefault="00F73812" w:rsidP="00F73812">
      <w:pPr>
        <w:pStyle w:val="BodyText2"/>
        <w:spacing w:after="0" w:line="360" w:lineRule="auto"/>
        <w:ind w:firstLine="1440"/>
        <w:rPr>
          <w:sz w:val="26"/>
          <w:szCs w:val="26"/>
          <w:lang w:val="en-US"/>
        </w:rPr>
      </w:pPr>
    </w:p>
    <w:tbl>
      <w:tblPr>
        <w:tblStyle w:val="TableGrid"/>
        <w:tblW w:w="9738" w:type="dxa"/>
        <w:tblLook w:val="04A0" w:firstRow="1" w:lastRow="0" w:firstColumn="1" w:lastColumn="0" w:noHBand="0" w:noVBand="1"/>
      </w:tblPr>
      <w:tblGrid>
        <w:gridCol w:w="1998"/>
        <w:gridCol w:w="1890"/>
        <w:gridCol w:w="1530"/>
        <w:gridCol w:w="4320"/>
      </w:tblGrid>
      <w:tr w:rsidR="00F73812" w:rsidRPr="0096775E" w:rsidTr="00AA71A6">
        <w:tc>
          <w:tcPr>
            <w:tcW w:w="1998" w:type="dxa"/>
          </w:tcPr>
          <w:p w:rsidR="00F73812" w:rsidRPr="0096775E" w:rsidRDefault="00F73812" w:rsidP="00B20A33">
            <w:pPr>
              <w:pStyle w:val="BodyText2"/>
              <w:keepNext/>
              <w:keepLines/>
              <w:spacing w:after="0" w:line="360" w:lineRule="auto"/>
              <w:rPr>
                <w:b/>
                <w:sz w:val="26"/>
                <w:szCs w:val="26"/>
              </w:rPr>
            </w:pPr>
            <w:r w:rsidRPr="0096775E">
              <w:rPr>
                <w:b/>
                <w:sz w:val="26"/>
                <w:szCs w:val="26"/>
              </w:rPr>
              <w:t>RFP Date</w:t>
            </w:r>
          </w:p>
        </w:tc>
        <w:tc>
          <w:tcPr>
            <w:tcW w:w="1890" w:type="dxa"/>
          </w:tcPr>
          <w:p w:rsidR="00F73812" w:rsidRPr="0096775E" w:rsidRDefault="00F73812" w:rsidP="00AA71A6">
            <w:pPr>
              <w:pStyle w:val="BodyText2"/>
              <w:keepNext/>
              <w:keepLines/>
              <w:spacing w:after="0" w:line="240" w:lineRule="auto"/>
              <w:rPr>
                <w:b/>
                <w:sz w:val="26"/>
                <w:szCs w:val="26"/>
              </w:rPr>
            </w:pPr>
            <w:r w:rsidRPr="0096775E">
              <w:rPr>
                <w:b/>
                <w:sz w:val="26"/>
                <w:szCs w:val="26"/>
              </w:rPr>
              <w:t>Procurement Amount</w:t>
            </w:r>
          </w:p>
        </w:tc>
        <w:tc>
          <w:tcPr>
            <w:tcW w:w="1530" w:type="dxa"/>
          </w:tcPr>
          <w:p w:rsidR="00F73812" w:rsidRPr="0096775E" w:rsidRDefault="00F73812" w:rsidP="00AA71A6">
            <w:pPr>
              <w:pStyle w:val="BodyText2"/>
              <w:keepNext/>
              <w:keepLines/>
              <w:spacing w:after="0" w:line="240" w:lineRule="auto"/>
              <w:rPr>
                <w:b/>
                <w:sz w:val="26"/>
                <w:szCs w:val="26"/>
              </w:rPr>
            </w:pPr>
            <w:r w:rsidRPr="0096775E">
              <w:rPr>
                <w:b/>
                <w:sz w:val="26"/>
                <w:szCs w:val="26"/>
              </w:rPr>
              <w:t>Contract Term</w:t>
            </w:r>
          </w:p>
        </w:tc>
        <w:tc>
          <w:tcPr>
            <w:tcW w:w="4320" w:type="dxa"/>
          </w:tcPr>
          <w:p w:rsidR="00F73812" w:rsidRPr="0096775E" w:rsidRDefault="00F73812" w:rsidP="00B20A33">
            <w:pPr>
              <w:pStyle w:val="BodyText2"/>
              <w:keepNext/>
              <w:keepLines/>
              <w:spacing w:after="0" w:line="360" w:lineRule="auto"/>
              <w:rPr>
                <w:b/>
                <w:sz w:val="26"/>
                <w:szCs w:val="26"/>
              </w:rPr>
            </w:pPr>
            <w:r w:rsidRPr="0096775E">
              <w:rPr>
                <w:b/>
                <w:sz w:val="26"/>
                <w:szCs w:val="26"/>
              </w:rPr>
              <w:t>Delivery Period</w:t>
            </w:r>
          </w:p>
        </w:tc>
      </w:tr>
      <w:tr w:rsidR="00F73812" w:rsidRPr="0096775E" w:rsidTr="00AA71A6">
        <w:tc>
          <w:tcPr>
            <w:tcW w:w="1998" w:type="dxa"/>
          </w:tcPr>
          <w:p w:rsidR="00F73812" w:rsidRPr="0096775E" w:rsidRDefault="00F73812" w:rsidP="00B20A33">
            <w:pPr>
              <w:pStyle w:val="BodyText2"/>
              <w:keepNext/>
              <w:keepLines/>
              <w:spacing w:after="0" w:line="360" w:lineRule="auto"/>
              <w:rPr>
                <w:sz w:val="26"/>
                <w:szCs w:val="26"/>
              </w:rPr>
            </w:pPr>
            <w:r w:rsidRPr="0096775E">
              <w:rPr>
                <w:sz w:val="26"/>
                <w:szCs w:val="26"/>
              </w:rPr>
              <w:t>March 2015</w:t>
            </w:r>
          </w:p>
        </w:tc>
        <w:tc>
          <w:tcPr>
            <w:tcW w:w="1890" w:type="dxa"/>
          </w:tcPr>
          <w:p w:rsidR="00F73812" w:rsidRPr="0096775E" w:rsidRDefault="00F73812" w:rsidP="00B20A33">
            <w:pPr>
              <w:pStyle w:val="BodyText2"/>
              <w:keepNext/>
              <w:keepLines/>
              <w:spacing w:after="0" w:line="360" w:lineRule="auto"/>
              <w:rPr>
                <w:sz w:val="26"/>
                <w:szCs w:val="26"/>
              </w:rPr>
            </w:pPr>
            <w:r w:rsidRPr="0096775E">
              <w:rPr>
                <w:sz w:val="26"/>
                <w:szCs w:val="26"/>
              </w:rPr>
              <w:t>50%</w:t>
            </w:r>
          </w:p>
        </w:tc>
        <w:tc>
          <w:tcPr>
            <w:tcW w:w="1530" w:type="dxa"/>
          </w:tcPr>
          <w:p w:rsidR="00F73812" w:rsidRPr="0096775E" w:rsidRDefault="00F73812" w:rsidP="00B20A33">
            <w:pPr>
              <w:pStyle w:val="BodyText2"/>
              <w:keepNext/>
              <w:keepLines/>
              <w:spacing w:after="0" w:line="360" w:lineRule="auto"/>
              <w:rPr>
                <w:sz w:val="26"/>
                <w:szCs w:val="26"/>
              </w:rPr>
            </w:pPr>
            <w:r w:rsidRPr="0096775E">
              <w:rPr>
                <w:sz w:val="26"/>
                <w:szCs w:val="26"/>
              </w:rPr>
              <w:t>12 months</w:t>
            </w:r>
          </w:p>
        </w:tc>
        <w:tc>
          <w:tcPr>
            <w:tcW w:w="4320" w:type="dxa"/>
          </w:tcPr>
          <w:p w:rsidR="00F73812" w:rsidRPr="0096775E" w:rsidRDefault="00F73812" w:rsidP="00B20A33">
            <w:pPr>
              <w:pStyle w:val="BodyText2"/>
              <w:keepNext/>
              <w:keepLines/>
              <w:spacing w:after="0" w:line="360" w:lineRule="auto"/>
              <w:rPr>
                <w:sz w:val="26"/>
                <w:szCs w:val="26"/>
              </w:rPr>
            </w:pPr>
            <w:r w:rsidRPr="0096775E">
              <w:rPr>
                <w:sz w:val="26"/>
                <w:szCs w:val="26"/>
              </w:rPr>
              <w:t>June 2015 – May 2016</w:t>
            </w:r>
          </w:p>
        </w:tc>
      </w:tr>
      <w:tr w:rsidR="00F73812" w:rsidRPr="0096775E" w:rsidTr="00AA71A6">
        <w:tc>
          <w:tcPr>
            <w:tcW w:w="1998" w:type="dxa"/>
          </w:tcPr>
          <w:p w:rsidR="00F73812" w:rsidRPr="0096775E" w:rsidRDefault="00F73812" w:rsidP="00B20A33">
            <w:pPr>
              <w:pStyle w:val="BodyText2"/>
              <w:keepNext/>
              <w:keepLines/>
              <w:spacing w:after="0" w:line="360" w:lineRule="auto"/>
              <w:rPr>
                <w:sz w:val="26"/>
                <w:szCs w:val="26"/>
              </w:rPr>
            </w:pPr>
            <w:r w:rsidRPr="0096775E">
              <w:rPr>
                <w:sz w:val="26"/>
                <w:szCs w:val="26"/>
              </w:rPr>
              <w:t>September 2015</w:t>
            </w:r>
          </w:p>
        </w:tc>
        <w:tc>
          <w:tcPr>
            <w:tcW w:w="1890" w:type="dxa"/>
          </w:tcPr>
          <w:p w:rsidR="00F73812" w:rsidRPr="0096775E" w:rsidRDefault="00F73812" w:rsidP="00B20A33">
            <w:pPr>
              <w:pStyle w:val="BodyText2"/>
              <w:keepNext/>
              <w:keepLines/>
              <w:spacing w:after="0" w:line="360" w:lineRule="auto"/>
              <w:rPr>
                <w:sz w:val="26"/>
                <w:szCs w:val="26"/>
              </w:rPr>
            </w:pPr>
            <w:r w:rsidRPr="0096775E">
              <w:rPr>
                <w:sz w:val="26"/>
                <w:szCs w:val="26"/>
              </w:rPr>
              <w:t>50%</w:t>
            </w:r>
          </w:p>
        </w:tc>
        <w:tc>
          <w:tcPr>
            <w:tcW w:w="1530" w:type="dxa"/>
          </w:tcPr>
          <w:p w:rsidR="00F73812" w:rsidRPr="0096775E" w:rsidRDefault="00F73812" w:rsidP="00B20A33">
            <w:pPr>
              <w:pStyle w:val="BodyText2"/>
              <w:keepNext/>
              <w:keepLines/>
              <w:spacing w:after="0" w:line="360" w:lineRule="auto"/>
              <w:rPr>
                <w:sz w:val="26"/>
                <w:szCs w:val="26"/>
              </w:rPr>
            </w:pPr>
            <w:r w:rsidRPr="0096775E">
              <w:rPr>
                <w:sz w:val="26"/>
                <w:szCs w:val="26"/>
              </w:rPr>
              <w:t>12 months</w:t>
            </w:r>
          </w:p>
        </w:tc>
        <w:tc>
          <w:tcPr>
            <w:tcW w:w="4320" w:type="dxa"/>
          </w:tcPr>
          <w:p w:rsidR="00F73812" w:rsidRPr="0096775E" w:rsidRDefault="00F73812" w:rsidP="00B20A33">
            <w:pPr>
              <w:pStyle w:val="BodyText2"/>
              <w:keepNext/>
              <w:keepLines/>
              <w:spacing w:after="0" w:line="360" w:lineRule="auto"/>
              <w:rPr>
                <w:sz w:val="26"/>
                <w:szCs w:val="26"/>
              </w:rPr>
            </w:pPr>
            <w:r w:rsidRPr="0096775E">
              <w:rPr>
                <w:sz w:val="26"/>
                <w:szCs w:val="26"/>
              </w:rPr>
              <w:t>December 2015 – November 2016</w:t>
            </w:r>
          </w:p>
        </w:tc>
      </w:tr>
      <w:tr w:rsidR="00F73812" w:rsidRPr="0096775E" w:rsidTr="00AA71A6">
        <w:tc>
          <w:tcPr>
            <w:tcW w:w="1998" w:type="dxa"/>
          </w:tcPr>
          <w:p w:rsidR="00F73812" w:rsidRPr="0096775E" w:rsidRDefault="00F73812" w:rsidP="00B20A33">
            <w:pPr>
              <w:pStyle w:val="BodyText2"/>
              <w:keepNext/>
              <w:keepLines/>
              <w:spacing w:after="0" w:line="360" w:lineRule="auto"/>
              <w:rPr>
                <w:sz w:val="26"/>
                <w:szCs w:val="26"/>
              </w:rPr>
            </w:pPr>
            <w:r w:rsidRPr="0096775E">
              <w:rPr>
                <w:sz w:val="26"/>
                <w:szCs w:val="26"/>
              </w:rPr>
              <w:t>March 2016</w:t>
            </w:r>
          </w:p>
        </w:tc>
        <w:tc>
          <w:tcPr>
            <w:tcW w:w="1890" w:type="dxa"/>
          </w:tcPr>
          <w:p w:rsidR="00F73812" w:rsidRPr="0096775E" w:rsidRDefault="00F73812" w:rsidP="00B20A33">
            <w:pPr>
              <w:pStyle w:val="BodyText2"/>
              <w:keepNext/>
              <w:keepLines/>
              <w:spacing w:after="0" w:line="360" w:lineRule="auto"/>
              <w:rPr>
                <w:sz w:val="26"/>
                <w:szCs w:val="26"/>
              </w:rPr>
            </w:pPr>
            <w:r w:rsidRPr="0096775E">
              <w:rPr>
                <w:sz w:val="26"/>
                <w:szCs w:val="26"/>
              </w:rPr>
              <w:t>50%</w:t>
            </w:r>
          </w:p>
        </w:tc>
        <w:tc>
          <w:tcPr>
            <w:tcW w:w="1530" w:type="dxa"/>
          </w:tcPr>
          <w:p w:rsidR="00F73812" w:rsidRPr="0096775E" w:rsidRDefault="00F73812" w:rsidP="00B20A33">
            <w:pPr>
              <w:pStyle w:val="BodyText2"/>
              <w:keepNext/>
              <w:keepLines/>
              <w:spacing w:after="0" w:line="360" w:lineRule="auto"/>
              <w:rPr>
                <w:sz w:val="26"/>
                <w:szCs w:val="26"/>
              </w:rPr>
            </w:pPr>
            <w:r w:rsidRPr="0096775E">
              <w:rPr>
                <w:sz w:val="26"/>
                <w:szCs w:val="26"/>
              </w:rPr>
              <w:t>12 months</w:t>
            </w:r>
          </w:p>
        </w:tc>
        <w:tc>
          <w:tcPr>
            <w:tcW w:w="4320" w:type="dxa"/>
          </w:tcPr>
          <w:p w:rsidR="00F73812" w:rsidRPr="0096775E" w:rsidRDefault="00F73812" w:rsidP="00B20A33">
            <w:pPr>
              <w:pStyle w:val="BodyText2"/>
              <w:keepNext/>
              <w:keepLines/>
              <w:spacing w:after="0" w:line="360" w:lineRule="auto"/>
              <w:rPr>
                <w:sz w:val="26"/>
                <w:szCs w:val="26"/>
              </w:rPr>
            </w:pPr>
            <w:r w:rsidRPr="0096775E">
              <w:rPr>
                <w:sz w:val="26"/>
                <w:szCs w:val="26"/>
              </w:rPr>
              <w:t>June 2016 – May 2017</w:t>
            </w:r>
          </w:p>
        </w:tc>
      </w:tr>
      <w:tr w:rsidR="00F73812" w:rsidRPr="0096775E" w:rsidTr="00AA71A6">
        <w:tc>
          <w:tcPr>
            <w:tcW w:w="1998" w:type="dxa"/>
          </w:tcPr>
          <w:p w:rsidR="00F73812" w:rsidRPr="0096775E" w:rsidRDefault="00F73812" w:rsidP="00B20A33">
            <w:pPr>
              <w:pStyle w:val="BodyText2"/>
              <w:keepLines/>
              <w:spacing w:after="0" w:line="360" w:lineRule="auto"/>
              <w:rPr>
                <w:sz w:val="26"/>
                <w:szCs w:val="26"/>
              </w:rPr>
            </w:pPr>
            <w:r w:rsidRPr="0096775E">
              <w:rPr>
                <w:sz w:val="26"/>
                <w:szCs w:val="26"/>
              </w:rPr>
              <w:t>September 2016</w:t>
            </w:r>
          </w:p>
        </w:tc>
        <w:tc>
          <w:tcPr>
            <w:tcW w:w="1890" w:type="dxa"/>
          </w:tcPr>
          <w:p w:rsidR="00F73812" w:rsidRPr="0096775E" w:rsidRDefault="00F73812" w:rsidP="00B20A33">
            <w:pPr>
              <w:pStyle w:val="BodyText2"/>
              <w:keepLines/>
              <w:spacing w:after="0" w:line="360" w:lineRule="auto"/>
              <w:rPr>
                <w:sz w:val="26"/>
                <w:szCs w:val="26"/>
              </w:rPr>
            </w:pPr>
            <w:r w:rsidRPr="0096775E">
              <w:rPr>
                <w:sz w:val="26"/>
                <w:szCs w:val="26"/>
              </w:rPr>
              <w:t>50%</w:t>
            </w:r>
          </w:p>
        </w:tc>
        <w:tc>
          <w:tcPr>
            <w:tcW w:w="1530" w:type="dxa"/>
          </w:tcPr>
          <w:p w:rsidR="00F73812" w:rsidRPr="0096775E" w:rsidRDefault="00F73812" w:rsidP="00B20A33">
            <w:pPr>
              <w:pStyle w:val="BodyText2"/>
              <w:keepLines/>
              <w:spacing w:after="0" w:line="360" w:lineRule="auto"/>
              <w:rPr>
                <w:sz w:val="26"/>
                <w:szCs w:val="26"/>
              </w:rPr>
            </w:pPr>
            <w:r w:rsidRPr="0096775E">
              <w:rPr>
                <w:sz w:val="26"/>
                <w:szCs w:val="26"/>
              </w:rPr>
              <w:t>12 months</w:t>
            </w:r>
          </w:p>
        </w:tc>
        <w:tc>
          <w:tcPr>
            <w:tcW w:w="4320" w:type="dxa"/>
          </w:tcPr>
          <w:p w:rsidR="00F73812" w:rsidRPr="0096775E" w:rsidRDefault="00F73812" w:rsidP="00B20A33">
            <w:pPr>
              <w:pStyle w:val="BodyText2"/>
              <w:keepLines/>
              <w:spacing w:after="0" w:line="360" w:lineRule="auto"/>
              <w:rPr>
                <w:sz w:val="26"/>
                <w:szCs w:val="26"/>
              </w:rPr>
            </w:pPr>
            <w:r w:rsidRPr="0096775E">
              <w:rPr>
                <w:sz w:val="26"/>
                <w:szCs w:val="26"/>
              </w:rPr>
              <w:t>December 2016 – November 2017</w:t>
            </w:r>
          </w:p>
        </w:tc>
      </w:tr>
    </w:tbl>
    <w:p w:rsidR="00F73812" w:rsidRPr="0096775E" w:rsidRDefault="00F73812" w:rsidP="00F73812">
      <w:pPr>
        <w:pStyle w:val="BodyText2"/>
        <w:spacing w:after="0" w:line="360" w:lineRule="auto"/>
        <w:ind w:left="720"/>
        <w:rPr>
          <w:sz w:val="26"/>
          <w:szCs w:val="26"/>
        </w:rPr>
      </w:pPr>
    </w:p>
    <w:p w:rsidR="00F73812" w:rsidRPr="0096775E" w:rsidRDefault="00F73812" w:rsidP="00F73812">
      <w:pPr>
        <w:pStyle w:val="BodyText2"/>
        <w:spacing w:after="0" w:line="360" w:lineRule="auto"/>
        <w:ind w:firstLine="1440"/>
        <w:rPr>
          <w:sz w:val="26"/>
          <w:szCs w:val="26"/>
        </w:rPr>
      </w:pPr>
      <w:r w:rsidRPr="0096775E">
        <w:rPr>
          <w:sz w:val="26"/>
          <w:szCs w:val="26"/>
        </w:rPr>
        <w:t xml:space="preserve">The Company </w:t>
      </w:r>
      <w:r w:rsidRPr="0096775E">
        <w:rPr>
          <w:sz w:val="26"/>
          <w:szCs w:val="26"/>
          <w:lang w:val="en-US"/>
        </w:rPr>
        <w:t>propose</w:t>
      </w:r>
      <w:r w:rsidR="005569E4" w:rsidRPr="0096775E">
        <w:rPr>
          <w:sz w:val="26"/>
          <w:szCs w:val="26"/>
          <w:lang w:val="en-US"/>
        </w:rPr>
        <w:t>d</w:t>
      </w:r>
      <w:r w:rsidRPr="0096775E">
        <w:rPr>
          <w:sz w:val="26"/>
          <w:szCs w:val="26"/>
        </w:rPr>
        <w:t xml:space="preserve"> the same procurement program for Small C&amp;I and Residential customers because both classes have similar switching levels and market sophistication.  </w:t>
      </w:r>
      <w:r w:rsidR="005569E4" w:rsidRPr="0096775E">
        <w:rPr>
          <w:sz w:val="26"/>
          <w:szCs w:val="26"/>
          <w:lang w:val="en-US"/>
        </w:rPr>
        <w:t>Duquesne pointed</w:t>
      </w:r>
      <w:r w:rsidRPr="0096775E">
        <w:rPr>
          <w:sz w:val="26"/>
          <w:szCs w:val="26"/>
          <w:lang w:val="en-US"/>
        </w:rPr>
        <w:t xml:space="preserve"> out that </w:t>
      </w:r>
      <w:r w:rsidR="007E675C">
        <w:rPr>
          <w:sz w:val="26"/>
          <w:szCs w:val="26"/>
        </w:rPr>
        <w:t>48.3</w:t>
      </w:r>
      <w:r w:rsidR="007E675C">
        <w:rPr>
          <w:sz w:val="26"/>
          <w:szCs w:val="26"/>
          <w:lang w:val="en-US"/>
        </w:rPr>
        <w:t xml:space="preserve"> percent</w:t>
      </w:r>
      <w:r w:rsidR="005569E4" w:rsidRPr="0096775E">
        <w:rPr>
          <w:sz w:val="26"/>
          <w:szCs w:val="26"/>
        </w:rPr>
        <w:t xml:space="preserve"> of </w:t>
      </w:r>
      <w:r w:rsidR="005569E4" w:rsidRPr="0096775E">
        <w:rPr>
          <w:sz w:val="26"/>
          <w:szCs w:val="26"/>
          <w:lang w:val="en-US"/>
        </w:rPr>
        <w:t xml:space="preserve">the </w:t>
      </w:r>
      <w:r w:rsidR="00B705C6" w:rsidRPr="0096775E">
        <w:rPr>
          <w:sz w:val="26"/>
          <w:szCs w:val="26"/>
          <w:lang w:val="en-US"/>
        </w:rPr>
        <w:t>Company</w:t>
      </w:r>
      <w:r w:rsidR="00B705C6">
        <w:rPr>
          <w:sz w:val="26"/>
          <w:szCs w:val="26"/>
        </w:rPr>
        <w:t>’s</w:t>
      </w:r>
      <w:r w:rsidR="007E675C">
        <w:rPr>
          <w:sz w:val="26"/>
          <w:szCs w:val="26"/>
        </w:rPr>
        <w:t xml:space="preserve"> Small C&amp;I load and 46.5</w:t>
      </w:r>
      <w:r w:rsidR="007E675C">
        <w:rPr>
          <w:sz w:val="26"/>
          <w:szCs w:val="26"/>
          <w:lang w:val="en-US"/>
        </w:rPr>
        <w:t xml:space="preserve"> percent</w:t>
      </w:r>
      <w:r w:rsidRPr="0096775E">
        <w:rPr>
          <w:sz w:val="26"/>
          <w:szCs w:val="26"/>
        </w:rPr>
        <w:t xml:space="preserve"> of </w:t>
      </w:r>
      <w:r w:rsidR="005569E4" w:rsidRPr="0096775E">
        <w:rPr>
          <w:sz w:val="26"/>
          <w:szCs w:val="26"/>
          <w:lang w:val="en-US"/>
        </w:rPr>
        <w:t xml:space="preserve">its </w:t>
      </w:r>
      <w:r w:rsidRPr="0096775E">
        <w:rPr>
          <w:sz w:val="26"/>
          <w:szCs w:val="26"/>
        </w:rPr>
        <w:t>Residential load was being served by alternative suppliers</w:t>
      </w:r>
      <w:r w:rsidRPr="0096775E">
        <w:rPr>
          <w:sz w:val="26"/>
          <w:szCs w:val="26"/>
          <w:lang w:val="en-US"/>
        </w:rPr>
        <w:t xml:space="preserve"> as </w:t>
      </w:r>
      <w:r w:rsidRPr="0096775E">
        <w:rPr>
          <w:sz w:val="26"/>
          <w:szCs w:val="26"/>
        </w:rPr>
        <w:t>of March 2014.</w:t>
      </w:r>
      <w:r w:rsidRPr="0096775E">
        <w:rPr>
          <w:rStyle w:val="FootnoteReference"/>
          <w:sz w:val="26"/>
          <w:szCs w:val="26"/>
        </w:rPr>
        <w:footnoteReference w:id="7"/>
      </w:r>
      <w:r w:rsidRPr="0096775E">
        <w:rPr>
          <w:sz w:val="26"/>
          <w:szCs w:val="26"/>
        </w:rPr>
        <w:t xml:space="preserve">  </w:t>
      </w:r>
      <w:r w:rsidR="000E6288">
        <w:rPr>
          <w:sz w:val="26"/>
          <w:szCs w:val="26"/>
          <w:lang w:val="en-US"/>
        </w:rPr>
        <w:t>Duquesne M.B. at 12-13.</w:t>
      </w:r>
      <w:r w:rsidRPr="0096775E">
        <w:rPr>
          <w:sz w:val="26"/>
          <w:szCs w:val="26"/>
        </w:rPr>
        <w:t xml:space="preserve"> </w:t>
      </w:r>
    </w:p>
    <w:p w:rsidR="00F73812" w:rsidRPr="0096775E" w:rsidRDefault="00F73812" w:rsidP="00F73812">
      <w:pPr>
        <w:pStyle w:val="BodyText2"/>
        <w:spacing w:after="0" w:line="360" w:lineRule="auto"/>
        <w:ind w:left="720"/>
        <w:rPr>
          <w:sz w:val="26"/>
          <w:szCs w:val="26"/>
          <w:lang w:val="en-US"/>
        </w:rPr>
      </w:pPr>
    </w:p>
    <w:p w:rsidR="00F73812" w:rsidRPr="0096775E" w:rsidRDefault="00F73812" w:rsidP="00F738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5569E4" w:rsidRPr="0096775E">
        <w:rPr>
          <w:rFonts w:ascii="Times New Roman" w:hAnsi="Times New Roman"/>
          <w:sz w:val="26"/>
          <w:szCs w:val="26"/>
        </w:rPr>
        <w:t>Duquesne argued</w:t>
      </w:r>
      <w:r w:rsidRPr="0096775E">
        <w:rPr>
          <w:rFonts w:ascii="Times New Roman" w:hAnsi="Times New Roman"/>
          <w:sz w:val="26"/>
          <w:szCs w:val="26"/>
        </w:rPr>
        <w:t xml:space="preserve"> </w:t>
      </w:r>
      <w:r w:rsidR="002542FE">
        <w:rPr>
          <w:rFonts w:ascii="Times New Roman" w:hAnsi="Times New Roman"/>
          <w:sz w:val="26"/>
          <w:szCs w:val="26"/>
        </w:rPr>
        <w:t xml:space="preserve">that </w:t>
      </w:r>
      <w:r w:rsidRPr="0096775E">
        <w:rPr>
          <w:rFonts w:ascii="Times New Roman" w:hAnsi="Times New Roman"/>
          <w:sz w:val="26"/>
          <w:szCs w:val="26"/>
        </w:rPr>
        <w:t xml:space="preserve">this procurement plan provides rate stability and, similar to the Residential class, the last full-requirements contract would extend into the </w:t>
      </w:r>
      <w:r w:rsidRPr="0096775E">
        <w:rPr>
          <w:rFonts w:ascii="Times New Roman" w:hAnsi="Times New Roman"/>
          <w:sz w:val="26"/>
          <w:szCs w:val="26"/>
        </w:rPr>
        <w:lastRenderedPageBreak/>
        <w:t>DSP VIII period by six months.  The Company contend</w:t>
      </w:r>
      <w:r w:rsidR="005569E4" w:rsidRPr="0096775E">
        <w:rPr>
          <w:rFonts w:ascii="Times New Roman" w:hAnsi="Times New Roman"/>
          <w:sz w:val="26"/>
          <w:szCs w:val="26"/>
        </w:rPr>
        <w:t>ed</w:t>
      </w:r>
      <w:r w:rsidRPr="0096775E">
        <w:rPr>
          <w:rFonts w:ascii="Times New Roman" w:hAnsi="Times New Roman"/>
          <w:sz w:val="26"/>
          <w:szCs w:val="26"/>
        </w:rPr>
        <w:t xml:space="preserve"> </w:t>
      </w:r>
      <w:r w:rsidR="000E6288">
        <w:rPr>
          <w:rFonts w:ascii="Times New Roman" w:hAnsi="Times New Roman"/>
          <w:sz w:val="26"/>
          <w:szCs w:val="26"/>
        </w:rPr>
        <w:t xml:space="preserve">that RESA’s </w:t>
      </w:r>
      <w:r w:rsidRPr="0096775E">
        <w:rPr>
          <w:rFonts w:ascii="Times New Roman" w:hAnsi="Times New Roman"/>
          <w:sz w:val="26"/>
          <w:szCs w:val="26"/>
        </w:rPr>
        <w:t>proposal would create a “hard stop” at the end of the DSP VII period which would expose Small C&amp;I customers to unnecessary rate instab</w:t>
      </w:r>
      <w:r w:rsidR="006B2E24">
        <w:rPr>
          <w:rFonts w:ascii="Times New Roman" w:hAnsi="Times New Roman"/>
          <w:sz w:val="26"/>
          <w:szCs w:val="26"/>
        </w:rPr>
        <w:t>ility and risk by replacing 100 percent</w:t>
      </w:r>
      <w:r w:rsidRPr="0096775E">
        <w:rPr>
          <w:rFonts w:ascii="Times New Roman" w:hAnsi="Times New Roman"/>
          <w:sz w:val="26"/>
          <w:szCs w:val="26"/>
        </w:rPr>
        <w:t xml:space="preserve"> of the </w:t>
      </w:r>
      <w:r w:rsidR="006B2E24">
        <w:rPr>
          <w:rFonts w:ascii="Times New Roman" w:hAnsi="Times New Roman"/>
          <w:sz w:val="26"/>
          <w:szCs w:val="26"/>
        </w:rPr>
        <w:t>supply load (instead of only 50 percent</w:t>
      </w:r>
      <w:r w:rsidRPr="0096775E">
        <w:rPr>
          <w:rFonts w:ascii="Times New Roman" w:hAnsi="Times New Roman"/>
          <w:sz w:val="26"/>
          <w:szCs w:val="26"/>
        </w:rPr>
        <w:t>), and would expose this class to the full impact of a significant market disruption.  Lastly,</w:t>
      </w:r>
      <w:r w:rsidR="005569E4" w:rsidRPr="0096775E">
        <w:rPr>
          <w:rFonts w:ascii="Times New Roman" w:hAnsi="Times New Roman"/>
          <w:sz w:val="26"/>
          <w:szCs w:val="26"/>
        </w:rPr>
        <w:t xml:space="preserve"> Duquesne argued</w:t>
      </w:r>
      <w:r w:rsidRPr="0096775E">
        <w:rPr>
          <w:rFonts w:ascii="Times New Roman" w:hAnsi="Times New Roman"/>
          <w:sz w:val="26"/>
          <w:szCs w:val="26"/>
        </w:rPr>
        <w:t xml:space="preserve"> </w:t>
      </w:r>
      <w:r w:rsidR="005569E4" w:rsidRPr="0096775E">
        <w:rPr>
          <w:rFonts w:ascii="Times New Roman" w:hAnsi="Times New Roman"/>
          <w:sz w:val="26"/>
          <w:szCs w:val="26"/>
        </w:rPr>
        <w:t xml:space="preserve">that </w:t>
      </w:r>
      <w:r w:rsidRPr="0096775E">
        <w:rPr>
          <w:rFonts w:ascii="Times New Roman" w:hAnsi="Times New Roman"/>
          <w:sz w:val="26"/>
          <w:szCs w:val="26"/>
        </w:rPr>
        <w:t>RESA’s proposal focuse</w:t>
      </w:r>
      <w:r w:rsidR="00D97DDD">
        <w:rPr>
          <w:rFonts w:ascii="Times New Roman" w:hAnsi="Times New Roman"/>
          <w:sz w:val="26"/>
          <w:szCs w:val="26"/>
        </w:rPr>
        <w:t>d</w:t>
      </w:r>
      <w:r w:rsidRPr="0096775E">
        <w:rPr>
          <w:rFonts w:ascii="Times New Roman" w:hAnsi="Times New Roman"/>
          <w:sz w:val="26"/>
          <w:szCs w:val="26"/>
        </w:rPr>
        <w:t xml:space="preserve"> solely on enhancing the retail market through short-term supply products to the detriment of the Commission’s stated concern for price stability.</w:t>
      </w:r>
      <w:r w:rsidR="000E6288">
        <w:rPr>
          <w:rFonts w:ascii="Times New Roman" w:hAnsi="Times New Roman"/>
          <w:sz w:val="26"/>
          <w:szCs w:val="26"/>
        </w:rPr>
        <w:t xml:space="preserve">  Duquesne M.B. at 14 -17.</w:t>
      </w:r>
    </w:p>
    <w:p w:rsidR="00F73812" w:rsidRPr="0096775E" w:rsidRDefault="00F73812" w:rsidP="00F73812">
      <w:pPr>
        <w:rPr>
          <w:rFonts w:ascii="Times New Roman" w:hAnsi="Times New Roman"/>
          <w:sz w:val="26"/>
          <w:szCs w:val="26"/>
        </w:rPr>
      </w:pPr>
      <w:r w:rsidRPr="0096775E">
        <w:rPr>
          <w:rFonts w:ascii="Times New Roman" w:hAnsi="Times New Roman"/>
          <w:sz w:val="26"/>
          <w:szCs w:val="26"/>
        </w:rPr>
        <w:tab/>
      </w:r>
    </w:p>
    <w:p w:rsidR="00F73812" w:rsidRPr="0096775E" w:rsidRDefault="00F73812" w:rsidP="00F738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RESA pro</w:t>
      </w:r>
      <w:r w:rsidR="005569E4" w:rsidRPr="0096775E">
        <w:rPr>
          <w:rFonts w:ascii="Times New Roman" w:hAnsi="Times New Roman"/>
          <w:sz w:val="26"/>
          <w:szCs w:val="26"/>
        </w:rPr>
        <w:t>posed</w:t>
      </w:r>
      <w:r w:rsidRPr="0096775E">
        <w:rPr>
          <w:rFonts w:ascii="Times New Roman" w:hAnsi="Times New Roman"/>
          <w:sz w:val="26"/>
          <w:szCs w:val="26"/>
        </w:rPr>
        <w:t xml:space="preserve"> </w:t>
      </w:r>
      <w:r w:rsidR="005569E4" w:rsidRPr="0096775E">
        <w:rPr>
          <w:rFonts w:ascii="Times New Roman" w:hAnsi="Times New Roman"/>
          <w:sz w:val="26"/>
          <w:szCs w:val="26"/>
        </w:rPr>
        <w:t xml:space="preserve">that </w:t>
      </w:r>
      <w:r w:rsidRPr="0096775E">
        <w:rPr>
          <w:rFonts w:ascii="Times New Roman" w:hAnsi="Times New Roman"/>
          <w:sz w:val="26"/>
          <w:szCs w:val="26"/>
        </w:rPr>
        <w:t xml:space="preserve">the Company procure Small C&amp;I default </w:t>
      </w:r>
      <w:r w:rsidR="000B3D21">
        <w:rPr>
          <w:rFonts w:ascii="Times New Roman" w:hAnsi="Times New Roman"/>
          <w:sz w:val="26"/>
          <w:szCs w:val="26"/>
        </w:rPr>
        <w:t>service load using a blend of twelve-month, six-month and three</w:t>
      </w:r>
      <w:r w:rsidRPr="0096775E">
        <w:rPr>
          <w:rFonts w:ascii="Times New Roman" w:hAnsi="Times New Roman"/>
          <w:sz w:val="26"/>
          <w:szCs w:val="26"/>
        </w:rPr>
        <w:t xml:space="preserve">-month full-requirements contracts.  </w:t>
      </w:r>
      <w:r w:rsidR="000B3D21">
        <w:rPr>
          <w:rFonts w:ascii="Times New Roman" w:hAnsi="Times New Roman"/>
          <w:sz w:val="26"/>
          <w:szCs w:val="26"/>
        </w:rPr>
        <w:t>RESA’s proposal would replace one of Duquesne’s proposed twelve-month contract</w:t>
      </w:r>
      <w:r w:rsidR="0061278C">
        <w:rPr>
          <w:rFonts w:ascii="Times New Roman" w:hAnsi="Times New Roman"/>
          <w:sz w:val="26"/>
          <w:szCs w:val="26"/>
        </w:rPr>
        <w:t>s</w:t>
      </w:r>
      <w:r w:rsidR="000B3D21">
        <w:rPr>
          <w:rFonts w:ascii="Times New Roman" w:hAnsi="Times New Roman"/>
          <w:sz w:val="26"/>
          <w:szCs w:val="26"/>
        </w:rPr>
        <w:t xml:space="preserve"> with two six-month products and would replace a second twelve-month contract, which currently extends into the next plan period by six months, with two three-month contracts.  </w:t>
      </w:r>
      <w:r w:rsidRPr="0096775E">
        <w:rPr>
          <w:rFonts w:ascii="Times New Roman" w:hAnsi="Times New Roman"/>
          <w:sz w:val="26"/>
          <w:szCs w:val="26"/>
        </w:rPr>
        <w:t>RESA contend</w:t>
      </w:r>
      <w:r w:rsidR="005569E4" w:rsidRPr="0096775E">
        <w:rPr>
          <w:rFonts w:ascii="Times New Roman" w:hAnsi="Times New Roman"/>
          <w:sz w:val="26"/>
          <w:szCs w:val="26"/>
        </w:rPr>
        <w:t>ed</w:t>
      </w:r>
      <w:r w:rsidRPr="0096775E">
        <w:rPr>
          <w:rFonts w:ascii="Times New Roman" w:hAnsi="Times New Roman"/>
          <w:sz w:val="26"/>
          <w:szCs w:val="26"/>
        </w:rPr>
        <w:t xml:space="preserve"> its proposal would increase market responsiveness of the mix of supply, would better support sustainable retail competition, would provide more accurate price signals and would allow suppliers to invest in the Pennsylvania market place with a myriad of value-added products and services.</w:t>
      </w:r>
      <w:r w:rsidRPr="0096775E">
        <w:rPr>
          <w:rStyle w:val="FootnoteReference"/>
          <w:rFonts w:ascii="Times New Roman" w:hAnsi="Times New Roman"/>
          <w:sz w:val="26"/>
          <w:szCs w:val="26"/>
        </w:rPr>
        <w:footnoteReference w:id="8"/>
      </w:r>
      <w:r w:rsidR="000B3D21">
        <w:rPr>
          <w:rFonts w:ascii="Times New Roman" w:hAnsi="Times New Roman"/>
          <w:sz w:val="26"/>
          <w:szCs w:val="26"/>
        </w:rPr>
        <w:t xml:space="preserve">  RESA M.B. at 8-9.</w:t>
      </w:r>
      <w:r w:rsidRPr="0096775E">
        <w:rPr>
          <w:rFonts w:ascii="Times New Roman" w:hAnsi="Times New Roman"/>
          <w:sz w:val="26"/>
          <w:szCs w:val="26"/>
        </w:rPr>
        <w:t xml:space="preserve">  </w:t>
      </w:r>
    </w:p>
    <w:p w:rsidR="00F73812" w:rsidRPr="0096775E" w:rsidRDefault="00F73812" w:rsidP="00F73812">
      <w:pPr>
        <w:rPr>
          <w:rFonts w:ascii="Times New Roman" w:hAnsi="Times New Roman"/>
          <w:sz w:val="26"/>
          <w:szCs w:val="26"/>
        </w:rPr>
      </w:pPr>
    </w:p>
    <w:p w:rsidR="00F73812" w:rsidRDefault="00F73812" w:rsidP="00F738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5569E4" w:rsidRPr="0096775E">
        <w:rPr>
          <w:rFonts w:ascii="Times New Roman" w:hAnsi="Times New Roman"/>
          <w:sz w:val="26"/>
          <w:szCs w:val="26"/>
        </w:rPr>
        <w:t>The OSBA supported the proposal of Duquesne and disagreed</w:t>
      </w:r>
      <w:r w:rsidRPr="0096775E">
        <w:rPr>
          <w:rFonts w:ascii="Times New Roman" w:hAnsi="Times New Roman"/>
          <w:sz w:val="26"/>
          <w:szCs w:val="26"/>
        </w:rPr>
        <w:t xml:space="preserve"> with RESA’s proposal.  </w:t>
      </w:r>
      <w:r w:rsidR="005569E4" w:rsidRPr="0096775E">
        <w:rPr>
          <w:rFonts w:ascii="Times New Roman" w:hAnsi="Times New Roman"/>
          <w:sz w:val="26"/>
          <w:szCs w:val="26"/>
        </w:rPr>
        <w:t>The OSBA contended</w:t>
      </w:r>
      <w:r w:rsidRPr="0096775E">
        <w:rPr>
          <w:rFonts w:ascii="Times New Roman" w:hAnsi="Times New Roman"/>
          <w:sz w:val="26"/>
          <w:szCs w:val="26"/>
        </w:rPr>
        <w:t xml:space="preserve"> </w:t>
      </w:r>
      <w:r w:rsidR="005569E4" w:rsidRPr="0096775E">
        <w:rPr>
          <w:rFonts w:ascii="Times New Roman" w:hAnsi="Times New Roman"/>
          <w:sz w:val="26"/>
          <w:szCs w:val="26"/>
        </w:rPr>
        <w:t xml:space="preserve">that </w:t>
      </w:r>
      <w:r w:rsidRPr="0096775E">
        <w:rPr>
          <w:rFonts w:ascii="Times New Roman" w:hAnsi="Times New Roman"/>
          <w:sz w:val="26"/>
          <w:szCs w:val="26"/>
        </w:rPr>
        <w:t xml:space="preserve">the Company’s proposal continues to provide reasonable price stability to this </w:t>
      </w:r>
      <w:r w:rsidR="005569E4" w:rsidRPr="0096775E">
        <w:rPr>
          <w:rFonts w:ascii="Times New Roman" w:hAnsi="Times New Roman"/>
          <w:sz w:val="26"/>
          <w:szCs w:val="26"/>
        </w:rPr>
        <w:t xml:space="preserve">class of customers.  OSBA pointed </w:t>
      </w:r>
      <w:r w:rsidR="00E07E0F">
        <w:rPr>
          <w:rFonts w:ascii="Times New Roman" w:hAnsi="Times New Roman"/>
          <w:sz w:val="26"/>
          <w:szCs w:val="26"/>
        </w:rPr>
        <w:t>out the Duquesne proposal offer</w:t>
      </w:r>
      <w:r w:rsidR="005569E4" w:rsidRPr="0096775E">
        <w:rPr>
          <w:rFonts w:ascii="Times New Roman" w:hAnsi="Times New Roman"/>
          <w:sz w:val="26"/>
          <w:szCs w:val="26"/>
        </w:rPr>
        <w:t>ed</w:t>
      </w:r>
      <w:r w:rsidRPr="0096775E">
        <w:rPr>
          <w:rFonts w:ascii="Times New Roman" w:hAnsi="Times New Roman"/>
          <w:sz w:val="26"/>
          <w:szCs w:val="26"/>
        </w:rPr>
        <w:t xml:space="preserve"> a fixed-price rate that would reset two times per year and be recon</w:t>
      </w:r>
      <w:r w:rsidR="00AC09C8">
        <w:rPr>
          <w:rFonts w:ascii="Times New Roman" w:hAnsi="Times New Roman"/>
          <w:sz w:val="26"/>
          <w:szCs w:val="26"/>
        </w:rPr>
        <w:t>ciled semi-annually using six-month and twelve</w:t>
      </w:r>
      <w:r w:rsidRPr="0096775E">
        <w:rPr>
          <w:rFonts w:ascii="Times New Roman" w:hAnsi="Times New Roman"/>
          <w:sz w:val="26"/>
          <w:szCs w:val="26"/>
        </w:rPr>
        <w:t>-month fixed price, full-requirements, load-following contracts awarded using a RFP procurement process.</w:t>
      </w:r>
      <w:r w:rsidRPr="0096775E">
        <w:rPr>
          <w:rStyle w:val="FootnoteReference"/>
          <w:rFonts w:ascii="Times New Roman" w:hAnsi="Times New Roman"/>
          <w:sz w:val="26"/>
          <w:szCs w:val="26"/>
        </w:rPr>
        <w:footnoteReference w:id="9"/>
      </w:r>
      <w:r w:rsidRPr="0096775E">
        <w:rPr>
          <w:rFonts w:ascii="Times New Roman" w:hAnsi="Times New Roman"/>
          <w:sz w:val="26"/>
          <w:szCs w:val="26"/>
        </w:rPr>
        <w:t xml:space="preserve">  </w:t>
      </w:r>
      <w:r w:rsidR="005569E4" w:rsidRPr="0096775E">
        <w:rPr>
          <w:rFonts w:ascii="Times New Roman" w:hAnsi="Times New Roman"/>
          <w:sz w:val="26"/>
          <w:szCs w:val="26"/>
        </w:rPr>
        <w:t>The OSBA argued that RESA failed</w:t>
      </w:r>
      <w:r w:rsidRPr="0096775E">
        <w:rPr>
          <w:rFonts w:ascii="Times New Roman" w:hAnsi="Times New Roman"/>
          <w:sz w:val="26"/>
          <w:szCs w:val="26"/>
        </w:rPr>
        <w:t xml:space="preserve"> to acknowledge the Commissi</w:t>
      </w:r>
      <w:r w:rsidR="006B2E24">
        <w:rPr>
          <w:rFonts w:ascii="Times New Roman" w:hAnsi="Times New Roman"/>
          <w:sz w:val="26"/>
          <w:szCs w:val="26"/>
        </w:rPr>
        <w:t xml:space="preserve">on already rejected exactly </w:t>
      </w:r>
      <w:r w:rsidR="006B2E24">
        <w:rPr>
          <w:rFonts w:ascii="Times New Roman" w:hAnsi="Times New Roman"/>
          <w:sz w:val="26"/>
          <w:szCs w:val="26"/>
        </w:rPr>
        <w:lastRenderedPageBreak/>
        <w:t>the</w:t>
      </w:r>
      <w:r w:rsidRPr="0096775E">
        <w:rPr>
          <w:rFonts w:ascii="Times New Roman" w:hAnsi="Times New Roman"/>
          <w:sz w:val="26"/>
          <w:szCs w:val="26"/>
        </w:rPr>
        <w:t xml:space="preserve"> same contention made by RESA in another proceeding that Act 129 mandates default service prices be market-reflective and market-responsive.</w:t>
      </w:r>
      <w:r w:rsidRPr="0096775E">
        <w:rPr>
          <w:rStyle w:val="FootnoteReference"/>
          <w:rFonts w:ascii="Times New Roman" w:hAnsi="Times New Roman"/>
          <w:sz w:val="26"/>
          <w:szCs w:val="26"/>
        </w:rPr>
        <w:footnoteReference w:id="10"/>
      </w:r>
      <w:r w:rsidRPr="0096775E">
        <w:rPr>
          <w:rFonts w:ascii="Times New Roman" w:hAnsi="Times New Roman"/>
          <w:sz w:val="26"/>
          <w:szCs w:val="26"/>
        </w:rPr>
        <w:t xml:space="preserve">  </w:t>
      </w:r>
      <w:r w:rsidR="00F7506D">
        <w:rPr>
          <w:rFonts w:ascii="Times New Roman" w:hAnsi="Times New Roman"/>
          <w:sz w:val="26"/>
          <w:szCs w:val="26"/>
        </w:rPr>
        <w:t>OSBA M.B. at 7-11.</w:t>
      </w:r>
    </w:p>
    <w:p w:rsidR="00311032" w:rsidRPr="0096775E" w:rsidRDefault="00311032" w:rsidP="00F73812">
      <w:pPr>
        <w:rPr>
          <w:rFonts w:ascii="Times New Roman" w:hAnsi="Times New Roman"/>
          <w:sz w:val="26"/>
          <w:szCs w:val="26"/>
        </w:rPr>
      </w:pPr>
    </w:p>
    <w:p w:rsidR="00AB763E" w:rsidRPr="0096775E" w:rsidRDefault="00AB763E" w:rsidP="00F73812">
      <w:pPr>
        <w:rPr>
          <w:rFonts w:ascii="Times New Roman" w:hAnsi="Times New Roman"/>
          <w:b/>
          <w:sz w:val="26"/>
          <w:szCs w:val="26"/>
        </w:rPr>
      </w:pPr>
      <w:r w:rsidRPr="0096775E">
        <w:rPr>
          <w:rFonts w:ascii="Times New Roman" w:hAnsi="Times New Roman"/>
          <w:sz w:val="26"/>
          <w:szCs w:val="26"/>
        </w:rPr>
        <w:tab/>
      </w:r>
      <w:r w:rsidRPr="0096775E">
        <w:rPr>
          <w:rFonts w:ascii="Times New Roman" w:hAnsi="Times New Roman"/>
          <w:b/>
          <w:sz w:val="26"/>
          <w:szCs w:val="26"/>
        </w:rPr>
        <w:t>2.</w:t>
      </w:r>
      <w:r w:rsidRPr="0096775E">
        <w:rPr>
          <w:rFonts w:ascii="Times New Roman" w:hAnsi="Times New Roman"/>
          <w:b/>
          <w:sz w:val="26"/>
          <w:szCs w:val="26"/>
        </w:rPr>
        <w:tab/>
        <w:t>ALJ’s Recommendation</w:t>
      </w:r>
    </w:p>
    <w:p w:rsidR="00AB763E" w:rsidRPr="0096775E" w:rsidRDefault="00AB763E" w:rsidP="00F73812">
      <w:pPr>
        <w:rPr>
          <w:rFonts w:ascii="Times New Roman" w:hAnsi="Times New Roman"/>
          <w:b/>
          <w:sz w:val="26"/>
          <w:szCs w:val="26"/>
        </w:rPr>
      </w:pPr>
    </w:p>
    <w:p w:rsidR="00145DD1" w:rsidRPr="0096775E" w:rsidRDefault="00AB763E" w:rsidP="006D7BA9">
      <w:pPr>
        <w:pStyle w:val="BodyText2"/>
        <w:spacing w:after="0" w:line="360" w:lineRule="auto"/>
        <w:ind w:firstLine="1440"/>
        <w:rPr>
          <w:sz w:val="26"/>
          <w:szCs w:val="26"/>
        </w:rPr>
      </w:pPr>
      <w:r w:rsidRPr="0096775E">
        <w:rPr>
          <w:sz w:val="26"/>
          <w:szCs w:val="26"/>
        </w:rPr>
        <w:t xml:space="preserve">In her Recommended Decision, the ALJ </w:t>
      </w:r>
      <w:r w:rsidR="002542FE">
        <w:rPr>
          <w:sz w:val="26"/>
          <w:szCs w:val="26"/>
          <w:lang w:val="en-US"/>
        </w:rPr>
        <w:t xml:space="preserve">first </w:t>
      </w:r>
      <w:r w:rsidR="00145DD1" w:rsidRPr="0096775E">
        <w:rPr>
          <w:sz w:val="26"/>
          <w:szCs w:val="26"/>
          <w:lang w:val="en-US"/>
        </w:rPr>
        <w:t xml:space="preserve">noted that </w:t>
      </w:r>
      <w:r w:rsidR="00145DD1" w:rsidRPr="0096775E">
        <w:rPr>
          <w:sz w:val="26"/>
          <w:szCs w:val="26"/>
        </w:rPr>
        <w:t>the DSP VII procurement plan</w:t>
      </w:r>
      <w:r w:rsidR="00145DD1" w:rsidRPr="0096775E">
        <w:rPr>
          <w:sz w:val="26"/>
          <w:szCs w:val="26"/>
          <w:lang w:val="en-US"/>
        </w:rPr>
        <w:t xml:space="preserve"> discussed herein</w:t>
      </w:r>
      <w:r w:rsidR="00145DD1" w:rsidRPr="0096775E">
        <w:rPr>
          <w:sz w:val="26"/>
          <w:szCs w:val="26"/>
        </w:rPr>
        <w:t xml:space="preserve"> for Small C&amp;I customers is the same procurement plan </w:t>
      </w:r>
      <w:r w:rsidR="00D74AE5">
        <w:rPr>
          <w:sz w:val="26"/>
          <w:szCs w:val="26"/>
          <w:lang w:val="en-US"/>
        </w:rPr>
        <w:t xml:space="preserve">Duquesne </w:t>
      </w:r>
      <w:r w:rsidR="00145DD1" w:rsidRPr="0096775E">
        <w:rPr>
          <w:sz w:val="26"/>
          <w:szCs w:val="26"/>
          <w:lang w:val="en-US"/>
        </w:rPr>
        <w:t>currently offers</w:t>
      </w:r>
      <w:r w:rsidR="00145DD1" w:rsidRPr="0096775E">
        <w:rPr>
          <w:sz w:val="26"/>
          <w:szCs w:val="26"/>
        </w:rPr>
        <w:t xml:space="preserve"> Small C&amp;I customers under DSP VI.</w:t>
      </w:r>
      <w:r w:rsidR="00D74AE5">
        <w:rPr>
          <w:sz w:val="26"/>
          <w:szCs w:val="26"/>
          <w:lang w:val="en-US"/>
        </w:rPr>
        <w:t xml:space="preserve">  The ALJ found that </w:t>
      </w:r>
      <w:r w:rsidR="00145DD1" w:rsidRPr="0096775E">
        <w:rPr>
          <w:sz w:val="26"/>
          <w:szCs w:val="26"/>
        </w:rPr>
        <w:t>RESA’s proposal would inject two “hard stops” of supplies in</w:t>
      </w:r>
      <w:r w:rsidR="00D74AE5">
        <w:rPr>
          <w:sz w:val="26"/>
          <w:szCs w:val="26"/>
          <w:lang w:val="en-US"/>
        </w:rPr>
        <w:t>to</w:t>
      </w:r>
      <w:r w:rsidR="00145DD1" w:rsidRPr="0096775E">
        <w:rPr>
          <w:sz w:val="26"/>
          <w:szCs w:val="26"/>
        </w:rPr>
        <w:t xml:space="preserve"> the procurement plan and would eliminate the overhang contract at the end of the proposed DSP VII Plan which will provide a portion of supplies for the next DSP Plan – DSP VIII.  </w:t>
      </w:r>
      <w:r w:rsidR="006D7BA9">
        <w:rPr>
          <w:sz w:val="26"/>
          <w:szCs w:val="26"/>
          <w:lang w:val="en-US"/>
        </w:rPr>
        <w:t>According to the ALJ, t</w:t>
      </w:r>
      <w:r w:rsidR="00145DD1" w:rsidRPr="0096775E">
        <w:rPr>
          <w:sz w:val="26"/>
          <w:szCs w:val="26"/>
        </w:rPr>
        <w:t>he DSP</w:t>
      </w:r>
      <w:r w:rsidR="006B2E24">
        <w:rPr>
          <w:sz w:val="26"/>
          <w:szCs w:val="26"/>
        </w:rPr>
        <w:t xml:space="preserve"> VII plan avoids purchasing 100</w:t>
      </w:r>
      <w:r w:rsidR="006B2E24">
        <w:rPr>
          <w:sz w:val="26"/>
          <w:szCs w:val="26"/>
          <w:lang w:val="en-US"/>
        </w:rPr>
        <w:t xml:space="preserve"> percent</w:t>
      </w:r>
      <w:r w:rsidR="00145DD1" w:rsidRPr="0096775E">
        <w:rPr>
          <w:sz w:val="26"/>
          <w:szCs w:val="26"/>
        </w:rPr>
        <w:t xml:space="preserve"> of the supply at one point in time or even within a short, few-month period of time.  </w:t>
      </w:r>
      <w:r w:rsidR="006D7BA9">
        <w:rPr>
          <w:sz w:val="26"/>
          <w:szCs w:val="26"/>
          <w:lang w:val="en-US"/>
        </w:rPr>
        <w:t>The ALJ stated that t</w:t>
      </w:r>
      <w:r w:rsidR="00145DD1" w:rsidRPr="0096775E">
        <w:rPr>
          <w:sz w:val="26"/>
          <w:szCs w:val="26"/>
        </w:rPr>
        <w:t xml:space="preserve">he use of “hard stops” in procurement exposes customers to unnecessary rate instability and risk because </w:t>
      </w:r>
      <w:r w:rsidR="00145DD1" w:rsidRPr="006D7BA9">
        <w:rPr>
          <w:sz w:val="26"/>
          <w:szCs w:val="26"/>
        </w:rPr>
        <w:t>all of</w:t>
      </w:r>
      <w:r w:rsidR="00145DD1" w:rsidRPr="0096775E">
        <w:rPr>
          <w:sz w:val="26"/>
          <w:szCs w:val="26"/>
        </w:rPr>
        <w:t xml:space="preserve"> the default service load would be solicited at one time or within a short period of time.  </w:t>
      </w:r>
      <w:r w:rsidR="006D7BA9">
        <w:rPr>
          <w:sz w:val="26"/>
          <w:szCs w:val="26"/>
          <w:lang w:val="en-US"/>
        </w:rPr>
        <w:t>As such, the ALJ noted that c</w:t>
      </w:r>
      <w:r w:rsidR="00B705C6" w:rsidRPr="0096775E">
        <w:rPr>
          <w:sz w:val="26"/>
          <w:szCs w:val="26"/>
        </w:rPr>
        <w:t>ustomers</w:t>
      </w:r>
      <w:r w:rsidR="00145DD1" w:rsidRPr="0096775E">
        <w:rPr>
          <w:sz w:val="26"/>
          <w:szCs w:val="26"/>
        </w:rPr>
        <w:t xml:space="preserve"> would be fully exposed to the impacts of significant market disruptions, such as the recent “Polar Vortex.”  </w:t>
      </w:r>
      <w:r w:rsidR="006D7BA9">
        <w:rPr>
          <w:sz w:val="26"/>
          <w:szCs w:val="26"/>
          <w:lang w:val="en-US"/>
        </w:rPr>
        <w:t>The ALJ referred to t</w:t>
      </w:r>
      <w:r w:rsidR="00145DD1" w:rsidRPr="0096775E">
        <w:rPr>
          <w:sz w:val="26"/>
          <w:szCs w:val="26"/>
        </w:rPr>
        <w:t>he Company</w:t>
      </w:r>
      <w:r w:rsidR="006D7BA9">
        <w:rPr>
          <w:sz w:val="26"/>
          <w:szCs w:val="26"/>
          <w:lang w:val="en-US"/>
        </w:rPr>
        <w:t xml:space="preserve">’s </w:t>
      </w:r>
      <w:r w:rsidR="00145DD1" w:rsidRPr="0096775E">
        <w:rPr>
          <w:sz w:val="26"/>
          <w:szCs w:val="26"/>
        </w:rPr>
        <w:t xml:space="preserve">analysis which convincingly demonstrated </w:t>
      </w:r>
      <w:r w:rsidR="006D7BA9">
        <w:rPr>
          <w:sz w:val="26"/>
          <w:szCs w:val="26"/>
          <w:lang w:val="en-US"/>
        </w:rPr>
        <w:t xml:space="preserve">that </w:t>
      </w:r>
      <w:r w:rsidR="00145DD1" w:rsidRPr="0096775E">
        <w:rPr>
          <w:sz w:val="26"/>
          <w:szCs w:val="26"/>
        </w:rPr>
        <w:t xml:space="preserve">RESA’s proposal </w:t>
      </w:r>
      <w:r w:rsidR="006D7BA9">
        <w:rPr>
          <w:sz w:val="26"/>
          <w:szCs w:val="26"/>
          <w:lang w:val="en-US"/>
        </w:rPr>
        <w:t xml:space="preserve">with regard to Small C&amp;I procurement </w:t>
      </w:r>
      <w:r w:rsidR="00145DD1" w:rsidRPr="0096775E">
        <w:rPr>
          <w:sz w:val="26"/>
          <w:szCs w:val="26"/>
        </w:rPr>
        <w:t xml:space="preserve">would </w:t>
      </w:r>
      <w:r w:rsidR="00145DD1" w:rsidRPr="006D7BA9">
        <w:rPr>
          <w:sz w:val="26"/>
          <w:szCs w:val="26"/>
        </w:rPr>
        <w:t xml:space="preserve">double </w:t>
      </w:r>
      <w:r w:rsidR="00145DD1" w:rsidRPr="0096775E">
        <w:rPr>
          <w:sz w:val="26"/>
          <w:szCs w:val="26"/>
        </w:rPr>
        <w:t>rate instability as compared to the Company’s plan.</w:t>
      </w:r>
      <w:r w:rsidR="00B943E3">
        <w:rPr>
          <w:sz w:val="26"/>
          <w:szCs w:val="26"/>
          <w:lang w:val="en-US"/>
        </w:rPr>
        <w:t xml:space="preserve"> </w:t>
      </w:r>
      <w:r w:rsidR="006D7BA9">
        <w:rPr>
          <w:sz w:val="26"/>
          <w:szCs w:val="26"/>
          <w:lang w:val="en-US"/>
        </w:rPr>
        <w:t xml:space="preserve"> R.D. at 22-23.</w:t>
      </w:r>
      <w:r w:rsidR="00145DD1" w:rsidRPr="0096775E">
        <w:rPr>
          <w:sz w:val="26"/>
          <w:szCs w:val="26"/>
        </w:rPr>
        <w:t xml:space="preserve">  </w:t>
      </w:r>
    </w:p>
    <w:p w:rsidR="00145DD1" w:rsidRPr="0096775E" w:rsidRDefault="00145DD1" w:rsidP="00145DD1">
      <w:pPr>
        <w:rPr>
          <w:rFonts w:ascii="Times New Roman" w:hAnsi="Times New Roman"/>
          <w:sz w:val="26"/>
          <w:szCs w:val="26"/>
        </w:rPr>
      </w:pPr>
    </w:p>
    <w:p w:rsidR="008B5F97" w:rsidRDefault="00145DD1" w:rsidP="00145DD1">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6E0F98">
        <w:rPr>
          <w:rFonts w:ascii="Times New Roman" w:hAnsi="Times New Roman"/>
          <w:sz w:val="26"/>
          <w:szCs w:val="26"/>
        </w:rPr>
        <w:t xml:space="preserve">The ALJ concluded that Duquesne’s </w:t>
      </w:r>
      <w:r w:rsidR="006E0F98" w:rsidRPr="0096775E">
        <w:rPr>
          <w:rFonts w:ascii="Times New Roman" w:hAnsi="Times New Roman"/>
          <w:sz w:val="26"/>
          <w:szCs w:val="26"/>
        </w:rPr>
        <w:t>prop</w:t>
      </w:r>
      <w:r w:rsidR="007E675C">
        <w:rPr>
          <w:rFonts w:ascii="Times New Roman" w:hAnsi="Times New Roman"/>
          <w:sz w:val="26"/>
          <w:szCs w:val="26"/>
        </w:rPr>
        <w:t xml:space="preserve">osal should be accepted for </w:t>
      </w:r>
      <w:r w:rsidR="006E0F98" w:rsidRPr="0096775E">
        <w:rPr>
          <w:rFonts w:ascii="Times New Roman" w:hAnsi="Times New Roman"/>
          <w:sz w:val="26"/>
          <w:szCs w:val="26"/>
        </w:rPr>
        <w:t>DSP VII and the Small C&amp;I customer class should mirror the Residential class for default service procurement.</w:t>
      </w:r>
      <w:r w:rsidR="006E0F98">
        <w:rPr>
          <w:rFonts w:ascii="Times New Roman" w:hAnsi="Times New Roman"/>
          <w:sz w:val="26"/>
          <w:szCs w:val="26"/>
        </w:rPr>
        <w:t xml:space="preserve">  The ALJ found that </w:t>
      </w:r>
      <w:r w:rsidRPr="0096775E">
        <w:rPr>
          <w:rFonts w:ascii="Times New Roman" w:hAnsi="Times New Roman"/>
          <w:sz w:val="26"/>
          <w:szCs w:val="26"/>
        </w:rPr>
        <w:t>RESA’s proposed three and six month supply products are not necessary to support sustainable reta</w:t>
      </w:r>
      <w:r w:rsidR="006E0F98">
        <w:rPr>
          <w:rFonts w:ascii="Times New Roman" w:hAnsi="Times New Roman"/>
          <w:sz w:val="26"/>
          <w:szCs w:val="26"/>
        </w:rPr>
        <w:t xml:space="preserve">il competition.  She noted that Duquesne </w:t>
      </w:r>
      <w:r w:rsidRPr="0096775E">
        <w:rPr>
          <w:rFonts w:ascii="Times New Roman" w:hAnsi="Times New Roman"/>
          <w:sz w:val="26"/>
          <w:szCs w:val="26"/>
        </w:rPr>
        <w:t xml:space="preserve">has a long history with default service and has offered the majority of its </w:t>
      </w:r>
      <w:r w:rsidRPr="0096775E">
        <w:rPr>
          <w:rFonts w:ascii="Times New Roman" w:hAnsi="Times New Roman"/>
          <w:sz w:val="26"/>
          <w:szCs w:val="26"/>
        </w:rPr>
        <w:lastRenderedPageBreak/>
        <w:t xml:space="preserve">customers fixed price default service supply rates for many years.  </w:t>
      </w:r>
      <w:r w:rsidR="006E0F98">
        <w:rPr>
          <w:rFonts w:ascii="Times New Roman" w:hAnsi="Times New Roman"/>
          <w:sz w:val="26"/>
          <w:szCs w:val="26"/>
        </w:rPr>
        <w:t>The ALJ further noted that o</w:t>
      </w:r>
      <w:r w:rsidRPr="0096775E">
        <w:rPr>
          <w:rFonts w:ascii="Times New Roman" w:hAnsi="Times New Roman"/>
          <w:sz w:val="26"/>
          <w:szCs w:val="26"/>
        </w:rPr>
        <w:t>ver the previous six</w:t>
      </w:r>
      <w:r w:rsidR="006E0F98">
        <w:rPr>
          <w:rFonts w:ascii="Times New Roman" w:hAnsi="Times New Roman"/>
          <w:sz w:val="26"/>
          <w:szCs w:val="26"/>
        </w:rPr>
        <w:t xml:space="preserve"> DSP </w:t>
      </w:r>
      <w:r w:rsidR="002A6B46">
        <w:rPr>
          <w:rFonts w:ascii="Times New Roman" w:hAnsi="Times New Roman"/>
          <w:sz w:val="26"/>
          <w:szCs w:val="26"/>
        </w:rPr>
        <w:t>p</w:t>
      </w:r>
      <w:r w:rsidR="006E0F98">
        <w:rPr>
          <w:rFonts w:ascii="Times New Roman" w:hAnsi="Times New Roman"/>
          <w:sz w:val="26"/>
          <w:szCs w:val="26"/>
        </w:rPr>
        <w:t xml:space="preserve">lan years, Duquesne </w:t>
      </w:r>
      <w:r w:rsidRPr="0096775E">
        <w:rPr>
          <w:rFonts w:ascii="Times New Roman" w:hAnsi="Times New Roman"/>
          <w:sz w:val="26"/>
          <w:szCs w:val="26"/>
        </w:rPr>
        <w:t>has achieved some of the highest levels of customer load switched in the United States and consistently is among the top electric utility service areas in the United States in terms of percentage of total load receiving service from a competitive supplier.</w:t>
      </w:r>
      <w:r w:rsidR="00B943E3">
        <w:rPr>
          <w:rFonts w:ascii="Times New Roman" w:hAnsi="Times New Roman"/>
          <w:sz w:val="26"/>
          <w:szCs w:val="26"/>
        </w:rPr>
        <w:t xml:space="preserve"> </w:t>
      </w:r>
      <w:r w:rsidRPr="0096775E">
        <w:rPr>
          <w:rFonts w:ascii="Times New Roman" w:hAnsi="Times New Roman"/>
          <w:sz w:val="26"/>
          <w:szCs w:val="26"/>
        </w:rPr>
        <w:t xml:space="preserve"> </w:t>
      </w:r>
      <w:r w:rsidR="006E0F98">
        <w:rPr>
          <w:rFonts w:ascii="Times New Roman" w:hAnsi="Times New Roman"/>
          <w:sz w:val="26"/>
          <w:szCs w:val="26"/>
        </w:rPr>
        <w:t>According to the ALJ, t</w:t>
      </w:r>
      <w:r w:rsidRPr="0096775E">
        <w:rPr>
          <w:rFonts w:ascii="Times New Roman" w:hAnsi="Times New Roman"/>
          <w:sz w:val="26"/>
          <w:szCs w:val="26"/>
        </w:rPr>
        <w:t>he Company’s customers already enjoy a high level of retail competition and the incentive to shop would be lessened due to price instability and a chilling effect on shopping if RESA’s</w:t>
      </w:r>
      <w:r w:rsidR="006E0F98">
        <w:rPr>
          <w:rFonts w:ascii="Times New Roman" w:hAnsi="Times New Roman"/>
          <w:sz w:val="26"/>
          <w:szCs w:val="26"/>
        </w:rPr>
        <w:t xml:space="preserve"> proposal were accepted over Duquesne</w:t>
      </w:r>
      <w:r w:rsidRPr="0096775E">
        <w:rPr>
          <w:rFonts w:ascii="Times New Roman" w:hAnsi="Times New Roman"/>
          <w:sz w:val="26"/>
          <w:szCs w:val="26"/>
        </w:rPr>
        <w:t>’s proposal</w:t>
      </w:r>
      <w:r w:rsidR="006E0F98">
        <w:rPr>
          <w:rFonts w:ascii="Times New Roman" w:hAnsi="Times New Roman"/>
          <w:sz w:val="26"/>
          <w:szCs w:val="26"/>
        </w:rPr>
        <w:t xml:space="preserve">.  R.D. at 23.  </w:t>
      </w:r>
    </w:p>
    <w:p w:rsidR="006E0F98" w:rsidRPr="0096775E" w:rsidRDefault="006E0F98" w:rsidP="00145DD1">
      <w:pPr>
        <w:rPr>
          <w:rFonts w:ascii="Times New Roman" w:hAnsi="Times New Roman"/>
          <w:sz w:val="26"/>
          <w:szCs w:val="26"/>
        </w:rPr>
      </w:pPr>
    </w:p>
    <w:p w:rsidR="00AB763E" w:rsidRDefault="006628ED" w:rsidP="00F73812">
      <w:pPr>
        <w:rPr>
          <w:rFonts w:ascii="Times New Roman" w:hAnsi="Times New Roman"/>
          <w:b/>
          <w:sz w:val="26"/>
          <w:szCs w:val="26"/>
        </w:rPr>
      </w:pPr>
      <w:r w:rsidRPr="0096775E">
        <w:rPr>
          <w:rFonts w:ascii="Times New Roman" w:hAnsi="Times New Roman"/>
          <w:sz w:val="26"/>
          <w:szCs w:val="26"/>
        </w:rPr>
        <w:tab/>
      </w:r>
      <w:r w:rsidRPr="0096775E">
        <w:rPr>
          <w:rFonts w:ascii="Times New Roman" w:hAnsi="Times New Roman"/>
          <w:b/>
          <w:sz w:val="26"/>
          <w:szCs w:val="26"/>
        </w:rPr>
        <w:t>3.</w:t>
      </w:r>
      <w:r w:rsidRPr="0096775E">
        <w:rPr>
          <w:rFonts w:ascii="Times New Roman" w:hAnsi="Times New Roman"/>
          <w:b/>
          <w:sz w:val="26"/>
          <w:szCs w:val="26"/>
        </w:rPr>
        <w:tab/>
        <w:t>Exceptions and Replies</w:t>
      </w:r>
    </w:p>
    <w:p w:rsidR="007F0E02" w:rsidRDefault="007F0E02" w:rsidP="00F73812">
      <w:pPr>
        <w:rPr>
          <w:rFonts w:ascii="Times New Roman" w:hAnsi="Times New Roman"/>
          <w:b/>
          <w:sz w:val="26"/>
          <w:szCs w:val="26"/>
        </w:rPr>
      </w:pPr>
    </w:p>
    <w:p w:rsidR="001866BF" w:rsidRDefault="007F0E02" w:rsidP="00F73812">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7F0E02">
        <w:rPr>
          <w:rFonts w:ascii="Times New Roman" w:hAnsi="Times New Roman"/>
          <w:sz w:val="26"/>
          <w:szCs w:val="26"/>
        </w:rPr>
        <w:t xml:space="preserve">In its Exceptions, </w:t>
      </w:r>
      <w:r>
        <w:rPr>
          <w:rFonts w:ascii="Times New Roman" w:hAnsi="Times New Roman"/>
          <w:sz w:val="26"/>
          <w:szCs w:val="26"/>
        </w:rPr>
        <w:t xml:space="preserve">RESA states that </w:t>
      </w:r>
      <w:r w:rsidR="00FD6F43">
        <w:rPr>
          <w:rFonts w:ascii="Times New Roman" w:hAnsi="Times New Roman"/>
          <w:sz w:val="26"/>
          <w:szCs w:val="26"/>
        </w:rPr>
        <w:t xml:space="preserve">the ALJ erred in rejecting its proposal to </w:t>
      </w:r>
      <w:r w:rsidR="00D00350">
        <w:rPr>
          <w:rFonts w:ascii="Times New Roman" w:hAnsi="Times New Roman"/>
          <w:sz w:val="26"/>
          <w:szCs w:val="26"/>
        </w:rPr>
        <w:t>incorporate three-month and six-</w:t>
      </w:r>
      <w:r w:rsidR="00FD6F43">
        <w:rPr>
          <w:rFonts w:ascii="Times New Roman" w:hAnsi="Times New Roman"/>
          <w:sz w:val="26"/>
          <w:szCs w:val="26"/>
        </w:rPr>
        <w:t>month contracts into Duquesne’s proposed portfolio as the Company’s proposal represents no progress towards default service rates that are</w:t>
      </w:r>
      <w:r w:rsidR="00C46EB6">
        <w:rPr>
          <w:rFonts w:ascii="Times New Roman" w:hAnsi="Times New Roman"/>
          <w:sz w:val="26"/>
          <w:szCs w:val="26"/>
        </w:rPr>
        <w:t xml:space="preserve"> more</w:t>
      </w:r>
      <w:r w:rsidR="00FD6F43">
        <w:rPr>
          <w:rFonts w:ascii="Times New Roman" w:hAnsi="Times New Roman"/>
          <w:sz w:val="26"/>
          <w:szCs w:val="26"/>
        </w:rPr>
        <w:t xml:space="preserve"> market responsive.</w:t>
      </w:r>
      <w:r w:rsidR="00006A20">
        <w:rPr>
          <w:rFonts w:ascii="Times New Roman" w:hAnsi="Times New Roman"/>
          <w:sz w:val="26"/>
          <w:szCs w:val="26"/>
        </w:rPr>
        <w:t xml:space="preserve">  RESA avers that Duquesne’s proposal of solely twelve-month contracts represents a step backwards in providing market responsive rates as Duquesne’s DSP VI included a six-month contract at the end of the plan period.  RESA avers that the ALJ’s failure to recommend a portfolio that is more market reflective than the portfolio currently in existence runs counter to the Commission’s explicit directive in the </w:t>
      </w:r>
      <w:r w:rsidR="00D00350">
        <w:rPr>
          <w:rFonts w:ascii="Times New Roman" w:hAnsi="Times New Roman"/>
          <w:i/>
          <w:sz w:val="26"/>
          <w:szCs w:val="26"/>
        </w:rPr>
        <w:t>Investigation of Pennsylvania’s Retail Electricity Market</w:t>
      </w:r>
      <w:r w:rsidR="000C06F1">
        <w:rPr>
          <w:rFonts w:ascii="Times New Roman" w:hAnsi="Times New Roman"/>
          <w:i/>
          <w:sz w:val="26"/>
          <w:szCs w:val="26"/>
        </w:rPr>
        <w:t>:</w:t>
      </w:r>
      <w:r w:rsidR="00D00350">
        <w:rPr>
          <w:rFonts w:ascii="Times New Roman" w:hAnsi="Times New Roman"/>
          <w:i/>
          <w:sz w:val="26"/>
          <w:szCs w:val="26"/>
        </w:rPr>
        <w:t xml:space="preserve"> End State of Default Service, </w:t>
      </w:r>
      <w:r w:rsidR="00D00350" w:rsidRPr="00D00350">
        <w:rPr>
          <w:rFonts w:ascii="Times New Roman" w:hAnsi="Times New Roman"/>
          <w:sz w:val="26"/>
          <w:szCs w:val="26"/>
        </w:rPr>
        <w:t>Docket No. I-2011-2237952</w:t>
      </w:r>
      <w:r w:rsidR="00D00350">
        <w:rPr>
          <w:rFonts w:ascii="Times New Roman" w:hAnsi="Times New Roman"/>
          <w:i/>
          <w:sz w:val="26"/>
          <w:szCs w:val="26"/>
        </w:rPr>
        <w:t xml:space="preserve"> </w:t>
      </w:r>
      <w:r w:rsidR="00D00350">
        <w:rPr>
          <w:rFonts w:ascii="Times New Roman" w:hAnsi="Times New Roman"/>
          <w:sz w:val="26"/>
          <w:szCs w:val="26"/>
        </w:rPr>
        <w:t>(Order entered February 15, 2013)</w:t>
      </w:r>
      <w:r w:rsidR="000C06F1">
        <w:rPr>
          <w:rFonts w:ascii="Times New Roman" w:hAnsi="Times New Roman"/>
          <w:sz w:val="26"/>
          <w:szCs w:val="26"/>
        </w:rPr>
        <w:t xml:space="preserve"> </w:t>
      </w:r>
      <w:r w:rsidR="00D00350">
        <w:rPr>
          <w:rFonts w:ascii="Times New Roman" w:hAnsi="Times New Roman"/>
          <w:sz w:val="26"/>
          <w:szCs w:val="26"/>
        </w:rPr>
        <w:t>(</w:t>
      </w:r>
      <w:r w:rsidR="00006A20">
        <w:rPr>
          <w:rFonts w:ascii="Times New Roman" w:hAnsi="Times New Roman"/>
          <w:i/>
          <w:sz w:val="26"/>
          <w:szCs w:val="26"/>
        </w:rPr>
        <w:t>End State Order</w:t>
      </w:r>
      <w:r w:rsidR="00D00350">
        <w:rPr>
          <w:rFonts w:ascii="Times New Roman" w:hAnsi="Times New Roman"/>
          <w:i/>
          <w:sz w:val="26"/>
          <w:szCs w:val="26"/>
        </w:rPr>
        <w:t>)</w:t>
      </w:r>
      <w:r w:rsidR="008263CE">
        <w:rPr>
          <w:rFonts w:ascii="Times New Roman" w:hAnsi="Times New Roman"/>
          <w:sz w:val="26"/>
          <w:szCs w:val="26"/>
        </w:rPr>
        <w:t xml:space="preserve">.  According to RESA, with respect to Small C&amp;I procurements, the </w:t>
      </w:r>
      <w:r w:rsidR="008263CE">
        <w:rPr>
          <w:rFonts w:ascii="Times New Roman" w:hAnsi="Times New Roman"/>
          <w:i/>
          <w:sz w:val="26"/>
          <w:szCs w:val="26"/>
        </w:rPr>
        <w:t>End State Order</w:t>
      </w:r>
      <w:r w:rsidR="00157D74">
        <w:rPr>
          <w:rFonts w:ascii="Times New Roman" w:hAnsi="Times New Roman"/>
          <w:sz w:val="26"/>
          <w:szCs w:val="26"/>
        </w:rPr>
        <w:t xml:space="preserve"> indicated a preference for three-month supply contracts but was concerned that statutory changes may be required to employ such.</w:t>
      </w:r>
      <w:r w:rsidR="00C83E7C">
        <w:rPr>
          <w:rFonts w:ascii="Times New Roman" w:hAnsi="Times New Roman"/>
          <w:sz w:val="26"/>
          <w:szCs w:val="26"/>
        </w:rPr>
        <w:t xml:space="preserve">  However, RESA avers tha</w:t>
      </w:r>
      <w:r w:rsidR="00206683">
        <w:rPr>
          <w:rFonts w:ascii="Times New Roman" w:hAnsi="Times New Roman"/>
          <w:sz w:val="26"/>
          <w:szCs w:val="26"/>
        </w:rPr>
        <w:t>t the Commission stated t</w:t>
      </w:r>
      <w:r w:rsidR="00C83E7C">
        <w:rPr>
          <w:rFonts w:ascii="Times New Roman" w:hAnsi="Times New Roman"/>
          <w:sz w:val="26"/>
          <w:szCs w:val="26"/>
        </w:rPr>
        <w:t>hat should legislative efforts fall short, it would consider an alternative shorter term product that is more reflective of market conditions</w:t>
      </w:r>
      <w:r w:rsidR="00206683">
        <w:rPr>
          <w:rFonts w:ascii="Times New Roman" w:hAnsi="Times New Roman"/>
          <w:sz w:val="26"/>
          <w:szCs w:val="26"/>
        </w:rPr>
        <w:t xml:space="preserve">.  RESA opines that Duquesne’s proposal, which merely preserves the </w:t>
      </w:r>
      <w:r w:rsidR="00206683" w:rsidRPr="00311032">
        <w:rPr>
          <w:rFonts w:ascii="Times New Roman" w:hAnsi="Times New Roman"/>
          <w:i/>
          <w:sz w:val="26"/>
          <w:szCs w:val="26"/>
        </w:rPr>
        <w:t>status quo</w:t>
      </w:r>
      <w:r w:rsidR="00206683">
        <w:rPr>
          <w:rFonts w:ascii="Times New Roman" w:hAnsi="Times New Roman"/>
          <w:sz w:val="26"/>
          <w:szCs w:val="26"/>
        </w:rPr>
        <w:t xml:space="preserve">, is inconsistent with the Commission’s desires expressed in the </w:t>
      </w:r>
      <w:r w:rsidR="00206683">
        <w:rPr>
          <w:rFonts w:ascii="Times New Roman" w:hAnsi="Times New Roman"/>
          <w:i/>
          <w:sz w:val="26"/>
          <w:szCs w:val="26"/>
        </w:rPr>
        <w:t>End State Order.</w:t>
      </w:r>
      <w:r w:rsidR="00206683">
        <w:rPr>
          <w:rFonts w:ascii="Times New Roman" w:hAnsi="Times New Roman"/>
          <w:sz w:val="26"/>
          <w:szCs w:val="26"/>
        </w:rPr>
        <w:t xml:space="preserve">  RESA Exc. at 7-9.</w:t>
      </w:r>
    </w:p>
    <w:p w:rsidR="00CB294B" w:rsidRDefault="00CB294B" w:rsidP="00F73812">
      <w:pPr>
        <w:rPr>
          <w:rFonts w:ascii="Times New Roman" w:hAnsi="Times New Roman"/>
          <w:sz w:val="26"/>
          <w:szCs w:val="26"/>
        </w:rPr>
      </w:pPr>
    </w:p>
    <w:p w:rsidR="00CB294B" w:rsidRDefault="00CB294B" w:rsidP="00F73812">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Next, RESA asserts that the ALJ, in finding that RESA’s proposal would inject too much price volatility into rates, misses the point in that RESA’s proposal would allow for default service rates that are more market reflective than those in effect today.  RESA notes that during the last six months of the plan perio</w:t>
      </w:r>
      <w:r w:rsidR="006B2E24">
        <w:rPr>
          <w:rFonts w:ascii="Times New Roman" w:hAnsi="Times New Roman"/>
          <w:sz w:val="26"/>
          <w:szCs w:val="26"/>
        </w:rPr>
        <w:t>d, its proposal would permit 50 percent</w:t>
      </w:r>
      <w:r>
        <w:rPr>
          <w:rFonts w:ascii="Times New Roman" w:hAnsi="Times New Roman"/>
          <w:sz w:val="26"/>
          <w:szCs w:val="26"/>
        </w:rPr>
        <w:t xml:space="preserve"> of the underlying commodity price to move up or down on a quarterly basis, consistent with the market price.  RESA further notes that while it does not necessarily dispute that some customers may value price stability, even if that stable price is higher than the market price, the role of default service is not to provide that one particular product type.  According to RESA, the Commission has already rejected</w:t>
      </w:r>
      <w:r w:rsidR="00B964AF">
        <w:rPr>
          <w:rFonts w:ascii="Times New Roman" w:hAnsi="Times New Roman"/>
          <w:sz w:val="26"/>
          <w:szCs w:val="26"/>
        </w:rPr>
        <w:t xml:space="preserve"> the notion that three-month procurement contracts would create too much price instability.  </w:t>
      </w:r>
      <w:r w:rsidR="00B964AF">
        <w:rPr>
          <w:rFonts w:ascii="Times New Roman" w:hAnsi="Times New Roman"/>
          <w:i/>
          <w:sz w:val="26"/>
          <w:szCs w:val="26"/>
        </w:rPr>
        <w:t>See</w:t>
      </w:r>
      <w:r w:rsidR="00B964AF">
        <w:rPr>
          <w:rFonts w:ascii="Times New Roman" w:hAnsi="Times New Roman"/>
          <w:sz w:val="26"/>
          <w:szCs w:val="26"/>
        </w:rPr>
        <w:t xml:space="preserve"> </w:t>
      </w:r>
      <w:r w:rsidR="00B964AF">
        <w:rPr>
          <w:rFonts w:ascii="Times New Roman" w:hAnsi="Times New Roman"/>
          <w:i/>
          <w:sz w:val="26"/>
          <w:szCs w:val="26"/>
        </w:rPr>
        <w:t xml:space="preserve">End State Order </w:t>
      </w:r>
      <w:r w:rsidR="00B964AF">
        <w:rPr>
          <w:rFonts w:ascii="Times New Roman" w:hAnsi="Times New Roman"/>
          <w:sz w:val="26"/>
          <w:szCs w:val="26"/>
        </w:rPr>
        <w:t xml:space="preserve">at 23-24.  </w:t>
      </w:r>
      <w:r w:rsidR="00062DCC">
        <w:rPr>
          <w:rFonts w:ascii="Times New Roman" w:hAnsi="Times New Roman"/>
          <w:sz w:val="26"/>
          <w:szCs w:val="26"/>
        </w:rPr>
        <w:t>RESA further asserts that the ALJ’s finding that its proposal would have a chilling effect on shopping due to price instability is simply unsupported by the record evidence and is inconsistent with Pennsylvania law and Commission directives favoring the establishment of competitive retail markets.  RESA Exc. at 9-10.</w:t>
      </w:r>
    </w:p>
    <w:p w:rsidR="00C46EB6" w:rsidRDefault="00C46EB6" w:rsidP="00F73812">
      <w:pPr>
        <w:rPr>
          <w:rFonts w:ascii="Times New Roman" w:hAnsi="Times New Roman"/>
          <w:sz w:val="26"/>
          <w:szCs w:val="26"/>
        </w:rPr>
      </w:pPr>
    </w:p>
    <w:p w:rsidR="009B709A" w:rsidRDefault="009B709A" w:rsidP="00F7381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Next, RESA asserts that the inclusion of ‘hard stops” is not a reason to reject its proposal as such “hard stops” are not a new circu</w:t>
      </w:r>
      <w:r w:rsidR="006B2E24">
        <w:rPr>
          <w:rFonts w:ascii="Times New Roman" w:hAnsi="Times New Roman"/>
          <w:sz w:val="26"/>
          <w:szCs w:val="26"/>
        </w:rPr>
        <w:t>mstance as Duquesne bid out 100 percent</w:t>
      </w:r>
      <w:r>
        <w:rPr>
          <w:rFonts w:ascii="Times New Roman" w:hAnsi="Times New Roman"/>
          <w:sz w:val="26"/>
          <w:szCs w:val="26"/>
        </w:rPr>
        <w:t xml:space="preserve"> of its supply twice in the recent past, i.e. during DSP VI.  RESA opines that while no one can predict where energy prices will be at any specific moment in time, it is incorrect to imply that a “hard stop” will automatically result in price shock.  Furthermore, RESA notes that one of its two “hard stops” in its proposed portfolio would come at the conclusion of the DSP VII period.  </w:t>
      </w:r>
      <w:r w:rsidR="00DC716B">
        <w:rPr>
          <w:rFonts w:ascii="Times New Roman" w:hAnsi="Times New Roman"/>
          <w:sz w:val="26"/>
          <w:szCs w:val="26"/>
        </w:rPr>
        <w:t>RESA Exc. at 11.</w:t>
      </w:r>
    </w:p>
    <w:p w:rsidR="000C06F1" w:rsidRDefault="000C06F1" w:rsidP="00F73812">
      <w:pPr>
        <w:rPr>
          <w:rFonts w:ascii="Times New Roman" w:hAnsi="Times New Roman"/>
          <w:sz w:val="26"/>
          <w:szCs w:val="26"/>
        </w:rPr>
      </w:pPr>
    </w:p>
    <w:p w:rsidR="00DC716B" w:rsidRDefault="00DC716B" w:rsidP="00F7381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RESA next avers that the Commission should not rely upon Duquesne’s rate analysis purporting to demonstrate that RESA’s procurement plan would double rate instability as compared to the Company’s plan as a reason to reject RESA’s proposal.  RESA maintains that contrary to Duquesne’s math, RESA presented the recent twelve-month procurement history from Maryland’s procurements of 90-day contracts for Type II customers.  RESA avers that these 90-day procurements have not resulted in the type </w:t>
      </w:r>
      <w:r>
        <w:rPr>
          <w:rFonts w:ascii="Times New Roman" w:hAnsi="Times New Roman"/>
          <w:sz w:val="26"/>
          <w:szCs w:val="26"/>
        </w:rPr>
        <w:lastRenderedPageBreak/>
        <w:t xml:space="preserve">of extreme price volatility that Duquesne and the OSBA would have this Commission believe, and the recent history included procurements during the Polar Vortex.  </w:t>
      </w:r>
      <w:r w:rsidR="00875790">
        <w:rPr>
          <w:rFonts w:ascii="Times New Roman" w:hAnsi="Times New Roman"/>
          <w:sz w:val="26"/>
          <w:szCs w:val="26"/>
        </w:rPr>
        <w:t>As an example, RESA pointed to the recent Type II price changes for Baltimore Gas and Electric Company for three-mo</w:t>
      </w:r>
      <w:r w:rsidR="00FA08E8">
        <w:rPr>
          <w:rFonts w:ascii="Times New Roman" w:hAnsi="Times New Roman"/>
          <w:sz w:val="26"/>
          <w:szCs w:val="26"/>
        </w:rPr>
        <w:t>n</w:t>
      </w:r>
      <w:r w:rsidR="00875790">
        <w:rPr>
          <w:rFonts w:ascii="Times New Roman" w:hAnsi="Times New Roman"/>
          <w:sz w:val="26"/>
          <w:szCs w:val="26"/>
        </w:rPr>
        <w:t>th contracts</w:t>
      </w:r>
      <w:r w:rsidR="00C46EB6">
        <w:rPr>
          <w:rFonts w:ascii="Times New Roman" w:hAnsi="Times New Roman"/>
          <w:sz w:val="26"/>
          <w:szCs w:val="26"/>
        </w:rPr>
        <w:t xml:space="preserve"> procured in the middle of the P</w:t>
      </w:r>
      <w:r w:rsidR="00875790">
        <w:rPr>
          <w:rFonts w:ascii="Times New Roman" w:hAnsi="Times New Roman"/>
          <w:sz w:val="26"/>
          <w:szCs w:val="26"/>
        </w:rPr>
        <w:t>olar Vortex</w:t>
      </w:r>
      <w:r w:rsidR="006B2E24">
        <w:rPr>
          <w:rFonts w:ascii="Times New Roman" w:hAnsi="Times New Roman"/>
          <w:sz w:val="26"/>
          <w:szCs w:val="26"/>
        </w:rPr>
        <w:t xml:space="preserve"> which resulted in only an 11.3 percent</w:t>
      </w:r>
      <w:r w:rsidR="00875790">
        <w:rPr>
          <w:rFonts w:ascii="Times New Roman" w:hAnsi="Times New Roman"/>
          <w:sz w:val="26"/>
          <w:szCs w:val="26"/>
        </w:rPr>
        <w:t xml:space="preserve"> price change.  As a result, RESA opines that the ALJ’s finding that its proposal adds an unacceptable level of price volatility is incorrect.  RESA Exc. at 11-12.</w:t>
      </w:r>
    </w:p>
    <w:p w:rsidR="00875790" w:rsidRDefault="00875790" w:rsidP="00F73812">
      <w:pPr>
        <w:rPr>
          <w:rFonts w:ascii="Times New Roman" w:hAnsi="Times New Roman"/>
          <w:sz w:val="26"/>
          <w:szCs w:val="26"/>
        </w:rPr>
      </w:pPr>
    </w:p>
    <w:p w:rsidR="00875790" w:rsidRDefault="00875790" w:rsidP="00F7381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Finally, RESA states that the ALJ’s reference to market disruptions such as the recent Polar Vortex</w:t>
      </w:r>
      <w:r w:rsidR="00B505D3">
        <w:rPr>
          <w:rFonts w:ascii="Times New Roman" w:hAnsi="Times New Roman"/>
          <w:sz w:val="26"/>
          <w:szCs w:val="26"/>
        </w:rPr>
        <w:t xml:space="preserve"> as a reason to stay away from three</w:t>
      </w:r>
      <w:r>
        <w:rPr>
          <w:rFonts w:ascii="Times New Roman" w:hAnsi="Times New Roman"/>
          <w:sz w:val="26"/>
          <w:szCs w:val="26"/>
        </w:rPr>
        <w:t xml:space="preserve">-month contracts is misguided.  RESA points out that the price volatility experienced during the Polar Vortex </w:t>
      </w:r>
      <w:r w:rsidR="002A6B46">
        <w:rPr>
          <w:rFonts w:ascii="Times New Roman" w:hAnsi="Times New Roman"/>
          <w:sz w:val="26"/>
          <w:szCs w:val="26"/>
        </w:rPr>
        <w:t xml:space="preserve">was </w:t>
      </w:r>
      <w:r>
        <w:rPr>
          <w:rFonts w:ascii="Times New Roman" w:hAnsi="Times New Roman"/>
          <w:sz w:val="26"/>
          <w:szCs w:val="26"/>
        </w:rPr>
        <w:t xml:space="preserve">primarily manifested in significant increases in wholesale spot market energy prices </w:t>
      </w:r>
      <w:r w:rsidR="00B505D3">
        <w:rPr>
          <w:rFonts w:ascii="Times New Roman" w:hAnsi="Times New Roman"/>
          <w:sz w:val="26"/>
          <w:szCs w:val="26"/>
        </w:rPr>
        <w:t xml:space="preserve">(LMPs) </w:t>
      </w:r>
      <w:r>
        <w:rPr>
          <w:rFonts w:ascii="Times New Roman" w:hAnsi="Times New Roman"/>
          <w:sz w:val="26"/>
          <w:szCs w:val="26"/>
        </w:rPr>
        <w:t>and related ancillary services in the PJM administered markets.  RESA a</w:t>
      </w:r>
      <w:r w:rsidR="00B505D3">
        <w:rPr>
          <w:rFonts w:ascii="Times New Roman" w:hAnsi="Times New Roman"/>
          <w:sz w:val="26"/>
          <w:szCs w:val="26"/>
        </w:rPr>
        <w:t>sserts that the ALJ’s finding is</w:t>
      </w:r>
      <w:r>
        <w:rPr>
          <w:rFonts w:ascii="Times New Roman" w:hAnsi="Times New Roman"/>
          <w:sz w:val="26"/>
          <w:szCs w:val="26"/>
        </w:rPr>
        <w:t xml:space="preserve"> flawed because volatility in the wholesale LMPs does not mean that customers who receive default service procured through the use of shorter term, full requirements </w:t>
      </w:r>
      <w:r w:rsidR="00B505D3">
        <w:rPr>
          <w:rFonts w:ascii="Times New Roman" w:hAnsi="Times New Roman"/>
          <w:sz w:val="26"/>
          <w:szCs w:val="26"/>
        </w:rPr>
        <w:t>fixed price contracts will experience rate volatility typically seen with LMP pricing.  RESA opines that market-disrupting events such as the Polar Vortex support the use of more, not less, market responsive contracts as there is always a risk that a solicitation will occur during a period of unusual market conditions.  RESA maintains if that happens, customers are better off with shorter term contracts that will allow prices to moderate as market conditions normalize as longer term contracts would lock in the resulting higher market prices for a longer period of time.</w:t>
      </w:r>
      <w:r w:rsidR="003812F6">
        <w:rPr>
          <w:rFonts w:ascii="Times New Roman" w:hAnsi="Times New Roman"/>
          <w:sz w:val="26"/>
          <w:szCs w:val="26"/>
        </w:rPr>
        <w:t xml:space="preserve">  RESA Exc. at 13-14.</w:t>
      </w:r>
    </w:p>
    <w:p w:rsidR="009F46BF" w:rsidRDefault="009F46BF" w:rsidP="00F73812">
      <w:pPr>
        <w:rPr>
          <w:rFonts w:ascii="Times New Roman" w:hAnsi="Times New Roman"/>
          <w:sz w:val="26"/>
          <w:szCs w:val="26"/>
        </w:rPr>
      </w:pPr>
    </w:p>
    <w:p w:rsidR="00222189" w:rsidRDefault="009F46BF" w:rsidP="00F7381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reply, Duquesne notes that it has historically matched the procurement plan for Small C&amp;I customers with the plan for Residential customers because these customer groups have similar consumption levels, similar load factors and similar levels of shopping.  Duquesne states that in DSP VI, it moved the Small C&amp;I class to six-month price changes and now, for DSP VII, follows that pattern by moving the Residential procurement plan in DSP VII to match the Small C&amp;I procurement.  According to </w:t>
      </w:r>
      <w:r>
        <w:rPr>
          <w:rFonts w:ascii="Times New Roman" w:hAnsi="Times New Roman"/>
          <w:sz w:val="26"/>
          <w:szCs w:val="26"/>
        </w:rPr>
        <w:lastRenderedPageBreak/>
        <w:t>Duquesne, RESA improperly views these changes in isolation, failing to credit the Company’s progress of moving procurement plans as a whole to more market responsive rates over time.</w:t>
      </w:r>
      <w:r w:rsidR="00386719">
        <w:rPr>
          <w:rFonts w:ascii="Times New Roman" w:hAnsi="Times New Roman"/>
          <w:sz w:val="26"/>
          <w:szCs w:val="26"/>
        </w:rPr>
        <w:t xml:space="preserve">  Duquesne R. </w:t>
      </w:r>
      <w:r w:rsidR="00222189">
        <w:rPr>
          <w:rFonts w:ascii="Times New Roman" w:hAnsi="Times New Roman"/>
          <w:sz w:val="26"/>
          <w:szCs w:val="26"/>
        </w:rPr>
        <w:t>Exc. at 3.</w:t>
      </w:r>
      <w:r>
        <w:rPr>
          <w:rFonts w:ascii="Times New Roman" w:hAnsi="Times New Roman"/>
          <w:sz w:val="26"/>
          <w:szCs w:val="26"/>
        </w:rPr>
        <w:t xml:space="preserve">  </w:t>
      </w:r>
    </w:p>
    <w:p w:rsidR="00222189" w:rsidRDefault="00222189" w:rsidP="00F73812">
      <w:pPr>
        <w:rPr>
          <w:rFonts w:ascii="Times New Roman" w:hAnsi="Times New Roman"/>
          <w:sz w:val="26"/>
          <w:szCs w:val="26"/>
        </w:rPr>
      </w:pPr>
    </w:p>
    <w:p w:rsidR="009F46BF" w:rsidRDefault="009F46BF" w:rsidP="00222189">
      <w:pPr>
        <w:ind w:firstLine="1440"/>
        <w:rPr>
          <w:rFonts w:ascii="Times New Roman" w:hAnsi="Times New Roman"/>
          <w:sz w:val="26"/>
          <w:szCs w:val="26"/>
        </w:rPr>
      </w:pPr>
      <w:r>
        <w:rPr>
          <w:rFonts w:ascii="Times New Roman" w:hAnsi="Times New Roman"/>
          <w:sz w:val="26"/>
          <w:szCs w:val="26"/>
        </w:rPr>
        <w:t>Duquesne opines that RESA’s proposal should be rejected because it would significantly reduce price stability of Small C&amp;I default service rates</w:t>
      </w:r>
      <w:r w:rsidR="00222189">
        <w:rPr>
          <w:rFonts w:ascii="Times New Roman" w:hAnsi="Times New Roman"/>
          <w:sz w:val="26"/>
          <w:szCs w:val="26"/>
        </w:rPr>
        <w:t>.  First, Duquesne asserts that RESA’s plan provides for two “hard st</w:t>
      </w:r>
      <w:r w:rsidR="00E20A57">
        <w:rPr>
          <w:rFonts w:ascii="Times New Roman" w:hAnsi="Times New Roman"/>
          <w:sz w:val="26"/>
          <w:szCs w:val="26"/>
        </w:rPr>
        <w:t>ops” or points in time when 100 percent</w:t>
      </w:r>
      <w:r w:rsidR="00222189">
        <w:rPr>
          <w:rFonts w:ascii="Times New Roman" w:hAnsi="Times New Roman"/>
          <w:sz w:val="26"/>
          <w:szCs w:val="26"/>
        </w:rPr>
        <w:t xml:space="preserve"> of supply for the next delivery period must be purchased at one time.  Duquesne avers that the Commission ha</w:t>
      </w:r>
      <w:r w:rsidR="00E20A57">
        <w:rPr>
          <w:rFonts w:ascii="Times New Roman" w:hAnsi="Times New Roman"/>
          <w:sz w:val="26"/>
          <w:szCs w:val="26"/>
        </w:rPr>
        <w:t>s recognized that procuring 100 percent</w:t>
      </w:r>
      <w:r w:rsidR="00222189">
        <w:rPr>
          <w:rFonts w:ascii="Times New Roman" w:hAnsi="Times New Roman"/>
          <w:sz w:val="26"/>
          <w:szCs w:val="26"/>
        </w:rPr>
        <w:t xml:space="preserve"> of supply at one time can create volatility due to market distortions and recently has remedied tha</w:t>
      </w:r>
      <w:r w:rsidR="0097056C">
        <w:rPr>
          <w:rFonts w:ascii="Times New Roman" w:hAnsi="Times New Roman"/>
          <w:sz w:val="26"/>
          <w:szCs w:val="26"/>
        </w:rPr>
        <w:t>t situation with regard to the C</w:t>
      </w:r>
      <w:r w:rsidR="00222189">
        <w:rPr>
          <w:rFonts w:ascii="Times New Roman" w:hAnsi="Times New Roman"/>
          <w:sz w:val="26"/>
          <w:szCs w:val="26"/>
        </w:rPr>
        <w:t>ompany’s DSP VI plan by permitting extension of contracts that overlap into DSP VII.</w:t>
      </w:r>
      <w:r w:rsidR="00222189">
        <w:rPr>
          <w:rStyle w:val="FootnoteReference"/>
          <w:rFonts w:ascii="Times New Roman" w:hAnsi="Times New Roman"/>
          <w:sz w:val="26"/>
          <w:szCs w:val="26"/>
        </w:rPr>
        <w:footnoteReference w:id="11"/>
      </w:r>
      <w:r w:rsidR="0097056C">
        <w:rPr>
          <w:rFonts w:ascii="Times New Roman" w:hAnsi="Times New Roman"/>
          <w:sz w:val="26"/>
          <w:szCs w:val="26"/>
        </w:rPr>
        <w:t xml:space="preserve">  Furthermore, Duquesne states that RESA’s Small C&amp;I procurement plan could create increased rate instability due to the mix of the procurements proposed by RESA.  Duquesne opines that the analysis RESA presents concerning the recent twelve-month procurement history from a Maryland utility is flawed in that it compares apples to oranges.  Duquesne notes that its analysis compared the rate instability for the supply portfolio which RESA proposed for the second year of DSP VII to that associated with the Comp</w:t>
      </w:r>
      <w:r w:rsidR="00E20A57">
        <w:rPr>
          <w:rFonts w:ascii="Times New Roman" w:hAnsi="Times New Roman"/>
          <w:sz w:val="26"/>
          <w:szCs w:val="26"/>
        </w:rPr>
        <w:t>any’s proposed portfolio of 100 percent</w:t>
      </w:r>
      <w:r w:rsidR="0097056C">
        <w:rPr>
          <w:rFonts w:ascii="Times New Roman" w:hAnsi="Times New Roman"/>
          <w:sz w:val="26"/>
          <w:szCs w:val="26"/>
        </w:rPr>
        <w:t xml:space="preserve"> laddered twelve-month products, and compared prices applicable to Duquesne’s customers in the Duquesne zone.  According to Duquesne, RESA d</w:t>
      </w:r>
      <w:r w:rsidR="007F5D03">
        <w:rPr>
          <w:rFonts w:ascii="Times New Roman" w:hAnsi="Times New Roman"/>
          <w:sz w:val="26"/>
          <w:szCs w:val="26"/>
        </w:rPr>
        <w:t xml:space="preserve">id not make such a comparison and failed to compare the results under its proposal with the procurement proposal recommended by the Company.  Duquesne avers that its analysis demonstrated that RESA’s recommended supply portfolio does indeed result in significantly increased rate instability, indicating that rate instability for Small C&amp;I default service customers would double if the type of supply portfolio to which RESA recommends were approved.  Duquesne maintains that RESA’s attempt now to rely on a limited procurement history </w:t>
      </w:r>
      <w:r w:rsidR="007F5D03">
        <w:rPr>
          <w:rFonts w:ascii="Times New Roman" w:hAnsi="Times New Roman"/>
          <w:sz w:val="26"/>
          <w:szCs w:val="26"/>
        </w:rPr>
        <w:lastRenderedPageBreak/>
        <w:t>from Maryland’s procurements for different types of customers using different supply products than those that either RESA or Duquesne has proposed for Small C&amp;I customers in this case should be disregarded.  Duquesne R. Exc. 4-6.</w:t>
      </w:r>
    </w:p>
    <w:p w:rsidR="002E37D3" w:rsidRDefault="002E37D3" w:rsidP="00222189">
      <w:pPr>
        <w:ind w:firstLine="1440"/>
        <w:rPr>
          <w:rFonts w:ascii="Times New Roman" w:hAnsi="Times New Roman"/>
          <w:sz w:val="26"/>
          <w:szCs w:val="26"/>
        </w:rPr>
      </w:pPr>
    </w:p>
    <w:p w:rsidR="002E37D3" w:rsidRDefault="00835636" w:rsidP="00222189">
      <w:pPr>
        <w:ind w:firstLine="1440"/>
        <w:rPr>
          <w:rFonts w:ascii="Times New Roman" w:hAnsi="Times New Roman"/>
          <w:sz w:val="26"/>
          <w:szCs w:val="26"/>
        </w:rPr>
      </w:pPr>
      <w:r>
        <w:rPr>
          <w:rFonts w:ascii="Times New Roman" w:hAnsi="Times New Roman"/>
          <w:sz w:val="26"/>
          <w:szCs w:val="26"/>
        </w:rPr>
        <w:t>In its R</w:t>
      </w:r>
      <w:r w:rsidR="002E37D3">
        <w:rPr>
          <w:rFonts w:ascii="Times New Roman" w:hAnsi="Times New Roman"/>
          <w:sz w:val="26"/>
          <w:szCs w:val="26"/>
        </w:rPr>
        <w:t xml:space="preserve">eplies to Exceptions, the OSBA states that it continues to believe that price stability should remain an important consideration in the design of a default service procurement plan.  As such, the OSBA believes that Duquesne’s proposed approach should result in reasonable price stability for Small C&amp;I default service customers over the 2015 to 2017 default service period.  The OSBA avers </w:t>
      </w:r>
      <w:r w:rsidR="002513D7">
        <w:rPr>
          <w:rFonts w:ascii="Times New Roman" w:hAnsi="Times New Roman"/>
          <w:sz w:val="26"/>
          <w:szCs w:val="26"/>
        </w:rPr>
        <w:t>that RESA’s Exceptions are misplaced</w:t>
      </w:r>
      <w:r w:rsidR="002E37D3">
        <w:rPr>
          <w:rFonts w:ascii="Times New Roman" w:hAnsi="Times New Roman"/>
          <w:sz w:val="26"/>
          <w:szCs w:val="26"/>
        </w:rPr>
        <w:t xml:space="preserve"> as it fails to acknowledge that the Commission has explicitly rejected RESA’s argument that the “least cost” standard of Act 129 mandates that default service prices be “market-reflective” and has explicitly recognized that price stability should remain an important consideration when designing a default service procurement plan.  The OSBA maintains that contrary to RESA’s assertions, its proposal to introduce quarterly products to the Small C&amp;I default service supply portfolio</w:t>
      </w:r>
      <w:r>
        <w:rPr>
          <w:rFonts w:ascii="Times New Roman" w:hAnsi="Times New Roman"/>
          <w:sz w:val="26"/>
          <w:szCs w:val="26"/>
        </w:rPr>
        <w:t xml:space="preserve"> will subject customers to unreasonable price instability in pursuit of a more market-reflective default service rate which is not consistent with the objectives of Act 129.  According to the OSBA, on that basis alone, the Commission should reject the RESA proposal.  OSBA R. Exc. at 3-5.</w:t>
      </w:r>
    </w:p>
    <w:p w:rsidR="002513D7" w:rsidRDefault="002513D7" w:rsidP="00222189">
      <w:pPr>
        <w:ind w:firstLine="1440"/>
        <w:rPr>
          <w:rFonts w:ascii="Times New Roman" w:hAnsi="Times New Roman"/>
          <w:sz w:val="26"/>
          <w:szCs w:val="26"/>
        </w:rPr>
      </w:pPr>
    </w:p>
    <w:p w:rsidR="002513D7" w:rsidRPr="002513D7" w:rsidRDefault="002513D7" w:rsidP="00222189">
      <w:pPr>
        <w:ind w:firstLine="1440"/>
        <w:rPr>
          <w:rFonts w:ascii="Times New Roman" w:hAnsi="Times New Roman"/>
          <w:sz w:val="26"/>
          <w:szCs w:val="26"/>
        </w:rPr>
      </w:pPr>
      <w:r>
        <w:rPr>
          <w:rFonts w:ascii="Times New Roman" w:hAnsi="Times New Roman"/>
          <w:sz w:val="26"/>
          <w:szCs w:val="26"/>
        </w:rPr>
        <w:t xml:space="preserve">Next, the OSBA states that consistency with the Commission’s </w:t>
      </w:r>
      <w:r w:rsidRPr="002513D7">
        <w:rPr>
          <w:rFonts w:ascii="Times New Roman" w:hAnsi="Times New Roman"/>
          <w:i/>
          <w:sz w:val="26"/>
          <w:szCs w:val="26"/>
        </w:rPr>
        <w:t>End State Order</w:t>
      </w:r>
      <w:r>
        <w:rPr>
          <w:rFonts w:ascii="Times New Roman" w:hAnsi="Times New Roman"/>
          <w:i/>
          <w:sz w:val="26"/>
          <w:szCs w:val="26"/>
        </w:rPr>
        <w:t xml:space="preserve"> </w:t>
      </w:r>
      <w:r>
        <w:rPr>
          <w:rFonts w:ascii="Times New Roman" w:hAnsi="Times New Roman"/>
          <w:sz w:val="26"/>
          <w:szCs w:val="26"/>
        </w:rPr>
        <w:t xml:space="preserve">does not mean RESA’s proposal for Small C&amp;I class procurement should be adopted in this proceeding.  The OSBA avers that while the </w:t>
      </w:r>
      <w:r w:rsidRPr="002513D7">
        <w:rPr>
          <w:rFonts w:ascii="Times New Roman" w:hAnsi="Times New Roman"/>
          <w:i/>
          <w:sz w:val="26"/>
          <w:szCs w:val="26"/>
        </w:rPr>
        <w:t>End State Order</w:t>
      </w:r>
      <w:r>
        <w:rPr>
          <w:rFonts w:ascii="Times New Roman" w:hAnsi="Times New Roman"/>
          <w:sz w:val="26"/>
          <w:szCs w:val="26"/>
        </w:rPr>
        <w:t xml:space="preserve"> may be viewed as a kind of “wish list” regarding what the Commission envisions for the future of default service</w:t>
      </w:r>
      <w:r w:rsidR="00B14196">
        <w:rPr>
          <w:rFonts w:ascii="Times New Roman" w:hAnsi="Times New Roman"/>
          <w:sz w:val="26"/>
          <w:szCs w:val="26"/>
        </w:rPr>
        <w:t>, it is not at this time a mandate to be implemented in the current round of default service proceedings, despite RESA’s best efforts to the contrary.</w:t>
      </w:r>
      <w:r w:rsidR="001B1146">
        <w:rPr>
          <w:rFonts w:ascii="Times New Roman" w:hAnsi="Times New Roman"/>
          <w:sz w:val="26"/>
          <w:szCs w:val="26"/>
        </w:rPr>
        <w:t xml:space="preserve">  According to the OSBA, the Commission itself is not treating the </w:t>
      </w:r>
      <w:r w:rsidR="001B1146" w:rsidRPr="002513D7">
        <w:rPr>
          <w:rFonts w:ascii="Times New Roman" w:hAnsi="Times New Roman"/>
          <w:i/>
          <w:sz w:val="26"/>
          <w:szCs w:val="26"/>
        </w:rPr>
        <w:t>End State Order</w:t>
      </w:r>
      <w:r w:rsidR="001B1146">
        <w:rPr>
          <w:rFonts w:ascii="Times New Roman" w:hAnsi="Times New Roman"/>
          <w:sz w:val="26"/>
          <w:szCs w:val="26"/>
        </w:rPr>
        <w:t xml:space="preserve"> as a mandate, opting instead to seek legislative changes to avoid legal uncertainty.  As such legislative changes </w:t>
      </w:r>
      <w:r w:rsidR="001B1146">
        <w:rPr>
          <w:rFonts w:ascii="Times New Roman" w:hAnsi="Times New Roman"/>
          <w:sz w:val="26"/>
          <w:szCs w:val="26"/>
        </w:rPr>
        <w:lastRenderedPageBreak/>
        <w:t>have not been adopted by the legislature to date, the OSBA opines that the Commission should deny this Exception of RESA.  OSBA R. Exc. at 5-6.</w:t>
      </w:r>
    </w:p>
    <w:p w:rsidR="001C43B0" w:rsidRDefault="001C43B0" w:rsidP="00F73812">
      <w:pPr>
        <w:rPr>
          <w:rFonts w:ascii="Times New Roman" w:hAnsi="Times New Roman"/>
          <w:b/>
          <w:sz w:val="26"/>
          <w:szCs w:val="26"/>
        </w:rPr>
      </w:pPr>
    </w:p>
    <w:p w:rsidR="006628ED" w:rsidRDefault="006628ED" w:rsidP="00F73812">
      <w:pPr>
        <w:rPr>
          <w:rFonts w:ascii="Times New Roman" w:hAnsi="Times New Roman"/>
          <w:b/>
          <w:sz w:val="26"/>
          <w:szCs w:val="26"/>
        </w:rPr>
      </w:pPr>
      <w:r w:rsidRPr="0096775E">
        <w:rPr>
          <w:rFonts w:ascii="Times New Roman" w:hAnsi="Times New Roman"/>
          <w:b/>
          <w:sz w:val="26"/>
          <w:szCs w:val="26"/>
        </w:rPr>
        <w:tab/>
        <w:t>4.</w:t>
      </w:r>
      <w:r w:rsidRPr="0096775E">
        <w:rPr>
          <w:rFonts w:ascii="Times New Roman" w:hAnsi="Times New Roman"/>
          <w:b/>
          <w:sz w:val="26"/>
          <w:szCs w:val="26"/>
        </w:rPr>
        <w:tab/>
        <w:t>Disposition</w:t>
      </w:r>
    </w:p>
    <w:p w:rsidR="00AE4E10" w:rsidRDefault="00AE4E10" w:rsidP="00F73812">
      <w:pPr>
        <w:rPr>
          <w:rFonts w:ascii="Times New Roman" w:hAnsi="Times New Roman"/>
          <w:b/>
          <w:sz w:val="26"/>
          <w:szCs w:val="26"/>
        </w:rPr>
      </w:pPr>
    </w:p>
    <w:p w:rsidR="00C9774C" w:rsidRDefault="00AE4E10" w:rsidP="00F73812">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AE4E10">
        <w:rPr>
          <w:rFonts w:ascii="Times New Roman" w:hAnsi="Times New Roman"/>
          <w:sz w:val="26"/>
          <w:szCs w:val="26"/>
        </w:rPr>
        <w:t>Upon our considerati</w:t>
      </w:r>
      <w:r w:rsidR="00E20A57">
        <w:rPr>
          <w:rFonts w:ascii="Times New Roman" w:hAnsi="Times New Roman"/>
          <w:sz w:val="26"/>
          <w:szCs w:val="26"/>
        </w:rPr>
        <w:t>on of the evidence of record, as well as the Exceptions and Replies thereto, we are persuaded by the arguments proffered by Duquesne and the OSBA,</w:t>
      </w:r>
      <w:r w:rsidR="00E07747">
        <w:rPr>
          <w:rFonts w:ascii="Times New Roman" w:hAnsi="Times New Roman"/>
          <w:sz w:val="26"/>
          <w:szCs w:val="26"/>
        </w:rPr>
        <w:t xml:space="preserve"> </w:t>
      </w:r>
      <w:r w:rsidR="00E20A57">
        <w:rPr>
          <w:rFonts w:ascii="Times New Roman" w:hAnsi="Times New Roman"/>
          <w:sz w:val="26"/>
          <w:szCs w:val="26"/>
        </w:rPr>
        <w:t xml:space="preserve">that the default service procurement plan proposed by the Company for the Small C&amp;I customers is reasonable </w:t>
      </w:r>
      <w:r w:rsidR="003A4B59">
        <w:rPr>
          <w:rFonts w:ascii="Times New Roman" w:hAnsi="Times New Roman"/>
          <w:sz w:val="26"/>
          <w:szCs w:val="26"/>
        </w:rPr>
        <w:t xml:space="preserve">at this time </w:t>
      </w:r>
      <w:r w:rsidR="00E20A57">
        <w:rPr>
          <w:rFonts w:ascii="Times New Roman" w:hAnsi="Times New Roman"/>
          <w:sz w:val="26"/>
          <w:szCs w:val="26"/>
        </w:rPr>
        <w:t>and should be adopted.</w:t>
      </w:r>
      <w:r w:rsidR="003A4B59">
        <w:rPr>
          <w:rFonts w:ascii="Times New Roman" w:hAnsi="Times New Roman"/>
          <w:sz w:val="26"/>
          <w:szCs w:val="26"/>
        </w:rPr>
        <w:t xml:space="preserve">  We are also in agreement with the recommendation of the ALJ that Duquesne’s proposal should be accepted in order that the Small C&amp;I customer class procurement would be similar to the default service procurement for the Residential class</w:t>
      </w:r>
      <w:r w:rsidR="000C06F1">
        <w:rPr>
          <w:rFonts w:ascii="Times New Roman" w:hAnsi="Times New Roman"/>
          <w:sz w:val="26"/>
          <w:szCs w:val="26"/>
        </w:rPr>
        <w:t xml:space="preserve"> in DSP VII</w:t>
      </w:r>
      <w:r w:rsidR="003A4B59">
        <w:rPr>
          <w:rFonts w:ascii="Times New Roman" w:hAnsi="Times New Roman"/>
          <w:sz w:val="26"/>
          <w:szCs w:val="26"/>
        </w:rPr>
        <w:t xml:space="preserve">.  </w:t>
      </w:r>
      <w:r w:rsidR="00E21116">
        <w:rPr>
          <w:rFonts w:ascii="Times New Roman" w:hAnsi="Times New Roman"/>
          <w:sz w:val="26"/>
          <w:szCs w:val="26"/>
        </w:rPr>
        <w:t>We note that</w:t>
      </w:r>
      <w:r w:rsidR="00252AFA">
        <w:rPr>
          <w:rFonts w:ascii="Times New Roman" w:hAnsi="Times New Roman"/>
          <w:sz w:val="26"/>
          <w:szCs w:val="26"/>
        </w:rPr>
        <w:t>, as Duquesne has explained,</w:t>
      </w:r>
      <w:r w:rsidR="00E21116">
        <w:rPr>
          <w:rFonts w:ascii="Times New Roman" w:hAnsi="Times New Roman"/>
          <w:sz w:val="26"/>
          <w:szCs w:val="26"/>
        </w:rPr>
        <w:t xml:space="preserve"> these classes exhibit similar characteristics and that the proposed default service procurement plans for these classes represent a gradual evolution over time to more market responsive</w:t>
      </w:r>
      <w:r w:rsidR="001B1326">
        <w:rPr>
          <w:rFonts w:ascii="Times New Roman" w:hAnsi="Times New Roman"/>
          <w:sz w:val="26"/>
          <w:szCs w:val="26"/>
        </w:rPr>
        <w:t xml:space="preserve"> de</w:t>
      </w:r>
      <w:r w:rsidR="00252AFA">
        <w:rPr>
          <w:rFonts w:ascii="Times New Roman" w:hAnsi="Times New Roman"/>
          <w:sz w:val="26"/>
          <w:szCs w:val="26"/>
        </w:rPr>
        <w:t xml:space="preserve">fault service rates by Duquesne, while considering </w:t>
      </w:r>
      <w:r w:rsidR="00C9774C">
        <w:rPr>
          <w:rFonts w:ascii="Times New Roman" w:hAnsi="Times New Roman"/>
          <w:sz w:val="26"/>
          <w:szCs w:val="26"/>
        </w:rPr>
        <w:t xml:space="preserve">and balancing </w:t>
      </w:r>
      <w:r w:rsidR="00252AFA">
        <w:rPr>
          <w:rFonts w:ascii="Times New Roman" w:hAnsi="Times New Roman"/>
          <w:sz w:val="26"/>
          <w:szCs w:val="26"/>
        </w:rPr>
        <w:t>the importance of rate stability to these smaller customers.  With regard to the issue of rate stability, we note that based upon the evidence of record, Duquesne has demonstrated convincingly that RESA’s proposals for the Small C&amp;I procurement plan would result in an unacceptable increase in rate instability</w:t>
      </w:r>
      <w:r w:rsidR="00C9774C">
        <w:rPr>
          <w:rFonts w:ascii="Times New Roman" w:hAnsi="Times New Roman"/>
          <w:sz w:val="26"/>
          <w:szCs w:val="26"/>
        </w:rPr>
        <w:t xml:space="preserve"> for these particular customers.  </w:t>
      </w:r>
    </w:p>
    <w:p w:rsidR="00C9774C" w:rsidRDefault="00C9774C" w:rsidP="00F73812">
      <w:pPr>
        <w:rPr>
          <w:rFonts w:ascii="Times New Roman" w:hAnsi="Times New Roman"/>
          <w:sz w:val="26"/>
          <w:szCs w:val="26"/>
        </w:rPr>
      </w:pPr>
    </w:p>
    <w:p w:rsidR="00AE4E10" w:rsidRPr="00AE4E10" w:rsidRDefault="00C9774C" w:rsidP="00F73812">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Additionally, we note that the RESA recommendation in this proceeding </w:t>
      </w:r>
      <w:r w:rsidR="004F1842">
        <w:rPr>
          <w:rFonts w:ascii="Times New Roman" w:hAnsi="Times New Roman"/>
          <w:sz w:val="26"/>
          <w:szCs w:val="26"/>
        </w:rPr>
        <w:t>would amount</w:t>
      </w:r>
      <w:r>
        <w:rPr>
          <w:rFonts w:ascii="Times New Roman" w:hAnsi="Times New Roman"/>
          <w:sz w:val="26"/>
          <w:szCs w:val="26"/>
        </w:rPr>
        <w:t xml:space="preserve"> to a transition </w:t>
      </w:r>
      <w:r w:rsidR="00E07747">
        <w:rPr>
          <w:rFonts w:ascii="Times New Roman" w:hAnsi="Times New Roman"/>
          <w:sz w:val="26"/>
          <w:szCs w:val="26"/>
        </w:rPr>
        <w:t xml:space="preserve">in Small C&amp;I procurements </w:t>
      </w:r>
      <w:r>
        <w:rPr>
          <w:rFonts w:ascii="Times New Roman" w:hAnsi="Times New Roman"/>
          <w:sz w:val="26"/>
          <w:szCs w:val="26"/>
        </w:rPr>
        <w:t xml:space="preserve">to </w:t>
      </w:r>
      <w:r w:rsidR="004F1842">
        <w:rPr>
          <w:rFonts w:ascii="Times New Roman" w:hAnsi="Times New Roman"/>
          <w:sz w:val="26"/>
          <w:szCs w:val="26"/>
        </w:rPr>
        <w:t xml:space="preserve">where </w:t>
      </w:r>
      <w:r>
        <w:rPr>
          <w:rFonts w:ascii="Times New Roman" w:hAnsi="Times New Roman"/>
          <w:sz w:val="26"/>
          <w:szCs w:val="26"/>
        </w:rPr>
        <w:t xml:space="preserve">fifty percent of </w:t>
      </w:r>
      <w:r w:rsidR="00E07747">
        <w:rPr>
          <w:rFonts w:ascii="Times New Roman" w:hAnsi="Times New Roman"/>
          <w:sz w:val="26"/>
          <w:szCs w:val="26"/>
        </w:rPr>
        <w:t>such</w:t>
      </w:r>
      <w:r>
        <w:rPr>
          <w:rFonts w:ascii="Times New Roman" w:hAnsi="Times New Roman"/>
          <w:sz w:val="26"/>
          <w:szCs w:val="26"/>
        </w:rPr>
        <w:t xml:space="preserve"> procurements would be quarterly procurements by the last six months of </w:t>
      </w:r>
      <w:r w:rsidR="00E07747">
        <w:rPr>
          <w:rFonts w:ascii="Times New Roman" w:hAnsi="Times New Roman"/>
          <w:sz w:val="26"/>
          <w:szCs w:val="26"/>
        </w:rPr>
        <w:t xml:space="preserve">Duquesne’s </w:t>
      </w:r>
      <w:r>
        <w:rPr>
          <w:rFonts w:ascii="Times New Roman" w:hAnsi="Times New Roman"/>
          <w:sz w:val="26"/>
          <w:szCs w:val="26"/>
        </w:rPr>
        <w:t>DSP VII.</w:t>
      </w:r>
      <w:r w:rsidR="004F1842">
        <w:rPr>
          <w:rFonts w:ascii="Times New Roman" w:hAnsi="Times New Roman"/>
          <w:sz w:val="26"/>
          <w:szCs w:val="26"/>
        </w:rPr>
        <w:t xml:space="preserve">  We have previously considered the issue of quarterly procurements for Small </w:t>
      </w:r>
      <w:r w:rsidR="00E07747">
        <w:rPr>
          <w:rFonts w:ascii="Times New Roman" w:hAnsi="Times New Roman"/>
          <w:sz w:val="26"/>
          <w:szCs w:val="26"/>
        </w:rPr>
        <w:t>C&amp;I customers in our</w:t>
      </w:r>
      <w:r w:rsidR="004F1842">
        <w:rPr>
          <w:rFonts w:ascii="Times New Roman" w:hAnsi="Times New Roman"/>
          <w:sz w:val="26"/>
          <w:szCs w:val="26"/>
        </w:rPr>
        <w:t xml:space="preserve"> </w:t>
      </w:r>
      <w:r w:rsidR="004F1842">
        <w:rPr>
          <w:rFonts w:ascii="Times New Roman" w:hAnsi="Times New Roman"/>
          <w:i/>
          <w:sz w:val="26"/>
          <w:szCs w:val="26"/>
        </w:rPr>
        <w:t>End State Order</w:t>
      </w:r>
      <w:r w:rsidR="004F1842">
        <w:rPr>
          <w:rFonts w:ascii="Times New Roman" w:hAnsi="Times New Roman"/>
          <w:sz w:val="26"/>
          <w:szCs w:val="26"/>
        </w:rPr>
        <w:t xml:space="preserve"> wherein we concluded that we would seek legislative changes that would clearly provide our authority to approve default service plans containing such products.  </w:t>
      </w:r>
      <w:r w:rsidR="004F1842">
        <w:rPr>
          <w:rFonts w:ascii="Times New Roman" w:hAnsi="Times New Roman"/>
          <w:i/>
          <w:sz w:val="26"/>
          <w:szCs w:val="26"/>
        </w:rPr>
        <w:t xml:space="preserve">See End State Order </w:t>
      </w:r>
      <w:r w:rsidR="004F1842">
        <w:rPr>
          <w:rFonts w:ascii="Times New Roman" w:hAnsi="Times New Roman"/>
          <w:sz w:val="26"/>
          <w:szCs w:val="26"/>
        </w:rPr>
        <w:t>at 45.</w:t>
      </w:r>
      <w:r w:rsidR="00143C42">
        <w:rPr>
          <w:rFonts w:ascii="Times New Roman" w:hAnsi="Times New Roman"/>
          <w:sz w:val="26"/>
          <w:szCs w:val="26"/>
        </w:rPr>
        <w:t xml:space="preserve">  While we continue to believe that the Commission currently has the authority to establish shorter-term default service </w:t>
      </w:r>
      <w:r w:rsidR="00143C42">
        <w:rPr>
          <w:rFonts w:ascii="Times New Roman" w:hAnsi="Times New Roman"/>
          <w:sz w:val="26"/>
          <w:szCs w:val="26"/>
        </w:rPr>
        <w:lastRenderedPageBreak/>
        <w:t>products in certain situations, in this proceeding we conclude that RESA has failed to establish that this transition should be implemented at this time</w:t>
      </w:r>
      <w:r w:rsidR="00E07747">
        <w:rPr>
          <w:rFonts w:ascii="Times New Roman" w:hAnsi="Times New Roman"/>
          <w:sz w:val="26"/>
          <w:szCs w:val="26"/>
        </w:rPr>
        <w:t xml:space="preserve"> for this Company</w:t>
      </w:r>
      <w:r w:rsidR="002A6B46">
        <w:rPr>
          <w:rFonts w:ascii="Times New Roman" w:hAnsi="Times New Roman"/>
          <w:sz w:val="26"/>
          <w:szCs w:val="26"/>
        </w:rPr>
        <w:t xml:space="preserve"> and this Small C&amp;I class</w:t>
      </w:r>
      <w:r w:rsidR="00143C42">
        <w:rPr>
          <w:rFonts w:ascii="Times New Roman" w:hAnsi="Times New Roman"/>
          <w:sz w:val="26"/>
          <w:szCs w:val="26"/>
        </w:rPr>
        <w:t>.</w:t>
      </w:r>
      <w:r>
        <w:rPr>
          <w:rFonts w:ascii="Times New Roman" w:hAnsi="Times New Roman"/>
          <w:sz w:val="26"/>
          <w:szCs w:val="26"/>
        </w:rPr>
        <w:t xml:space="preserve"> </w:t>
      </w:r>
      <w:r w:rsidR="001B1326">
        <w:rPr>
          <w:rFonts w:ascii="Times New Roman" w:hAnsi="Times New Roman"/>
          <w:sz w:val="26"/>
          <w:szCs w:val="26"/>
        </w:rPr>
        <w:t xml:space="preserve"> </w:t>
      </w:r>
      <w:r w:rsidR="002E1654">
        <w:rPr>
          <w:rFonts w:ascii="Times New Roman" w:hAnsi="Times New Roman"/>
          <w:sz w:val="26"/>
          <w:szCs w:val="26"/>
        </w:rPr>
        <w:t xml:space="preserve">Accordingly, we shall deny the Exceptions filed by RESA on this issue and adopt the ALJ’s recommendation. </w:t>
      </w:r>
      <w:r w:rsidR="001B1326">
        <w:rPr>
          <w:rFonts w:ascii="Times New Roman" w:hAnsi="Times New Roman"/>
          <w:sz w:val="26"/>
          <w:szCs w:val="26"/>
        </w:rPr>
        <w:t xml:space="preserve"> </w:t>
      </w:r>
      <w:r w:rsidR="003A4B59">
        <w:rPr>
          <w:rFonts w:ascii="Times New Roman" w:hAnsi="Times New Roman"/>
          <w:sz w:val="26"/>
          <w:szCs w:val="26"/>
        </w:rPr>
        <w:t xml:space="preserve"> </w:t>
      </w:r>
      <w:r w:rsidR="00FA08E8">
        <w:rPr>
          <w:rFonts w:ascii="Times New Roman" w:hAnsi="Times New Roman"/>
          <w:sz w:val="26"/>
          <w:szCs w:val="26"/>
        </w:rPr>
        <w:t xml:space="preserve">  </w:t>
      </w:r>
      <w:r w:rsidR="00AE4E10" w:rsidRPr="00AE4E10">
        <w:rPr>
          <w:rFonts w:ascii="Times New Roman" w:hAnsi="Times New Roman"/>
          <w:sz w:val="26"/>
          <w:szCs w:val="26"/>
        </w:rPr>
        <w:t xml:space="preserve"> </w:t>
      </w:r>
    </w:p>
    <w:p w:rsidR="006628ED" w:rsidRPr="0096775E" w:rsidRDefault="00D276E3" w:rsidP="006628ED">
      <w:pPr>
        <w:rPr>
          <w:rFonts w:ascii="Times New Roman" w:hAnsi="Times New Roman"/>
          <w:sz w:val="26"/>
          <w:szCs w:val="26"/>
        </w:rPr>
      </w:pPr>
      <w:r w:rsidRPr="0096775E">
        <w:rPr>
          <w:rFonts w:ascii="Times New Roman" w:hAnsi="Times New Roman"/>
          <w:sz w:val="26"/>
          <w:szCs w:val="26"/>
        </w:rPr>
        <w:t xml:space="preserve"> </w:t>
      </w:r>
    </w:p>
    <w:p w:rsidR="006628ED" w:rsidRPr="0096775E" w:rsidRDefault="006628ED" w:rsidP="006628ED">
      <w:pPr>
        <w:rPr>
          <w:rFonts w:ascii="Times New Roman" w:hAnsi="Times New Roman"/>
          <w:sz w:val="26"/>
          <w:szCs w:val="26"/>
        </w:rPr>
      </w:pPr>
      <w:r w:rsidRPr="0096775E">
        <w:rPr>
          <w:rFonts w:ascii="Times New Roman" w:hAnsi="Times New Roman"/>
          <w:b/>
          <w:sz w:val="26"/>
          <w:szCs w:val="26"/>
        </w:rPr>
        <w:t>B.</w:t>
      </w:r>
      <w:r w:rsidRPr="0096775E">
        <w:rPr>
          <w:rFonts w:ascii="Times New Roman" w:hAnsi="Times New Roman"/>
          <w:b/>
          <w:sz w:val="26"/>
          <w:szCs w:val="26"/>
        </w:rPr>
        <w:tab/>
        <w:t>Medium Commercial and Industrial Procurement</w:t>
      </w:r>
    </w:p>
    <w:p w:rsidR="006628ED" w:rsidRPr="0096775E" w:rsidRDefault="006628ED" w:rsidP="006628ED">
      <w:pPr>
        <w:pStyle w:val="OutlineL2"/>
        <w:numPr>
          <w:ilvl w:val="0"/>
          <w:numId w:val="0"/>
        </w:numPr>
        <w:tabs>
          <w:tab w:val="left" w:pos="0"/>
        </w:tabs>
        <w:spacing w:after="0" w:line="360" w:lineRule="auto"/>
        <w:rPr>
          <w:sz w:val="26"/>
          <w:szCs w:val="26"/>
        </w:rPr>
      </w:pPr>
      <w:r w:rsidRPr="0096775E">
        <w:rPr>
          <w:b/>
          <w:sz w:val="26"/>
          <w:szCs w:val="26"/>
        </w:rPr>
        <w:tab/>
      </w:r>
      <w:r w:rsidRPr="0096775E">
        <w:rPr>
          <w:b/>
          <w:sz w:val="26"/>
          <w:szCs w:val="26"/>
        </w:rPr>
        <w:tab/>
      </w:r>
    </w:p>
    <w:p w:rsidR="006628ED" w:rsidRPr="0096775E" w:rsidRDefault="006628ED" w:rsidP="006628ED">
      <w:pPr>
        <w:pStyle w:val="OutlineL2"/>
        <w:numPr>
          <w:ilvl w:val="0"/>
          <w:numId w:val="0"/>
        </w:numPr>
        <w:tabs>
          <w:tab w:val="left" w:pos="0"/>
        </w:tabs>
        <w:spacing w:after="0" w:line="360" w:lineRule="auto"/>
        <w:rPr>
          <w:b/>
          <w:sz w:val="26"/>
          <w:szCs w:val="26"/>
        </w:rPr>
      </w:pPr>
      <w:r w:rsidRPr="0096775E">
        <w:rPr>
          <w:b/>
          <w:sz w:val="26"/>
          <w:szCs w:val="26"/>
        </w:rPr>
        <w:tab/>
        <w:t>1.</w:t>
      </w:r>
      <w:r w:rsidRPr="0096775E">
        <w:rPr>
          <w:b/>
          <w:sz w:val="26"/>
          <w:szCs w:val="26"/>
        </w:rPr>
        <w:tab/>
        <w:t>Positions of the Parties</w:t>
      </w:r>
    </w:p>
    <w:p w:rsidR="006628ED" w:rsidRPr="0096775E" w:rsidRDefault="006628ED" w:rsidP="006628ED">
      <w:pPr>
        <w:pStyle w:val="OutlineL2"/>
        <w:numPr>
          <w:ilvl w:val="0"/>
          <w:numId w:val="0"/>
        </w:numPr>
        <w:tabs>
          <w:tab w:val="left" w:pos="0"/>
        </w:tabs>
        <w:spacing w:after="0" w:line="360" w:lineRule="auto"/>
        <w:rPr>
          <w:b/>
          <w:sz w:val="26"/>
          <w:szCs w:val="26"/>
        </w:rPr>
      </w:pPr>
    </w:p>
    <w:p w:rsidR="006628ED" w:rsidRPr="0096775E" w:rsidRDefault="00C571F6" w:rsidP="006628ED">
      <w:pPr>
        <w:pStyle w:val="BodyText2"/>
        <w:spacing w:after="0" w:line="360" w:lineRule="auto"/>
        <w:ind w:firstLine="1530"/>
        <w:rPr>
          <w:sz w:val="26"/>
          <w:szCs w:val="26"/>
          <w:lang w:val="en-US"/>
        </w:rPr>
      </w:pPr>
      <w:r>
        <w:rPr>
          <w:sz w:val="26"/>
          <w:szCs w:val="26"/>
        </w:rPr>
        <w:t>Duquesne</w:t>
      </w:r>
      <w:r w:rsidR="006628ED" w:rsidRPr="0096775E">
        <w:rPr>
          <w:sz w:val="26"/>
          <w:szCs w:val="26"/>
        </w:rPr>
        <w:t>’s Medium C&amp;I customers are those customers with monthly metered demands equal to or greater than 25 kW and less than 300 kW.</w:t>
      </w:r>
      <w:r w:rsidR="006628ED" w:rsidRPr="0096775E">
        <w:rPr>
          <w:rStyle w:val="FootnoteReference"/>
          <w:sz w:val="26"/>
          <w:szCs w:val="26"/>
        </w:rPr>
        <w:footnoteReference w:id="12"/>
      </w:r>
      <w:r>
        <w:rPr>
          <w:sz w:val="26"/>
          <w:szCs w:val="26"/>
        </w:rPr>
        <w:t xml:space="preserve">  Duquesne propose</w:t>
      </w:r>
      <w:r>
        <w:rPr>
          <w:sz w:val="26"/>
          <w:szCs w:val="26"/>
          <w:lang w:val="en-US"/>
        </w:rPr>
        <w:t>d</w:t>
      </w:r>
      <w:r w:rsidR="006628ED" w:rsidRPr="0096775E">
        <w:rPr>
          <w:sz w:val="26"/>
          <w:szCs w:val="26"/>
        </w:rPr>
        <w:t xml:space="preserve"> to obtain defau</w:t>
      </w:r>
      <w:r w:rsidR="006E30D0">
        <w:rPr>
          <w:sz w:val="26"/>
          <w:szCs w:val="26"/>
        </w:rPr>
        <w:t xml:space="preserve">lt service supply for </w:t>
      </w:r>
      <w:r w:rsidR="006E30D0">
        <w:rPr>
          <w:sz w:val="26"/>
          <w:szCs w:val="26"/>
          <w:lang w:val="en-US"/>
        </w:rPr>
        <w:t>these</w:t>
      </w:r>
      <w:r w:rsidR="006628ED" w:rsidRPr="0096775E">
        <w:rPr>
          <w:sz w:val="26"/>
          <w:szCs w:val="26"/>
        </w:rPr>
        <w:t xml:space="preserve"> customers through full requirements contracts with three-month terms, with no laddering.  </w:t>
      </w:r>
      <w:r>
        <w:rPr>
          <w:sz w:val="26"/>
          <w:szCs w:val="26"/>
          <w:lang w:val="en-US"/>
        </w:rPr>
        <w:t>Duquesne noted that this proposal represents a movement from six-month rates derived from six-month supply contracts under DSP VI to three-month rates derived from three-month supply contracts</w:t>
      </w:r>
      <w:r w:rsidR="00A003DB">
        <w:rPr>
          <w:sz w:val="26"/>
          <w:szCs w:val="26"/>
          <w:lang w:val="en-US"/>
        </w:rPr>
        <w:t xml:space="preserve"> in DSP VII</w:t>
      </w:r>
      <w:r>
        <w:rPr>
          <w:sz w:val="26"/>
          <w:szCs w:val="26"/>
          <w:lang w:val="en-US"/>
        </w:rPr>
        <w:t>.  Duquesne opined that this procurement plan reflects</w:t>
      </w:r>
      <w:r w:rsidR="006E30D0">
        <w:rPr>
          <w:sz w:val="26"/>
          <w:szCs w:val="26"/>
          <w:lang w:val="en-US"/>
        </w:rPr>
        <w:t xml:space="preserve"> a measured approach to moving M</w:t>
      </w:r>
      <w:r>
        <w:rPr>
          <w:sz w:val="26"/>
          <w:szCs w:val="26"/>
          <w:lang w:val="en-US"/>
        </w:rPr>
        <w:t xml:space="preserve">edium C&amp;I customer classes to more market responsive prices for default service.    </w:t>
      </w:r>
      <w:r w:rsidR="006E30D0" w:rsidRPr="0096775E">
        <w:rPr>
          <w:sz w:val="26"/>
          <w:szCs w:val="26"/>
          <w:lang w:val="en-US"/>
        </w:rPr>
        <w:t>The</w:t>
      </w:r>
      <w:r w:rsidR="006E30D0" w:rsidRPr="0096775E">
        <w:rPr>
          <w:sz w:val="26"/>
          <w:szCs w:val="26"/>
        </w:rPr>
        <w:t xml:space="preserve"> Company noted </w:t>
      </w:r>
      <w:r w:rsidR="006E30D0">
        <w:rPr>
          <w:sz w:val="26"/>
          <w:szCs w:val="26"/>
          <w:lang w:val="en-US"/>
        </w:rPr>
        <w:t xml:space="preserve">that </w:t>
      </w:r>
      <w:r w:rsidR="009932F3">
        <w:rPr>
          <w:sz w:val="26"/>
          <w:szCs w:val="26"/>
        </w:rPr>
        <w:t>approximately 72</w:t>
      </w:r>
      <w:r w:rsidR="009932F3">
        <w:rPr>
          <w:sz w:val="26"/>
          <w:szCs w:val="26"/>
          <w:lang w:val="en-US"/>
        </w:rPr>
        <w:t xml:space="preserve"> percent</w:t>
      </w:r>
      <w:r w:rsidR="006E30D0" w:rsidRPr="0096775E">
        <w:rPr>
          <w:sz w:val="26"/>
          <w:szCs w:val="26"/>
        </w:rPr>
        <w:t xml:space="preserve"> of </w:t>
      </w:r>
      <w:r w:rsidR="006E30D0" w:rsidRPr="0096775E">
        <w:rPr>
          <w:sz w:val="26"/>
          <w:szCs w:val="26"/>
          <w:lang w:val="en-US"/>
        </w:rPr>
        <w:t xml:space="preserve">its </w:t>
      </w:r>
      <w:r w:rsidR="006E30D0" w:rsidRPr="0096775E">
        <w:rPr>
          <w:sz w:val="26"/>
          <w:szCs w:val="26"/>
        </w:rPr>
        <w:t xml:space="preserve">Medium C&amp;I customer load </w:t>
      </w:r>
      <w:r w:rsidR="006E30D0" w:rsidRPr="0096775E">
        <w:rPr>
          <w:sz w:val="26"/>
          <w:szCs w:val="26"/>
          <w:lang w:val="en-US"/>
        </w:rPr>
        <w:t xml:space="preserve">currently </w:t>
      </w:r>
      <w:r w:rsidR="006E30D0" w:rsidRPr="0096775E">
        <w:rPr>
          <w:sz w:val="26"/>
          <w:szCs w:val="26"/>
        </w:rPr>
        <w:t>is served by an EGS.</w:t>
      </w:r>
      <w:r w:rsidR="006E30D0" w:rsidRPr="0096775E">
        <w:rPr>
          <w:rStyle w:val="FootnoteReference"/>
          <w:sz w:val="26"/>
          <w:szCs w:val="26"/>
        </w:rPr>
        <w:footnoteReference w:id="13"/>
      </w:r>
      <w:r w:rsidR="006E30D0" w:rsidRPr="0096775E">
        <w:rPr>
          <w:sz w:val="26"/>
          <w:szCs w:val="26"/>
        </w:rPr>
        <w:t xml:space="preserve">  </w:t>
      </w:r>
      <w:r w:rsidR="006628ED" w:rsidRPr="0096775E">
        <w:rPr>
          <w:sz w:val="26"/>
          <w:szCs w:val="26"/>
        </w:rPr>
        <w:t xml:space="preserve">The </w:t>
      </w:r>
      <w:r w:rsidR="006E30D0">
        <w:rPr>
          <w:sz w:val="26"/>
          <w:szCs w:val="26"/>
          <w:lang w:val="en-US"/>
        </w:rPr>
        <w:t xml:space="preserve">Company’s </w:t>
      </w:r>
      <w:r w:rsidR="006628ED" w:rsidRPr="0096775E">
        <w:rPr>
          <w:sz w:val="26"/>
          <w:szCs w:val="26"/>
        </w:rPr>
        <w:t>proposed RFP Date, Procurement Amount, Contract Term and Delivery Period for Medium C&amp;I customers under DSP VII is set forth below:</w:t>
      </w:r>
      <w:r w:rsidR="006628ED" w:rsidRPr="0096775E">
        <w:rPr>
          <w:rStyle w:val="FootnoteReference"/>
          <w:sz w:val="26"/>
          <w:szCs w:val="26"/>
        </w:rPr>
        <w:footnoteReference w:id="14"/>
      </w:r>
      <w:r w:rsidR="006628ED" w:rsidRPr="0096775E">
        <w:rPr>
          <w:sz w:val="26"/>
          <w:szCs w:val="26"/>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00"/>
        <w:gridCol w:w="1980"/>
        <w:gridCol w:w="4320"/>
      </w:tblGrid>
      <w:tr w:rsidR="006628ED" w:rsidRPr="0096775E" w:rsidTr="005F3390">
        <w:tc>
          <w:tcPr>
            <w:tcW w:w="1908" w:type="dxa"/>
          </w:tcPr>
          <w:p w:rsidR="006628ED" w:rsidRPr="0096775E" w:rsidRDefault="006628ED" w:rsidP="00B20A33">
            <w:pPr>
              <w:keepNext/>
              <w:keepLines/>
              <w:rPr>
                <w:rFonts w:ascii="Times New Roman" w:hAnsi="Times New Roman"/>
                <w:b/>
                <w:sz w:val="26"/>
                <w:szCs w:val="26"/>
              </w:rPr>
            </w:pPr>
            <w:r w:rsidRPr="0096775E">
              <w:rPr>
                <w:rFonts w:ascii="Times New Roman" w:hAnsi="Times New Roman"/>
                <w:b/>
                <w:sz w:val="26"/>
                <w:szCs w:val="26"/>
              </w:rPr>
              <w:lastRenderedPageBreak/>
              <w:t>RFP Date</w:t>
            </w:r>
          </w:p>
        </w:tc>
        <w:tc>
          <w:tcPr>
            <w:tcW w:w="1800" w:type="dxa"/>
          </w:tcPr>
          <w:p w:rsidR="006628ED" w:rsidRPr="0096775E" w:rsidRDefault="006628ED" w:rsidP="005F3390">
            <w:pPr>
              <w:keepNext/>
              <w:keepLines/>
              <w:spacing w:line="240" w:lineRule="auto"/>
              <w:rPr>
                <w:rFonts w:ascii="Times New Roman" w:hAnsi="Times New Roman"/>
                <w:b/>
                <w:sz w:val="26"/>
                <w:szCs w:val="26"/>
              </w:rPr>
            </w:pPr>
            <w:r w:rsidRPr="0096775E">
              <w:rPr>
                <w:rFonts w:ascii="Times New Roman" w:hAnsi="Times New Roman"/>
                <w:b/>
                <w:sz w:val="26"/>
                <w:szCs w:val="26"/>
              </w:rPr>
              <w:t>Procurement Amount</w:t>
            </w:r>
          </w:p>
        </w:tc>
        <w:tc>
          <w:tcPr>
            <w:tcW w:w="1980" w:type="dxa"/>
          </w:tcPr>
          <w:p w:rsidR="006628ED" w:rsidRPr="0096775E" w:rsidRDefault="006628ED" w:rsidP="00B20A33">
            <w:pPr>
              <w:keepNext/>
              <w:keepLines/>
              <w:rPr>
                <w:rFonts w:ascii="Times New Roman" w:hAnsi="Times New Roman"/>
                <w:b/>
                <w:sz w:val="26"/>
                <w:szCs w:val="26"/>
              </w:rPr>
            </w:pPr>
            <w:r w:rsidRPr="0096775E">
              <w:rPr>
                <w:rFonts w:ascii="Times New Roman" w:hAnsi="Times New Roman"/>
                <w:b/>
                <w:sz w:val="26"/>
                <w:szCs w:val="26"/>
              </w:rPr>
              <w:t>Contract Term</w:t>
            </w:r>
          </w:p>
        </w:tc>
        <w:tc>
          <w:tcPr>
            <w:tcW w:w="4320" w:type="dxa"/>
          </w:tcPr>
          <w:p w:rsidR="006628ED" w:rsidRPr="0096775E" w:rsidRDefault="006628ED" w:rsidP="00B20A33">
            <w:pPr>
              <w:keepNext/>
              <w:keepLines/>
              <w:rPr>
                <w:rFonts w:ascii="Times New Roman" w:hAnsi="Times New Roman"/>
                <w:b/>
                <w:sz w:val="26"/>
                <w:szCs w:val="26"/>
              </w:rPr>
            </w:pPr>
            <w:r w:rsidRPr="0096775E">
              <w:rPr>
                <w:rFonts w:ascii="Times New Roman" w:hAnsi="Times New Roman"/>
                <w:b/>
                <w:sz w:val="26"/>
                <w:szCs w:val="26"/>
              </w:rPr>
              <w:t>Delivery Period</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March 2015</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June 2015 – August 2015</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June 2015</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September 2015 – November 2015</w:t>
            </w:r>
          </w:p>
        </w:tc>
      </w:tr>
      <w:tr w:rsidR="006628ED" w:rsidRPr="0096775E" w:rsidTr="005F3390">
        <w:tc>
          <w:tcPr>
            <w:tcW w:w="1908" w:type="dxa"/>
          </w:tcPr>
          <w:p w:rsidR="006628ED" w:rsidRPr="0096775E" w:rsidRDefault="006628ED" w:rsidP="005F3390">
            <w:pPr>
              <w:keepNext/>
              <w:keepLines/>
              <w:spacing w:line="240" w:lineRule="auto"/>
              <w:rPr>
                <w:rFonts w:ascii="Times New Roman" w:hAnsi="Times New Roman"/>
                <w:sz w:val="26"/>
                <w:szCs w:val="26"/>
              </w:rPr>
            </w:pPr>
            <w:r w:rsidRPr="0096775E">
              <w:rPr>
                <w:rFonts w:ascii="Times New Roman" w:hAnsi="Times New Roman"/>
                <w:sz w:val="26"/>
                <w:szCs w:val="26"/>
              </w:rPr>
              <w:t>September 2015</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December 2015 – February 2016</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December 2015</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March 2016 – May 2016</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March 2016</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June 2016 – August 2016</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June 2016</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September 2016 – November 2016</w:t>
            </w:r>
          </w:p>
        </w:tc>
      </w:tr>
      <w:tr w:rsidR="006628ED" w:rsidRPr="0096775E" w:rsidTr="005F3390">
        <w:tc>
          <w:tcPr>
            <w:tcW w:w="1908" w:type="dxa"/>
          </w:tcPr>
          <w:p w:rsidR="006628ED" w:rsidRPr="0096775E" w:rsidRDefault="006628ED" w:rsidP="005F3390">
            <w:pPr>
              <w:keepNext/>
              <w:keepLines/>
              <w:spacing w:line="240" w:lineRule="auto"/>
              <w:rPr>
                <w:rFonts w:ascii="Times New Roman" w:hAnsi="Times New Roman"/>
                <w:sz w:val="26"/>
                <w:szCs w:val="26"/>
              </w:rPr>
            </w:pPr>
            <w:r w:rsidRPr="0096775E">
              <w:rPr>
                <w:rFonts w:ascii="Times New Roman" w:hAnsi="Times New Roman"/>
                <w:sz w:val="26"/>
                <w:szCs w:val="26"/>
              </w:rPr>
              <w:t>September 2016</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December 2016 – February 2017</w:t>
            </w:r>
          </w:p>
        </w:tc>
      </w:tr>
      <w:tr w:rsidR="006628ED" w:rsidRPr="0096775E" w:rsidTr="005F3390">
        <w:tc>
          <w:tcPr>
            <w:tcW w:w="1908"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December 2016</w:t>
            </w:r>
          </w:p>
        </w:tc>
        <w:tc>
          <w:tcPr>
            <w:tcW w:w="180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100%</w:t>
            </w:r>
          </w:p>
        </w:tc>
        <w:tc>
          <w:tcPr>
            <w:tcW w:w="198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3 months</w:t>
            </w:r>
          </w:p>
        </w:tc>
        <w:tc>
          <w:tcPr>
            <w:tcW w:w="4320" w:type="dxa"/>
          </w:tcPr>
          <w:p w:rsidR="006628ED" w:rsidRPr="0096775E" w:rsidRDefault="006628ED" w:rsidP="00B20A33">
            <w:pPr>
              <w:keepNext/>
              <w:keepLines/>
              <w:rPr>
                <w:rFonts w:ascii="Times New Roman" w:hAnsi="Times New Roman"/>
                <w:sz w:val="26"/>
                <w:szCs w:val="26"/>
              </w:rPr>
            </w:pPr>
            <w:r w:rsidRPr="0096775E">
              <w:rPr>
                <w:rFonts w:ascii="Times New Roman" w:hAnsi="Times New Roman"/>
                <w:sz w:val="26"/>
                <w:szCs w:val="26"/>
              </w:rPr>
              <w:t>March 2017 – May 2017</w:t>
            </w:r>
          </w:p>
        </w:tc>
      </w:tr>
    </w:tbl>
    <w:p w:rsidR="006628ED" w:rsidRDefault="006628ED" w:rsidP="006E30D0">
      <w:pPr>
        <w:spacing w:line="240" w:lineRule="auto"/>
        <w:rPr>
          <w:rFonts w:ascii="Times New Roman" w:hAnsi="Times New Roman"/>
          <w:sz w:val="26"/>
          <w:szCs w:val="26"/>
        </w:rPr>
      </w:pPr>
    </w:p>
    <w:p w:rsidR="006E30D0" w:rsidRDefault="006E30D0" w:rsidP="006E30D0">
      <w:pPr>
        <w:rPr>
          <w:rFonts w:ascii="Times New Roman" w:hAnsi="Times New Roman"/>
          <w:sz w:val="26"/>
          <w:szCs w:val="26"/>
        </w:rPr>
      </w:pPr>
      <w:r>
        <w:rPr>
          <w:rFonts w:ascii="Times New Roman" w:hAnsi="Times New Roman"/>
          <w:sz w:val="26"/>
          <w:szCs w:val="26"/>
        </w:rPr>
        <w:t>Duquesne M.B. at 17-18.</w:t>
      </w:r>
    </w:p>
    <w:p w:rsidR="006E30D0" w:rsidRDefault="006E30D0" w:rsidP="006E30D0">
      <w:pPr>
        <w:rPr>
          <w:rFonts w:ascii="Times New Roman" w:hAnsi="Times New Roman"/>
          <w:sz w:val="26"/>
          <w:szCs w:val="26"/>
        </w:rPr>
      </w:pPr>
    </w:p>
    <w:p w:rsidR="006628ED" w:rsidRPr="0096775E" w:rsidRDefault="006628ED" w:rsidP="006628ED">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BF0955" w:rsidRPr="005F3390">
        <w:rPr>
          <w:rFonts w:ascii="Times New Roman" w:hAnsi="Times New Roman"/>
          <w:sz w:val="26"/>
          <w:szCs w:val="26"/>
        </w:rPr>
        <w:t xml:space="preserve">The OSBA </w:t>
      </w:r>
      <w:r w:rsidR="00C571F6" w:rsidRPr="005F3390">
        <w:rPr>
          <w:rFonts w:ascii="Times New Roman" w:hAnsi="Times New Roman"/>
          <w:sz w:val="26"/>
          <w:szCs w:val="26"/>
        </w:rPr>
        <w:t>disagreed</w:t>
      </w:r>
      <w:r w:rsidRPr="005F3390">
        <w:rPr>
          <w:rFonts w:ascii="Times New Roman" w:hAnsi="Times New Roman"/>
          <w:sz w:val="26"/>
          <w:szCs w:val="26"/>
        </w:rPr>
        <w:t xml:space="preserve"> with the C</w:t>
      </w:r>
      <w:r w:rsidR="00C571F6" w:rsidRPr="005F3390">
        <w:rPr>
          <w:rFonts w:ascii="Times New Roman" w:hAnsi="Times New Roman"/>
          <w:sz w:val="26"/>
          <w:szCs w:val="26"/>
        </w:rPr>
        <w:t>ompany and proposed</w:t>
      </w:r>
      <w:r w:rsidRPr="005F3390">
        <w:rPr>
          <w:rFonts w:ascii="Times New Roman" w:hAnsi="Times New Roman"/>
          <w:sz w:val="26"/>
          <w:szCs w:val="26"/>
        </w:rPr>
        <w:t xml:space="preserve"> </w:t>
      </w:r>
      <w:r w:rsidR="006D75C3" w:rsidRPr="005F3390">
        <w:rPr>
          <w:rFonts w:ascii="Times New Roman" w:hAnsi="Times New Roman"/>
          <w:sz w:val="26"/>
          <w:szCs w:val="26"/>
        </w:rPr>
        <w:t>that Duquesne</w:t>
      </w:r>
      <w:r w:rsidR="00C571F6" w:rsidRPr="005F3390">
        <w:rPr>
          <w:rFonts w:ascii="Times New Roman" w:hAnsi="Times New Roman"/>
          <w:sz w:val="26"/>
          <w:szCs w:val="26"/>
        </w:rPr>
        <w:t xml:space="preserve"> maintain its currently effective procurement plan for Medium C&amp;I customers of</w:t>
      </w:r>
      <w:r w:rsidRPr="005F3390">
        <w:rPr>
          <w:rFonts w:ascii="Times New Roman" w:hAnsi="Times New Roman"/>
          <w:sz w:val="26"/>
          <w:szCs w:val="26"/>
        </w:rPr>
        <w:t xml:space="preserve"> </w:t>
      </w:r>
      <w:r w:rsidR="00C571F6" w:rsidRPr="005F3390">
        <w:rPr>
          <w:rFonts w:ascii="Times New Roman" w:hAnsi="Times New Roman"/>
          <w:sz w:val="26"/>
          <w:szCs w:val="26"/>
        </w:rPr>
        <w:t>six</w:t>
      </w:r>
      <w:r w:rsidRPr="005F3390">
        <w:rPr>
          <w:rFonts w:ascii="Times New Roman" w:hAnsi="Times New Roman"/>
          <w:sz w:val="26"/>
          <w:szCs w:val="26"/>
        </w:rPr>
        <w:t>-month, full-requirements, load-following, non-laddered contracts included in the DSP VI.</w:t>
      </w:r>
      <w:r w:rsidRPr="0096775E">
        <w:rPr>
          <w:rFonts w:ascii="Times New Roman" w:hAnsi="Times New Roman"/>
          <w:sz w:val="26"/>
          <w:szCs w:val="26"/>
        </w:rPr>
        <w:t xml:space="preserve">  </w:t>
      </w:r>
      <w:r w:rsidR="00B90E48">
        <w:rPr>
          <w:rFonts w:ascii="Times New Roman" w:hAnsi="Times New Roman"/>
          <w:sz w:val="26"/>
          <w:szCs w:val="26"/>
        </w:rPr>
        <w:t>The OSBA pointed</w:t>
      </w:r>
      <w:r w:rsidR="009932F3">
        <w:rPr>
          <w:rFonts w:ascii="Times New Roman" w:hAnsi="Times New Roman"/>
          <w:sz w:val="26"/>
          <w:szCs w:val="26"/>
        </w:rPr>
        <w:t xml:space="preserve"> to the statistic that 37 percent</w:t>
      </w:r>
      <w:r w:rsidRPr="0096775E">
        <w:rPr>
          <w:rFonts w:ascii="Times New Roman" w:hAnsi="Times New Roman"/>
          <w:sz w:val="26"/>
          <w:szCs w:val="26"/>
        </w:rPr>
        <w:t xml:space="preserve"> of the Medium C&amp;I class customers choose not to shop and should not be involuntarily subjected to the price volatility inher</w:t>
      </w:r>
      <w:r w:rsidR="00B90E48">
        <w:rPr>
          <w:rFonts w:ascii="Times New Roman" w:hAnsi="Times New Roman"/>
          <w:sz w:val="26"/>
          <w:szCs w:val="26"/>
        </w:rPr>
        <w:t>ent to procurements using only three</w:t>
      </w:r>
      <w:r w:rsidRPr="0096775E">
        <w:rPr>
          <w:rFonts w:ascii="Times New Roman" w:hAnsi="Times New Roman"/>
          <w:sz w:val="26"/>
          <w:szCs w:val="26"/>
        </w:rPr>
        <w:t xml:space="preserve">-month supply contracts.  </w:t>
      </w:r>
      <w:r w:rsidR="00B90E48">
        <w:rPr>
          <w:rFonts w:ascii="Times New Roman" w:hAnsi="Times New Roman"/>
          <w:sz w:val="26"/>
          <w:szCs w:val="26"/>
        </w:rPr>
        <w:t>The OSBA contended</w:t>
      </w:r>
      <w:r w:rsidRPr="0096775E">
        <w:rPr>
          <w:rFonts w:ascii="Times New Roman" w:hAnsi="Times New Roman"/>
          <w:sz w:val="26"/>
          <w:szCs w:val="26"/>
        </w:rPr>
        <w:t xml:space="preserve"> </w:t>
      </w:r>
      <w:r w:rsidR="00B90E48">
        <w:rPr>
          <w:rFonts w:ascii="Times New Roman" w:hAnsi="Times New Roman"/>
          <w:sz w:val="26"/>
          <w:szCs w:val="26"/>
        </w:rPr>
        <w:t xml:space="preserve">that </w:t>
      </w:r>
      <w:r w:rsidR="00E46A6A">
        <w:rPr>
          <w:rFonts w:ascii="Times New Roman" w:hAnsi="Times New Roman"/>
          <w:sz w:val="26"/>
          <w:szCs w:val="26"/>
        </w:rPr>
        <w:t>D</w:t>
      </w:r>
      <w:r w:rsidR="00B90E48">
        <w:rPr>
          <w:rFonts w:ascii="Times New Roman" w:hAnsi="Times New Roman"/>
          <w:sz w:val="26"/>
          <w:szCs w:val="26"/>
        </w:rPr>
        <w:t>uquesne’s</w:t>
      </w:r>
      <w:r w:rsidRPr="0096775E">
        <w:rPr>
          <w:rFonts w:ascii="Times New Roman" w:hAnsi="Times New Roman"/>
          <w:sz w:val="26"/>
          <w:szCs w:val="26"/>
        </w:rPr>
        <w:t xml:space="preserve"> proposal would </w:t>
      </w:r>
      <w:r w:rsidR="006D75C3">
        <w:rPr>
          <w:rFonts w:ascii="Times New Roman" w:hAnsi="Times New Roman"/>
          <w:sz w:val="26"/>
          <w:szCs w:val="26"/>
        </w:rPr>
        <w:t xml:space="preserve">effectively </w:t>
      </w:r>
      <w:r w:rsidRPr="0096775E">
        <w:rPr>
          <w:rFonts w:ascii="Times New Roman" w:hAnsi="Times New Roman"/>
          <w:sz w:val="26"/>
          <w:szCs w:val="26"/>
        </w:rPr>
        <w:t xml:space="preserve">implement immediately the directive in the Commission’s </w:t>
      </w:r>
      <w:r w:rsidRPr="00B90E48">
        <w:rPr>
          <w:rFonts w:ascii="Times New Roman" w:hAnsi="Times New Roman"/>
          <w:i/>
          <w:sz w:val="26"/>
          <w:szCs w:val="26"/>
        </w:rPr>
        <w:t>End State Order</w:t>
      </w:r>
      <w:r w:rsidRPr="0096775E">
        <w:rPr>
          <w:rFonts w:ascii="Times New Roman" w:hAnsi="Times New Roman"/>
          <w:sz w:val="26"/>
          <w:szCs w:val="26"/>
        </w:rPr>
        <w:t xml:space="preserve"> even though the Pennsylvania </w:t>
      </w:r>
      <w:r w:rsidR="0075015E">
        <w:rPr>
          <w:rFonts w:ascii="Times New Roman" w:hAnsi="Times New Roman"/>
          <w:sz w:val="26"/>
          <w:szCs w:val="26"/>
        </w:rPr>
        <w:t>General Assembly</w:t>
      </w:r>
      <w:r w:rsidR="0075015E" w:rsidRPr="0096775E">
        <w:rPr>
          <w:rFonts w:ascii="Times New Roman" w:hAnsi="Times New Roman"/>
          <w:sz w:val="26"/>
          <w:szCs w:val="26"/>
        </w:rPr>
        <w:t xml:space="preserve"> </w:t>
      </w:r>
      <w:r w:rsidRPr="0096775E">
        <w:rPr>
          <w:rFonts w:ascii="Times New Roman" w:hAnsi="Times New Roman"/>
          <w:sz w:val="26"/>
          <w:szCs w:val="26"/>
        </w:rPr>
        <w:t xml:space="preserve">has not passed the needed enabling legislation.  </w:t>
      </w:r>
      <w:r w:rsidR="006D75C3">
        <w:rPr>
          <w:rFonts w:ascii="Times New Roman" w:hAnsi="Times New Roman"/>
          <w:sz w:val="26"/>
          <w:szCs w:val="26"/>
        </w:rPr>
        <w:t>OSBA M.B. at 12-15.</w:t>
      </w:r>
    </w:p>
    <w:p w:rsidR="006628ED" w:rsidRPr="0096775E" w:rsidRDefault="006628ED" w:rsidP="006628ED">
      <w:pPr>
        <w:rPr>
          <w:rFonts w:ascii="Times New Roman" w:hAnsi="Times New Roman"/>
          <w:sz w:val="26"/>
          <w:szCs w:val="26"/>
        </w:rPr>
      </w:pPr>
    </w:p>
    <w:p w:rsidR="006628ED" w:rsidRPr="0096775E" w:rsidRDefault="006628ED" w:rsidP="006628ED">
      <w:pPr>
        <w:tabs>
          <w:tab w:val="left" w:pos="1440"/>
        </w:tabs>
        <w:rPr>
          <w:rFonts w:ascii="Times New Roman" w:hAnsi="Times New Roman"/>
          <w:sz w:val="26"/>
          <w:szCs w:val="26"/>
        </w:rPr>
      </w:pPr>
      <w:r w:rsidRPr="0096775E">
        <w:rPr>
          <w:rFonts w:ascii="Times New Roman" w:hAnsi="Times New Roman"/>
          <w:sz w:val="26"/>
          <w:szCs w:val="26"/>
        </w:rPr>
        <w:tab/>
      </w:r>
      <w:r w:rsidR="003D31F6">
        <w:rPr>
          <w:rFonts w:ascii="Times New Roman" w:hAnsi="Times New Roman"/>
          <w:sz w:val="26"/>
          <w:szCs w:val="26"/>
        </w:rPr>
        <w:t xml:space="preserve">RESA </w:t>
      </w:r>
      <w:r w:rsidR="006D75C3">
        <w:rPr>
          <w:rFonts w:ascii="Times New Roman" w:hAnsi="Times New Roman"/>
          <w:sz w:val="26"/>
          <w:szCs w:val="26"/>
        </w:rPr>
        <w:t>also disagreed with Duquesne</w:t>
      </w:r>
      <w:r w:rsidR="003D31F6">
        <w:rPr>
          <w:rFonts w:ascii="Times New Roman" w:hAnsi="Times New Roman"/>
          <w:sz w:val="26"/>
          <w:szCs w:val="26"/>
        </w:rPr>
        <w:t xml:space="preserve"> and proposed</w:t>
      </w:r>
      <w:r w:rsidRPr="0096775E">
        <w:rPr>
          <w:rFonts w:ascii="Times New Roman" w:hAnsi="Times New Roman"/>
          <w:sz w:val="26"/>
          <w:szCs w:val="26"/>
        </w:rPr>
        <w:t>, in the alternative, to modify the Company’s proposed procurement plan for Medi</w:t>
      </w:r>
      <w:r w:rsidR="003D31F6">
        <w:rPr>
          <w:rFonts w:ascii="Times New Roman" w:hAnsi="Times New Roman"/>
          <w:sz w:val="26"/>
          <w:szCs w:val="26"/>
        </w:rPr>
        <w:t>um C&amp;I customers.  RESA proposed</w:t>
      </w:r>
      <w:r w:rsidRPr="0096775E">
        <w:rPr>
          <w:rFonts w:ascii="Times New Roman" w:hAnsi="Times New Roman"/>
          <w:sz w:val="26"/>
          <w:szCs w:val="26"/>
        </w:rPr>
        <w:t xml:space="preserve"> to split the Company’s existing Medium C&amp;I class of customers with monthly metered demands equal to or greater than 25 kW and less than 300 kW into two separate procurement groups.  RESA’s first group would be customers with monthly metered demands between 25 kW </w:t>
      </w:r>
      <w:r w:rsidR="00923CE4">
        <w:rPr>
          <w:rFonts w:ascii="Times New Roman" w:hAnsi="Times New Roman"/>
          <w:sz w:val="26"/>
          <w:szCs w:val="26"/>
        </w:rPr>
        <w:t>to 100 kW.  RESA St. No. 1-R at</w:t>
      </w:r>
      <w:r w:rsidRPr="0096775E">
        <w:rPr>
          <w:rFonts w:ascii="Times New Roman" w:hAnsi="Times New Roman"/>
          <w:sz w:val="26"/>
          <w:szCs w:val="26"/>
        </w:rPr>
        <w:t xml:space="preserve"> 7.  RESA propose</w:t>
      </w:r>
      <w:r w:rsidR="00923CE4">
        <w:rPr>
          <w:rFonts w:ascii="Times New Roman" w:hAnsi="Times New Roman"/>
          <w:sz w:val="26"/>
          <w:szCs w:val="26"/>
        </w:rPr>
        <w:t>d</w:t>
      </w:r>
      <w:r w:rsidRPr="0096775E">
        <w:rPr>
          <w:rFonts w:ascii="Times New Roman" w:hAnsi="Times New Roman"/>
          <w:sz w:val="26"/>
          <w:szCs w:val="26"/>
        </w:rPr>
        <w:t xml:space="preserve"> that the </w:t>
      </w:r>
      <w:r w:rsidRPr="0096775E">
        <w:rPr>
          <w:rFonts w:ascii="Times New Roman" w:hAnsi="Times New Roman"/>
          <w:sz w:val="26"/>
          <w:szCs w:val="26"/>
        </w:rPr>
        <w:lastRenderedPageBreak/>
        <w:t>Company acquire default supply for this group through three-month, non-laddered, full-requirements contracts.  RESA’s second group of Medium C&amp;I customers would be those customers with monthly metered demands greater than 100 kW and less than 3</w:t>
      </w:r>
      <w:r w:rsidR="00923CE4">
        <w:rPr>
          <w:rFonts w:ascii="Times New Roman" w:hAnsi="Times New Roman"/>
          <w:sz w:val="26"/>
          <w:szCs w:val="26"/>
        </w:rPr>
        <w:t>00 kW.  RESA proposed</w:t>
      </w:r>
      <w:r w:rsidRPr="0096775E">
        <w:rPr>
          <w:rFonts w:ascii="Times New Roman" w:hAnsi="Times New Roman"/>
          <w:sz w:val="26"/>
          <w:szCs w:val="26"/>
        </w:rPr>
        <w:t xml:space="preserve"> that all of those customers be provided hourly priced default service in t</w:t>
      </w:r>
      <w:r w:rsidR="00923CE4">
        <w:rPr>
          <w:rFonts w:ascii="Times New Roman" w:hAnsi="Times New Roman"/>
          <w:sz w:val="26"/>
          <w:szCs w:val="26"/>
        </w:rPr>
        <w:t>he same manner as Duquesne</w:t>
      </w:r>
      <w:r w:rsidRPr="0096775E">
        <w:rPr>
          <w:rFonts w:ascii="Times New Roman" w:hAnsi="Times New Roman"/>
          <w:sz w:val="26"/>
          <w:szCs w:val="26"/>
        </w:rPr>
        <w:t>’s Large C&amp;I customers.  RESA St. No. 1-R</w:t>
      </w:r>
      <w:r w:rsidR="00923CE4">
        <w:rPr>
          <w:rFonts w:ascii="Times New Roman" w:hAnsi="Times New Roman"/>
          <w:sz w:val="26"/>
          <w:szCs w:val="26"/>
        </w:rPr>
        <w:t xml:space="preserve"> at</w:t>
      </w:r>
      <w:r w:rsidRPr="0096775E">
        <w:rPr>
          <w:rFonts w:ascii="Times New Roman" w:hAnsi="Times New Roman"/>
          <w:sz w:val="26"/>
          <w:szCs w:val="26"/>
        </w:rPr>
        <w:t xml:space="preserve"> 7.  RESA’s proposal would reduce the threshold for hourly priced service in Duques</w:t>
      </w:r>
      <w:r w:rsidR="00923CE4">
        <w:rPr>
          <w:rFonts w:ascii="Times New Roman" w:hAnsi="Times New Roman"/>
          <w:sz w:val="26"/>
          <w:szCs w:val="26"/>
        </w:rPr>
        <w:t>ne</w:t>
      </w:r>
      <w:r w:rsidRPr="0096775E">
        <w:rPr>
          <w:rFonts w:ascii="Times New Roman" w:hAnsi="Times New Roman"/>
          <w:sz w:val="26"/>
          <w:szCs w:val="26"/>
        </w:rPr>
        <w:t>’s servic</w:t>
      </w:r>
      <w:r w:rsidR="00923CE4">
        <w:rPr>
          <w:rFonts w:ascii="Times New Roman" w:hAnsi="Times New Roman"/>
          <w:sz w:val="26"/>
          <w:szCs w:val="26"/>
        </w:rPr>
        <w:t>e territory from 300 kW to 100 kW</w:t>
      </w:r>
      <w:r w:rsidRPr="0096775E">
        <w:rPr>
          <w:rFonts w:ascii="Times New Roman" w:hAnsi="Times New Roman"/>
          <w:sz w:val="26"/>
          <w:szCs w:val="26"/>
        </w:rPr>
        <w:t>.</w:t>
      </w:r>
      <w:r w:rsidR="006D75C3">
        <w:rPr>
          <w:rFonts w:ascii="Times New Roman" w:hAnsi="Times New Roman"/>
          <w:sz w:val="26"/>
          <w:szCs w:val="26"/>
        </w:rPr>
        <w:t xml:space="preserve">  RESA M.B. at 16-</w:t>
      </w:r>
      <w:r w:rsidR="00D56889">
        <w:rPr>
          <w:rFonts w:ascii="Times New Roman" w:hAnsi="Times New Roman"/>
          <w:sz w:val="26"/>
          <w:szCs w:val="26"/>
        </w:rPr>
        <w:t>20.</w:t>
      </w:r>
    </w:p>
    <w:p w:rsidR="006628ED" w:rsidRPr="0096775E" w:rsidRDefault="006628ED" w:rsidP="006628ED">
      <w:pPr>
        <w:tabs>
          <w:tab w:val="left" w:pos="1440"/>
        </w:tabs>
        <w:rPr>
          <w:rFonts w:ascii="Times New Roman" w:hAnsi="Times New Roman"/>
          <w:sz w:val="26"/>
          <w:szCs w:val="26"/>
        </w:rPr>
      </w:pPr>
    </w:p>
    <w:p w:rsidR="006628ED" w:rsidRPr="0096775E" w:rsidRDefault="006628ED" w:rsidP="006628ED">
      <w:pPr>
        <w:ind w:firstLine="720"/>
        <w:rPr>
          <w:rFonts w:ascii="Times New Roman" w:hAnsi="Times New Roman"/>
          <w:b/>
          <w:sz w:val="26"/>
          <w:szCs w:val="26"/>
        </w:rPr>
      </w:pPr>
      <w:r w:rsidRPr="0096775E">
        <w:rPr>
          <w:rFonts w:ascii="Times New Roman" w:hAnsi="Times New Roman"/>
          <w:b/>
          <w:sz w:val="26"/>
          <w:szCs w:val="26"/>
        </w:rPr>
        <w:t>2.</w:t>
      </w:r>
      <w:r w:rsidRPr="0096775E">
        <w:rPr>
          <w:rFonts w:ascii="Times New Roman" w:hAnsi="Times New Roman"/>
          <w:b/>
          <w:sz w:val="26"/>
          <w:szCs w:val="26"/>
        </w:rPr>
        <w:tab/>
        <w:t>ALJ’s Recommendation</w:t>
      </w:r>
    </w:p>
    <w:p w:rsidR="006628ED" w:rsidRPr="0096775E" w:rsidRDefault="006628ED" w:rsidP="006628ED">
      <w:pPr>
        <w:tabs>
          <w:tab w:val="left" w:pos="1440"/>
        </w:tabs>
        <w:rPr>
          <w:rFonts w:ascii="Times New Roman" w:hAnsi="Times New Roman"/>
          <w:sz w:val="26"/>
          <w:szCs w:val="26"/>
        </w:rPr>
      </w:pPr>
    </w:p>
    <w:p w:rsidR="006628ED" w:rsidRPr="00713146" w:rsidRDefault="007D0BBA" w:rsidP="006628ED">
      <w:pPr>
        <w:pStyle w:val="BodyText2"/>
        <w:spacing w:after="0" w:line="360" w:lineRule="auto"/>
        <w:ind w:firstLine="1440"/>
        <w:rPr>
          <w:sz w:val="26"/>
          <w:szCs w:val="26"/>
          <w:lang w:val="en-US"/>
        </w:rPr>
      </w:pPr>
      <w:r w:rsidRPr="005F3390">
        <w:rPr>
          <w:sz w:val="26"/>
          <w:szCs w:val="26"/>
          <w:lang w:val="en-US"/>
        </w:rPr>
        <w:t>The ALJ stated that she agreed with Duquesne and</w:t>
      </w:r>
      <w:r w:rsidRPr="005F3390">
        <w:rPr>
          <w:sz w:val="26"/>
          <w:szCs w:val="26"/>
        </w:rPr>
        <w:t xml:space="preserve"> </w:t>
      </w:r>
      <w:r w:rsidRPr="00B6600E">
        <w:rPr>
          <w:sz w:val="26"/>
          <w:szCs w:val="26"/>
          <w:lang w:val="en-US"/>
        </w:rPr>
        <w:t xml:space="preserve">the </w:t>
      </w:r>
      <w:r w:rsidRPr="005F3390">
        <w:rPr>
          <w:sz w:val="26"/>
          <w:szCs w:val="26"/>
        </w:rPr>
        <w:t>OSBA</w:t>
      </w:r>
      <w:r w:rsidRPr="005F3390">
        <w:rPr>
          <w:sz w:val="26"/>
          <w:szCs w:val="26"/>
          <w:lang w:val="en-US"/>
        </w:rPr>
        <w:t xml:space="preserve"> that </w:t>
      </w:r>
      <w:r w:rsidR="00BF0955" w:rsidRPr="005F3390">
        <w:rPr>
          <w:sz w:val="26"/>
          <w:szCs w:val="26"/>
          <w:lang w:val="en-US"/>
        </w:rPr>
        <w:t xml:space="preserve">the </w:t>
      </w:r>
      <w:r w:rsidRPr="005F3390">
        <w:rPr>
          <w:sz w:val="26"/>
          <w:szCs w:val="26"/>
          <w:lang w:val="en-US"/>
        </w:rPr>
        <w:t>OSBA</w:t>
      </w:r>
      <w:r w:rsidRPr="005F3390">
        <w:rPr>
          <w:sz w:val="26"/>
          <w:szCs w:val="26"/>
        </w:rPr>
        <w:t>’s recommendation</w:t>
      </w:r>
      <w:r w:rsidRPr="005F3390">
        <w:rPr>
          <w:sz w:val="26"/>
          <w:szCs w:val="26"/>
          <w:lang w:val="en-US"/>
        </w:rPr>
        <w:t xml:space="preserve">, </w:t>
      </w:r>
      <w:r w:rsidR="00713146" w:rsidRPr="005F3390">
        <w:rPr>
          <w:sz w:val="26"/>
          <w:szCs w:val="26"/>
          <w:lang w:val="en-US"/>
        </w:rPr>
        <w:t xml:space="preserve">which </w:t>
      </w:r>
      <w:r w:rsidRPr="005F3390">
        <w:rPr>
          <w:sz w:val="26"/>
          <w:szCs w:val="26"/>
          <w:lang w:val="en-US"/>
        </w:rPr>
        <w:t xml:space="preserve">proposed </w:t>
      </w:r>
      <w:r w:rsidRPr="005F3390">
        <w:rPr>
          <w:sz w:val="26"/>
          <w:szCs w:val="26"/>
        </w:rPr>
        <w:t>to maintain six-month, non-laddered, full-requirements contracts for Medium C&amp;I customers</w:t>
      </w:r>
      <w:r w:rsidRPr="005F3390">
        <w:rPr>
          <w:sz w:val="26"/>
          <w:szCs w:val="26"/>
          <w:lang w:val="en-US"/>
        </w:rPr>
        <w:t xml:space="preserve"> wa</w:t>
      </w:r>
      <w:r w:rsidRPr="005F3390">
        <w:rPr>
          <w:sz w:val="26"/>
          <w:szCs w:val="26"/>
        </w:rPr>
        <w:t>s reasonable</w:t>
      </w:r>
      <w:r w:rsidRPr="0096775E">
        <w:rPr>
          <w:sz w:val="26"/>
          <w:szCs w:val="26"/>
          <w:lang w:val="en-US"/>
        </w:rPr>
        <w:t xml:space="preserve">.  </w:t>
      </w:r>
      <w:r>
        <w:rPr>
          <w:sz w:val="26"/>
          <w:szCs w:val="26"/>
          <w:lang w:val="en-US"/>
        </w:rPr>
        <w:t>The ALJ noted that t</w:t>
      </w:r>
      <w:r w:rsidRPr="0096775E">
        <w:rPr>
          <w:sz w:val="26"/>
          <w:szCs w:val="26"/>
        </w:rPr>
        <w:t>he degree to which procurement periods should be shortened to make default service rates more market responsive needs to be balanced with the benefits of price stability</w:t>
      </w:r>
      <w:r w:rsidRPr="0096775E">
        <w:rPr>
          <w:sz w:val="26"/>
          <w:szCs w:val="26"/>
          <w:lang w:val="en-US"/>
        </w:rPr>
        <w:t xml:space="preserve"> and is a matter of subjectivity</w:t>
      </w:r>
      <w:r w:rsidRPr="0096775E">
        <w:rPr>
          <w:sz w:val="26"/>
          <w:szCs w:val="26"/>
        </w:rPr>
        <w:t>.</w:t>
      </w:r>
      <w:r w:rsidRPr="0096775E">
        <w:rPr>
          <w:sz w:val="26"/>
          <w:szCs w:val="26"/>
          <w:lang w:val="en-US"/>
        </w:rPr>
        <w:t xml:space="preserve">  However, </w:t>
      </w:r>
      <w:r>
        <w:rPr>
          <w:sz w:val="26"/>
          <w:szCs w:val="26"/>
          <w:lang w:val="en-US"/>
        </w:rPr>
        <w:t xml:space="preserve">according to the ALJ, </w:t>
      </w:r>
      <w:r w:rsidRPr="0096775E">
        <w:rPr>
          <w:sz w:val="26"/>
          <w:szCs w:val="26"/>
          <w:lang w:val="en-US"/>
        </w:rPr>
        <w:t xml:space="preserve">there is a </w:t>
      </w:r>
      <w:r w:rsidRPr="0096775E">
        <w:rPr>
          <w:sz w:val="26"/>
          <w:szCs w:val="26"/>
        </w:rPr>
        <w:t xml:space="preserve">proper balance in this instance, where a large portion of </w:t>
      </w:r>
      <w:r>
        <w:rPr>
          <w:sz w:val="26"/>
          <w:szCs w:val="26"/>
          <w:lang w:val="en-US"/>
        </w:rPr>
        <w:t xml:space="preserve">the </w:t>
      </w:r>
      <w:r w:rsidRPr="0096775E">
        <w:rPr>
          <w:sz w:val="26"/>
          <w:szCs w:val="26"/>
        </w:rPr>
        <w:t xml:space="preserve">Medium C&amp;I customers have already switched to a competitive supplier.  </w:t>
      </w:r>
      <w:r>
        <w:rPr>
          <w:sz w:val="26"/>
          <w:szCs w:val="26"/>
          <w:lang w:val="en-US"/>
        </w:rPr>
        <w:t>The ALJ fu</w:t>
      </w:r>
      <w:r w:rsidR="00713146">
        <w:rPr>
          <w:sz w:val="26"/>
          <w:szCs w:val="26"/>
          <w:lang w:val="en-US"/>
        </w:rPr>
        <w:t>r</w:t>
      </w:r>
      <w:r>
        <w:rPr>
          <w:sz w:val="26"/>
          <w:szCs w:val="26"/>
          <w:lang w:val="en-US"/>
        </w:rPr>
        <w:t>ther</w:t>
      </w:r>
      <w:r w:rsidR="006628ED" w:rsidRPr="0096775E">
        <w:rPr>
          <w:sz w:val="26"/>
          <w:szCs w:val="26"/>
          <w:lang w:val="en-US"/>
        </w:rPr>
        <w:t xml:space="preserve"> noted </w:t>
      </w:r>
      <w:r>
        <w:rPr>
          <w:sz w:val="26"/>
          <w:szCs w:val="26"/>
          <w:lang w:val="en-US"/>
        </w:rPr>
        <w:t xml:space="preserve">that </w:t>
      </w:r>
      <w:r w:rsidR="006628ED" w:rsidRPr="0096775E">
        <w:rPr>
          <w:sz w:val="26"/>
          <w:szCs w:val="26"/>
        </w:rPr>
        <w:t>Duquesne has one of the lowest kilowatt demand thresholds for hourly priced default service in the country.</w:t>
      </w:r>
      <w:r w:rsidR="006628ED" w:rsidRPr="0096775E">
        <w:rPr>
          <w:rStyle w:val="FootnoteReference"/>
          <w:sz w:val="26"/>
          <w:szCs w:val="26"/>
        </w:rPr>
        <w:footnoteReference w:id="15"/>
      </w:r>
      <w:r w:rsidR="006628ED" w:rsidRPr="0096775E">
        <w:rPr>
          <w:sz w:val="26"/>
          <w:szCs w:val="26"/>
        </w:rPr>
        <w:t xml:space="preserve">  </w:t>
      </w:r>
      <w:r w:rsidR="00713146">
        <w:rPr>
          <w:sz w:val="26"/>
          <w:szCs w:val="26"/>
          <w:lang w:val="en-US"/>
        </w:rPr>
        <w:t>According to the ALJ,</w:t>
      </w:r>
      <w:r w:rsidR="00386719">
        <w:rPr>
          <w:sz w:val="26"/>
          <w:szCs w:val="26"/>
          <w:lang w:val="en-US"/>
        </w:rPr>
        <w:t xml:space="preserve"> </w:t>
      </w:r>
      <w:r w:rsidR="006628ED" w:rsidRPr="0096775E">
        <w:rPr>
          <w:sz w:val="26"/>
          <w:szCs w:val="26"/>
        </w:rPr>
        <w:t xml:space="preserve">the Company </w:t>
      </w:r>
      <w:r w:rsidR="006628ED" w:rsidRPr="0096775E">
        <w:rPr>
          <w:sz w:val="26"/>
          <w:szCs w:val="26"/>
          <w:lang w:val="en-US"/>
        </w:rPr>
        <w:t>acknowledged</w:t>
      </w:r>
      <w:r w:rsidR="006628ED" w:rsidRPr="0096775E">
        <w:rPr>
          <w:sz w:val="26"/>
          <w:szCs w:val="26"/>
        </w:rPr>
        <w:t xml:space="preserve"> </w:t>
      </w:r>
      <w:r w:rsidR="00386719">
        <w:rPr>
          <w:sz w:val="26"/>
          <w:szCs w:val="26"/>
          <w:lang w:val="en-US"/>
        </w:rPr>
        <w:t xml:space="preserve">that </w:t>
      </w:r>
      <w:r w:rsidR="00BF0955">
        <w:rPr>
          <w:sz w:val="26"/>
          <w:szCs w:val="26"/>
          <w:lang w:val="en-US"/>
        </w:rPr>
        <w:t>the OSBA</w:t>
      </w:r>
      <w:r w:rsidR="006628ED" w:rsidRPr="0096775E">
        <w:rPr>
          <w:sz w:val="26"/>
          <w:szCs w:val="26"/>
        </w:rPr>
        <w:t xml:space="preserve"> proposal </w:t>
      </w:r>
      <w:r w:rsidR="006628ED" w:rsidRPr="0096775E">
        <w:rPr>
          <w:sz w:val="26"/>
          <w:szCs w:val="26"/>
          <w:lang w:val="en-US"/>
        </w:rPr>
        <w:t>had</w:t>
      </w:r>
      <w:r w:rsidR="006628ED" w:rsidRPr="0096775E">
        <w:rPr>
          <w:sz w:val="26"/>
          <w:szCs w:val="26"/>
        </w:rPr>
        <w:t xml:space="preserve"> certain benefits, including longer term price stability and </w:t>
      </w:r>
      <w:r w:rsidR="00BF0955">
        <w:rPr>
          <w:sz w:val="26"/>
          <w:szCs w:val="26"/>
          <w:lang w:val="en-US"/>
        </w:rPr>
        <w:t xml:space="preserve">the </w:t>
      </w:r>
      <w:r w:rsidR="00BF0955">
        <w:rPr>
          <w:sz w:val="26"/>
          <w:szCs w:val="26"/>
        </w:rPr>
        <w:t>eliminati</w:t>
      </w:r>
      <w:r w:rsidR="00BF0955">
        <w:rPr>
          <w:sz w:val="26"/>
          <w:szCs w:val="26"/>
          <w:lang w:val="en-US"/>
        </w:rPr>
        <w:t>on of some</w:t>
      </w:r>
      <w:r w:rsidR="006628ED" w:rsidRPr="0096775E">
        <w:rPr>
          <w:sz w:val="26"/>
          <w:szCs w:val="26"/>
        </w:rPr>
        <w:t xml:space="preserve"> RFPs, which </w:t>
      </w:r>
      <w:r w:rsidR="006628ED" w:rsidRPr="0096775E">
        <w:rPr>
          <w:sz w:val="26"/>
          <w:szCs w:val="26"/>
          <w:lang w:val="en-US"/>
        </w:rPr>
        <w:t>should</w:t>
      </w:r>
      <w:r w:rsidR="006628ED" w:rsidRPr="0096775E">
        <w:rPr>
          <w:sz w:val="26"/>
          <w:szCs w:val="26"/>
        </w:rPr>
        <w:t xml:space="preserve"> produce cost savings.  </w:t>
      </w:r>
      <w:r w:rsidR="00713146">
        <w:rPr>
          <w:sz w:val="26"/>
          <w:szCs w:val="26"/>
          <w:lang w:val="en-US"/>
        </w:rPr>
        <w:t>R.D. at 25.</w:t>
      </w:r>
    </w:p>
    <w:p w:rsidR="00713146" w:rsidRPr="00713146" w:rsidRDefault="00713146" w:rsidP="006628ED">
      <w:pPr>
        <w:pStyle w:val="BodyText2"/>
        <w:spacing w:after="0" w:line="360" w:lineRule="auto"/>
        <w:ind w:firstLine="1440"/>
        <w:rPr>
          <w:sz w:val="26"/>
          <w:szCs w:val="26"/>
          <w:lang w:val="en-US"/>
        </w:rPr>
      </w:pPr>
    </w:p>
    <w:p w:rsidR="006628ED" w:rsidRPr="0096775E" w:rsidRDefault="00713146" w:rsidP="006628ED">
      <w:pPr>
        <w:pStyle w:val="BodyText2"/>
        <w:spacing w:after="0" w:line="360" w:lineRule="auto"/>
        <w:ind w:firstLine="1440"/>
        <w:rPr>
          <w:sz w:val="26"/>
          <w:szCs w:val="26"/>
          <w:lang w:val="en-US"/>
        </w:rPr>
      </w:pPr>
      <w:r>
        <w:rPr>
          <w:sz w:val="26"/>
          <w:szCs w:val="26"/>
          <w:lang w:val="en-US"/>
        </w:rPr>
        <w:t xml:space="preserve">The ALJ then concluded that </w:t>
      </w:r>
      <w:r>
        <w:rPr>
          <w:sz w:val="26"/>
          <w:szCs w:val="26"/>
        </w:rPr>
        <w:t>RESA’s proposal</w:t>
      </w:r>
      <w:r>
        <w:rPr>
          <w:sz w:val="26"/>
          <w:szCs w:val="26"/>
          <w:lang w:val="en-US"/>
        </w:rPr>
        <w:t xml:space="preserve">, </w:t>
      </w:r>
      <w:r w:rsidR="006628ED" w:rsidRPr="0096775E">
        <w:rPr>
          <w:sz w:val="26"/>
          <w:szCs w:val="26"/>
        </w:rPr>
        <w:t>to lower the hourly priced service threshold from 300 kW to 100 kW</w:t>
      </w:r>
      <w:r>
        <w:rPr>
          <w:sz w:val="26"/>
          <w:szCs w:val="26"/>
          <w:lang w:val="en-US"/>
        </w:rPr>
        <w:t>,</w:t>
      </w:r>
      <w:r w:rsidR="006628ED" w:rsidRPr="0096775E">
        <w:rPr>
          <w:sz w:val="26"/>
          <w:szCs w:val="26"/>
          <w:lang w:val="en-US"/>
        </w:rPr>
        <w:t xml:space="preserve"> runs counter to the Commission’s decision</w:t>
      </w:r>
      <w:r w:rsidR="00A003DB">
        <w:rPr>
          <w:sz w:val="26"/>
          <w:szCs w:val="26"/>
          <w:lang w:val="en-US"/>
        </w:rPr>
        <w:t xml:space="preserve"> in the </w:t>
      </w:r>
      <w:r w:rsidR="00A003DB">
        <w:rPr>
          <w:i/>
          <w:sz w:val="26"/>
          <w:szCs w:val="26"/>
          <w:lang w:val="en-US"/>
        </w:rPr>
        <w:t xml:space="preserve">End State Order </w:t>
      </w:r>
      <w:r w:rsidR="006628ED" w:rsidRPr="0096775E">
        <w:rPr>
          <w:sz w:val="26"/>
          <w:szCs w:val="26"/>
        </w:rPr>
        <w:t>that directing an hourly default service product for such Medium C&amp;I customers may raise legal questions about compliance with the Competition Act</w:t>
      </w:r>
      <w:r w:rsidR="006628ED" w:rsidRPr="0096775E">
        <w:rPr>
          <w:sz w:val="26"/>
          <w:szCs w:val="26"/>
          <w:lang w:val="en-US"/>
        </w:rPr>
        <w:t>.</w:t>
      </w:r>
      <w:r w:rsidR="00A003DB">
        <w:rPr>
          <w:sz w:val="26"/>
          <w:szCs w:val="26"/>
          <w:lang w:val="en-US"/>
        </w:rPr>
        <w:t xml:space="preserve">  </w:t>
      </w:r>
      <w:r w:rsidR="00A003DB">
        <w:rPr>
          <w:i/>
          <w:sz w:val="26"/>
          <w:szCs w:val="26"/>
          <w:lang w:val="en-US"/>
        </w:rPr>
        <w:lastRenderedPageBreak/>
        <w:t xml:space="preserve">See End State Order </w:t>
      </w:r>
      <w:r w:rsidR="00A003DB">
        <w:rPr>
          <w:sz w:val="26"/>
          <w:szCs w:val="26"/>
          <w:lang w:val="en-US"/>
        </w:rPr>
        <w:t>at 31.</w:t>
      </w:r>
      <w:r w:rsidR="006628ED" w:rsidRPr="0096775E">
        <w:rPr>
          <w:sz w:val="26"/>
          <w:szCs w:val="26"/>
          <w:lang w:val="en-US"/>
        </w:rPr>
        <w:t xml:space="preserve">  </w:t>
      </w:r>
      <w:r>
        <w:rPr>
          <w:sz w:val="26"/>
          <w:szCs w:val="26"/>
          <w:lang w:val="en-US"/>
        </w:rPr>
        <w:t xml:space="preserve">The ALJ noted that </w:t>
      </w:r>
      <w:r w:rsidR="006628ED" w:rsidRPr="0096775E">
        <w:rPr>
          <w:sz w:val="26"/>
          <w:szCs w:val="26"/>
        </w:rPr>
        <w:t xml:space="preserve">the Commission </w:t>
      </w:r>
      <w:r w:rsidR="006628ED" w:rsidRPr="0096775E">
        <w:rPr>
          <w:sz w:val="26"/>
          <w:szCs w:val="26"/>
          <w:lang w:val="en-US"/>
        </w:rPr>
        <w:t>has stated it prefers</w:t>
      </w:r>
      <w:r w:rsidR="006628ED" w:rsidRPr="0096775E">
        <w:rPr>
          <w:sz w:val="26"/>
          <w:szCs w:val="26"/>
        </w:rPr>
        <w:t xml:space="preserve"> to pursue legislative amendments </w:t>
      </w:r>
      <w:r w:rsidR="006628ED" w:rsidRPr="0096775E">
        <w:rPr>
          <w:sz w:val="26"/>
          <w:szCs w:val="26"/>
          <w:lang w:val="en-US"/>
        </w:rPr>
        <w:t>to</w:t>
      </w:r>
      <w:r w:rsidR="006628ED" w:rsidRPr="0096775E">
        <w:rPr>
          <w:sz w:val="26"/>
          <w:szCs w:val="26"/>
        </w:rPr>
        <w:t xml:space="preserve"> provide for such authority before mandating an hourly priced product for Medium C&amp;I customers.</w:t>
      </w:r>
      <w:r w:rsidR="006628ED" w:rsidRPr="0096775E">
        <w:rPr>
          <w:rStyle w:val="FootnoteReference"/>
          <w:sz w:val="26"/>
          <w:szCs w:val="26"/>
        </w:rPr>
        <w:footnoteReference w:id="16"/>
      </w:r>
      <w:r w:rsidR="006628ED" w:rsidRPr="0096775E">
        <w:rPr>
          <w:sz w:val="26"/>
          <w:szCs w:val="26"/>
          <w:lang w:val="en-US"/>
        </w:rPr>
        <w:t xml:space="preserve">  </w:t>
      </w:r>
      <w:r>
        <w:rPr>
          <w:sz w:val="26"/>
          <w:szCs w:val="26"/>
          <w:lang w:val="en-US"/>
        </w:rPr>
        <w:t>According to the ALJ, t</w:t>
      </w:r>
      <w:r w:rsidR="006628ED" w:rsidRPr="0096775E">
        <w:rPr>
          <w:sz w:val="26"/>
          <w:szCs w:val="26"/>
        </w:rPr>
        <w:t>hese changes have not been adopted by the General Assembly</w:t>
      </w:r>
      <w:r w:rsidR="006628ED" w:rsidRPr="0096775E">
        <w:rPr>
          <w:sz w:val="26"/>
          <w:szCs w:val="26"/>
          <w:lang w:val="en-US"/>
        </w:rPr>
        <w:t xml:space="preserve"> to date</w:t>
      </w:r>
      <w:r w:rsidR="006628ED" w:rsidRPr="0096775E">
        <w:rPr>
          <w:sz w:val="26"/>
          <w:szCs w:val="26"/>
        </w:rPr>
        <w:t>.</w:t>
      </w:r>
      <w:r>
        <w:rPr>
          <w:sz w:val="26"/>
          <w:szCs w:val="26"/>
          <w:lang w:val="en-US"/>
        </w:rPr>
        <w:t xml:space="preserve">  R.D. at 26.</w:t>
      </w:r>
      <w:r w:rsidR="006628ED" w:rsidRPr="0096775E">
        <w:rPr>
          <w:sz w:val="26"/>
          <w:szCs w:val="26"/>
        </w:rPr>
        <w:t xml:space="preserve">  </w:t>
      </w:r>
    </w:p>
    <w:p w:rsidR="006628ED" w:rsidRPr="0096775E" w:rsidRDefault="006628ED" w:rsidP="006628ED">
      <w:pPr>
        <w:pStyle w:val="BodyText2"/>
        <w:spacing w:after="0" w:line="360" w:lineRule="auto"/>
        <w:ind w:firstLine="1440"/>
        <w:rPr>
          <w:sz w:val="26"/>
          <w:szCs w:val="26"/>
          <w:lang w:val="en-US"/>
        </w:rPr>
      </w:pPr>
    </w:p>
    <w:p w:rsidR="006628ED" w:rsidRPr="00734115" w:rsidRDefault="00734115" w:rsidP="00734115">
      <w:pPr>
        <w:pStyle w:val="BodyText2"/>
        <w:spacing w:after="0" w:line="360" w:lineRule="auto"/>
        <w:ind w:firstLine="1440"/>
        <w:rPr>
          <w:sz w:val="26"/>
          <w:szCs w:val="26"/>
          <w:lang w:val="en-US"/>
        </w:rPr>
      </w:pPr>
      <w:r>
        <w:rPr>
          <w:sz w:val="26"/>
          <w:szCs w:val="26"/>
          <w:lang w:val="en-US"/>
        </w:rPr>
        <w:t xml:space="preserve">The ALJ stated that she </w:t>
      </w:r>
      <w:r w:rsidR="006628ED" w:rsidRPr="0096775E">
        <w:rPr>
          <w:sz w:val="26"/>
          <w:szCs w:val="26"/>
          <w:lang w:val="en-US"/>
        </w:rPr>
        <w:t>agree</w:t>
      </w:r>
      <w:r>
        <w:rPr>
          <w:sz w:val="26"/>
          <w:szCs w:val="26"/>
          <w:lang w:val="en-US"/>
        </w:rPr>
        <w:t xml:space="preserve">d with Duquesne that it would be premature for the </w:t>
      </w:r>
      <w:r w:rsidR="006628ED" w:rsidRPr="0096775E">
        <w:rPr>
          <w:sz w:val="26"/>
          <w:szCs w:val="26"/>
          <w:lang w:val="en-US"/>
        </w:rPr>
        <w:t xml:space="preserve">DSP VII Plan </w:t>
      </w:r>
      <w:r w:rsidR="006628ED" w:rsidRPr="0096775E">
        <w:rPr>
          <w:sz w:val="26"/>
          <w:szCs w:val="26"/>
        </w:rPr>
        <w:t xml:space="preserve">to adopt </w:t>
      </w:r>
      <w:r w:rsidR="008D79E3">
        <w:rPr>
          <w:sz w:val="26"/>
          <w:szCs w:val="26"/>
          <w:lang w:val="en-US"/>
        </w:rPr>
        <w:t>RESA’s</w:t>
      </w:r>
      <w:r>
        <w:rPr>
          <w:sz w:val="26"/>
          <w:szCs w:val="26"/>
          <w:lang w:val="en-US"/>
        </w:rPr>
        <w:t xml:space="preserve"> proposed</w:t>
      </w:r>
      <w:r w:rsidR="006628ED" w:rsidRPr="0096775E">
        <w:rPr>
          <w:sz w:val="26"/>
          <w:szCs w:val="26"/>
        </w:rPr>
        <w:t xml:space="preserve"> changes.</w:t>
      </w:r>
      <w:r w:rsidR="006628ED" w:rsidRPr="0096775E">
        <w:rPr>
          <w:sz w:val="26"/>
          <w:szCs w:val="26"/>
          <w:lang w:val="en-US"/>
        </w:rPr>
        <w:t xml:space="preserve">  </w:t>
      </w:r>
      <w:r>
        <w:rPr>
          <w:sz w:val="26"/>
          <w:szCs w:val="26"/>
          <w:lang w:val="en-US"/>
        </w:rPr>
        <w:t>According to the ALJ, t</w:t>
      </w:r>
      <w:r w:rsidR="006628ED" w:rsidRPr="0096775E">
        <w:rPr>
          <w:sz w:val="26"/>
          <w:szCs w:val="26"/>
          <w:lang w:val="en-US"/>
        </w:rPr>
        <w:t xml:space="preserve">here is no indication in the record, other than RESA’s bald claims, that </w:t>
      </w:r>
      <w:r w:rsidR="006628ED" w:rsidRPr="0096775E">
        <w:rPr>
          <w:sz w:val="26"/>
          <w:szCs w:val="26"/>
        </w:rPr>
        <w:t xml:space="preserve">Medium C&amp;I customers above </w:t>
      </w:r>
      <w:r w:rsidR="006628ED" w:rsidRPr="0096775E">
        <w:rPr>
          <w:sz w:val="26"/>
          <w:szCs w:val="26"/>
          <w:lang w:val="en-US"/>
        </w:rPr>
        <w:t xml:space="preserve">the </w:t>
      </w:r>
      <w:r w:rsidR="006628ED" w:rsidRPr="0096775E">
        <w:rPr>
          <w:sz w:val="26"/>
          <w:szCs w:val="26"/>
        </w:rPr>
        <w:t xml:space="preserve">100 kW </w:t>
      </w:r>
      <w:r w:rsidR="006628ED" w:rsidRPr="0096775E">
        <w:rPr>
          <w:sz w:val="26"/>
          <w:szCs w:val="26"/>
          <w:lang w:val="en-US"/>
        </w:rPr>
        <w:t xml:space="preserve">threshold </w:t>
      </w:r>
      <w:r w:rsidR="006628ED" w:rsidRPr="0096775E">
        <w:rPr>
          <w:sz w:val="26"/>
          <w:szCs w:val="26"/>
        </w:rPr>
        <w:t xml:space="preserve">desire to receive hourly priced default service.  </w:t>
      </w:r>
      <w:r>
        <w:rPr>
          <w:sz w:val="26"/>
          <w:szCs w:val="26"/>
          <w:lang w:val="en-US"/>
        </w:rPr>
        <w:t xml:space="preserve">She averred that the </w:t>
      </w:r>
      <w:r w:rsidR="006628ED" w:rsidRPr="0096775E">
        <w:rPr>
          <w:sz w:val="26"/>
          <w:szCs w:val="26"/>
        </w:rPr>
        <w:t xml:space="preserve">OSBA, </w:t>
      </w:r>
      <w:r w:rsidR="006628ED" w:rsidRPr="0096775E">
        <w:rPr>
          <w:sz w:val="26"/>
          <w:szCs w:val="26"/>
          <w:lang w:val="en-US"/>
        </w:rPr>
        <w:t xml:space="preserve">the statutory advocate for this class of customers, </w:t>
      </w:r>
      <w:r>
        <w:rPr>
          <w:sz w:val="26"/>
          <w:szCs w:val="26"/>
        </w:rPr>
        <w:t>oppose</w:t>
      </w:r>
      <w:r>
        <w:rPr>
          <w:sz w:val="26"/>
          <w:szCs w:val="26"/>
          <w:lang w:val="en-US"/>
        </w:rPr>
        <w:t>d</w:t>
      </w:r>
      <w:r w:rsidR="006628ED" w:rsidRPr="0096775E">
        <w:rPr>
          <w:sz w:val="26"/>
          <w:szCs w:val="26"/>
        </w:rPr>
        <w:t xml:space="preserve"> providing hourly priced service for Medium C&amp;I customers, because it provides insufficient rate stability.</w:t>
      </w:r>
      <w:r w:rsidR="006628ED" w:rsidRPr="0096775E">
        <w:rPr>
          <w:rStyle w:val="FootnoteReference"/>
          <w:sz w:val="26"/>
          <w:szCs w:val="26"/>
        </w:rPr>
        <w:footnoteReference w:id="17"/>
      </w:r>
      <w:r w:rsidR="006628ED" w:rsidRPr="0096775E">
        <w:rPr>
          <w:sz w:val="26"/>
          <w:szCs w:val="26"/>
        </w:rPr>
        <w:t xml:space="preserve"> </w:t>
      </w:r>
      <w:r>
        <w:rPr>
          <w:sz w:val="26"/>
          <w:szCs w:val="26"/>
          <w:lang w:val="en-US"/>
        </w:rPr>
        <w:t xml:space="preserve"> The ALJ next stated it wa</w:t>
      </w:r>
      <w:r w:rsidR="006628ED" w:rsidRPr="0096775E">
        <w:rPr>
          <w:sz w:val="26"/>
          <w:szCs w:val="26"/>
          <w:lang w:val="en-US"/>
        </w:rPr>
        <w:t>s important to note</w:t>
      </w:r>
      <w:r>
        <w:rPr>
          <w:sz w:val="26"/>
          <w:szCs w:val="26"/>
          <w:lang w:val="en-US"/>
        </w:rPr>
        <w:t xml:space="preserve"> that </w:t>
      </w:r>
      <w:r w:rsidR="006628ED" w:rsidRPr="0096775E">
        <w:rPr>
          <w:sz w:val="26"/>
          <w:szCs w:val="26"/>
          <w:lang w:val="en-US"/>
        </w:rPr>
        <w:t xml:space="preserve">the Company’s </w:t>
      </w:r>
      <w:r w:rsidR="006628ED" w:rsidRPr="0096775E">
        <w:rPr>
          <w:sz w:val="26"/>
          <w:szCs w:val="26"/>
        </w:rPr>
        <w:t>proposed plan already increases the market responsiveness of default service rates by moving from six-month to three-month procurements.</w:t>
      </w:r>
      <w:r>
        <w:rPr>
          <w:sz w:val="26"/>
          <w:szCs w:val="26"/>
          <w:lang w:val="en-US"/>
        </w:rPr>
        <w:t xml:space="preserve">  R.D. at 26.</w:t>
      </w:r>
    </w:p>
    <w:p w:rsidR="006628ED" w:rsidRPr="0096775E" w:rsidRDefault="006628ED" w:rsidP="006628ED">
      <w:pPr>
        <w:pStyle w:val="BodyText2"/>
        <w:spacing w:after="0" w:line="360" w:lineRule="auto"/>
        <w:rPr>
          <w:sz w:val="26"/>
          <w:szCs w:val="26"/>
          <w:lang w:val="en-US"/>
        </w:rPr>
      </w:pPr>
    </w:p>
    <w:p w:rsidR="006628ED" w:rsidRPr="0096775E" w:rsidRDefault="00170644" w:rsidP="006628ED">
      <w:pPr>
        <w:pStyle w:val="BodyText2"/>
        <w:spacing w:after="0" w:line="360" w:lineRule="auto"/>
        <w:ind w:firstLine="1440"/>
        <w:rPr>
          <w:sz w:val="26"/>
          <w:szCs w:val="26"/>
          <w:lang w:val="en-US"/>
        </w:rPr>
      </w:pPr>
      <w:r>
        <w:rPr>
          <w:sz w:val="26"/>
          <w:szCs w:val="26"/>
          <w:lang w:val="en-US"/>
        </w:rPr>
        <w:t>Lastly, the ALJ found that Duquesne correctly noted</w:t>
      </w:r>
      <w:r w:rsidR="006628ED" w:rsidRPr="0096775E">
        <w:rPr>
          <w:sz w:val="26"/>
          <w:szCs w:val="26"/>
          <w:lang w:val="en-US"/>
        </w:rPr>
        <w:t xml:space="preserve"> that </w:t>
      </w:r>
      <w:r>
        <w:rPr>
          <w:sz w:val="26"/>
          <w:szCs w:val="26"/>
        </w:rPr>
        <w:t>if RESA’s proposal</w:t>
      </w:r>
      <w:r w:rsidR="006628ED" w:rsidRPr="0096775E">
        <w:rPr>
          <w:sz w:val="26"/>
          <w:szCs w:val="26"/>
          <w:lang w:val="en-US"/>
        </w:rPr>
        <w:t xml:space="preserve"> </w:t>
      </w:r>
      <w:r w:rsidR="002933FA">
        <w:rPr>
          <w:sz w:val="26"/>
          <w:szCs w:val="26"/>
          <w:lang w:val="en-US"/>
        </w:rPr>
        <w:t>were</w:t>
      </w:r>
      <w:r w:rsidR="002933FA">
        <w:rPr>
          <w:sz w:val="26"/>
          <w:szCs w:val="26"/>
        </w:rPr>
        <w:t xml:space="preserve"> </w:t>
      </w:r>
      <w:r w:rsidR="00E850B0">
        <w:rPr>
          <w:sz w:val="26"/>
          <w:szCs w:val="26"/>
        </w:rPr>
        <w:t>adopted, approximately 42</w:t>
      </w:r>
      <w:r w:rsidR="00E850B0">
        <w:rPr>
          <w:sz w:val="26"/>
          <w:szCs w:val="26"/>
          <w:lang w:val="en-US"/>
        </w:rPr>
        <w:t xml:space="preserve"> percent</w:t>
      </w:r>
      <w:r w:rsidR="006628ED" w:rsidRPr="0096775E">
        <w:rPr>
          <w:sz w:val="26"/>
          <w:szCs w:val="26"/>
        </w:rPr>
        <w:t xml:space="preserve"> of the Medium C&amp;I load would be carved out of the Medium C&amp;I procurement class.</w:t>
      </w:r>
      <w:r w:rsidR="006628ED" w:rsidRPr="0096775E">
        <w:rPr>
          <w:rStyle w:val="FootnoteReference"/>
          <w:sz w:val="26"/>
          <w:szCs w:val="26"/>
        </w:rPr>
        <w:footnoteReference w:id="18"/>
      </w:r>
      <w:r w:rsidR="006628ED" w:rsidRPr="0096775E">
        <w:rPr>
          <w:sz w:val="26"/>
          <w:szCs w:val="26"/>
        </w:rPr>
        <w:t xml:space="preserve">  </w:t>
      </w:r>
      <w:r>
        <w:rPr>
          <w:sz w:val="26"/>
          <w:szCs w:val="26"/>
          <w:lang w:val="en-US"/>
        </w:rPr>
        <w:t>According to the ALJ, t</w:t>
      </w:r>
      <w:r w:rsidR="006628ED" w:rsidRPr="0096775E">
        <w:rPr>
          <w:sz w:val="26"/>
          <w:szCs w:val="26"/>
        </w:rPr>
        <w:t>he remaining load for the Medium C&amp;I customers with demands equal to or g</w:t>
      </w:r>
      <w:r>
        <w:rPr>
          <w:sz w:val="26"/>
          <w:szCs w:val="26"/>
        </w:rPr>
        <w:t>reater than 25 kW to 100 kW w</w:t>
      </w:r>
      <w:r>
        <w:rPr>
          <w:sz w:val="26"/>
          <w:szCs w:val="26"/>
          <w:lang w:val="en-US"/>
        </w:rPr>
        <w:t>ould</w:t>
      </w:r>
      <w:r w:rsidR="006628ED" w:rsidRPr="0096775E">
        <w:rPr>
          <w:sz w:val="26"/>
          <w:szCs w:val="26"/>
        </w:rPr>
        <w:t xml:space="preserve"> be relatively small and </w:t>
      </w:r>
      <w:r w:rsidR="006628ED" w:rsidRPr="0096775E">
        <w:rPr>
          <w:sz w:val="26"/>
          <w:szCs w:val="26"/>
          <w:lang w:val="en-US"/>
        </w:rPr>
        <w:t>in</w:t>
      </w:r>
      <w:r w:rsidR="006628ED" w:rsidRPr="0096775E">
        <w:rPr>
          <w:sz w:val="26"/>
          <w:szCs w:val="26"/>
        </w:rPr>
        <w:t>sufficient to attract potential RFP suppliers.</w:t>
      </w:r>
      <w:r w:rsidR="006628ED" w:rsidRPr="0096775E">
        <w:rPr>
          <w:rStyle w:val="FootnoteReference"/>
          <w:sz w:val="26"/>
          <w:szCs w:val="26"/>
        </w:rPr>
        <w:footnoteReference w:id="19"/>
      </w:r>
      <w:r w:rsidR="006628ED" w:rsidRPr="0096775E">
        <w:rPr>
          <w:sz w:val="26"/>
          <w:szCs w:val="26"/>
        </w:rPr>
        <w:t xml:space="preserve">  </w:t>
      </w:r>
      <w:r w:rsidR="008D79E3">
        <w:rPr>
          <w:sz w:val="26"/>
          <w:szCs w:val="26"/>
          <w:lang w:val="en-US"/>
        </w:rPr>
        <w:t>Finally, the ALJ stated</w:t>
      </w:r>
      <w:r>
        <w:rPr>
          <w:sz w:val="26"/>
          <w:szCs w:val="26"/>
          <w:lang w:val="en-US"/>
        </w:rPr>
        <w:t xml:space="preserve"> that she </w:t>
      </w:r>
      <w:r w:rsidR="006628ED" w:rsidRPr="0096775E">
        <w:rPr>
          <w:sz w:val="26"/>
          <w:szCs w:val="26"/>
          <w:lang w:val="en-US"/>
        </w:rPr>
        <w:t>agree</w:t>
      </w:r>
      <w:r>
        <w:rPr>
          <w:sz w:val="26"/>
          <w:szCs w:val="26"/>
          <w:lang w:val="en-US"/>
        </w:rPr>
        <w:t>d</w:t>
      </w:r>
      <w:r w:rsidR="006628ED" w:rsidRPr="0096775E">
        <w:rPr>
          <w:sz w:val="26"/>
          <w:szCs w:val="26"/>
          <w:lang w:val="en-US"/>
        </w:rPr>
        <w:t xml:space="preserve"> with the Company’s request that t</w:t>
      </w:r>
      <w:r w:rsidR="006628ED" w:rsidRPr="0096775E">
        <w:rPr>
          <w:sz w:val="26"/>
          <w:szCs w:val="26"/>
        </w:rPr>
        <w:t>he potential for failed RFPs should be evaluated in more detail before the hourly priced service threshold is reduced from the current 300 kW threshold.</w:t>
      </w:r>
      <w:r w:rsidR="00A71BA2">
        <w:rPr>
          <w:sz w:val="26"/>
          <w:szCs w:val="26"/>
          <w:lang w:val="en-US"/>
        </w:rPr>
        <w:t xml:space="preserve">  R.D. at 26.</w:t>
      </w:r>
      <w:r w:rsidR="006628ED" w:rsidRPr="0096775E">
        <w:rPr>
          <w:sz w:val="26"/>
          <w:szCs w:val="26"/>
        </w:rPr>
        <w:t xml:space="preserve">  </w:t>
      </w:r>
    </w:p>
    <w:p w:rsidR="006628ED" w:rsidRPr="0096775E" w:rsidRDefault="006628ED" w:rsidP="006628ED">
      <w:pPr>
        <w:pStyle w:val="BodyText2"/>
        <w:spacing w:after="0" w:line="360" w:lineRule="auto"/>
        <w:ind w:firstLine="1440"/>
        <w:rPr>
          <w:sz w:val="26"/>
          <w:szCs w:val="26"/>
          <w:lang w:val="en-US"/>
        </w:rPr>
      </w:pPr>
    </w:p>
    <w:p w:rsidR="006628ED" w:rsidRDefault="006628ED" w:rsidP="00121220">
      <w:pPr>
        <w:keepNext/>
        <w:ind w:firstLine="720"/>
        <w:rPr>
          <w:rFonts w:ascii="Times New Roman" w:hAnsi="Times New Roman"/>
          <w:b/>
          <w:sz w:val="26"/>
          <w:szCs w:val="26"/>
        </w:rPr>
      </w:pPr>
      <w:r w:rsidRPr="0096775E">
        <w:rPr>
          <w:rFonts w:ascii="Times New Roman" w:hAnsi="Times New Roman"/>
          <w:b/>
          <w:sz w:val="26"/>
          <w:szCs w:val="26"/>
        </w:rPr>
        <w:lastRenderedPageBreak/>
        <w:t>3.</w:t>
      </w:r>
      <w:r w:rsidRPr="0096775E">
        <w:rPr>
          <w:rFonts w:ascii="Times New Roman" w:hAnsi="Times New Roman"/>
          <w:b/>
          <w:sz w:val="26"/>
          <w:szCs w:val="26"/>
        </w:rPr>
        <w:tab/>
        <w:t>Exceptions and Replies</w:t>
      </w:r>
    </w:p>
    <w:p w:rsidR="00121220" w:rsidRDefault="00121220" w:rsidP="00121220">
      <w:pPr>
        <w:keepNext/>
        <w:ind w:firstLine="720"/>
        <w:rPr>
          <w:rFonts w:ascii="Times New Roman" w:hAnsi="Times New Roman"/>
          <w:b/>
          <w:sz w:val="26"/>
          <w:szCs w:val="26"/>
        </w:rPr>
      </w:pPr>
    </w:p>
    <w:p w:rsidR="002521A5" w:rsidRDefault="002521A5" w:rsidP="004B03A5">
      <w:pPr>
        <w:ind w:firstLine="1440"/>
        <w:rPr>
          <w:rFonts w:ascii="Times New Roman" w:hAnsi="Times New Roman"/>
          <w:sz w:val="26"/>
          <w:szCs w:val="26"/>
        </w:rPr>
      </w:pPr>
      <w:r>
        <w:rPr>
          <w:rFonts w:ascii="Times New Roman" w:hAnsi="Times New Roman"/>
          <w:sz w:val="26"/>
          <w:szCs w:val="26"/>
        </w:rPr>
        <w:t xml:space="preserve">In its Exceptions, </w:t>
      </w:r>
      <w:r w:rsidR="00A8627B">
        <w:rPr>
          <w:rFonts w:ascii="Times New Roman" w:hAnsi="Times New Roman"/>
          <w:sz w:val="26"/>
          <w:szCs w:val="26"/>
        </w:rPr>
        <w:t xml:space="preserve">Duquesne requests clarification to make certain </w:t>
      </w:r>
      <w:r w:rsidR="00450380">
        <w:rPr>
          <w:rFonts w:ascii="Times New Roman" w:hAnsi="Times New Roman"/>
          <w:sz w:val="26"/>
          <w:szCs w:val="26"/>
        </w:rPr>
        <w:t>that the Company and the other P</w:t>
      </w:r>
      <w:r w:rsidR="00A8627B">
        <w:rPr>
          <w:rFonts w:ascii="Times New Roman" w:hAnsi="Times New Roman"/>
          <w:sz w:val="26"/>
          <w:szCs w:val="26"/>
        </w:rPr>
        <w:t>arties correctly understand the ALJ’s</w:t>
      </w:r>
      <w:r w:rsidR="004B03A5">
        <w:rPr>
          <w:rFonts w:ascii="Times New Roman" w:hAnsi="Times New Roman"/>
          <w:sz w:val="26"/>
          <w:szCs w:val="26"/>
        </w:rPr>
        <w:t xml:space="preserve"> recommendation concerning the M</w:t>
      </w:r>
      <w:r w:rsidR="00A8627B">
        <w:rPr>
          <w:rFonts w:ascii="Times New Roman" w:hAnsi="Times New Roman"/>
          <w:sz w:val="26"/>
          <w:szCs w:val="26"/>
        </w:rPr>
        <w:t>edium C&amp;I default service procurement.  Duquesne notes that the ALJ appears to have concluded that the balancing between rate stability and market responsiveness of default service rates supports moving to non-laddered three-month procurements for M</w:t>
      </w:r>
      <w:r w:rsidR="0039793A">
        <w:rPr>
          <w:rFonts w:ascii="Times New Roman" w:hAnsi="Times New Roman"/>
          <w:sz w:val="26"/>
          <w:szCs w:val="26"/>
        </w:rPr>
        <w:t xml:space="preserve">edium C&amp;I </w:t>
      </w:r>
      <w:r w:rsidR="00A8627B">
        <w:rPr>
          <w:rFonts w:ascii="Times New Roman" w:hAnsi="Times New Roman"/>
          <w:sz w:val="26"/>
          <w:szCs w:val="26"/>
        </w:rPr>
        <w:t>customers</w:t>
      </w:r>
      <w:r w:rsidR="004B03A5">
        <w:rPr>
          <w:rFonts w:ascii="Times New Roman" w:hAnsi="Times New Roman"/>
          <w:sz w:val="26"/>
          <w:szCs w:val="26"/>
        </w:rPr>
        <w:t>.  Duquesne states that a further demonstration that the ALJ intended to recommend the use of non-laddered three-month procurements is found in the ALJ’s statement in support of rejecting RESA’s proposal that the medium C&amp;I customers with demands of 100 kW to 300 kW be provided with hourly priced default service.  Therein, Duquesne explains that the ALJ stated that the Company’s proposed plan already increases the market responsiveness of default service rates by moving from six-month to three-month procurements.  Finally, Duquesne avers that the ALJ explicitly recommended approval of Duquesne’s procurement plans in proposed Ordering Paragraph No. 3.  As such, Duquesne believes that it is clear that the ALJ intended to recommend approval of non-laddered three-month procurements for Medium C&amp;I default service customers.  Duquesne Exc. at 1-2.</w:t>
      </w:r>
    </w:p>
    <w:p w:rsidR="004B03A5" w:rsidRDefault="004B03A5" w:rsidP="004B03A5">
      <w:pPr>
        <w:ind w:firstLine="1440"/>
        <w:rPr>
          <w:rFonts w:ascii="Times New Roman" w:hAnsi="Times New Roman"/>
          <w:sz w:val="26"/>
          <w:szCs w:val="26"/>
        </w:rPr>
      </w:pPr>
    </w:p>
    <w:p w:rsidR="004B03A5" w:rsidRDefault="004B03A5" w:rsidP="004B03A5">
      <w:pPr>
        <w:ind w:firstLine="1440"/>
        <w:rPr>
          <w:rFonts w:ascii="Times New Roman" w:hAnsi="Times New Roman"/>
          <w:sz w:val="26"/>
          <w:szCs w:val="26"/>
        </w:rPr>
      </w:pPr>
      <w:r>
        <w:rPr>
          <w:rFonts w:ascii="Times New Roman" w:hAnsi="Times New Roman"/>
          <w:sz w:val="26"/>
          <w:szCs w:val="26"/>
        </w:rPr>
        <w:t xml:space="preserve">In its Exceptions, RESA </w:t>
      </w:r>
      <w:r w:rsidR="00126A56">
        <w:rPr>
          <w:rFonts w:ascii="Times New Roman" w:hAnsi="Times New Roman"/>
          <w:sz w:val="26"/>
          <w:szCs w:val="26"/>
        </w:rPr>
        <w:t xml:space="preserve">first </w:t>
      </w:r>
      <w:r>
        <w:rPr>
          <w:rFonts w:ascii="Times New Roman" w:hAnsi="Times New Roman"/>
          <w:sz w:val="26"/>
          <w:szCs w:val="26"/>
        </w:rPr>
        <w:t xml:space="preserve">asserts that </w:t>
      </w:r>
      <w:r w:rsidR="00B97A5E">
        <w:rPr>
          <w:rFonts w:ascii="Times New Roman" w:hAnsi="Times New Roman"/>
          <w:sz w:val="26"/>
          <w:szCs w:val="26"/>
        </w:rPr>
        <w:t xml:space="preserve">it is not clear whether the ALJ recommended </w:t>
      </w:r>
      <w:r w:rsidR="00DE1FA8">
        <w:rPr>
          <w:rFonts w:ascii="Times New Roman" w:hAnsi="Times New Roman"/>
          <w:sz w:val="26"/>
          <w:szCs w:val="26"/>
        </w:rPr>
        <w:t xml:space="preserve">approval of </w:t>
      </w:r>
      <w:r w:rsidR="00B97A5E">
        <w:rPr>
          <w:rFonts w:ascii="Times New Roman" w:hAnsi="Times New Roman"/>
          <w:sz w:val="26"/>
          <w:szCs w:val="26"/>
        </w:rPr>
        <w:t>Duquesne’s three-month plan or the OSBA’s proposal to continue the current six-month model, but notes that the ALJ rejected RESA’s proposal for Medium C&amp;I customers.  RESA states t</w:t>
      </w:r>
      <w:r w:rsidR="00E850B0">
        <w:rPr>
          <w:rFonts w:ascii="Times New Roman" w:hAnsi="Times New Roman"/>
          <w:sz w:val="26"/>
          <w:szCs w:val="26"/>
        </w:rPr>
        <w:t>hat Duquesne’s proposal for 100 percent</w:t>
      </w:r>
      <w:r w:rsidR="00B97A5E">
        <w:rPr>
          <w:rFonts w:ascii="Times New Roman" w:hAnsi="Times New Roman"/>
          <w:sz w:val="26"/>
          <w:szCs w:val="26"/>
        </w:rPr>
        <w:t xml:space="preserve"> three-month supply contracts is a step in the right direction</w:t>
      </w:r>
      <w:r w:rsidR="00D8315A">
        <w:rPr>
          <w:rFonts w:ascii="Times New Roman" w:hAnsi="Times New Roman"/>
          <w:sz w:val="26"/>
          <w:szCs w:val="26"/>
        </w:rPr>
        <w:t>,</w:t>
      </w:r>
      <w:r w:rsidR="00B97A5E">
        <w:rPr>
          <w:rFonts w:ascii="Times New Roman" w:hAnsi="Times New Roman"/>
          <w:sz w:val="26"/>
          <w:szCs w:val="26"/>
        </w:rPr>
        <w:t xml:space="preserve"> but does not go far enough towards market reflective pricing for this class and in satisfying the Commission’s end state</w:t>
      </w:r>
      <w:r w:rsidR="00D8315A">
        <w:rPr>
          <w:rFonts w:ascii="Times New Roman" w:hAnsi="Times New Roman"/>
          <w:sz w:val="26"/>
          <w:szCs w:val="26"/>
        </w:rPr>
        <w:t xml:space="preserve"> objectives for default service.</w:t>
      </w:r>
      <w:r w:rsidR="00DE1FA8">
        <w:rPr>
          <w:rFonts w:ascii="Times New Roman" w:hAnsi="Times New Roman"/>
          <w:sz w:val="26"/>
          <w:szCs w:val="26"/>
        </w:rPr>
        <w:t xml:space="preserve">  According to RESA, three-month contracts for those customers </w:t>
      </w:r>
      <w:r w:rsidR="00DE1FA8" w:rsidRPr="005F3390">
        <w:rPr>
          <w:rFonts w:ascii="Times New Roman" w:hAnsi="Times New Roman"/>
          <w:sz w:val="26"/>
          <w:szCs w:val="26"/>
        </w:rPr>
        <w:t>without interval meters</w:t>
      </w:r>
      <w:r w:rsidR="00DE1FA8">
        <w:rPr>
          <w:rFonts w:ascii="Times New Roman" w:hAnsi="Times New Roman"/>
          <w:sz w:val="26"/>
          <w:szCs w:val="26"/>
        </w:rPr>
        <w:t>, with peak demands between 25 kW to 100 kW, reflects a reasonable procurement plan to transition them to an hourly pricing default service model when they have interval meters.  RESA Exc. at 16-17.</w:t>
      </w:r>
    </w:p>
    <w:p w:rsidR="00A5389D" w:rsidRDefault="00A5389D" w:rsidP="004B03A5">
      <w:pPr>
        <w:ind w:firstLine="1440"/>
        <w:rPr>
          <w:rFonts w:ascii="Times New Roman" w:hAnsi="Times New Roman"/>
          <w:sz w:val="26"/>
          <w:szCs w:val="26"/>
        </w:rPr>
      </w:pPr>
    </w:p>
    <w:p w:rsidR="001F0EB9" w:rsidRDefault="004C42DA" w:rsidP="004B03A5">
      <w:pPr>
        <w:ind w:firstLine="1440"/>
        <w:rPr>
          <w:rFonts w:ascii="Times New Roman" w:hAnsi="Times New Roman"/>
          <w:sz w:val="26"/>
          <w:szCs w:val="26"/>
        </w:rPr>
      </w:pPr>
      <w:r>
        <w:rPr>
          <w:rFonts w:ascii="Times New Roman" w:hAnsi="Times New Roman"/>
          <w:sz w:val="26"/>
          <w:szCs w:val="26"/>
        </w:rPr>
        <w:t>However, RESA avers that M</w:t>
      </w:r>
      <w:r w:rsidR="00A5389D">
        <w:rPr>
          <w:rFonts w:ascii="Times New Roman" w:hAnsi="Times New Roman"/>
          <w:sz w:val="26"/>
          <w:szCs w:val="26"/>
        </w:rPr>
        <w:t xml:space="preserve">edium C&amp;I customers </w:t>
      </w:r>
      <w:r w:rsidR="00A5389D" w:rsidRPr="00B6600E">
        <w:rPr>
          <w:rFonts w:ascii="Times New Roman" w:hAnsi="Times New Roman"/>
          <w:sz w:val="26"/>
          <w:szCs w:val="26"/>
        </w:rPr>
        <w:t>with interval meters</w:t>
      </w:r>
      <w:r w:rsidR="00A5389D">
        <w:rPr>
          <w:rFonts w:ascii="Times New Roman" w:hAnsi="Times New Roman"/>
          <w:sz w:val="26"/>
          <w:szCs w:val="26"/>
        </w:rPr>
        <w:t xml:space="preserve"> should be incorporated into the Large C&amp;I class and receive hourly priced default service.  According to RESA, the ALJ’s recommendation for either three-month or six-month contracts for interval metered Medium C&amp;I customers is inconsistent with the Commission directives within the </w:t>
      </w:r>
      <w:r w:rsidR="00A5389D">
        <w:rPr>
          <w:rFonts w:ascii="Times New Roman" w:hAnsi="Times New Roman"/>
          <w:i/>
          <w:sz w:val="26"/>
          <w:szCs w:val="26"/>
        </w:rPr>
        <w:t>End State Order.</w:t>
      </w:r>
      <w:r>
        <w:rPr>
          <w:rFonts w:ascii="Times New Roman" w:hAnsi="Times New Roman"/>
          <w:sz w:val="26"/>
          <w:szCs w:val="26"/>
        </w:rPr>
        <w:t xml:space="preserve">  RESA states that the ALJ’s finding that the Commission concluded in the </w:t>
      </w:r>
      <w:r>
        <w:rPr>
          <w:rFonts w:ascii="Times New Roman" w:hAnsi="Times New Roman"/>
          <w:i/>
          <w:sz w:val="26"/>
          <w:szCs w:val="26"/>
        </w:rPr>
        <w:t>End State Order</w:t>
      </w:r>
      <w:r>
        <w:rPr>
          <w:rFonts w:ascii="Times New Roman" w:hAnsi="Times New Roman"/>
          <w:sz w:val="26"/>
          <w:szCs w:val="26"/>
        </w:rPr>
        <w:t xml:space="preserve"> that legislative changes were a necessary precondition to moving Medium C&amp;I customers into the hourly priced group is too narrowly focused.  RESA maintains that the Commission made clear its view that “spot market approaches in specific situations are appropriate” but that it would “prefer to pursue legislative amendments that clearly provide the authority.”  RESA avers that nothing in the </w:t>
      </w:r>
      <w:r>
        <w:rPr>
          <w:rFonts w:ascii="Times New Roman" w:hAnsi="Times New Roman"/>
          <w:i/>
          <w:sz w:val="26"/>
          <w:szCs w:val="26"/>
        </w:rPr>
        <w:t>End State Order</w:t>
      </w:r>
      <w:r>
        <w:rPr>
          <w:rFonts w:ascii="Times New Roman" w:hAnsi="Times New Roman"/>
          <w:sz w:val="26"/>
          <w:szCs w:val="26"/>
        </w:rPr>
        <w:t xml:space="preserve"> prohibits the movement of Medium C&amp;I customers to the hourly priced procurement group or requires awaiting legislative changes.  RESA refers to the Commission’</w:t>
      </w:r>
      <w:r w:rsidR="005B6A59">
        <w:rPr>
          <w:rFonts w:ascii="Times New Roman" w:hAnsi="Times New Roman"/>
          <w:sz w:val="26"/>
          <w:szCs w:val="26"/>
        </w:rPr>
        <w:t>s decision to rely on a 100 percent</w:t>
      </w:r>
      <w:r w:rsidR="00862483">
        <w:rPr>
          <w:rFonts w:ascii="Times New Roman" w:hAnsi="Times New Roman"/>
          <w:sz w:val="26"/>
          <w:szCs w:val="26"/>
        </w:rPr>
        <w:t xml:space="preserve"> spot market procurement plan for Pike County Power &amp; Light, which was upheld by the Commonwealth Court as support for the Commission’s authority to move Medium C&amp;I customers to hourly pricing.  RESA Exc. at 18-19.</w:t>
      </w:r>
    </w:p>
    <w:p w:rsidR="001F0EB9" w:rsidRDefault="001F0EB9" w:rsidP="004B03A5">
      <w:pPr>
        <w:ind w:firstLine="1440"/>
        <w:rPr>
          <w:rFonts w:ascii="Times New Roman" w:hAnsi="Times New Roman"/>
          <w:sz w:val="26"/>
          <w:szCs w:val="26"/>
        </w:rPr>
      </w:pPr>
    </w:p>
    <w:p w:rsidR="00A5389D" w:rsidRDefault="006F34E5" w:rsidP="004B03A5">
      <w:pPr>
        <w:ind w:firstLine="1440"/>
        <w:rPr>
          <w:rFonts w:ascii="Times New Roman" w:hAnsi="Times New Roman"/>
          <w:sz w:val="26"/>
          <w:szCs w:val="26"/>
        </w:rPr>
      </w:pPr>
      <w:r>
        <w:rPr>
          <w:rFonts w:ascii="Times New Roman" w:hAnsi="Times New Roman"/>
          <w:sz w:val="26"/>
          <w:szCs w:val="26"/>
        </w:rPr>
        <w:t>Next, RESA ave</w:t>
      </w:r>
      <w:r w:rsidR="005B6A59">
        <w:rPr>
          <w:rFonts w:ascii="Times New Roman" w:hAnsi="Times New Roman"/>
          <w:sz w:val="26"/>
          <w:szCs w:val="26"/>
        </w:rPr>
        <w:t>rs that as EGSs serve 77.4 percent</w:t>
      </w:r>
      <w:r w:rsidR="0001385B">
        <w:rPr>
          <w:rFonts w:ascii="Times New Roman" w:hAnsi="Times New Roman"/>
          <w:sz w:val="26"/>
          <w:szCs w:val="26"/>
        </w:rPr>
        <w:t xml:space="preserve"> of M</w:t>
      </w:r>
      <w:r>
        <w:rPr>
          <w:rFonts w:ascii="Times New Roman" w:hAnsi="Times New Roman"/>
          <w:sz w:val="26"/>
          <w:szCs w:val="26"/>
        </w:rPr>
        <w:t>edium C&amp;I customers, it is clear that these customers with a demand of 100 kW or greater are well-equipped and educated to manage their commodity costs in an hourly spot market default service environment.</w:t>
      </w:r>
      <w:r w:rsidR="00862483">
        <w:rPr>
          <w:rFonts w:ascii="Times New Roman" w:hAnsi="Times New Roman"/>
          <w:sz w:val="26"/>
          <w:szCs w:val="26"/>
        </w:rPr>
        <w:t xml:space="preserve">  </w:t>
      </w:r>
      <w:r w:rsidR="00BF059E">
        <w:rPr>
          <w:rFonts w:ascii="Times New Roman" w:hAnsi="Times New Roman"/>
          <w:sz w:val="26"/>
          <w:szCs w:val="26"/>
        </w:rPr>
        <w:t xml:space="preserve">Also, RESA notes that although approximately 384 customers with a demand between 100 kW and 300kW remain on default service as of April 2014 and would be impacted by the proposed change, these customers can still obtain fixed-price electric generation supply from the competitive market.  RESA maintains that when the Commission approves a default service plan that is reasonably calculated to produce a market reflective default service rate, which would occur here by moving these customers to hourly priced service, competitors will be encouraged to enter the market, resulting in a variety </w:t>
      </w:r>
      <w:r w:rsidR="00DF1902">
        <w:rPr>
          <w:rFonts w:ascii="Times New Roman" w:hAnsi="Times New Roman"/>
          <w:sz w:val="26"/>
          <w:szCs w:val="26"/>
        </w:rPr>
        <w:t xml:space="preserve">of products and services.  RESA opines that reducing the peak demand </w:t>
      </w:r>
      <w:r w:rsidR="00DF1902">
        <w:rPr>
          <w:rFonts w:ascii="Times New Roman" w:hAnsi="Times New Roman"/>
          <w:sz w:val="26"/>
          <w:szCs w:val="26"/>
        </w:rPr>
        <w:lastRenderedPageBreak/>
        <w:t xml:space="preserve">limitation for commercial and industrial customers is a natural progression for the </w:t>
      </w:r>
      <w:r w:rsidR="002C6380">
        <w:rPr>
          <w:rFonts w:ascii="Times New Roman" w:hAnsi="Times New Roman"/>
          <w:sz w:val="26"/>
          <w:szCs w:val="26"/>
        </w:rPr>
        <w:t>retail marketplace</w:t>
      </w:r>
      <w:r w:rsidR="00DF1902">
        <w:rPr>
          <w:rFonts w:ascii="Times New Roman" w:hAnsi="Times New Roman"/>
          <w:sz w:val="26"/>
          <w:szCs w:val="26"/>
        </w:rPr>
        <w:t xml:space="preserve">.  </w:t>
      </w:r>
      <w:r w:rsidR="0001385B">
        <w:rPr>
          <w:rFonts w:ascii="Times New Roman" w:hAnsi="Times New Roman"/>
          <w:sz w:val="26"/>
          <w:szCs w:val="26"/>
        </w:rPr>
        <w:t>RESA Exc. at 20-</w:t>
      </w:r>
      <w:r w:rsidR="00DF1902">
        <w:rPr>
          <w:rFonts w:ascii="Times New Roman" w:hAnsi="Times New Roman"/>
          <w:sz w:val="26"/>
          <w:szCs w:val="26"/>
        </w:rPr>
        <w:t>21.</w:t>
      </w:r>
    </w:p>
    <w:p w:rsidR="002B0C9C" w:rsidRDefault="002B0C9C" w:rsidP="004B03A5">
      <w:pPr>
        <w:ind w:firstLine="1440"/>
        <w:rPr>
          <w:rFonts w:ascii="Times New Roman" w:hAnsi="Times New Roman"/>
          <w:sz w:val="26"/>
          <w:szCs w:val="26"/>
        </w:rPr>
      </w:pPr>
    </w:p>
    <w:p w:rsidR="002B0C9C" w:rsidRDefault="002B0C9C" w:rsidP="004B03A5">
      <w:pPr>
        <w:ind w:firstLine="1440"/>
        <w:rPr>
          <w:rFonts w:ascii="Times New Roman" w:hAnsi="Times New Roman"/>
          <w:sz w:val="26"/>
          <w:szCs w:val="26"/>
        </w:rPr>
      </w:pPr>
      <w:r>
        <w:rPr>
          <w:rFonts w:ascii="Times New Roman" w:hAnsi="Times New Roman"/>
          <w:sz w:val="26"/>
          <w:szCs w:val="26"/>
        </w:rPr>
        <w:t xml:space="preserve">RESA next avers that its recommendations for hourly pricing should not be rejected based on fears that adopting it will make RFPs for three-month supply contracts less attractive to potential bidders.  RESA states that it is illogical for the Commission to refrain from implementing its desired end state of hourly pricing to attain the goal of a competitive retail market for fear that doing so might have a negative impact on the default service bids.  RESA opines that if the goal of the </w:t>
      </w:r>
      <w:r w:rsidR="00AA4DE1">
        <w:rPr>
          <w:rFonts w:ascii="Times New Roman" w:hAnsi="Times New Roman"/>
          <w:sz w:val="26"/>
          <w:szCs w:val="26"/>
        </w:rPr>
        <w:t>Electricity Generation Customer Choice and Competition Act, 66 Pa. C.S.</w:t>
      </w:r>
      <w:r w:rsidR="002F36A0">
        <w:rPr>
          <w:rFonts w:ascii="Times New Roman" w:hAnsi="Times New Roman"/>
          <w:sz w:val="26"/>
          <w:szCs w:val="26"/>
        </w:rPr>
        <w:t xml:space="preserve"> §</w:t>
      </w:r>
      <w:r w:rsidR="00AA4DE1">
        <w:rPr>
          <w:rFonts w:ascii="Times New Roman" w:hAnsi="Times New Roman"/>
          <w:sz w:val="26"/>
          <w:szCs w:val="26"/>
        </w:rPr>
        <w:t xml:space="preserve"> 2801 </w:t>
      </w:r>
      <w:r w:rsidR="00AA4DE1">
        <w:rPr>
          <w:rFonts w:ascii="Times New Roman" w:hAnsi="Times New Roman"/>
          <w:i/>
          <w:sz w:val="26"/>
          <w:szCs w:val="26"/>
        </w:rPr>
        <w:t xml:space="preserve">et seq. </w:t>
      </w:r>
      <w:r w:rsidR="00AA4DE1">
        <w:rPr>
          <w:rFonts w:ascii="Times New Roman" w:hAnsi="Times New Roman"/>
          <w:sz w:val="26"/>
          <w:szCs w:val="26"/>
        </w:rPr>
        <w:t>(</w:t>
      </w:r>
      <w:r>
        <w:rPr>
          <w:rFonts w:ascii="Times New Roman" w:hAnsi="Times New Roman"/>
          <w:sz w:val="26"/>
          <w:szCs w:val="26"/>
        </w:rPr>
        <w:t>Competition Act</w:t>
      </w:r>
      <w:r w:rsidR="00AA4DE1">
        <w:rPr>
          <w:rFonts w:ascii="Times New Roman" w:hAnsi="Times New Roman"/>
          <w:sz w:val="26"/>
          <w:szCs w:val="26"/>
        </w:rPr>
        <w:t>)</w:t>
      </w:r>
      <w:r>
        <w:rPr>
          <w:rFonts w:ascii="Times New Roman" w:hAnsi="Times New Roman"/>
          <w:sz w:val="26"/>
          <w:szCs w:val="26"/>
        </w:rPr>
        <w:t xml:space="preserve"> and the policy of the Commonwealth is to create and foster a competitive retail electricity market with products and services readily available to all customers, then it makes no sense to suppress the development of the market for all Medium C&amp;I custom</w:t>
      </w:r>
      <w:r w:rsidR="00450380">
        <w:rPr>
          <w:rFonts w:ascii="Times New Roman" w:hAnsi="Times New Roman"/>
          <w:sz w:val="26"/>
          <w:szCs w:val="26"/>
        </w:rPr>
        <w:t>ers.  RESA recommends that the C</w:t>
      </w:r>
      <w:r>
        <w:rPr>
          <w:rFonts w:ascii="Times New Roman" w:hAnsi="Times New Roman"/>
          <w:sz w:val="26"/>
          <w:szCs w:val="26"/>
        </w:rPr>
        <w:t>ommission monitor the competitiveness of the bids, as it does now, and react when appropriate to ensure the competitiveness of the wholesale bids.  RESA Exc. at 21-22.</w:t>
      </w:r>
    </w:p>
    <w:p w:rsidR="00E850B0" w:rsidRDefault="00E850B0" w:rsidP="004B03A5">
      <w:pPr>
        <w:ind w:firstLine="1440"/>
        <w:rPr>
          <w:rFonts w:ascii="Times New Roman" w:hAnsi="Times New Roman"/>
          <w:sz w:val="26"/>
          <w:szCs w:val="26"/>
        </w:rPr>
      </w:pPr>
    </w:p>
    <w:p w:rsidR="002B0C9C" w:rsidRDefault="00F3045F" w:rsidP="00B6600E">
      <w:pPr>
        <w:ind w:firstLine="1440"/>
        <w:rPr>
          <w:rFonts w:ascii="Times New Roman" w:hAnsi="Times New Roman"/>
          <w:sz w:val="26"/>
          <w:szCs w:val="26"/>
        </w:rPr>
      </w:pPr>
      <w:r>
        <w:rPr>
          <w:rFonts w:ascii="Times New Roman" w:hAnsi="Times New Roman"/>
          <w:sz w:val="26"/>
          <w:szCs w:val="26"/>
        </w:rPr>
        <w:t xml:space="preserve">Finally, RESA states that the Commission should not be deterred by Duquesne’s alleged technical challenges of implementing hourly pricing.  RESA notes that the total number of customers in the 100 kW to 299 kW group is 1,702, </w:t>
      </w:r>
      <w:r w:rsidRPr="00B6600E">
        <w:rPr>
          <w:rFonts w:ascii="Times New Roman" w:hAnsi="Times New Roman"/>
          <w:sz w:val="26"/>
          <w:szCs w:val="26"/>
        </w:rPr>
        <w:t>all of whom have interval meters capable of recording hourly kWh usage</w:t>
      </w:r>
      <w:r>
        <w:rPr>
          <w:rFonts w:ascii="Times New Roman" w:hAnsi="Times New Roman"/>
          <w:sz w:val="26"/>
          <w:szCs w:val="26"/>
        </w:rPr>
        <w:t xml:space="preserve">.  RESA mentions that Duquesne has stated that it could provide hourly priced service to these customers beginning in June 2015 by manually performing certain billing functions until an automated billing information technology solution is developed. </w:t>
      </w:r>
      <w:r w:rsidR="00C70AA4">
        <w:rPr>
          <w:rFonts w:ascii="Times New Roman" w:hAnsi="Times New Roman"/>
          <w:sz w:val="26"/>
          <w:szCs w:val="26"/>
        </w:rPr>
        <w:t xml:space="preserve"> According to RESA, Duquesne should be directed to comply with the </w:t>
      </w:r>
      <w:r w:rsidR="00C70AA4">
        <w:rPr>
          <w:rFonts w:ascii="Times New Roman" w:hAnsi="Times New Roman"/>
          <w:i/>
          <w:sz w:val="26"/>
          <w:szCs w:val="26"/>
        </w:rPr>
        <w:t>End State Order</w:t>
      </w:r>
      <w:r w:rsidR="00C70AA4">
        <w:rPr>
          <w:rFonts w:ascii="Times New Roman" w:hAnsi="Times New Roman"/>
          <w:sz w:val="26"/>
          <w:szCs w:val="26"/>
        </w:rPr>
        <w:t xml:space="preserve"> and implement hourly pricing for this customer group by June of 2015, as the Company’s concerns about needing to develop the back office systems to support hourly pricing are not a sufficient reason to justify the requested delay.  Alternatively, RESA states that it supports a phased-in approach that would require Duquesne to shift its 200 kW to 300 kW </w:t>
      </w:r>
      <w:r w:rsidR="00C70AA4">
        <w:rPr>
          <w:rFonts w:ascii="Times New Roman" w:hAnsi="Times New Roman"/>
          <w:sz w:val="26"/>
          <w:szCs w:val="26"/>
        </w:rPr>
        <w:lastRenderedPageBreak/>
        <w:t>customers to the Large C&amp;I class by the end of 2015, and to shift the customers greater than 100 kW but less than 200 kW to the Large C&amp;I class by June of 2016.  RESA Exc. at 22-23.</w:t>
      </w:r>
    </w:p>
    <w:p w:rsidR="007E0B63" w:rsidRDefault="007E0B63" w:rsidP="004B03A5">
      <w:pPr>
        <w:ind w:firstLine="1440"/>
        <w:rPr>
          <w:rFonts w:ascii="Times New Roman" w:hAnsi="Times New Roman"/>
          <w:sz w:val="26"/>
          <w:szCs w:val="26"/>
        </w:rPr>
      </w:pPr>
    </w:p>
    <w:p w:rsidR="00190A1D" w:rsidRDefault="007E0B63" w:rsidP="004B03A5">
      <w:pPr>
        <w:ind w:firstLine="1440"/>
        <w:rPr>
          <w:rFonts w:ascii="Times New Roman" w:hAnsi="Times New Roman"/>
          <w:sz w:val="26"/>
          <w:szCs w:val="26"/>
        </w:rPr>
      </w:pPr>
      <w:r>
        <w:rPr>
          <w:rFonts w:ascii="Times New Roman" w:hAnsi="Times New Roman"/>
          <w:sz w:val="26"/>
          <w:szCs w:val="26"/>
        </w:rPr>
        <w:t>In reply, Duquesne first states that hourly priced service is not necessary to enhance competition in Duquesne’s Medium C&amp;I class.</w:t>
      </w:r>
      <w:r w:rsidR="008279E9">
        <w:rPr>
          <w:rFonts w:ascii="Times New Roman" w:hAnsi="Times New Roman"/>
          <w:sz w:val="26"/>
          <w:szCs w:val="26"/>
        </w:rPr>
        <w:t xml:space="preserve">  </w:t>
      </w:r>
      <w:r w:rsidR="009C0B76">
        <w:rPr>
          <w:rFonts w:ascii="Times New Roman" w:hAnsi="Times New Roman"/>
          <w:sz w:val="26"/>
          <w:szCs w:val="26"/>
        </w:rPr>
        <w:t xml:space="preserve">According to Duquesne, RESA provides no substantive basis as to why the Company’s proposal is not sufficient to encourage further competition considering 72 percent of customers in the Medium C&amp;I class are already shopping.  Duquesne avers that its careful movement to more market responsive rates over time has helped support the robust shopping levels for Medium C&amp;I customers.  Furthermore, Duquesne asserts that RESA presents no evidence that requiring hourly priced </w:t>
      </w:r>
      <w:r w:rsidR="00190A1D">
        <w:rPr>
          <w:rFonts w:ascii="Times New Roman" w:hAnsi="Times New Roman"/>
          <w:sz w:val="26"/>
          <w:szCs w:val="26"/>
        </w:rPr>
        <w:t>default service for customers between 100 kW and 300kW is necessary to encourage the retail market, admitting that 77.4 percent of this subset of Medium C&amp;I customers are already shopping under a DSP VI plan that uses solely non-laddered six-month procurements.  Duquesne opines that RESA ignores the fact that moving these customers to hourly priced service will eliminate any default service rate stability and ignores the requirements under the Competition Act to consider the benefits of providing some stability in default service rates.</w:t>
      </w:r>
      <w:r w:rsidR="009C0B76">
        <w:rPr>
          <w:rFonts w:ascii="Times New Roman" w:hAnsi="Times New Roman"/>
          <w:sz w:val="26"/>
          <w:szCs w:val="26"/>
        </w:rPr>
        <w:t xml:space="preserve"> </w:t>
      </w:r>
      <w:r w:rsidR="00190A1D">
        <w:rPr>
          <w:rFonts w:ascii="Times New Roman" w:hAnsi="Times New Roman"/>
          <w:sz w:val="26"/>
          <w:szCs w:val="26"/>
        </w:rPr>
        <w:t xml:space="preserve"> Duquesne </w:t>
      </w:r>
      <w:r w:rsidR="003E03CD">
        <w:rPr>
          <w:rFonts w:ascii="Times New Roman" w:hAnsi="Times New Roman"/>
          <w:sz w:val="26"/>
          <w:szCs w:val="26"/>
        </w:rPr>
        <w:t xml:space="preserve">R. </w:t>
      </w:r>
      <w:r w:rsidR="00190A1D">
        <w:rPr>
          <w:rFonts w:ascii="Times New Roman" w:hAnsi="Times New Roman"/>
          <w:sz w:val="26"/>
          <w:szCs w:val="26"/>
        </w:rPr>
        <w:t>Exc. at 7-9.</w:t>
      </w:r>
    </w:p>
    <w:p w:rsidR="00190A1D" w:rsidRDefault="00190A1D" w:rsidP="004B03A5">
      <w:pPr>
        <w:ind w:firstLine="1440"/>
        <w:rPr>
          <w:rFonts w:ascii="Times New Roman" w:hAnsi="Times New Roman"/>
          <w:sz w:val="26"/>
          <w:szCs w:val="26"/>
        </w:rPr>
      </w:pPr>
    </w:p>
    <w:p w:rsidR="007E0B63" w:rsidRDefault="00190A1D" w:rsidP="004B03A5">
      <w:pPr>
        <w:ind w:firstLine="1440"/>
        <w:rPr>
          <w:rFonts w:ascii="Times New Roman" w:hAnsi="Times New Roman"/>
          <w:sz w:val="26"/>
          <w:szCs w:val="26"/>
        </w:rPr>
      </w:pPr>
      <w:r>
        <w:rPr>
          <w:rFonts w:ascii="Times New Roman" w:hAnsi="Times New Roman"/>
          <w:sz w:val="26"/>
          <w:szCs w:val="26"/>
        </w:rPr>
        <w:t xml:space="preserve">Next, Duquesne maintains that the Commission’s </w:t>
      </w:r>
      <w:r>
        <w:rPr>
          <w:rFonts w:ascii="Times New Roman" w:hAnsi="Times New Roman"/>
          <w:i/>
          <w:sz w:val="26"/>
          <w:szCs w:val="26"/>
        </w:rPr>
        <w:t>End State Order</w:t>
      </w:r>
      <w:r>
        <w:rPr>
          <w:rFonts w:ascii="Times New Roman" w:hAnsi="Times New Roman"/>
          <w:sz w:val="26"/>
          <w:szCs w:val="26"/>
        </w:rPr>
        <w:t xml:space="preserve"> does not justify hourly priced service for Duquesne’s Medium C&amp;I customers with demands over 100 kW.</w:t>
      </w:r>
      <w:r w:rsidR="0084518D">
        <w:rPr>
          <w:rFonts w:ascii="Times New Roman" w:hAnsi="Times New Roman"/>
          <w:sz w:val="26"/>
          <w:szCs w:val="26"/>
        </w:rPr>
        <w:t xml:space="preserve">  </w:t>
      </w:r>
      <w:r w:rsidR="008A63BB">
        <w:rPr>
          <w:rFonts w:ascii="Times New Roman" w:hAnsi="Times New Roman"/>
          <w:sz w:val="26"/>
          <w:szCs w:val="26"/>
        </w:rPr>
        <w:t>Duquesne notes that RESA incorrectly stated, without citation, that the ALJ’s finding that the Commission concluded that legislative changes were necessary before moving C&amp;I customers into the hourly priced group was too “narrowly focused.</w:t>
      </w:r>
      <w:r w:rsidR="002933FA">
        <w:rPr>
          <w:rFonts w:ascii="Times New Roman" w:hAnsi="Times New Roman"/>
          <w:sz w:val="26"/>
          <w:szCs w:val="26"/>
        </w:rPr>
        <w:t>”</w:t>
      </w:r>
      <w:r w:rsidR="008A63BB">
        <w:rPr>
          <w:rFonts w:ascii="Times New Roman" w:hAnsi="Times New Roman"/>
          <w:sz w:val="26"/>
          <w:szCs w:val="26"/>
        </w:rPr>
        <w:t xml:space="preserve"> </w:t>
      </w:r>
      <w:r w:rsidR="0084518D">
        <w:rPr>
          <w:rFonts w:ascii="Times New Roman" w:hAnsi="Times New Roman"/>
          <w:sz w:val="26"/>
          <w:szCs w:val="26"/>
        </w:rPr>
        <w:t>According to Duquesne, the ALJ’s recommendation simply recognized that the Commission appropriately expressed caution about whether the Competition Act permitted the Commission to mandate hourly service.</w:t>
      </w:r>
      <w:r w:rsidR="008A63BB">
        <w:rPr>
          <w:rFonts w:ascii="Times New Roman" w:hAnsi="Times New Roman"/>
          <w:sz w:val="26"/>
          <w:szCs w:val="26"/>
        </w:rPr>
        <w:t xml:space="preserve">  Duquesne opines that by overstating the ALJ’s conclusion, RESA improperly creates an issue with the Recommended Decision that does not exist.  Duquesne maintains that the ALJ properly </w:t>
      </w:r>
      <w:r w:rsidR="008A63BB">
        <w:rPr>
          <w:rFonts w:ascii="Times New Roman" w:hAnsi="Times New Roman"/>
          <w:sz w:val="26"/>
          <w:szCs w:val="26"/>
        </w:rPr>
        <w:lastRenderedPageBreak/>
        <w:t>referenced the Commission’s caution as one reason for not moving to hourly prices along with the evidence from the Company that it was not necessary to do so when retail competition can be enhanced by moving from six-month to three-month procurements.</w:t>
      </w:r>
      <w:r w:rsidR="003B6ACD">
        <w:rPr>
          <w:rFonts w:ascii="Times New Roman" w:hAnsi="Times New Roman"/>
          <w:sz w:val="26"/>
          <w:szCs w:val="26"/>
        </w:rPr>
        <w:t xml:space="preserve">  Duquesne </w:t>
      </w:r>
      <w:r w:rsidR="003E03CD">
        <w:rPr>
          <w:rFonts w:ascii="Times New Roman" w:hAnsi="Times New Roman"/>
          <w:sz w:val="26"/>
          <w:szCs w:val="26"/>
        </w:rPr>
        <w:t xml:space="preserve">R. </w:t>
      </w:r>
      <w:r w:rsidR="003B6ACD">
        <w:rPr>
          <w:rFonts w:ascii="Times New Roman" w:hAnsi="Times New Roman"/>
          <w:sz w:val="26"/>
          <w:szCs w:val="26"/>
        </w:rPr>
        <w:t>Exc. at 9.</w:t>
      </w:r>
      <w:r w:rsidR="009C0B76">
        <w:rPr>
          <w:rFonts w:ascii="Times New Roman" w:hAnsi="Times New Roman"/>
          <w:sz w:val="26"/>
          <w:szCs w:val="26"/>
        </w:rPr>
        <w:t xml:space="preserve">  </w:t>
      </w:r>
    </w:p>
    <w:p w:rsidR="003B6ACD" w:rsidRDefault="003B6ACD" w:rsidP="004B03A5">
      <w:pPr>
        <w:ind w:firstLine="1440"/>
        <w:rPr>
          <w:rFonts w:ascii="Times New Roman" w:hAnsi="Times New Roman"/>
          <w:sz w:val="26"/>
          <w:szCs w:val="26"/>
        </w:rPr>
      </w:pPr>
    </w:p>
    <w:p w:rsidR="003B6ACD" w:rsidRDefault="00EF323E" w:rsidP="004B03A5">
      <w:pPr>
        <w:ind w:firstLine="1440"/>
        <w:rPr>
          <w:rFonts w:ascii="Times New Roman" w:hAnsi="Times New Roman"/>
          <w:sz w:val="26"/>
          <w:szCs w:val="26"/>
        </w:rPr>
      </w:pPr>
      <w:r>
        <w:rPr>
          <w:rFonts w:ascii="Times New Roman" w:hAnsi="Times New Roman"/>
          <w:sz w:val="26"/>
          <w:szCs w:val="26"/>
        </w:rPr>
        <w:t xml:space="preserve">In reply to RESA’s arguments that the Commission’s decisions for Pike County Power and Light demonstrate that legislative changes are not required to implement hourly pricing for Medium C&amp;I customers, Duquesne states that RESA fails to acknowledge that the Commission considered its Pike County decisions in the </w:t>
      </w:r>
      <w:r>
        <w:rPr>
          <w:rFonts w:ascii="Times New Roman" w:hAnsi="Times New Roman"/>
          <w:i/>
          <w:sz w:val="26"/>
          <w:szCs w:val="26"/>
        </w:rPr>
        <w:t xml:space="preserve">End State Order </w:t>
      </w:r>
      <w:r>
        <w:rPr>
          <w:rFonts w:ascii="Times New Roman" w:hAnsi="Times New Roman"/>
          <w:sz w:val="26"/>
          <w:szCs w:val="26"/>
        </w:rPr>
        <w:t xml:space="preserve">and rejected that broad application </w:t>
      </w:r>
      <w:r w:rsidR="003E03CD">
        <w:rPr>
          <w:rFonts w:ascii="Times New Roman" w:hAnsi="Times New Roman"/>
          <w:sz w:val="26"/>
          <w:szCs w:val="26"/>
        </w:rPr>
        <w:t xml:space="preserve">which was </w:t>
      </w:r>
      <w:r>
        <w:rPr>
          <w:rFonts w:ascii="Times New Roman" w:hAnsi="Times New Roman"/>
          <w:sz w:val="26"/>
          <w:szCs w:val="26"/>
        </w:rPr>
        <w:t xml:space="preserve">requested by RESA.  </w:t>
      </w:r>
      <w:r>
        <w:rPr>
          <w:rFonts w:ascii="Times New Roman" w:hAnsi="Times New Roman"/>
          <w:i/>
          <w:sz w:val="26"/>
          <w:szCs w:val="26"/>
        </w:rPr>
        <w:t>See End State Order</w:t>
      </w:r>
      <w:r>
        <w:rPr>
          <w:rFonts w:ascii="Times New Roman" w:hAnsi="Times New Roman"/>
          <w:sz w:val="26"/>
          <w:szCs w:val="26"/>
        </w:rPr>
        <w:t xml:space="preserve"> at 44-45.  Duquesne </w:t>
      </w:r>
      <w:r w:rsidR="003E03CD">
        <w:rPr>
          <w:rFonts w:ascii="Times New Roman" w:hAnsi="Times New Roman"/>
          <w:sz w:val="26"/>
          <w:szCs w:val="26"/>
        </w:rPr>
        <w:t xml:space="preserve">R. </w:t>
      </w:r>
      <w:r>
        <w:rPr>
          <w:rFonts w:ascii="Times New Roman" w:hAnsi="Times New Roman"/>
          <w:sz w:val="26"/>
          <w:szCs w:val="26"/>
        </w:rPr>
        <w:t>Exc. at 9-11.</w:t>
      </w:r>
    </w:p>
    <w:p w:rsidR="00EF323E" w:rsidRDefault="00EF323E" w:rsidP="004B03A5">
      <w:pPr>
        <w:ind w:firstLine="1440"/>
        <w:rPr>
          <w:rFonts w:ascii="Times New Roman" w:hAnsi="Times New Roman"/>
          <w:sz w:val="26"/>
          <w:szCs w:val="26"/>
        </w:rPr>
      </w:pPr>
    </w:p>
    <w:p w:rsidR="00EF323E" w:rsidRDefault="00EF323E" w:rsidP="004B03A5">
      <w:pPr>
        <w:ind w:firstLine="1440"/>
        <w:rPr>
          <w:rFonts w:ascii="Times New Roman" w:hAnsi="Times New Roman"/>
          <w:sz w:val="26"/>
          <w:szCs w:val="26"/>
        </w:rPr>
      </w:pPr>
      <w:r>
        <w:rPr>
          <w:rFonts w:ascii="Times New Roman" w:hAnsi="Times New Roman"/>
          <w:sz w:val="26"/>
          <w:szCs w:val="26"/>
        </w:rPr>
        <w:t xml:space="preserve">Next, Duquesne states that the ALJ correctly rejected RESA’s proposal to remove 42 percent of the load from the Medium C&amp;I procurements by placing customers with more than 100 kW of demand on hourly priced default service.  Duquesne avers that </w:t>
      </w:r>
      <w:r w:rsidR="002D25CD">
        <w:rPr>
          <w:rFonts w:ascii="Times New Roman" w:hAnsi="Times New Roman"/>
          <w:sz w:val="26"/>
          <w:szCs w:val="26"/>
        </w:rPr>
        <w:t xml:space="preserve">the issue here is not whether implementing hourly priced service is necessary but, instead whether implementing it in the manner proposed by RESA will harm </w:t>
      </w:r>
      <w:r w:rsidR="003E03CD">
        <w:rPr>
          <w:rFonts w:ascii="Times New Roman" w:hAnsi="Times New Roman"/>
          <w:sz w:val="26"/>
          <w:szCs w:val="26"/>
        </w:rPr>
        <w:t>the remaining customers in the M</w:t>
      </w:r>
      <w:r w:rsidR="002D25CD">
        <w:rPr>
          <w:rFonts w:ascii="Times New Roman" w:hAnsi="Times New Roman"/>
          <w:sz w:val="26"/>
          <w:szCs w:val="26"/>
        </w:rPr>
        <w:t xml:space="preserve">edium C&amp;I class.  Duquesne claims that the issue is whether splitting up a procurement class will result in failed default service procurements for the remainder of the class.  Duquesne asserts that the Commission should give consideration to that issue along with all the other evidence that demonstrates that hourly priced default service is not now necessary for a portion of the Medium C&amp;I class.  Duquesne </w:t>
      </w:r>
      <w:r w:rsidR="003E03CD">
        <w:rPr>
          <w:rFonts w:ascii="Times New Roman" w:hAnsi="Times New Roman"/>
          <w:sz w:val="26"/>
          <w:szCs w:val="26"/>
        </w:rPr>
        <w:t xml:space="preserve">R. </w:t>
      </w:r>
      <w:r w:rsidR="002D25CD">
        <w:rPr>
          <w:rFonts w:ascii="Times New Roman" w:hAnsi="Times New Roman"/>
          <w:sz w:val="26"/>
          <w:szCs w:val="26"/>
        </w:rPr>
        <w:t>Exc. at</w:t>
      </w:r>
      <w:r w:rsidR="00121220">
        <w:rPr>
          <w:rFonts w:ascii="Times New Roman" w:hAnsi="Times New Roman"/>
          <w:sz w:val="26"/>
          <w:szCs w:val="26"/>
        </w:rPr>
        <w:t> </w:t>
      </w:r>
      <w:r w:rsidR="002D25CD">
        <w:rPr>
          <w:rFonts w:ascii="Times New Roman" w:hAnsi="Times New Roman"/>
          <w:sz w:val="26"/>
          <w:szCs w:val="26"/>
        </w:rPr>
        <w:t>11.</w:t>
      </w:r>
    </w:p>
    <w:p w:rsidR="00EE4356" w:rsidRDefault="00EE4356" w:rsidP="004B03A5">
      <w:pPr>
        <w:ind w:firstLine="1440"/>
        <w:rPr>
          <w:rFonts w:ascii="Times New Roman" w:hAnsi="Times New Roman"/>
          <w:sz w:val="26"/>
          <w:szCs w:val="26"/>
        </w:rPr>
      </w:pPr>
    </w:p>
    <w:p w:rsidR="00810E93" w:rsidRDefault="00EE4356" w:rsidP="004B03A5">
      <w:pPr>
        <w:ind w:firstLine="1440"/>
        <w:rPr>
          <w:rFonts w:ascii="Times New Roman" w:hAnsi="Times New Roman"/>
          <w:sz w:val="26"/>
          <w:szCs w:val="26"/>
        </w:rPr>
      </w:pPr>
      <w:r>
        <w:rPr>
          <w:rFonts w:ascii="Times New Roman" w:hAnsi="Times New Roman"/>
          <w:sz w:val="26"/>
          <w:szCs w:val="26"/>
        </w:rPr>
        <w:t>Lastly, Duquesne explains that the ALJ properly considered the technical billing challenges that the Company will have in implementing hourly priced service by June 1, 2015.  Duquesne asserts that if RESA’s hourly priced service were approved, the Company would be required to make system adjustments to record reads and switch customers from monthly to hourly meter reads, and dev</w:t>
      </w:r>
      <w:r w:rsidR="00407C2E">
        <w:rPr>
          <w:rFonts w:ascii="Times New Roman" w:hAnsi="Times New Roman"/>
          <w:sz w:val="26"/>
          <w:szCs w:val="26"/>
        </w:rPr>
        <w:t>e</w:t>
      </w:r>
      <w:r>
        <w:rPr>
          <w:rFonts w:ascii="Times New Roman" w:hAnsi="Times New Roman"/>
          <w:sz w:val="26"/>
          <w:szCs w:val="26"/>
        </w:rPr>
        <w:t xml:space="preserve">lop processes to pull hourly </w:t>
      </w:r>
      <w:r>
        <w:rPr>
          <w:rFonts w:ascii="Times New Roman" w:hAnsi="Times New Roman"/>
          <w:sz w:val="26"/>
          <w:szCs w:val="26"/>
        </w:rPr>
        <w:lastRenderedPageBreak/>
        <w:t>reads from the data management system and bill customers.</w:t>
      </w:r>
      <w:r w:rsidR="00407C2E">
        <w:rPr>
          <w:rFonts w:ascii="Times New Roman" w:hAnsi="Times New Roman"/>
          <w:sz w:val="26"/>
          <w:szCs w:val="26"/>
        </w:rPr>
        <w:t xml:space="preserve">  According to Duquesne, processes would also have to be developed to monitor customers moving above or below the 100 kW threshold.  Duquesne notes that the number of customers on hourly priced default service would move from approximately 63 customers over the 300 kW threshold to 463 over the 100 kW threshold, resulting in many more manual </w:t>
      </w:r>
      <w:r w:rsidR="008F1C54">
        <w:rPr>
          <w:rFonts w:ascii="Times New Roman" w:hAnsi="Times New Roman"/>
          <w:sz w:val="26"/>
          <w:szCs w:val="26"/>
        </w:rPr>
        <w:t xml:space="preserve">operations and checks.  </w:t>
      </w:r>
      <w:r w:rsidR="0083610A">
        <w:rPr>
          <w:rFonts w:ascii="Times New Roman" w:hAnsi="Times New Roman"/>
          <w:sz w:val="26"/>
          <w:szCs w:val="26"/>
        </w:rPr>
        <w:t>Duquesne maintains that all these tasks will increase the expense of default service.  Duquesne also notes that RESA’s alternative phased-in suggestion will complicate default service bids for remaining customers and provide no assistance to Duquesne in developing and implementing new processes and system</w:t>
      </w:r>
      <w:r w:rsidR="003E03CD">
        <w:rPr>
          <w:rFonts w:ascii="Times New Roman" w:hAnsi="Times New Roman"/>
          <w:sz w:val="26"/>
          <w:szCs w:val="26"/>
        </w:rPr>
        <w:t>s.  Duquesne further notes that</w:t>
      </w:r>
      <w:r w:rsidR="0083610A">
        <w:rPr>
          <w:rFonts w:ascii="Times New Roman" w:hAnsi="Times New Roman"/>
          <w:sz w:val="26"/>
          <w:szCs w:val="26"/>
        </w:rPr>
        <w:t xml:space="preserve"> this </w:t>
      </w:r>
      <w:r w:rsidR="003E03CD">
        <w:rPr>
          <w:rFonts w:ascii="Times New Roman" w:hAnsi="Times New Roman"/>
          <w:sz w:val="26"/>
          <w:szCs w:val="26"/>
        </w:rPr>
        <w:t>specific phase-in approach was not provided in the record of this proceeding and, as such, the Company did not have an opportunity to respond to it on the record.  Duquesne R. Exc. at 12.</w:t>
      </w:r>
    </w:p>
    <w:p w:rsidR="00810E93" w:rsidRDefault="00810E93" w:rsidP="004B03A5">
      <w:pPr>
        <w:ind w:firstLine="1440"/>
        <w:rPr>
          <w:rFonts w:ascii="Times New Roman" w:hAnsi="Times New Roman"/>
          <w:sz w:val="26"/>
          <w:szCs w:val="26"/>
        </w:rPr>
      </w:pPr>
    </w:p>
    <w:p w:rsidR="009C57B6" w:rsidRDefault="00810E93" w:rsidP="004B03A5">
      <w:pPr>
        <w:ind w:firstLine="1440"/>
        <w:rPr>
          <w:rFonts w:ascii="Times New Roman" w:hAnsi="Times New Roman"/>
          <w:sz w:val="26"/>
          <w:szCs w:val="26"/>
        </w:rPr>
      </w:pPr>
      <w:r>
        <w:rPr>
          <w:rFonts w:ascii="Times New Roman" w:hAnsi="Times New Roman"/>
          <w:sz w:val="26"/>
          <w:szCs w:val="26"/>
        </w:rPr>
        <w:t>In its Replies to Exceptions, the OSBA states that not all customers chose to shop and certain customers who may shop elect to remain with</w:t>
      </w:r>
      <w:r w:rsidR="008F1C54">
        <w:rPr>
          <w:rFonts w:ascii="Times New Roman" w:hAnsi="Times New Roman"/>
          <w:sz w:val="26"/>
          <w:szCs w:val="26"/>
        </w:rPr>
        <w:t xml:space="preserve"> default service because they did</w:t>
      </w:r>
      <w:r>
        <w:rPr>
          <w:rFonts w:ascii="Times New Roman" w:hAnsi="Times New Roman"/>
          <w:sz w:val="26"/>
          <w:szCs w:val="26"/>
        </w:rPr>
        <w:t xml:space="preserve"> not receive an attractive offer.  The OSBA avers that whatever the customer’s reason for not switching to an alternative supplier, those customers should not be stuck with an unnecessarily volatile rate.  The OSBA maintains that price stability should remain an important consideration when designing a default service procurement plan for Medium C&amp;I customers.</w:t>
      </w:r>
      <w:r w:rsidR="00A11408">
        <w:rPr>
          <w:rFonts w:ascii="Times New Roman" w:hAnsi="Times New Roman"/>
          <w:sz w:val="26"/>
          <w:szCs w:val="26"/>
        </w:rPr>
        <w:t xml:space="preserve">  According to the OSBA, RESA’s proposal would deemphasize and/or minimize price stability in favor of making default service more responsive to market changes.  The OSBA notes that Act 129 of 2008 replaced the “current market price” standard with the requirement that an EDC’s procurement plan is to ensure adequate and reliable service through a “prudent mix of contracts…designed to ensure…the least cost to customers over time.”  According to the OSBA, RESA’s narrow focus on current market prices when procuring default supply is misplaced.</w:t>
      </w:r>
      <w:r w:rsidR="009C57B6">
        <w:rPr>
          <w:rFonts w:ascii="Times New Roman" w:hAnsi="Times New Roman"/>
          <w:sz w:val="26"/>
          <w:szCs w:val="26"/>
        </w:rPr>
        <w:t xml:space="preserve">  OSBA R. Exc. at 7-9.</w:t>
      </w:r>
    </w:p>
    <w:p w:rsidR="00421E34" w:rsidRDefault="00421E34" w:rsidP="004B03A5">
      <w:pPr>
        <w:ind w:firstLine="1440"/>
        <w:rPr>
          <w:rFonts w:ascii="Times New Roman" w:hAnsi="Times New Roman"/>
          <w:sz w:val="26"/>
          <w:szCs w:val="26"/>
        </w:rPr>
      </w:pPr>
    </w:p>
    <w:p w:rsidR="00B87778" w:rsidRDefault="009C6FB4" w:rsidP="004B03A5">
      <w:pPr>
        <w:ind w:firstLine="1440"/>
        <w:rPr>
          <w:rFonts w:ascii="Times New Roman" w:hAnsi="Times New Roman"/>
          <w:sz w:val="26"/>
          <w:szCs w:val="26"/>
        </w:rPr>
      </w:pPr>
      <w:r>
        <w:rPr>
          <w:rFonts w:ascii="Times New Roman" w:hAnsi="Times New Roman"/>
          <w:sz w:val="26"/>
          <w:szCs w:val="26"/>
        </w:rPr>
        <w:lastRenderedPageBreak/>
        <w:t xml:space="preserve">In reply to RESA’s argument with regard to the </w:t>
      </w:r>
      <w:r>
        <w:rPr>
          <w:rFonts w:ascii="Times New Roman" w:hAnsi="Times New Roman"/>
          <w:i/>
          <w:sz w:val="26"/>
          <w:szCs w:val="26"/>
        </w:rPr>
        <w:t xml:space="preserve">End State Order, </w:t>
      </w:r>
      <w:r>
        <w:rPr>
          <w:rFonts w:ascii="Times New Roman" w:hAnsi="Times New Roman"/>
          <w:sz w:val="26"/>
          <w:szCs w:val="26"/>
        </w:rPr>
        <w:t xml:space="preserve">the OSBA states that the </w:t>
      </w:r>
      <w:r>
        <w:rPr>
          <w:rFonts w:ascii="Times New Roman" w:hAnsi="Times New Roman"/>
          <w:i/>
          <w:sz w:val="26"/>
          <w:szCs w:val="26"/>
        </w:rPr>
        <w:t>End State Order</w:t>
      </w:r>
      <w:r>
        <w:rPr>
          <w:rFonts w:ascii="Times New Roman" w:hAnsi="Times New Roman"/>
          <w:sz w:val="26"/>
          <w:szCs w:val="26"/>
        </w:rPr>
        <w:t xml:space="preserve"> is not at this time a mandate to be implemented in the current round of default proceedings, despite RESA’s best efforts to argue the contrary.  According to the</w:t>
      </w:r>
      <w:r w:rsidR="008F1C54">
        <w:rPr>
          <w:rFonts w:ascii="Times New Roman" w:hAnsi="Times New Roman"/>
          <w:sz w:val="26"/>
          <w:szCs w:val="26"/>
        </w:rPr>
        <w:t xml:space="preserve"> OSBA, RESA’s proposal to move M</w:t>
      </w:r>
      <w:r>
        <w:rPr>
          <w:rFonts w:ascii="Times New Roman" w:hAnsi="Times New Roman"/>
          <w:sz w:val="26"/>
          <w:szCs w:val="26"/>
        </w:rPr>
        <w:t xml:space="preserve">edium C&amp;I customers with interval meters to hourly pricing is premature stating that even the Commission is not comfortable with treating the </w:t>
      </w:r>
      <w:r>
        <w:rPr>
          <w:rFonts w:ascii="Times New Roman" w:hAnsi="Times New Roman"/>
          <w:i/>
          <w:sz w:val="26"/>
          <w:szCs w:val="26"/>
        </w:rPr>
        <w:t xml:space="preserve">End State Order </w:t>
      </w:r>
      <w:r w:rsidRPr="009C6FB4">
        <w:rPr>
          <w:rFonts w:ascii="Times New Roman" w:hAnsi="Times New Roman"/>
          <w:sz w:val="26"/>
          <w:szCs w:val="26"/>
        </w:rPr>
        <w:t>as a mandate</w:t>
      </w:r>
      <w:r>
        <w:rPr>
          <w:rFonts w:ascii="Times New Roman" w:hAnsi="Times New Roman"/>
          <w:sz w:val="26"/>
          <w:szCs w:val="26"/>
        </w:rPr>
        <w:t xml:space="preserve">, opting instead to see legislative changes to avoid legal uncertainty.  The OSBA asserts that RESA is wrong to characterize its proposals as only a transition towards the </w:t>
      </w:r>
      <w:r>
        <w:rPr>
          <w:rFonts w:ascii="Times New Roman" w:hAnsi="Times New Roman"/>
          <w:i/>
          <w:sz w:val="26"/>
          <w:szCs w:val="26"/>
        </w:rPr>
        <w:t>End State Order</w:t>
      </w:r>
      <w:r>
        <w:rPr>
          <w:rFonts w:ascii="Times New Roman" w:hAnsi="Times New Roman"/>
          <w:sz w:val="26"/>
          <w:szCs w:val="26"/>
        </w:rPr>
        <w:t xml:space="preserve"> and avers that RESA’s proposals are not in compliance with the applicable statutory standards for default service.  OSBA R. Exc. at 9-10.</w:t>
      </w:r>
    </w:p>
    <w:p w:rsidR="00B87778" w:rsidRDefault="00B87778" w:rsidP="004B03A5">
      <w:pPr>
        <w:ind w:firstLine="1440"/>
        <w:rPr>
          <w:rFonts w:ascii="Times New Roman" w:hAnsi="Times New Roman"/>
          <w:sz w:val="26"/>
          <w:szCs w:val="26"/>
        </w:rPr>
      </w:pPr>
    </w:p>
    <w:p w:rsidR="00DE1FA8" w:rsidRDefault="00B87778" w:rsidP="004B03A5">
      <w:pPr>
        <w:ind w:firstLine="1440"/>
        <w:rPr>
          <w:rFonts w:ascii="Times New Roman" w:hAnsi="Times New Roman"/>
          <w:sz w:val="26"/>
          <w:szCs w:val="26"/>
        </w:rPr>
      </w:pPr>
      <w:r>
        <w:rPr>
          <w:rFonts w:ascii="Times New Roman" w:hAnsi="Times New Roman"/>
          <w:sz w:val="26"/>
          <w:szCs w:val="26"/>
        </w:rPr>
        <w:t>Next, the OSBA states that default service for the 25 kW to 100 kW customers should be procured through 100 percent three-month full requirements supply contracts.  The OSBA notes that shopping levels are lower among smaller users</w:t>
      </w:r>
      <w:r w:rsidR="008F1C54">
        <w:rPr>
          <w:rFonts w:ascii="Times New Roman" w:hAnsi="Times New Roman"/>
          <w:sz w:val="26"/>
          <w:szCs w:val="26"/>
        </w:rPr>
        <w:t xml:space="preserve"> </w:t>
      </w:r>
      <w:r>
        <w:rPr>
          <w:rFonts w:ascii="Times New Roman" w:hAnsi="Times New Roman"/>
          <w:sz w:val="26"/>
          <w:szCs w:val="26"/>
        </w:rPr>
        <w:t xml:space="preserve">in Duquesne’s Medium C&amp;I customer subgroups.  The OSBA asserts that over 37 percent of all Duquesne’s Medium C&amp;I customers are choosing not to shop and such customers should not be subject to the price volatility inherent in a supply portfolio that consists solely of three-month supply contracts.  According to the OSBA, Duquesne proposed a procurement plan that would effectively implement the Commission’s </w:t>
      </w:r>
      <w:r>
        <w:rPr>
          <w:rFonts w:ascii="Times New Roman" w:hAnsi="Times New Roman"/>
          <w:i/>
          <w:sz w:val="26"/>
          <w:szCs w:val="26"/>
        </w:rPr>
        <w:t>End State Order</w:t>
      </w:r>
      <w:r>
        <w:rPr>
          <w:rFonts w:ascii="Times New Roman" w:hAnsi="Times New Roman"/>
          <w:sz w:val="26"/>
          <w:szCs w:val="26"/>
        </w:rPr>
        <w:t xml:space="preserve"> for those Medium C&amp;I customers with peak demands</w:t>
      </w:r>
      <w:r w:rsidR="008F1C54">
        <w:rPr>
          <w:rFonts w:ascii="Times New Roman" w:hAnsi="Times New Roman"/>
          <w:sz w:val="26"/>
          <w:szCs w:val="26"/>
        </w:rPr>
        <w:t xml:space="preserve"> less than 100 kW, which in </w:t>
      </w:r>
      <w:r>
        <w:rPr>
          <w:rFonts w:ascii="Times New Roman" w:hAnsi="Times New Roman"/>
          <w:sz w:val="26"/>
          <w:szCs w:val="26"/>
        </w:rPr>
        <w:t>its opinion, would not be appropriate to implement</w:t>
      </w:r>
      <w:r w:rsidR="0083610A">
        <w:rPr>
          <w:rFonts w:ascii="Times New Roman" w:hAnsi="Times New Roman"/>
          <w:sz w:val="26"/>
          <w:szCs w:val="26"/>
        </w:rPr>
        <w:t xml:space="preserve"> </w:t>
      </w:r>
      <w:r>
        <w:rPr>
          <w:rFonts w:ascii="Times New Roman" w:hAnsi="Times New Roman"/>
          <w:sz w:val="26"/>
          <w:szCs w:val="26"/>
        </w:rPr>
        <w:t>at this time.  As an alternative, the OSBA recommended that Duquesne continue to use its existing procurement strateg</w:t>
      </w:r>
      <w:r w:rsidR="00FE757E">
        <w:rPr>
          <w:rFonts w:ascii="Times New Roman" w:hAnsi="Times New Roman"/>
          <w:sz w:val="26"/>
          <w:szCs w:val="26"/>
        </w:rPr>
        <w:t xml:space="preserve">y, </w:t>
      </w:r>
      <w:r w:rsidR="00FE757E">
        <w:rPr>
          <w:rFonts w:ascii="Times New Roman" w:hAnsi="Times New Roman"/>
          <w:i/>
          <w:sz w:val="26"/>
          <w:szCs w:val="26"/>
        </w:rPr>
        <w:t xml:space="preserve">i.e., </w:t>
      </w:r>
      <w:r w:rsidR="00FE757E">
        <w:rPr>
          <w:rFonts w:ascii="Times New Roman" w:hAnsi="Times New Roman"/>
          <w:sz w:val="26"/>
          <w:szCs w:val="26"/>
        </w:rPr>
        <w:t>six-month full requirements load-following contracts, with no laddering to serve Medium C&amp;I customers.  OSBA R. Exc. at 10-11.</w:t>
      </w:r>
    </w:p>
    <w:p w:rsidR="006628ED" w:rsidRPr="0096775E" w:rsidRDefault="006628ED" w:rsidP="006628ED">
      <w:pPr>
        <w:rPr>
          <w:rFonts w:ascii="Times New Roman" w:hAnsi="Times New Roman"/>
          <w:b/>
          <w:sz w:val="26"/>
          <w:szCs w:val="26"/>
        </w:rPr>
      </w:pPr>
    </w:p>
    <w:p w:rsidR="006628ED" w:rsidRDefault="006628ED" w:rsidP="00121220">
      <w:pPr>
        <w:keepNext/>
        <w:rPr>
          <w:rFonts w:ascii="Times New Roman" w:hAnsi="Times New Roman"/>
          <w:b/>
          <w:sz w:val="26"/>
          <w:szCs w:val="26"/>
        </w:rPr>
      </w:pPr>
      <w:r w:rsidRPr="0096775E">
        <w:rPr>
          <w:rFonts w:ascii="Times New Roman" w:hAnsi="Times New Roman"/>
          <w:b/>
          <w:sz w:val="26"/>
          <w:szCs w:val="26"/>
        </w:rPr>
        <w:tab/>
        <w:t>4.</w:t>
      </w:r>
      <w:r w:rsidRPr="0096775E">
        <w:rPr>
          <w:rFonts w:ascii="Times New Roman" w:hAnsi="Times New Roman"/>
          <w:b/>
          <w:sz w:val="26"/>
          <w:szCs w:val="26"/>
        </w:rPr>
        <w:tab/>
        <w:t>Disposition</w:t>
      </w:r>
    </w:p>
    <w:p w:rsidR="00635467" w:rsidRDefault="00635467" w:rsidP="00121220">
      <w:pPr>
        <w:keepNext/>
        <w:rPr>
          <w:rFonts w:ascii="Times New Roman" w:hAnsi="Times New Roman"/>
          <w:b/>
          <w:sz w:val="26"/>
          <w:szCs w:val="26"/>
        </w:rPr>
      </w:pPr>
    </w:p>
    <w:p w:rsidR="00126A56" w:rsidRDefault="00635467" w:rsidP="006628ED">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 xml:space="preserve">Upon our consideration of the evidence of record, </w:t>
      </w:r>
      <w:r w:rsidR="00E850B0">
        <w:rPr>
          <w:rFonts w:ascii="Times New Roman" w:hAnsi="Times New Roman"/>
          <w:sz w:val="26"/>
          <w:szCs w:val="26"/>
        </w:rPr>
        <w:t xml:space="preserve">as well as the Exceptions and Replies thereto, we shall first grant the Exception filed by Duquesne to clarify that </w:t>
      </w:r>
      <w:r w:rsidR="00E850B0">
        <w:rPr>
          <w:rFonts w:ascii="Times New Roman" w:hAnsi="Times New Roman"/>
          <w:sz w:val="26"/>
          <w:szCs w:val="26"/>
        </w:rPr>
        <w:lastRenderedPageBreak/>
        <w:t xml:space="preserve">the ALJ recommendation on this issue was that the Commission endorse the Company’s proposal of non-laddered, three-month, full requirements </w:t>
      </w:r>
      <w:r w:rsidR="00080D99">
        <w:rPr>
          <w:rFonts w:ascii="Times New Roman" w:hAnsi="Times New Roman"/>
          <w:sz w:val="26"/>
          <w:szCs w:val="26"/>
        </w:rPr>
        <w:t xml:space="preserve">default service </w:t>
      </w:r>
      <w:r w:rsidR="00E850B0">
        <w:rPr>
          <w:rFonts w:ascii="Times New Roman" w:hAnsi="Times New Roman"/>
          <w:sz w:val="26"/>
          <w:szCs w:val="26"/>
        </w:rPr>
        <w:t xml:space="preserve">procurements for the Medium C&amp;I customers. </w:t>
      </w:r>
      <w:r w:rsidR="00033824">
        <w:rPr>
          <w:rFonts w:ascii="Times New Roman" w:hAnsi="Times New Roman"/>
          <w:sz w:val="26"/>
          <w:szCs w:val="26"/>
        </w:rPr>
        <w:t xml:space="preserve"> While we agree with Duquesne that it is not clear from the ALJ’s discussion of this issue which position she endorses, it is clear that the ALJ, in Ordering Paragraph No. 3, did, in fact, recommend approval of Duquesne’s proposed procurement plan.  Therefore, we shall adopt this limited Exception filed by Duquesne on this issue.</w:t>
      </w:r>
    </w:p>
    <w:p w:rsidR="005B6A59" w:rsidRDefault="005B6A59" w:rsidP="006628ED">
      <w:pPr>
        <w:rPr>
          <w:rFonts w:ascii="Times New Roman" w:hAnsi="Times New Roman"/>
          <w:sz w:val="26"/>
          <w:szCs w:val="26"/>
        </w:rPr>
      </w:pPr>
    </w:p>
    <w:p w:rsidR="006F71F1" w:rsidRDefault="005B6A59" w:rsidP="006628ED">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Additionally, we </w:t>
      </w:r>
      <w:r w:rsidR="00BB1A0A">
        <w:rPr>
          <w:rFonts w:ascii="Times New Roman" w:hAnsi="Times New Roman"/>
          <w:sz w:val="26"/>
          <w:szCs w:val="26"/>
        </w:rPr>
        <w:t xml:space="preserve">are persuaded by the position of Duquesne that its proposed procurement plan for Medium C&amp;I customers represents a reasoned transition to more market responsive default service rates for this class of customers as the Company transitions from non-laddered six-month contracts currently utilized under DSP VI to the proposal in this proceeding of non-laddered three-month procurements beginning in DSP VII.  We note that Duquesne’s gradual movement to more market responsive prices over time has resulted in significant shopping levels of Medium C&amp;I customers.  </w:t>
      </w:r>
      <w:r w:rsidR="00941D34">
        <w:rPr>
          <w:rFonts w:ascii="Times New Roman" w:hAnsi="Times New Roman"/>
          <w:sz w:val="26"/>
          <w:szCs w:val="26"/>
        </w:rPr>
        <w:t xml:space="preserve">We conclude that the Duquesne proposal best represents the proper balancing between the competing goals of rate stability and default service rates that are more aligned with the existing market.  </w:t>
      </w:r>
      <w:r w:rsidR="00BB1A0A">
        <w:rPr>
          <w:rFonts w:ascii="Times New Roman" w:hAnsi="Times New Roman"/>
          <w:sz w:val="26"/>
          <w:szCs w:val="26"/>
        </w:rPr>
        <w:t xml:space="preserve">As such, we are not convinced by the arguments of RESA that this class should be bifurcated and that the larger Medium C&amp;I customers should be transitioned </w:t>
      </w:r>
      <w:r w:rsidR="006F71F1">
        <w:rPr>
          <w:rFonts w:ascii="Times New Roman" w:hAnsi="Times New Roman"/>
          <w:sz w:val="26"/>
          <w:szCs w:val="26"/>
        </w:rPr>
        <w:t xml:space="preserve">to hourly priced service in the context of this </w:t>
      </w:r>
      <w:r w:rsidR="00BB1A0A">
        <w:rPr>
          <w:rFonts w:ascii="Times New Roman" w:hAnsi="Times New Roman"/>
          <w:sz w:val="26"/>
          <w:szCs w:val="26"/>
        </w:rPr>
        <w:t xml:space="preserve">proceeding. </w:t>
      </w:r>
      <w:r w:rsidR="004357F3">
        <w:rPr>
          <w:rFonts w:ascii="Times New Roman" w:hAnsi="Times New Roman"/>
          <w:sz w:val="26"/>
          <w:szCs w:val="26"/>
        </w:rPr>
        <w:t xml:space="preserve"> </w:t>
      </w:r>
      <w:r w:rsidR="006B2D0B">
        <w:rPr>
          <w:rFonts w:ascii="Times New Roman" w:hAnsi="Times New Roman"/>
          <w:sz w:val="26"/>
          <w:szCs w:val="26"/>
        </w:rPr>
        <w:t>We have previously considered the issue o</w:t>
      </w:r>
      <w:r w:rsidR="006F71F1">
        <w:rPr>
          <w:rFonts w:ascii="Times New Roman" w:hAnsi="Times New Roman"/>
          <w:sz w:val="26"/>
          <w:szCs w:val="26"/>
        </w:rPr>
        <w:t xml:space="preserve">f hourly </w:t>
      </w:r>
      <w:r w:rsidR="006B2D0B">
        <w:rPr>
          <w:rFonts w:ascii="Times New Roman" w:hAnsi="Times New Roman"/>
          <w:sz w:val="26"/>
          <w:szCs w:val="26"/>
        </w:rPr>
        <w:t xml:space="preserve">LMP procurements for Medium C&amp;I customers in our </w:t>
      </w:r>
      <w:r w:rsidR="006B2D0B">
        <w:rPr>
          <w:rFonts w:ascii="Times New Roman" w:hAnsi="Times New Roman"/>
          <w:i/>
          <w:sz w:val="26"/>
          <w:szCs w:val="26"/>
        </w:rPr>
        <w:t xml:space="preserve">End State Order </w:t>
      </w:r>
      <w:r w:rsidR="006B2D0B">
        <w:rPr>
          <w:rFonts w:ascii="Times New Roman" w:hAnsi="Times New Roman"/>
          <w:sz w:val="26"/>
          <w:szCs w:val="26"/>
        </w:rPr>
        <w:t xml:space="preserve">wherein we concluded that we would seek legislative changes that would clearly provide </w:t>
      </w:r>
      <w:r w:rsidR="006F71F1">
        <w:rPr>
          <w:rFonts w:ascii="Times New Roman" w:hAnsi="Times New Roman"/>
          <w:sz w:val="26"/>
          <w:szCs w:val="26"/>
        </w:rPr>
        <w:t xml:space="preserve">our authority to approve default service plans containing such products.  </w:t>
      </w:r>
      <w:r w:rsidR="006F71F1">
        <w:rPr>
          <w:rFonts w:ascii="Times New Roman" w:hAnsi="Times New Roman"/>
          <w:i/>
          <w:sz w:val="26"/>
          <w:szCs w:val="26"/>
        </w:rPr>
        <w:t xml:space="preserve">See End State Order </w:t>
      </w:r>
      <w:r w:rsidR="006F71F1">
        <w:rPr>
          <w:rFonts w:ascii="Times New Roman" w:hAnsi="Times New Roman"/>
          <w:sz w:val="26"/>
          <w:szCs w:val="26"/>
        </w:rPr>
        <w:t xml:space="preserve">at 45. </w:t>
      </w:r>
      <w:r w:rsidR="00B57A86">
        <w:rPr>
          <w:rFonts w:ascii="Times New Roman" w:hAnsi="Times New Roman"/>
          <w:sz w:val="26"/>
          <w:szCs w:val="26"/>
        </w:rPr>
        <w:t xml:space="preserve"> While we continue to believe that the Commission currently has the authority to establish shorter-term default service products </w:t>
      </w:r>
      <w:r w:rsidR="00421E34">
        <w:rPr>
          <w:rFonts w:ascii="Times New Roman" w:hAnsi="Times New Roman"/>
          <w:sz w:val="26"/>
          <w:szCs w:val="26"/>
        </w:rPr>
        <w:t>where the facts and circumstan</w:t>
      </w:r>
      <w:r w:rsidR="00AE3058">
        <w:rPr>
          <w:rFonts w:ascii="Times New Roman" w:hAnsi="Times New Roman"/>
          <w:sz w:val="26"/>
          <w:szCs w:val="26"/>
        </w:rPr>
        <w:t>c</w:t>
      </w:r>
      <w:r w:rsidR="00421E34">
        <w:rPr>
          <w:rFonts w:ascii="Times New Roman" w:hAnsi="Times New Roman"/>
          <w:sz w:val="26"/>
          <w:szCs w:val="26"/>
        </w:rPr>
        <w:t>es warrant it</w:t>
      </w:r>
      <w:r w:rsidR="00B57A86">
        <w:rPr>
          <w:rFonts w:ascii="Times New Roman" w:hAnsi="Times New Roman"/>
          <w:sz w:val="26"/>
          <w:szCs w:val="26"/>
        </w:rPr>
        <w:t>, in this proceeding we conclude that RESA has failed to establish th</w:t>
      </w:r>
      <w:r w:rsidR="00E10057">
        <w:rPr>
          <w:rFonts w:ascii="Times New Roman" w:hAnsi="Times New Roman"/>
          <w:sz w:val="26"/>
          <w:szCs w:val="26"/>
        </w:rPr>
        <w:t>at it is imperative</w:t>
      </w:r>
      <w:r w:rsidR="00B57A86">
        <w:rPr>
          <w:rFonts w:ascii="Times New Roman" w:hAnsi="Times New Roman"/>
          <w:sz w:val="26"/>
          <w:szCs w:val="26"/>
        </w:rPr>
        <w:t xml:space="preserve"> that the transition to hourly priced default service</w:t>
      </w:r>
      <w:r w:rsidR="00E10057">
        <w:rPr>
          <w:rFonts w:ascii="Times New Roman" w:hAnsi="Times New Roman"/>
          <w:sz w:val="26"/>
          <w:szCs w:val="26"/>
        </w:rPr>
        <w:t xml:space="preserve"> for Medium C&amp;I customers</w:t>
      </w:r>
      <w:r w:rsidR="00B57A86">
        <w:rPr>
          <w:rFonts w:ascii="Times New Roman" w:hAnsi="Times New Roman"/>
          <w:sz w:val="26"/>
          <w:szCs w:val="26"/>
        </w:rPr>
        <w:t xml:space="preserve"> should be implemented at this time for this Company</w:t>
      </w:r>
      <w:r w:rsidR="00421E34">
        <w:rPr>
          <w:rFonts w:ascii="Times New Roman" w:hAnsi="Times New Roman"/>
          <w:sz w:val="26"/>
          <w:szCs w:val="26"/>
        </w:rPr>
        <w:t xml:space="preserve"> based </w:t>
      </w:r>
      <w:r w:rsidR="00421E34">
        <w:rPr>
          <w:rFonts w:ascii="Times New Roman" w:hAnsi="Times New Roman"/>
          <w:sz w:val="26"/>
          <w:szCs w:val="26"/>
        </w:rPr>
        <w:lastRenderedPageBreak/>
        <w:t>upon the facts of this record</w:t>
      </w:r>
      <w:r w:rsidR="00B57A86">
        <w:rPr>
          <w:rFonts w:ascii="Times New Roman" w:hAnsi="Times New Roman"/>
          <w:sz w:val="26"/>
          <w:szCs w:val="26"/>
        </w:rPr>
        <w:t>.  Accordingly, we shall deny the Exceptions filed by RESA on this issue.</w:t>
      </w:r>
    </w:p>
    <w:p w:rsidR="00421E34" w:rsidRDefault="00421E34" w:rsidP="006628ED">
      <w:pPr>
        <w:rPr>
          <w:rFonts w:ascii="Times New Roman" w:hAnsi="Times New Roman"/>
          <w:sz w:val="26"/>
          <w:szCs w:val="26"/>
        </w:rPr>
      </w:pPr>
    </w:p>
    <w:p w:rsidR="006628ED" w:rsidRPr="00D67F33" w:rsidRDefault="00B57A86" w:rsidP="00D67F33">
      <w:pPr>
        <w:ind w:firstLine="1440"/>
        <w:rPr>
          <w:rFonts w:ascii="Times New Roman" w:hAnsi="Times New Roman"/>
          <w:sz w:val="26"/>
          <w:szCs w:val="26"/>
        </w:rPr>
      </w:pPr>
      <w:r>
        <w:rPr>
          <w:rFonts w:ascii="Times New Roman" w:hAnsi="Times New Roman"/>
          <w:sz w:val="26"/>
          <w:szCs w:val="26"/>
        </w:rPr>
        <w:t>Finally, w</w:t>
      </w:r>
      <w:r w:rsidR="004357F3">
        <w:rPr>
          <w:rFonts w:ascii="Times New Roman" w:hAnsi="Times New Roman"/>
          <w:sz w:val="26"/>
          <w:szCs w:val="26"/>
        </w:rPr>
        <w:t xml:space="preserve">e shall also reject the position of the OSBA that Duquesne should be directed to maintain the </w:t>
      </w:r>
      <w:r w:rsidR="004357F3" w:rsidRPr="00121220">
        <w:rPr>
          <w:rFonts w:ascii="Times New Roman" w:hAnsi="Times New Roman"/>
          <w:i/>
          <w:sz w:val="26"/>
          <w:szCs w:val="26"/>
        </w:rPr>
        <w:t>status quo</w:t>
      </w:r>
      <w:r w:rsidR="004357F3">
        <w:rPr>
          <w:rFonts w:ascii="Times New Roman" w:hAnsi="Times New Roman"/>
          <w:sz w:val="26"/>
          <w:szCs w:val="26"/>
        </w:rPr>
        <w:t xml:space="preserve"> for this class of customers.</w:t>
      </w:r>
      <w:r>
        <w:rPr>
          <w:rFonts w:ascii="Times New Roman" w:hAnsi="Times New Roman"/>
          <w:sz w:val="26"/>
          <w:szCs w:val="26"/>
        </w:rPr>
        <w:t xml:space="preserve">  We conclude that the Duquesne proposal to transition to non-laddered </w:t>
      </w:r>
      <w:r w:rsidR="00941D34">
        <w:rPr>
          <w:rFonts w:ascii="Times New Roman" w:hAnsi="Times New Roman"/>
          <w:sz w:val="26"/>
          <w:szCs w:val="26"/>
        </w:rPr>
        <w:t xml:space="preserve">quarterly procurements for the </w:t>
      </w:r>
      <w:r w:rsidR="00553443">
        <w:rPr>
          <w:rFonts w:ascii="Times New Roman" w:hAnsi="Times New Roman"/>
          <w:sz w:val="26"/>
          <w:szCs w:val="26"/>
        </w:rPr>
        <w:t>M</w:t>
      </w:r>
      <w:r>
        <w:rPr>
          <w:rFonts w:ascii="Times New Roman" w:hAnsi="Times New Roman"/>
          <w:sz w:val="26"/>
          <w:szCs w:val="26"/>
        </w:rPr>
        <w:t xml:space="preserve">edium C&amp;I customer class is </w:t>
      </w:r>
      <w:r w:rsidR="00421E34">
        <w:rPr>
          <w:rFonts w:ascii="Times New Roman" w:hAnsi="Times New Roman"/>
          <w:sz w:val="26"/>
          <w:szCs w:val="26"/>
        </w:rPr>
        <w:t xml:space="preserve">a </w:t>
      </w:r>
      <w:r>
        <w:rPr>
          <w:rFonts w:ascii="Times New Roman" w:hAnsi="Times New Roman"/>
          <w:sz w:val="26"/>
          <w:szCs w:val="26"/>
        </w:rPr>
        <w:t>reasonable</w:t>
      </w:r>
      <w:r w:rsidR="00421E34">
        <w:rPr>
          <w:rFonts w:ascii="Times New Roman" w:hAnsi="Times New Roman"/>
          <w:sz w:val="26"/>
          <w:szCs w:val="26"/>
        </w:rPr>
        <w:t xml:space="preserve"> transition to a more competitive market where the circumstances warrant it</w:t>
      </w:r>
      <w:r>
        <w:rPr>
          <w:rFonts w:ascii="Times New Roman" w:hAnsi="Times New Roman"/>
          <w:sz w:val="26"/>
          <w:szCs w:val="26"/>
        </w:rPr>
        <w:t xml:space="preserve">, </w:t>
      </w:r>
      <w:r w:rsidR="00421E34">
        <w:rPr>
          <w:rFonts w:ascii="Times New Roman" w:hAnsi="Times New Roman"/>
          <w:sz w:val="26"/>
          <w:szCs w:val="26"/>
        </w:rPr>
        <w:t xml:space="preserve">is </w:t>
      </w:r>
      <w:r>
        <w:rPr>
          <w:rFonts w:ascii="Times New Roman" w:hAnsi="Times New Roman"/>
          <w:sz w:val="26"/>
          <w:szCs w:val="26"/>
        </w:rPr>
        <w:t xml:space="preserve">in the public interest </w:t>
      </w:r>
      <w:r w:rsidR="00553443">
        <w:rPr>
          <w:rFonts w:ascii="Times New Roman" w:hAnsi="Times New Roman"/>
          <w:sz w:val="26"/>
          <w:szCs w:val="26"/>
        </w:rPr>
        <w:t>and should be adopted.  Therefore, we shall adopt the recommend</w:t>
      </w:r>
      <w:r w:rsidR="00121220">
        <w:rPr>
          <w:rFonts w:ascii="Times New Roman" w:hAnsi="Times New Roman"/>
          <w:sz w:val="26"/>
          <w:szCs w:val="26"/>
        </w:rPr>
        <w:t>ation of the ALJ, as clarified.</w:t>
      </w:r>
    </w:p>
    <w:p w:rsidR="006628ED" w:rsidRPr="0096775E" w:rsidRDefault="006628ED" w:rsidP="00121220">
      <w:pPr>
        <w:pStyle w:val="BodyText2"/>
        <w:keepNext/>
        <w:spacing w:after="0" w:line="360" w:lineRule="auto"/>
        <w:ind w:firstLine="1440"/>
        <w:rPr>
          <w:sz w:val="26"/>
          <w:szCs w:val="26"/>
          <w:lang w:val="en-US"/>
        </w:rPr>
      </w:pPr>
    </w:p>
    <w:p w:rsidR="006628ED" w:rsidRPr="0096775E" w:rsidRDefault="006628ED" w:rsidP="00121220">
      <w:pPr>
        <w:keepNext/>
        <w:rPr>
          <w:rFonts w:ascii="Times New Roman" w:hAnsi="Times New Roman"/>
          <w:sz w:val="26"/>
          <w:szCs w:val="26"/>
        </w:rPr>
      </w:pPr>
      <w:r w:rsidRPr="0096775E">
        <w:rPr>
          <w:rFonts w:ascii="Times New Roman" w:hAnsi="Times New Roman"/>
          <w:b/>
          <w:sz w:val="26"/>
          <w:szCs w:val="26"/>
        </w:rPr>
        <w:t>C.</w:t>
      </w:r>
      <w:r w:rsidRPr="0096775E">
        <w:rPr>
          <w:rFonts w:ascii="Times New Roman" w:hAnsi="Times New Roman"/>
          <w:b/>
          <w:sz w:val="26"/>
          <w:szCs w:val="26"/>
        </w:rPr>
        <w:tab/>
        <w:t>Large Commercial and Industrial Procurement</w:t>
      </w:r>
    </w:p>
    <w:p w:rsidR="006628ED" w:rsidRPr="0096775E" w:rsidRDefault="006628ED" w:rsidP="00121220">
      <w:pPr>
        <w:pStyle w:val="OutlineL2"/>
        <w:keepNext/>
        <w:numPr>
          <w:ilvl w:val="0"/>
          <w:numId w:val="0"/>
        </w:numPr>
        <w:tabs>
          <w:tab w:val="left" w:pos="0"/>
        </w:tabs>
        <w:spacing w:after="0" w:line="360" w:lineRule="auto"/>
        <w:rPr>
          <w:sz w:val="26"/>
          <w:szCs w:val="26"/>
        </w:rPr>
      </w:pPr>
      <w:r w:rsidRPr="0096775E">
        <w:rPr>
          <w:b/>
          <w:sz w:val="26"/>
          <w:szCs w:val="26"/>
        </w:rPr>
        <w:tab/>
      </w:r>
      <w:r w:rsidRPr="0096775E">
        <w:rPr>
          <w:b/>
          <w:sz w:val="26"/>
          <w:szCs w:val="26"/>
        </w:rPr>
        <w:tab/>
      </w:r>
    </w:p>
    <w:p w:rsidR="006628ED" w:rsidRPr="0096775E" w:rsidRDefault="006628ED" w:rsidP="00121220">
      <w:pPr>
        <w:pStyle w:val="OutlineL2"/>
        <w:keepNext/>
        <w:numPr>
          <w:ilvl w:val="0"/>
          <w:numId w:val="0"/>
        </w:numPr>
        <w:tabs>
          <w:tab w:val="left" w:pos="0"/>
        </w:tabs>
        <w:spacing w:after="0" w:line="360" w:lineRule="auto"/>
        <w:rPr>
          <w:b/>
          <w:sz w:val="26"/>
          <w:szCs w:val="26"/>
        </w:rPr>
      </w:pPr>
      <w:r w:rsidRPr="0096775E">
        <w:rPr>
          <w:b/>
          <w:sz w:val="26"/>
          <w:szCs w:val="26"/>
        </w:rPr>
        <w:tab/>
        <w:t>1.</w:t>
      </w:r>
      <w:r w:rsidRPr="0096775E">
        <w:rPr>
          <w:b/>
          <w:sz w:val="26"/>
          <w:szCs w:val="26"/>
        </w:rPr>
        <w:tab/>
        <w:t>Positions of the Parties</w:t>
      </w:r>
    </w:p>
    <w:p w:rsidR="006628ED" w:rsidRPr="0096775E" w:rsidRDefault="006628ED" w:rsidP="00121220">
      <w:pPr>
        <w:pStyle w:val="OutlineL2"/>
        <w:keepNext/>
        <w:numPr>
          <w:ilvl w:val="0"/>
          <w:numId w:val="0"/>
        </w:numPr>
        <w:tabs>
          <w:tab w:val="left" w:pos="0"/>
        </w:tabs>
        <w:spacing w:after="0" w:line="360" w:lineRule="auto"/>
        <w:rPr>
          <w:b/>
          <w:sz w:val="26"/>
          <w:szCs w:val="26"/>
        </w:rPr>
      </w:pPr>
    </w:p>
    <w:p w:rsidR="006628ED" w:rsidRPr="0096775E" w:rsidRDefault="00E005A1" w:rsidP="006628ED">
      <w:pPr>
        <w:pStyle w:val="BodyText2"/>
        <w:spacing w:after="0" w:line="360" w:lineRule="auto"/>
        <w:ind w:firstLine="1440"/>
        <w:rPr>
          <w:sz w:val="26"/>
          <w:szCs w:val="26"/>
          <w:lang w:val="en-US"/>
        </w:rPr>
      </w:pPr>
      <w:r>
        <w:rPr>
          <w:sz w:val="26"/>
          <w:szCs w:val="26"/>
          <w:lang w:val="en-US"/>
        </w:rPr>
        <w:t>Duquesne did not propose any chan</w:t>
      </w:r>
      <w:r w:rsidR="00C31803">
        <w:rPr>
          <w:sz w:val="26"/>
          <w:szCs w:val="26"/>
          <w:lang w:val="en-US"/>
        </w:rPr>
        <w:t>ges to the manner in which its L</w:t>
      </w:r>
      <w:r>
        <w:rPr>
          <w:sz w:val="26"/>
          <w:szCs w:val="26"/>
          <w:lang w:val="en-US"/>
        </w:rPr>
        <w:t>arge C&amp;I customers receive default service supplies.</w:t>
      </w:r>
      <w:r w:rsidR="007106B0">
        <w:rPr>
          <w:sz w:val="26"/>
          <w:szCs w:val="26"/>
          <w:lang w:val="en-US"/>
        </w:rPr>
        <w:t xml:space="preserve">  </w:t>
      </w:r>
      <w:r w:rsidR="00635467">
        <w:rPr>
          <w:sz w:val="26"/>
          <w:szCs w:val="26"/>
        </w:rPr>
        <w:t>Duquesne</w:t>
      </w:r>
      <w:r>
        <w:rPr>
          <w:sz w:val="26"/>
          <w:szCs w:val="26"/>
          <w:lang w:val="en-US"/>
        </w:rPr>
        <w:t xml:space="preserve"> </w:t>
      </w:r>
      <w:r w:rsidR="007106B0">
        <w:rPr>
          <w:sz w:val="26"/>
          <w:szCs w:val="26"/>
          <w:lang w:val="en-US"/>
        </w:rPr>
        <w:t xml:space="preserve">currently </w:t>
      </w:r>
      <w:r w:rsidR="006628ED" w:rsidRPr="0096775E">
        <w:rPr>
          <w:sz w:val="26"/>
          <w:szCs w:val="26"/>
        </w:rPr>
        <w:t xml:space="preserve">procures default </w:t>
      </w:r>
      <w:r>
        <w:rPr>
          <w:sz w:val="26"/>
          <w:szCs w:val="26"/>
          <w:lang w:val="en-US"/>
        </w:rPr>
        <w:t xml:space="preserve">service </w:t>
      </w:r>
      <w:r w:rsidR="006628ED" w:rsidRPr="0096775E">
        <w:rPr>
          <w:sz w:val="26"/>
          <w:szCs w:val="26"/>
        </w:rPr>
        <w:t xml:space="preserve">supplies for Large C&amp;I customers through the PJM day-ahead hourly spot market.  </w:t>
      </w:r>
      <w:r>
        <w:rPr>
          <w:sz w:val="26"/>
          <w:szCs w:val="26"/>
          <w:lang w:val="en-US"/>
        </w:rPr>
        <w:t>Duquesne stated that it procures c</w:t>
      </w:r>
      <w:r>
        <w:rPr>
          <w:sz w:val="26"/>
          <w:szCs w:val="26"/>
        </w:rPr>
        <w:t xml:space="preserve">apacity </w:t>
      </w:r>
      <w:r w:rsidR="006628ED" w:rsidRPr="0096775E">
        <w:rPr>
          <w:sz w:val="26"/>
          <w:szCs w:val="26"/>
        </w:rPr>
        <w:t>through PJM’s Reliability Pricing Model auction construct</w:t>
      </w:r>
      <w:r w:rsidR="006628ED" w:rsidRPr="0096775E">
        <w:rPr>
          <w:sz w:val="26"/>
          <w:szCs w:val="26"/>
          <w:lang w:val="en-US"/>
        </w:rPr>
        <w:t xml:space="preserve"> and </w:t>
      </w:r>
      <w:r>
        <w:rPr>
          <w:sz w:val="26"/>
          <w:szCs w:val="26"/>
          <w:lang w:val="en-US"/>
        </w:rPr>
        <w:t xml:space="preserve">that </w:t>
      </w:r>
      <w:r w:rsidR="006628ED" w:rsidRPr="0096775E">
        <w:rPr>
          <w:sz w:val="26"/>
          <w:szCs w:val="26"/>
          <w:lang w:val="en-US"/>
        </w:rPr>
        <w:t>a</w:t>
      </w:r>
      <w:r>
        <w:rPr>
          <w:sz w:val="26"/>
          <w:szCs w:val="26"/>
        </w:rPr>
        <w:t>ll of the</w:t>
      </w:r>
      <w:r w:rsidR="006628ED" w:rsidRPr="0096775E">
        <w:rPr>
          <w:sz w:val="26"/>
          <w:szCs w:val="26"/>
        </w:rPr>
        <w:t xml:space="preserve"> costs are passed through to Large C&amp;I customers w</w:t>
      </w:r>
      <w:r>
        <w:rPr>
          <w:sz w:val="26"/>
          <w:szCs w:val="26"/>
        </w:rPr>
        <w:t xml:space="preserve">ith no mark-up by </w:t>
      </w:r>
      <w:r>
        <w:rPr>
          <w:sz w:val="26"/>
          <w:szCs w:val="26"/>
          <w:lang w:val="en-US"/>
        </w:rPr>
        <w:t>the Company</w:t>
      </w:r>
      <w:r w:rsidR="006628ED" w:rsidRPr="0096775E">
        <w:rPr>
          <w:sz w:val="26"/>
          <w:szCs w:val="26"/>
        </w:rPr>
        <w:t xml:space="preserve">.  </w:t>
      </w:r>
      <w:r w:rsidR="0063446D" w:rsidRPr="0096775E">
        <w:rPr>
          <w:sz w:val="26"/>
          <w:szCs w:val="26"/>
        </w:rPr>
        <w:t xml:space="preserve">Duquesne  </w:t>
      </w:r>
      <w:r w:rsidR="0063446D">
        <w:rPr>
          <w:sz w:val="26"/>
          <w:szCs w:val="26"/>
          <w:lang w:val="en-US"/>
        </w:rPr>
        <w:t xml:space="preserve">explained that it </w:t>
      </w:r>
      <w:r w:rsidR="0063446D" w:rsidRPr="0096775E">
        <w:rPr>
          <w:sz w:val="26"/>
          <w:szCs w:val="26"/>
        </w:rPr>
        <w:t>does charge Large C&amp;I default service customers a Fix</w:t>
      </w:r>
      <w:r w:rsidR="0063446D">
        <w:rPr>
          <w:sz w:val="26"/>
          <w:szCs w:val="26"/>
        </w:rPr>
        <w:t xml:space="preserve">ed Retail Adder of $4.49 per </w:t>
      </w:r>
      <w:r w:rsidR="0063446D">
        <w:rPr>
          <w:sz w:val="26"/>
          <w:szCs w:val="26"/>
          <w:lang w:val="en-US"/>
        </w:rPr>
        <w:t>m</w:t>
      </w:r>
      <w:r w:rsidR="0063446D">
        <w:rPr>
          <w:sz w:val="26"/>
          <w:szCs w:val="26"/>
        </w:rPr>
        <w:t>W</w:t>
      </w:r>
      <w:r w:rsidR="0063446D">
        <w:rPr>
          <w:sz w:val="26"/>
          <w:szCs w:val="26"/>
          <w:lang w:val="en-US"/>
        </w:rPr>
        <w:t>h</w:t>
      </w:r>
      <w:r w:rsidR="0063446D" w:rsidRPr="0096775E">
        <w:rPr>
          <w:sz w:val="26"/>
          <w:szCs w:val="26"/>
        </w:rPr>
        <w:t xml:space="preserve"> to recover the Company’s administrative costs for providing hourly priced service, which includes PJM related costs, billing costs, Information Technology (IT) costs, accounting costs and other related costs to provide this service.  </w:t>
      </w:r>
      <w:r w:rsidR="006628ED" w:rsidRPr="0096775E">
        <w:rPr>
          <w:sz w:val="26"/>
          <w:szCs w:val="26"/>
        </w:rPr>
        <w:t>Du</w:t>
      </w:r>
      <w:r>
        <w:rPr>
          <w:sz w:val="26"/>
          <w:szCs w:val="26"/>
        </w:rPr>
        <w:t>quesne St. No. 4-R</w:t>
      </w:r>
      <w:r>
        <w:rPr>
          <w:sz w:val="26"/>
          <w:szCs w:val="26"/>
          <w:lang w:val="en-US"/>
        </w:rPr>
        <w:t xml:space="preserve"> at</w:t>
      </w:r>
      <w:r w:rsidR="006628ED" w:rsidRPr="0096775E">
        <w:rPr>
          <w:sz w:val="26"/>
          <w:szCs w:val="26"/>
        </w:rPr>
        <w:t xml:space="preserve"> 17.</w:t>
      </w:r>
      <w:r>
        <w:rPr>
          <w:sz w:val="26"/>
          <w:szCs w:val="26"/>
          <w:lang w:val="en-US"/>
        </w:rPr>
        <w:t xml:space="preserve">  Duquesne M.B. at 22-23.</w:t>
      </w:r>
      <w:r w:rsidR="006628ED" w:rsidRPr="0096775E">
        <w:rPr>
          <w:sz w:val="26"/>
          <w:szCs w:val="26"/>
        </w:rPr>
        <w:t xml:space="preserve">  </w:t>
      </w:r>
    </w:p>
    <w:p w:rsidR="006628ED" w:rsidRPr="0096775E" w:rsidRDefault="006628ED" w:rsidP="006628ED">
      <w:pPr>
        <w:pStyle w:val="BodyText2"/>
        <w:spacing w:after="0" w:line="360" w:lineRule="auto"/>
        <w:ind w:firstLine="1440"/>
        <w:rPr>
          <w:sz w:val="26"/>
          <w:szCs w:val="26"/>
          <w:lang w:val="en-US"/>
        </w:rPr>
      </w:pPr>
    </w:p>
    <w:p w:rsidR="006628ED" w:rsidRPr="00786A92" w:rsidRDefault="007106B0" w:rsidP="006628ED">
      <w:pPr>
        <w:pStyle w:val="BodyText2"/>
        <w:spacing w:after="0" w:line="360" w:lineRule="auto"/>
        <w:ind w:firstLine="1440"/>
        <w:rPr>
          <w:sz w:val="26"/>
          <w:szCs w:val="26"/>
          <w:lang w:val="en-US"/>
        </w:rPr>
      </w:pPr>
      <w:r>
        <w:rPr>
          <w:sz w:val="26"/>
          <w:szCs w:val="26"/>
          <w:lang w:val="en-US"/>
        </w:rPr>
        <w:t xml:space="preserve">RESA stated that it supports hourly pricing for Large C&amp;I customers.  However, </w:t>
      </w:r>
      <w:r w:rsidR="00E005A1">
        <w:rPr>
          <w:sz w:val="26"/>
          <w:szCs w:val="26"/>
        </w:rPr>
        <w:t>RESA argue</w:t>
      </w:r>
      <w:r w:rsidR="00E005A1">
        <w:rPr>
          <w:sz w:val="26"/>
          <w:szCs w:val="26"/>
          <w:lang w:val="en-US"/>
        </w:rPr>
        <w:t xml:space="preserve">d that </w:t>
      </w:r>
      <w:r>
        <w:rPr>
          <w:sz w:val="26"/>
          <w:szCs w:val="26"/>
          <w:lang w:val="en-US"/>
        </w:rPr>
        <w:t>this</w:t>
      </w:r>
      <w:r w:rsidR="006628ED" w:rsidRPr="0096775E">
        <w:rPr>
          <w:sz w:val="26"/>
          <w:szCs w:val="26"/>
        </w:rPr>
        <w:t xml:space="preserve"> hourly priced service should be </w:t>
      </w:r>
      <w:r>
        <w:rPr>
          <w:sz w:val="26"/>
          <w:szCs w:val="26"/>
          <w:lang w:val="en-US"/>
        </w:rPr>
        <w:t xml:space="preserve">competitively </w:t>
      </w:r>
      <w:r w:rsidR="006628ED" w:rsidRPr="0096775E">
        <w:rPr>
          <w:sz w:val="26"/>
          <w:szCs w:val="26"/>
        </w:rPr>
        <w:t>bid out to third parties.  RESA propose</w:t>
      </w:r>
      <w:r w:rsidR="00E005A1">
        <w:rPr>
          <w:sz w:val="26"/>
          <w:szCs w:val="26"/>
          <w:lang w:val="en-US"/>
        </w:rPr>
        <w:t>d</w:t>
      </w:r>
      <w:r w:rsidR="006628ED" w:rsidRPr="0096775E">
        <w:rPr>
          <w:sz w:val="26"/>
          <w:szCs w:val="26"/>
        </w:rPr>
        <w:t xml:space="preserve"> to maintain the existing price and cost collection structure </w:t>
      </w:r>
      <w:r w:rsidR="006628ED" w:rsidRPr="0096775E">
        <w:rPr>
          <w:sz w:val="26"/>
          <w:szCs w:val="26"/>
        </w:rPr>
        <w:lastRenderedPageBreak/>
        <w:t>with the only diffe</w:t>
      </w:r>
      <w:r w:rsidR="00E005A1">
        <w:rPr>
          <w:sz w:val="26"/>
          <w:szCs w:val="26"/>
        </w:rPr>
        <w:t xml:space="preserve">rence being that Duquesne </w:t>
      </w:r>
      <w:r w:rsidR="00E005A1">
        <w:rPr>
          <w:sz w:val="26"/>
          <w:szCs w:val="26"/>
          <w:lang w:val="en-US"/>
        </w:rPr>
        <w:t xml:space="preserve">would </w:t>
      </w:r>
      <w:r w:rsidR="006628ED" w:rsidRPr="0096775E">
        <w:rPr>
          <w:sz w:val="26"/>
          <w:szCs w:val="26"/>
        </w:rPr>
        <w:t>competitively bid out the hourly priced service</w:t>
      </w:r>
      <w:r w:rsidR="006628ED" w:rsidRPr="0096775E">
        <w:rPr>
          <w:sz w:val="26"/>
          <w:szCs w:val="26"/>
          <w:lang w:val="en-US"/>
        </w:rPr>
        <w:t xml:space="preserve">.  </w:t>
      </w:r>
      <w:r w:rsidR="006628ED" w:rsidRPr="0096775E">
        <w:rPr>
          <w:sz w:val="26"/>
          <w:szCs w:val="26"/>
        </w:rPr>
        <w:t>RESA argue</w:t>
      </w:r>
      <w:r w:rsidR="00E005A1">
        <w:rPr>
          <w:sz w:val="26"/>
          <w:szCs w:val="26"/>
          <w:lang w:val="en-US"/>
        </w:rPr>
        <w:t>d</w:t>
      </w:r>
      <w:r w:rsidR="00E005A1">
        <w:rPr>
          <w:sz w:val="26"/>
          <w:szCs w:val="26"/>
        </w:rPr>
        <w:t xml:space="preserve"> that competitive bidding </w:t>
      </w:r>
      <w:r w:rsidR="006628ED" w:rsidRPr="0096775E">
        <w:rPr>
          <w:sz w:val="26"/>
          <w:szCs w:val="26"/>
        </w:rPr>
        <w:t>is the best way to ensure that the resulting rates are reflective of all of the costs and risks involved in providin</w:t>
      </w:r>
      <w:r w:rsidR="00E005A1">
        <w:rPr>
          <w:sz w:val="26"/>
          <w:szCs w:val="26"/>
        </w:rPr>
        <w:t>g default service to customers.  RESA also argue</w:t>
      </w:r>
      <w:r w:rsidR="00E005A1">
        <w:rPr>
          <w:sz w:val="26"/>
          <w:szCs w:val="26"/>
          <w:lang w:val="en-US"/>
        </w:rPr>
        <w:t>d</w:t>
      </w:r>
      <w:r w:rsidR="00E005A1">
        <w:rPr>
          <w:sz w:val="26"/>
          <w:szCs w:val="26"/>
        </w:rPr>
        <w:t xml:space="preserve"> that Duquesne</w:t>
      </w:r>
      <w:r w:rsidR="006628ED" w:rsidRPr="0096775E">
        <w:rPr>
          <w:sz w:val="26"/>
          <w:szCs w:val="26"/>
        </w:rPr>
        <w:t xml:space="preserve">’s Fixed Retail Adder of $4.49 </w:t>
      </w:r>
      <w:r w:rsidR="000223DC">
        <w:rPr>
          <w:sz w:val="26"/>
          <w:szCs w:val="26"/>
        </w:rPr>
        <w:t xml:space="preserve">per </w:t>
      </w:r>
      <w:r w:rsidR="0063446D">
        <w:rPr>
          <w:sz w:val="26"/>
          <w:szCs w:val="26"/>
          <w:lang w:val="en-US"/>
        </w:rPr>
        <w:t>m</w:t>
      </w:r>
      <w:r w:rsidR="0063446D">
        <w:rPr>
          <w:sz w:val="26"/>
          <w:szCs w:val="26"/>
        </w:rPr>
        <w:t>W</w:t>
      </w:r>
      <w:r w:rsidR="0063446D">
        <w:rPr>
          <w:sz w:val="26"/>
          <w:szCs w:val="26"/>
          <w:lang w:val="en-US"/>
        </w:rPr>
        <w:t>h</w:t>
      </w:r>
      <w:r w:rsidR="006628ED" w:rsidRPr="0096775E">
        <w:rPr>
          <w:sz w:val="26"/>
          <w:szCs w:val="26"/>
        </w:rPr>
        <w:t xml:space="preserve"> is </w:t>
      </w:r>
      <w:r w:rsidR="00786A92">
        <w:rPr>
          <w:sz w:val="26"/>
          <w:szCs w:val="26"/>
          <w:lang w:val="en-US"/>
        </w:rPr>
        <w:t xml:space="preserve">essentially </w:t>
      </w:r>
      <w:r w:rsidR="006628ED" w:rsidRPr="0096775E">
        <w:rPr>
          <w:sz w:val="26"/>
          <w:szCs w:val="26"/>
        </w:rPr>
        <w:t>a proxy figure</w:t>
      </w:r>
      <w:r w:rsidR="00786A92">
        <w:rPr>
          <w:sz w:val="26"/>
          <w:szCs w:val="26"/>
          <w:lang w:val="en-US"/>
        </w:rPr>
        <w:t xml:space="preserve"> that was established through prior DSP cases and is not based on actual costs or bid prices</w:t>
      </w:r>
      <w:r w:rsidR="006628ED" w:rsidRPr="0096775E">
        <w:rPr>
          <w:sz w:val="26"/>
          <w:szCs w:val="26"/>
        </w:rPr>
        <w:t>.</w:t>
      </w:r>
      <w:r w:rsidR="006628ED" w:rsidRPr="0096775E">
        <w:rPr>
          <w:rStyle w:val="FootnoteReference"/>
          <w:sz w:val="26"/>
          <w:szCs w:val="26"/>
        </w:rPr>
        <w:footnoteReference w:id="20"/>
      </w:r>
      <w:r w:rsidR="00786A92">
        <w:rPr>
          <w:sz w:val="26"/>
          <w:szCs w:val="26"/>
          <w:lang w:val="en-US"/>
        </w:rPr>
        <w:t xml:space="preserve">  RESA M.B. at 21-22.</w:t>
      </w:r>
    </w:p>
    <w:p w:rsidR="006628ED" w:rsidRPr="0096775E" w:rsidRDefault="006628ED" w:rsidP="006628ED">
      <w:pPr>
        <w:pStyle w:val="BodyText2"/>
        <w:spacing w:after="0" w:line="360" w:lineRule="auto"/>
        <w:rPr>
          <w:sz w:val="26"/>
          <w:szCs w:val="26"/>
          <w:lang w:val="en-US"/>
        </w:rPr>
      </w:pPr>
    </w:p>
    <w:p w:rsidR="006628ED" w:rsidRPr="0096775E" w:rsidRDefault="00786A92" w:rsidP="006628ED">
      <w:pPr>
        <w:pStyle w:val="BodyText2"/>
        <w:spacing w:after="0" w:line="360" w:lineRule="auto"/>
        <w:ind w:firstLine="1440"/>
        <w:rPr>
          <w:sz w:val="26"/>
          <w:szCs w:val="26"/>
        </w:rPr>
      </w:pPr>
      <w:r>
        <w:rPr>
          <w:sz w:val="26"/>
          <w:szCs w:val="26"/>
          <w:lang w:val="en-US"/>
        </w:rPr>
        <w:t>In reply, Duquesne averred that RESA’s proposal will un</w:t>
      </w:r>
      <w:r w:rsidR="00FC6D86">
        <w:rPr>
          <w:sz w:val="26"/>
          <w:szCs w:val="26"/>
          <w:lang w:val="en-US"/>
        </w:rPr>
        <w:t>necessarily increase costs for L</w:t>
      </w:r>
      <w:r>
        <w:rPr>
          <w:sz w:val="26"/>
          <w:szCs w:val="26"/>
          <w:lang w:val="en-US"/>
        </w:rPr>
        <w:t xml:space="preserve">arge C&amp;I default service customers without providing any benefits. </w:t>
      </w:r>
      <w:r w:rsidR="00FC6D86">
        <w:rPr>
          <w:sz w:val="26"/>
          <w:szCs w:val="26"/>
        </w:rPr>
        <w:t xml:space="preserve">Duquesne </w:t>
      </w:r>
      <w:r w:rsidR="00FC6D86">
        <w:rPr>
          <w:sz w:val="26"/>
          <w:szCs w:val="26"/>
          <w:lang w:val="en-US"/>
        </w:rPr>
        <w:t xml:space="preserve">claimed that it </w:t>
      </w:r>
      <w:r w:rsidR="006628ED" w:rsidRPr="0096775E">
        <w:rPr>
          <w:sz w:val="26"/>
          <w:szCs w:val="26"/>
        </w:rPr>
        <w:t xml:space="preserve">passes through </w:t>
      </w:r>
      <w:r w:rsidR="006628ED" w:rsidRPr="0096775E">
        <w:rPr>
          <w:sz w:val="26"/>
          <w:szCs w:val="26"/>
          <w:lang w:val="en-US"/>
        </w:rPr>
        <w:t>to Large C&amp;I customers the</w:t>
      </w:r>
      <w:r w:rsidR="006628ED" w:rsidRPr="0096775E">
        <w:rPr>
          <w:sz w:val="26"/>
          <w:szCs w:val="26"/>
        </w:rPr>
        <w:t xml:space="preserve"> supply costs for providing hourly priced service </w:t>
      </w:r>
      <w:r w:rsidR="00FC6D86">
        <w:rPr>
          <w:sz w:val="26"/>
          <w:szCs w:val="26"/>
          <w:lang w:val="en-US"/>
        </w:rPr>
        <w:t>and if</w:t>
      </w:r>
      <w:r w:rsidR="006628ED" w:rsidRPr="0096775E">
        <w:rPr>
          <w:sz w:val="26"/>
          <w:szCs w:val="26"/>
          <w:lang w:val="en-US"/>
        </w:rPr>
        <w:t xml:space="preserve"> the hourly priced service </w:t>
      </w:r>
      <w:r w:rsidR="00421E34">
        <w:rPr>
          <w:sz w:val="26"/>
          <w:szCs w:val="26"/>
          <w:lang w:val="en-US"/>
        </w:rPr>
        <w:t xml:space="preserve">were </w:t>
      </w:r>
      <w:r w:rsidR="00FC6D86">
        <w:rPr>
          <w:sz w:val="26"/>
          <w:szCs w:val="26"/>
          <w:lang w:val="en-US"/>
        </w:rPr>
        <w:t xml:space="preserve">bid out </w:t>
      </w:r>
      <w:r w:rsidR="006628ED" w:rsidRPr="0096775E">
        <w:rPr>
          <w:sz w:val="26"/>
          <w:szCs w:val="26"/>
        </w:rPr>
        <w:t xml:space="preserve">Large C&amp;I customers </w:t>
      </w:r>
      <w:r w:rsidR="006628ED" w:rsidRPr="0096775E">
        <w:rPr>
          <w:sz w:val="26"/>
          <w:szCs w:val="26"/>
          <w:lang w:val="en-US"/>
        </w:rPr>
        <w:t>would be un</w:t>
      </w:r>
      <w:r w:rsidR="006628ED" w:rsidRPr="0096775E">
        <w:rPr>
          <w:sz w:val="26"/>
          <w:szCs w:val="26"/>
        </w:rPr>
        <w:t xml:space="preserve">able to avoid the Fixed Retail Adder.  </w:t>
      </w:r>
      <w:r w:rsidR="00FC6D86">
        <w:rPr>
          <w:sz w:val="26"/>
          <w:szCs w:val="26"/>
          <w:lang w:val="en-US"/>
        </w:rPr>
        <w:t>According to Duquesne, i</w:t>
      </w:r>
      <w:r w:rsidR="006628ED" w:rsidRPr="0096775E">
        <w:rPr>
          <w:sz w:val="26"/>
          <w:szCs w:val="26"/>
          <w:lang w:val="en-US"/>
        </w:rPr>
        <w:t>t</w:t>
      </w:r>
      <w:r w:rsidR="006628ED" w:rsidRPr="0096775E">
        <w:rPr>
          <w:sz w:val="26"/>
          <w:szCs w:val="26"/>
        </w:rPr>
        <w:t>s administrative costs for providing hourly priced service are largely tied to PJM interface and billing related costs that would remain even if a third party provided hourly p</w:t>
      </w:r>
      <w:r w:rsidR="00FC6D86">
        <w:rPr>
          <w:sz w:val="26"/>
          <w:szCs w:val="26"/>
        </w:rPr>
        <w:t>riced service and Duquesne</w:t>
      </w:r>
      <w:r w:rsidR="006628ED" w:rsidRPr="0096775E">
        <w:rPr>
          <w:sz w:val="26"/>
          <w:szCs w:val="26"/>
        </w:rPr>
        <w:t xml:space="preserve"> continued to do the billing and reconciliation.</w:t>
      </w:r>
      <w:r w:rsidR="006628ED" w:rsidRPr="0096775E">
        <w:rPr>
          <w:rStyle w:val="FootnoteReference"/>
          <w:sz w:val="26"/>
          <w:szCs w:val="26"/>
        </w:rPr>
        <w:footnoteReference w:id="21"/>
      </w:r>
      <w:r w:rsidR="006628ED" w:rsidRPr="0096775E">
        <w:rPr>
          <w:sz w:val="26"/>
          <w:szCs w:val="26"/>
        </w:rPr>
        <w:t xml:space="preserve">  </w:t>
      </w:r>
      <w:r w:rsidR="00FC6D86">
        <w:rPr>
          <w:sz w:val="26"/>
          <w:szCs w:val="26"/>
          <w:lang w:val="en-US"/>
        </w:rPr>
        <w:t xml:space="preserve">Duquesne </w:t>
      </w:r>
      <w:r w:rsidR="006628ED" w:rsidRPr="0096775E">
        <w:rPr>
          <w:sz w:val="26"/>
          <w:szCs w:val="26"/>
        </w:rPr>
        <w:t xml:space="preserve">further </w:t>
      </w:r>
      <w:r w:rsidR="00FC6D86">
        <w:rPr>
          <w:sz w:val="26"/>
          <w:szCs w:val="26"/>
          <w:lang w:val="en-US"/>
        </w:rPr>
        <w:t xml:space="preserve">maintained that </w:t>
      </w:r>
      <w:r w:rsidR="000223DC">
        <w:rPr>
          <w:sz w:val="26"/>
          <w:szCs w:val="26"/>
        </w:rPr>
        <w:t xml:space="preserve">the $4.49 per </w:t>
      </w:r>
      <w:r w:rsidR="00F162C0">
        <w:rPr>
          <w:sz w:val="26"/>
          <w:szCs w:val="26"/>
          <w:lang w:val="en-US"/>
        </w:rPr>
        <w:t>m</w:t>
      </w:r>
      <w:r w:rsidR="000223DC">
        <w:rPr>
          <w:sz w:val="26"/>
          <w:szCs w:val="26"/>
        </w:rPr>
        <w:t>W</w:t>
      </w:r>
      <w:r w:rsidR="000223DC">
        <w:rPr>
          <w:sz w:val="26"/>
          <w:szCs w:val="26"/>
          <w:lang w:val="en-US"/>
        </w:rPr>
        <w:t>h</w:t>
      </w:r>
      <w:r w:rsidR="006628ED" w:rsidRPr="0096775E">
        <w:rPr>
          <w:sz w:val="26"/>
          <w:szCs w:val="26"/>
        </w:rPr>
        <w:t xml:space="preserve"> cost is not a proxy figure but re</w:t>
      </w:r>
      <w:r w:rsidR="00FC6D86">
        <w:rPr>
          <w:sz w:val="26"/>
          <w:szCs w:val="26"/>
        </w:rPr>
        <w:t>asonably reflects Duquesne</w:t>
      </w:r>
      <w:r w:rsidR="006628ED" w:rsidRPr="0096775E">
        <w:rPr>
          <w:sz w:val="26"/>
          <w:szCs w:val="26"/>
        </w:rPr>
        <w:t>’s actual costs for providing hourly priced service.</w:t>
      </w:r>
      <w:r w:rsidR="006628ED" w:rsidRPr="0096775E">
        <w:rPr>
          <w:rStyle w:val="FootnoteReference"/>
          <w:sz w:val="26"/>
          <w:szCs w:val="26"/>
        </w:rPr>
        <w:footnoteReference w:id="22"/>
      </w:r>
      <w:r w:rsidR="006628ED" w:rsidRPr="0096775E">
        <w:rPr>
          <w:sz w:val="26"/>
          <w:szCs w:val="26"/>
        </w:rPr>
        <w:t xml:space="preserve">  </w:t>
      </w:r>
      <w:r w:rsidR="00FC6D86">
        <w:rPr>
          <w:sz w:val="26"/>
          <w:szCs w:val="26"/>
          <w:lang w:val="en-US"/>
        </w:rPr>
        <w:t>Duquesne M.B. at 23-26.</w:t>
      </w:r>
      <w:r w:rsidR="006628ED" w:rsidRPr="0096775E">
        <w:rPr>
          <w:sz w:val="26"/>
          <w:szCs w:val="26"/>
        </w:rPr>
        <w:t xml:space="preserve">  </w:t>
      </w:r>
    </w:p>
    <w:p w:rsidR="00B20A33" w:rsidRPr="0096775E" w:rsidRDefault="00B20A33" w:rsidP="006628ED">
      <w:pPr>
        <w:pStyle w:val="OutlineL2"/>
        <w:numPr>
          <w:ilvl w:val="0"/>
          <w:numId w:val="0"/>
        </w:numPr>
        <w:tabs>
          <w:tab w:val="left" w:pos="0"/>
        </w:tabs>
        <w:spacing w:after="0" w:line="360" w:lineRule="auto"/>
        <w:rPr>
          <w:b/>
          <w:sz w:val="26"/>
          <w:szCs w:val="26"/>
        </w:rPr>
      </w:pPr>
    </w:p>
    <w:p w:rsidR="00B20A33" w:rsidRPr="0096775E" w:rsidRDefault="00B20A33" w:rsidP="00315443">
      <w:pPr>
        <w:pStyle w:val="ListParagraph"/>
        <w:keepNext/>
        <w:keepLines/>
        <w:widowControl w:val="0"/>
        <w:ind w:left="0" w:firstLine="720"/>
        <w:rPr>
          <w:rFonts w:ascii="Times New Roman" w:hAnsi="Times New Roman"/>
          <w:b/>
          <w:sz w:val="26"/>
          <w:szCs w:val="26"/>
        </w:rPr>
      </w:pPr>
      <w:r w:rsidRPr="0096775E">
        <w:rPr>
          <w:rFonts w:ascii="Times New Roman" w:hAnsi="Times New Roman"/>
          <w:b/>
          <w:sz w:val="26"/>
          <w:szCs w:val="26"/>
        </w:rPr>
        <w:t>2.</w:t>
      </w:r>
      <w:r w:rsidRPr="0096775E">
        <w:rPr>
          <w:rFonts w:ascii="Times New Roman" w:hAnsi="Times New Roman"/>
          <w:b/>
          <w:sz w:val="26"/>
          <w:szCs w:val="26"/>
        </w:rPr>
        <w:tab/>
        <w:t>ALJ’s Recommendation</w:t>
      </w:r>
    </w:p>
    <w:p w:rsidR="00B20A33" w:rsidRPr="0096775E" w:rsidRDefault="00B20A33" w:rsidP="00315443">
      <w:pPr>
        <w:pStyle w:val="ListParagraph"/>
        <w:keepNext/>
        <w:keepLines/>
        <w:widowControl w:val="0"/>
        <w:ind w:left="0" w:firstLine="1440"/>
        <w:rPr>
          <w:rFonts w:ascii="Times New Roman" w:hAnsi="Times New Roman"/>
          <w:sz w:val="26"/>
          <w:szCs w:val="26"/>
        </w:rPr>
      </w:pPr>
    </w:p>
    <w:p w:rsidR="006A6843" w:rsidRPr="006A6843" w:rsidRDefault="006A6843" w:rsidP="006A6843">
      <w:pPr>
        <w:pStyle w:val="BodyText2"/>
        <w:spacing w:after="0" w:line="360" w:lineRule="auto"/>
        <w:ind w:firstLine="1440"/>
        <w:rPr>
          <w:sz w:val="26"/>
          <w:szCs w:val="26"/>
          <w:lang w:val="en-US"/>
        </w:rPr>
      </w:pPr>
      <w:r>
        <w:rPr>
          <w:sz w:val="26"/>
          <w:szCs w:val="26"/>
          <w:lang w:val="en-US"/>
        </w:rPr>
        <w:t xml:space="preserve">The ALJ </w:t>
      </w:r>
      <w:r w:rsidRPr="0096775E">
        <w:rPr>
          <w:sz w:val="26"/>
          <w:szCs w:val="26"/>
          <w:lang w:val="en-US"/>
        </w:rPr>
        <w:t>agree</w:t>
      </w:r>
      <w:r>
        <w:rPr>
          <w:sz w:val="26"/>
          <w:szCs w:val="26"/>
          <w:lang w:val="en-US"/>
        </w:rPr>
        <w:t>d</w:t>
      </w:r>
      <w:r w:rsidRPr="0096775E">
        <w:rPr>
          <w:sz w:val="26"/>
          <w:szCs w:val="26"/>
          <w:lang w:val="en-US"/>
        </w:rPr>
        <w:t xml:space="preserve"> with the Company’s argument that </w:t>
      </w:r>
      <w:r w:rsidRPr="0096775E">
        <w:rPr>
          <w:sz w:val="26"/>
          <w:szCs w:val="26"/>
        </w:rPr>
        <w:t xml:space="preserve">RESA’s hourly priced service proposal </w:t>
      </w:r>
      <w:r w:rsidR="00063DF1">
        <w:rPr>
          <w:sz w:val="26"/>
          <w:szCs w:val="26"/>
          <w:lang w:val="en-US"/>
        </w:rPr>
        <w:t>wa</w:t>
      </w:r>
      <w:r w:rsidRPr="0096775E">
        <w:rPr>
          <w:sz w:val="26"/>
          <w:szCs w:val="26"/>
          <w:lang w:val="en-US"/>
        </w:rPr>
        <w:t xml:space="preserve">s </w:t>
      </w:r>
      <w:r w:rsidRPr="0096775E">
        <w:rPr>
          <w:sz w:val="26"/>
          <w:szCs w:val="26"/>
        </w:rPr>
        <w:t xml:space="preserve">not clearly defined and </w:t>
      </w:r>
      <w:r>
        <w:rPr>
          <w:sz w:val="26"/>
          <w:szCs w:val="26"/>
          <w:lang w:val="en-US"/>
        </w:rPr>
        <w:t xml:space="preserve">that </w:t>
      </w:r>
      <w:r w:rsidRPr="0096775E">
        <w:rPr>
          <w:sz w:val="26"/>
          <w:szCs w:val="26"/>
          <w:lang w:val="en-US"/>
        </w:rPr>
        <w:t>RESA ha</w:t>
      </w:r>
      <w:r w:rsidR="00063DF1">
        <w:rPr>
          <w:sz w:val="26"/>
          <w:szCs w:val="26"/>
          <w:lang w:val="en-US"/>
        </w:rPr>
        <w:t>d</w:t>
      </w:r>
      <w:r w:rsidRPr="0096775E">
        <w:rPr>
          <w:sz w:val="26"/>
          <w:szCs w:val="26"/>
          <w:lang w:val="en-US"/>
        </w:rPr>
        <w:t xml:space="preserve"> not shown the potential or likelihood of </w:t>
      </w:r>
      <w:r w:rsidRPr="0096775E">
        <w:rPr>
          <w:sz w:val="26"/>
          <w:szCs w:val="26"/>
        </w:rPr>
        <w:t xml:space="preserve">benefits to Large C&amp;I customers.  </w:t>
      </w:r>
      <w:r>
        <w:rPr>
          <w:sz w:val="26"/>
          <w:szCs w:val="26"/>
          <w:lang w:val="en-US"/>
        </w:rPr>
        <w:t xml:space="preserve">The ALJ found that </w:t>
      </w:r>
      <w:r w:rsidRPr="0096775E">
        <w:rPr>
          <w:sz w:val="26"/>
          <w:szCs w:val="26"/>
        </w:rPr>
        <w:t xml:space="preserve">RESA’s proposal to </w:t>
      </w:r>
      <w:r w:rsidRPr="0096775E">
        <w:rPr>
          <w:sz w:val="26"/>
          <w:szCs w:val="26"/>
        </w:rPr>
        <w:lastRenderedPageBreak/>
        <w:t xml:space="preserve">bid out hourly priced service </w:t>
      </w:r>
      <w:r w:rsidRPr="0096775E">
        <w:rPr>
          <w:sz w:val="26"/>
          <w:szCs w:val="26"/>
          <w:lang w:val="en-US"/>
        </w:rPr>
        <w:t>would</w:t>
      </w:r>
      <w:r w:rsidRPr="0096775E">
        <w:rPr>
          <w:sz w:val="26"/>
          <w:szCs w:val="26"/>
        </w:rPr>
        <w:t xml:space="preserve"> increase costs for Large C&amp;I default service customers </w:t>
      </w:r>
      <w:r w:rsidRPr="0096775E">
        <w:rPr>
          <w:sz w:val="26"/>
          <w:szCs w:val="26"/>
          <w:lang w:val="en-US"/>
        </w:rPr>
        <w:t xml:space="preserve">but </w:t>
      </w:r>
      <w:r w:rsidR="00063DF1">
        <w:rPr>
          <w:sz w:val="26"/>
          <w:szCs w:val="26"/>
          <w:lang w:val="en-US"/>
        </w:rPr>
        <w:t xml:space="preserve">would not provide any </w:t>
      </w:r>
      <w:r w:rsidRPr="0096775E">
        <w:rPr>
          <w:sz w:val="26"/>
          <w:szCs w:val="26"/>
        </w:rPr>
        <w:t>benefit</w:t>
      </w:r>
      <w:r w:rsidRPr="0096775E">
        <w:rPr>
          <w:sz w:val="26"/>
          <w:szCs w:val="26"/>
          <w:lang w:val="en-US"/>
        </w:rPr>
        <w:t xml:space="preserve"> in exchange for the</w:t>
      </w:r>
      <w:r>
        <w:rPr>
          <w:sz w:val="26"/>
          <w:szCs w:val="26"/>
          <w:lang w:val="en-US"/>
        </w:rPr>
        <w:t>se</w:t>
      </w:r>
      <w:r w:rsidRPr="0096775E">
        <w:rPr>
          <w:sz w:val="26"/>
          <w:szCs w:val="26"/>
          <w:lang w:val="en-US"/>
        </w:rPr>
        <w:t xml:space="preserve"> increased cost</w:t>
      </w:r>
      <w:r w:rsidRPr="0096775E">
        <w:rPr>
          <w:sz w:val="26"/>
          <w:szCs w:val="26"/>
        </w:rPr>
        <w:t>s.</w:t>
      </w:r>
      <w:r>
        <w:rPr>
          <w:sz w:val="26"/>
          <w:szCs w:val="26"/>
          <w:lang w:val="en-US"/>
        </w:rPr>
        <w:t xml:space="preserve">  R.D. at 28.</w:t>
      </w:r>
    </w:p>
    <w:p w:rsidR="00B20A33" w:rsidRPr="0096775E" w:rsidRDefault="00B20A33" w:rsidP="00B20A33">
      <w:pPr>
        <w:pStyle w:val="ListParagraph"/>
        <w:ind w:left="0"/>
        <w:rPr>
          <w:rFonts w:ascii="Times New Roman" w:hAnsi="Times New Roman"/>
          <w:sz w:val="26"/>
          <w:szCs w:val="26"/>
        </w:rPr>
      </w:pPr>
    </w:p>
    <w:p w:rsidR="00B20A33" w:rsidRDefault="00B20A33" w:rsidP="00B20A33">
      <w:pPr>
        <w:ind w:firstLine="720"/>
        <w:rPr>
          <w:rFonts w:ascii="Times New Roman" w:hAnsi="Times New Roman"/>
          <w:b/>
          <w:sz w:val="26"/>
          <w:szCs w:val="26"/>
        </w:rPr>
      </w:pPr>
      <w:r w:rsidRPr="0096775E">
        <w:rPr>
          <w:rFonts w:ascii="Times New Roman" w:hAnsi="Times New Roman"/>
          <w:b/>
          <w:sz w:val="26"/>
          <w:szCs w:val="26"/>
        </w:rPr>
        <w:t>3.</w:t>
      </w:r>
      <w:r w:rsidRPr="0096775E">
        <w:rPr>
          <w:rFonts w:ascii="Times New Roman" w:hAnsi="Times New Roman"/>
          <w:b/>
          <w:sz w:val="26"/>
          <w:szCs w:val="26"/>
        </w:rPr>
        <w:tab/>
        <w:t>Exceptions and Replies</w:t>
      </w:r>
    </w:p>
    <w:p w:rsidR="006A6843" w:rsidRDefault="006A6843" w:rsidP="00B20A33">
      <w:pPr>
        <w:ind w:firstLine="720"/>
        <w:rPr>
          <w:rFonts w:ascii="Times New Roman" w:hAnsi="Times New Roman"/>
          <w:b/>
          <w:sz w:val="26"/>
          <w:szCs w:val="26"/>
        </w:rPr>
      </w:pPr>
    </w:p>
    <w:p w:rsidR="00287F09" w:rsidRDefault="006A6843" w:rsidP="006A6843">
      <w:pPr>
        <w:ind w:firstLine="1440"/>
        <w:rPr>
          <w:rFonts w:ascii="Times New Roman" w:hAnsi="Times New Roman"/>
          <w:sz w:val="26"/>
          <w:szCs w:val="26"/>
        </w:rPr>
      </w:pPr>
      <w:r>
        <w:rPr>
          <w:rFonts w:ascii="Times New Roman" w:hAnsi="Times New Roman"/>
          <w:sz w:val="26"/>
          <w:szCs w:val="26"/>
        </w:rPr>
        <w:t xml:space="preserve">In its Exceptions, RESA </w:t>
      </w:r>
      <w:r w:rsidR="0007757D">
        <w:rPr>
          <w:rFonts w:ascii="Times New Roman" w:hAnsi="Times New Roman"/>
          <w:sz w:val="26"/>
          <w:szCs w:val="26"/>
        </w:rPr>
        <w:t xml:space="preserve">states that competitively bidding out the Large C&amp;I default procurement is how spot market service is procured for all of the other major Pennsylvania EDCs.  RESA claims that the ALJ ignored applicable law, notably the </w:t>
      </w:r>
      <w:r w:rsidR="0007757D">
        <w:rPr>
          <w:rFonts w:ascii="Times New Roman" w:hAnsi="Times New Roman"/>
          <w:i/>
          <w:sz w:val="26"/>
          <w:szCs w:val="26"/>
        </w:rPr>
        <w:t xml:space="preserve">End State </w:t>
      </w:r>
      <w:r w:rsidR="0007757D" w:rsidRPr="0007757D">
        <w:rPr>
          <w:rFonts w:ascii="Times New Roman" w:hAnsi="Times New Roman"/>
          <w:i/>
          <w:sz w:val="26"/>
          <w:szCs w:val="26"/>
        </w:rPr>
        <w:t>Order</w:t>
      </w:r>
      <w:r w:rsidR="0007757D">
        <w:rPr>
          <w:rFonts w:ascii="Times New Roman" w:hAnsi="Times New Roman"/>
          <w:i/>
          <w:sz w:val="26"/>
          <w:szCs w:val="26"/>
        </w:rPr>
        <w:t xml:space="preserve">, </w:t>
      </w:r>
      <w:r w:rsidR="0007757D">
        <w:rPr>
          <w:rFonts w:ascii="Times New Roman" w:hAnsi="Times New Roman"/>
          <w:sz w:val="26"/>
          <w:szCs w:val="26"/>
        </w:rPr>
        <w:t xml:space="preserve">in which the Commission stated its preference for EDCs to bid out default hourly service.  RESA further claims that the ALJ ignored the legislative finding that “competitive market forces are more effective than economic regulation in controlling the costs of generating electricity” which amounts to a fundamental policy underlying the Code that competition is more effective than economic regulation in controlling the costs of generating electricity.  66 Pa. C.S. § 2802(5).  </w:t>
      </w:r>
      <w:r w:rsidR="0007757D" w:rsidRPr="0007757D">
        <w:rPr>
          <w:rFonts w:ascii="Times New Roman" w:hAnsi="Times New Roman"/>
          <w:i/>
          <w:sz w:val="26"/>
          <w:szCs w:val="26"/>
        </w:rPr>
        <w:t>RESA</w:t>
      </w:r>
      <w:r w:rsidR="008128BD">
        <w:rPr>
          <w:rFonts w:ascii="Times New Roman" w:hAnsi="Times New Roman"/>
          <w:sz w:val="26"/>
          <w:szCs w:val="26"/>
        </w:rPr>
        <w:t xml:space="preserve"> Exc. at 23-24</w:t>
      </w:r>
      <w:r w:rsidR="0007757D">
        <w:rPr>
          <w:rFonts w:ascii="Times New Roman" w:hAnsi="Times New Roman"/>
          <w:sz w:val="26"/>
          <w:szCs w:val="26"/>
        </w:rPr>
        <w:t>.</w:t>
      </w:r>
    </w:p>
    <w:p w:rsidR="00287F09" w:rsidRDefault="00287F09" w:rsidP="006A6843">
      <w:pPr>
        <w:ind w:firstLine="1440"/>
        <w:rPr>
          <w:rFonts w:ascii="Times New Roman" w:hAnsi="Times New Roman"/>
          <w:sz w:val="26"/>
          <w:szCs w:val="26"/>
        </w:rPr>
      </w:pPr>
    </w:p>
    <w:p w:rsidR="0087118D" w:rsidRDefault="00287F09" w:rsidP="006A6843">
      <w:pPr>
        <w:ind w:firstLine="1440"/>
        <w:rPr>
          <w:rFonts w:ascii="Times New Roman" w:hAnsi="Times New Roman"/>
          <w:sz w:val="26"/>
          <w:szCs w:val="26"/>
        </w:rPr>
      </w:pPr>
      <w:r>
        <w:rPr>
          <w:rFonts w:ascii="Times New Roman" w:hAnsi="Times New Roman"/>
          <w:sz w:val="26"/>
          <w:szCs w:val="26"/>
        </w:rPr>
        <w:t xml:space="preserve">RESA notes that Duquesne’s existing model accurately tracks changes in wholesale market prices by passing through the day-ahead hourly LMP, capacity charges and ancillary services.  However, RESA states that other retail servicing costs are approximated through an administratively set adder of $4.49 per </w:t>
      </w:r>
      <w:r w:rsidR="0063446D">
        <w:rPr>
          <w:rFonts w:ascii="Times New Roman" w:hAnsi="Times New Roman"/>
          <w:sz w:val="26"/>
          <w:szCs w:val="26"/>
        </w:rPr>
        <w:t>mWh</w:t>
      </w:r>
      <w:r>
        <w:rPr>
          <w:rFonts w:ascii="Times New Roman" w:hAnsi="Times New Roman"/>
          <w:sz w:val="26"/>
          <w:szCs w:val="26"/>
        </w:rPr>
        <w:t>, which is not based on actual costs or bid prices.  RESA avers that Duquesne disagrees that a supplier could possibly offer a price lower than the current adder, but refuses to allow them the opportunity to try to do so.  According to RESA, competitively bidding out the hourly priced service would add a degree of objectivity to this retail adder.  RESA maintains that the argument that its proposal will lead to an unjust and unreasonable adder ignores the fact that all of the other major EDCs in Pennsylvania utilize the competitive bid approach.</w:t>
      </w:r>
      <w:r w:rsidR="00877709">
        <w:rPr>
          <w:rFonts w:ascii="Times New Roman" w:hAnsi="Times New Roman"/>
          <w:sz w:val="26"/>
          <w:szCs w:val="26"/>
        </w:rPr>
        <w:t xml:space="preserve">  Lastly, RESA avers that the ALJ seemed persuaded by evidence that a fair and open competitive procurement process could produce a default service adder for the hourly priced service that is higher than Duquesne’s current adder.  According to RESA, </w:t>
      </w:r>
      <w:r w:rsidR="00877709">
        <w:rPr>
          <w:rFonts w:ascii="Times New Roman" w:hAnsi="Times New Roman"/>
          <w:sz w:val="26"/>
          <w:szCs w:val="26"/>
        </w:rPr>
        <w:lastRenderedPageBreak/>
        <w:t>such a resu</w:t>
      </w:r>
      <w:r w:rsidR="00536678">
        <w:rPr>
          <w:rFonts w:ascii="Times New Roman" w:hAnsi="Times New Roman"/>
          <w:sz w:val="26"/>
          <w:szCs w:val="26"/>
        </w:rPr>
        <w:t>lt would be an indication that D</w:t>
      </w:r>
      <w:r w:rsidR="00877709">
        <w:rPr>
          <w:rFonts w:ascii="Times New Roman" w:hAnsi="Times New Roman"/>
          <w:sz w:val="26"/>
          <w:szCs w:val="26"/>
        </w:rPr>
        <w:t>uquesne’s current structure produces a subsidized default service rate.  RESA opines that this would not be consistent with Commission policy which prohibits the cross subsidization of default service.  RESA argues t</w:t>
      </w:r>
      <w:r w:rsidR="00536678">
        <w:rPr>
          <w:rFonts w:ascii="Times New Roman" w:hAnsi="Times New Roman"/>
          <w:sz w:val="26"/>
          <w:szCs w:val="26"/>
        </w:rPr>
        <w:t>hat the L</w:t>
      </w:r>
      <w:r w:rsidR="00877709">
        <w:rPr>
          <w:rFonts w:ascii="Times New Roman" w:hAnsi="Times New Roman"/>
          <w:sz w:val="26"/>
          <w:szCs w:val="26"/>
        </w:rPr>
        <w:t>arge C&amp;I supply should be procured through a competitive bid process and not unilaterally by Duquesne.  RESA Exc. at 24-26.</w:t>
      </w:r>
    </w:p>
    <w:p w:rsidR="0087118D" w:rsidRDefault="0087118D" w:rsidP="006A6843">
      <w:pPr>
        <w:ind w:firstLine="1440"/>
        <w:rPr>
          <w:rFonts w:ascii="Times New Roman" w:hAnsi="Times New Roman"/>
          <w:sz w:val="26"/>
          <w:szCs w:val="26"/>
        </w:rPr>
      </w:pPr>
    </w:p>
    <w:p w:rsidR="00B56AAB" w:rsidRDefault="0087118D" w:rsidP="006A6843">
      <w:pPr>
        <w:ind w:firstLine="1440"/>
        <w:rPr>
          <w:rFonts w:ascii="Times New Roman" w:hAnsi="Times New Roman"/>
          <w:sz w:val="26"/>
          <w:szCs w:val="26"/>
        </w:rPr>
      </w:pPr>
      <w:r>
        <w:rPr>
          <w:rFonts w:ascii="Times New Roman" w:hAnsi="Times New Roman"/>
          <w:sz w:val="26"/>
          <w:szCs w:val="26"/>
        </w:rPr>
        <w:t xml:space="preserve">In its Replies to Exceptions, Duquesne states that </w:t>
      </w:r>
      <w:r w:rsidR="00F47145">
        <w:rPr>
          <w:rFonts w:ascii="Times New Roman" w:hAnsi="Times New Roman"/>
          <w:sz w:val="26"/>
          <w:szCs w:val="26"/>
        </w:rPr>
        <w:t xml:space="preserve">its Large C&amp;I hourly priced default service is one of the most competitive default service product offerings in Pennsylvania and in the country.  Duquesne avers that it was one of the first EDCs in the country to offer hourly priced service to all customers greater than 300 kW, and still has one of the lowest demand hourly priced service thresholds in the nation.  Duquesne further notes that approximately 96 percent of Large C&amp;I load is being served by an EGS even though its threshold includes </w:t>
      </w:r>
      <w:r w:rsidR="00D86193">
        <w:rPr>
          <w:rFonts w:ascii="Times New Roman" w:hAnsi="Times New Roman"/>
          <w:sz w:val="26"/>
          <w:szCs w:val="26"/>
        </w:rPr>
        <w:t xml:space="preserve">customers </w:t>
      </w:r>
      <w:r w:rsidR="00F47145">
        <w:rPr>
          <w:rFonts w:ascii="Times New Roman" w:hAnsi="Times New Roman"/>
          <w:sz w:val="26"/>
          <w:szCs w:val="26"/>
        </w:rPr>
        <w:t xml:space="preserve">smaller than </w:t>
      </w:r>
      <w:r w:rsidR="00536678">
        <w:rPr>
          <w:rFonts w:ascii="Times New Roman" w:hAnsi="Times New Roman"/>
          <w:sz w:val="26"/>
          <w:szCs w:val="26"/>
        </w:rPr>
        <w:t xml:space="preserve">most </w:t>
      </w:r>
      <w:r w:rsidR="00F47145">
        <w:rPr>
          <w:rFonts w:ascii="Times New Roman" w:hAnsi="Times New Roman"/>
          <w:sz w:val="26"/>
          <w:szCs w:val="26"/>
        </w:rPr>
        <w:t>other companies.  According to Duquesne, RESA did not clearly define its proposal in this proceeding that the Company bid out this service to a third party.  Duquesne states that it is unclear whether RESA is proposing to bid out a fixed price adder on top of the existing Rider No. 9</w:t>
      </w:r>
      <w:r w:rsidR="00D86193">
        <w:rPr>
          <w:rFonts w:ascii="Times New Roman" w:hAnsi="Times New Roman"/>
          <w:sz w:val="26"/>
          <w:szCs w:val="26"/>
        </w:rPr>
        <w:t>,</w:t>
      </w:r>
      <w:r w:rsidR="00B56AAB">
        <w:rPr>
          <w:rStyle w:val="FootnoteReference"/>
          <w:rFonts w:ascii="Times New Roman" w:hAnsi="Times New Roman"/>
          <w:sz w:val="26"/>
          <w:szCs w:val="26"/>
        </w:rPr>
        <w:footnoteReference w:id="23"/>
      </w:r>
      <w:r w:rsidR="00F47145">
        <w:rPr>
          <w:rFonts w:ascii="Times New Roman" w:hAnsi="Times New Roman"/>
          <w:sz w:val="26"/>
          <w:szCs w:val="26"/>
        </w:rPr>
        <w:t xml:space="preserve"> or whether the suppliers would offer the same scheduling flexibility that customers would have under Rider No. 9.  According to Duquesne, given that RESA’s proposal was not clearly defined, it was also unclear what benefits, if any, RESA’s proposal would provide to Large C&amp;I customers.</w:t>
      </w:r>
      <w:r w:rsidR="0076570F">
        <w:rPr>
          <w:rFonts w:ascii="Times New Roman" w:hAnsi="Times New Roman"/>
          <w:sz w:val="26"/>
          <w:szCs w:val="26"/>
        </w:rPr>
        <w:t xml:space="preserve">  Duquesne R. Exc. at 12-13.</w:t>
      </w:r>
      <w:r w:rsidR="00F47145">
        <w:rPr>
          <w:rFonts w:ascii="Times New Roman" w:hAnsi="Times New Roman"/>
          <w:sz w:val="26"/>
          <w:szCs w:val="26"/>
        </w:rPr>
        <w:t xml:space="preserve">  </w:t>
      </w:r>
    </w:p>
    <w:p w:rsidR="00B56AAB" w:rsidRDefault="00B56AAB" w:rsidP="006A6843">
      <w:pPr>
        <w:ind w:firstLine="1440"/>
        <w:rPr>
          <w:rFonts w:ascii="Times New Roman" w:hAnsi="Times New Roman"/>
          <w:sz w:val="26"/>
          <w:szCs w:val="26"/>
        </w:rPr>
      </w:pPr>
    </w:p>
    <w:p w:rsidR="0026306A" w:rsidRDefault="00B56AAB" w:rsidP="006A6843">
      <w:pPr>
        <w:ind w:firstLine="1440"/>
        <w:rPr>
          <w:rFonts w:ascii="Times New Roman" w:hAnsi="Times New Roman"/>
          <w:sz w:val="26"/>
          <w:szCs w:val="26"/>
        </w:rPr>
      </w:pPr>
      <w:r>
        <w:rPr>
          <w:rFonts w:ascii="Times New Roman" w:hAnsi="Times New Roman"/>
          <w:sz w:val="26"/>
          <w:szCs w:val="26"/>
        </w:rPr>
        <w:t xml:space="preserve">In response to RESA’s argument concerning the </w:t>
      </w:r>
      <w:r>
        <w:rPr>
          <w:rFonts w:ascii="Times New Roman" w:hAnsi="Times New Roman"/>
          <w:i/>
          <w:sz w:val="26"/>
          <w:szCs w:val="26"/>
        </w:rPr>
        <w:t xml:space="preserve">End State Order, </w:t>
      </w:r>
      <w:r>
        <w:rPr>
          <w:rFonts w:ascii="Times New Roman" w:hAnsi="Times New Roman"/>
          <w:sz w:val="26"/>
          <w:szCs w:val="26"/>
        </w:rPr>
        <w:t>Duquesne asserts that there is no need to auction hourly priced Large C&amp;I default service in Duquesne’s territory because the Company already has robust Large C&amp;I customer shopping with approximately 96 percent of the load taking service from an EGS.</w:t>
      </w:r>
      <w:r w:rsidR="00F47145">
        <w:rPr>
          <w:rFonts w:ascii="Times New Roman" w:hAnsi="Times New Roman"/>
          <w:sz w:val="26"/>
          <w:szCs w:val="26"/>
        </w:rPr>
        <w:t xml:space="preserve">  </w:t>
      </w:r>
      <w:r>
        <w:rPr>
          <w:rFonts w:ascii="Times New Roman" w:hAnsi="Times New Roman"/>
          <w:sz w:val="26"/>
          <w:szCs w:val="26"/>
        </w:rPr>
        <w:t>Duquesne explains that this leaves very little load to be auctioned to a wholesale supplier.  Furthermore, Duquesne states that unlike other ED</w:t>
      </w:r>
      <w:r w:rsidR="00125927">
        <w:rPr>
          <w:rFonts w:ascii="Times New Roman" w:hAnsi="Times New Roman"/>
          <w:sz w:val="26"/>
          <w:szCs w:val="26"/>
        </w:rPr>
        <w:t>Cs in Pennsylvania, Duquesne’s L</w:t>
      </w:r>
      <w:r>
        <w:rPr>
          <w:rFonts w:ascii="Times New Roman" w:hAnsi="Times New Roman"/>
          <w:sz w:val="26"/>
          <w:szCs w:val="26"/>
        </w:rPr>
        <w:t xml:space="preserve">arge </w:t>
      </w:r>
      <w:r>
        <w:rPr>
          <w:rFonts w:ascii="Times New Roman" w:hAnsi="Times New Roman"/>
          <w:sz w:val="26"/>
          <w:szCs w:val="26"/>
        </w:rPr>
        <w:lastRenderedPageBreak/>
        <w:t>C&amp;I customer class has a threshold of 300 kW and that 96 percent of all load above 300 kW is already taking service from an EGS in its service territory.  Duquesne R. Exc. at</w:t>
      </w:r>
      <w:r w:rsidR="00FE36CD">
        <w:rPr>
          <w:rFonts w:ascii="Times New Roman" w:hAnsi="Times New Roman"/>
          <w:sz w:val="26"/>
          <w:szCs w:val="26"/>
        </w:rPr>
        <w:t> </w:t>
      </w:r>
      <w:r w:rsidR="0026306A">
        <w:rPr>
          <w:rFonts w:ascii="Times New Roman" w:hAnsi="Times New Roman"/>
          <w:sz w:val="26"/>
          <w:szCs w:val="26"/>
        </w:rPr>
        <w:t>14.</w:t>
      </w:r>
    </w:p>
    <w:p w:rsidR="00C739C9" w:rsidRDefault="00C739C9" w:rsidP="006A6843">
      <w:pPr>
        <w:ind w:firstLine="1440"/>
        <w:rPr>
          <w:rFonts w:ascii="Times New Roman" w:hAnsi="Times New Roman"/>
          <w:sz w:val="26"/>
          <w:szCs w:val="26"/>
        </w:rPr>
      </w:pPr>
    </w:p>
    <w:p w:rsidR="008A1C23" w:rsidRDefault="0026306A" w:rsidP="006A6843">
      <w:pPr>
        <w:ind w:firstLine="1440"/>
        <w:rPr>
          <w:rFonts w:ascii="Times New Roman" w:hAnsi="Times New Roman"/>
          <w:sz w:val="26"/>
          <w:szCs w:val="26"/>
        </w:rPr>
      </w:pPr>
      <w:r>
        <w:rPr>
          <w:rFonts w:ascii="Times New Roman" w:hAnsi="Times New Roman"/>
          <w:sz w:val="26"/>
          <w:szCs w:val="26"/>
        </w:rPr>
        <w:t xml:space="preserve">Duquesne states that it has offered hourly priced default service since January 1, 2008, and that those customers that have remained on default service have indicated that they prefer to take service from Duquesne.  According to Duquesne, RESA has not presented any compelling reason to modify Duquesne’s very successful hourly priced default service program for Large C&amp;I customers.  </w:t>
      </w:r>
      <w:r w:rsidR="008A1C23">
        <w:rPr>
          <w:rFonts w:ascii="Times New Roman" w:hAnsi="Times New Roman"/>
          <w:sz w:val="26"/>
          <w:szCs w:val="26"/>
        </w:rPr>
        <w:t xml:space="preserve">With regard to RESA’s criticism of Duquesne’s administrative adder of $4.49 per </w:t>
      </w:r>
      <w:r w:rsidR="0063446D">
        <w:rPr>
          <w:rFonts w:ascii="Times New Roman" w:hAnsi="Times New Roman"/>
          <w:sz w:val="26"/>
          <w:szCs w:val="26"/>
        </w:rPr>
        <w:t>mWh</w:t>
      </w:r>
      <w:r w:rsidR="008A1C23">
        <w:rPr>
          <w:rFonts w:ascii="Times New Roman" w:hAnsi="Times New Roman"/>
          <w:sz w:val="26"/>
          <w:szCs w:val="26"/>
        </w:rPr>
        <w:t xml:space="preserve">, Duquesne avers that RESA’s arguments ignore unrefuted evidence in this proceeding that the Company has demonstrated that this adder reflects actual costs incurred.  Duquesne claims that the administrative adder largely recovers PJM interface and billing related costs that would remain even if a third party provided power at hourly prices because the Company must continue to do the billing and reconciliation associated with hourly priced default service costs.  Therefore, Duquesne asserts that the administrative adder would still be required even if the procurement is made subject to auction.  According to Duquesne, any profit to a third-party power provider simply would increase costs to the customer with no apparent benefit.  Duquesne R. Exc. at 14-15.  </w:t>
      </w:r>
    </w:p>
    <w:p w:rsidR="008A55FB" w:rsidRDefault="008A55FB" w:rsidP="006A6843">
      <w:pPr>
        <w:ind w:firstLine="1440"/>
        <w:rPr>
          <w:rFonts w:ascii="Times New Roman" w:hAnsi="Times New Roman"/>
          <w:sz w:val="26"/>
          <w:szCs w:val="26"/>
        </w:rPr>
      </w:pPr>
    </w:p>
    <w:p w:rsidR="008A55FB" w:rsidRDefault="008A55FB" w:rsidP="006A6843">
      <w:pPr>
        <w:ind w:firstLine="1440"/>
        <w:rPr>
          <w:rFonts w:ascii="Times New Roman" w:hAnsi="Times New Roman"/>
          <w:sz w:val="26"/>
          <w:szCs w:val="26"/>
        </w:rPr>
      </w:pPr>
      <w:r>
        <w:rPr>
          <w:rFonts w:ascii="Times New Roman" w:hAnsi="Times New Roman"/>
          <w:sz w:val="26"/>
          <w:szCs w:val="26"/>
        </w:rPr>
        <w:t>In its Replies to Exceptions, DII states that given RESA’s failure to provide specificity with respect to a third-party product and in light of the increased cost to customers over time with no discernible benefit, the Commission should adopt the ALJ’s recommendation to deny RESA’s Large C&amp;I procurement proposal.  DII asserts that contrary to RESA’s assertions, the plain language of the Competition Act obligates default service providers to provide “least cost” service to customers.  66 Pa. C.S. §</w:t>
      </w:r>
      <w:r w:rsidR="00FE36CD">
        <w:rPr>
          <w:rFonts w:ascii="Times New Roman" w:hAnsi="Times New Roman"/>
          <w:sz w:val="26"/>
          <w:szCs w:val="26"/>
        </w:rPr>
        <w:t> </w:t>
      </w:r>
      <w:r>
        <w:rPr>
          <w:rFonts w:ascii="Times New Roman" w:hAnsi="Times New Roman"/>
          <w:sz w:val="26"/>
          <w:szCs w:val="26"/>
        </w:rPr>
        <w:t xml:space="preserve">2807(e)(3.7).  DII claims that RESA further misinterprets the Commission’s findings in the </w:t>
      </w:r>
      <w:r w:rsidR="00536678">
        <w:rPr>
          <w:rFonts w:ascii="Times New Roman" w:hAnsi="Times New Roman"/>
          <w:i/>
          <w:sz w:val="26"/>
          <w:szCs w:val="26"/>
        </w:rPr>
        <w:t>End State O</w:t>
      </w:r>
      <w:r>
        <w:rPr>
          <w:rFonts w:ascii="Times New Roman" w:hAnsi="Times New Roman"/>
          <w:i/>
          <w:sz w:val="26"/>
          <w:szCs w:val="26"/>
        </w:rPr>
        <w:t>rder</w:t>
      </w:r>
      <w:r>
        <w:rPr>
          <w:rFonts w:ascii="Times New Roman" w:hAnsi="Times New Roman"/>
          <w:sz w:val="26"/>
          <w:szCs w:val="26"/>
        </w:rPr>
        <w:t xml:space="preserve"> </w:t>
      </w:r>
      <w:r w:rsidR="00FB02D1">
        <w:rPr>
          <w:rFonts w:ascii="Times New Roman" w:hAnsi="Times New Roman"/>
          <w:sz w:val="26"/>
          <w:szCs w:val="26"/>
        </w:rPr>
        <w:t xml:space="preserve">as while the Commission indicated its preference for an hourly </w:t>
      </w:r>
      <w:r w:rsidR="00FB02D1">
        <w:rPr>
          <w:rFonts w:ascii="Times New Roman" w:hAnsi="Times New Roman"/>
          <w:sz w:val="26"/>
          <w:szCs w:val="26"/>
        </w:rPr>
        <w:lastRenderedPageBreak/>
        <w:t xml:space="preserve">pricing product, the </w:t>
      </w:r>
      <w:r w:rsidR="00FB02D1">
        <w:rPr>
          <w:rFonts w:ascii="Times New Roman" w:hAnsi="Times New Roman"/>
          <w:i/>
          <w:sz w:val="26"/>
          <w:szCs w:val="26"/>
        </w:rPr>
        <w:t xml:space="preserve">End State Order </w:t>
      </w:r>
      <w:r w:rsidR="00FB02D1">
        <w:rPr>
          <w:rFonts w:ascii="Times New Roman" w:hAnsi="Times New Roman"/>
          <w:sz w:val="26"/>
          <w:szCs w:val="26"/>
        </w:rPr>
        <w:t xml:space="preserve">does not endorse </w:t>
      </w:r>
      <w:r w:rsidR="00536678">
        <w:rPr>
          <w:rFonts w:ascii="Times New Roman" w:hAnsi="Times New Roman"/>
          <w:sz w:val="26"/>
          <w:szCs w:val="26"/>
        </w:rPr>
        <w:t xml:space="preserve">default service </w:t>
      </w:r>
      <w:r w:rsidR="00FB02D1">
        <w:rPr>
          <w:rFonts w:ascii="Times New Roman" w:hAnsi="Times New Roman"/>
          <w:sz w:val="26"/>
          <w:szCs w:val="26"/>
        </w:rPr>
        <w:t>that does not qualify as “least cost” over time.  DII R. Exc. at 2-3.</w:t>
      </w:r>
    </w:p>
    <w:p w:rsidR="00FB02D1" w:rsidRDefault="00FB02D1" w:rsidP="006A6843">
      <w:pPr>
        <w:ind w:firstLine="1440"/>
        <w:rPr>
          <w:rFonts w:ascii="Times New Roman" w:hAnsi="Times New Roman"/>
          <w:sz w:val="26"/>
          <w:szCs w:val="26"/>
        </w:rPr>
      </w:pPr>
    </w:p>
    <w:p w:rsidR="006A6843" w:rsidRPr="006A6843" w:rsidRDefault="00FB02D1" w:rsidP="006A6843">
      <w:pPr>
        <w:ind w:firstLine="1440"/>
        <w:rPr>
          <w:rFonts w:ascii="Times New Roman" w:hAnsi="Times New Roman"/>
          <w:sz w:val="26"/>
          <w:szCs w:val="26"/>
        </w:rPr>
      </w:pPr>
      <w:r>
        <w:rPr>
          <w:rFonts w:ascii="Times New Roman" w:hAnsi="Times New Roman"/>
          <w:sz w:val="26"/>
          <w:szCs w:val="26"/>
        </w:rPr>
        <w:t>Next, DII avers that RESA’s third party procurement proposal would increase the retail adder associated with Large C&amp;I default service.  DII claims that RESA fails to explain how the retail adder would be calculated under its proposal.  In contrast, DII avers that Duquesne’s current in-house procurement product benefits bot</w:t>
      </w:r>
      <w:r w:rsidR="00757453">
        <w:rPr>
          <w:rFonts w:ascii="Times New Roman" w:hAnsi="Times New Roman"/>
          <w:sz w:val="26"/>
          <w:szCs w:val="26"/>
        </w:rPr>
        <w:t>h default service and shopping L</w:t>
      </w:r>
      <w:r>
        <w:rPr>
          <w:rFonts w:ascii="Times New Roman" w:hAnsi="Times New Roman"/>
          <w:sz w:val="26"/>
          <w:szCs w:val="26"/>
        </w:rPr>
        <w:t>arge C&amp;I customers.  DII submits that RESA</w:t>
      </w:r>
      <w:r w:rsidR="00757453">
        <w:rPr>
          <w:rFonts w:ascii="Times New Roman" w:hAnsi="Times New Roman"/>
          <w:sz w:val="26"/>
          <w:szCs w:val="26"/>
        </w:rPr>
        <w:t xml:space="preserve"> </w:t>
      </w:r>
      <w:r>
        <w:rPr>
          <w:rFonts w:ascii="Times New Roman" w:hAnsi="Times New Roman"/>
          <w:sz w:val="26"/>
          <w:szCs w:val="26"/>
        </w:rPr>
        <w:t>must not subvert Duquesne’s</w:t>
      </w:r>
      <w:r w:rsidR="00757453">
        <w:rPr>
          <w:rFonts w:ascii="Times New Roman" w:hAnsi="Times New Roman"/>
          <w:sz w:val="26"/>
          <w:szCs w:val="26"/>
        </w:rPr>
        <w:t xml:space="preserve"> obligations under the Competition Act in favor of an undefined hourly priced product that will increase customer costs.  DII R. Exc. at 3.</w:t>
      </w:r>
      <w:r w:rsidR="0007757D">
        <w:rPr>
          <w:rFonts w:ascii="Times New Roman" w:hAnsi="Times New Roman"/>
          <w:sz w:val="26"/>
          <w:szCs w:val="26"/>
        </w:rPr>
        <w:t xml:space="preserve">  </w:t>
      </w:r>
    </w:p>
    <w:p w:rsidR="00B20A33" w:rsidRPr="0096775E" w:rsidRDefault="00B20A33" w:rsidP="00B20A33">
      <w:pPr>
        <w:rPr>
          <w:rFonts w:ascii="Times New Roman" w:hAnsi="Times New Roman"/>
          <w:b/>
          <w:sz w:val="26"/>
          <w:szCs w:val="26"/>
        </w:rPr>
      </w:pPr>
    </w:p>
    <w:p w:rsidR="00B20A33" w:rsidRDefault="00B20A33" w:rsidP="00B20A33">
      <w:pPr>
        <w:rPr>
          <w:rFonts w:ascii="Times New Roman" w:hAnsi="Times New Roman"/>
          <w:b/>
          <w:sz w:val="26"/>
          <w:szCs w:val="26"/>
        </w:rPr>
      </w:pPr>
      <w:r w:rsidRPr="0096775E">
        <w:rPr>
          <w:rFonts w:ascii="Times New Roman" w:hAnsi="Times New Roman"/>
          <w:b/>
          <w:sz w:val="26"/>
          <w:szCs w:val="26"/>
        </w:rPr>
        <w:tab/>
        <w:t>4.</w:t>
      </w:r>
      <w:r w:rsidRPr="0096775E">
        <w:rPr>
          <w:rFonts w:ascii="Times New Roman" w:hAnsi="Times New Roman"/>
          <w:b/>
          <w:sz w:val="26"/>
          <w:szCs w:val="26"/>
        </w:rPr>
        <w:tab/>
        <w:t>Disposition</w:t>
      </w:r>
    </w:p>
    <w:p w:rsidR="00A3572F" w:rsidRDefault="00A3572F" w:rsidP="00B20A33">
      <w:pPr>
        <w:rPr>
          <w:rFonts w:ascii="Times New Roman" w:hAnsi="Times New Roman"/>
          <w:b/>
          <w:sz w:val="26"/>
          <w:szCs w:val="26"/>
        </w:rPr>
      </w:pPr>
    </w:p>
    <w:p w:rsidR="00A3572F" w:rsidRPr="00A3572F" w:rsidRDefault="00A3572F" w:rsidP="00B20A33">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In consideration of the record evidence, we are persuaded by the arguments of Duquesne and DII that RESA has failed in this proceeding to establish the parameters of its proposal or demonstrate that the potential benefits of its proposal would outweigh the potential costs.  We are particularly mindful of the successful and robust shopping levels of Duquesne’s Large C&amp;I customers where 96 percent of all load above 300 kW is already taking service from an EGS in its service territory.</w:t>
      </w:r>
      <w:r w:rsidR="0050642B">
        <w:rPr>
          <w:rFonts w:ascii="Times New Roman" w:hAnsi="Times New Roman"/>
          <w:sz w:val="26"/>
          <w:szCs w:val="26"/>
        </w:rPr>
        <w:t xml:space="preserve">  As noted by Duquesne, this fact results in very little Large C&amp;I customer load that would need to be auctioned off to a wholesale supplier.  </w:t>
      </w:r>
      <w:r w:rsidR="00F162C0">
        <w:rPr>
          <w:rFonts w:ascii="Times New Roman" w:hAnsi="Times New Roman"/>
          <w:sz w:val="26"/>
          <w:szCs w:val="26"/>
        </w:rPr>
        <w:t>Additionally, as noted by the Company</w:t>
      </w:r>
      <w:r w:rsidR="00AE4481">
        <w:rPr>
          <w:rFonts w:ascii="Times New Roman" w:hAnsi="Times New Roman"/>
          <w:sz w:val="26"/>
          <w:szCs w:val="26"/>
        </w:rPr>
        <w:t xml:space="preserve"> and DII</w:t>
      </w:r>
      <w:r w:rsidR="00F162C0">
        <w:rPr>
          <w:rFonts w:ascii="Times New Roman" w:hAnsi="Times New Roman"/>
          <w:sz w:val="26"/>
          <w:szCs w:val="26"/>
        </w:rPr>
        <w:t>, we find that RESA’s proposal on this issue was not clearly defined in the record</w:t>
      </w:r>
      <w:r w:rsidR="00AE4481">
        <w:rPr>
          <w:rFonts w:ascii="Times New Roman" w:hAnsi="Times New Roman"/>
          <w:sz w:val="26"/>
          <w:szCs w:val="26"/>
        </w:rPr>
        <w:t xml:space="preserve"> in this proceeding.  </w:t>
      </w:r>
      <w:r w:rsidR="0050642B">
        <w:rPr>
          <w:rFonts w:ascii="Times New Roman" w:hAnsi="Times New Roman"/>
          <w:sz w:val="26"/>
          <w:szCs w:val="26"/>
        </w:rPr>
        <w:t xml:space="preserve">Under these particular circumstances, we fail to see the need to adopt the changes proposed by RESA.  Accordingly, we shall adopt the recommendation of the ALJ on this issue and deny </w:t>
      </w:r>
      <w:r w:rsidR="00FE36CD">
        <w:rPr>
          <w:rFonts w:ascii="Times New Roman" w:hAnsi="Times New Roman"/>
          <w:sz w:val="26"/>
          <w:szCs w:val="26"/>
        </w:rPr>
        <w:t>the Exceptions filed by RESA.</w:t>
      </w:r>
    </w:p>
    <w:p w:rsidR="00B20A33" w:rsidRPr="0096775E" w:rsidRDefault="00B20A33" w:rsidP="00B20A33">
      <w:pPr>
        <w:rPr>
          <w:rFonts w:ascii="Times New Roman" w:hAnsi="Times New Roman"/>
          <w:b/>
          <w:sz w:val="26"/>
          <w:szCs w:val="26"/>
        </w:rPr>
      </w:pPr>
    </w:p>
    <w:p w:rsidR="00B20A33" w:rsidRPr="0096775E" w:rsidRDefault="00B20A33" w:rsidP="00FE36CD">
      <w:pPr>
        <w:keepNext/>
        <w:rPr>
          <w:rFonts w:ascii="Times New Roman" w:hAnsi="Times New Roman"/>
          <w:b/>
          <w:sz w:val="26"/>
          <w:szCs w:val="26"/>
        </w:rPr>
      </w:pPr>
      <w:r w:rsidRPr="0096775E">
        <w:rPr>
          <w:rFonts w:ascii="Times New Roman" w:hAnsi="Times New Roman"/>
          <w:b/>
          <w:sz w:val="26"/>
          <w:szCs w:val="26"/>
        </w:rPr>
        <w:lastRenderedPageBreak/>
        <w:t>D.</w:t>
      </w:r>
      <w:r w:rsidRPr="0096775E">
        <w:rPr>
          <w:rFonts w:ascii="Times New Roman" w:hAnsi="Times New Roman"/>
          <w:b/>
          <w:sz w:val="26"/>
          <w:szCs w:val="26"/>
        </w:rPr>
        <w:tab/>
        <w:t>Alternative Energy Credit Procurement</w:t>
      </w:r>
    </w:p>
    <w:p w:rsidR="00B20A33" w:rsidRPr="0096775E" w:rsidRDefault="00B20A33" w:rsidP="00FE36CD">
      <w:pPr>
        <w:keepNext/>
        <w:rPr>
          <w:rFonts w:ascii="Times New Roman" w:hAnsi="Times New Roman"/>
          <w:b/>
          <w:sz w:val="26"/>
          <w:szCs w:val="26"/>
        </w:rPr>
      </w:pPr>
    </w:p>
    <w:p w:rsidR="00B20A33" w:rsidRDefault="00B20A33" w:rsidP="00FE36CD">
      <w:pPr>
        <w:keepNext/>
        <w:rPr>
          <w:rFonts w:ascii="Times New Roman" w:hAnsi="Times New Roman"/>
          <w:b/>
          <w:sz w:val="26"/>
          <w:szCs w:val="26"/>
        </w:rPr>
      </w:pPr>
      <w:r w:rsidRPr="0096775E">
        <w:rPr>
          <w:rFonts w:ascii="Times New Roman" w:hAnsi="Times New Roman"/>
          <w:b/>
          <w:sz w:val="26"/>
          <w:szCs w:val="26"/>
        </w:rPr>
        <w:tab/>
      </w:r>
      <w:r w:rsidRPr="00FE36CD">
        <w:rPr>
          <w:rFonts w:ascii="Times New Roman" w:hAnsi="Times New Roman"/>
          <w:b/>
          <w:sz w:val="26"/>
          <w:szCs w:val="26"/>
          <w:u w:val="single"/>
        </w:rPr>
        <w:t>1</w:t>
      </w:r>
      <w:r w:rsidRPr="0096775E">
        <w:rPr>
          <w:rFonts w:ascii="Times New Roman" w:hAnsi="Times New Roman"/>
          <w:b/>
          <w:sz w:val="26"/>
          <w:szCs w:val="26"/>
        </w:rPr>
        <w:t>.</w:t>
      </w:r>
      <w:r w:rsidRPr="0096775E">
        <w:rPr>
          <w:rFonts w:ascii="Times New Roman" w:hAnsi="Times New Roman"/>
          <w:b/>
          <w:sz w:val="26"/>
          <w:szCs w:val="26"/>
        </w:rPr>
        <w:tab/>
        <w:t>Positions of the Parties</w:t>
      </w:r>
    </w:p>
    <w:p w:rsidR="00FE36CD" w:rsidRPr="0096775E" w:rsidRDefault="00FE36CD" w:rsidP="00FE36CD">
      <w:pPr>
        <w:keepNext/>
        <w:rPr>
          <w:rFonts w:ascii="Times New Roman" w:hAnsi="Times New Roman"/>
          <w:b/>
          <w:sz w:val="26"/>
          <w:szCs w:val="26"/>
        </w:rPr>
      </w:pPr>
    </w:p>
    <w:p w:rsidR="00B20A33" w:rsidRPr="0096775E" w:rsidRDefault="00D36370" w:rsidP="00D36370">
      <w:pPr>
        <w:ind w:firstLine="1440"/>
        <w:rPr>
          <w:rFonts w:ascii="Times New Roman" w:hAnsi="Times New Roman"/>
          <w:sz w:val="26"/>
          <w:szCs w:val="26"/>
        </w:rPr>
      </w:pPr>
      <w:r>
        <w:rPr>
          <w:rFonts w:ascii="Times New Roman" w:hAnsi="Times New Roman"/>
          <w:sz w:val="26"/>
          <w:szCs w:val="26"/>
        </w:rPr>
        <w:t>Duquesne proposed</w:t>
      </w:r>
      <w:r w:rsidR="00B20A33" w:rsidRPr="0096775E">
        <w:rPr>
          <w:rFonts w:ascii="Times New Roman" w:hAnsi="Times New Roman"/>
          <w:sz w:val="26"/>
          <w:szCs w:val="26"/>
        </w:rPr>
        <w:t xml:space="preserve"> to acquire default supplies for Residential, Small C&amp;I and Medium C&amp;I customers through full-requirements contracts of differen</w:t>
      </w:r>
      <w:r>
        <w:rPr>
          <w:rFonts w:ascii="Times New Roman" w:hAnsi="Times New Roman"/>
          <w:sz w:val="26"/>
          <w:szCs w:val="26"/>
        </w:rPr>
        <w:t>t lengths depending on the class.</w:t>
      </w:r>
      <w:r w:rsidR="00B20A33" w:rsidRPr="0096775E">
        <w:rPr>
          <w:rStyle w:val="FootnoteReference"/>
          <w:rFonts w:ascii="Times New Roman" w:hAnsi="Times New Roman"/>
          <w:sz w:val="26"/>
          <w:szCs w:val="26"/>
        </w:rPr>
        <w:footnoteReference w:id="24"/>
      </w:r>
      <w:r w:rsidR="00B20A33" w:rsidRPr="0096775E">
        <w:rPr>
          <w:rFonts w:ascii="Times New Roman" w:hAnsi="Times New Roman"/>
          <w:sz w:val="26"/>
          <w:szCs w:val="26"/>
        </w:rPr>
        <w:t xml:space="preserve">  Under the Company’s proposal, wholesale suppliers providing default service supplies as </w:t>
      </w:r>
      <w:r>
        <w:rPr>
          <w:rFonts w:ascii="Times New Roman" w:hAnsi="Times New Roman"/>
          <w:sz w:val="26"/>
          <w:szCs w:val="26"/>
        </w:rPr>
        <w:t>the winning bidders in RFPs would</w:t>
      </w:r>
      <w:r w:rsidR="00B20A33" w:rsidRPr="0096775E">
        <w:rPr>
          <w:rFonts w:ascii="Times New Roman" w:hAnsi="Times New Roman"/>
          <w:sz w:val="26"/>
          <w:szCs w:val="26"/>
        </w:rPr>
        <w:t xml:space="preserve"> also provide the AECs that are required for the Company to comply with the Alternative Energy Portfolio Standards Act of 2004, 73 P.S. § 1648.1 - 1648.8 (</w:t>
      </w:r>
      <w:r w:rsidR="00B20A33" w:rsidRPr="00125927">
        <w:rPr>
          <w:rFonts w:ascii="Times New Roman" w:hAnsi="Times New Roman"/>
          <w:i/>
          <w:sz w:val="26"/>
          <w:szCs w:val="26"/>
        </w:rPr>
        <w:t>AEPS Act</w:t>
      </w:r>
      <w:r w:rsidR="00B20A33" w:rsidRPr="0096775E">
        <w:rPr>
          <w:rFonts w:ascii="Times New Roman" w:hAnsi="Times New Roman"/>
          <w:sz w:val="26"/>
          <w:szCs w:val="26"/>
        </w:rPr>
        <w:t>) for the load that each wholesale supplier is providing.  For Large C&amp;I cu</w:t>
      </w:r>
      <w:r>
        <w:rPr>
          <w:rFonts w:ascii="Times New Roman" w:hAnsi="Times New Roman"/>
          <w:sz w:val="26"/>
          <w:szCs w:val="26"/>
        </w:rPr>
        <w:t>stomers, Duquesne proposed</w:t>
      </w:r>
      <w:r w:rsidR="00B20A33" w:rsidRPr="0096775E">
        <w:rPr>
          <w:rFonts w:ascii="Times New Roman" w:hAnsi="Times New Roman"/>
          <w:sz w:val="26"/>
          <w:szCs w:val="26"/>
        </w:rPr>
        <w:t xml:space="preserve"> to acquire default service supplies through the day-ahead market dir</w:t>
      </w:r>
      <w:r>
        <w:rPr>
          <w:rFonts w:ascii="Times New Roman" w:hAnsi="Times New Roman"/>
          <w:sz w:val="26"/>
          <w:szCs w:val="26"/>
        </w:rPr>
        <w:t xml:space="preserve">ectly from PJM.  Duquesne </w:t>
      </w:r>
      <w:r w:rsidR="00B20A33" w:rsidRPr="0096775E">
        <w:rPr>
          <w:rFonts w:ascii="Times New Roman" w:hAnsi="Times New Roman"/>
          <w:sz w:val="26"/>
          <w:szCs w:val="26"/>
        </w:rPr>
        <w:t>will acquire AECs to meet the AEPS obligation associated with default service for Large C&amp;I customers.</w:t>
      </w:r>
      <w:r w:rsidR="00416884">
        <w:rPr>
          <w:rFonts w:ascii="Times New Roman" w:hAnsi="Times New Roman"/>
          <w:sz w:val="26"/>
          <w:szCs w:val="26"/>
        </w:rPr>
        <w:t xml:space="preserve">  </w:t>
      </w:r>
      <w:r>
        <w:rPr>
          <w:rFonts w:ascii="Times New Roman" w:hAnsi="Times New Roman"/>
          <w:sz w:val="26"/>
          <w:szCs w:val="26"/>
        </w:rPr>
        <w:t xml:space="preserve"> </w:t>
      </w:r>
      <w:r w:rsidR="00D86C4E">
        <w:rPr>
          <w:rFonts w:ascii="Times New Roman" w:hAnsi="Times New Roman"/>
          <w:sz w:val="26"/>
          <w:szCs w:val="26"/>
        </w:rPr>
        <w:t>Duquesne M.B. at 26-27.</w:t>
      </w:r>
      <w:r w:rsidR="00B20A33" w:rsidRPr="0096775E">
        <w:rPr>
          <w:rFonts w:ascii="Times New Roman" w:hAnsi="Times New Roman"/>
          <w:sz w:val="26"/>
          <w:szCs w:val="26"/>
        </w:rPr>
        <w:t xml:space="preserve">  </w:t>
      </w:r>
    </w:p>
    <w:p w:rsidR="00B20A33" w:rsidRPr="0096775E" w:rsidRDefault="00B20A33" w:rsidP="00B20A33">
      <w:pPr>
        <w:rPr>
          <w:rFonts w:ascii="Times New Roman" w:hAnsi="Times New Roman"/>
          <w:sz w:val="26"/>
          <w:szCs w:val="26"/>
        </w:rPr>
      </w:pPr>
    </w:p>
    <w:p w:rsidR="00B20A33" w:rsidRPr="00416884" w:rsidRDefault="00B20A33" w:rsidP="00C06874">
      <w:pPr>
        <w:pStyle w:val="BodyText2"/>
        <w:spacing w:after="0" w:line="360" w:lineRule="auto"/>
        <w:rPr>
          <w:sz w:val="26"/>
          <w:szCs w:val="26"/>
          <w:lang w:val="en-US"/>
        </w:rPr>
      </w:pPr>
      <w:r w:rsidRPr="0096775E">
        <w:rPr>
          <w:sz w:val="26"/>
          <w:szCs w:val="26"/>
          <w:lang w:val="en-US"/>
        </w:rPr>
        <w:tab/>
      </w:r>
      <w:r w:rsidRPr="0096775E">
        <w:rPr>
          <w:sz w:val="26"/>
          <w:szCs w:val="26"/>
          <w:lang w:val="en-US"/>
        </w:rPr>
        <w:tab/>
      </w:r>
      <w:r w:rsidR="00EF225B">
        <w:rPr>
          <w:sz w:val="26"/>
          <w:szCs w:val="26"/>
        </w:rPr>
        <w:t>PennFuture argue</w:t>
      </w:r>
      <w:r w:rsidR="00EF225B">
        <w:rPr>
          <w:sz w:val="26"/>
          <w:szCs w:val="26"/>
          <w:lang w:val="en-US"/>
        </w:rPr>
        <w:t xml:space="preserve">d that </w:t>
      </w:r>
      <w:r w:rsidR="0035277D">
        <w:rPr>
          <w:sz w:val="26"/>
          <w:szCs w:val="26"/>
        </w:rPr>
        <w:t xml:space="preserve">the Company should </w:t>
      </w:r>
      <w:r w:rsidRPr="0096775E">
        <w:rPr>
          <w:sz w:val="26"/>
          <w:szCs w:val="26"/>
        </w:rPr>
        <w:t>enter into long-term contracts for a portion of th</w:t>
      </w:r>
      <w:r w:rsidR="0035277D">
        <w:rPr>
          <w:sz w:val="26"/>
          <w:szCs w:val="26"/>
        </w:rPr>
        <w:t>eir AEPS obligation in DSP VII.  PennFuture St. No. 1</w:t>
      </w:r>
      <w:r w:rsidR="0035277D">
        <w:rPr>
          <w:sz w:val="26"/>
          <w:szCs w:val="26"/>
          <w:lang w:val="en-US"/>
        </w:rPr>
        <w:t xml:space="preserve"> at</w:t>
      </w:r>
      <w:r w:rsidR="0035277D">
        <w:rPr>
          <w:sz w:val="26"/>
          <w:szCs w:val="26"/>
        </w:rPr>
        <w:t xml:space="preserve"> 15.  PennFuture d</w:t>
      </w:r>
      <w:r w:rsidR="0035277D">
        <w:rPr>
          <w:sz w:val="26"/>
          <w:szCs w:val="26"/>
          <w:lang w:val="en-US"/>
        </w:rPr>
        <w:t>id</w:t>
      </w:r>
      <w:r w:rsidRPr="0096775E">
        <w:rPr>
          <w:sz w:val="26"/>
          <w:szCs w:val="26"/>
        </w:rPr>
        <w:t xml:space="preserve"> not make a specific recommendation in its testimony regarding how many AECs should be procured under what length of contract, but rather generally suggests the Company could procure its entire Tier I obligation through “contract strips for ten to twenty years.”  PennFutur</w:t>
      </w:r>
      <w:r w:rsidR="0035277D">
        <w:rPr>
          <w:sz w:val="26"/>
          <w:szCs w:val="26"/>
        </w:rPr>
        <w:t>e St. No. 7</w:t>
      </w:r>
      <w:r w:rsidR="0035277D">
        <w:rPr>
          <w:sz w:val="26"/>
          <w:szCs w:val="26"/>
          <w:lang w:val="en-US"/>
        </w:rPr>
        <w:t xml:space="preserve"> at</w:t>
      </w:r>
      <w:r w:rsidRPr="0096775E">
        <w:rPr>
          <w:sz w:val="26"/>
          <w:szCs w:val="26"/>
          <w:lang w:val="en-US"/>
        </w:rPr>
        <w:t> </w:t>
      </w:r>
      <w:r w:rsidRPr="0096775E">
        <w:rPr>
          <w:sz w:val="26"/>
          <w:szCs w:val="26"/>
        </w:rPr>
        <w:t>15</w:t>
      </w:r>
      <w:r w:rsidR="00D86193">
        <w:rPr>
          <w:sz w:val="26"/>
          <w:szCs w:val="26"/>
          <w:lang w:val="en-US"/>
        </w:rPr>
        <w:t>;</w:t>
      </w:r>
      <w:r w:rsidR="00416884">
        <w:rPr>
          <w:sz w:val="26"/>
          <w:szCs w:val="26"/>
          <w:lang w:val="en-US"/>
        </w:rPr>
        <w:t xml:space="preserve"> PennFuture M.B. at 9-19.</w:t>
      </w:r>
    </w:p>
    <w:p w:rsidR="00B20A33" w:rsidRPr="0096775E" w:rsidRDefault="00B20A33" w:rsidP="00B20A33">
      <w:pPr>
        <w:rPr>
          <w:rFonts w:ascii="Times New Roman" w:hAnsi="Times New Roman"/>
          <w:sz w:val="26"/>
          <w:szCs w:val="26"/>
        </w:rPr>
      </w:pPr>
    </w:p>
    <w:p w:rsidR="00B20A33" w:rsidRDefault="00B20A33" w:rsidP="00B20A33">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35277D">
        <w:rPr>
          <w:rFonts w:ascii="Times New Roman" w:hAnsi="Times New Roman"/>
          <w:sz w:val="26"/>
          <w:szCs w:val="26"/>
        </w:rPr>
        <w:t xml:space="preserve">Duquesne replied that </w:t>
      </w:r>
      <w:r w:rsidRPr="0096775E">
        <w:rPr>
          <w:rFonts w:ascii="Times New Roman" w:hAnsi="Times New Roman"/>
          <w:sz w:val="26"/>
          <w:szCs w:val="26"/>
        </w:rPr>
        <w:t>PennFuture’s proposal should be denied due to the uncertainty associated with customer migration and whether the EDC will remain as the default service provider.  The Company point</w:t>
      </w:r>
      <w:r w:rsidR="0035277D">
        <w:rPr>
          <w:rFonts w:ascii="Times New Roman" w:hAnsi="Times New Roman"/>
          <w:sz w:val="26"/>
          <w:szCs w:val="26"/>
        </w:rPr>
        <w:t>ed</w:t>
      </w:r>
      <w:r w:rsidRPr="0096775E">
        <w:rPr>
          <w:rFonts w:ascii="Times New Roman" w:hAnsi="Times New Roman"/>
          <w:sz w:val="26"/>
          <w:szCs w:val="26"/>
        </w:rPr>
        <w:t xml:space="preserve"> out </w:t>
      </w:r>
      <w:r w:rsidR="0035277D">
        <w:rPr>
          <w:rFonts w:ascii="Times New Roman" w:hAnsi="Times New Roman"/>
          <w:sz w:val="26"/>
          <w:szCs w:val="26"/>
        </w:rPr>
        <w:t xml:space="preserve">that </w:t>
      </w:r>
      <w:r w:rsidRPr="0096775E">
        <w:rPr>
          <w:rFonts w:ascii="Times New Roman" w:hAnsi="Times New Roman"/>
          <w:sz w:val="26"/>
          <w:szCs w:val="26"/>
        </w:rPr>
        <w:t xml:space="preserve">the Commission indicated </w:t>
      </w:r>
      <w:r w:rsidR="0035277D">
        <w:rPr>
          <w:rFonts w:ascii="Times New Roman" w:hAnsi="Times New Roman"/>
          <w:sz w:val="26"/>
          <w:szCs w:val="26"/>
        </w:rPr>
        <w:t>it currently retained</w:t>
      </w:r>
      <w:r w:rsidRPr="0096775E">
        <w:rPr>
          <w:rFonts w:ascii="Times New Roman" w:hAnsi="Times New Roman"/>
          <w:sz w:val="26"/>
          <w:szCs w:val="26"/>
        </w:rPr>
        <w:t xml:space="preserve"> the EDC in the DSP role</w:t>
      </w:r>
      <w:r w:rsidRPr="0096775E">
        <w:rPr>
          <w:rStyle w:val="FootnoteReference"/>
          <w:rFonts w:ascii="Times New Roman" w:hAnsi="Times New Roman"/>
          <w:sz w:val="26"/>
          <w:szCs w:val="26"/>
        </w:rPr>
        <w:footnoteReference w:id="25"/>
      </w:r>
      <w:r w:rsidR="0035277D">
        <w:rPr>
          <w:rFonts w:ascii="Times New Roman" w:hAnsi="Times New Roman"/>
          <w:sz w:val="26"/>
          <w:szCs w:val="26"/>
        </w:rPr>
        <w:t xml:space="preserve"> but </w:t>
      </w:r>
      <w:r w:rsidRPr="0096775E">
        <w:rPr>
          <w:rFonts w:ascii="Times New Roman" w:hAnsi="Times New Roman"/>
          <w:sz w:val="26"/>
          <w:szCs w:val="26"/>
        </w:rPr>
        <w:t xml:space="preserve">indicated </w:t>
      </w:r>
      <w:r w:rsidR="0035277D">
        <w:rPr>
          <w:rFonts w:ascii="Times New Roman" w:hAnsi="Times New Roman"/>
          <w:sz w:val="26"/>
          <w:szCs w:val="26"/>
        </w:rPr>
        <w:t xml:space="preserve">in </w:t>
      </w:r>
      <w:r w:rsidRPr="0096775E">
        <w:rPr>
          <w:rFonts w:ascii="Times New Roman" w:hAnsi="Times New Roman"/>
          <w:sz w:val="26"/>
          <w:szCs w:val="26"/>
        </w:rPr>
        <w:t xml:space="preserve">the </w:t>
      </w:r>
      <w:r w:rsidRPr="0096775E">
        <w:rPr>
          <w:rFonts w:ascii="Times New Roman" w:hAnsi="Times New Roman"/>
          <w:i/>
          <w:sz w:val="26"/>
          <w:szCs w:val="26"/>
        </w:rPr>
        <w:t>End State Order</w:t>
      </w:r>
      <w:r w:rsidRPr="0096775E">
        <w:rPr>
          <w:rFonts w:ascii="Times New Roman" w:hAnsi="Times New Roman"/>
          <w:sz w:val="26"/>
          <w:szCs w:val="26"/>
        </w:rPr>
        <w:t xml:space="preserve"> </w:t>
      </w:r>
      <w:r w:rsidR="0035277D">
        <w:rPr>
          <w:rFonts w:ascii="Times New Roman" w:hAnsi="Times New Roman"/>
          <w:sz w:val="26"/>
          <w:szCs w:val="26"/>
        </w:rPr>
        <w:t xml:space="preserve">that it </w:t>
      </w:r>
      <w:r w:rsidRPr="0096775E">
        <w:rPr>
          <w:rFonts w:ascii="Times New Roman" w:hAnsi="Times New Roman"/>
          <w:sz w:val="26"/>
          <w:szCs w:val="26"/>
        </w:rPr>
        <w:t xml:space="preserve">did not preclude a future change in the DSP providers.  In addition, the Commission </w:t>
      </w:r>
      <w:r w:rsidRPr="0096775E">
        <w:rPr>
          <w:rFonts w:ascii="Times New Roman" w:hAnsi="Times New Roman"/>
          <w:sz w:val="26"/>
          <w:szCs w:val="26"/>
        </w:rPr>
        <w:lastRenderedPageBreak/>
        <w:t xml:space="preserve">directed the Office of Competitive Market Oversight (OCMO) to convene a working group to identify issues associated with implementation of a default service model in which an alternative entity, or multiple entities, provide default service to customers.  </w:t>
      </w:r>
      <w:r w:rsidR="0035277D">
        <w:rPr>
          <w:rFonts w:ascii="Times New Roman" w:hAnsi="Times New Roman"/>
          <w:sz w:val="26"/>
          <w:szCs w:val="26"/>
        </w:rPr>
        <w:t>Duquesne argued</w:t>
      </w:r>
      <w:r w:rsidRPr="0096775E">
        <w:rPr>
          <w:rFonts w:ascii="Times New Roman" w:hAnsi="Times New Roman"/>
          <w:sz w:val="26"/>
          <w:szCs w:val="26"/>
        </w:rPr>
        <w:t xml:space="preserve"> there </w:t>
      </w:r>
      <w:r w:rsidR="0035277D">
        <w:rPr>
          <w:rFonts w:ascii="Times New Roman" w:hAnsi="Times New Roman"/>
          <w:sz w:val="26"/>
          <w:szCs w:val="26"/>
        </w:rPr>
        <w:t xml:space="preserve">would be considerable risk for the Company </w:t>
      </w:r>
      <w:r w:rsidRPr="0096775E">
        <w:rPr>
          <w:rFonts w:ascii="Times New Roman" w:hAnsi="Times New Roman"/>
          <w:sz w:val="26"/>
          <w:szCs w:val="26"/>
        </w:rPr>
        <w:t>to enter into ten or twenty-year contracts for AECs due to this uncertainty about any future role it might have as an EDC.</w:t>
      </w:r>
      <w:r w:rsidR="00416884">
        <w:rPr>
          <w:rFonts w:ascii="Times New Roman" w:hAnsi="Times New Roman"/>
          <w:sz w:val="26"/>
          <w:szCs w:val="26"/>
        </w:rPr>
        <w:t xml:space="preserve">  Duquesne M.B. at 27-29.</w:t>
      </w:r>
      <w:r w:rsidRPr="0096775E">
        <w:rPr>
          <w:rFonts w:ascii="Times New Roman" w:hAnsi="Times New Roman"/>
          <w:sz w:val="26"/>
          <w:szCs w:val="26"/>
        </w:rPr>
        <w:t xml:space="preserve">  </w:t>
      </w:r>
    </w:p>
    <w:p w:rsidR="0035277D" w:rsidRPr="0096775E" w:rsidRDefault="0035277D" w:rsidP="00B20A33">
      <w:pPr>
        <w:rPr>
          <w:rFonts w:ascii="Times New Roman" w:hAnsi="Times New Roman"/>
          <w:b/>
          <w:sz w:val="26"/>
          <w:szCs w:val="26"/>
        </w:rPr>
      </w:pPr>
    </w:p>
    <w:p w:rsidR="00B20A33" w:rsidRDefault="00B20A33" w:rsidP="00FE36CD">
      <w:pPr>
        <w:keepNext/>
        <w:rPr>
          <w:rFonts w:ascii="Times New Roman" w:hAnsi="Times New Roman"/>
          <w:b/>
          <w:sz w:val="26"/>
          <w:szCs w:val="26"/>
        </w:rPr>
      </w:pPr>
      <w:r w:rsidRPr="0096775E">
        <w:rPr>
          <w:rFonts w:ascii="Times New Roman" w:hAnsi="Times New Roman"/>
          <w:b/>
          <w:sz w:val="26"/>
          <w:szCs w:val="26"/>
        </w:rPr>
        <w:tab/>
        <w:t>2.</w:t>
      </w:r>
      <w:r w:rsidRPr="0096775E">
        <w:rPr>
          <w:rFonts w:ascii="Times New Roman" w:hAnsi="Times New Roman"/>
          <w:b/>
          <w:sz w:val="26"/>
          <w:szCs w:val="26"/>
        </w:rPr>
        <w:tab/>
        <w:t>ALJ’s Recommendation</w:t>
      </w:r>
    </w:p>
    <w:p w:rsidR="00E4592C" w:rsidRPr="0096775E" w:rsidRDefault="00E4592C" w:rsidP="00FE36CD">
      <w:pPr>
        <w:keepNext/>
        <w:rPr>
          <w:rFonts w:ascii="Times New Roman" w:hAnsi="Times New Roman"/>
          <w:b/>
          <w:sz w:val="26"/>
          <w:szCs w:val="26"/>
        </w:rPr>
      </w:pPr>
    </w:p>
    <w:p w:rsidR="00B20A33" w:rsidRPr="0096775E" w:rsidRDefault="00416884" w:rsidP="00416884">
      <w:pPr>
        <w:ind w:firstLine="1440"/>
        <w:rPr>
          <w:sz w:val="26"/>
          <w:szCs w:val="26"/>
        </w:rPr>
      </w:pPr>
      <w:r>
        <w:rPr>
          <w:sz w:val="26"/>
          <w:szCs w:val="26"/>
        </w:rPr>
        <w:t xml:space="preserve">The ALJ </w:t>
      </w:r>
      <w:r w:rsidRPr="0096775E">
        <w:rPr>
          <w:sz w:val="26"/>
          <w:szCs w:val="26"/>
        </w:rPr>
        <w:t>agree</w:t>
      </w:r>
      <w:r>
        <w:rPr>
          <w:sz w:val="26"/>
          <w:szCs w:val="26"/>
        </w:rPr>
        <w:t>d</w:t>
      </w:r>
      <w:r w:rsidRPr="0096775E">
        <w:rPr>
          <w:sz w:val="26"/>
          <w:szCs w:val="26"/>
        </w:rPr>
        <w:t xml:space="preserve"> with the Company</w:t>
      </w:r>
      <w:r>
        <w:rPr>
          <w:sz w:val="26"/>
          <w:szCs w:val="26"/>
        </w:rPr>
        <w:t xml:space="preserve"> and found that </w:t>
      </w:r>
      <w:r>
        <w:rPr>
          <w:rFonts w:ascii="Times New Roman" w:hAnsi="Times New Roman"/>
          <w:sz w:val="26"/>
          <w:szCs w:val="26"/>
        </w:rPr>
        <w:t>PennFuture’s proposal lacked</w:t>
      </w:r>
      <w:r w:rsidR="00B20A33" w:rsidRPr="0096775E">
        <w:rPr>
          <w:rFonts w:ascii="Times New Roman" w:hAnsi="Times New Roman"/>
          <w:sz w:val="26"/>
          <w:szCs w:val="26"/>
        </w:rPr>
        <w:t xml:space="preserve"> necessary specificity and should be rejected on that basis alone. </w:t>
      </w:r>
      <w:r>
        <w:rPr>
          <w:rFonts w:ascii="Times New Roman" w:hAnsi="Times New Roman"/>
          <w:sz w:val="26"/>
          <w:szCs w:val="26"/>
        </w:rPr>
        <w:t xml:space="preserve"> The ALJ stated that </w:t>
      </w:r>
      <w:r>
        <w:rPr>
          <w:sz w:val="26"/>
          <w:szCs w:val="26"/>
        </w:rPr>
        <w:t>t</w:t>
      </w:r>
      <w:r w:rsidR="00B20A33" w:rsidRPr="0096775E">
        <w:rPr>
          <w:sz w:val="26"/>
          <w:szCs w:val="26"/>
        </w:rPr>
        <w:t>he Commission approved Duqu</w:t>
      </w:r>
      <w:r>
        <w:rPr>
          <w:sz w:val="26"/>
          <w:szCs w:val="26"/>
        </w:rPr>
        <w:t>esne</w:t>
      </w:r>
      <w:r w:rsidR="00B20A33" w:rsidRPr="0096775E">
        <w:rPr>
          <w:sz w:val="26"/>
          <w:szCs w:val="26"/>
        </w:rPr>
        <w:t>’s DSP VI procurement plan, which</w:t>
      </w:r>
      <w:r>
        <w:rPr>
          <w:sz w:val="26"/>
          <w:szCs w:val="26"/>
        </w:rPr>
        <w:t xml:space="preserve"> did</w:t>
      </w:r>
      <w:r w:rsidR="00B20A33" w:rsidRPr="0096775E">
        <w:rPr>
          <w:sz w:val="26"/>
          <w:szCs w:val="26"/>
        </w:rPr>
        <w:t xml:space="preserve"> </w:t>
      </w:r>
      <w:r>
        <w:rPr>
          <w:sz w:val="26"/>
          <w:szCs w:val="26"/>
        </w:rPr>
        <w:t>not</w:t>
      </w:r>
      <w:r w:rsidR="00B20A33" w:rsidRPr="0096775E">
        <w:rPr>
          <w:sz w:val="26"/>
          <w:szCs w:val="26"/>
        </w:rPr>
        <w:t xml:space="preserve"> include long-term contracts for either energy or AECs.  </w:t>
      </w:r>
      <w:r w:rsidR="00D62C2E">
        <w:rPr>
          <w:sz w:val="26"/>
          <w:szCs w:val="26"/>
        </w:rPr>
        <w:t>The ALJ concluded that b</w:t>
      </w:r>
      <w:r w:rsidR="00B20A33" w:rsidRPr="0096775E">
        <w:rPr>
          <w:sz w:val="26"/>
          <w:szCs w:val="26"/>
        </w:rPr>
        <w:t>ased upon the Commission’s interpretation of the Act 129 prudent mix requirement, the Commiss</w:t>
      </w:r>
      <w:r w:rsidR="00D62C2E">
        <w:rPr>
          <w:sz w:val="26"/>
          <w:szCs w:val="26"/>
        </w:rPr>
        <w:t>ion’s approval of Duquesne</w:t>
      </w:r>
      <w:r w:rsidR="00B20A33" w:rsidRPr="0096775E">
        <w:rPr>
          <w:sz w:val="26"/>
          <w:szCs w:val="26"/>
        </w:rPr>
        <w:t xml:space="preserve">’s DSP VI plan and the Commission’s statement in the </w:t>
      </w:r>
      <w:r w:rsidR="00B20A33" w:rsidRPr="0096775E">
        <w:rPr>
          <w:i/>
          <w:sz w:val="26"/>
          <w:szCs w:val="26"/>
        </w:rPr>
        <w:t>End State Order</w:t>
      </w:r>
      <w:r w:rsidR="00B20A33" w:rsidRPr="0096775E">
        <w:rPr>
          <w:sz w:val="26"/>
          <w:szCs w:val="26"/>
        </w:rPr>
        <w:t>, long-term AEC contracts are not required by Act 129.</w:t>
      </w:r>
      <w:r w:rsidR="00D62C2E">
        <w:rPr>
          <w:sz w:val="26"/>
          <w:szCs w:val="26"/>
        </w:rPr>
        <w:t xml:space="preserve">  R.D. at 30.</w:t>
      </w:r>
      <w:r w:rsidR="00B20A33" w:rsidRPr="0096775E">
        <w:rPr>
          <w:sz w:val="26"/>
          <w:szCs w:val="26"/>
        </w:rPr>
        <w:t xml:space="preserve">  </w:t>
      </w:r>
    </w:p>
    <w:p w:rsidR="00B20A33" w:rsidRPr="0096775E" w:rsidRDefault="00B20A33" w:rsidP="00B20A33">
      <w:pPr>
        <w:pStyle w:val="BodyText2"/>
        <w:spacing w:after="0" w:line="360" w:lineRule="auto"/>
        <w:ind w:firstLine="1350"/>
        <w:rPr>
          <w:sz w:val="26"/>
          <w:szCs w:val="26"/>
          <w:lang w:val="en-US"/>
        </w:rPr>
      </w:pPr>
    </w:p>
    <w:p w:rsidR="00B20A33" w:rsidRDefault="00D62C2E" w:rsidP="00FE36CD">
      <w:pPr>
        <w:keepNext/>
        <w:ind w:firstLine="720"/>
        <w:rPr>
          <w:rFonts w:ascii="Times New Roman" w:hAnsi="Times New Roman"/>
          <w:b/>
          <w:sz w:val="26"/>
          <w:szCs w:val="26"/>
        </w:rPr>
      </w:pPr>
      <w:r>
        <w:rPr>
          <w:rFonts w:ascii="Times New Roman" w:hAnsi="Times New Roman"/>
          <w:b/>
          <w:sz w:val="26"/>
          <w:szCs w:val="26"/>
        </w:rPr>
        <w:t>3.</w:t>
      </w:r>
      <w:r w:rsidR="00B20A33" w:rsidRPr="0096775E">
        <w:rPr>
          <w:rFonts w:ascii="Times New Roman" w:hAnsi="Times New Roman"/>
          <w:b/>
          <w:sz w:val="26"/>
          <w:szCs w:val="26"/>
        </w:rPr>
        <w:tab/>
        <w:t>Disposition</w:t>
      </w:r>
    </w:p>
    <w:p w:rsidR="00D62C2E" w:rsidRDefault="00D62C2E" w:rsidP="00FE36CD">
      <w:pPr>
        <w:keepNext/>
        <w:ind w:firstLine="720"/>
        <w:rPr>
          <w:rFonts w:ascii="Times New Roman" w:hAnsi="Times New Roman"/>
          <w:b/>
          <w:sz w:val="26"/>
          <w:szCs w:val="26"/>
        </w:rPr>
      </w:pPr>
    </w:p>
    <w:p w:rsidR="00D62C2E" w:rsidRPr="00D62C2E" w:rsidRDefault="00D62C2E" w:rsidP="00D62C2E">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008B363E">
        <w:rPr>
          <w:rFonts w:ascii="Times New Roman" w:hAnsi="Times New Roman"/>
          <w:sz w:val="26"/>
          <w:szCs w:val="26"/>
        </w:rPr>
        <w:t>No Party filed E</w:t>
      </w:r>
      <w:r>
        <w:rPr>
          <w:rFonts w:ascii="Times New Roman" w:hAnsi="Times New Roman"/>
          <w:sz w:val="26"/>
          <w:szCs w:val="26"/>
        </w:rPr>
        <w:t>xceptions to this recommendation of the ALJ.</w:t>
      </w:r>
      <w:r w:rsidR="008B363E">
        <w:rPr>
          <w:rFonts w:ascii="Times New Roman" w:hAnsi="Times New Roman"/>
          <w:sz w:val="26"/>
          <w:szCs w:val="26"/>
        </w:rPr>
        <w:t xml:space="preserve">  As such, we shall adopt the recommendation of the ALJ on this issue.</w:t>
      </w:r>
    </w:p>
    <w:p w:rsidR="00B20A33" w:rsidRPr="0096775E" w:rsidRDefault="00B20A33" w:rsidP="00B20A33">
      <w:pPr>
        <w:pStyle w:val="BodyText2"/>
        <w:spacing w:after="0" w:line="360" w:lineRule="auto"/>
        <w:rPr>
          <w:sz w:val="26"/>
          <w:szCs w:val="26"/>
          <w:lang w:val="en-US"/>
        </w:rPr>
      </w:pPr>
    </w:p>
    <w:p w:rsidR="00B20A33" w:rsidRPr="0096775E" w:rsidRDefault="00B20A33" w:rsidP="00FE36CD">
      <w:pPr>
        <w:pStyle w:val="BodyText2"/>
        <w:keepNext/>
        <w:spacing w:after="0" w:line="360" w:lineRule="auto"/>
        <w:rPr>
          <w:b/>
          <w:sz w:val="26"/>
          <w:szCs w:val="26"/>
          <w:lang w:val="en-US"/>
        </w:rPr>
      </w:pPr>
      <w:r w:rsidRPr="0096775E">
        <w:rPr>
          <w:b/>
          <w:sz w:val="26"/>
          <w:szCs w:val="26"/>
          <w:lang w:val="en-US"/>
        </w:rPr>
        <w:t>E.</w:t>
      </w:r>
      <w:r w:rsidRPr="0096775E">
        <w:rPr>
          <w:b/>
          <w:sz w:val="26"/>
          <w:szCs w:val="26"/>
          <w:lang w:val="en-US"/>
        </w:rPr>
        <w:tab/>
        <w:t>Non-Bypassable Charge to Recover PJM Charges</w:t>
      </w:r>
    </w:p>
    <w:p w:rsidR="00B20A33" w:rsidRPr="0096775E" w:rsidRDefault="00B20A33" w:rsidP="00FE36CD">
      <w:pPr>
        <w:pStyle w:val="BodyText2"/>
        <w:keepNext/>
        <w:spacing w:after="0" w:line="360" w:lineRule="auto"/>
        <w:rPr>
          <w:b/>
          <w:sz w:val="26"/>
          <w:szCs w:val="26"/>
          <w:lang w:val="en-US"/>
        </w:rPr>
      </w:pPr>
    </w:p>
    <w:p w:rsidR="00B20A33" w:rsidRPr="00E84963" w:rsidRDefault="008F2BA9" w:rsidP="00B20A33">
      <w:pPr>
        <w:pStyle w:val="BodyText2"/>
        <w:spacing w:after="0" w:line="360" w:lineRule="auto"/>
        <w:ind w:firstLine="1530"/>
        <w:rPr>
          <w:sz w:val="26"/>
          <w:szCs w:val="26"/>
          <w:lang w:val="en-US"/>
        </w:rPr>
      </w:pPr>
      <w:r>
        <w:rPr>
          <w:sz w:val="26"/>
          <w:szCs w:val="26"/>
          <w:lang w:val="en-US"/>
        </w:rPr>
        <w:t xml:space="preserve">Duquesne </w:t>
      </w:r>
      <w:r w:rsidR="00B20A33" w:rsidRPr="0096775E">
        <w:rPr>
          <w:sz w:val="26"/>
          <w:szCs w:val="26"/>
        </w:rPr>
        <w:t>currently reco</w:t>
      </w:r>
      <w:r>
        <w:rPr>
          <w:sz w:val="26"/>
          <w:szCs w:val="26"/>
        </w:rPr>
        <w:t>vers PJM</w:t>
      </w:r>
      <w:r w:rsidR="00B20A33" w:rsidRPr="0096775E">
        <w:rPr>
          <w:sz w:val="26"/>
          <w:szCs w:val="26"/>
        </w:rPr>
        <w:t xml:space="preserve"> charges, including Network Int</w:t>
      </w:r>
      <w:r w:rsidR="00235FD5">
        <w:rPr>
          <w:sz w:val="26"/>
          <w:szCs w:val="26"/>
        </w:rPr>
        <w:t>egration Transmission Service (</w:t>
      </w:r>
      <w:r w:rsidR="00B20A33" w:rsidRPr="0096775E">
        <w:rPr>
          <w:sz w:val="26"/>
          <w:szCs w:val="26"/>
        </w:rPr>
        <w:t>NITS), Re</w:t>
      </w:r>
      <w:r w:rsidR="00235FD5">
        <w:rPr>
          <w:sz w:val="26"/>
          <w:szCs w:val="26"/>
        </w:rPr>
        <w:t>gional Transmission Expansion (</w:t>
      </w:r>
      <w:r w:rsidR="00B20A33" w:rsidRPr="0096775E">
        <w:rPr>
          <w:sz w:val="26"/>
          <w:szCs w:val="26"/>
        </w:rPr>
        <w:t>RTEP), Generation Deactivation Charg</w:t>
      </w:r>
      <w:r w:rsidR="00235FD5">
        <w:rPr>
          <w:sz w:val="26"/>
          <w:szCs w:val="26"/>
        </w:rPr>
        <w:t>es and Unaccounted for Energy (</w:t>
      </w:r>
      <w:r w:rsidR="00B20A33" w:rsidRPr="0096775E">
        <w:rPr>
          <w:sz w:val="26"/>
          <w:szCs w:val="26"/>
        </w:rPr>
        <w:t>UFE) charges from default service customers through the Company’</w:t>
      </w:r>
      <w:r w:rsidR="00235FD5">
        <w:rPr>
          <w:sz w:val="26"/>
          <w:szCs w:val="26"/>
        </w:rPr>
        <w:t>s Transmission Service Charge (</w:t>
      </w:r>
      <w:r w:rsidR="00B20A33" w:rsidRPr="0096775E">
        <w:rPr>
          <w:sz w:val="26"/>
          <w:szCs w:val="26"/>
        </w:rPr>
        <w:t xml:space="preserve">TSC). </w:t>
      </w:r>
      <w:r w:rsidR="00B20A33" w:rsidRPr="0096775E">
        <w:rPr>
          <w:sz w:val="26"/>
          <w:szCs w:val="26"/>
          <w:lang w:val="en-US"/>
        </w:rPr>
        <w:t xml:space="preserve"> </w:t>
      </w:r>
      <w:r w:rsidR="00B20A33" w:rsidRPr="0096775E">
        <w:rPr>
          <w:sz w:val="26"/>
          <w:szCs w:val="26"/>
        </w:rPr>
        <w:t xml:space="preserve">The cost-recovery methodology for these costs was fully-litigated in the Company’s DSP VI </w:t>
      </w:r>
      <w:r w:rsidR="00B20A33" w:rsidRPr="0096775E">
        <w:rPr>
          <w:sz w:val="26"/>
          <w:szCs w:val="26"/>
        </w:rPr>
        <w:lastRenderedPageBreak/>
        <w:t>proceeding</w:t>
      </w:r>
      <w:r w:rsidR="00235FD5">
        <w:rPr>
          <w:sz w:val="26"/>
          <w:szCs w:val="26"/>
          <w:lang w:val="en-US"/>
        </w:rPr>
        <w:t xml:space="preserve"> and in that </w:t>
      </w:r>
      <w:r w:rsidR="00B20A33" w:rsidRPr="0096775E">
        <w:rPr>
          <w:sz w:val="26"/>
          <w:szCs w:val="26"/>
        </w:rPr>
        <w:t xml:space="preserve">proceeding, the Commission approved recovery of these costs only from default service customers through a bypassable charge.  </w:t>
      </w:r>
      <w:r w:rsidR="00B20A33" w:rsidRPr="0096775E">
        <w:rPr>
          <w:i/>
          <w:sz w:val="26"/>
          <w:szCs w:val="26"/>
        </w:rPr>
        <w:t>DSP VI Order</w:t>
      </w:r>
      <w:r w:rsidR="00235FD5">
        <w:rPr>
          <w:i/>
          <w:sz w:val="26"/>
          <w:szCs w:val="26"/>
          <w:lang w:val="en-US"/>
        </w:rPr>
        <w:t xml:space="preserve"> </w:t>
      </w:r>
      <w:r w:rsidR="00235FD5">
        <w:rPr>
          <w:sz w:val="26"/>
          <w:szCs w:val="26"/>
          <w:lang w:val="en-US"/>
        </w:rPr>
        <w:t>at</w:t>
      </w:r>
      <w:r w:rsidR="00B20A33" w:rsidRPr="0096775E">
        <w:rPr>
          <w:sz w:val="26"/>
          <w:szCs w:val="26"/>
        </w:rPr>
        <w:t xml:space="preserve"> 221</w:t>
      </w:r>
      <w:r w:rsidR="00B20A33" w:rsidRPr="0096775E">
        <w:rPr>
          <w:sz w:val="26"/>
          <w:szCs w:val="26"/>
          <w:lang w:val="en-US"/>
        </w:rPr>
        <w:noBreakHyphen/>
      </w:r>
      <w:r w:rsidR="00E84963">
        <w:rPr>
          <w:sz w:val="26"/>
          <w:szCs w:val="26"/>
        </w:rPr>
        <w:t xml:space="preserve">222.  The Company </w:t>
      </w:r>
      <w:r w:rsidR="00B20A33" w:rsidRPr="0096775E">
        <w:rPr>
          <w:sz w:val="26"/>
          <w:szCs w:val="26"/>
        </w:rPr>
        <w:t>proposed to continue this same Commission-approved cost recovery methodology for these transmission costs for default service customers under the DSP VII plan.</w:t>
      </w:r>
      <w:r w:rsidR="00E84963">
        <w:rPr>
          <w:sz w:val="26"/>
          <w:szCs w:val="26"/>
          <w:lang w:val="en-US"/>
        </w:rPr>
        <w:t xml:space="preserve">  Duquesne M.B. at 36.</w:t>
      </w:r>
    </w:p>
    <w:p w:rsidR="00B20A33" w:rsidRPr="0096775E" w:rsidRDefault="00B20A33" w:rsidP="00B20A33">
      <w:pPr>
        <w:pStyle w:val="BodyText"/>
        <w:spacing w:after="0"/>
        <w:rPr>
          <w:rFonts w:ascii="Times New Roman" w:hAnsi="Times New Roman"/>
          <w:sz w:val="26"/>
          <w:szCs w:val="26"/>
        </w:rPr>
      </w:pPr>
    </w:p>
    <w:p w:rsidR="00B20A33" w:rsidRPr="0096775E" w:rsidRDefault="00C307A2" w:rsidP="00E84963">
      <w:pPr>
        <w:pStyle w:val="BodyText"/>
        <w:spacing w:after="0"/>
        <w:ind w:firstLine="1440"/>
        <w:rPr>
          <w:rFonts w:ascii="Times New Roman" w:hAnsi="Times New Roman"/>
          <w:sz w:val="26"/>
          <w:szCs w:val="26"/>
        </w:rPr>
      </w:pPr>
      <w:r>
        <w:rPr>
          <w:rFonts w:ascii="Times New Roman" w:hAnsi="Times New Roman"/>
          <w:sz w:val="26"/>
          <w:szCs w:val="26"/>
        </w:rPr>
        <w:t>RESA and Ex</w:t>
      </w:r>
      <w:r w:rsidR="00E10857">
        <w:rPr>
          <w:rFonts w:ascii="Times New Roman" w:hAnsi="Times New Roman"/>
          <w:sz w:val="26"/>
          <w:szCs w:val="26"/>
        </w:rPr>
        <w:t xml:space="preserve">elon </w:t>
      </w:r>
      <w:r>
        <w:rPr>
          <w:rFonts w:ascii="Times New Roman" w:hAnsi="Times New Roman"/>
          <w:sz w:val="26"/>
          <w:szCs w:val="26"/>
        </w:rPr>
        <w:t xml:space="preserve">Gen recommended that Duquesne be required to assume the cost responsibility for all of these charges on behalf of both the wholesale and default service suppliers and EGSs.  </w:t>
      </w:r>
      <w:r w:rsidR="00B20A33" w:rsidRPr="0096775E">
        <w:rPr>
          <w:rFonts w:ascii="Times New Roman" w:hAnsi="Times New Roman"/>
          <w:sz w:val="26"/>
          <w:szCs w:val="26"/>
        </w:rPr>
        <w:t>RESA and Ex</w:t>
      </w:r>
      <w:r w:rsidR="00E10857">
        <w:rPr>
          <w:rFonts w:ascii="Times New Roman" w:hAnsi="Times New Roman"/>
          <w:sz w:val="26"/>
          <w:szCs w:val="26"/>
        </w:rPr>
        <w:t xml:space="preserve">elon </w:t>
      </w:r>
      <w:r w:rsidR="00B20A33" w:rsidRPr="0096775E">
        <w:rPr>
          <w:rFonts w:ascii="Times New Roman" w:hAnsi="Times New Roman"/>
          <w:sz w:val="26"/>
          <w:szCs w:val="26"/>
        </w:rPr>
        <w:t xml:space="preserve">Gen </w:t>
      </w:r>
      <w:r>
        <w:rPr>
          <w:rFonts w:ascii="Times New Roman" w:hAnsi="Times New Roman"/>
          <w:sz w:val="26"/>
          <w:szCs w:val="26"/>
        </w:rPr>
        <w:t xml:space="preserve">further </w:t>
      </w:r>
      <w:r w:rsidR="00B20A33" w:rsidRPr="0096775E">
        <w:rPr>
          <w:rFonts w:ascii="Times New Roman" w:hAnsi="Times New Roman"/>
          <w:sz w:val="26"/>
          <w:szCs w:val="26"/>
        </w:rPr>
        <w:t xml:space="preserve">proposed </w:t>
      </w:r>
      <w:r w:rsidR="002623CE">
        <w:rPr>
          <w:rFonts w:ascii="Times New Roman" w:hAnsi="Times New Roman"/>
          <w:sz w:val="26"/>
          <w:szCs w:val="26"/>
        </w:rPr>
        <w:t xml:space="preserve">that </w:t>
      </w:r>
      <w:r>
        <w:rPr>
          <w:rFonts w:ascii="Times New Roman" w:hAnsi="Times New Roman"/>
          <w:sz w:val="26"/>
          <w:szCs w:val="26"/>
        </w:rPr>
        <w:t xml:space="preserve">the mechanism for recovery of these charges would be through a non-bypassable charge assessed to all customers.  Specifically, RESA requested that Duquesne </w:t>
      </w:r>
      <w:r w:rsidR="00B20A33" w:rsidRPr="0096775E">
        <w:rPr>
          <w:rFonts w:ascii="Times New Roman" w:hAnsi="Times New Roman"/>
          <w:sz w:val="26"/>
          <w:szCs w:val="26"/>
        </w:rPr>
        <w:t>recover NITS, RTEP, Generation Deactivation and UFE costs for shopping customers</w:t>
      </w:r>
      <w:r w:rsidR="00B20A33" w:rsidRPr="0096775E">
        <w:rPr>
          <w:rStyle w:val="FootnoteReference"/>
          <w:rFonts w:ascii="Times New Roman" w:hAnsi="Times New Roman"/>
          <w:sz w:val="26"/>
          <w:szCs w:val="26"/>
        </w:rPr>
        <w:footnoteReference w:id="26"/>
      </w:r>
      <w:r w:rsidR="00EB7AA7">
        <w:rPr>
          <w:rFonts w:ascii="Times New Roman" w:hAnsi="Times New Roman"/>
          <w:sz w:val="26"/>
          <w:szCs w:val="26"/>
        </w:rPr>
        <w:t xml:space="preserve"> while Ex</w:t>
      </w:r>
      <w:r w:rsidR="00E10857">
        <w:rPr>
          <w:rFonts w:ascii="Times New Roman" w:hAnsi="Times New Roman"/>
          <w:sz w:val="26"/>
          <w:szCs w:val="26"/>
        </w:rPr>
        <w:t xml:space="preserve">elon </w:t>
      </w:r>
      <w:r w:rsidR="00EB7AA7">
        <w:rPr>
          <w:rFonts w:ascii="Times New Roman" w:hAnsi="Times New Roman"/>
          <w:sz w:val="26"/>
          <w:szCs w:val="26"/>
        </w:rPr>
        <w:t>Gen requested that</w:t>
      </w:r>
      <w:r w:rsidR="00E10857">
        <w:rPr>
          <w:rFonts w:ascii="Times New Roman" w:hAnsi="Times New Roman"/>
          <w:sz w:val="26"/>
          <w:szCs w:val="26"/>
        </w:rPr>
        <w:t xml:space="preserve"> the Company at least recover </w:t>
      </w:r>
      <w:r w:rsidR="00B20A33" w:rsidRPr="0096775E">
        <w:rPr>
          <w:rFonts w:ascii="Times New Roman" w:hAnsi="Times New Roman"/>
          <w:sz w:val="26"/>
          <w:szCs w:val="26"/>
        </w:rPr>
        <w:t>Transmission Enhancement charges, RTEP and Generation Deactivation charges for shopping customers.</w:t>
      </w:r>
      <w:r w:rsidR="00B20A33" w:rsidRPr="0096775E">
        <w:rPr>
          <w:rStyle w:val="FootnoteReference"/>
          <w:rFonts w:ascii="Times New Roman" w:hAnsi="Times New Roman"/>
          <w:sz w:val="26"/>
          <w:szCs w:val="26"/>
        </w:rPr>
        <w:footnoteReference w:id="27"/>
      </w:r>
      <w:r w:rsidR="00B20A33" w:rsidRPr="0096775E">
        <w:rPr>
          <w:rFonts w:ascii="Times New Roman" w:hAnsi="Times New Roman"/>
          <w:sz w:val="26"/>
          <w:szCs w:val="26"/>
        </w:rPr>
        <w:t xml:space="preserve">  </w:t>
      </w:r>
      <w:r w:rsidR="003A3F54">
        <w:rPr>
          <w:rFonts w:ascii="Times New Roman" w:hAnsi="Times New Roman"/>
          <w:sz w:val="26"/>
          <w:szCs w:val="26"/>
        </w:rPr>
        <w:t>RESA asserted that its recommendation would reasonably and fairly spread the costs of NMB Charges to all customers in a competitively fair manner without creating a competitive advantage for default service or denying EGSs equal access to the EDC’s facilities.  RESA M.B. at 24</w:t>
      </w:r>
      <w:r w:rsidR="00FE36CD">
        <w:rPr>
          <w:rFonts w:ascii="Times New Roman" w:hAnsi="Times New Roman"/>
          <w:sz w:val="26"/>
          <w:szCs w:val="26"/>
        </w:rPr>
        <w:noBreakHyphen/>
      </w:r>
      <w:r w:rsidR="003A3F54">
        <w:rPr>
          <w:rFonts w:ascii="Times New Roman" w:hAnsi="Times New Roman"/>
          <w:sz w:val="26"/>
          <w:szCs w:val="26"/>
        </w:rPr>
        <w:t>25.</w:t>
      </w:r>
      <w:r w:rsidR="00E10857">
        <w:rPr>
          <w:rFonts w:ascii="Times New Roman" w:hAnsi="Times New Roman"/>
          <w:sz w:val="26"/>
          <w:szCs w:val="26"/>
        </w:rPr>
        <w:t xml:space="preserve">  Exelon Gen R.B. at 5-7.</w:t>
      </w:r>
    </w:p>
    <w:p w:rsidR="00B20A33" w:rsidRPr="0096775E" w:rsidRDefault="00B20A33" w:rsidP="00B20A33">
      <w:pPr>
        <w:pStyle w:val="BodyText"/>
        <w:spacing w:after="0"/>
        <w:rPr>
          <w:rFonts w:ascii="Times New Roman" w:hAnsi="Times New Roman"/>
          <w:sz w:val="26"/>
          <w:szCs w:val="26"/>
        </w:rPr>
      </w:pPr>
    </w:p>
    <w:p w:rsidR="00B20A33" w:rsidRPr="0096775E" w:rsidRDefault="00C307A2" w:rsidP="007744A4">
      <w:pPr>
        <w:pStyle w:val="BodyText2"/>
        <w:spacing w:after="0" w:line="360" w:lineRule="auto"/>
        <w:rPr>
          <w:sz w:val="26"/>
          <w:szCs w:val="26"/>
          <w:lang w:val="en-US"/>
        </w:rPr>
      </w:pPr>
      <w:r>
        <w:rPr>
          <w:sz w:val="26"/>
          <w:szCs w:val="26"/>
          <w:lang w:val="en-US"/>
        </w:rPr>
        <w:tab/>
      </w:r>
      <w:r>
        <w:rPr>
          <w:sz w:val="26"/>
          <w:szCs w:val="26"/>
          <w:lang w:val="en-US"/>
        </w:rPr>
        <w:tab/>
        <w:t>Duquesne pointed</w:t>
      </w:r>
      <w:r w:rsidR="00B20A33" w:rsidRPr="0096775E">
        <w:rPr>
          <w:sz w:val="26"/>
          <w:szCs w:val="26"/>
          <w:lang w:val="en-US"/>
        </w:rPr>
        <w:t xml:space="preserve"> out </w:t>
      </w:r>
      <w:r w:rsidR="007744A4">
        <w:rPr>
          <w:sz w:val="26"/>
          <w:szCs w:val="26"/>
          <w:lang w:val="en-US"/>
        </w:rPr>
        <w:t>that this</w:t>
      </w:r>
      <w:r w:rsidR="00B20A33" w:rsidRPr="0096775E">
        <w:rPr>
          <w:sz w:val="26"/>
          <w:szCs w:val="26"/>
        </w:rPr>
        <w:t xml:space="preserve"> issue was litigated </w:t>
      </w:r>
      <w:r w:rsidR="007744A4">
        <w:rPr>
          <w:sz w:val="26"/>
          <w:szCs w:val="26"/>
          <w:lang w:val="en-US"/>
        </w:rPr>
        <w:t xml:space="preserve">previously </w:t>
      </w:r>
      <w:r w:rsidR="00B20A33" w:rsidRPr="0096775E">
        <w:rPr>
          <w:sz w:val="26"/>
          <w:szCs w:val="26"/>
          <w:lang w:val="en-US"/>
        </w:rPr>
        <w:t xml:space="preserve">in </w:t>
      </w:r>
      <w:r w:rsidR="007744A4">
        <w:rPr>
          <w:sz w:val="26"/>
          <w:szCs w:val="26"/>
          <w:lang w:val="en-US"/>
        </w:rPr>
        <w:t>its</w:t>
      </w:r>
      <w:r w:rsidR="00B20A33" w:rsidRPr="0096775E">
        <w:rPr>
          <w:sz w:val="26"/>
          <w:szCs w:val="26"/>
          <w:lang w:val="en-US"/>
        </w:rPr>
        <w:t xml:space="preserve"> last DSP proceeding (</w:t>
      </w:r>
      <w:r>
        <w:rPr>
          <w:sz w:val="26"/>
          <w:szCs w:val="26"/>
        </w:rPr>
        <w:t>Duquesne</w:t>
      </w:r>
      <w:r w:rsidR="00B20A33" w:rsidRPr="0096775E">
        <w:rPr>
          <w:sz w:val="26"/>
          <w:szCs w:val="26"/>
        </w:rPr>
        <w:t>’s DSP VI</w:t>
      </w:r>
      <w:r w:rsidR="00B20A33" w:rsidRPr="0096775E">
        <w:rPr>
          <w:sz w:val="26"/>
          <w:szCs w:val="26"/>
          <w:lang w:val="en-US"/>
        </w:rPr>
        <w:t>)</w:t>
      </w:r>
      <w:r w:rsidR="00B20A33" w:rsidRPr="0096775E">
        <w:rPr>
          <w:sz w:val="26"/>
          <w:szCs w:val="26"/>
        </w:rPr>
        <w:t>, and the Commiss</w:t>
      </w:r>
      <w:r w:rsidR="007744A4">
        <w:rPr>
          <w:sz w:val="26"/>
          <w:szCs w:val="26"/>
        </w:rPr>
        <w:t xml:space="preserve">ion denied requests for </w:t>
      </w:r>
      <w:r w:rsidR="007744A4">
        <w:rPr>
          <w:sz w:val="26"/>
          <w:szCs w:val="26"/>
          <w:lang w:val="en-US"/>
        </w:rPr>
        <w:t>the Company</w:t>
      </w:r>
      <w:r w:rsidR="00B20A33" w:rsidRPr="0096775E">
        <w:rPr>
          <w:sz w:val="26"/>
          <w:szCs w:val="26"/>
        </w:rPr>
        <w:t xml:space="preserve"> to recover NMB Transmission Costs for shopping customers</w:t>
      </w:r>
      <w:r w:rsidR="00B20A33" w:rsidRPr="0096775E">
        <w:rPr>
          <w:sz w:val="26"/>
          <w:szCs w:val="26"/>
          <w:lang w:val="en-US"/>
        </w:rPr>
        <w:t>.</w:t>
      </w:r>
      <w:r w:rsidR="00B20A33" w:rsidRPr="0096775E">
        <w:rPr>
          <w:rStyle w:val="FootnoteReference"/>
          <w:sz w:val="26"/>
          <w:szCs w:val="26"/>
          <w:lang w:val="en-US"/>
        </w:rPr>
        <w:footnoteReference w:id="28"/>
      </w:r>
      <w:r w:rsidR="00B20A33" w:rsidRPr="0096775E">
        <w:rPr>
          <w:sz w:val="26"/>
          <w:szCs w:val="26"/>
          <w:lang w:val="en-US"/>
        </w:rPr>
        <w:t xml:space="preserve">  </w:t>
      </w:r>
      <w:r w:rsidR="007744A4" w:rsidRPr="002130C7">
        <w:rPr>
          <w:sz w:val="26"/>
          <w:szCs w:val="26"/>
        </w:rPr>
        <w:t>RESA argue</w:t>
      </w:r>
      <w:r w:rsidR="007744A4" w:rsidRPr="002130C7">
        <w:rPr>
          <w:sz w:val="26"/>
          <w:szCs w:val="26"/>
          <w:lang w:val="en-US"/>
        </w:rPr>
        <w:t>d that</w:t>
      </w:r>
      <w:r w:rsidR="00B20A33" w:rsidRPr="002130C7">
        <w:rPr>
          <w:sz w:val="26"/>
          <w:szCs w:val="26"/>
        </w:rPr>
        <w:t xml:space="preserve"> the Company’s NMB Transmission Cost recovery methodology is anti-competitive because</w:t>
      </w:r>
      <w:r w:rsidR="00B20A33" w:rsidRPr="0096775E">
        <w:rPr>
          <w:sz w:val="26"/>
          <w:szCs w:val="26"/>
        </w:rPr>
        <w:t xml:space="preserve"> </w:t>
      </w:r>
      <w:r w:rsidR="00B20A33" w:rsidRPr="0096775E">
        <w:rPr>
          <w:sz w:val="26"/>
          <w:szCs w:val="26"/>
        </w:rPr>
        <w:lastRenderedPageBreak/>
        <w:t xml:space="preserve">these costs are significant and volatile, which creates </w:t>
      </w:r>
      <w:r w:rsidR="00B20A33" w:rsidRPr="0096775E">
        <w:rPr>
          <w:sz w:val="26"/>
          <w:szCs w:val="26"/>
          <w:lang w:val="en-US"/>
        </w:rPr>
        <w:t xml:space="preserve">a </w:t>
      </w:r>
      <w:r w:rsidR="00B20A33" w:rsidRPr="0096775E">
        <w:rPr>
          <w:sz w:val="26"/>
          <w:szCs w:val="26"/>
        </w:rPr>
        <w:t>risk of non-recovery by EGSs.</w:t>
      </w:r>
      <w:r w:rsidR="00B20A33" w:rsidRPr="0096775E">
        <w:rPr>
          <w:rStyle w:val="FootnoteReference"/>
          <w:sz w:val="26"/>
          <w:szCs w:val="26"/>
        </w:rPr>
        <w:footnoteReference w:id="29"/>
      </w:r>
      <w:r w:rsidR="007744A4">
        <w:rPr>
          <w:sz w:val="26"/>
          <w:szCs w:val="26"/>
        </w:rPr>
        <w:t xml:space="preserve">  Duquesne disagree</w:t>
      </w:r>
      <w:r w:rsidR="007744A4">
        <w:rPr>
          <w:sz w:val="26"/>
          <w:szCs w:val="26"/>
          <w:lang w:val="en-US"/>
        </w:rPr>
        <w:t>d</w:t>
      </w:r>
      <w:r w:rsidR="00B20A33" w:rsidRPr="0096775E">
        <w:rPr>
          <w:sz w:val="26"/>
          <w:szCs w:val="26"/>
        </w:rPr>
        <w:t xml:space="preserve"> </w:t>
      </w:r>
      <w:r w:rsidR="00B20A33" w:rsidRPr="0096775E">
        <w:rPr>
          <w:sz w:val="26"/>
          <w:szCs w:val="26"/>
          <w:lang w:val="en-US"/>
        </w:rPr>
        <w:t>and assert</w:t>
      </w:r>
      <w:r w:rsidR="007744A4">
        <w:rPr>
          <w:sz w:val="26"/>
          <w:szCs w:val="26"/>
          <w:lang w:val="en-US"/>
        </w:rPr>
        <w:t>ed</w:t>
      </w:r>
      <w:r w:rsidR="00B20A33" w:rsidRPr="0096775E">
        <w:rPr>
          <w:sz w:val="26"/>
          <w:szCs w:val="26"/>
          <w:lang w:val="en-US"/>
        </w:rPr>
        <w:t xml:space="preserve"> </w:t>
      </w:r>
      <w:r w:rsidR="00B20A33" w:rsidRPr="0096775E">
        <w:rPr>
          <w:sz w:val="26"/>
          <w:szCs w:val="26"/>
        </w:rPr>
        <w:t xml:space="preserve">NITS cost make up the majority of the NMB Transmission costs, and </w:t>
      </w:r>
      <w:r w:rsidR="00B20A33" w:rsidRPr="0096775E">
        <w:rPr>
          <w:sz w:val="26"/>
          <w:szCs w:val="26"/>
          <w:lang w:val="en-US"/>
        </w:rPr>
        <w:t>those</w:t>
      </w:r>
      <w:r w:rsidR="00B20A33" w:rsidRPr="0096775E">
        <w:rPr>
          <w:sz w:val="26"/>
          <w:szCs w:val="26"/>
        </w:rPr>
        <w:t xml:space="preserve"> costs are fixed </w:t>
      </w:r>
      <w:r w:rsidR="009B15CE">
        <w:rPr>
          <w:sz w:val="26"/>
          <w:szCs w:val="26"/>
        </w:rPr>
        <w:t>on a yearly basis from June 1</w:t>
      </w:r>
      <w:r w:rsidR="00C06874">
        <w:rPr>
          <w:sz w:val="26"/>
          <w:szCs w:val="26"/>
          <w:lang w:val="en-US"/>
        </w:rPr>
        <w:t xml:space="preserve"> </w:t>
      </w:r>
      <w:r w:rsidR="009B15CE">
        <w:rPr>
          <w:sz w:val="26"/>
          <w:szCs w:val="26"/>
          <w:lang w:val="en-US"/>
        </w:rPr>
        <w:t xml:space="preserve">to </w:t>
      </w:r>
      <w:r w:rsidR="00B20A33" w:rsidRPr="0096775E">
        <w:rPr>
          <w:sz w:val="26"/>
          <w:szCs w:val="26"/>
        </w:rPr>
        <w:t>May 31 of each year.</w:t>
      </w:r>
      <w:r w:rsidR="00B20A33" w:rsidRPr="0096775E">
        <w:rPr>
          <w:rStyle w:val="FootnoteReference"/>
          <w:sz w:val="26"/>
          <w:szCs w:val="26"/>
        </w:rPr>
        <w:footnoteReference w:id="30"/>
      </w:r>
      <w:r w:rsidR="00B20A33" w:rsidRPr="0096775E">
        <w:rPr>
          <w:sz w:val="26"/>
          <w:szCs w:val="26"/>
        </w:rPr>
        <w:t xml:space="preserve">  </w:t>
      </w:r>
      <w:r w:rsidR="007744A4">
        <w:rPr>
          <w:sz w:val="26"/>
          <w:szCs w:val="26"/>
          <w:lang w:val="en-US"/>
        </w:rPr>
        <w:t>The Company also argued</w:t>
      </w:r>
      <w:r w:rsidR="00B20A33" w:rsidRPr="0096775E">
        <w:rPr>
          <w:sz w:val="26"/>
          <w:szCs w:val="26"/>
          <w:lang w:val="en-US"/>
        </w:rPr>
        <w:t xml:space="preserve"> </w:t>
      </w:r>
      <w:r w:rsidR="007744A4">
        <w:rPr>
          <w:sz w:val="26"/>
          <w:szCs w:val="26"/>
          <w:lang w:val="en-US"/>
        </w:rPr>
        <w:t xml:space="preserve">that </w:t>
      </w:r>
      <w:r w:rsidR="00B20A33" w:rsidRPr="0096775E">
        <w:rPr>
          <w:sz w:val="26"/>
          <w:szCs w:val="26"/>
          <w:lang w:val="en-US"/>
        </w:rPr>
        <w:t xml:space="preserve">nothing prevents an </w:t>
      </w:r>
      <w:r w:rsidR="00B20A33" w:rsidRPr="0096775E">
        <w:rPr>
          <w:sz w:val="26"/>
          <w:szCs w:val="26"/>
        </w:rPr>
        <w:t>EGS from providing for variable recovery of these costs in their contracts with customers.</w:t>
      </w:r>
    </w:p>
    <w:p w:rsidR="003B6212" w:rsidRPr="0096775E" w:rsidRDefault="003B6212" w:rsidP="004645C7">
      <w:pPr>
        <w:pStyle w:val="BodyText2"/>
        <w:spacing w:after="0" w:line="360" w:lineRule="auto"/>
        <w:rPr>
          <w:sz w:val="26"/>
          <w:szCs w:val="26"/>
          <w:lang w:val="en-US"/>
        </w:rPr>
      </w:pPr>
    </w:p>
    <w:p w:rsidR="003B6212" w:rsidRDefault="003B6212" w:rsidP="00FE36CD">
      <w:pPr>
        <w:pStyle w:val="BodyText2"/>
        <w:keepNext/>
        <w:spacing w:after="0" w:line="360" w:lineRule="auto"/>
        <w:rPr>
          <w:b/>
          <w:sz w:val="26"/>
          <w:szCs w:val="26"/>
          <w:lang w:val="en-US"/>
        </w:rPr>
      </w:pPr>
      <w:r w:rsidRPr="0096775E">
        <w:rPr>
          <w:sz w:val="26"/>
          <w:szCs w:val="26"/>
          <w:lang w:val="en-US"/>
        </w:rPr>
        <w:tab/>
      </w:r>
      <w:r w:rsidRPr="0096775E">
        <w:rPr>
          <w:b/>
          <w:sz w:val="26"/>
          <w:szCs w:val="26"/>
          <w:lang w:val="en-US"/>
        </w:rPr>
        <w:t>2.</w:t>
      </w:r>
      <w:r w:rsidRPr="0096775E">
        <w:rPr>
          <w:b/>
          <w:sz w:val="26"/>
          <w:szCs w:val="26"/>
          <w:lang w:val="en-US"/>
        </w:rPr>
        <w:tab/>
        <w:t>ALJ’s Recommendation</w:t>
      </w:r>
    </w:p>
    <w:p w:rsidR="002130C7" w:rsidRPr="0096775E" w:rsidRDefault="002130C7" w:rsidP="00FE36CD">
      <w:pPr>
        <w:pStyle w:val="BodyText2"/>
        <w:keepNext/>
        <w:spacing w:after="0" w:line="360" w:lineRule="auto"/>
        <w:rPr>
          <w:b/>
          <w:sz w:val="26"/>
          <w:szCs w:val="26"/>
          <w:lang w:val="en-US"/>
        </w:rPr>
      </w:pPr>
    </w:p>
    <w:p w:rsidR="003B6212" w:rsidRPr="0096775E" w:rsidRDefault="004645C7" w:rsidP="004645C7">
      <w:pPr>
        <w:pStyle w:val="BodyText"/>
        <w:spacing w:after="0"/>
        <w:ind w:firstLine="1440"/>
        <w:rPr>
          <w:rFonts w:ascii="Times New Roman" w:hAnsi="Times New Roman"/>
          <w:sz w:val="26"/>
          <w:szCs w:val="26"/>
        </w:rPr>
      </w:pPr>
      <w:r>
        <w:rPr>
          <w:rFonts w:ascii="Times New Roman" w:hAnsi="Times New Roman"/>
          <w:sz w:val="26"/>
          <w:szCs w:val="26"/>
        </w:rPr>
        <w:t xml:space="preserve">The ALJ </w:t>
      </w:r>
      <w:r w:rsidR="003B6212" w:rsidRPr="0096775E">
        <w:rPr>
          <w:rFonts w:ascii="Times New Roman" w:hAnsi="Times New Roman"/>
          <w:sz w:val="26"/>
          <w:szCs w:val="26"/>
        </w:rPr>
        <w:t>agree</w:t>
      </w:r>
      <w:r>
        <w:rPr>
          <w:rFonts w:ascii="Times New Roman" w:hAnsi="Times New Roman"/>
          <w:sz w:val="26"/>
          <w:szCs w:val="26"/>
        </w:rPr>
        <w:t>d</w:t>
      </w:r>
      <w:r w:rsidR="003B6212" w:rsidRPr="0096775E">
        <w:rPr>
          <w:rFonts w:ascii="Times New Roman" w:hAnsi="Times New Roman"/>
          <w:sz w:val="26"/>
          <w:szCs w:val="26"/>
        </w:rPr>
        <w:t xml:space="preserve"> with the Company that RESA’s arguments</w:t>
      </w:r>
      <w:r>
        <w:rPr>
          <w:rFonts w:ascii="Times New Roman" w:hAnsi="Times New Roman"/>
          <w:sz w:val="26"/>
          <w:szCs w:val="26"/>
        </w:rPr>
        <w:t xml:space="preserve">, specifically </w:t>
      </w:r>
      <w:r w:rsidR="003B6212" w:rsidRPr="0096775E">
        <w:rPr>
          <w:rFonts w:ascii="Times New Roman" w:hAnsi="Times New Roman"/>
          <w:sz w:val="26"/>
          <w:szCs w:val="26"/>
        </w:rPr>
        <w:t>that Duquesne’s NMB Transmission Cost recovery methodology is anti-competitive</w:t>
      </w:r>
      <w:r>
        <w:rPr>
          <w:rFonts w:ascii="Times New Roman" w:hAnsi="Times New Roman"/>
          <w:sz w:val="26"/>
          <w:szCs w:val="26"/>
        </w:rPr>
        <w:t xml:space="preserve">, </w:t>
      </w:r>
      <w:r w:rsidR="003B6212" w:rsidRPr="0096775E">
        <w:rPr>
          <w:rFonts w:ascii="Times New Roman" w:hAnsi="Times New Roman"/>
          <w:sz w:val="26"/>
          <w:szCs w:val="26"/>
        </w:rPr>
        <w:t>should be denied for the same reasons the Commission denied these arguments in the FirstEnergy</w:t>
      </w:r>
      <w:r>
        <w:rPr>
          <w:rFonts w:ascii="Times New Roman" w:hAnsi="Times New Roman"/>
          <w:sz w:val="26"/>
          <w:szCs w:val="26"/>
        </w:rPr>
        <w:t xml:space="preserve"> DSP proceedings.  The ALJ concluded that while RESA contended that</w:t>
      </w:r>
      <w:r w:rsidR="003B6212" w:rsidRPr="0096775E">
        <w:rPr>
          <w:rFonts w:ascii="Times New Roman" w:hAnsi="Times New Roman"/>
          <w:sz w:val="26"/>
          <w:szCs w:val="26"/>
        </w:rPr>
        <w:t xml:space="preserve"> the Commission’s recent </w:t>
      </w:r>
      <w:r w:rsidR="003B6212" w:rsidRPr="0096775E">
        <w:rPr>
          <w:rFonts w:ascii="Times New Roman" w:hAnsi="Times New Roman"/>
          <w:i/>
          <w:sz w:val="26"/>
          <w:szCs w:val="26"/>
        </w:rPr>
        <w:t>Fixed Price Order</w:t>
      </w:r>
      <w:r w:rsidR="003B6212" w:rsidRPr="0096775E">
        <w:rPr>
          <w:rStyle w:val="FootnoteReference"/>
          <w:rFonts w:ascii="Times New Roman" w:hAnsi="Times New Roman"/>
          <w:sz w:val="26"/>
          <w:szCs w:val="26"/>
        </w:rPr>
        <w:footnoteReference w:id="31"/>
      </w:r>
      <w:r w:rsidR="003B6212" w:rsidRPr="0096775E">
        <w:rPr>
          <w:rFonts w:ascii="Times New Roman" w:hAnsi="Times New Roman"/>
          <w:sz w:val="26"/>
          <w:szCs w:val="26"/>
        </w:rPr>
        <w:t xml:space="preserve"> justifies recovery of NMB Transmission Costs by the EDC on a non-bypassable basis</w:t>
      </w:r>
      <w:r w:rsidR="00E37C3D">
        <w:rPr>
          <w:rFonts w:ascii="Times New Roman" w:hAnsi="Times New Roman"/>
          <w:sz w:val="26"/>
          <w:szCs w:val="26"/>
        </w:rPr>
        <w:t>,</w:t>
      </w:r>
      <w:r w:rsidR="003B6212" w:rsidRPr="0096775E">
        <w:rPr>
          <w:rStyle w:val="FootnoteReference"/>
          <w:rFonts w:ascii="Times New Roman" w:hAnsi="Times New Roman"/>
          <w:sz w:val="26"/>
          <w:szCs w:val="26"/>
        </w:rPr>
        <w:footnoteReference w:id="32"/>
      </w:r>
      <w:r>
        <w:rPr>
          <w:rFonts w:ascii="Times New Roman" w:hAnsi="Times New Roman"/>
          <w:sz w:val="26"/>
          <w:szCs w:val="26"/>
        </w:rPr>
        <w:t xml:space="preserve"> </w:t>
      </w:r>
      <w:r w:rsidR="003B6212" w:rsidRPr="0096775E">
        <w:rPr>
          <w:rFonts w:ascii="Times New Roman" w:hAnsi="Times New Roman"/>
          <w:sz w:val="26"/>
          <w:szCs w:val="26"/>
        </w:rPr>
        <w:t xml:space="preserve">the Commission specifically rejected these arguments in the </w:t>
      </w:r>
      <w:r w:rsidR="003B6212" w:rsidRPr="0096775E">
        <w:rPr>
          <w:rFonts w:ascii="Times New Roman" w:hAnsi="Times New Roman"/>
          <w:i/>
          <w:sz w:val="26"/>
          <w:szCs w:val="26"/>
        </w:rPr>
        <w:t>FirstEnergy DSP Order</w:t>
      </w:r>
      <w:r w:rsidR="003B6212" w:rsidRPr="0096775E">
        <w:rPr>
          <w:rFonts w:ascii="Times New Roman" w:hAnsi="Times New Roman"/>
          <w:sz w:val="26"/>
          <w:szCs w:val="26"/>
        </w:rPr>
        <w:t xml:space="preserve"> with respect to </w:t>
      </w:r>
      <w:r>
        <w:rPr>
          <w:rFonts w:ascii="Times New Roman" w:hAnsi="Times New Roman"/>
          <w:sz w:val="26"/>
          <w:szCs w:val="26"/>
        </w:rPr>
        <w:t xml:space="preserve">the </w:t>
      </w:r>
      <w:r w:rsidR="003B6212" w:rsidRPr="0096775E">
        <w:rPr>
          <w:rFonts w:ascii="Times New Roman" w:hAnsi="Times New Roman"/>
          <w:sz w:val="26"/>
          <w:szCs w:val="26"/>
        </w:rPr>
        <w:t>recovery of NITS costs.</w:t>
      </w:r>
      <w:r w:rsidR="003B6212" w:rsidRPr="0096775E">
        <w:rPr>
          <w:rStyle w:val="FootnoteReference"/>
          <w:rFonts w:ascii="Times New Roman" w:hAnsi="Times New Roman"/>
          <w:sz w:val="26"/>
          <w:szCs w:val="26"/>
        </w:rPr>
        <w:footnoteReference w:id="33"/>
      </w:r>
      <w:r w:rsidR="003B6212" w:rsidRPr="0096775E">
        <w:rPr>
          <w:rFonts w:ascii="Times New Roman" w:hAnsi="Times New Roman"/>
          <w:sz w:val="26"/>
          <w:szCs w:val="26"/>
        </w:rPr>
        <w:t xml:space="preserve">  </w:t>
      </w:r>
      <w:r>
        <w:rPr>
          <w:rFonts w:ascii="Times New Roman" w:hAnsi="Times New Roman"/>
          <w:sz w:val="26"/>
          <w:szCs w:val="26"/>
        </w:rPr>
        <w:t>According to the ALJ, t</w:t>
      </w:r>
      <w:r w:rsidR="003B6212" w:rsidRPr="0096775E">
        <w:rPr>
          <w:rFonts w:ascii="Times New Roman" w:hAnsi="Times New Roman"/>
          <w:sz w:val="26"/>
          <w:szCs w:val="26"/>
        </w:rPr>
        <w:t>he charges associated with default service will be borne by the customers responsible for generating those charges</w:t>
      </w:r>
      <w:r>
        <w:rPr>
          <w:rFonts w:ascii="Times New Roman" w:hAnsi="Times New Roman"/>
          <w:sz w:val="26"/>
          <w:szCs w:val="26"/>
        </w:rPr>
        <w:t xml:space="preserve">, </w:t>
      </w:r>
      <w:r>
        <w:rPr>
          <w:rFonts w:ascii="Times New Roman" w:hAnsi="Times New Roman"/>
          <w:i/>
          <w:sz w:val="26"/>
          <w:szCs w:val="26"/>
        </w:rPr>
        <w:t>i.e.</w:t>
      </w:r>
      <w:r w:rsidR="003B6212" w:rsidRPr="0096775E">
        <w:rPr>
          <w:rFonts w:ascii="Times New Roman" w:hAnsi="Times New Roman"/>
          <w:sz w:val="26"/>
          <w:szCs w:val="26"/>
        </w:rPr>
        <w:t xml:space="preserve"> the default service customers.  </w:t>
      </w:r>
      <w:r>
        <w:rPr>
          <w:rFonts w:ascii="Times New Roman" w:hAnsi="Times New Roman"/>
          <w:sz w:val="26"/>
          <w:szCs w:val="26"/>
        </w:rPr>
        <w:t>The ALJ stated that c</w:t>
      </w:r>
      <w:r w:rsidR="003B6212" w:rsidRPr="0096775E">
        <w:rPr>
          <w:rFonts w:ascii="Times New Roman" w:hAnsi="Times New Roman"/>
          <w:sz w:val="26"/>
          <w:szCs w:val="26"/>
        </w:rPr>
        <w:t>harges associated with shopping should not be paid by non-shopping customers.</w:t>
      </w:r>
      <w:r>
        <w:rPr>
          <w:rFonts w:ascii="Times New Roman" w:hAnsi="Times New Roman"/>
          <w:sz w:val="26"/>
          <w:szCs w:val="26"/>
        </w:rPr>
        <w:t xml:space="preserve">  R.D. at 36.</w:t>
      </w:r>
    </w:p>
    <w:p w:rsidR="003B6212" w:rsidRPr="0096775E" w:rsidRDefault="003B6212" w:rsidP="003B6212">
      <w:pPr>
        <w:pStyle w:val="BodyText"/>
        <w:spacing w:after="0"/>
        <w:rPr>
          <w:rFonts w:ascii="Times New Roman" w:hAnsi="Times New Roman"/>
          <w:sz w:val="26"/>
          <w:szCs w:val="26"/>
        </w:rPr>
      </w:pPr>
    </w:p>
    <w:p w:rsidR="003B6212" w:rsidRDefault="003B6212" w:rsidP="00FE36CD">
      <w:pPr>
        <w:keepNext/>
        <w:ind w:firstLine="720"/>
        <w:rPr>
          <w:rFonts w:ascii="Times New Roman" w:hAnsi="Times New Roman"/>
          <w:b/>
          <w:sz w:val="26"/>
          <w:szCs w:val="26"/>
        </w:rPr>
      </w:pPr>
      <w:r w:rsidRPr="0096775E">
        <w:rPr>
          <w:rFonts w:ascii="Times New Roman" w:hAnsi="Times New Roman"/>
          <w:b/>
          <w:sz w:val="26"/>
          <w:szCs w:val="26"/>
        </w:rPr>
        <w:lastRenderedPageBreak/>
        <w:t>3.</w:t>
      </w:r>
      <w:r w:rsidRPr="0096775E">
        <w:rPr>
          <w:rFonts w:ascii="Times New Roman" w:hAnsi="Times New Roman"/>
          <w:b/>
          <w:sz w:val="26"/>
          <w:szCs w:val="26"/>
        </w:rPr>
        <w:tab/>
        <w:t>Exceptions and Replies</w:t>
      </w:r>
    </w:p>
    <w:p w:rsidR="001B4259" w:rsidRDefault="001B4259" w:rsidP="00FE36CD">
      <w:pPr>
        <w:keepNext/>
        <w:ind w:firstLine="720"/>
        <w:rPr>
          <w:rFonts w:ascii="Times New Roman" w:hAnsi="Times New Roman"/>
          <w:b/>
          <w:sz w:val="26"/>
          <w:szCs w:val="26"/>
        </w:rPr>
      </w:pPr>
    </w:p>
    <w:p w:rsidR="001B4259" w:rsidRDefault="001B4259" w:rsidP="001B4259">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1B4259">
        <w:rPr>
          <w:rFonts w:ascii="Times New Roman" w:hAnsi="Times New Roman"/>
          <w:sz w:val="26"/>
          <w:szCs w:val="26"/>
        </w:rPr>
        <w:t>In its Exceptions, RESA first avers that the ALJ erred in rejecting its position that allowing Duquesne to assume the cost responsibility for only default service suppliers unfairly shifts a competitive advantage to the Company’s default service.</w:t>
      </w:r>
      <w:r>
        <w:rPr>
          <w:rFonts w:ascii="Times New Roman" w:hAnsi="Times New Roman"/>
          <w:sz w:val="26"/>
          <w:szCs w:val="26"/>
        </w:rPr>
        <w:t xml:space="preserve">  RESA maintains that the evidence showed that the NMB Charges are all non-hedgeable wholesale cost obligations that all load serving entities are subject to in the wholesale market.  RESA further asserts that these costs are not market based because they are either fully regulated or quasi-regulated costs imposed at the wholesale level on all load serving entities.  According to RESA, these costs are unpredictable and cannot be hedged by competitive retail suppliers or wholesale default service suppliers. </w:t>
      </w:r>
      <w:r w:rsidR="00F52A26">
        <w:rPr>
          <w:rFonts w:ascii="Times New Roman" w:hAnsi="Times New Roman"/>
          <w:sz w:val="26"/>
          <w:szCs w:val="26"/>
        </w:rPr>
        <w:t xml:space="preserve"> RESA opines that, with regard to the NITS costs, it presented evidence that </w:t>
      </w:r>
      <w:r w:rsidR="00E37C3D">
        <w:rPr>
          <w:rFonts w:ascii="Times New Roman" w:hAnsi="Times New Roman"/>
          <w:sz w:val="26"/>
          <w:szCs w:val="26"/>
        </w:rPr>
        <w:t xml:space="preserve">9 </w:t>
      </w:r>
      <w:r w:rsidR="00F52A26">
        <w:rPr>
          <w:rFonts w:ascii="Times New Roman" w:hAnsi="Times New Roman"/>
          <w:sz w:val="26"/>
          <w:szCs w:val="26"/>
        </w:rPr>
        <w:t xml:space="preserve">of </w:t>
      </w:r>
      <w:r w:rsidR="00E37C3D">
        <w:rPr>
          <w:rFonts w:ascii="Times New Roman" w:hAnsi="Times New Roman"/>
          <w:sz w:val="26"/>
          <w:szCs w:val="26"/>
        </w:rPr>
        <w:t xml:space="preserve">20 </w:t>
      </w:r>
      <w:r w:rsidR="00F52A26">
        <w:rPr>
          <w:rFonts w:ascii="Times New Roman" w:hAnsi="Times New Roman"/>
          <w:sz w:val="26"/>
          <w:szCs w:val="26"/>
        </w:rPr>
        <w:t>PJM zones experienced NITS increases in June of 2014, some as high as 29 percent.  RESA explains that while Duquesne</w:t>
      </w:r>
      <w:r w:rsidR="00E37C3D">
        <w:rPr>
          <w:rFonts w:ascii="Times New Roman" w:hAnsi="Times New Roman"/>
          <w:sz w:val="26"/>
          <w:szCs w:val="26"/>
        </w:rPr>
        <w:t>’s NITS</w:t>
      </w:r>
      <w:r w:rsidR="00F52A26">
        <w:rPr>
          <w:rFonts w:ascii="Times New Roman" w:hAnsi="Times New Roman"/>
          <w:sz w:val="26"/>
          <w:szCs w:val="26"/>
        </w:rPr>
        <w:t xml:space="preserve"> only increased by nine percent, the potential volatility in NITS costs is evident.  In addition, RESA avers that as this is a FERC regulated rate, other rate changes may occur as a result of challenges to the charges.  RESA Exc. at 27-28.</w:t>
      </w:r>
    </w:p>
    <w:p w:rsidR="00D4053C" w:rsidRDefault="00D4053C" w:rsidP="001B4259">
      <w:pPr>
        <w:rPr>
          <w:rFonts w:ascii="Times New Roman" w:hAnsi="Times New Roman"/>
          <w:sz w:val="26"/>
          <w:szCs w:val="26"/>
        </w:rPr>
      </w:pPr>
    </w:p>
    <w:p w:rsidR="00D4053C" w:rsidRDefault="00D4053C" w:rsidP="00D4053C">
      <w:pPr>
        <w:ind w:firstLine="1440"/>
        <w:rPr>
          <w:rFonts w:ascii="Times New Roman" w:hAnsi="Times New Roman"/>
          <w:sz w:val="26"/>
          <w:szCs w:val="26"/>
        </w:rPr>
      </w:pPr>
      <w:r>
        <w:rPr>
          <w:rFonts w:ascii="Times New Roman" w:hAnsi="Times New Roman"/>
          <w:sz w:val="26"/>
          <w:szCs w:val="26"/>
        </w:rPr>
        <w:t xml:space="preserve">Next, RESA maintains that there is no legal bar to requiring Duquesne to assume the cost responsibility for NMB Charges for all load.  RESA states that maintaining the </w:t>
      </w:r>
      <w:r w:rsidRPr="00121220">
        <w:rPr>
          <w:rFonts w:ascii="Times New Roman" w:hAnsi="Times New Roman"/>
          <w:i/>
          <w:sz w:val="26"/>
          <w:szCs w:val="26"/>
        </w:rPr>
        <w:t>status quo</w:t>
      </w:r>
      <w:r>
        <w:rPr>
          <w:rFonts w:ascii="Times New Roman" w:hAnsi="Times New Roman"/>
          <w:sz w:val="26"/>
          <w:szCs w:val="26"/>
        </w:rPr>
        <w:t xml:space="preserve"> is contrary to the Competition Act</w:t>
      </w:r>
      <w:r w:rsidR="00E37C3D">
        <w:rPr>
          <w:rFonts w:ascii="Times New Roman" w:hAnsi="Times New Roman"/>
          <w:sz w:val="26"/>
          <w:szCs w:val="26"/>
        </w:rPr>
        <w:t>,</w:t>
      </w:r>
      <w:r>
        <w:rPr>
          <w:rFonts w:ascii="Times New Roman" w:hAnsi="Times New Roman"/>
          <w:sz w:val="26"/>
          <w:szCs w:val="26"/>
        </w:rPr>
        <w:t xml:space="preserve"> which requires that EDCs permit EGSs to utilize and interconnect with the electric transmission and distribution system on a nondiscriminatory basis at rates, terms and conditions of service comparable to an EDC’s own use of the system.  </w:t>
      </w:r>
      <w:r w:rsidR="004D5980">
        <w:rPr>
          <w:rFonts w:ascii="Times New Roman" w:hAnsi="Times New Roman"/>
          <w:sz w:val="26"/>
          <w:szCs w:val="26"/>
        </w:rPr>
        <w:t xml:space="preserve">RESA states that the best way to satisfy this requirement of the Competition Act is to require the EDC to assume the cost responsibility for both the wholesale default service suppliers and the EGSs because then all LSEs will be treated equally by the EDC.  RESA explains that it supports uniform statewide application of NMB Charge cost responsibility across all EDCs, but that this is not the case in Pennsylvania today.  RESA asserts that the result of the varying treatment among EDCs and within each EDC creates difficulty for competitive suppliers in </w:t>
      </w:r>
      <w:r w:rsidR="004D5980">
        <w:rPr>
          <w:rFonts w:ascii="Times New Roman" w:hAnsi="Times New Roman"/>
          <w:sz w:val="26"/>
          <w:szCs w:val="26"/>
        </w:rPr>
        <w:lastRenderedPageBreak/>
        <w:t>assessing each market and determining whether or not they can enter that market.  RESA Exc. at 30-32.</w:t>
      </w:r>
    </w:p>
    <w:p w:rsidR="00562823" w:rsidRDefault="00562823" w:rsidP="00D4053C">
      <w:pPr>
        <w:ind w:firstLine="1440"/>
        <w:rPr>
          <w:rFonts w:ascii="Times New Roman" w:hAnsi="Times New Roman"/>
          <w:sz w:val="26"/>
          <w:szCs w:val="26"/>
        </w:rPr>
      </w:pPr>
    </w:p>
    <w:p w:rsidR="00562823" w:rsidRDefault="003403BF" w:rsidP="00D4053C">
      <w:pPr>
        <w:ind w:firstLine="1440"/>
        <w:rPr>
          <w:rFonts w:ascii="Times New Roman" w:hAnsi="Times New Roman"/>
          <w:sz w:val="26"/>
          <w:szCs w:val="26"/>
        </w:rPr>
      </w:pPr>
      <w:r>
        <w:rPr>
          <w:rFonts w:ascii="Times New Roman" w:hAnsi="Times New Roman"/>
          <w:sz w:val="26"/>
          <w:szCs w:val="26"/>
        </w:rPr>
        <w:t xml:space="preserve">RESA further notes that while the Commission chose not to adopt its preferred position for NITS for the FirstEnergy EDCs, maintaining the </w:t>
      </w:r>
      <w:r w:rsidRPr="00121220">
        <w:rPr>
          <w:rFonts w:ascii="Times New Roman" w:hAnsi="Times New Roman"/>
          <w:i/>
          <w:sz w:val="26"/>
          <w:szCs w:val="26"/>
        </w:rPr>
        <w:t>status quo</w:t>
      </w:r>
      <w:r>
        <w:rPr>
          <w:rFonts w:ascii="Times New Roman" w:hAnsi="Times New Roman"/>
          <w:sz w:val="26"/>
          <w:szCs w:val="26"/>
        </w:rPr>
        <w:t xml:space="preserve"> here as recommended by the ALJ would treat most NMB Charges differently for Duquesne than they are treated for the First Energy EDCs.  According to RESA, this is true as the FirstEnergy EDCs do not assume the cost responsibility for NITS for wholesale default service suppliers.  While RESA prefers its primary recommendation in this proceeding, in lieu of that, the Commission should at least issue a decision consistent with how</w:t>
      </w:r>
      <w:r w:rsidR="00B11181">
        <w:rPr>
          <w:rFonts w:ascii="Times New Roman" w:hAnsi="Times New Roman"/>
          <w:sz w:val="26"/>
          <w:szCs w:val="26"/>
        </w:rPr>
        <w:t xml:space="preserve"> NMB Charges, including NITS, are treated by the FirstEnergy </w:t>
      </w:r>
      <w:r w:rsidR="00E37C3D">
        <w:rPr>
          <w:rFonts w:ascii="Times New Roman" w:hAnsi="Times New Roman"/>
          <w:sz w:val="26"/>
          <w:szCs w:val="26"/>
        </w:rPr>
        <w:t>EDCs</w:t>
      </w:r>
      <w:r w:rsidR="00B11181">
        <w:rPr>
          <w:rFonts w:ascii="Times New Roman" w:hAnsi="Times New Roman"/>
          <w:sz w:val="26"/>
          <w:szCs w:val="26"/>
        </w:rPr>
        <w:t>.  RESA opines that to achieve this result, the Commission would need to direct Duquesne to</w:t>
      </w:r>
      <w:r w:rsidR="005E473F">
        <w:rPr>
          <w:rFonts w:ascii="Times New Roman" w:hAnsi="Times New Roman"/>
          <w:sz w:val="26"/>
          <w:szCs w:val="26"/>
        </w:rPr>
        <w:t>:</w:t>
      </w:r>
      <w:r w:rsidR="00B11181">
        <w:rPr>
          <w:rFonts w:ascii="Times New Roman" w:hAnsi="Times New Roman"/>
          <w:sz w:val="26"/>
          <w:szCs w:val="26"/>
        </w:rPr>
        <w:t xml:space="preserve"> (1) assume cost responsibility for all load</w:t>
      </w:r>
      <w:r w:rsidR="00885548">
        <w:rPr>
          <w:rFonts w:ascii="Times New Roman" w:hAnsi="Times New Roman"/>
          <w:sz w:val="26"/>
          <w:szCs w:val="26"/>
        </w:rPr>
        <w:t xml:space="preserve"> </w:t>
      </w:r>
      <w:r w:rsidR="00B11181">
        <w:rPr>
          <w:rFonts w:ascii="Times New Roman" w:hAnsi="Times New Roman"/>
          <w:sz w:val="26"/>
          <w:szCs w:val="26"/>
        </w:rPr>
        <w:t>for T</w:t>
      </w:r>
      <w:r w:rsidR="005E473F">
        <w:rPr>
          <w:rFonts w:ascii="Times New Roman" w:hAnsi="Times New Roman"/>
          <w:sz w:val="26"/>
          <w:szCs w:val="26"/>
        </w:rPr>
        <w:t>EC/ECRC, RMR, UFE and Historic O</w:t>
      </w:r>
      <w:r w:rsidR="00B11181">
        <w:rPr>
          <w:rFonts w:ascii="Times New Roman" w:hAnsi="Times New Roman"/>
          <w:sz w:val="26"/>
          <w:szCs w:val="26"/>
        </w:rPr>
        <w:t>ut of Market Tie Line Generation and Retail meter adjustments; and (2) require wholesale default service suppliers to assume the cost responsibility for NITS.</w:t>
      </w:r>
      <w:r w:rsidR="00B11181">
        <w:rPr>
          <w:rStyle w:val="FootnoteReference"/>
          <w:rFonts w:ascii="Times New Roman" w:hAnsi="Times New Roman"/>
          <w:sz w:val="26"/>
          <w:szCs w:val="26"/>
        </w:rPr>
        <w:footnoteReference w:id="34"/>
      </w:r>
      <w:r w:rsidR="00B11181">
        <w:rPr>
          <w:rFonts w:ascii="Times New Roman" w:hAnsi="Times New Roman"/>
          <w:sz w:val="26"/>
          <w:szCs w:val="26"/>
        </w:rPr>
        <w:t xml:space="preserve">  RESA Exc. at 32-33.</w:t>
      </w:r>
    </w:p>
    <w:p w:rsidR="00356254" w:rsidRDefault="00356254" w:rsidP="00D4053C">
      <w:pPr>
        <w:ind w:firstLine="1440"/>
        <w:rPr>
          <w:rFonts w:ascii="Times New Roman" w:hAnsi="Times New Roman"/>
          <w:sz w:val="26"/>
          <w:szCs w:val="26"/>
        </w:rPr>
      </w:pPr>
    </w:p>
    <w:p w:rsidR="00356254" w:rsidRDefault="00356254" w:rsidP="00D4053C">
      <w:pPr>
        <w:ind w:firstLine="1440"/>
        <w:rPr>
          <w:rFonts w:ascii="Times New Roman" w:hAnsi="Times New Roman"/>
          <w:sz w:val="26"/>
          <w:szCs w:val="26"/>
        </w:rPr>
      </w:pPr>
      <w:r>
        <w:rPr>
          <w:rFonts w:ascii="Times New Roman" w:hAnsi="Times New Roman"/>
          <w:sz w:val="26"/>
          <w:szCs w:val="26"/>
        </w:rPr>
        <w:t xml:space="preserve">Lastly, RESA states that the ALJ erred in rejecting its position that the Commission’s </w:t>
      </w:r>
      <w:r>
        <w:rPr>
          <w:rFonts w:ascii="Times New Roman" w:hAnsi="Times New Roman"/>
          <w:i/>
          <w:sz w:val="26"/>
          <w:szCs w:val="26"/>
        </w:rPr>
        <w:t>Fixed Price Order</w:t>
      </w:r>
      <w:r>
        <w:rPr>
          <w:rFonts w:ascii="Times New Roman" w:hAnsi="Times New Roman"/>
          <w:sz w:val="26"/>
          <w:szCs w:val="26"/>
        </w:rPr>
        <w:t xml:space="preserve"> </w:t>
      </w:r>
      <w:r w:rsidR="00892254">
        <w:rPr>
          <w:rFonts w:ascii="Times New Roman" w:hAnsi="Times New Roman"/>
          <w:sz w:val="26"/>
          <w:szCs w:val="26"/>
        </w:rPr>
        <w:t xml:space="preserve">supports requiring Duquesne to assume NMB cost responsibility.  RESA avers that in the </w:t>
      </w:r>
      <w:r w:rsidR="00892254">
        <w:rPr>
          <w:rFonts w:ascii="Times New Roman" w:hAnsi="Times New Roman"/>
          <w:i/>
          <w:sz w:val="26"/>
          <w:szCs w:val="26"/>
        </w:rPr>
        <w:t>Fixed Price Order,</w:t>
      </w:r>
      <w:r w:rsidR="00892254">
        <w:rPr>
          <w:rFonts w:ascii="Times New Roman" w:hAnsi="Times New Roman"/>
          <w:sz w:val="26"/>
          <w:szCs w:val="26"/>
        </w:rPr>
        <w:t xml:space="preserve"> the Commission prohibited suppliers from exercising regulatory change provisions in order to pass through certain wholesale cost changes to residential and small business customers on fixed price products.  According to RESA, this further exacerbates the ability of </w:t>
      </w:r>
      <w:r w:rsidR="00E37C3D">
        <w:rPr>
          <w:rFonts w:ascii="Times New Roman" w:hAnsi="Times New Roman"/>
          <w:sz w:val="26"/>
          <w:szCs w:val="26"/>
        </w:rPr>
        <w:t xml:space="preserve">an </w:t>
      </w:r>
      <w:r w:rsidR="00892254">
        <w:rPr>
          <w:rFonts w:ascii="Times New Roman" w:hAnsi="Times New Roman"/>
          <w:sz w:val="26"/>
          <w:szCs w:val="26"/>
        </w:rPr>
        <w:t xml:space="preserve">EGS’s competitive supply to fairly compete with default service because the EGS has no ability to ensure that only actual costs are recovered from its customers.  RESA maintains that the evidence showed that requiring Duquesne to assume the cost responsibility for NMB </w:t>
      </w:r>
      <w:r w:rsidR="00892254">
        <w:rPr>
          <w:rFonts w:ascii="Times New Roman" w:hAnsi="Times New Roman"/>
          <w:sz w:val="26"/>
          <w:szCs w:val="26"/>
        </w:rPr>
        <w:lastRenderedPageBreak/>
        <w:t>Charges would eliminate this situation and would have a direct impact on reducing the risk premiums embedded in EGS fixed price products.  RESA Exc. at 33-</w:t>
      </w:r>
      <w:r w:rsidR="005C456C">
        <w:rPr>
          <w:rFonts w:ascii="Times New Roman" w:hAnsi="Times New Roman"/>
          <w:sz w:val="26"/>
          <w:szCs w:val="26"/>
        </w:rPr>
        <w:t>36.</w:t>
      </w:r>
    </w:p>
    <w:p w:rsidR="007B6FF9" w:rsidRDefault="007B6FF9" w:rsidP="00D4053C">
      <w:pPr>
        <w:ind w:firstLine="1440"/>
        <w:rPr>
          <w:rFonts w:ascii="Times New Roman" w:hAnsi="Times New Roman"/>
          <w:sz w:val="26"/>
          <w:szCs w:val="26"/>
        </w:rPr>
      </w:pPr>
    </w:p>
    <w:p w:rsidR="007B6FF9" w:rsidRDefault="007B6FF9" w:rsidP="00D4053C">
      <w:pPr>
        <w:ind w:firstLine="1440"/>
        <w:rPr>
          <w:rFonts w:ascii="Times New Roman" w:hAnsi="Times New Roman"/>
          <w:sz w:val="26"/>
          <w:szCs w:val="26"/>
        </w:rPr>
      </w:pPr>
      <w:r>
        <w:rPr>
          <w:rFonts w:ascii="Times New Roman" w:hAnsi="Times New Roman"/>
          <w:sz w:val="26"/>
          <w:szCs w:val="26"/>
        </w:rPr>
        <w:t xml:space="preserve">In its Replies to Exceptions, </w:t>
      </w:r>
      <w:r w:rsidR="00AD0A67">
        <w:rPr>
          <w:rFonts w:ascii="Times New Roman" w:hAnsi="Times New Roman"/>
          <w:sz w:val="26"/>
          <w:szCs w:val="26"/>
        </w:rPr>
        <w:t xml:space="preserve">Duquesne states that </w:t>
      </w:r>
      <w:r w:rsidR="00D035E5">
        <w:rPr>
          <w:rFonts w:ascii="Times New Roman" w:hAnsi="Times New Roman"/>
          <w:sz w:val="26"/>
          <w:szCs w:val="26"/>
        </w:rPr>
        <w:t>RESA’s argument that Duquesne’s NMB Transmission Cost recovery methodology is anti-competitive fails in that EGSs can simply offer contracts to customers that pass through these costs and fix all other costs.  Duquesne explains that under this type of contract, if NMB Transmission Costs increase, EGSs can simply pass the increase through to customers.  According to Duquesne, this is how default service customers are charged NMB Transmission costs, on a pass through basis.  Moreover, Duquesne asserts that the majority of NMB Transmission Costs are NITS costs, which are fixed on a yearly basis from June 1 to May</w:t>
      </w:r>
      <w:r w:rsidR="007A36FA">
        <w:rPr>
          <w:rFonts w:ascii="Times New Roman" w:hAnsi="Times New Roman"/>
          <w:sz w:val="26"/>
          <w:szCs w:val="26"/>
        </w:rPr>
        <w:t> </w:t>
      </w:r>
      <w:r w:rsidR="00D035E5">
        <w:rPr>
          <w:rFonts w:ascii="Times New Roman" w:hAnsi="Times New Roman"/>
          <w:sz w:val="26"/>
          <w:szCs w:val="26"/>
        </w:rPr>
        <w:t>31 of each year.  Duquesne opines that RESA is overstating the risk associated with NMB Transmission Costs.  Duquesne counters that RESA’s proposal is anti-competitive as it would prevent EGSs and customers from negotiating fixed price contracts for NMB Transmission Costs, ther</w:t>
      </w:r>
      <w:r w:rsidR="007D5031">
        <w:rPr>
          <w:rFonts w:ascii="Times New Roman" w:hAnsi="Times New Roman"/>
          <w:sz w:val="26"/>
          <w:szCs w:val="26"/>
        </w:rPr>
        <w:t>e</w:t>
      </w:r>
      <w:r w:rsidR="00D035E5">
        <w:rPr>
          <w:rFonts w:ascii="Times New Roman" w:hAnsi="Times New Roman"/>
          <w:sz w:val="26"/>
          <w:szCs w:val="26"/>
        </w:rPr>
        <w:t>by severely limiting competition with respect to these costs.  Duquesne notes that both Noble, an EGS, and DII, a representative of large customers, recognize this and oppose RESA’s proposal.  Duquesne R. Exc. at 16-18.</w:t>
      </w:r>
    </w:p>
    <w:p w:rsidR="00D85454" w:rsidRDefault="00D85454" w:rsidP="00D4053C">
      <w:pPr>
        <w:ind w:firstLine="1440"/>
        <w:rPr>
          <w:rFonts w:ascii="Times New Roman" w:hAnsi="Times New Roman"/>
          <w:sz w:val="26"/>
          <w:szCs w:val="26"/>
        </w:rPr>
      </w:pPr>
    </w:p>
    <w:p w:rsidR="00D85454" w:rsidRDefault="00D31B50" w:rsidP="00D4053C">
      <w:pPr>
        <w:ind w:firstLine="1440"/>
        <w:rPr>
          <w:rFonts w:ascii="Times New Roman" w:hAnsi="Times New Roman"/>
          <w:sz w:val="26"/>
          <w:szCs w:val="26"/>
        </w:rPr>
      </w:pPr>
      <w:r>
        <w:rPr>
          <w:rFonts w:ascii="Times New Roman" w:hAnsi="Times New Roman"/>
          <w:sz w:val="26"/>
          <w:szCs w:val="26"/>
        </w:rPr>
        <w:t xml:space="preserve">Next, Duquesne states that RESA’s legal argument relies on an inaccurate view of the facts and misinterprets the Competition Act.  Duquesne avers that the factual error in RESA’s argument is that EGSs can offer contracts that pass through NMB Transmission Costs to customers and that this </w:t>
      </w:r>
      <w:r w:rsidR="007D5031">
        <w:rPr>
          <w:rFonts w:ascii="Times New Roman" w:hAnsi="Times New Roman"/>
          <w:sz w:val="26"/>
          <w:szCs w:val="26"/>
        </w:rPr>
        <w:t>type of contract combined with D</w:t>
      </w:r>
      <w:r>
        <w:rPr>
          <w:rFonts w:ascii="Times New Roman" w:hAnsi="Times New Roman"/>
          <w:sz w:val="26"/>
          <w:szCs w:val="26"/>
        </w:rPr>
        <w:t>uquesne’s Purchase of Receivable program effectively guarantees EGSs recovery of NMB Transmission Costs.  In fact, Duquesne asserts that if an EGS customer does not pay their bill, under this scenario, the Company is the entity that bears the risk of non-payment because Duquesne pays the EGS for its receivables even if the customer does not pay.  Additionally, Duquesne explains that NMB Transmission Costs are billed by PJM to both the EDCs and EGSs at the same rates and there is no dis</w:t>
      </w:r>
      <w:r w:rsidR="005B79E6">
        <w:rPr>
          <w:rFonts w:ascii="Times New Roman" w:hAnsi="Times New Roman"/>
          <w:sz w:val="26"/>
          <w:szCs w:val="26"/>
        </w:rPr>
        <w:t>crimination by PJM as to the rat</w:t>
      </w:r>
      <w:r>
        <w:rPr>
          <w:rFonts w:ascii="Times New Roman" w:hAnsi="Times New Roman"/>
          <w:sz w:val="26"/>
          <w:szCs w:val="26"/>
        </w:rPr>
        <w:t>es it charges</w:t>
      </w:r>
      <w:r w:rsidR="005B79E6">
        <w:rPr>
          <w:rFonts w:ascii="Times New Roman" w:hAnsi="Times New Roman"/>
          <w:sz w:val="26"/>
          <w:szCs w:val="26"/>
        </w:rPr>
        <w:t xml:space="preserve"> and RESA has not offered any evidence in this proceeding to </w:t>
      </w:r>
      <w:r w:rsidR="005B79E6">
        <w:rPr>
          <w:rFonts w:ascii="Times New Roman" w:hAnsi="Times New Roman"/>
          <w:sz w:val="26"/>
          <w:szCs w:val="26"/>
        </w:rPr>
        <w:lastRenderedPageBreak/>
        <w:t xml:space="preserve">support such an argument.  Duquesne states that it elects to pass NMB Transmission Costs through to customers and EGSs can offer contracts that pass these costs through to customers as well.  As such, Duquesne opines that there is no discrimination.  Furthermore, Duquesne notes that its cost recovery method has previously been approved by the Commission in its last DSP proceeding.  </w:t>
      </w:r>
      <w:r>
        <w:rPr>
          <w:rFonts w:ascii="Times New Roman" w:hAnsi="Times New Roman"/>
          <w:sz w:val="26"/>
          <w:szCs w:val="26"/>
        </w:rPr>
        <w:t>Duquesne R. Exc. at 18-</w:t>
      </w:r>
      <w:r w:rsidR="005B79E6">
        <w:rPr>
          <w:rFonts w:ascii="Times New Roman" w:hAnsi="Times New Roman"/>
          <w:sz w:val="26"/>
          <w:szCs w:val="26"/>
        </w:rPr>
        <w:t>19.</w:t>
      </w:r>
    </w:p>
    <w:p w:rsidR="00DE2A31" w:rsidRDefault="00DE2A31" w:rsidP="00D4053C">
      <w:pPr>
        <w:ind w:firstLine="1440"/>
        <w:rPr>
          <w:rFonts w:ascii="Times New Roman" w:hAnsi="Times New Roman"/>
          <w:sz w:val="26"/>
          <w:szCs w:val="26"/>
        </w:rPr>
      </w:pPr>
    </w:p>
    <w:p w:rsidR="00DE2A31" w:rsidRDefault="00DE2A31" w:rsidP="004D492C">
      <w:pPr>
        <w:ind w:firstLine="1440"/>
        <w:rPr>
          <w:rFonts w:ascii="Times New Roman" w:hAnsi="Times New Roman"/>
          <w:sz w:val="26"/>
          <w:szCs w:val="26"/>
        </w:rPr>
      </w:pPr>
      <w:r>
        <w:rPr>
          <w:rFonts w:ascii="Times New Roman" w:hAnsi="Times New Roman"/>
          <w:sz w:val="26"/>
          <w:szCs w:val="26"/>
        </w:rPr>
        <w:t xml:space="preserve">Next, Duquesne claims that the </w:t>
      </w:r>
      <w:r>
        <w:rPr>
          <w:rFonts w:ascii="Times New Roman" w:hAnsi="Times New Roman"/>
          <w:i/>
          <w:sz w:val="26"/>
          <w:szCs w:val="26"/>
        </w:rPr>
        <w:t>Fixed Price Order</w:t>
      </w:r>
      <w:r w:rsidR="00144B91">
        <w:rPr>
          <w:rFonts w:ascii="Times New Roman" w:hAnsi="Times New Roman"/>
          <w:i/>
          <w:sz w:val="26"/>
          <w:szCs w:val="26"/>
        </w:rPr>
        <w:t xml:space="preserve"> </w:t>
      </w:r>
      <w:r w:rsidR="00144B91">
        <w:rPr>
          <w:rFonts w:ascii="Times New Roman" w:hAnsi="Times New Roman"/>
          <w:sz w:val="26"/>
          <w:szCs w:val="26"/>
        </w:rPr>
        <w:t xml:space="preserve">does not support RESA’s position, noting that the Commission specifically rejected this argument in the </w:t>
      </w:r>
      <w:r w:rsidR="00144B91">
        <w:rPr>
          <w:rFonts w:ascii="Times New Roman" w:hAnsi="Times New Roman"/>
          <w:i/>
          <w:sz w:val="26"/>
          <w:szCs w:val="26"/>
        </w:rPr>
        <w:t xml:space="preserve">FirstEnergy DSP Order </w:t>
      </w:r>
      <w:r w:rsidR="00144B91" w:rsidRPr="00144B91">
        <w:rPr>
          <w:rFonts w:ascii="Times New Roman" w:hAnsi="Times New Roman"/>
          <w:sz w:val="26"/>
          <w:szCs w:val="26"/>
        </w:rPr>
        <w:t>at 31-32.</w:t>
      </w:r>
      <w:r w:rsidR="00144B91">
        <w:rPr>
          <w:rFonts w:ascii="Times New Roman" w:hAnsi="Times New Roman"/>
          <w:sz w:val="26"/>
          <w:szCs w:val="26"/>
        </w:rPr>
        <w:t xml:space="preserve">  </w:t>
      </w:r>
      <w:r w:rsidR="00CF3DAE">
        <w:rPr>
          <w:rFonts w:ascii="Times New Roman" w:hAnsi="Times New Roman"/>
          <w:sz w:val="26"/>
          <w:szCs w:val="26"/>
        </w:rPr>
        <w:t xml:space="preserve">Duquesne opines that this Order simply does not allow EGSs to use a “Fixed Price” label when referring to a contract with variable rates. </w:t>
      </w:r>
      <w:r w:rsidR="00144B91">
        <w:rPr>
          <w:rFonts w:ascii="Times New Roman" w:hAnsi="Times New Roman"/>
          <w:sz w:val="26"/>
          <w:szCs w:val="26"/>
        </w:rPr>
        <w:t>Duquesne avers that RESA’s evidence regarding the volatility of NMB Transmission Costs is not significant and does not support its claim that these costs are unmanageable.  According to Duquesne, these cost</w:t>
      </w:r>
      <w:r w:rsidR="007D5031">
        <w:rPr>
          <w:rFonts w:ascii="Times New Roman" w:hAnsi="Times New Roman"/>
          <w:sz w:val="26"/>
          <w:szCs w:val="26"/>
        </w:rPr>
        <w:t>s are a small component of the P</w:t>
      </w:r>
      <w:r w:rsidR="00144B91">
        <w:rPr>
          <w:rFonts w:ascii="Times New Roman" w:hAnsi="Times New Roman"/>
          <w:sz w:val="26"/>
          <w:szCs w:val="26"/>
        </w:rPr>
        <w:t>rice To Compare</w:t>
      </w:r>
      <w:r w:rsidR="007D5031">
        <w:rPr>
          <w:rFonts w:ascii="Times New Roman" w:hAnsi="Times New Roman"/>
          <w:sz w:val="26"/>
          <w:szCs w:val="26"/>
        </w:rPr>
        <w:t xml:space="preserve"> (PTC)</w:t>
      </w:r>
      <w:r w:rsidR="00144B91">
        <w:rPr>
          <w:rFonts w:ascii="Times New Roman" w:hAnsi="Times New Roman"/>
          <w:sz w:val="26"/>
          <w:szCs w:val="26"/>
        </w:rPr>
        <w:t xml:space="preserve"> noting that its curren</w:t>
      </w:r>
      <w:r w:rsidR="007D5031">
        <w:rPr>
          <w:rFonts w:ascii="Times New Roman" w:hAnsi="Times New Roman"/>
          <w:sz w:val="26"/>
          <w:szCs w:val="26"/>
        </w:rPr>
        <w:t xml:space="preserve">t residential PTC is 8.08 cents per kWh of which 1.21 cents per </w:t>
      </w:r>
      <w:r w:rsidR="00144B91">
        <w:rPr>
          <w:rFonts w:ascii="Times New Roman" w:hAnsi="Times New Roman"/>
          <w:sz w:val="26"/>
          <w:szCs w:val="26"/>
        </w:rPr>
        <w:t xml:space="preserve">kWh </w:t>
      </w:r>
      <w:r w:rsidR="00E37C3D">
        <w:rPr>
          <w:rFonts w:ascii="Times New Roman" w:hAnsi="Times New Roman"/>
          <w:sz w:val="26"/>
          <w:szCs w:val="26"/>
        </w:rPr>
        <w:t xml:space="preserve">are </w:t>
      </w:r>
      <w:r w:rsidR="00144B91">
        <w:rPr>
          <w:rFonts w:ascii="Times New Roman" w:hAnsi="Times New Roman"/>
          <w:sz w:val="26"/>
          <w:szCs w:val="26"/>
        </w:rPr>
        <w:t>transmission costs.  Duquesne explains that this equates to approximately fifteen percent of the PTC</w:t>
      </w:r>
      <w:r w:rsidR="007D5031">
        <w:rPr>
          <w:rFonts w:ascii="Times New Roman" w:hAnsi="Times New Roman"/>
          <w:sz w:val="26"/>
          <w:szCs w:val="26"/>
        </w:rPr>
        <w:t>.  According to Duquesne,</w:t>
      </w:r>
      <w:r w:rsidR="000E63AF">
        <w:rPr>
          <w:rFonts w:ascii="Times New Roman" w:hAnsi="Times New Roman"/>
          <w:sz w:val="26"/>
          <w:szCs w:val="26"/>
        </w:rPr>
        <w:t xml:space="preserve"> </w:t>
      </w:r>
      <w:r w:rsidR="00144B91">
        <w:rPr>
          <w:rFonts w:ascii="Times New Roman" w:hAnsi="Times New Roman"/>
          <w:sz w:val="26"/>
          <w:szCs w:val="26"/>
        </w:rPr>
        <w:t xml:space="preserve">if the transmission costs increase by </w:t>
      </w:r>
      <w:r w:rsidR="00E37C3D">
        <w:rPr>
          <w:rFonts w:ascii="Times New Roman" w:hAnsi="Times New Roman"/>
          <w:sz w:val="26"/>
          <w:szCs w:val="26"/>
        </w:rPr>
        <w:t xml:space="preserve">9 </w:t>
      </w:r>
      <w:r w:rsidR="00144B91">
        <w:rPr>
          <w:rFonts w:ascii="Times New Roman" w:hAnsi="Times New Roman"/>
          <w:sz w:val="26"/>
          <w:szCs w:val="26"/>
        </w:rPr>
        <w:t>percent, this only increase</w:t>
      </w:r>
      <w:r w:rsidR="007D5031">
        <w:rPr>
          <w:rFonts w:ascii="Times New Roman" w:hAnsi="Times New Roman"/>
          <w:sz w:val="26"/>
          <w:szCs w:val="26"/>
        </w:rPr>
        <w:t>s</w:t>
      </w:r>
      <w:r w:rsidR="00144B91">
        <w:rPr>
          <w:rFonts w:ascii="Times New Roman" w:hAnsi="Times New Roman"/>
          <w:sz w:val="26"/>
          <w:szCs w:val="26"/>
        </w:rPr>
        <w:t xml:space="preserve"> the PTC by 1.4 percent.  Additionally, Duquesne notes that </w:t>
      </w:r>
      <w:r w:rsidR="00CF3DAE">
        <w:rPr>
          <w:rFonts w:ascii="Times New Roman" w:hAnsi="Times New Roman"/>
          <w:sz w:val="26"/>
          <w:szCs w:val="26"/>
        </w:rPr>
        <w:t>ten of the twenty zones cited by RESA had no change in the NITS rate and one zone had a decrease.  As such, Duquesne opines that RESA’s snapshot of NITS changes in PJM for June 1, 2014, is not significant evidence supporting its claim that NITS charges are unmanagea</w:t>
      </w:r>
      <w:r w:rsidR="004D492C">
        <w:rPr>
          <w:rFonts w:ascii="Times New Roman" w:hAnsi="Times New Roman"/>
          <w:sz w:val="26"/>
          <w:szCs w:val="26"/>
        </w:rPr>
        <w:t>ble.  Duquesne R. Exc. at 19-21.</w:t>
      </w:r>
    </w:p>
    <w:p w:rsidR="004D492C" w:rsidRDefault="004D492C" w:rsidP="00D4053C">
      <w:pPr>
        <w:ind w:firstLine="1440"/>
        <w:rPr>
          <w:rFonts w:ascii="Times New Roman" w:hAnsi="Times New Roman"/>
          <w:sz w:val="26"/>
          <w:szCs w:val="26"/>
        </w:rPr>
      </w:pPr>
    </w:p>
    <w:p w:rsidR="004D492C" w:rsidRDefault="004D492C" w:rsidP="00D4053C">
      <w:pPr>
        <w:ind w:firstLine="1440"/>
        <w:rPr>
          <w:rFonts w:ascii="Times New Roman" w:hAnsi="Times New Roman"/>
          <w:sz w:val="26"/>
          <w:szCs w:val="26"/>
        </w:rPr>
      </w:pPr>
      <w:r>
        <w:rPr>
          <w:rFonts w:ascii="Times New Roman" w:hAnsi="Times New Roman"/>
          <w:sz w:val="26"/>
          <w:szCs w:val="26"/>
        </w:rPr>
        <w:t xml:space="preserve">Lastly, Duquesne states that the RESA alternative NMB Transmission Cost recovery proposal should also be denied as this would give EGSs an advantage over wholesale suppliers because EGSs could offer contracts to customers to pass through NITS Costs but wholesale suppliers would be required to offer fixed prices to Duquesne.  Additionally, Duquesne avers that RESA only offered its alternative proposal for the first time in its surrebuttal testimony which did not give the other parties the opportunity to respond to this proposal on the record.  Duquesne also claims that the </w:t>
      </w:r>
      <w:r>
        <w:rPr>
          <w:rFonts w:ascii="Times New Roman" w:hAnsi="Times New Roman"/>
          <w:i/>
          <w:sz w:val="26"/>
          <w:szCs w:val="26"/>
        </w:rPr>
        <w:t xml:space="preserve">FirstEnergy DSP </w:t>
      </w:r>
      <w:r>
        <w:rPr>
          <w:rFonts w:ascii="Times New Roman" w:hAnsi="Times New Roman"/>
          <w:i/>
          <w:sz w:val="26"/>
          <w:szCs w:val="26"/>
        </w:rPr>
        <w:lastRenderedPageBreak/>
        <w:t>Order</w:t>
      </w:r>
      <w:r>
        <w:rPr>
          <w:rFonts w:ascii="Times New Roman" w:hAnsi="Times New Roman"/>
          <w:sz w:val="26"/>
          <w:szCs w:val="26"/>
        </w:rPr>
        <w:t xml:space="preserve"> does not support RESA’s position.  According to Duquesne, FirstEnergy voluntarily proposed to require wholesale suppliers to be responsible for NITS charges</w:t>
      </w:r>
      <w:r w:rsidR="003B6FE7">
        <w:rPr>
          <w:rFonts w:ascii="Times New Roman" w:hAnsi="Times New Roman"/>
          <w:sz w:val="26"/>
          <w:szCs w:val="26"/>
        </w:rPr>
        <w:t xml:space="preserve"> and that this issue was not litigated in that proceeding.  Moreover, Duquesne opines that PPL Electric does not require wholesale suppliers to bear NITS costs.  </w:t>
      </w:r>
      <w:r w:rsidR="003B6FE7">
        <w:rPr>
          <w:rFonts w:ascii="Times New Roman" w:hAnsi="Times New Roman"/>
          <w:i/>
          <w:sz w:val="26"/>
          <w:szCs w:val="26"/>
        </w:rPr>
        <w:t>Petition of PPL Electric Utilities Corporation for</w:t>
      </w:r>
      <w:r w:rsidR="007D5031">
        <w:rPr>
          <w:rFonts w:ascii="Times New Roman" w:hAnsi="Times New Roman"/>
          <w:i/>
          <w:sz w:val="26"/>
          <w:szCs w:val="26"/>
        </w:rPr>
        <w:t xml:space="preserve"> Approval of a Default Service Program and P</w:t>
      </w:r>
      <w:r w:rsidR="003B6FE7">
        <w:rPr>
          <w:rFonts w:ascii="Times New Roman" w:hAnsi="Times New Roman"/>
          <w:i/>
          <w:sz w:val="26"/>
          <w:szCs w:val="26"/>
        </w:rPr>
        <w:t xml:space="preserve">rocurement Plan for the Period June 1, 2015 Through May 31, 2017, </w:t>
      </w:r>
      <w:r w:rsidR="003B6FE7">
        <w:rPr>
          <w:rFonts w:ascii="Times New Roman" w:hAnsi="Times New Roman"/>
          <w:sz w:val="26"/>
          <w:szCs w:val="26"/>
        </w:rPr>
        <w:t>Docket No. P</w:t>
      </w:r>
      <w:r w:rsidR="007A36FA">
        <w:rPr>
          <w:rFonts w:ascii="Times New Roman" w:hAnsi="Times New Roman"/>
          <w:sz w:val="26"/>
          <w:szCs w:val="26"/>
        </w:rPr>
        <w:noBreakHyphen/>
      </w:r>
      <w:r w:rsidR="003B6FE7">
        <w:rPr>
          <w:rFonts w:ascii="Times New Roman" w:hAnsi="Times New Roman"/>
          <w:sz w:val="26"/>
          <w:szCs w:val="26"/>
        </w:rPr>
        <w:t>2014-2417907.</w:t>
      </w:r>
      <w:r>
        <w:rPr>
          <w:rFonts w:ascii="Times New Roman" w:hAnsi="Times New Roman"/>
          <w:sz w:val="26"/>
          <w:szCs w:val="26"/>
        </w:rPr>
        <w:t xml:space="preserve">  </w:t>
      </w:r>
      <w:r w:rsidR="003B6FE7">
        <w:rPr>
          <w:rFonts w:ascii="Times New Roman" w:hAnsi="Times New Roman"/>
          <w:sz w:val="26"/>
          <w:szCs w:val="26"/>
        </w:rPr>
        <w:t>Duquesne R. Exc. at 21-22.</w:t>
      </w:r>
    </w:p>
    <w:p w:rsidR="004E4711" w:rsidRDefault="004E4711" w:rsidP="004E4711">
      <w:pPr>
        <w:ind w:firstLine="1440"/>
        <w:rPr>
          <w:rFonts w:ascii="Times New Roman" w:hAnsi="Times New Roman"/>
          <w:sz w:val="26"/>
          <w:szCs w:val="26"/>
        </w:rPr>
      </w:pPr>
    </w:p>
    <w:p w:rsidR="004E4711" w:rsidRPr="00CC61FC" w:rsidRDefault="004E4711" w:rsidP="004E4711">
      <w:pPr>
        <w:ind w:firstLine="1440"/>
        <w:rPr>
          <w:rFonts w:ascii="Times New Roman" w:hAnsi="Times New Roman"/>
          <w:sz w:val="26"/>
          <w:szCs w:val="26"/>
          <w:u w:val="single"/>
        </w:rPr>
      </w:pPr>
      <w:r>
        <w:rPr>
          <w:rFonts w:ascii="Times New Roman" w:hAnsi="Times New Roman"/>
          <w:sz w:val="26"/>
          <w:szCs w:val="26"/>
        </w:rPr>
        <w:t xml:space="preserve">In its Replies to Exceptions, DII states that the ALJ’s recommendation correctly held that a non-bypassable collection of transmission costs should be rejected based on Commission precedent.  </w:t>
      </w:r>
      <w:r w:rsidR="00CC61FC">
        <w:rPr>
          <w:rFonts w:ascii="Times New Roman" w:hAnsi="Times New Roman"/>
          <w:sz w:val="26"/>
          <w:szCs w:val="26"/>
        </w:rPr>
        <w:t xml:space="preserve">DII claims that the Commission considered and rejected non-bypassable NMB Transmission Costs in the last round of DSP proceedings for all major EDCs, including Duquesne’s.  DII asserts that each of these prior DSP proceedings contained extensive factual records, with arguments both in support and opposition of a non-bypassable transmission cost collection, that were fully considered by the Commission.  DII avers that RESA’s attempt to rehash arguments made in those proceedings to once again support a non-bypassable collection of NMB Transmission Costs should be disregarded based on these prior findings.  Moreover, DII notes that the Commission’s </w:t>
      </w:r>
      <w:r w:rsidR="00CC61FC">
        <w:rPr>
          <w:rFonts w:ascii="Times New Roman" w:hAnsi="Times New Roman"/>
          <w:i/>
          <w:sz w:val="26"/>
          <w:szCs w:val="26"/>
        </w:rPr>
        <w:t>Fixed Price Order</w:t>
      </w:r>
      <w:r w:rsidR="00CC61FC">
        <w:rPr>
          <w:rFonts w:ascii="Times New Roman" w:hAnsi="Times New Roman"/>
          <w:sz w:val="26"/>
          <w:szCs w:val="26"/>
        </w:rPr>
        <w:t xml:space="preserve"> is inapplicable to non-bypassable NMB Transmission Cost collections.  According to DII, the </w:t>
      </w:r>
      <w:r w:rsidR="00CC61FC">
        <w:rPr>
          <w:rFonts w:ascii="Times New Roman" w:hAnsi="Times New Roman"/>
          <w:i/>
          <w:sz w:val="26"/>
          <w:szCs w:val="26"/>
        </w:rPr>
        <w:t xml:space="preserve">Fixed Price Order </w:t>
      </w:r>
      <w:r w:rsidR="00CC61FC" w:rsidRPr="00CC61FC">
        <w:rPr>
          <w:rFonts w:ascii="Times New Roman" w:hAnsi="Times New Roman"/>
          <w:sz w:val="26"/>
          <w:szCs w:val="26"/>
        </w:rPr>
        <w:t>merely provides labeling transparency regarding w</w:t>
      </w:r>
      <w:r w:rsidR="00CC61FC">
        <w:rPr>
          <w:rFonts w:ascii="Times New Roman" w:hAnsi="Times New Roman"/>
          <w:sz w:val="26"/>
          <w:szCs w:val="26"/>
        </w:rPr>
        <w:t>h</w:t>
      </w:r>
      <w:r w:rsidR="00CC61FC" w:rsidRPr="00CC61FC">
        <w:rPr>
          <w:rFonts w:ascii="Times New Roman" w:hAnsi="Times New Roman"/>
          <w:sz w:val="26"/>
          <w:szCs w:val="26"/>
        </w:rPr>
        <w:t>ether contracts include a fixed price or a price with pass-through components.</w:t>
      </w:r>
      <w:r w:rsidR="00CC61FC">
        <w:rPr>
          <w:rFonts w:ascii="Times New Roman" w:hAnsi="Times New Roman"/>
          <w:sz w:val="26"/>
          <w:szCs w:val="26"/>
        </w:rPr>
        <w:t xml:space="preserve">  DII maintains that the </w:t>
      </w:r>
      <w:r w:rsidR="00CC61FC">
        <w:rPr>
          <w:rFonts w:ascii="Times New Roman" w:hAnsi="Times New Roman"/>
          <w:i/>
          <w:sz w:val="26"/>
          <w:szCs w:val="26"/>
        </w:rPr>
        <w:t>Fixed Price Order</w:t>
      </w:r>
      <w:r w:rsidR="00CC61FC">
        <w:rPr>
          <w:rFonts w:ascii="Times New Roman" w:hAnsi="Times New Roman"/>
          <w:sz w:val="26"/>
          <w:szCs w:val="26"/>
        </w:rPr>
        <w:t xml:space="preserve"> is entirely silent regarding whether a non-bypassable NMB Transmission Cost collection is appropriate</w:t>
      </w:r>
      <w:r w:rsidR="00BA2751">
        <w:rPr>
          <w:rFonts w:ascii="Times New Roman" w:hAnsi="Times New Roman"/>
          <w:sz w:val="26"/>
          <w:szCs w:val="26"/>
        </w:rPr>
        <w:t>.</w:t>
      </w:r>
    </w:p>
    <w:p w:rsidR="001B4259" w:rsidRPr="0096775E" w:rsidRDefault="004E4711" w:rsidP="00BA2751">
      <w:pPr>
        <w:rPr>
          <w:rFonts w:ascii="Times New Roman" w:hAnsi="Times New Roman"/>
          <w:b/>
          <w:sz w:val="26"/>
          <w:szCs w:val="26"/>
        </w:rPr>
      </w:pPr>
      <w:r w:rsidRPr="00BA2751">
        <w:rPr>
          <w:rFonts w:ascii="Times New Roman" w:hAnsi="Times New Roman"/>
          <w:sz w:val="26"/>
          <w:szCs w:val="26"/>
        </w:rPr>
        <w:t>DII R.</w:t>
      </w:r>
      <w:r w:rsidR="00BA2751" w:rsidRPr="00BA2751">
        <w:rPr>
          <w:rFonts w:ascii="Times New Roman" w:hAnsi="Times New Roman"/>
          <w:sz w:val="26"/>
          <w:szCs w:val="26"/>
        </w:rPr>
        <w:t xml:space="preserve"> </w:t>
      </w:r>
      <w:r w:rsidRPr="00BA2751">
        <w:rPr>
          <w:rFonts w:ascii="Times New Roman" w:hAnsi="Times New Roman"/>
          <w:sz w:val="26"/>
          <w:szCs w:val="26"/>
        </w:rPr>
        <w:t>Exc</w:t>
      </w:r>
      <w:r>
        <w:rPr>
          <w:rFonts w:ascii="Times New Roman" w:hAnsi="Times New Roman"/>
          <w:sz w:val="26"/>
          <w:szCs w:val="26"/>
        </w:rPr>
        <w:t>. at 4-</w:t>
      </w:r>
      <w:r w:rsidR="00BA2751">
        <w:rPr>
          <w:rFonts w:ascii="Times New Roman" w:hAnsi="Times New Roman"/>
          <w:sz w:val="26"/>
          <w:szCs w:val="26"/>
        </w:rPr>
        <w:t>7.</w:t>
      </w:r>
    </w:p>
    <w:p w:rsidR="003B6212" w:rsidRPr="0096775E" w:rsidRDefault="003B6212" w:rsidP="00BA2751">
      <w:pPr>
        <w:rPr>
          <w:rFonts w:ascii="Times New Roman" w:hAnsi="Times New Roman"/>
          <w:b/>
          <w:sz w:val="26"/>
          <w:szCs w:val="26"/>
        </w:rPr>
      </w:pPr>
    </w:p>
    <w:p w:rsidR="003B6212" w:rsidRDefault="003B6212" w:rsidP="007A36FA">
      <w:pPr>
        <w:keepNext/>
        <w:rPr>
          <w:rFonts w:ascii="Times New Roman" w:hAnsi="Times New Roman"/>
          <w:b/>
          <w:sz w:val="26"/>
          <w:szCs w:val="26"/>
        </w:rPr>
      </w:pPr>
      <w:r w:rsidRPr="0096775E">
        <w:rPr>
          <w:rFonts w:ascii="Times New Roman" w:hAnsi="Times New Roman"/>
          <w:b/>
          <w:sz w:val="26"/>
          <w:szCs w:val="26"/>
        </w:rPr>
        <w:tab/>
        <w:t>4.</w:t>
      </w:r>
      <w:r w:rsidRPr="0096775E">
        <w:rPr>
          <w:rFonts w:ascii="Times New Roman" w:hAnsi="Times New Roman"/>
          <w:b/>
          <w:sz w:val="26"/>
          <w:szCs w:val="26"/>
        </w:rPr>
        <w:tab/>
        <w:t>Disposition</w:t>
      </w:r>
    </w:p>
    <w:p w:rsidR="007D5031" w:rsidRDefault="007D5031" w:rsidP="007A36FA">
      <w:pPr>
        <w:keepNext/>
        <w:rPr>
          <w:rFonts w:ascii="Times New Roman" w:hAnsi="Times New Roman"/>
          <w:b/>
          <w:sz w:val="26"/>
          <w:szCs w:val="26"/>
        </w:rPr>
      </w:pPr>
    </w:p>
    <w:p w:rsidR="000137FD" w:rsidRDefault="007D5031" w:rsidP="003B6212">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sidRPr="007D5031">
        <w:rPr>
          <w:rFonts w:ascii="Times New Roman" w:hAnsi="Times New Roman"/>
          <w:sz w:val="26"/>
          <w:szCs w:val="26"/>
        </w:rPr>
        <w:t>Upon our consideration</w:t>
      </w:r>
      <w:r>
        <w:rPr>
          <w:rFonts w:ascii="Times New Roman" w:hAnsi="Times New Roman"/>
          <w:sz w:val="26"/>
          <w:szCs w:val="26"/>
        </w:rPr>
        <w:t xml:space="preserve"> of the evid</w:t>
      </w:r>
      <w:r w:rsidR="00972570">
        <w:rPr>
          <w:rFonts w:ascii="Times New Roman" w:hAnsi="Times New Roman"/>
          <w:sz w:val="26"/>
          <w:szCs w:val="26"/>
        </w:rPr>
        <w:t>ence of record, as well as the E</w:t>
      </w:r>
      <w:r>
        <w:rPr>
          <w:rFonts w:ascii="Times New Roman" w:hAnsi="Times New Roman"/>
          <w:sz w:val="26"/>
          <w:szCs w:val="26"/>
        </w:rPr>
        <w:t xml:space="preserve">xceptions and Replies thereto, we are persuaded by the arguments of Duquesne and DII that the </w:t>
      </w:r>
      <w:r>
        <w:rPr>
          <w:rFonts w:ascii="Times New Roman" w:hAnsi="Times New Roman"/>
          <w:sz w:val="26"/>
          <w:szCs w:val="26"/>
        </w:rPr>
        <w:lastRenderedPageBreak/>
        <w:t>evidence presented by RESA</w:t>
      </w:r>
      <w:r w:rsidR="00972570">
        <w:rPr>
          <w:rFonts w:ascii="Times New Roman" w:hAnsi="Times New Roman"/>
          <w:sz w:val="26"/>
          <w:szCs w:val="26"/>
        </w:rPr>
        <w:t xml:space="preserve"> and Exelon Gen</w:t>
      </w:r>
      <w:r>
        <w:rPr>
          <w:rFonts w:ascii="Times New Roman" w:hAnsi="Times New Roman"/>
          <w:sz w:val="26"/>
          <w:szCs w:val="26"/>
        </w:rPr>
        <w:t xml:space="preserve"> is insufficient to cause the Commission to alter our decision within Duquesne’s DSP VI proceeding that the costs in question should not be collected through a non-bypassable recovery mechanism</w:t>
      </w:r>
      <w:r w:rsidR="00972570">
        <w:rPr>
          <w:rFonts w:ascii="Times New Roman" w:hAnsi="Times New Roman"/>
          <w:sz w:val="26"/>
          <w:szCs w:val="26"/>
        </w:rPr>
        <w:t xml:space="preserve"> as proposed by these two Parties</w:t>
      </w:r>
      <w:r w:rsidR="000137FD">
        <w:rPr>
          <w:rFonts w:ascii="Times New Roman" w:hAnsi="Times New Roman"/>
          <w:sz w:val="26"/>
          <w:szCs w:val="26"/>
        </w:rPr>
        <w:t xml:space="preserve"> or that Duquesne should assume the cost responsibility for all of these charges on behalf of both the wholesale and default service suppliers and EGSs.  </w:t>
      </w:r>
      <w:r w:rsidR="00972570">
        <w:rPr>
          <w:rFonts w:ascii="Times New Roman" w:hAnsi="Times New Roman"/>
          <w:sz w:val="26"/>
          <w:szCs w:val="26"/>
        </w:rPr>
        <w:t xml:space="preserve">We conclude that neither our </w:t>
      </w:r>
      <w:r w:rsidR="00972570">
        <w:rPr>
          <w:rFonts w:ascii="Times New Roman" w:hAnsi="Times New Roman"/>
          <w:i/>
          <w:sz w:val="26"/>
          <w:szCs w:val="26"/>
        </w:rPr>
        <w:t>Fixed Price Order</w:t>
      </w:r>
      <w:r w:rsidR="00972570">
        <w:rPr>
          <w:rFonts w:ascii="Times New Roman" w:hAnsi="Times New Roman"/>
          <w:sz w:val="26"/>
          <w:szCs w:val="26"/>
        </w:rPr>
        <w:t>, entered in November of 2013, nor the evidence presented by RESA of alleged transmission cost volatility in PJM</w:t>
      </w:r>
      <w:r w:rsidR="00AD0B76">
        <w:rPr>
          <w:rFonts w:ascii="Times New Roman" w:hAnsi="Times New Roman"/>
          <w:sz w:val="26"/>
          <w:szCs w:val="26"/>
        </w:rPr>
        <w:t>,</w:t>
      </w:r>
      <w:r>
        <w:rPr>
          <w:rFonts w:ascii="Times New Roman" w:hAnsi="Times New Roman"/>
          <w:sz w:val="26"/>
          <w:szCs w:val="26"/>
        </w:rPr>
        <w:t xml:space="preserve"> </w:t>
      </w:r>
      <w:r w:rsidR="000137FD">
        <w:rPr>
          <w:rFonts w:ascii="Times New Roman" w:hAnsi="Times New Roman"/>
          <w:sz w:val="26"/>
          <w:szCs w:val="26"/>
        </w:rPr>
        <w:t>rises to a level which would warrant a revision to the</w:t>
      </w:r>
      <w:r w:rsidR="00972570">
        <w:rPr>
          <w:rFonts w:ascii="Times New Roman" w:hAnsi="Times New Roman"/>
          <w:sz w:val="26"/>
          <w:szCs w:val="26"/>
        </w:rPr>
        <w:t xml:space="preserve"> current</w:t>
      </w:r>
      <w:r w:rsidR="000137FD">
        <w:rPr>
          <w:rFonts w:ascii="Times New Roman" w:hAnsi="Times New Roman"/>
          <w:sz w:val="26"/>
          <w:szCs w:val="26"/>
        </w:rPr>
        <w:t>ly approved</w:t>
      </w:r>
      <w:r w:rsidR="00972570">
        <w:rPr>
          <w:rFonts w:ascii="Times New Roman" w:hAnsi="Times New Roman"/>
          <w:sz w:val="26"/>
          <w:szCs w:val="26"/>
        </w:rPr>
        <w:t xml:space="preserve"> recovery methodology for these transmission related costs.  </w:t>
      </w:r>
      <w:r w:rsidR="006D1EC9">
        <w:rPr>
          <w:rFonts w:ascii="Times New Roman" w:hAnsi="Times New Roman"/>
          <w:sz w:val="26"/>
          <w:szCs w:val="26"/>
        </w:rPr>
        <w:t xml:space="preserve">As such, we are in agreement with the ALJ’s recommendation that the transmission cost recovery </w:t>
      </w:r>
      <w:r w:rsidR="000E63AF">
        <w:rPr>
          <w:rFonts w:ascii="Times New Roman" w:hAnsi="Times New Roman"/>
          <w:sz w:val="26"/>
          <w:szCs w:val="26"/>
        </w:rPr>
        <w:t xml:space="preserve">methodology </w:t>
      </w:r>
      <w:r w:rsidR="006D1EC9">
        <w:rPr>
          <w:rFonts w:ascii="Times New Roman" w:hAnsi="Times New Roman"/>
          <w:sz w:val="26"/>
          <w:szCs w:val="26"/>
        </w:rPr>
        <w:t>proposed by the Company is reasonable and should be approved.</w:t>
      </w:r>
      <w:r w:rsidR="004A1B87">
        <w:rPr>
          <w:rFonts w:ascii="Times New Roman" w:hAnsi="Times New Roman"/>
          <w:sz w:val="26"/>
          <w:szCs w:val="26"/>
        </w:rPr>
        <w:t xml:space="preserve">  Accordingly, we shall deny the Exceptions filed by RESA on this issue.</w:t>
      </w:r>
      <w:r w:rsidR="006D1EC9">
        <w:rPr>
          <w:rFonts w:ascii="Times New Roman" w:hAnsi="Times New Roman"/>
          <w:sz w:val="26"/>
          <w:szCs w:val="26"/>
        </w:rPr>
        <w:t xml:space="preserve">   </w:t>
      </w:r>
    </w:p>
    <w:p w:rsidR="003B6212" w:rsidRPr="0096775E" w:rsidRDefault="003B6212" w:rsidP="003B6212">
      <w:pPr>
        <w:pStyle w:val="BodyText"/>
        <w:spacing w:after="0"/>
        <w:rPr>
          <w:rFonts w:ascii="Times New Roman" w:hAnsi="Times New Roman"/>
          <w:sz w:val="26"/>
          <w:szCs w:val="26"/>
        </w:rPr>
      </w:pPr>
    </w:p>
    <w:p w:rsidR="003B6212" w:rsidRPr="0096775E" w:rsidRDefault="003B6212" w:rsidP="007A36FA">
      <w:pPr>
        <w:keepNext/>
        <w:jc w:val="center"/>
        <w:rPr>
          <w:rFonts w:ascii="Times New Roman" w:hAnsi="Times New Roman"/>
          <w:b/>
          <w:sz w:val="26"/>
          <w:szCs w:val="26"/>
        </w:rPr>
      </w:pPr>
      <w:r w:rsidRPr="0096775E">
        <w:rPr>
          <w:rFonts w:ascii="Times New Roman" w:hAnsi="Times New Roman"/>
          <w:b/>
          <w:sz w:val="26"/>
          <w:szCs w:val="26"/>
        </w:rPr>
        <w:t>IV.</w:t>
      </w:r>
      <w:r w:rsidRPr="0096775E">
        <w:rPr>
          <w:rFonts w:ascii="Times New Roman" w:hAnsi="Times New Roman"/>
          <w:b/>
          <w:sz w:val="26"/>
          <w:szCs w:val="26"/>
        </w:rPr>
        <w:tab/>
        <w:t>Conclusion</w:t>
      </w:r>
    </w:p>
    <w:p w:rsidR="003B6212" w:rsidRPr="0096775E" w:rsidRDefault="003B6212" w:rsidP="007A36FA">
      <w:pPr>
        <w:keepNext/>
        <w:jc w:val="center"/>
        <w:rPr>
          <w:rFonts w:ascii="Times New Roman" w:hAnsi="Times New Roman"/>
          <w:b/>
          <w:sz w:val="26"/>
          <w:szCs w:val="26"/>
        </w:rPr>
      </w:pPr>
    </w:p>
    <w:p w:rsidR="003B6212" w:rsidRPr="0096775E" w:rsidRDefault="003B6212" w:rsidP="003B6212">
      <w:pPr>
        <w:rPr>
          <w:rFonts w:ascii="Times New Roman" w:hAnsi="Times New Roman"/>
          <w:b/>
          <w:sz w:val="26"/>
          <w:szCs w:val="26"/>
        </w:rPr>
      </w:pPr>
      <w:r w:rsidRPr="0096775E">
        <w:rPr>
          <w:rFonts w:ascii="Times New Roman" w:hAnsi="Times New Roman"/>
          <w:sz w:val="26"/>
          <w:szCs w:val="26"/>
        </w:rPr>
        <w:tab/>
      </w:r>
      <w:r w:rsidRPr="0096775E">
        <w:rPr>
          <w:rFonts w:ascii="Times New Roman" w:hAnsi="Times New Roman"/>
          <w:sz w:val="26"/>
          <w:szCs w:val="26"/>
        </w:rPr>
        <w:tab/>
        <w:t>Based on our review, evaluation and analysis of the record evidence, we shall grant the Exceptions filed by Duquesne and Noble, and den</w:t>
      </w:r>
      <w:r w:rsidR="00306CCF">
        <w:rPr>
          <w:rFonts w:ascii="Times New Roman" w:hAnsi="Times New Roman"/>
          <w:sz w:val="26"/>
          <w:szCs w:val="26"/>
        </w:rPr>
        <w:t xml:space="preserve">y the Exceptions filed by RESA, </w:t>
      </w:r>
      <w:r w:rsidRPr="0096775E">
        <w:rPr>
          <w:rFonts w:ascii="Times New Roman" w:hAnsi="Times New Roman"/>
          <w:sz w:val="26"/>
          <w:szCs w:val="26"/>
        </w:rPr>
        <w:t>consistent with the discussion contained in the body of this Opinion and Order.  We shall adopt the ALJ’s Recommended Decision</w:t>
      </w:r>
      <w:r w:rsidR="00306CCF">
        <w:rPr>
          <w:rFonts w:ascii="Times New Roman" w:hAnsi="Times New Roman"/>
          <w:sz w:val="26"/>
          <w:szCs w:val="26"/>
        </w:rPr>
        <w:t xml:space="preserve">, as clarified, </w:t>
      </w:r>
      <w:r w:rsidRPr="0096775E">
        <w:rPr>
          <w:rFonts w:ascii="Times New Roman" w:hAnsi="Times New Roman"/>
          <w:sz w:val="26"/>
          <w:szCs w:val="26"/>
        </w:rPr>
        <w:t>to approve the Stipulation, adopt the ALJ’s Recommended Decision with r</w:t>
      </w:r>
      <w:r w:rsidR="00306CCF">
        <w:rPr>
          <w:rFonts w:ascii="Times New Roman" w:hAnsi="Times New Roman"/>
          <w:sz w:val="26"/>
          <w:szCs w:val="26"/>
        </w:rPr>
        <w:t>egard to the Small C&amp;I customer procurement, to the Medium C&amp;I customer procurement</w:t>
      </w:r>
      <w:r w:rsidRPr="0096775E">
        <w:rPr>
          <w:rFonts w:ascii="Times New Roman" w:hAnsi="Times New Roman"/>
          <w:sz w:val="26"/>
          <w:szCs w:val="26"/>
        </w:rPr>
        <w:t xml:space="preserve">, </w:t>
      </w:r>
      <w:r w:rsidR="00306CCF">
        <w:rPr>
          <w:rFonts w:ascii="Times New Roman" w:hAnsi="Times New Roman"/>
          <w:sz w:val="26"/>
          <w:szCs w:val="26"/>
        </w:rPr>
        <w:t xml:space="preserve">as clarified, </w:t>
      </w:r>
      <w:r w:rsidRPr="0096775E">
        <w:rPr>
          <w:rFonts w:ascii="Times New Roman" w:hAnsi="Times New Roman"/>
          <w:sz w:val="26"/>
          <w:szCs w:val="26"/>
        </w:rPr>
        <w:t>to the Larg</w:t>
      </w:r>
      <w:r w:rsidR="00306CCF">
        <w:rPr>
          <w:rFonts w:ascii="Times New Roman" w:hAnsi="Times New Roman"/>
          <w:sz w:val="26"/>
          <w:szCs w:val="26"/>
        </w:rPr>
        <w:t>e C&amp;I customer procurement</w:t>
      </w:r>
      <w:r w:rsidRPr="0096775E">
        <w:rPr>
          <w:rFonts w:ascii="Times New Roman" w:hAnsi="Times New Roman"/>
          <w:sz w:val="26"/>
          <w:szCs w:val="26"/>
        </w:rPr>
        <w:t xml:space="preserve"> and </w:t>
      </w:r>
      <w:r w:rsidR="00306CCF">
        <w:rPr>
          <w:rFonts w:ascii="Times New Roman" w:hAnsi="Times New Roman"/>
          <w:sz w:val="26"/>
          <w:szCs w:val="26"/>
        </w:rPr>
        <w:t xml:space="preserve">to </w:t>
      </w:r>
      <w:r w:rsidRPr="0096775E">
        <w:rPr>
          <w:rFonts w:ascii="Times New Roman" w:hAnsi="Times New Roman"/>
          <w:sz w:val="26"/>
          <w:szCs w:val="26"/>
        </w:rPr>
        <w:t xml:space="preserve">the recovery of certain PJM Charges via a non-bypassable mechanism, consistent with our discussion, </w:t>
      </w:r>
      <w:r w:rsidRPr="0096775E">
        <w:rPr>
          <w:rFonts w:ascii="Times New Roman" w:hAnsi="Times New Roman"/>
          <w:i/>
          <w:sz w:val="26"/>
          <w:szCs w:val="26"/>
        </w:rPr>
        <w:t>supra</w:t>
      </w:r>
      <w:r w:rsidRPr="0096775E">
        <w:rPr>
          <w:rFonts w:ascii="Times New Roman" w:hAnsi="Times New Roman"/>
          <w:sz w:val="26"/>
          <w:szCs w:val="26"/>
        </w:rPr>
        <w:t xml:space="preserve">; </w:t>
      </w:r>
      <w:r w:rsidRPr="0096775E">
        <w:rPr>
          <w:rFonts w:ascii="Times New Roman" w:hAnsi="Times New Roman"/>
          <w:b/>
          <w:sz w:val="26"/>
          <w:szCs w:val="26"/>
        </w:rPr>
        <w:t>THEREFORE,</w:t>
      </w:r>
    </w:p>
    <w:p w:rsidR="003B6212" w:rsidRPr="0096775E" w:rsidRDefault="003B6212" w:rsidP="003B6212">
      <w:pPr>
        <w:rPr>
          <w:rFonts w:ascii="Times New Roman" w:hAnsi="Times New Roman"/>
          <w:b/>
          <w:sz w:val="26"/>
          <w:szCs w:val="26"/>
        </w:rPr>
      </w:pPr>
    </w:p>
    <w:p w:rsidR="003B6212" w:rsidRPr="0096775E" w:rsidRDefault="003B6212" w:rsidP="003B6212">
      <w:pPr>
        <w:rPr>
          <w:rFonts w:ascii="Times New Roman" w:hAnsi="Times New Roman"/>
          <w:b/>
          <w:sz w:val="26"/>
          <w:szCs w:val="26"/>
        </w:rPr>
      </w:pPr>
      <w:r w:rsidRPr="0096775E">
        <w:rPr>
          <w:rFonts w:ascii="Times New Roman" w:hAnsi="Times New Roman"/>
          <w:b/>
          <w:sz w:val="26"/>
          <w:szCs w:val="26"/>
        </w:rPr>
        <w:tab/>
      </w:r>
      <w:r w:rsidRPr="0096775E">
        <w:rPr>
          <w:rFonts w:ascii="Times New Roman" w:hAnsi="Times New Roman"/>
          <w:b/>
          <w:sz w:val="26"/>
          <w:szCs w:val="26"/>
        </w:rPr>
        <w:tab/>
        <w:t>IT IS ORDERED:</w:t>
      </w:r>
    </w:p>
    <w:p w:rsidR="003B6212" w:rsidRPr="0096775E" w:rsidRDefault="003B6212" w:rsidP="003B6212">
      <w:pPr>
        <w:rPr>
          <w:rFonts w:ascii="Times New Roman" w:hAnsi="Times New Roman"/>
          <w:b/>
          <w:sz w:val="26"/>
          <w:szCs w:val="26"/>
        </w:rPr>
      </w:pPr>
    </w:p>
    <w:p w:rsidR="003B6212" w:rsidRPr="0096775E" w:rsidRDefault="003B6212" w:rsidP="003B6212">
      <w:pPr>
        <w:ind w:firstLine="1440"/>
        <w:rPr>
          <w:rFonts w:ascii="Times New Roman" w:hAnsi="Times New Roman"/>
          <w:sz w:val="26"/>
          <w:szCs w:val="26"/>
        </w:rPr>
      </w:pPr>
      <w:r w:rsidRPr="0096775E">
        <w:rPr>
          <w:rFonts w:ascii="Times New Roman" w:hAnsi="Times New Roman"/>
          <w:sz w:val="26"/>
          <w:szCs w:val="26"/>
        </w:rPr>
        <w:t>1.</w:t>
      </w:r>
      <w:r w:rsidRPr="0096775E">
        <w:rPr>
          <w:rFonts w:ascii="Times New Roman" w:hAnsi="Times New Roman"/>
          <w:sz w:val="26"/>
          <w:szCs w:val="26"/>
        </w:rPr>
        <w:tab/>
        <w:t>That the Exception filed by Duquesne Light Company to the Recommended Decision of Admi</w:t>
      </w:r>
      <w:r w:rsidR="008F22FE">
        <w:rPr>
          <w:rFonts w:ascii="Times New Roman" w:hAnsi="Times New Roman"/>
          <w:sz w:val="26"/>
          <w:szCs w:val="26"/>
        </w:rPr>
        <w:t>nistrative Law Judge Katrina L. Dunderdale is</w:t>
      </w:r>
      <w:r w:rsidRPr="0096775E">
        <w:rPr>
          <w:rFonts w:ascii="Times New Roman" w:hAnsi="Times New Roman"/>
          <w:sz w:val="26"/>
          <w:szCs w:val="26"/>
        </w:rPr>
        <w:t xml:space="preserve"> granted, consistent with this Opinion and Order.</w:t>
      </w:r>
    </w:p>
    <w:p w:rsidR="003B6212" w:rsidRPr="0096775E" w:rsidRDefault="003B6212" w:rsidP="003B6212">
      <w:pPr>
        <w:ind w:firstLine="1440"/>
        <w:rPr>
          <w:rFonts w:ascii="Times New Roman" w:hAnsi="Times New Roman"/>
          <w:sz w:val="26"/>
          <w:szCs w:val="26"/>
        </w:rPr>
      </w:pPr>
    </w:p>
    <w:p w:rsidR="003B6212" w:rsidRPr="0096775E" w:rsidRDefault="003B6212" w:rsidP="003B6212">
      <w:pPr>
        <w:ind w:firstLine="1440"/>
        <w:rPr>
          <w:rFonts w:ascii="Times New Roman" w:hAnsi="Times New Roman"/>
          <w:sz w:val="26"/>
          <w:szCs w:val="26"/>
        </w:rPr>
      </w:pPr>
      <w:r w:rsidRPr="0096775E">
        <w:rPr>
          <w:rFonts w:ascii="Times New Roman" w:hAnsi="Times New Roman"/>
          <w:sz w:val="26"/>
          <w:szCs w:val="26"/>
        </w:rPr>
        <w:t>2.</w:t>
      </w:r>
      <w:r w:rsidRPr="0096775E">
        <w:rPr>
          <w:rFonts w:ascii="Times New Roman" w:hAnsi="Times New Roman"/>
          <w:sz w:val="26"/>
          <w:szCs w:val="26"/>
        </w:rPr>
        <w:tab/>
        <w:t>That the Exceptions filed by the Retail Energy Supply Association to the Recommended Decision of Administrative La</w:t>
      </w:r>
      <w:r w:rsidR="00082621" w:rsidRPr="0096775E">
        <w:rPr>
          <w:rFonts w:ascii="Times New Roman" w:hAnsi="Times New Roman"/>
          <w:sz w:val="26"/>
          <w:szCs w:val="26"/>
        </w:rPr>
        <w:t>w Judge Katrina L. Dunderdale</w:t>
      </w:r>
      <w:r w:rsidR="00306CCF">
        <w:rPr>
          <w:rFonts w:ascii="Times New Roman" w:hAnsi="Times New Roman"/>
          <w:sz w:val="26"/>
          <w:szCs w:val="26"/>
        </w:rPr>
        <w:t xml:space="preserve"> are denied</w:t>
      </w:r>
      <w:r w:rsidRPr="0096775E">
        <w:rPr>
          <w:rFonts w:ascii="Times New Roman" w:hAnsi="Times New Roman"/>
          <w:sz w:val="26"/>
          <w:szCs w:val="26"/>
        </w:rPr>
        <w:t>, consistent with this Opinion and Order.</w:t>
      </w:r>
    </w:p>
    <w:p w:rsidR="003B6212" w:rsidRPr="0096775E" w:rsidRDefault="003B6212" w:rsidP="003B6212">
      <w:pPr>
        <w:ind w:firstLine="1440"/>
        <w:rPr>
          <w:rFonts w:ascii="Times New Roman" w:hAnsi="Times New Roman"/>
          <w:sz w:val="26"/>
          <w:szCs w:val="26"/>
        </w:rPr>
      </w:pPr>
    </w:p>
    <w:p w:rsidR="003B6212" w:rsidRPr="0096775E" w:rsidRDefault="003B6212" w:rsidP="003B62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306CCF">
        <w:rPr>
          <w:rFonts w:ascii="Times New Roman" w:hAnsi="Times New Roman"/>
          <w:sz w:val="26"/>
          <w:szCs w:val="26"/>
        </w:rPr>
        <w:t>3.</w:t>
      </w:r>
      <w:r w:rsidR="00306CCF">
        <w:rPr>
          <w:rFonts w:ascii="Times New Roman" w:hAnsi="Times New Roman"/>
          <w:sz w:val="26"/>
          <w:szCs w:val="26"/>
        </w:rPr>
        <w:tab/>
        <w:t>That the Exception</w:t>
      </w:r>
      <w:r w:rsidRPr="0096775E">
        <w:rPr>
          <w:rFonts w:ascii="Times New Roman" w:hAnsi="Times New Roman"/>
          <w:sz w:val="26"/>
          <w:szCs w:val="26"/>
        </w:rPr>
        <w:t xml:space="preserve"> filed by </w:t>
      </w:r>
      <w:r w:rsidR="00082621" w:rsidRPr="0096775E">
        <w:rPr>
          <w:rFonts w:ascii="Times New Roman" w:hAnsi="Times New Roman"/>
          <w:sz w:val="26"/>
          <w:szCs w:val="26"/>
        </w:rPr>
        <w:t xml:space="preserve">Noble Americas </w:t>
      </w:r>
      <w:r w:rsidR="00AD0B76">
        <w:rPr>
          <w:rFonts w:ascii="Times New Roman" w:hAnsi="Times New Roman"/>
          <w:sz w:val="26"/>
          <w:szCs w:val="26"/>
        </w:rPr>
        <w:t xml:space="preserve">Energy Solutions LLC </w:t>
      </w:r>
      <w:r w:rsidR="00082621" w:rsidRPr="0096775E">
        <w:rPr>
          <w:rFonts w:ascii="Times New Roman" w:hAnsi="Times New Roman"/>
          <w:sz w:val="26"/>
          <w:szCs w:val="26"/>
        </w:rPr>
        <w:t>t</w:t>
      </w:r>
      <w:r w:rsidRPr="0096775E">
        <w:rPr>
          <w:rFonts w:ascii="Times New Roman" w:hAnsi="Times New Roman"/>
          <w:sz w:val="26"/>
          <w:szCs w:val="26"/>
        </w:rPr>
        <w:t xml:space="preserve">o the Recommended Decision of Administrative Law Judge </w:t>
      </w:r>
      <w:r w:rsidR="00306CCF">
        <w:rPr>
          <w:rFonts w:ascii="Times New Roman" w:hAnsi="Times New Roman"/>
          <w:sz w:val="26"/>
          <w:szCs w:val="26"/>
        </w:rPr>
        <w:t xml:space="preserve"> Katrina L. Dunderdale is</w:t>
      </w:r>
      <w:r w:rsidR="00082621" w:rsidRPr="0096775E">
        <w:rPr>
          <w:rFonts w:ascii="Times New Roman" w:hAnsi="Times New Roman"/>
          <w:sz w:val="26"/>
          <w:szCs w:val="26"/>
        </w:rPr>
        <w:t xml:space="preserve"> granted</w:t>
      </w:r>
      <w:r w:rsidRPr="0096775E">
        <w:rPr>
          <w:rFonts w:ascii="Times New Roman" w:hAnsi="Times New Roman"/>
          <w:sz w:val="26"/>
          <w:szCs w:val="26"/>
        </w:rPr>
        <w:t>, consistent with this Opinion and Order.</w:t>
      </w:r>
    </w:p>
    <w:p w:rsidR="003B6212" w:rsidRPr="0096775E" w:rsidRDefault="003B6212" w:rsidP="003B6212">
      <w:pPr>
        <w:rPr>
          <w:rFonts w:ascii="Times New Roman" w:hAnsi="Times New Roman"/>
          <w:sz w:val="26"/>
          <w:szCs w:val="26"/>
        </w:rPr>
      </w:pPr>
    </w:p>
    <w:p w:rsidR="003B6212" w:rsidRPr="0096775E" w:rsidRDefault="003B6212" w:rsidP="003B62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4.</w:t>
      </w:r>
      <w:r w:rsidRPr="0096775E">
        <w:rPr>
          <w:rFonts w:ascii="Times New Roman" w:hAnsi="Times New Roman"/>
          <w:sz w:val="26"/>
          <w:szCs w:val="26"/>
        </w:rPr>
        <w:tab/>
        <w:t>That the Recommended Decision of Administra</w:t>
      </w:r>
      <w:r w:rsidR="00082621" w:rsidRPr="0096775E">
        <w:rPr>
          <w:rFonts w:ascii="Times New Roman" w:hAnsi="Times New Roman"/>
          <w:sz w:val="26"/>
          <w:szCs w:val="26"/>
        </w:rPr>
        <w:t>tive Law Judge Katrina L. Dunderdale</w:t>
      </w:r>
      <w:r w:rsidRPr="0096775E">
        <w:rPr>
          <w:rFonts w:ascii="Times New Roman" w:hAnsi="Times New Roman"/>
          <w:sz w:val="26"/>
          <w:szCs w:val="26"/>
        </w:rPr>
        <w:t xml:space="preserve">, issued on </w:t>
      </w:r>
      <w:r w:rsidR="00082621" w:rsidRPr="0096775E">
        <w:rPr>
          <w:rFonts w:ascii="Times New Roman" w:hAnsi="Times New Roman"/>
          <w:sz w:val="26"/>
          <w:szCs w:val="26"/>
        </w:rPr>
        <w:t>October 31</w:t>
      </w:r>
      <w:r w:rsidRPr="0096775E">
        <w:rPr>
          <w:rFonts w:ascii="Times New Roman" w:hAnsi="Times New Roman"/>
          <w:sz w:val="26"/>
          <w:szCs w:val="26"/>
        </w:rPr>
        <w:t xml:space="preserve">, 2014, is adopted, </w:t>
      </w:r>
      <w:r w:rsidR="00306CCF">
        <w:rPr>
          <w:rFonts w:ascii="Times New Roman" w:hAnsi="Times New Roman"/>
          <w:sz w:val="26"/>
          <w:szCs w:val="26"/>
        </w:rPr>
        <w:t xml:space="preserve">as clarified, </w:t>
      </w:r>
      <w:r w:rsidRPr="0096775E">
        <w:rPr>
          <w:rFonts w:ascii="Times New Roman" w:hAnsi="Times New Roman"/>
          <w:sz w:val="26"/>
          <w:szCs w:val="26"/>
        </w:rPr>
        <w:t>consistent with this Opinion and Order.</w:t>
      </w:r>
    </w:p>
    <w:p w:rsidR="003B6212" w:rsidRPr="0096775E" w:rsidRDefault="003B6212" w:rsidP="003B6212">
      <w:pPr>
        <w:rPr>
          <w:rFonts w:ascii="Times New Roman" w:hAnsi="Times New Roman"/>
          <w:sz w:val="26"/>
          <w:szCs w:val="26"/>
        </w:rPr>
      </w:pPr>
    </w:p>
    <w:p w:rsidR="003B6212" w:rsidRPr="0096775E" w:rsidRDefault="003B6212" w:rsidP="003B6212">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t>5</w:t>
      </w:r>
      <w:r w:rsidR="00082621" w:rsidRPr="0096775E">
        <w:rPr>
          <w:rFonts w:ascii="Times New Roman" w:hAnsi="Times New Roman"/>
          <w:sz w:val="26"/>
          <w:szCs w:val="26"/>
        </w:rPr>
        <w:t>.</w:t>
      </w:r>
      <w:r w:rsidR="00082621" w:rsidRPr="0096775E">
        <w:rPr>
          <w:rFonts w:ascii="Times New Roman" w:hAnsi="Times New Roman"/>
          <w:sz w:val="26"/>
          <w:szCs w:val="26"/>
        </w:rPr>
        <w:tab/>
        <w:t>That the Stipulation</w:t>
      </w:r>
      <w:r w:rsidRPr="0096775E">
        <w:rPr>
          <w:rFonts w:ascii="Times New Roman" w:hAnsi="Times New Roman"/>
          <w:sz w:val="26"/>
          <w:szCs w:val="26"/>
        </w:rPr>
        <w:t xml:space="preserve"> filed in the matter captioned as Petition of </w:t>
      </w:r>
      <w:r w:rsidR="00082621" w:rsidRPr="0096775E">
        <w:rPr>
          <w:rFonts w:ascii="Times New Roman" w:hAnsi="Times New Roman"/>
          <w:sz w:val="26"/>
          <w:szCs w:val="26"/>
        </w:rPr>
        <w:t xml:space="preserve">Duquesne Light </w:t>
      </w:r>
      <w:r w:rsidRPr="0096775E">
        <w:rPr>
          <w:rFonts w:ascii="Times New Roman" w:hAnsi="Times New Roman"/>
          <w:sz w:val="26"/>
          <w:szCs w:val="26"/>
        </w:rPr>
        <w:t>Company for Approval of its</w:t>
      </w:r>
      <w:r w:rsidR="00082621" w:rsidRPr="0096775E">
        <w:rPr>
          <w:rFonts w:ascii="Times New Roman" w:hAnsi="Times New Roman"/>
          <w:sz w:val="26"/>
          <w:szCs w:val="26"/>
        </w:rPr>
        <w:t xml:space="preserve"> Default Service Program</w:t>
      </w:r>
      <w:r w:rsidRPr="0096775E">
        <w:rPr>
          <w:rFonts w:ascii="Times New Roman" w:hAnsi="Times New Roman"/>
          <w:sz w:val="26"/>
          <w:szCs w:val="26"/>
        </w:rPr>
        <w:t xml:space="preserve"> for the Period of June 1, 2015 through May 31, 2017</w:t>
      </w:r>
      <w:r w:rsidR="00310A5B">
        <w:rPr>
          <w:rFonts w:ascii="Times New Roman" w:hAnsi="Times New Roman"/>
          <w:sz w:val="26"/>
          <w:szCs w:val="26"/>
        </w:rPr>
        <w:t>,</w:t>
      </w:r>
      <w:r w:rsidRPr="0096775E">
        <w:rPr>
          <w:rFonts w:ascii="Times New Roman" w:hAnsi="Times New Roman"/>
          <w:sz w:val="26"/>
          <w:szCs w:val="26"/>
        </w:rPr>
        <w:t xml:space="preserve"> at Docket Number P-2014-</w:t>
      </w:r>
      <w:r w:rsidR="00082621" w:rsidRPr="0096775E">
        <w:rPr>
          <w:rFonts w:ascii="Times New Roman" w:hAnsi="Times New Roman"/>
          <w:sz w:val="26"/>
          <w:szCs w:val="26"/>
        </w:rPr>
        <w:t>2418242</w:t>
      </w:r>
      <w:r w:rsidRPr="0096775E">
        <w:rPr>
          <w:rFonts w:ascii="Times New Roman" w:hAnsi="Times New Roman"/>
          <w:sz w:val="26"/>
          <w:szCs w:val="26"/>
        </w:rPr>
        <w:t>, is approved without modification.</w:t>
      </w:r>
    </w:p>
    <w:p w:rsidR="003B6212" w:rsidRPr="0096775E" w:rsidRDefault="003B6212" w:rsidP="003B6212">
      <w:pPr>
        <w:rPr>
          <w:rFonts w:ascii="Times New Roman" w:hAnsi="Times New Roman"/>
          <w:sz w:val="26"/>
          <w:szCs w:val="26"/>
        </w:rPr>
      </w:pPr>
    </w:p>
    <w:p w:rsidR="003B6212" w:rsidRPr="00AD7C34" w:rsidRDefault="003B6212" w:rsidP="00AD7C34">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Pr="00AD7C34">
        <w:rPr>
          <w:rFonts w:ascii="Times New Roman" w:hAnsi="Times New Roman"/>
          <w:sz w:val="26"/>
          <w:szCs w:val="26"/>
        </w:rPr>
        <w:t>6.</w:t>
      </w:r>
      <w:r w:rsidRPr="00AD7C34">
        <w:rPr>
          <w:rFonts w:ascii="Times New Roman" w:hAnsi="Times New Roman"/>
          <w:sz w:val="26"/>
          <w:szCs w:val="26"/>
        </w:rPr>
        <w:tab/>
      </w:r>
      <w:r w:rsidR="00AD7C34" w:rsidRPr="00AD7C34">
        <w:rPr>
          <w:rFonts w:ascii="Times New Roman" w:hAnsi="Times New Roman"/>
          <w:sz w:val="26"/>
          <w:szCs w:val="26"/>
        </w:rPr>
        <w:t>That the Default Service Plan, as proposed by Duquesne Light Company and as modified by the Settlement Stipulation filed on September 15, 2014, is approved.</w:t>
      </w:r>
    </w:p>
    <w:p w:rsidR="003B6212" w:rsidRPr="0096775E" w:rsidRDefault="003B6212" w:rsidP="003B6212">
      <w:pPr>
        <w:rPr>
          <w:rFonts w:ascii="Times New Roman" w:hAnsi="Times New Roman"/>
          <w:sz w:val="26"/>
          <w:szCs w:val="26"/>
        </w:rPr>
      </w:pPr>
    </w:p>
    <w:p w:rsidR="000F1CCC" w:rsidRPr="000F1CCC" w:rsidRDefault="003B6212" w:rsidP="000F1CCC">
      <w:pPr>
        <w:pStyle w:val="BodyText2"/>
        <w:spacing w:after="0" w:line="360" w:lineRule="auto"/>
        <w:ind w:firstLine="1440"/>
        <w:rPr>
          <w:sz w:val="26"/>
          <w:szCs w:val="26"/>
          <w:lang w:val="en-US"/>
        </w:rPr>
      </w:pPr>
      <w:r w:rsidRPr="000F1CCC">
        <w:rPr>
          <w:sz w:val="26"/>
          <w:szCs w:val="26"/>
        </w:rPr>
        <w:t>7.</w:t>
      </w:r>
      <w:r w:rsidRPr="000F1CCC">
        <w:rPr>
          <w:sz w:val="26"/>
          <w:szCs w:val="26"/>
        </w:rPr>
        <w:tab/>
        <w:t xml:space="preserve"> </w:t>
      </w:r>
      <w:r w:rsidR="000F1CCC" w:rsidRPr="000F1CCC">
        <w:rPr>
          <w:sz w:val="26"/>
          <w:szCs w:val="26"/>
        </w:rPr>
        <w:t>Th</w:t>
      </w:r>
      <w:r w:rsidR="000F1CCC" w:rsidRPr="000F1CCC">
        <w:rPr>
          <w:sz w:val="26"/>
          <w:szCs w:val="26"/>
          <w:lang w:val="en-US"/>
        </w:rPr>
        <w:t>at</w:t>
      </w:r>
      <w:r w:rsidR="000F1CCC" w:rsidRPr="000F1CCC">
        <w:rPr>
          <w:sz w:val="26"/>
          <w:szCs w:val="26"/>
        </w:rPr>
        <w:t xml:space="preserve"> Duquesne Light </w:t>
      </w:r>
      <w:r w:rsidR="000F1CCC" w:rsidRPr="000F1CCC">
        <w:rPr>
          <w:sz w:val="26"/>
          <w:szCs w:val="26"/>
          <w:lang w:val="en-US"/>
        </w:rPr>
        <w:t xml:space="preserve">Company </w:t>
      </w:r>
      <w:r w:rsidR="000F1CCC" w:rsidRPr="000F1CCC">
        <w:rPr>
          <w:sz w:val="26"/>
          <w:szCs w:val="26"/>
        </w:rPr>
        <w:t xml:space="preserve">is authorized to file on one day’s notice the tariff sheets set forth in the Tariff Supplement provided with the filing to be modified to reflect the Settlement Stipulation. </w:t>
      </w:r>
    </w:p>
    <w:p w:rsidR="003B6212" w:rsidRPr="0096775E" w:rsidRDefault="003B6212" w:rsidP="003B6212">
      <w:pPr>
        <w:rPr>
          <w:rFonts w:ascii="Times New Roman" w:hAnsi="Times New Roman"/>
          <w:sz w:val="26"/>
          <w:szCs w:val="26"/>
        </w:rPr>
      </w:pPr>
    </w:p>
    <w:p w:rsidR="000F1CCC" w:rsidRPr="000F1CCC" w:rsidRDefault="003B6212" w:rsidP="000F1CCC">
      <w:pPr>
        <w:pStyle w:val="BodyText2"/>
        <w:spacing w:after="0" w:line="360" w:lineRule="auto"/>
        <w:ind w:firstLine="1440"/>
        <w:rPr>
          <w:sz w:val="26"/>
          <w:szCs w:val="26"/>
          <w:lang w:val="en-US"/>
        </w:rPr>
      </w:pPr>
      <w:r w:rsidRPr="000F1CCC">
        <w:rPr>
          <w:sz w:val="26"/>
          <w:szCs w:val="26"/>
        </w:rPr>
        <w:t>8.</w:t>
      </w:r>
      <w:r w:rsidRPr="000F1CCC">
        <w:rPr>
          <w:sz w:val="26"/>
          <w:szCs w:val="26"/>
        </w:rPr>
        <w:tab/>
      </w:r>
      <w:r w:rsidR="000F1CCC" w:rsidRPr="000F1CCC">
        <w:rPr>
          <w:sz w:val="26"/>
          <w:szCs w:val="26"/>
        </w:rPr>
        <w:t>Th</w:t>
      </w:r>
      <w:r w:rsidR="000F1CCC" w:rsidRPr="000F1CCC">
        <w:rPr>
          <w:sz w:val="26"/>
          <w:szCs w:val="26"/>
          <w:lang w:val="en-US"/>
        </w:rPr>
        <w:t>at</w:t>
      </w:r>
      <w:r w:rsidR="000F1CCC" w:rsidRPr="000F1CCC">
        <w:rPr>
          <w:sz w:val="26"/>
          <w:szCs w:val="26"/>
        </w:rPr>
        <w:t xml:space="preserve"> </w:t>
      </w:r>
      <w:r w:rsidR="000F1CCC" w:rsidRPr="000F1CCC">
        <w:rPr>
          <w:sz w:val="26"/>
          <w:szCs w:val="26"/>
          <w:lang w:val="en-US"/>
        </w:rPr>
        <w:t>t</w:t>
      </w:r>
      <w:r w:rsidR="000F1CCC" w:rsidRPr="000F1CCC">
        <w:rPr>
          <w:sz w:val="26"/>
          <w:szCs w:val="26"/>
        </w:rPr>
        <w:t>he approvals for Duquesne Light Company to procure power as set forth in this proceeding are granted, including, if needed, credit support from its parent.</w:t>
      </w:r>
    </w:p>
    <w:p w:rsidR="003B6212" w:rsidRPr="0096775E" w:rsidRDefault="003B6212" w:rsidP="003B6212">
      <w:pPr>
        <w:rPr>
          <w:rFonts w:ascii="Times New Roman" w:hAnsi="Times New Roman"/>
          <w:sz w:val="26"/>
          <w:szCs w:val="26"/>
        </w:rPr>
      </w:pPr>
    </w:p>
    <w:p w:rsidR="000F1CCC" w:rsidRDefault="003B6212" w:rsidP="000F1CCC">
      <w:pPr>
        <w:pStyle w:val="BodyText2"/>
        <w:spacing w:after="0" w:line="360" w:lineRule="auto"/>
        <w:ind w:firstLine="1440"/>
        <w:rPr>
          <w:sz w:val="26"/>
          <w:szCs w:val="26"/>
          <w:lang w:val="en-US"/>
        </w:rPr>
      </w:pPr>
      <w:r w:rsidRPr="000F1CCC">
        <w:rPr>
          <w:sz w:val="26"/>
          <w:szCs w:val="26"/>
        </w:rPr>
        <w:t>9.</w:t>
      </w:r>
      <w:r w:rsidRPr="000F1CCC">
        <w:rPr>
          <w:sz w:val="26"/>
          <w:szCs w:val="26"/>
        </w:rPr>
        <w:tab/>
      </w:r>
      <w:r w:rsidR="000F1CCC" w:rsidRPr="000F1CCC">
        <w:rPr>
          <w:sz w:val="26"/>
          <w:szCs w:val="26"/>
        </w:rPr>
        <w:t>Th</w:t>
      </w:r>
      <w:r w:rsidR="000F1CCC" w:rsidRPr="000F1CCC">
        <w:rPr>
          <w:sz w:val="26"/>
          <w:szCs w:val="26"/>
          <w:lang w:val="en-US"/>
        </w:rPr>
        <w:t>at</w:t>
      </w:r>
      <w:r w:rsidR="000F1CCC" w:rsidRPr="000F1CCC">
        <w:rPr>
          <w:sz w:val="26"/>
          <w:szCs w:val="26"/>
        </w:rPr>
        <w:t xml:space="preserve"> </w:t>
      </w:r>
      <w:r w:rsidR="000F1CCC" w:rsidRPr="000F1CCC">
        <w:rPr>
          <w:sz w:val="26"/>
          <w:szCs w:val="26"/>
          <w:lang w:val="en-US"/>
        </w:rPr>
        <w:t>t</w:t>
      </w:r>
      <w:r w:rsidR="000F1CCC" w:rsidRPr="000F1CCC">
        <w:rPr>
          <w:sz w:val="26"/>
          <w:szCs w:val="26"/>
        </w:rPr>
        <w:t>he Supply Master Agreement</w:t>
      </w:r>
      <w:r w:rsidR="000F1CCC" w:rsidRPr="000F1CCC">
        <w:rPr>
          <w:sz w:val="26"/>
          <w:szCs w:val="26"/>
          <w:lang w:val="en-US"/>
        </w:rPr>
        <w:t>,</w:t>
      </w:r>
      <w:r w:rsidR="000F1CCC" w:rsidRPr="000F1CCC">
        <w:rPr>
          <w:sz w:val="26"/>
          <w:szCs w:val="26"/>
        </w:rPr>
        <w:t xml:space="preserve"> as modified by the Settlement Stipulation and related attachments, including the Non-Disclosure Agreement, for procuring power for Residential and Lighting customers, Small </w:t>
      </w:r>
      <w:r w:rsidR="000F1CCC" w:rsidRPr="000F1CCC">
        <w:rPr>
          <w:sz w:val="26"/>
          <w:szCs w:val="26"/>
          <w:lang w:val="en-US"/>
        </w:rPr>
        <w:t>Commercial and Industrial customers</w:t>
      </w:r>
      <w:r w:rsidR="000F1CCC" w:rsidRPr="000F1CCC">
        <w:rPr>
          <w:sz w:val="26"/>
          <w:szCs w:val="26"/>
        </w:rPr>
        <w:t xml:space="preserve"> and Medium </w:t>
      </w:r>
      <w:r w:rsidR="000F1CCC" w:rsidRPr="000F1CCC">
        <w:rPr>
          <w:sz w:val="26"/>
          <w:szCs w:val="26"/>
          <w:lang w:val="en-US"/>
        </w:rPr>
        <w:t xml:space="preserve">Commercial and Industrial </w:t>
      </w:r>
      <w:r w:rsidR="000F1CCC" w:rsidRPr="000F1CCC">
        <w:rPr>
          <w:sz w:val="26"/>
          <w:szCs w:val="26"/>
        </w:rPr>
        <w:t xml:space="preserve">customers are approved. </w:t>
      </w:r>
    </w:p>
    <w:p w:rsidR="00310A5B" w:rsidRPr="00310A5B" w:rsidRDefault="00310A5B" w:rsidP="000F1CCC">
      <w:pPr>
        <w:pStyle w:val="BodyText2"/>
        <w:spacing w:after="0" w:line="360" w:lineRule="auto"/>
        <w:ind w:firstLine="1440"/>
        <w:rPr>
          <w:sz w:val="26"/>
          <w:szCs w:val="26"/>
          <w:lang w:val="en-US"/>
        </w:rPr>
      </w:pPr>
    </w:p>
    <w:p w:rsidR="000F1CCC" w:rsidRPr="000F1CCC" w:rsidRDefault="003B6212" w:rsidP="000F1CCC">
      <w:pPr>
        <w:pStyle w:val="BodyText2"/>
        <w:spacing w:after="0" w:line="360" w:lineRule="auto"/>
        <w:ind w:firstLine="1440"/>
        <w:rPr>
          <w:sz w:val="26"/>
          <w:szCs w:val="26"/>
          <w:lang w:val="en-US"/>
        </w:rPr>
      </w:pPr>
      <w:r w:rsidRPr="000F1CCC">
        <w:rPr>
          <w:sz w:val="26"/>
          <w:szCs w:val="26"/>
        </w:rPr>
        <w:t>10.</w:t>
      </w:r>
      <w:r w:rsidRPr="000F1CCC">
        <w:rPr>
          <w:sz w:val="26"/>
          <w:szCs w:val="26"/>
        </w:rPr>
        <w:tab/>
      </w:r>
      <w:r w:rsidR="000F1CCC" w:rsidRPr="000F1CCC">
        <w:rPr>
          <w:sz w:val="26"/>
          <w:szCs w:val="26"/>
        </w:rPr>
        <w:t>Th</w:t>
      </w:r>
      <w:r w:rsidR="000F1CCC" w:rsidRPr="000F1CCC">
        <w:rPr>
          <w:sz w:val="26"/>
          <w:szCs w:val="26"/>
          <w:lang w:val="en-US"/>
        </w:rPr>
        <w:t>at</w:t>
      </w:r>
      <w:r w:rsidR="000F1CCC" w:rsidRPr="000F1CCC">
        <w:rPr>
          <w:sz w:val="26"/>
          <w:szCs w:val="26"/>
        </w:rPr>
        <w:t xml:space="preserve"> Duquesne Light</w:t>
      </w:r>
      <w:r w:rsidR="000F1CCC" w:rsidRPr="000F1CCC">
        <w:rPr>
          <w:sz w:val="26"/>
          <w:szCs w:val="26"/>
          <w:lang w:val="en-US"/>
        </w:rPr>
        <w:t xml:space="preserve"> Company</w:t>
      </w:r>
      <w:r w:rsidR="000F1CCC" w:rsidRPr="000F1CCC">
        <w:rPr>
          <w:sz w:val="26"/>
          <w:szCs w:val="26"/>
        </w:rPr>
        <w:t>’s Retail Market Enhancement Surcharge is approved.</w:t>
      </w:r>
    </w:p>
    <w:p w:rsidR="003B6212" w:rsidRPr="0096775E" w:rsidRDefault="003B6212" w:rsidP="000F1CCC">
      <w:pPr>
        <w:rPr>
          <w:rFonts w:ascii="Times New Roman" w:hAnsi="Times New Roman"/>
          <w:sz w:val="26"/>
          <w:szCs w:val="26"/>
        </w:rPr>
      </w:pPr>
    </w:p>
    <w:p w:rsidR="003B6212" w:rsidRPr="0096775E" w:rsidRDefault="003B6212" w:rsidP="000F1CCC">
      <w:pPr>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000F1CCC">
        <w:rPr>
          <w:rFonts w:ascii="Times New Roman" w:hAnsi="Times New Roman"/>
          <w:sz w:val="26"/>
          <w:szCs w:val="26"/>
        </w:rPr>
        <w:t>11</w:t>
      </w:r>
      <w:r w:rsidRPr="0096775E">
        <w:rPr>
          <w:rFonts w:ascii="Times New Roman" w:hAnsi="Times New Roman"/>
          <w:sz w:val="26"/>
          <w:szCs w:val="26"/>
        </w:rPr>
        <w:t>.</w:t>
      </w:r>
      <w:r w:rsidRPr="0096775E">
        <w:rPr>
          <w:rFonts w:ascii="Times New Roman" w:hAnsi="Times New Roman"/>
          <w:sz w:val="26"/>
          <w:szCs w:val="26"/>
        </w:rPr>
        <w:tab/>
        <w:t>That the investigation at Docket No. P-2014-2</w:t>
      </w:r>
      <w:r w:rsidR="0057287D" w:rsidRPr="0096775E">
        <w:rPr>
          <w:rFonts w:ascii="Times New Roman" w:hAnsi="Times New Roman"/>
          <w:sz w:val="26"/>
          <w:szCs w:val="26"/>
        </w:rPr>
        <w:t>418242</w:t>
      </w:r>
      <w:r w:rsidRPr="0096775E">
        <w:rPr>
          <w:rFonts w:ascii="Times New Roman" w:hAnsi="Times New Roman"/>
          <w:sz w:val="26"/>
          <w:szCs w:val="26"/>
        </w:rPr>
        <w:t xml:space="preserve"> be terminated and the record be marked closed.</w:t>
      </w:r>
      <w:r w:rsidRPr="0096775E">
        <w:rPr>
          <w:rFonts w:ascii="Times New Roman" w:hAnsi="Times New Roman"/>
          <w:sz w:val="26"/>
          <w:szCs w:val="26"/>
        </w:rPr>
        <w:tab/>
      </w:r>
    </w:p>
    <w:p w:rsidR="003B6212" w:rsidRPr="0096775E" w:rsidRDefault="003B6212" w:rsidP="003B6212">
      <w:pPr>
        <w:rPr>
          <w:rFonts w:ascii="Times New Roman" w:hAnsi="Times New Roman"/>
          <w:sz w:val="26"/>
          <w:szCs w:val="26"/>
        </w:rPr>
      </w:pPr>
    </w:p>
    <w:p w:rsidR="003B6212" w:rsidRPr="0096775E" w:rsidRDefault="005B3191" w:rsidP="003B6212">
      <w:pPr>
        <w:rPr>
          <w:rFonts w:ascii="Times New Roman" w:hAnsi="Times New Roman"/>
          <w:b/>
          <w:sz w:val="26"/>
          <w:szCs w:val="26"/>
        </w:rPr>
      </w:pPr>
      <w:r>
        <w:rPr>
          <w:noProof/>
        </w:rPr>
        <w:drawing>
          <wp:anchor distT="0" distB="0" distL="114300" distR="114300" simplePos="0" relativeHeight="251659264" behindDoc="1" locked="0" layoutInCell="1" allowOverlap="1" wp14:anchorId="5CFA8AD3" wp14:editId="12AC9BB1">
            <wp:simplePos x="0" y="0"/>
            <wp:positionH relativeFrom="column">
              <wp:posOffset>3400425</wp:posOffset>
            </wp:positionH>
            <wp:positionV relativeFrom="paragraph">
              <wp:posOffset>160655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B6212" w:rsidRPr="0096775E">
        <w:rPr>
          <w:rFonts w:ascii="Times New Roman" w:hAnsi="Times New Roman"/>
          <w:sz w:val="26"/>
          <w:szCs w:val="26"/>
        </w:rPr>
        <w:tab/>
      </w:r>
      <w:r w:rsidR="003B6212" w:rsidRPr="0096775E">
        <w:rPr>
          <w:rFonts w:ascii="Times New Roman" w:hAnsi="Times New Roman"/>
          <w:sz w:val="26"/>
          <w:szCs w:val="26"/>
        </w:rPr>
        <w:tab/>
      </w:r>
      <w:r w:rsidR="003B6212" w:rsidRPr="0096775E">
        <w:rPr>
          <w:rFonts w:ascii="Times New Roman" w:hAnsi="Times New Roman"/>
          <w:b/>
          <w:sz w:val="26"/>
          <w:szCs w:val="26"/>
        </w:rPr>
        <w:tab/>
      </w:r>
      <w:r w:rsidR="003B6212" w:rsidRPr="0096775E">
        <w:rPr>
          <w:rFonts w:ascii="Times New Roman" w:hAnsi="Times New Roman"/>
          <w:b/>
          <w:sz w:val="26"/>
          <w:szCs w:val="26"/>
        </w:rPr>
        <w:tab/>
      </w:r>
      <w:r w:rsidR="003B6212" w:rsidRPr="0096775E">
        <w:rPr>
          <w:rFonts w:ascii="Times New Roman" w:hAnsi="Times New Roman"/>
          <w:b/>
          <w:sz w:val="26"/>
          <w:szCs w:val="26"/>
        </w:rPr>
        <w:tab/>
      </w:r>
      <w:r w:rsidR="003B6212" w:rsidRPr="0096775E">
        <w:rPr>
          <w:rFonts w:ascii="Times New Roman" w:hAnsi="Times New Roman"/>
          <w:b/>
          <w:sz w:val="26"/>
          <w:szCs w:val="26"/>
        </w:rPr>
        <w:tab/>
      </w:r>
      <w:r w:rsidR="003B6212" w:rsidRPr="0096775E">
        <w:rPr>
          <w:rFonts w:ascii="Times New Roman" w:hAnsi="Times New Roman"/>
          <w:b/>
          <w:sz w:val="26"/>
          <w:szCs w:val="26"/>
        </w:rPr>
        <w:tab/>
      </w:r>
      <w:r w:rsidR="003B6212" w:rsidRPr="0096775E">
        <w:rPr>
          <w:rFonts w:ascii="Times New Roman" w:hAnsi="Times New Roman"/>
          <w:b/>
          <w:sz w:val="26"/>
          <w:szCs w:val="26"/>
        </w:rPr>
        <w:tab/>
        <w:t>BY THE COMMISSION,</w:t>
      </w:r>
    </w:p>
    <w:p w:rsidR="005B3191" w:rsidRDefault="005B3191"/>
    <w:p w:rsidR="003B6212" w:rsidRPr="0096775E" w:rsidRDefault="003B6212" w:rsidP="003B6212">
      <w:pPr>
        <w:rPr>
          <w:rFonts w:ascii="Times New Roman" w:hAnsi="Times New Roman"/>
          <w:b/>
          <w:sz w:val="26"/>
          <w:szCs w:val="26"/>
        </w:rPr>
      </w:pPr>
    </w:p>
    <w:p w:rsidR="003B6212" w:rsidRPr="0096775E" w:rsidRDefault="003B6212" w:rsidP="003B6212">
      <w:pPr>
        <w:rPr>
          <w:rFonts w:ascii="Times New Roman" w:hAnsi="Times New Roman"/>
          <w:b/>
          <w:sz w:val="26"/>
          <w:szCs w:val="26"/>
        </w:rPr>
      </w:pPr>
    </w:p>
    <w:p w:rsidR="003B6212" w:rsidRPr="0096775E" w:rsidRDefault="003B6212" w:rsidP="00A356B0">
      <w:pPr>
        <w:spacing w:line="240" w:lineRule="auto"/>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t>Rosemary Chiavetta</w:t>
      </w:r>
    </w:p>
    <w:p w:rsidR="003B6212" w:rsidRPr="0096775E" w:rsidRDefault="003B6212" w:rsidP="00A356B0">
      <w:pPr>
        <w:spacing w:line="240" w:lineRule="auto"/>
        <w:rPr>
          <w:rFonts w:ascii="Times New Roman" w:hAnsi="Times New Roman"/>
          <w:sz w:val="26"/>
          <w:szCs w:val="26"/>
        </w:rPr>
      </w:pP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r>
      <w:r w:rsidRPr="0096775E">
        <w:rPr>
          <w:rFonts w:ascii="Times New Roman" w:hAnsi="Times New Roman"/>
          <w:sz w:val="26"/>
          <w:szCs w:val="26"/>
        </w:rPr>
        <w:tab/>
        <w:t>Secretary</w:t>
      </w:r>
    </w:p>
    <w:p w:rsidR="00A356B0" w:rsidRDefault="00A356B0" w:rsidP="003B6212">
      <w:pPr>
        <w:keepNext/>
        <w:keepLines/>
        <w:tabs>
          <w:tab w:val="left" w:pos="-720"/>
        </w:tabs>
        <w:suppressAutoHyphens/>
        <w:rPr>
          <w:rFonts w:ascii="Times New Roman" w:hAnsi="Times New Roman"/>
          <w:sz w:val="26"/>
          <w:szCs w:val="26"/>
        </w:rPr>
      </w:pPr>
    </w:p>
    <w:p w:rsidR="003B6212" w:rsidRPr="0096775E" w:rsidRDefault="003B6212" w:rsidP="003B6212">
      <w:pPr>
        <w:keepNext/>
        <w:keepLines/>
        <w:tabs>
          <w:tab w:val="left" w:pos="-720"/>
        </w:tabs>
        <w:suppressAutoHyphens/>
        <w:rPr>
          <w:rFonts w:ascii="Times New Roman" w:hAnsi="Times New Roman"/>
          <w:sz w:val="26"/>
          <w:szCs w:val="26"/>
        </w:rPr>
      </w:pPr>
      <w:r w:rsidRPr="0096775E">
        <w:rPr>
          <w:rFonts w:ascii="Times New Roman" w:hAnsi="Times New Roman"/>
          <w:sz w:val="26"/>
          <w:szCs w:val="26"/>
        </w:rPr>
        <w:t>(SEAL)</w:t>
      </w:r>
    </w:p>
    <w:p w:rsidR="00A356B0" w:rsidRDefault="00A356B0" w:rsidP="003B6212">
      <w:pPr>
        <w:keepNext/>
        <w:keepLines/>
        <w:tabs>
          <w:tab w:val="left" w:pos="-720"/>
        </w:tabs>
        <w:suppressAutoHyphens/>
        <w:rPr>
          <w:rFonts w:ascii="Times New Roman" w:hAnsi="Times New Roman"/>
          <w:sz w:val="26"/>
          <w:szCs w:val="26"/>
        </w:rPr>
      </w:pPr>
    </w:p>
    <w:p w:rsidR="003B6212" w:rsidRPr="0096775E" w:rsidRDefault="00AD0B76" w:rsidP="003B6212">
      <w:pPr>
        <w:keepNext/>
        <w:keepLines/>
        <w:tabs>
          <w:tab w:val="left" w:pos="-720"/>
        </w:tabs>
        <w:suppressAutoHyphens/>
        <w:rPr>
          <w:rFonts w:ascii="Times New Roman" w:hAnsi="Times New Roman"/>
          <w:sz w:val="26"/>
          <w:szCs w:val="26"/>
        </w:rPr>
      </w:pPr>
      <w:r>
        <w:rPr>
          <w:rFonts w:ascii="Times New Roman" w:hAnsi="Times New Roman"/>
          <w:sz w:val="26"/>
          <w:szCs w:val="26"/>
        </w:rPr>
        <w:t>ORDER ADOPTED:  January 15, 2015</w:t>
      </w:r>
      <w:r w:rsidR="003B6212" w:rsidRPr="0096775E">
        <w:rPr>
          <w:rFonts w:ascii="Times New Roman" w:hAnsi="Times New Roman"/>
          <w:sz w:val="26"/>
          <w:szCs w:val="26"/>
        </w:rPr>
        <w:t xml:space="preserve"> </w:t>
      </w:r>
    </w:p>
    <w:p w:rsidR="003B6212" w:rsidRPr="0096775E" w:rsidRDefault="003B6212" w:rsidP="003B6212">
      <w:pPr>
        <w:keepNext/>
        <w:keepLines/>
        <w:tabs>
          <w:tab w:val="left" w:pos="-720"/>
        </w:tabs>
        <w:suppressAutoHyphens/>
        <w:rPr>
          <w:rFonts w:ascii="Times New Roman" w:hAnsi="Times New Roman"/>
          <w:sz w:val="26"/>
          <w:szCs w:val="26"/>
        </w:rPr>
      </w:pPr>
      <w:r w:rsidRPr="0096775E">
        <w:rPr>
          <w:rFonts w:ascii="Times New Roman" w:hAnsi="Times New Roman"/>
          <w:sz w:val="26"/>
          <w:szCs w:val="26"/>
        </w:rPr>
        <w:t xml:space="preserve">ORDER ENTERED:  </w:t>
      </w:r>
      <w:r w:rsidR="005B3191">
        <w:rPr>
          <w:rFonts w:ascii="Times New Roman" w:hAnsi="Times New Roman"/>
          <w:sz w:val="26"/>
          <w:szCs w:val="26"/>
        </w:rPr>
        <w:t xml:space="preserve"> January 15, 2015</w:t>
      </w:r>
    </w:p>
    <w:sectPr w:rsidR="003B6212" w:rsidRPr="0096775E" w:rsidSect="002C388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434" w:rsidRDefault="00F64434" w:rsidP="009C2E4D">
      <w:pPr>
        <w:spacing w:line="240" w:lineRule="auto"/>
      </w:pPr>
      <w:r>
        <w:separator/>
      </w:r>
    </w:p>
  </w:endnote>
  <w:endnote w:type="continuationSeparator" w:id="0">
    <w:p w:rsidR="00F64434" w:rsidRDefault="00F64434" w:rsidP="009C2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717762"/>
      <w:docPartObj>
        <w:docPartGallery w:val="Page Numbers (Bottom of Page)"/>
        <w:docPartUnique/>
      </w:docPartObj>
    </w:sdtPr>
    <w:sdtEndPr>
      <w:rPr>
        <w:noProof/>
      </w:rPr>
    </w:sdtEndPr>
    <w:sdtContent>
      <w:p w:rsidR="0068682E" w:rsidRDefault="0068682E">
        <w:pPr>
          <w:pStyle w:val="Footer"/>
          <w:jc w:val="center"/>
        </w:pPr>
        <w:r>
          <w:fldChar w:fldCharType="begin"/>
        </w:r>
        <w:r>
          <w:instrText xml:space="preserve"> PAGE   \* MERGEFORMAT </w:instrText>
        </w:r>
        <w:r>
          <w:fldChar w:fldCharType="separate"/>
        </w:r>
        <w:r w:rsidR="005B3191">
          <w:rPr>
            <w:noProof/>
          </w:rPr>
          <w:t>55</w:t>
        </w:r>
        <w:r>
          <w:rPr>
            <w:noProof/>
          </w:rPr>
          <w:fldChar w:fldCharType="end"/>
        </w:r>
      </w:p>
    </w:sdtContent>
  </w:sdt>
  <w:p w:rsidR="0068682E" w:rsidRDefault="00686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434" w:rsidRDefault="00F64434" w:rsidP="009C2E4D">
      <w:pPr>
        <w:spacing w:line="240" w:lineRule="auto"/>
      </w:pPr>
      <w:r>
        <w:separator/>
      </w:r>
    </w:p>
  </w:footnote>
  <w:footnote w:type="continuationSeparator" w:id="0">
    <w:p w:rsidR="00F64434" w:rsidRDefault="00F64434" w:rsidP="009C2E4D">
      <w:pPr>
        <w:spacing w:line="240" w:lineRule="auto"/>
      </w:pPr>
      <w:r>
        <w:continuationSeparator/>
      </w:r>
    </w:p>
  </w:footnote>
  <w:footnote w:id="1">
    <w:p w:rsidR="0068682E" w:rsidRPr="00E9268F" w:rsidRDefault="0068682E" w:rsidP="009C2E4D">
      <w:pPr>
        <w:pStyle w:val="FootnoteText"/>
        <w:rPr>
          <w:sz w:val="26"/>
          <w:szCs w:val="26"/>
        </w:rPr>
      </w:pPr>
      <w:r>
        <w:tab/>
      </w:r>
      <w:r w:rsidRPr="00E9268F">
        <w:rPr>
          <w:rStyle w:val="FootnoteReference"/>
          <w:sz w:val="26"/>
          <w:szCs w:val="26"/>
        </w:rPr>
        <w:footnoteRef/>
      </w:r>
      <w:r>
        <w:rPr>
          <w:sz w:val="26"/>
          <w:szCs w:val="26"/>
        </w:rPr>
        <w:t xml:space="preserve"> </w:t>
      </w:r>
      <w:r>
        <w:rPr>
          <w:sz w:val="26"/>
          <w:szCs w:val="26"/>
        </w:rPr>
        <w:tab/>
        <w:t>Main B</w:t>
      </w:r>
      <w:r w:rsidRPr="00E9268F">
        <w:rPr>
          <w:sz w:val="26"/>
          <w:szCs w:val="26"/>
        </w:rPr>
        <w:t>riefs were not f</w:t>
      </w:r>
      <w:r>
        <w:rPr>
          <w:sz w:val="26"/>
          <w:szCs w:val="26"/>
        </w:rPr>
        <w:t>iled by I&amp;E, CAUSE-PA, Exelon Gen</w:t>
      </w:r>
      <w:r w:rsidRPr="00E9268F">
        <w:rPr>
          <w:sz w:val="26"/>
          <w:szCs w:val="26"/>
        </w:rPr>
        <w:t xml:space="preserve">, FES, NextEra and </w:t>
      </w:r>
      <w:r>
        <w:rPr>
          <w:sz w:val="26"/>
          <w:szCs w:val="26"/>
        </w:rPr>
        <w:t xml:space="preserve">the </w:t>
      </w:r>
      <w:r w:rsidRPr="00E9268F">
        <w:rPr>
          <w:sz w:val="26"/>
          <w:szCs w:val="26"/>
        </w:rPr>
        <w:t>OCA.</w:t>
      </w:r>
    </w:p>
  </w:footnote>
  <w:footnote w:id="2">
    <w:p w:rsidR="0068682E" w:rsidRDefault="0068682E" w:rsidP="0068682E">
      <w:pPr>
        <w:pStyle w:val="FootnoteText"/>
        <w:ind w:firstLine="720"/>
      </w:pPr>
      <w:r w:rsidRPr="005F6C1D">
        <w:rPr>
          <w:rStyle w:val="FootnoteReference"/>
          <w:sz w:val="26"/>
          <w:szCs w:val="26"/>
        </w:rPr>
        <w:footnoteRef/>
      </w:r>
      <w:r w:rsidRPr="005F6C1D">
        <w:rPr>
          <w:sz w:val="26"/>
          <w:szCs w:val="26"/>
        </w:rPr>
        <w:t xml:space="preserve"> </w:t>
      </w:r>
      <w:r w:rsidRPr="005F6C1D">
        <w:rPr>
          <w:sz w:val="26"/>
          <w:szCs w:val="26"/>
        </w:rPr>
        <w:tab/>
      </w:r>
      <w:r>
        <w:rPr>
          <w:sz w:val="26"/>
          <w:szCs w:val="26"/>
        </w:rPr>
        <w:t>According to the Recommended Decision, t</w:t>
      </w:r>
      <w:r w:rsidRPr="005F6C1D">
        <w:rPr>
          <w:sz w:val="26"/>
          <w:szCs w:val="26"/>
        </w:rPr>
        <w:t xml:space="preserve">he Stipulation is not opposed by </w:t>
      </w:r>
      <w:r>
        <w:rPr>
          <w:sz w:val="26"/>
          <w:szCs w:val="26"/>
        </w:rPr>
        <w:t xml:space="preserve">the </w:t>
      </w:r>
      <w:r w:rsidRPr="005F6C1D">
        <w:rPr>
          <w:sz w:val="26"/>
          <w:szCs w:val="26"/>
        </w:rPr>
        <w:t>OSBA, PennFuture,</w:t>
      </w:r>
      <w:r>
        <w:rPr>
          <w:sz w:val="26"/>
          <w:szCs w:val="26"/>
        </w:rPr>
        <w:t xml:space="preserve"> DII</w:t>
      </w:r>
      <w:r w:rsidRPr="005F6C1D">
        <w:rPr>
          <w:sz w:val="26"/>
          <w:szCs w:val="26"/>
        </w:rPr>
        <w:t>, F</w:t>
      </w:r>
      <w:r>
        <w:rPr>
          <w:sz w:val="26"/>
          <w:szCs w:val="26"/>
        </w:rPr>
        <w:t>ES</w:t>
      </w:r>
      <w:r w:rsidRPr="005F6C1D">
        <w:rPr>
          <w:sz w:val="26"/>
          <w:szCs w:val="26"/>
        </w:rPr>
        <w:t xml:space="preserve"> and</w:t>
      </w:r>
      <w:r>
        <w:rPr>
          <w:sz w:val="26"/>
          <w:szCs w:val="26"/>
        </w:rPr>
        <w:t xml:space="preserve"> Noble</w:t>
      </w:r>
      <w:r w:rsidRPr="005F6C1D">
        <w:rPr>
          <w:sz w:val="26"/>
          <w:szCs w:val="26"/>
        </w:rPr>
        <w:t>.</w:t>
      </w:r>
      <w:r>
        <w:rPr>
          <w:sz w:val="26"/>
          <w:szCs w:val="26"/>
        </w:rPr>
        <w:t xml:space="preserve">  R.D. at 8.  As discussed below, Noble has filed an Exception to that characterization.</w:t>
      </w:r>
    </w:p>
  </w:footnote>
  <w:footnote w:id="3">
    <w:p w:rsidR="0068682E" w:rsidRPr="005F6C1D" w:rsidRDefault="0068682E" w:rsidP="005F6C1D">
      <w:pPr>
        <w:pStyle w:val="FootnoteText"/>
        <w:ind w:firstLine="720"/>
        <w:rPr>
          <w:sz w:val="26"/>
          <w:szCs w:val="26"/>
        </w:rPr>
      </w:pPr>
      <w:r w:rsidRPr="005F6C1D">
        <w:rPr>
          <w:rStyle w:val="FootnoteReference"/>
          <w:sz w:val="26"/>
          <w:szCs w:val="26"/>
        </w:rPr>
        <w:footnoteRef/>
      </w:r>
      <w:r w:rsidRPr="005F6C1D">
        <w:rPr>
          <w:sz w:val="26"/>
          <w:szCs w:val="26"/>
        </w:rPr>
        <w:t xml:space="preserve"> </w:t>
      </w:r>
      <w:r w:rsidRPr="005F6C1D">
        <w:rPr>
          <w:sz w:val="26"/>
          <w:szCs w:val="26"/>
        </w:rPr>
        <w:tab/>
        <w:t xml:space="preserve">The Settlement </w:t>
      </w:r>
      <w:r>
        <w:rPr>
          <w:sz w:val="26"/>
          <w:szCs w:val="26"/>
        </w:rPr>
        <w:t xml:space="preserve">Stipulation </w:t>
      </w:r>
      <w:r w:rsidRPr="005F6C1D">
        <w:rPr>
          <w:sz w:val="26"/>
          <w:szCs w:val="26"/>
        </w:rPr>
        <w:t>furt</w:t>
      </w:r>
      <w:r>
        <w:rPr>
          <w:sz w:val="26"/>
          <w:szCs w:val="26"/>
        </w:rPr>
        <w:t>her provided that Duquesne</w:t>
      </w:r>
      <w:r w:rsidRPr="005F6C1D">
        <w:rPr>
          <w:sz w:val="26"/>
          <w:szCs w:val="26"/>
        </w:rPr>
        <w:t>’s DSP VII filing is approved exce</w:t>
      </w:r>
      <w:r>
        <w:rPr>
          <w:sz w:val="26"/>
          <w:szCs w:val="26"/>
        </w:rPr>
        <w:t>pt as modified by the Stipulation</w:t>
      </w:r>
      <w:r w:rsidRPr="005F6C1D">
        <w:rPr>
          <w:sz w:val="26"/>
          <w:szCs w:val="26"/>
        </w:rPr>
        <w:t>.  S</w:t>
      </w:r>
      <w:r>
        <w:rPr>
          <w:sz w:val="26"/>
          <w:szCs w:val="26"/>
        </w:rPr>
        <w:t>everal aspects of Duquesne</w:t>
      </w:r>
      <w:r w:rsidRPr="005F6C1D">
        <w:rPr>
          <w:sz w:val="26"/>
          <w:szCs w:val="26"/>
        </w:rPr>
        <w:t xml:space="preserve">’s filing were not contested but are proposed </w:t>
      </w:r>
      <w:r>
        <w:rPr>
          <w:sz w:val="26"/>
          <w:szCs w:val="26"/>
        </w:rPr>
        <w:t>to be approved by the Stipulation</w:t>
      </w:r>
      <w:r w:rsidRPr="005F6C1D">
        <w:rPr>
          <w:sz w:val="26"/>
          <w:szCs w:val="26"/>
        </w:rPr>
        <w:t>.  One of these unco</w:t>
      </w:r>
      <w:r>
        <w:rPr>
          <w:sz w:val="26"/>
          <w:szCs w:val="26"/>
        </w:rPr>
        <w:t>ntested items was Duquesne</w:t>
      </w:r>
      <w:r w:rsidRPr="005F6C1D">
        <w:rPr>
          <w:sz w:val="26"/>
          <w:szCs w:val="26"/>
        </w:rPr>
        <w:t xml:space="preserve">’s proposal to expand the scope of Rider No. 1 Consumer Education Surcharge to recover all costs associated with Commission-mandated retail market initiatives and to rename Rider No. 1 the Retail Market Enhancement Surcharge.  </w:t>
      </w:r>
    </w:p>
  </w:footnote>
  <w:footnote w:id="4">
    <w:p w:rsidR="0068682E" w:rsidRPr="005569E4" w:rsidRDefault="0068682E" w:rsidP="005569E4">
      <w:pPr>
        <w:spacing w:line="240" w:lineRule="auto"/>
        <w:rPr>
          <w:rFonts w:ascii="Times New Roman" w:hAnsi="Times New Roman"/>
          <w:sz w:val="26"/>
          <w:szCs w:val="26"/>
        </w:rPr>
      </w:pPr>
      <w:r>
        <w:tab/>
      </w:r>
      <w:r w:rsidRPr="005569E4">
        <w:rPr>
          <w:rStyle w:val="FootnoteReference"/>
          <w:rFonts w:ascii="Times New Roman" w:hAnsi="Times New Roman"/>
          <w:sz w:val="26"/>
          <w:szCs w:val="26"/>
        </w:rPr>
        <w:footnoteRef/>
      </w:r>
      <w:r>
        <w:rPr>
          <w:rFonts w:ascii="Times New Roman" w:hAnsi="Times New Roman"/>
          <w:sz w:val="26"/>
          <w:szCs w:val="26"/>
        </w:rPr>
        <w:t xml:space="preserve"> </w:t>
      </w:r>
      <w:r>
        <w:rPr>
          <w:rFonts w:ascii="Times New Roman" w:hAnsi="Times New Roman"/>
          <w:sz w:val="26"/>
          <w:szCs w:val="26"/>
        </w:rPr>
        <w:tab/>
        <w:t>Laddered</w:t>
      </w:r>
      <w:r w:rsidRPr="005569E4">
        <w:rPr>
          <w:rFonts w:ascii="Times New Roman" w:hAnsi="Times New Roman"/>
          <w:sz w:val="26"/>
          <w:szCs w:val="26"/>
        </w:rPr>
        <w:t xml:space="preserve"> means the delivery periods on the contract</w:t>
      </w:r>
      <w:r>
        <w:rPr>
          <w:rFonts w:ascii="Times New Roman" w:hAnsi="Times New Roman"/>
          <w:sz w:val="26"/>
          <w:szCs w:val="26"/>
        </w:rPr>
        <w:t xml:space="preserve"> will overlap such that only 50 percent</w:t>
      </w:r>
      <w:r w:rsidRPr="005569E4">
        <w:rPr>
          <w:rFonts w:ascii="Times New Roman" w:hAnsi="Times New Roman"/>
          <w:sz w:val="26"/>
          <w:szCs w:val="26"/>
        </w:rPr>
        <w:t xml:space="preserve"> of the load will be replaced with a new contract eve</w:t>
      </w:r>
      <w:r>
        <w:rPr>
          <w:rFonts w:ascii="Times New Roman" w:hAnsi="Times New Roman"/>
          <w:sz w:val="26"/>
          <w:szCs w:val="26"/>
        </w:rPr>
        <w:t xml:space="preserve">ry six months.   Duquesne Ex. 1 at </w:t>
      </w:r>
      <w:r w:rsidRPr="005569E4">
        <w:rPr>
          <w:rFonts w:ascii="Times New Roman" w:hAnsi="Times New Roman"/>
          <w:sz w:val="26"/>
          <w:szCs w:val="26"/>
        </w:rPr>
        <w:t>9.</w:t>
      </w:r>
    </w:p>
  </w:footnote>
  <w:footnote w:id="5">
    <w:p w:rsidR="0068682E" w:rsidRPr="005569E4" w:rsidRDefault="0068682E" w:rsidP="005569E4">
      <w:pPr>
        <w:pStyle w:val="FootnoteText"/>
        <w:ind w:firstLine="720"/>
        <w:rPr>
          <w:sz w:val="26"/>
          <w:szCs w:val="26"/>
        </w:rPr>
      </w:pPr>
      <w:r w:rsidRPr="005569E4">
        <w:rPr>
          <w:rStyle w:val="FootnoteReference"/>
          <w:sz w:val="26"/>
          <w:szCs w:val="26"/>
        </w:rPr>
        <w:footnoteRef/>
      </w:r>
      <w:r>
        <w:rPr>
          <w:sz w:val="26"/>
          <w:szCs w:val="26"/>
        </w:rPr>
        <w:t xml:space="preserve"> </w:t>
      </w:r>
      <w:r>
        <w:rPr>
          <w:sz w:val="26"/>
          <w:szCs w:val="26"/>
        </w:rPr>
        <w:tab/>
        <w:t>Duquesne Ex. No. 1 at</w:t>
      </w:r>
      <w:r w:rsidRPr="005569E4">
        <w:rPr>
          <w:sz w:val="26"/>
          <w:szCs w:val="26"/>
        </w:rPr>
        <w:t xml:space="preserve"> 9.  </w:t>
      </w:r>
    </w:p>
  </w:footnote>
  <w:footnote w:id="6">
    <w:p w:rsidR="0068682E" w:rsidRPr="005569E4" w:rsidRDefault="0068682E" w:rsidP="00D00350">
      <w:pPr>
        <w:pStyle w:val="BodyText2"/>
        <w:spacing w:after="0" w:line="240" w:lineRule="auto"/>
        <w:ind w:firstLine="720"/>
        <w:rPr>
          <w:sz w:val="26"/>
          <w:szCs w:val="26"/>
        </w:rPr>
      </w:pPr>
      <w:r w:rsidRPr="005569E4">
        <w:rPr>
          <w:rStyle w:val="FootnoteReference"/>
          <w:sz w:val="26"/>
          <w:szCs w:val="26"/>
        </w:rPr>
        <w:footnoteRef/>
      </w:r>
      <w:r>
        <w:rPr>
          <w:sz w:val="26"/>
          <w:szCs w:val="26"/>
        </w:rPr>
        <w:t xml:space="preserve"> </w:t>
      </w:r>
      <w:r>
        <w:rPr>
          <w:sz w:val="26"/>
          <w:szCs w:val="26"/>
        </w:rPr>
        <w:tab/>
        <w:t xml:space="preserve">Duquesne Ex. No. </w:t>
      </w:r>
      <w:r>
        <w:rPr>
          <w:sz w:val="26"/>
          <w:szCs w:val="26"/>
          <w:lang w:val="en-US"/>
        </w:rPr>
        <w:t xml:space="preserve">1 at </w:t>
      </w:r>
      <w:r w:rsidRPr="005569E4">
        <w:rPr>
          <w:sz w:val="26"/>
          <w:szCs w:val="26"/>
        </w:rPr>
        <w:t>9.</w:t>
      </w:r>
    </w:p>
  </w:footnote>
  <w:footnote w:id="7">
    <w:p w:rsidR="0068682E" w:rsidRDefault="0068682E" w:rsidP="00F73812">
      <w:pPr>
        <w:pStyle w:val="FootnoteText"/>
        <w:ind w:firstLine="720"/>
      </w:pPr>
      <w:r w:rsidRPr="005569E4">
        <w:rPr>
          <w:rStyle w:val="FootnoteReference"/>
          <w:sz w:val="26"/>
          <w:szCs w:val="26"/>
        </w:rPr>
        <w:footnoteRef/>
      </w:r>
      <w:r>
        <w:rPr>
          <w:sz w:val="26"/>
          <w:szCs w:val="26"/>
        </w:rPr>
        <w:t xml:space="preserve"> </w:t>
      </w:r>
      <w:r>
        <w:rPr>
          <w:sz w:val="26"/>
          <w:szCs w:val="26"/>
        </w:rPr>
        <w:tab/>
      </w:r>
      <w:r w:rsidR="00CE026F">
        <w:rPr>
          <w:sz w:val="26"/>
          <w:szCs w:val="26"/>
        </w:rPr>
        <w:t xml:space="preserve">Duquesne </w:t>
      </w:r>
      <w:r>
        <w:rPr>
          <w:sz w:val="26"/>
          <w:szCs w:val="26"/>
        </w:rPr>
        <w:t xml:space="preserve">Ex. NSF-1 at </w:t>
      </w:r>
      <w:r w:rsidRPr="005569E4">
        <w:rPr>
          <w:sz w:val="26"/>
          <w:szCs w:val="26"/>
        </w:rPr>
        <w:t>2-3.</w:t>
      </w:r>
    </w:p>
  </w:footnote>
  <w:footnote w:id="8">
    <w:p w:rsidR="0068682E" w:rsidRPr="00F7506D" w:rsidRDefault="0068682E" w:rsidP="00F7506D">
      <w:pPr>
        <w:pStyle w:val="FootnoteText"/>
        <w:ind w:firstLine="720"/>
        <w:rPr>
          <w:sz w:val="26"/>
          <w:szCs w:val="26"/>
        </w:rPr>
      </w:pPr>
      <w:r w:rsidRPr="00F7506D">
        <w:rPr>
          <w:rStyle w:val="FootnoteReference"/>
          <w:sz w:val="26"/>
          <w:szCs w:val="26"/>
        </w:rPr>
        <w:footnoteRef/>
      </w:r>
      <w:r w:rsidRPr="00F7506D">
        <w:rPr>
          <w:sz w:val="26"/>
          <w:szCs w:val="26"/>
        </w:rPr>
        <w:t xml:space="preserve"> </w:t>
      </w:r>
      <w:r w:rsidRPr="00F7506D">
        <w:rPr>
          <w:sz w:val="26"/>
          <w:szCs w:val="26"/>
        </w:rPr>
        <w:tab/>
        <w:t>RESA St.</w:t>
      </w:r>
      <w:r>
        <w:rPr>
          <w:sz w:val="26"/>
          <w:szCs w:val="26"/>
        </w:rPr>
        <w:t xml:space="preserve"> 1-R, Ex</w:t>
      </w:r>
      <w:r w:rsidRPr="00F7506D">
        <w:rPr>
          <w:sz w:val="26"/>
          <w:szCs w:val="26"/>
        </w:rPr>
        <w:t>. RJH-6 &amp; St. 1 at 15-16.</w:t>
      </w:r>
    </w:p>
  </w:footnote>
  <w:footnote w:id="9">
    <w:p w:rsidR="0068682E" w:rsidRPr="00F7506D" w:rsidRDefault="0068682E" w:rsidP="00F7506D">
      <w:pPr>
        <w:pStyle w:val="FootnoteText"/>
        <w:ind w:firstLine="720"/>
        <w:rPr>
          <w:sz w:val="26"/>
          <w:szCs w:val="26"/>
        </w:rPr>
      </w:pPr>
      <w:r w:rsidRPr="00F7506D">
        <w:rPr>
          <w:rStyle w:val="FootnoteReference"/>
          <w:sz w:val="26"/>
          <w:szCs w:val="26"/>
        </w:rPr>
        <w:footnoteRef/>
      </w:r>
      <w:r w:rsidRPr="00F7506D">
        <w:rPr>
          <w:sz w:val="26"/>
          <w:szCs w:val="26"/>
        </w:rPr>
        <w:t xml:space="preserve"> </w:t>
      </w:r>
      <w:r w:rsidRPr="00F7506D">
        <w:rPr>
          <w:sz w:val="26"/>
          <w:szCs w:val="26"/>
        </w:rPr>
        <w:tab/>
        <w:t>See OSBA St. 1 at 2-3.</w:t>
      </w:r>
    </w:p>
  </w:footnote>
  <w:footnote w:id="10">
    <w:p w:rsidR="0068682E" w:rsidRPr="00F7506D" w:rsidRDefault="0068682E" w:rsidP="00F7506D">
      <w:pPr>
        <w:pStyle w:val="FootnoteText"/>
        <w:ind w:firstLine="720"/>
        <w:rPr>
          <w:sz w:val="26"/>
          <w:szCs w:val="26"/>
        </w:rPr>
      </w:pPr>
      <w:r w:rsidRPr="00F7506D">
        <w:rPr>
          <w:rStyle w:val="FootnoteReference"/>
          <w:sz w:val="26"/>
          <w:szCs w:val="26"/>
        </w:rPr>
        <w:footnoteRef/>
      </w:r>
      <w:r w:rsidRPr="00F7506D">
        <w:rPr>
          <w:sz w:val="26"/>
          <w:szCs w:val="26"/>
        </w:rPr>
        <w:t xml:space="preserve"> </w:t>
      </w:r>
      <w:r w:rsidRPr="00F7506D">
        <w:rPr>
          <w:sz w:val="26"/>
          <w:szCs w:val="26"/>
        </w:rPr>
        <w:tab/>
      </w:r>
      <w:r w:rsidRPr="00F7506D">
        <w:rPr>
          <w:i/>
          <w:sz w:val="26"/>
          <w:szCs w:val="26"/>
        </w:rPr>
        <w:t>Default Service &amp; Retail Electric Markets</w:t>
      </w:r>
      <w:r w:rsidRPr="00F7506D">
        <w:rPr>
          <w:sz w:val="26"/>
          <w:szCs w:val="26"/>
        </w:rPr>
        <w:t>, Docket No. L-2009-2095604, Order entered October 4, 2011, at 39-40.</w:t>
      </w:r>
    </w:p>
    <w:p w:rsidR="0068682E" w:rsidRPr="00703099" w:rsidRDefault="0068682E" w:rsidP="00F73812">
      <w:pPr>
        <w:pStyle w:val="FootnoteText"/>
        <w:ind w:firstLine="720"/>
      </w:pPr>
    </w:p>
  </w:footnote>
  <w:footnote w:id="11">
    <w:p w:rsidR="0068682E" w:rsidRPr="0097056C" w:rsidRDefault="0068682E" w:rsidP="00222189">
      <w:pPr>
        <w:pStyle w:val="FootnoteText"/>
        <w:ind w:firstLine="720"/>
        <w:rPr>
          <w:sz w:val="26"/>
          <w:szCs w:val="26"/>
        </w:rPr>
      </w:pPr>
      <w:r w:rsidRPr="00222189">
        <w:rPr>
          <w:rStyle w:val="FootnoteReference"/>
          <w:sz w:val="26"/>
          <w:szCs w:val="26"/>
        </w:rPr>
        <w:footnoteRef/>
      </w:r>
      <w:r w:rsidRPr="00222189">
        <w:rPr>
          <w:sz w:val="26"/>
          <w:szCs w:val="26"/>
        </w:rPr>
        <w:t xml:space="preserve">  </w:t>
      </w:r>
      <w:r>
        <w:rPr>
          <w:i/>
          <w:sz w:val="26"/>
          <w:szCs w:val="26"/>
        </w:rPr>
        <w:t>Petition of Duquesne Light Company for Approval of Revisions to its Approved Default Service Plan VI,</w:t>
      </w:r>
      <w:r>
        <w:rPr>
          <w:sz w:val="26"/>
          <w:szCs w:val="26"/>
        </w:rPr>
        <w:t xml:space="preserve"> Docket No. P-2012-2301664 (Order entered September 11, 2014).</w:t>
      </w:r>
    </w:p>
  </w:footnote>
  <w:footnote w:id="12">
    <w:p w:rsidR="0068682E" w:rsidRPr="009932F3" w:rsidRDefault="0068682E" w:rsidP="009932F3">
      <w:pPr>
        <w:pStyle w:val="FootnoteText"/>
        <w:ind w:firstLine="720"/>
        <w:rPr>
          <w:sz w:val="26"/>
          <w:szCs w:val="26"/>
        </w:rPr>
      </w:pPr>
      <w:r w:rsidRPr="009932F3">
        <w:rPr>
          <w:rStyle w:val="FootnoteReference"/>
          <w:sz w:val="26"/>
          <w:szCs w:val="26"/>
        </w:rPr>
        <w:footnoteRef/>
      </w:r>
      <w:r>
        <w:rPr>
          <w:sz w:val="26"/>
          <w:szCs w:val="26"/>
        </w:rPr>
        <w:t xml:space="preserve"> </w:t>
      </w:r>
      <w:r>
        <w:rPr>
          <w:sz w:val="26"/>
          <w:szCs w:val="26"/>
        </w:rPr>
        <w:tab/>
        <w:t xml:space="preserve">Duquesne </w:t>
      </w:r>
      <w:r w:rsidRPr="009932F3">
        <w:rPr>
          <w:sz w:val="26"/>
          <w:szCs w:val="26"/>
        </w:rPr>
        <w:t>Ex</w:t>
      </w:r>
      <w:r>
        <w:rPr>
          <w:sz w:val="26"/>
          <w:szCs w:val="26"/>
        </w:rPr>
        <w:t>. No. 1 at</w:t>
      </w:r>
      <w:r w:rsidRPr="009932F3">
        <w:rPr>
          <w:sz w:val="26"/>
          <w:szCs w:val="26"/>
        </w:rPr>
        <w:t xml:space="preserve"> 11.  </w:t>
      </w:r>
    </w:p>
  </w:footnote>
  <w:footnote w:id="13">
    <w:p w:rsidR="0068682E" w:rsidRPr="009932F3" w:rsidRDefault="0068682E" w:rsidP="009932F3">
      <w:pPr>
        <w:pStyle w:val="FootnoteText"/>
        <w:ind w:firstLine="720"/>
        <w:rPr>
          <w:sz w:val="26"/>
          <w:szCs w:val="26"/>
        </w:rPr>
      </w:pPr>
      <w:r w:rsidRPr="009932F3">
        <w:rPr>
          <w:rStyle w:val="FootnoteReference"/>
          <w:sz w:val="26"/>
          <w:szCs w:val="26"/>
        </w:rPr>
        <w:footnoteRef/>
      </w:r>
      <w:r w:rsidRPr="009932F3">
        <w:rPr>
          <w:sz w:val="26"/>
          <w:szCs w:val="26"/>
        </w:rPr>
        <w:t xml:space="preserve"> </w:t>
      </w:r>
      <w:r w:rsidRPr="009932F3">
        <w:rPr>
          <w:sz w:val="26"/>
          <w:szCs w:val="26"/>
        </w:rPr>
        <w:tab/>
        <w:t xml:space="preserve">See </w:t>
      </w:r>
      <w:r w:rsidR="00A1120A">
        <w:rPr>
          <w:sz w:val="26"/>
          <w:szCs w:val="26"/>
        </w:rPr>
        <w:t xml:space="preserve">Duquesne </w:t>
      </w:r>
      <w:r w:rsidRPr="009932F3">
        <w:rPr>
          <w:sz w:val="26"/>
          <w:szCs w:val="26"/>
        </w:rPr>
        <w:t>Ex. NSF-1 at 3.  Percentage based on figures in March 2014.</w:t>
      </w:r>
    </w:p>
  </w:footnote>
  <w:footnote w:id="14">
    <w:p w:rsidR="0068682E" w:rsidRPr="009932F3" w:rsidRDefault="0068682E" w:rsidP="006628ED">
      <w:pPr>
        <w:ind w:firstLine="720"/>
        <w:rPr>
          <w:rFonts w:ascii="Times New Roman" w:hAnsi="Times New Roman"/>
          <w:sz w:val="26"/>
          <w:szCs w:val="26"/>
        </w:rPr>
      </w:pPr>
      <w:r w:rsidRPr="009932F3">
        <w:rPr>
          <w:rStyle w:val="FootnoteReference"/>
          <w:rFonts w:ascii="Times New Roman" w:hAnsi="Times New Roman"/>
          <w:sz w:val="26"/>
          <w:szCs w:val="26"/>
        </w:rPr>
        <w:footnoteRef/>
      </w:r>
      <w:r w:rsidRPr="009932F3">
        <w:rPr>
          <w:rFonts w:ascii="Times New Roman" w:hAnsi="Times New Roman"/>
          <w:sz w:val="26"/>
          <w:szCs w:val="26"/>
        </w:rPr>
        <w:t xml:space="preserve"> </w:t>
      </w:r>
      <w:r w:rsidRPr="009932F3">
        <w:rPr>
          <w:rFonts w:ascii="Times New Roman" w:hAnsi="Times New Roman"/>
          <w:sz w:val="26"/>
          <w:szCs w:val="26"/>
        </w:rPr>
        <w:tab/>
        <w:t>See Duquesne Ex. No. 1 at 11.</w:t>
      </w:r>
    </w:p>
    <w:p w:rsidR="0068682E" w:rsidRPr="006E30D0" w:rsidRDefault="0068682E" w:rsidP="006628ED">
      <w:pPr>
        <w:pStyle w:val="FootnoteText"/>
        <w:ind w:firstLine="720"/>
        <w:rPr>
          <w:sz w:val="26"/>
          <w:szCs w:val="26"/>
        </w:rPr>
      </w:pPr>
    </w:p>
  </w:footnote>
  <w:footnote w:id="15">
    <w:p w:rsidR="0068682E" w:rsidRPr="00450380" w:rsidRDefault="0068682E" w:rsidP="006628ED">
      <w:pPr>
        <w:pStyle w:val="FootnoteText"/>
        <w:ind w:firstLine="720"/>
        <w:rPr>
          <w:sz w:val="26"/>
          <w:szCs w:val="26"/>
        </w:rPr>
      </w:pPr>
      <w:r w:rsidRPr="00450380">
        <w:rPr>
          <w:rStyle w:val="FootnoteReference"/>
          <w:sz w:val="26"/>
          <w:szCs w:val="26"/>
        </w:rPr>
        <w:footnoteRef/>
      </w:r>
      <w:r w:rsidRPr="00450380">
        <w:rPr>
          <w:sz w:val="26"/>
          <w:szCs w:val="26"/>
        </w:rPr>
        <w:t xml:space="preserve"> </w:t>
      </w:r>
      <w:r w:rsidRPr="00450380">
        <w:rPr>
          <w:sz w:val="26"/>
          <w:szCs w:val="26"/>
        </w:rPr>
        <w:tab/>
      </w:r>
      <w:r>
        <w:rPr>
          <w:sz w:val="26"/>
          <w:szCs w:val="26"/>
        </w:rPr>
        <w:t>See Duquesne St. No. 3 at</w:t>
      </w:r>
      <w:r w:rsidRPr="00450380">
        <w:rPr>
          <w:sz w:val="26"/>
          <w:szCs w:val="26"/>
        </w:rPr>
        <w:t xml:space="preserve"> 5.  </w:t>
      </w:r>
    </w:p>
  </w:footnote>
  <w:footnote w:id="16">
    <w:p w:rsidR="0068682E" w:rsidRPr="00450380" w:rsidRDefault="0068682E" w:rsidP="006628ED">
      <w:pPr>
        <w:pStyle w:val="FootnoteText"/>
        <w:ind w:firstLine="720"/>
        <w:rPr>
          <w:sz w:val="26"/>
          <w:szCs w:val="26"/>
        </w:rPr>
      </w:pPr>
      <w:r w:rsidRPr="00450380">
        <w:rPr>
          <w:rStyle w:val="FootnoteReference"/>
          <w:sz w:val="26"/>
          <w:szCs w:val="26"/>
        </w:rPr>
        <w:footnoteRef/>
      </w:r>
      <w:r>
        <w:rPr>
          <w:sz w:val="26"/>
          <w:szCs w:val="26"/>
        </w:rPr>
        <w:t xml:space="preserve"> </w:t>
      </w:r>
      <w:r>
        <w:rPr>
          <w:sz w:val="26"/>
          <w:szCs w:val="26"/>
        </w:rPr>
        <w:tab/>
      </w:r>
      <w:r>
        <w:rPr>
          <w:i/>
          <w:sz w:val="26"/>
          <w:szCs w:val="26"/>
        </w:rPr>
        <w:t xml:space="preserve">End </w:t>
      </w:r>
      <w:r w:rsidRPr="00450380">
        <w:rPr>
          <w:i/>
          <w:sz w:val="26"/>
          <w:szCs w:val="26"/>
        </w:rPr>
        <w:t>State Order</w:t>
      </w:r>
      <w:r w:rsidRPr="00450380">
        <w:rPr>
          <w:sz w:val="26"/>
          <w:szCs w:val="26"/>
        </w:rPr>
        <w:t>,</w:t>
      </w:r>
      <w:r>
        <w:rPr>
          <w:sz w:val="26"/>
          <w:szCs w:val="26"/>
        </w:rPr>
        <w:t xml:space="preserve"> supra, at</w:t>
      </w:r>
      <w:r w:rsidRPr="00450380">
        <w:rPr>
          <w:sz w:val="26"/>
          <w:szCs w:val="26"/>
        </w:rPr>
        <w:t xml:space="preserve"> 45.  </w:t>
      </w:r>
    </w:p>
  </w:footnote>
  <w:footnote w:id="17">
    <w:p w:rsidR="0068682E" w:rsidRDefault="0068682E" w:rsidP="006628ED">
      <w:pPr>
        <w:pStyle w:val="FootnoteText"/>
        <w:ind w:firstLine="720"/>
      </w:pPr>
      <w:r w:rsidRPr="00450380">
        <w:rPr>
          <w:rStyle w:val="FootnoteReference"/>
          <w:sz w:val="26"/>
          <w:szCs w:val="26"/>
        </w:rPr>
        <w:footnoteRef/>
      </w:r>
      <w:r>
        <w:rPr>
          <w:sz w:val="26"/>
          <w:szCs w:val="26"/>
        </w:rPr>
        <w:t xml:space="preserve"> </w:t>
      </w:r>
      <w:r>
        <w:rPr>
          <w:sz w:val="26"/>
          <w:szCs w:val="26"/>
        </w:rPr>
        <w:tab/>
        <w:t>OSBA St. No. 2 at</w:t>
      </w:r>
      <w:r w:rsidRPr="00450380">
        <w:rPr>
          <w:sz w:val="26"/>
          <w:szCs w:val="26"/>
        </w:rPr>
        <w:t xml:space="preserve"> 3-4.</w:t>
      </w:r>
    </w:p>
  </w:footnote>
  <w:footnote w:id="18">
    <w:p w:rsidR="0068682E" w:rsidRPr="00450380" w:rsidRDefault="0068682E" w:rsidP="006628ED">
      <w:pPr>
        <w:pStyle w:val="FootnoteText"/>
        <w:ind w:firstLine="720"/>
        <w:rPr>
          <w:sz w:val="26"/>
          <w:szCs w:val="26"/>
        </w:rPr>
      </w:pPr>
      <w:r w:rsidRPr="00450380">
        <w:rPr>
          <w:rStyle w:val="FootnoteReference"/>
          <w:sz w:val="26"/>
          <w:szCs w:val="26"/>
        </w:rPr>
        <w:footnoteRef/>
      </w:r>
      <w:r>
        <w:rPr>
          <w:sz w:val="26"/>
          <w:szCs w:val="26"/>
        </w:rPr>
        <w:t xml:space="preserve"> </w:t>
      </w:r>
      <w:r>
        <w:rPr>
          <w:sz w:val="26"/>
          <w:szCs w:val="26"/>
        </w:rPr>
        <w:tab/>
      </w:r>
      <w:r w:rsidRPr="00450380">
        <w:rPr>
          <w:sz w:val="26"/>
          <w:szCs w:val="26"/>
        </w:rPr>
        <w:t>Duqu</w:t>
      </w:r>
      <w:r>
        <w:rPr>
          <w:sz w:val="26"/>
          <w:szCs w:val="26"/>
        </w:rPr>
        <w:t>esne St. No. 2-SR at</w:t>
      </w:r>
      <w:r w:rsidRPr="00450380">
        <w:rPr>
          <w:sz w:val="26"/>
          <w:szCs w:val="26"/>
        </w:rPr>
        <w:t xml:space="preserve"> 3.  </w:t>
      </w:r>
    </w:p>
  </w:footnote>
  <w:footnote w:id="19">
    <w:p w:rsidR="0068682E" w:rsidRDefault="0068682E" w:rsidP="006628ED">
      <w:pPr>
        <w:pStyle w:val="FootnoteText"/>
        <w:ind w:firstLine="720"/>
      </w:pPr>
      <w:r w:rsidRPr="00450380">
        <w:rPr>
          <w:rStyle w:val="FootnoteReference"/>
          <w:sz w:val="26"/>
          <w:szCs w:val="26"/>
        </w:rPr>
        <w:footnoteRef/>
      </w:r>
      <w:r>
        <w:rPr>
          <w:sz w:val="26"/>
          <w:szCs w:val="26"/>
        </w:rPr>
        <w:t xml:space="preserve"> </w:t>
      </w:r>
      <w:r>
        <w:rPr>
          <w:sz w:val="26"/>
          <w:szCs w:val="26"/>
        </w:rPr>
        <w:tab/>
      </w:r>
      <w:r w:rsidRPr="005F3390">
        <w:rPr>
          <w:i/>
          <w:sz w:val="26"/>
          <w:szCs w:val="26"/>
        </w:rPr>
        <w:t>See</w:t>
      </w:r>
      <w:r>
        <w:rPr>
          <w:sz w:val="26"/>
          <w:szCs w:val="26"/>
        </w:rPr>
        <w:t xml:space="preserve"> Duquesne St. No. 2-SR at</w:t>
      </w:r>
      <w:r w:rsidRPr="00450380">
        <w:rPr>
          <w:sz w:val="26"/>
          <w:szCs w:val="26"/>
        </w:rPr>
        <w:t xml:space="preserve"> 3</w:t>
      </w:r>
      <w:r>
        <w:t xml:space="preserve">.  </w:t>
      </w:r>
    </w:p>
    <w:p w:rsidR="0068682E" w:rsidRDefault="0068682E" w:rsidP="006628ED">
      <w:pPr>
        <w:pStyle w:val="FootnoteText"/>
        <w:ind w:firstLine="720"/>
      </w:pPr>
    </w:p>
  </w:footnote>
  <w:footnote w:id="20">
    <w:p w:rsidR="0068682E" w:rsidRPr="006628ED" w:rsidRDefault="0068682E" w:rsidP="006628ED">
      <w:pPr>
        <w:pStyle w:val="FootnoteText"/>
        <w:ind w:firstLine="720"/>
        <w:rPr>
          <w:sz w:val="26"/>
          <w:szCs w:val="26"/>
        </w:rPr>
      </w:pPr>
      <w:r w:rsidRPr="006628ED">
        <w:rPr>
          <w:rStyle w:val="FootnoteReference"/>
          <w:sz w:val="26"/>
          <w:szCs w:val="26"/>
        </w:rPr>
        <w:footnoteRef/>
      </w:r>
      <w:r w:rsidRPr="006628ED">
        <w:rPr>
          <w:sz w:val="26"/>
          <w:szCs w:val="26"/>
        </w:rPr>
        <w:t xml:space="preserve"> </w:t>
      </w:r>
      <w:r w:rsidRPr="006628ED">
        <w:rPr>
          <w:sz w:val="26"/>
          <w:szCs w:val="26"/>
        </w:rPr>
        <w:tab/>
      </w:r>
      <w:r w:rsidRPr="00AE3058">
        <w:rPr>
          <w:i/>
          <w:sz w:val="26"/>
          <w:szCs w:val="26"/>
        </w:rPr>
        <w:t>See</w:t>
      </w:r>
      <w:r>
        <w:rPr>
          <w:sz w:val="26"/>
          <w:szCs w:val="26"/>
        </w:rPr>
        <w:t xml:space="preserve"> RESA St. 1 at </w:t>
      </w:r>
      <w:r w:rsidRPr="006628ED">
        <w:rPr>
          <w:sz w:val="26"/>
          <w:szCs w:val="26"/>
        </w:rPr>
        <w:t xml:space="preserve">19-20 and also Exhibit NSF-5, </w:t>
      </w:r>
      <w:r>
        <w:rPr>
          <w:sz w:val="26"/>
          <w:szCs w:val="26"/>
        </w:rPr>
        <w:t xml:space="preserve">RESA response to Duquesne </w:t>
      </w:r>
      <w:r w:rsidRPr="006628ED">
        <w:rPr>
          <w:sz w:val="26"/>
          <w:szCs w:val="26"/>
        </w:rPr>
        <w:t xml:space="preserve">Interrogatory Set I, question 3.  </w:t>
      </w:r>
    </w:p>
  </w:footnote>
  <w:footnote w:id="21">
    <w:p w:rsidR="0068682E" w:rsidRPr="006628ED" w:rsidRDefault="0068682E" w:rsidP="006628ED">
      <w:pPr>
        <w:pStyle w:val="FootnoteText"/>
        <w:ind w:firstLine="720"/>
        <w:rPr>
          <w:sz w:val="26"/>
          <w:szCs w:val="26"/>
        </w:rPr>
      </w:pPr>
      <w:r w:rsidRPr="006628ED">
        <w:rPr>
          <w:rStyle w:val="FootnoteReference"/>
          <w:sz w:val="26"/>
          <w:szCs w:val="26"/>
        </w:rPr>
        <w:footnoteRef/>
      </w:r>
      <w:r w:rsidRPr="006628ED">
        <w:rPr>
          <w:sz w:val="26"/>
          <w:szCs w:val="26"/>
        </w:rPr>
        <w:t xml:space="preserve"> </w:t>
      </w:r>
      <w:r w:rsidRPr="006628ED">
        <w:rPr>
          <w:sz w:val="26"/>
          <w:szCs w:val="26"/>
        </w:rPr>
        <w:tab/>
      </w:r>
      <w:r w:rsidRPr="00C739C9">
        <w:rPr>
          <w:i/>
          <w:sz w:val="26"/>
          <w:szCs w:val="26"/>
        </w:rPr>
        <w:t>See</w:t>
      </w:r>
      <w:r>
        <w:rPr>
          <w:sz w:val="26"/>
          <w:szCs w:val="26"/>
        </w:rPr>
        <w:t xml:space="preserve"> Duquesne St. No. 4-R at</w:t>
      </w:r>
      <w:r w:rsidRPr="006628ED">
        <w:rPr>
          <w:sz w:val="26"/>
          <w:szCs w:val="26"/>
        </w:rPr>
        <w:t xml:space="preserve"> 18.</w:t>
      </w:r>
    </w:p>
  </w:footnote>
  <w:footnote w:id="22">
    <w:p w:rsidR="0068682E" w:rsidRPr="00B20A33" w:rsidRDefault="0068682E" w:rsidP="00B20A33">
      <w:pPr>
        <w:pStyle w:val="FootnoteText"/>
        <w:ind w:firstLine="720"/>
        <w:rPr>
          <w:sz w:val="26"/>
          <w:szCs w:val="26"/>
        </w:rPr>
      </w:pPr>
      <w:r w:rsidRPr="006628ED">
        <w:rPr>
          <w:rStyle w:val="FootnoteReference"/>
          <w:sz w:val="26"/>
          <w:szCs w:val="26"/>
        </w:rPr>
        <w:footnoteRef/>
      </w:r>
      <w:r w:rsidRPr="006628ED">
        <w:rPr>
          <w:sz w:val="26"/>
          <w:szCs w:val="26"/>
        </w:rPr>
        <w:t xml:space="preserve"> </w:t>
      </w:r>
      <w:r w:rsidRPr="006628ED">
        <w:rPr>
          <w:sz w:val="26"/>
          <w:szCs w:val="26"/>
        </w:rPr>
        <w:tab/>
        <w:t xml:space="preserve">The </w:t>
      </w:r>
      <w:r>
        <w:rPr>
          <w:sz w:val="26"/>
          <w:szCs w:val="26"/>
        </w:rPr>
        <w:t xml:space="preserve">Duquesne </w:t>
      </w:r>
      <w:r w:rsidRPr="006628ED">
        <w:rPr>
          <w:sz w:val="26"/>
          <w:szCs w:val="26"/>
        </w:rPr>
        <w:t>witness explained an update to the Fixed Retail Adder would support a cost of $4.</w:t>
      </w:r>
      <w:r>
        <w:rPr>
          <w:sz w:val="26"/>
          <w:szCs w:val="26"/>
        </w:rPr>
        <w:t xml:space="preserve">66 per mWh.  </w:t>
      </w:r>
      <w:r w:rsidRPr="00C739C9">
        <w:rPr>
          <w:i/>
          <w:sz w:val="26"/>
          <w:szCs w:val="26"/>
        </w:rPr>
        <w:t>See</w:t>
      </w:r>
      <w:r>
        <w:rPr>
          <w:sz w:val="26"/>
          <w:szCs w:val="26"/>
        </w:rPr>
        <w:t xml:space="preserve"> Duquesne St. No. 4-R at</w:t>
      </w:r>
      <w:r w:rsidRPr="006628ED">
        <w:rPr>
          <w:sz w:val="26"/>
          <w:szCs w:val="26"/>
        </w:rPr>
        <w:t xml:space="preserve"> 17.</w:t>
      </w:r>
      <w:r>
        <w:t xml:space="preserve"> </w:t>
      </w:r>
    </w:p>
    <w:p w:rsidR="0068682E" w:rsidRDefault="0068682E" w:rsidP="006628ED">
      <w:pPr>
        <w:ind w:firstLine="720"/>
        <w:rPr>
          <w:rFonts w:ascii="Times New Roman" w:hAnsi="Times New Roman"/>
          <w:b/>
          <w:sz w:val="26"/>
          <w:szCs w:val="26"/>
        </w:rPr>
      </w:pPr>
    </w:p>
    <w:p w:rsidR="0068682E" w:rsidRDefault="0068682E" w:rsidP="006628ED">
      <w:pPr>
        <w:pStyle w:val="FootnoteText"/>
        <w:ind w:firstLine="720"/>
      </w:pPr>
    </w:p>
    <w:p w:rsidR="0068682E" w:rsidRPr="00B331C0" w:rsidRDefault="0068682E" w:rsidP="006628ED">
      <w:pPr>
        <w:pStyle w:val="FootnoteText"/>
        <w:ind w:firstLine="720"/>
      </w:pPr>
    </w:p>
  </w:footnote>
  <w:footnote w:id="23">
    <w:p w:rsidR="0068682E" w:rsidRPr="00B56AAB" w:rsidRDefault="0068682E" w:rsidP="00B56AAB">
      <w:pPr>
        <w:pStyle w:val="FootnoteText"/>
        <w:ind w:firstLine="720"/>
        <w:rPr>
          <w:sz w:val="26"/>
          <w:szCs w:val="26"/>
        </w:rPr>
      </w:pPr>
      <w:r w:rsidRPr="00B56AAB">
        <w:rPr>
          <w:rStyle w:val="FootnoteReference"/>
          <w:sz w:val="26"/>
          <w:szCs w:val="26"/>
        </w:rPr>
        <w:footnoteRef/>
      </w:r>
      <w:r>
        <w:rPr>
          <w:sz w:val="26"/>
          <w:szCs w:val="26"/>
        </w:rPr>
        <w:t xml:space="preserve"> </w:t>
      </w:r>
      <w:r>
        <w:rPr>
          <w:sz w:val="26"/>
          <w:szCs w:val="26"/>
        </w:rPr>
        <w:tab/>
        <w:t>Duquesne passes through PJM spot energy and other PJM costs to Large C&amp;I default service customers under Rider No. 9 of its tariff.</w:t>
      </w:r>
      <w:r w:rsidRPr="00B56AAB">
        <w:rPr>
          <w:sz w:val="26"/>
          <w:szCs w:val="26"/>
        </w:rPr>
        <w:t xml:space="preserve"> </w:t>
      </w:r>
    </w:p>
  </w:footnote>
  <w:footnote w:id="24">
    <w:p w:rsidR="0068682E" w:rsidRPr="008B363E" w:rsidRDefault="0068682E" w:rsidP="00B20A33">
      <w:pPr>
        <w:pStyle w:val="FootnoteText"/>
        <w:rPr>
          <w:sz w:val="26"/>
          <w:szCs w:val="26"/>
        </w:rPr>
      </w:pPr>
      <w:r>
        <w:tab/>
      </w:r>
      <w:r w:rsidRPr="008B363E">
        <w:rPr>
          <w:rStyle w:val="FootnoteReference"/>
          <w:sz w:val="26"/>
          <w:szCs w:val="26"/>
        </w:rPr>
        <w:footnoteRef/>
      </w:r>
      <w:r>
        <w:rPr>
          <w:sz w:val="26"/>
          <w:szCs w:val="26"/>
        </w:rPr>
        <w:t xml:space="preserve"> </w:t>
      </w:r>
      <w:r>
        <w:rPr>
          <w:sz w:val="26"/>
          <w:szCs w:val="26"/>
        </w:rPr>
        <w:tab/>
        <w:t xml:space="preserve">Duquesne </w:t>
      </w:r>
      <w:r w:rsidRPr="008B363E">
        <w:rPr>
          <w:sz w:val="26"/>
          <w:szCs w:val="26"/>
        </w:rPr>
        <w:t>St. No. 2</w:t>
      </w:r>
      <w:r>
        <w:rPr>
          <w:sz w:val="26"/>
          <w:szCs w:val="26"/>
        </w:rPr>
        <w:t xml:space="preserve"> at</w:t>
      </w:r>
      <w:r w:rsidRPr="008B363E">
        <w:rPr>
          <w:sz w:val="26"/>
          <w:szCs w:val="26"/>
        </w:rPr>
        <w:t xml:space="preserve"> 4.</w:t>
      </w:r>
    </w:p>
  </w:footnote>
  <w:footnote w:id="25">
    <w:p w:rsidR="0068682E" w:rsidRPr="008B363E" w:rsidRDefault="0068682E" w:rsidP="00B20A33">
      <w:pPr>
        <w:pStyle w:val="FootnoteText"/>
        <w:ind w:firstLine="720"/>
        <w:rPr>
          <w:sz w:val="26"/>
          <w:szCs w:val="26"/>
        </w:rPr>
      </w:pPr>
      <w:r w:rsidRPr="008B363E">
        <w:rPr>
          <w:rStyle w:val="FootnoteReference"/>
          <w:sz w:val="26"/>
          <w:szCs w:val="26"/>
        </w:rPr>
        <w:footnoteRef/>
      </w:r>
      <w:r w:rsidRPr="008B363E">
        <w:rPr>
          <w:sz w:val="26"/>
          <w:szCs w:val="26"/>
        </w:rPr>
        <w:t xml:space="preserve"> </w:t>
      </w:r>
      <w:r w:rsidRPr="008B363E">
        <w:rPr>
          <w:sz w:val="26"/>
          <w:szCs w:val="26"/>
        </w:rPr>
        <w:tab/>
        <w:t xml:space="preserve">See </w:t>
      </w:r>
      <w:r>
        <w:rPr>
          <w:i/>
          <w:sz w:val="26"/>
          <w:szCs w:val="26"/>
        </w:rPr>
        <w:t xml:space="preserve">End State Order </w:t>
      </w:r>
      <w:r>
        <w:rPr>
          <w:sz w:val="26"/>
          <w:szCs w:val="26"/>
        </w:rPr>
        <w:t>at</w:t>
      </w:r>
      <w:r w:rsidRPr="008B363E">
        <w:rPr>
          <w:sz w:val="26"/>
          <w:szCs w:val="26"/>
        </w:rPr>
        <w:t xml:space="preserve"> 20.  </w:t>
      </w:r>
    </w:p>
  </w:footnote>
  <w:footnote w:id="26">
    <w:p w:rsidR="0068682E" w:rsidRPr="007744A4" w:rsidRDefault="0068682E" w:rsidP="007744A4">
      <w:pPr>
        <w:pStyle w:val="FootnoteText"/>
        <w:ind w:firstLine="720"/>
        <w:rPr>
          <w:sz w:val="26"/>
          <w:szCs w:val="26"/>
        </w:rPr>
      </w:pPr>
      <w:r w:rsidRPr="007744A4">
        <w:rPr>
          <w:rStyle w:val="FootnoteReference"/>
          <w:sz w:val="26"/>
          <w:szCs w:val="26"/>
        </w:rPr>
        <w:footnoteRef/>
      </w:r>
      <w:r>
        <w:rPr>
          <w:sz w:val="26"/>
          <w:szCs w:val="26"/>
        </w:rPr>
        <w:t xml:space="preserve"> </w:t>
      </w:r>
      <w:r>
        <w:rPr>
          <w:sz w:val="26"/>
          <w:szCs w:val="26"/>
        </w:rPr>
        <w:tab/>
      </w:r>
      <w:r w:rsidRPr="007744A4">
        <w:rPr>
          <w:sz w:val="26"/>
          <w:szCs w:val="26"/>
        </w:rPr>
        <w:t>RESA St. No. 1 at 22.</w:t>
      </w:r>
    </w:p>
  </w:footnote>
  <w:footnote w:id="27">
    <w:p w:rsidR="0068682E" w:rsidRPr="007744A4" w:rsidRDefault="0068682E" w:rsidP="007744A4">
      <w:pPr>
        <w:pStyle w:val="FootnoteText"/>
        <w:ind w:firstLine="720"/>
        <w:rPr>
          <w:sz w:val="26"/>
          <w:szCs w:val="26"/>
        </w:rPr>
      </w:pPr>
      <w:r w:rsidRPr="007744A4">
        <w:rPr>
          <w:rStyle w:val="FootnoteReference"/>
          <w:sz w:val="26"/>
          <w:szCs w:val="26"/>
        </w:rPr>
        <w:footnoteRef/>
      </w:r>
      <w:r>
        <w:rPr>
          <w:sz w:val="26"/>
          <w:szCs w:val="26"/>
        </w:rPr>
        <w:t xml:space="preserve"> </w:t>
      </w:r>
      <w:r>
        <w:rPr>
          <w:sz w:val="26"/>
          <w:szCs w:val="26"/>
        </w:rPr>
        <w:tab/>
      </w:r>
      <w:r w:rsidRPr="007744A4">
        <w:rPr>
          <w:sz w:val="26"/>
          <w:szCs w:val="26"/>
        </w:rPr>
        <w:t>Ex</w:t>
      </w:r>
      <w:r>
        <w:rPr>
          <w:sz w:val="26"/>
          <w:szCs w:val="26"/>
        </w:rPr>
        <w:t>elon Gen St. No. 1 at</w:t>
      </w:r>
      <w:r w:rsidRPr="007744A4">
        <w:rPr>
          <w:sz w:val="26"/>
          <w:szCs w:val="26"/>
        </w:rPr>
        <w:t xml:space="preserve"> 4.  </w:t>
      </w:r>
    </w:p>
  </w:footnote>
  <w:footnote w:id="28">
    <w:p w:rsidR="0068682E" w:rsidRPr="007744A4" w:rsidRDefault="0068682E" w:rsidP="00FE36CD">
      <w:pPr>
        <w:pStyle w:val="BodyText"/>
        <w:keepNext/>
        <w:keepLines/>
        <w:spacing w:after="0" w:line="240" w:lineRule="auto"/>
        <w:ind w:firstLine="720"/>
        <w:rPr>
          <w:rFonts w:ascii="Times New Roman" w:hAnsi="Times New Roman"/>
          <w:sz w:val="26"/>
          <w:szCs w:val="26"/>
        </w:rPr>
      </w:pPr>
      <w:r w:rsidRPr="007744A4">
        <w:rPr>
          <w:rStyle w:val="FootnoteReference"/>
          <w:rFonts w:ascii="Times New Roman" w:hAnsi="Times New Roman"/>
          <w:sz w:val="26"/>
          <w:szCs w:val="26"/>
        </w:rPr>
        <w:footnoteRef/>
      </w:r>
      <w:r w:rsidRPr="007744A4">
        <w:rPr>
          <w:rFonts w:ascii="Times New Roman" w:hAnsi="Times New Roman"/>
          <w:sz w:val="26"/>
          <w:szCs w:val="26"/>
        </w:rPr>
        <w:t xml:space="preserve"> </w:t>
      </w:r>
      <w:r w:rsidRPr="007744A4">
        <w:rPr>
          <w:rFonts w:ascii="Times New Roman" w:hAnsi="Times New Roman"/>
          <w:sz w:val="26"/>
          <w:szCs w:val="26"/>
        </w:rPr>
        <w:tab/>
        <w:t>The same issue was contested in the FirstEne</w:t>
      </w:r>
      <w:r>
        <w:rPr>
          <w:rFonts w:ascii="Times New Roman" w:hAnsi="Times New Roman"/>
          <w:sz w:val="26"/>
          <w:szCs w:val="26"/>
        </w:rPr>
        <w:t>rgy line of DSP</w:t>
      </w:r>
      <w:r w:rsidRPr="007744A4">
        <w:rPr>
          <w:rFonts w:ascii="Times New Roman" w:hAnsi="Times New Roman"/>
          <w:sz w:val="26"/>
          <w:szCs w:val="26"/>
        </w:rPr>
        <w:t xml:space="preserve"> proceedings and the Commission refused to alter its decision.  </w:t>
      </w:r>
      <w:r w:rsidRPr="002130C7">
        <w:rPr>
          <w:rFonts w:ascii="Times New Roman" w:hAnsi="Times New Roman"/>
          <w:i/>
          <w:sz w:val="26"/>
          <w:szCs w:val="26"/>
        </w:rPr>
        <w:t>See</w:t>
      </w:r>
      <w:r w:rsidRPr="007744A4">
        <w:rPr>
          <w:rFonts w:ascii="Times New Roman" w:hAnsi="Times New Roman"/>
          <w:sz w:val="26"/>
          <w:szCs w:val="26"/>
        </w:rPr>
        <w:t xml:space="preserve"> </w:t>
      </w:r>
      <w:r w:rsidRPr="007744A4">
        <w:rPr>
          <w:rFonts w:ascii="Times New Roman" w:hAnsi="Times New Roman"/>
          <w:i/>
          <w:sz w:val="26"/>
          <w:szCs w:val="26"/>
        </w:rPr>
        <w:t>Joint Petition of Metropolitan Edison Company, Pennsylvania Electric Company, Pennsylvania Power Company and West Penn Power Company for Approval of Their Default Service Programs</w:t>
      </w:r>
      <w:r w:rsidRPr="007744A4">
        <w:rPr>
          <w:rFonts w:ascii="Times New Roman" w:hAnsi="Times New Roman"/>
          <w:sz w:val="26"/>
          <w:szCs w:val="26"/>
        </w:rPr>
        <w:t>, Docket No. P-2013-2391368, et al.</w:t>
      </w:r>
      <w:r>
        <w:rPr>
          <w:rFonts w:ascii="Times New Roman" w:hAnsi="Times New Roman"/>
          <w:sz w:val="26"/>
          <w:szCs w:val="26"/>
        </w:rPr>
        <w:t xml:space="preserve"> Order entered July 24, 2014, at</w:t>
      </w:r>
      <w:r w:rsidRPr="007744A4">
        <w:rPr>
          <w:rFonts w:ascii="Times New Roman" w:hAnsi="Times New Roman"/>
          <w:sz w:val="26"/>
          <w:szCs w:val="26"/>
        </w:rPr>
        <w:t xml:space="preserve"> 56. (</w:t>
      </w:r>
      <w:r w:rsidRPr="007744A4">
        <w:rPr>
          <w:rFonts w:ascii="Times New Roman" w:hAnsi="Times New Roman"/>
          <w:i/>
          <w:sz w:val="26"/>
          <w:szCs w:val="26"/>
        </w:rPr>
        <w:t>FirstEnergy DSP Order</w:t>
      </w:r>
      <w:r w:rsidRPr="007744A4">
        <w:rPr>
          <w:rFonts w:ascii="Times New Roman" w:hAnsi="Times New Roman"/>
          <w:sz w:val="26"/>
          <w:szCs w:val="26"/>
        </w:rPr>
        <w:t xml:space="preserve">). </w:t>
      </w:r>
    </w:p>
  </w:footnote>
  <w:footnote w:id="29">
    <w:p w:rsidR="0068682E" w:rsidRPr="007744A4" w:rsidRDefault="0068682E" w:rsidP="007744A4">
      <w:pPr>
        <w:pStyle w:val="FootnoteText"/>
        <w:rPr>
          <w:sz w:val="26"/>
          <w:szCs w:val="26"/>
        </w:rPr>
      </w:pPr>
      <w:r w:rsidRPr="007744A4">
        <w:rPr>
          <w:sz w:val="26"/>
          <w:szCs w:val="26"/>
        </w:rPr>
        <w:tab/>
      </w:r>
      <w:r w:rsidRPr="007744A4">
        <w:rPr>
          <w:rStyle w:val="FootnoteReference"/>
          <w:sz w:val="26"/>
          <w:szCs w:val="26"/>
        </w:rPr>
        <w:footnoteRef/>
      </w:r>
      <w:r>
        <w:rPr>
          <w:sz w:val="26"/>
          <w:szCs w:val="26"/>
        </w:rPr>
        <w:t xml:space="preserve"> </w:t>
      </w:r>
      <w:r>
        <w:rPr>
          <w:sz w:val="26"/>
          <w:szCs w:val="26"/>
        </w:rPr>
        <w:tab/>
        <w:t>RESA St. No. 1-SR at</w:t>
      </w:r>
      <w:r w:rsidRPr="007744A4">
        <w:rPr>
          <w:sz w:val="26"/>
          <w:szCs w:val="26"/>
        </w:rPr>
        <w:t xml:space="preserve"> 23-24.</w:t>
      </w:r>
    </w:p>
  </w:footnote>
  <w:footnote w:id="30">
    <w:p w:rsidR="0068682E" w:rsidRPr="007744A4" w:rsidRDefault="0068682E" w:rsidP="007744A4">
      <w:pPr>
        <w:pStyle w:val="FootnoteText"/>
        <w:rPr>
          <w:sz w:val="26"/>
          <w:szCs w:val="26"/>
        </w:rPr>
      </w:pPr>
      <w:r w:rsidRPr="007744A4">
        <w:rPr>
          <w:sz w:val="26"/>
          <w:szCs w:val="26"/>
        </w:rPr>
        <w:tab/>
      </w:r>
      <w:r w:rsidRPr="007744A4">
        <w:rPr>
          <w:rStyle w:val="FootnoteReference"/>
          <w:sz w:val="26"/>
          <w:szCs w:val="26"/>
        </w:rPr>
        <w:footnoteRef/>
      </w:r>
      <w:r>
        <w:rPr>
          <w:sz w:val="26"/>
          <w:szCs w:val="26"/>
        </w:rPr>
        <w:t xml:space="preserve"> </w:t>
      </w:r>
      <w:r>
        <w:rPr>
          <w:sz w:val="26"/>
          <w:szCs w:val="26"/>
        </w:rPr>
        <w:tab/>
        <w:t>Duquesne St. No. 4-RJ at</w:t>
      </w:r>
      <w:r w:rsidRPr="007744A4">
        <w:rPr>
          <w:sz w:val="26"/>
          <w:szCs w:val="26"/>
        </w:rPr>
        <w:t xml:space="preserve"> 5-6.  </w:t>
      </w:r>
    </w:p>
  </w:footnote>
  <w:footnote w:id="31">
    <w:p w:rsidR="0068682E" w:rsidRPr="003A0353" w:rsidRDefault="0068682E" w:rsidP="003A0353">
      <w:pPr>
        <w:pStyle w:val="FootnoteText"/>
        <w:rPr>
          <w:sz w:val="26"/>
          <w:szCs w:val="26"/>
        </w:rPr>
      </w:pPr>
      <w:r>
        <w:tab/>
      </w:r>
      <w:r w:rsidRPr="003A0353">
        <w:rPr>
          <w:rStyle w:val="FootnoteReference"/>
          <w:sz w:val="26"/>
          <w:szCs w:val="26"/>
        </w:rPr>
        <w:footnoteRef/>
      </w:r>
      <w:r w:rsidRPr="003A0353">
        <w:rPr>
          <w:sz w:val="26"/>
          <w:szCs w:val="26"/>
        </w:rPr>
        <w:t xml:space="preserve"> </w:t>
      </w:r>
      <w:r w:rsidRPr="003A0353">
        <w:rPr>
          <w:sz w:val="26"/>
          <w:szCs w:val="26"/>
        </w:rPr>
        <w:tab/>
      </w:r>
      <w:r w:rsidRPr="002130C7">
        <w:rPr>
          <w:i/>
          <w:sz w:val="26"/>
          <w:szCs w:val="26"/>
        </w:rPr>
        <w:t>See</w:t>
      </w:r>
      <w:r w:rsidRPr="003A0353">
        <w:rPr>
          <w:sz w:val="26"/>
          <w:szCs w:val="26"/>
        </w:rPr>
        <w:t xml:space="preserve"> </w:t>
      </w:r>
      <w:r w:rsidRPr="003A0353">
        <w:rPr>
          <w:i/>
          <w:sz w:val="26"/>
          <w:szCs w:val="26"/>
        </w:rPr>
        <w:t>Guidelines for Use of Fixed Price Labels for Products with a Pass-Through Clause</w:t>
      </w:r>
      <w:r w:rsidRPr="003A0353">
        <w:rPr>
          <w:sz w:val="26"/>
          <w:szCs w:val="26"/>
        </w:rPr>
        <w:t xml:space="preserve">, Docket No. M-2013-2362961 </w:t>
      </w:r>
      <w:r>
        <w:rPr>
          <w:sz w:val="26"/>
          <w:szCs w:val="26"/>
        </w:rPr>
        <w:t>(</w:t>
      </w:r>
      <w:r w:rsidRPr="003A0353">
        <w:rPr>
          <w:sz w:val="26"/>
          <w:szCs w:val="26"/>
        </w:rPr>
        <w:t>Final Order entered November 14, 2013</w:t>
      </w:r>
      <w:r>
        <w:rPr>
          <w:sz w:val="26"/>
          <w:szCs w:val="26"/>
        </w:rPr>
        <w:t>)</w:t>
      </w:r>
      <w:r w:rsidRPr="003A0353">
        <w:rPr>
          <w:sz w:val="26"/>
          <w:szCs w:val="26"/>
        </w:rPr>
        <w:t>.</w:t>
      </w:r>
    </w:p>
  </w:footnote>
  <w:footnote w:id="32">
    <w:p w:rsidR="0068682E" w:rsidRPr="003A0353" w:rsidRDefault="0068682E" w:rsidP="003B6212">
      <w:pPr>
        <w:pStyle w:val="FootnoteText"/>
        <w:rPr>
          <w:sz w:val="26"/>
          <w:szCs w:val="26"/>
        </w:rPr>
      </w:pPr>
      <w:r w:rsidRPr="003A0353">
        <w:rPr>
          <w:sz w:val="26"/>
          <w:szCs w:val="26"/>
        </w:rPr>
        <w:tab/>
      </w:r>
      <w:r w:rsidRPr="003A0353">
        <w:rPr>
          <w:rStyle w:val="FootnoteReference"/>
          <w:sz w:val="26"/>
          <w:szCs w:val="26"/>
        </w:rPr>
        <w:footnoteRef/>
      </w:r>
      <w:r>
        <w:rPr>
          <w:sz w:val="26"/>
          <w:szCs w:val="26"/>
        </w:rPr>
        <w:t xml:space="preserve"> </w:t>
      </w:r>
      <w:r>
        <w:rPr>
          <w:sz w:val="26"/>
          <w:szCs w:val="26"/>
        </w:rPr>
        <w:tab/>
      </w:r>
      <w:r w:rsidRPr="002130C7">
        <w:rPr>
          <w:i/>
          <w:sz w:val="26"/>
          <w:szCs w:val="26"/>
        </w:rPr>
        <w:t>See</w:t>
      </w:r>
      <w:r>
        <w:rPr>
          <w:sz w:val="26"/>
          <w:szCs w:val="26"/>
        </w:rPr>
        <w:t xml:space="preserve"> RESA St. No. 1 at</w:t>
      </w:r>
      <w:r w:rsidRPr="003A0353">
        <w:rPr>
          <w:sz w:val="26"/>
          <w:szCs w:val="26"/>
        </w:rPr>
        <w:t xml:space="preserve"> 25.</w:t>
      </w:r>
    </w:p>
  </w:footnote>
  <w:footnote w:id="33">
    <w:p w:rsidR="0068682E" w:rsidRPr="003A0353" w:rsidRDefault="0068682E" w:rsidP="003B6212">
      <w:pPr>
        <w:pStyle w:val="FootnoteText"/>
        <w:rPr>
          <w:sz w:val="26"/>
          <w:szCs w:val="26"/>
        </w:rPr>
      </w:pPr>
      <w:r w:rsidRPr="003A0353">
        <w:rPr>
          <w:sz w:val="26"/>
          <w:szCs w:val="26"/>
        </w:rPr>
        <w:tab/>
      </w:r>
      <w:r w:rsidRPr="003A0353">
        <w:rPr>
          <w:rStyle w:val="FootnoteReference"/>
          <w:sz w:val="26"/>
          <w:szCs w:val="26"/>
        </w:rPr>
        <w:footnoteRef/>
      </w:r>
      <w:r w:rsidRPr="003A0353">
        <w:rPr>
          <w:sz w:val="26"/>
          <w:szCs w:val="26"/>
        </w:rPr>
        <w:t xml:space="preserve"> </w:t>
      </w:r>
      <w:r w:rsidRPr="003A0353">
        <w:rPr>
          <w:sz w:val="26"/>
          <w:szCs w:val="26"/>
        </w:rPr>
        <w:tab/>
      </w:r>
      <w:r w:rsidRPr="002130C7">
        <w:rPr>
          <w:i/>
          <w:sz w:val="26"/>
          <w:szCs w:val="26"/>
        </w:rPr>
        <w:t>See</w:t>
      </w:r>
      <w:r w:rsidRPr="003A0353">
        <w:rPr>
          <w:sz w:val="26"/>
          <w:szCs w:val="26"/>
        </w:rPr>
        <w:t xml:space="preserve"> </w:t>
      </w:r>
      <w:r w:rsidRPr="003A0353">
        <w:rPr>
          <w:i/>
          <w:sz w:val="26"/>
          <w:szCs w:val="26"/>
        </w:rPr>
        <w:t>FirstEnergy DSP Order</w:t>
      </w:r>
      <w:r w:rsidRPr="003A0353">
        <w:rPr>
          <w:sz w:val="26"/>
          <w:szCs w:val="26"/>
        </w:rPr>
        <w:t xml:space="preserve"> at 31-32.</w:t>
      </w:r>
    </w:p>
  </w:footnote>
  <w:footnote w:id="34">
    <w:p w:rsidR="0068682E" w:rsidRPr="00B11181" w:rsidRDefault="0068682E" w:rsidP="00B11181">
      <w:pPr>
        <w:pStyle w:val="FootnoteText"/>
        <w:ind w:firstLine="720"/>
        <w:rPr>
          <w:sz w:val="26"/>
          <w:szCs w:val="26"/>
        </w:rPr>
      </w:pPr>
      <w:r w:rsidRPr="00B11181">
        <w:rPr>
          <w:rStyle w:val="FootnoteReference"/>
          <w:sz w:val="26"/>
          <w:szCs w:val="26"/>
        </w:rPr>
        <w:footnoteRef/>
      </w:r>
      <w:r w:rsidRPr="00B11181">
        <w:rPr>
          <w:sz w:val="26"/>
          <w:szCs w:val="26"/>
        </w:rPr>
        <w:t xml:space="preserve"> </w:t>
      </w:r>
      <w:r>
        <w:rPr>
          <w:sz w:val="26"/>
          <w:szCs w:val="26"/>
        </w:rPr>
        <w:tab/>
        <w:t xml:space="preserve">RESA notes that this result would also be closer aligned to the partial Settlement in the PECO DSP III proceeding.  </w:t>
      </w:r>
      <w:r>
        <w:rPr>
          <w:i/>
          <w:sz w:val="26"/>
          <w:szCs w:val="26"/>
        </w:rPr>
        <w:t xml:space="preserve">Petition of PECO Energy Company for Approval of its Default Service Program for The Period From June 1, 2015 Through May 31, 2017, </w:t>
      </w:r>
      <w:r>
        <w:rPr>
          <w:sz w:val="26"/>
          <w:szCs w:val="26"/>
        </w:rPr>
        <w:t>Docket No. P-2014-2409362 (Order entered December 4,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1">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2">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B03D4"/>
    <w:multiLevelType w:val="multilevel"/>
    <w:tmpl w:val="A5240054"/>
    <w:name w:val="zzmpOutline||Outline|2|3|1|1|2|41||1|4|0||1|4|0||1|4|1||1|4|0||1|4|9||1|4|0||1|4|0||1|4|0||"/>
    <w:lvl w:ilvl="0">
      <w:start w:val="1"/>
      <w:numFmt w:val="upperRoman"/>
      <w:pStyle w:val="OutlineL1"/>
      <w:lvlText w:val="%1."/>
      <w:lvlJc w:val="left"/>
      <w:pPr>
        <w:tabs>
          <w:tab w:val="num" w:pos="720"/>
        </w:tabs>
        <w:ind w:left="0" w:firstLine="0"/>
      </w:pPr>
      <w:rPr>
        <w:rFonts w:ascii="Times New Roman" w:hAnsi="Times New Roman" w:cs="Times New Roman" w:hint="default"/>
        <w:b/>
        <w:i w:val="0"/>
        <w:caps/>
        <w:smallCaps w:val="0"/>
        <w:strike w:val="0"/>
        <w:dstrike w:val="0"/>
        <w:sz w:val="24"/>
        <w:u w:val="none"/>
        <w:effect w:val="none"/>
      </w:rPr>
    </w:lvl>
    <w:lvl w:ilvl="1">
      <w:start w:val="11"/>
      <w:numFmt w:val="decimal"/>
      <w:lvlRestart w:val="0"/>
      <w:pStyle w:val="OutlineL2"/>
      <w:lvlText w:val="%2."/>
      <w:lvlJc w:val="left"/>
      <w:pPr>
        <w:tabs>
          <w:tab w:val="num" w:pos="1800"/>
        </w:tabs>
        <w:ind w:left="360" w:firstLine="720"/>
      </w:pPr>
      <w:rPr>
        <w:rFonts w:ascii="Times New Roman" w:hAnsi="Times New Roman" w:cs="Times New Roman" w:hint="default"/>
        <w:b w:val="0"/>
        <w:i w:val="0"/>
        <w:caps w:val="0"/>
        <w:strike w:val="0"/>
        <w:dstrike w:val="0"/>
        <w:sz w:val="24"/>
        <w:u w:val="none"/>
        <w:effect w:val="none"/>
      </w:rPr>
    </w:lvl>
    <w:lvl w:ilvl="2">
      <w:start w:val="1"/>
      <w:numFmt w:val="upperLetter"/>
      <w:pStyle w:val="OutlineL3"/>
      <w:lvlText w:val="%3."/>
      <w:lvlJc w:val="left"/>
      <w:pPr>
        <w:tabs>
          <w:tab w:val="num" w:pos="2160"/>
        </w:tabs>
        <w:ind w:left="0" w:firstLine="1440"/>
      </w:pPr>
      <w:rPr>
        <w:rFonts w:ascii="Times New Roman" w:hAnsi="Times New Roman" w:cs="Times New Roman" w:hint="default"/>
        <w:b w:val="0"/>
        <w:i w:val="0"/>
        <w:caps w:val="0"/>
        <w:strike w:val="0"/>
        <w:dstrike w:val="0"/>
        <w:sz w:val="24"/>
        <w:u w:val="none"/>
        <w:effect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hint="default"/>
        <w:b w:val="0"/>
        <w:i w:val="0"/>
        <w:caps w:val="0"/>
        <w:strike w:val="0"/>
        <w:dstrike w:val="0"/>
        <w:sz w:val="24"/>
        <w:u w:val="none"/>
        <w:effect w:val="none"/>
      </w:rPr>
    </w:lvl>
    <w:lvl w:ilvl="4">
      <w:start w:val="1"/>
      <w:numFmt w:val="lowerLetter"/>
      <w:pStyle w:val="Outline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hint="default"/>
        <w:b/>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trike w:val="0"/>
        <w:dstrike w:val="0"/>
        <w:sz w:val="24"/>
        <w:u w:val="none"/>
        <w:effect w:val="none"/>
      </w:rPr>
    </w:lvl>
  </w:abstractNum>
  <w:abstractNum w:abstractNumId="4">
    <w:nsid w:val="7608686F"/>
    <w:multiLevelType w:val="multilevel"/>
    <w:tmpl w:val="45B6C24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8A"/>
    <w:rsid w:val="0000350E"/>
    <w:rsid w:val="00006A20"/>
    <w:rsid w:val="00007F57"/>
    <w:rsid w:val="000137FD"/>
    <w:rsid w:val="0001385B"/>
    <w:rsid w:val="000223DC"/>
    <w:rsid w:val="00033824"/>
    <w:rsid w:val="000461D6"/>
    <w:rsid w:val="00056FC4"/>
    <w:rsid w:val="00062DCC"/>
    <w:rsid w:val="00063DF1"/>
    <w:rsid w:val="00064E4E"/>
    <w:rsid w:val="0007757D"/>
    <w:rsid w:val="00080108"/>
    <w:rsid w:val="00080D99"/>
    <w:rsid w:val="00082621"/>
    <w:rsid w:val="00096758"/>
    <w:rsid w:val="000A3672"/>
    <w:rsid w:val="000B3D21"/>
    <w:rsid w:val="000C06F1"/>
    <w:rsid w:val="000E6288"/>
    <w:rsid w:val="000E63AF"/>
    <w:rsid w:val="000F1CCC"/>
    <w:rsid w:val="000F346B"/>
    <w:rsid w:val="00121220"/>
    <w:rsid w:val="00125927"/>
    <w:rsid w:val="00126A56"/>
    <w:rsid w:val="00127149"/>
    <w:rsid w:val="0013570E"/>
    <w:rsid w:val="00143C42"/>
    <w:rsid w:val="00144B91"/>
    <w:rsid w:val="00145DD1"/>
    <w:rsid w:val="00157D74"/>
    <w:rsid w:val="00163D9C"/>
    <w:rsid w:val="00166577"/>
    <w:rsid w:val="00170644"/>
    <w:rsid w:val="001866BF"/>
    <w:rsid w:val="00190A1D"/>
    <w:rsid w:val="00192248"/>
    <w:rsid w:val="0019775A"/>
    <w:rsid w:val="001B1146"/>
    <w:rsid w:val="001B1326"/>
    <w:rsid w:val="001B4259"/>
    <w:rsid w:val="001B5359"/>
    <w:rsid w:val="001C43B0"/>
    <w:rsid w:val="001F0EB9"/>
    <w:rsid w:val="001F23B3"/>
    <w:rsid w:val="001F576D"/>
    <w:rsid w:val="00206683"/>
    <w:rsid w:val="002130C7"/>
    <w:rsid w:val="00222189"/>
    <w:rsid w:val="002237D2"/>
    <w:rsid w:val="00223C1C"/>
    <w:rsid w:val="00235FD5"/>
    <w:rsid w:val="002400B2"/>
    <w:rsid w:val="00244F10"/>
    <w:rsid w:val="002513D7"/>
    <w:rsid w:val="002521A5"/>
    <w:rsid w:val="00252AFA"/>
    <w:rsid w:val="002542FE"/>
    <w:rsid w:val="002557AC"/>
    <w:rsid w:val="002623CE"/>
    <w:rsid w:val="0026306A"/>
    <w:rsid w:val="002728E9"/>
    <w:rsid w:val="00287F09"/>
    <w:rsid w:val="002933FA"/>
    <w:rsid w:val="002A6B46"/>
    <w:rsid w:val="002B0B86"/>
    <w:rsid w:val="002B0C9C"/>
    <w:rsid w:val="002B23A5"/>
    <w:rsid w:val="002C3889"/>
    <w:rsid w:val="002C6380"/>
    <w:rsid w:val="002D25CD"/>
    <w:rsid w:val="002E1654"/>
    <w:rsid w:val="002E37D3"/>
    <w:rsid w:val="002F36A0"/>
    <w:rsid w:val="00306CCF"/>
    <w:rsid w:val="00310A5B"/>
    <w:rsid w:val="00311032"/>
    <w:rsid w:val="00315443"/>
    <w:rsid w:val="0033192C"/>
    <w:rsid w:val="00334972"/>
    <w:rsid w:val="003403BF"/>
    <w:rsid w:val="00342C7A"/>
    <w:rsid w:val="0035277D"/>
    <w:rsid w:val="00356254"/>
    <w:rsid w:val="003629A0"/>
    <w:rsid w:val="00365BC9"/>
    <w:rsid w:val="003812F6"/>
    <w:rsid w:val="003824C3"/>
    <w:rsid w:val="00386719"/>
    <w:rsid w:val="003868CF"/>
    <w:rsid w:val="0039793A"/>
    <w:rsid w:val="003A0353"/>
    <w:rsid w:val="003A3F54"/>
    <w:rsid w:val="003A3FD9"/>
    <w:rsid w:val="003A4B59"/>
    <w:rsid w:val="003A4D16"/>
    <w:rsid w:val="003B579F"/>
    <w:rsid w:val="003B6212"/>
    <w:rsid w:val="003B6ACD"/>
    <w:rsid w:val="003B6FE7"/>
    <w:rsid w:val="003B7784"/>
    <w:rsid w:val="003C3F2F"/>
    <w:rsid w:val="003D31F6"/>
    <w:rsid w:val="003E03CD"/>
    <w:rsid w:val="00404A3E"/>
    <w:rsid w:val="00407C2E"/>
    <w:rsid w:val="004127E6"/>
    <w:rsid w:val="00416884"/>
    <w:rsid w:val="00421E34"/>
    <w:rsid w:val="004357F3"/>
    <w:rsid w:val="00450380"/>
    <w:rsid w:val="00454FF4"/>
    <w:rsid w:val="0046278E"/>
    <w:rsid w:val="004645C7"/>
    <w:rsid w:val="00485F03"/>
    <w:rsid w:val="00486ACF"/>
    <w:rsid w:val="004A0C24"/>
    <w:rsid w:val="004A1B87"/>
    <w:rsid w:val="004A21C9"/>
    <w:rsid w:val="004A5441"/>
    <w:rsid w:val="004B03A5"/>
    <w:rsid w:val="004C42DA"/>
    <w:rsid w:val="004D492C"/>
    <w:rsid w:val="004D5980"/>
    <w:rsid w:val="004E4711"/>
    <w:rsid w:val="004F1842"/>
    <w:rsid w:val="004F6486"/>
    <w:rsid w:val="004F79E0"/>
    <w:rsid w:val="00501B81"/>
    <w:rsid w:val="0050642B"/>
    <w:rsid w:val="00526A93"/>
    <w:rsid w:val="00536678"/>
    <w:rsid w:val="00536A2F"/>
    <w:rsid w:val="00550BD2"/>
    <w:rsid w:val="00551571"/>
    <w:rsid w:val="00553443"/>
    <w:rsid w:val="005569E4"/>
    <w:rsid w:val="00557278"/>
    <w:rsid w:val="00562823"/>
    <w:rsid w:val="0057287D"/>
    <w:rsid w:val="00584510"/>
    <w:rsid w:val="0059251C"/>
    <w:rsid w:val="00593881"/>
    <w:rsid w:val="005B3191"/>
    <w:rsid w:val="005B6A59"/>
    <w:rsid w:val="005B79E6"/>
    <w:rsid w:val="005C456C"/>
    <w:rsid w:val="005C65E1"/>
    <w:rsid w:val="005D3DB4"/>
    <w:rsid w:val="005D5EDC"/>
    <w:rsid w:val="005E473F"/>
    <w:rsid w:val="005F3390"/>
    <w:rsid w:val="005F6C1D"/>
    <w:rsid w:val="0061278C"/>
    <w:rsid w:val="00616452"/>
    <w:rsid w:val="0063446D"/>
    <w:rsid w:val="00635467"/>
    <w:rsid w:val="006628ED"/>
    <w:rsid w:val="0068682E"/>
    <w:rsid w:val="006A6843"/>
    <w:rsid w:val="006B226B"/>
    <w:rsid w:val="006B2AF4"/>
    <w:rsid w:val="006B2D0B"/>
    <w:rsid w:val="006B2E24"/>
    <w:rsid w:val="006D0E05"/>
    <w:rsid w:val="006D1EC9"/>
    <w:rsid w:val="006D75C3"/>
    <w:rsid w:val="006D7BA9"/>
    <w:rsid w:val="006E0F98"/>
    <w:rsid w:val="006E30D0"/>
    <w:rsid w:val="006F34E5"/>
    <w:rsid w:val="006F71F1"/>
    <w:rsid w:val="007077A3"/>
    <w:rsid w:val="007106B0"/>
    <w:rsid w:val="00713146"/>
    <w:rsid w:val="00733BBA"/>
    <w:rsid w:val="00734115"/>
    <w:rsid w:val="0075015E"/>
    <w:rsid w:val="00757453"/>
    <w:rsid w:val="00761D4D"/>
    <w:rsid w:val="00763704"/>
    <w:rsid w:val="0076570F"/>
    <w:rsid w:val="007744A4"/>
    <w:rsid w:val="00786A92"/>
    <w:rsid w:val="00797CF2"/>
    <w:rsid w:val="007A36FA"/>
    <w:rsid w:val="007A7CA8"/>
    <w:rsid w:val="007B6FF9"/>
    <w:rsid w:val="007C3BA3"/>
    <w:rsid w:val="007C59A7"/>
    <w:rsid w:val="007C727D"/>
    <w:rsid w:val="007D0BBA"/>
    <w:rsid w:val="007D5031"/>
    <w:rsid w:val="007E0B63"/>
    <w:rsid w:val="007E675C"/>
    <w:rsid w:val="007F0E02"/>
    <w:rsid w:val="007F52E3"/>
    <w:rsid w:val="007F5D03"/>
    <w:rsid w:val="0080098D"/>
    <w:rsid w:val="00810E93"/>
    <w:rsid w:val="008128BD"/>
    <w:rsid w:val="008263CE"/>
    <w:rsid w:val="008279E9"/>
    <w:rsid w:val="00835636"/>
    <w:rsid w:val="0083610A"/>
    <w:rsid w:val="0084125A"/>
    <w:rsid w:val="0084518D"/>
    <w:rsid w:val="00862483"/>
    <w:rsid w:val="0087118D"/>
    <w:rsid w:val="00873A7A"/>
    <w:rsid w:val="00875790"/>
    <w:rsid w:val="00877709"/>
    <w:rsid w:val="00885548"/>
    <w:rsid w:val="00892254"/>
    <w:rsid w:val="008A1C23"/>
    <w:rsid w:val="008A55FB"/>
    <w:rsid w:val="008A63BB"/>
    <w:rsid w:val="008B03CB"/>
    <w:rsid w:val="008B363E"/>
    <w:rsid w:val="008B5F97"/>
    <w:rsid w:val="008D3AE5"/>
    <w:rsid w:val="008D79E3"/>
    <w:rsid w:val="008F1C54"/>
    <w:rsid w:val="008F22FE"/>
    <w:rsid w:val="008F2BA9"/>
    <w:rsid w:val="00922E83"/>
    <w:rsid w:val="00923CE4"/>
    <w:rsid w:val="00932239"/>
    <w:rsid w:val="0093733D"/>
    <w:rsid w:val="00941D34"/>
    <w:rsid w:val="0096775E"/>
    <w:rsid w:val="0097056C"/>
    <w:rsid w:val="00972570"/>
    <w:rsid w:val="009903DD"/>
    <w:rsid w:val="009932F3"/>
    <w:rsid w:val="00997619"/>
    <w:rsid w:val="009B15CE"/>
    <w:rsid w:val="009B709A"/>
    <w:rsid w:val="009C0B76"/>
    <w:rsid w:val="009C2E4D"/>
    <w:rsid w:val="009C57B6"/>
    <w:rsid w:val="009C6FB4"/>
    <w:rsid w:val="009D1540"/>
    <w:rsid w:val="009D621C"/>
    <w:rsid w:val="009E0C4F"/>
    <w:rsid w:val="009E19DE"/>
    <w:rsid w:val="009F46BF"/>
    <w:rsid w:val="009F75F6"/>
    <w:rsid w:val="00A003DB"/>
    <w:rsid w:val="00A1120A"/>
    <w:rsid w:val="00A11408"/>
    <w:rsid w:val="00A356B0"/>
    <w:rsid w:val="00A3572F"/>
    <w:rsid w:val="00A53558"/>
    <w:rsid w:val="00A5389D"/>
    <w:rsid w:val="00A6428F"/>
    <w:rsid w:val="00A71BA2"/>
    <w:rsid w:val="00A8627B"/>
    <w:rsid w:val="00A92D93"/>
    <w:rsid w:val="00A96D08"/>
    <w:rsid w:val="00A973C1"/>
    <w:rsid w:val="00A976F0"/>
    <w:rsid w:val="00AA4DE1"/>
    <w:rsid w:val="00AA71A6"/>
    <w:rsid w:val="00AB763E"/>
    <w:rsid w:val="00AC09C8"/>
    <w:rsid w:val="00AD0A67"/>
    <w:rsid w:val="00AD0B76"/>
    <w:rsid w:val="00AD3BE2"/>
    <w:rsid w:val="00AD7C34"/>
    <w:rsid w:val="00AE06B4"/>
    <w:rsid w:val="00AE3058"/>
    <w:rsid w:val="00AE4481"/>
    <w:rsid w:val="00AE4E10"/>
    <w:rsid w:val="00AF57CD"/>
    <w:rsid w:val="00AF7A3F"/>
    <w:rsid w:val="00B11181"/>
    <w:rsid w:val="00B14196"/>
    <w:rsid w:val="00B20A33"/>
    <w:rsid w:val="00B22110"/>
    <w:rsid w:val="00B503CE"/>
    <w:rsid w:val="00B505D3"/>
    <w:rsid w:val="00B56AAB"/>
    <w:rsid w:val="00B57A86"/>
    <w:rsid w:val="00B6600E"/>
    <w:rsid w:val="00B70441"/>
    <w:rsid w:val="00B705C6"/>
    <w:rsid w:val="00B87778"/>
    <w:rsid w:val="00B90E48"/>
    <w:rsid w:val="00B943E3"/>
    <w:rsid w:val="00B964AF"/>
    <w:rsid w:val="00B97A5E"/>
    <w:rsid w:val="00BA2751"/>
    <w:rsid w:val="00BB1A0A"/>
    <w:rsid w:val="00BB7323"/>
    <w:rsid w:val="00BC2688"/>
    <w:rsid w:val="00BF0182"/>
    <w:rsid w:val="00BF059E"/>
    <w:rsid w:val="00BF0955"/>
    <w:rsid w:val="00C003B5"/>
    <w:rsid w:val="00C06874"/>
    <w:rsid w:val="00C25F51"/>
    <w:rsid w:val="00C307A2"/>
    <w:rsid w:val="00C31803"/>
    <w:rsid w:val="00C42BBD"/>
    <w:rsid w:val="00C46EB6"/>
    <w:rsid w:val="00C571F6"/>
    <w:rsid w:val="00C70AA4"/>
    <w:rsid w:val="00C739C9"/>
    <w:rsid w:val="00C83E7C"/>
    <w:rsid w:val="00C90407"/>
    <w:rsid w:val="00C9774C"/>
    <w:rsid w:val="00CA377E"/>
    <w:rsid w:val="00CB14C9"/>
    <w:rsid w:val="00CB294B"/>
    <w:rsid w:val="00CB4A43"/>
    <w:rsid w:val="00CC61FC"/>
    <w:rsid w:val="00CD14C3"/>
    <w:rsid w:val="00CE026F"/>
    <w:rsid w:val="00CF3DAE"/>
    <w:rsid w:val="00D0029C"/>
    <w:rsid w:val="00D00350"/>
    <w:rsid w:val="00D035E5"/>
    <w:rsid w:val="00D239CB"/>
    <w:rsid w:val="00D24F70"/>
    <w:rsid w:val="00D276E3"/>
    <w:rsid w:val="00D308AD"/>
    <w:rsid w:val="00D31B50"/>
    <w:rsid w:val="00D36370"/>
    <w:rsid w:val="00D4053C"/>
    <w:rsid w:val="00D56889"/>
    <w:rsid w:val="00D6083A"/>
    <w:rsid w:val="00D62C2E"/>
    <w:rsid w:val="00D67F33"/>
    <w:rsid w:val="00D72F20"/>
    <w:rsid w:val="00D74AE5"/>
    <w:rsid w:val="00D773B0"/>
    <w:rsid w:val="00D8315A"/>
    <w:rsid w:val="00D85454"/>
    <w:rsid w:val="00D86193"/>
    <w:rsid w:val="00D86C4E"/>
    <w:rsid w:val="00D90799"/>
    <w:rsid w:val="00D97DDD"/>
    <w:rsid w:val="00DA528A"/>
    <w:rsid w:val="00DB1858"/>
    <w:rsid w:val="00DB345C"/>
    <w:rsid w:val="00DB5B66"/>
    <w:rsid w:val="00DC2318"/>
    <w:rsid w:val="00DC2E8A"/>
    <w:rsid w:val="00DC3BF1"/>
    <w:rsid w:val="00DC716B"/>
    <w:rsid w:val="00DD3B61"/>
    <w:rsid w:val="00DE1FA8"/>
    <w:rsid w:val="00DE2A31"/>
    <w:rsid w:val="00DF1902"/>
    <w:rsid w:val="00E005A1"/>
    <w:rsid w:val="00E07747"/>
    <w:rsid w:val="00E07E0F"/>
    <w:rsid w:val="00E10057"/>
    <w:rsid w:val="00E10857"/>
    <w:rsid w:val="00E175C2"/>
    <w:rsid w:val="00E20A57"/>
    <w:rsid w:val="00E21116"/>
    <w:rsid w:val="00E2649E"/>
    <w:rsid w:val="00E26B82"/>
    <w:rsid w:val="00E37C3D"/>
    <w:rsid w:val="00E4592C"/>
    <w:rsid w:val="00E46768"/>
    <w:rsid w:val="00E46A6A"/>
    <w:rsid w:val="00E5524C"/>
    <w:rsid w:val="00E72062"/>
    <w:rsid w:val="00E84963"/>
    <w:rsid w:val="00E850B0"/>
    <w:rsid w:val="00E9268F"/>
    <w:rsid w:val="00EA3C5A"/>
    <w:rsid w:val="00EB7AA7"/>
    <w:rsid w:val="00EE4356"/>
    <w:rsid w:val="00EF1218"/>
    <w:rsid w:val="00EF225B"/>
    <w:rsid w:val="00EF323E"/>
    <w:rsid w:val="00F073F9"/>
    <w:rsid w:val="00F114E0"/>
    <w:rsid w:val="00F162C0"/>
    <w:rsid w:val="00F3045F"/>
    <w:rsid w:val="00F47145"/>
    <w:rsid w:val="00F52A26"/>
    <w:rsid w:val="00F64434"/>
    <w:rsid w:val="00F66F6C"/>
    <w:rsid w:val="00F73812"/>
    <w:rsid w:val="00F7506D"/>
    <w:rsid w:val="00F94859"/>
    <w:rsid w:val="00FA08E8"/>
    <w:rsid w:val="00FA28EC"/>
    <w:rsid w:val="00FB02D1"/>
    <w:rsid w:val="00FB6929"/>
    <w:rsid w:val="00FB6AC0"/>
    <w:rsid w:val="00FB6CC9"/>
    <w:rsid w:val="00FC6D86"/>
    <w:rsid w:val="00FD6F43"/>
    <w:rsid w:val="00FE36CD"/>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lock Text" w:uiPriority="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8A"/>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DC2E8A"/>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8A"/>
    <w:rPr>
      <w:rFonts w:ascii="Times New Roman" w:eastAsia="Times New Roman" w:hAnsi="Times New Roman" w:cs="Times New Roman"/>
      <w:b/>
      <w:sz w:val="26"/>
      <w:szCs w:val="26"/>
    </w:rPr>
  </w:style>
  <w:style w:type="paragraph" w:styleId="Subtitle">
    <w:name w:val="Subtitle"/>
    <w:basedOn w:val="Normal"/>
    <w:link w:val="SubtitleChar"/>
    <w:qFormat/>
    <w:rsid w:val="00DC2E8A"/>
    <w:pPr>
      <w:spacing w:line="240" w:lineRule="auto"/>
      <w:jc w:val="center"/>
    </w:pPr>
    <w:rPr>
      <w:b/>
    </w:rPr>
  </w:style>
  <w:style w:type="character" w:customStyle="1" w:styleId="SubtitleChar">
    <w:name w:val="Subtitle Char"/>
    <w:basedOn w:val="DefaultParagraphFont"/>
    <w:link w:val="Subtitle"/>
    <w:rsid w:val="00DC2E8A"/>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DC2E8A"/>
    <w:pPr>
      <w:spacing w:after="120"/>
      <w:ind w:left="360"/>
    </w:pPr>
  </w:style>
  <w:style w:type="character" w:customStyle="1" w:styleId="BodyTextIndentChar">
    <w:name w:val="Body Text Indent Char"/>
    <w:basedOn w:val="DefaultParagraphFont"/>
    <w:link w:val="BodyTextIndent"/>
    <w:uiPriority w:val="99"/>
    <w:semiHidden/>
    <w:rsid w:val="00DC2E8A"/>
    <w:rPr>
      <w:rFonts w:ascii="CG Times" w:eastAsia="Times New Roman" w:hAnsi="CG Times" w:cs="Times New Roman"/>
      <w:sz w:val="24"/>
      <w:szCs w:val="20"/>
    </w:rPr>
  </w:style>
  <w:style w:type="paragraph" w:styleId="ListParagraph">
    <w:name w:val="List Paragraph"/>
    <w:basedOn w:val="Normal"/>
    <w:uiPriority w:val="34"/>
    <w:qFormat/>
    <w:rsid w:val="00DC2E8A"/>
    <w:pPr>
      <w:ind w:left="720"/>
      <w:contextualSpacing/>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9C2E4D"/>
    <w:pPr>
      <w:autoSpaceDE w:val="0"/>
      <w:autoSpaceDN w:val="0"/>
      <w:spacing w:line="240" w:lineRule="auto"/>
    </w:pPr>
    <w:rPr>
      <w:rFonts w:ascii="Times New Roman" w:hAnsi="Times New Roman"/>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C2E4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Style 42,footnote text"/>
    <w:uiPriority w:val="99"/>
    <w:rsid w:val="009C2E4D"/>
    <w:rPr>
      <w:vertAlign w:val="superscript"/>
    </w:rPr>
  </w:style>
  <w:style w:type="paragraph" w:styleId="BodyText2">
    <w:name w:val="Body Text 2"/>
    <w:basedOn w:val="Normal"/>
    <w:link w:val="BodyText2Char"/>
    <w:rsid w:val="009C2E4D"/>
    <w:pPr>
      <w:autoSpaceDE w:val="0"/>
      <w:autoSpaceDN w:val="0"/>
      <w:spacing w:after="120" w:line="480" w:lineRule="auto"/>
    </w:pPr>
    <w:rPr>
      <w:rFonts w:ascii="Times New Roman" w:hAnsi="Times New Roman"/>
      <w:szCs w:val="24"/>
      <w:lang w:val="x-none" w:eastAsia="x-none"/>
    </w:rPr>
  </w:style>
  <w:style w:type="character" w:customStyle="1" w:styleId="BodyText2Char">
    <w:name w:val="Body Text 2 Char"/>
    <w:basedOn w:val="DefaultParagraphFont"/>
    <w:link w:val="BodyText2"/>
    <w:rsid w:val="009C2E4D"/>
    <w:rPr>
      <w:rFonts w:ascii="Times New Roman" w:eastAsia="Times New Roman" w:hAnsi="Times New Roman" w:cs="Times New Roman"/>
      <w:sz w:val="24"/>
      <w:szCs w:val="24"/>
      <w:lang w:val="x-none" w:eastAsia="x-none"/>
    </w:rPr>
  </w:style>
  <w:style w:type="paragraph" w:customStyle="1" w:styleId="OutlineL1">
    <w:name w:val="Outline_L1"/>
    <w:basedOn w:val="Normal"/>
    <w:next w:val="FootnoteText"/>
    <w:rsid w:val="00B503CE"/>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B503CE"/>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B503CE"/>
    <w:pPr>
      <w:numPr>
        <w:ilvl w:val="2"/>
      </w:numPr>
      <w:spacing w:after="120"/>
      <w:outlineLvl w:val="2"/>
    </w:pPr>
  </w:style>
  <w:style w:type="paragraph" w:customStyle="1" w:styleId="OutlineL4">
    <w:name w:val="Outline_L4"/>
    <w:basedOn w:val="OutlineL3"/>
    <w:rsid w:val="00B503CE"/>
    <w:pPr>
      <w:numPr>
        <w:ilvl w:val="3"/>
      </w:numPr>
      <w:outlineLvl w:val="3"/>
    </w:pPr>
  </w:style>
  <w:style w:type="paragraph" w:customStyle="1" w:styleId="OutlineL5">
    <w:name w:val="Outline_L5"/>
    <w:basedOn w:val="OutlineL4"/>
    <w:rsid w:val="00B503CE"/>
    <w:pPr>
      <w:numPr>
        <w:ilvl w:val="4"/>
      </w:numPr>
      <w:spacing w:line="240" w:lineRule="auto"/>
      <w:outlineLvl w:val="4"/>
    </w:pPr>
  </w:style>
  <w:style w:type="paragraph" w:customStyle="1" w:styleId="OutlineL6">
    <w:name w:val="Outline_L6"/>
    <w:basedOn w:val="OutlineL5"/>
    <w:rsid w:val="00B503CE"/>
    <w:pPr>
      <w:numPr>
        <w:ilvl w:val="5"/>
      </w:numPr>
      <w:spacing w:after="240"/>
      <w:outlineLvl w:val="5"/>
    </w:pPr>
    <w:rPr>
      <w:szCs w:val="24"/>
    </w:rPr>
  </w:style>
  <w:style w:type="paragraph" w:customStyle="1" w:styleId="OutlineL7">
    <w:name w:val="Outline_L7"/>
    <w:basedOn w:val="OutlineL6"/>
    <w:rsid w:val="00B503CE"/>
    <w:pPr>
      <w:numPr>
        <w:ilvl w:val="6"/>
      </w:numPr>
      <w:outlineLvl w:val="6"/>
    </w:pPr>
    <w:rPr>
      <w:rFonts w:ascii="Times New Roman Bold" w:hAnsi="Times New Roman Bold"/>
      <w:b/>
    </w:rPr>
  </w:style>
  <w:style w:type="paragraph" w:customStyle="1" w:styleId="OutlineL8">
    <w:name w:val="Outline_L8"/>
    <w:basedOn w:val="OutlineL7"/>
    <w:rsid w:val="00B503CE"/>
    <w:pPr>
      <w:numPr>
        <w:ilvl w:val="7"/>
      </w:numPr>
      <w:outlineLvl w:val="7"/>
    </w:pPr>
  </w:style>
  <w:style w:type="paragraph" w:customStyle="1" w:styleId="OutlineL9">
    <w:name w:val="Outline_L9"/>
    <w:basedOn w:val="OutlineL8"/>
    <w:rsid w:val="00B503CE"/>
    <w:pPr>
      <w:numPr>
        <w:ilvl w:val="8"/>
      </w:numPr>
      <w:outlineLvl w:val="8"/>
    </w:pPr>
  </w:style>
  <w:style w:type="paragraph" w:styleId="Header">
    <w:name w:val="header"/>
    <w:basedOn w:val="Normal"/>
    <w:link w:val="HeaderChar"/>
    <w:uiPriority w:val="99"/>
    <w:unhideWhenUsed/>
    <w:rsid w:val="00593881"/>
    <w:pPr>
      <w:tabs>
        <w:tab w:val="center" w:pos="4680"/>
        <w:tab w:val="right" w:pos="9360"/>
      </w:tabs>
      <w:spacing w:line="240" w:lineRule="auto"/>
    </w:pPr>
  </w:style>
  <w:style w:type="character" w:customStyle="1" w:styleId="HeaderChar">
    <w:name w:val="Header Char"/>
    <w:basedOn w:val="DefaultParagraphFont"/>
    <w:link w:val="Header"/>
    <w:uiPriority w:val="99"/>
    <w:rsid w:val="00593881"/>
    <w:rPr>
      <w:rFonts w:ascii="CG Times" w:eastAsia="Times New Roman" w:hAnsi="CG Times" w:cs="Times New Roman"/>
      <w:sz w:val="24"/>
      <w:szCs w:val="20"/>
    </w:rPr>
  </w:style>
  <w:style w:type="paragraph" w:styleId="Footer">
    <w:name w:val="footer"/>
    <w:basedOn w:val="Normal"/>
    <w:link w:val="FooterChar"/>
    <w:uiPriority w:val="99"/>
    <w:unhideWhenUsed/>
    <w:rsid w:val="00593881"/>
    <w:pPr>
      <w:tabs>
        <w:tab w:val="center" w:pos="4680"/>
        <w:tab w:val="right" w:pos="9360"/>
      </w:tabs>
      <w:spacing w:line="240" w:lineRule="auto"/>
    </w:pPr>
  </w:style>
  <w:style w:type="character" w:customStyle="1" w:styleId="FooterChar">
    <w:name w:val="Footer Char"/>
    <w:basedOn w:val="DefaultParagraphFont"/>
    <w:link w:val="Footer"/>
    <w:uiPriority w:val="99"/>
    <w:rsid w:val="00593881"/>
    <w:rPr>
      <w:rFonts w:ascii="CG Times" w:eastAsia="Times New Roman" w:hAnsi="CG Times" w:cs="Times New Roman"/>
      <w:sz w:val="24"/>
      <w:szCs w:val="20"/>
    </w:rPr>
  </w:style>
  <w:style w:type="table" w:styleId="TableGrid">
    <w:name w:val="Table Grid"/>
    <w:basedOn w:val="TableNormal"/>
    <w:rsid w:val="00F738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20A33"/>
    <w:pPr>
      <w:spacing w:after="120"/>
    </w:pPr>
  </w:style>
  <w:style w:type="character" w:customStyle="1" w:styleId="BodyTextChar">
    <w:name w:val="Body Text Char"/>
    <w:basedOn w:val="DefaultParagraphFont"/>
    <w:link w:val="BodyText"/>
    <w:uiPriority w:val="99"/>
    <w:rsid w:val="00B20A33"/>
    <w:rPr>
      <w:rFonts w:ascii="CG Times" w:eastAsia="Times New Roman" w:hAnsi="CG Times" w:cs="Times New Roman"/>
      <w:sz w:val="24"/>
      <w:szCs w:val="20"/>
    </w:rPr>
  </w:style>
  <w:style w:type="paragraph" w:styleId="ListNumber">
    <w:name w:val="List Number"/>
    <w:basedOn w:val="Normal"/>
    <w:qFormat/>
    <w:rsid w:val="00B20A33"/>
    <w:pPr>
      <w:numPr>
        <w:numId w:val="3"/>
      </w:numPr>
      <w:spacing w:after="120" w:line="480" w:lineRule="auto"/>
    </w:pPr>
    <w:rPr>
      <w:rFonts w:ascii="Times New Roman" w:hAnsi="Times New Roman"/>
      <w:szCs w:val="24"/>
      <w:lang w:val="x-none" w:eastAsia="x-none"/>
    </w:rPr>
  </w:style>
  <w:style w:type="paragraph" w:styleId="BalloonText">
    <w:name w:val="Balloon Text"/>
    <w:basedOn w:val="Normal"/>
    <w:link w:val="BalloonTextChar"/>
    <w:uiPriority w:val="99"/>
    <w:semiHidden/>
    <w:unhideWhenUsed/>
    <w:rsid w:val="008F2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FE"/>
    <w:rPr>
      <w:rFonts w:ascii="Tahoma" w:eastAsia="Times New Roman" w:hAnsi="Tahoma" w:cs="Tahoma"/>
      <w:sz w:val="16"/>
      <w:szCs w:val="16"/>
    </w:rPr>
  </w:style>
  <w:style w:type="paragraph" w:styleId="BlockText">
    <w:name w:val="Block Text"/>
    <w:basedOn w:val="Normal"/>
    <w:uiPriority w:val="1"/>
    <w:qFormat/>
    <w:rsid w:val="00F66F6C"/>
    <w:pPr>
      <w:spacing w:after="240" w:line="240" w:lineRule="auto"/>
      <w:ind w:left="1440" w:right="1440"/>
      <w:jc w:val="both"/>
    </w:pPr>
    <w:rPr>
      <w:rFonts w:ascii="Times New Roman" w:eastAsiaTheme="minorEastAsia" w:hAnsi="Times New Roman"/>
      <w:iCs/>
      <w:szCs w:val="24"/>
    </w:rPr>
  </w:style>
  <w:style w:type="paragraph" w:styleId="Quote">
    <w:name w:val="Quote"/>
    <w:basedOn w:val="Normal"/>
    <w:next w:val="Normal"/>
    <w:link w:val="QuoteChar"/>
    <w:uiPriority w:val="29"/>
    <w:qFormat/>
    <w:rsid w:val="00F66F6C"/>
    <w:pPr>
      <w:spacing w:after="240" w:line="240" w:lineRule="auto"/>
      <w:ind w:left="2160" w:right="720" w:hanging="720"/>
      <w:jc w:val="both"/>
    </w:pPr>
    <w:rPr>
      <w:rFonts w:ascii="Times New Roman" w:hAnsi="Times New Roman"/>
      <w:iCs/>
      <w:szCs w:val="24"/>
    </w:rPr>
  </w:style>
  <w:style w:type="character" w:customStyle="1" w:styleId="QuoteChar">
    <w:name w:val="Quote Char"/>
    <w:basedOn w:val="DefaultParagraphFont"/>
    <w:link w:val="Quote"/>
    <w:uiPriority w:val="29"/>
    <w:rsid w:val="00F66F6C"/>
    <w:rPr>
      <w:rFonts w:ascii="Times New Roman" w:eastAsia="Times New Roman" w:hAnsi="Times New Roman" w:cs="Times New Roman"/>
      <w:iCs/>
      <w:sz w:val="24"/>
      <w:szCs w:val="24"/>
    </w:rPr>
  </w:style>
  <w:style w:type="character" w:styleId="CommentReference">
    <w:name w:val="annotation reference"/>
    <w:basedOn w:val="DefaultParagraphFont"/>
    <w:uiPriority w:val="99"/>
    <w:semiHidden/>
    <w:unhideWhenUsed/>
    <w:rsid w:val="00DC3BF1"/>
    <w:rPr>
      <w:sz w:val="16"/>
      <w:szCs w:val="16"/>
    </w:rPr>
  </w:style>
  <w:style w:type="paragraph" w:styleId="CommentText">
    <w:name w:val="annotation text"/>
    <w:basedOn w:val="Normal"/>
    <w:link w:val="CommentTextChar"/>
    <w:uiPriority w:val="99"/>
    <w:semiHidden/>
    <w:unhideWhenUsed/>
    <w:rsid w:val="00DC3BF1"/>
    <w:pPr>
      <w:spacing w:line="240" w:lineRule="auto"/>
    </w:pPr>
    <w:rPr>
      <w:sz w:val="20"/>
    </w:rPr>
  </w:style>
  <w:style w:type="character" w:customStyle="1" w:styleId="CommentTextChar">
    <w:name w:val="Comment Text Char"/>
    <w:basedOn w:val="DefaultParagraphFont"/>
    <w:link w:val="CommentText"/>
    <w:uiPriority w:val="99"/>
    <w:semiHidden/>
    <w:rsid w:val="00DC3BF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C3BF1"/>
    <w:rPr>
      <w:b/>
      <w:bCs/>
    </w:rPr>
  </w:style>
  <w:style w:type="character" w:customStyle="1" w:styleId="CommentSubjectChar">
    <w:name w:val="Comment Subject Char"/>
    <w:basedOn w:val="CommentTextChar"/>
    <w:link w:val="CommentSubject"/>
    <w:uiPriority w:val="99"/>
    <w:semiHidden/>
    <w:rsid w:val="00DC3BF1"/>
    <w:rPr>
      <w:rFonts w:ascii="CG Times" w:eastAsia="Times New Roman"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lock Text" w:uiPriority="1"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8A"/>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DC2E8A"/>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8A"/>
    <w:rPr>
      <w:rFonts w:ascii="Times New Roman" w:eastAsia="Times New Roman" w:hAnsi="Times New Roman" w:cs="Times New Roman"/>
      <w:b/>
      <w:sz w:val="26"/>
      <w:szCs w:val="26"/>
    </w:rPr>
  </w:style>
  <w:style w:type="paragraph" w:styleId="Subtitle">
    <w:name w:val="Subtitle"/>
    <w:basedOn w:val="Normal"/>
    <w:link w:val="SubtitleChar"/>
    <w:qFormat/>
    <w:rsid w:val="00DC2E8A"/>
    <w:pPr>
      <w:spacing w:line="240" w:lineRule="auto"/>
      <w:jc w:val="center"/>
    </w:pPr>
    <w:rPr>
      <w:b/>
    </w:rPr>
  </w:style>
  <w:style w:type="character" w:customStyle="1" w:styleId="SubtitleChar">
    <w:name w:val="Subtitle Char"/>
    <w:basedOn w:val="DefaultParagraphFont"/>
    <w:link w:val="Subtitle"/>
    <w:rsid w:val="00DC2E8A"/>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DC2E8A"/>
    <w:pPr>
      <w:spacing w:after="120"/>
      <w:ind w:left="360"/>
    </w:pPr>
  </w:style>
  <w:style w:type="character" w:customStyle="1" w:styleId="BodyTextIndentChar">
    <w:name w:val="Body Text Indent Char"/>
    <w:basedOn w:val="DefaultParagraphFont"/>
    <w:link w:val="BodyTextIndent"/>
    <w:uiPriority w:val="99"/>
    <w:semiHidden/>
    <w:rsid w:val="00DC2E8A"/>
    <w:rPr>
      <w:rFonts w:ascii="CG Times" w:eastAsia="Times New Roman" w:hAnsi="CG Times" w:cs="Times New Roman"/>
      <w:sz w:val="24"/>
      <w:szCs w:val="20"/>
    </w:rPr>
  </w:style>
  <w:style w:type="paragraph" w:styleId="ListParagraph">
    <w:name w:val="List Paragraph"/>
    <w:basedOn w:val="Normal"/>
    <w:uiPriority w:val="34"/>
    <w:qFormat/>
    <w:rsid w:val="00DC2E8A"/>
    <w:pPr>
      <w:ind w:left="720"/>
      <w:contextualSpacing/>
    </w:p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9C2E4D"/>
    <w:pPr>
      <w:autoSpaceDE w:val="0"/>
      <w:autoSpaceDN w:val="0"/>
      <w:spacing w:line="240" w:lineRule="auto"/>
    </w:pPr>
    <w:rPr>
      <w:rFonts w:ascii="Times New Roman" w:hAnsi="Times New Roman"/>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9C2E4D"/>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Style 42,footnote text"/>
    <w:uiPriority w:val="99"/>
    <w:rsid w:val="009C2E4D"/>
    <w:rPr>
      <w:vertAlign w:val="superscript"/>
    </w:rPr>
  </w:style>
  <w:style w:type="paragraph" w:styleId="BodyText2">
    <w:name w:val="Body Text 2"/>
    <w:basedOn w:val="Normal"/>
    <w:link w:val="BodyText2Char"/>
    <w:rsid w:val="009C2E4D"/>
    <w:pPr>
      <w:autoSpaceDE w:val="0"/>
      <w:autoSpaceDN w:val="0"/>
      <w:spacing w:after="120" w:line="480" w:lineRule="auto"/>
    </w:pPr>
    <w:rPr>
      <w:rFonts w:ascii="Times New Roman" w:hAnsi="Times New Roman"/>
      <w:szCs w:val="24"/>
      <w:lang w:val="x-none" w:eastAsia="x-none"/>
    </w:rPr>
  </w:style>
  <w:style w:type="character" w:customStyle="1" w:styleId="BodyText2Char">
    <w:name w:val="Body Text 2 Char"/>
    <w:basedOn w:val="DefaultParagraphFont"/>
    <w:link w:val="BodyText2"/>
    <w:rsid w:val="009C2E4D"/>
    <w:rPr>
      <w:rFonts w:ascii="Times New Roman" w:eastAsia="Times New Roman" w:hAnsi="Times New Roman" w:cs="Times New Roman"/>
      <w:sz w:val="24"/>
      <w:szCs w:val="24"/>
      <w:lang w:val="x-none" w:eastAsia="x-none"/>
    </w:rPr>
  </w:style>
  <w:style w:type="paragraph" w:customStyle="1" w:styleId="OutlineL1">
    <w:name w:val="Outline_L1"/>
    <w:basedOn w:val="Normal"/>
    <w:next w:val="FootnoteText"/>
    <w:rsid w:val="00B503CE"/>
    <w:pPr>
      <w:keepNext/>
      <w:numPr>
        <w:numId w:val="2"/>
      </w:numPr>
      <w:spacing w:after="240" w:line="240" w:lineRule="auto"/>
      <w:jc w:val="center"/>
      <w:outlineLvl w:val="0"/>
    </w:pPr>
    <w:rPr>
      <w:rFonts w:ascii="Times New Roman Bold" w:hAnsi="Times New Roman Bold"/>
      <w:b/>
      <w:caps/>
    </w:rPr>
  </w:style>
  <w:style w:type="paragraph" w:customStyle="1" w:styleId="OutlineL2">
    <w:name w:val="Outline_L2"/>
    <w:basedOn w:val="OutlineL1"/>
    <w:rsid w:val="00B503CE"/>
    <w:pPr>
      <w:keepNext w:val="0"/>
      <w:numPr>
        <w:ilvl w:val="1"/>
      </w:numPr>
      <w:spacing w:line="480" w:lineRule="auto"/>
      <w:jc w:val="left"/>
      <w:outlineLvl w:val="1"/>
    </w:pPr>
    <w:rPr>
      <w:rFonts w:ascii="Times New Roman" w:hAnsi="Times New Roman"/>
      <w:b w:val="0"/>
      <w:caps w:val="0"/>
    </w:rPr>
  </w:style>
  <w:style w:type="paragraph" w:customStyle="1" w:styleId="OutlineL3">
    <w:name w:val="Outline_L3"/>
    <w:basedOn w:val="OutlineL2"/>
    <w:rsid w:val="00B503CE"/>
    <w:pPr>
      <w:numPr>
        <w:ilvl w:val="2"/>
      </w:numPr>
      <w:spacing w:after="120"/>
      <w:outlineLvl w:val="2"/>
    </w:pPr>
  </w:style>
  <w:style w:type="paragraph" w:customStyle="1" w:styleId="OutlineL4">
    <w:name w:val="Outline_L4"/>
    <w:basedOn w:val="OutlineL3"/>
    <w:rsid w:val="00B503CE"/>
    <w:pPr>
      <w:numPr>
        <w:ilvl w:val="3"/>
      </w:numPr>
      <w:outlineLvl w:val="3"/>
    </w:pPr>
  </w:style>
  <w:style w:type="paragraph" w:customStyle="1" w:styleId="OutlineL5">
    <w:name w:val="Outline_L5"/>
    <w:basedOn w:val="OutlineL4"/>
    <w:rsid w:val="00B503CE"/>
    <w:pPr>
      <w:numPr>
        <w:ilvl w:val="4"/>
      </w:numPr>
      <w:spacing w:line="240" w:lineRule="auto"/>
      <w:outlineLvl w:val="4"/>
    </w:pPr>
  </w:style>
  <w:style w:type="paragraph" w:customStyle="1" w:styleId="OutlineL6">
    <w:name w:val="Outline_L6"/>
    <w:basedOn w:val="OutlineL5"/>
    <w:rsid w:val="00B503CE"/>
    <w:pPr>
      <w:numPr>
        <w:ilvl w:val="5"/>
      </w:numPr>
      <w:spacing w:after="240"/>
      <w:outlineLvl w:val="5"/>
    </w:pPr>
    <w:rPr>
      <w:szCs w:val="24"/>
    </w:rPr>
  </w:style>
  <w:style w:type="paragraph" w:customStyle="1" w:styleId="OutlineL7">
    <w:name w:val="Outline_L7"/>
    <w:basedOn w:val="OutlineL6"/>
    <w:rsid w:val="00B503CE"/>
    <w:pPr>
      <w:numPr>
        <w:ilvl w:val="6"/>
      </w:numPr>
      <w:outlineLvl w:val="6"/>
    </w:pPr>
    <w:rPr>
      <w:rFonts w:ascii="Times New Roman Bold" w:hAnsi="Times New Roman Bold"/>
      <w:b/>
    </w:rPr>
  </w:style>
  <w:style w:type="paragraph" w:customStyle="1" w:styleId="OutlineL8">
    <w:name w:val="Outline_L8"/>
    <w:basedOn w:val="OutlineL7"/>
    <w:rsid w:val="00B503CE"/>
    <w:pPr>
      <w:numPr>
        <w:ilvl w:val="7"/>
      </w:numPr>
      <w:outlineLvl w:val="7"/>
    </w:pPr>
  </w:style>
  <w:style w:type="paragraph" w:customStyle="1" w:styleId="OutlineL9">
    <w:name w:val="Outline_L9"/>
    <w:basedOn w:val="OutlineL8"/>
    <w:rsid w:val="00B503CE"/>
    <w:pPr>
      <w:numPr>
        <w:ilvl w:val="8"/>
      </w:numPr>
      <w:outlineLvl w:val="8"/>
    </w:pPr>
  </w:style>
  <w:style w:type="paragraph" w:styleId="Header">
    <w:name w:val="header"/>
    <w:basedOn w:val="Normal"/>
    <w:link w:val="HeaderChar"/>
    <w:uiPriority w:val="99"/>
    <w:unhideWhenUsed/>
    <w:rsid w:val="00593881"/>
    <w:pPr>
      <w:tabs>
        <w:tab w:val="center" w:pos="4680"/>
        <w:tab w:val="right" w:pos="9360"/>
      </w:tabs>
      <w:spacing w:line="240" w:lineRule="auto"/>
    </w:pPr>
  </w:style>
  <w:style w:type="character" w:customStyle="1" w:styleId="HeaderChar">
    <w:name w:val="Header Char"/>
    <w:basedOn w:val="DefaultParagraphFont"/>
    <w:link w:val="Header"/>
    <w:uiPriority w:val="99"/>
    <w:rsid w:val="00593881"/>
    <w:rPr>
      <w:rFonts w:ascii="CG Times" w:eastAsia="Times New Roman" w:hAnsi="CG Times" w:cs="Times New Roman"/>
      <w:sz w:val="24"/>
      <w:szCs w:val="20"/>
    </w:rPr>
  </w:style>
  <w:style w:type="paragraph" w:styleId="Footer">
    <w:name w:val="footer"/>
    <w:basedOn w:val="Normal"/>
    <w:link w:val="FooterChar"/>
    <w:uiPriority w:val="99"/>
    <w:unhideWhenUsed/>
    <w:rsid w:val="00593881"/>
    <w:pPr>
      <w:tabs>
        <w:tab w:val="center" w:pos="4680"/>
        <w:tab w:val="right" w:pos="9360"/>
      </w:tabs>
      <w:spacing w:line="240" w:lineRule="auto"/>
    </w:pPr>
  </w:style>
  <w:style w:type="character" w:customStyle="1" w:styleId="FooterChar">
    <w:name w:val="Footer Char"/>
    <w:basedOn w:val="DefaultParagraphFont"/>
    <w:link w:val="Footer"/>
    <w:uiPriority w:val="99"/>
    <w:rsid w:val="00593881"/>
    <w:rPr>
      <w:rFonts w:ascii="CG Times" w:eastAsia="Times New Roman" w:hAnsi="CG Times" w:cs="Times New Roman"/>
      <w:sz w:val="24"/>
      <w:szCs w:val="20"/>
    </w:rPr>
  </w:style>
  <w:style w:type="table" w:styleId="TableGrid">
    <w:name w:val="Table Grid"/>
    <w:basedOn w:val="TableNormal"/>
    <w:rsid w:val="00F738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20A33"/>
    <w:pPr>
      <w:spacing w:after="120"/>
    </w:pPr>
  </w:style>
  <w:style w:type="character" w:customStyle="1" w:styleId="BodyTextChar">
    <w:name w:val="Body Text Char"/>
    <w:basedOn w:val="DefaultParagraphFont"/>
    <w:link w:val="BodyText"/>
    <w:uiPriority w:val="99"/>
    <w:rsid w:val="00B20A33"/>
    <w:rPr>
      <w:rFonts w:ascii="CG Times" w:eastAsia="Times New Roman" w:hAnsi="CG Times" w:cs="Times New Roman"/>
      <w:sz w:val="24"/>
      <w:szCs w:val="20"/>
    </w:rPr>
  </w:style>
  <w:style w:type="paragraph" w:styleId="ListNumber">
    <w:name w:val="List Number"/>
    <w:basedOn w:val="Normal"/>
    <w:qFormat/>
    <w:rsid w:val="00B20A33"/>
    <w:pPr>
      <w:numPr>
        <w:numId w:val="3"/>
      </w:numPr>
      <w:spacing w:after="120" w:line="480" w:lineRule="auto"/>
    </w:pPr>
    <w:rPr>
      <w:rFonts w:ascii="Times New Roman" w:hAnsi="Times New Roman"/>
      <w:szCs w:val="24"/>
      <w:lang w:val="x-none" w:eastAsia="x-none"/>
    </w:rPr>
  </w:style>
  <w:style w:type="paragraph" w:styleId="BalloonText">
    <w:name w:val="Balloon Text"/>
    <w:basedOn w:val="Normal"/>
    <w:link w:val="BalloonTextChar"/>
    <w:uiPriority w:val="99"/>
    <w:semiHidden/>
    <w:unhideWhenUsed/>
    <w:rsid w:val="008F22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FE"/>
    <w:rPr>
      <w:rFonts w:ascii="Tahoma" w:eastAsia="Times New Roman" w:hAnsi="Tahoma" w:cs="Tahoma"/>
      <w:sz w:val="16"/>
      <w:szCs w:val="16"/>
    </w:rPr>
  </w:style>
  <w:style w:type="paragraph" w:styleId="BlockText">
    <w:name w:val="Block Text"/>
    <w:basedOn w:val="Normal"/>
    <w:uiPriority w:val="1"/>
    <w:qFormat/>
    <w:rsid w:val="00F66F6C"/>
    <w:pPr>
      <w:spacing w:after="240" w:line="240" w:lineRule="auto"/>
      <w:ind w:left="1440" w:right="1440"/>
      <w:jc w:val="both"/>
    </w:pPr>
    <w:rPr>
      <w:rFonts w:ascii="Times New Roman" w:eastAsiaTheme="minorEastAsia" w:hAnsi="Times New Roman"/>
      <w:iCs/>
      <w:szCs w:val="24"/>
    </w:rPr>
  </w:style>
  <w:style w:type="paragraph" w:styleId="Quote">
    <w:name w:val="Quote"/>
    <w:basedOn w:val="Normal"/>
    <w:next w:val="Normal"/>
    <w:link w:val="QuoteChar"/>
    <w:uiPriority w:val="29"/>
    <w:qFormat/>
    <w:rsid w:val="00F66F6C"/>
    <w:pPr>
      <w:spacing w:after="240" w:line="240" w:lineRule="auto"/>
      <w:ind w:left="2160" w:right="720" w:hanging="720"/>
      <w:jc w:val="both"/>
    </w:pPr>
    <w:rPr>
      <w:rFonts w:ascii="Times New Roman" w:hAnsi="Times New Roman"/>
      <w:iCs/>
      <w:szCs w:val="24"/>
    </w:rPr>
  </w:style>
  <w:style w:type="character" w:customStyle="1" w:styleId="QuoteChar">
    <w:name w:val="Quote Char"/>
    <w:basedOn w:val="DefaultParagraphFont"/>
    <w:link w:val="Quote"/>
    <w:uiPriority w:val="29"/>
    <w:rsid w:val="00F66F6C"/>
    <w:rPr>
      <w:rFonts w:ascii="Times New Roman" w:eastAsia="Times New Roman" w:hAnsi="Times New Roman" w:cs="Times New Roman"/>
      <w:iCs/>
      <w:sz w:val="24"/>
      <w:szCs w:val="24"/>
    </w:rPr>
  </w:style>
  <w:style w:type="character" w:styleId="CommentReference">
    <w:name w:val="annotation reference"/>
    <w:basedOn w:val="DefaultParagraphFont"/>
    <w:uiPriority w:val="99"/>
    <w:semiHidden/>
    <w:unhideWhenUsed/>
    <w:rsid w:val="00DC3BF1"/>
    <w:rPr>
      <w:sz w:val="16"/>
      <w:szCs w:val="16"/>
    </w:rPr>
  </w:style>
  <w:style w:type="paragraph" w:styleId="CommentText">
    <w:name w:val="annotation text"/>
    <w:basedOn w:val="Normal"/>
    <w:link w:val="CommentTextChar"/>
    <w:uiPriority w:val="99"/>
    <w:semiHidden/>
    <w:unhideWhenUsed/>
    <w:rsid w:val="00DC3BF1"/>
    <w:pPr>
      <w:spacing w:line="240" w:lineRule="auto"/>
    </w:pPr>
    <w:rPr>
      <w:sz w:val="20"/>
    </w:rPr>
  </w:style>
  <w:style w:type="character" w:customStyle="1" w:styleId="CommentTextChar">
    <w:name w:val="Comment Text Char"/>
    <w:basedOn w:val="DefaultParagraphFont"/>
    <w:link w:val="CommentText"/>
    <w:uiPriority w:val="99"/>
    <w:semiHidden/>
    <w:rsid w:val="00DC3BF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DC3BF1"/>
    <w:rPr>
      <w:b/>
      <w:bCs/>
    </w:rPr>
  </w:style>
  <w:style w:type="character" w:customStyle="1" w:styleId="CommentSubjectChar">
    <w:name w:val="Comment Subject Char"/>
    <w:basedOn w:val="CommentTextChar"/>
    <w:link w:val="CommentSubject"/>
    <w:uiPriority w:val="99"/>
    <w:semiHidden/>
    <w:rsid w:val="00DC3BF1"/>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43CF-60EB-478A-A02A-F430947C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15098</Words>
  <Characters>86059</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Reynolds, Doris</cp:lastModifiedBy>
  <cp:revision>6</cp:revision>
  <cp:lastPrinted>2015-01-15T16:40:00Z</cp:lastPrinted>
  <dcterms:created xsi:type="dcterms:W3CDTF">2014-12-24T22:34:00Z</dcterms:created>
  <dcterms:modified xsi:type="dcterms:W3CDTF">2015-01-15T16:42:00Z</dcterms:modified>
</cp:coreProperties>
</file>