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788"/>
        <w:gridCol w:w="360"/>
        <w:gridCol w:w="4428"/>
      </w:tblGrid>
      <w:tr w:rsidR="003A6031" w:rsidRPr="003A6031" w:rsidTr="008B0164">
        <w:tc>
          <w:tcPr>
            <w:tcW w:w="5000" w:type="pct"/>
            <w:gridSpan w:val="3"/>
          </w:tcPr>
          <w:p w:rsidR="003A6031" w:rsidRPr="003A6031" w:rsidRDefault="003A6031" w:rsidP="003A6031">
            <w:pPr>
              <w:spacing w:line="240" w:lineRule="auto"/>
              <w:jc w:val="center"/>
              <w:rPr>
                <w:rFonts w:ascii="Times New Roman" w:hAnsi="Times New Roman"/>
                <w:b/>
                <w:sz w:val="26"/>
                <w:szCs w:val="24"/>
              </w:rPr>
            </w:pPr>
            <w:r w:rsidRPr="003A6031">
              <w:rPr>
                <w:rFonts w:ascii="Times New Roman" w:hAnsi="Times New Roman"/>
                <w:b/>
                <w:sz w:val="26"/>
                <w:szCs w:val="24"/>
              </w:rPr>
              <w:t>PENNSYLVANIA</w:t>
            </w:r>
          </w:p>
          <w:p w:rsidR="003A6031" w:rsidRPr="003A6031" w:rsidRDefault="003A6031" w:rsidP="003A6031">
            <w:pPr>
              <w:spacing w:line="240" w:lineRule="auto"/>
              <w:jc w:val="center"/>
              <w:rPr>
                <w:rFonts w:ascii="Times New Roman" w:hAnsi="Times New Roman"/>
                <w:b/>
                <w:sz w:val="26"/>
                <w:szCs w:val="24"/>
              </w:rPr>
            </w:pPr>
            <w:r w:rsidRPr="003A6031">
              <w:rPr>
                <w:rFonts w:ascii="Times New Roman" w:hAnsi="Times New Roman"/>
                <w:b/>
                <w:sz w:val="26"/>
                <w:szCs w:val="24"/>
              </w:rPr>
              <w:t>PUBLIC UTILITY COMMISSION</w:t>
            </w:r>
          </w:p>
          <w:p w:rsidR="003A6031" w:rsidRPr="003A6031" w:rsidRDefault="003A6031" w:rsidP="003A6031">
            <w:pPr>
              <w:spacing w:line="240" w:lineRule="auto"/>
              <w:jc w:val="center"/>
              <w:rPr>
                <w:rFonts w:ascii="Times New Roman" w:hAnsi="Times New Roman"/>
                <w:b/>
                <w:sz w:val="26"/>
                <w:szCs w:val="24"/>
              </w:rPr>
            </w:pPr>
            <w:r w:rsidRPr="003A6031">
              <w:rPr>
                <w:rFonts w:ascii="Times New Roman" w:hAnsi="Times New Roman"/>
                <w:b/>
                <w:sz w:val="26"/>
                <w:szCs w:val="24"/>
              </w:rPr>
              <w:t>Harrisburg, PA  17105-3265</w:t>
            </w:r>
          </w:p>
          <w:p w:rsidR="003A6031" w:rsidRPr="003A6031" w:rsidRDefault="003A6031" w:rsidP="003A6031">
            <w:pPr>
              <w:spacing w:line="240" w:lineRule="auto"/>
              <w:rPr>
                <w:rFonts w:ascii="Times New Roman" w:hAnsi="Times New Roman"/>
                <w:sz w:val="26"/>
                <w:szCs w:val="24"/>
              </w:rPr>
            </w:pPr>
          </w:p>
          <w:p w:rsidR="003A6031" w:rsidRPr="003A6031" w:rsidRDefault="003A6031" w:rsidP="003A6031">
            <w:pPr>
              <w:spacing w:line="240" w:lineRule="auto"/>
              <w:rPr>
                <w:rFonts w:ascii="Times New Roman" w:hAnsi="Times New Roman"/>
                <w:sz w:val="26"/>
                <w:szCs w:val="24"/>
              </w:rPr>
            </w:pPr>
          </w:p>
        </w:tc>
      </w:tr>
      <w:tr w:rsidR="003A6031" w:rsidRPr="003A6031" w:rsidTr="008B0164">
        <w:tc>
          <w:tcPr>
            <w:tcW w:w="2500" w:type="pct"/>
          </w:tcPr>
          <w:p w:rsidR="003A6031" w:rsidRPr="003A6031" w:rsidRDefault="003A6031" w:rsidP="003A6031">
            <w:pPr>
              <w:spacing w:line="240" w:lineRule="auto"/>
              <w:rPr>
                <w:rFonts w:ascii="Times New Roman" w:hAnsi="Times New Roman"/>
                <w:sz w:val="26"/>
                <w:szCs w:val="24"/>
              </w:rPr>
            </w:pPr>
          </w:p>
        </w:tc>
        <w:tc>
          <w:tcPr>
            <w:tcW w:w="2500" w:type="pct"/>
            <w:gridSpan w:val="2"/>
          </w:tcPr>
          <w:p w:rsidR="003A6031" w:rsidRPr="003A6031" w:rsidRDefault="003A6031" w:rsidP="003A6031">
            <w:pPr>
              <w:spacing w:line="240" w:lineRule="auto"/>
              <w:jc w:val="right"/>
              <w:rPr>
                <w:rFonts w:ascii="Times New Roman" w:hAnsi="Times New Roman"/>
                <w:sz w:val="26"/>
                <w:szCs w:val="24"/>
              </w:rPr>
            </w:pPr>
            <w:r w:rsidRPr="003A6031">
              <w:rPr>
                <w:rFonts w:ascii="Times New Roman" w:hAnsi="Times New Roman"/>
                <w:sz w:val="26"/>
                <w:szCs w:val="24"/>
              </w:rPr>
              <w:t xml:space="preserve">Public Meeting held </w:t>
            </w:r>
            <w:r>
              <w:rPr>
                <w:rFonts w:ascii="Times New Roman" w:hAnsi="Times New Roman"/>
                <w:sz w:val="26"/>
                <w:szCs w:val="24"/>
              </w:rPr>
              <w:t>January 15, 2015</w:t>
            </w:r>
          </w:p>
          <w:p w:rsidR="003A6031" w:rsidRPr="003A6031" w:rsidRDefault="003A6031" w:rsidP="003A6031">
            <w:pPr>
              <w:spacing w:line="240" w:lineRule="auto"/>
              <w:jc w:val="right"/>
              <w:rPr>
                <w:rFonts w:ascii="Times New Roman" w:hAnsi="Times New Roman"/>
                <w:sz w:val="26"/>
                <w:szCs w:val="24"/>
              </w:rPr>
            </w:pPr>
          </w:p>
        </w:tc>
      </w:tr>
      <w:tr w:rsidR="003A6031" w:rsidRPr="003A6031" w:rsidTr="008B0164">
        <w:tc>
          <w:tcPr>
            <w:tcW w:w="5000" w:type="pct"/>
            <w:gridSpan w:val="3"/>
          </w:tcPr>
          <w:p w:rsidR="003A6031" w:rsidRPr="003A6031" w:rsidRDefault="003A6031" w:rsidP="003A6031">
            <w:pPr>
              <w:spacing w:line="240" w:lineRule="auto"/>
              <w:ind w:right="1080"/>
              <w:rPr>
                <w:rFonts w:ascii="Times New Roman" w:hAnsi="Times New Roman"/>
                <w:sz w:val="26"/>
                <w:szCs w:val="24"/>
              </w:rPr>
            </w:pPr>
            <w:r w:rsidRPr="003A6031">
              <w:rPr>
                <w:rFonts w:ascii="Times New Roman" w:hAnsi="Times New Roman"/>
                <w:sz w:val="26"/>
                <w:szCs w:val="24"/>
              </w:rPr>
              <w:t>Commissioners Present:</w:t>
            </w:r>
          </w:p>
          <w:p w:rsidR="003A6031" w:rsidRPr="003A6031" w:rsidRDefault="003A6031" w:rsidP="003A6031">
            <w:pPr>
              <w:spacing w:line="240" w:lineRule="auto"/>
              <w:ind w:right="1080"/>
              <w:rPr>
                <w:rFonts w:ascii="Times New Roman" w:hAnsi="Times New Roman"/>
                <w:sz w:val="26"/>
                <w:szCs w:val="24"/>
              </w:rPr>
            </w:pPr>
          </w:p>
          <w:p w:rsidR="003A6031" w:rsidRPr="003A6031" w:rsidRDefault="003A6031" w:rsidP="003A6031">
            <w:pPr>
              <w:spacing w:line="240" w:lineRule="auto"/>
              <w:ind w:firstLine="540"/>
              <w:rPr>
                <w:rFonts w:ascii="Times New Roman" w:hAnsi="Times New Roman"/>
                <w:sz w:val="26"/>
                <w:szCs w:val="24"/>
              </w:rPr>
            </w:pPr>
            <w:r w:rsidRPr="003A6031">
              <w:rPr>
                <w:rFonts w:ascii="Times New Roman" w:hAnsi="Times New Roman"/>
                <w:sz w:val="26"/>
                <w:szCs w:val="24"/>
              </w:rPr>
              <w:t>Robert F. Powelson, Chairman</w:t>
            </w:r>
          </w:p>
          <w:p w:rsidR="003A6031" w:rsidRPr="003A6031" w:rsidRDefault="003A6031" w:rsidP="003A6031">
            <w:pPr>
              <w:spacing w:line="240" w:lineRule="auto"/>
              <w:ind w:firstLine="540"/>
              <w:rPr>
                <w:rFonts w:ascii="Times New Roman" w:hAnsi="Times New Roman"/>
                <w:sz w:val="26"/>
                <w:szCs w:val="24"/>
              </w:rPr>
            </w:pPr>
            <w:r w:rsidRPr="003A6031">
              <w:rPr>
                <w:rFonts w:ascii="Times New Roman" w:hAnsi="Times New Roman"/>
                <w:sz w:val="26"/>
                <w:szCs w:val="24"/>
              </w:rPr>
              <w:t>John F. Coleman, Jr., Vice Chairman</w:t>
            </w:r>
          </w:p>
          <w:p w:rsidR="003A6031" w:rsidRPr="003A6031" w:rsidRDefault="003A6031" w:rsidP="003A6031">
            <w:pPr>
              <w:spacing w:line="240" w:lineRule="auto"/>
              <w:ind w:firstLine="540"/>
              <w:rPr>
                <w:rFonts w:ascii="Times New Roman" w:hAnsi="Times New Roman"/>
                <w:sz w:val="26"/>
                <w:szCs w:val="24"/>
              </w:rPr>
            </w:pPr>
            <w:r w:rsidRPr="003A6031">
              <w:rPr>
                <w:rFonts w:ascii="Times New Roman" w:hAnsi="Times New Roman"/>
                <w:sz w:val="26"/>
                <w:szCs w:val="24"/>
              </w:rPr>
              <w:t>James H. Cawley</w:t>
            </w:r>
          </w:p>
          <w:p w:rsidR="003A6031" w:rsidRPr="003A6031" w:rsidRDefault="003A6031" w:rsidP="003A6031">
            <w:pPr>
              <w:spacing w:line="240" w:lineRule="auto"/>
              <w:ind w:firstLine="540"/>
              <w:rPr>
                <w:rFonts w:ascii="Times New Roman" w:hAnsi="Times New Roman"/>
                <w:sz w:val="26"/>
                <w:szCs w:val="24"/>
              </w:rPr>
            </w:pPr>
            <w:r w:rsidRPr="003A6031">
              <w:rPr>
                <w:rFonts w:ascii="Times New Roman" w:hAnsi="Times New Roman"/>
                <w:sz w:val="26"/>
                <w:szCs w:val="24"/>
              </w:rPr>
              <w:t>Pamela A. Witmer</w:t>
            </w:r>
          </w:p>
          <w:p w:rsidR="003A6031" w:rsidRPr="003A6031" w:rsidRDefault="003A6031" w:rsidP="003A6031">
            <w:pPr>
              <w:spacing w:line="240" w:lineRule="auto"/>
              <w:ind w:firstLine="540"/>
              <w:rPr>
                <w:rFonts w:ascii="Times New Roman" w:hAnsi="Times New Roman"/>
                <w:sz w:val="26"/>
                <w:szCs w:val="24"/>
              </w:rPr>
            </w:pPr>
            <w:r w:rsidRPr="003A6031">
              <w:rPr>
                <w:rFonts w:ascii="Times New Roman" w:hAnsi="Times New Roman"/>
                <w:sz w:val="26"/>
                <w:szCs w:val="24"/>
              </w:rPr>
              <w:t>Gladys M. Brown</w:t>
            </w:r>
            <w:r w:rsidR="003A3CCA">
              <w:rPr>
                <w:rFonts w:ascii="Times New Roman" w:hAnsi="Times New Roman"/>
                <w:sz w:val="26"/>
                <w:szCs w:val="24"/>
              </w:rPr>
              <w:t>, Statement</w:t>
            </w:r>
            <w:bookmarkStart w:id="0" w:name="_GoBack"/>
            <w:bookmarkEnd w:id="0"/>
          </w:p>
          <w:p w:rsidR="003A6031" w:rsidRPr="003A6031" w:rsidRDefault="003A6031" w:rsidP="003A6031">
            <w:pPr>
              <w:spacing w:line="240" w:lineRule="auto"/>
              <w:rPr>
                <w:rFonts w:ascii="Times New Roman" w:hAnsi="Times New Roman"/>
                <w:sz w:val="26"/>
                <w:szCs w:val="24"/>
              </w:rPr>
            </w:pPr>
          </w:p>
          <w:p w:rsidR="003A6031" w:rsidRPr="003A6031" w:rsidRDefault="003A6031" w:rsidP="003A6031">
            <w:pPr>
              <w:spacing w:line="240" w:lineRule="auto"/>
              <w:rPr>
                <w:rFonts w:ascii="Times New Roman" w:hAnsi="Times New Roman"/>
                <w:sz w:val="26"/>
                <w:szCs w:val="24"/>
              </w:rPr>
            </w:pPr>
          </w:p>
        </w:tc>
      </w:tr>
      <w:tr w:rsidR="003A6031" w:rsidRPr="003A6031" w:rsidTr="00991C93">
        <w:tc>
          <w:tcPr>
            <w:tcW w:w="2688" w:type="pct"/>
            <w:gridSpan w:val="2"/>
          </w:tcPr>
          <w:p w:rsidR="003A6031" w:rsidRPr="003A6031" w:rsidRDefault="003A6031" w:rsidP="003A6031">
            <w:pPr>
              <w:spacing w:line="240" w:lineRule="auto"/>
              <w:rPr>
                <w:rFonts w:ascii="Times New Roman" w:hAnsi="Times New Roman"/>
                <w:sz w:val="26"/>
                <w:szCs w:val="24"/>
              </w:rPr>
            </w:pPr>
            <w:r>
              <w:rPr>
                <w:rFonts w:ascii="Times New Roman" w:hAnsi="Times New Roman"/>
                <w:sz w:val="26"/>
                <w:szCs w:val="24"/>
              </w:rPr>
              <w:t xml:space="preserve">Petition of PPL Electric Utilities </w:t>
            </w:r>
            <w:r w:rsidR="00991C93">
              <w:rPr>
                <w:rFonts w:ascii="Times New Roman" w:hAnsi="Times New Roman"/>
                <w:sz w:val="26"/>
                <w:szCs w:val="24"/>
              </w:rPr>
              <w:t>C</w:t>
            </w:r>
            <w:r>
              <w:rPr>
                <w:rFonts w:ascii="Times New Roman" w:hAnsi="Times New Roman"/>
                <w:sz w:val="26"/>
                <w:szCs w:val="24"/>
              </w:rPr>
              <w:t>orporation for Approval of a Default Service Program and Procurement Plan for the Period June 1, 2015 Through May 31, 2017</w:t>
            </w:r>
          </w:p>
          <w:p w:rsidR="003A6031" w:rsidRPr="003A6031" w:rsidRDefault="003A6031" w:rsidP="003A6031">
            <w:pPr>
              <w:spacing w:line="240" w:lineRule="auto"/>
              <w:rPr>
                <w:rFonts w:ascii="Times New Roman" w:hAnsi="Times New Roman"/>
                <w:sz w:val="26"/>
                <w:szCs w:val="24"/>
              </w:rPr>
            </w:pPr>
          </w:p>
        </w:tc>
        <w:tc>
          <w:tcPr>
            <w:tcW w:w="2312" w:type="pct"/>
          </w:tcPr>
          <w:p w:rsidR="003A6031" w:rsidRPr="003A6031" w:rsidRDefault="003A6031" w:rsidP="003A6031">
            <w:pPr>
              <w:spacing w:line="240" w:lineRule="auto"/>
              <w:jc w:val="right"/>
              <w:rPr>
                <w:rFonts w:ascii="Times New Roman" w:hAnsi="Times New Roman"/>
                <w:bCs/>
                <w:sz w:val="26"/>
                <w:szCs w:val="26"/>
              </w:rPr>
            </w:pPr>
            <w:r>
              <w:rPr>
                <w:rFonts w:ascii="Times New Roman" w:hAnsi="Times New Roman"/>
                <w:bCs/>
                <w:sz w:val="26"/>
                <w:szCs w:val="26"/>
              </w:rPr>
              <w:t>P-2014-2417907</w:t>
            </w:r>
          </w:p>
          <w:p w:rsidR="003A6031" w:rsidRPr="003A6031" w:rsidRDefault="003A6031" w:rsidP="003A6031">
            <w:pPr>
              <w:spacing w:line="240" w:lineRule="auto"/>
              <w:jc w:val="right"/>
              <w:rPr>
                <w:rFonts w:ascii="Times New Roman" w:hAnsi="Times New Roman"/>
                <w:sz w:val="26"/>
                <w:szCs w:val="24"/>
              </w:rPr>
            </w:pPr>
          </w:p>
        </w:tc>
      </w:tr>
    </w:tbl>
    <w:p w:rsidR="00E15B98" w:rsidRPr="00155E75" w:rsidRDefault="00E15B98" w:rsidP="00D26D41">
      <w:pPr>
        <w:rPr>
          <w:rFonts w:ascii="Times New Roman" w:hAnsi="Times New Roman"/>
          <w:sz w:val="26"/>
          <w:szCs w:val="26"/>
        </w:rPr>
      </w:pPr>
    </w:p>
    <w:p w:rsidR="00BE3149" w:rsidRPr="00155E75" w:rsidRDefault="00BE3149" w:rsidP="00D26D41"/>
    <w:p w:rsidR="00E15B98" w:rsidRPr="00155E75" w:rsidRDefault="00E15B98" w:rsidP="00D26D41">
      <w:pPr>
        <w:jc w:val="center"/>
        <w:rPr>
          <w:rFonts w:ascii="Times New Roman" w:hAnsi="Times New Roman"/>
          <w:b/>
          <w:sz w:val="26"/>
          <w:szCs w:val="26"/>
        </w:rPr>
      </w:pPr>
      <w:r w:rsidRPr="00155E75">
        <w:rPr>
          <w:rFonts w:ascii="Times New Roman" w:hAnsi="Times New Roman"/>
          <w:b/>
          <w:sz w:val="26"/>
          <w:szCs w:val="26"/>
        </w:rPr>
        <w:t>OPINION AND ORDER</w:t>
      </w:r>
    </w:p>
    <w:p w:rsidR="00E15B98" w:rsidRPr="00155E75" w:rsidRDefault="00E15B98" w:rsidP="00D26D41">
      <w:pPr>
        <w:jc w:val="center"/>
        <w:rPr>
          <w:rFonts w:ascii="Times New Roman" w:hAnsi="Times New Roman"/>
          <w:b/>
          <w:sz w:val="26"/>
          <w:szCs w:val="26"/>
        </w:rPr>
      </w:pPr>
    </w:p>
    <w:p w:rsidR="00E15B98" w:rsidRPr="00155E75" w:rsidRDefault="00E15B98" w:rsidP="00D26D41">
      <w:pPr>
        <w:pStyle w:val="BodyTextIndent"/>
        <w:keepNext/>
        <w:spacing w:after="0"/>
        <w:ind w:left="0"/>
        <w:rPr>
          <w:rFonts w:ascii="Times New Roman" w:hAnsi="Times New Roman"/>
          <w:b/>
          <w:sz w:val="26"/>
          <w:szCs w:val="26"/>
        </w:rPr>
      </w:pPr>
      <w:r w:rsidRPr="00155E75">
        <w:rPr>
          <w:rFonts w:ascii="Times New Roman" w:hAnsi="Times New Roman"/>
          <w:b/>
          <w:sz w:val="26"/>
          <w:szCs w:val="26"/>
        </w:rPr>
        <w:t>BY THE COMMISSION:</w:t>
      </w:r>
    </w:p>
    <w:p w:rsidR="00E15B98" w:rsidRPr="00155E75" w:rsidRDefault="00E15B98" w:rsidP="00D26D41">
      <w:pPr>
        <w:pStyle w:val="BodyTextIndent"/>
        <w:keepNext/>
        <w:spacing w:after="0"/>
        <w:ind w:left="0"/>
        <w:rPr>
          <w:rFonts w:ascii="Times New Roman" w:hAnsi="Times New Roman"/>
          <w:b/>
          <w:sz w:val="26"/>
          <w:szCs w:val="26"/>
        </w:rPr>
      </w:pPr>
    </w:p>
    <w:p w:rsidR="00E15B98" w:rsidRPr="0065141C" w:rsidRDefault="00E15B98" w:rsidP="00D26D41">
      <w:pPr>
        <w:pStyle w:val="BodyTextIndent"/>
        <w:spacing w:after="0"/>
        <w:ind w:left="0" w:firstLine="1440"/>
        <w:rPr>
          <w:rFonts w:ascii="Times New Roman" w:hAnsi="Times New Roman"/>
          <w:sz w:val="26"/>
          <w:szCs w:val="26"/>
        </w:rPr>
      </w:pPr>
      <w:r w:rsidRPr="00DF64AB">
        <w:rPr>
          <w:rFonts w:ascii="Times New Roman" w:hAnsi="Times New Roman"/>
          <w:sz w:val="26"/>
          <w:szCs w:val="26"/>
        </w:rPr>
        <w:t>Before the Pennsylvania Public Utility Commission (Commission) for consideration and disposition are the E</w:t>
      </w:r>
      <w:r w:rsidR="00DF64AB" w:rsidRPr="00DF64AB">
        <w:rPr>
          <w:rFonts w:ascii="Times New Roman" w:hAnsi="Times New Roman"/>
          <w:sz w:val="26"/>
          <w:szCs w:val="26"/>
        </w:rPr>
        <w:t>xceptions of PPL Electric Utilities Corporation (PPL or the Company) and</w:t>
      </w:r>
      <w:r w:rsidRPr="00DF64AB">
        <w:rPr>
          <w:rFonts w:ascii="Times New Roman" w:hAnsi="Times New Roman"/>
          <w:sz w:val="26"/>
          <w:szCs w:val="26"/>
        </w:rPr>
        <w:t xml:space="preserve"> the Retail Energy</w:t>
      </w:r>
      <w:r w:rsidR="00DF64AB" w:rsidRPr="00DF64AB">
        <w:rPr>
          <w:rFonts w:ascii="Times New Roman" w:hAnsi="Times New Roman"/>
          <w:sz w:val="26"/>
          <w:szCs w:val="26"/>
        </w:rPr>
        <w:t xml:space="preserve"> Supply Association (RESA), </w:t>
      </w:r>
      <w:r w:rsidRPr="00DF64AB">
        <w:rPr>
          <w:rFonts w:ascii="Times New Roman" w:hAnsi="Times New Roman"/>
          <w:sz w:val="26"/>
          <w:szCs w:val="26"/>
        </w:rPr>
        <w:t xml:space="preserve">filed on </w:t>
      </w:r>
      <w:r w:rsidR="00DF64AB" w:rsidRPr="00DF64AB">
        <w:rPr>
          <w:rFonts w:ascii="Times New Roman" w:hAnsi="Times New Roman"/>
          <w:sz w:val="26"/>
          <w:szCs w:val="26"/>
        </w:rPr>
        <w:t>November 19</w:t>
      </w:r>
      <w:r w:rsidRPr="00DF64AB">
        <w:rPr>
          <w:rFonts w:ascii="Times New Roman" w:hAnsi="Times New Roman"/>
          <w:sz w:val="26"/>
          <w:szCs w:val="26"/>
        </w:rPr>
        <w:t xml:space="preserve">, </w:t>
      </w:r>
      <w:r w:rsidRPr="0065141C">
        <w:rPr>
          <w:rFonts w:ascii="Times New Roman" w:hAnsi="Times New Roman"/>
          <w:sz w:val="26"/>
          <w:szCs w:val="26"/>
        </w:rPr>
        <w:t xml:space="preserve">2014, to the Recommended Decision (R.D.) of Administrative Law Judge (ALJ) </w:t>
      </w:r>
      <w:r w:rsidR="00DF64AB" w:rsidRPr="0065141C">
        <w:rPr>
          <w:rFonts w:ascii="Times New Roman" w:hAnsi="Times New Roman"/>
          <w:sz w:val="26"/>
          <w:szCs w:val="26"/>
        </w:rPr>
        <w:t>Susan D. Colwell</w:t>
      </w:r>
      <w:r w:rsidRPr="0065141C">
        <w:rPr>
          <w:rFonts w:ascii="Times New Roman" w:hAnsi="Times New Roman"/>
          <w:sz w:val="26"/>
          <w:szCs w:val="26"/>
        </w:rPr>
        <w:t xml:space="preserve">, issued on </w:t>
      </w:r>
      <w:r w:rsidR="00DF64AB" w:rsidRPr="0065141C">
        <w:rPr>
          <w:rFonts w:ascii="Times New Roman" w:hAnsi="Times New Roman"/>
          <w:sz w:val="26"/>
          <w:szCs w:val="26"/>
        </w:rPr>
        <w:t>October</w:t>
      </w:r>
      <w:r w:rsidRPr="0065141C">
        <w:rPr>
          <w:rFonts w:ascii="Times New Roman" w:hAnsi="Times New Roman"/>
          <w:sz w:val="26"/>
          <w:szCs w:val="26"/>
        </w:rPr>
        <w:t xml:space="preserve"> </w:t>
      </w:r>
      <w:r w:rsidR="00343588" w:rsidRPr="0065141C">
        <w:rPr>
          <w:rFonts w:ascii="Times New Roman" w:hAnsi="Times New Roman"/>
          <w:sz w:val="26"/>
          <w:szCs w:val="26"/>
        </w:rPr>
        <w:t>30</w:t>
      </w:r>
      <w:r w:rsidRPr="0065141C">
        <w:rPr>
          <w:rFonts w:ascii="Times New Roman" w:hAnsi="Times New Roman"/>
          <w:sz w:val="26"/>
          <w:szCs w:val="26"/>
        </w:rPr>
        <w:t>,</w:t>
      </w:r>
      <w:r w:rsidR="00343588" w:rsidRPr="0065141C">
        <w:rPr>
          <w:rFonts w:ascii="Times New Roman" w:hAnsi="Times New Roman"/>
          <w:sz w:val="26"/>
          <w:szCs w:val="26"/>
        </w:rPr>
        <w:t xml:space="preserve"> </w:t>
      </w:r>
      <w:r w:rsidRPr="0065141C">
        <w:rPr>
          <w:rFonts w:ascii="Times New Roman" w:hAnsi="Times New Roman"/>
          <w:sz w:val="26"/>
          <w:szCs w:val="26"/>
        </w:rPr>
        <w:t>2014, relative to the above-captioned proceeding.  Replies to Exceptions were filed by</w:t>
      </w:r>
      <w:r w:rsidR="0065141C" w:rsidRPr="0065141C">
        <w:rPr>
          <w:rFonts w:ascii="Times New Roman" w:hAnsi="Times New Roman"/>
          <w:sz w:val="26"/>
          <w:szCs w:val="26"/>
        </w:rPr>
        <w:t xml:space="preserve"> PPL, the Office of Small Business Advocate (OSBA), and the PP</w:t>
      </w:r>
      <w:r w:rsidR="00BD288F">
        <w:rPr>
          <w:rFonts w:ascii="Times New Roman" w:hAnsi="Times New Roman"/>
          <w:sz w:val="26"/>
          <w:szCs w:val="26"/>
        </w:rPr>
        <w:t>&amp;</w:t>
      </w:r>
      <w:r w:rsidR="0065141C" w:rsidRPr="0065141C">
        <w:rPr>
          <w:rFonts w:ascii="Times New Roman" w:hAnsi="Times New Roman"/>
          <w:sz w:val="26"/>
          <w:szCs w:val="26"/>
        </w:rPr>
        <w:t xml:space="preserve">L Industrial Customer Alliance (PPLICA) </w:t>
      </w:r>
      <w:r w:rsidRPr="0065141C">
        <w:rPr>
          <w:rFonts w:ascii="Times New Roman" w:hAnsi="Times New Roman"/>
          <w:sz w:val="26"/>
          <w:szCs w:val="26"/>
        </w:rPr>
        <w:t xml:space="preserve">on </w:t>
      </w:r>
      <w:r w:rsidR="00DF64AB" w:rsidRPr="0065141C">
        <w:rPr>
          <w:rFonts w:ascii="Times New Roman" w:hAnsi="Times New Roman"/>
          <w:sz w:val="26"/>
          <w:szCs w:val="26"/>
        </w:rPr>
        <w:t>December</w:t>
      </w:r>
      <w:r w:rsidR="00991C93">
        <w:rPr>
          <w:rFonts w:ascii="Times New Roman" w:hAnsi="Times New Roman"/>
          <w:sz w:val="26"/>
          <w:szCs w:val="26"/>
        </w:rPr>
        <w:t> </w:t>
      </w:r>
      <w:r w:rsidR="00DF64AB" w:rsidRPr="0065141C">
        <w:rPr>
          <w:rFonts w:ascii="Times New Roman" w:hAnsi="Times New Roman"/>
          <w:sz w:val="26"/>
          <w:szCs w:val="26"/>
        </w:rPr>
        <w:t>1</w:t>
      </w:r>
      <w:r w:rsidRPr="0065141C">
        <w:rPr>
          <w:rFonts w:ascii="Times New Roman" w:hAnsi="Times New Roman"/>
          <w:sz w:val="26"/>
          <w:szCs w:val="26"/>
        </w:rPr>
        <w:t xml:space="preserve">, 2014.  </w:t>
      </w:r>
    </w:p>
    <w:p w:rsidR="00E15B98" w:rsidRPr="006A09A9" w:rsidRDefault="00E15B98" w:rsidP="00D26D41">
      <w:pPr>
        <w:rPr>
          <w:rFonts w:ascii="Times New Roman" w:hAnsi="Times New Roman"/>
          <w:sz w:val="26"/>
          <w:szCs w:val="26"/>
          <w:u w:val="single"/>
        </w:rPr>
      </w:pPr>
    </w:p>
    <w:p w:rsidR="00E15B98" w:rsidRPr="00CC11F7" w:rsidRDefault="00E15B98" w:rsidP="00D26D41">
      <w:pPr>
        <w:pStyle w:val="Heading1"/>
        <w:keepNext/>
      </w:pPr>
      <w:bookmarkStart w:id="1" w:name="_Toc385423060"/>
      <w:r w:rsidRPr="00CC11F7">
        <w:lastRenderedPageBreak/>
        <w:t>History of the Proceeding</w:t>
      </w:r>
      <w:bookmarkEnd w:id="1"/>
    </w:p>
    <w:p w:rsidR="00E15B98" w:rsidRPr="00CC11F7" w:rsidRDefault="00E15B98" w:rsidP="00D26D41"/>
    <w:p w:rsidR="006A09A9" w:rsidRPr="00CC11F7" w:rsidRDefault="00CC11F7" w:rsidP="006A09A9">
      <w:pPr>
        <w:rPr>
          <w:rFonts w:ascii="Times New Roman" w:hAnsi="Times New Roman"/>
          <w:sz w:val="26"/>
          <w:szCs w:val="26"/>
        </w:rPr>
      </w:pPr>
      <w:r w:rsidRPr="00CC11F7">
        <w:rPr>
          <w:rFonts w:ascii="Times New Roman" w:hAnsi="Times New Roman"/>
          <w:sz w:val="26"/>
          <w:szCs w:val="26"/>
        </w:rPr>
        <w:tab/>
      </w:r>
      <w:r w:rsidRPr="00CC11F7">
        <w:rPr>
          <w:rFonts w:ascii="Times New Roman" w:hAnsi="Times New Roman"/>
          <w:sz w:val="26"/>
          <w:szCs w:val="26"/>
        </w:rPr>
        <w:tab/>
        <w:t xml:space="preserve">On April 18, 2014, PPL </w:t>
      </w:r>
      <w:r w:rsidR="006A09A9" w:rsidRPr="00CC11F7">
        <w:rPr>
          <w:rFonts w:ascii="Times New Roman" w:hAnsi="Times New Roman"/>
          <w:sz w:val="26"/>
          <w:szCs w:val="26"/>
        </w:rPr>
        <w:t xml:space="preserve">filed </w:t>
      </w:r>
      <w:r w:rsidRPr="00CC11F7">
        <w:rPr>
          <w:rFonts w:ascii="Times New Roman" w:hAnsi="Times New Roman"/>
          <w:sz w:val="26"/>
          <w:szCs w:val="26"/>
        </w:rPr>
        <w:t>its Petition for approval of a Default Service Program and Procurement Plan (DSP III) for the period from</w:t>
      </w:r>
      <w:r w:rsidR="006A09A9" w:rsidRPr="00CC11F7">
        <w:rPr>
          <w:rFonts w:ascii="Times New Roman" w:hAnsi="Times New Roman"/>
          <w:sz w:val="26"/>
          <w:szCs w:val="26"/>
        </w:rPr>
        <w:t xml:space="preserve"> June 1, 2015</w:t>
      </w:r>
      <w:r w:rsidR="00991C93">
        <w:rPr>
          <w:rFonts w:ascii="Times New Roman" w:hAnsi="Times New Roman"/>
          <w:sz w:val="26"/>
          <w:szCs w:val="26"/>
        </w:rPr>
        <w:t>,</w:t>
      </w:r>
      <w:r w:rsidR="006A09A9" w:rsidRPr="00CC11F7">
        <w:rPr>
          <w:rFonts w:ascii="Times New Roman" w:hAnsi="Times New Roman"/>
          <w:sz w:val="26"/>
          <w:szCs w:val="26"/>
        </w:rPr>
        <w:t xml:space="preserve"> through May</w:t>
      </w:r>
      <w:r w:rsidR="00991C93">
        <w:rPr>
          <w:rFonts w:ascii="Times New Roman" w:hAnsi="Times New Roman"/>
          <w:sz w:val="26"/>
          <w:szCs w:val="26"/>
        </w:rPr>
        <w:t> </w:t>
      </w:r>
      <w:r w:rsidR="006A09A9" w:rsidRPr="00CC11F7">
        <w:rPr>
          <w:rFonts w:ascii="Times New Roman" w:hAnsi="Times New Roman"/>
          <w:sz w:val="26"/>
          <w:szCs w:val="26"/>
        </w:rPr>
        <w:t>31, 2017.  The Company served the Petition on the public advocates and the electric generation suppliers</w:t>
      </w:r>
      <w:r w:rsidR="00B11743">
        <w:rPr>
          <w:rFonts w:ascii="Times New Roman" w:hAnsi="Times New Roman"/>
          <w:sz w:val="26"/>
          <w:szCs w:val="26"/>
        </w:rPr>
        <w:t xml:space="preserve"> (EGSs)</w:t>
      </w:r>
      <w:r w:rsidR="006A09A9" w:rsidRPr="00CC11F7">
        <w:rPr>
          <w:rFonts w:ascii="Times New Roman" w:hAnsi="Times New Roman"/>
          <w:sz w:val="26"/>
          <w:szCs w:val="26"/>
        </w:rPr>
        <w:t xml:space="preserve"> do</w:t>
      </w:r>
      <w:r w:rsidRPr="00CC11F7">
        <w:rPr>
          <w:rFonts w:ascii="Times New Roman" w:hAnsi="Times New Roman"/>
          <w:sz w:val="26"/>
          <w:szCs w:val="26"/>
        </w:rPr>
        <w:t>ing business in its territory.</w:t>
      </w:r>
      <w:r w:rsidR="006A09A9" w:rsidRPr="00CC11F7">
        <w:rPr>
          <w:rFonts w:ascii="Times New Roman" w:hAnsi="Times New Roman"/>
          <w:sz w:val="26"/>
          <w:szCs w:val="26"/>
        </w:rPr>
        <w:t xml:space="preserve"> </w:t>
      </w:r>
    </w:p>
    <w:p w:rsidR="006A09A9" w:rsidRPr="00CC11F7" w:rsidRDefault="006A09A9" w:rsidP="006A09A9">
      <w:pPr>
        <w:rPr>
          <w:rFonts w:ascii="Times New Roman" w:hAnsi="Times New Roman"/>
          <w:sz w:val="26"/>
          <w:szCs w:val="26"/>
        </w:rPr>
      </w:pPr>
    </w:p>
    <w:p w:rsidR="006A09A9" w:rsidRPr="00CC11F7" w:rsidRDefault="006A09A9" w:rsidP="006A09A9">
      <w:pPr>
        <w:rPr>
          <w:rFonts w:ascii="Times New Roman" w:hAnsi="Times New Roman"/>
          <w:sz w:val="26"/>
          <w:szCs w:val="26"/>
        </w:rPr>
      </w:pPr>
      <w:r w:rsidRPr="00CC11F7">
        <w:rPr>
          <w:rFonts w:ascii="Times New Roman" w:hAnsi="Times New Roman"/>
          <w:sz w:val="26"/>
          <w:szCs w:val="26"/>
        </w:rPr>
        <w:tab/>
      </w:r>
      <w:r w:rsidRPr="00CC11F7">
        <w:rPr>
          <w:rFonts w:ascii="Times New Roman" w:hAnsi="Times New Roman"/>
          <w:sz w:val="26"/>
          <w:szCs w:val="26"/>
        </w:rPr>
        <w:tab/>
        <w:t xml:space="preserve">On May 10, 2014, notice of the Petition was published in the </w:t>
      </w:r>
      <w:r w:rsidRPr="00CC11F7">
        <w:rPr>
          <w:rFonts w:ascii="Times New Roman" w:hAnsi="Times New Roman"/>
          <w:i/>
          <w:sz w:val="26"/>
          <w:szCs w:val="26"/>
        </w:rPr>
        <w:t>Pennsylvania Bulletin</w:t>
      </w:r>
      <w:r w:rsidRPr="00CC11F7">
        <w:rPr>
          <w:rFonts w:ascii="Times New Roman" w:hAnsi="Times New Roman"/>
          <w:sz w:val="26"/>
          <w:szCs w:val="26"/>
        </w:rPr>
        <w:t xml:space="preserve">, 44 </w:t>
      </w:r>
      <w:r w:rsidRPr="00CC11F7">
        <w:rPr>
          <w:rFonts w:ascii="Times New Roman" w:hAnsi="Times New Roman"/>
          <w:i/>
          <w:sz w:val="26"/>
          <w:szCs w:val="26"/>
        </w:rPr>
        <w:t>Pa.</w:t>
      </w:r>
      <w:r w:rsidR="00CC11F7" w:rsidRPr="00CC11F7">
        <w:rPr>
          <w:rFonts w:ascii="Times New Roman" w:hAnsi="Times New Roman"/>
          <w:i/>
          <w:sz w:val="26"/>
          <w:szCs w:val="26"/>
        </w:rPr>
        <w:t xml:space="preserve"> </w:t>
      </w:r>
      <w:r w:rsidRPr="00CC11F7">
        <w:rPr>
          <w:rFonts w:ascii="Times New Roman" w:hAnsi="Times New Roman"/>
          <w:i/>
          <w:sz w:val="26"/>
          <w:szCs w:val="26"/>
        </w:rPr>
        <w:t>B.</w:t>
      </w:r>
      <w:r w:rsidRPr="00CC11F7">
        <w:rPr>
          <w:rFonts w:ascii="Times New Roman" w:hAnsi="Times New Roman"/>
          <w:sz w:val="26"/>
          <w:szCs w:val="26"/>
        </w:rPr>
        <w:t xml:space="preserve"> 2832, along with notice of the prehearing conference scheduled for June 5, 2014.  The deadline for filing interventions and protests was set for May 30, 2014.  </w:t>
      </w:r>
    </w:p>
    <w:p w:rsidR="006A09A9" w:rsidRPr="00CC11F7" w:rsidRDefault="006A09A9" w:rsidP="006A09A9">
      <w:pPr>
        <w:rPr>
          <w:rFonts w:ascii="Times New Roman" w:hAnsi="Times New Roman"/>
          <w:sz w:val="26"/>
          <w:szCs w:val="26"/>
        </w:rPr>
      </w:pPr>
    </w:p>
    <w:p w:rsidR="006A09A9" w:rsidRDefault="006A09A9" w:rsidP="006A09A9">
      <w:pPr>
        <w:rPr>
          <w:rFonts w:ascii="Times New Roman" w:hAnsi="Times New Roman"/>
          <w:sz w:val="26"/>
          <w:szCs w:val="26"/>
        </w:rPr>
      </w:pPr>
      <w:r w:rsidRPr="00AB4C04">
        <w:rPr>
          <w:rFonts w:ascii="Times New Roman" w:hAnsi="Times New Roman"/>
          <w:sz w:val="26"/>
          <w:szCs w:val="26"/>
        </w:rPr>
        <w:tab/>
      </w:r>
      <w:r w:rsidRPr="00AB4C04">
        <w:rPr>
          <w:rFonts w:ascii="Times New Roman" w:hAnsi="Times New Roman"/>
          <w:sz w:val="26"/>
          <w:szCs w:val="26"/>
        </w:rPr>
        <w:tab/>
      </w:r>
      <w:r w:rsidR="00AB4C04" w:rsidRPr="00AB4C04">
        <w:rPr>
          <w:rFonts w:ascii="Times New Roman" w:hAnsi="Times New Roman"/>
          <w:sz w:val="26"/>
          <w:szCs w:val="26"/>
        </w:rPr>
        <w:t>A Notice of A</w:t>
      </w:r>
      <w:r w:rsidRPr="00AB4C04">
        <w:rPr>
          <w:rFonts w:ascii="Times New Roman" w:hAnsi="Times New Roman"/>
          <w:sz w:val="26"/>
          <w:szCs w:val="26"/>
        </w:rPr>
        <w:t>ppearance was filed by the Commission</w:t>
      </w:r>
      <w:r w:rsidR="00803C65">
        <w:rPr>
          <w:rFonts w:ascii="Times New Roman" w:hAnsi="Times New Roman"/>
          <w:sz w:val="26"/>
          <w:szCs w:val="26"/>
        </w:rPr>
        <w:t>’</w:t>
      </w:r>
      <w:r w:rsidRPr="00AB4C04">
        <w:rPr>
          <w:rFonts w:ascii="Times New Roman" w:hAnsi="Times New Roman"/>
          <w:sz w:val="26"/>
          <w:szCs w:val="26"/>
        </w:rPr>
        <w:t>s Bureau of Investigation and E</w:t>
      </w:r>
      <w:r w:rsidR="00531CC7">
        <w:rPr>
          <w:rFonts w:ascii="Times New Roman" w:hAnsi="Times New Roman"/>
          <w:sz w:val="26"/>
          <w:szCs w:val="26"/>
        </w:rPr>
        <w:t>nforcement (I&amp;E) on May 20</w:t>
      </w:r>
      <w:r w:rsidRPr="00AB4C04">
        <w:rPr>
          <w:rFonts w:ascii="Times New Roman" w:hAnsi="Times New Roman"/>
          <w:sz w:val="26"/>
          <w:szCs w:val="26"/>
        </w:rPr>
        <w:t xml:space="preserve">, 2014.  </w:t>
      </w:r>
      <w:r w:rsidR="00AB4C04" w:rsidRPr="00AB4C04">
        <w:rPr>
          <w:rFonts w:ascii="Times New Roman" w:hAnsi="Times New Roman"/>
          <w:sz w:val="26"/>
          <w:szCs w:val="26"/>
        </w:rPr>
        <w:t xml:space="preserve">A </w:t>
      </w:r>
      <w:r w:rsidRPr="00AB4C04">
        <w:rPr>
          <w:rFonts w:ascii="Times New Roman" w:hAnsi="Times New Roman"/>
          <w:sz w:val="26"/>
          <w:szCs w:val="26"/>
        </w:rPr>
        <w:t>Notice of Intervention and Answer was filed by the Office of C</w:t>
      </w:r>
      <w:r w:rsidR="00531CC7">
        <w:rPr>
          <w:rFonts w:ascii="Times New Roman" w:hAnsi="Times New Roman"/>
          <w:sz w:val="26"/>
          <w:szCs w:val="26"/>
        </w:rPr>
        <w:t>onsumer Advocate (OCA) on May 8</w:t>
      </w:r>
      <w:r w:rsidR="000C2E6C">
        <w:rPr>
          <w:rFonts w:ascii="Times New Roman" w:hAnsi="Times New Roman"/>
          <w:sz w:val="26"/>
          <w:szCs w:val="26"/>
        </w:rPr>
        <w:t>, 2014, and by the OSBA</w:t>
      </w:r>
      <w:r w:rsidRPr="00AB4C04">
        <w:rPr>
          <w:rFonts w:ascii="Times New Roman" w:hAnsi="Times New Roman"/>
          <w:sz w:val="26"/>
          <w:szCs w:val="26"/>
        </w:rPr>
        <w:t xml:space="preserve"> on May 28, 2014.  </w:t>
      </w:r>
    </w:p>
    <w:p w:rsidR="003E06A6" w:rsidRPr="003E06A6" w:rsidRDefault="003E06A6" w:rsidP="006A09A9">
      <w:pPr>
        <w:rPr>
          <w:rFonts w:ascii="Times New Roman" w:hAnsi="Times New Roman"/>
          <w:sz w:val="26"/>
          <w:szCs w:val="26"/>
        </w:rPr>
      </w:pPr>
    </w:p>
    <w:p w:rsidR="0019237F" w:rsidRPr="0019237F" w:rsidRDefault="006A09A9" w:rsidP="006A09A9">
      <w:pPr>
        <w:rPr>
          <w:rFonts w:ascii="Times New Roman" w:hAnsi="Times New Roman"/>
          <w:sz w:val="26"/>
          <w:szCs w:val="26"/>
        </w:rPr>
      </w:pPr>
      <w:r w:rsidRPr="00876459">
        <w:rPr>
          <w:rFonts w:ascii="Times New Roman" w:hAnsi="Times New Roman"/>
          <w:sz w:val="26"/>
          <w:szCs w:val="26"/>
        </w:rPr>
        <w:tab/>
      </w:r>
      <w:r w:rsidRPr="00876459">
        <w:rPr>
          <w:rFonts w:ascii="Times New Roman" w:hAnsi="Times New Roman"/>
          <w:sz w:val="26"/>
          <w:szCs w:val="26"/>
        </w:rPr>
        <w:tab/>
        <w:t>Timely petitio</w:t>
      </w:r>
      <w:r w:rsidR="0048433E">
        <w:rPr>
          <w:rFonts w:ascii="Times New Roman" w:hAnsi="Times New Roman"/>
          <w:sz w:val="26"/>
          <w:szCs w:val="26"/>
        </w:rPr>
        <w:t xml:space="preserve">ns to intervene were filed by: </w:t>
      </w:r>
      <w:r w:rsidRPr="00876459">
        <w:rPr>
          <w:rFonts w:ascii="Times New Roman" w:hAnsi="Times New Roman"/>
          <w:sz w:val="26"/>
          <w:szCs w:val="26"/>
        </w:rPr>
        <w:t>(1)</w:t>
      </w:r>
      <w:r w:rsidR="000C2E6C">
        <w:rPr>
          <w:rFonts w:ascii="Times New Roman" w:hAnsi="Times New Roman"/>
          <w:sz w:val="26"/>
          <w:szCs w:val="26"/>
        </w:rPr>
        <w:t xml:space="preserve"> RESA; (2)</w:t>
      </w:r>
      <w:r w:rsidRPr="00876459">
        <w:rPr>
          <w:rFonts w:ascii="Times New Roman" w:hAnsi="Times New Roman"/>
          <w:sz w:val="26"/>
          <w:szCs w:val="26"/>
        </w:rPr>
        <w:t xml:space="preserve"> </w:t>
      </w:r>
      <w:r w:rsidR="000C2E6C">
        <w:rPr>
          <w:rFonts w:ascii="Times New Roman" w:hAnsi="Times New Roman"/>
          <w:sz w:val="26"/>
          <w:szCs w:val="26"/>
        </w:rPr>
        <w:t>PPLICA; (3</w:t>
      </w:r>
      <w:r w:rsidR="0048433E">
        <w:rPr>
          <w:rFonts w:ascii="Times New Roman" w:hAnsi="Times New Roman"/>
          <w:sz w:val="26"/>
          <w:szCs w:val="26"/>
        </w:rPr>
        <w:t>) </w:t>
      </w:r>
      <w:r w:rsidRPr="00876459">
        <w:rPr>
          <w:rFonts w:ascii="Times New Roman" w:hAnsi="Times New Roman"/>
          <w:sz w:val="26"/>
          <w:szCs w:val="26"/>
        </w:rPr>
        <w:t>Citizens for Pen</w:t>
      </w:r>
      <w:r w:rsidR="00876459">
        <w:rPr>
          <w:rFonts w:ascii="Times New Roman" w:hAnsi="Times New Roman"/>
          <w:sz w:val="26"/>
          <w:szCs w:val="26"/>
        </w:rPr>
        <w:t>nsylvania</w:t>
      </w:r>
      <w:r w:rsidR="00803C65">
        <w:rPr>
          <w:rFonts w:ascii="Times New Roman" w:hAnsi="Times New Roman"/>
          <w:sz w:val="26"/>
          <w:szCs w:val="26"/>
        </w:rPr>
        <w:t>’</w:t>
      </w:r>
      <w:r w:rsidR="00876459">
        <w:rPr>
          <w:rFonts w:ascii="Times New Roman" w:hAnsi="Times New Roman"/>
          <w:sz w:val="26"/>
          <w:szCs w:val="26"/>
        </w:rPr>
        <w:t>s Future (PennFuture);</w:t>
      </w:r>
      <w:r w:rsidR="000C2E6C">
        <w:rPr>
          <w:rFonts w:ascii="Times New Roman" w:hAnsi="Times New Roman"/>
          <w:sz w:val="26"/>
          <w:szCs w:val="26"/>
        </w:rPr>
        <w:t xml:space="preserve"> (4</w:t>
      </w:r>
      <w:r w:rsidRPr="00876459">
        <w:rPr>
          <w:rFonts w:ascii="Times New Roman" w:hAnsi="Times New Roman"/>
          <w:sz w:val="26"/>
          <w:szCs w:val="26"/>
        </w:rPr>
        <w:t>) the Coalition for Affordable Utility Services and Energy Effici</w:t>
      </w:r>
      <w:r w:rsidR="00876459">
        <w:rPr>
          <w:rFonts w:ascii="Times New Roman" w:hAnsi="Times New Roman"/>
          <w:sz w:val="26"/>
          <w:szCs w:val="26"/>
        </w:rPr>
        <w:t>ency in Pennsylvania (CAUSE-PA);</w:t>
      </w:r>
      <w:r w:rsidR="000C2E6C">
        <w:rPr>
          <w:rFonts w:ascii="Times New Roman" w:hAnsi="Times New Roman"/>
          <w:sz w:val="26"/>
          <w:szCs w:val="26"/>
        </w:rPr>
        <w:t xml:space="preserve"> (5</w:t>
      </w:r>
      <w:r w:rsidRPr="00876459">
        <w:rPr>
          <w:rFonts w:ascii="Times New Roman" w:hAnsi="Times New Roman"/>
          <w:sz w:val="26"/>
          <w:szCs w:val="26"/>
        </w:rPr>
        <w:t xml:space="preserve">) Direct Energy Services, LLC </w:t>
      </w:r>
      <w:r w:rsidR="00876459">
        <w:rPr>
          <w:rFonts w:ascii="Times New Roman" w:hAnsi="Times New Roman"/>
          <w:sz w:val="26"/>
          <w:szCs w:val="26"/>
        </w:rPr>
        <w:t>(Direct Energy);</w:t>
      </w:r>
      <w:r w:rsidR="000C2E6C">
        <w:rPr>
          <w:rFonts w:ascii="Times New Roman" w:hAnsi="Times New Roman"/>
          <w:sz w:val="26"/>
          <w:szCs w:val="26"/>
        </w:rPr>
        <w:t xml:space="preserve"> (6</w:t>
      </w:r>
      <w:r w:rsidRPr="00876459">
        <w:rPr>
          <w:rFonts w:ascii="Times New Roman" w:hAnsi="Times New Roman"/>
          <w:sz w:val="26"/>
          <w:szCs w:val="26"/>
        </w:rPr>
        <w:t xml:space="preserve">) Exelon </w:t>
      </w:r>
      <w:r w:rsidR="00876459">
        <w:rPr>
          <w:rFonts w:ascii="Times New Roman" w:hAnsi="Times New Roman"/>
          <w:sz w:val="26"/>
          <w:szCs w:val="26"/>
        </w:rPr>
        <w:t>Generation Company, LLC (ExGen);</w:t>
      </w:r>
      <w:r w:rsidR="000C2E6C">
        <w:rPr>
          <w:rFonts w:ascii="Times New Roman" w:hAnsi="Times New Roman"/>
          <w:sz w:val="26"/>
          <w:szCs w:val="26"/>
        </w:rPr>
        <w:t xml:space="preserve"> (7</w:t>
      </w:r>
      <w:r w:rsidR="0048433E">
        <w:rPr>
          <w:rFonts w:ascii="Times New Roman" w:hAnsi="Times New Roman"/>
          <w:sz w:val="26"/>
          <w:szCs w:val="26"/>
        </w:rPr>
        <w:t>) </w:t>
      </w:r>
      <w:r w:rsidRPr="00876459">
        <w:rPr>
          <w:rFonts w:ascii="Times New Roman" w:hAnsi="Times New Roman"/>
          <w:sz w:val="26"/>
          <w:szCs w:val="26"/>
        </w:rPr>
        <w:t>FirstEnergy Solutions Cor</w:t>
      </w:r>
      <w:r w:rsidR="00876459">
        <w:rPr>
          <w:rFonts w:ascii="Times New Roman" w:hAnsi="Times New Roman"/>
          <w:sz w:val="26"/>
          <w:szCs w:val="26"/>
        </w:rPr>
        <w:t>poration (FES);</w:t>
      </w:r>
      <w:r w:rsidR="000C2E6C">
        <w:rPr>
          <w:rFonts w:ascii="Times New Roman" w:hAnsi="Times New Roman"/>
          <w:sz w:val="26"/>
          <w:szCs w:val="26"/>
        </w:rPr>
        <w:t xml:space="preserve"> (8</w:t>
      </w:r>
      <w:r w:rsidRPr="00876459">
        <w:rPr>
          <w:rFonts w:ascii="Times New Roman" w:hAnsi="Times New Roman"/>
          <w:sz w:val="26"/>
          <w:szCs w:val="26"/>
        </w:rPr>
        <w:t>) NextEra Energy Power Marketing, LLC (NextEra)</w:t>
      </w:r>
      <w:r w:rsidR="00876459">
        <w:rPr>
          <w:rFonts w:ascii="Times New Roman" w:hAnsi="Times New Roman"/>
          <w:sz w:val="26"/>
          <w:szCs w:val="26"/>
        </w:rPr>
        <w:t>;</w:t>
      </w:r>
      <w:r w:rsidR="000C2E6C">
        <w:rPr>
          <w:rFonts w:ascii="Times New Roman" w:hAnsi="Times New Roman"/>
          <w:sz w:val="26"/>
          <w:szCs w:val="26"/>
        </w:rPr>
        <w:t xml:space="preserve"> (9</w:t>
      </w:r>
      <w:r w:rsidRPr="00876459">
        <w:rPr>
          <w:rFonts w:ascii="Times New Roman" w:hAnsi="Times New Roman"/>
          <w:sz w:val="26"/>
          <w:szCs w:val="26"/>
        </w:rPr>
        <w:t>) Noble Americas Energy Solutions, LLC (Noble Americas)</w:t>
      </w:r>
      <w:r w:rsidR="00876459">
        <w:rPr>
          <w:rFonts w:ascii="Times New Roman" w:hAnsi="Times New Roman"/>
          <w:sz w:val="26"/>
          <w:szCs w:val="26"/>
        </w:rPr>
        <w:t>;</w:t>
      </w:r>
      <w:r w:rsidR="000C2E6C">
        <w:rPr>
          <w:rFonts w:ascii="Times New Roman" w:hAnsi="Times New Roman"/>
          <w:sz w:val="26"/>
          <w:szCs w:val="26"/>
        </w:rPr>
        <w:t xml:space="preserve"> and (10</w:t>
      </w:r>
      <w:r w:rsidR="00876459" w:rsidRPr="0019237F">
        <w:rPr>
          <w:rFonts w:ascii="Times New Roman" w:hAnsi="Times New Roman"/>
          <w:sz w:val="26"/>
          <w:szCs w:val="26"/>
        </w:rPr>
        <w:t xml:space="preserve">) the Sustainable </w:t>
      </w:r>
      <w:r w:rsidR="000C2E6C">
        <w:rPr>
          <w:rFonts w:ascii="Times New Roman" w:hAnsi="Times New Roman"/>
          <w:sz w:val="26"/>
          <w:szCs w:val="26"/>
        </w:rPr>
        <w:t>Energy Fund (SEF)</w:t>
      </w:r>
      <w:r w:rsidR="0019237F" w:rsidRPr="0019237F">
        <w:rPr>
          <w:rFonts w:ascii="Times New Roman" w:hAnsi="Times New Roman"/>
          <w:sz w:val="26"/>
          <w:szCs w:val="26"/>
        </w:rPr>
        <w:t>.</w:t>
      </w:r>
    </w:p>
    <w:p w:rsidR="0019237F" w:rsidRPr="0019237F" w:rsidRDefault="0019237F" w:rsidP="006A09A9">
      <w:pPr>
        <w:rPr>
          <w:rFonts w:ascii="Times New Roman" w:hAnsi="Times New Roman"/>
          <w:sz w:val="26"/>
          <w:szCs w:val="26"/>
        </w:rPr>
      </w:pPr>
    </w:p>
    <w:p w:rsidR="006A09A9" w:rsidRPr="0019237F" w:rsidRDefault="0019237F" w:rsidP="006A09A9">
      <w:pPr>
        <w:rPr>
          <w:rFonts w:ascii="Times New Roman" w:hAnsi="Times New Roman"/>
          <w:sz w:val="26"/>
          <w:szCs w:val="26"/>
        </w:rPr>
      </w:pPr>
      <w:r w:rsidRPr="0019237F">
        <w:rPr>
          <w:rFonts w:ascii="Times New Roman" w:hAnsi="Times New Roman"/>
          <w:sz w:val="26"/>
          <w:szCs w:val="26"/>
        </w:rPr>
        <w:tab/>
      </w:r>
      <w:r w:rsidRPr="0019237F">
        <w:rPr>
          <w:rFonts w:ascii="Times New Roman" w:hAnsi="Times New Roman"/>
          <w:sz w:val="26"/>
          <w:szCs w:val="26"/>
        </w:rPr>
        <w:tab/>
        <w:t>A</w:t>
      </w:r>
      <w:r w:rsidR="006A09A9" w:rsidRPr="0019237F">
        <w:rPr>
          <w:rFonts w:ascii="Times New Roman" w:hAnsi="Times New Roman"/>
          <w:sz w:val="26"/>
          <w:szCs w:val="26"/>
        </w:rPr>
        <w:t xml:space="preserve"> prehearing conference was held as scheduled on June 5, 2014.  No </w:t>
      </w:r>
      <w:r w:rsidR="00991C93">
        <w:rPr>
          <w:rFonts w:ascii="Times New Roman" w:hAnsi="Times New Roman"/>
          <w:sz w:val="26"/>
          <w:szCs w:val="26"/>
        </w:rPr>
        <w:t>P</w:t>
      </w:r>
      <w:r w:rsidR="006A09A9" w:rsidRPr="0019237F">
        <w:rPr>
          <w:rFonts w:ascii="Times New Roman" w:hAnsi="Times New Roman"/>
          <w:sz w:val="26"/>
          <w:szCs w:val="26"/>
        </w:rPr>
        <w:t>arty objec</w:t>
      </w:r>
      <w:r w:rsidRPr="0019237F">
        <w:rPr>
          <w:rFonts w:ascii="Times New Roman" w:hAnsi="Times New Roman"/>
          <w:sz w:val="26"/>
          <w:szCs w:val="26"/>
        </w:rPr>
        <w:t>ted to any of the interventions</w:t>
      </w:r>
      <w:r w:rsidR="006A09A9" w:rsidRPr="0019237F">
        <w:rPr>
          <w:rFonts w:ascii="Times New Roman" w:hAnsi="Times New Roman"/>
          <w:sz w:val="26"/>
          <w:szCs w:val="26"/>
        </w:rPr>
        <w:t xml:space="preserve"> and all were granted in the Scheduling Order issued </w:t>
      </w:r>
      <w:r w:rsidR="00067AF0">
        <w:rPr>
          <w:rFonts w:ascii="Times New Roman" w:hAnsi="Times New Roman"/>
          <w:sz w:val="26"/>
          <w:szCs w:val="26"/>
        </w:rPr>
        <w:t xml:space="preserve">by the ALJ </w:t>
      </w:r>
      <w:r w:rsidR="006A09A9" w:rsidRPr="0019237F">
        <w:rPr>
          <w:rFonts w:ascii="Times New Roman" w:hAnsi="Times New Roman"/>
          <w:sz w:val="26"/>
          <w:szCs w:val="26"/>
        </w:rPr>
        <w:t xml:space="preserve">on June 6, 2014, which also adopted the litigation schedule agreed upon at the </w:t>
      </w:r>
      <w:r w:rsidR="006A09A9" w:rsidRPr="0019237F">
        <w:rPr>
          <w:rFonts w:ascii="Times New Roman" w:hAnsi="Times New Roman"/>
          <w:sz w:val="26"/>
          <w:szCs w:val="26"/>
        </w:rPr>
        <w:lastRenderedPageBreak/>
        <w:t>prehearing conference</w:t>
      </w:r>
      <w:r w:rsidRPr="0019237F">
        <w:rPr>
          <w:rFonts w:ascii="Times New Roman" w:hAnsi="Times New Roman"/>
          <w:sz w:val="26"/>
          <w:szCs w:val="26"/>
        </w:rPr>
        <w:t>,</w:t>
      </w:r>
      <w:r w:rsidR="006A09A9" w:rsidRPr="0019237F">
        <w:rPr>
          <w:rFonts w:ascii="Times New Roman" w:hAnsi="Times New Roman"/>
          <w:sz w:val="26"/>
          <w:szCs w:val="26"/>
        </w:rPr>
        <w:t xml:space="preserve"> and incorporated proposed modifications to the Commission</w:t>
      </w:r>
      <w:r w:rsidR="00803C65">
        <w:rPr>
          <w:rFonts w:ascii="Times New Roman" w:hAnsi="Times New Roman"/>
          <w:sz w:val="26"/>
          <w:szCs w:val="26"/>
        </w:rPr>
        <w:t>’</w:t>
      </w:r>
      <w:r w:rsidR="006A09A9" w:rsidRPr="0019237F">
        <w:rPr>
          <w:rFonts w:ascii="Times New Roman" w:hAnsi="Times New Roman"/>
          <w:sz w:val="26"/>
          <w:szCs w:val="26"/>
        </w:rPr>
        <w:t>s rules of discovery.</w:t>
      </w:r>
    </w:p>
    <w:p w:rsidR="006A09A9" w:rsidRPr="0019237F" w:rsidRDefault="006A09A9" w:rsidP="006A09A9">
      <w:pPr>
        <w:rPr>
          <w:rFonts w:ascii="Times New Roman" w:hAnsi="Times New Roman"/>
          <w:sz w:val="26"/>
          <w:szCs w:val="26"/>
        </w:rPr>
      </w:pPr>
    </w:p>
    <w:p w:rsidR="006A09A9" w:rsidRPr="00076EF7" w:rsidRDefault="004078C1" w:rsidP="006A09A9">
      <w:pPr>
        <w:rPr>
          <w:rFonts w:ascii="Times New Roman" w:hAnsi="Times New Roman"/>
          <w:sz w:val="26"/>
          <w:szCs w:val="26"/>
        </w:rPr>
      </w:pPr>
      <w:r w:rsidRPr="004078C1">
        <w:rPr>
          <w:rFonts w:ascii="Times New Roman" w:hAnsi="Times New Roman"/>
          <w:sz w:val="26"/>
          <w:szCs w:val="26"/>
        </w:rPr>
        <w:tab/>
      </w:r>
      <w:r w:rsidRPr="004078C1">
        <w:rPr>
          <w:rFonts w:ascii="Times New Roman" w:hAnsi="Times New Roman"/>
          <w:sz w:val="26"/>
          <w:szCs w:val="26"/>
        </w:rPr>
        <w:tab/>
        <w:t>On June 10, 2014, PPL filed a Motion for Protective O</w:t>
      </w:r>
      <w:r w:rsidR="006A09A9" w:rsidRPr="004078C1">
        <w:rPr>
          <w:rFonts w:ascii="Times New Roman" w:hAnsi="Times New Roman"/>
          <w:sz w:val="26"/>
          <w:szCs w:val="26"/>
        </w:rPr>
        <w:t xml:space="preserve">rder, which was issued </w:t>
      </w:r>
      <w:r w:rsidRPr="004078C1">
        <w:rPr>
          <w:rFonts w:ascii="Times New Roman" w:hAnsi="Times New Roman"/>
          <w:sz w:val="26"/>
          <w:szCs w:val="26"/>
        </w:rPr>
        <w:t xml:space="preserve">by the ALJ </w:t>
      </w:r>
      <w:r w:rsidR="006A09A9" w:rsidRPr="004078C1">
        <w:rPr>
          <w:rFonts w:ascii="Times New Roman" w:hAnsi="Times New Roman"/>
          <w:sz w:val="26"/>
          <w:szCs w:val="26"/>
        </w:rPr>
        <w:t xml:space="preserve">without objection on July 16, 2014.  A Revised Protective Order was issued on July 23, 2014, to </w:t>
      </w:r>
      <w:r w:rsidR="006A09A9" w:rsidRPr="00076EF7">
        <w:rPr>
          <w:rFonts w:ascii="Times New Roman" w:hAnsi="Times New Roman"/>
          <w:sz w:val="26"/>
          <w:szCs w:val="26"/>
        </w:rPr>
        <w:t>correct a typographical error.</w:t>
      </w:r>
    </w:p>
    <w:p w:rsidR="006A09A9" w:rsidRPr="00076EF7" w:rsidRDefault="006A09A9" w:rsidP="006A09A9">
      <w:pPr>
        <w:rPr>
          <w:rFonts w:ascii="Times New Roman" w:hAnsi="Times New Roman"/>
          <w:sz w:val="26"/>
          <w:szCs w:val="26"/>
        </w:rPr>
      </w:pPr>
    </w:p>
    <w:p w:rsidR="006A09A9" w:rsidRPr="006A09A9" w:rsidRDefault="006A09A9" w:rsidP="006A09A9">
      <w:pPr>
        <w:rPr>
          <w:rFonts w:ascii="Times New Roman" w:hAnsi="Times New Roman"/>
          <w:sz w:val="26"/>
          <w:szCs w:val="26"/>
          <w:highlight w:val="cyan"/>
        </w:rPr>
      </w:pPr>
      <w:r w:rsidRPr="00076EF7">
        <w:rPr>
          <w:rFonts w:ascii="Times New Roman" w:hAnsi="Times New Roman"/>
          <w:sz w:val="26"/>
          <w:szCs w:val="26"/>
        </w:rPr>
        <w:tab/>
      </w:r>
      <w:r w:rsidRPr="00076EF7">
        <w:rPr>
          <w:rFonts w:ascii="Times New Roman" w:hAnsi="Times New Roman"/>
          <w:sz w:val="26"/>
          <w:szCs w:val="26"/>
        </w:rPr>
        <w:tab/>
        <w:t xml:space="preserve">The </w:t>
      </w:r>
      <w:r w:rsidR="00991C93">
        <w:rPr>
          <w:rFonts w:ascii="Times New Roman" w:hAnsi="Times New Roman"/>
          <w:sz w:val="26"/>
          <w:szCs w:val="26"/>
        </w:rPr>
        <w:t>P</w:t>
      </w:r>
      <w:r w:rsidRPr="00076EF7">
        <w:rPr>
          <w:rFonts w:ascii="Times New Roman" w:hAnsi="Times New Roman"/>
          <w:sz w:val="26"/>
          <w:szCs w:val="26"/>
        </w:rPr>
        <w:t xml:space="preserve">arties submitted prepared testimony according to the schedule set forth in the Scheduling Order.  Shortly before the scheduled </w:t>
      </w:r>
      <w:r w:rsidR="00076EF7" w:rsidRPr="00076EF7">
        <w:rPr>
          <w:rFonts w:ascii="Times New Roman" w:hAnsi="Times New Roman"/>
          <w:sz w:val="26"/>
          <w:szCs w:val="26"/>
        </w:rPr>
        <w:t xml:space="preserve">hearing, the </w:t>
      </w:r>
      <w:r w:rsidR="00991C93">
        <w:rPr>
          <w:rFonts w:ascii="Times New Roman" w:hAnsi="Times New Roman"/>
          <w:sz w:val="26"/>
          <w:szCs w:val="26"/>
        </w:rPr>
        <w:t>P</w:t>
      </w:r>
      <w:r w:rsidR="00076EF7" w:rsidRPr="00076EF7">
        <w:rPr>
          <w:rFonts w:ascii="Times New Roman" w:hAnsi="Times New Roman"/>
          <w:sz w:val="26"/>
          <w:szCs w:val="26"/>
        </w:rPr>
        <w:t>arties informed the ALJ</w:t>
      </w:r>
      <w:r w:rsidR="00067AF0">
        <w:rPr>
          <w:rFonts w:ascii="Times New Roman" w:hAnsi="Times New Roman"/>
          <w:sz w:val="26"/>
          <w:szCs w:val="26"/>
        </w:rPr>
        <w:t xml:space="preserve"> that they had achieved a </w:t>
      </w:r>
      <w:r w:rsidRPr="00076EF7">
        <w:rPr>
          <w:rFonts w:ascii="Times New Roman" w:hAnsi="Times New Roman"/>
          <w:sz w:val="26"/>
          <w:szCs w:val="26"/>
        </w:rPr>
        <w:t>settlem</w:t>
      </w:r>
      <w:r w:rsidR="00991C93">
        <w:rPr>
          <w:rFonts w:ascii="Times New Roman" w:hAnsi="Times New Roman"/>
          <w:sz w:val="26"/>
          <w:szCs w:val="26"/>
        </w:rPr>
        <w:t>ent on almost all issues.  All P</w:t>
      </w:r>
      <w:r w:rsidRPr="00076EF7">
        <w:rPr>
          <w:rFonts w:ascii="Times New Roman" w:hAnsi="Times New Roman"/>
          <w:sz w:val="26"/>
          <w:szCs w:val="26"/>
        </w:rPr>
        <w:t>arties waived cro</w:t>
      </w:r>
      <w:r w:rsidR="00076EF7" w:rsidRPr="00076EF7">
        <w:rPr>
          <w:rFonts w:ascii="Times New Roman" w:hAnsi="Times New Roman"/>
          <w:sz w:val="26"/>
          <w:szCs w:val="26"/>
        </w:rPr>
        <w:t>ss-examination of all witnesses</w:t>
      </w:r>
      <w:r w:rsidRPr="00076EF7">
        <w:rPr>
          <w:rFonts w:ascii="Times New Roman" w:hAnsi="Times New Roman"/>
          <w:sz w:val="26"/>
          <w:szCs w:val="26"/>
        </w:rPr>
        <w:t xml:space="preserve"> and the hearing was held</w:t>
      </w:r>
      <w:r w:rsidR="00006419">
        <w:rPr>
          <w:rFonts w:ascii="Times New Roman" w:hAnsi="Times New Roman"/>
          <w:sz w:val="26"/>
          <w:szCs w:val="26"/>
        </w:rPr>
        <w:t xml:space="preserve"> on August 19, 2014</w:t>
      </w:r>
      <w:r w:rsidR="00991C93">
        <w:rPr>
          <w:rFonts w:ascii="Times New Roman" w:hAnsi="Times New Roman"/>
          <w:sz w:val="26"/>
          <w:szCs w:val="26"/>
        </w:rPr>
        <w:t>,</w:t>
      </w:r>
      <w:r w:rsidRPr="00076EF7">
        <w:rPr>
          <w:rFonts w:ascii="Times New Roman" w:hAnsi="Times New Roman"/>
          <w:sz w:val="26"/>
          <w:szCs w:val="26"/>
        </w:rPr>
        <w:t xml:space="preserve"> to accept th</w:t>
      </w:r>
      <w:r w:rsidR="00067AF0">
        <w:rPr>
          <w:rFonts w:ascii="Times New Roman" w:hAnsi="Times New Roman"/>
          <w:sz w:val="26"/>
          <w:szCs w:val="26"/>
        </w:rPr>
        <w:t xml:space="preserve">e prepared testimony, exhibits, </w:t>
      </w:r>
      <w:r w:rsidRPr="00076EF7">
        <w:rPr>
          <w:rFonts w:ascii="Times New Roman" w:hAnsi="Times New Roman"/>
          <w:sz w:val="26"/>
          <w:szCs w:val="26"/>
        </w:rPr>
        <w:t>and verifications or affidav</w:t>
      </w:r>
      <w:r w:rsidR="00006419">
        <w:rPr>
          <w:rFonts w:ascii="Times New Roman" w:hAnsi="Times New Roman"/>
          <w:sz w:val="26"/>
          <w:szCs w:val="26"/>
        </w:rPr>
        <w:t>its into the record</w:t>
      </w:r>
      <w:r w:rsidR="00AC12E2">
        <w:rPr>
          <w:rFonts w:ascii="Times New Roman" w:hAnsi="Times New Roman"/>
          <w:sz w:val="26"/>
          <w:szCs w:val="26"/>
        </w:rPr>
        <w:t>.</w:t>
      </w:r>
      <w:r w:rsidRPr="006A09A9">
        <w:rPr>
          <w:rFonts w:ascii="Times New Roman" w:hAnsi="Times New Roman"/>
          <w:sz w:val="26"/>
          <w:szCs w:val="26"/>
          <w:highlight w:val="cyan"/>
        </w:rPr>
        <w:t xml:space="preserve"> </w:t>
      </w:r>
    </w:p>
    <w:p w:rsidR="006A09A9" w:rsidRPr="00173DED" w:rsidRDefault="006A09A9" w:rsidP="006A09A9">
      <w:pPr>
        <w:rPr>
          <w:rFonts w:ascii="Times New Roman" w:hAnsi="Times New Roman"/>
          <w:sz w:val="26"/>
          <w:szCs w:val="26"/>
        </w:rPr>
      </w:pPr>
    </w:p>
    <w:p w:rsidR="00E1211C" w:rsidRDefault="00173DED" w:rsidP="006A09A9">
      <w:pPr>
        <w:rPr>
          <w:rFonts w:ascii="Times New Roman" w:hAnsi="Times New Roman"/>
          <w:sz w:val="26"/>
          <w:szCs w:val="26"/>
        </w:rPr>
      </w:pPr>
      <w:r w:rsidRPr="00173DED">
        <w:rPr>
          <w:rFonts w:ascii="Times New Roman" w:hAnsi="Times New Roman"/>
          <w:sz w:val="26"/>
          <w:szCs w:val="26"/>
        </w:rPr>
        <w:tab/>
      </w:r>
      <w:r w:rsidRPr="00173DED">
        <w:rPr>
          <w:rFonts w:ascii="Times New Roman" w:hAnsi="Times New Roman"/>
          <w:sz w:val="26"/>
          <w:szCs w:val="26"/>
        </w:rPr>
        <w:tab/>
        <w:t>On</w:t>
      </w:r>
      <w:r>
        <w:rPr>
          <w:rFonts w:ascii="Times New Roman" w:hAnsi="Times New Roman"/>
          <w:sz w:val="26"/>
          <w:szCs w:val="26"/>
        </w:rPr>
        <w:t xml:space="preserve"> September 12, 2014, a Joint Petition for Approval of Partial Settlement (Partial Settlement) was filed by PPL, OCA, OSBA, PPLICA, CAUSE-PA, SEF, PennFuture, NextEra, RESA, and ExGen (collectively, </w:t>
      </w:r>
      <w:r w:rsidR="00772671">
        <w:rPr>
          <w:rFonts w:ascii="Times New Roman" w:hAnsi="Times New Roman"/>
          <w:sz w:val="26"/>
          <w:szCs w:val="26"/>
        </w:rPr>
        <w:t>Signatory Parties).</w:t>
      </w:r>
      <w:r w:rsidR="008B0164">
        <w:rPr>
          <w:rFonts w:ascii="Times New Roman" w:hAnsi="Times New Roman"/>
          <w:sz w:val="26"/>
          <w:szCs w:val="26"/>
        </w:rPr>
        <w:t xml:space="preserve">  The Signatory Parties also filed individual Statements in Support of the Partial Settlement, which were attached to the Partial Settlement as </w:t>
      </w:r>
      <w:r w:rsidR="00B071EA">
        <w:rPr>
          <w:rFonts w:ascii="Times New Roman" w:hAnsi="Times New Roman"/>
          <w:sz w:val="26"/>
          <w:szCs w:val="26"/>
        </w:rPr>
        <w:t>Appendices B through K.</w:t>
      </w:r>
      <w:r w:rsidR="00342CD9">
        <w:rPr>
          <w:rStyle w:val="FootnoteReference"/>
          <w:rFonts w:ascii="Times New Roman" w:hAnsi="Times New Roman"/>
          <w:sz w:val="26"/>
          <w:szCs w:val="26"/>
        </w:rPr>
        <w:footnoteReference w:id="1"/>
      </w:r>
    </w:p>
    <w:p w:rsidR="00E1211C" w:rsidRDefault="00E1211C" w:rsidP="006A09A9">
      <w:pPr>
        <w:rPr>
          <w:rFonts w:ascii="Times New Roman" w:hAnsi="Times New Roman"/>
          <w:sz w:val="26"/>
          <w:szCs w:val="26"/>
        </w:rPr>
      </w:pPr>
    </w:p>
    <w:p w:rsidR="008B0164" w:rsidRDefault="00E1211C" w:rsidP="006A09A9">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A435BC">
        <w:rPr>
          <w:rFonts w:ascii="Times New Roman" w:hAnsi="Times New Roman"/>
          <w:sz w:val="26"/>
          <w:szCs w:val="26"/>
        </w:rPr>
        <w:t xml:space="preserve">Also on September 12, 2014, </w:t>
      </w:r>
      <w:r>
        <w:rPr>
          <w:rFonts w:ascii="Times New Roman" w:hAnsi="Times New Roman"/>
          <w:sz w:val="26"/>
          <w:szCs w:val="26"/>
        </w:rPr>
        <w:t>Main Briefs on the outstanding issues were filed by PPL, OSBA, PPLICA</w:t>
      </w:r>
      <w:r w:rsidRPr="00E1211C">
        <w:rPr>
          <w:rFonts w:ascii="Times New Roman" w:hAnsi="Times New Roman"/>
          <w:sz w:val="26"/>
          <w:szCs w:val="26"/>
        </w:rPr>
        <w:t>, RESA, and Noble Americas.  Reply Briefs were filed on September 26, 2014 by PPL, OSBA, PPLICA, RESA, and ExGen</w:t>
      </w:r>
      <w:r>
        <w:rPr>
          <w:rFonts w:ascii="Times New Roman" w:hAnsi="Times New Roman"/>
          <w:sz w:val="26"/>
          <w:szCs w:val="26"/>
        </w:rPr>
        <w:t>.</w:t>
      </w:r>
      <w:r w:rsidR="002022B7">
        <w:rPr>
          <w:rFonts w:ascii="Times New Roman" w:hAnsi="Times New Roman"/>
          <w:sz w:val="26"/>
          <w:szCs w:val="26"/>
        </w:rPr>
        <w:t xml:space="preserve">  The record closed with the filing of the Reply Briefs.</w:t>
      </w:r>
    </w:p>
    <w:p w:rsidR="00CD262A" w:rsidRDefault="00CD262A" w:rsidP="006A09A9">
      <w:pPr>
        <w:rPr>
          <w:rFonts w:ascii="Times New Roman" w:hAnsi="Times New Roman"/>
          <w:sz w:val="26"/>
          <w:szCs w:val="26"/>
        </w:rPr>
      </w:pPr>
    </w:p>
    <w:p w:rsidR="00945C17" w:rsidRPr="003355C9" w:rsidRDefault="00CD262A" w:rsidP="006A09A9">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On October 30, 2014, the </w:t>
      </w:r>
      <w:r w:rsidRPr="003355C9">
        <w:rPr>
          <w:rFonts w:ascii="Times New Roman" w:hAnsi="Times New Roman"/>
          <w:sz w:val="26"/>
          <w:szCs w:val="26"/>
        </w:rPr>
        <w:t xml:space="preserve">Commission issued the Recommended Decision of ALJ Colwell, </w:t>
      </w:r>
      <w:r w:rsidR="006C6ABD" w:rsidRPr="003355C9">
        <w:rPr>
          <w:rFonts w:ascii="Times New Roman" w:hAnsi="Times New Roman"/>
          <w:sz w:val="26"/>
          <w:szCs w:val="26"/>
        </w:rPr>
        <w:t xml:space="preserve">which recommended, </w:t>
      </w:r>
      <w:r w:rsidR="006C6ABD" w:rsidRPr="003355C9">
        <w:rPr>
          <w:rFonts w:ascii="Times New Roman" w:hAnsi="Times New Roman"/>
          <w:i/>
          <w:sz w:val="26"/>
          <w:szCs w:val="26"/>
        </w:rPr>
        <w:t>inter alia</w:t>
      </w:r>
      <w:r w:rsidR="00E428E5" w:rsidRPr="00E428E5">
        <w:rPr>
          <w:rFonts w:ascii="Times New Roman" w:hAnsi="Times New Roman"/>
          <w:sz w:val="26"/>
          <w:szCs w:val="26"/>
        </w:rPr>
        <w:t>:</w:t>
      </w:r>
      <w:r w:rsidR="003355C9" w:rsidRPr="003355C9">
        <w:rPr>
          <w:rFonts w:ascii="Times New Roman" w:hAnsi="Times New Roman"/>
          <w:sz w:val="26"/>
          <w:szCs w:val="26"/>
        </w:rPr>
        <w:t xml:space="preserve"> </w:t>
      </w:r>
      <w:r w:rsidR="00945C17" w:rsidRPr="003355C9">
        <w:rPr>
          <w:rFonts w:ascii="Times New Roman" w:hAnsi="Times New Roman"/>
          <w:sz w:val="26"/>
          <w:szCs w:val="26"/>
        </w:rPr>
        <w:t xml:space="preserve">1) approval of </w:t>
      </w:r>
      <w:r w:rsidR="003355C9" w:rsidRPr="003355C9">
        <w:rPr>
          <w:rFonts w:ascii="Times New Roman" w:hAnsi="Times New Roman"/>
          <w:sz w:val="26"/>
          <w:szCs w:val="26"/>
        </w:rPr>
        <w:t xml:space="preserve"> PPL</w:t>
      </w:r>
      <w:r w:rsidR="00803C65">
        <w:rPr>
          <w:rFonts w:ascii="Times New Roman" w:hAnsi="Times New Roman"/>
          <w:sz w:val="26"/>
          <w:szCs w:val="26"/>
        </w:rPr>
        <w:t>’</w:t>
      </w:r>
      <w:r w:rsidR="003355C9" w:rsidRPr="003355C9">
        <w:rPr>
          <w:rFonts w:ascii="Times New Roman" w:hAnsi="Times New Roman"/>
          <w:sz w:val="26"/>
          <w:szCs w:val="26"/>
        </w:rPr>
        <w:t xml:space="preserve">s DSP III as modified by </w:t>
      </w:r>
      <w:r w:rsidR="00945C17" w:rsidRPr="003355C9">
        <w:rPr>
          <w:rFonts w:ascii="Times New Roman" w:hAnsi="Times New Roman"/>
          <w:sz w:val="26"/>
          <w:szCs w:val="26"/>
        </w:rPr>
        <w:t>the Partial Settlemen</w:t>
      </w:r>
      <w:r w:rsidR="003355C9" w:rsidRPr="003355C9">
        <w:rPr>
          <w:rFonts w:ascii="Times New Roman" w:hAnsi="Times New Roman"/>
          <w:sz w:val="26"/>
          <w:szCs w:val="26"/>
        </w:rPr>
        <w:t>t</w:t>
      </w:r>
      <w:r w:rsidR="00945C17" w:rsidRPr="003355C9">
        <w:rPr>
          <w:rFonts w:ascii="Times New Roman" w:hAnsi="Times New Roman"/>
          <w:sz w:val="26"/>
          <w:szCs w:val="26"/>
        </w:rPr>
        <w:t>; (2) denial of PPL</w:t>
      </w:r>
      <w:r w:rsidR="00803C65">
        <w:rPr>
          <w:rFonts w:ascii="Times New Roman" w:hAnsi="Times New Roman"/>
          <w:sz w:val="26"/>
          <w:szCs w:val="26"/>
        </w:rPr>
        <w:t>’</w:t>
      </w:r>
      <w:r w:rsidR="00945C17" w:rsidRPr="003355C9">
        <w:rPr>
          <w:rFonts w:ascii="Times New Roman" w:hAnsi="Times New Roman"/>
          <w:sz w:val="26"/>
          <w:szCs w:val="26"/>
        </w:rPr>
        <w:t>s proposal to change the customer size demarcation between Small Commercial and Industrial</w:t>
      </w:r>
      <w:r w:rsidR="003B331B">
        <w:rPr>
          <w:rFonts w:ascii="Times New Roman" w:hAnsi="Times New Roman"/>
          <w:sz w:val="26"/>
          <w:szCs w:val="26"/>
        </w:rPr>
        <w:t xml:space="preserve"> (Small C&amp;I)</w:t>
      </w:r>
      <w:r w:rsidR="00945C17" w:rsidRPr="003355C9">
        <w:rPr>
          <w:rFonts w:ascii="Times New Roman" w:hAnsi="Times New Roman"/>
          <w:sz w:val="26"/>
          <w:szCs w:val="26"/>
        </w:rPr>
        <w:t xml:space="preserve"> and Large Commercial and Industrial </w:t>
      </w:r>
      <w:r w:rsidR="003B331B">
        <w:rPr>
          <w:rFonts w:ascii="Times New Roman" w:hAnsi="Times New Roman"/>
          <w:sz w:val="26"/>
          <w:szCs w:val="26"/>
        </w:rPr>
        <w:t xml:space="preserve">(Large C&amp;I) </w:t>
      </w:r>
      <w:r w:rsidR="00945C17" w:rsidRPr="003355C9">
        <w:rPr>
          <w:rFonts w:ascii="Times New Roman" w:hAnsi="Times New Roman"/>
          <w:sz w:val="26"/>
          <w:szCs w:val="26"/>
        </w:rPr>
        <w:t xml:space="preserve">customers; and (3) </w:t>
      </w:r>
      <w:r w:rsidR="00945C17" w:rsidRPr="003B331B">
        <w:rPr>
          <w:rFonts w:ascii="Times New Roman" w:hAnsi="Times New Roman"/>
          <w:sz w:val="26"/>
          <w:szCs w:val="26"/>
        </w:rPr>
        <w:t xml:space="preserve">denial of </w:t>
      </w:r>
      <w:r w:rsidR="00051CC3" w:rsidRPr="003B331B">
        <w:rPr>
          <w:rFonts w:ascii="Times New Roman" w:hAnsi="Times New Roman"/>
          <w:sz w:val="26"/>
          <w:szCs w:val="26"/>
        </w:rPr>
        <w:t>a</w:t>
      </w:r>
      <w:r w:rsidR="00945C17" w:rsidRPr="003B331B">
        <w:rPr>
          <w:rFonts w:ascii="Times New Roman" w:hAnsi="Times New Roman"/>
          <w:sz w:val="26"/>
          <w:szCs w:val="26"/>
        </w:rPr>
        <w:t xml:space="preserve"> proposa</w:t>
      </w:r>
      <w:r w:rsidR="003355C9" w:rsidRPr="003B331B">
        <w:rPr>
          <w:rFonts w:ascii="Times New Roman" w:hAnsi="Times New Roman"/>
          <w:sz w:val="26"/>
          <w:szCs w:val="26"/>
        </w:rPr>
        <w:t xml:space="preserve">l to require PPL to assume </w:t>
      </w:r>
      <w:r w:rsidR="00945C17" w:rsidRPr="003B331B">
        <w:rPr>
          <w:rFonts w:ascii="Times New Roman" w:hAnsi="Times New Roman"/>
          <w:sz w:val="26"/>
          <w:szCs w:val="26"/>
        </w:rPr>
        <w:t>responsibility for non-market-based</w:t>
      </w:r>
      <w:r w:rsidR="004D405C" w:rsidRPr="003B331B">
        <w:rPr>
          <w:rFonts w:ascii="Times New Roman" w:hAnsi="Times New Roman"/>
          <w:sz w:val="26"/>
          <w:szCs w:val="26"/>
        </w:rPr>
        <w:t xml:space="preserve"> (NMB)</w:t>
      </w:r>
      <w:r w:rsidR="00945C17" w:rsidRPr="003B331B">
        <w:rPr>
          <w:rFonts w:ascii="Times New Roman" w:hAnsi="Times New Roman"/>
          <w:sz w:val="26"/>
          <w:szCs w:val="26"/>
        </w:rPr>
        <w:t xml:space="preserve"> transmission</w:t>
      </w:r>
      <w:r w:rsidR="003B331B" w:rsidRPr="003B331B">
        <w:rPr>
          <w:rFonts w:ascii="Times New Roman" w:hAnsi="Times New Roman"/>
          <w:sz w:val="26"/>
          <w:szCs w:val="26"/>
        </w:rPr>
        <w:t>-related</w:t>
      </w:r>
      <w:r w:rsidR="003B331B">
        <w:rPr>
          <w:rFonts w:ascii="Times New Roman" w:hAnsi="Times New Roman"/>
          <w:sz w:val="26"/>
          <w:szCs w:val="26"/>
        </w:rPr>
        <w:t xml:space="preserve"> costs for</w:t>
      </w:r>
      <w:r w:rsidR="00945C17" w:rsidRPr="003B331B">
        <w:rPr>
          <w:rFonts w:ascii="Times New Roman" w:hAnsi="Times New Roman"/>
          <w:sz w:val="26"/>
          <w:szCs w:val="26"/>
        </w:rPr>
        <w:t xml:space="preserve"> all load on its system, and to recover those costs through a</w:t>
      </w:r>
      <w:r w:rsidR="00945C17" w:rsidRPr="003355C9">
        <w:rPr>
          <w:rFonts w:ascii="Times New Roman" w:hAnsi="Times New Roman"/>
          <w:sz w:val="26"/>
          <w:szCs w:val="26"/>
        </w:rPr>
        <w:t xml:space="preserve"> non-bypassable surcharge from all distribution customers.</w:t>
      </w:r>
      <w:r w:rsidR="003355C9" w:rsidRPr="003355C9">
        <w:rPr>
          <w:rFonts w:ascii="Times New Roman" w:hAnsi="Times New Roman"/>
          <w:sz w:val="26"/>
          <w:szCs w:val="26"/>
        </w:rPr>
        <w:t xml:space="preserve">  R.D. at 55.</w:t>
      </w:r>
    </w:p>
    <w:p w:rsidR="00311EB6" w:rsidRPr="00051CC3" w:rsidRDefault="00311EB6" w:rsidP="00D26D41">
      <w:pPr>
        <w:rPr>
          <w:rFonts w:ascii="Times New Roman" w:hAnsi="Times New Roman"/>
          <w:sz w:val="26"/>
          <w:szCs w:val="26"/>
        </w:rPr>
      </w:pPr>
    </w:p>
    <w:p w:rsidR="00B82A7C" w:rsidRPr="0095323E" w:rsidRDefault="00311EB6" w:rsidP="00D26D41">
      <w:pPr>
        <w:rPr>
          <w:rFonts w:ascii="Times New Roman" w:hAnsi="Times New Roman"/>
          <w:sz w:val="26"/>
          <w:szCs w:val="26"/>
        </w:rPr>
      </w:pPr>
      <w:r w:rsidRPr="00051CC3">
        <w:rPr>
          <w:rFonts w:ascii="Times New Roman" w:hAnsi="Times New Roman"/>
          <w:sz w:val="26"/>
          <w:szCs w:val="26"/>
        </w:rPr>
        <w:tab/>
      </w:r>
      <w:r w:rsidRPr="00051CC3">
        <w:rPr>
          <w:rFonts w:ascii="Times New Roman" w:hAnsi="Times New Roman"/>
          <w:sz w:val="26"/>
          <w:szCs w:val="26"/>
        </w:rPr>
        <w:tab/>
      </w:r>
      <w:r w:rsidRPr="0095323E">
        <w:rPr>
          <w:rFonts w:ascii="Times New Roman" w:hAnsi="Times New Roman"/>
          <w:sz w:val="26"/>
          <w:szCs w:val="26"/>
        </w:rPr>
        <w:t>As noted</w:t>
      </w:r>
      <w:r w:rsidR="0095323E">
        <w:rPr>
          <w:rFonts w:ascii="Times New Roman" w:hAnsi="Times New Roman"/>
          <w:sz w:val="26"/>
          <w:szCs w:val="26"/>
        </w:rPr>
        <w:t xml:space="preserve"> above</w:t>
      </w:r>
      <w:r w:rsidRPr="0095323E">
        <w:rPr>
          <w:rFonts w:ascii="Times New Roman" w:hAnsi="Times New Roman"/>
          <w:sz w:val="26"/>
          <w:szCs w:val="26"/>
        </w:rPr>
        <w:t>, Exceptions were filed by</w:t>
      </w:r>
      <w:r w:rsidR="00051CC3" w:rsidRPr="0095323E">
        <w:rPr>
          <w:rFonts w:ascii="Times New Roman" w:hAnsi="Times New Roman"/>
          <w:sz w:val="26"/>
          <w:szCs w:val="26"/>
        </w:rPr>
        <w:t xml:space="preserve"> PPL and RESA on November 19</w:t>
      </w:r>
      <w:r w:rsidRPr="0095323E">
        <w:rPr>
          <w:rFonts w:ascii="Times New Roman" w:hAnsi="Times New Roman"/>
          <w:sz w:val="26"/>
          <w:szCs w:val="26"/>
        </w:rPr>
        <w:t xml:space="preserve">, 2014.  </w:t>
      </w:r>
      <w:r w:rsidR="00051CC3" w:rsidRPr="0095323E">
        <w:rPr>
          <w:rFonts w:ascii="Times New Roman" w:hAnsi="Times New Roman"/>
          <w:sz w:val="26"/>
          <w:szCs w:val="26"/>
        </w:rPr>
        <w:t>Replies to Exceptions were filed by</w:t>
      </w:r>
      <w:r w:rsidR="0095323E" w:rsidRPr="0095323E">
        <w:rPr>
          <w:rFonts w:ascii="Times New Roman" w:hAnsi="Times New Roman"/>
          <w:sz w:val="26"/>
          <w:szCs w:val="26"/>
        </w:rPr>
        <w:t xml:space="preserve"> PPL, OSBA, and PPLICA </w:t>
      </w:r>
      <w:r w:rsidR="00051CC3" w:rsidRPr="0095323E">
        <w:rPr>
          <w:rFonts w:ascii="Times New Roman" w:hAnsi="Times New Roman"/>
          <w:sz w:val="26"/>
          <w:szCs w:val="26"/>
        </w:rPr>
        <w:t>on December 1, 2014.</w:t>
      </w:r>
    </w:p>
    <w:p w:rsidR="00051CC3" w:rsidRPr="0095323E" w:rsidRDefault="00051CC3" w:rsidP="00D26D41">
      <w:pPr>
        <w:rPr>
          <w:rFonts w:ascii="Times New Roman" w:hAnsi="Times New Roman"/>
          <w:sz w:val="26"/>
          <w:szCs w:val="26"/>
        </w:rPr>
      </w:pPr>
    </w:p>
    <w:p w:rsidR="00B82A7C" w:rsidRPr="0095323E" w:rsidRDefault="00B82A7C" w:rsidP="00D26D41">
      <w:pPr>
        <w:keepNext/>
        <w:jc w:val="center"/>
        <w:rPr>
          <w:rFonts w:ascii="Times New Roman" w:hAnsi="Times New Roman"/>
          <w:b/>
          <w:sz w:val="26"/>
          <w:szCs w:val="26"/>
        </w:rPr>
      </w:pPr>
      <w:r w:rsidRPr="0095323E">
        <w:rPr>
          <w:rFonts w:ascii="Times New Roman" w:hAnsi="Times New Roman"/>
          <w:b/>
          <w:sz w:val="26"/>
          <w:szCs w:val="26"/>
        </w:rPr>
        <w:t>II.</w:t>
      </w:r>
      <w:r w:rsidRPr="0095323E">
        <w:rPr>
          <w:rFonts w:ascii="Times New Roman" w:hAnsi="Times New Roman"/>
          <w:b/>
          <w:sz w:val="26"/>
          <w:szCs w:val="26"/>
        </w:rPr>
        <w:tab/>
      </w:r>
      <w:r w:rsidR="00EE5822" w:rsidRPr="0095323E">
        <w:rPr>
          <w:rFonts w:ascii="Times New Roman" w:hAnsi="Times New Roman"/>
          <w:b/>
          <w:sz w:val="26"/>
          <w:szCs w:val="26"/>
        </w:rPr>
        <w:t>Legal Standards</w:t>
      </w:r>
    </w:p>
    <w:p w:rsidR="001641B6" w:rsidRPr="0095323E" w:rsidRDefault="001641B6" w:rsidP="001641B6">
      <w:pPr>
        <w:keepNext/>
        <w:rPr>
          <w:rFonts w:ascii="Times New Roman" w:hAnsi="Times New Roman"/>
          <w:sz w:val="26"/>
          <w:szCs w:val="26"/>
        </w:rPr>
      </w:pPr>
    </w:p>
    <w:p w:rsidR="0060113C" w:rsidRPr="0067710C" w:rsidRDefault="001641B6" w:rsidP="001641B6">
      <w:pPr>
        <w:rPr>
          <w:rFonts w:ascii="Times New Roman" w:hAnsi="Times New Roman"/>
          <w:b/>
          <w:sz w:val="26"/>
          <w:szCs w:val="26"/>
        </w:rPr>
      </w:pPr>
      <w:r w:rsidRPr="0095323E">
        <w:rPr>
          <w:rFonts w:ascii="Times New Roman" w:hAnsi="Times New Roman"/>
          <w:b/>
          <w:sz w:val="26"/>
          <w:szCs w:val="26"/>
        </w:rPr>
        <w:t>A.</w:t>
      </w:r>
      <w:r w:rsidRPr="0095323E">
        <w:rPr>
          <w:rFonts w:ascii="Times New Roman" w:hAnsi="Times New Roman"/>
          <w:b/>
          <w:sz w:val="26"/>
          <w:szCs w:val="26"/>
        </w:rPr>
        <w:tab/>
        <w:t>Burden of</w:t>
      </w:r>
      <w:r w:rsidRPr="0067710C">
        <w:rPr>
          <w:rFonts w:ascii="Times New Roman" w:hAnsi="Times New Roman"/>
          <w:b/>
          <w:sz w:val="26"/>
          <w:szCs w:val="26"/>
        </w:rPr>
        <w:t xml:space="preserve"> Proof</w:t>
      </w:r>
    </w:p>
    <w:p w:rsidR="001641B6" w:rsidRPr="0067710C" w:rsidRDefault="001641B6" w:rsidP="001641B6">
      <w:pPr>
        <w:rPr>
          <w:rFonts w:ascii="Times New Roman" w:hAnsi="Times New Roman"/>
          <w:sz w:val="26"/>
          <w:szCs w:val="26"/>
        </w:rPr>
      </w:pPr>
    </w:p>
    <w:p w:rsidR="0067710C" w:rsidRPr="0067710C" w:rsidRDefault="001641B6" w:rsidP="001641B6">
      <w:pPr>
        <w:rPr>
          <w:rFonts w:ascii="Times New Roman" w:hAnsi="Times New Roman"/>
          <w:color w:val="000000"/>
          <w:sz w:val="26"/>
          <w:szCs w:val="26"/>
        </w:rPr>
      </w:pPr>
      <w:r w:rsidRPr="0067710C">
        <w:rPr>
          <w:rFonts w:ascii="Times New Roman" w:hAnsi="Times New Roman"/>
          <w:sz w:val="26"/>
          <w:szCs w:val="26"/>
        </w:rPr>
        <w:tab/>
      </w:r>
      <w:r w:rsidRPr="0067710C">
        <w:rPr>
          <w:rFonts w:ascii="Times New Roman" w:hAnsi="Times New Roman"/>
          <w:sz w:val="26"/>
          <w:szCs w:val="26"/>
        </w:rPr>
        <w:tab/>
      </w:r>
      <w:r w:rsidRPr="0067710C">
        <w:rPr>
          <w:rFonts w:ascii="Times New Roman" w:hAnsi="Times New Roman"/>
          <w:color w:val="000000"/>
          <w:sz w:val="26"/>
          <w:szCs w:val="26"/>
        </w:rPr>
        <w:t xml:space="preserve">The Company has the burden of proof in this proceeding to establish that it is entitled to the relief it is seeking.  66 Pa. C.S. § 332(a).  The Company must establish its case by a preponderance of the evidence.  </w:t>
      </w:r>
      <w:r w:rsidRPr="0067710C">
        <w:rPr>
          <w:rFonts w:ascii="Times New Roman" w:hAnsi="Times New Roman"/>
          <w:i/>
          <w:color w:val="000000"/>
          <w:sz w:val="26"/>
          <w:szCs w:val="26"/>
        </w:rPr>
        <w:t>Samuel J. Lansberry, Inc. v. Pennsylvania Pub. Util. Comm</w:t>
      </w:r>
      <w:r w:rsidR="00803C65">
        <w:rPr>
          <w:rFonts w:ascii="Times New Roman" w:hAnsi="Times New Roman"/>
          <w:i/>
          <w:color w:val="000000"/>
          <w:sz w:val="26"/>
          <w:szCs w:val="26"/>
        </w:rPr>
        <w:t>’</w:t>
      </w:r>
      <w:r w:rsidRPr="0067710C">
        <w:rPr>
          <w:rFonts w:ascii="Times New Roman" w:hAnsi="Times New Roman"/>
          <w:i/>
          <w:color w:val="000000"/>
          <w:sz w:val="26"/>
          <w:szCs w:val="26"/>
        </w:rPr>
        <w:t>n</w:t>
      </w:r>
      <w:r w:rsidRPr="0067710C">
        <w:rPr>
          <w:rFonts w:ascii="Times New Roman" w:hAnsi="Times New Roman"/>
          <w:color w:val="000000"/>
          <w:sz w:val="26"/>
          <w:szCs w:val="26"/>
        </w:rPr>
        <w:t xml:space="preserve">, 578 A.2d 600 (Pa. Cmwlth. 1990), </w:t>
      </w:r>
      <w:proofErr w:type="spellStart"/>
      <w:r w:rsidRPr="0067710C">
        <w:rPr>
          <w:rFonts w:ascii="Times New Roman" w:hAnsi="Times New Roman"/>
          <w:i/>
          <w:color w:val="000000"/>
          <w:sz w:val="26"/>
          <w:szCs w:val="26"/>
        </w:rPr>
        <w:t>alloc</w:t>
      </w:r>
      <w:proofErr w:type="spellEnd"/>
      <w:r w:rsidRPr="0067710C">
        <w:rPr>
          <w:rFonts w:ascii="Times New Roman" w:hAnsi="Times New Roman"/>
          <w:i/>
          <w:color w:val="000000"/>
          <w:sz w:val="26"/>
          <w:szCs w:val="26"/>
        </w:rPr>
        <w:t>. den.,</w:t>
      </w:r>
      <w:r w:rsidRPr="0067710C">
        <w:rPr>
          <w:rFonts w:ascii="Times New Roman" w:hAnsi="Times New Roman"/>
          <w:color w:val="000000"/>
          <w:sz w:val="26"/>
          <w:szCs w:val="26"/>
        </w:rPr>
        <w:t xml:space="preserve"> 602 A.2d 863 (Pa. 1992)  To meet its burden of proof, the Company must present evidence more convincing, by even the smallest amount, than that presented by any opposing party.  </w:t>
      </w:r>
      <w:r w:rsidRPr="0067710C">
        <w:rPr>
          <w:rFonts w:ascii="Times New Roman" w:hAnsi="Times New Roman"/>
          <w:i/>
          <w:color w:val="000000"/>
          <w:sz w:val="26"/>
          <w:szCs w:val="26"/>
        </w:rPr>
        <w:t>Se-Ling Hosiery v. Margulies</w:t>
      </w:r>
      <w:r w:rsidR="0067710C" w:rsidRPr="0067710C">
        <w:rPr>
          <w:rFonts w:ascii="Times New Roman" w:hAnsi="Times New Roman"/>
          <w:color w:val="000000"/>
          <w:sz w:val="26"/>
          <w:szCs w:val="26"/>
        </w:rPr>
        <w:t>, 70 A.2d 854 (Pa. 1950).</w:t>
      </w:r>
    </w:p>
    <w:p w:rsidR="0067710C" w:rsidRPr="0067710C" w:rsidRDefault="0067710C" w:rsidP="001641B6">
      <w:pPr>
        <w:rPr>
          <w:rFonts w:ascii="Times New Roman" w:hAnsi="Times New Roman"/>
          <w:color w:val="000000"/>
          <w:sz w:val="26"/>
          <w:szCs w:val="26"/>
        </w:rPr>
      </w:pPr>
    </w:p>
    <w:p w:rsidR="001641B6" w:rsidRPr="00FF7050" w:rsidRDefault="0067710C" w:rsidP="001641B6">
      <w:pPr>
        <w:rPr>
          <w:rFonts w:ascii="Times New Roman" w:hAnsi="Times New Roman"/>
          <w:sz w:val="26"/>
          <w:szCs w:val="26"/>
        </w:rPr>
      </w:pPr>
      <w:r w:rsidRPr="0067710C">
        <w:rPr>
          <w:rFonts w:ascii="Times New Roman" w:hAnsi="Times New Roman"/>
          <w:color w:val="000000"/>
          <w:sz w:val="26"/>
          <w:szCs w:val="26"/>
        </w:rPr>
        <w:tab/>
      </w:r>
      <w:r w:rsidRPr="0067710C">
        <w:rPr>
          <w:rFonts w:ascii="Times New Roman" w:hAnsi="Times New Roman"/>
          <w:color w:val="000000"/>
          <w:sz w:val="26"/>
          <w:szCs w:val="26"/>
        </w:rPr>
        <w:tab/>
      </w:r>
      <w:r w:rsidR="001641B6" w:rsidRPr="0067710C">
        <w:rPr>
          <w:rFonts w:ascii="Times New Roman" w:hAnsi="Times New Roman"/>
          <w:color w:val="000000"/>
          <w:sz w:val="26"/>
          <w:szCs w:val="26"/>
        </w:rPr>
        <w:t xml:space="preserve">In this case, the Company </w:t>
      </w:r>
      <w:r w:rsidR="001641B6" w:rsidRPr="0067710C">
        <w:rPr>
          <w:rFonts w:ascii="Times New Roman" w:hAnsi="Times New Roman"/>
          <w:sz w:val="26"/>
          <w:szCs w:val="26"/>
        </w:rPr>
        <w:t>requests that t</w:t>
      </w:r>
      <w:r w:rsidRPr="0067710C">
        <w:rPr>
          <w:rFonts w:ascii="Times New Roman" w:hAnsi="Times New Roman"/>
          <w:sz w:val="26"/>
          <w:szCs w:val="26"/>
        </w:rPr>
        <w:t>he Commission approve its proposed DSP III, and therefore, it has the burden of proving that the proposed DSP III is just, reasonable, and in the public interest</w:t>
      </w:r>
      <w:r w:rsidR="001641B6" w:rsidRPr="0067710C">
        <w:rPr>
          <w:rFonts w:ascii="Times New Roman" w:hAnsi="Times New Roman"/>
          <w:sz w:val="26"/>
          <w:szCs w:val="26"/>
        </w:rPr>
        <w:t xml:space="preserve">.  </w:t>
      </w:r>
      <w:r w:rsidRPr="0067710C">
        <w:rPr>
          <w:rFonts w:ascii="Times New Roman" w:hAnsi="Times New Roman"/>
          <w:sz w:val="26"/>
          <w:szCs w:val="26"/>
        </w:rPr>
        <w:t>In addition, the Signatory Parties</w:t>
      </w:r>
      <w:r w:rsidR="001641B6" w:rsidRPr="0067710C">
        <w:rPr>
          <w:rFonts w:ascii="Times New Roman" w:hAnsi="Times New Roman"/>
          <w:sz w:val="26"/>
          <w:szCs w:val="26"/>
        </w:rPr>
        <w:t xml:space="preserve"> have </w:t>
      </w:r>
      <w:r w:rsidR="001641B6" w:rsidRPr="0067710C">
        <w:rPr>
          <w:rFonts w:ascii="Times New Roman" w:hAnsi="Times New Roman"/>
          <w:sz w:val="26"/>
          <w:szCs w:val="26"/>
        </w:rPr>
        <w:lastRenderedPageBreak/>
        <w:t>reached an accord on many of the issues and claims that arose in this proceeding</w:t>
      </w:r>
      <w:r w:rsidRPr="0067710C">
        <w:rPr>
          <w:rFonts w:ascii="Times New Roman" w:hAnsi="Times New Roman"/>
          <w:sz w:val="26"/>
          <w:szCs w:val="26"/>
        </w:rPr>
        <w:t>,</w:t>
      </w:r>
      <w:r w:rsidR="001641B6" w:rsidRPr="0067710C">
        <w:rPr>
          <w:rFonts w:ascii="Times New Roman" w:hAnsi="Times New Roman"/>
          <w:sz w:val="26"/>
          <w:szCs w:val="26"/>
        </w:rPr>
        <w:t xml:space="preserve"> and submitted the Partial Se</w:t>
      </w:r>
      <w:r w:rsidRPr="0067710C">
        <w:rPr>
          <w:rFonts w:ascii="Times New Roman" w:hAnsi="Times New Roman"/>
          <w:sz w:val="26"/>
          <w:szCs w:val="26"/>
        </w:rPr>
        <w:t>ttlement.  Thus, the Signatory Parties have the burden of proving</w:t>
      </w:r>
      <w:r w:rsidR="001641B6" w:rsidRPr="0067710C">
        <w:rPr>
          <w:rFonts w:ascii="Times New Roman" w:hAnsi="Times New Roman"/>
          <w:sz w:val="26"/>
          <w:szCs w:val="26"/>
        </w:rPr>
        <w:t xml:space="preserve"> </w:t>
      </w:r>
      <w:r w:rsidR="001641B6" w:rsidRPr="00FF7050">
        <w:rPr>
          <w:rFonts w:ascii="Times New Roman" w:hAnsi="Times New Roman"/>
          <w:sz w:val="26"/>
          <w:szCs w:val="26"/>
        </w:rPr>
        <w:t>that the Partial Settlement</w:t>
      </w:r>
      <w:r w:rsidRPr="00FF7050">
        <w:rPr>
          <w:rFonts w:ascii="Times New Roman" w:hAnsi="Times New Roman"/>
          <w:sz w:val="26"/>
          <w:szCs w:val="26"/>
        </w:rPr>
        <w:t xml:space="preserve"> is</w:t>
      </w:r>
      <w:r w:rsidR="001641B6" w:rsidRPr="00FF7050">
        <w:rPr>
          <w:rFonts w:ascii="Times New Roman" w:hAnsi="Times New Roman"/>
          <w:sz w:val="26"/>
          <w:szCs w:val="26"/>
        </w:rPr>
        <w:t xml:space="preserve"> </w:t>
      </w:r>
      <w:r w:rsidRPr="00FF7050">
        <w:rPr>
          <w:rFonts w:ascii="Times New Roman" w:hAnsi="Times New Roman"/>
          <w:sz w:val="26"/>
          <w:szCs w:val="26"/>
        </w:rPr>
        <w:t>just, reasonable, and in the public interest.</w:t>
      </w:r>
    </w:p>
    <w:p w:rsidR="0067710C" w:rsidRPr="00FF7050" w:rsidRDefault="0067710C" w:rsidP="001641B6">
      <w:pPr>
        <w:rPr>
          <w:rFonts w:ascii="Times New Roman" w:hAnsi="Times New Roman"/>
          <w:sz w:val="26"/>
          <w:szCs w:val="26"/>
        </w:rPr>
      </w:pPr>
    </w:p>
    <w:p w:rsidR="001641B6" w:rsidRPr="00FF7050" w:rsidRDefault="00FF7050" w:rsidP="001641B6">
      <w:pPr>
        <w:tabs>
          <w:tab w:val="left" w:pos="0"/>
        </w:tabs>
        <w:rPr>
          <w:rFonts w:ascii="Times New Roman" w:hAnsi="Times New Roman"/>
          <w:b/>
          <w:sz w:val="26"/>
          <w:szCs w:val="26"/>
        </w:rPr>
      </w:pPr>
      <w:r w:rsidRPr="00FF7050">
        <w:rPr>
          <w:rFonts w:ascii="Times New Roman" w:hAnsi="Times New Roman"/>
          <w:b/>
          <w:sz w:val="26"/>
          <w:szCs w:val="26"/>
        </w:rPr>
        <w:t>B</w:t>
      </w:r>
      <w:r w:rsidR="001641B6" w:rsidRPr="00FF7050">
        <w:rPr>
          <w:rFonts w:ascii="Times New Roman" w:hAnsi="Times New Roman"/>
          <w:b/>
          <w:sz w:val="26"/>
          <w:szCs w:val="26"/>
        </w:rPr>
        <w:t>.</w:t>
      </w:r>
      <w:r w:rsidR="001641B6" w:rsidRPr="00FF7050">
        <w:rPr>
          <w:rFonts w:ascii="Times New Roman" w:hAnsi="Times New Roman"/>
          <w:b/>
          <w:sz w:val="26"/>
          <w:szCs w:val="26"/>
        </w:rPr>
        <w:tab/>
        <w:t>Standards for Default Service</w:t>
      </w:r>
    </w:p>
    <w:p w:rsidR="001641B6" w:rsidRPr="00FF7050" w:rsidRDefault="001641B6" w:rsidP="001641B6">
      <w:pPr>
        <w:tabs>
          <w:tab w:val="left" w:pos="0"/>
        </w:tabs>
        <w:rPr>
          <w:rFonts w:ascii="Times New Roman" w:hAnsi="Times New Roman"/>
          <w:sz w:val="26"/>
          <w:szCs w:val="26"/>
        </w:rPr>
      </w:pPr>
    </w:p>
    <w:p w:rsidR="001641B6" w:rsidRDefault="001641B6" w:rsidP="001641B6">
      <w:pPr>
        <w:contextualSpacing/>
        <w:rPr>
          <w:rFonts w:ascii="Times New Roman" w:hAnsi="Times New Roman"/>
          <w:sz w:val="26"/>
          <w:szCs w:val="26"/>
        </w:rPr>
      </w:pPr>
      <w:r w:rsidRPr="00726EF4">
        <w:rPr>
          <w:rFonts w:ascii="Times New Roman" w:hAnsi="Times New Roman"/>
          <w:sz w:val="26"/>
          <w:szCs w:val="26"/>
        </w:rPr>
        <w:tab/>
      </w:r>
      <w:r w:rsidRPr="00726EF4">
        <w:rPr>
          <w:rFonts w:ascii="Times New Roman" w:hAnsi="Times New Roman"/>
          <w:sz w:val="26"/>
          <w:szCs w:val="26"/>
        </w:rPr>
        <w:tab/>
        <w:t xml:space="preserve">The requirements of a default service plan appear in </w:t>
      </w:r>
      <w:r w:rsidR="00B37185">
        <w:rPr>
          <w:rFonts w:ascii="Times New Roman" w:hAnsi="Times New Roman"/>
          <w:sz w:val="26"/>
          <w:szCs w:val="26"/>
        </w:rPr>
        <w:t>Chapter 28,</w:t>
      </w:r>
      <w:r w:rsidR="00B37185" w:rsidRPr="00B37185">
        <w:rPr>
          <w:rFonts w:ascii="Times New Roman" w:hAnsi="Times New Roman"/>
          <w:sz w:val="26"/>
          <w:szCs w:val="26"/>
          <w:vertAlign w:val="superscript"/>
        </w:rPr>
        <w:footnoteReference w:id="2"/>
      </w:r>
      <w:r w:rsidR="00B37185">
        <w:rPr>
          <w:rFonts w:ascii="Times New Roman" w:hAnsi="Times New Roman"/>
          <w:sz w:val="26"/>
          <w:szCs w:val="26"/>
        </w:rPr>
        <w:t xml:space="preserve"> </w:t>
      </w:r>
      <w:r w:rsidRPr="00726EF4">
        <w:rPr>
          <w:rFonts w:ascii="Times New Roman" w:hAnsi="Times New Roman"/>
          <w:sz w:val="26"/>
          <w:szCs w:val="26"/>
        </w:rPr>
        <w:t>Section 2807(e) of the Public Utility Code (Code), 66 Pa. C.S. § 2807(e).  The requirements include that the default service provider follow a Commission-approved competitive procurement plan</w:t>
      </w:r>
      <w:r w:rsidR="00DE4654">
        <w:rPr>
          <w:rFonts w:ascii="Times New Roman" w:hAnsi="Times New Roman"/>
          <w:sz w:val="26"/>
          <w:szCs w:val="26"/>
        </w:rPr>
        <w:t xml:space="preserve"> that </w:t>
      </w:r>
      <w:r w:rsidRPr="00726EF4">
        <w:rPr>
          <w:rFonts w:ascii="Times New Roman" w:hAnsi="Times New Roman"/>
          <w:sz w:val="26"/>
          <w:szCs w:val="26"/>
        </w:rPr>
        <w:t>include</w:t>
      </w:r>
      <w:r w:rsidR="00DE4654">
        <w:rPr>
          <w:rFonts w:ascii="Times New Roman" w:hAnsi="Times New Roman"/>
          <w:sz w:val="26"/>
          <w:szCs w:val="26"/>
        </w:rPr>
        <w:t>s</w:t>
      </w:r>
      <w:r w:rsidRPr="00726EF4">
        <w:rPr>
          <w:rFonts w:ascii="Times New Roman" w:hAnsi="Times New Roman"/>
          <w:sz w:val="26"/>
          <w:szCs w:val="26"/>
        </w:rPr>
        <w:t xml:space="preserve"> auctions, requests for proposal, and/or bilateral agreements</w:t>
      </w:r>
      <w:r w:rsidR="00DE4654">
        <w:rPr>
          <w:rFonts w:ascii="Times New Roman" w:hAnsi="Times New Roman"/>
          <w:sz w:val="26"/>
          <w:szCs w:val="26"/>
        </w:rPr>
        <w:t xml:space="preserve"> as well as </w:t>
      </w:r>
      <w:r w:rsidRPr="00726EF4">
        <w:rPr>
          <w:rFonts w:ascii="Times New Roman" w:hAnsi="Times New Roman"/>
          <w:sz w:val="26"/>
          <w:szCs w:val="26"/>
        </w:rPr>
        <w:t>a prudent mix of spot market purchases, short-term contracts, and long-term purchase contracts designed to ensure adequate and reliable service at the least cost to customers over time</w:t>
      </w:r>
      <w:r w:rsidR="00DE4654">
        <w:rPr>
          <w:rFonts w:ascii="Times New Roman" w:hAnsi="Times New Roman"/>
          <w:sz w:val="26"/>
          <w:szCs w:val="26"/>
        </w:rPr>
        <w:t>.  66 Pa. C.S. § 2807(e).  T</w:t>
      </w:r>
      <w:r w:rsidR="00C22E05">
        <w:rPr>
          <w:rFonts w:ascii="Times New Roman" w:hAnsi="Times New Roman"/>
          <w:sz w:val="26"/>
          <w:szCs w:val="26"/>
        </w:rPr>
        <w:t xml:space="preserve">he </w:t>
      </w:r>
      <w:r w:rsidR="00DE4654">
        <w:rPr>
          <w:rFonts w:ascii="Times New Roman" w:hAnsi="Times New Roman"/>
          <w:sz w:val="26"/>
          <w:szCs w:val="26"/>
        </w:rPr>
        <w:t xml:space="preserve">default service </w:t>
      </w:r>
      <w:r w:rsidR="00C22E05">
        <w:rPr>
          <w:rFonts w:ascii="Times New Roman" w:hAnsi="Times New Roman"/>
          <w:sz w:val="26"/>
          <w:szCs w:val="26"/>
        </w:rPr>
        <w:t xml:space="preserve">provider </w:t>
      </w:r>
      <w:r w:rsidR="00DE4654">
        <w:rPr>
          <w:rFonts w:ascii="Times New Roman" w:hAnsi="Times New Roman"/>
          <w:sz w:val="26"/>
          <w:szCs w:val="26"/>
        </w:rPr>
        <w:t xml:space="preserve">is also required to </w:t>
      </w:r>
      <w:r w:rsidRPr="00726EF4">
        <w:rPr>
          <w:rFonts w:ascii="Times New Roman" w:hAnsi="Times New Roman"/>
          <w:sz w:val="26"/>
          <w:szCs w:val="26"/>
        </w:rPr>
        <w:t>offer a time-of-use program for customers who have smart meter technology.  66 Pa. C.S. § 2807(f).</w:t>
      </w:r>
    </w:p>
    <w:p w:rsidR="00DE4654" w:rsidRDefault="00DE4654" w:rsidP="001641B6">
      <w:pPr>
        <w:contextualSpacing/>
        <w:rPr>
          <w:rFonts w:ascii="Times New Roman" w:hAnsi="Times New Roman"/>
          <w:sz w:val="26"/>
          <w:szCs w:val="26"/>
        </w:rPr>
      </w:pPr>
    </w:p>
    <w:p w:rsidR="00DE4654" w:rsidRPr="00726EF4" w:rsidRDefault="00DE4654" w:rsidP="001641B6">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In a prior order, we also found as follows:</w:t>
      </w:r>
    </w:p>
    <w:p w:rsidR="001641B6" w:rsidRPr="00726EF4" w:rsidRDefault="001641B6" w:rsidP="001641B6">
      <w:pPr>
        <w:contextualSpacing/>
        <w:rPr>
          <w:rFonts w:ascii="Times New Roman" w:hAnsi="Times New Roman"/>
          <w:sz w:val="26"/>
          <w:szCs w:val="26"/>
        </w:rPr>
      </w:pPr>
    </w:p>
    <w:p w:rsidR="001641B6" w:rsidRPr="00726EF4" w:rsidRDefault="001641B6" w:rsidP="001641B6">
      <w:pPr>
        <w:spacing w:line="240" w:lineRule="auto"/>
        <w:ind w:left="1440" w:right="1440"/>
        <w:contextualSpacing/>
        <w:rPr>
          <w:rFonts w:ascii="Times New Roman" w:hAnsi="Times New Roman"/>
          <w:sz w:val="26"/>
          <w:szCs w:val="26"/>
        </w:rPr>
      </w:pPr>
      <w:r w:rsidRPr="00726EF4">
        <w:rPr>
          <w:rFonts w:ascii="Times New Roman" w:hAnsi="Times New Roman"/>
          <w:sz w:val="26"/>
          <w:szCs w:val="26"/>
        </w:rPr>
        <w:tab/>
        <w:t>The Competition Act also mandates that customers have direct access to a competitive retail generation market.  66 Pa.</w:t>
      </w:r>
      <w:r w:rsidR="00A347F4">
        <w:rPr>
          <w:rFonts w:ascii="Times New Roman" w:hAnsi="Times New Roman"/>
          <w:sz w:val="26"/>
          <w:szCs w:val="26"/>
        </w:rPr>
        <w:t xml:space="preserve"> </w:t>
      </w:r>
      <w:r w:rsidRPr="00726EF4">
        <w:rPr>
          <w:rFonts w:ascii="Times New Roman" w:hAnsi="Times New Roman"/>
          <w:sz w:val="26"/>
          <w:szCs w:val="26"/>
        </w:rPr>
        <w:t xml:space="preserve">C.S. § 2802(3).  This mandate is based on the legislative finding that </w:t>
      </w:r>
      <w:r w:rsidR="00803C65">
        <w:rPr>
          <w:rFonts w:ascii="Times New Roman" w:hAnsi="Times New Roman"/>
          <w:sz w:val="26"/>
          <w:szCs w:val="26"/>
        </w:rPr>
        <w:t>“</w:t>
      </w:r>
      <w:r w:rsidRPr="00726EF4">
        <w:rPr>
          <w:rFonts w:ascii="Times New Roman" w:hAnsi="Times New Roman"/>
          <w:sz w:val="26"/>
          <w:szCs w:val="26"/>
        </w:rPr>
        <w:t>competitive market forces are more effective than economic regulation in controlling the cost of generating electricity.</w:t>
      </w:r>
      <w:r w:rsidR="00803C65">
        <w:rPr>
          <w:rFonts w:ascii="Times New Roman" w:hAnsi="Times New Roman"/>
          <w:sz w:val="26"/>
          <w:szCs w:val="26"/>
        </w:rPr>
        <w:t>”</w:t>
      </w:r>
      <w:r w:rsidRPr="00726EF4">
        <w:rPr>
          <w:rFonts w:ascii="Times New Roman" w:hAnsi="Times New Roman"/>
          <w:sz w:val="26"/>
          <w:szCs w:val="26"/>
        </w:rPr>
        <w:t xml:space="preserve">  66 Pa. C.S. § 2802(5).  </w:t>
      </w:r>
      <w:r w:rsidRPr="00726EF4">
        <w:rPr>
          <w:rFonts w:ascii="Times New Roman" w:hAnsi="Times New Roman"/>
          <w:i/>
          <w:sz w:val="26"/>
          <w:szCs w:val="26"/>
        </w:rPr>
        <w:t xml:space="preserve">See, Green Mountain Energy Company v. Pa. PUC, </w:t>
      </w:r>
      <w:r w:rsidRPr="00726EF4">
        <w:rPr>
          <w:rFonts w:ascii="Times New Roman" w:hAnsi="Times New Roman"/>
          <w:sz w:val="26"/>
          <w:szCs w:val="26"/>
        </w:rPr>
        <w:t>812 A.2d 740, 742 (</w:t>
      </w:r>
      <w:proofErr w:type="spellStart"/>
      <w:r w:rsidRPr="00726EF4">
        <w:rPr>
          <w:rFonts w:ascii="Times New Roman" w:hAnsi="Times New Roman"/>
          <w:sz w:val="26"/>
          <w:szCs w:val="26"/>
        </w:rPr>
        <w:t>Pa.Cmwlth</w:t>
      </w:r>
      <w:proofErr w:type="spellEnd"/>
      <w:r w:rsidRPr="00726EF4">
        <w:rPr>
          <w:rFonts w:ascii="Times New Roman" w:hAnsi="Times New Roman"/>
          <w:sz w:val="26"/>
          <w:szCs w:val="26"/>
        </w:rPr>
        <w:t xml:space="preserve">. 2002).  Thus, a fundamental policy underlying the Competition Act is that competition is more effective than economic regulation in controlling the costs of generating electricity.  66 Pa. C.S. § 2802(5).  </w:t>
      </w:r>
    </w:p>
    <w:p w:rsidR="001641B6" w:rsidRPr="00726EF4" w:rsidRDefault="001641B6" w:rsidP="001641B6">
      <w:pPr>
        <w:spacing w:line="240" w:lineRule="auto"/>
        <w:ind w:left="1440" w:right="1440"/>
        <w:contextualSpacing/>
        <w:rPr>
          <w:rFonts w:ascii="Times New Roman" w:hAnsi="Times New Roman"/>
          <w:sz w:val="26"/>
          <w:szCs w:val="26"/>
        </w:rPr>
      </w:pPr>
    </w:p>
    <w:p w:rsidR="001641B6" w:rsidRPr="00726EF4" w:rsidRDefault="001641B6" w:rsidP="001641B6">
      <w:pPr>
        <w:contextualSpacing/>
        <w:rPr>
          <w:rFonts w:ascii="Times New Roman" w:hAnsi="Times New Roman"/>
          <w:sz w:val="26"/>
          <w:szCs w:val="26"/>
        </w:rPr>
      </w:pPr>
      <w:r w:rsidRPr="00726EF4">
        <w:rPr>
          <w:rFonts w:ascii="Times New Roman" w:hAnsi="Times New Roman"/>
          <w:i/>
          <w:sz w:val="26"/>
          <w:szCs w:val="26"/>
        </w:rPr>
        <w:t xml:space="preserve">Joint Petition of Metropolitan Edison Company, Pennsylvania Electric Company, Pennsylvania Power Company and West Penn Power Company For Approval of Their Default Service Programs, </w:t>
      </w:r>
      <w:r w:rsidRPr="00726EF4">
        <w:rPr>
          <w:rFonts w:ascii="Times New Roman" w:hAnsi="Times New Roman"/>
          <w:sz w:val="26"/>
          <w:szCs w:val="26"/>
        </w:rPr>
        <w:t>Docket Nos. P-2011-2273650, P-2011-</w:t>
      </w:r>
      <w:r w:rsidRPr="00AB6677">
        <w:rPr>
          <w:rFonts w:ascii="Times New Roman" w:hAnsi="Times New Roman"/>
          <w:sz w:val="26"/>
          <w:szCs w:val="26"/>
        </w:rPr>
        <w:t>2273668, P-2</w:t>
      </w:r>
      <w:r w:rsidR="00EC2EBD">
        <w:rPr>
          <w:rFonts w:ascii="Times New Roman" w:hAnsi="Times New Roman"/>
          <w:sz w:val="26"/>
          <w:szCs w:val="26"/>
        </w:rPr>
        <w:t xml:space="preserve">011-2273669, and P-2011-2273670 </w:t>
      </w:r>
      <w:r w:rsidRPr="00AB6677">
        <w:rPr>
          <w:rFonts w:ascii="Times New Roman" w:hAnsi="Times New Roman"/>
          <w:sz w:val="26"/>
          <w:szCs w:val="26"/>
        </w:rPr>
        <w:t>(Order entered August 16, 2012)</w:t>
      </w:r>
      <w:r w:rsidR="00042D56" w:rsidRPr="00AB6677">
        <w:rPr>
          <w:rFonts w:ascii="Times New Roman" w:hAnsi="Times New Roman"/>
          <w:sz w:val="26"/>
          <w:szCs w:val="26"/>
        </w:rPr>
        <w:t xml:space="preserve"> (</w:t>
      </w:r>
      <w:r w:rsidR="00042D56" w:rsidRPr="00AB6677">
        <w:rPr>
          <w:rFonts w:ascii="Times New Roman" w:hAnsi="Times New Roman"/>
          <w:i/>
          <w:sz w:val="26"/>
          <w:szCs w:val="26"/>
        </w:rPr>
        <w:t>FirstEnergy DSP II Order</w:t>
      </w:r>
      <w:r w:rsidR="00042D56" w:rsidRPr="00AB6677">
        <w:rPr>
          <w:rFonts w:ascii="Times New Roman" w:hAnsi="Times New Roman"/>
          <w:sz w:val="26"/>
          <w:szCs w:val="26"/>
        </w:rPr>
        <w:t>)</w:t>
      </w:r>
      <w:r w:rsidR="00EC2EBD">
        <w:rPr>
          <w:rFonts w:ascii="Times New Roman" w:hAnsi="Times New Roman"/>
          <w:sz w:val="26"/>
          <w:szCs w:val="26"/>
        </w:rPr>
        <w:t xml:space="preserve"> at 7-8</w:t>
      </w:r>
      <w:r w:rsidRPr="00AB6677">
        <w:rPr>
          <w:rFonts w:ascii="Times New Roman" w:hAnsi="Times New Roman"/>
          <w:sz w:val="26"/>
          <w:szCs w:val="26"/>
        </w:rPr>
        <w:t>.</w:t>
      </w:r>
    </w:p>
    <w:p w:rsidR="001641B6" w:rsidRPr="00726EF4" w:rsidRDefault="001641B6" w:rsidP="001641B6">
      <w:pPr>
        <w:contextualSpacing/>
        <w:rPr>
          <w:rFonts w:ascii="Times New Roman" w:hAnsi="Times New Roman"/>
          <w:sz w:val="26"/>
          <w:szCs w:val="26"/>
        </w:rPr>
      </w:pPr>
    </w:p>
    <w:p w:rsidR="001641B6" w:rsidRPr="00726EF4" w:rsidRDefault="001641B6" w:rsidP="001641B6">
      <w:pPr>
        <w:ind w:firstLine="1440"/>
        <w:contextualSpacing/>
        <w:rPr>
          <w:rFonts w:ascii="Times New Roman" w:hAnsi="Times New Roman"/>
          <w:sz w:val="26"/>
          <w:szCs w:val="26"/>
        </w:rPr>
      </w:pPr>
      <w:r w:rsidRPr="00726EF4">
        <w:rPr>
          <w:rFonts w:ascii="Times New Roman" w:hAnsi="Times New Roman"/>
          <w:sz w:val="26"/>
          <w:szCs w:val="26"/>
        </w:rPr>
        <w:t>Also applicable are the Commission</w:t>
      </w:r>
      <w:r w:rsidR="00803C65">
        <w:rPr>
          <w:rFonts w:ascii="Times New Roman" w:hAnsi="Times New Roman"/>
          <w:sz w:val="26"/>
          <w:szCs w:val="26"/>
        </w:rPr>
        <w:t>’</w:t>
      </w:r>
      <w:r w:rsidRPr="00726EF4">
        <w:rPr>
          <w:rFonts w:ascii="Times New Roman" w:hAnsi="Times New Roman"/>
          <w:sz w:val="26"/>
          <w:szCs w:val="26"/>
        </w:rPr>
        <w:t>s default service Regulations, 52</w:t>
      </w:r>
      <w:r w:rsidR="00E428E5">
        <w:rPr>
          <w:rFonts w:ascii="Times New Roman" w:hAnsi="Times New Roman"/>
          <w:sz w:val="26"/>
          <w:szCs w:val="26"/>
        </w:rPr>
        <w:t> </w:t>
      </w:r>
      <w:r w:rsidRPr="00726EF4">
        <w:rPr>
          <w:rFonts w:ascii="Times New Roman" w:hAnsi="Times New Roman"/>
          <w:sz w:val="26"/>
          <w:szCs w:val="26"/>
        </w:rPr>
        <w:t>Pa.</w:t>
      </w:r>
      <w:r w:rsidR="00E428E5">
        <w:rPr>
          <w:rFonts w:ascii="Times New Roman" w:hAnsi="Times New Roman"/>
          <w:sz w:val="26"/>
          <w:szCs w:val="26"/>
        </w:rPr>
        <w:t> </w:t>
      </w:r>
      <w:r w:rsidRPr="00726EF4">
        <w:rPr>
          <w:rFonts w:ascii="Times New Roman" w:hAnsi="Times New Roman"/>
          <w:sz w:val="26"/>
          <w:szCs w:val="26"/>
        </w:rPr>
        <w:t>Code §§ 54.181-54.189, and a Policy Statement addressing default service plans, 52</w:t>
      </w:r>
      <w:r w:rsidR="00E428E5">
        <w:rPr>
          <w:rFonts w:ascii="Times New Roman" w:hAnsi="Times New Roman"/>
          <w:sz w:val="26"/>
          <w:szCs w:val="26"/>
        </w:rPr>
        <w:t> </w:t>
      </w:r>
      <w:r w:rsidRPr="00726EF4">
        <w:rPr>
          <w:rFonts w:ascii="Times New Roman" w:hAnsi="Times New Roman"/>
          <w:sz w:val="26"/>
          <w:szCs w:val="26"/>
        </w:rPr>
        <w:t>Pa.</w:t>
      </w:r>
      <w:r w:rsidR="00E428E5">
        <w:rPr>
          <w:rFonts w:ascii="Times New Roman" w:hAnsi="Times New Roman"/>
          <w:sz w:val="26"/>
          <w:szCs w:val="26"/>
        </w:rPr>
        <w:t> </w:t>
      </w:r>
      <w:r w:rsidRPr="00726EF4">
        <w:rPr>
          <w:rFonts w:ascii="Times New Roman" w:hAnsi="Times New Roman"/>
          <w:sz w:val="26"/>
          <w:szCs w:val="26"/>
        </w:rPr>
        <w:t xml:space="preserve"> Code §§ 69.1802-69.1817.  The Commission has directed that</w:t>
      </w:r>
      <w:r w:rsidR="0014347F">
        <w:rPr>
          <w:rFonts w:ascii="Times New Roman" w:hAnsi="Times New Roman"/>
          <w:sz w:val="26"/>
          <w:szCs w:val="26"/>
        </w:rPr>
        <w:t xml:space="preserve"> electric distribution companies</w:t>
      </w:r>
      <w:r w:rsidRPr="00726EF4">
        <w:rPr>
          <w:rFonts w:ascii="Times New Roman" w:hAnsi="Times New Roman"/>
          <w:sz w:val="26"/>
          <w:szCs w:val="26"/>
        </w:rPr>
        <w:t xml:space="preserve"> </w:t>
      </w:r>
      <w:r w:rsidR="0014347F">
        <w:rPr>
          <w:rFonts w:ascii="Times New Roman" w:hAnsi="Times New Roman"/>
          <w:sz w:val="26"/>
          <w:szCs w:val="26"/>
        </w:rPr>
        <w:t>(</w:t>
      </w:r>
      <w:r w:rsidRPr="00726EF4">
        <w:rPr>
          <w:rFonts w:ascii="Times New Roman" w:hAnsi="Times New Roman"/>
          <w:sz w:val="26"/>
          <w:szCs w:val="26"/>
        </w:rPr>
        <w:t>EDCs</w:t>
      </w:r>
      <w:r w:rsidR="0014347F">
        <w:rPr>
          <w:rFonts w:ascii="Times New Roman" w:hAnsi="Times New Roman"/>
          <w:sz w:val="26"/>
          <w:szCs w:val="26"/>
        </w:rPr>
        <w:t>)</w:t>
      </w:r>
      <w:r w:rsidRPr="00726EF4">
        <w:rPr>
          <w:rFonts w:ascii="Times New Roman" w:hAnsi="Times New Roman"/>
          <w:sz w:val="26"/>
          <w:szCs w:val="26"/>
        </w:rPr>
        <w:t xml:space="preserve"> consider the incorporation of certain market enhancement programs into their DSPs in order to foster a more robust retail competitive market.  </w:t>
      </w:r>
      <w:r w:rsidRPr="00726EF4">
        <w:rPr>
          <w:rFonts w:ascii="Times New Roman" w:hAnsi="Times New Roman"/>
          <w:i/>
          <w:sz w:val="26"/>
          <w:szCs w:val="26"/>
        </w:rPr>
        <w:t>Investigation of Pennsylvania</w:t>
      </w:r>
      <w:r w:rsidR="00803C65">
        <w:rPr>
          <w:rFonts w:ascii="Times New Roman" w:hAnsi="Times New Roman"/>
          <w:i/>
          <w:sz w:val="26"/>
          <w:szCs w:val="26"/>
        </w:rPr>
        <w:t>’</w:t>
      </w:r>
      <w:r w:rsidRPr="00726EF4">
        <w:rPr>
          <w:rFonts w:ascii="Times New Roman" w:hAnsi="Times New Roman"/>
          <w:i/>
          <w:sz w:val="26"/>
          <w:szCs w:val="26"/>
        </w:rPr>
        <w:t>s Retail Electricity Market: Recommendations Regarding Upcoming Default Service Plans,</w:t>
      </w:r>
      <w:r w:rsidRPr="00726EF4">
        <w:rPr>
          <w:rFonts w:ascii="Times New Roman" w:hAnsi="Times New Roman"/>
          <w:sz w:val="26"/>
          <w:szCs w:val="26"/>
        </w:rPr>
        <w:t xml:space="preserve"> Docket No. I-2011-2237952 (</w:t>
      </w:r>
      <w:r w:rsidR="00C760A1">
        <w:rPr>
          <w:rFonts w:ascii="Times New Roman" w:hAnsi="Times New Roman"/>
          <w:sz w:val="26"/>
          <w:szCs w:val="26"/>
        </w:rPr>
        <w:t xml:space="preserve">Final </w:t>
      </w:r>
      <w:r w:rsidRPr="00726EF4">
        <w:rPr>
          <w:rFonts w:ascii="Times New Roman" w:hAnsi="Times New Roman"/>
          <w:sz w:val="26"/>
          <w:szCs w:val="26"/>
        </w:rPr>
        <w:t>Order entered Decemb</w:t>
      </w:r>
      <w:r w:rsidR="00C760A1">
        <w:rPr>
          <w:rFonts w:ascii="Times New Roman" w:hAnsi="Times New Roman"/>
          <w:sz w:val="26"/>
          <w:szCs w:val="26"/>
        </w:rPr>
        <w:t xml:space="preserve">er 16, 2011); </w:t>
      </w:r>
      <w:r w:rsidR="00C760A1" w:rsidRPr="00726EF4">
        <w:rPr>
          <w:rFonts w:ascii="Times New Roman" w:hAnsi="Times New Roman"/>
          <w:i/>
          <w:sz w:val="26"/>
          <w:szCs w:val="26"/>
        </w:rPr>
        <w:t>Investigation of Pennsylvania</w:t>
      </w:r>
      <w:r w:rsidR="00803C65">
        <w:rPr>
          <w:rFonts w:ascii="Times New Roman" w:hAnsi="Times New Roman"/>
          <w:i/>
          <w:sz w:val="26"/>
          <w:szCs w:val="26"/>
        </w:rPr>
        <w:t>’</w:t>
      </w:r>
      <w:r w:rsidR="00C760A1" w:rsidRPr="00726EF4">
        <w:rPr>
          <w:rFonts w:ascii="Times New Roman" w:hAnsi="Times New Roman"/>
          <w:i/>
          <w:sz w:val="26"/>
          <w:szCs w:val="26"/>
        </w:rPr>
        <w:t>s Retail Electricity Market:</w:t>
      </w:r>
      <w:r w:rsidR="00C760A1">
        <w:rPr>
          <w:rFonts w:ascii="Times New Roman" w:hAnsi="Times New Roman"/>
          <w:i/>
          <w:sz w:val="26"/>
          <w:szCs w:val="26"/>
        </w:rPr>
        <w:t xml:space="preserve"> </w:t>
      </w:r>
      <w:r w:rsidRPr="00726EF4">
        <w:rPr>
          <w:rFonts w:ascii="Times New Roman" w:hAnsi="Times New Roman"/>
          <w:i/>
          <w:sz w:val="26"/>
          <w:szCs w:val="26"/>
        </w:rPr>
        <w:t>Intermediate Work Plan</w:t>
      </w:r>
      <w:r w:rsidR="00C760A1">
        <w:rPr>
          <w:rFonts w:ascii="Times New Roman" w:hAnsi="Times New Roman"/>
          <w:i/>
          <w:sz w:val="26"/>
          <w:szCs w:val="26"/>
        </w:rPr>
        <w:t xml:space="preserve">, </w:t>
      </w:r>
      <w:r w:rsidR="00C760A1">
        <w:rPr>
          <w:rFonts w:ascii="Times New Roman" w:hAnsi="Times New Roman"/>
          <w:sz w:val="26"/>
          <w:szCs w:val="26"/>
        </w:rPr>
        <w:t>Docket No. I-2011-2237952</w:t>
      </w:r>
      <w:r w:rsidRPr="00726EF4">
        <w:rPr>
          <w:rFonts w:ascii="Times New Roman" w:hAnsi="Times New Roman"/>
          <w:i/>
          <w:sz w:val="26"/>
          <w:szCs w:val="26"/>
        </w:rPr>
        <w:t xml:space="preserve"> </w:t>
      </w:r>
      <w:r w:rsidRPr="00726EF4">
        <w:rPr>
          <w:rFonts w:ascii="Times New Roman" w:hAnsi="Times New Roman"/>
          <w:sz w:val="26"/>
          <w:szCs w:val="26"/>
        </w:rPr>
        <w:t>(Fin</w:t>
      </w:r>
      <w:r w:rsidR="00B07643">
        <w:rPr>
          <w:rFonts w:ascii="Times New Roman" w:hAnsi="Times New Roman"/>
          <w:sz w:val="26"/>
          <w:szCs w:val="26"/>
        </w:rPr>
        <w:t>al Order entered March 2, 2012)</w:t>
      </w:r>
      <w:r w:rsidRPr="00726EF4">
        <w:rPr>
          <w:rFonts w:ascii="Times New Roman" w:hAnsi="Times New Roman"/>
          <w:sz w:val="26"/>
          <w:szCs w:val="26"/>
        </w:rPr>
        <w:t>.</w:t>
      </w:r>
    </w:p>
    <w:p w:rsidR="001641B6" w:rsidRDefault="001641B6" w:rsidP="00907E2A">
      <w:pPr>
        <w:contextualSpacing/>
        <w:rPr>
          <w:rFonts w:ascii="Times New Roman" w:hAnsi="Times New Roman"/>
          <w:sz w:val="26"/>
          <w:szCs w:val="26"/>
        </w:rPr>
      </w:pPr>
    </w:p>
    <w:p w:rsidR="00C442CA" w:rsidRPr="00C442CA" w:rsidRDefault="00C442CA" w:rsidP="00C442CA">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Finally, b</w:t>
      </w:r>
      <w:r w:rsidRPr="00C442CA">
        <w:rPr>
          <w:rFonts w:ascii="Times New Roman" w:hAnsi="Times New Roman"/>
          <w:sz w:val="26"/>
          <w:szCs w:val="26"/>
        </w:rPr>
        <w:t>efore we address the merits of the</w:t>
      </w:r>
      <w:r>
        <w:rPr>
          <w:rFonts w:ascii="Times New Roman" w:hAnsi="Times New Roman"/>
          <w:sz w:val="26"/>
          <w:szCs w:val="26"/>
        </w:rPr>
        <w:t xml:space="preserve"> positions espoused by the various Parties in this proceeding, </w:t>
      </w:r>
      <w:r w:rsidRPr="00C442CA">
        <w:rPr>
          <w:rFonts w:ascii="Times New Roman" w:hAnsi="Times New Roman"/>
          <w:sz w:val="26"/>
          <w:szCs w:val="26"/>
        </w:rPr>
        <w:t>we</w:t>
      </w:r>
      <w:r>
        <w:rPr>
          <w:rFonts w:ascii="Times New Roman" w:hAnsi="Times New Roman"/>
          <w:sz w:val="26"/>
          <w:szCs w:val="26"/>
        </w:rPr>
        <w:t xml:space="preserve"> note </w:t>
      </w:r>
      <w:r w:rsidRPr="00C442CA">
        <w:rPr>
          <w:rFonts w:ascii="Times New Roman" w:hAnsi="Times New Roman"/>
          <w:sz w:val="26"/>
          <w:szCs w:val="26"/>
        </w:rPr>
        <w:t xml:space="preserve">that any issue or Exception that we do not specifically address has been duly considered and will be denied without further discussion.  It is well settled that the Commission is not required to consider, expressly or at length, each contention or argument raised by the Parties.  </w:t>
      </w:r>
      <w:r w:rsidRPr="00C442CA">
        <w:rPr>
          <w:rFonts w:ascii="Times New Roman" w:hAnsi="Times New Roman"/>
          <w:i/>
          <w:sz w:val="26"/>
          <w:szCs w:val="26"/>
        </w:rPr>
        <w:t>Consolidated Rail Corporation v. Pa. PUC</w:t>
      </w:r>
      <w:r w:rsidRPr="00C442CA">
        <w:rPr>
          <w:rFonts w:ascii="Times New Roman" w:hAnsi="Times New Roman"/>
          <w:sz w:val="26"/>
          <w:szCs w:val="26"/>
        </w:rPr>
        <w:t xml:space="preserve">, 625 A.2d 741 (Pa. </w:t>
      </w:r>
      <w:proofErr w:type="spellStart"/>
      <w:r w:rsidRPr="00C442CA">
        <w:rPr>
          <w:rFonts w:ascii="Times New Roman" w:hAnsi="Times New Roman"/>
          <w:sz w:val="26"/>
          <w:szCs w:val="26"/>
        </w:rPr>
        <w:t>Cmwlth</w:t>
      </w:r>
      <w:proofErr w:type="spellEnd"/>
      <w:r w:rsidRPr="00C442CA">
        <w:rPr>
          <w:rFonts w:ascii="Times New Roman" w:hAnsi="Times New Roman"/>
          <w:sz w:val="26"/>
          <w:szCs w:val="26"/>
        </w:rPr>
        <w:t xml:space="preserve">. 1993); </w:t>
      </w:r>
      <w:r w:rsidRPr="00C442CA">
        <w:rPr>
          <w:rFonts w:ascii="Times New Roman" w:hAnsi="Times New Roman"/>
          <w:i/>
          <w:sz w:val="26"/>
          <w:szCs w:val="26"/>
        </w:rPr>
        <w:t>see also, generally, University of Pennsylvania v. Pa. PUC</w:t>
      </w:r>
      <w:r w:rsidRPr="00C442CA">
        <w:rPr>
          <w:rFonts w:ascii="Times New Roman" w:hAnsi="Times New Roman"/>
          <w:sz w:val="26"/>
          <w:szCs w:val="26"/>
        </w:rPr>
        <w:t xml:space="preserve">, 485 A.2d 1217 (Pa. </w:t>
      </w:r>
      <w:proofErr w:type="spellStart"/>
      <w:r w:rsidRPr="00C442CA">
        <w:rPr>
          <w:rFonts w:ascii="Times New Roman" w:hAnsi="Times New Roman"/>
          <w:sz w:val="26"/>
          <w:szCs w:val="26"/>
        </w:rPr>
        <w:t>Cmwlth</w:t>
      </w:r>
      <w:proofErr w:type="spellEnd"/>
      <w:r w:rsidRPr="00C442CA">
        <w:rPr>
          <w:rFonts w:ascii="Times New Roman" w:hAnsi="Times New Roman"/>
          <w:sz w:val="26"/>
          <w:szCs w:val="26"/>
        </w:rPr>
        <w:t>. 1984).</w:t>
      </w:r>
    </w:p>
    <w:p w:rsidR="009702CD" w:rsidRDefault="009702CD">
      <w:pPr>
        <w:spacing w:after="200" w:line="276" w:lineRule="auto"/>
        <w:rPr>
          <w:rFonts w:ascii="Times New Roman" w:hAnsi="Times New Roman"/>
          <w:sz w:val="26"/>
          <w:szCs w:val="26"/>
        </w:rPr>
      </w:pPr>
    </w:p>
    <w:p w:rsidR="00C442CA" w:rsidRDefault="00C442CA" w:rsidP="00907E2A">
      <w:pPr>
        <w:contextualSpacing/>
        <w:rPr>
          <w:rFonts w:ascii="Times New Roman" w:hAnsi="Times New Roman"/>
          <w:sz w:val="26"/>
          <w:szCs w:val="26"/>
        </w:rPr>
      </w:pPr>
    </w:p>
    <w:p w:rsidR="00907E2A" w:rsidRPr="00907E2A" w:rsidRDefault="00907E2A" w:rsidP="00E428E5">
      <w:pPr>
        <w:keepNext/>
        <w:keepLines/>
        <w:contextualSpacing/>
        <w:jc w:val="center"/>
        <w:rPr>
          <w:rFonts w:ascii="Times New Roman" w:hAnsi="Times New Roman"/>
          <w:b/>
          <w:sz w:val="26"/>
          <w:szCs w:val="26"/>
        </w:rPr>
      </w:pPr>
      <w:r w:rsidRPr="00907E2A">
        <w:rPr>
          <w:rFonts w:ascii="Times New Roman" w:hAnsi="Times New Roman"/>
          <w:b/>
          <w:sz w:val="26"/>
          <w:szCs w:val="26"/>
        </w:rPr>
        <w:lastRenderedPageBreak/>
        <w:t>III.</w:t>
      </w:r>
      <w:r w:rsidRPr="00907E2A">
        <w:rPr>
          <w:rFonts w:ascii="Times New Roman" w:hAnsi="Times New Roman"/>
          <w:b/>
          <w:sz w:val="26"/>
          <w:szCs w:val="26"/>
        </w:rPr>
        <w:tab/>
        <w:t>PPL</w:t>
      </w:r>
      <w:r w:rsidR="00803C65">
        <w:rPr>
          <w:rFonts w:ascii="Times New Roman" w:hAnsi="Times New Roman"/>
          <w:b/>
          <w:sz w:val="26"/>
          <w:szCs w:val="26"/>
        </w:rPr>
        <w:t>’</w:t>
      </w:r>
      <w:r w:rsidRPr="00907E2A">
        <w:rPr>
          <w:rFonts w:ascii="Times New Roman" w:hAnsi="Times New Roman"/>
          <w:b/>
          <w:sz w:val="26"/>
          <w:szCs w:val="26"/>
        </w:rPr>
        <w:t>s Proposed DSP III</w:t>
      </w:r>
    </w:p>
    <w:p w:rsidR="00907E2A" w:rsidRDefault="00907E2A" w:rsidP="00E428E5">
      <w:pPr>
        <w:keepNext/>
        <w:keepLines/>
        <w:contextualSpacing/>
        <w:rPr>
          <w:rFonts w:ascii="Times New Roman" w:hAnsi="Times New Roman"/>
          <w:sz w:val="26"/>
          <w:szCs w:val="26"/>
        </w:rPr>
      </w:pPr>
    </w:p>
    <w:p w:rsidR="00907E2A" w:rsidRDefault="00907E2A" w:rsidP="009702CD">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The following is a summary of</w:t>
      </w:r>
      <w:r w:rsidR="007D4563">
        <w:rPr>
          <w:rFonts w:ascii="Times New Roman" w:hAnsi="Times New Roman"/>
          <w:sz w:val="26"/>
          <w:szCs w:val="26"/>
        </w:rPr>
        <w:t xml:space="preserve"> the substantive provisions of</w:t>
      </w:r>
      <w:r>
        <w:rPr>
          <w:rFonts w:ascii="Times New Roman" w:hAnsi="Times New Roman"/>
          <w:sz w:val="26"/>
          <w:szCs w:val="26"/>
        </w:rPr>
        <w:t xml:space="preserve"> PPL</w:t>
      </w:r>
      <w:r w:rsidR="00803C65">
        <w:rPr>
          <w:rFonts w:ascii="Times New Roman" w:hAnsi="Times New Roman"/>
          <w:sz w:val="26"/>
          <w:szCs w:val="26"/>
        </w:rPr>
        <w:t>’</w:t>
      </w:r>
      <w:r>
        <w:rPr>
          <w:rFonts w:ascii="Times New Roman" w:hAnsi="Times New Roman"/>
          <w:sz w:val="26"/>
          <w:szCs w:val="26"/>
        </w:rPr>
        <w:t>s proposed DSP III</w:t>
      </w:r>
      <w:r w:rsidR="0014312D">
        <w:rPr>
          <w:rFonts w:ascii="Times New Roman" w:hAnsi="Times New Roman"/>
          <w:sz w:val="26"/>
          <w:szCs w:val="26"/>
        </w:rPr>
        <w:t xml:space="preserve"> program</w:t>
      </w:r>
      <w:r w:rsidR="00854733">
        <w:rPr>
          <w:rFonts w:ascii="Times New Roman" w:hAnsi="Times New Roman"/>
          <w:sz w:val="26"/>
          <w:szCs w:val="26"/>
        </w:rPr>
        <w:t>, as presented in its DSP III Petition.</w:t>
      </w:r>
      <w:r>
        <w:rPr>
          <w:rFonts w:ascii="Times New Roman" w:hAnsi="Times New Roman"/>
          <w:sz w:val="26"/>
          <w:szCs w:val="26"/>
        </w:rPr>
        <w:t xml:space="preserve">  As discussed below, </w:t>
      </w:r>
      <w:r w:rsidR="00E70136">
        <w:rPr>
          <w:rFonts w:ascii="Times New Roman" w:hAnsi="Times New Roman"/>
          <w:sz w:val="26"/>
          <w:szCs w:val="26"/>
        </w:rPr>
        <w:t xml:space="preserve">the Signatory Parties are proposing to modify </w:t>
      </w:r>
      <w:r w:rsidR="00854733">
        <w:rPr>
          <w:rFonts w:ascii="Times New Roman" w:hAnsi="Times New Roman"/>
          <w:sz w:val="26"/>
          <w:szCs w:val="26"/>
        </w:rPr>
        <w:t>some of the</w:t>
      </w:r>
      <w:r w:rsidR="007D4563">
        <w:rPr>
          <w:rFonts w:ascii="Times New Roman" w:hAnsi="Times New Roman"/>
          <w:sz w:val="26"/>
          <w:szCs w:val="26"/>
        </w:rPr>
        <w:t>se</w:t>
      </w:r>
      <w:r w:rsidR="00854733">
        <w:rPr>
          <w:rFonts w:ascii="Times New Roman" w:hAnsi="Times New Roman"/>
          <w:sz w:val="26"/>
          <w:szCs w:val="26"/>
        </w:rPr>
        <w:t xml:space="preserve"> p</w:t>
      </w:r>
      <w:r w:rsidR="007D4563">
        <w:rPr>
          <w:rFonts w:ascii="Times New Roman" w:hAnsi="Times New Roman"/>
          <w:sz w:val="26"/>
          <w:szCs w:val="26"/>
        </w:rPr>
        <w:t>rovisions</w:t>
      </w:r>
      <w:r w:rsidR="00E70136">
        <w:rPr>
          <w:rFonts w:ascii="Times New Roman" w:hAnsi="Times New Roman"/>
          <w:sz w:val="26"/>
          <w:szCs w:val="26"/>
        </w:rPr>
        <w:t xml:space="preserve"> pursuant to the Partial Settlement.</w:t>
      </w:r>
    </w:p>
    <w:p w:rsidR="00907E2A" w:rsidRDefault="00907E2A" w:rsidP="009702CD">
      <w:pPr>
        <w:contextualSpacing/>
        <w:rPr>
          <w:rFonts w:ascii="Times New Roman" w:hAnsi="Times New Roman"/>
          <w:sz w:val="26"/>
          <w:szCs w:val="26"/>
        </w:rPr>
      </w:pPr>
    </w:p>
    <w:p w:rsidR="00907E2A" w:rsidRPr="00907E2A" w:rsidRDefault="00907E2A" w:rsidP="009702CD">
      <w:pPr>
        <w:contextualSpacing/>
        <w:rPr>
          <w:rFonts w:ascii="Times New Roman" w:hAnsi="Times New Roman"/>
          <w:b/>
          <w:sz w:val="26"/>
          <w:szCs w:val="26"/>
        </w:rPr>
      </w:pPr>
      <w:r w:rsidRPr="00907E2A">
        <w:rPr>
          <w:rFonts w:ascii="Times New Roman" w:hAnsi="Times New Roman"/>
          <w:b/>
          <w:sz w:val="26"/>
          <w:szCs w:val="26"/>
        </w:rPr>
        <w:t>A.</w:t>
      </w:r>
      <w:r w:rsidRPr="00907E2A">
        <w:rPr>
          <w:rFonts w:ascii="Times New Roman" w:hAnsi="Times New Roman"/>
          <w:b/>
          <w:sz w:val="26"/>
          <w:szCs w:val="26"/>
        </w:rPr>
        <w:tab/>
        <w:t>Procurement and Rate Design</w:t>
      </w:r>
    </w:p>
    <w:p w:rsidR="00907E2A" w:rsidRDefault="00907E2A" w:rsidP="009702CD">
      <w:pPr>
        <w:contextualSpacing/>
        <w:rPr>
          <w:rFonts w:ascii="Times New Roman" w:hAnsi="Times New Roman"/>
          <w:sz w:val="26"/>
          <w:szCs w:val="26"/>
        </w:rPr>
      </w:pPr>
    </w:p>
    <w:p w:rsidR="00907E2A" w:rsidRPr="00907E2A" w:rsidRDefault="00907E2A" w:rsidP="009702CD">
      <w:pPr>
        <w:contextualSpacing/>
        <w:rPr>
          <w:rFonts w:ascii="Times New Roman" w:hAnsi="Times New Roman"/>
          <w:b/>
          <w:sz w:val="26"/>
          <w:szCs w:val="26"/>
        </w:rPr>
      </w:pPr>
      <w:r>
        <w:rPr>
          <w:rFonts w:ascii="Times New Roman" w:hAnsi="Times New Roman"/>
          <w:sz w:val="26"/>
          <w:szCs w:val="26"/>
        </w:rPr>
        <w:tab/>
      </w:r>
      <w:r w:rsidRPr="00907E2A">
        <w:rPr>
          <w:rFonts w:ascii="Times New Roman" w:hAnsi="Times New Roman"/>
          <w:b/>
          <w:sz w:val="26"/>
          <w:szCs w:val="26"/>
        </w:rPr>
        <w:t>1.</w:t>
      </w:r>
      <w:r w:rsidRPr="00907E2A">
        <w:rPr>
          <w:rFonts w:ascii="Times New Roman" w:hAnsi="Times New Roman"/>
          <w:b/>
          <w:sz w:val="26"/>
          <w:szCs w:val="26"/>
        </w:rPr>
        <w:tab/>
        <w:t>Residential Fixed-Price Procurement and Rate Design</w:t>
      </w:r>
    </w:p>
    <w:p w:rsidR="00907E2A" w:rsidRDefault="00907E2A" w:rsidP="009702CD">
      <w:pPr>
        <w:contextualSpacing/>
        <w:rPr>
          <w:rFonts w:ascii="Times New Roman" w:hAnsi="Times New Roman"/>
          <w:sz w:val="26"/>
          <w:szCs w:val="26"/>
        </w:rPr>
      </w:pPr>
    </w:p>
    <w:p w:rsidR="00C65C8A" w:rsidRDefault="00C65C8A" w:rsidP="009702CD">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Under the proposed DSP III</w:t>
      </w:r>
      <w:r w:rsidR="00E0127F">
        <w:rPr>
          <w:rFonts w:ascii="Times New Roman" w:hAnsi="Times New Roman"/>
          <w:sz w:val="26"/>
          <w:szCs w:val="26"/>
        </w:rPr>
        <w:t xml:space="preserve"> program</w:t>
      </w:r>
      <w:r>
        <w:rPr>
          <w:rFonts w:ascii="Times New Roman" w:hAnsi="Times New Roman"/>
          <w:sz w:val="26"/>
          <w:szCs w:val="26"/>
        </w:rPr>
        <w:t>, PPL will acquire 100% of the fixed-price Residential customer class default service supply, exclusive of supply previously committed under block contracts for Residential customers,</w:t>
      </w:r>
      <w:r w:rsidR="000A7BF0">
        <w:rPr>
          <w:rStyle w:val="FootnoteReference"/>
          <w:rFonts w:ascii="Times New Roman" w:hAnsi="Times New Roman"/>
          <w:sz w:val="26"/>
          <w:szCs w:val="26"/>
        </w:rPr>
        <w:footnoteReference w:id="3"/>
      </w:r>
      <w:r>
        <w:rPr>
          <w:rFonts w:ascii="Times New Roman" w:hAnsi="Times New Roman"/>
          <w:sz w:val="26"/>
          <w:szCs w:val="26"/>
        </w:rPr>
        <w:t xml:space="preserve"> through a series of load-following, full-requirements contracts with six- and twelve-month terms using a laddering or staggered approach so that all the products are not procured at the same time.  The costs incurred by PPL to provide default service to the Residential customer class will be recovered through the Generation Supply Charge-1 (GSC-1), separately computed with respect to the Residential customer class.  Costs incurred prior to June 1, 2015</w:t>
      </w:r>
      <w:r w:rsidR="00DE4654">
        <w:rPr>
          <w:rFonts w:ascii="Times New Roman" w:hAnsi="Times New Roman"/>
          <w:sz w:val="26"/>
          <w:szCs w:val="26"/>
        </w:rPr>
        <w:t>,</w:t>
      </w:r>
      <w:r>
        <w:rPr>
          <w:rFonts w:ascii="Times New Roman" w:hAnsi="Times New Roman"/>
          <w:sz w:val="26"/>
          <w:szCs w:val="26"/>
        </w:rPr>
        <w:t xml:space="preserve"> related to procurement of supply and other costs related to development and implementation of the DSP III program will be included in the GSC-1, as applicable, and will be amortized ratably over the twenty-four-month term of the DSP III program.  The GSC-1 will be adjusted every six months to reflect the cost of the default service supply contracts in place for the upcoming six-month period</w:t>
      </w:r>
      <w:r w:rsidR="00D17FB3">
        <w:rPr>
          <w:rFonts w:ascii="Times New Roman" w:hAnsi="Times New Roman"/>
          <w:sz w:val="26"/>
          <w:szCs w:val="26"/>
        </w:rPr>
        <w:t>, and will be reconciled every six months for over- and under-recoveries by customer class.  DSP III Petition at 14-15.</w:t>
      </w:r>
    </w:p>
    <w:p w:rsidR="00E0127F" w:rsidRDefault="00E0127F" w:rsidP="00907E2A">
      <w:pPr>
        <w:contextualSpacing/>
        <w:rPr>
          <w:rFonts w:ascii="Times New Roman" w:hAnsi="Times New Roman"/>
          <w:sz w:val="26"/>
          <w:szCs w:val="26"/>
        </w:rPr>
      </w:pPr>
    </w:p>
    <w:p w:rsidR="00E0127F" w:rsidRPr="00E0127F" w:rsidRDefault="00E0127F" w:rsidP="00907E2A">
      <w:pPr>
        <w:contextualSpacing/>
        <w:rPr>
          <w:rFonts w:ascii="Times New Roman" w:hAnsi="Times New Roman"/>
          <w:b/>
          <w:sz w:val="26"/>
          <w:szCs w:val="26"/>
        </w:rPr>
      </w:pPr>
      <w:r>
        <w:rPr>
          <w:rFonts w:ascii="Times New Roman" w:hAnsi="Times New Roman"/>
          <w:sz w:val="26"/>
          <w:szCs w:val="26"/>
        </w:rPr>
        <w:lastRenderedPageBreak/>
        <w:tab/>
      </w:r>
      <w:r w:rsidRPr="00E0127F">
        <w:rPr>
          <w:rFonts w:ascii="Times New Roman" w:hAnsi="Times New Roman"/>
          <w:b/>
          <w:sz w:val="26"/>
          <w:szCs w:val="26"/>
        </w:rPr>
        <w:t>2.</w:t>
      </w:r>
      <w:r w:rsidRPr="00E0127F">
        <w:rPr>
          <w:rFonts w:ascii="Times New Roman" w:hAnsi="Times New Roman"/>
          <w:b/>
          <w:sz w:val="26"/>
          <w:szCs w:val="26"/>
        </w:rPr>
        <w:tab/>
        <w:t>Small C&amp;I Fixed-Price Procurement and Rate Design</w:t>
      </w:r>
    </w:p>
    <w:p w:rsidR="00E0127F" w:rsidRDefault="00E0127F" w:rsidP="00907E2A">
      <w:pPr>
        <w:contextualSpacing/>
        <w:rPr>
          <w:rFonts w:ascii="Times New Roman" w:hAnsi="Times New Roman"/>
          <w:sz w:val="26"/>
          <w:szCs w:val="26"/>
        </w:rPr>
      </w:pPr>
    </w:p>
    <w:p w:rsidR="00427AE9" w:rsidRDefault="00E0127F" w:rsidP="00427AE9">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Similar to its proposal for the Residential class, PPL</w:t>
      </w:r>
      <w:r w:rsidR="00A02912">
        <w:rPr>
          <w:rFonts w:ascii="Times New Roman" w:hAnsi="Times New Roman"/>
          <w:sz w:val="26"/>
          <w:szCs w:val="26"/>
        </w:rPr>
        <w:t xml:space="preserve"> will acquire 100% of the Small C&amp;I</w:t>
      </w:r>
      <w:r w:rsidR="00427AE9">
        <w:rPr>
          <w:rFonts w:ascii="Times New Roman" w:hAnsi="Times New Roman"/>
          <w:sz w:val="26"/>
          <w:szCs w:val="26"/>
        </w:rPr>
        <w:t xml:space="preserve"> customer class fixed-priced default service supply through a series of load-following supply contracts with six- and twelve-month terms using a laddering or staggered approach.  The costs incurred by PPL to provide default service to the Small C&amp;I class will be recovered through the GSC-1, separately computed with respect to the Small C&amp;I class.  Costs incurred prior to June 1, 2015</w:t>
      </w:r>
      <w:r w:rsidR="000931B5">
        <w:rPr>
          <w:rFonts w:ascii="Times New Roman" w:hAnsi="Times New Roman"/>
          <w:sz w:val="26"/>
          <w:szCs w:val="26"/>
        </w:rPr>
        <w:t>,</w:t>
      </w:r>
      <w:r w:rsidR="00427AE9">
        <w:rPr>
          <w:rFonts w:ascii="Times New Roman" w:hAnsi="Times New Roman"/>
          <w:sz w:val="26"/>
          <w:szCs w:val="26"/>
        </w:rPr>
        <w:t xml:space="preserve"> related to procurement of supply and other costs related to development and implementation of the DSP III program will be included in the GSC-1, as applicable, and will be amortized ratably over the twenty-four-month term of the DSP III program.  The GSC-1 will be adjusted every six months to reflect the cost of the default service supply contracts in place for the upcoming six-month period, and will be reconciled every six months for over- and under-recoveries by customer class.</w:t>
      </w:r>
      <w:r w:rsidR="00BA7BD3">
        <w:rPr>
          <w:rFonts w:ascii="Times New Roman" w:hAnsi="Times New Roman"/>
          <w:sz w:val="26"/>
          <w:szCs w:val="26"/>
        </w:rPr>
        <w:t xml:space="preserve">  </w:t>
      </w:r>
      <w:r w:rsidR="00BA7BD3" w:rsidRPr="00BA7BD3">
        <w:rPr>
          <w:rFonts w:ascii="Times New Roman" w:hAnsi="Times New Roman"/>
          <w:i/>
          <w:sz w:val="26"/>
          <w:szCs w:val="26"/>
        </w:rPr>
        <w:t>Id</w:t>
      </w:r>
      <w:r w:rsidR="00BA7BD3">
        <w:rPr>
          <w:rFonts w:ascii="Times New Roman" w:hAnsi="Times New Roman"/>
          <w:sz w:val="26"/>
          <w:szCs w:val="26"/>
        </w:rPr>
        <w:t>.</w:t>
      </w:r>
      <w:r w:rsidR="00427AE9">
        <w:rPr>
          <w:rFonts w:ascii="Times New Roman" w:hAnsi="Times New Roman"/>
          <w:sz w:val="26"/>
          <w:szCs w:val="26"/>
        </w:rPr>
        <w:t xml:space="preserve"> at 16-17.</w:t>
      </w:r>
    </w:p>
    <w:p w:rsidR="00902870" w:rsidRDefault="00902870" w:rsidP="00427AE9">
      <w:pPr>
        <w:contextualSpacing/>
        <w:rPr>
          <w:rFonts w:ascii="Times New Roman" w:hAnsi="Times New Roman"/>
          <w:sz w:val="26"/>
          <w:szCs w:val="26"/>
        </w:rPr>
      </w:pPr>
    </w:p>
    <w:p w:rsidR="00902870" w:rsidRDefault="00902870" w:rsidP="00427AE9">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Under PPL</w:t>
      </w:r>
      <w:r w:rsidR="00803C65">
        <w:rPr>
          <w:rFonts w:ascii="Times New Roman" w:hAnsi="Times New Roman"/>
          <w:sz w:val="26"/>
          <w:szCs w:val="26"/>
        </w:rPr>
        <w:t>’</w:t>
      </w:r>
      <w:r>
        <w:rPr>
          <w:rFonts w:ascii="Times New Roman" w:hAnsi="Times New Roman"/>
          <w:sz w:val="26"/>
          <w:szCs w:val="26"/>
        </w:rPr>
        <w:t xml:space="preserve">s DSP II program, the Small C&amp;I class included customers with a peak demand of 500 kW or less.  However, in the DSP II proceeding, </w:t>
      </w:r>
      <w:r w:rsidR="00157120">
        <w:rPr>
          <w:rFonts w:ascii="Times New Roman" w:hAnsi="Times New Roman"/>
          <w:sz w:val="26"/>
          <w:szCs w:val="26"/>
        </w:rPr>
        <w:t>the Company agreed to reduce</w:t>
      </w:r>
      <w:r>
        <w:rPr>
          <w:rFonts w:ascii="Times New Roman" w:hAnsi="Times New Roman"/>
          <w:sz w:val="26"/>
          <w:szCs w:val="26"/>
        </w:rPr>
        <w:t xml:space="preserve"> the </w:t>
      </w:r>
      <w:r w:rsidR="00121527">
        <w:rPr>
          <w:rFonts w:ascii="Times New Roman" w:hAnsi="Times New Roman"/>
          <w:sz w:val="26"/>
          <w:szCs w:val="26"/>
        </w:rPr>
        <w:t>peak demand level for</w:t>
      </w:r>
      <w:r w:rsidR="00157120">
        <w:rPr>
          <w:rFonts w:ascii="Times New Roman" w:hAnsi="Times New Roman"/>
          <w:sz w:val="26"/>
          <w:szCs w:val="26"/>
        </w:rPr>
        <w:t xml:space="preserve"> </w:t>
      </w:r>
      <w:r w:rsidR="00A30117">
        <w:rPr>
          <w:rFonts w:ascii="Times New Roman" w:hAnsi="Times New Roman"/>
          <w:sz w:val="26"/>
          <w:szCs w:val="26"/>
        </w:rPr>
        <w:t xml:space="preserve">the Small C&amp;I class in its next filing.  Accordingly, as discussed more fully below, PPL is </w:t>
      </w:r>
      <w:r w:rsidR="00A30117" w:rsidRPr="00FB6F38">
        <w:rPr>
          <w:rFonts w:ascii="Times New Roman" w:hAnsi="Times New Roman"/>
          <w:sz w:val="26"/>
          <w:szCs w:val="26"/>
        </w:rPr>
        <w:t>proposing to reduce the peak demand limitation for the Small C&amp;I class from 500 kW to 100 kW</w:t>
      </w:r>
      <w:r w:rsidR="0089197B" w:rsidRPr="00FB6F38">
        <w:rPr>
          <w:rFonts w:ascii="Times New Roman" w:hAnsi="Times New Roman"/>
          <w:sz w:val="26"/>
          <w:szCs w:val="26"/>
        </w:rPr>
        <w:t>,</w:t>
      </w:r>
      <w:r w:rsidR="00A30117" w:rsidRPr="00FB6F38">
        <w:rPr>
          <w:rFonts w:ascii="Times New Roman" w:hAnsi="Times New Roman"/>
          <w:sz w:val="26"/>
          <w:szCs w:val="26"/>
        </w:rPr>
        <w:t xml:space="preserve"> consistent with</w:t>
      </w:r>
      <w:r w:rsidR="0089197B" w:rsidRPr="00FB6F38">
        <w:rPr>
          <w:rFonts w:ascii="Times New Roman" w:hAnsi="Times New Roman"/>
          <w:sz w:val="26"/>
          <w:szCs w:val="26"/>
        </w:rPr>
        <w:t xml:space="preserve"> t</w:t>
      </w:r>
      <w:r w:rsidR="00A02912">
        <w:rPr>
          <w:rFonts w:ascii="Times New Roman" w:hAnsi="Times New Roman"/>
          <w:sz w:val="26"/>
          <w:szCs w:val="26"/>
        </w:rPr>
        <w:t>he Commission</w:t>
      </w:r>
      <w:r w:rsidR="00803C65">
        <w:rPr>
          <w:rFonts w:ascii="Times New Roman" w:hAnsi="Times New Roman"/>
          <w:sz w:val="26"/>
          <w:szCs w:val="26"/>
        </w:rPr>
        <w:t>’</w:t>
      </w:r>
      <w:r w:rsidR="00A02912">
        <w:rPr>
          <w:rFonts w:ascii="Times New Roman" w:hAnsi="Times New Roman"/>
          <w:sz w:val="26"/>
          <w:szCs w:val="26"/>
        </w:rPr>
        <w:t>s discussion</w:t>
      </w:r>
      <w:r w:rsidR="0089197B" w:rsidRPr="00FB6F38">
        <w:rPr>
          <w:rFonts w:ascii="Times New Roman" w:hAnsi="Times New Roman"/>
          <w:sz w:val="26"/>
          <w:szCs w:val="26"/>
        </w:rPr>
        <w:t xml:space="preserve"> in</w:t>
      </w:r>
      <w:r w:rsidR="0089197B" w:rsidRPr="00FB6F38">
        <w:rPr>
          <w:rFonts w:ascii="Times New Roman" w:hAnsi="Times New Roman"/>
          <w:i/>
          <w:sz w:val="26"/>
          <w:szCs w:val="26"/>
        </w:rPr>
        <w:t xml:space="preserve"> Investigation of Pennsylvania</w:t>
      </w:r>
      <w:r w:rsidR="00803C65">
        <w:rPr>
          <w:rFonts w:ascii="Times New Roman" w:hAnsi="Times New Roman"/>
          <w:i/>
          <w:sz w:val="26"/>
          <w:szCs w:val="26"/>
        </w:rPr>
        <w:t>’</w:t>
      </w:r>
      <w:r w:rsidR="0089197B" w:rsidRPr="00FB6F38">
        <w:rPr>
          <w:rFonts w:ascii="Times New Roman" w:hAnsi="Times New Roman"/>
          <w:i/>
          <w:sz w:val="26"/>
          <w:szCs w:val="26"/>
        </w:rPr>
        <w:t xml:space="preserve">s Retail Electricity Market: End State of Default Service, </w:t>
      </w:r>
      <w:r w:rsidR="0089197B" w:rsidRPr="00FB6F38">
        <w:rPr>
          <w:rFonts w:ascii="Times New Roman" w:hAnsi="Times New Roman"/>
          <w:sz w:val="26"/>
          <w:szCs w:val="26"/>
        </w:rPr>
        <w:t>Docket No. I-2011-2237952 (Order entered February 15, 2013)</w:t>
      </w:r>
      <w:r w:rsidR="0089197B" w:rsidRPr="00FB6F38">
        <w:rPr>
          <w:rFonts w:ascii="Times New Roman" w:hAnsi="Times New Roman"/>
          <w:i/>
          <w:sz w:val="26"/>
          <w:szCs w:val="26"/>
        </w:rPr>
        <w:t xml:space="preserve"> (End State Order)</w:t>
      </w:r>
      <w:r w:rsidR="00580A0C">
        <w:rPr>
          <w:rFonts w:ascii="Times New Roman" w:hAnsi="Times New Roman"/>
          <w:sz w:val="26"/>
          <w:szCs w:val="26"/>
        </w:rPr>
        <w:t>.</w:t>
      </w:r>
      <w:r w:rsidR="00BA7BD3" w:rsidRPr="00FB6F38">
        <w:rPr>
          <w:rFonts w:ascii="Times New Roman" w:hAnsi="Times New Roman"/>
          <w:sz w:val="26"/>
          <w:szCs w:val="26"/>
        </w:rPr>
        <w:t xml:space="preserve"> </w:t>
      </w:r>
      <w:r w:rsidR="00580A0C">
        <w:rPr>
          <w:rFonts w:ascii="Times New Roman" w:hAnsi="Times New Roman"/>
          <w:sz w:val="26"/>
          <w:szCs w:val="26"/>
        </w:rPr>
        <w:t xml:space="preserve"> DSP III Petition at</w:t>
      </w:r>
      <w:r w:rsidR="00BA7BD3" w:rsidRPr="00FB6F38">
        <w:rPr>
          <w:rFonts w:ascii="Times New Roman" w:hAnsi="Times New Roman"/>
          <w:sz w:val="26"/>
          <w:szCs w:val="26"/>
        </w:rPr>
        <w:t xml:space="preserve"> 16.</w:t>
      </w:r>
    </w:p>
    <w:p w:rsidR="00887450" w:rsidRDefault="00887450" w:rsidP="00427AE9">
      <w:pPr>
        <w:contextualSpacing/>
        <w:rPr>
          <w:rFonts w:ascii="Times New Roman" w:hAnsi="Times New Roman"/>
          <w:sz w:val="26"/>
          <w:szCs w:val="26"/>
        </w:rPr>
      </w:pPr>
    </w:p>
    <w:p w:rsidR="00887450" w:rsidRPr="00887450" w:rsidRDefault="00887450" w:rsidP="00427AE9">
      <w:pPr>
        <w:contextualSpacing/>
        <w:rPr>
          <w:rFonts w:ascii="Times New Roman" w:hAnsi="Times New Roman"/>
          <w:b/>
          <w:sz w:val="26"/>
          <w:szCs w:val="26"/>
        </w:rPr>
      </w:pPr>
      <w:r>
        <w:rPr>
          <w:rFonts w:ascii="Times New Roman" w:hAnsi="Times New Roman"/>
          <w:sz w:val="26"/>
          <w:szCs w:val="26"/>
        </w:rPr>
        <w:tab/>
      </w:r>
      <w:r w:rsidRPr="00887450">
        <w:rPr>
          <w:rFonts w:ascii="Times New Roman" w:hAnsi="Times New Roman"/>
          <w:b/>
          <w:sz w:val="26"/>
          <w:szCs w:val="26"/>
        </w:rPr>
        <w:t>3.</w:t>
      </w:r>
      <w:r w:rsidRPr="00887450">
        <w:rPr>
          <w:rFonts w:ascii="Times New Roman" w:hAnsi="Times New Roman"/>
          <w:b/>
          <w:sz w:val="26"/>
          <w:szCs w:val="26"/>
        </w:rPr>
        <w:tab/>
        <w:t>Large C&amp;I Procurement and Rate Design</w:t>
      </w:r>
    </w:p>
    <w:p w:rsidR="00887450" w:rsidRDefault="00887450" w:rsidP="00427AE9">
      <w:pPr>
        <w:contextualSpacing/>
        <w:rPr>
          <w:rFonts w:ascii="Times New Roman" w:hAnsi="Times New Roman"/>
          <w:sz w:val="26"/>
          <w:szCs w:val="26"/>
        </w:rPr>
      </w:pPr>
    </w:p>
    <w:p w:rsidR="00887450" w:rsidRDefault="001E5B6F" w:rsidP="00427AE9">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For the Large Commercial and Industrial (Large C&amp;I) customer class, PPL is proposing to obtain default service supply on a real-time hourly basis through the PMJ spot market using a single annual solicitation.  These annual procurements will coincide </w:t>
      </w:r>
      <w:r>
        <w:rPr>
          <w:rFonts w:ascii="Times New Roman" w:hAnsi="Times New Roman"/>
          <w:sz w:val="26"/>
          <w:szCs w:val="26"/>
        </w:rPr>
        <w:lastRenderedPageBreak/>
        <w:t>with the PJM planning period, and will be held in April for the upcoming PJM planning period.  The costs incurred by PPL to provide default service to the Large C&amp;I class will be recovered through the Generation Supply Charge-2 (GSC-2)</w:t>
      </w:r>
      <w:r w:rsidR="00274005">
        <w:rPr>
          <w:rFonts w:ascii="Times New Roman" w:hAnsi="Times New Roman"/>
          <w:sz w:val="26"/>
          <w:szCs w:val="26"/>
        </w:rPr>
        <w:t>, which will remain unchanged from the GSC</w:t>
      </w:r>
      <w:r w:rsidR="00786BE9">
        <w:rPr>
          <w:rFonts w:ascii="Times New Roman" w:hAnsi="Times New Roman"/>
          <w:sz w:val="26"/>
          <w:szCs w:val="26"/>
        </w:rPr>
        <w:t>-2 tariff provisions approved under</w:t>
      </w:r>
      <w:r w:rsidR="00274005">
        <w:rPr>
          <w:rFonts w:ascii="Times New Roman" w:hAnsi="Times New Roman"/>
          <w:sz w:val="26"/>
          <w:szCs w:val="26"/>
        </w:rPr>
        <w:t xml:space="preserve"> PPL</w:t>
      </w:r>
      <w:r w:rsidR="00803C65">
        <w:rPr>
          <w:rFonts w:ascii="Times New Roman" w:hAnsi="Times New Roman"/>
          <w:sz w:val="26"/>
          <w:szCs w:val="26"/>
        </w:rPr>
        <w:t>’</w:t>
      </w:r>
      <w:r w:rsidR="00274005">
        <w:rPr>
          <w:rFonts w:ascii="Times New Roman" w:hAnsi="Times New Roman"/>
          <w:sz w:val="26"/>
          <w:szCs w:val="26"/>
        </w:rPr>
        <w:t>s DSP II program.</w:t>
      </w:r>
      <w:r w:rsidR="00121527">
        <w:rPr>
          <w:rFonts w:ascii="Times New Roman" w:hAnsi="Times New Roman"/>
          <w:sz w:val="26"/>
          <w:szCs w:val="26"/>
        </w:rPr>
        <w:t xml:space="preserve">  The GSC-2 will be revised annually, effective June 1, on thirty days advance notice to reflect changes in costs.  The GSC-2 will continue to be reconciled on an annual basis, and any remaining under-/over-collections from the DSP II program will be included in this reconciliation.  </w:t>
      </w:r>
      <w:r w:rsidR="00121527" w:rsidRPr="00121527">
        <w:rPr>
          <w:rFonts w:ascii="Times New Roman" w:hAnsi="Times New Roman"/>
          <w:i/>
          <w:sz w:val="26"/>
          <w:szCs w:val="26"/>
        </w:rPr>
        <w:t>Id</w:t>
      </w:r>
      <w:r w:rsidR="00121527">
        <w:rPr>
          <w:rFonts w:ascii="Times New Roman" w:hAnsi="Times New Roman"/>
          <w:sz w:val="26"/>
          <w:szCs w:val="26"/>
        </w:rPr>
        <w:t>. at 18-19.</w:t>
      </w:r>
    </w:p>
    <w:p w:rsidR="00121527" w:rsidRDefault="00121527" w:rsidP="00427AE9">
      <w:pPr>
        <w:contextualSpacing/>
        <w:rPr>
          <w:rFonts w:ascii="Times New Roman" w:hAnsi="Times New Roman"/>
          <w:sz w:val="26"/>
          <w:szCs w:val="26"/>
        </w:rPr>
      </w:pPr>
    </w:p>
    <w:p w:rsidR="00121527" w:rsidRDefault="00121527" w:rsidP="00121527">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Under PPL</w:t>
      </w:r>
      <w:r w:rsidR="00803C65">
        <w:rPr>
          <w:rFonts w:ascii="Times New Roman" w:hAnsi="Times New Roman"/>
          <w:sz w:val="26"/>
          <w:szCs w:val="26"/>
        </w:rPr>
        <w:t>’</w:t>
      </w:r>
      <w:r>
        <w:rPr>
          <w:rFonts w:ascii="Times New Roman" w:hAnsi="Times New Roman"/>
          <w:sz w:val="26"/>
          <w:szCs w:val="26"/>
        </w:rPr>
        <w:t xml:space="preserve">s DSP II program, the Large C&amp;I class included customers with a peak demand of 500 kW or greater.  However, in the DSP II proceeding, the Company agreed to reduce the peak demand level for the Large C&amp;I class in future filings.  Accordingly, as discussed more fully below, PPL is </w:t>
      </w:r>
      <w:r w:rsidRPr="001336F0">
        <w:rPr>
          <w:rFonts w:ascii="Times New Roman" w:hAnsi="Times New Roman"/>
          <w:sz w:val="26"/>
          <w:szCs w:val="26"/>
        </w:rPr>
        <w:t>proposing to reduce the peak demand minimum for the Large C&amp;I class from 500 kW to 100 kW</w:t>
      </w:r>
      <w:r w:rsidR="001336F0">
        <w:rPr>
          <w:rFonts w:ascii="Times New Roman" w:hAnsi="Times New Roman"/>
          <w:sz w:val="26"/>
          <w:szCs w:val="26"/>
        </w:rPr>
        <w:t>,</w:t>
      </w:r>
      <w:r w:rsidRPr="001336F0">
        <w:rPr>
          <w:rFonts w:ascii="Times New Roman" w:hAnsi="Times New Roman"/>
          <w:sz w:val="26"/>
          <w:szCs w:val="26"/>
        </w:rPr>
        <w:t xml:space="preserve"> consistent with the </w:t>
      </w:r>
      <w:r w:rsidRPr="001336F0">
        <w:rPr>
          <w:rFonts w:ascii="Times New Roman" w:hAnsi="Times New Roman"/>
          <w:i/>
          <w:sz w:val="26"/>
          <w:szCs w:val="26"/>
        </w:rPr>
        <w:t>End State Order</w:t>
      </w:r>
      <w:r w:rsidRPr="001336F0">
        <w:rPr>
          <w:rFonts w:ascii="Times New Roman" w:hAnsi="Times New Roman"/>
          <w:sz w:val="26"/>
          <w:szCs w:val="26"/>
        </w:rPr>
        <w:t xml:space="preserve">.  </w:t>
      </w:r>
      <w:r w:rsidRPr="001336F0">
        <w:rPr>
          <w:rFonts w:ascii="Times New Roman" w:hAnsi="Times New Roman"/>
          <w:i/>
          <w:sz w:val="26"/>
          <w:szCs w:val="26"/>
        </w:rPr>
        <w:t>Id</w:t>
      </w:r>
      <w:r w:rsidR="00321702" w:rsidRPr="001336F0">
        <w:rPr>
          <w:rFonts w:ascii="Times New Roman" w:hAnsi="Times New Roman"/>
          <w:sz w:val="26"/>
          <w:szCs w:val="26"/>
        </w:rPr>
        <w:t>. at 17-18</w:t>
      </w:r>
      <w:r w:rsidRPr="001336F0">
        <w:rPr>
          <w:rFonts w:ascii="Times New Roman" w:hAnsi="Times New Roman"/>
          <w:sz w:val="26"/>
          <w:szCs w:val="26"/>
        </w:rPr>
        <w:t>.</w:t>
      </w:r>
    </w:p>
    <w:p w:rsidR="00321702" w:rsidRDefault="00321702" w:rsidP="00121527">
      <w:pPr>
        <w:contextualSpacing/>
        <w:rPr>
          <w:rFonts w:ascii="Times New Roman" w:hAnsi="Times New Roman"/>
          <w:sz w:val="26"/>
          <w:szCs w:val="26"/>
        </w:rPr>
      </w:pPr>
    </w:p>
    <w:p w:rsidR="00321702" w:rsidRPr="00321702" w:rsidRDefault="00321702" w:rsidP="00E428E5">
      <w:pPr>
        <w:keepNext/>
        <w:contextualSpacing/>
        <w:rPr>
          <w:rFonts w:ascii="Times New Roman" w:hAnsi="Times New Roman"/>
          <w:b/>
          <w:sz w:val="26"/>
          <w:szCs w:val="26"/>
        </w:rPr>
      </w:pPr>
      <w:r>
        <w:rPr>
          <w:rFonts w:ascii="Times New Roman" w:hAnsi="Times New Roman"/>
          <w:sz w:val="26"/>
          <w:szCs w:val="26"/>
        </w:rPr>
        <w:tab/>
      </w:r>
      <w:r w:rsidRPr="00321702">
        <w:rPr>
          <w:rFonts w:ascii="Times New Roman" w:hAnsi="Times New Roman"/>
          <w:b/>
          <w:sz w:val="26"/>
          <w:szCs w:val="26"/>
        </w:rPr>
        <w:t>4.</w:t>
      </w:r>
      <w:r w:rsidRPr="00321702">
        <w:rPr>
          <w:rFonts w:ascii="Times New Roman" w:hAnsi="Times New Roman"/>
          <w:b/>
          <w:sz w:val="26"/>
          <w:szCs w:val="26"/>
        </w:rPr>
        <w:tab/>
        <w:t>Time-of-Use Procurement and Rate Design</w:t>
      </w:r>
    </w:p>
    <w:p w:rsidR="00321702" w:rsidRDefault="00321702" w:rsidP="00E428E5">
      <w:pPr>
        <w:keepNext/>
        <w:contextualSpacing/>
        <w:rPr>
          <w:rFonts w:ascii="Times New Roman" w:hAnsi="Times New Roman"/>
          <w:sz w:val="26"/>
          <w:szCs w:val="26"/>
        </w:rPr>
      </w:pPr>
    </w:p>
    <w:p w:rsidR="00321702" w:rsidRDefault="00C96168" w:rsidP="00121527">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As part of its DSP III program, PPL is proposing to continue the </w:t>
      </w:r>
      <w:r w:rsidR="0068343C">
        <w:rPr>
          <w:rFonts w:ascii="Times New Roman" w:hAnsi="Times New Roman"/>
          <w:sz w:val="26"/>
          <w:szCs w:val="26"/>
        </w:rPr>
        <w:t>Time-of-Use (TOU) p</w:t>
      </w:r>
      <w:r w:rsidR="008D4813">
        <w:rPr>
          <w:rFonts w:ascii="Times New Roman" w:hAnsi="Times New Roman"/>
          <w:sz w:val="26"/>
          <w:szCs w:val="26"/>
        </w:rPr>
        <w:t xml:space="preserve">rogram approved by the Commission in </w:t>
      </w:r>
      <w:r w:rsidR="008D4813" w:rsidRPr="008D4813">
        <w:rPr>
          <w:rFonts w:ascii="Times New Roman" w:hAnsi="Times New Roman"/>
          <w:i/>
          <w:sz w:val="26"/>
          <w:szCs w:val="26"/>
        </w:rPr>
        <w:t xml:space="preserve">Petition of PPL Electric Utilities Corporation for Approval of a New Pilot </w:t>
      </w:r>
      <w:r w:rsidR="008D4813" w:rsidRPr="005D785E">
        <w:rPr>
          <w:rFonts w:ascii="Times New Roman" w:hAnsi="Times New Roman"/>
          <w:i/>
          <w:sz w:val="26"/>
          <w:szCs w:val="26"/>
        </w:rPr>
        <w:t xml:space="preserve">Time-of-Use Program, </w:t>
      </w:r>
      <w:r w:rsidR="008D4813" w:rsidRPr="005D785E">
        <w:rPr>
          <w:rFonts w:ascii="Times New Roman" w:hAnsi="Times New Roman"/>
          <w:sz w:val="26"/>
          <w:szCs w:val="26"/>
        </w:rPr>
        <w:t>Docket No. P-2013-2389572 (Order entered September 11, 2014) (</w:t>
      </w:r>
      <w:r w:rsidR="008D4813" w:rsidRPr="005D785E">
        <w:rPr>
          <w:rFonts w:ascii="Times New Roman" w:hAnsi="Times New Roman"/>
          <w:i/>
          <w:sz w:val="26"/>
          <w:szCs w:val="26"/>
        </w:rPr>
        <w:t>September 2014 TOU Order</w:t>
      </w:r>
      <w:r w:rsidR="008D4813" w:rsidRPr="005D785E">
        <w:rPr>
          <w:rFonts w:ascii="Times New Roman" w:hAnsi="Times New Roman"/>
          <w:sz w:val="26"/>
          <w:szCs w:val="26"/>
        </w:rPr>
        <w:t>).</w:t>
      </w:r>
      <w:r w:rsidR="0068343C" w:rsidRPr="005D785E">
        <w:rPr>
          <w:rFonts w:ascii="Times New Roman" w:hAnsi="Times New Roman"/>
          <w:sz w:val="26"/>
          <w:szCs w:val="26"/>
        </w:rPr>
        <w:t xml:space="preserve">  Under</w:t>
      </w:r>
      <w:r w:rsidR="0068343C">
        <w:rPr>
          <w:rFonts w:ascii="Times New Roman" w:hAnsi="Times New Roman"/>
          <w:sz w:val="26"/>
          <w:szCs w:val="26"/>
        </w:rPr>
        <w:t xml:space="preserve"> the terms of that TOU program, PPL will provide a TOU rate option to customers in its tariff, but will rely on the retail market and</w:t>
      </w:r>
      <w:r w:rsidR="00B11743">
        <w:rPr>
          <w:rFonts w:ascii="Times New Roman" w:hAnsi="Times New Roman"/>
          <w:sz w:val="26"/>
          <w:szCs w:val="26"/>
        </w:rPr>
        <w:t xml:space="preserve"> EGSs</w:t>
      </w:r>
      <w:r w:rsidR="0068343C">
        <w:rPr>
          <w:rFonts w:ascii="Times New Roman" w:hAnsi="Times New Roman"/>
          <w:sz w:val="26"/>
          <w:szCs w:val="26"/>
        </w:rPr>
        <w:t xml:space="preserve"> to provide actual TOU service to customers.  Retail EGSs that choose to participate in the TOU program would offer TOU rate options and provide TOU service to customers in PPL</w:t>
      </w:r>
      <w:r w:rsidR="00803C65">
        <w:rPr>
          <w:rFonts w:ascii="Times New Roman" w:hAnsi="Times New Roman"/>
          <w:sz w:val="26"/>
          <w:szCs w:val="26"/>
        </w:rPr>
        <w:t>’</w:t>
      </w:r>
      <w:r w:rsidR="0068343C">
        <w:rPr>
          <w:rFonts w:ascii="Times New Roman" w:hAnsi="Times New Roman"/>
          <w:sz w:val="26"/>
          <w:szCs w:val="26"/>
        </w:rPr>
        <w:t xml:space="preserve">s service territory.  </w:t>
      </w:r>
      <w:r w:rsidR="000223A1">
        <w:rPr>
          <w:rFonts w:ascii="Times New Roman" w:hAnsi="Times New Roman"/>
          <w:sz w:val="26"/>
          <w:szCs w:val="26"/>
        </w:rPr>
        <w:t>DSP III Petition at 19-22.</w:t>
      </w:r>
    </w:p>
    <w:p w:rsidR="000223A1" w:rsidRDefault="000223A1" w:rsidP="00121527">
      <w:pPr>
        <w:contextualSpacing/>
        <w:rPr>
          <w:rFonts w:ascii="Times New Roman" w:hAnsi="Times New Roman"/>
          <w:sz w:val="26"/>
          <w:szCs w:val="26"/>
        </w:rPr>
      </w:pPr>
    </w:p>
    <w:p w:rsidR="000223A1" w:rsidRPr="005B38D9" w:rsidRDefault="005B38D9" w:rsidP="00E428E5">
      <w:pPr>
        <w:keepNext/>
        <w:contextualSpacing/>
        <w:rPr>
          <w:rFonts w:ascii="Times New Roman" w:hAnsi="Times New Roman"/>
          <w:b/>
          <w:sz w:val="26"/>
          <w:szCs w:val="26"/>
        </w:rPr>
      </w:pPr>
      <w:r>
        <w:rPr>
          <w:rFonts w:ascii="Times New Roman" w:hAnsi="Times New Roman"/>
          <w:sz w:val="26"/>
          <w:szCs w:val="26"/>
        </w:rPr>
        <w:lastRenderedPageBreak/>
        <w:tab/>
      </w:r>
      <w:r w:rsidRPr="005B38D9">
        <w:rPr>
          <w:rFonts w:ascii="Times New Roman" w:hAnsi="Times New Roman"/>
          <w:b/>
          <w:sz w:val="26"/>
          <w:szCs w:val="26"/>
        </w:rPr>
        <w:t>5.</w:t>
      </w:r>
      <w:r w:rsidRPr="005B38D9">
        <w:rPr>
          <w:rFonts w:ascii="Times New Roman" w:hAnsi="Times New Roman"/>
          <w:b/>
          <w:sz w:val="26"/>
          <w:szCs w:val="26"/>
        </w:rPr>
        <w:tab/>
        <w:t>AEPS Procurement</w:t>
      </w:r>
    </w:p>
    <w:p w:rsidR="005B38D9" w:rsidRDefault="005B38D9" w:rsidP="00E428E5">
      <w:pPr>
        <w:keepNext/>
        <w:contextualSpacing/>
        <w:rPr>
          <w:rFonts w:ascii="Times New Roman" w:hAnsi="Times New Roman"/>
          <w:sz w:val="26"/>
          <w:szCs w:val="26"/>
        </w:rPr>
      </w:pPr>
    </w:p>
    <w:p w:rsidR="005B38D9" w:rsidRDefault="005B38D9" w:rsidP="00121527">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Under the DSP III program, PPL will procure certain alternative energy credits (AECs) to meet its obligation under the Alternative Energy Portfolio Standards (AEPS) Act as a component of its fixed-price and spot-market default supply contracts.  The seller must provide its proportional share of AECs to fulfill PPL</w:t>
      </w:r>
      <w:r w:rsidR="00803C65">
        <w:rPr>
          <w:rFonts w:ascii="Times New Roman" w:hAnsi="Times New Roman"/>
          <w:sz w:val="26"/>
          <w:szCs w:val="26"/>
        </w:rPr>
        <w:t>’</w:t>
      </w:r>
      <w:r>
        <w:rPr>
          <w:rFonts w:ascii="Times New Roman" w:hAnsi="Times New Roman"/>
          <w:sz w:val="26"/>
          <w:szCs w:val="26"/>
        </w:rPr>
        <w:t>s AEPS obligation, in accordance with the terms of the Supply Master Agreement (SMA).  Also, the SMA requires the seller to complete its transfer of AECS into PPL</w:t>
      </w:r>
      <w:r w:rsidR="00803C65">
        <w:rPr>
          <w:rFonts w:ascii="Times New Roman" w:hAnsi="Times New Roman"/>
          <w:sz w:val="26"/>
          <w:szCs w:val="26"/>
        </w:rPr>
        <w:t>’</w:t>
      </w:r>
      <w:r>
        <w:rPr>
          <w:rFonts w:ascii="Times New Roman" w:hAnsi="Times New Roman"/>
          <w:sz w:val="26"/>
          <w:szCs w:val="26"/>
        </w:rPr>
        <w:t>s Generation Attribute Tracking System (GATS) account(s) in the amount necessary to fulfill the seller</w:t>
      </w:r>
      <w:r w:rsidR="00803C65">
        <w:rPr>
          <w:rFonts w:ascii="Times New Roman" w:hAnsi="Times New Roman"/>
          <w:sz w:val="26"/>
          <w:szCs w:val="26"/>
        </w:rPr>
        <w:t>’</w:t>
      </w:r>
      <w:r>
        <w:rPr>
          <w:rFonts w:ascii="Times New Roman" w:hAnsi="Times New Roman"/>
          <w:sz w:val="26"/>
          <w:szCs w:val="26"/>
        </w:rPr>
        <w:t xml:space="preserve">s AEPS obligation, pursuant to the schedule set forth in the SMA.  </w:t>
      </w:r>
      <w:r w:rsidRPr="005B38D9">
        <w:rPr>
          <w:rFonts w:ascii="Times New Roman" w:hAnsi="Times New Roman"/>
          <w:i/>
          <w:sz w:val="26"/>
          <w:szCs w:val="26"/>
        </w:rPr>
        <w:t>Id</w:t>
      </w:r>
      <w:r>
        <w:rPr>
          <w:rFonts w:ascii="Times New Roman" w:hAnsi="Times New Roman"/>
          <w:sz w:val="26"/>
          <w:szCs w:val="26"/>
        </w:rPr>
        <w:t>. at 22-23.</w:t>
      </w:r>
    </w:p>
    <w:p w:rsidR="005B38D9" w:rsidRDefault="005B38D9" w:rsidP="00121527">
      <w:pPr>
        <w:contextualSpacing/>
        <w:rPr>
          <w:rFonts w:ascii="Times New Roman" w:hAnsi="Times New Roman"/>
          <w:sz w:val="26"/>
          <w:szCs w:val="26"/>
        </w:rPr>
      </w:pPr>
    </w:p>
    <w:p w:rsidR="005B38D9" w:rsidRDefault="005B38D9" w:rsidP="00121527">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PPL previously acquired long-term solar Ti</w:t>
      </w:r>
      <w:r w:rsidR="0031679C">
        <w:rPr>
          <w:rFonts w:ascii="Times New Roman" w:hAnsi="Times New Roman"/>
          <w:sz w:val="26"/>
          <w:szCs w:val="26"/>
        </w:rPr>
        <w:t>er I AECs associated with its 10</w:t>
      </w:r>
      <w:r w:rsidR="00E428E5">
        <w:rPr>
          <w:rFonts w:ascii="Times New Roman" w:hAnsi="Times New Roman"/>
          <w:sz w:val="26"/>
          <w:szCs w:val="26"/>
        </w:rPr>
        <w:noBreakHyphen/>
      </w:r>
      <w:r>
        <w:rPr>
          <w:rFonts w:ascii="Times New Roman" w:hAnsi="Times New Roman"/>
          <w:sz w:val="26"/>
          <w:szCs w:val="26"/>
        </w:rPr>
        <w:t>year, 50 MW block product in its DSP I program.  PPL may also need to acquire additional Tier I non-solar and Tier II AECs to cover the period from June 1, 2015</w:t>
      </w:r>
      <w:r w:rsidR="00B37185">
        <w:rPr>
          <w:rFonts w:ascii="Times New Roman" w:hAnsi="Times New Roman"/>
          <w:sz w:val="26"/>
          <w:szCs w:val="26"/>
        </w:rPr>
        <w:t>,</w:t>
      </w:r>
      <w:r>
        <w:rPr>
          <w:rFonts w:ascii="Times New Roman" w:hAnsi="Times New Roman"/>
          <w:sz w:val="26"/>
          <w:szCs w:val="26"/>
        </w:rPr>
        <w:t xml:space="preserve"> through May</w:t>
      </w:r>
      <w:r w:rsidR="0031679C">
        <w:rPr>
          <w:rFonts w:ascii="Times New Roman" w:hAnsi="Times New Roman"/>
          <w:sz w:val="26"/>
          <w:szCs w:val="26"/>
        </w:rPr>
        <w:t xml:space="preserve"> 31, 2017, associated with its 10-</w:t>
      </w:r>
      <w:r>
        <w:rPr>
          <w:rFonts w:ascii="Times New Roman" w:hAnsi="Times New Roman"/>
          <w:sz w:val="26"/>
          <w:szCs w:val="26"/>
        </w:rPr>
        <w:t>year long-term product obligation.  Because PPL only needs to acquire additional AECs to cover 50 MW of supply, it proposes to continue the practice pu</w:t>
      </w:r>
      <w:r w:rsidR="006E101A">
        <w:rPr>
          <w:rFonts w:ascii="Times New Roman" w:hAnsi="Times New Roman"/>
          <w:sz w:val="26"/>
          <w:szCs w:val="26"/>
        </w:rPr>
        <w:t>t</w:t>
      </w:r>
      <w:r>
        <w:rPr>
          <w:rFonts w:ascii="Times New Roman" w:hAnsi="Times New Roman"/>
          <w:sz w:val="26"/>
          <w:szCs w:val="26"/>
        </w:rPr>
        <w:t xml:space="preserve"> in place under DSP II of soliciting at least three pricing offers from AEC brokers in June of 2015 and 2016 for Tier I non-solar and Tier II credits required to cover this long-term contract obligation.  PPL will accept the least cost offer and will document the entire process, including the brokers contacted and price offerings by AEC vintage.</w:t>
      </w:r>
      <w:r w:rsidR="00606307">
        <w:rPr>
          <w:rFonts w:ascii="Times New Roman" w:hAnsi="Times New Roman"/>
          <w:sz w:val="26"/>
          <w:szCs w:val="26"/>
        </w:rPr>
        <w:t xml:space="preserve">  All AEC transf</w:t>
      </w:r>
      <w:r>
        <w:rPr>
          <w:rFonts w:ascii="Times New Roman" w:hAnsi="Times New Roman"/>
          <w:sz w:val="26"/>
          <w:szCs w:val="26"/>
        </w:rPr>
        <w:t>ers will take place through PJM GATS.</w:t>
      </w:r>
      <w:r w:rsidR="00606307">
        <w:rPr>
          <w:rFonts w:ascii="Times New Roman" w:hAnsi="Times New Roman"/>
          <w:sz w:val="26"/>
          <w:szCs w:val="26"/>
        </w:rPr>
        <w:t xml:space="preserve">  The quantities of AECs procured will be sized such that no significant b</w:t>
      </w:r>
      <w:r w:rsidR="0031679C">
        <w:rPr>
          <w:rFonts w:ascii="Times New Roman" w:hAnsi="Times New Roman"/>
          <w:sz w:val="26"/>
          <w:szCs w:val="26"/>
        </w:rPr>
        <w:t>anking will take place, and</w:t>
      </w:r>
      <w:r w:rsidR="00606307">
        <w:rPr>
          <w:rFonts w:ascii="Times New Roman" w:hAnsi="Times New Roman"/>
          <w:sz w:val="26"/>
          <w:szCs w:val="26"/>
        </w:rPr>
        <w:t xml:space="preserve"> cost recovery takes place on a current basis for those AECs purchased by the compliance period.  The costs incurred to procure the AECs will be recovered through the GSC-1, which is the cost recovery method used under DSP II.  </w:t>
      </w:r>
      <w:r w:rsidR="00606307" w:rsidRPr="00606307">
        <w:rPr>
          <w:rFonts w:ascii="Times New Roman" w:hAnsi="Times New Roman"/>
          <w:i/>
          <w:sz w:val="26"/>
          <w:szCs w:val="26"/>
        </w:rPr>
        <w:t>Id</w:t>
      </w:r>
      <w:r w:rsidR="00606307">
        <w:rPr>
          <w:rFonts w:ascii="Times New Roman" w:hAnsi="Times New Roman"/>
          <w:sz w:val="26"/>
          <w:szCs w:val="26"/>
        </w:rPr>
        <w:t>. at 23.</w:t>
      </w:r>
    </w:p>
    <w:p w:rsidR="00606307" w:rsidRDefault="00606307" w:rsidP="00121527">
      <w:pPr>
        <w:contextualSpacing/>
        <w:rPr>
          <w:rFonts w:ascii="Times New Roman" w:hAnsi="Times New Roman"/>
          <w:sz w:val="26"/>
          <w:szCs w:val="26"/>
        </w:rPr>
      </w:pPr>
    </w:p>
    <w:p w:rsidR="00606307" w:rsidRPr="00606307" w:rsidRDefault="00606307" w:rsidP="00091B8C">
      <w:pPr>
        <w:keepNext/>
        <w:contextualSpacing/>
        <w:rPr>
          <w:rFonts w:ascii="Times New Roman" w:hAnsi="Times New Roman"/>
          <w:b/>
          <w:sz w:val="26"/>
          <w:szCs w:val="26"/>
        </w:rPr>
      </w:pPr>
      <w:r w:rsidRPr="00606307">
        <w:rPr>
          <w:rFonts w:ascii="Times New Roman" w:hAnsi="Times New Roman"/>
          <w:b/>
          <w:sz w:val="26"/>
          <w:szCs w:val="26"/>
        </w:rPr>
        <w:lastRenderedPageBreak/>
        <w:t>B.</w:t>
      </w:r>
      <w:r w:rsidRPr="00606307">
        <w:rPr>
          <w:rFonts w:ascii="Times New Roman" w:hAnsi="Times New Roman"/>
          <w:b/>
          <w:sz w:val="26"/>
          <w:szCs w:val="26"/>
        </w:rPr>
        <w:tab/>
        <w:t>DSP III Program RFP Process</w:t>
      </w:r>
    </w:p>
    <w:p w:rsidR="00606307" w:rsidRDefault="00606307" w:rsidP="00091B8C">
      <w:pPr>
        <w:keepNext/>
        <w:contextualSpacing/>
        <w:rPr>
          <w:rFonts w:ascii="Times New Roman" w:hAnsi="Times New Roman"/>
          <w:sz w:val="26"/>
          <w:szCs w:val="26"/>
        </w:rPr>
      </w:pPr>
    </w:p>
    <w:p w:rsidR="00606307" w:rsidRDefault="00AD47F7" w:rsidP="00091B8C">
      <w:pPr>
        <w:keepNext/>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PPL will implement its DSP III program by holding solicitations pursuant to a request for proposals </w:t>
      </w:r>
      <w:r w:rsidR="00CF5942">
        <w:rPr>
          <w:rFonts w:ascii="Times New Roman" w:hAnsi="Times New Roman"/>
          <w:sz w:val="26"/>
          <w:szCs w:val="26"/>
        </w:rPr>
        <w:t>(RFP) to obtain the default service products for the Residential, Small C&amp;I, and Large C&amp;I customer classes, from competitive wholesale power suppliers.</w:t>
      </w:r>
      <w:r w:rsidR="00CF5942">
        <w:rPr>
          <w:rStyle w:val="FootnoteReference"/>
          <w:rFonts w:ascii="Times New Roman" w:hAnsi="Times New Roman"/>
          <w:sz w:val="26"/>
          <w:szCs w:val="26"/>
        </w:rPr>
        <w:footnoteReference w:id="4"/>
      </w:r>
      <w:r w:rsidR="001A6D9B">
        <w:rPr>
          <w:rFonts w:ascii="Times New Roman" w:hAnsi="Times New Roman"/>
          <w:sz w:val="26"/>
          <w:szCs w:val="26"/>
        </w:rPr>
        <w:t xml:space="preserve">  Separate bids will be solicited for each customer class.  After receiving Commission approval of the solicitation results, PPL will execute transaction confirmations with the winning suppliers.  The prices in the resulting wholesale supply agreements will form the basis of the rates charged to each of the customer classes.</w:t>
      </w:r>
      <w:r w:rsidR="006E101A">
        <w:rPr>
          <w:rFonts w:ascii="Times New Roman" w:hAnsi="Times New Roman"/>
          <w:sz w:val="26"/>
          <w:szCs w:val="26"/>
        </w:rPr>
        <w:t xml:space="preserve">  </w:t>
      </w:r>
      <w:r w:rsidR="006E101A" w:rsidRPr="006E101A">
        <w:rPr>
          <w:rFonts w:ascii="Times New Roman" w:hAnsi="Times New Roman"/>
          <w:i/>
          <w:sz w:val="26"/>
          <w:szCs w:val="26"/>
        </w:rPr>
        <w:t>Id</w:t>
      </w:r>
      <w:r w:rsidR="006E101A">
        <w:rPr>
          <w:rFonts w:ascii="Times New Roman" w:hAnsi="Times New Roman"/>
          <w:sz w:val="26"/>
          <w:szCs w:val="26"/>
        </w:rPr>
        <w:t>.</w:t>
      </w:r>
      <w:r w:rsidR="00E428E5">
        <w:rPr>
          <w:rFonts w:ascii="Times New Roman" w:hAnsi="Times New Roman"/>
          <w:sz w:val="26"/>
          <w:szCs w:val="26"/>
        </w:rPr>
        <w:t> </w:t>
      </w:r>
      <w:r w:rsidR="006E101A">
        <w:rPr>
          <w:rFonts w:ascii="Times New Roman" w:hAnsi="Times New Roman"/>
          <w:sz w:val="26"/>
          <w:szCs w:val="26"/>
        </w:rPr>
        <w:t>at</w:t>
      </w:r>
      <w:r w:rsidR="00E428E5">
        <w:rPr>
          <w:rFonts w:ascii="Times New Roman" w:hAnsi="Times New Roman"/>
          <w:sz w:val="26"/>
          <w:szCs w:val="26"/>
        </w:rPr>
        <w:t> </w:t>
      </w:r>
      <w:r w:rsidR="006E101A">
        <w:rPr>
          <w:rFonts w:ascii="Times New Roman" w:hAnsi="Times New Roman"/>
          <w:sz w:val="26"/>
          <w:szCs w:val="26"/>
        </w:rPr>
        <w:t>25-26.</w:t>
      </w:r>
    </w:p>
    <w:p w:rsidR="006E101A" w:rsidRDefault="006E101A" w:rsidP="00121527">
      <w:pPr>
        <w:contextualSpacing/>
        <w:rPr>
          <w:rFonts w:ascii="Times New Roman" w:hAnsi="Times New Roman"/>
          <w:sz w:val="26"/>
          <w:szCs w:val="26"/>
        </w:rPr>
      </w:pPr>
    </w:p>
    <w:p w:rsidR="006E101A" w:rsidRDefault="006E101A" w:rsidP="00121527">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Each solicitation will be designed to procure a percentage of the fixed-price default service load for each customer class, which percentage will be further divided into </w:t>
      </w:r>
      <w:r w:rsidR="00803C65">
        <w:rPr>
          <w:rFonts w:ascii="Times New Roman" w:hAnsi="Times New Roman"/>
          <w:sz w:val="26"/>
          <w:szCs w:val="26"/>
        </w:rPr>
        <w:t>“</w:t>
      </w:r>
      <w:r>
        <w:rPr>
          <w:rFonts w:ascii="Times New Roman" w:hAnsi="Times New Roman"/>
          <w:sz w:val="26"/>
          <w:szCs w:val="26"/>
        </w:rPr>
        <w:t>tranches</w:t>
      </w:r>
      <w:r w:rsidR="00525396">
        <w:rPr>
          <w:rFonts w:ascii="Times New Roman" w:hAnsi="Times New Roman"/>
          <w:sz w:val="26"/>
          <w:szCs w:val="26"/>
        </w:rPr>
        <w:t>.</w:t>
      </w:r>
      <w:r w:rsidR="00803C65">
        <w:rPr>
          <w:rFonts w:ascii="Times New Roman" w:hAnsi="Times New Roman"/>
          <w:sz w:val="26"/>
          <w:szCs w:val="26"/>
        </w:rPr>
        <w:t>”</w:t>
      </w:r>
      <w:r w:rsidR="00525396">
        <w:rPr>
          <w:rFonts w:ascii="Times New Roman" w:hAnsi="Times New Roman"/>
          <w:sz w:val="26"/>
          <w:szCs w:val="26"/>
        </w:rPr>
        <w:t xml:space="preserve">  Each winning supplier must provide all products and services required by the Company to fulfill its obligations as default service provider.  However, an individual bidder cannot bid on more than 85% of the available tranches for a customer class offered in each solicitation.</w:t>
      </w:r>
      <w:r w:rsidR="0005322B">
        <w:rPr>
          <w:rFonts w:ascii="Times New Roman" w:hAnsi="Times New Roman"/>
          <w:sz w:val="26"/>
          <w:szCs w:val="26"/>
        </w:rPr>
        <w:t xml:space="preserve">  In addition, for the Residential and Small C&amp;I customer classes, an individual bidder cannot supply more than 50% of the default service load for a class during the DSP III period.</w:t>
      </w:r>
      <w:r w:rsidR="00291678">
        <w:rPr>
          <w:rFonts w:ascii="Times New Roman" w:hAnsi="Times New Roman"/>
          <w:sz w:val="26"/>
          <w:szCs w:val="26"/>
        </w:rPr>
        <w:t xml:space="preserve">  </w:t>
      </w:r>
      <w:r w:rsidR="00291678" w:rsidRPr="00291678">
        <w:rPr>
          <w:rFonts w:ascii="Times New Roman" w:hAnsi="Times New Roman"/>
          <w:i/>
          <w:sz w:val="26"/>
          <w:szCs w:val="26"/>
        </w:rPr>
        <w:t>Id</w:t>
      </w:r>
      <w:r w:rsidR="00291678">
        <w:rPr>
          <w:rFonts w:ascii="Times New Roman" w:hAnsi="Times New Roman"/>
          <w:sz w:val="26"/>
          <w:szCs w:val="26"/>
        </w:rPr>
        <w:t>. at 26-28.</w:t>
      </w:r>
    </w:p>
    <w:p w:rsidR="00C40654" w:rsidRDefault="00C40654" w:rsidP="00121527">
      <w:pPr>
        <w:contextualSpacing/>
        <w:rPr>
          <w:rFonts w:ascii="Times New Roman" w:hAnsi="Times New Roman"/>
          <w:sz w:val="26"/>
          <w:szCs w:val="26"/>
        </w:rPr>
      </w:pPr>
    </w:p>
    <w:p w:rsidR="00C40654" w:rsidRPr="00C40654" w:rsidRDefault="00C40654" w:rsidP="00121527">
      <w:pPr>
        <w:contextualSpacing/>
        <w:rPr>
          <w:rFonts w:ascii="Times New Roman" w:hAnsi="Times New Roman"/>
          <w:b/>
          <w:sz w:val="26"/>
          <w:szCs w:val="26"/>
        </w:rPr>
      </w:pPr>
      <w:r w:rsidRPr="00C40654">
        <w:rPr>
          <w:rFonts w:ascii="Times New Roman" w:hAnsi="Times New Roman"/>
          <w:b/>
          <w:sz w:val="26"/>
          <w:szCs w:val="26"/>
        </w:rPr>
        <w:t>C.</w:t>
      </w:r>
      <w:r w:rsidRPr="00C40654">
        <w:rPr>
          <w:rFonts w:ascii="Times New Roman" w:hAnsi="Times New Roman"/>
          <w:b/>
          <w:sz w:val="26"/>
          <w:szCs w:val="26"/>
        </w:rPr>
        <w:tab/>
        <w:t>Supply Master Agreement</w:t>
      </w:r>
    </w:p>
    <w:p w:rsidR="00C40654" w:rsidRDefault="00C40654" w:rsidP="00121527">
      <w:pPr>
        <w:contextualSpacing/>
        <w:rPr>
          <w:rFonts w:ascii="Times New Roman" w:hAnsi="Times New Roman"/>
          <w:sz w:val="26"/>
          <w:szCs w:val="26"/>
        </w:rPr>
      </w:pPr>
    </w:p>
    <w:p w:rsidR="00C40654" w:rsidRDefault="00F517DB" w:rsidP="00121527">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PPL</w:t>
      </w:r>
      <w:r w:rsidR="00803C65">
        <w:rPr>
          <w:rFonts w:ascii="Times New Roman" w:hAnsi="Times New Roman"/>
          <w:sz w:val="26"/>
          <w:szCs w:val="26"/>
        </w:rPr>
        <w:t>’</w:t>
      </w:r>
      <w:r>
        <w:rPr>
          <w:rFonts w:ascii="Times New Roman" w:hAnsi="Times New Roman"/>
          <w:sz w:val="26"/>
          <w:szCs w:val="26"/>
        </w:rPr>
        <w:t xml:space="preserve">s proposed SMA is generally based on the current draft of the uniform supply master agreement developed by the Procurement Collaboration Working Group, </w:t>
      </w:r>
      <w:r>
        <w:rPr>
          <w:rFonts w:ascii="Times New Roman" w:hAnsi="Times New Roman"/>
          <w:sz w:val="26"/>
          <w:szCs w:val="26"/>
        </w:rPr>
        <w:lastRenderedPageBreak/>
        <w:t>in which PPL participated.  PPL stated that its proposed SMA is also based on lessons learned from the SMA approved under its DSP II program.</w:t>
      </w:r>
      <w:r>
        <w:rPr>
          <w:rStyle w:val="FootnoteReference"/>
          <w:rFonts w:ascii="Times New Roman" w:hAnsi="Times New Roman"/>
          <w:sz w:val="26"/>
          <w:szCs w:val="26"/>
        </w:rPr>
        <w:footnoteReference w:id="5"/>
      </w:r>
      <w:r>
        <w:rPr>
          <w:rFonts w:ascii="Times New Roman" w:hAnsi="Times New Roman"/>
          <w:sz w:val="26"/>
          <w:szCs w:val="26"/>
        </w:rPr>
        <w:t xml:space="preserve">  </w:t>
      </w:r>
      <w:r w:rsidRPr="00F517DB">
        <w:rPr>
          <w:rFonts w:ascii="Times New Roman" w:hAnsi="Times New Roman"/>
          <w:i/>
          <w:sz w:val="26"/>
          <w:szCs w:val="26"/>
        </w:rPr>
        <w:t>Id</w:t>
      </w:r>
      <w:r>
        <w:rPr>
          <w:rFonts w:ascii="Times New Roman" w:hAnsi="Times New Roman"/>
          <w:sz w:val="26"/>
          <w:szCs w:val="26"/>
        </w:rPr>
        <w:t xml:space="preserve">. at 29.  </w:t>
      </w:r>
    </w:p>
    <w:p w:rsidR="009E59BA" w:rsidRDefault="009E59BA" w:rsidP="00121527">
      <w:pPr>
        <w:contextualSpacing/>
        <w:rPr>
          <w:rFonts w:ascii="Times New Roman" w:hAnsi="Times New Roman"/>
          <w:sz w:val="26"/>
          <w:szCs w:val="26"/>
        </w:rPr>
      </w:pPr>
    </w:p>
    <w:p w:rsidR="009E59BA" w:rsidRPr="009E59BA" w:rsidRDefault="009E59BA" w:rsidP="00121527">
      <w:pPr>
        <w:contextualSpacing/>
        <w:rPr>
          <w:rFonts w:ascii="Times New Roman" w:hAnsi="Times New Roman"/>
          <w:b/>
          <w:sz w:val="26"/>
          <w:szCs w:val="26"/>
        </w:rPr>
      </w:pPr>
      <w:r w:rsidRPr="009E59BA">
        <w:rPr>
          <w:rFonts w:ascii="Times New Roman" w:hAnsi="Times New Roman"/>
          <w:b/>
          <w:sz w:val="26"/>
          <w:szCs w:val="26"/>
        </w:rPr>
        <w:t>D.</w:t>
      </w:r>
      <w:r w:rsidRPr="009E59BA">
        <w:rPr>
          <w:rFonts w:ascii="Times New Roman" w:hAnsi="Times New Roman"/>
          <w:b/>
          <w:sz w:val="26"/>
          <w:szCs w:val="26"/>
        </w:rPr>
        <w:tab/>
        <w:t>Third-Party Manager</w:t>
      </w:r>
    </w:p>
    <w:p w:rsidR="009E59BA" w:rsidRDefault="009E59BA" w:rsidP="00121527">
      <w:pPr>
        <w:contextualSpacing/>
        <w:rPr>
          <w:rFonts w:ascii="Times New Roman" w:hAnsi="Times New Roman"/>
          <w:sz w:val="26"/>
          <w:szCs w:val="26"/>
        </w:rPr>
      </w:pPr>
    </w:p>
    <w:p w:rsidR="009E59BA" w:rsidRDefault="006937BD" w:rsidP="00121527">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PPL has retained NERA </w:t>
      </w:r>
      <w:r w:rsidR="00036705">
        <w:rPr>
          <w:rFonts w:ascii="Times New Roman" w:hAnsi="Times New Roman"/>
          <w:sz w:val="26"/>
          <w:szCs w:val="26"/>
        </w:rPr>
        <w:t xml:space="preserve">Economic Consulting (NERA) </w:t>
      </w:r>
      <w:r>
        <w:rPr>
          <w:rFonts w:ascii="Times New Roman" w:hAnsi="Times New Roman"/>
          <w:sz w:val="26"/>
          <w:szCs w:val="26"/>
        </w:rPr>
        <w:t>as the independent</w:t>
      </w:r>
      <w:r w:rsidR="00E2478B">
        <w:rPr>
          <w:rFonts w:ascii="Times New Roman" w:hAnsi="Times New Roman"/>
          <w:sz w:val="26"/>
          <w:szCs w:val="26"/>
        </w:rPr>
        <w:t xml:space="preserve"> third-party to administer each </w:t>
      </w:r>
      <w:r>
        <w:rPr>
          <w:rFonts w:ascii="Times New Roman" w:hAnsi="Times New Roman"/>
          <w:sz w:val="26"/>
          <w:szCs w:val="26"/>
        </w:rPr>
        <w:t xml:space="preserve">procurement, analyze the results of the solicitations for each customer class, select the supplier(s) that will provide services at the lowest cost, and submit all necessary reports to the Commission.  PPL noted that NERA has successfully administered its Competitive Bridge Plan and its DSP I and DSP II program procurements.  According to PPL, using NERA as a third-party procurement manager, as opposed to providing this service internally, will result in lower costs to customers.  </w:t>
      </w:r>
      <w:r w:rsidRPr="006937BD">
        <w:rPr>
          <w:rFonts w:ascii="Times New Roman" w:hAnsi="Times New Roman"/>
          <w:i/>
          <w:sz w:val="26"/>
          <w:szCs w:val="26"/>
        </w:rPr>
        <w:t>Id</w:t>
      </w:r>
      <w:r>
        <w:rPr>
          <w:rFonts w:ascii="Times New Roman" w:hAnsi="Times New Roman"/>
          <w:sz w:val="26"/>
          <w:szCs w:val="26"/>
        </w:rPr>
        <w:t>.</w:t>
      </w:r>
    </w:p>
    <w:p w:rsidR="001B01A4" w:rsidRDefault="001B01A4" w:rsidP="00121527">
      <w:pPr>
        <w:contextualSpacing/>
        <w:rPr>
          <w:rFonts w:ascii="Times New Roman" w:hAnsi="Times New Roman"/>
          <w:sz w:val="26"/>
          <w:szCs w:val="26"/>
        </w:rPr>
      </w:pPr>
    </w:p>
    <w:p w:rsidR="001B01A4" w:rsidRPr="001B01A4" w:rsidRDefault="001B01A4" w:rsidP="00121527">
      <w:pPr>
        <w:contextualSpacing/>
        <w:rPr>
          <w:rFonts w:ascii="Times New Roman" w:hAnsi="Times New Roman"/>
          <w:b/>
          <w:sz w:val="26"/>
          <w:szCs w:val="26"/>
        </w:rPr>
      </w:pPr>
      <w:r w:rsidRPr="001B01A4">
        <w:rPr>
          <w:rFonts w:ascii="Times New Roman" w:hAnsi="Times New Roman"/>
          <w:b/>
          <w:sz w:val="26"/>
          <w:szCs w:val="26"/>
        </w:rPr>
        <w:t>E.</w:t>
      </w:r>
      <w:r w:rsidRPr="001B01A4">
        <w:rPr>
          <w:rFonts w:ascii="Times New Roman" w:hAnsi="Times New Roman"/>
          <w:b/>
          <w:sz w:val="26"/>
          <w:szCs w:val="26"/>
        </w:rPr>
        <w:tab/>
        <w:t>RTO Compliance</w:t>
      </w:r>
    </w:p>
    <w:p w:rsidR="001B01A4" w:rsidRDefault="001B01A4" w:rsidP="00121527">
      <w:pPr>
        <w:contextualSpacing/>
        <w:rPr>
          <w:rFonts w:ascii="Times New Roman" w:hAnsi="Times New Roman"/>
          <w:sz w:val="26"/>
          <w:szCs w:val="26"/>
        </w:rPr>
      </w:pPr>
    </w:p>
    <w:p w:rsidR="001B01A4" w:rsidRDefault="00940AFD" w:rsidP="00121527">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PPL asserted that its proposed SMA and RFP Rules require that both PPL and any bidder in the </w:t>
      </w:r>
      <w:r w:rsidRPr="00E2478B">
        <w:rPr>
          <w:rFonts w:ascii="Times New Roman" w:hAnsi="Times New Roman"/>
          <w:sz w:val="26"/>
          <w:szCs w:val="26"/>
        </w:rPr>
        <w:t>procurement process must be in compliance with PJM requirements, consistent with 52 Pa. Code §</w:t>
      </w:r>
      <w:r w:rsidR="00D856F5" w:rsidRPr="00E2478B">
        <w:rPr>
          <w:rFonts w:ascii="Times New Roman" w:hAnsi="Times New Roman"/>
          <w:sz w:val="26"/>
          <w:szCs w:val="26"/>
        </w:rPr>
        <w:t xml:space="preserve"> 54.185(e</w:t>
      </w:r>
      <w:r w:rsidRPr="00E2478B">
        <w:rPr>
          <w:rFonts w:ascii="Times New Roman" w:hAnsi="Times New Roman"/>
          <w:sz w:val="26"/>
          <w:szCs w:val="26"/>
        </w:rPr>
        <w:t>)(4), which requires default service plans to include documentatio</w:t>
      </w:r>
      <w:r>
        <w:rPr>
          <w:rFonts w:ascii="Times New Roman" w:hAnsi="Times New Roman"/>
          <w:sz w:val="26"/>
          <w:szCs w:val="26"/>
        </w:rPr>
        <w:t>n that the program is consistent with the requirements regarding the generation, sale and transmission of electricity of the</w:t>
      </w:r>
      <w:r w:rsidR="00D856F5">
        <w:rPr>
          <w:rFonts w:ascii="Times New Roman" w:hAnsi="Times New Roman"/>
          <w:sz w:val="26"/>
          <w:szCs w:val="26"/>
        </w:rPr>
        <w:t xml:space="preserve"> regional transmission organization</w:t>
      </w:r>
      <w:r>
        <w:rPr>
          <w:rFonts w:ascii="Times New Roman" w:hAnsi="Times New Roman"/>
          <w:sz w:val="26"/>
          <w:szCs w:val="26"/>
        </w:rPr>
        <w:t xml:space="preserve"> </w:t>
      </w:r>
      <w:r w:rsidR="00D856F5">
        <w:rPr>
          <w:rFonts w:ascii="Times New Roman" w:hAnsi="Times New Roman"/>
          <w:sz w:val="26"/>
          <w:szCs w:val="26"/>
        </w:rPr>
        <w:t>(</w:t>
      </w:r>
      <w:r>
        <w:rPr>
          <w:rFonts w:ascii="Times New Roman" w:hAnsi="Times New Roman"/>
          <w:sz w:val="26"/>
          <w:szCs w:val="26"/>
        </w:rPr>
        <w:t>RTO</w:t>
      </w:r>
      <w:r w:rsidR="00D856F5">
        <w:rPr>
          <w:rFonts w:ascii="Times New Roman" w:hAnsi="Times New Roman"/>
          <w:sz w:val="26"/>
          <w:szCs w:val="26"/>
        </w:rPr>
        <w:t>)</w:t>
      </w:r>
      <w:r>
        <w:rPr>
          <w:rFonts w:ascii="Times New Roman" w:hAnsi="Times New Roman"/>
          <w:sz w:val="26"/>
          <w:szCs w:val="26"/>
        </w:rPr>
        <w:t xml:space="preserve"> in the control area where the default service provider is providing service.</w:t>
      </w:r>
      <w:r w:rsidR="0028318B">
        <w:rPr>
          <w:rFonts w:ascii="Times New Roman" w:hAnsi="Times New Roman"/>
          <w:sz w:val="26"/>
          <w:szCs w:val="26"/>
        </w:rPr>
        <w:t xml:space="preserve">  </w:t>
      </w:r>
      <w:r w:rsidR="0028318B" w:rsidRPr="0028318B">
        <w:rPr>
          <w:rFonts w:ascii="Times New Roman" w:hAnsi="Times New Roman"/>
          <w:i/>
          <w:sz w:val="26"/>
          <w:szCs w:val="26"/>
        </w:rPr>
        <w:t>Id</w:t>
      </w:r>
      <w:r w:rsidR="0028318B">
        <w:rPr>
          <w:rFonts w:ascii="Times New Roman" w:hAnsi="Times New Roman"/>
          <w:sz w:val="26"/>
          <w:szCs w:val="26"/>
        </w:rPr>
        <w:t>. at 30.</w:t>
      </w:r>
    </w:p>
    <w:p w:rsidR="0028318B" w:rsidRDefault="0028318B" w:rsidP="00121527">
      <w:pPr>
        <w:contextualSpacing/>
        <w:rPr>
          <w:rFonts w:ascii="Times New Roman" w:hAnsi="Times New Roman"/>
          <w:sz w:val="26"/>
          <w:szCs w:val="26"/>
        </w:rPr>
      </w:pPr>
    </w:p>
    <w:p w:rsidR="0028318B" w:rsidRPr="00373BC9" w:rsidRDefault="00373BC9" w:rsidP="00964B16">
      <w:pPr>
        <w:keepNext/>
        <w:contextualSpacing/>
        <w:rPr>
          <w:rFonts w:ascii="Times New Roman" w:hAnsi="Times New Roman"/>
          <w:b/>
          <w:sz w:val="26"/>
          <w:szCs w:val="26"/>
        </w:rPr>
      </w:pPr>
      <w:r w:rsidRPr="00373BC9">
        <w:rPr>
          <w:rFonts w:ascii="Times New Roman" w:hAnsi="Times New Roman"/>
          <w:b/>
          <w:sz w:val="26"/>
          <w:szCs w:val="26"/>
        </w:rPr>
        <w:lastRenderedPageBreak/>
        <w:t>F.</w:t>
      </w:r>
      <w:r w:rsidRPr="00373BC9">
        <w:rPr>
          <w:rFonts w:ascii="Times New Roman" w:hAnsi="Times New Roman"/>
          <w:b/>
          <w:sz w:val="26"/>
          <w:szCs w:val="26"/>
        </w:rPr>
        <w:tab/>
        <w:t>Contingency Planning</w:t>
      </w:r>
    </w:p>
    <w:p w:rsidR="00373BC9" w:rsidRDefault="00373BC9" w:rsidP="00964B16">
      <w:pPr>
        <w:keepNext/>
        <w:contextualSpacing/>
        <w:rPr>
          <w:rFonts w:ascii="Times New Roman" w:hAnsi="Times New Roman"/>
          <w:sz w:val="26"/>
          <w:szCs w:val="26"/>
        </w:rPr>
      </w:pPr>
    </w:p>
    <w:p w:rsidR="00854733" w:rsidRDefault="00373BC9" w:rsidP="00964B16">
      <w:pPr>
        <w:keepNext/>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657D1B">
        <w:rPr>
          <w:rFonts w:ascii="Times New Roman" w:hAnsi="Times New Roman"/>
          <w:sz w:val="26"/>
          <w:szCs w:val="26"/>
        </w:rPr>
        <w:t>If the Commission rejects all bids for a given product in any solicitation, or if some tranches of a given product in a particular solicitation do not receive bids, PPL will expeditiously seek guidance and approval from the Commission to address this shortfall in procurement of default service supply.  To the extent that unfilled tranches remain at the commencement of delivery for a given product, PPL will obtain default service supply through the spot market administered by PJM.  PPL proposes to recover all the costs of such purchases from default service customers in the retail rates charged for the service for which the purchases are made.</w:t>
      </w:r>
      <w:r w:rsidR="00854733">
        <w:rPr>
          <w:rFonts w:ascii="Times New Roman" w:hAnsi="Times New Roman"/>
          <w:sz w:val="26"/>
          <w:szCs w:val="26"/>
        </w:rPr>
        <w:t xml:space="preserve">  </w:t>
      </w:r>
      <w:r w:rsidR="00854733" w:rsidRPr="00854733">
        <w:rPr>
          <w:rFonts w:ascii="Times New Roman" w:hAnsi="Times New Roman"/>
          <w:i/>
          <w:sz w:val="26"/>
          <w:szCs w:val="26"/>
        </w:rPr>
        <w:t>Id</w:t>
      </w:r>
      <w:r w:rsidR="00854733">
        <w:rPr>
          <w:rFonts w:ascii="Times New Roman" w:hAnsi="Times New Roman"/>
          <w:sz w:val="26"/>
          <w:szCs w:val="26"/>
        </w:rPr>
        <w:t>. at 31.</w:t>
      </w:r>
    </w:p>
    <w:p w:rsidR="00854733" w:rsidRDefault="00854733" w:rsidP="00121527">
      <w:pPr>
        <w:contextualSpacing/>
        <w:rPr>
          <w:rFonts w:ascii="Times New Roman" w:hAnsi="Times New Roman"/>
          <w:sz w:val="26"/>
          <w:szCs w:val="26"/>
        </w:rPr>
      </w:pPr>
    </w:p>
    <w:p w:rsidR="00373BC9" w:rsidRDefault="00854733" w:rsidP="00121527">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657D1B">
        <w:rPr>
          <w:rFonts w:ascii="Times New Roman" w:hAnsi="Times New Roman"/>
          <w:sz w:val="26"/>
          <w:szCs w:val="26"/>
        </w:rPr>
        <w:t xml:space="preserve">In the event </w:t>
      </w:r>
      <w:r>
        <w:rPr>
          <w:rFonts w:ascii="Times New Roman" w:hAnsi="Times New Roman"/>
          <w:sz w:val="26"/>
          <w:szCs w:val="26"/>
        </w:rPr>
        <w:t>a supplier defaults, PPL will offer full-requirements supply assignment to other winning bidders for the same product consistent with the step-up process described in the default service SMA.  If this assignment is not successful, PPL will offer full-requirements supply assignment to all default service suppliers consist</w:t>
      </w:r>
      <w:r w:rsidR="00E2478B">
        <w:rPr>
          <w:rFonts w:ascii="Times New Roman" w:hAnsi="Times New Roman"/>
          <w:sz w:val="26"/>
          <w:szCs w:val="26"/>
        </w:rPr>
        <w:t>ent with the default Service SMA</w:t>
      </w:r>
      <w:r>
        <w:rPr>
          <w:rFonts w:ascii="Times New Roman" w:hAnsi="Times New Roman"/>
          <w:sz w:val="26"/>
          <w:szCs w:val="26"/>
        </w:rPr>
        <w:t xml:space="preserve">, even if a default service supplier does not serve tranches for that product.  These assignments will be offered at the original bid price in the event of default(s), or at the average price from the last successful bid for that product in the event of insufficient bids.  </w:t>
      </w:r>
      <w:r w:rsidRPr="00854733">
        <w:rPr>
          <w:rFonts w:ascii="Times New Roman" w:hAnsi="Times New Roman"/>
          <w:i/>
          <w:sz w:val="26"/>
          <w:szCs w:val="26"/>
        </w:rPr>
        <w:t>Id</w:t>
      </w:r>
      <w:r>
        <w:rPr>
          <w:rFonts w:ascii="Times New Roman" w:hAnsi="Times New Roman"/>
          <w:sz w:val="26"/>
          <w:szCs w:val="26"/>
        </w:rPr>
        <w:t>.</w:t>
      </w:r>
    </w:p>
    <w:p w:rsidR="00E428E5" w:rsidRDefault="00E428E5" w:rsidP="00121527">
      <w:pPr>
        <w:contextualSpacing/>
        <w:rPr>
          <w:rFonts w:ascii="Times New Roman" w:hAnsi="Times New Roman"/>
          <w:sz w:val="26"/>
          <w:szCs w:val="26"/>
        </w:rPr>
      </w:pPr>
    </w:p>
    <w:p w:rsidR="005269EE" w:rsidRPr="005269EE" w:rsidRDefault="005269EE" w:rsidP="00E428E5">
      <w:pPr>
        <w:keepNext/>
        <w:keepLines/>
        <w:contextualSpacing/>
        <w:rPr>
          <w:rFonts w:ascii="Times New Roman" w:hAnsi="Times New Roman"/>
          <w:b/>
          <w:sz w:val="26"/>
          <w:szCs w:val="26"/>
        </w:rPr>
      </w:pPr>
      <w:r w:rsidRPr="005269EE">
        <w:rPr>
          <w:rFonts w:ascii="Times New Roman" w:hAnsi="Times New Roman"/>
          <w:b/>
          <w:sz w:val="26"/>
          <w:szCs w:val="26"/>
        </w:rPr>
        <w:lastRenderedPageBreak/>
        <w:t>G.</w:t>
      </w:r>
      <w:r w:rsidRPr="005269EE">
        <w:rPr>
          <w:rFonts w:ascii="Times New Roman" w:hAnsi="Times New Roman"/>
          <w:b/>
          <w:sz w:val="26"/>
          <w:szCs w:val="26"/>
        </w:rPr>
        <w:tab/>
        <w:t>Standard Offer Referral Program</w:t>
      </w:r>
    </w:p>
    <w:p w:rsidR="005269EE" w:rsidRDefault="005269EE" w:rsidP="00E428E5">
      <w:pPr>
        <w:keepNext/>
        <w:keepLines/>
        <w:contextualSpacing/>
        <w:rPr>
          <w:rFonts w:ascii="Times New Roman" w:hAnsi="Times New Roman"/>
          <w:sz w:val="26"/>
          <w:szCs w:val="26"/>
        </w:rPr>
      </w:pPr>
    </w:p>
    <w:p w:rsidR="005269EE" w:rsidRDefault="00063EFC" w:rsidP="00E428E5">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AD3BBB">
        <w:rPr>
          <w:rFonts w:ascii="Times New Roman" w:hAnsi="Times New Roman"/>
          <w:sz w:val="26"/>
          <w:szCs w:val="26"/>
        </w:rPr>
        <w:t>PPL is proposing to continue to offer the Standard Offer Program</w:t>
      </w:r>
      <w:r w:rsidR="00A62E7F">
        <w:rPr>
          <w:rFonts w:ascii="Times New Roman" w:hAnsi="Times New Roman"/>
          <w:sz w:val="26"/>
          <w:szCs w:val="26"/>
        </w:rPr>
        <w:t xml:space="preserve"> (SOP)</w:t>
      </w:r>
      <w:r w:rsidR="00AD3BBB">
        <w:rPr>
          <w:rFonts w:ascii="Times New Roman" w:hAnsi="Times New Roman"/>
          <w:sz w:val="26"/>
          <w:szCs w:val="26"/>
        </w:rPr>
        <w:t xml:space="preserve"> approved by the Commission under its DSP II program.</w:t>
      </w:r>
      <w:r w:rsidR="008D4AA7">
        <w:rPr>
          <w:rStyle w:val="FootnoteReference"/>
          <w:rFonts w:ascii="Times New Roman" w:hAnsi="Times New Roman"/>
          <w:sz w:val="26"/>
          <w:szCs w:val="26"/>
        </w:rPr>
        <w:footnoteReference w:id="6"/>
      </w:r>
      <w:r w:rsidR="00A62E7F">
        <w:rPr>
          <w:rFonts w:ascii="Times New Roman" w:hAnsi="Times New Roman"/>
          <w:sz w:val="26"/>
          <w:szCs w:val="26"/>
        </w:rPr>
        <w:t xml:space="preserve">  That SOP is available to all Residential customers, including customers enrolled in a CAP program, as well as Small C&amp;I customers </w:t>
      </w:r>
      <w:r w:rsidR="00D61152">
        <w:rPr>
          <w:rFonts w:ascii="Times New Roman" w:hAnsi="Times New Roman"/>
          <w:sz w:val="26"/>
          <w:szCs w:val="26"/>
        </w:rPr>
        <w:t xml:space="preserve">with a </w:t>
      </w:r>
      <w:r w:rsidR="00A62E7F">
        <w:rPr>
          <w:rFonts w:ascii="Times New Roman" w:hAnsi="Times New Roman"/>
          <w:sz w:val="26"/>
          <w:szCs w:val="26"/>
        </w:rPr>
        <w:t>peak demand</w:t>
      </w:r>
      <w:r w:rsidR="00D61152" w:rsidRPr="00D61152">
        <w:rPr>
          <w:rFonts w:ascii="Times New Roman" w:hAnsi="Times New Roman"/>
          <w:sz w:val="26"/>
          <w:szCs w:val="26"/>
        </w:rPr>
        <w:t xml:space="preserve"> under 25 kW</w:t>
      </w:r>
      <w:r w:rsidR="00A62E7F">
        <w:rPr>
          <w:rFonts w:ascii="Times New Roman" w:hAnsi="Times New Roman"/>
          <w:sz w:val="26"/>
          <w:szCs w:val="26"/>
        </w:rPr>
        <w:t xml:space="preserve">.  The SOP provides participants with a standard 7% discount off the then-current </w:t>
      </w:r>
      <w:r w:rsidR="008D53D9">
        <w:rPr>
          <w:rFonts w:ascii="Times New Roman" w:hAnsi="Times New Roman"/>
          <w:sz w:val="26"/>
          <w:szCs w:val="26"/>
        </w:rPr>
        <w:t xml:space="preserve">Price to </w:t>
      </w:r>
      <w:r w:rsidR="008D53D9" w:rsidRPr="006557DE">
        <w:rPr>
          <w:rFonts w:ascii="Times New Roman" w:hAnsi="Times New Roman"/>
          <w:sz w:val="26"/>
          <w:szCs w:val="26"/>
        </w:rPr>
        <w:t>Compare (</w:t>
      </w:r>
      <w:r w:rsidR="006557DE" w:rsidRPr="006557DE">
        <w:rPr>
          <w:rFonts w:ascii="Times New Roman" w:hAnsi="Times New Roman"/>
          <w:sz w:val="26"/>
          <w:szCs w:val="26"/>
        </w:rPr>
        <w:t>PTC</w:t>
      </w:r>
      <w:r w:rsidR="008D53D9" w:rsidRPr="006557DE">
        <w:rPr>
          <w:rFonts w:ascii="Times New Roman" w:hAnsi="Times New Roman"/>
          <w:sz w:val="26"/>
          <w:szCs w:val="26"/>
        </w:rPr>
        <w:t>)</w:t>
      </w:r>
      <w:r w:rsidR="006557DE">
        <w:rPr>
          <w:rFonts w:ascii="Times New Roman" w:hAnsi="Times New Roman"/>
          <w:sz w:val="26"/>
          <w:szCs w:val="26"/>
        </w:rPr>
        <w:t xml:space="preserve"> for a twelve-month term.  A customer who elects the standard offer price may choose to receive service from a particular EGS, or will be randomly assigned to an EGS if it does not choose one.  Customers may exit a standard offer contract without penalty.  PPL solicits EGSs to participate in the SOP on a quarterly basis, and EGSs are required to commit to offering the product for the duration of the effective PTC.</w:t>
      </w:r>
      <w:r w:rsidR="002731CA">
        <w:rPr>
          <w:rFonts w:ascii="Times New Roman" w:hAnsi="Times New Roman"/>
          <w:sz w:val="26"/>
          <w:szCs w:val="26"/>
        </w:rPr>
        <w:t xml:space="preserve">  The expense of the SOP is recovered from participating EGSs as follows:</w:t>
      </w:r>
    </w:p>
    <w:p w:rsidR="002731CA" w:rsidRDefault="002731CA" w:rsidP="00121527">
      <w:pPr>
        <w:contextualSpacing/>
        <w:rPr>
          <w:rFonts w:ascii="Times New Roman" w:hAnsi="Times New Roman"/>
          <w:sz w:val="26"/>
          <w:szCs w:val="26"/>
        </w:rPr>
      </w:pPr>
    </w:p>
    <w:p w:rsidR="002731CA" w:rsidRPr="002731CA" w:rsidRDefault="00D61152" w:rsidP="002731CA">
      <w:pPr>
        <w:pStyle w:val="ListParagraph"/>
        <w:numPr>
          <w:ilvl w:val="0"/>
          <w:numId w:val="6"/>
        </w:numPr>
        <w:spacing w:line="240" w:lineRule="auto"/>
        <w:rPr>
          <w:rFonts w:ascii="Times New Roman" w:hAnsi="Times New Roman"/>
          <w:sz w:val="26"/>
          <w:szCs w:val="26"/>
        </w:rPr>
      </w:pPr>
      <w:r>
        <w:rPr>
          <w:rFonts w:ascii="Times New Roman" w:hAnsi="Times New Roman"/>
          <w:sz w:val="26"/>
          <w:szCs w:val="26"/>
        </w:rPr>
        <w:t xml:space="preserve">Payment of a </w:t>
      </w:r>
      <w:r w:rsidR="002731CA" w:rsidRPr="002731CA">
        <w:rPr>
          <w:rFonts w:ascii="Times New Roman" w:hAnsi="Times New Roman"/>
          <w:sz w:val="26"/>
          <w:szCs w:val="26"/>
        </w:rPr>
        <w:t>$500 per EGS registration fee for market certification testing costs.  This only applies if the EGS is not currently rate ready certified.</w:t>
      </w:r>
    </w:p>
    <w:p w:rsidR="002731CA" w:rsidRDefault="002731CA" w:rsidP="002731CA">
      <w:pPr>
        <w:spacing w:line="240" w:lineRule="auto"/>
        <w:contextualSpacing/>
        <w:rPr>
          <w:rFonts w:ascii="Times New Roman" w:hAnsi="Times New Roman"/>
          <w:sz w:val="26"/>
          <w:szCs w:val="26"/>
        </w:rPr>
      </w:pPr>
    </w:p>
    <w:p w:rsidR="002731CA" w:rsidRPr="002731CA" w:rsidRDefault="00D61152" w:rsidP="002731CA">
      <w:pPr>
        <w:pStyle w:val="ListParagraph"/>
        <w:numPr>
          <w:ilvl w:val="0"/>
          <w:numId w:val="6"/>
        </w:numPr>
        <w:spacing w:line="240" w:lineRule="auto"/>
        <w:rPr>
          <w:rFonts w:ascii="Times New Roman" w:hAnsi="Times New Roman"/>
          <w:sz w:val="26"/>
          <w:szCs w:val="26"/>
        </w:rPr>
      </w:pPr>
      <w:r>
        <w:rPr>
          <w:rFonts w:ascii="Times New Roman" w:hAnsi="Times New Roman"/>
          <w:sz w:val="26"/>
          <w:szCs w:val="26"/>
        </w:rPr>
        <w:t>Payment of $28 per referred customer by p</w:t>
      </w:r>
      <w:r w:rsidR="002731CA" w:rsidRPr="002731CA">
        <w:rPr>
          <w:rFonts w:ascii="Times New Roman" w:hAnsi="Times New Roman"/>
          <w:sz w:val="26"/>
          <w:szCs w:val="26"/>
        </w:rPr>
        <w:t>articipating EGSs.</w:t>
      </w:r>
    </w:p>
    <w:p w:rsidR="002731CA" w:rsidRDefault="002731CA" w:rsidP="00121527">
      <w:pPr>
        <w:contextualSpacing/>
        <w:rPr>
          <w:rFonts w:ascii="Times New Roman" w:hAnsi="Times New Roman"/>
          <w:sz w:val="26"/>
          <w:szCs w:val="26"/>
        </w:rPr>
      </w:pPr>
    </w:p>
    <w:p w:rsidR="002731CA" w:rsidRDefault="00235356" w:rsidP="00121527">
      <w:pPr>
        <w:contextualSpacing/>
        <w:rPr>
          <w:rFonts w:ascii="Times New Roman" w:hAnsi="Times New Roman"/>
          <w:sz w:val="26"/>
          <w:szCs w:val="26"/>
        </w:rPr>
      </w:pPr>
      <w:r w:rsidRPr="00235356">
        <w:rPr>
          <w:rFonts w:ascii="Times New Roman" w:hAnsi="Times New Roman"/>
          <w:i/>
          <w:sz w:val="26"/>
          <w:szCs w:val="26"/>
        </w:rPr>
        <w:t>Id</w:t>
      </w:r>
      <w:r>
        <w:rPr>
          <w:rFonts w:ascii="Times New Roman" w:hAnsi="Times New Roman"/>
          <w:sz w:val="26"/>
          <w:szCs w:val="26"/>
        </w:rPr>
        <w:t>. at 32-33.</w:t>
      </w:r>
    </w:p>
    <w:p w:rsidR="00A109E3" w:rsidRDefault="00A109E3" w:rsidP="00121527">
      <w:pPr>
        <w:contextualSpacing/>
        <w:rPr>
          <w:rFonts w:ascii="Times New Roman" w:hAnsi="Times New Roman"/>
          <w:sz w:val="26"/>
          <w:szCs w:val="26"/>
        </w:rPr>
      </w:pPr>
    </w:p>
    <w:p w:rsidR="00A109E3" w:rsidRDefault="00A109E3" w:rsidP="00121527">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PPL</w:t>
      </w:r>
      <w:r w:rsidR="00803C65">
        <w:rPr>
          <w:rFonts w:ascii="Times New Roman" w:hAnsi="Times New Roman"/>
          <w:sz w:val="26"/>
          <w:szCs w:val="26"/>
        </w:rPr>
        <w:t>’</w:t>
      </w:r>
      <w:r>
        <w:rPr>
          <w:rFonts w:ascii="Times New Roman" w:hAnsi="Times New Roman"/>
          <w:sz w:val="26"/>
          <w:szCs w:val="26"/>
        </w:rPr>
        <w:t>s SOP is currently promoted during all customer calls other than those regarding emergencies or terminations.</w:t>
      </w:r>
      <w:r w:rsidR="009D5BCB">
        <w:rPr>
          <w:rFonts w:ascii="Times New Roman" w:hAnsi="Times New Roman"/>
          <w:sz w:val="26"/>
          <w:szCs w:val="26"/>
        </w:rPr>
        <w:t xml:space="preserve">  Under its DSP III program, PPL is proposing to expand the promotion of the SOP to include customers that contact the Company using the Web Self Service application.</w:t>
      </w:r>
      <w:r w:rsidR="00922DB3">
        <w:rPr>
          <w:rFonts w:ascii="Times New Roman" w:hAnsi="Times New Roman"/>
          <w:sz w:val="26"/>
          <w:szCs w:val="26"/>
        </w:rPr>
        <w:t xml:space="preserve">  Similar to customers who call the Company, </w:t>
      </w:r>
      <w:r w:rsidR="00922DB3">
        <w:rPr>
          <w:rFonts w:ascii="Times New Roman" w:hAnsi="Times New Roman"/>
          <w:sz w:val="26"/>
          <w:szCs w:val="26"/>
        </w:rPr>
        <w:lastRenderedPageBreak/>
        <w:t>customers who have signed up to utilize the Web Self Service program will be able to choose to participate in the SOP.  PPL stated that there will be no other material changes to the SOP approved under its DSP II program.</w:t>
      </w:r>
      <w:r w:rsidR="00380143">
        <w:rPr>
          <w:rFonts w:ascii="Times New Roman" w:hAnsi="Times New Roman"/>
          <w:sz w:val="26"/>
          <w:szCs w:val="26"/>
        </w:rPr>
        <w:t xml:space="preserve">  </w:t>
      </w:r>
      <w:r w:rsidR="00380143" w:rsidRPr="00380143">
        <w:rPr>
          <w:rFonts w:ascii="Times New Roman" w:hAnsi="Times New Roman"/>
          <w:i/>
          <w:sz w:val="26"/>
          <w:szCs w:val="26"/>
        </w:rPr>
        <w:t>Id</w:t>
      </w:r>
      <w:r w:rsidR="00380143">
        <w:rPr>
          <w:rFonts w:ascii="Times New Roman" w:hAnsi="Times New Roman"/>
          <w:sz w:val="26"/>
          <w:szCs w:val="26"/>
        </w:rPr>
        <w:t>. at 34.</w:t>
      </w:r>
    </w:p>
    <w:p w:rsidR="00481C3D" w:rsidRDefault="00481C3D" w:rsidP="00121527">
      <w:pPr>
        <w:contextualSpacing/>
        <w:rPr>
          <w:rFonts w:ascii="Times New Roman" w:hAnsi="Times New Roman"/>
          <w:sz w:val="26"/>
          <w:szCs w:val="26"/>
        </w:rPr>
      </w:pPr>
    </w:p>
    <w:p w:rsidR="00481C3D" w:rsidRDefault="00481C3D" w:rsidP="00121527">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Under its DSP II program, PPL selected an affiliate, PPL Solutions, as the third-party service provider to administer the SOP.</w:t>
      </w:r>
      <w:r w:rsidR="00123F10">
        <w:rPr>
          <w:rStyle w:val="FootnoteReference"/>
          <w:rFonts w:ascii="Times New Roman" w:hAnsi="Times New Roman"/>
          <w:sz w:val="26"/>
          <w:szCs w:val="26"/>
        </w:rPr>
        <w:footnoteReference w:id="7"/>
      </w:r>
      <w:r>
        <w:rPr>
          <w:rFonts w:ascii="Times New Roman" w:hAnsi="Times New Roman"/>
          <w:sz w:val="26"/>
          <w:szCs w:val="26"/>
        </w:rPr>
        <w:t xml:space="preserve">  PPL is proposing to extend the current third-party SOP service contract </w:t>
      </w:r>
      <w:r w:rsidR="00123F10">
        <w:rPr>
          <w:rFonts w:ascii="Times New Roman" w:hAnsi="Times New Roman"/>
          <w:sz w:val="26"/>
          <w:szCs w:val="26"/>
        </w:rPr>
        <w:t>during the DSP III period, or until the Commission eliminates EDCs</w:t>
      </w:r>
      <w:r w:rsidR="00803C65">
        <w:rPr>
          <w:rFonts w:ascii="Times New Roman" w:hAnsi="Times New Roman"/>
          <w:sz w:val="26"/>
          <w:szCs w:val="26"/>
        </w:rPr>
        <w:t>’</w:t>
      </w:r>
      <w:r w:rsidR="00123F10">
        <w:rPr>
          <w:rFonts w:ascii="Times New Roman" w:hAnsi="Times New Roman"/>
          <w:sz w:val="26"/>
          <w:szCs w:val="26"/>
        </w:rPr>
        <w:t xml:space="preserve"> default service obligations.  The terms, conditions, and cost of the extended third-party SOP service contract will remain the same as the existing service contract.  </w:t>
      </w:r>
      <w:r w:rsidR="00123F10" w:rsidRPr="00DD4249">
        <w:rPr>
          <w:rFonts w:ascii="Times New Roman" w:hAnsi="Times New Roman"/>
          <w:i/>
          <w:sz w:val="26"/>
          <w:szCs w:val="26"/>
        </w:rPr>
        <w:t>Id</w:t>
      </w:r>
      <w:r w:rsidR="00123F10">
        <w:rPr>
          <w:rFonts w:ascii="Times New Roman" w:hAnsi="Times New Roman"/>
          <w:sz w:val="26"/>
          <w:szCs w:val="26"/>
        </w:rPr>
        <w:t>. at 34-35.</w:t>
      </w:r>
    </w:p>
    <w:p w:rsidR="00DD4249" w:rsidRDefault="00DD4249" w:rsidP="00121527">
      <w:pPr>
        <w:contextualSpacing/>
        <w:rPr>
          <w:rFonts w:ascii="Times New Roman" w:hAnsi="Times New Roman"/>
          <w:sz w:val="26"/>
          <w:szCs w:val="26"/>
        </w:rPr>
      </w:pPr>
    </w:p>
    <w:p w:rsidR="00DD4249" w:rsidRPr="00DD4249" w:rsidRDefault="00DD4249" w:rsidP="00121527">
      <w:pPr>
        <w:contextualSpacing/>
        <w:rPr>
          <w:rFonts w:ascii="Times New Roman" w:hAnsi="Times New Roman"/>
          <w:b/>
          <w:sz w:val="26"/>
          <w:szCs w:val="26"/>
        </w:rPr>
      </w:pPr>
      <w:r w:rsidRPr="00DD4249">
        <w:rPr>
          <w:rFonts w:ascii="Times New Roman" w:hAnsi="Times New Roman"/>
          <w:b/>
          <w:sz w:val="26"/>
          <w:szCs w:val="26"/>
        </w:rPr>
        <w:t>H.</w:t>
      </w:r>
      <w:r w:rsidRPr="00DD4249">
        <w:rPr>
          <w:rFonts w:ascii="Times New Roman" w:hAnsi="Times New Roman"/>
          <w:b/>
          <w:sz w:val="26"/>
          <w:szCs w:val="26"/>
        </w:rPr>
        <w:tab/>
        <w:t>End State</w:t>
      </w:r>
    </w:p>
    <w:p w:rsidR="00DD4249" w:rsidRDefault="00DD4249" w:rsidP="00121527">
      <w:pPr>
        <w:contextualSpacing/>
        <w:rPr>
          <w:rFonts w:ascii="Times New Roman" w:hAnsi="Times New Roman"/>
          <w:sz w:val="26"/>
          <w:szCs w:val="26"/>
        </w:rPr>
      </w:pPr>
    </w:p>
    <w:p w:rsidR="00F62A87" w:rsidRDefault="00F62A87" w:rsidP="00121527">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PPL anticipates that it will continue in the role of default service provider beyond May 31, 2017.  Therefor</w:t>
      </w:r>
      <w:r w:rsidR="00550EC9">
        <w:rPr>
          <w:rFonts w:ascii="Times New Roman" w:hAnsi="Times New Roman"/>
          <w:sz w:val="26"/>
          <w:szCs w:val="26"/>
        </w:rPr>
        <w:t>e, in order to avoid procuring all default service supplies at one time to be effective June 1, 2017, PPL</w:t>
      </w:r>
      <w:r w:rsidR="00803C65">
        <w:rPr>
          <w:rFonts w:ascii="Times New Roman" w:hAnsi="Times New Roman"/>
          <w:sz w:val="26"/>
          <w:szCs w:val="26"/>
        </w:rPr>
        <w:t>’</w:t>
      </w:r>
      <w:r w:rsidR="00550EC9">
        <w:rPr>
          <w:rFonts w:ascii="Times New Roman" w:hAnsi="Times New Roman"/>
          <w:sz w:val="26"/>
          <w:szCs w:val="26"/>
        </w:rPr>
        <w:t>s</w:t>
      </w:r>
      <w:r>
        <w:rPr>
          <w:rFonts w:ascii="Times New Roman" w:hAnsi="Times New Roman"/>
          <w:sz w:val="26"/>
          <w:szCs w:val="26"/>
        </w:rPr>
        <w:t xml:space="preserve"> final default service supply procurement </w:t>
      </w:r>
      <w:r w:rsidR="00550EC9">
        <w:rPr>
          <w:rFonts w:ascii="Times New Roman" w:hAnsi="Times New Roman"/>
          <w:sz w:val="26"/>
          <w:szCs w:val="26"/>
        </w:rPr>
        <w:t xml:space="preserve"> under DSP III (</w:t>
      </w:r>
      <w:r>
        <w:rPr>
          <w:rFonts w:ascii="Times New Roman" w:hAnsi="Times New Roman"/>
          <w:sz w:val="26"/>
          <w:szCs w:val="26"/>
        </w:rPr>
        <w:t>October 2016</w:t>
      </w:r>
      <w:r w:rsidR="00550EC9">
        <w:rPr>
          <w:rFonts w:ascii="Times New Roman" w:hAnsi="Times New Roman"/>
          <w:sz w:val="26"/>
          <w:szCs w:val="26"/>
        </w:rPr>
        <w:t>)</w:t>
      </w:r>
      <w:r>
        <w:rPr>
          <w:rFonts w:ascii="Times New Roman" w:hAnsi="Times New Roman"/>
          <w:sz w:val="26"/>
          <w:szCs w:val="26"/>
        </w:rPr>
        <w:t xml:space="preserve"> </w:t>
      </w:r>
      <w:r w:rsidR="00550EC9">
        <w:rPr>
          <w:rFonts w:ascii="Times New Roman" w:hAnsi="Times New Roman"/>
          <w:sz w:val="26"/>
          <w:szCs w:val="26"/>
        </w:rPr>
        <w:t>will continue to obtain both twelve- and six-month fixed price products.</w:t>
      </w:r>
      <w:r w:rsidR="007E1541">
        <w:rPr>
          <w:rFonts w:ascii="Times New Roman" w:hAnsi="Times New Roman"/>
          <w:sz w:val="26"/>
          <w:szCs w:val="26"/>
        </w:rPr>
        <w:t xml:space="preserve">  Should the Commission determine, at any time prior to that final solicitation, that the Company will not continue in its role as default service provider beyond May 31, 2017, PPL will file an appropriate petition with the Commission requesting to amend the DSP III program to ensure that no fixed-price contracts extend beyond that date, or the date set by the Commission for the termination of PPL</w:t>
      </w:r>
      <w:r w:rsidR="00803C65">
        <w:rPr>
          <w:rFonts w:ascii="Times New Roman" w:hAnsi="Times New Roman"/>
          <w:sz w:val="26"/>
          <w:szCs w:val="26"/>
        </w:rPr>
        <w:t>’</w:t>
      </w:r>
      <w:r w:rsidR="007E1541">
        <w:rPr>
          <w:rFonts w:ascii="Times New Roman" w:hAnsi="Times New Roman"/>
          <w:sz w:val="26"/>
          <w:szCs w:val="26"/>
        </w:rPr>
        <w:t>s role as default service provider.  In addition, PPL</w:t>
      </w:r>
      <w:r w:rsidR="00803C65">
        <w:rPr>
          <w:rFonts w:ascii="Times New Roman" w:hAnsi="Times New Roman"/>
          <w:sz w:val="26"/>
          <w:szCs w:val="26"/>
        </w:rPr>
        <w:t>’</w:t>
      </w:r>
      <w:r w:rsidR="007E1541">
        <w:rPr>
          <w:rFonts w:ascii="Times New Roman" w:hAnsi="Times New Roman"/>
          <w:sz w:val="26"/>
          <w:szCs w:val="26"/>
        </w:rPr>
        <w:t xml:space="preserve">s proposed SMA contains provisions that anticipate the possibility that the Commission may determine that the Company will no longer continue in its role as default service provider, and as a result, PPL may be required to terminate or transfer/assign its default service obligations to a third-party </w:t>
      </w:r>
      <w:r w:rsidR="007E1541">
        <w:rPr>
          <w:rFonts w:ascii="Times New Roman" w:hAnsi="Times New Roman"/>
          <w:sz w:val="26"/>
          <w:szCs w:val="26"/>
        </w:rPr>
        <w:lastRenderedPageBreak/>
        <w:t xml:space="preserve">supplier.  PPL stated that these provisions can be used to implement any change to its role as default service provider that may be made in the future.  </w:t>
      </w:r>
      <w:r w:rsidR="007E1541" w:rsidRPr="007E1541">
        <w:rPr>
          <w:rFonts w:ascii="Times New Roman" w:hAnsi="Times New Roman"/>
          <w:i/>
          <w:sz w:val="26"/>
          <w:szCs w:val="26"/>
        </w:rPr>
        <w:t>Id</w:t>
      </w:r>
      <w:r w:rsidR="007E1541">
        <w:rPr>
          <w:rFonts w:ascii="Times New Roman" w:hAnsi="Times New Roman"/>
          <w:sz w:val="26"/>
          <w:szCs w:val="26"/>
        </w:rPr>
        <w:t>. at 35.</w:t>
      </w:r>
    </w:p>
    <w:p w:rsidR="007E1541" w:rsidRDefault="007E1541" w:rsidP="00121527">
      <w:pPr>
        <w:contextualSpacing/>
        <w:rPr>
          <w:rFonts w:ascii="Times New Roman" w:hAnsi="Times New Roman"/>
          <w:sz w:val="26"/>
          <w:szCs w:val="26"/>
        </w:rPr>
      </w:pPr>
    </w:p>
    <w:p w:rsidR="007E1541" w:rsidRPr="00BF1E0D" w:rsidRDefault="00BF1E0D" w:rsidP="00121527">
      <w:pPr>
        <w:contextualSpacing/>
        <w:rPr>
          <w:rFonts w:ascii="Times New Roman" w:hAnsi="Times New Roman"/>
          <w:b/>
          <w:sz w:val="26"/>
          <w:szCs w:val="26"/>
        </w:rPr>
      </w:pPr>
      <w:r w:rsidRPr="00BF1E0D">
        <w:rPr>
          <w:rFonts w:ascii="Times New Roman" w:hAnsi="Times New Roman"/>
          <w:b/>
          <w:sz w:val="26"/>
          <w:szCs w:val="26"/>
        </w:rPr>
        <w:t>I.</w:t>
      </w:r>
      <w:r w:rsidRPr="00BF1E0D">
        <w:rPr>
          <w:rFonts w:ascii="Times New Roman" w:hAnsi="Times New Roman"/>
          <w:b/>
          <w:sz w:val="26"/>
          <w:szCs w:val="26"/>
        </w:rPr>
        <w:tab/>
        <w:t>Affiliated Interest Agreements and Waivers</w:t>
      </w:r>
    </w:p>
    <w:p w:rsidR="00BF1E0D" w:rsidRDefault="00BF1E0D" w:rsidP="00121527">
      <w:pPr>
        <w:contextualSpacing/>
        <w:rPr>
          <w:rFonts w:ascii="Times New Roman" w:hAnsi="Times New Roman"/>
          <w:sz w:val="26"/>
          <w:szCs w:val="26"/>
        </w:rPr>
      </w:pPr>
    </w:p>
    <w:p w:rsidR="001E7136" w:rsidRDefault="00BF1E0D" w:rsidP="001E7136">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PPL noted that its unregulated affiliates will be permitted to participate in the Company</w:t>
      </w:r>
      <w:r w:rsidR="00803C65">
        <w:rPr>
          <w:rFonts w:ascii="Times New Roman" w:hAnsi="Times New Roman"/>
          <w:sz w:val="26"/>
          <w:szCs w:val="26"/>
        </w:rPr>
        <w:t>’</w:t>
      </w:r>
      <w:r>
        <w:rPr>
          <w:rFonts w:ascii="Times New Roman" w:hAnsi="Times New Roman"/>
          <w:sz w:val="26"/>
          <w:szCs w:val="26"/>
        </w:rPr>
        <w:t>s default service supply solicitations, pursuant to 52 Pa. Code § 54.186(b)(5).</w:t>
      </w:r>
      <w:r w:rsidR="001E7136">
        <w:rPr>
          <w:rFonts w:ascii="Times New Roman" w:hAnsi="Times New Roman"/>
          <w:sz w:val="26"/>
          <w:szCs w:val="26"/>
        </w:rPr>
        <w:t xml:space="preserve">  If one of those affiliates is the successful bidder for one or more tranches of default service supply, PPL would enter into a SMA with that affiliate.  Therefore, PPL requests that the Commission approve the proposed SMA as an affiliated interest agreement under 66 Pa. C.S. § 2102.  Also, as explained above, PPL is proposing to extend the current third-party SOP service contract with its affiliate, PPL Solutions, during the DSP III period, or until the Commission eliminates EDCs</w:t>
      </w:r>
      <w:r w:rsidR="00803C65">
        <w:rPr>
          <w:rFonts w:ascii="Times New Roman" w:hAnsi="Times New Roman"/>
          <w:sz w:val="26"/>
          <w:szCs w:val="26"/>
        </w:rPr>
        <w:t>’</w:t>
      </w:r>
      <w:r w:rsidR="001E7136">
        <w:rPr>
          <w:rFonts w:ascii="Times New Roman" w:hAnsi="Times New Roman"/>
          <w:sz w:val="26"/>
          <w:szCs w:val="26"/>
        </w:rPr>
        <w:t xml:space="preserve"> default service obligations.  For this reason PPL requests that the Commission approve the Third-Party Standard Offer Referral Program Services Contract extension as an affiliated interest agreement under 66 Pa. C.S. § 2102.  </w:t>
      </w:r>
      <w:r w:rsidR="001E7136" w:rsidRPr="001E7136">
        <w:rPr>
          <w:rFonts w:ascii="Times New Roman" w:hAnsi="Times New Roman"/>
          <w:i/>
          <w:sz w:val="26"/>
          <w:szCs w:val="26"/>
        </w:rPr>
        <w:t>Id</w:t>
      </w:r>
      <w:r w:rsidR="001E7136">
        <w:rPr>
          <w:rFonts w:ascii="Times New Roman" w:hAnsi="Times New Roman"/>
          <w:sz w:val="26"/>
          <w:szCs w:val="26"/>
        </w:rPr>
        <w:t>. at 35-36.</w:t>
      </w:r>
    </w:p>
    <w:p w:rsidR="00EB271B" w:rsidRDefault="00EB271B" w:rsidP="001E7136">
      <w:pPr>
        <w:contextualSpacing/>
        <w:rPr>
          <w:rFonts w:ascii="Times New Roman" w:hAnsi="Times New Roman"/>
          <w:sz w:val="26"/>
          <w:szCs w:val="26"/>
        </w:rPr>
      </w:pPr>
    </w:p>
    <w:p w:rsidR="00EB271B" w:rsidRDefault="00EB271B" w:rsidP="001E7136">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217BC6">
        <w:rPr>
          <w:rFonts w:ascii="Times New Roman" w:hAnsi="Times New Roman"/>
          <w:sz w:val="26"/>
          <w:szCs w:val="26"/>
        </w:rPr>
        <w:t>In addition, PPL is requesting a wa</w:t>
      </w:r>
      <w:r w:rsidR="0014347F">
        <w:rPr>
          <w:rFonts w:ascii="Times New Roman" w:hAnsi="Times New Roman"/>
          <w:sz w:val="26"/>
          <w:szCs w:val="26"/>
        </w:rPr>
        <w:t>iver of the Commission</w:t>
      </w:r>
      <w:r w:rsidR="00803C65">
        <w:rPr>
          <w:rFonts w:ascii="Times New Roman" w:hAnsi="Times New Roman"/>
          <w:sz w:val="26"/>
          <w:szCs w:val="26"/>
        </w:rPr>
        <w:t>’</w:t>
      </w:r>
      <w:r w:rsidR="0014347F">
        <w:rPr>
          <w:rFonts w:ascii="Times New Roman" w:hAnsi="Times New Roman"/>
          <w:sz w:val="26"/>
          <w:szCs w:val="26"/>
        </w:rPr>
        <w:t xml:space="preserve">s directive, as set forth in the </w:t>
      </w:r>
      <w:r w:rsidR="0014347F" w:rsidRPr="0014347F">
        <w:rPr>
          <w:rFonts w:ascii="Times New Roman" w:hAnsi="Times New Roman"/>
          <w:i/>
          <w:sz w:val="26"/>
          <w:szCs w:val="26"/>
        </w:rPr>
        <w:t>End State Order</w:t>
      </w:r>
      <w:r w:rsidR="0014347F">
        <w:rPr>
          <w:rFonts w:ascii="Times New Roman" w:hAnsi="Times New Roman"/>
          <w:sz w:val="26"/>
          <w:szCs w:val="26"/>
        </w:rPr>
        <w:t xml:space="preserve">, that EDCs offer quarterly PTCs that are synchronized with the PJM energy year for Residential and Small C&amp;I customer classes.  </w:t>
      </w:r>
      <w:r w:rsidR="0014347F" w:rsidRPr="0014347F">
        <w:rPr>
          <w:rFonts w:ascii="Times New Roman" w:hAnsi="Times New Roman"/>
          <w:i/>
          <w:sz w:val="26"/>
          <w:szCs w:val="26"/>
        </w:rPr>
        <w:t>See, End State Order</w:t>
      </w:r>
      <w:r w:rsidR="0014347F">
        <w:rPr>
          <w:rFonts w:ascii="Times New Roman" w:hAnsi="Times New Roman"/>
          <w:sz w:val="26"/>
          <w:szCs w:val="26"/>
        </w:rPr>
        <w:t xml:space="preserve"> at 33.  PPL averred that its proposed semi-annual PTC changes and associated six-month reconciliations are consistent with its six- and twelve-month procurements, and will reduce volatility in the PTC.  PPL also asserted that the six-month PTC changes support retail competition by providing customers greater certainty when evaluating shopping opportunities and by providing EGSs greater certainty when developing offers.  </w:t>
      </w:r>
      <w:r w:rsidR="0014347F" w:rsidRPr="0014347F">
        <w:rPr>
          <w:rFonts w:ascii="Times New Roman" w:hAnsi="Times New Roman"/>
          <w:i/>
          <w:sz w:val="26"/>
          <w:szCs w:val="26"/>
        </w:rPr>
        <w:t>Id</w:t>
      </w:r>
      <w:r w:rsidR="0014347F">
        <w:rPr>
          <w:rFonts w:ascii="Times New Roman" w:hAnsi="Times New Roman"/>
          <w:sz w:val="26"/>
          <w:szCs w:val="26"/>
        </w:rPr>
        <w:t>. at 37.</w:t>
      </w:r>
    </w:p>
    <w:p w:rsidR="00C22F82" w:rsidRDefault="00C22F82" w:rsidP="001E7136">
      <w:pPr>
        <w:contextualSpacing/>
        <w:rPr>
          <w:rFonts w:ascii="Times New Roman" w:hAnsi="Times New Roman"/>
          <w:sz w:val="26"/>
          <w:szCs w:val="26"/>
        </w:rPr>
      </w:pPr>
    </w:p>
    <w:p w:rsidR="00C22F82" w:rsidRPr="00494AE5" w:rsidRDefault="00C22F82" w:rsidP="001E7136">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6F6C11">
        <w:rPr>
          <w:rFonts w:ascii="Times New Roman" w:hAnsi="Times New Roman"/>
          <w:sz w:val="26"/>
          <w:szCs w:val="26"/>
        </w:rPr>
        <w:t>PPL is also requesting</w:t>
      </w:r>
      <w:r>
        <w:rPr>
          <w:rFonts w:ascii="Times New Roman" w:hAnsi="Times New Roman"/>
          <w:sz w:val="26"/>
          <w:szCs w:val="26"/>
        </w:rPr>
        <w:t xml:space="preserve"> a waiver of the requirement to issue a final PTC no less than forty-five days prior to the effective date of the PTC.  </w:t>
      </w:r>
      <w:r w:rsidRPr="0014347F">
        <w:rPr>
          <w:rFonts w:ascii="Times New Roman" w:hAnsi="Times New Roman"/>
          <w:i/>
          <w:sz w:val="26"/>
          <w:szCs w:val="26"/>
        </w:rPr>
        <w:t>See, End State Order</w:t>
      </w:r>
      <w:r>
        <w:rPr>
          <w:rFonts w:ascii="Times New Roman" w:hAnsi="Times New Roman"/>
          <w:sz w:val="26"/>
          <w:szCs w:val="26"/>
        </w:rPr>
        <w:t xml:space="preserve"> </w:t>
      </w:r>
      <w:r>
        <w:rPr>
          <w:rFonts w:ascii="Times New Roman" w:hAnsi="Times New Roman"/>
          <w:sz w:val="26"/>
          <w:szCs w:val="26"/>
        </w:rPr>
        <w:lastRenderedPageBreak/>
        <w:t>at</w:t>
      </w:r>
      <w:r w:rsidR="00F616A8">
        <w:rPr>
          <w:rFonts w:ascii="Times New Roman" w:hAnsi="Times New Roman"/>
          <w:sz w:val="26"/>
          <w:szCs w:val="26"/>
        </w:rPr>
        <w:t> </w:t>
      </w:r>
      <w:r>
        <w:rPr>
          <w:rFonts w:ascii="Times New Roman" w:hAnsi="Times New Roman"/>
          <w:sz w:val="26"/>
          <w:szCs w:val="26"/>
        </w:rPr>
        <w:t>41</w:t>
      </w:r>
      <w:r w:rsidR="006F6C11">
        <w:rPr>
          <w:rFonts w:ascii="Times New Roman" w:hAnsi="Times New Roman"/>
          <w:sz w:val="26"/>
          <w:szCs w:val="26"/>
        </w:rPr>
        <w:t>.  P</w:t>
      </w:r>
      <w:r w:rsidR="003211D9">
        <w:rPr>
          <w:rFonts w:ascii="Times New Roman" w:hAnsi="Times New Roman"/>
          <w:sz w:val="26"/>
          <w:szCs w:val="26"/>
        </w:rPr>
        <w:t>PL stated</w:t>
      </w:r>
      <w:r w:rsidR="006F6C11">
        <w:rPr>
          <w:rFonts w:ascii="Times New Roman" w:hAnsi="Times New Roman"/>
          <w:sz w:val="26"/>
          <w:szCs w:val="26"/>
        </w:rPr>
        <w:t xml:space="preserve"> that if the PTC is issued forty-five days before becoming effective, the PTC would be on a different schedule from its underlying components, including GSC</w:t>
      </w:r>
      <w:r w:rsidR="00F616A8">
        <w:rPr>
          <w:rFonts w:ascii="Times New Roman" w:hAnsi="Times New Roman"/>
          <w:sz w:val="26"/>
          <w:szCs w:val="26"/>
        </w:rPr>
        <w:noBreakHyphen/>
      </w:r>
      <w:r w:rsidR="006F6C11">
        <w:rPr>
          <w:rFonts w:ascii="Times New Roman" w:hAnsi="Times New Roman"/>
          <w:sz w:val="26"/>
          <w:szCs w:val="26"/>
        </w:rPr>
        <w:t>1, which is required to be filed ten days prior to the implementation of the rate, and GSC</w:t>
      </w:r>
      <w:r w:rsidR="00F616A8">
        <w:rPr>
          <w:rFonts w:ascii="Times New Roman" w:hAnsi="Times New Roman"/>
          <w:sz w:val="26"/>
          <w:szCs w:val="26"/>
        </w:rPr>
        <w:noBreakHyphen/>
      </w:r>
      <w:r w:rsidR="006F6C11">
        <w:rPr>
          <w:rFonts w:ascii="Times New Roman" w:hAnsi="Times New Roman"/>
          <w:sz w:val="26"/>
          <w:szCs w:val="26"/>
        </w:rPr>
        <w:t>2 and the Transmission Service Charge (TSC), which are required to be filed thirty days prior to the i</w:t>
      </w:r>
      <w:r w:rsidR="00CB4993">
        <w:rPr>
          <w:rFonts w:ascii="Times New Roman" w:hAnsi="Times New Roman"/>
          <w:sz w:val="26"/>
          <w:szCs w:val="26"/>
        </w:rPr>
        <w:t>mplementation of the rate.  In addition, PPL</w:t>
      </w:r>
      <w:r w:rsidR="006F6C11">
        <w:rPr>
          <w:rFonts w:ascii="Times New Roman" w:hAnsi="Times New Roman"/>
          <w:sz w:val="26"/>
          <w:szCs w:val="26"/>
        </w:rPr>
        <w:t xml:space="preserve"> contended that collections would be on-going during the forty-five day issuance period, which would change t</w:t>
      </w:r>
      <w:r w:rsidR="003211D9">
        <w:rPr>
          <w:rFonts w:ascii="Times New Roman" w:hAnsi="Times New Roman"/>
          <w:sz w:val="26"/>
          <w:szCs w:val="26"/>
        </w:rPr>
        <w:t>he E</w:t>
      </w:r>
      <w:r w:rsidR="003211D9">
        <w:rPr>
          <w:rFonts w:ascii="Times New Roman" w:hAnsi="Times New Roman"/>
          <w:sz w:val="26"/>
          <w:szCs w:val="26"/>
        </w:rPr>
        <w:noBreakHyphen/>
      </w:r>
      <w:r w:rsidR="006F6C11">
        <w:rPr>
          <w:rFonts w:ascii="Times New Roman" w:hAnsi="Times New Roman"/>
          <w:sz w:val="26"/>
          <w:szCs w:val="26"/>
        </w:rPr>
        <w:t>factor and affect the actual PTC.</w:t>
      </w:r>
      <w:r w:rsidR="00494D35">
        <w:rPr>
          <w:rFonts w:ascii="Times New Roman" w:hAnsi="Times New Roman"/>
          <w:sz w:val="26"/>
          <w:szCs w:val="26"/>
        </w:rPr>
        <w:t xml:space="preserve">  PPL</w:t>
      </w:r>
      <w:r w:rsidR="00CB4993">
        <w:rPr>
          <w:rFonts w:ascii="Times New Roman" w:hAnsi="Times New Roman"/>
          <w:sz w:val="26"/>
          <w:szCs w:val="26"/>
        </w:rPr>
        <w:t xml:space="preserve"> also</w:t>
      </w:r>
      <w:r w:rsidR="00494D35">
        <w:rPr>
          <w:rFonts w:ascii="Times New Roman" w:hAnsi="Times New Roman"/>
          <w:sz w:val="26"/>
          <w:szCs w:val="26"/>
        </w:rPr>
        <w:t xml:space="preserve"> asserted that a PTC issued forty-five days before becoming effective would not reflect the current market as accurately as a s</w:t>
      </w:r>
      <w:r w:rsidR="00CB4993">
        <w:rPr>
          <w:rFonts w:ascii="Times New Roman" w:hAnsi="Times New Roman"/>
          <w:sz w:val="26"/>
          <w:szCs w:val="26"/>
        </w:rPr>
        <w:t xml:space="preserve">horter </w:t>
      </w:r>
      <w:r w:rsidR="00494D35">
        <w:rPr>
          <w:rFonts w:ascii="Times New Roman" w:hAnsi="Times New Roman"/>
          <w:sz w:val="26"/>
          <w:szCs w:val="26"/>
        </w:rPr>
        <w:t>issuance period</w:t>
      </w:r>
      <w:r w:rsidR="00494D35" w:rsidRPr="00494AE5">
        <w:rPr>
          <w:rFonts w:ascii="Times New Roman" w:hAnsi="Times New Roman"/>
          <w:sz w:val="26"/>
          <w:szCs w:val="26"/>
        </w:rPr>
        <w:t>.</w:t>
      </w:r>
      <w:r w:rsidR="00932E7C" w:rsidRPr="00494AE5">
        <w:rPr>
          <w:rFonts w:ascii="Times New Roman" w:hAnsi="Times New Roman"/>
          <w:sz w:val="26"/>
          <w:szCs w:val="26"/>
        </w:rPr>
        <w:t xml:space="preserve">  </w:t>
      </w:r>
      <w:r w:rsidR="00932E7C" w:rsidRPr="00494AE5">
        <w:rPr>
          <w:rFonts w:ascii="Times New Roman" w:hAnsi="Times New Roman"/>
          <w:i/>
          <w:sz w:val="26"/>
          <w:szCs w:val="26"/>
        </w:rPr>
        <w:t>Id</w:t>
      </w:r>
      <w:r w:rsidR="00932E7C" w:rsidRPr="00494AE5">
        <w:rPr>
          <w:rFonts w:ascii="Times New Roman" w:hAnsi="Times New Roman"/>
          <w:sz w:val="26"/>
          <w:szCs w:val="26"/>
        </w:rPr>
        <w:t>. at 37-38.</w:t>
      </w:r>
    </w:p>
    <w:p w:rsidR="00932E7C" w:rsidRPr="00494AE5" w:rsidRDefault="00932E7C" w:rsidP="001E7136">
      <w:pPr>
        <w:contextualSpacing/>
        <w:rPr>
          <w:rFonts w:ascii="Times New Roman" w:hAnsi="Times New Roman"/>
          <w:sz w:val="26"/>
          <w:szCs w:val="26"/>
        </w:rPr>
      </w:pPr>
    </w:p>
    <w:p w:rsidR="00BF1E0D" w:rsidRDefault="00932E7C" w:rsidP="00121527">
      <w:pPr>
        <w:contextualSpacing/>
        <w:rPr>
          <w:rFonts w:ascii="Times New Roman" w:hAnsi="Times New Roman"/>
          <w:sz w:val="26"/>
          <w:szCs w:val="26"/>
        </w:rPr>
      </w:pPr>
      <w:r w:rsidRPr="00494AE5">
        <w:rPr>
          <w:rFonts w:ascii="Times New Roman" w:hAnsi="Times New Roman"/>
          <w:sz w:val="26"/>
          <w:szCs w:val="26"/>
        </w:rPr>
        <w:tab/>
      </w:r>
      <w:r w:rsidRPr="00494AE5">
        <w:rPr>
          <w:rFonts w:ascii="Times New Roman" w:hAnsi="Times New Roman"/>
          <w:sz w:val="26"/>
          <w:szCs w:val="26"/>
        </w:rPr>
        <w:tab/>
        <w:t>Should the Commission deny PPL</w:t>
      </w:r>
      <w:r w:rsidR="00803C65">
        <w:rPr>
          <w:rFonts w:ascii="Times New Roman" w:hAnsi="Times New Roman"/>
          <w:sz w:val="26"/>
          <w:szCs w:val="26"/>
        </w:rPr>
        <w:t>’</w:t>
      </w:r>
      <w:r w:rsidRPr="00494AE5">
        <w:rPr>
          <w:rFonts w:ascii="Times New Roman" w:hAnsi="Times New Roman"/>
          <w:sz w:val="26"/>
          <w:szCs w:val="26"/>
        </w:rPr>
        <w:t xml:space="preserve">s request for a waiver of the forty-five day PTC issuance period, PPL requests that the forty-five day rule not be enforced for the first procurement under the DSP III program, because it may not be practical to conduct and complete the first procurement in sufficient time to meet the forty-five day PTC rule.  </w:t>
      </w:r>
      <w:r w:rsidRPr="00494AE5">
        <w:rPr>
          <w:rFonts w:ascii="Times New Roman" w:hAnsi="Times New Roman"/>
          <w:i/>
          <w:sz w:val="26"/>
          <w:szCs w:val="26"/>
        </w:rPr>
        <w:t>Id</w:t>
      </w:r>
      <w:r w:rsidRPr="00494AE5">
        <w:rPr>
          <w:rFonts w:ascii="Times New Roman" w:hAnsi="Times New Roman"/>
          <w:sz w:val="26"/>
          <w:szCs w:val="26"/>
        </w:rPr>
        <w:t>. at 38.</w:t>
      </w:r>
    </w:p>
    <w:p w:rsidR="00907E2A" w:rsidRPr="00726EF4" w:rsidRDefault="00907E2A" w:rsidP="00907E2A">
      <w:pPr>
        <w:contextualSpacing/>
        <w:rPr>
          <w:rFonts w:ascii="Times New Roman" w:hAnsi="Times New Roman"/>
          <w:sz w:val="26"/>
          <w:szCs w:val="26"/>
        </w:rPr>
      </w:pPr>
    </w:p>
    <w:p w:rsidR="001641B6" w:rsidRPr="00DB1CE7" w:rsidRDefault="00907E2A" w:rsidP="00115F19">
      <w:pPr>
        <w:jc w:val="center"/>
        <w:rPr>
          <w:rFonts w:ascii="Times New Roman" w:hAnsi="Times New Roman"/>
          <w:b/>
          <w:sz w:val="26"/>
          <w:szCs w:val="26"/>
        </w:rPr>
      </w:pPr>
      <w:r>
        <w:rPr>
          <w:rFonts w:ascii="Times New Roman" w:hAnsi="Times New Roman"/>
          <w:b/>
          <w:sz w:val="26"/>
          <w:szCs w:val="26"/>
        </w:rPr>
        <w:t>IV</w:t>
      </w:r>
      <w:r w:rsidR="00EB1966" w:rsidRPr="00DB1CE7">
        <w:rPr>
          <w:rFonts w:ascii="Times New Roman" w:hAnsi="Times New Roman"/>
          <w:b/>
          <w:sz w:val="26"/>
          <w:szCs w:val="26"/>
        </w:rPr>
        <w:t>.</w:t>
      </w:r>
      <w:r w:rsidR="00EB1966" w:rsidRPr="00DB1CE7">
        <w:rPr>
          <w:rFonts w:ascii="Times New Roman" w:hAnsi="Times New Roman"/>
          <w:b/>
          <w:sz w:val="26"/>
          <w:szCs w:val="26"/>
        </w:rPr>
        <w:tab/>
        <w:t>Partial Settlement</w:t>
      </w:r>
    </w:p>
    <w:p w:rsidR="00EE5822" w:rsidRPr="00DB1CE7" w:rsidRDefault="00EE5822" w:rsidP="00DB1CE7">
      <w:pPr>
        <w:rPr>
          <w:rFonts w:ascii="Times New Roman" w:hAnsi="Times New Roman"/>
          <w:sz w:val="26"/>
          <w:szCs w:val="26"/>
        </w:rPr>
      </w:pPr>
    </w:p>
    <w:p w:rsidR="00B82A7C" w:rsidRPr="00995C41" w:rsidRDefault="00B82A7C" w:rsidP="00D26D41">
      <w:pPr>
        <w:keepNext/>
        <w:rPr>
          <w:rFonts w:ascii="Times New Roman" w:hAnsi="Times New Roman"/>
          <w:b/>
          <w:sz w:val="26"/>
          <w:szCs w:val="26"/>
        </w:rPr>
      </w:pPr>
      <w:r w:rsidRPr="00DB1CE7">
        <w:rPr>
          <w:rFonts w:ascii="Times New Roman" w:hAnsi="Times New Roman"/>
          <w:b/>
          <w:sz w:val="26"/>
          <w:szCs w:val="26"/>
        </w:rPr>
        <w:t>A.</w:t>
      </w:r>
      <w:r w:rsidRPr="00DB1CE7">
        <w:rPr>
          <w:rFonts w:ascii="Times New Roman" w:hAnsi="Times New Roman"/>
          <w:b/>
          <w:sz w:val="26"/>
          <w:szCs w:val="26"/>
        </w:rPr>
        <w:tab/>
      </w:r>
      <w:r w:rsidRPr="00995C41">
        <w:rPr>
          <w:rFonts w:ascii="Times New Roman" w:hAnsi="Times New Roman"/>
          <w:b/>
          <w:sz w:val="26"/>
          <w:szCs w:val="26"/>
        </w:rPr>
        <w:t>Terms and Conditions of the Partial Settlement</w:t>
      </w:r>
    </w:p>
    <w:p w:rsidR="00D90269" w:rsidRPr="00995C41" w:rsidRDefault="00D90269" w:rsidP="00D26D41">
      <w:pPr>
        <w:keepNext/>
        <w:rPr>
          <w:rFonts w:ascii="Times New Roman" w:hAnsi="Times New Roman"/>
          <w:sz w:val="26"/>
          <w:szCs w:val="26"/>
        </w:rPr>
      </w:pPr>
    </w:p>
    <w:p w:rsidR="00476321" w:rsidRDefault="00D90269" w:rsidP="00AA597C">
      <w:pPr>
        <w:rPr>
          <w:rFonts w:ascii="Times New Roman" w:hAnsi="Times New Roman"/>
          <w:sz w:val="26"/>
          <w:szCs w:val="26"/>
        </w:rPr>
      </w:pPr>
      <w:r w:rsidRPr="00995C41">
        <w:rPr>
          <w:rFonts w:ascii="Times New Roman" w:hAnsi="Times New Roman"/>
          <w:sz w:val="26"/>
          <w:szCs w:val="26"/>
        </w:rPr>
        <w:tab/>
      </w:r>
      <w:r w:rsidR="00995C41" w:rsidRPr="00995C41">
        <w:rPr>
          <w:rFonts w:ascii="Times New Roman" w:hAnsi="Times New Roman"/>
          <w:sz w:val="26"/>
          <w:szCs w:val="26"/>
        </w:rPr>
        <w:tab/>
      </w:r>
      <w:r w:rsidR="00995C41" w:rsidRPr="006C4783">
        <w:rPr>
          <w:rFonts w:ascii="Times New Roman" w:hAnsi="Times New Roman"/>
          <w:sz w:val="26"/>
          <w:szCs w:val="26"/>
        </w:rPr>
        <w:t xml:space="preserve">The Partial Settlement </w:t>
      </w:r>
      <w:r w:rsidR="00AA597C" w:rsidRPr="006C4783">
        <w:rPr>
          <w:rFonts w:ascii="Times New Roman" w:hAnsi="Times New Roman"/>
          <w:sz w:val="26"/>
          <w:szCs w:val="26"/>
        </w:rPr>
        <w:t>consists of a seventeen-page document with</w:t>
      </w:r>
      <w:r w:rsidR="006C4783" w:rsidRPr="006C4783">
        <w:rPr>
          <w:rFonts w:ascii="Times New Roman" w:hAnsi="Times New Roman"/>
          <w:sz w:val="26"/>
          <w:szCs w:val="26"/>
        </w:rPr>
        <w:t xml:space="preserve"> attached Appendices A through M</w:t>
      </w:r>
      <w:r w:rsidR="00AA597C" w:rsidRPr="006C4783">
        <w:rPr>
          <w:rFonts w:ascii="Times New Roman" w:hAnsi="Times New Roman"/>
          <w:sz w:val="26"/>
          <w:szCs w:val="26"/>
        </w:rPr>
        <w:t>.  The body of the document contains the terms and conditions of the Settlement as ag</w:t>
      </w:r>
      <w:r w:rsidR="006C4783" w:rsidRPr="006C4783">
        <w:rPr>
          <w:rFonts w:ascii="Times New Roman" w:hAnsi="Times New Roman"/>
          <w:sz w:val="26"/>
          <w:szCs w:val="26"/>
        </w:rPr>
        <w:t>reed to by the Signatory Parties</w:t>
      </w:r>
      <w:r w:rsidR="00AA597C" w:rsidRPr="006C4783">
        <w:rPr>
          <w:rFonts w:ascii="Times New Roman" w:hAnsi="Times New Roman"/>
          <w:sz w:val="26"/>
          <w:szCs w:val="26"/>
        </w:rPr>
        <w:t xml:space="preserve">.  Appendix A </w:t>
      </w:r>
      <w:r w:rsidR="006C4783" w:rsidRPr="006C4783">
        <w:rPr>
          <w:rFonts w:ascii="Times New Roman" w:hAnsi="Times New Roman"/>
          <w:sz w:val="26"/>
          <w:szCs w:val="26"/>
        </w:rPr>
        <w:t xml:space="preserve">consists of the product portfolio and procurement schedule agreed to under the terms of the Partial </w:t>
      </w:r>
      <w:r w:rsidR="00C0705B" w:rsidRPr="006C4783">
        <w:rPr>
          <w:rFonts w:ascii="Times New Roman" w:hAnsi="Times New Roman"/>
          <w:sz w:val="26"/>
          <w:szCs w:val="26"/>
        </w:rPr>
        <w:t>Settlement</w:t>
      </w:r>
      <w:r w:rsidR="006C4783" w:rsidRPr="006C4783">
        <w:rPr>
          <w:rFonts w:ascii="Times New Roman" w:hAnsi="Times New Roman"/>
          <w:sz w:val="26"/>
          <w:szCs w:val="26"/>
        </w:rPr>
        <w:t>.</w:t>
      </w:r>
      <w:r w:rsidR="006C4783">
        <w:rPr>
          <w:rFonts w:ascii="Times New Roman" w:hAnsi="Times New Roman"/>
          <w:sz w:val="26"/>
          <w:szCs w:val="26"/>
        </w:rPr>
        <w:t xml:space="preserve">  Appendices B through K contain the Signatory Parties</w:t>
      </w:r>
      <w:r w:rsidR="00803C65">
        <w:rPr>
          <w:rFonts w:ascii="Times New Roman" w:hAnsi="Times New Roman"/>
          <w:sz w:val="26"/>
          <w:szCs w:val="26"/>
        </w:rPr>
        <w:t>’</w:t>
      </w:r>
      <w:r w:rsidR="006C4783">
        <w:rPr>
          <w:rFonts w:ascii="Times New Roman" w:hAnsi="Times New Roman"/>
          <w:sz w:val="26"/>
          <w:szCs w:val="26"/>
        </w:rPr>
        <w:t xml:space="preserve"> individual Statements in Support of the Partial Settlement.  Appendices L and M consist of the</w:t>
      </w:r>
      <w:r w:rsidR="00476321">
        <w:rPr>
          <w:rFonts w:ascii="Times New Roman" w:hAnsi="Times New Roman"/>
          <w:sz w:val="26"/>
          <w:szCs w:val="26"/>
        </w:rPr>
        <w:t xml:space="preserve"> letters of non-opposition to the Partial Settlement submitted by</w:t>
      </w:r>
      <w:r w:rsidR="00476321" w:rsidRPr="0059191F">
        <w:rPr>
          <w:szCs w:val="26"/>
        </w:rPr>
        <w:t xml:space="preserve"> </w:t>
      </w:r>
      <w:r w:rsidR="00476321" w:rsidRPr="009A2D80">
        <w:rPr>
          <w:sz w:val="26"/>
          <w:szCs w:val="26"/>
        </w:rPr>
        <w:t>FES and Direct Energy, respectively.</w:t>
      </w:r>
    </w:p>
    <w:p w:rsidR="00476321" w:rsidRDefault="00476321" w:rsidP="00AA597C">
      <w:pPr>
        <w:rPr>
          <w:rFonts w:ascii="Times New Roman" w:hAnsi="Times New Roman"/>
          <w:sz w:val="26"/>
          <w:szCs w:val="26"/>
        </w:rPr>
      </w:pPr>
    </w:p>
    <w:p w:rsidR="000F0CCA" w:rsidRPr="000D6E38" w:rsidRDefault="000F0CCA" w:rsidP="000F0CCA">
      <w:pPr>
        <w:rPr>
          <w:rFonts w:ascii="Times New Roman" w:eastAsia="Calibri" w:hAnsi="Times New Roman"/>
          <w:sz w:val="26"/>
          <w:szCs w:val="26"/>
        </w:rPr>
      </w:pPr>
      <w:r w:rsidRPr="00C0705B">
        <w:rPr>
          <w:rFonts w:ascii="Times New Roman" w:eastAsia="Calibri" w:hAnsi="Times New Roman"/>
          <w:b/>
          <w:sz w:val="26"/>
          <w:szCs w:val="26"/>
        </w:rPr>
        <w:lastRenderedPageBreak/>
        <w:tab/>
      </w:r>
      <w:r w:rsidRPr="00C0705B">
        <w:rPr>
          <w:rFonts w:ascii="Times New Roman" w:eastAsia="Calibri" w:hAnsi="Times New Roman"/>
          <w:b/>
          <w:sz w:val="26"/>
          <w:szCs w:val="26"/>
        </w:rPr>
        <w:tab/>
      </w:r>
      <w:r w:rsidRPr="00C0705B">
        <w:rPr>
          <w:rFonts w:ascii="Times New Roman" w:eastAsia="Calibri" w:hAnsi="Times New Roman"/>
          <w:sz w:val="26"/>
          <w:szCs w:val="26"/>
        </w:rPr>
        <w:t>The</w:t>
      </w:r>
      <w:r w:rsidR="00C0705B" w:rsidRPr="00C0705B">
        <w:rPr>
          <w:rFonts w:ascii="Times New Roman" w:eastAsia="Calibri" w:hAnsi="Times New Roman"/>
          <w:sz w:val="26"/>
          <w:szCs w:val="26"/>
        </w:rPr>
        <w:t xml:space="preserve"> Signatory Parties state that the terms of the</w:t>
      </w:r>
      <w:r w:rsidRPr="00C0705B">
        <w:rPr>
          <w:rFonts w:ascii="Times New Roman" w:eastAsia="Calibri" w:hAnsi="Times New Roman"/>
          <w:sz w:val="26"/>
          <w:szCs w:val="26"/>
        </w:rPr>
        <w:t xml:space="preserve"> </w:t>
      </w:r>
      <w:r w:rsidR="00C0705B" w:rsidRPr="00C0705B">
        <w:rPr>
          <w:rFonts w:ascii="Times New Roman" w:eastAsia="Calibri" w:hAnsi="Times New Roman"/>
          <w:sz w:val="26"/>
          <w:szCs w:val="26"/>
        </w:rPr>
        <w:t xml:space="preserve">Partial </w:t>
      </w:r>
      <w:r w:rsidRPr="00C0705B">
        <w:rPr>
          <w:rFonts w:ascii="Times New Roman" w:eastAsia="Calibri" w:hAnsi="Times New Roman"/>
          <w:sz w:val="26"/>
          <w:szCs w:val="26"/>
        </w:rPr>
        <w:t>Settlement reflect a carefully balanced compromise of the</w:t>
      </w:r>
      <w:r w:rsidR="00C0705B" w:rsidRPr="00C0705B">
        <w:rPr>
          <w:rFonts w:ascii="Times New Roman" w:eastAsia="Calibri" w:hAnsi="Times New Roman"/>
          <w:sz w:val="26"/>
          <w:szCs w:val="26"/>
        </w:rPr>
        <w:t>ir respective</w:t>
      </w:r>
      <w:r w:rsidRPr="00C0705B">
        <w:rPr>
          <w:rFonts w:ascii="Times New Roman" w:eastAsia="Calibri" w:hAnsi="Times New Roman"/>
          <w:sz w:val="26"/>
          <w:szCs w:val="26"/>
        </w:rPr>
        <w:t xml:space="preserve"> interests </w:t>
      </w:r>
      <w:r w:rsidR="00C0705B" w:rsidRPr="00C0705B">
        <w:rPr>
          <w:rFonts w:ascii="Times New Roman" w:eastAsia="Calibri" w:hAnsi="Times New Roman"/>
          <w:sz w:val="26"/>
          <w:szCs w:val="26"/>
        </w:rPr>
        <w:t xml:space="preserve">in this proceeding, and they </w:t>
      </w:r>
      <w:r w:rsidRPr="00C0705B">
        <w:rPr>
          <w:rFonts w:ascii="Times New Roman" w:eastAsia="Calibri" w:hAnsi="Times New Roman"/>
          <w:sz w:val="26"/>
          <w:szCs w:val="26"/>
        </w:rPr>
        <w:t xml:space="preserve">unanimously agree that the </w:t>
      </w:r>
      <w:r w:rsidR="00C0705B" w:rsidRPr="00C0705B">
        <w:rPr>
          <w:rFonts w:ascii="Times New Roman" w:eastAsia="Calibri" w:hAnsi="Times New Roman"/>
          <w:sz w:val="26"/>
          <w:szCs w:val="26"/>
        </w:rPr>
        <w:t xml:space="preserve">Partial </w:t>
      </w:r>
      <w:r w:rsidRPr="00C0705B">
        <w:rPr>
          <w:rFonts w:ascii="Times New Roman" w:eastAsia="Calibri" w:hAnsi="Times New Roman"/>
          <w:sz w:val="26"/>
          <w:szCs w:val="26"/>
        </w:rPr>
        <w:t>Settlement is in the p</w:t>
      </w:r>
      <w:r w:rsidR="00C0705B" w:rsidRPr="00C0705B">
        <w:rPr>
          <w:rFonts w:ascii="Times New Roman" w:eastAsia="Calibri" w:hAnsi="Times New Roman"/>
          <w:sz w:val="26"/>
          <w:szCs w:val="26"/>
        </w:rPr>
        <w:t xml:space="preserve">ublic interest.  The Signatory Parties </w:t>
      </w:r>
      <w:r w:rsidRPr="00C0705B">
        <w:rPr>
          <w:rFonts w:ascii="Times New Roman" w:eastAsia="Calibri" w:hAnsi="Times New Roman"/>
          <w:sz w:val="26"/>
          <w:szCs w:val="26"/>
        </w:rPr>
        <w:t>request that the proposals set forth in PPL</w:t>
      </w:r>
      <w:r w:rsidR="00803C65">
        <w:rPr>
          <w:rFonts w:ascii="Times New Roman" w:eastAsia="Calibri" w:hAnsi="Times New Roman"/>
          <w:sz w:val="26"/>
          <w:szCs w:val="26"/>
        </w:rPr>
        <w:t>’</w:t>
      </w:r>
      <w:r w:rsidR="00C0705B" w:rsidRPr="00C0705B">
        <w:rPr>
          <w:rFonts w:ascii="Times New Roman" w:eastAsia="Calibri" w:hAnsi="Times New Roman"/>
          <w:sz w:val="26"/>
          <w:szCs w:val="26"/>
        </w:rPr>
        <w:t>s DSP III Petition</w:t>
      </w:r>
      <w:r w:rsidRPr="00C0705B">
        <w:rPr>
          <w:rFonts w:ascii="Times New Roman" w:eastAsia="Calibri" w:hAnsi="Times New Roman"/>
          <w:sz w:val="26"/>
          <w:szCs w:val="26"/>
        </w:rPr>
        <w:t xml:space="preserve"> be granted</w:t>
      </w:r>
      <w:r w:rsidR="00C0705B" w:rsidRPr="00C0705B">
        <w:rPr>
          <w:rFonts w:ascii="Times New Roman" w:eastAsia="Calibri" w:hAnsi="Times New Roman"/>
          <w:sz w:val="26"/>
          <w:szCs w:val="26"/>
        </w:rPr>
        <w:t>,</w:t>
      </w:r>
      <w:r w:rsidRPr="00C0705B">
        <w:rPr>
          <w:rFonts w:ascii="Times New Roman" w:eastAsia="Calibri" w:hAnsi="Times New Roman"/>
          <w:sz w:val="26"/>
          <w:szCs w:val="26"/>
        </w:rPr>
        <w:t xml:space="preserve"> subject to the terms and conditions of the </w:t>
      </w:r>
      <w:r w:rsidR="00C0705B" w:rsidRPr="00C0705B">
        <w:rPr>
          <w:rFonts w:ascii="Times New Roman" w:eastAsia="Calibri" w:hAnsi="Times New Roman"/>
          <w:sz w:val="26"/>
          <w:szCs w:val="26"/>
        </w:rPr>
        <w:t xml:space="preserve">Partial </w:t>
      </w:r>
      <w:r w:rsidRPr="00C0705B">
        <w:rPr>
          <w:rFonts w:ascii="Times New Roman" w:eastAsia="Calibri" w:hAnsi="Times New Roman"/>
          <w:sz w:val="26"/>
          <w:szCs w:val="26"/>
        </w:rPr>
        <w:t xml:space="preserve">Settlement and a decision on the issues reserved </w:t>
      </w:r>
      <w:r w:rsidRPr="000D6E38">
        <w:rPr>
          <w:rFonts w:ascii="Times New Roman" w:eastAsia="Calibri" w:hAnsi="Times New Roman"/>
          <w:sz w:val="26"/>
          <w:szCs w:val="26"/>
        </w:rPr>
        <w:t>for litigation.</w:t>
      </w:r>
      <w:r w:rsidR="00086FA7">
        <w:rPr>
          <w:rStyle w:val="FootnoteReference"/>
          <w:rFonts w:ascii="Times New Roman" w:hAnsi="Times New Roman"/>
          <w:sz w:val="26"/>
          <w:szCs w:val="26"/>
        </w:rPr>
        <w:footnoteReference w:id="8"/>
      </w:r>
      <w:r w:rsidR="00C0705B" w:rsidRPr="000D6E38">
        <w:rPr>
          <w:rFonts w:ascii="Times New Roman" w:eastAsia="Calibri" w:hAnsi="Times New Roman"/>
          <w:sz w:val="26"/>
          <w:szCs w:val="26"/>
        </w:rPr>
        <w:t xml:space="preserve">  Partial Settlement at 6.</w:t>
      </w:r>
    </w:p>
    <w:p w:rsidR="00AA597C" w:rsidRPr="000D6E38" w:rsidRDefault="00AA597C" w:rsidP="00AA597C">
      <w:pPr>
        <w:rPr>
          <w:rFonts w:ascii="Times New Roman" w:hAnsi="Times New Roman"/>
          <w:sz w:val="26"/>
          <w:szCs w:val="26"/>
        </w:rPr>
      </w:pPr>
    </w:p>
    <w:p w:rsidR="00AA597C" w:rsidRPr="00AA597C" w:rsidRDefault="00AA597C" w:rsidP="00AA597C">
      <w:pPr>
        <w:rPr>
          <w:rFonts w:ascii="Times New Roman" w:hAnsi="Times New Roman"/>
          <w:sz w:val="26"/>
          <w:szCs w:val="26"/>
        </w:rPr>
      </w:pPr>
      <w:r w:rsidRPr="000D6E38">
        <w:rPr>
          <w:rFonts w:ascii="Times New Roman" w:hAnsi="Times New Roman"/>
          <w:sz w:val="26"/>
          <w:szCs w:val="26"/>
        </w:rPr>
        <w:tab/>
      </w:r>
      <w:r w:rsidRPr="000D6E38">
        <w:rPr>
          <w:rFonts w:ascii="Times New Roman" w:hAnsi="Times New Roman"/>
          <w:sz w:val="26"/>
          <w:szCs w:val="26"/>
        </w:rPr>
        <w:tab/>
        <w:t xml:space="preserve">The substantive terms of the </w:t>
      </w:r>
      <w:r w:rsidR="00C0705B" w:rsidRPr="000D6E38">
        <w:rPr>
          <w:rFonts w:ascii="Times New Roman" w:hAnsi="Times New Roman"/>
          <w:sz w:val="26"/>
          <w:szCs w:val="26"/>
        </w:rPr>
        <w:t xml:space="preserve">Partial </w:t>
      </w:r>
      <w:r w:rsidRPr="000D6E38">
        <w:rPr>
          <w:rFonts w:ascii="Times New Roman" w:hAnsi="Times New Roman"/>
          <w:sz w:val="26"/>
          <w:szCs w:val="26"/>
        </w:rPr>
        <w:t>Settlement are set forth in</w:t>
      </w:r>
      <w:r w:rsidR="009F07B9">
        <w:rPr>
          <w:rFonts w:ascii="Times New Roman" w:hAnsi="Times New Roman"/>
          <w:sz w:val="26"/>
          <w:szCs w:val="26"/>
        </w:rPr>
        <w:t xml:space="preserve"> paragraphs 20 through 56</w:t>
      </w:r>
      <w:r w:rsidR="00C0705B" w:rsidRPr="000D6E38">
        <w:rPr>
          <w:rFonts w:ascii="Times New Roman" w:hAnsi="Times New Roman"/>
          <w:sz w:val="26"/>
          <w:szCs w:val="26"/>
        </w:rPr>
        <w:t>, pages 6 through 14,</w:t>
      </w:r>
      <w:r w:rsidRPr="000D6E38">
        <w:rPr>
          <w:rFonts w:ascii="Times New Roman" w:hAnsi="Times New Roman"/>
          <w:sz w:val="26"/>
          <w:szCs w:val="26"/>
        </w:rPr>
        <w:t xml:space="preserve"> </w:t>
      </w:r>
      <w:r w:rsidR="000D6E38" w:rsidRPr="000D6E38">
        <w:rPr>
          <w:rFonts w:ascii="Times New Roman" w:hAnsi="Times New Roman"/>
          <w:sz w:val="26"/>
          <w:szCs w:val="26"/>
        </w:rPr>
        <w:t>of the Partial Settlement</w:t>
      </w:r>
      <w:r w:rsidRPr="000D6E38">
        <w:rPr>
          <w:rFonts w:ascii="Times New Roman" w:hAnsi="Times New Roman"/>
          <w:sz w:val="26"/>
          <w:szCs w:val="26"/>
        </w:rPr>
        <w:t>, as follows:</w:t>
      </w:r>
    </w:p>
    <w:p w:rsidR="00EF661F" w:rsidRPr="00901B87" w:rsidRDefault="00EF661F" w:rsidP="00EF661F">
      <w:pPr>
        <w:ind w:right="1440"/>
        <w:rPr>
          <w:rFonts w:ascii="Times New Roman" w:eastAsia="Calibri" w:hAnsi="Times New Roman"/>
          <w:sz w:val="26"/>
          <w:szCs w:val="26"/>
        </w:rPr>
      </w:pPr>
    </w:p>
    <w:p w:rsidR="00EF661F" w:rsidRPr="00901B87" w:rsidRDefault="00471D83" w:rsidP="00471D83">
      <w:pPr>
        <w:spacing w:line="240" w:lineRule="auto"/>
        <w:ind w:left="1440" w:right="1440"/>
        <w:rPr>
          <w:rFonts w:ascii="Times New Roman" w:eastAsia="Calibri" w:hAnsi="Times New Roman"/>
          <w:b/>
          <w:sz w:val="26"/>
          <w:szCs w:val="26"/>
        </w:rPr>
      </w:pPr>
      <w:r w:rsidRPr="00901B87">
        <w:rPr>
          <w:rFonts w:ascii="Times New Roman" w:eastAsia="Calibri" w:hAnsi="Times New Roman"/>
          <w:sz w:val="26"/>
          <w:szCs w:val="26"/>
        </w:rPr>
        <w:tab/>
      </w:r>
      <w:r w:rsidR="00EF661F" w:rsidRPr="00901B87">
        <w:rPr>
          <w:rFonts w:ascii="Times New Roman" w:eastAsia="Calibri" w:hAnsi="Times New Roman"/>
          <w:b/>
          <w:sz w:val="26"/>
          <w:szCs w:val="26"/>
        </w:rPr>
        <w:t>A.</w:t>
      </w:r>
      <w:r w:rsidR="00EF661F" w:rsidRPr="00901B87">
        <w:rPr>
          <w:rFonts w:ascii="Times New Roman" w:eastAsia="Calibri" w:hAnsi="Times New Roman"/>
          <w:b/>
          <w:sz w:val="26"/>
          <w:szCs w:val="26"/>
        </w:rPr>
        <w:tab/>
        <w:t>GENERAL</w:t>
      </w:r>
    </w:p>
    <w:p w:rsidR="00EF661F" w:rsidRPr="00901B87" w:rsidRDefault="00EF661F" w:rsidP="00471D83">
      <w:pPr>
        <w:spacing w:line="240" w:lineRule="auto"/>
        <w:ind w:left="1440" w:right="1440"/>
        <w:rPr>
          <w:rFonts w:ascii="Times New Roman" w:eastAsia="Calibri" w:hAnsi="Times New Roman"/>
          <w:b/>
          <w:sz w:val="26"/>
          <w:szCs w:val="26"/>
        </w:rPr>
      </w:pPr>
    </w:p>
    <w:p w:rsidR="00EF661F" w:rsidRPr="00901B87" w:rsidRDefault="0043674F" w:rsidP="00471D83">
      <w:pPr>
        <w:spacing w:line="240" w:lineRule="auto"/>
        <w:ind w:left="1440" w:right="1440"/>
        <w:rPr>
          <w:rFonts w:ascii="Times New Roman" w:eastAsia="Calibri" w:hAnsi="Times New Roman"/>
          <w:sz w:val="26"/>
          <w:szCs w:val="26"/>
        </w:rPr>
      </w:pPr>
      <w:r>
        <w:rPr>
          <w:rFonts w:ascii="Times New Roman" w:eastAsia="Calibri" w:hAnsi="Times New Roman"/>
          <w:b/>
          <w:sz w:val="26"/>
          <w:szCs w:val="26"/>
        </w:rPr>
        <w:tab/>
      </w:r>
      <w:r w:rsidR="00EF661F" w:rsidRPr="00901B87">
        <w:rPr>
          <w:rFonts w:ascii="Times New Roman" w:eastAsia="Calibri" w:hAnsi="Times New Roman"/>
          <w:sz w:val="26"/>
          <w:szCs w:val="26"/>
        </w:rPr>
        <w:t>20.</w:t>
      </w:r>
      <w:r w:rsidR="00EF661F" w:rsidRPr="00901B87">
        <w:rPr>
          <w:rFonts w:ascii="Times New Roman" w:eastAsia="Calibri" w:hAnsi="Times New Roman"/>
          <w:sz w:val="26"/>
          <w:szCs w:val="26"/>
        </w:rPr>
        <w:tab/>
        <w:t>Subject to the terms and conditions of the Settlement, and a decision on the issues reserved for litigation, the Parties agree that the proposals set forth in PPL Electric</w:t>
      </w:r>
      <w:r w:rsidR="00803C65">
        <w:rPr>
          <w:rFonts w:ascii="Times New Roman" w:eastAsia="Calibri" w:hAnsi="Times New Roman"/>
          <w:sz w:val="26"/>
          <w:szCs w:val="26"/>
        </w:rPr>
        <w:t>’</w:t>
      </w:r>
      <w:r w:rsidR="00EF661F" w:rsidRPr="00901B87">
        <w:rPr>
          <w:rFonts w:ascii="Times New Roman" w:eastAsia="Calibri" w:hAnsi="Times New Roman"/>
          <w:sz w:val="26"/>
          <w:szCs w:val="26"/>
        </w:rPr>
        <w:t>s Petition requesting approval of its DSP III Program, including the Default Service SMA, RFP, Program Product Procurement Schedule, and Tariff provisions for the Generation Supply Charge-1 (</w:t>
      </w:r>
      <w:r w:rsidR="00803C65">
        <w:rPr>
          <w:rFonts w:ascii="Times New Roman" w:eastAsia="Calibri" w:hAnsi="Times New Roman"/>
          <w:sz w:val="26"/>
          <w:szCs w:val="26"/>
        </w:rPr>
        <w:t>“</w:t>
      </w:r>
      <w:r w:rsidR="00EF661F" w:rsidRPr="00901B87">
        <w:rPr>
          <w:rFonts w:ascii="Times New Roman" w:eastAsia="Calibri" w:hAnsi="Times New Roman"/>
          <w:sz w:val="26"/>
          <w:szCs w:val="26"/>
        </w:rPr>
        <w:t>GSC-1</w:t>
      </w:r>
      <w:r w:rsidR="00803C65">
        <w:rPr>
          <w:rFonts w:ascii="Times New Roman" w:eastAsia="Calibri" w:hAnsi="Times New Roman"/>
          <w:sz w:val="26"/>
          <w:szCs w:val="26"/>
        </w:rPr>
        <w:t>”</w:t>
      </w:r>
      <w:r w:rsidR="00EF661F" w:rsidRPr="00901B87">
        <w:rPr>
          <w:rFonts w:ascii="Times New Roman" w:eastAsia="Calibri" w:hAnsi="Times New Roman"/>
          <w:sz w:val="26"/>
          <w:szCs w:val="26"/>
        </w:rPr>
        <w:t>), the Generation Supply Charge-2 (</w:t>
      </w:r>
      <w:r w:rsidR="00803C65">
        <w:rPr>
          <w:rFonts w:ascii="Times New Roman" w:eastAsia="Calibri" w:hAnsi="Times New Roman"/>
          <w:sz w:val="26"/>
          <w:szCs w:val="26"/>
        </w:rPr>
        <w:t>“</w:t>
      </w:r>
      <w:r w:rsidR="00EF661F" w:rsidRPr="00901B87">
        <w:rPr>
          <w:rFonts w:ascii="Times New Roman" w:eastAsia="Calibri" w:hAnsi="Times New Roman"/>
          <w:sz w:val="26"/>
          <w:szCs w:val="26"/>
        </w:rPr>
        <w:t>GSC-2</w:t>
      </w:r>
      <w:r w:rsidR="00803C65">
        <w:rPr>
          <w:rFonts w:ascii="Times New Roman" w:eastAsia="Calibri" w:hAnsi="Times New Roman"/>
          <w:sz w:val="26"/>
          <w:szCs w:val="26"/>
        </w:rPr>
        <w:t>”</w:t>
      </w:r>
      <w:r w:rsidR="00EF661F" w:rsidRPr="00901B87">
        <w:rPr>
          <w:rFonts w:ascii="Times New Roman" w:eastAsia="Calibri" w:hAnsi="Times New Roman"/>
          <w:sz w:val="26"/>
          <w:szCs w:val="26"/>
        </w:rPr>
        <w:t>) and the Transmission Service Charge (</w:t>
      </w:r>
      <w:r w:rsidR="00803C65">
        <w:rPr>
          <w:rFonts w:ascii="Times New Roman" w:eastAsia="Calibri" w:hAnsi="Times New Roman"/>
          <w:sz w:val="26"/>
          <w:szCs w:val="26"/>
        </w:rPr>
        <w:t>“</w:t>
      </w:r>
      <w:r w:rsidR="00EF661F" w:rsidRPr="00901B87">
        <w:rPr>
          <w:rFonts w:ascii="Times New Roman" w:eastAsia="Calibri" w:hAnsi="Times New Roman"/>
          <w:sz w:val="26"/>
          <w:szCs w:val="26"/>
        </w:rPr>
        <w:t>TSC</w:t>
      </w:r>
      <w:r w:rsidR="00803C65">
        <w:rPr>
          <w:rFonts w:ascii="Times New Roman" w:eastAsia="Calibri" w:hAnsi="Times New Roman"/>
          <w:sz w:val="26"/>
          <w:szCs w:val="26"/>
        </w:rPr>
        <w:t>”</w:t>
      </w:r>
      <w:r w:rsidR="00EF661F" w:rsidRPr="00901B87">
        <w:rPr>
          <w:rFonts w:ascii="Times New Roman" w:eastAsia="Calibri" w:hAnsi="Times New Roman"/>
          <w:sz w:val="26"/>
          <w:szCs w:val="26"/>
        </w:rPr>
        <w:t>), are acceptable as modified below and should be adopted by the Commission.</w:t>
      </w:r>
    </w:p>
    <w:p w:rsidR="00EF661F" w:rsidRPr="00901B87" w:rsidRDefault="00EF661F" w:rsidP="00471D83">
      <w:pPr>
        <w:spacing w:line="240" w:lineRule="auto"/>
        <w:ind w:left="1440" w:right="1440"/>
        <w:rPr>
          <w:rFonts w:ascii="Times New Roman" w:eastAsia="Calibri" w:hAnsi="Times New Roman"/>
          <w:sz w:val="26"/>
          <w:szCs w:val="26"/>
        </w:rPr>
      </w:pPr>
    </w:p>
    <w:p w:rsidR="00EF661F" w:rsidRPr="00901B87" w:rsidRDefault="0043674F" w:rsidP="00471D83">
      <w:pPr>
        <w:spacing w:line="240" w:lineRule="auto"/>
        <w:ind w:left="1440" w:right="1440"/>
        <w:rPr>
          <w:rFonts w:ascii="Times New Roman" w:eastAsia="Calibri" w:hAnsi="Times New Roman"/>
          <w:sz w:val="26"/>
          <w:szCs w:val="26"/>
        </w:rPr>
      </w:pPr>
      <w:r>
        <w:rPr>
          <w:rFonts w:ascii="Times New Roman" w:eastAsia="Calibri" w:hAnsi="Times New Roman"/>
          <w:sz w:val="26"/>
          <w:szCs w:val="26"/>
        </w:rPr>
        <w:tab/>
      </w:r>
      <w:r w:rsidR="00EF661F" w:rsidRPr="00901B87">
        <w:rPr>
          <w:rFonts w:ascii="Times New Roman" w:eastAsia="Calibri" w:hAnsi="Times New Roman"/>
          <w:sz w:val="26"/>
          <w:szCs w:val="26"/>
        </w:rPr>
        <w:t>21.</w:t>
      </w:r>
      <w:r w:rsidR="00EF661F" w:rsidRPr="00901B87">
        <w:rPr>
          <w:rFonts w:ascii="Times New Roman" w:eastAsia="Calibri" w:hAnsi="Times New Roman"/>
          <w:sz w:val="26"/>
          <w:szCs w:val="26"/>
        </w:rPr>
        <w:tab/>
        <w:t>The parties agree that PPL Electric</w:t>
      </w:r>
      <w:r w:rsidR="00803C65">
        <w:rPr>
          <w:rFonts w:ascii="Times New Roman" w:eastAsia="Calibri" w:hAnsi="Times New Roman"/>
          <w:sz w:val="26"/>
          <w:szCs w:val="26"/>
        </w:rPr>
        <w:t>’</w:t>
      </w:r>
      <w:r w:rsidR="00EF661F" w:rsidRPr="00901B87">
        <w:rPr>
          <w:rFonts w:ascii="Times New Roman" w:eastAsia="Calibri" w:hAnsi="Times New Roman"/>
          <w:sz w:val="26"/>
          <w:szCs w:val="26"/>
        </w:rPr>
        <w:t>s DSP III Program, as modified by the terms and conditions of the Settlement, and subject to the resolution of the issues reserved for litigation, includes and/or addresses all of the elements prescribed by Section 2807 of the Public Utility Code, the Commission</w:t>
      </w:r>
      <w:r w:rsidR="00803C65">
        <w:rPr>
          <w:rFonts w:ascii="Times New Roman" w:eastAsia="Calibri" w:hAnsi="Times New Roman"/>
          <w:sz w:val="26"/>
          <w:szCs w:val="26"/>
        </w:rPr>
        <w:t>’</w:t>
      </w:r>
      <w:r w:rsidR="00EF661F" w:rsidRPr="00901B87">
        <w:rPr>
          <w:rFonts w:ascii="Times New Roman" w:eastAsia="Calibri" w:hAnsi="Times New Roman"/>
          <w:sz w:val="26"/>
          <w:szCs w:val="26"/>
        </w:rPr>
        <w:t>s regulations, and the Commission</w:t>
      </w:r>
      <w:r w:rsidR="00803C65">
        <w:rPr>
          <w:rFonts w:ascii="Times New Roman" w:eastAsia="Calibri" w:hAnsi="Times New Roman"/>
          <w:sz w:val="26"/>
          <w:szCs w:val="26"/>
        </w:rPr>
        <w:t>’</w:t>
      </w:r>
      <w:r w:rsidR="00EF661F" w:rsidRPr="00901B87">
        <w:rPr>
          <w:rFonts w:ascii="Times New Roman" w:eastAsia="Calibri" w:hAnsi="Times New Roman"/>
          <w:sz w:val="26"/>
          <w:szCs w:val="26"/>
        </w:rPr>
        <w:t xml:space="preserve">s policies for a Default Service plan.  </w:t>
      </w:r>
    </w:p>
    <w:p w:rsidR="00EF661F" w:rsidRPr="00901B87" w:rsidRDefault="00EF661F" w:rsidP="00471D83">
      <w:pPr>
        <w:spacing w:line="240" w:lineRule="auto"/>
        <w:ind w:left="1440" w:right="1440"/>
        <w:rPr>
          <w:rFonts w:ascii="Times New Roman" w:eastAsia="Calibri" w:hAnsi="Times New Roman"/>
          <w:sz w:val="26"/>
          <w:szCs w:val="26"/>
        </w:rPr>
      </w:pPr>
    </w:p>
    <w:p w:rsidR="00EF661F" w:rsidRPr="0043674F" w:rsidRDefault="00EF661F" w:rsidP="00803C65">
      <w:pPr>
        <w:keepNext/>
        <w:spacing w:line="240" w:lineRule="auto"/>
        <w:ind w:left="1440" w:right="1440"/>
        <w:rPr>
          <w:rFonts w:ascii="Times New Roman" w:eastAsia="Calibri" w:hAnsi="Times New Roman"/>
          <w:b/>
          <w:sz w:val="26"/>
          <w:szCs w:val="26"/>
        </w:rPr>
      </w:pPr>
      <w:r w:rsidRPr="0043674F">
        <w:rPr>
          <w:rFonts w:ascii="Times New Roman" w:eastAsia="Calibri" w:hAnsi="Times New Roman"/>
          <w:sz w:val="26"/>
          <w:szCs w:val="26"/>
        </w:rPr>
        <w:lastRenderedPageBreak/>
        <w:tab/>
      </w:r>
      <w:r w:rsidRPr="0043674F">
        <w:rPr>
          <w:rFonts w:ascii="Times New Roman" w:eastAsia="Calibri" w:hAnsi="Times New Roman"/>
          <w:b/>
          <w:sz w:val="26"/>
          <w:szCs w:val="26"/>
        </w:rPr>
        <w:t>B.</w:t>
      </w:r>
      <w:r w:rsidRPr="0043674F">
        <w:rPr>
          <w:rFonts w:ascii="Times New Roman" w:eastAsia="Calibri" w:hAnsi="Times New Roman"/>
          <w:b/>
          <w:sz w:val="26"/>
          <w:szCs w:val="26"/>
        </w:rPr>
        <w:tab/>
        <w:t>PRODUCT PORTFOLIO AND PROCUREMENT SCHEDULE</w:t>
      </w:r>
    </w:p>
    <w:p w:rsidR="00EF661F" w:rsidRPr="0043674F" w:rsidRDefault="00EF661F" w:rsidP="00803C65">
      <w:pPr>
        <w:keepNext/>
        <w:spacing w:line="240" w:lineRule="auto"/>
        <w:ind w:left="1440" w:right="1440"/>
        <w:rPr>
          <w:rFonts w:ascii="Times New Roman" w:eastAsia="Calibri" w:hAnsi="Times New Roman"/>
          <w:b/>
          <w:sz w:val="26"/>
          <w:szCs w:val="26"/>
        </w:rPr>
      </w:pPr>
    </w:p>
    <w:p w:rsidR="00EF661F" w:rsidRPr="0043674F" w:rsidRDefault="0043674F" w:rsidP="00471D83">
      <w:pPr>
        <w:spacing w:line="240" w:lineRule="auto"/>
        <w:ind w:left="1440" w:right="1440"/>
        <w:rPr>
          <w:rFonts w:ascii="Times New Roman" w:eastAsia="Calibri" w:hAnsi="Times New Roman"/>
          <w:sz w:val="26"/>
          <w:szCs w:val="26"/>
        </w:rPr>
      </w:pPr>
      <w:r w:rsidRPr="0043674F">
        <w:rPr>
          <w:rFonts w:ascii="Times New Roman" w:eastAsia="Calibri" w:hAnsi="Times New Roman"/>
          <w:sz w:val="26"/>
          <w:szCs w:val="26"/>
        </w:rPr>
        <w:tab/>
      </w:r>
      <w:r w:rsidR="00EF661F" w:rsidRPr="0043674F">
        <w:rPr>
          <w:rFonts w:ascii="Times New Roman" w:eastAsia="Calibri" w:hAnsi="Times New Roman"/>
          <w:sz w:val="26"/>
          <w:szCs w:val="26"/>
        </w:rPr>
        <w:t>22.</w:t>
      </w:r>
      <w:r w:rsidR="00EF661F" w:rsidRPr="0043674F">
        <w:rPr>
          <w:rFonts w:ascii="Times New Roman" w:eastAsia="Calibri" w:hAnsi="Times New Roman"/>
          <w:sz w:val="26"/>
          <w:szCs w:val="26"/>
        </w:rPr>
        <w:tab/>
        <w:t>The Parties agree that the final October 2016 procurements under the DSP III Program will continue to obtain both 12- and 6-month fixed-price products for the Residential and Small C&amp;I rate class categories.</w:t>
      </w:r>
    </w:p>
    <w:p w:rsidR="00EF661F" w:rsidRPr="0043674F" w:rsidRDefault="00EF661F" w:rsidP="00471D83">
      <w:pPr>
        <w:spacing w:line="240" w:lineRule="auto"/>
        <w:ind w:left="1440" w:right="1440"/>
        <w:rPr>
          <w:rFonts w:ascii="Times New Roman" w:eastAsia="Calibri" w:hAnsi="Times New Roman"/>
          <w:sz w:val="26"/>
          <w:szCs w:val="26"/>
        </w:rPr>
      </w:pPr>
    </w:p>
    <w:p w:rsidR="00EF661F" w:rsidRPr="008A6D72" w:rsidRDefault="0043674F" w:rsidP="00471D83">
      <w:pPr>
        <w:spacing w:line="240" w:lineRule="auto"/>
        <w:ind w:left="1440" w:right="1440"/>
        <w:rPr>
          <w:rFonts w:ascii="Times New Roman" w:eastAsia="Calibri" w:hAnsi="Times New Roman"/>
          <w:sz w:val="26"/>
          <w:szCs w:val="26"/>
        </w:rPr>
      </w:pPr>
      <w:r w:rsidRPr="0043674F">
        <w:rPr>
          <w:rFonts w:ascii="Times New Roman" w:eastAsia="Calibri" w:hAnsi="Times New Roman"/>
          <w:sz w:val="26"/>
          <w:szCs w:val="26"/>
        </w:rPr>
        <w:tab/>
      </w:r>
      <w:r w:rsidR="00EF661F" w:rsidRPr="0043674F">
        <w:rPr>
          <w:rFonts w:ascii="Times New Roman" w:eastAsia="Calibri" w:hAnsi="Times New Roman"/>
          <w:sz w:val="26"/>
          <w:szCs w:val="26"/>
        </w:rPr>
        <w:t>23.</w:t>
      </w:r>
      <w:r w:rsidR="00EF661F" w:rsidRPr="0043674F">
        <w:rPr>
          <w:rFonts w:ascii="Times New Roman" w:eastAsia="Calibri" w:hAnsi="Times New Roman"/>
          <w:sz w:val="26"/>
          <w:szCs w:val="26"/>
        </w:rPr>
        <w:tab/>
        <w:t xml:space="preserve">The parties agree that the product portfolio and procurement schedule for the final October 2016 procurements under the DSP III Program will be modified so that 55% of the Residential portfolio will expire on May 31, 2017, and 45% of the Residential portfolio will extend beyond May 31, 2017.  The Parties acknowledge that this modification is consistent with the product portfolio and procurement schedule approved by the Commission in PPL </w:t>
      </w:r>
      <w:r w:rsidR="00EF661F" w:rsidRPr="008A6D72">
        <w:rPr>
          <w:rFonts w:ascii="Times New Roman" w:eastAsia="Calibri" w:hAnsi="Times New Roman"/>
          <w:sz w:val="26"/>
          <w:szCs w:val="26"/>
        </w:rPr>
        <w:t>Electric</w:t>
      </w:r>
      <w:r w:rsidR="00803C65">
        <w:rPr>
          <w:rFonts w:ascii="Times New Roman" w:eastAsia="Calibri" w:hAnsi="Times New Roman"/>
          <w:sz w:val="26"/>
          <w:szCs w:val="26"/>
        </w:rPr>
        <w:t>’</w:t>
      </w:r>
      <w:r w:rsidR="00EF661F" w:rsidRPr="008A6D72">
        <w:rPr>
          <w:rFonts w:ascii="Times New Roman" w:eastAsia="Calibri" w:hAnsi="Times New Roman"/>
          <w:sz w:val="26"/>
          <w:szCs w:val="26"/>
        </w:rPr>
        <w:t>s DSP II Plan.  Attached</w:t>
      </w:r>
      <w:r w:rsidRPr="008A6D72">
        <w:rPr>
          <w:rFonts w:ascii="Times New Roman" w:eastAsia="Calibri" w:hAnsi="Times New Roman"/>
          <w:sz w:val="26"/>
          <w:szCs w:val="26"/>
        </w:rPr>
        <w:t xml:space="preserve"> [to the Partial Settlement]</w:t>
      </w:r>
      <w:r w:rsidR="00EF661F" w:rsidRPr="008A6D72">
        <w:rPr>
          <w:rFonts w:ascii="Times New Roman" w:eastAsia="Calibri" w:hAnsi="Times New Roman"/>
          <w:sz w:val="26"/>
          <w:szCs w:val="26"/>
        </w:rPr>
        <w:t xml:space="preserve"> as Appendix A is a product portfolio and procurement schedule that has been modified to reflect this settlement term.</w:t>
      </w:r>
    </w:p>
    <w:p w:rsidR="00EF661F" w:rsidRPr="008A6D72" w:rsidRDefault="00EF661F" w:rsidP="00471D83">
      <w:pPr>
        <w:spacing w:line="240" w:lineRule="auto"/>
        <w:ind w:left="1440" w:right="1440"/>
        <w:rPr>
          <w:rFonts w:ascii="Times New Roman" w:eastAsia="Calibri" w:hAnsi="Times New Roman"/>
          <w:sz w:val="26"/>
          <w:szCs w:val="26"/>
        </w:rPr>
      </w:pPr>
    </w:p>
    <w:p w:rsidR="00EF661F" w:rsidRPr="008A6D72" w:rsidRDefault="008A6D72" w:rsidP="00471D83">
      <w:pPr>
        <w:spacing w:line="240" w:lineRule="auto"/>
        <w:ind w:left="1440" w:right="1440"/>
        <w:rPr>
          <w:rFonts w:ascii="Times New Roman" w:eastAsia="Calibri" w:hAnsi="Times New Roman"/>
          <w:sz w:val="26"/>
          <w:szCs w:val="26"/>
        </w:rPr>
      </w:pPr>
      <w:r w:rsidRPr="008A6D72">
        <w:rPr>
          <w:rFonts w:ascii="Times New Roman" w:eastAsia="Calibri" w:hAnsi="Times New Roman"/>
          <w:sz w:val="26"/>
          <w:szCs w:val="26"/>
        </w:rPr>
        <w:tab/>
      </w:r>
      <w:r w:rsidR="00EF661F" w:rsidRPr="008A6D72">
        <w:rPr>
          <w:rFonts w:ascii="Times New Roman" w:eastAsia="Calibri" w:hAnsi="Times New Roman"/>
          <w:sz w:val="26"/>
          <w:szCs w:val="26"/>
        </w:rPr>
        <w:t>24.</w:t>
      </w:r>
      <w:r w:rsidR="00EF661F" w:rsidRPr="008A6D72">
        <w:rPr>
          <w:rFonts w:ascii="Times New Roman" w:eastAsia="Calibri" w:hAnsi="Times New Roman"/>
          <w:sz w:val="26"/>
          <w:szCs w:val="26"/>
        </w:rPr>
        <w:tab/>
        <w:t>Should the Commission determine, any time prior to the last solicitation under the DSP III program in October 2016, that PPL Electric will not continue in its role as Default Service provider beyond May 31, 2017, PPL Electric agrees to file an appropriate petition with the Commission requesting to amend the DSP III Program to ensure that no fixed-priced contracts extend beyond May 31, 2017, or the date set by the Commission for the termination of PPL Electric</w:t>
      </w:r>
      <w:r w:rsidR="00803C65">
        <w:rPr>
          <w:rFonts w:ascii="Times New Roman" w:eastAsia="Calibri" w:hAnsi="Times New Roman"/>
          <w:sz w:val="26"/>
          <w:szCs w:val="26"/>
        </w:rPr>
        <w:t>’</w:t>
      </w:r>
      <w:r w:rsidR="00EF661F" w:rsidRPr="008A6D72">
        <w:rPr>
          <w:rFonts w:ascii="Times New Roman" w:eastAsia="Calibri" w:hAnsi="Times New Roman"/>
          <w:sz w:val="26"/>
          <w:szCs w:val="26"/>
        </w:rPr>
        <w:t>s role as Default Service provider.</w:t>
      </w:r>
    </w:p>
    <w:p w:rsidR="00EF661F" w:rsidRPr="008A6D72" w:rsidRDefault="00EF661F" w:rsidP="00471D83">
      <w:pPr>
        <w:spacing w:line="240" w:lineRule="auto"/>
        <w:ind w:left="1440" w:right="1440"/>
        <w:rPr>
          <w:rFonts w:ascii="Times New Roman" w:eastAsia="Calibri" w:hAnsi="Times New Roman"/>
          <w:sz w:val="26"/>
          <w:szCs w:val="26"/>
        </w:rPr>
      </w:pPr>
    </w:p>
    <w:p w:rsidR="00EF661F" w:rsidRPr="006938F0" w:rsidRDefault="00EF661F" w:rsidP="00803C65">
      <w:pPr>
        <w:keepNext/>
        <w:spacing w:line="240" w:lineRule="auto"/>
        <w:ind w:left="1440" w:right="1440"/>
        <w:rPr>
          <w:rFonts w:ascii="Times New Roman" w:eastAsia="Calibri" w:hAnsi="Times New Roman"/>
          <w:b/>
          <w:sz w:val="26"/>
          <w:szCs w:val="26"/>
        </w:rPr>
      </w:pPr>
      <w:r w:rsidRPr="008A6D72">
        <w:rPr>
          <w:rFonts w:ascii="Times New Roman" w:eastAsia="Calibri" w:hAnsi="Times New Roman"/>
          <w:sz w:val="26"/>
          <w:szCs w:val="26"/>
        </w:rPr>
        <w:tab/>
      </w:r>
      <w:r w:rsidRPr="006938F0">
        <w:rPr>
          <w:rFonts w:ascii="Times New Roman" w:eastAsia="Calibri" w:hAnsi="Times New Roman"/>
          <w:b/>
          <w:sz w:val="26"/>
          <w:szCs w:val="26"/>
        </w:rPr>
        <w:t>C.</w:t>
      </w:r>
      <w:r w:rsidRPr="006938F0">
        <w:rPr>
          <w:rFonts w:ascii="Times New Roman" w:eastAsia="Calibri" w:hAnsi="Times New Roman"/>
          <w:b/>
          <w:sz w:val="26"/>
          <w:szCs w:val="26"/>
        </w:rPr>
        <w:tab/>
        <w:t>CONTINGENCY PLAN</w:t>
      </w:r>
    </w:p>
    <w:p w:rsidR="00EF661F" w:rsidRPr="006938F0" w:rsidRDefault="00EF661F" w:rsidP="00803C65">
      <w:pPr>
        <w:keepNext/>
        <w:spacing w:line="240" w:lineRule="auto"/>
        <w:ind w:left="1440" w:right="1440"/>
        <w:rPr>
          <w:rFonts w:ascii="Times New Roman" w:eastAsia="Calibri" w:hAnsi="Times New Roman"/>
          <w:b/>
          <w:sz w:val="26"/>
          <w:szCs w:val="26"/>
        </w:rPr>
      </w:pPr>
    </w:p>
    <w:p w:rsidR="00EF661F" w:rsidRPr="00784FAD" w:rsidRDefault="006938F0" w:rsidP="00471D83">
      <w:pPr>
        <w:spacing w:line="240" w:lineRule="auto"/>
        <w:ind w:left="1440" w:right="1440"/>
        <w:rPr>
          <w:rFonts w:ascii="Times New Roman" w:eastAsia="Calibri" w:hAnsi="Times New Roman"/>
          <w:sz w:val="26"/>
          <w:szCs w:val="26"/>
        </w:rPr>
      </w:pPr>
      <w:r w:rsidRPr="006938F0">
        <w:rPr>
          <w:rFonts w:ascii="Times New Roman" w:eastAsia="Calibri" w:hAnsi="Times New Roman"/>
          <w:b/>
          <w:sz w:val="26"/>
          <w:szCs w:val="26"/>
        </w:rPr>
        <w:tab/>
      </w:r>
      <w:r w:rsidR="00EF661F" w:rsidRPr="006938F0">
        <w:rPr>
          <w:rFonts w:ascii="Times New Roman" w:eastAsia="Calibri" w:hAnsi="Times New Roman"/>
          <w:sz w:val="26"/>
          <w:szCs w:val="26"/>
        </w:rPr>
        <w:t>25.</w:t>
      </w:r>
      <w:r w:rsidR="00EF661F" w:rsidRPr="006938F0">
        <w:rPr>
          <w:rFonts w:ascii="Times New Roman" w:eastAsia="Calibri" w:hAnsi="Times New Roman"/>
          <w:sz w:val="26"/>
          <w:szCs w:val="26"/>
        </w:rPr>
        <w:tab/>
        <w:t>PPL Electric agrees to modify the RFP to provide that, if the Commission rejects all bids for a given product, in any solicitation, or if some tranches of a given product in a particular solicitation do not receive bids, the Independent Auction Manager will [</w:t>
      </w:r>
      <w:r w:rsidR="00E40015" w:rsidRPr="00E40015">
        <w:rPr>
          <w:rFonts w:ascii="Times New Roman" w:eastAsia="Calibri" w:hAnsi="Times New Roman"/>
          <w:sz w:val="26"/>
          <w:szCs w:val="26"/>
        </w:rPr>
        <w:t>be</w:t>
      </w:r>
      <w:r w:rsidR="00EF661F" w:rsidRPr="006938F0">
        <w:rPr>
          <w:rFonts w:ascii="Times New Roman" w:eastAsia="Calibri" w:hAnsi="Times New Roman"/>
          <w:sz w:val="26"/>
          <w:szCs w:val="26"/>
        </w:rPr>
        <w:t xml:space="preserve">] responsible to contact suppliers, including all suppliers that submitted bids and suppliers that registered as potential bidders in response to the RFP, in an attempt to gain an understanding of the underlying cause of any shortfall or supplier failure, and to include such understanding in a report to the Commission.  Nothing in this provision shall be construed to require any supplier contacted </w:t>
      </w:r>
      <w:r w:rsidR="00EF661F" w:rsidRPr="006938F0">
        <w:rPr>
          <w:rFonts w:ascii="Times New Roman" w:eastAsia="Calibri" w:hAnsi="Times New Roman"/>
          <w:sz w:val="26"/>
          <w:szCs w:val="26"/>
        </w:rPr>
        <w:lastRenderedPageBreak/>
        <w:t xml:space="preserve">by the Independent Auction Manager to provide confidential or proprietary business information, whether </w:t>
      </w:r>
      <w:r w:rsidR="00EF661F" w:rsidRPr="00784FAD">
        <w:rPr>
          <w:rFonts w:ascii="Times New Roman" w:eastAsia="Calibri" w:hAnsi="Times New Roman"/>
          <w:sz w:val="26"/>
          <w:szCs w:val="26"/>
        </w:rPr>
        <w:t>the supplier registered as a potential bidder or not, or submitted bids or not.</w:t>
      </w:r>
    </w:p>
    <w:p w:rsidR="00EF661F" w:rsidRPr="00784FAD" w:rsidRDefault="00EF661F" w:rsidP="00471D83">
      <w:pPr>
        <w:spacing w:line="240" w:lineRule="auto"/>
        <w:ind w:left="1440" w:right="1440"/>
        <w:rPr>
          <w:rFonts w:ascii="Times New Roman" w:eastAsia="Calibri" w:hAnsi="Times New Roman"/>
          <w:sz w:val="26"/>
          <w:szCs w:val="26"/>
        </w:rPr>
      </w:pPr>
    </w:p>
    <w:p w:rsidR="00EF661F" w:rsidRPr="00784FAD" w:rsidRDefault="00784FAD" w:rsidP="00471D83">
      <w:pPr>
        <w:spacing w:line="240" w:lineRule="auto"/>
        <w:ind w:left="1440" w:right="1440"/>
        <w:rPr>
          <w:rFonts w:ascii="Times New Roman" w:eastAsia="Calibri" w:hAnsi="Times New Roman"/>
          <w:sz w:val="26"/>
          <w:szCs w:val="26"/>
        </w:rPr>
      </w:pPr>
      <w:r>
        <w:rPr>
          <w:rFonts w:ascii="Times New Roman" w:eastAsia="Calibri" w:hAnsi="Times New Roman"/>
          <w:sz w:val="26"/>
          <w:szCs w:val="26"/>
        </w:rPr>
        <w:tab/>
      </w:r>
      <w:r w:rsidR="00EF661F" w:rsidRPr="00784FAD">
        <w:rPr>
          <w:rFonts w:ascii="Times New Roman" w:eastAsia="Calibri" w:hAnsi="Times New Roman"/>
          <w:sz w:val="26"/>
          <w:szCs w:val="26"/>
        </w:rPr>
        <w:t>26.</w:t>
      </w:r>
      <w:r w:rsidR="00EF661F" w:rsidRPr="00784FAD">
        <w:rPr>
          <w:rFonts w:ascii="Times New Roman" w:eastAsia="Calibri" w:hAnsi="Times New Roman"/>
          <w:sz w:val="26"/>
          <w:szCs w:val="26"/>
        </w:rPr>
        <w:tab/>
        <w:t>If the Commission rejects all bids for a given product, in any solicitation, or if some tranches of a given product in a particular solicitation do not receive bids, PPL Electric agrees to issue a new RFP as soon as practicable and, if needed, to obtain Default Supply through the spot market in the interim.  PPL Electric will make all reasonable efforts to minimize the Residential load that is unhedged, including but not limited to consideration of combined block and spot products, when it seeks Commission guidance following a failed solicitation.</w:t>
      </w:r>
      <w:r w:rsidR="004F3B78">
        <w:rPr>
          <w:rFonts w:ascii="Times New Roman" w:eastAsia="Calibri" w:hAnsi="Times New Roman"/>
          <w:sz w:val="26"/>
          <w:szCs w:val="26"/>
          <w:vertAlign w:val="superscript"/>
        </w:rPr>
        <w:t>2</w:t>
      </w:r>
    </w:p>
    <w:p w:rsidR="00EF661F" w:rsidRPr="00784FAD" w:rsidRDefault="00EF661F" w:rsidP="00471D83">
      <w:pPr>
        <w:spacing w:line="240" w:lineRule="auto"/>
        <w:ind w:left="1440" w:right="1440"/>
        <w:rPr>
          <w:rFonts w:ascii="Times New Roman" w:eastAsia="Calibri" w:hAnsi="Times New Roman"/>
          <w:sz w:val="26"/>
          <w:szCs w:val="26"/>
        </w:rPr>
      </w:pPr>
    </w:p>
    <w:p w:rsidR="00EF661F" w:rsidRPr="00376F73" w:rsidRDefault="00376F73" w:rsidP="00471D83">
      <w:pPr>
        <w:spacing w:line="240" w:lineRule="auto"/>
        <w:ind w:left="1440" w:right="1440"/>
        <w:rPr>
          <w:rFonts w:ascii="Times New Roman" w:eastAsia="Calibri" w:hAnsi="Times New Roman"/>
          <w:sz w:val="26"/>
          <w:szCs w:val="26"/>
        </w:rPr>
      </w:pPr>
      <w:r w:rsidRPr="00376F73">
        <w:rPr>
          <w:rFonts w:ascii="Times New Roman" w:eastAsia="Calibri" w:hAnsi="Times New Roman"/>
          <w:sz w:val="26"/>
          <w:szCs w:val="26"/>
        </w:rPr>
        <w:tab/>
      </w:r>
      <w:r w:rsidR="00EF661F" w:rsidRPr="00376F73">
        <w:rPr>
          <w:rFonts w:ascii="Times New Roman" w:eastAsia="Calibri" w:hAnsi="Times New Roman"/>
          <w:sz w:val="26"/>
          <w:szCs w:val="26"/>
        </w:rPr>
        <w:t>27.</w:t>
      </w:r>
      <w:r w:rsidR="00EF661F" w:rsidRPr="00376F73">
        <w:rPr>
          <w:rFonts w:ascii="Times New Roman" w:eastAsia="Calibri" w:hAnsi="Times New Roman"/>
          <w:sz w:val="26"/>
          <w:szCs w:val="26"/>
        </w:rPr>
        <w:tab/>
        <w:t>The Parties agree that the settlement makes no changes to the Contingency Plan described in the SMA in the event of a supplier default.</w:t>
      </w:r>
    </w:p>
    <w:p w:rsidR="004F3B78" w:rsidRDefault="004F3B78" w:rsidP="004F3B78">
      <w:pPr>
        <w:ind w:left="1440" w:right="1440"/>
      </w:pPr>
      <w:r>
        <w:rPr>
          <w:rFonts w:ascii="Times New Roman" w:eastAsia="Calibri" w:hAnsi="Times New Roman"/>
          <w:sz w:val="26"/>
          <w:szCs w:val="26"/>
        </w:rPr>
        <w:t>_______________________________________________</w:t>
      </w:r>
    </w:p>
    <w:p w:rsidR="004F3B78" w:rsidRPr="004F3B78" w:rsidRDefault="004F3B78" w:rsidP="004F3B78">
      <w:pPr>
        <w:spacing w:line="240" w:lineRule="auto"/>
        <w:ind w:left="1440" w:right="1440"/>
        <w:rPr>
          <w:rFonts w:ascii="Times New Roman" w:eastAsia="Calibri" w:hAnsi="Times New Roman"/>
          <w:sz w:val="26"/>
          <w:szCs w:val="26"/>
        </w:rPr>
      </w:pPr>
      <w:r w:rsidRPr="004F3B78">
        <w:rPr>
          <w:rFonts w:ascii="Times New Roman" w:eastAsia="Calibri" w:hAnsi="Times New Roman"/>
          <w:sz w:val="26"/>
          <w:szCs w:val="26"/>
          <w:vertAlign w:val="superscript"/>
        </w:rPr>
        <w:t>2</w:t>
      </w:r>
      <w:r>
        <w:rPr>
          <w:rFonts w:ascii="Times New Roman" w:eastAsia="Calibri" w:hAnsi="Times New Roman"/>
          <w:sz w:val="26"/>
          <w:szCs w:val="26"/>
          <w:vertAlign w:val="superscript"/>
        </w:rPr>
        <w:tab/>
      </w:r>
      <w:r w:rsidRPr="004F3B78">
        <w:rPr>
          <w:rFonts w:ascii="Times New Roman" w:eastAsia="Calibri" w:hAnsi="Times New Roman"/>
          <w:sz w:val="26"/>
          <w:szCs w:val="26"/>
        </w:rPr>
        <w:t>The Parties reserve their respective rights to present their arguments on the effectiveness of using block and spot purchases at such time.</w:t>
      </w:r>
    </w:p>
    <w:p w:rsidR="004F3B78" w:rsidRDefault="004F3B78" w:rsidP="00471D83">
      <w:pPr>
        <w:spacing w:line="240" w:lineRule="auto"/>
        <w:ind w:left="1440" w:right="1440"/>
        <w:rPr>
          <w:rFonts w:ascii="Times New Roman" w:eastAsia="Calibri" w:hAnsi="Times New Roman"/>
          <w:sz w:val="26"/>
          <w:szCs w:val="26"/>
        </w:rPr>
      </w:pPr>
    </w:p>
    <w:p w:rsidR="004F3B78" w:rsidRPr="00376F73" w:rsidRDefault="004F3B78" w:rsidP="00471D83">
      <w:pPr>
        <w:spacing w:line="240" w:lineRule="auto"/>
        <w:ind w:left="1440" w:right="1440"/>
        <w:rPr>
          <w:rFonts w:ascii="Times New Roman" w:eastAsia="Calibri" w:hAnsi="Times New Roman"/>
          <w:sz w:val="26"/>
          <w:szCs w:val="26"/>
        </w:rPr>
      </w:pPr>
    </w:p>
    <w:p w:rsidR="00EF661F" w:rsidRPr="00D6070F" w:rsidRDefault="00EF661F" w:rsidP="00803C65">
      <w:pPr>
        <w:keepNext/>
        <w:spacing w:line="240" w:lineRule="auto"/>
        <w:ind w:left="1440" w:right="1440"/>
        <w:rPr>
          <w:rFonts w:ascii="Times New Roman" w:eastAsia="Calibri" w:hAnsi="Times New Roman"/>
          <w:sz w:val="26"/>
          <w:szCs w:val="26"/>
        </w:rPr>
      </w:pPr>
      <w:r w:rsidRPr="00376F73">
        <w:rPr>
          <w:rFonts w:ascii="Times New Roman" w:eastAsia="Calibri" w:hAnsi="Times New Roman"/>
          <w:sz w:val="26"/>
          <w:szCs w:val="26"/>
        </w:rPr>
        <w:tab/>
      </w:r>
      <w:r w:rsidRPr="00D6070F">
        <w:rPr>
          <w:rFonts w:ascii="Times New Roman" w:eastAsia="Calibri" w:hAnsi="Times New Roman"/>
          <w:b/>
          <w:sz w:val="26"/>
          <w:szCs w:val="26"/>
        </w:rPr>
        <w:t>D.</w:t>
      </w:r>
      <w:r w:rsidRPr="00D6070F">
        <w:rPr>
          <w:rFonts w:ascii="Times New Roman" w:eastAsia="Calibri" w:hAnsi="Times New Roman"/>
          <w:b/>
          <w:sz w:val="26"/>
          <w:szCs w:val="26"/>
        </w:rPr>
        <w:tab/>
        <w:t>AECs</w:t>
      </w:r>
    </w:p>
    <w:p w:rsidR="00EF661F" w:rsidRPr="00D6070F" w:rsidRDefault="00EF661F" w:rsidP="00803C65">
      <w:pPr>
        <w:keepNext/>
        <w:spacing w:line="240" w:lineRule="auto"/>
        <w:ind w:left="1440" w:right="1440"/>
        <w:rPr>
          <w:rFonts w:ascii="Times New Roman" w:eastAsia="Calibri" w:hAnsi="Times New Roman"/>
          <w:b/>
          <w:sz w:val="26"/>
          <w:szCs w:val="26"/>
        </w:rPr>
      </w:pPr>
    </w:p>
    <w:p w:rsidR="00EF661F" w:rsidRPr="00D6070F" w:rsidRDefault="00D6070F" w:rsidP="00471D83">
      <w:pPr>
        <w:spacing w:line="240" w:lineRule="auto"/>
        <w:ind w:left="1440" w:right="1440"/>
        <w:rPr>
          <w:rFonts w:ascii="Times New Roman" w:eastAsia="Calibri" w:hAnsi="Times New Roman"/>
          <w:sz w:val="26"/>
          <w:szCs w:val="26"/>
        </w:rPr>
      </w:pPr>
      <w:r w:rsidRPr="00D6070F">
        <w:rPr>
          <w:rFonts w:ascii="Times New Roman" w:eastAsia="Calibri" w:hAnsi="Times New Roman"/>
          <w:sz w:val="26"/>
          <w:szCs w:val="26"/>
        </w:rPr>
        <w:tab/>
      </w:r>
      <w:r w:rsidR="00EF661F" w:rsidRPr="00D6070F">
        <w:rPr>
          <w:rFonts w:ascii="Times New Roman" w:eastAsia="Calibri" w:hAnsi="Times New Roman"/>
          <w:sz w:val="26"/>
          <w:szCs w:val="26"/>
        </w:rPr>
        <w:t>28.</w:t>
      </w:r>
      <w:r w:rsidR="00EF661F" w:rsidRPr="00D6070F">
        <w:rPr>
          <w:rFonts w:ascii="Times New Roman" w:eastAsia="Calibri" w:hAnsi="Times New Roman"/>
          <w:sz w:val="26"/>
          <w:szCs w:val="26"/>
        </w:rPr>
        <w:tab/>
        <w:t>PPL Electric agrees to modify Paragraph 5 of Appendix D to the Default Service SMA to require Default Service Suppliers to transfer Alternative Energy Credits (</w:t>
      </w:r>
      <w:r w:rsidR="00803C65">
        <w:rPr>
          <w:rFonts w:ascii="Times New Roman" w:eastAsia="Calibri" w:hAnsi="Times New Roman"/>
          <w:sz w:val="26"/>
          <w:szCs w:val="26"/>
        </w:rPr>
        <w:t>“</w:t>
      </w:r>
      <w:r w:rsidR="00EF661F" w:rsidRPr="00D6070F">
        <w:rPr>
          <w:rFonts w:ascii="Times New Roman" w:eastAsia="Calibri" w:hAnsi="Times New Roman"/>
          <w:sz w:val="26"/>
          <w:szCs w:val="26"/>
        </w:rPr>
        <w:t>AECs</w:t>
      </w:r>
      <w:r w:rsidR="00803C65">
        <w:rPr>
          <w:rFonts w:ascii="Times New Roman" w:eastAsia="Calibri" w:hAnsi="Times New Roman"/>
          <w:sz w:val="26"/>
          <w:szCs w:val="26"/>
        </w:rPr>
        <w:t>”</w:t>
      </w:r>
      <w:r w:rsidR="00EF661F" w:rsidRPr="00D6070F">
        <w:rPr>
          <w:rFonts w:ascii="Times New Roman" w:eastAsia="Calibri" w:hAnsi="Times New Roman"/>
          <w:sz w:val="26"/>
          <w:szCs w:val="26"/>
        </w:rPr>
        <w:t>) into PPL Electric</w:t>
      </w:r>
      <w:r w:rsidR="00803C65">
        <w:rPr>
          <w:rFonts w:ascii="Times New Roman" w:eastAsia="Calibri" w:hAnsi="Times New Roman"/>
          <w:sz w:val="26"/>
          <w:szCs w:val="26"/>
        </w:rPr>
        <w:t>’</w:t>
      </w:r>
      <w:r w:rsidR="00EF661F" w:rsidRPr="00D6070F">
        <w:rPr>
          <w:rFonts w:ascii="Times New Roman" w:eastAsia="Calibri" w:hAnsi="Times New Roman"/>
          <w:sz w:val="26"/>
          <w:szCs w:val="26"/>
        </w:rPr>
        <w:t>s Generator Attribute Tracking System (</w:t>
      </w:r>
      <w:r w:rsidR="00803C65">
        <w:rPr>
          <w:rFonts w:ascii="Times New Roman" w:eastAsia="Calibri" w:hAnsi="Times New Roman"/>
          <w:sz w:val="26"/>
          <w:szCs w:val="26"/>
        </w:rPr>
        <w:t>“</w:t>
      </w:r>
      <w:r w:rsidR="00EF661F" w:rsidRPr="00D6070F">
        <w:rPr>
          <w:rFonts w:ascii="Times New Roman" w:eastAsia="Calibri" w:hAnsi="Times New Roman"/>
          <w:sz w:val="26"/>
          <w:szCs w:val="26"/>
        </w:rPr>
        <w:t>GATS</w:t>
      </w:r>
      <w:r w:rsidR="00803C65">
        <w:rPr>
          <w:rFonts w:ascii="Times New Roman" w:eastAsia="Calibri" w:hAnsi="Times New Roman"/>
          <w:sz w:val="26"/>
          <w:szCs w:val="26"/>
        </w:rPr>
        <w:t>”</w:t>
      </w:r>
      <w:r w:rsidR="00EF661F" w:rsidRPr="00D6070F">
        <w:rPr>
          <w:rFonts w:ascii="Times New Roman" w:eastAsia="Calibri" w:hAnsi="Times New Roman"/>
          <w:sz w:val="26"/>
          <w:szCs w:val="26"/>
        </w:rPr>
        <w:t>) account on a quarterly basis.</w:t>
      </w:r>
    </w:p>
    <w:p w:rsidR="00EF661F" w:rsidRPr="00D6070F" w:rsidRDefault="00EF661F" w:rsidP="00471D83">
      <w:pPr>
        <w:spacing w:line="240" w:lineRule="auto"/>
        <w:ind w:left="1440" w:right="1440"/>
        <w:rPr>
          <w:rFonts w:ascii="Times New Roman" w:eastAsia="Calibri" w:hAnsi="Times New Roman"/>
          <w:sz w:val="26"/>
          <w:szCs w:val="26"/>
        </w:rPr>
      </w:pPr>
    </w:p>
    <w:p w:rsidR="00EF661F" w:rsidRPr="00D6070F" w:rsidRDefault="00D6070F" w:rsidP="00471D83">
      <w:pPr>
        <w:spacing w:line="240" w:lineRule="auto"/>
        <w:ind w:left="1440" w:right="1440"/>
        <w:rPr>
          <w:rFonts w:ascii="Times New Roman" w:eastAsia="Calibri" w:hAnsi="Times New Roman"/>
          <w:sz w:val="26"/>
          <w:szCs w:val="26"/>
        </w:rPr>
      </w:pPr>
      <w:r w:rsidRPr="00D6070F">
        <w:rPr>
          <w:rFonts w:ascii="Times New Roman" w:eastAsia="Calibri" w:hAnsi="Times New Roman"/>
          <w:sz w:val="26"/>
          <w:szCs w:val="26"/>
        </w:rPr>
        <w:tab/>
      </w:r>
      <w:r w:rsidR="00EF661F" w:rsidRPr="00D6070F">
        <w:rPr>
          <w:rFonts w:ascii="Times New Roman" w:eastAsia="Calibri" w:hAnsi="Times New Roman"/>
          <w:sz w:val="26"/>
          <w:szCs w:val="26"/>
        </w:rPr>
        <w:t>29.</w:t>
      </w:r>
      <w:r w:rsidR="00EF661F" w:rsidRPr="00D6070F">
        <w:rPr>
          <w:rFonts w:ascii="Times New Roman" w:eastAsia="Calibri" w:hAnsi="Times New Roman"/>
          <w:sz w:val="26"/>
          <w:szCs w:val="26"/>
        </w:rPr>
        <w:tab/>
        <w:t>PPL Electric will procure Tier I (non-solar) and Tier II AECs through new individual long-term contracts in an amount necessary to cover the AEPS requirements associated with the pre-existing Long-Term Product contract for 50 MW committed through May 31, 2021.  PPL Electric agrees that these new long-term contracts will be solicited in the first auction under the DSP III Program.</w:t>
      </w:r>
    </w:p>
    <w:p w:rsidR="00EF661F" w:rsidRPr="00D6070F" w:rsidRDefault="00EF661F" w:rsidP="00471D83">
      <w:pPr>
        <w:spacing w:line="240" w:lineRule="auto"/>
        <w:ind w:left="1440" w:right="1440"/>
        <w:rPr>
          <w:rFonts w:ascii="Times New Roman" w:eastAsia="Calibri" w:hAnsi="Times New Roman"/>
          <w:sz w:val="26"/>
          <w:szCs w:val="26"/>
        </w:rPr>
      </w:pPr>
    </w:p>
    <w:p w:rsidR="00EF661F" w:rsidRPr="00CF394C" w:rsidRDefault="00EF661F" w:rsidP="00BF13B4">
      <w:pPr>
        <w:keepNext/>
        <w:spacing w:line="240" w:lineRule="auto"/>
        <w:ind w:left="1440" w:right="1440"/>
        <w:rPr>
          <w:rFonts w:ascii="Times New Roman" w:eastAsia="Calibri" w:hAnsi="Times New Roman"/>
          <w:b/>
          <w:sz w:val="26"/>
          <w:szCs w:val="26"/>
        </w:rPr>
      </w:pPr>
      <w:r w:rsidRPr="00CF394C">
        <w:rPr>
          <w:rFonts w:ascii="Times New Roman" w:eastAsia="Calibri" w:hAnsi="Times New Roman"/>
          <w:sz w:val="26"/>
          <w:szCs w:val="26"/>
        </w:rPr>
        <w:lastRenderedPageBreak/>
        <w:tab/>
      </w:r>
      <w:r w:rsidRPr="00CF394C">
        <w:rPr>
          <w:rFonts w:ascii="Times New Roman" w:eastAsia="Calibri" w:hAnsi="Times New Roman"/>
          <w:b/>
          <w:sz w:val="26"/>
          <w:szCs w:val="26"/>
        </w:rPr>
        <w:t>E.</w:t>
      </w:r>
      <w:r w:rsidRPr="00CF394C">
        <w:rPr>
          <w:rFonts w:ascii="Times New Roman" w:eastAsia="Calibri" w:hAnsi="Times New Roman"/>
          <w:b/>
          <w:sz w:val="26"/>
          <w:szCs w:val="26"/>
        </w:rPr>
        <w:tab/>
        <w:t>PTC AND TIMING OF PROCUREMENTS</w:t>
      </w:r>
    </w:p>
    <w:p w:rsidR="00EF661F" w:rsidRPr="00CF394C" w:rsidRDefault="00EF661F" w:rsidP="00BF13B4">
      <w:pPr>
        <w:keepNext/>
        <w:spacing w:line="240" w:lineRule="auto"/>
        <w:ind w:left="1440" w:right="1440"/>
        <w:rPr>
          <w:rFonts w:ascii="Times New Roman" w:eastAsia="Calibri" w:hAnsi="Times New Roman"/>
          <w:b/>
          <w:sz w:val="26"/>
          <w:szCs w:val="26"/>
        </w:rPr>
      </w:pPr>
    </w:p>
    <w:p w:rsidR="00EF661F" w:rsidRPr="00CF394C" w:rsidRDefault="00CF394C" w:rsidP="00BF13B4">
      <w:pPr>
        <w:keepNext/>
        <w:spacing w:line="240" w:lineRule="auto"/>
        <w:ind w:left="1440" w:right="1440"/>
        <w:rPr>
          <w:rFonts w:ascii="Times New Roman" w:eastAsia="Calibri" w:hAnsi="Times New Roman"/>
          <w:sz w:val="26"/>
          <w:szCs w:val="26"/>
        </w:rPr>
      </w:pPr>
      <w:r w:rsidRPr="00CF394C">
        <w:rPr>
          <w:rFonts w:ascii="Times New Roman" w:eastAsia="Calibri" w:hAnsi="Times New Roman"/>
          <w:b/>
          <w:sz w:val="26"/>
          <w:szCs w:val="26"/>
        </w:rPr>
        <w:tab/>
      </w:r>
      <w:r w:rsidR="00EF661F" w:rsidRPr="00CF394C">
        <w:rPr>
          <w:rFonts w:ascii="Times New Roman" w:eastAsia="Calibri" w:hAnsi="Times New Roman"/>
          <w:sz w:val="26"/>
          <w:szCs w:val="26"/>
        </w:rPr>
        <w:t>30.</w:t>
      </w:r>
      <w:r w:rsidR="00EF661F" w:rsidRPr="00CF394C">
        <w:rPr>
          <w:rFonts w:ascii="Times New Roman" w:eastAsia="Calibri" w:hAnsi="Times New Roman"/>
          <w:sz w:val="26"/>
          <w:szCs w:val="26"/>
        </w:rPr>
        <w:tab/>
        <w:t>The Parties agree that PPL Electric will issue its Price to Compare (</w:t>
      </w:r>
      <w:r w:rsidR="00803C65">
        <w:rPr>
          <w:rFonts w:ascii="Times New Roman" w:eastAsia="Calibri" w:hAnsi="Times New Roman"/>
          <w:sz w:val="26"/>
          <w:szCs w:val="26"/>
        </w:rPr>
        <w:t>“</w:t>
      </w:r>
      <w:r w:rsidR="00EF661F" w:rsidRPr="00CF394C">
        <w:rPr>
          <w:rFonts w:ascii="Times New Roman" w:eastAsia="Calibri" w:hAnsi="Times New Roman"/>
          <w:sz w:val="26"/>
          <w:szCs w:val="26"/>
        </w:rPr>
        <w:t>PTC</w:t>
      </w:r>
      <w:r w:rsidR="00803C65">
        <w:rPr>
          <w:rFonts w:ascii="Times New Roman" w:eastAsia="Calibri" w:hAnsi="Times New Roman"/>
          <w:sz w:val="26"/>
          <w:szCs w:val="26"/>
        </w:rPr>
        <w:t>”</w:t>
      </w:r>
      <w:r w:rsidR="00EF661F" w:rsidRPr="00CF394C">
        <w:rPr>
          <w:rFonts w:ascii="Times New Roman" w:eastAsia="Calibri" w:hAnsi="Times New Roman"/>
          <w:sz w:val="26"/>
          <w:szCs w:val="26"/>
        </w:rPr>
        <w:t>) 30 days in advance of the effective date of the PTC.</w:t>
      </w:r>
    </w:p>
    <w:p w:rsidR="00EF661F" w:rsidRPr="00CF394C" w:rsidRDefault="00EF661F" w:rsidP="00471D83">
      <w:pPr>
        <w:spacing w:line="240" w:lineRule="auto"/>
        <w:ind w:left="1440" w:right="1440"/>
        <w:rPr>
          <w:rFonts w:ascii="Times New Roman" w:eastAsia="Calibri" w:hAnsi="Times New Roman"/>
          <w:sz w:val="26"/>
          <w:szCs w:val="26"/>
        </w:rPr>
      </w:pPr>
    </w:p>
    <w:p w:rsidR="00EF661F" w:rsidRPr="00CF394C" w:rsidRDefault="00CF394C" w:rsidP="00471D83">
      <w:pPr>
        <w:spacing w:line="240" w:lineRule="auto"/>
        <w:ind w:left="1440" w:right="1440"/>
        <w:rPr>
          <w:rFonts w:ascii="Times New Roman" w:eastAsia="Calibri" w:hAnsi="Times New Roman"/>
          <w:sz w:val="26"/>
          <w:szCs w:val="26"/>
        </w:rPr>
      </w:pPr>
      <w:r>
        <w:rPr>
          <w:rFonts w:ascii="Times New Roman" w:eastAsia="Calibri" w:hAnsi="Times New Roman"/>
          <w:sz w:val="26"/>
          <w:szCs w:val="26"/>
        </w:rPr>
        <w:tab/>
      </w:r>
      <w:r w:rsidR="00EF661F" w:rsidRPr="00CF394C">
        <w:rPr>
          <w:rFonts w:ascii="Times New Roman" w:eastAsia="Calibri" w:hAnsi="Times New Roman"/>
          <w:sz w:val="26"/>
          <w:szCs w:val="26"/>
        </w:rPr>
        <w:t>31.</w:t>
      </w:r>
      <w:r w:rsidR="00EF661F" w:rsidRPr="00CF394C">
        <w:rPr>
          <w:rFonts w:ascii="Times New Roman" w:eastAsia="Calibri" w:hAnsi="Times New Roman"/>
          <w:sz w:val="26"/>
          <w:szCs w:val="26"/>
        </w:rPr>
        <w:tab/>
        <w:t>The Parties agree that, in order to accommodate filing the PTC on 30 days advance notice, PPL Electric</w:t>
      </w:r>
      <w:r w:rsidR="00803C65">
        <w:rPr>
          <w:rFonts w:ascii="Times New Roman" w:eastAsia="Calibri" w:hAnsi="Times New Roman"/>
          <w:sz w:val="26"/>
          <w:szCs w:val="26"/>
        </w:rPr>
        <w:t>’</w:t>
      </w:r>
      <w:r w:rsidR="00EF661F" w:rsidRPr="00CF394C">
        <w:rPr>
          <w:rFonts w:ascii="Times New Roman" w:eastAsia="Calibri" w:hAnsi="Times New Roman"/>
          <w:sz w:val="26"/>
          <w:szCs w:val="26"/>
        </w:rPr>
        <w:t>s procurements will be advanced by two weeks from the dates proposed by PPL Electric in the Petition.</w:t>
      </w:r>
    </w:p>
    <w:p w:rsidR="00EF661F" w:rsidRPr="00CF394C" w:rsidRDefault="00EF661F" w:rsidP="00471D83">
      <w:pPr>
        <w:spacing w:line="240" w:lineRule="auto"/>
        <w:ind w:left="1440" w:right="1440"/>
        <w:rPr>
          <w:rFonts w:ascii="Times New Roman" w:eastAsia="Calibri" w:hAnsi="Times New Roman"/>
          <w:sz w:val="26"/>
          <w:szCs w:val="26"/>
        </w:rPr>
      </w:pPr>
    </w:p>
    <w:p w:rsidR="00EF661F" w:rsidRPr="00991D24" w:rsidRDefault="00991D24" w:rsidP="00471D83">
      <w:pPr>
        <w:spacing w:line="240" w:lineRule="auto"/>
        <w:ind w:left="1440" w:right="1440"/>
        <w:rPr>
          <w:rFonts w:ascii="Times New Roman" w:eastAsia="Calibri" w:hAnsi="Times New Roman"/>
          <w:sz w:val="26"/>
          <w:szCs w:val="26"/>
        </w:rPr>
      </w:pPr>
      <w:r w:rsidRPr="00991D24">
        <w:rPr>
          <w:rFonts w:ascii="Times New Roman" w:eastAsia="Calibri" w:hAnsi="Times New Roman"/>
          <w:sz w:val="26"/>
          <w:szCs w:val="26"/>
        </w:rPr>
        <w:tab/>
      </w:r>
      <w:r w:rsidR="00EF661F" w:rsidRPr="00991D24">
        <w:rPr>
          <w:rFonts w:ascii="Times New Roman" w:eastAsia="Calibri" w:hAnsi="Times New Roman"/>
          <w:sz w:val="26"/>
          <w:szCs w:val="26"/>
        </w:rPr>
        <w:t>32.</w:t>
      </w:r>
      <w:r w:rsidR="00EF661F" w:rsidRPr="00991D24">
        <w:rPr>
          <w:rFonts w:ascii="Times New Roman" w:eastAsia="Calibri" w:hAnsi="Times New Roman"/>
          <w:sz w:val="26"/>
          <w:szCs w:val="26"/>
        </w:rPr>
        <w:tab/>
        <w:t>The Parties agree that PPL Electric will discontinue its practice of issuing a preliminary PTC approximately 45 days before the effective date.</w:t>
      </w:r>
    </w:p>
    <w:p w:rsidR="00EF661F" w:rsidRPr="00991D24" w:rsidRDefault="00EF661F" w:rsidP="00471D83">
      <w:pPr>
        <w:spacing w:line="240" w:lineRule="auto"/>
        <w:ind w:left="1440" w:right="1440"/>
        <w:rPr>
          <w:rFonts w:ascii="Times New Roman" w:eastAsia="Calibri" w:hAnsi="Times New Roman"/>
          <w:sz w:val="26"/>
          <w:szCs w:val="26"/>
        </w:rPr>
      </w:pPr>
    </w:p>
    <w:p w:rsidR="00EF661F" w:rsidRPr="00991D24" w:rsidRDefault="00EF661F" w:rsidP="00803C65">
      <w:pPr>
        <w:keepNext/>
        <w:spacing w:line="240" w:lineRule="auto"/>
        <w:ind w:left="1440" w:right="1440"/>
        <w:rPr>
          <w:rFonts w:ascii="Times New Roman" w:eastAsia="Calibri" w:hAnsi="Times New Roman"/>
          <w:b/>
          <w:sz w:val="26"/>
          <w:szCs w:val="26"/>
        </w:rPr>
      </w:pPr>
      <w:r w:rsidRPr="00991D24">
        <w:rPr>
          <w:rFonts w:ascii="Times New Roman" w:eastAsia="Calibri" w:hAnsi="Times New Roman"/>
          <w:sz w:val="26"/>
          <w:szCs w:val="26"/>
        </w:rPr>
        <w:tab/>
      </w:r>
      <w:r w:rsidRPr="00991D24">
        <w:rPr>
          <w:rFonts w:ascii="Times New Roman" w:eastAsia="Calibri" w:hAnsi="Times New Roman"/>
          <w:b/>
          <w:sz w:val="26"/>
          <w:szCs w:val="26"/>
        </w:rPr>
        <w:t>F.</w:t>
      </w:r>
      <w:r w:rsidRPr="00991D24">
        <w:rPr>
          <w:rFonts w:ascii="Times New Roman" w:eastAsia="Calibri" w:hAnsi="Times New Roman"/>
          <w:b/>
          <w:sz w:val="26"/>
          <w:szCs w:val="26"/>
        </w:rPr>
        <w:tab/>
        <w:t>RECONCILIATION OF GSC-1, GSC-2, AND TSC</w:t>
      </w:r>
    </w:p>
    <w:p w:rsidR="00EF661F" w:rsidRPr="00991D24" w:rsidRDefault="00EF661F" w:rsidP="00803C65">
      <w:pPr>
        <w:keepNext/>
        <w:spacing w:line="240" w:lineRule="auto"/>
        <w:ind w:left="1440" w:right="1440"/>
        <w:rPr>
          <w:rFonts w:ascii="Times New Roman" w:eastAsia="Calibri" w:hAnsi="Times New Roman"/>
          <w:b/>
          <w:sz w:val="26"/>
          <w:szCs w:val="26"/>
        </w:rPr>
      </w:pPr>
    </w:p>
    <w:p w:rsidR="00EF661F" w:rsidRPr="00991D24" w:rsidRDefault="00991D24" w:rsidP="00471D83">
      <w:pPr>
        <w:spacing w:line="240" w:lineRule="auto"/>
        <w:ind w:left="1440" w:right="1440"/>
        <w:rPr>
          <w:rFonts w:ascii="Times New Roman" w:eastAsia="Calibri" w:hAnsi="Times New Roman"/>
          <w:sz w:val="26"/>
          <w:szCs w:val="26"/>
        </w:rPr>
      </w:pPr>
      <w:r w:rsidRPr="00991D24">
        <w:rPr>
          <w:rFonts w:ascii="Times New Roman" w:eastAsia="Calibri" w:hAnsi="Times New Roman"/>
          <w:b/>
          <w:sz w:val="26"/>
          <w:szCs w:val="26"/>
        </w:rPr>
        <w:tab/>
      </w:r>
      <w:r w:rsidR="00EF661F" w:rsidRPr="00991D24">
        <w:rPr>
          <w:rFonts w:ascii="Times New Roman" w:eastAsia="Calibri" w:hAnsi="Times New Roman"/>
          <w:sz w:val="26"/>
          <w:szCs w:val="26"/>
        </w:rPr>
        <w:t>33.</w:t>
      </w:r>
      <w:r w:rsidR="00EF661F" w:rsidRPr="00991D24">
        <w:rPr>
          <w:rFonts w:ascii="Times New Roman" w:eastAsia="Calibri" w:hAnsi="Times New Roman"/>
          <w:sz w:val="26"/>
          <w:szCs w:val="26"/>
        </w:rPr>
        <w:tab/>
        <w:t>The Parties agree that the GSC-1 will be adjusted every 6 months to reflect the cost of the Default Service supply contracts in place for the upcoming 6-month period.</w:t>
      </w:r>
    </w:p>
    <w:p w:rsidR="00EF661F" w:rsidRPr="00991D24" w:rsidRDefault="00EF661F" w:rsidP="00471D83">
      <w:pPr>
        <w:spacing w:line="240" w:lineRule="auto"/>
        <w:ind w:left="1440" w:right="1440"/>
        <w:rPr>
          <w:rFonts w:ascii="Times New Roman" w:eastAsia="Calibri" w:hAnsi="Times New Roman"/>
          <w:sz w:val="26"/>
          <w:szCs w:val="26"/>
        </w:rPr>
      </w:pPr>
    </w:p>
    <w:p w:rsidR="00EF661F" w:rsidRPr="00991D24" w:rsidRDefault="00991D24" w:rsidP="00471D83">
      <w:pPr>
        <w:spacing w:line="240" w:lineRule="auto"/>
        <w:ind w:left="1440" w:right="1440"/>
        <w:rPr>
          <w:rFonts w:ascii="Times New Roman" w:eastAsia="Calibri" w:hAnsi="Times New Roman"/>
          <w:sz w:val="26"/>
          <w:szCs w:val="26"/>
        </w:rPr>
      </w:pPr>
      <w:r w:rsidRPr="00991D24">
        <w:rPr>
          <w:rFonts w:ascii="Times New Roman" w:eastAsia="Calibri" w:hAnsi="Times New Roman"/>
          <w:sz w:val="26"/>
          <w:szCs w:val="26"/>
        </w:rPr>
        <w:tab/>
      </w:r>
      <w:r w:rsidR="00EF661F" w:rsidRPr="00991D24">
        <w:rPr>
          <w:rFonts w:ascii="Times New Roman" w:eastAsia="Calibri" w:hAnsi="Times New Roman"/>
          <w:sz w:val="26"/>
          <w:szCs w:val="26"/>
        </w:rPr>
        <w:t>34.</w:t>
      </w:r>
      <w:r w:rsidR="00EF661F" w:rsidRPr="00991D24">
        <w:rPr>
          <w:rFonts w:ascii="Times New Roman" w:eastAsia="Calibri" w:hAnsi="Times New Roman"/>
          <w:sz w:val="26"/>
          <w:szCs w:val="26"/>
        </w:rPr>
        <w:tab/>
        <w:t>The Parties agree that, in order to accommodate filing the PTC on 30 days advance notice, the GSC-1 will be reconciled every 6 months, using the over/under collection balance for  the 6-month period ending 2 months prior to the new PTC effective date.</w:t>
      </w:r>
    </w:p>
    <w:p w:rsidR="00EF661F" w:rsidRPr="00991D24" w:rsidRDefault="00EF661F" w:rsidP="00471D83">
      <w:pPr>
        <w:spacing w:line="240" w:lineRule="auto"/>
        <w:ind w:left="1440" w:right="1440"/>
        <w:rPr>
          <w:rFonts w:ascii="Times New Roman" w:eastAsia="Calibri" w:hAnsi="Times New Roman"/>
          <w:sz w:val="26"/>
          <w:szCs w:val="26"/>
        </w:rPr>
      </w:pPr>
    </w:p>
    <w:p w:rsidR="00EF661F" w:rsidRPr="00991D24" w:rsidRDefault="00991D24" w:rsidP="00471D83">
      <w:pPr>
        <w:spacing w:line="240" w:lineRule="auto"/>
        <w:ind w:left="1440" w:right="1440"/>
        <w:rPr>
          <w:rFonts w:ascii="Times New Roman" w:eastAsia="Calibri" w:hAnsi="Times New Roman"/>
          <w:sz w:val="26"/>
          <w:szCs w:val="26"/>
        </w:rPr>
      </w:pPr>
      <w:r w:rsidRPr="00991D24">
        <w:rPr>
          <w:rFonts w:ascii="Times New Roman" w:eastAsia="Calibri" w:hAnsi="Times New Roman"/>
          <w:sz w:val="26"/>
          <w:szCs w:val="26"/>
        </w:rPr>
        <w:tab/>
      </w:r>
      <w:r w:rsidR="00EF661F" w:rsidRPr="00991D24">
        <w:rPr>
          <w:rFonts w:ascii="Times New Roman" w:eastAsia="Calibri" w:hAnsi="Times New Roman"/>
          <w:sz w:val="26"/>
          <w:szCs w:val="26"/>
        </w:rPr>
        <w:t>35.</w:t>
      </w:r>
      <w:r w:rsidR="00EF661F" w:rsidRPr="00991D24">
        <w:rPr>
          <w:rFonts w:ascii="Times New Roman" w:eastAsia="Calibri" w:hAnsi="Times New Roman"/>
          <w:sz w:val="26"/>
          <w:szCs w:val="26"/>
        </w:rPr>
        <w:tab/>
        <w:t>The Parties agree that the GSC-2 will be reconciled every 12 months using the over/under collection balance for the 12-month period ending 2 months prior to the June 1 PTC effective date.</w:t>
      </w:r>
    </w:p>
    <w:p w:rsidR="00EF661F" w:rsidRPr="00991D24" w:rsidRDefault="00EF661F" w:rsidP="00471D83">
      <w:pPr>
        <w:spacing w:line="240" w:lineRule="auto"/>
        <w:ind w:left="1440" w:right="1440"/>
        <w:rPr>
          <w:rFonts w:ascii="Times New Roman" w:eastAsia="Calibri" w:hAnsi="Times New Roman"/>
          <w:sz w:val="26"/>
          <w:szCs w:val="26"/>
        </w:rPr>
      </w:pPr>
    </w:p>
    <w:p w:rsidR="00EF661F" w:rsidRPr="00991D24" w:rsidRDefault="00991D24" w:rsidP="00471D83">
      <w:pPr>
        <w:spacing w:line="240" w:lineRule="auto"/>
        <w:ind w:left="1440" w:right="1440"/>
        <w:rPr>
          <w:rFonts w:ascii="Times New Roman" w:eastAsia="Calibri" w:hAnsi="Times New Roman"/>
          <w:sz w:val="26"/>
          <w:szCs w:val="26"/>
        </w:rPr>
      </w:pPr>
      <w:r w:rsidRPr="00991D24">
        <w:rPr>
          <w:rFonts w:ascii="Times New Roman" w:eastAsia="Calibri" w:hAnsi="Times New Roman"/>
          <w:sz w:val="26"/>
          <w:szCs w:val="26"/>
        </w:rPr>
        <w:tab/>
      </w:r>
      <w:r w:rsidR="00EF661F" w:rsidRPr="00991D24">
        <w:rPr>
          <w:rFonts w:ascii="Times New Roman" w:eastAsia="Calibri" w:hAnsi="Times New Roman"/>
          <w:sz w:val="26"/>
          <w:szCs w:val="26"/>
        </w:rPr>
        <w:t>36.</w:t>
      </w:r>
      <w:r w:rsidR="00EF661F" w:rsidRPr="00991D24">
        <w:rPr>
          <w:rFonts w:ascii="Times New Roman" w:eastAsia="Calibri" w:hAnsi="Times New Roman"/>
          <w:sz w:val="26"/>
          <w:szCs w:val="26"/>
        </w:rPr>
        <w:tab/>
        <w:t>The Parties agree that the TSC will be reconciled every 12 months using the over/under collection balance for the 12-month period ending 2 months prior to the June 1 PTC effective date.</w:t>
      </w:r>
    </w:p>
    <w:p w:rsidR="00EF661F" w:rsidRPr="00991D24" w:rsidRDefault="00EF661F" w:rsidP="00471D83">
      <w:pPr>
        <w:spacing w:line="240" w:lineRule="auto"/>
        <w:ind w:left="1440" w:right="1440"/>
        <w:rPr>
          <w:rFonts w:ascii="Times New Roman" w:eastAsia="Calibri" w:hAnsi="Times New Roman"/>
          <w:sz w:val="26"/>
          <w:szCs w:val="26"/>
        </w:rPr>
      </w:pPr>
    </w:p>
    <w:p w:rsidR="00EF661F" w:rsidRPr="00F14063" w:rsidRDefault="00EF661F" w:rsidP="00803C65">
      <w:pPr>
        <w:keepNext/>
        <w:spacing w:line="240" w:lineRule="auto"/>
        <w:ind w:left="1440" w:right="1440"/>
        <w:rPr>
          <w:rFonts w:ascii="Times New Roman" w:eastAsia="Calibri" w:hAnsi="Times New Roman"/>
          <w:b/>
          <w:sz w:val="26"/>
          <w:szCs w:val="26"/>
        </w:rPr>
      </w:pPr>
      <w:r w:rsidRPr="00991D24">
        <w:rPr>
          <w:rFonts w:ascii="Times New Roman" w:eastAsia="Calibri" w:hAnsi="Times New Roman"/>
          <w:sz w:val="26"/>
          <w:szCs w:val="26"/>
        </w:rPr>
        <w:tab/>
      </w:r>
      <w:r w:rsidRPr="00F14063">
        <w:rPr>
          <w:rFonts w:ascii="Times New Roman" w:eastAsia="Calibri" w:hAnsi="Times New Roman"/>
          <w:b/>
          <w:sz w:val="26"/>
          <w:szCs w:val="26"/>
        </w:rPr>
        <w:t>G.</w:t>
      </w:r>
      <w:r w:rsidRPr="00F14063">
        <w:rPr>
          <w:rFonts w:ascii="Times New Roman" w:eastAsia="Calibri" w:hAnsi="Times New Roman"/>
          <w:b/>
          <w:sz w:val="26"/>
          <w:szCs w:val="26"/>
        </w:rPr>
        <w:tab/>
        <w:t>CREDIT RATINGS</w:t>
      </w:r>
    </w:p>
    <w:p w:rsidR="00EF661F" w:rsidRPr="00F14063" w:rsidRDefault="00EF661F" w:rsidP="00803C65">
      <w:pPr>
        <w:keepNext/>
        <w:spacing w:line="240" w:lineRule="auto"/>
        <w:ind w:left="1440" w:right="1440"/>
        <w:rPr>
          <w:rFonts w:ascii="Times New Roman" w:eastAsia="Calibri" w:hAnsi="Times New Roman"/>
          <w:b/>
          <w:sz w:val="26"/>
          <w:szCs w:val="26"/>
        </w:rPr>
      </w:pPr>
    </w:p>
    <w:p w:rsidR="00EF661F" w:rsidRPr="00F14063" w:rsidRDefault="00F14063" w:rsidP="00471D83">
      <w:pPr>
        <w:spacing w:line="240" w:lineRule="auto"/>
        <w:ind w:left="1440" w:right="1440"/>
        <w:rPr>
          <w:rFonts w:ascii="Times New Roman" w:eastAsia="Calibri" w:hAnsi="Times New Roman"/>
          <w:sz w:val="26"/>
          <w:szCs w:val="26"/>
        </w:rPr>
      </w:pPr>
      <w:r w:rsidRPr="00F14063">
        <w:rPr>
          <w:rFonts w:ascii="Times New Roman" w:eastAsia="Calibri" w:hAnsi="Times New Roman"/>
          <w:b/>
          <w:sz w:val="26"/>
          <w:szCs w:val="26"/>
        </w:rPr>
        <w:tab/>
      </w:r>
      <w:r w:rsidR="00EF661F" w:rsidRPr="00F14063">
        <w:rPr>
          <w:rFonts w:ascii="Times New Roman" w:eastAsia="Calibri" w:hAnsi="Times New Roman"/>
          <w:sz w:val="26"/>
          <w:szCs w:val="26"/>
        </w:rPr>
        <w:t>37.</w:t>
      </w:r>
      <w:r w:rsidR="00EF661F" w:rsidRPr="00F14063">
        <w:rPr>
          <w:rFonts w:ascii="Times New Roman" w:eastAsia="Calibri" w:hAnsi="Times New Roman"/>
          <w:sz w:val="26"/>
          <w:szCs w:val="26"/>
        </w:rPr>
        <w:tab/>
        <w:t xml:space="preserve">PPL Electric agrees to modify Section 6.7(b) of the SMA to reduce the credit rating of a bank or other </w:t>
      </w:r>
      <w:r w:rsidR="00EF661F" w:rsidRPr="00F14063">
        <w:rPr>
          <w:rFonts w:ascii="Times New Roman" w:eastAsia="Calibri" w:hAnsi="Times New Roman"/>
          <w:sz w:val="26"/>
          <w:szCs w:val="26"/>
        </w:rPr>
        <w:lastRenderedPageBreak/>
        <w:t xml:space="preserve">financial institution from which a Default Supplier has obtained a letter of credit to a minimum </w:t>
      </w:r>
      <w:r w:rsidR="00803C65">
        <w:rPr>
          <w:rFonts w:ascii="Times New Roman" w:eastAsia="Calibri" w:hAnsi="Times New Roman"/>
          <w:sz w:val="26"/>
          <w:szCs w:val="26"/>
        </w:rPr>
        <w:t>“</w:t>
      </w:r>
      <w:r w:rsidR="00EF661F" w:rsidRPr="00F14063">
        <w:rPr>
          <w:rFonts w:ascii="Times New Roman" w:eastAsia="Calibri" w:hAnsi="Times New Roman"/>
          <w:sz w:val="26"/>
          <w:szCs w:val="26"/>
        </w:rPr>
        <w:t>A-</w:t>
      </w:r>
      <w:r w:rsidR="00803C65">
        <w:rPr>
          <w:rFonts w:ascii="Times New Roman" w:eastAsia="Calibri" w:hAnsi="Times New Roman"/>
          <w:sz w:val="26"/>
          <w:szCs w:val="26"/>
        </w:rPr>
        <w:t>”</w:t>
      </w:r>
      <w:r w:rsidR="00EF661F" w:rsidRPr="00F14063">
        <w:rPr>
          <w:rFonts w:ascii="Times New Roman" w:eastAsia="Calibri" w:hAnsi="Times New Roman"/>
          <w:sz w:val="26"/>
          <w:szCs w:val="26"/>
        </w:rPr>
        <w:t xml:space="preserve"> senior unsecured debt rating (or, if unavailable, corporate issuer rating discounted one notch) from Standard &amp; Poor</w:t>
      </w:r>
      <w:r w:rsidR="00803C65">
        <w:rPr>
          <w:rFonts w:ascii="Times New Roman" w:eastAsia="Calibri" w:hAnsi="Times New Roman"/>
          <w:sz w:val="26"/>
          <w:szCs w:val="26"/>
        </w:rPr>
        <w:t>’</w:t>
      </w:r>
      <w:r w:rsidR="00EF661F" w:rsidRPr="00F14063">
        <w:rPr>
          <w:rFonts w:ascii="Times New Roman" w:eastAsia="Calibri" w:hAnsi="Times New Roman"/>
          <w:sz w:val="26"/>
          <w:szCs w:val="26"/>
        </w:rPr>
        <w:t xml:space="preserve">s Financial Services LLC and </w:t>
      </w:r>
      <w:r w:rsidR="00803C65">
        <w:rPr>
          <w:rFonts w:ascii="Times New Roman" w:eastAsia="Calibri" w:hAnsi="Times New Roman"/>
          <w:sz w:val="26"/>
          <w:szCs w:val="26"/>
        </w:rPr>
        <w:t>“</w:t>
      </w:r>
      <w:r w:rsidR="00EF661F" w:rsidRPr="00F14063">
        <w:rPr>
          <w:rFonts w:ascii="Times New Roman" w:eastAsia="Calibri" w:hAnsi="Times New Roman"/>
          <w:sz w:val="26"/>
          <w:szCs w:val="26"/>
        </w:rPr>
        <w:t>A3</w:t>
      </w:r>
      <w:r w:rsidR="00803C65">
        <w:rPr>
          <w:rFonts w:ascii="Times New Roman" w:eastAsia="Calibri" w:hAnsi="Times New Roman"/>
          <w:sz w:val="26"/>
          <w:szCs w:val="26"/>
        </w:rPr>
        <w:t>”</w:t>
      </w:r>
      <w:r w:rsidR="00EF661F" w:rsidRPr="00F14063">
        <w:rPr>
          <w:rFonts w:ascii="Times New Roman" w:eastAsia="Calibri" w:hAnsi="Times New Roman"/>
          <w:sz w:val="26"/>
          <w:szCs w:val="26"/>
        </w:rPr>
        <w:t xml:space="preserve"> from Moody</w:t>
      </w:r>
      <w:r w:rsidR="00803C65">
        <w:rPr>
          <w:rFonts w:ascii="Times New Roman" w:eastAsia="Calibri" w:hAnsi="Times New Roman"/>
          <w:sz w:val="26"/>
          <w:szCs w:val="26"/>
        </w:rPr>
        <w:t>’</w:t>
      </w:r>
      <w:r w:rsidR="00EF661F" w:rsidRPr="00F14063">
        <w:rPr>
          <w:rFonts w:ascii="Times New Roman" w:eastAsia="Calibri" w:hAnsi="Times New Roman"/>
          <w:sz w:val="26"/>
          <w:szCs w:val="26"/>
        </w:rPr>
        <w:t>s Investors Service, Inc.  The Parties acknowledge that the modification of Section 6.7(b) of the SMA is consistent with the credit rating set forth in the SMA approved by the Commission in PPL Electric</w:t>
      </w:r>
      <w:r w:rsidR="00803C65">
        <w:rPr>
          <w:rFonts w:ascii="Times New Roman" w:eastAsia="Calibri" w:hAnsi="Times New Roman"/>
          <w:sz w:val="26"/>
          <w:szCs w:val="26"/>
        </w:rPr>
        <w:t>’</w:t>
      </w:r>
      <w:r w:rsidR="00EF661F" w:rsidRPr="00F14063">
        <w:rPr>
          <w:rFonts w:ascii="Times New Roman" w:eastAsia="Calibri" w:hAnsi="Times New Roman"/>
          <w:sz w:val="26"/>
          <w:szCs w:val="26"/>
        </w:rPr>
        <w:t xml:space="preserve">s DSP II plan.  </w:t>
      </w:r>
      <w:r w:rsidR="00EF661F" w:rsidRPr="00F14063">
        <w:rPr>
          <w:rFonts w:ascii="Times New Roman" w:eastAsia="Calibri" w:hAnsi="Times New Roman"/>
          <w:sz w:val="26"/>
          <w:szCs w:val="26"/>
        </w:rPr>
        <w:tab/>
      </w:r>
    </w:p>
    <w:p w:rsidR="00EF661F" w:rsidRPr="00F14063" w:rsidRDefault="00EF661F" w:rsidP="00471D83">
      <w:pPr>
        <w:spacing w:line="240" w:lineRule="auto"/>
        <w:ind w:left="1440" w:right="1440"/>
        <w:rPr>
          <w:rFonts w:ascii="Times New Roman" w:eastAsia="Calibri" w:hAnsi="Times New Roman"/>
          <w:sz w:val="26"/>
          <w:szCs w:val="26"/>
        </w:rPr>
      </w:pPr>
    </w:p>
    <w:p w:rsidR="00EF661F" w:rsidRPr="00EF661F" w:rsidRDefault="00EF661F" w:rsidP="00F14063">
      <w:pPr>
        <w:keepNext/>
        <w:spacing w:line="240" w:lineRule="auto"/>
        <w:ind w:left="1440" w:right="1440"/>
        <w:rPr>
          <w:rFonts w:ascii="Times New Roman" w:eastAsia="Calibri" w:hAnsi="Times New Roman"/>
          <w:b/>
          <w:sz w:val="26"/>
          <w:szCs w:val="26"/>
          <w:highlight w:val="cyan"/>
        </w:rPr>
      </w:pPr>
      <w:r w:rsidRPr="00F14063">
        <w:rPr>
          <w:rFonts w:ascii="Times New Roman" w:eastAsia="Calibri" w:hAnsi="Times New Roman"/>
          <w:sz w:val="26"/>
          <w:szCs w:val="26"/>
        </w:rPr>
        <w:tab/>
      </w:r>
      <w:r w:rsidRPr="00F14063">
        <w:rPr>
          <w:rFonts w:ascii="Times New Roman" w:eastAsia="Calibri" w:hAnsi="Times New Roman"/>
          <w:b/>
          <w:sz w:val="26"/>
          <w:szCs w:val="26"/>
        </w:rPr>
        <w:t>H.</w:t>
      </w:r>
      <w:r w:rsidRPr="00F14063">
        <w:rPr>
          <w:rFonts w:ascii="Times New Roman" w:eastAsia="Calibri" w:hAnsi="Times New Roman"/>
          <w:b/>
          <w:sz w:val="26"/>
          <w:szCs w:val="26"/>
        </w:rPr>
        <w:tab/>
        <w:t>SMA</w:t>
      </w:r>
    </w:p>
    <w:p w:rsidR="00EF661F" w:rsidRPr="00B4360E" w:rsidRDefault="00EF661F" w:rsidP="00F14063">
      <w:pPr>
        <w:keepNext/>
        <w:spacing w:line="240" w:lineRule="auto"/>
        <w:ind w:left="1440" w:right="1440"/>
        <w:rPr>
          <w:rFonts w:ascii="Times New Roman" w:eastAsia="Calibri" w:hAnsi="Times New Roman"/>
          <w:b/>
          <w:sz w:val="26"/>
          <w:szCs w:val="26"/>
        </w:rPr>
      </w:pPr>
    </w:p>
    <w:p w:rsidR="00EF661F" w:rsidRPr="00B4360E" w:rsidRDefault="00B4360E" w:rsidP="00803C65">
      <w:pPr>
        <w:spacing w:line="240" w:lineRule="auto"/>
        <w:ind w:left="1440" w:right="1440"/>
        <w:rPr>
          <w:rFonts w:ascii="Times New Roman" w:eastAsia="Calibri" w:hAnsi="Times New Roman"/>
          <w:sz w:val="26"/>
          <w:szCs w:val="26"/>
        </w:rPr>
      </w:pPr>
      <w:r w:rsidRPr="00B4360E">
        <w:rPr>
          <w:rFonts w:ascii="Times New Roman" w:eastAsia="Calibri" w:hAnsi="Times New Roman"/>
          <w:b/>
          <w:sz w:val="26"/>
          <w:szCs w:val="26"/>
        </w:rPr>
        <w:tab/>
      </w:r>
      <w:r w:rsidR="00EF661F" w:rsidRPr="00B4360E">
        <w:rPr>
          <w:rFonts w:ascii="Times New Roman" w:eastAsia="Calibri" w:hAnsi="Times New Roman"/>
          <w:sz w:val="26"/>
          <w:szCs w:val="26"/>
        </w:rPr>
        <w:t>38.</w:t>
      </w:r>
      <w:r w:rsidR="00EF661F" w:rsidRPr="00B4360E">
        <w:rPr>
          <w:rFonts w:ascii="Times New Roman" w:eastAsia="Calibri" w:hAnsi="Times New Roman"/>
          <w:sz w:val="26"/>
          <w:szCs w:val="26"/>
        </w:rPr>
        <w:tab/>
        <w:t>The Parties agree that PPL Electric will delete Section 16.3(b) of the SMA regarding the termination of the SMA, and revise any cross-references thereto.</w:t>
      </w:r>
    </w:p>
    <w:p w:rsidR="00EF661F" w:rsidRPr="00B4360E" w:rsidRDefault="00EF661F" w:rsidP="00803C65">
      <w:pPr>
        <w:spacing w:line="240" w:lineRule="auto"/>
        <w:ind w:left="1440" w:right="1440"/>
        <w:rPr>
          <w:rFonts w:ascii="Times New Roman" w:eastAsia="Calibri" w:hAnsi="Times New Roman"/>
          <w:sz w:val="26"/>
          <w:szCs w:val="26"/>
        </w:rPr>
      </w:pPr>
    </w:p>
    <w:p w:rsidR="00EF661F" w:rsidRPr="00B4360E" w:rsidRDefault="00B4360E" w:rsidP="00471D83">
      <w:pPr>
        <w:spacing w:line="240" w:lineRule="auto"/>
        <w:ind w:left="1440" w:right="1440"/>
        <w:rPr>
          <w:rFonts w:ascii="Times New Roman" w:eastAsia="Calibri" w:hAnsi="Times New Roman"/>
          <w:sz w:val="26"/>
          <w:szCs w:val="26"/>
        </w:rPr>
      </w:pPr>
      <w:r w:rsidRPr="00B4360E">
        <w:rPr>
          <w:rFonts w:ascii="Times New Roman" w:eastAsia="Calibri" w:hAnsi="Times New Roman"/>
          <w:sz w:val="26"/>
          <w:szCs w:val="26"/>
        </w:rPr>
        <w:tab/>
      </w:r>
      <w:r w:rsidR="00EF661F" w:rsidRPr="00B4360E">
        <w:rPr>
          <w:rFonts w:ascii="Times New Roman" w:eastAsia="Calibri" w:hAnsi="Times New Roman"/>
          <w:sz w:val="26"/>
          <w:szCs w:val="26"/>
        </w:rPr>
        <w:t>39.</w:t>
      </w:r>
      <w:r w:rsidR="00EF661F" w:rsidRPr="00B4360E">
        <w:rPr>
          <w:rFonts w:ascii="Times New Roman" w:eastAsia="Calibri" w:hAnsi="Times New Roman"/>
          <w:sz w:val="26"/>
          <w:szCs w:val="26"/>
        </w:rPr>
        <w:tab/>
        <w:t xml:space="preserve">PPL Electric agrees to remove the reference to </w:t>
      </w:r>
      <w:r w:rsidR="00803C65">
        <w:rPr>
          <w:rFonts w:ascii="Times New Roman" w:eastAsia="Calibri" w:hAnsi="Times New Roman"/>
          <w:sz w:val="26"/>
          <w:szCs w:val="26"/>
        </w:rPr>
        <w:t>“</w:t>
      </w:r>
      <w:r w:rsidR="00EF661F" w:rsidRPr="00B4360E">
        <w:rPr>
          <w:rFonts w:ascii="Times New Roman" w:eastAsia="Calibri" w:hAnsi="Times New Roman"/>
          <w:sz w:val="26"/>
          <w:szCs w:val="26"/>
        </w:rPr>
        <w:t>pursuant to FERC Order No. 745</w:t>
      </w:r>
      <w:r w:rsidR="00803C65">
        <w:rPr>
          <w:rFonts w:ascii="Times New Roman" w:eastAsia="Calibri" w:hAnsi="Times New Roman"/>
          <w:sz w:val="26"/>
          <w:szCs w:val="26"/>
        </w:rPr>
        <w:t>”</w:t>
      </w:r>
      <w:r w:rsidR="00EF661F" w:rsidRPr="00B4360E">
        <w:rPr>
          <w:rFonts w:ascii="Times New Roman" w:eastAsia="Calibri" w:hAnsi="Times New Roman"/>
          <w:sz w:val="26"/>
          <w:szCs w:val="26"/>
        </w:rPr>
        <w:t xml:space="preserve"> from Section 2.4(c) of the SMA.</w:t>
      </w:r>
    </w:p>
    <w:p w:rsidR="00EF661F" w:rsidRPr="00B4360E" w:rsidRDefault="00EF661F" w:rsidP="00471D83">
      <w:pPr>
        <w:spacing w:line="240" w:lineRule="auto"/>
        <w:ind w:left="1440" w:right="1440"/>
        <w:rPr>
          <w:rFonts w:ascii="Times New Roman" w:eastAsia="Calibri" w:hAnsi="Times New Roman"/>
          <w:sz w:val="26"/>
          <w:szCs w:val="26"/>
        </w:rPr>
      </w:pPr>
    </w:p>
    <w:p w:rsidR="00EF661F" w:rsidRPr="00394EE9" w:rsidRDefault="00B4360E" w:rsidP="00471D83">
      <w:pPr>
        <w:spacing w:line="240" w:lineRule="auto"/>
        <w:ind w:left="1440" w:right="1440"/>
        <w:rPr>
          <w:rFonts w:ascii="Times New Roman" w:eastAsia="Calibri" w:hAnsi="Times New Roman"/>
          <w:sz w:val="26"/>
          <w:szCs w:val="26"/>
        </w:rPr>
      </w:pPr>
      <w:r w:rsidRPr="00B4360E">
        <w:rPr>
          <w:rFonts w:ascii="Times New Roman" w:eastAsia="Calibri" w:hAnsi="Times New Roman"/>
          <w:sz w:val="26"/>
          <w:szCs w:val="26"/>
        </w:rPr>
        <w:tab/>
      </w:r>
      <w:r w:rsidR="00EF661F" w:rsidRPr="00B4360E">
        <w:rPr>
          <w:rFonts w:ascii="Times New Roman" w:eastAsia="Calibri" w:hAnsi="Times New Roman"/>
          <w:sz w:val="26"/>
          <w:szCs w:val="26"/>
        </w:rPr>
        <w:t>40.</w:t>
      </w:r>
      <w:r w:rsidR="00EF661F" w:rsidRPr="00B4360E">
        <w:rPr>
          <w:rFonts w:ascii="Times New Roman" w:eastAsia="Calibri" w:hAnsi="Times New Roman"/>
          <w:sz w:val="26"/>
          <w:szCs w:val="26"/>
        </w:rPr>
        <w:tab/>
        <w:t>PPL Electric agrees to modify Section 3.4 of the SMA to replace Financial Accounting Standards Board Statement No. 133 (</w:t>
      </w:r>
      <w:r w:rsidR="00803C65">
        <w:rPr>
          <w:rFonts w:ascii="Times New Roman" w:eastAsia="Calibri" w:hAnsi="Times New Roman"/>
          <w:sz w:val="26"/>
          <w:szCs w:val="26"/>
        </w:rPr>
        <w:t>“</w:t>
      </w:r>
      <w:r w:rsidR="00EF661F" w:rsidRPr="00B4360E">
        <w:rPr>
          <w:rFonts w:ascii="Times New Roman" w:eastAsia="Calibri" w:hAnsi="Times New Roman"/>
          <w:sz w:val="26"/>
          <w:szCs w:val="26"/>
        </w:rPr>
        <w:t>FAS 133</w:t>
      </w:r>
      <w:r w:rsidR="00803C65">
        <w:rPr>
          <w:rFonts w:ascii="Times New Roman" w:eastAsia="Calibri" w:hAnsi="Times New Roman"/>
          <w:sz w:val="26"/>
          <w:szCs w:val="26"/>
        </w:rPr>
        <w:t>”</w:t>
      </w:r>
      <w:r w:rsidR="00EF661F" w:rsidRPr="00B4360E">
        <w:rPr>
          <w:rFonts w:ascii="Times New Roman" w:eastAsia="Calibri" w:hAnsi="Times New Roman"/>
          <w:sz w:val="26"/>
          <w:szCs w:val="26"/>
        </w:rPr>
        <w:t>) with Accounting Standards Codification 815 (</w:t>
      </w:r>
      <w:r w:rsidR="00803C65">
        <w:rPr>
          <w:rFonts w:ascii="Times New Roman" w:eastAsia="Calibri" w:hAnsi="Times New Roman"/>
          <w:sz w:val="26"/>
          <w:szCs w:val="26"/>
        </w:rPr>
        <w:t>“</w:t>
      </w:r>
      <w:r w:rsidR="00EF661F" w:rsidRPr="00B4360E">
        <w:rPr>
          <w:rFonts w:ascii="Times New Roman" w:eastAsia="Calibri" w:hAnsi="Times New Roman"/>
          <w:sz w:val="26"/>
          <w:szCs w:val="26"/>
        </w:rPr>
        <w:t>ASC 815</w:t>
      </w:r>
      <w:r w:rsidR="00803C65">
        <w:rPr>
          <w:rFonts w:ascii="Times New Roman" w:eastAsia="Calibri" w:hAnsi="Times New Roman"/>
          <w:sz w:val="26"/>
          <w:szCs w:val="26"/>
        </w:rPr>
        <w:t>”</w:t>
      </w:r>
      <w:r w:rsidR="00EF661F" w:rsidRPr="00B4360E">
        <w:rPr>
          <w:rFonts w:ascii="Times New Roman" w:eastAsia="Calibri" w:hAnsi="Times New Roman"/>
          <w:sz w:val="26"/>
          <w:szCs w:val="26"/>
        </w:rPr>
        <w:t xml:space="preserve">).  PPL Electric also agrees to </w:t>
      </w:r>
      <w:r w:rsidR="00EF661F" w:rsidRPr="00394EE9">
        <w:rPr>
          <w:rFonts w:ascii="Times New Roman" w:eastAsia="Calibri" w:hAnsi="Times New Roman"/>
          <w:sz w:val="26"/>
          <w:szCs w:val="26"/>
        </w:rPr>
        <w:t>add Section 3.4 to the SMA Table of Contents.</w:t>
      </w:r>
    </w:p>
    <w:p w:rsidR="00EF661F" w:rsidRPr="00394EE9" w:rsidRDefault="00EF661F" w:rsidP="00471D83">
      <w:pPr>
        <w:spacing w:line="240" w:lineRule="auto"/>
        <w:ind w:left="1440" w:right="1440"/>
        <w:rPr>
          <w:rFonts w:ascii="Times New Roman" w:eastAsia="Calibri" w:hAnsi="Times New Roman"/>
          <w:sz w:val="26"/>
          <w:szCs w:val="26"/>
        </w:rPr>
      </w:pPr>
    </w:p>
    <w:p w:rsidR="00EF661F" w:rsidRPr="00394EE9" w:rsidRDefault="00394EE9" w:rsidP="00471D83">
      <w:pPr>
        <w:spacing w:line="240" w:lineRule="auto"/>
        <w:ind w:left="1440" w:right="1440"/>
        <w:rPr>
          <w:rFonts w:ascii="Times New Roman" w:eastAsia="Calibri" w:hAnsi="Times New Roman"/>
          <w:sz w:val="26"/>
          <w:szCs w:val="26"/>
        </w:rPr>
      </w:pPr>
      <w:r w:rsidRPr="00394EE9">
        <w:rPr>
          <w:rFonts w:ascii="Times New Roman" w:eastAsia="Calibri" w:hAnsi="Times New Roman"/>
          <w:sz w:val="26"/>
          <w:szCs w:val="26"/>
        </w:rPr>
        <w:tab/>
      </w:r>
      <w:r w:rsidR="00EF661F" w:rsidRPr="00394EE9">
        <w:rPr>
          <w:rFonts w:ascii="Times New Roman" w:eastAsia="Calibri" w:hAnsi="Times New Roman"/>
          <w:sz w:val="26"/>
          <w:szCs w:val="26"/>
        </w:rPr>
        <w:t>41.</w:t>
      </w:r>
      <w:r w:rsidR="00EF661F" w:rsidRPr="00394EE9">
        <w:rPr>
          <w:rFonts w:ascii="Times New Roman" w:eastAsia="Calibri" w:hAnsi="Times New Roman"/>
          <w:sz w:val="26"/>
          <w:szCs w:val="26"/>
        </w:rPr>
        <w:tab/>
        <w:t xml:space="preserve">PPL Electric agrees to modify the SMA to replace </w:t>
      </w:r>
      <w:r w:rsidR="00803C65">
        <w:rPr>
          <w:rFonts w:ascii="Times New Roman" w:eastAsia="Calibri" w:hAnsi="Times New Roman"/>
          <w:sz w:val="26"/>
          <w:szCs w:val="26"/>
        </w:rPr>
        <w:t>“</w:t>
      </w:r>
      <w:r w:rsidR="00EF661F" w:rsidRPr="00394EE9">
        <w:rPr>
          <w:rFonts w:ascii="Times New Roman" w:eastAsia="Calibri" w:hAnsi="Times New Roman"/>
          <w:sz w:val="26"/>
          <w:szCs w:val="26"/>
        </w:rPr>
        <w:t>sole discretion</w:t>
      </w:r>
      <w:r w:rsidR="00803C65">
        <w:rPr>
          <w:rFonts w:ascii="Times New Roman" w:eastAsia="Calibri" w:hAnsi="Times New Roman"/>
          <w:sz w:val="26"/>
          <w:szCs w:val="26"/>
        </w:rPr>
        <w:t>”</w:t>
      </w:r>
      <w:r w:rsidR="00EF661F" w:rsidRPr="00394EE9">
        <w:rPr>
          <w:rFonts w:ascii="Times New Roman" w:eastAsia="Calibri" w:hAnsi="Times New Roman"/>
          <w:sz w:val="26"/>
          <w:szCs w:val="26"/>
        </w:rPr>
        <w:t xml:space="preserve"> with </w:t>
      </w:r>
      <w:r w:rsidR="00803C65">
        <w:rPr>
          <w:rFonts w:ascii="Times New Roman" w:eastAsia="Calibri" w:hAnsi="Times New Roman"/>
          <w:sz w:val="26"/>
          <w:szCs w:val="26"/>
        </w:rPr>
        <w:t>“</w:t>
      </w:r>
      <w:r w:rsidR="00EF661F" w:rsidRPr="00394EE9">
        <w:rPr>
          <w:rFonts w:ascii="Times New Roman" w:eastAsia="Calibri" w:hAnsi="Times New Roman"/>
          <w:sz w:val="26"/>
          <w:szCs w:val="26"/>
        </w:rPr>
        <w:t>reasonable discretion.</w:t>
      </w:r>
      <w:r w:rsidR="00803C65">
        <w:rPr>
          <w:rFonts w:ascii="Times New Roman" w:eastAsia="Calibri" w:hAnsi="Times New Roman"/>
          <w:sz w:val="26"/>
          <w:szCs w:val="26"/>
        </w:rPr>
        <w:t>”</w:t>
      </w:r>
    </w:p>
    <w:p w:rsidR="00EF661F" w:rsidRPr="00394EE9" w:rsidRDefault="00EF661F" w:rsidP="00471D83">
      <w:pPr>
        <w:spacing w:line="240" w:lineRule="auto"/>
        <w:ind w:left="1440" w:right="1440"/>
        <w:rPr>
          <w:rFonts w:ascii="Times New Roman" w:eastAsia="Calibri" w:hAnsi="Times New Roman"/>
          <w:sz w:val="26"/>
          <w:szCs w:val="26"/>
        </w:rPr>
      </w:pPr>
    </w:p>
    <w:p w:rsidR="00EF661F" w:rsidRPr="00394EE9" w:rsidRDefault="00394EE9" w:rsidP="00471D83">
      <w:pPr>
        <w:spacing w:line="240" w:lineRule="auto"/>
        <w:ind w:left="1440" w:right="1440"/>
        <w:rPr>
          <w:rFonts w:ascii="Times New Roman" w:eastAsia="Calibri" w:hAnsi="Times New Roman"/>
          <w:sz w:val="26"/>
          <w:szCs w:val="26"/>
        </w:rPr>
      </w:pPr>
      <w:r w:rsidRPr="00394EE9">
        <w:rPr>
          <w:rFonts w:ascii="Times New Roman" w:eastAsia="Calibri" w:hAnsi="Times New Roman"/>
          <w:sz w:val="26"/>
          <w:szCs w:val="26"/>
        </w:rPr>
        <w:tab/>
      </w:r>
      <w:r w:rsidR="00EF661F" w:rsidRPr="00394EE9">
        <w:rPr>
          <w:rFonts w:ascii="Times New Roman" w:eastAsia="Calibri" w:hAnsi="Times New Roman"/>
          <w:sz w:val="26"/>
          <w:szCs w:val="26"/>
        </w:rPr>
        <w:t>42.</w:t>
      </w:r>
      <w:r w:rsidR="00EF661F" w:rsidRPr="00394EE9">
        <w:rPr>
          <w:rFonts w:ascii="Times New Roman" w:eastAsia="Calibri" w:hAnsi="Times New Roman"/>
          <w:sz w:val="26"/>
          <w:szCs w:val="26"/>
        </w:rPr>
        <w:tab/>
        <w:t xml:space="preserve">PPL Electric agrees to revise Section 9.2 of the SMA to add the phrase </w:t>
      </w:r>
      <w:r w:rsidR="00803C65">
        <w:rPr>
          <w:rFonts w:ascii="Times New Roman" w:eastAsia="Calibri" w:hAnsi="Times New Roman"/>
          <w:sz w:val="26"/>
          <w:szCs w:val="26"/>
        </w:rPr>
        <w:t>“</w:t>
      </w:r>
      <w:r w:rsidR="00EF661F" w:rsidRPr="00394EE9">
        <w:rPr>
          <w:rFonts w:ascii="Times New Roman" w:eastAsia="Calibri" w:hAnsi="Times New Roman"/>
          <w:sz w:val="26"/>
          <w:szCs w:val="26"/>
        </w:rPr>
        <w:t>Except as set forth in Section 2.5 and 2.6,</w:t>
      </w:r>
      <w:r w:rsidR="00803C65">
        <w:rPr>
          <w:rFonts w:ascii="Times New Roman" w:eastAsia="Calibri" w:hAnsi="Times New Roman"/>
          <w:sz w:val="26"/>
          <w:szCs w:val="26"/>
        </w:rPr>
        <w:t>”</w:t>
      </w:r>
      <w:r w:rsidR="00EF661F" w:rsidRPr="00394EE9">
        <w:rPr>
          <w:rFonts w:ascii="Times New Roman" w:eastAsia="Calibri" w:hAnsi="Times New Roman"/>
          <w:sz w:val="26"/>
          <w:szCs w:val="26"/>
        </w:rPr>
        <w:t xml:space="preserve"> to the beginning of the first sentence in Section 9.2.</w:t>
      </w:r>
    </w:p>
    <w:p w:rsidR="00EF661F" w:rsidRPr="00394EE9" w:rsidRDefault="00EF661F" w:rsidP="00471D83">
      <w:pPr>
        <w:spacing w:line="240" w:lineRule="auto"/>
        <w:ind w:left="1440" w:right="1440"/>
        <w:rPr>
          <w:rFonts w:ascii="Times New Roman" w:eastAsia="Calibri" w:hAnsi="Times New Roman"/>
          <w:sz w:val="26"/>
          <w:szCs w:val="26"/>
        </w:rPr>
      </w:pPr>
    </w:p>
    <w:p w:rsidR="00EF661F" w:rsidRPr="00394EE9" w:rsidRDefault="00394EE9" w:rsidP="00471D83">
      <w:pPr>
        <w:spacing w:line="240" w:lineRule="auto"/>
        <w:ind w:left="1440" w:right="1440"/>
        <w:rPr>
          <w:rFonts w:ascii="Times New Roman" w:eastAsia="Calibri" w:hAnsi="Times New Roman"/>
          <w:sz w:val="26"/>
          <w:szCs w:val="26"/>
        </w:rPr>
      </w:pPr>
      <w:r w:rsidRPr="00394EE9">
        <w:rPr>
          <w:rFonts w:ascii="Times New Roman" w:eastAsia="Calibri" w:hAnsi="Times New Roman"/>
          <w:sz w:val="26"/>
          <w:szCs w:val="26"/>
        </w:rPr>
        <w:tab/>
      </w:r>
      <w:r w:rsidR="00EF661F" w:rsidRPr="00394EE9">
        <w:rPr>
          <w:rFonts w:ascii="Times New Roman" w:eastAsia="Calibri" w:hAnsi="Times New Roman"/>
          <w:sz w:val="26"/>
          <w:szCs w:val="26"/>
        </w:rPr>
        <w:t>43.</w:t>
      </w:r>
      <w:r w:rsidR="00EF661F" w:rsidRPr="00394EE9">
        <w:rPr>
          <w:rFonts w:ascii="Times New Roman" w:eastAsia="Calibri" w:hAnsi="Times New Roman"/>
          <w:sz w:val="26"/>
          <w:szCs w:val="26"/>
        </w:rPr>
        <w:tab/>
        <w:t>PPL Electric agrees to reconcile the language in Sections 11.2 and 16.17 of the SMA regarding the Mobile-Sierra Doctrine so that both Sections provide, in pertinent part, as follows:</w:t>
      </w:r>
    </w:p>
    <w:p w:rsidR="00394EE9" w:rsidRPr="00394EE9" w:rsidRDefault="00394EE9" w:rsidP="00471D83">
      <w:pPr>
        <w:spacing w:line="240" w:lineRule="auto"/>
        <w:ind w:left="1440" w:right="1440"/>
        <w:rPr>
          <w:rFonts w:ascii="Times New Roman" w:eastAsia="Calibri" w:hAnsi="Times New Roman"/>
          <w:sz w:val="26"/>
          <w:szCs w:val="26"/>
        </w:rPr>
      </w:pPr>
    </w:p>
    <w:p w:rsidR="00EF661F" w:rsidRPr="00E35405" w:rsidRDefault="00EF661F" w:rsidP="00E35405">
      <w:pPr>
        <w:spacing w:line="240" w:lineRule="auto"/>
        <w:ind w:left="2160" w:right="2160"/>
        <w:rPr>
          <w:rFonts w:ascii="Times New Roman" w:eastAsia="Calibri" w:hAnsi="Times New Roman"/>
          <w:sz w:val="26"/>
          <w:szCs w:val="26"/>
        </w:rPr>
      </w:pPr>
      <w:r w:rsidRPr="00E35405">
        <w:rPr>
          <w:rFonts w:ascii="Times New Roman" w:eastAsia="Calibri" w:hAnsi="Times New Roman"/>
          <w:sz w:val="26"/>
          <w:szCs w:val="26"/>
        </w:rPr>
        <w:t xml:space="preserve">To the extent permitted by law and absent agreement to the contrary, each party, for itself and its successors and assigns, hereby expressly and irrevocably waives its rights to argue before any governmental authority that any review, </w:t>
      </w:r>
      <w:r w:rsidRPr="00E35405">
        <w:rPr>
          <w:rFonts w:ascii="Times New Roman" w:eastAsia="Calibri" w:hAnsi="Times New Roman"/>
          <w:sz w:val="26"/>
          <w:szCs w:val="26"/>
        </w:rPr>
        <w:lastRenderedPageBreak/>
        <w:t xml:space="preserve">modification, or rescission of this Agreement should be </w:t>
      </w:r>
      <w:r w:rsidRPr="009A2D80">
        <w:rPr>
          <w:rFonts w:ascii="Times New Roman" w:eastAsia="Calibri" w:hAnsi="Times New Roman"/>
          <w:sz w:val="26"/>
          <w:szCs w:val="26"/>
        </w:rPr>
        <w:t xml:space="preserve">considered under any standard of review other than the </w:t>
      </w:r>
      <w:r w:rsidR="00803C65">
        <w:rPr>
          <w:rFonts w:ascii="Times New Roman" w:eastAsia="Calibri" w:hAnsi="Times New Roman"/>
          <w:sz w:val="26"/>
          <w:szCs w:val="26"/>
        </w:rPr>
        <w:t>“</w:t>
      </w:r>
      <w:r w:rsidRPr="009A2D80">
        <w:rPr>
          <w:rFonts w:ascii="Times New Roman" w:eastAsia="Calibri" w:hAnsi="Times New Roman"/>
          <w:sz w:val="26"/>
          <w:szCs w:val="26"/>
        </w:rPr>
        <w:t>public interest</w:t>
      </w:r>
      <w:r w:rsidR="00803C65">
        <w:rPr>
          <w:rFonts w:ascii="Times New Roman" w:eastAsia="Calibri" w:hAnsi="Times New Roman"/>
          <w:sz w:val="26"/>
          <w:szCs w:val="26"/>
        </w:rPr>
        <w:t>”</w:t>
      </w:r>
      <w:r w:rsidRPr="009A2D80">
        <w:rPr>
          <w:rFonts w:ascii="Times New Roman" w:eastAsia="Calibri" w:hAnsi="Times New Roman"/>
          <w:sz w:val="26"/>
          <w:szCs w:val="26"/>
        </w:rPr>
        <w:t xml:space="preserve"> standard set forth in United Gas Pipe Line Co. v. Mobile Gas Service Corp., 350 U.S. 332 (1956) and Federal Power Commission v. Sierra Pacific Power Co., 350 U.S. 348 (1956), affirmed by Morgan Stanley Capital Group, Inc. v. Public Utility District No. 1 of Snohomish County, Washington</w:t>
      </w:r>
      <w:r w:rsidRPr="00E35405">
        <w:rPr>
          <w:rFonts w:ascii="Times New Roman" w:eastAsia="Calibri" w:hAnsi="Times New Roman"/>
          <w:sz w:val="26"/>
          <w:szCs w:val="26"/>
        </w:rPr>
        <w:t xml:space="preserve">, et al., 554 U.S. 527 (2008) (the </w:t>
      </w:r>
      <w:r w:rsidR="00803C65">
        <w:rPr>
          <w:rFonts w:ascii="Times New Roman" w:eastAsia="Calibri" w:hAnsi="Times New Roman"/>
          <w:sz w:val="26"/>
          <w:szCs w:val="26"/>
        </w:rPr>
        <w:t>“</w:t>
      </w:r>
      <w:r w:rsidRPr="00E35405">
        <w:rPr>
          <w:rFonts w:ascii="Times New Roman" w:eastAsia="Calibri" w:hAnsi="Times New Roman"/>
          <w:sz w:val="26"/>
          <w:szCs w:val="26"/>
        </w:rPr>
        <w:t>Mobile-Sierra Doctrine</w:t>
      </w:r>
      <w:r w:rsidR="00803C65">
        <w:rPr>
          <w:rFonts w:ascii="Times New Roman" w:eastAsia="Calibri" w:hAnsi="Times New Roman"/>
          <w:sz w:val="26"/>
          <w:szCs w:val="26"/>
        </w:rPr>
        <w:t>”</w:t>
      </w:r>
      <w:r w:rsidRPr="00E35405">
        <w:rPr>
          <w:rFonts w:ascii="Times New Roman" w:eastAsia="Calibri" w:hAnsi="Times New Roman"/>
          <w:sz w:val="26"/>
          <w:szCs w:val="26"/>
        </w:rPr>
        <w:t>).</w:t>
      </w:r>
    </w:p>
    <w:p w:rsidR="00EF661F" w:rsidRPr="00E35405" w:rsidRDefault="00EF661F" w:rsidP="00471D83">
      <w:pPr>
        <w:spacing w:line="240" w:lineRule="auto"/>
        <w:ind w:left="1440" w:right="1440"/>
        <w:rPr>
          <w:rFonts w:ascii="Times New Roman" w:eastAsia="Calibri" w:hAnsi="Times New Roman"/>
          <w:sz w:val="26"/>
          <w:szCs w:val="26"/>
        </w:rPr>
      </w:pPr>
    </w:p>
    <w:p w:rsidR="00EF661F" w:rsidRPr="006C0576" w:rsidRDefault="00EF661F" w:rsidP="00803C65">
      <w:pPr>
        <w:keepNext/>
        <w:spacing w:line="240" w:lineRule="auto"/>
        <w:ind w:left="1440" w:right="1440"/>
        <w:rPr>
          <w:rFonts w:ascii="Times New Roman" w:eastAsia="Calibri" w:hAnsi="Times New Roman"/>
          <w:sz w:val="26"/>
          <w:szCs w:val="26"/>
        </w:rPr>
      </w:pPr>
      <w:r w:rsidRPr="00E35405">
        <w:rPr>
          <w:rFonts w:ascii="Times New Roman" w:eastAsia="Calibri" w:hAnsi="Times New Roman"/>
          <w:sz w:val="26"/>
          <w:szCs w:val="26"/>
        </w:rPr>
        <w:tab/>
      </w:r>
      <w:r w:rsidRPr="006C0576">
        <w:rPr>
          <w:rFonts w:ascii="Times New Roman" w:eastAsia="Calibri" w:hAnsi="Times New Roman"/>
          <w:b/>
          <w:sz w:val="26"/>
          <w:szCs w:val="26"/>
        </w:rPr>
        <w:t>I.</w:t>
      </w:r>
      <w:r w:rsidRPr="006C0576">
        <w:rPr>
          <w:rFonts w:ascii="Times New Roman" w:eastAsia="Calibri" w:hAnsi="Times New Roman"/>
          <w:b/>
          <w:sz w:val="26"/>
          <w:szCs w:val="26"/>
        </w:rPr>
        <w:tab/>
        <w:t>STANDARD OFFER PROGRAM</w:t>
      </w:r>
    </w:p>
    <w:p w:rsidR="00EF661F" w:rsidRPr="006C0576" w:rsidRDefault="00EF661F" w:rsidP="00803C65">
      <w:pPr>
        <w:keepNext/>
        <w:spacing w:line="240" w:lineRule="auto"/>
        <w:ind w:left="1440" w:right="1440"/>
        <w:rPr>
          <w:rFonts w:ascii="Times New Roman" w:eastAsia="Calibri" w:hAnsi="Times New Roman"/>
          <w:sz w:val="26"/>
          <w:szCs w:val="26"/>
        </w:rPr>
      </w:pPr>
    </w:p>
    <w:p w:rsidR="00EF661F" w:rsidRPr="006C0576" w:rsidRDefault="006C0576" w:rsidP="00471D83">
      <w:pPr>
        <w:spacing w:line="240" w:lineRule="auto"/>
        <w:ind w:left="1440" w:right="1440"/>
        <w:rPr>
          <w:rFonts w:ascii="Times New Roman" w:eastAsia="Calibri" w:hAnsi="Times New Roman"/>
          <w:sz w:val="26"/>
          <w:szCs w:val="26"/>
        </w:rPr>
      </w:pPr>
      <w:r w:rsidRPr="006C0576">
        <w:rPr>
          <w:rFonts w:ascii="Times New Roman" w:eastAsia="Calibri" w:hAnsi="Times New Roman"/>
          <w:sz w:val="26"/>
          <w:szCs w:val="26"/>
        </w:rPr>
        <w:tab/>
      </w:r>
      <w:r w:rsidR="00EF661F" w:rsidRPr="006C0576">
        <w:rPr>
          <w:rFonts w:ascii="Times New Roman" w:eastAsia="Calibri" w:hAnsi="Times New Roman"/>
          <w:sz w:val="26"/>
          <w:szCs w:val="26"/>
        </w:rPr>
        <w:t>44.</w:t>
      </w:r>
      <w:r w:rsidR="00EF661F" w:rsidRPr="006C0576">
        <w:rPr>
          <w:rFonts w:ascii="Times New Roman" w:eastAsia="Calibri" w:hAnsi="Times New Roman"/>
          <w:sz w:val="26"/>
          <w:szCs w:val="26"/>
        </w:rPr>
        <w:tab/>
        <w:t>PPL Electric agrees to revise its Standard Offer Program (</w:t>
      </w:r>
      <w:r w:rsidR="00803C65">
        <w:rPr>
          <w:rFonts w:ascii="Times New Roman" w:eastAsia="Calibri" w:hAnsi="Times New Roman"/>
          <w:sz w:val="26"/>
          <w:szCs w:val="26"/>
        </w:rPr>
        <w:t>“</w:t>
      </w:r>
      <w:r w:rsidR="00EF661F" w:rsidRPr="006C0576">
        <w:rPr>
          <w:rFonts w:ascii="Times New Roman" w:eastAsia="Calibri" w:hAnsi="Times New Roman"/>
          <w:sz w:val="26"/>
          <w:szCs w:val="26"/>
        </w:rPr>
        <w:t>SOP</w:t>
      </w:r>
      <w:r w:rsidR="00803C65">
        <w:rPr>
          <w:rFonts w:ascii="Times New Roman" w:eastAsia="Calibri" w:hAnsi="Times New Roman"/>
          <w:sz w:val="26"/>
          <w:szCs w:val="26"/>
        </w:rPr>
        <w:t>”</w:t>
      </w:r>
      <w:r w:rsidR="00EF661F" w:rsidRPr="006C0576">
        <w:rPr>
          <w:rFonts w:ascii="Times New Roman" w:eastAsia="Calibri" w:hAnsi="Times New Roman"/>
          <w:sz w:val="26"/>
          <w:szCs w:val="26"/>
        </w:rPr>
        <w:t>) scripts within 90 days of the Commission approval of the settlement to provide more explicit disclosures explaining that:</w:t>
      </w:r>
    </w:p>
    <w:p w:rsidR="00EF661F" w:rsidRPr="006C0576" w:rsidRDefault="00EF661F" w:rsidP="00471D83">
      <w:pPr>
        <w:spacing w:line="240" w:lineRule="auto"/>
        <w:ind w:left="1440" w:right="1440"/>
        <w:rPr>
          <w:rFonts w:ascii="Times New Roman" w:eastAsia="Calibri" w:hAnsi="Times New Roman"/>
          <w:sz w:val="26"/>
          <w:szCs w:val="26"/>
        </w:rPr>
      </w:pPr>
    </w:p>
    <w:p w:rsidR="00EF661F" w:rsidRPr="006C0576" w:rsidRDefault="00EF661F" w:rsidP="00CC1BBC">
      <w:pPr>
        <w:spacing w:line="240" w:lineRule="auto"/>
        <w:ind w:left="2880" w:right="1440"/>
        <w:rPr>
          <w:rFonts w:ascii="Times New Roman" w:eastAsia="Calibri" w:hAnsi="Times New Roman"/>
          <w:sz w:val="26"/>
          <w:szCs w:val="26"/>
        </w:rPr>
      </w:pPr>
      <w:r w:rsidRPr="006C0576">
        <w:rPr>
          <w:rFonts w:ascii="Times New Roman" w:eastAsia="Calibri" w:hAnsi="Times New Roman"/>
          <w:sz w:val="26"/>
          <w:szCs w:val="26"/>
        </w:rPr>
        <w:t>(a)</w:t>
      </w:r>
      <w:r w:rsidRPr="006C0576">
        <w:rPr>
          <w:rFonts w:ascii="Times New Roman" w:eastAsia="Calibri" w:hAnsi="Times New Roman"/>
          <w:sz w:val="26"/>
          <w:szCs w:val="26"/>
        </w:rPr>
        <w:tab/>
        <w:t>The initial discount of 7% is based on the current PTC;</w:t>
      </w:r>
    </w:p>
    <w:p w:rsidR="00EF661F" w:rsidRPr="006C0576" w:rsidRDefault="00EF661F" w:rsidP="00471D83">
      <w:pPr>
        <w:spacing w:line="240" w:lineRule="auto"/>
        <w:ind w:left="1440" w:right="1440"/>
        <w:rPr>
          <w:rFonts w:ascii="Times New Roman" w:eastAsia="Calibri" w:hAnsi="Times New Roman"/>
          <w:sz w:val="26"/>
          <w:szCs w:val="26"/>
        </w:rPr>
      </w:pPr>
    </w:p>
    <w:p w:rsidR="00EF661F" w:rsidRPr="006C0576" w:rsidRDefault="00EF661F" w:rsidP="00CC1BBC">
      <w:pPr>
        <w:spacing w:line="240" w:lineRule="auto"/>
        <w:ind w:left="2880" w:right="1440"/>
        <w:rPr>
          <w:rFonts w:ascii="Times New Roman" w:eastAsia="Calibri" w:hAnsi="Times New Roman"/>
          <w:sz w:val="26"/>
          <w:szCs w:val="26"/>
        </w:rPr>
      </w:pPr>
      <w:r w:rsidRPr="006C0576">
        <w:rPr>
          <w:rFonts w:ascii="Times New Roman" w:eastAsia="Calibri" w:hAnsi="Times New Roman"/>
          <w:sz w:val="26"/>
          <w:szCs w:val="26"/>
        </w:rPr>
        <w:t>(b)</w:t>
      </w:r>
      <w:r w:rsidRPr="006C0576">
        <w:rPr>
          <w:rFonts w:ascii="Times New Roman" w:eastAsia="Calibri" w:hAnsi="Times New Roman"/>
          <w:sz w:val="26"/>
          <w:szCs w:val="26"/>
        </w:rPr>
        <w:tab/>
        <w:t>The PTC will change semiannually with the next change in [month];</w:t>
      </w:r>
    </w:p>
    <w:p w:rsidR="00EF661F" w:rsidRPr="006C0576" w:rsidRDefault="00EF661F" w:rsidP="00471D83">
      <w:pPr>
        <w:spacing w:line="240" w:lineRule="auto"/>
        <w:ind w:left="1440" w:right="1440"/>
        <w:rPr>
          <w:rFonts w:ascii="Times New Roman" w:eastAsia="Calibri" w:hAnsi="Times New Roman"/>
          <w:sz w:val="26"/>
          <w:szCs w:val="26"/>
        </w:rPr>
      </w:pPr>
    </w:p>
    <w:p w:rsidR="00EF661F" w:rsidRPr="006C0576" w:rsidRDefault="00EF661F" w:rsidP="00CC1BBC">
      <w:pPr>
        <w:spacing w:line="240" w:lineRule="auto"/>
        <w:ind w:left="2880" w:right="1440"/>
        <w:rPr>
          <w:rFonts w:ascii="Times New Roman" w:eastAsia="Calibri" w:hAnsi="Times New Roman"/>
          <w:sz w:val="26"/>
          <w:szCs w:val="26"/>
        </w:rPr>
      </w:pPr>
      <w:r w:rsidRPr="006C0576">
        <w:rPr>
          <w:rFonts w:ascii="Times New Roman" w:eastAsia="Calibri" w:hAnsi="Times New Roman"/>
          <w:sz w:val="26"/>
          <w:szCs w:val="26"/>
        </w:rPr>
        <w:t>(c)</w:t>
      </w:r>
      <w:r w:rsidRPr="006C0576">
        <w:rPr>
          <w:rFonts w:ascii="Times New Roman" w:eastAsia="Calibri" w:hAnsi="Times New Roman"/>
          <w:sz w:val="26"/>
          <w:szCs w:val="26"/>
        </w:rPr>
        <w:tab/>
        <w:t>The percentage savings a customer will experience will vary as the PTC changes; and</w:t>
      </w:r>
    </w:p>
    <w:p w:rsidR="00EF661F" w:rsidRPr="006C0576" w:rsidRDefault="00EF661F" w:rsidP="00471D83">
      <w:pPr>
        <w:spacing w:line="240" w:lineRule="auto"/>
        <w:ind w:left="1440" w:right="1440"/>
        <w:rPr>
          <w:rFonts w:ascii="Times New Roman" w:eastAsia="Calibri" w:hAnsi="Times New Roman"/>
          <w:sz w:val="26"/>
          <w:szCs w:val="26"/>
        </w:rPr>
      </w:pPr>
    </w:p>
    <w:p w:rsidR="00EF661F" w:rsidRPr="00CC1BBC" w:rsidRDefault="00EF661F" w:rsidP="00CC1BBC">
      <w:pPr>
        <w:spacing w:line="240" w:lineRule="auto"/>
        <w:ind w:left="2880" w:right="1440"/>
        <w:rPr>
          <w:rFonts w:ascii="Times New Roman" w:eastAsia="Calibri" w:hAnsi="Times New Roman"/>
          <w:sz w:val="26"/>
          <w:szCs w:val="26"/>
        </w:rPr>
      </w:pPr>
      <w:r w:rsidRPr="006C0576">
        <w:rPr>
          <w:rFonts w:ascii="Times New Roman" w:eastAsia="Calibri" w:hAnsi="Times New Roman"/>
          <w:sz w:val="26"/>
          <w:szCs w:val="26"/>
        </w:rPr>
        <w:t>(d)</w:t>
      </w:r>
      <w:r w:rsidRPr="006C0576">
        <w:rPr>
          <w:rFonts w:ascii="Times New Roman" w:eastAsia="Calibri" w:hAnsi="Times New Roman"/>
          <w:sz w:val="26"/>
          <w:szCs w:val="26"/>
        </w:rPr>
        <w:tab/>
        <w:t xml:space="preserve">The SOP rate may be higher or lower than the </w:t>
      </w:r>
      <w:r w:rsidRPr="00CC1BBC">
        <w:rPr>
          <w:rFonts w:ascii="Times New Roman" w:eastAsia="Calibri" w:hAnsi="Times New Roman"/>
          <w:sz w:val="26"/>
          <w:szCs w:val="26"/>
        </w:rPr>
        <w:t>next PTC.</w:t>
      </w:r>
    </w:p>
    <w:p w:rsidR="00EF661F" w:rsidRPr="00CC1BBC" w:rsidRDefault="00EF661F" w:rsidP="00471D83">
      <w:pPr>
        <w:spacing w:line="240" w:lineRule="auto"/>
        <w:ind w:left="1440" w:right="1440"/>
        <w:rPr>
          <w:rFonts w:ascii="Times New Roman" w:eastAsia="Calibri" w:hAnsi="Times New Roman"/>
          <w:sz w:val="26"/>
          <w:szCs w:val="26"/>
        </w:rPr>
      </w:pPr>
    </w:p>
    <w:p w:rsidR="00EF661F" w:rsidRPr="00CC1BBC" w:rsidRDefault="00CC1BBC" w:rsidP="00471D83">
      <w:pPr>
        <w:spacing w:line="240" w:lineRule="auto"/>
        <w:ind w:left="1440" w:right="1440"/>
        <w:rPr>
          <w:rFonts w:ascii="Times New Roman" w:eastAsia="Calibri" w:hAnsi="Times New Roman"/>
          <w:sz w:val="26"/>
          <w:szCs w:val="26"/>
        </w:rPr>
      </w:pPr>
      <w:r w:rsidRPr="00CC1BBC">
        <w:rPr>
          <w:rFonts w:ascii="Times New Roman" w:eastAsia="Calibri" w:hAnsi="Times New Roman"/>
          <w:sz w:val="26"/>
          <w:szCs w:val="26"/>
        </w:rPr>
        <w:tab/>
      </w:r>
      <w:r w:rsidR="00EF661F" w:rsidRPr="00CC1BBC">
        <w:rPr>
          <w:rFonts w:ascii="Times New Roman" w:eastAsia="Calibri" w:hAnsi="Times New Roman"/>
          <w:sz w:val="26"/>
          <w:szCs w:val="26"/>
        </w:rPr>
        <w:t>45.</w:t>
      </w:r>
      <w:r w:rsidR="00EF661F" w:rsidRPr="00CC1BBC">
        <w:rPr>
          <w:rFonts w:ascii="Times New Roman" w:eastAsia="Calibri" w:hAnsi="Times New Roman"/>
          <w:sz w:val="26"/>
          <w:szCs w:val="26"/>
        </w:rPr>
        <w:tab/>
        <w:t>With respect to PPL Electric</w:t>
      </w:r>
      <w:r w:rsidR="00803C65">
        <w:rPr>
          <w:rFonts w:ascii="Times New Roman" w:eastAsia="Calibri" w:hAnsi="Times New Roman"/>
          <w:sz w:val="26"/>
          <w:szCs w:val="26"/>
        </w:rPr>
        <w:t>’</w:t>
      </w:r>
      <w:r w:rsidR="00EF661F" w:rsidRPr="00CC1BBC">
        <w:rPr>
          <w:rFonts w:ascii="Times New Roman" w:eastAsia="Calibri" w:hAnsi="Times New Roman"/>
          <w:sz w:val="26"/>
          <w:szCs w:val="26"/>
        </w:rPr>
        <w:t>s proposal to implement a SOP Web Self Service application, the Parties agree as follows:</w:t>
      </w:r>
    </w:p>
    <w:p w:rsidR="00EF661F" w:rsidRPr="00CC1BBC" w:rsidRDefault="00EF661F" w:rsidP="00471D83">
      <w:pPr>
        <w:spacing w:line="240" w:lineRule="auto"/>
        <w:ind w:left="1440" w:right="1440"/>
        <w:rPr>
          <w:rFonts w:ascii="Times New Roman" w:eastAsia="Calibri" w:hAnsi="Times New Roman"/>
          <w:sz w:val="26"/>
          <w:szCs w:val="26"/>
        </w:rPr>
      </w:pPr>
    </w:p>
    <w:p w:rsidR="00EF661F" w:rsidRPr="00CC1BBC" w:rsidRDefault="00EF661F" w:rsidP="00980074">
      <w:pPr>
        <w:spacing w:line="240" w:lineRule="auto"/>
        <w:ind w:left="2880" w:right="1440"/>
        <w:rPr>
          <w:rFonts w:ascii="Times New Roman" w:eastAsia="Calibri" w:hAnsi="Times New Roman"/>
          <w:sz w:val="26"/>
          <w:szCs w:val="26"/>
        </w:rPr>
      </w:pPr>
      <w:r w:rsidRPr="00CC1BBC">
        <w:rPr>
          <w:rFonts w:ascii="Times New Roman" w:eastAsia="Calibri" w:hAnsi="Times New Roman"/>
          <w:sz w:val="26"/>
          <w:szCs w:val="26"/>
        </w:rPr>
        <w:t>(a)</w:t>
      </w:r>
      <w:r w:rsidRPr="00CC1BBC">
        <w:rPr>
          <w:rFonts w:ascii="Times New Roman" w:eastAsia="Calibri" w:hAnsi="Times New Roman"/>
          <w:sz w:val="26"/>
          <w:szCs w:val="26"/>
        </w:rPr>
        <w:tab/>
        <w:t>On or before September 30, 2014, PPL Electric will provide interested parties with details regarding the design, costs, and implementation of the SOP Web Self Service application;</w:t>
      </w:r>
    </w:p>
    <w:p w:rsidR="00EF661F" w:rsidRPr="00CC1BBC" w:rsidRDefault="00EF661F" w:rsidP="00980074">
      <w:pPr>
        <w:spacing w:line="240" w:lineRule="auto"/>
        <w:ind w:left="2880" w:right="1440"/>
        <w:rPr>
          <w:rFonts w:ascii="Times New Roman" w:eastAsia="Calibri" w:hAnsi="Times New Roman"/>
          <w:sz w:val="26"/>
          <w:szCs w:val="26"/>
        </w:rPr>
      </w:pPr>
    </w:p>
    <w:p w:rsidR="00EF661F" w:rsidRPr="00CC1BBC" w:rsidRDefault="00EF661F" w:rsidP="00980074">
      <w:pPr>
        <w:spacing w:line="240" w:lineRule="auto"/>
        <w:ind w:left="2880" w:right="1440"/>
        <w:rPr>
          <w:rFonts w:ascii="Times New Roman" w:eastAsia="Calibri" w:hAnsi="Times New Roman"/>
          <w:sz w:val="26"/>
          <w:szCs w:val="26"/>
        </w:rPr>
      </w:pPr>
      <w:r w:rsidRPr="00CC1BBC">
        <w:rPr>
          <w:rFonts w:ascii="Times New Roman" w:eastAsia="Calibri" w:hAnsi="Times New Roman"/>
          <w:sz w:val="26"/>
          <w:szCs w:val="26"/>
        </w:rPr>
        <w:t>(b)</w:t>
      </w:r>
      <w:r w:rsidRPr="00CC1BBC">
        <w:rPr>
          <w:rFonts w:ascii="Times New Roman" w:eastAsia="Calibri" w:hAnsi="Times New Roman"/>
          <w:sz w:val="26"/>
          <w:szCs w:val="26"/>
        </w:rPr>
        <w:tab/>
        <w:t xml:space="preserve">On or before October 31, 2014, PPL Electric will hold a collaborative open to all </w:t>
      </w:r>
      <w:r w:rsidRPr="00CC1BBC">
        <w:rPr>
          <w:rFonts w:ascii="Times New Roman" w:eastAsia="Calibri" w:hAnsi="Times New Roman"/>
          <w:sz w:val="26"/>
          <w:szCs w:val="26"/>
        </w:rPr>
        <w:lastRenderedPageBreak/>
        <w:t>interested parties to seek input on the design, costs, and implementation of the SOP Web Self Service application;</w:t>
      </w:r>
    </w:p>
    <w:p w:rsidR="00EF661F" w:rsidRPr="00CC1BBC" w:rsidRDefault="00EF661F" w:rsidP="00980074">
      <w:pPr>
        <w:spacing w:line="240" w:lineRule="auto"/>
        <w:ind w:left="2880" w:right="1440"/>
        <w:rPr>
          <w:rFonts w:ascii="Times New Roman" w:eastAsia="Calibri" w:hAnsi="Times New Roman"/>
          <w:sz w:val="26"/>
          <w:szCs w:val="26"/>
        </w:rPr>
      </w:pPr>
    </w:p>
    <w:p w:rsidR="00EF661F" w:rsidRPr="00CC1BBC" w:rsidRDefault="00EF661F" w:rsidP="00980074">
      <w:pPr>
        <w:spacing w:line="240" w:lineRule="auto"/>
        <w:ind w:left="2880" w:right="1440"/>
        <w:rPr>
          <w:rFonts w:ascii="Times New Roman" w:eastAsia="Calibri" w:hAnsi="Times New Roman"/>
          <w:sz w:val="26"/>
          <w:szCs w:val="26"/>
        </w:rPr>
      </w:pPr>
      <w:r w:rsidRPr="00CC1BBC">
        <w:rPr>
          <w:rFonts w:ascii="Times New Roman" w:eastAsia="Calibri" w:hAnsi="Times New Roman"/>
          <w:sz w:val="26"/>
          <w:szCs w:val="26"/>
        </w:rPr>
        <w:t>(c)</w:t>
      </w:r>
      <w:r w:rsidRPr="00CC1BBC">
        <w:rPr>
          <w:rFonts w:ascii="Times New Roman" w:eastAsia="Calibri" w:hAnsi="Times New Roman"/>
          <w:sz w:val="26"/>
          <w:szCs w:val="26"/>
        </w:rPr>
        <w:tab/>
        <w:t>If all parties to the collaborative reach a consensus as to the design, costs, and implementation of the SOP Web Self Service application, the SOP Web Self Service application will become effective on June 1, 2015, consistent with the consensus; and</w:t>
      </w:r>
    </w:p>
    <w:p w:rsidR="00EF661F" w:rsidRPr="00CC1BBC" w:rsidRDefault="00EF661F" w:rsidP="00980074">
      <w:pPr>
        <w:spacing w:line="240" w:lineRule="auto"/>
        <w:ind w:left="2880" w:right="1440"/>
        <w:rPr>
          <w:rFonts w:ascii="Times New Roman" w:eastAsia="Calibri" w:hAnsi="Times New Roman"/>
          <w:sz w:val="26"/>
          <w:szCs w:val="26"/>
        </w:rPr>
      </w:pPr>
    </w:p>
    <w:p w:rsidR="00EF661F" w:rsidRPr="00980074" w:rsidRDefault="00EF661F" w:rsidP="00980074">
      <w:pPr>
        <w:spacing w:line="240" w:lineRule="auto"/>
        <w:ind w:left="2880" w:right="1440"/>
        <w:rPr>
          <w:rFonts w:ascii="Times New Roman" w:eastAsia="Calibri" w:hAnsi="Times New Roman"/>
          <w:sz w:val="26"/>
          <w:szCs w:val="26"/>
        </w:rPr>
      </w:pPr>
      <w:r w:rsidRPr="00CC1BBC">
        <w:rPr>
          <w:rFonts w:ascii="Times New Roman" w:eastAsia="Calibri" w:hAnsi="Times New Roman"/>
          <w:sz w:val="26"/>
          <w:szCs w:val="26"/>
        </w:rPr>
        <w:t>(d)</w:t>
      </w:r>
      <w:r w:rsidRPr="00CC1BBC">
        <w:rPr>
          <w:rFonts w:ascii="Times New Roman" w:eastAsia="Calibri" w:hAnsi="Times New Roman"/>
          <w:sz w:val="26"/>
          <w:szCs w:val="26"/>
        </w:rPr>
        <w:tab/>
        <w:t xml:space="preserve">If no consensus is reached at the collaborative, PPL Electric will file a petition with the Commission, on or before November 28, 2014, seeking a resolution of the unresolved SOP Web Self Service application.  The Parties agree that all responses to the petition will be filed within thirty days from the date of filing.  The intent of this process is to obtain resolution </w:t>
      </w:r>
      <w:r w:rsidRPr="00980074">
        <w:rPr>
          <w:rFonts w:ascii="Times New Roman" w:eastAsia="Calibri" w:hAnsi="Times New Roman"/>
          <w:sz w:val="26"/>
          <w:szCs w:val="26"/>
        </w:rPr>
        <w:t>of the SOP Web Self Service application proposal in time to implement any SOP Web Self Service application effective June 1, 2015.</w:t>
      </w:r>
    </w:p>
    <w:p w:rsidR="00EF661F" w:rsidRPr="00980074" w:rsidRDefault="00EF661F" w:rsidP="00471D83">
      <w:pPr>
        <w:spacing w:line="240" w:lineRule="auto"/>
        <w:ind w:left="1440" w:right="1440"/>
        <w:rPr>
          <w:rFonts w:ascii="Times New Roman" w:eastAsia="Calibri" w:hAnsi="Times New Roman"/>
          <w:sz w:val="26"/>
          <w:szCs w:val="26"/>
        </w:rPr>
      </w:pPr>
    </w:p>
    <w:p w:rsidR="00EF661F" w:rsidRPr="00980074" w:rsidRDefault="00980074" w:rsidP="00471D83">
      <w:pPr>
        <w:spacing w:line="240" w:lineRule="auto"/>
        <w:ind w:left="1440" w:right="1440"/>
        <w:rPr>
          <w:rFonts w:ascii="Times New Roman" w:eastAsia="Calibri" w:hAnsi="Times New Roman"/>
          <w:sz w:val="26"/>
          <w:szCs w:val="26"/>
        </w:rPr>
      </w:pPr>
      <w:r w:rsidRPr="00980074">
        <w:rPr>
          <w:rFonts w:ascii="Times New Roman" w:eastAsia="Calibri" w:hAnsi="Times New Roman"/>
          <w:sz w:val="26"/>
          <w:szCs w:val="26"/>
        </w:rPr>
        <w:tab/>
      </w:r>
      <w:r w:rsidR="00EF661F" w:rsidRPr="00980074">
        <w:rPr>
          <w:rFonts w:ascii="Times New Roman" w:eastAsia="Calibri" w:hAnsi="Times New Roman"/>
          <w:sz w:val="26"/>
          <w:szCs w:val="26"/>
        </w:rPr>
        <w:t>46.</w:t>
      </w:r>
      <w:r w:rsidR="00EF661F" w:rsidRPr="00980074">
        <w:rPr>
          <w:rFonts w:ascii="Times New Roman" w:eastAsia="Calibri" w:hAnsi="Times New Roman"/>
          <w:sz w:val="26"/>
          <w:szCs w:val="26"/>
        </w:rPr>
        <w:tab/>
        <w:t>PPL Electric agrees that electric generation suppliers (</w:t>
      </w:r>
      <w:r w:rsidR="00803C65">
        <w:rPr>
          <w:rFonts w:ascii="Times New Roman" w:eastAsia="Calibri" w:hAnsi="Times New Roman"/>
          <w:sz w:val="26"/>
          <w:szCs w:val="26"/>
        </w:rPr>
        <w:t>“</w:t>
      </w:r>
      <w:r w:rsidR="00EF661F" w:rsidRPr="00980074">
        <w:rPr>
          <w:rFonts w:ascii="Times New Roman" w:eastAsia="Calibri" w:hAnsi="Times New Roman"/>
          <w:sz w:val="26"/>
          <w:szCs w:val="26"/>
        </w:rPr>
        <w:t>EGSs</w:t>
      </w:r>
      <w:r w:rsidR="00803C65">
        <w:rPr>
          <w:rFonts w:ascii="Times New Roman" w:eastAsia="Calibri" w:hAnsi="Times New Roman"/>
          <w:sz w:val="26"/>
          <w:szCs w:val="26"/>
        </w:rPr>
        <w:t>”</w:t>
      </w:r>
      <w:r w:rsidR="00EF661F" w:rsidRPr="00980074">
        <w:rPr>
          <w:rFonts w:ascii="Times New Roman" w:eastAsia="Calibri" w:hAnsi="Times New Roman"/>
          <w:sz w:val="26"/>
          <w:szCs w:val="26"/>
        </w:rPr>
        <w:t>) may participate in the SOP for a 3-month term, and that EGSs have the ability to change their participation status with each 3-month period.</w:t>
      </w:r>
    </w:p>
    <w:p w:rsidR="00EF661F" w:rsidRPr="00980074" w:rsidRDefault="00EF661F" w:rsidP="00471D83">
      <w:pPr>
        <w:spacing w:line="240" w:lineRule="auto"/>
        <w:ind w:left="1440" w:right="1440"/>
        <w:rPr>
          <w:rFonts w:ascii="Times New Roman" w:eastAsia="Calibri" w:hAnsi="Times New Roman"/>
          <w:sz w:val="26"/>
          <w:szCs w:val="26"/>
        </w:rPr>
      </w:pPr>
    </w:p>
    <w:p w:rsidR="00EF661F" w:rsidRPr="00980074" w:rsidRDefault="00980074" w:rsidP="00471D83">
      <w:pPr>
        <w:spacing w:line="240" w:lineRule="auto"/>
        <w:ind w:left="1440" w:right="1440"/>
        <w:rPr>
          <w:rFonts w:ascii="Times New Roman" w:eastAsia="Calibri" w:hAnsi="Times New Roman"/>
          <w:sz w:val="26"/>
          <w:szCs w:val="26"/>
        </w:rPr>
      </w:pPr>
      <w:r w:rsidRPr="00980074">
        <w:rPr>
          <w:rFonts w:ascii="Times New Roman" w:eastAsia="Calibri" w:hAnsi="Times New Roman"/>
          <w:sz w:val="26"/>
          <w:szCs w:val="26"/>
        </w:rPr>
        <w:tab/>
      </w:r>
      <w:r w:rsidR="00EF661F" w:rsidRPr="00980074">
        <w:rPr>
          <w:rFonts w:ascii="Times New Roman" w:eastAsia="Calibri" w:hAnsi="Times New Roman"/>
          <w:sz w:val="26"/>
          <w:szCs w:val="26"/>
        </w:rPr>
        <w:t>47.</w:t>
      </w:r>
      <w:r w:rsidR="00EF661F" w:rsidRPr="00980074">
        <w:rPr>
          <w:rFonts w:ascii="Times New Roman" w:eastAsia="Calibri" w:hAnsi="Times New Roman"/>
          <w:sz w:val="26"/>
          <w:szCs w:val="26"/>
        </w:rPr>
        <w:tab/>
        <w:t xml:space="preserve">PPL Electric </w:t>
      </w:r>
      <w:r w:rsidR="00C57FA4">
        <w:rPr>
          <w:rFonts w:ascii="Times New Roman" w:eastAsia="Calibri" w:hAnsi="Times New Roman"/>
          <w:sz w:val="26"/>
          <w:szCs w:val="26"/>
        </w:rPr>
        <w:t>agrees to notify all EGSs via e</w:t>
      </w:r>
      <w:r w:rsidR="00C57FA4">
        <w:rPr>
          <w:rFonts w:ascii="Times New Roman" w:eastAsia="Calibri" w:hAnsi="Times New Roman"/>
          <w:sz w:val="26"/>
          <w:szCs w:val="26"/>
        </w:rPr>
        <w:noBreakHyphen/>
      </w:r>
      <w:r w:rsidR="00EF661F" w:rsidRPr="00980074">
        <w:rPr>
          <w:rFonts w:ascii="Times New Roman" w:eastAsia="Calibri" w:hAnsi="Times New Roman"/>
          <w:sz w:val="26"/>
          <w:szCs w:val="26"/>
        </w:rPr>
        <w:t>mail of the SOP price the same day the PTC</w:t>
      </w:r>
      <w:r w:rsidRPr="00980074">
        <w:rPr>
          <w:rFonts w:ascii="Times New Roman" w:eastAsia="Calibri" w:hAnsi="Times New Roman"/>
          <w:sz w:val="26"/>
          <w:szCs w:val="26"/>
        </w:rPr>
        <w:t xml:space="preserve"> is</w:t>
      </w:r>
      <w:r w:rsidR="00EF661F" w:rsidRPr="00980074">
        <w:rPr>
          <w:rFonts w:ascii="Times New Roman" w:eastAsia="Calibri" w:hAnsi="Times New Roman"/>
          <w:sz w:val="26"/>
          <w:szCs w:val="26"/>
        </w:rPr>
        <w:t xml:space="preserve"> issued, and to post the SOP price to the web and supplier portal one day after the PTC becomes effective.</w:t>
      </w:r>
    </w:p>
    <w:p w:rsidR="00EF661F" w:rsidRPr="00980074" w:rsidRDefault="00EF661F" w:rsidP="00471D83">
      <w:pPr>
        <w:spacing w:line="240" w:lineRule="auto"/>
        <w:ind w:left="1440" w:right="1440"/>
        <w:rPr>
          <w:rFonts w:ascii="Times New Roman" w:eastAsia="Calibri" w:hAnsi="Times New Roman"/>
          <w:sz w:val="26"/>
          <w:szCs w:val="26"/>
        </w:rPr>
      </w:pPr>
    </w:p>
    <w:p w:rsidR="00EF661F" w:rsidRPr="00B32D3B" w:rsidRDefault="00980074" w:rsidP="00471D83">
      <w:pPr>
        <w:spacing w:line="240" w:lineRule="auto"/>
        <w:ind w:left="1440" w:right="1440"/>
        <w:rPr>
          <w:rFonts w:ascii="Times New Roman" w:eastAsia="Calibri" w:hAnsi="Times New Roman"/>
          <w:sz w:val="26"/>
          <w:szCs w:val="26"/>
        </w:rPr>
      </w:pPr>
      <w:r w:rsidRPr="00980074">
        <w:rPr>
          <w:rFonts w:ascii="Times New Roman" w:eastAsia="Calibri" w:hAnsi="Times New Roman"/>
          <w:sz w:val="26"/>
          <w:szCs w:val="26"/>
        </w:rPr>
        <w:tab/>
      </w:r>
      <w:r w:rsidR="00EF661F" w:rsidRPr="00B32D3B">
        <w:rPr>
          <w:rFonts w:ascii="Times New Roman" w:eastAsia="Calibri" w:hAnsi="Times New Roman"/>
          <w:sz w:val="26"/>
          <w:szCs w:val="26"/>
        </w:rPr>
        <w:t>48.</w:t>
      </w:r>
      <w:r w:rsidR="00EF661F" w:rsidRPr="00B32D3B">
        <w:rPr>
          <w:rFonts w:ascii="Times New Roman" w:eastAsia="Calibri" w:hAnsi="Times New Roman"/>
          <w:sz w:val="26"/>
          <w:szCs w:val="26"/>
        </w:rPr>
        <w:tab/>
        <w:t>PPL Electric agrees to address SOP at a separate stakeholder meeting that will be open to all interested parties.  The SOP stakeholder meeting will be held before January 31, 2015.</w:t>
      </w:r>
    </w:p>
    <w:p w:rsidR="00EF661F" w:rsidRPr="00B32D3B" w:rsidRDefault="00EF661F" w:rsidP="00471D83">
      <w:pPr>
        <w:spacing w:line="240" w:lineRule="auto"/>
        <w:ind w:left="1440" w:right="1440"/>
        <w:rPr>
          <w:rFonts w:ascii="Times New Roman" w:eastAsia="Calibri" w:hAnsi="Times New Roman"/>
          <w:sz w:val="26"/>
          <w:szCs w:val="26"/>
        </w:rPr>
      </w:pPr>
    </w:p>
    <w:p w:rsidR="00EF661F" w:rsidRPr="00B32D3B" w:rsidRDefault="00980074" w:rsidP="00471D83">
      <w:pPr>
        <w:spacing w:line="240" w:lineRule="auto"/>
        <w:ind w:left="1440" w:right="1440"/>
        <w:rPr>
          <w:rFonts w:ascii="Times New Roman" w:eastAsia="Calibri" w:hAnsi="Times New Roman"/>
          <w:sz w:val="26"/>
          <w:szCs w:val="26"/>
        </w:rPr>
      </w:pPr>
      <w:r w:rsidRPr="00B32D3B">
        <w:rPr>
          <w:rFonts w:ascii="Times New Roman" w:eastAsia="Calibri" w:hAnsi="Times New Roman"/>
          <w:sz w:val="26"/>
          <w:szCs w:val="26"/>
        </w:rPr>
        <w:tab/>
      </w:r>
      <w:r w:rsidR="00EF661F" w:rsidRPr="00B32D3B">
        <w:rPr>
          <w:rFonts w:ascii="Times New Roman" w:eastAsia="Calibri" w:hAnsi="Times New Roman"/>
          <w:sz w:val="26"/>
          <w:szCs w:val="26"/>
        </w:rPr>
        <w:t>49.</w:t>
      </w:r>
      <w:r w:rsidR="00EF661F" w:rsidRPr="00B32D3B">
        <w:rPr>
          <w:rFonts w:ascii="Times New Roman" w:eastAsia="Calibri" w:hAnsi="Times New Roman"/>
          <w:sz w:val="26"/>
          <w:szCs w:val="26"/>
        </w:rPr>
        <w:tab/>
        <w:t>The SOP stakeholder meeting will address, at a minimum the following issues:</w:t>
      </w:r>
    </w:p>
    <w:p w:rsidR="00EF661F" w:rsidRPr="00B32D3B" w:rsidRDefault="00EF661F" w:rsidP="00471D83">
      <w:pPr>
        <w:spacing w:line="240" w:lineRule="auto"/>
        <w:ind w:left="1440" w:right="1440"/>
        <w:rPr>
          <w:rFonts w:ascii="Times New Roman" w:eastAsia="Calibri" w:hAnsi="Times New Roman"/>
          <w:sz w:val="26"/>
          <w:szCs w:val="26"/>
        </w:rPr>
      </w:pPr>
    </w:p>
    <w:p w:rsidR="00EF661F" w:rsidRPr="00B32D3B" w:rsidRDefault="00EF661F" w:rsidP="00B32D3B">
      <w:pPr>
        <w:spacing w:line="240" w:lineRule="auto"/>
        <w:ind w:left="2880" w:right="1440"/>
        <w:rPr>
          <w:rFonts w:ascii="Times New Roman" w:eastAsia="Calibri" w:hAnsi="Times New Roman"/>
          <w:sz w:val="26"/>
          <w:szCs w:val="26"/>
        </w:rPr>
      </w:pPr>
      <w:r w:rsidRPr="00B32D3B">
        <w:rPr>
          <w:rFonts w:ascii="Times New Roman" w:eastAsia="Calibri" w:hAnsi="Times New Roman"/>
          <w:sz w:val="26"/>
          <w:szCs w:val="26"/>
        </w:rPr>
        <w:t>(a)</w:t>
      </w:r>
      <w:r w:rsidRPr="00B32D3B">
        <w:rPr>
          <w:rFonts w:ascii="Times New Roman" w:eastAsia="Calibri" w:hAnsi="Times New Roman"/>
          <w:sz w:val="26"/>
          <w:szCs w:val="26"/>
        </w:rPr>
        <w:tab/>
        <w:t>EGS recommendations regarding administration of the SOP;</w:t>
      </w:r>
    </w:p>
    <w:p w:rsidR="00EF661F" w:rsidRPr="00B32D3B" w:rsidRDefault="00EF661F" w:rsidP="00471D83">
      <w:pPr>
        <w:spacing w:line="240" w:lineRule="auto"/>
        <w:ind w:left="1440" w:right="1440"/>
        <w:rPr>
          <w:rFonts w:ascii="Times New Roman" w:eastAsia="Calibri" w:hAnsi="Times New Roman"/>
          <w:sz w:val="26"/>
          <w:szCs w:val="26"/>
        </w:rPr>
      </w:pPr>
    </w:p>
    <w:p w:rsidR="00EF661F" w:rsidRPr="00B32D3B" w:rsidRDefault="00EF661F" w:rsidP="00B32D3B">
      <w:pPr>
        <w:spacing w:line="240" w:lineRule="auto"/>
        <w:ind w:left="2880" w:right="1440"/>
        <w:rPr>
          <w:rFonts w:ascii="Times New Roman" w:eastAsia="Calibri" w:hAnsi="Times New Roman"/>
          <w:sz w:val="26"/>
          <w:szCs w:val="26"/>
        </w:rPr>
      </w:pPr>
      <w:r w:rsidRPr="00B32D3B">
        <w:rPr>
          <w:rFonts w:ascii="Times New Roman" w:eastAsia="Calibri" w:hAnsi="Times New Roman"/>
          <w:sz w:val="26"/>
          <w:szCs w:val="26"/>
        </w:rPr>
        <w:t>(b)</w:t>
      </w:r>
      <w:r w:rsidRPr="00B32D3B">
        <w:rPr>
          <w:rFonts w:ascii="Times New Roman" w:eastAsia="Calibri" w:hAnsi="Times New Roman"/>
          <w:sz w:val="26"/>
          <w:szCs w:val="26"/>
        </w:rPr>
        <w:tab/>
        <w:t>EGS recommendation that the SOP program be open to EGSs using bill ready billing; and</w:t>
      </w:r>
    </w:p>
    <w:p w:rsidR="00EF661F" w:rsidRPr="00B32D3B" w:rsidRDefault="00EF661F" w:rsidP="00B32D3B">
      <w:pPr>
        <w:spacing w:line="240" w:lineRule="auto"/>
        <w:ind w:left="2880" w:right="1440"/>
        <w:rPr>
          <w:rFonts w:ascii="Times New Roman" w:eastAsia="Calibri" w:hAnsi="Times New Roman"/>
          <w:sz w:val="26"/>
          <w:szCs w:val="26"/>
        </w:rPr>
      </w:pPr>
    </w:p>
    <w:p w:rsidR="00EF661F" w:rsidRPr="00B32D3B" w:rsidRDefault="00EF661F" w:rsidP="00B32D3B">
      <w:pPr>
        <w:spacing w:line="240" w:lineRule="auto"/>
        <w:ind w:left="2880" w:right="1440"/>
        <w:rPr>
          <w:rFonts w:ascii="Times New Roman" w:eastAsia="Calibri" w:hAnsi="Times New Roman"/>
          <w:sz w:val="26"/>
          <w:szCs w:val="26"/>
        </w:rPr>
      </w:pPr>
      <w:r w:rsidRPr="00B32D3B">
        <w:rPr>
          <w:rFonts w:ascii="Times New Roman" w:eastAsia="Calibri" w:hAnsi="Times New Roman"/>
          <w:sz w:val="26"/>
          <w:szCs w:val="26"/>
        </w:rPr>
        <w:t>(c)</w:t>
      </w:r>
      <w:r w:rsidRPr="00B32D3B">
        <w:rPr>
          <w:rFonts w:ascii="Times New Roman" w:eastAsia="Calibri" w:hAnsi="Times New Roman"/>
          <w:sz w:val="26"/>
          <w:szCs w:val="26"/>
        </w:rPr>
        <w:tab/>
        <w:t>Recommended changes to the SOP scripts and administrative process.</w:t>
      </w:r>
    </w:p>
    <w:p w:rsidR="00EF661F" w:rsidRPr="00B32D3B" w:rsidRDefault="00EF661F" w:rsidP="00B32D3B">
      <w:pPr>
        <w:spacing w:line="240" w:lineRule="auto"/>
        <w:ind w:left="2880" w:right="1440"/>
        <w:rPr>
          <w:rFonts w:ascii="Times New Roman" w:eastAsia="Calibri" w:hAnsi="Times New Roman"/>
          <w:sz w:val="26"/>
          <w:szCs w:val="26"/>
        </w:rPr>
      </w:pPr>
    </w:p>
    <w:p w:rsidR="00EF661F" w:rsidRPr="00B32D3B" w:rsidRDefault="00B32D3B" w:rsidP="00471D83">
      <w:pPr>
        <w:spacing w:line="240" w:lineRule="auto"/>
        <w:ind w:left="1440" w:right="1440"/>
        <w:rPr>
          <w:rFonts w:ascii="Times New Roman" w:eastAsia="Calibri" w:hAnsi="Times New Roman"/>
          <w:sz w:val="26"/>
          <w:szCs w:val="26"/>
        </w:rPr>
      </w:pPr>
      <w:r w:rsidRPr="00B32D3B">
        <w:rPr>
          <w:rFonts w:ascii="Times New Roman" w:eastAsia="Calibri" w:hAnsi="Times New Roman"/>
          <w:sz w:val="26"/>
          <w:szCs w:val="26"/>
        </w:rPr>
        <w:tab/>
      </w:r>
      <w:r w:rsidR="00EF661F" w:rsidRPr="00B32D3B">
        <w:rPr>
          <w:rFonts w:ascii="Times New Roman" w:eastAsia="Calibri" w:hAnsi="Times New Roman"/>
          <w:sz w:val="26"/>
          <w:szCs w:val="26"/>
        </w:rPr>
        <w:t>50.</w:t>
      </w:r>
      <w:r w:rsidR="00EF661F" w:rsidRPr="00B32D3B">
        <w:rPr>
          <w:rFonts w:ascii="Times New Roman" w:eastAsia="Calibri" w:hAnsi="Times New Roman"/>
          <w:sz w:val="26"/>
          <w:szCs w:val="26"/>
        </w:rPr>
        <w:tab/>
        <w:t>PPL Electric agrees to provide the statutory advocates and any interested party with the following information in advance of the SOP meeting:</w:t>
      </w:r>
    </w:p>
    <w:p w:rsidR="00EF661F" w:rsidRPr="00B32D3B" w:rsidRDefault="00EF661F" w:rsidP="00471D83">
      <w:pPr>
        <w:spacing w:line="240" w:lineRule="auto"/>
        <w:ind w:left="1440" w:right="1440"/>
        <w:rPr>
          <w:rFonts w:ascii="Times New Roman" w:eastAsia="Calibri" w:hAnsi="Times New Roman"/>
          <w:sz w:val="26"/>
          <w:szCs w:val="26"/>
        </w:rPr>
      </w:pPr>
    </w:p>
    <w:p w:rsidR="00EF661F" w:rsidRPr="00B32D3B" w:rsidRDefault="00EF661F" w:rsidP="00B32D3B">
      <w:pPr>
        <w:spacing w:line="240" w:lineRule="auto"/>
        <w:ind w:left="2880" w:right="1440"/>
        <w:rPr>
          <w:rFonts w:ascii="Times New Roman" w:eastAsia="Calibri" w:hAnsi="Times New Roman"/>
          <w:sz w:val="26"/>
          <w:szCs w:val="26"/>
        </w:rPr>
      </w:pPr>
      <w:r w:rsidRPr="00B32D3B">
        <w:rPr>
          <w:rFonts w:ascii="Times New Roman" w:eastAsia="Calibri" w:hAnsi="Times New Roman"/>
          <w:sz w:val="26"/>
          <w:szCs w:val="26"/>
        </w:rPr>
        <w:t>(a)</w:t>
      </w:r>
      <w:r w:rsidRPr="00B32D3B">
        <w:rPr>
          <w:rFonts w:ascii="Times New Roman" w:eastAsia="Calibri" w:hAnsi="Times New Roman"/>
          <w:sz w:val="26"/>
          <w:szCs w:val="26"/>
        </w:rPr>
        <w:tab/>
        <w:t>SOP scripts;</w:t>
      </w:r>
    </w:p>
    <w:p w:rsidR="00EF661F" w:rsidRPr="00B32D3B" w:rsidRDefault="00EF661F" w:rsidP="00B32D3B">
      <w:pPr>
        <w:spacing w:line="240" w:lineRule="auto"/>
        <w:ind w:left="2880" w:right="1440"/>
        <w:rPr>
          <w:rFonts w:ascii="Times New Roman" w:eastAsia="Calibri" w:hAnsi="Times New Roman"/>
          <w:sz w:val="26"/>
          <w:szCs w:val="26"/>
        </w:rPr>
      </w:pPr>
    </w:p>
    <w:p w:rsidR="00EF661F" w:rsidRPr="00B32D3B" w:rsidRDefault="00EF661F" w:rsidP="00B32D3B">
      <w:pPr>
        <w:spacing w:line="240" w:lineRule="auto"/>
        <w:ind w:left="2880" w:right="1440"/>
        <w:rPr>
          <w:rFonts w:ascii="Times New Roman" w:eastAsia="Calibri" w:hAnsi="Times New Roman"/>
          <w:sz w:val="26"/>
          <w:szCs w:val="26"/>
        </w:rPr>
      </w:pPr>
      <w:r w:rsidRPr="00B32D3B">
        <w:rPr>
          <w:rFonts w:ascii="Times New Roman" w:eastAsia="Calibri" w:hAnsi="Times New Roman"/>
          <w:sz w:val="26"/>
          <w:szCs w:val="26"/>
        </w:rPr>
        <w:t>(b)</w:t>
      </w:r>
      <w:r w:rsidRPr="00B32D3B">
        <w:rPr>
          <w:rFonts w:ascii="Times New Roman" w:eastAsia="Calibri" w:hAnsi="Times New Roman"/>
          <w:sz w:val="26"/>
          <w:szCs w:val="26"/>
        </w:rPr>
        <w:tab/>
        <w:t>Customer enrollment figures and SOP process for the first 12-month period of the SOP;</w:t>
      </w:r>
    </w:p>
    <w:p w:rsidR="00EF661F" w:rsidRPr="00B32D3B" w:rsidRDefault="00EF661F" w:rsidP="00B32D3B">
      <w:pPr>
        <w:spacing w:line="240" w:lineRule="auto"/>
        <w:ind w:left="2880" w:right="1440"/>
        <w:rPr>
          <w:rFonts w:ascii="Times New Roman" w:eastAsia="Calibri" w:hAnsi="Times New Roman"/>
          <w:sz w:val="26"/>
          <w:szCs w:val="26"/>
        </w:rPr>
      </w:pPr>
    </w:p>
    <w:p w:rsidR="00EF661F" w:rsidRPr="00B32D3B" w:rsidRDefault="00EF661F" w:rsidP="00B32D3B">
      <w:pPr>
        <w:spacing w:line="240" w:lineRule="auto"/>
        <w:ind w:left="2880" w:right="1440"/>
        <w:rPr>
          <w:rFonts w:ascii="Times New Roman" w:eastAsia="Calibri" w:hAnsi="Times New Roman"/>
          <w:sz w:val="26"/>
          <w:szCs w:val="26"/>
        </w:rPr>
      </w:pPr>
      <w:r w:rsidRPr="00B32D3B">
        <w:rPr>
          <w:rFonts w:ascii="Times New Roman" w:eastAsia="Calibri" w:hAnsi="Times New Roman"/>
          <w:sz w:val="26"/>
          <w:szCs w:val="26"/>
        </w:rPr>
        <w:t>(c)</w:t>
      </w:r>
      <w:r w:rsidRPr="00B32D3B">
        <w:rPr>
          <w:rFonts w:ascii="Times New Roman" w:eastAsia="Calibri" w:hAnsi="Times New Roman"/>
          <w:sz w:val="26"/>
          <w:szCs w:val="26"/>
        </w:rPr>
        <w:tab/>
        <w:t xml:space="preserve">Statistics regarding EGS participation in the SOP from inception through the enrollment period beginning December 1, 2014; </w:t>
      </w:r>
    </w:p>
    <w:p w:rsidR="00EF661F" w:rsidRPr="00B32D3B" w:rsidRDefault="00EF661F" w:rsidP="00B32D3B">
      <w:pPr>
        <w:spacing w:line="240" w:lineRule="auto"/>
        <w:ind w:left="2880" w:right="1440"/>
        <w:rPr>
          <w:rFonts w:ascii="Times New Roman" w:eastAsia="Calibri" w:hAnsi="Times New Roman"/>
          <w:sz w:val="26"/>
          <w:szCs w:val="26"/>
        </w:rPr>
      </w:pPr>
    </w:p>
    <w:p w:rsidR="00EF661F" w:rsidRPr="00B32D3B" w:rsidRDefault="00EF661F" w:rsidP="00B32D3B">
      <w:pPr>
        <w:spacing w:line="240" w:lineRule="auto"/>
        <w:ind w:left="2880" w:right="1440"/>
        <w:rPr>
          <w:rFonts w:ascii="Times New Roman" w:eastAsia="Calibri" w:hAnsi="Times New Roman"/>
          <w:sz w:val="26"/>
          <w:szCs w:val="26"/>
        </w:rPr>
      </w:pPr>
      <w:r w:rsidRPr="00B32D3B">
        <w:rPr>
          <w:rFonts w:ascii="Times New Roman" w:eastAsia="Calibri" w:hAnsi="Times New Roman"/>
          <w:sz w:val="26"/>
          <w:szCs w:val="26"/>
        </w:rPr>
        <w:t>(d)</w:t>
      </w:r>
      <w:r w:rsidRPr="00B32D3B">
        <w:rPr>
          <w:rFonts w:ascii="Times New Roman" w:eastAsia="Calibri" w:hAnsi="Times New Roman"/>
          <w:sz w:val="26"/>
          <w:szCs w:val="26"/>
        </w:rPr>
        <w:tab/>
        <w:t xml:space="preserve">A report of all informal and formal complaints related to the SOP received by the Company during the first 12-month period of the SOP; and </w:t>
      </w:r>
    </w:p>
    <w:p w:rsidR="00EF661F" w:rsidRPr="00B32D3B" w:rsidRDefault="00EF661F" w:rsidP="00B32D3B">
      <w:pPr>
        <w:spacing w:line="240" w:lineRule="auto"/>
        <w:ind w:left="2880" w:right="1440"/>
        <w:rPr>
          <w:rFonts w:ascii="Times New Roman" w:eastAsia="Calibri" w:hAnsi="Times New Roman"/>
          <w:sz w:val="26"/>
          <w:szCs w:val="26"/>
        </w:rPr>
      </w:pPr>
    </w:p>
    <w:p w:rsidR="00EF661F" w:rsidRPr="00B32D3B" w:rsidRDefault="00EF661F" w:rsidP="00B32D3B">
      <w:pPr>
        <w:spacing w:line="240" w:lineRule="auto"/>
        <w:ind w:left="2880" w:right="1440"/>
        <w:rPr>
          <w:rFonts w:ascii="Times New Roman" w:eastAsia="Calibri" w:hAnsi="Times New Roman"/>
          <w:sz w:val="26"/>
          <w:szCs w:val="26"/>
        </w:rPr>
      </w:pPr>
      <w:r w:rsidRPr="00B32D3B">
        <w:rPr>
          <w:rFonts w:ascii="Times New Roman" w:eastAsia="Calibri" w:hAnsi="Times New Roman"/>
          <w:sz w:val="26"/>
          <w:szCs w:val="26"/>
        </w:rPr>
        <w:t>(e)</w:t>
      </w:r>
      <w:r w:rsidRPr="00B32D3B">
        <w:rPr>
          <w:rFonts w:ascii="Times New Roman" w:eastAsia="Calibri" w:hAnsi="Times New Roman"/>
          <w:sz w:val="26"/>
          <w:szCs w:val="26"/>
        </w:rPr>
        <w:tab/>
        <w:t>A report on statistics, lessons learned, and best practices for the SOP program, including enrollment data, EGS participation data, and rate of successful enrollments.</w:t>
      </w:r>
    </w:p>
    <w:p w:rsidR="00EF661F" w:rsidRPr="00B32D3B" w:rsidRDefault="00EF661F" w:rsidP="00471D83">
      <w:pPr>
        <w:spacing w:line="240" w:lineRule="auto"/>
        <w:ind w:left="1440" w:right="1440"/>
        <w:rPr>
          <w:rFonts w:ascii="Times New Roman" w:eastAsia="Calibri" w:hAnsi="Times New Roman"/>
          <w:sz w:val="26"/>
          <w:szCs w:val="26"/>
        </w:rPr>
      </w:pPr>
    </w:p>
    <w:p w:rsidR="00EF661F" w:rsidRPr="00B32D3B" w:rsidRDefault="00B32D3B" w:rsidP="00471D83">
      <w:pPr>
        <w:spacing w:line="240" w:lineRule="auto"/>
        <w:ind w:left="1440" w:right="1440"/>
        <w:rPr>
          <w:rFonts w:ascii="Times New Roman" w:eastAsia="Calibri" w:hAnsi="Times New Roman"/>
          <w:sz w:val="26"/>
          <w:szCs w:val="26"/>
        </w:rPr>
      </w:pPr>
      <w:r w:rsidRPr="00B32D3B">
        <w:rPr>
          <w:rFonts w:ascii="Times New Roman" w:eastAsia="Calibri" w:hAnsi="Times New Roman"/>
          <w:sz w:val="26"/>
          <w:szCs w:val="26"/>
        </w:rPr>
        <w:tab/>
      </w:r>
      <w:r w:rsidR="00EF661F" w:rsidRPr="00B32D3B">
        <w:rPr>
          <w:rFonts w:ascii="Times New Roman" w:eastAsia="Calibri" w:hAnsi="Times New Roman"/>
          <w:sz w:val="26"/>
          <w:szCs w:val="26"/>
        </w:rPr>
        <w:t>51.</w:t>
      </w:r>
      <w:r w:rsidR="00EF661F" w:rsidRPr="00B32D3B">
        <w:rPr>
          <w:rFonts w:ascii="Times New Roman" w:eastAsia="Calibri" w:hAnsi="Times New Roman"/>
          <w:sz w:val="26"/>
          <w:szCs w:val="26"/>
        </w:rPr>
        <w:tab/>
        <w:t>Any changes or modifications agreed upon by all parties at the SOP stakeholder meeting will be presented to the Commission by the Company in a petition to modify the SOP, and the Company shall implement the modifications contained therein within six months of final approval of such petition by the Commission.</w:t>
      </w:r>
    </w:p>
    <w:p w:rsidR="00EF661F" w:rsidRPr="00B32D3B" w:rsidRDefault="00EF661F" w:rsidP="00471D83">
      <w:pPr>
        <w:spacing w:line="240" w:lineRule="auto"/>
        <w:ind w:left="1440" w:right="1440"/>
        <w:rPr>
          <w:rFonts w:ascii="Times New Roman" w:eastAsia="Calibri" w:hAnsi="Times New Roman"/>
          <w:sz w:val="26"/>
          <w:szCs w:val="26"/>
        </w:rPr>
      </w:pPr>
    </w:p>
    <w:p w:rsidR="00EF661F" w:rsidRPr="00F06A04" w:rsidRDefault="00EF661F" w:rsidP="00803C65">
      <w:pPr>
        <w:keepNext/>
        <w:spacing w:line="240" w:lineRule="auto"/>
        <w:ind w:left="1440" w:right="1440"/>
        <w:rPr>
          <w:rFonts w:ascii="Times New Roman" w:eastAsia="Calibri" w:hAnsi="Times New Roman"/>
          <w:b/>
          <w:sz w:val="26"/>
          <w:szCs w:val="26"/>
        </w:rPr>
      </w:pPr>
      <w:r w:rsidRPr="00B32D3B">
        <w:rPr>
          <w:rFonts w:ascii="Times New Roman" w:eastAsia="Calibri" w:hAnsi="Times New Roman"/>
          <w:sz w:val="26"/>
          <w:szCs w:val="26"/>
        </w:rPr>
        <w:tab/>
      </w:r>
      <w:r w:rsidRPr="00F06A04">
        <w:rPr>
          <w:rFonts w:ascii="Times New Roman" w:eastAsia="Calibri" w:hAnsi="Times New Roman"/>
          <w:b/>
          <w:sz w:val="26"/>
          <w:szCs w:val="26"/>
        </w:rPr>
        <w:t>J.</w:t>
      </w:r>
      <w:r w:rsidRPr="00F06A04">
        <w:rPr>
          <w:rFonts w:ascii="Times New Roman" w:eastAsia="Calibri" w:hAnsi="Times New Roman"/>
          <w:b/>
          <w:sz w:val="26"/>
          <w:szCs w:val="26"/>
        </w:rPr>
        <w:tab/>
        <w:t>NET METERING</w:t>
      </w:r>
    </w:p>
    <w:p w:rsidR="00EF661F" w:rsidRPr="00F06A04" w:rsidRDefault="00EF661F" w:rsidP="00803C65">
      <w:pPr>
        <w:keepNext/>
        <w:spacing w:line="240" w:lineRule="auto"/>
        <w:ind w:left="1440" w:right="1440"/>
        <w:rPr>
          <w:rFonts w:ascii="Times New Roman" w:eastAsia="Calibri" w:hAnsi="Times New Roman"/>
          <w:b/>
          <w:sz w:val="26"/>
          <w:szCs w:val="26"/>
        </w:rPr>
      </w:pPr>
    </w:p>
    <w:p w:rsidR="00EF661F" w:rsidRPr="00F06A04" w:rsidRDefault="00F06A04" w:rsidP="00471D83">
      <w:pPr>
        <w:spacing w:line="240" w:lineRule="auto"/>
        <w:ind w:left="1440" w:right="1440"/>
        <w:rPr>
          <w:rFonts w:ascii="Times New Roman" w:eastAsia="Calibri" w:hAnsi="Times New Roman"/>
          <w:sz w:val="26"/>
          <w:szCs w:val="26"/>
        </w:rPr>
      </w:pPr>
      <w:r w:rsidRPr="00F06A04">
        <w:rPr>
          <w:rFonts w:ascii="Times New Roman" w:eastAsia="Calibri" w:hAnsi="Times New Roman"/>
          <w:sz w:val="26"/>
          <w:szCs w:val="26"/>
        </w:rPr>
        <w:tab/>
      </w:r>
      <w:r w:rsidR="00EF661F" w:rsidRPr="00F06A04">
        <w:rPr>
          <w:rFonts w:ascii="Times New Roman" w:eastAsia="Calibri" w:hAnsi="Times New Roman"/>
          <w:sz w:val="26"/>
          <w:szCs w:val="26"/>
        </w:rPr>
        <w:t>52.</w:t>
      </w:r>
      <w:r w:rsidR="00EF661F" w:rsidRPr="00F06A04">
        <w:rPr>
          <w:rFonts w:ascii="Times New Roman" w:eastAsia="Calibri" w:hAnsi="Times New Roman"/>
          <w:sz w:val="26"/>
          <w:szCs w:val="26"/>
        </w:rPr>
        <w:tab/>
        <w:t>The parties acknowledge that the issue of a net metering option for Time-of-Use (</w:t>
      </w:r>
      <w:r w:rsidR="00803C65">
        <w:rPr>
          <w:rFonts w:ascii="Times New Roman" w:eastAsia="Calibri" w:hAnsi="Times New Roman"/>
          <w:sz w:val="26"/>
          <w:szCs w:val="26"/>
        </w:rPr>
        <w:t>“</w:t>
      </w:r>
      <w:r w:rsidR="00EF661F" w:rsidRPr="00F06A04">
        <w:rPr>
          <w:rFonts w:ascii="Times New Roman" w:eastAsia="Calibri" w:hAnsi="Times New Roman"/>
          <w:sz w:val="26"/>
          <w:szCs w:val="26"/>
        </w:rPr>
        <w:t>TOU</w:t>
      </w:r>
      <w:r w:rsidR="00803C65">
        <w:rPr>
          <w:rFonts w:ascii="Times New Roman" w:eastAsia="Calibri" w:hAnsi="Times New Roman"/>
          <w:sz w:val="26"/>
          <w:szCs w:val="26"/>
        </w:rPr>
        <w:t>”</w:t>
      </w:r>
      <w:r w:rsidR="00EF661F" w:rsidRPr="00F06A04">
        <w:rPr>
          <w:rFonts w:ascii="Times New Roman" w:eastAsia="Calibri" w:hAnsi="Times New Roman"/>
          <w:sz w:val="26"/>
          <w:szCs w:val="26"/>
        </w:rPr>
        <w:t xml:space="preserve">) customers was </w:t>
      </w:r>
      <w:r w:rsidR="00EF661F" w:rsidRPr="00F06A04">
        <w:rPr>
          <w:rFonts w:ascii="Times New Roman" w:eastAsia="Calibri" w:hAnsi="Times New Roman"/>
          <w:sz w:val="26"/>
          <w:szCs w:val="26"/>
        </w:rPr>
        <w:lastRenderedPageBreak/>
        <w:t>litigated before and is currently pending before the Commission for disposition at Docket No. P-2013-2389572.  The Parties agree that for the DSP III Program period PPL Electric shall implement the TOU Program as approved by the Commission at Docket No. P-2013-2389572, including a net metering option if adopted.</w:t>
      </w:r>
      <w:r w:rsidR="00B4391A">
        <w:rPr>
          <w:rStyle w:val="FootnoteReference"/>
          <w:rFonts w:ascii="Times New Roman" w:eastAsia="Calibri" w:hAnsi="Times New Roman"/>
          <w:sz w:val="26"/>
          <w:szCs w:val="26"/>
        </w:rPr>
        <w:footnoteReference w:id="9"/>
      </w:r>
    </w:p>
    <w:p w:rsidR="00EF661F" w:rsidRPr="00F06A04" w:rsidRDefault="00EF661F" w:rsidP="00471D83">
      <w:pPr>
        <w:spacing w:line="240" w:lineRule="auto"/>
        <w:ind w:left="1440" w:right="1440"/>
        <w:rPr>
          <w:rFonts w:ascii="Times New Roman" w:eastAsia="Calibri" w:hAnsi="Times New Roman"/>
          <w:sz w:val="26"/>
          <w:szCs w:val="26"/>
        </w:rPr>
      </w:pPr>
    </w:p>
    <w:p w:rsidR="00EF661F" w:rsidRPr="00F06A04" w:rsidRDefault="00F06A04" w:rsidP="00471D83">
      <w:pPr>
        <w:spacing w:line="240" w:lineRule="auto"/>
        <w:ind w:left="1440" w:right="1440"/>
        <w:rPr>
          <w:rFonts w:ascii="Times New Roman" w:eastAsia="Calibri" w:hAnsi="Times New Roman"/>
          <w:sz w:val="26"/>
          <w:szCs w:val="26"/>
        </w:rPr>
      </w:pPr>
      <w:r w:rsidRPr="00F06A04">
        <w:rPr>
          <w:rFonts w:ascii="Times New Roman" w:eastAsia="Calibri" w:hAnsi="Times New Roman"/>
          <w:sz w:val="26"/>
          <w:szCs w:val="26"/>
        </w:rPr>
        <w:tab/>
      </w:r>
      <w:r w:rsidR="00EF661F" w:rsidRPr="00F06A04">
        <w:rPr>
          <w:rFonts w:ascii="Times New Roman" w:eastAsia="Calibri" w:hAnsi="Times New Roman"/>
          <w:sz w:val="26"/>
          <w:szCs w:val="26"/>
        </w:rPr>
        <w:t>53.</w:t>
      </w:r>
      <w:r w:rsidR="00EF661F" w:rsidRPr="00F06A04">
        <w:rPr>
          <w:rFonts w:ascii="Times New Roman" w:eastAsia="Calibri" w:hAnsi="Times New Roman"/>
          <w:sz w:val="26"/>
          <w:szCs w:val="26"/>
        </w:rPr>
        <w:tab/>
        <w:t>PPL Electric and the Sustainable Energy Fund (</w:t>
      </w:r>
      <w:r w:rsidR="00803C65">
        <w:rPr>
          <w:rFonts w:ascii="Times New Roman" w:eastAsia="Calibri" w:hAnsi="Times New Roman"/>
          <w:sz w:val="26"/>
          <w:szCs w:val="26"/>
        </w:rPr>
        <w:t>“</w:t>
      </w:r>
      <w:r w:rsidR="00EF661F" w:rsidRPr="00F06A04">
        <w:rPr>
          <w:rFonts w:ascii="Times New Roman" w:eastAsia="Calibri" w:hAnsi="Times New Roman"/>
          <w:sz w:val="26"/>
          <w:szCs w:val="26"/>
        </w:rPr>
        <w:t>SEF</w:t>
      </w:r>
      <w:r w:rsidR="00803C65">
        <w:rPr>
          <w:rFonts w:ascii="Times New Roman" w:eastAsia="Calibri" w:hAnsi="Times New Roman"/>
          <w:sz w:val="26"/>
          <w:szCs w:val="26"/>
        </w:rPr>
        <w:t>”</w:t>
      </w:r>
      <w:r w:rsidR="00EF661F" w:rsidRPr="00F06A04">
        <w:rPr>
          <w:rFonts w:ascii="Times New Roman" w:eastAsia="Calibri" w:hAnsi="Times New Roman"/>
          <w:sz w:val="26"/>
          <w:szCs w:val="26"/>
        </w:rPr>
        <w:t xml:space="preserve">) agree to recommend and support in their respective statements in support that the Commission decide the TOU Program, which currently is pending before the Commission for disposition at Docket No. P-2013-2389572, in sufficient time to allow the TOU Program to be fully implemented at the beginning of DSP III Program period, </w:t>
      </w:r>
      <w:r w:rsidR="00EF661F" w:rsidRPr="00F06A04">
        <w:rPr>
          <w:rFonts w:ascii="Times New Roman" w:eastAsia="Calibri" w:hAnsi="Times New Roman"/>
          <w:i/>
          <w:sz w:val="26"/>
          <w:szCs w:val="26"/>
        </w:rPr>
        <w:t>i.e.,</w:t>
      </w:r>
      <w:r w:rsidR="00EF661F" w:rsidRPr="00F06A04">
        <w:rPr>
          <w:rFonts w:ascii="Times New Roman" w:eastAsia="Calibri" w:hAnsi="Times New Roman"/>
          <w:sz w:val="26"/>
          <w:szCs w:val="26"/>
        </w:rPr>
        <w:t xml:space="preserve"> June 1, 2015.</w:t>
      </w:r>
    </w:p>
    <w:p w:rsidR="00EF661F" w:rsidRPr="00F06A04" w:rsidRDefault="00EF661F" w:rsidP="00471D83">
      <w:pPr>
        <w:spacing w:line="240" w:lineRule="auto"/>
        <w:ind w:left="1440" w:right="1440"/>
        <w:rPr>
          <w:rFonts w:ascii="Times New Roman" w:eastAsia="Calibri" w:hAnsi="Times New Roman"/>
          <w:sz w:val="26"/>
          <w:szCs w:val="26"/>
        </w:rPr>
      </w:pPr>
    </w:p>
    <w:p w:rsidR="00EF661F" w:rsidRDefault="00F06A04" w:rsidP="00471D83">
      <w:pPr>
        <w:spacing w:line="240" w:lineRule="auto"/>
        <w:ind w:left="1440" w:right="1440"/>
        <w:rPr>
          <w:rFonts w:ascii="Times New Roman" w:eastAsia="Calibri" w:hAnsi="Times New Roman"/>
          <w:sz w:val="26"/>
          <w:szCs w:val="26"/>
        </w:rPr>
      </w:pPr>
      <w:r w:rsidRPr="00F06A04">
        <w:rPr>
          <w:rFonts w:ascii="Times New Roman" w:eastAsia="Calibri" w:hAnsi="Times New Roman"/>
          <w:sz w:val="26"/>
          <w:szCs w:val="26"/>
        </w:rPr>
        <w:tab/>
      </w:r>
      <w:r w:rsidR="009F07B9">
        <w:rPr>
          <w:rFonts w:ascii="Times New Roman" w:eastAsia="Calibri" w:hAnsi="Times New Roman"/>
          <w:sz w:val="26"/>
          <w:szCs w:val="26"/>
        </w:rPr>
        <w:t>54.</w:t>
      </w:r>
      <w:r w:rsidR="009F07B9">
        <w:rPr>
          <w:rFonts w:ascii="Times New Roman" w:eastAsia="Calibri" w:hAnsi="Times New Roman"/>
          <w:sz w:val="26"/>
          <w:szCs w:val="26"/>
        </w:rPr>
        <w:tab/>
        <w:t>The P</w:t>
      </w:r>
      <w:r w:rsidR="00EF661F" w:rsidRPr="00F06A04">
        <w:rPr>
          <w:rFonts w:ascii="Times New Roman" w:eastAsia="Calibri" w:hAnsi="Times New Roman"/>
          <w:sz w:val="26"/>
          <w:szCs w:val="26"/>
        </w:rPr>
        <w:t>arties acknowledge that currently pending before the Commission is a Proposed Rulemaking Order at Docket No. L-2014-2404361 that proposes to modify the Commission</w:t>
      </w:r>
      <w:r w:rsidR="00803C65">
        <w:rPr>
          <w:rFonts w:ascii="Times New Roman" w:eastAsia="Calibri" w:hAnsi="Times New Roman"/>
          <w:sz w:val="26"/>
          <w:szCs w:val="26"/>
        </w:rPr>
        <w:t>’</w:t>
      </w:r>
      <w:r w:rsidR="00EF661F" w:rsidRPr="00F06A04">
        <w:rPr>
          <w:rFonts w:ascii="Times New Roman" w:eastAsia="Calibri" w:hAnsi="Times New Roman"/>
          <w:sz w:val="26"/>
          <w:szCs w:val="26"/>
        </w:rPr>
        <w:t xml:space="preserve">s regulations to, among other things, provide guidance and clarity regarding net metering and compensation under net metering.  </w:t>
      </w:r>
      <w:r w:rsidR="00EF661F" w:rsidRPr="00F06A04">
        <w:rPr>
          <w:rFonts w:ascii="Times New Roman" w:eastAsia="Calibri" w:hAnsi="Times New Roman"/>
          <w:i/>
          <w:sz w:val="26"/>
          <w:szCs w:val="26"/>
        </w:rPr>
        <w:t xml:space="preserve">See Implementation of the Alternative Energy Portfolio Standards Act of 2004, </w:t>
      </w:r>
      <w:r w:rsidR="00EF661F" w:rsidRPr="00F06A04">
        <w:rPr>
          <w:rFonts w:ascii="Times New Roman" w:eastAsia="Calibri" w:hAnsi="Times New Roman"/>
          <w:sz w:val="26"/>
          <w:szCs w:val="26"/>
        </w:rPr>
        <w:t>Docket No. Docket No. [</w:t>
      </w:r>
      <w:r w:rsidR="00EF661F" w:rsidRPr="00F06A04">
        <w:rPr>
          <w:rFonts w:ascii="Times New Roman" w:eastAsia="Calibri" w:hAnsi="Times New Roman"/>
          <w:i/>
          <w:sz w:val="26"/>
          <w:szCs w:val="26"/>
        </w:rPr>
        <w:t>sic</w:t>
      </w:r>
      <w:r w:rsidR="00EF661F" w:rsidRPr="00F06A04">
        <w:rPr>
          <w:rFonts w:ascii="Times New Roman" w:eastAsia="Calibri" w:hAnsi="Times New Roman"/>
          <w:sz w:val="26"/>
          <w:szCs w:val="26"/>
        </w:rPr>
        <w:t>] L-2014-2404361 (Order entered Feb. 20, 2014).  The Parties agree that PPL Electric will file a new net metering Tariff consistent with the outcome of the Commission</w:t>
      </w:r>
      <w:r w:rsidR="00803C65">
        <w:rPr>
          <w:rFonts w:ascii="Times New Roman" w:eastAsia="Calibri" w:hAnsi="Times New Roman"/>
          <w:sz w:val="26"/>
          <w:szCs w:val="26"/>
        </w:rPr>
        <w:t>’</w:t>
      </w:r>
      <w:r w:rsidR="00EF661F" w:rsidRPr="00F06A04">
        <w:rPr>
          <w:rFonts w:ascii="Times New Roman" w:eastAsia="Calibri" w:hAnsi="Times New Roman"/>
          <w:sz w:val="26"/>
          <w:szCs w:val="26"/>
        </w:rPr>
        <w:t>s Proposed Rulemaking Order at Docket No. L</w:t>
      </w:r>
      <w:r w:rsidR="006701D4">
        <w:rPr>
          <w:rFonts w:ascii="Times New Roman" w:eastAsia="Calibri" w:hAnsi="Times New Roman"/>
          <w:sz w:val="26"/>
          <w:szCs w:val="26"/>
        </w:rPr>
        <w:noBreakHyphen/>
      </w:r>
      <w:r w:rsidR="00EF661F" w:rsidRPr="00F06A04">
        <w:rPr>
          <w:rFonts w:ascii="Times New Roman" w:eastAsia="Calibri" w:hAnsi="Times New Roman"/>
          <w:sz w:val="26"/>
          <w:szCs w:val="26"/>
        </w:rPr>
        <w:t>2014-240361 [</w:t>
      </w:r>
      <w:r w:rsidR="00EF661F" w:rsidRPr="00F06A04">
        <w:rPr>
          <w:rFonts w:ascii="Times New Roman" w:eastAsia="Calibri" w:hAnsi="Times New Roman"/>
          <w:i/>
          <w:sz w:val="26"/>
          <w:szCs w:val="26"/>
        </w:rPr>
        <w:t>sic</w:t>
      </w:r>
      <w:r w:rsidR="00EF661F" w:rsidRPr="00F06A04">
        <w:rPr>
          <w:rFonts w:ascii="Times New Roman" w:eastAsia="Calibri" w:hAnsi="Times New Roman"/>
          <w:sz w:val="26"/>
          <w:szCs w:val="26"/>
        </w:rPr>
        <w:t>].  The Parties retain the right to review and file testimony concerning such tariff filing as permitted by the normal Commission process for the review of a new tariff filing.</w:t>
      </w:r>
      <w:r w:rsidR="00EF661F" w:rsidRPr="00F06A04">
        <w:rPr>
          <w:rFonts w:ascii="Times New Roman" w:eastAsia="Calibri" w:hAnsi="Times New Roman"/>
          <w:i/>
          <w:sz w:val="26"/>
          <w:szCs w:val="26"/>
        </w:rPr>
        <w:t xml:space="preserve"> </w:t>
      </w:r>
    </w:p>
    <w:p w:rsidR="009F07B9" w:rsidRDefault="009F07B9" w:rsidP="00471D83">
      <w:pPr>
        <w:spacing w:line="240" w:lineRule="auto"/>
        <w:ind w:left="1440" w:right="1440"/>
        <w:rPr>
          <w:rFonts w:ascii="Times New Roman" w:eastAsia="Calibri" w:hAnsi="Times New Roman"/>
          <w:sz w:val="26"/>
          <w:szCs w:val="26"/>
        </w:rPr>
      </w:pPr>
    </w:p>
    <w:p w:rsidR="00DF072B" w:rsidRPr="00DF072B" w:rsidRDefault="00DF072B" w:rsidP="00471D83">
      <w:pPr>
        <w:spacing w:line="240" w:lineRule="auto"/>
        <w:ind w:left="1440" w:right="1440"/>
        <w:rPr>
          <w:rFonts w:ascii="Times New Roman" w:eastAsia="Calibri" w:hAnsi="Times New Roman"/>
          <w:b/>
          <w:sz w:val="26"/>
          <w:szCs w:val="26"/>
        </w:rPr>
      </w:pPr>
      <w:r>
        <w:rPr>
          <w:rFonts w:ascii="Times New Roman" w:eastAsia="Calibri" w:hAnsi="Times New Roman"/>
          <w:sz w:val="26"/>
          <w:szCs w:val="26"/>
        </w:rPr>
        <w:tab/>
      </w:r>
      <w:r w:rsidRPr="00DF072B">
        <w:rPr>
          <w:rFonts w:ascii="Times New Roman" w:eastAsia="Calibri" w:hAnsi="Times New Roman"/>
          <w:b/>
          <w:sz w:val="26"/>
          <w:szCs w:val="26"/>
        </w:rPr>
        <w:t>K.</w:t>
      </w:r>
      <w:r w:rsidRPr="00DF072B">
        <w:rPr>
          <w:rFonts w:ascii="Times New Roman" w:eastAsia="Calibri" w:hAnsi="Times New Roman"/>
          <w:b/>
          <w:sz w:val="26"/>
          <w:szCs w:val="26"/>
        </w:rPr>
        <w:tab/>
        <w:t>ISSUES RESERVED FOR LITIGATION</w:t>
      </w:r>
    </w:p>
    <w:p w:rsidR="00DF072B" w:rsidRDefault="00DF072B" w:rsidP="00471D83">
      <w:pPr>
        <w:spacing w:line="240" w:lineRule="auto"/>
        <w:ind w:left="1440" w:right="1440"/>
        <w:rPr>
          <w:rFonts w:ascii="Times New Roman" w:eastAsia="Calibri" w:hAnsi="Times New Roman"/>
          <w:sz w:val="26"/>
          <w:szCs w:val="26"/>
        </w:rPr>
      </w:pPr>
    </w:p>
    <w:p w:rsidR="009F07B9" w:rsidRDefault="009F07B9" w:rsidP="00471D83">
      <w:pPr>
        <w:spacing w:line="240" w:lineRule="auto"/>
        <w:ind w:left="1440" w:right="1440"/>
        <w:rPr>
          <w:rFonts w:ascii="Times New Roman" w:eastAsia="Calibri" w:hAnsi="Times New Roman"/>
          <w:sz w:val="26"/>
          <w:szCs w:val="26"/>
        </w:rPr>
      </w:pPr>
      <w:r>
        <w:rPr>
          <w:rFonts w:ascii="Times New Roman" w:eastAsia="Calibri" w:hAnsi="Times New Roman"/>
          <w:sz w:val="26"/>
          <w:szCs w:val="26"/>
        </w:rPr>
        <w:tab/>
        <w:t>55.</w:t>
      </w:r>
      <w:r>
        <w:rPr>
          <w:rFonts w:ascii="Times New Roman" w:eastAsia="Calibri" w:hAnsi="Times New Roman"/>
          <w:sz w:val="26"/>
          <w:szCs w:val="26"/>
        </w:rPr>
        <w:tab/>
        <w:t>The Parties agree that PPL Electric</w:t>
      </w:r>
      <w:r w:rsidR="00803C65">
        <w:rPr>
          <w:rFonts w:ascii="Times New Roman" w:eastAsia="Calibri" w:hAnsi="Times New Roman"/>
          <w:sz w:val="26"/>
          <w:szCs w:val="26"/>
        </w:rPr>
        <w:t>’</w:t>
      </w:r>
      <w:r>
        <w:rPr>
          <w:rFonts w:ascii="Times New Roman" w:eastAsia="Calibri" w:hAnsi="Times New Roman"/>
          <w:sz w:val="26"/>
          <w:szCs w:val="26"/>
        </w:rPr>
        <w:t>s proposal to change the customer size demarcation between Small C&amp;I and Large C&amp;I customers from 500 kW to 100 kW is reserved for litigation.</w:t>
      </w:r>
    </w:p>
    <w:p w:rsidR="009F07B9" w:rsidRDefault="009F07B9" w:rsidP="00471D83">
      <w:pPr>
        <w:spacing w:line="240" w:lineRule="auto"/>
        <w:ind w:left="1440" w:right="1440"/>
        <w:rPr>
          <w:rFonts w:ascii="Times New Roman" w:eastAsia="Calibri" w:hAnsi="Times New Roman"/>
          <w:sz w:val="26"/>
          <w:szCs w:val="26"/>
        </w:rPr>
      </w:pPr>
    </w:p>
    <w:p w:rsidR="009F07B9" w:rsidRPr="009F07B9" w:rsidRDefault="009F07B9" w:rsidP="00471D83">
      <w:pPr>
        <w:spacing w:line="240" w:lineRule="auto"/>
        <w:ind w:left="1440" w:right="1440"/>
        <w:rPr>
          <w:rFonts w:ascii="Times New Roman" w:eastAsia="Calibri" w:hAnsi="Times New Roman"/>
          <w:sz w:val="26"/>
          <w:szCs w:val="26"/>
        </w:rPr>
      </w:pPr>
      <w:r>
        <w:rPr>
          <w:rFonts w:ascii="Times New Roman" w:eastAsia="Calibri" w:hAnsi="Times New Roman"/>
          <w:sz w:val="26"/>
          <w:szCs w:val="26"/>
        </w:rPr>
        <w:tab/>
        <w:t>56.</w:t>
      </w:r>
      <w:r>
        <w:rPr>
          <w:rFonts w:ascii="Times New Roman" w:eastAsia="Calibri" w:hAnsi="Times New Roman"/>
          <w:sz w:val="26"/>
          <w:szCs w:val="26"/>
        </w:rPr>
        <w:tab/>
        <w:t>The Parties agree that the issue of the cost responsibility for NMB Charges is reserved for litigation.</w:t>
      </w:r>
    </w:p>
    <w:p w:rsidR="004F4847" w:rsidRDefault="004F4847" w:rsidP="00C54680">
      <w:pPr>
        <w:ind w:left="1440" w:right="1440"/>
        <w:rPr>
          <w:rFonts w:ascii="Times New Roman" w:eastAsia="Calibri" w:hAnsi="Times New Roman"/>
          <w:sz w:val="26"/>
          <w:szCs w:val="26"/>
        </w:rPr>
      </w:pPr>
    </w:p>
    <w:p w:rsidR="009E1601" w:rsidRPr="00667446" w:rsidRDefault="00784998" w:rsidP="00597C68">
      <w:pPr>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r>
      <w:r w:rsidR="009E1601" w:rsidRPr="00597C68">
        <w:rPr>
          <w:sz w:val="26"/>
          <w:szCs w:val="26"/>
        </w:rPr>
        <w:t>In addition to the specific ter</w:t>
      </w:r>
      <w:r w:rsidR="00256B71" w:rsidRPr="00597C68">
        <w:rPr>
          <w:sz w:val="26"/>
          <w:szCs w:val="26"/>
        </w:rPr>
        <w:t>m</w:t>
      </w:r>
      <w:r w:rsidR="00FE0464" w:rsidRPr="00597C68">
        <w:rPr>
          <w:sz w:val="26"/>
          <w:szCs w:val="26"/>
        </w:rPr>
        <w:t>s to which the Signatory Parties</w:t>
      </w:r>
      <w:r w:rsidR="009E1601" w:rsidRPr="00597C68">
        <w:rPr>
          <w:sz w:val="26"/>
          <w:szCs w:val="26"/>
        </w:rPr>
        <w:t xml:space="preserve"> have agreed,</w:t>
      </w:r>
      <w:r w:rsidR="00FE0464" w:rsidRPr="00597C68">
        <w:rPr>
          <w:sz w:val="26"/>
          <w:szCs w:val="26"/>
        </w:rPr>
        <w:t xml:space="preserve"> as set forth above,</w:t>
      </w:r>
      <w:r w:rsidR="009E1601" w:rsidRPr="00597C68">
        <w:rPr>
          <w:sz w:val="26"/>
          <w:szCs w:val="26"/>
        </w:rPr>
        <w:t xml:space="preserve"> the Partial Settlement contains certain general, miscellaneous terms.  The Partial Settlement is conditioned upon the Commission</w:t>
      </w:r>
      <w:r w:rsidR="00803C65">
        <w:rPr>
          <w:sz w:val="26"/>
          <w:szCs w:val="26"/>
        </w:rPr>
        <w:t>’</w:t>
      </w:r>
      <w:r w:rsidR="009E1601" w:rsidRPr="00597C68">
        <w:rPr>
          <w:sz w:val="26"/>
          <w:szCs w:val="26"/>
        </w:rPr>
        <w:t>s approval of the terms and conditions without modification.  The Partial Settlement establishes the procedure by which any of t</w:t>
      </w:r>
      <w:r w:rsidR="00FE0464" w:rsidRPr="00597C68">
        <w:rPr>
          <w:sz w:val="26"/>
          <w:szCs w:val="26"/>
        </w:rPr>
        <w:t xml:space="preserve">he </w:t>
      </w:r>
      <w:r w:rsidR="00FE0464" w:rsidRPr="00756CE8">
        <w:rPr>
          <w:sz w:val="26"/>
          <w:szCs w:val="26"/>
        </w:rPr>
        <w:t>Signatory Parties</w:t>
      </w:r>
      <w:r w:rsidR="009E1601" w:rsidRPr="00756CE8">
        <w:rPr>
          <w:sz w:val="26"/>
          <w:szCs w:val="26"/>
        </w:rPr>
        <w:t xml:space="preserve"> may withdraw from the Partial Settlement and proceed to l</w:t>
      </w:r>
      <w:r w:rsidR="00FE0464" w:rsidRPr="00756CE8">
        <w:rPr>
          <w:sz w:val="26"/>
          <w:szCs w:val="26"/>
        </w:rPr>
        <w:t xml:space="preserve">itigation, should the Commission </w:t>
      </w:r>
      <w:r w:rsidR="009E1601" w:rsidRPr="00756CE8">
        <w:rPr>
          <w:sz w:val="26"/>
          <w:szCs w:val="26"/>
        </w:rPr>
        <w:t>act to modify the Partial Settlement.  Partial Settlement</w:t>
      </w:r>
      <w:r w:rsidR="009A2D80">
        <w:rPr>
          <w:sz w:val="26"/>
          <w:szCs w:val="26"/>
        </w:rPr>
        <w:t xml:space="preserve"> at 15,</w:t>
      </w:r>
      <w:r w:rsidR="009E1601" w:rsidRPr="00756CE8">
        <w:rPr>
          <w:sz w:val="26"/>
          <w:szCs w:val="26"/>
        </w:rPr>
        <w:t xml:space="preserve"> </w:t>
      </w:r>
      <w:r w:rsidR="009A2D80">
        <w:rPr>
          <w:sz w:val="26"/>
          <w:szCs w:val="26"/>
        </w:rPr>
        <w:t>¶ 61.</w:t>
      </w:r>
      <w:r w:rsidR="009E1601" w:rsidRPr="00756CE8">
        <w:rPr>
          <w:sz w:val="26"/>
          <w:szCs w:val="26"/>
        </w:rPr>
        <w:t xml:space="preserve">  In addition, the Partial Settlement states that it does not constitute an admission against, or prejudice to</w:t>
      </w:r>
      <w:r w:rsidR="00C2278B" w:rsidRPr="00756CE8">
        <w:rPr>
          <w:sz w:val="26"/>
          <w:szCs w:val="26"/>
        </w:rPr>
        <w:t>,</w:t>
      </w:r>
      <w:r w:rsidR="009E1601" w:rsidRPr="00756CE8">
        <w:rPr>
          <w:sz w:val="26"/>
          <w:szCs w:val="26"/>
        </w:rPr>
        <w:t xml:space="preserve"> any position w</w:t>
      </w:r>
      <w:r w:rsidR="00256B71" w:rsidRPr="00756CE8">
        <w:rPr>
          <w:sz w:val="26"/>
          <w:szCs w:val="26"/>
        </w:rPr>
        <w:t>hich any of the Joint Petitioners</w:t>
      </w:r>
      <w:r w:rsidR="009E1601" w:rsidRPr="00756CE8">
        <w:rPr>
          <w:sz w:val="26"/>
          <w:szCs w:val="26"/>
        </w:rPr>
        <w:t xml:space="preserve"> might adopt </w:t>
      </w:r>
      <w:r w:rsidR="009E1601" w:rsidRPr="00667446">
        <w:rPr>
          <w:sz w:val="26"/>
          <w:szCs w:val="26"/>
        </w:rPr>
        <w:t>during su</w:t>
      </w:r>
      <w:r w:rsidR="00756CE8" w:rsidRPr="00667446">
        <w:rPr>
          <w:sz w:val="26"/>
          <w:szCs w:val="26"/>
        </w:rPr>
        <w:t>bsequent litigation of this proceeding</w:t>
      </w:r>
      <w:r w:rsidR="009E1601" w:rsidRPr="00667446">
        <w:rPr>
          <w:sz w:val="26"/>
          <w:szCs w:val="26"/>
        </w:rPr>
        <w:t xml:space="preserve"> or any othe</w:t>
      </w:r>
      <w:r w:rsidR="00756CE8" w:rsidRPr="00667446">
        <w:rPr>
          <w:sz w:val="26"/>
          <w:szCs w:val="26"/>
        </w:rPr>
        <w:t>r proceeding.  Partial Settlement</w:t>
      </w:r>
      <w:r w:rsidR="009A2D80">
        <w:rPr>
          <w:sz w:val="26"/>
          <w:szCs w:val="26"/>
        </w:rPr>
        <w:t xml:space="preserve"> at 16, ¶ 63</w:t>
      </w:r>
      <w:r w:rsidR="009E1601" w:rsidRPr="00667446">
        <w:rPr>
          <w:sz w:val="26"/>
          <w:szCs w:val="26"/>
        </w:rPr>
        <w:t>.</w:t>
      </w:r>
    </w:p>
    <w:p w:rsidR="009E1601" w:rsidRPr="00667446" w:rsidRDefault="009E1601" w:rsidP="00D26D41">
      <w:pPr>
        <w:pStyle w:val="OutlineL2"/>
        <w:numPr>
          <w:ilvl w:val="0"/>
          <w:numId w:val="0"/>
        </w:numPr>
        <w:tabs>
          <w:tab w:val="left" w:pos="0"/>
        </w:tabs>
        <w:spacing w:after="0" w:line="360" w:lineRule="auto"/>
        <w:rPr>
          <w:sz w:val="26"/>
          <w:szCs w:val="26"/>
        </w:rPr>
      </w:pPr>
    </w:p>
    <w:p w:rsidR="009E1601" w:rsidRPr="00BA0007" w:rsidRDefault="00667446" w:rsidP="00BA0007">
      <w:pPr>
        <w:rPr>
          <w:rFonts w:ascii="Times New Roman" w:eastAsia="Calibri" w:hAnsi="Times New Roman"/>
          <w:sz w:val="26"/>
          <w:szCs w:val="26"/>
        </w:rPr>
      </w:pPr>
      <w:r w:rsidRPr="00667446">
        <w:rPr>
          <w:sz w:val="26"/>
          <w:szCs w:val="26"/>
        </w:rPr>
        <w:tab/>
      </w:r>
      <w:r w:rsidRPr="00667446">
        <w:rPr>
          <w:sz w:val="26"/>
          <w:szCs w:val="26"/>
        </w:rPr>
        <w:tab/>
        <w:t xml:space="preserve">The Signatory Parties </w:t>
      </w:r>
      <w:r>
        <w:rPr>
          <w:sz w:val="26"/>
          <w:szCs w:val="26"/>
        </w:rPr>
        <w:t>acknowledge that the Partial Settlement reflects a compromise of competing positions and does not necessarily reflect any Signatory Party</w:t>
      </w:r>
      <w:r w:rsidR="00803C65">
        <w:rPr>
          <w:sz w:val="26"/>
          <w:szCs w:val="26"/>
        </w:rPr>
        <w:t>’</w:t>
      </w:r>
      <w:r>
        <w:rPr>
          <w:sz w:val="26"/>
          <w:szCs w:val="26"/>
        </w:rPr>
        <w:t xml:space="preserve">s position with respect to any issues raised in this proceeding.  In addition, the Signatory Parties state that the Partial Settlement may not be cited as precedent in any future proceeding, except to the extent required to implement the Partial Settlement.  </w:t>
      </w:r>
      <w:r w:rsidRPr="00667446">
        <w:rPr>
          <w:sz w:val="26"/>
          <w:szCs w:val="26"/>
        </w:rPr>
        <w:t>Partial Settlement</w:t>
      </w:r>
      <w:r w:rsidR="003A2B41">
        <w:rPr>
          <w:sz w:val="26"/>
          <w:szCs w:val="26"/>
        </w:rPr>
        <w:t xml:space="preserve"> at 16,</w:t>
      </w:r>
      <w:r w:rsidRPr="00667446">
        <w:rPr>
          <w:sz w:val="26"/>
          <w:szCs w:val="26"/>
        </w:rPr>
        <w:t xml:space="preserve"> ¶ 6</w:t>
      </w:r>
      <w:r>
        <w:rPr>
          <w:sz w:val="26"/>
          <w:szCs w:val="26"/>
        </w:rPr>
        <w:t>4</w:t>
      </w:r>
      <w:r w:rsidRPr="00667446">
        <w:rPr>
          <w:sz w:val="26"/>
          <w:szCs w:val="26"/>
        </w:rPr>
        <w:t>.</w:t>
      </w:r>
    </w:p>
    <w:p w:rsidR="009E1601" w:rsidRPr="007551C9" w:rsidRDefault="009E1601" w:rsidP="00D26D41">
      <w:pPr>
        <w:pStyle w:val="OutlineL2"/>
        <w:numPr>
          <w:ilvl w:val="0"/>
          <w:numId w:val="0"/>
        </w:numPr>
        <w:tabs>
          <w:tab w:val="left" w:pos="0"/>
        </w:tabs>
        <w:spacing w:after="0" w:line="360" w:lineRule="auto"/>
        <w:rPr>
          <w:b/>
          <w:sz w:val="26"/>
          <w:szCs w:val="26"/>
          <w:highlight w:val="green"/>
        </w:rPr>
      </w:pPr>
    </w:p>
    <w:p w:rsidR="00BE6DCD" w:rsidRPr="00003261" w:rsidRDefault="00EB1966" w:rsidP="00D26D41">
      <w:pPr>
        <w:contextualSpacing/>
        <w:rPr>
          <w:rFonts w:ascii="Times New Roman" w:hAnsi="Times New Roman"/>
          <w:b/>
          <w:sz w:val="26"/>
          <w:szCs w:val="26"/>
        </w:rPr>
      </w:pPr>
      <w:r w:rsidRPr="00003261">
        <w:rPr>
          <w:rFonts w:ascii="Times New Roman" w:hAnsi="Times New Roman"/>
          <w:b/>
          <w:sz w:val="26"/>
          <w:szCs w:val="26"/>
        </w:rPr>
        <w:t>B</w:t>
      </w:r>
      <w:r w:rsidR="00BE6DCD" w:rsidRPr="00003261">
        <w:rPr>
          <w:rFonts w:ascii="Times New Roman" w:hAnsi="Times New Roman"/>
          <w:b/>
          <w:sz w:val="26"/>
          <w:szCs w:val="26"/>
        </w:rPr>
        <w:t>.</w:t>
      </w:r>
      <w:r w:rsidR="00BE6DCD" w:rsidRPr="00003261">
        <w:rPr>
          <w:rFonts w:ascii="Times New Roman" w:hAnsi="Times New Roman"/>
          <w:b/>
          <w:sz w:val="26"/>
          <w:szCs w:val="26"/>
        </w:rPr>
        <w:tab/>
        <w:t>ALJ</w:t>
      </w:r>
      <w:r w:rsidR="00803C65">
        <w:rPr>
          <w:rFonts w:ascii="Times New Roman" w:hAnsi="Times New Roman"/>
          <w:b/>
          <w:sz w:val="26"/>
          <w:szCs w:val="26"/>
        </w:rPr>
        <w:t>’</w:t>
      </w:r>
      <w:r w:rsidR="00BE6DCD" w:rsidRPr="00003261">
        <w:rPr>
          <w:rFonts w:ascii="Times New Roman" w:hAnsi="Times New Roman"/>
          <w:b/>
          <w:sz w:val="26"/>
          <w:szCs w:val="26"/>
        </w:rPr>
        <w:t>s Recommendation</w:t>
      </w:r>
    </w:p>
    <w:p w:rsidR="00BE6DCD" w:rsidRPr="00003261" w:rsidRDefault="00BE6DCD" w:rsidP="00D26D41">
      <w:pPr>
        <w:contextualSpacing/>
        <w:rPr>
          <w:rFonts w:ascii="Times New Roman" w:hAnsi="Times New Roman"/>
          <w:b/>
          <w:sz w:val="26"/>
          <w:szCs w:val="26"/>
        </w:rPr>
      </w:pPr>
    </w:p>
    <w:p w:rsidR="00003261" w:rsidRPr="005D785E" w:rsidRDefault="00BE6DCD" w:rsidP="005D785E">
      <w:pPr>
        <w:rPr>
          <w:rFonts w:ascii="Times New Roman" w:hAnsi="Times New Roman"/>
          <w:sz w:val="26"/>
          <w:szCs w:val="26"/>
        </w:rPr>
      </w:pPr>
      <w:r w:rsidRPr="00003261">
        <w:rPr>
          <w:rFonts w:ascii="Times New Roman" w:hAnsi="Times New Roman"/>
          <w:b/>
          <w:sz w:val="26"/>
          <w:szCs w:val="26"/>
        </w:rPr>
        <w:tab/>
      </w:r>
      <w:r w:rsidRPr="00003261">
        <w:rPr>
          <w:rFonts w:ascii="Times New Roman" w:hAnsi="Times New Roman"/>
          <w:b/>
          <w:sz w:val="26"/>
          <w:szCs w:val="26"/>
        </w:rPr>
        <w:tab/>
      </w:r>
      <w:r w:rsidR="00003261">
        <w:rPr>
          <w:rFonts w:ascii="Times New Roman" w:hAnsi="Times New Roman"/>
          <w:sz w:val="26"/>
          <w:szCs w:val="26"/>
        </w:rPr>
        <w:t xml:space="preserve">The ALJ found </w:t>
      </w:r>
      <w:r w:rsidR="00E64786">
        <w:rPr>
          <w:rFonts w:ascii="Times New Roman" w:hAnsi="Times New Roman"/>
          <w:sz w:val="26"/>
          <w:szCs w:val="26"/>
        </w:rPr>
        <w:t>that the terms of the Partial Settlement meet the legal requirements of a default service plan.</w:t>
      </w:r>
      <w:r w:rsidR="005D785E">
        <w:rPr>
          <w:rFonts w:ascii="Times New Roman" w:hAnsi="Times New Roman"/>
          <w:sz w:val="26"/>
          <w:szCs w:val="26"/>
        </w:rPr>
        <w:t xml:space="preserve">  Specifically, t</w:t>
      </w:r>
      <w:r w:rsidR="00E64786">
        <w:rPr>
          <w:rFonts w:ascii="Times New Roman" w:hAnsi="Times New Roman"/>
          <w:sz w:val="26"/>
          <w:szCs w:val="26"/>
        </w:rPr>
        <w:t>he ALJ determined that the supply procurement terms constitute a prudent mix of supply methods, which is anticipated to result in adequate, reasonable and reliable service to customers, as well as service that is provided at the least cost over time.</w:t>
      </w:r>
      <w:r w:rsidR="00887C56">
        <w:rPr>
          <w:rFonts w:ascii="Times New Roman" w:hAnsi="Times New Roman"/>
          <w:sz w:val="26"/>
          <w:szCs w:val="26"/>
        </w:rPr>
        <w:t xml:space="preserve">  The ALJ also found that the TOU option available to Residential and Small C&amp;I customers is consistent with the TOU program</w:t>
      </w:r>
      <w:r w:rsidR="005D785E">
        <w:rPr>
          <w:rFonts w:ascii="Times New Roman" w:hAnsi="Times New Roman"/>
          <w:sz w:val="26"/>
          <w:szCs w:val="26"/>
        </w:rPr>
        <w:t xml:space="preserve"> approved by the Commission in the </w:t>
      </w:r>
      <w:r w:rsidR="005D785E" w:rsidRPr="005D785E">
        <w:rPr>
          <w:rFonts w:ascii="Times New Roman" w:hAnsi="Times New Roman"/>
          <w:i/>
          <w:sz w:val="26"/>
          <w:szCs w:val="26"/>
        </w:rPr>
        <w:t>September 2014 TOU Order</w:t>
      </w:r>
      <w:r w:rsidR="005D785E">
        <w:rPr>
          <w:rFonts w:ascii="Times New Roman" w:hAnsi="Times New Roman"/>
          <w:i/>
          <w:sz w:val="26"/>
          <w:szCs w:val="26"/>
        </w:rPr>
        <w:t>.</w:t>
      </w:r>
      <w:r w:rsidR="005D785E">
        <w:rPr>
          <w:rFonts w:ascii="Times New Roman" w:hAnsi="Times New Roman"/>
          <w:sz w:val="26"/>
          <w:szCs w:val="26"/>
        </w:rPr>
        <w:t xml:space="preserve">  In addition, the ALJ found that AECs are provided for in a competitive fashion, contingency plans are established, and </w:t>
      </w:r>
      <w:r w:rsidR="005D785E">
        <w:rPr>
          <w:rFonts w:ascii="Times New Roman" w:hAnsi="Times New Roman"/>
          <w:sz w:val="26"/>
          <w:szCs w:val="26"/>
        </w:rPr>
        <w:lastRenderedPageBreak/>
        <w:t>changes to the reconciliation of costs are reasonable and agreed upon by the Signatory Parties, and unopposed by the remaining parties.  For these reasons, the ALJ stated that the Partial Settlement is in the public interest and should be approved without modification.  R.D. at 31-32.</w:t>
      </w:r>
    </w:p>
    <w:p w:rsidR="00003261" w:rsidRPr="00003261" w:rsidRDefault="00003261" w:rsidP="00D26D41">
      <w:pPr>
        <w:pStyle w:val="OutlineL2"/>
        <w:numPr>
          <w:ilvl w:val="0"/>
          <w:numId w:val="0"/>
        </w:numPr>
        <w:tabs>
          <w:tab w:val="left" w:pos="0"/>
        </w:tabs>
        <w:spacing w:after="0" w:line="360" w:lineRule="auto"/>
        <w:rPr>
          <w:sz w:val="26"/>
          <w:szCs w:val="26"/>
        </w:rPr>
      </w:pPr>
    </w:p>
    <w:p w:rsidR="009E1601" w:rsidRPr="00003261" w:rsidRDefault="00EB1966" w:rsidP="00D26D41">
      <w:pPr>
        <w:pStyle w:val="OutlineL2"/>
        <w:keepNext/>
        <w:numPr>
          <w:ilvl w:val="0"/>
          <w:numId w:val="0"/>
        </w:numPr>
        <w:tabs>
          <w:tab w:val="left" w:pos="0"/>
        </w:tabs>
        <w:spacing w:after="0" w:line="360" w:lineRule="auto"/>
        <w:rPr>
          <w:b/>
          <w:sz w:val="26"/>
          <w:szCs w:val="26"/>
        </w:rPr>
      </w:pPr>
      <w:r w:rsidRPr="00003261">
        <w:rPr>
          <w:b/>
          <w:sz w:val="26"/>
          <w:szCs w:val="26"/>
        </w:rPr>
        <w:t>C</w:t>
      </w:r>
      <w:r w:rsidR="00291754">
        <w:rPr>
          <w:b/>
          <w:sz w:val="26"/>
          <w:szCs w:val="26"/>
        </w:rPr>
        <w:t>.</w:t>
      </w:r>
      <w:r w:rsidR="00291754">
        <w:rPr>
          <w:b/>
          <w:sz w:val="26"/>
          <w:szCs w:val="26"/>
        </w:rPr>
        <w:tab/>
        <w:t xml:space="preserve">Disposition of </w:t>
      </w:r>
      <w:r w:rsidR="009E1601" w:rsidRPr="00003261">
        <w:rPr>
          <w:b/>
          <w:sz w:val="26"/>
          <w:szCs w:val="26"/>
        </w:rPr>
        <w:t>Partial Settlement</w:t>
      </w:r>
    </w:p>
    <w:p w:rsidR="00EB1966" w:rsidRPr="00F168A8" w:rsidRDefault="00EB1966" w:rsidP="00D26D41">
      <w:pPr>
        <w:pStyle w:val="OutlineL2"/>
        <w:keepNext/>
        <w:numPr>
          <w:ilvl w:val="0"/>
          <w:numId w:val="0"/>
        </w:numPr>
        <w:tabs>
          <w:tab w:val="left" w:pos="0"/>
        </w:tabs>
        <w:spacing w:after="0" w:line="360" w:lineRule="auto"/>
        <w:rPr>
          <w:b/>
          <w:sz w:val="26"/>
          <w:szCs w:val="26"/>
        </w:rPr>
      </w:pPr>
    </w:p>
    <w:p w:rsidR="00422618" w:rsidRPr="00EE289B" w:rsidRDefault="00F168A8" w:rsidP="00F168A8">
      <w:pPr>
        <w:rPr>
          <w:sz w:val="26"/>
          <w:szCs w:val="26"/>
        </w:rPr>
      </w:pPr>
      <w:r w:rsidRPr="00F168A8">
        <w:rPr>
          <w:sz w:val="26"/>
          <w:szCs w:val="26"/>
        </w:rPr>
        <w:tab/>
      </w:r>
      <w:r w:rsidRPr="00F168A8">
        <w:rPr>
          <w:sz w:val="26"/>
          <w:szCs w:val="26"/>
        </w:rPr>
        <w:tab/>
      </w:r>
      <w:r w:rsidR="00422618" w:rsidRPr="00F168A8">
        <w:rPr>
          <w:sz w:val="26"/>
          <w:szCs w:val="26"/>
        </w:rPr>
        <w:t>Pursuant to our Regulations at 52 Pa. Code § 5.231, it is the Commission</w:t>
      </w:r>
      <w:r w:rsidR="00803C65">
        <w:rPr>
          <w:sz w:val="26"/>
          <w:szCs w:val="26"/>
        </w:rPr>
        <w:t>’</w:t>
      </w:r>
      <w:r w:rsidR="00422618" w:rsidRPr="00F168A8">
        <w:rPr>
          <w:sz w:val="26"/>
          <w:szCs w:val="26"/>
        </w:rPr>
        <w:t>s policy to promote settlements.  Settlements eliminate the time, effort and expense of litigating a matter to its ultimate conclusion, which may entail review of the Commission</w:t>
      </w:r>
      <w:r w:rsidR="00803C65">
        <w:rPr>
          <w:sz w:val="26"/>
          <w:szCs w:val="26"/>
        </w:rPr>
        <w:t>’</w:t>
      </w:r>
      <w:r w:rsidR="00422618" w:rsidRPr="00F168A8">
        <w:rPr>
          <w:sz w:val="26"/>
          <w:szCs w:val="26"/>
        </w:rPr>
        <w:t xml:space="preserve">s decision by the appellate courts of Pennsylvania.  Such savings benefit not only the individual parties, but also the Commission and all ratepayers of a utility, who otherwise may have to bear the financial burden such litigation necessarily entails.  The Commission must, however, review proposed settlements to determine whether the terms are in the public interest.  </w:t>
      </w:r>
      <w:r w:rsidR="00422618" w:rsidRPr="00F168A8">
        <w:rPr>
          <w:i/>
          <w:sz w:val="26"/>
          <w:szCs w:val="26"/>
        </w:rPr>
        <w:t>Pa. PUC v. Philadelphia Gas Works</w:t>
      </w:r>
      <w:r w:rsidR="00422618" w:rsidRPr="00F168A8">
        <w:rPr>
          <w:sz w:val="26"/>
          <w:szCs w:val="26"/>
        </w:rPr>
        <w:t>, Docket No. M</w:t>
      </w:r>
      <w:r w:rsidR="00422618" w:rsidRPr="00F168A8">
        <w:rPr>
          <w:sz w:val="26"/>
          <w:szCs w:val="26"/>
        </w:rPr>
        <w:noBreakHyphen/>
        <w:t xml:space="preserve">00031768 (Order entered January 7, 2004); </w:t>
      </w:r>
      <w:r w:rsidR="00422618" w:rsidRPr="00F168A8">
        <w:rPr>
          <w:i/>
          <w:sz w:val="26"/>
          <w:szCs w:val="26"/>
        </w:rPr>
        <w:t>Pa. PUC v. C</w:t>
      </w:r>
      <w:r w:rsidR="00DB4E50">
        <w:rPr>
          <w:i/>
          <w:sz w:val="26"/>
          <w:szCs w:val="26"/>
        </w:rPr>
        <w:t>.</w:t>
      </w:r>
      <w:r w:rsidR="00422618" w:rsidRPr="00F168A8">
        <w:rPr>
          <w:i/>
          <w:sz w:val="26"/>
          <w:szCs w:val="26"/>
        </w:rPr>
        <w:t xml:space="preserve"> S</w:t>
      </w:r>
      <w:r w:rsidR="00DB4E50">
        <w:rPr>
          <w:i/>
          <w:sz w:val="26"/>
          <w:szCs w:val="26"/>
        </w:rPr>
        <w:t>.</w:t>
      </w:r>
      <w:r w:rsidR="00422618" w:rsidRPr="00F168A8">
        <w:rPr>
          <w:i/>
          <w:sz w:val="26"/>
          <w:szCs w:val="26"/>
        </w:rPr>
        <w:t xml:space="preserve"> Water and Sewer Assoc.</w:t>
      </w:r>
      <w:r w:rsidR="00422618" w:rsidRPr="00F168A8">
        <w:rPr>
          <w:sz w:val="26"/>
          <w:szCs w:val="26"/>
        </w:rPr>
        <w:t>, 74 Pa. P.U.C. 767 (</w:t>
      </w:r>
      <w:r w:rsidR="00422618" w:rsidRPr="00EE289B">
        <w:rPr>
          <w:sz w:val="26"/>
          <w:szCs w:val="26"/>
        </w:rPr>
        <w:t xml:space="preserve">1991); </w:t>
      </w:r>
      <w:r w:rsidR="00422618" w:rsidRPr="00EE289B">
        <w:rPr>
          <w:i/>
          <w:sz w:val="26"/>
          <w:szCs w:val="26"/>
        </w:rPr>
        <w:t>Pa. PUC v. Philadelphia Electric Co.</w:t>
      </w:r>
      <w:r w:rsidR="00422618" w:rsidRPr="00EE289B">
        <w:rPr>
          <w:sz w:val="26"/>
          <w:szCs w:val="26"/>
        </w:rPr>
        <w:t>, 60 Pa. P.U.C. 1 (1985).</w:t>
      </w:r>
    </w:p>
    <w:p w:rsidR="00422618" w:rsidRPr="00EE289B" w:rsidRDefault="00422618" w:rsidP="00F168A8">
      <w:pPr>
        <w:rPr>
          <w:sz w:val="26"/>
          <w:szCs w:val="26"/>
        </w:rPr>
      </w:pPr>
    </w:p>
    <w:p w:rsidR="00155A39" w:rsidRPr="00230F6A" w:rsidRDefault="00422618" w:rsidP="00D378CF">
      <w:pPr>
        <w:rPr>
          <w:sz w:val="26"/>
          <w:szCs w:val="26"/>
        </w:rPr>
      </w:pPr>
      <w:r w:rsidRPr="00EE289B">
        <w:rPr>
          <w:sz w:val="26"/>
          <w:szCs w:val="26"/>
        </w:rPr>
        <w:tab/>
      </w:r>
      <w:r w:rsidRPr="00EE289B">
        <w:rPr>
          <w:sz w:val="26"/>
          <w:szCs w:val="26"/>
        </w:rPr>
        <w:tab/>
        <w:t xml:space="preserve">Upon </w:t>
      </w:r>
      <w:r w:rsidR="000B38F5">
        <w:rPr>
          <w:sz w:val="26"/>
          <w:szCs w:val="26"/>
        </w:rPr>
        <w:t>our review of the Partial Settlement</w:t>
      </w:r>
      <w:r w:rsidRPr="00EE289B">
        <w:rPr>
          <w:sz w:val="26"/>
          <w:szCs w:val="26"/>
        </w:rPr>
        <w:t>, we find it to be reasonable and in the public interest, a</w:t>
      </w:r>
      <w:r w:rsidR="00155A39" w:rsidRPr="00EE289B">
        <w:rPr>
          <w:sz w:val="26"/>
          <w:szCs w:val="26"/>
        </w:rPr>
        <w:t xml:space="preserve">nd we will approve it.  </w:t>
      </w:r>
      <w:r w:rsidR="000B38F5">
        <w:rPr>
          <w:sz w:val="26"/>
          <w:szCs w:val="26"/>
        </w:rPr>
        <w:t>We agree with the ALJ that PPL</w:t>
      </w:r>
      <w:r w:rsidR="00803C65">
        <w:rPr>
          <w:sz w:val="26"/>
          <w:szCs w:val="26"/>
        </w:rPr>
        <w:t>’</w:t>
      </w:r>
      <w:r w:rsidR="000B38F5">
        <w:rPr>
          <w:sz w:val="26"/>
          <w:szCs w:val="26"/>
        </w:rPr>
        <w:t>s proposed generation supply procurement plan as set forth in its DSP III program and modified by the</w:t>
      </w:r>
      <w:r w:rsidR="00EE289B">
        <w:rPr>
          <w:sz w:val="26"/>
          <w:szCs w:val="26"/>
        </w:rPr>
        <w:t xml:space="preserve"> terms</w:t>
      </w:r>
      <w:r w:rsidR="000B38F5">
        <w:rPr>
          <w:sz w:val="26"/>
          <w:szCs w:val="26"/>
        </w:rPr>
        <w:t xml:space="preserve"> of the Partial Settlement </w:t>
      </w:r>
      <w:r w:rsidR="000B38F5">
        <w:rPr>
          <w:rFonts w:ascii="Times New Roman" w:hAnsi="Times New Roman"/>
          <w:sz w:val="26"/>
          <w:szCs w:val="26"/>
        </w:rPr>
        <w:t>encompasses</w:t>
      </w:r>
      <w:r w:rsidR="00EE289B" w:rsidRPr="00EE289B">
        <w:rPr>
          <w:rFonts w:ascii="Times New Roman" w:hAnsi="Times New Roman"/>
          <w:sz w:val="26"/>
          <w:szCs w:val="26"/>
        </w:rPr>
        <w:t xml:space="preserve"> a prudent mix of supply methods, which is anticipated to result in adequate, reasonable and reliable service to customers, as well as service that</w:t>
      </w:r>
      <w:r w:rsidR="00EE289B">
        <w:rPr>
          <w:rFonts w:ascii="Times New Roman" w:hAnsi="Times New Roman"/>
          <w:sz w:val="26"/>
          <w:szCs w:val="26"/>
        </w:rPr>
        <w:t xml:space="preserve"> is provided at the least cost over time.</w:t>
      </w:r>
      <w:r w:rsidR="00D378CF">
        <w:rPr>
          <w:rFonts w:ascii="Times New Roman" w:hAnsi="Times New Roman"/>
          <w:sz w:val="26"/>
          <w:szCs w:val="26"/>
        </w:rPr>
        <w:t xml:space="preserve">  We also agree that the TOU </w:t>
      </w:r>
      <w:r w:rsidR="005A3ED9">
        <w:rPr>
          <w:rFonts w:ascii="Times New Roman" w:hAnsi="Times New Roman"/>
          <w:sz w:val="26"/>
          <w:szCs w:val="26"/>
        </w:rPr>
        <w:t xml:space="preserve">rate </w:t>
      </w:r>
      <w:r w:rsidR="00D378CF">
        <w:rPr>
          <w:rFonts w:ascii="Times New Roman" w:hAnsi="Times New Roman"/>
          <w:sz w:val="26"/>
          <w:szCs w:val="26"/>
        </w:rPr>
        <w:t xml:space="preserve">option for Residential and Small C&amp;I customers is consistent with the TOU program approved in the </w:t>
      </w:r>
      <w:r w:rsidR="00D378CF" w:rsidRPr="005D785E">
        <w:rPr>
          <w:rFonts w:ascii="Times New Roman" w:hAnsi="Times New Roman"/>
          <w:i/>
          <w:sz w:val="26"/>
          <w:szCs w:val="26"/>
        </w:rPr>
        <w:t>September 2014 TOU Order</w:t>
      </w:r>
      <w:r w:rsidR="00D378CF">
        <w:rPr>
          <w:rFonts w:ascii="Times New Roman" w:hAnsi="Times New Roman"/>
          <w:i/>
          <w:sz w:val="26"/>
          <w:szCs w:val="26"/>
        </w:rPr>
        <w:t>.</w:t>
      </w:r>
      <w:r w:rsidR="00D378CF">
        <w:rPr>
          <w:rFonts w:ascii="Times New Roman" w:hAnsi="Times New Roman"/>
          <w:sz w:val="26"/>
          <w:szCs w:val="26"/>
        </w:rPr>
        <w:t xml:space="preserve">  In addition, we agree that AECs are provided for in a competitive fashion, and a contingency plan is properly established.  We also find</w:t>
      </w:r>
      <w:r w:rsidR="00A33DC5">
        <w:rPr>
          <w:rFonts w:ascii="Times New Roman" w:hAnsi="Times New Roman"/>
          <w:sz w:val="26"/>
          <w:szCs w:val="26"/>
        </w:rPr>
        <w:t xml:space="preserve"> reasonable</w:t>
      </w:r>
      <w:r w:rsidR="00D378CF">
        <w:rPr>
          <w:rFonts w:ascii="Times New Roman" w:hAnsi="Times New Roman"/>
          <w:sz w:val="26"/>
          <w:szCs w:val="26"/>
        </w:rPr>
        <w:t xml:space="preserve"> the provisions regarding the timing of the PTC and </w:t>
      </w:r>
      <w:r w:rsidR="00D378CF">
        <w:rPr>
          <w:rFonts w:ascii="Times New Roman" w:hAnsi="Times New Roman"/>
          <w:sz w:val="26"/>
          <w:szCs w:val="26"/>
        </w:rPr>
        <w:lastRenderedPageBreak/>
        <w:t xml:space="preserve">procurements, the reconciliation of the GSC-1, </w:t>
      </w:r>
      <w:r w:rsidR="00A33DC5">
        <w:rPr>
          <w:rFonts w:ascii="Times New Roman" w:hAnsi="Times New Roman"/>
          <w:sz w:val="26"/>
          <w:szCs w:val="26"/>
        </w:rPr>
        <w:t>GSC-2, and TSC, the terms of the SMA, the terms of the SOP, and net metering.</w:t>
      </w:r>
    </w:p>
    <w:p w:rsidR="00EB1966" w:rsidRPr="00F77702" w:rsidRDefault="00EB1966" w:rsidP="00F168A8">
      <w:pPr>
        <w:pStyle w:val="OutlineL2"/>
        <w:numPr>
          <w:ilvl w:val="0"/>
          <w:numId w:val="0"/>
        </w:numPr>
        <w:tabs>
          <w:tab w:val="left" w:pos="0"/>
        </w:tabs>
        <w:spacing w:after="0" w:line="360" w:lineRule="auto"/>
        <w:rPr>
          <w:b/>
          <w:sz w:val="26"/>
          <w:szCs w:val="26"/>
        </w:rPr>
      </w:pPr>
    </w:p>
    <w:p w:rsidR="009E1601" w:rsidRPr="00F77702" w:rsidRDefault="009E1601" w:rsidP="00F168A8">
      <w:pPr>
        <w:rPr>
          <w:rFonts w:ascii="Times New Roman" w:hAnsi="Times New Roman"/>
          <w:sz w:val="26"/>
          <w:szCs w:val="26"/>
        </w:rPr>
      </w:pPr>
      <w:r w:rsidRPr="00F77702">
        <w:rPr>
          <w:rFonts w:ascii="Times New Roman" w:hAnsi="Times New Roman"/>
          <w:sz w:val="26"/>
          <w:szCs w:val="26"/>
        </w:rPr>
        <w:tab/>
      </w:r>
      <w:r w:rsidRPr="00F77702">
        <w:rPr>
          <w:rFonts w:ascii="Times New Roman" w:hAnsi="Times New Roman"/>
          <w:sz w:val="26"/>
          <w:szCs w:val="26"/>
        </w:rPr>
        <w:tab/>
        <w:t xml:space="preserve">The </w:t>
      </w:r>
      <w:r w:rsidR="00D664C0" w:rsidRPr="00F77702">
        <w:rPr>
          <w:rFonts w:ascii="Times New Roman" w:hAnsi="Times New Roman"/>
          <w:sz w:val="26"/>
          <w:szCs w:val="26"/>
        </w:rPr>
        <w:t xml:space="preserve">Partial </w:t>
      </w:r>
      <w:r w:rsidRPr="00F77702">
        <w:rPr>
          <w:rFonts w:ascii="Times New Roman" w:hAnsi="Times New Roman"/>
          <w:sz w:val="26"/>
          <w:szCs w:val="26"/>
        </w:rPr>
        <w:t>Settlement resolves the ma</w:t>
      </w:r>
      <w:r w:rsidR="00953180">
        <w:rPr>
          <w:rFonts w:ascii="Times New Roman" w:hAnsi="Times New Roman"/>
          <w:sz w:val="26"/>
          <w:szCs w:val="26"/>
        </w:rPr>
        <w:t>jority of the issues impacting R</w:t>
      </w:r>
      <w:r w:rsidRPr="00F77702">
        <w:rPr>
          <w:rFonts w:ascii="Times New Roman" w:hAnsi="Times New Roman"/>
          <w:sz w:val="26"/>
          <w:szCs w:val="26"/>
        </w:rPr>
        <w:t>esid</w:t>
      </w:r>
      <w:r w:rsidR="00953180">
        <w:rPr>
          <w:rFonts w:ascii="Times New Roman" w:hAnsi="Times New Roman"/>
          <w:sz w:val="26"/>
          <w:szCs w:val="26"/>
        </w:rPr>
        <w:t>ential consumers, Small C&amp;I</w:t>
      </w:r>
      <w:r w:rsidRPr="00F77702">
        <w:rPr>
          <w:rFonts w:ascii="Times New Roman" w:hAnsi="Times New Roman"/>
          <w:sz w:val="26"/>
          <w:szCs w:val="26"/>
        </w:rPr>
        <w:t xml:space="preserve"> custome</w:t>
      </w:r>
      <w:r w:rsidR="00953180">
        <w:rPr>
          <w:rFonts w:ascii="Times New Roman" w:hAnsi="Times New Roman"/>
          <w:sz w:val="26"/>
          <w:szCs w:val="26"/>
        </w:rPr>
        <w:t>rs, Large C&amp;I</w:t>
      </w:r>
      <w:r w:rsidRPr="00F77702">
        <w:rPr>
          <w:rFonts w:ascii="Times New Roman" w:hAnsi="Times New Roman"/>
          <w:sz w:val="26"/>
          <w:szCs w:val="26"/>
        </w:rPr>
        <w:t xml:space="preserve"> customers</w:t>
      </w:r>
      <w:r w:rsidR="00953180">
        <w:rPr>
          <w:rFonts w:ascii="Times New Roman" w:hAnsi="Times New Roman"/>
          <w:sz w:val="26"/>
          <w:szCs w:val="26"/>
        </w:rPr>
        <w:t>,</w:t>
      </w:r>
      <w:r w:rsidRPr="00F77702">
        <w:rPr>
          <w:rFonts w:ascii="Times New Roman" w:hAnsi="Times New Roman"/>
          <w:sz w:val="26"/>
          <w:szCs w:val="26"/>
        </w:rPr>
        <w:t xml:space="preserve"> and the public interest at large.  The benefits of the </w:t>
      </w:r>
      <w:r w:rsidR="00FC672F" w:rsidRPr="00F77702">
        <w:rPr>
          <w:rFonts w:ascii="Times New Roman" w:hAnsi="Times New Roman"/>
          <w:sz w:val="26"/>
          <w:szCs w:val="26"/>
        </w:rPr>
        <w:t xml:space="preserve">Partial </w:t>
      </w:r>
      <w:r w:rsidRPr="00F77702">
        <w:rPr>
          <w:rFonts w:ascii="Times New Roman" w:hAnsi="Times New Roman"/>
          <w:sz w:val="26"/>
          <w:szCs w:val="26"/>
        </w:rPr>
        <w:t>Settlement are numerous and will result in significant savings of time and expenses for all Parties involved by avoiding the necessity of further administrative proceedings, as well as possible appellate court proceedings.  For the reasons stated here</w:t>
      </w:r>
      <w:r w:rsidR="00953180">
        <w:rPr>
          <w:rFonts w:ascii="Times New Roman" w:hAnsi="Times New Roman"/>
          <w:sz w:val="26"/>
          <w:szCs w:val="26"/>
        </w:rPr>
        <w:t>in and in the Signatory Parties</w:t>
      </w:r>
      <w:r w:rsidR="00803C65">
        <w:rPr>
          <w:rFonts w:ascii="Times New Roman" w:hAnsi="Times New Roman"/>
          <w:sz w:val="26"/>
          <w:szCs w:val="26"/>
        </w:rPr>
        <w:t>’</w:t>
      </w:r>
      <w:r w:rsidRPr="00F77702">
        <w:rPr>
          <w:rFonts w:ascii="Times New Roman" w:hAnsi="Times New Roman"/>
          <w:sz w:val="26"/>
          <w:szCs w:val="26"/>
        </w:rPr>
        <w:t xml:space="preserve"> Statements in Support, we agree with the ALJ</w:t>
      </w:r>
      <w:r w:rsidR="00803C65">
        <w:rPr>
          <w:rFonts w:ascii="Times New Roman" w:hAnsi="Times New Roman"/>
          <w:sz w:val="26"/>
          <w:szCs w:val="26"/>
        </w:rPr>
        <w:t>’</w:t>
      </w:r>
      <w:r w:rsidRPr="00F77702">
        <w:rPr>
          <w:rFonts w:ascii="Times New Roman" w:hAnsi="Times New Roman"/>
          <w:sz w:val="26"/>
          <w:szCs w:val="26"/>
        </w:rPr>
        <w:t>s conclus</w:t>
      </w:r>
      <w:r w:rsidR="00953180">
        <w:rPr>
          <w:rFonts w:ascii="Times New Roman" w:hAnsi="Times New Roman"/>
          <w:sz w:val="26"/>
          <w:szCs w:val="26"/>
        </w:rPr>
        <w:t xml:space="preserve">ion that the </w:t>
      </w:r>
      <w:r w:rsidRPr="00F77702">
        <w:rPr>
          <w:rFonts w:ascii="Times New Roman" w:hAnsi="Times New Roman"/>
          <w:sz w:val="26"/>
          <w:szCs w:val="26"/>
        </w:rPr>
        <w:t>Partial Settlem</w:t>
      </w:r>
      <w:r w:rsidR="00953180">
        <w:rPr>
          <w:rFonts w:ascii="Times New Roman" w:hAnsi="Times New Roman"/>
          <w:sz w:val="26"/>
          <w:szCs w:val="26"/>
        </w:rPr>
        <w:t xml:space="preserve">ent is in the public interest.  </w:t>
      </w:r>
      <w:r w:rsidRPr="00F77702">
        <w:rPr>
          <w:rFonts w:ascii="Times New Roman" w:hAnsi="Times New Roman"/>
          <w:sz w:val="26"/>
          <w:szCs w:val="26"/>
        </w:rPr>
        <w:t xml:space="preserve">Accordingly, </w:t>
      </w:r>
      <w:r w:rsidR="00AB758D" w:rsidRPr="00F77702">
        <w:rPr>
          <w:rFonts w:ascii="Times New Roman" w:hAnsi="Times New Roman"/>
          <w:sz w:val="26"/>
          <w:szCs w:val="26"/>
        </w:rPr>
        <w:t xml:space="preserve">we shall adopt </w:t>
      </w:r>
      <w:r w:rsidRPr="00F77702">
        <w:rPr>
          <w:rFonts w:ascii="Times New Roman" w:hAnsi="Times New Roman"/>
          <w:sz w:val="26"/>
          <w:szCs w:val="26"/>
        </w:rPr>
        <w:t>t</w:t>
      </w:r>
      <w:r w:rsidR="00953180">
        <w:rPr>
          <w:rFonts w:ascii="Times New Roman" w:hAnsi="Times New Roman"/>
          <w:sz w:val="26"/>
          <w:szCs w:val="26"/>
        </w:rPr>
        <w:t>he ALJ</w:t>
      </w:r>
      <w:r w:rsidR="00803C65">
        <w:rPr>
          <w:rFonts w:ascii="Times New Roman" w:hAnsi="Times New Roman"/>
          <w:sz w:val="26"/>
          <w:szCs w:val="26"/>
        </w:rPr>
        <w:t>’</w:t>
      </w:r>
      <w:r w:rsidR="00953180">
        <w:rPr>
          <w:rFonts w:ascii="Times New Roman" w:hAnsi="Times New Roman"/>
          <w:sz w:val="26"/>
          <w:szCs w:val="26"/>
        </w:rPr>
        <w:t>s recommendation to</w:t>
      </w:r>
      <w:r w:rsidRPr="00F77702">
        <w:rPr>
          <w:rFonts w:ascii="Times New Roman" w:hAnsi="Times New Roman"/>
          <w:sz w:val="26"/>
          <w:szCs w:val="26"/>
        </w:rPr>
        <w:t xml:space="preserve"> approve the Partial Settlement without modification.</w:t>
      </w:r>
    </w:p>
    <w:p w:rsidR="009E1601" w:rsidRPr="009833CD" w:rsidRDefault="009E1601" w:rsidP="00D26D41">
      <w:pPr>
        <w:pStyle w:val="OutlineL2"/>
        <w:numPr>
          <w:ilvl w:val="0"/>
          <w:numId w:val="0"/>
        </w:numPr>
        <w:tabs>
          <w:tab w:val="left" w:pos="0"/>
        </w:tabs>
        <w:spacing w:after="0" w:line="360" w:lineRule="auto"/>
        <w:rPr>
          <w:b/>
          <w:sz w:val="26"/>
          <w:szCs w:val="26"/>
        </w:rPr>
      </w:pPr>
    </w:p>
    <w:p w:rsidR="009E1601" w:rsidRPr="009833CD" w:rsidRDefault="009833CD" w:rsidP="00D26D41">
      <w:pPr>
        <w:pStyle w:val="OutlineL2"/>
        <w:keepNext/>
        <w:numPr>
          <w:ilvl w:val="0"/>
          <w:numId w:val="0"/>
        </w:numPr>
        <w:tabs>
          <w:tab w:val="left" w:pos="0"/>
        </w:tabs>
        <w:spacing w:after="0" w:line="360" w:lineRule="auto"/>
        <w:jc w:val="center"/>
        <w:rPr>
          <w:b/>
          <w:sz w:val="26"/>
          <w:szCs w:val="26"/>
        </w:rPr>
      </w:pPr>
      <w:r w:rsidRPr="009833CD">
        <w:rPr>
          <w:b/>
          <w:sz w:val="26"/>
          <w:szCs w:val="26"/>
        </w:rPr>
        <w:t>V</w:t>
      </w:r>
      <w:r w:rsidR="009E1601" w:rsidRPr="009833CD">
        <w:rPr>
          <w:b/>
          <w:sz w:val="26"/>
          <w:szCs w:val="26"/>
        </w:rPr>
        <w:t>.</w:t>
      </w:r>
      <w:r w:rsidR="009E1601" w:rsidRPr="009833CD">
        <w:rPr>
          <w:b/>
          <w:sz w:val="26"/>
          <w:szCs w:val="26"/>
        </w:rPr>
        <w:tab/>
        <w:t>Contested Issues</w:t>
      </w:r>
    </w:p>
    <w:p w:rsidR="00A57C12" w:rsidRDefault="00A57C12" w:rsidP="009833CD">
      <w:pPr>
        <w:pStyle w:val="OutlineL2"/>
        <w:keepNext/>
        <w:numPr>
          <w:ilvl w:val="0"/>
          <w:numId w:val="0"/>
        </w:numPr>
        <w:tabs>
          <w:tab w:val="left" w:pos="0"/>
        </w:tabs>
        <w:spacing w:after="0" w:line="360" w:lineRule="auto"/>
        <w:rPr>
          <w:sz w:val="26"/>
          <w:szCs w:val="26"/>
        </w:rPr>
      </w:pPr>
    </w:p>
    <w:p w:rsidR="004114B0" w:rsidRPr="00734424" w:rsidRDefault="009F07B9" w:rsidP="00340661">
      <w:pPr>
        <w:pStyle w:val="OutlineL2"/>
        <w:keepNext/>
        <w:numPr>
          <w:ilvl w:val="0"/>
          <w:numId w:val="0"/>
        </w:numPr>
        <w:tabs>
          <w:tab w:val="left" w:pos="0"/>
        </w:tabs>
        <w:spacing w:after="0" w:line="360" w:lineRule="auto"/>
        <w:rPr>
          <w:sz w:val="26"/>
          <w:szCs w:val="26"/>
        </w:rPr>
      </w:pPr>
      <w:r>
        <w:rPr>
          <w:sz w:val="26"/>
          <w:szCs w:val="26"/>
        </w:rPr>
        <w:tab/>
      </w:r>
      <w:r>
        <w:rPr>
          <w:sz w:val="26"/>
          <w:szCs w:val="26"/>
        </w:rPr>
        <w:tab/>
        <w:t xml:space="preserve">As noted above, </w:t>
      </w:r>
      <w:r w:rsidR="00340661">
        <w:rPr>
          <w:sz w:val="26"/>
          <w:szCs w:val="26"/>
        </w:rPr>
        <w:t>t</w:t>
      </w:r>
      <w:r w:rsidR="004114B0" w:rsidRPr="004114B0">
        <w:rPr>
          <w:sz w:val="26"/>
          <w:szCs w:val="26"/>
        </w:rPr>
        <w:t>he Partial Settlement resolved all issues among the Signatory Parties except for</w:t>
      </w:r>
      <w:r w:rsidR="003D6300">
        <w:rPr>
          <w:sz w:val="26"/>
          <w:szCs w:val="26"/>
        </w:rPr>
        <w:t>:</w:t>
      </w:r>
      <w:r w:rsidR="004114B0" w:rsidRPr="004114B0">
        <w:rPr>
          <w:sz w:val="26"/>
          <w:szCs w:val="26"/>
        </w:rPr>
        <w:t xml:space="preserve"> (1)</w:t>
      </w:r>
      <w:r w:rsidR="001F3105">
        <w:rPr>
          <w:sz w:val="26"/>
          <w:szCs w:val="26"/>
        </w:rPr>
        <w:t xml:space="preserve"> </w:t>
      </w:r>
      <w:r w:rsidR="004114B0" w:rsidRPr="004114B0">
        <w:rPr>
          <w:sz w:val="26"/>
          <w:szCs w:val="26"/>
        </w:rPr>
        <w:t>PPL</w:t>
      </w:r>
      <w:r w:rsidR="00803C65">
        <w:rPr>
          <w:sz w:val="26"/>
          <w:szCs w:val="26"/>
        </w:rPr>
        <w:t>’</w:t>
      </w:r>
      <w:r w:rsidR="004114B0" w:rsidRPr="004114B0">
        <w:rPr>
          <w:sz w:val="26"/>
          <w:szCs w:val="26"/>
        </w:rPr>
        <w:t>s proposal to change the customer size demarcation between</w:t>
      </w:r>
      <w:r w:rsidR="008B2040">
        <w:rPr>
          <w:sz w:val="26"/>
          <w:szCs w:val="26"/>
        </w:rPr>
        <w:t xml:space="preserve"> Small C&amp;I</w:t>
      </w:r>
      <w:r w:rsidR="004114B0" w:rsidRPr="004114B0">
        <w:rPr>
          <w:sz w:val="26"/>
          <w:szCs w:val="26"/>
        </w:rPr>
        <w:t xml:space="preserve"> and</w:t>
      </w:r>
      <w:r w:rsidR="008B2040">
        <w:rPr>
          <w:sz w:val="26"/>
          <w:szCs w:val="26"/>
        </w:rPr>
        <w:t xml:space="preserve"> Large C&amp;I</w:t>
      </w:r>
      <w:r w:rsidR="004114B0" w:rsidRPr="004114B0">
        <w:rPr>
          <w:sz w:val="26"/>
          <w:szCs w:val="26"/>
        </w:rPr>
        <w:t xml:space="preserve"> customers from a peak demand of 500 kW to a peak demand of 100 kW; and (2)</w:t>
      </w:r>
      <w:r w:rsidR="001F3105" w:rsidRPr="001F3105">
        <w:rPr>
          <w:sz w:val="26"/>
          <w:szCs w:val="26"/>
        </w:rPr>
        <w:t xml:space="preserve"> </w:t>
      </w:r>
      <w:r w:rsidR="001F3105" w:rsidRPr="004114B0">
        <w:rPr>
          <w:sz w:val="26"/>
          <w:szCs w:val="26"/>
        </w:rPr>
        <w:t xml:space="preserve">the issue of </w:t>
      </w:r>
      <w:r w:rsidR="001F3105" w:rsidRPr="00734424">
        <w:rPr>
          <w:sz w:val="26"/>
          <w:szCs w:val="26"/>
        </w:rPr>
        <w:t xml:space="preserve">cost responsibility for </w:t>
      </w:r>
      <w:r w:rsidR="008B2040">
        <w:rPr>
          <w:sz w:val="26"/>
          <w:szCs w:val="26"/>
        </w:rPr>
        <w:t>NMB transmission-related costs</w:t>
      </w:r>
      <w:r w:rsidR="004114B0" w:rsidRPr="00734424">
        <w:rPr>
          <w:sz w:val="26"/>
          <w:szCs w:val="26"/>
        </w:rPr>
        <w:t>.  These issu</w:t>
      </w:r>
      <w:r w:rsidR="001F3105" w:rsidRPr="00734424">
        <w:rPr>
          <w:sz w:val="26"/>
          <w:szCs w:val="26"/>
        </w:rPr>
        <w:t>es were reserved for litigation</w:t>
      </w:r>
      <w:r w:rsidR="004114B0" w:rsidRPr="00734424">
        <w:rPr>
          <w:sz w:val="26"/>
          <w:szCs w:val="26"/>
        </w:rPr>
        <w:t xml:space="preserve"> and wi</w:t>
      </w:r>
      <w:r w:rsidR="001F3105" w:rsidRPr="00734424">
        <w:rPr>
          <w:sz w:val="26"/>
          <w:szCs w:val="26"/>
        </w:rPr>
        <w:t xml:space="preserve">ll </w:t>
      </w:r>
      <w:r w:rsidR="00340661" w:rsidRPr="00734424">
        <w:rPr>
          <w:sz w:val="26"/>
          <w:szCs w:val="26"/>
        </w:rPr>
        <w:t>now be discussed in detail</w:t>
      </w:r>
      <w:r w:rsidR="004114B0" w:rsidRPr="00734424">
        <w:rPr>
          <w:sz w:val="26"/>
          <w:szCs w:val="26"/>
        </w:rPr>
        <w:t>.</w:t>
      </w:r>
    </w:p>
    <w:p w:rsidR="009833CD" w:rsidRPr="00734424" w:rsidRDefault="009833CD" w:rsidP="009833CD">
      <w:pPr>
        <w:pStyle w:val="OutlineL2"/>
        <w:keepNext/>
        <w:numPr>
          <w:ilvl w:val="0"/>
          <w:numId w:val="0"/>
        </w:numPr>
        <w:tabs>
          <w:tab w:val="left" w:pos="0"/>
        </w:tabs>
        <w:spacing w:after="0" w:line="360" w:lineRule="auto"/>
        <w:rPr>
          <w:sz w:val="26"/>
          <w:szCs w:val="26"/>
        </w:rPr>
      </w:pPr>
    </w:p>
    <w:p w:rsidR="00A57C12" w:rsidRPr="000F6E64" w:rsidRDefault="00734424" w:rsidP="00D26D41">
      <w:pPr>
        <w:pStyle w:val="OutlineL2"/>
        <w:keepNext/>
        <w:keepLines/>
        <w:numPr>
          <w:ilvl w:val="0"/>
          <w:numId w:val="0"/>
        </w:numPr>
        <w:tabs>
          <w:tab w:val="left" w:pos="0"/>
        </w:tabs>
        <w:spacing w:after="0" w:line="360" w:lineRule="auto"/>
        <w:rPr>
          <w:b/>
          <w:sz w:val="26"/>
          <w:szCs w:val="26"/>
        </w:rPr>
      </w:pPr>
      <w:r w:rsidRPr="000F6E64">
        <w:rPr>
          <w:b/>
          <w:sz w:val="26"/>
          <w:szCs w:val="26"/>
        </w:rPr>
        <w:t>A.</w:t>
      </w:r>
      <w:r w:rsidRPr="000F6E64">
        <w:rPr>
          <w:b/>
          <w:sz w:val="26"/>
          <w:szCs w:val="26"/>
        </w:rPr>
        <w:tab/>
        <w:t>Small/Large C&amp;I Customer Class Demand Split</w:t>
      </w:r>
    </w:p>
    <w:p w:rsidR="00FE3EE7" w:rsidRPr="000F6E64" w:rsidRDefault="00FE3EE7" w:rsidP="00D26D41">
      <w:pPr>
        <w:pStyle w:val="OutlineL2"/>
        <w:numPr>
          <w:ilvl w:val="0"/>
          <w:numId w:val="0"/>
        </w:numPr>
        <w:tabs>
          <w:tab w:val="left" w:pos="0"/>
        </w:tabs>
        <w:spacing w:after="0" w:line="360" w:lineRule="auto"/>
        <w:rPr>
          <w:sz w:val="26"/>
          <w:szCs w:val="26"/>
        </w:rPr>
      </w:pPr>
    </w:p>
    <w:p w:rsidR="007E37C4" w:rsidRPr="00275E16" w:rsidRDefault="007E37C4" w:rsidP="00031790">
      <w:pPr>
        <w:pStyle w:val="OutlineL2"/>
        <w:numPr>
          <w:ilvl w:val="0"/>
          <w:numId w:val="0"/>
        </w:numPr>
        <w:tabs>
          <w:tab w:val="left" w:pos="0"/>
        </w:tabs>
        <w:spacing w:after="0" w:line="360" w:lineRule="auto"/>
        <w:rPr>
          <w:b/>
          <w:sz w:val="26"/>
          <w:szCs w:val="26"/>
        </w:rPr>
      </w:pPr>
      <w:r w:rsidRPr="00C75DE8">
        <w:rPr>
          <w:b/>
          <w:sz w:val="26"/>
          <w:szCs w:val="26"/>
        </w:rPr>
        <w:tab/>
        <w:t>1.</w:t>
      </w:r>
      <w:r w:rsidRPr="00C75DE8">
        <w:rPr>
          <w:b/>
          <w:sz w:val="26"/>
          <w:szCs w:val="26"/>
        </w:rPr>
        <w:tab/>
      </w:r>
      <w:r w:rsidRPr="00275E16">
        <w:rPr>
          <w:b/>
          <w:sz w:val="26"/>
          <w:szCs w:val="26"/>
        </w:rPr>
        <w:t>Positions of the Parties</w:t>
      </w:r>
    </w:p>
    <w:p w:rsidR="007E37C4" w:rsidRDefault="007E37C4" w:rsidP="00D26D41">
      <w:pPr>
        <w:pStyle w:val="OutlineL2"/>
        <w:keepNext/>
        <w:keepLines/>
        <w:numPr>
          <w:ilvl w:val="0"/>
          <w:numId w:val="0"/>
        </w:numPr>
        <w:tabs>
          <w:tab w:val="left" w:pos="0"/>
        </w:tabs>
        <w:spacing w:after="0" w:line="360" w:lineRule="auto"/>
        <w:rPr>
          <w:sz w:val="26"/>
          <w:szCs w:val="26"/>
        </w:rPr>
      </w:pPr>
    </w:p>
    <w:p w:rsidR="000646AA" w:rsidRPr="000646AA" w:rsidRDefault="000646AA" w:rsidP="00D26D41">
      <w:pPr>
        <w:pStyle w:val="OutlineL2"/>
        <w:keepNext/>
        <w:keepLines/>
        <w:numPr>
          <w:ilvl w:val="0"/>
          <w:numId w:val="0"/>
        </w:numPr>
        <w:tabs>
          <w:tab w:val="left" w:pos="0"/>
        </w:tabs>
        <w:spacing w:after="0" w:line="360" w:lineRule="auto"/>
        <w:rPr>
          <w:b/>
          <w:sz w:val="26"/>
          <w:szCs w:val="26"/>
        </w:rPr>
      </w:pPr>
      <w:r>
        <w:rPr>
          <w:sz w:val="26"/>
          <w:szCs w:val="26"/>
        </w:rPr>
        <w:tab/>
      </w:r>
      <w:r>
        <w:rPr>
          <w:sz w:val="26"/>
          <w:szCs w:val="26"/>
        </w:rPr>
        <w:tab/>
      </w:r>
      <w:r w:rsidRPr="000646AA">
        <w:rPr>
          <w:b/>
          <w:sz w:val="26"/>
          <w:szCs w:val="26"/>
        </w:rPr>
        <w:t>a.</w:t>
      </w:r>
      <w:r w:rsidRPr="000646AA">
        <w:rPr>
          <w:b/>
          <w:sz w:val="26"/>
          <w:szCs w:val="26"/>
        </w:rPr>
        <w:tab/>
        <w:t>PPL</w:t>
      </w:r>
      <w:r w:rsidR="00803C65">
        <w:rPr>
          <w:b/>
          <w:sz w:val="26"/>
          <w:szCs w:val="26"/>
        </w:rPr>
        <w:t>’</w:t>
      </w:r>
      <w:r w:rsidRPr="000646AA">
        <w:rPr>
          <w:b/>
          <w:sz w:val="26"/>
          <w:szCs w:val="26"/>
        </w:rPr>
        <w:t>s Position</w:t>
      </w:r>
    </w:p>
    <w:p w:rsidR="000646AA" w:rsidRPr="00275E16" w:rsidRDefault="000646AA" w:rsidP="00D26D41">
      <w:pPr>
        <w:pStyle w:val="OutlineL2"/>
        <w:keepNext/>
        <w:keepLines/>
        <w:numPr>
          <w:ilvl w:val="0"/>
          <w:numId w:val="0"/>
        </w:numPr>
        <w:tabs>
          <w:tab w:val="left" w:pos="0"/>
        </w:tabs>
        <w:spacing w:after="0" w:line="360" w:lineRule="auto"/>
        <w:rPr>
          <w:sz w:val="26"/>
          <w:szCs w:val="26"/>
        </w:rPr>
      </w:pPr>
    </w:p>
    <w:p w:rsidR="00C75DE8" w:rsidRDefault="00275E16" w:rsidP="00031790">
      <w:pPr>
        <w:pStyle w:val="OutlineL2"/>
        <w:numPr>
          <w:ilvl w:val="0"/>
          <w:numId w:val="0"/>
        </w:numPr>
        <w:tabs>
          <w:tab w:val="left" w:pos="0"/>
        </w:tabs>
        <w:spacing w:after="0" w:line="360" w:lineRule="auto"/>
        <w:rPr>
          <w:sz w:val="26"/>
          <w:szCs w:val="26"/>
        </w:rPr>
      </w:pPr>
      <w:r w:rsidRPr="00275E16">
        <w:rPr>
          <w:sz w:val="26"/>
          <w:szCs w:val="26"/>
        </w:rPr>
        <w:tab/>
      </w:r>
      <w:r w:rsidRPr="00275E16">
        <w:rPr>
          <w:sz w:val="26"/>
          <w:szCs w:val="26"/>
        </w:rPr>
        <w:tab/>
        <w:t>PPL</w:t>
      </w:r>
      <w:r>
        <w:rPr>
          <w:sz w:val="26"/>
          <w:szCs w:val="26"/>
        </w:rPr>
        <w:t xml:space="preserve"> stated that under its DSP II program, the Small C&amp;I customer Class included customers with a peak demand of less than 500 kW.  As a result, customers on </w:t>
      </w:r>
      <w:r>
        <w:rPr>
          <w:sz w:val="26"/>
          <w:szCs w:val="26"/>
        </w:rPr>
        <w:lastRenderedPageBreak/>
        <w:t xml:space="preserve">Rate Schedules GS-3 and LP-4 with a demand level of 500 kW and above are classified as Large C&amp;I customers and receive spot </w:t>
      </w:r>
      <w:r w:rsidR="008B539F">
        <w:rPr>
          <w:sz w:val="26"/>
          <w:szCs w:val="26"/>
        </w:rPr>
        <w:t>market-based default service, while c</w:t>
      </w:r>
      <w:r>
        <w:rPr>
          <w:sz w:val="26"/>
          <w:szCs w:val="26"/>
        </w:rPr>
        <w:t>ustomers on those same rate schedules with</w:t>
      </w:r>
      <w:r w:rsidR="008B539F">
        <w:rPr>
          <w:sz w:val="26"/>
          <w:szCs w:val="26"/>
        </w:rPr>
        <w:t xml:space="preserve"> a peak</w:t>
      </w:r>
      <w:r>
        <w:rPr>
          <w:sz w:val="26"/>
          <w:szCs w:val="26"/>
        </w:rPr>
        <w:t xml:space="preserve"> demand below 500 kW are classified as Small C&amp;I customers and receive fixed-price default service.  PPL M.B. at 12.</w:t>
      </w:r>
      <w:r w:rsidR="00714B11">
        <w:rPr>
          <w:sz w:val="26"/>
          <w:szCs w:val="26"/>
        </w:rPr>
        <w:t xml:space="preserve">  However, PPL asserted that the Commission adopted the Company</w:t>
      </w:r>
      <w:r w:rsidR="00803C65">
        <w:rPr>
          <w:sz w:val="26"/>
          <w:szCs w:val="26"/>
        </w:rPr>
        <w:t>’</w:t>
      </w:r>
      <w:r w:rsidR="00714B11">
        <w:rPr>
          <w:sz w:val="26"/>
          <w:szCs w:val="26"/>
        </w:rPr>
        <w:t xml:space="preserve">s commitment, made in its DSP II proceeding, to reduce the peak demand for the Small C&amp;I customer class from </w:t>
      </w:r>
      <w:r w:rsidR="00A62258">
        <w:rPr>
          <w:sz w:val="26"/>
          <w:szCs w:val="26"/>
        </w:rPr>
        <w:t xml:space="preserve">500 kW to 100 kW in its next default service filing.  </w:t>
      </w:r>
      <w:r w:rsidR="00A62258" w:rsidRPr="00E51F71">
        <w:rPr>
          <w:i/>
          <w:sz w:val="26"/>
          <w:szCs w:val="26"/>
        </w:rPr>
        <w:t>Id</w:t>
      </w:r>
      <w:r w:rsidR="00A62258">
        <w:rPr>
          <w:sz w:val="26"/>
          <w:szCs w:val="26"/>
        </w:rPr>
        <w:t xml:space="preserve">. at 12-13 (citing </w:t>
      </w:r>
      <w:r w:rsidR="00A62258" w:rsidRPr="00E51F71">
        <w:rPr>
          <w:i/>
          <w:sz w:val="26"/>
          <w:szCs w:val="26"/>
        </w:rPr>
        <w:t>Petition of PPL Electric Utilities Corporation For Approval of a Default Service Program and Procurement Plan</w:t>
      </w:r>
      <w:r w:rsidR="00A62258">
        <w:rPr>
          <w:sz w:val="26"/>
          <w:szCs w:val="26"/>
        </w:rPr>
        <w:t>, Docket No. P-2012-2302074</w:t>
      </w:r>
      <w:r w:rsidR="00D666DA">
        <w:rPr>
          <w:sz w:val="26"/>
          <w:szCs w:val="26"/>
        </w:rPr>
        <w:t xml:space="preserve"> (</w:t>
      </w:r>
      <w:r w:rsidR="00D666DA">
        <w:rPr>
          <w:i/>
          <w:sz w:val="26"/>
          <w:szCs w:val="26"/>
        </w:rPr>
        <w:t>PPL DSP II</w:t>
      </w:r>
      <w:r w:rsidR="00D666DA" w:rsidRPr="00D666DA">
        <w:rPr>
          <w:sz w:val="26"/>
          <w:szCs w:val="26"/>
        </w:rPr>
        <w:t>)</w:t>
      </w:r>
      <w:r w:rsidR="00A62258" w:rsidRPr="00D666DA">
        <w:rPr>
          <w:sz w:val="26"/>
          <w:szCs w:val="26"/>
        </w:rPr>
        <w:t xml:space="preserve"> </w:t>
      </w:r>
      <w:r w:rsidR="00A62258">
        <w:rPr>
          <w:sz w:val="26"/>
          <w:szCs w:val="26"/>
        </w:rPr>
        <w:t>(Opinion and Order entered January 24, 2013) (</w:t>
      </w:r>
      <w:r w:rsidR="00FE5D70">
        <w:rPr>
          <w:i/>
          <w:sz w:val="26"/>
          <w:szCs w:val="26"/>
        </w:rPr>
        <w:t>PPL DSP II Order</w:t>
      </w:r>
      <w:r w:rsidR="00A62258">
        <w:rPr>
          <w:sz w:val="26"/>
          <w:szCs w:val="26"/>
        </w:rPr>
        <w:t>) at 62-63.</w:t>
      </w:r>
      <w:r w:rsidR="008B539F">
        <w:rPr>
          <w:sz w:val="26"/>
          <w:szCs w:val="26"/>
        </w:rPr>
        <w:t xml:space="preserve">  Accordingly, PPL has proposed in this proceeding to </w:t>
      </w:r>
      <w:r w:rsidR="008B539F" w:rsidRPr="008B539F">
        <w:rPr>
          <w:sz w:val="26"/>
          <w:szCs w:val="26"/>
        </w:rPr>
        <w:t>reduce the peak demand</w:t>
      </w:r>
      <w:r w:rsidR="008B539F">
        <w:rPr>
          <w:sz w:val="26"/>
          <w:szCs w:val="26"/>
        </w:rPr>
        <w:t xml:space="preserve"> limitation</w:t>
      </w:r>
      <w:r w:rsidR="008B539F" w:rsidRPr="008B539F">
        <w:rPr>
          <w:sz w:val="26"/>
          <w:szCs w:val="26"/>
        </w:rPr>
        <w:t xml:space="preserve"> for the Small C&amp;I </w:t>
      </w:r>
      <w:r w:rsidR="008B539F" w:rsidRPr="004E609E">
        <w:rPr>
          <w:sz w:val="26"/>
          <w:szCs w:val="26"/>
        </w:rPr>
        <w:t>customer class from 500 kW to 100 kW</w:t>
      </w:r>
      <w:r w:rsidR="00847574" w:rsidRPr="004E609E">
        <w:rPr>
          <w:sz w:val="26"/>
          <w:szCs w:val="26"/>
        </w:rPr>
        <w:t>, thus changing the demand level split between the Small C&amp;I and Large C&amp;I customer classes from 500 kW to 100 kW</w:t>
      </w:r>
      <w:r w:rsidR="008B539F" w:rsidRPr="004E609E">
        <w:rPr>
          <w:sz w:val="26"/>
          <w:szCs w:val="26"/>
        </w:rPr>
        <w:t>.  PPL M.B. at 13</w:t>
      </w:r>
      <w:r w:rsidR="00A84152" w:rsidRPr="004E609E">
        <w:rPr>
          <w:sz w:val="26"/>
          <w:szCs w:val="26"/>
        </w:rPr>
        <w:t xml:space="preserve">; PPL </w:t>
      </w:r>
      <w:proofErr w:type="spellStart"/>
      <w:r w:rsidR="00A84152" w:rsidRPr="004E609E">
        <w:rPr>
          <w:sz w:val="26"/>
          <w:szCs w:val="26"/>
        </w:rPr>
        <w:t>Exh</w:t>
      </w:r>
      <w:proofErr w:type="spellEnd"/>
      <w:r w:rsidR="00A84152" w:rsidRPr="004E609E">
        <w:rPr>
          <w:sz w:val="26"/>
          <w:szCs w:val="26"/>
        </w:rPr>
        <w:t>.</w:t>
      </w:r>
      <w:r w:rsidR="00A711B2" w:rsidRPr="004E609E">
        <w:rPr>
          <w:sz w:val="26"/>
          <w:szCs w:val="26"/>
        </w:rPr>
        <w:t xml:space="preserve"> </w:t>
      </w:r>
      <w:r w:rsidR="00A84152" w:rsidRPr="004E609E">
        <w:rPr>
          <w:sz w:val="26"/>
          <w:szCs w:val="26"/>
        </w:rPr>
        <w:t>1 at 16, ¶ 50; PPL St. No. 1 at 30.</w:t>
      </w:r>
    </w:p>
    <w:p w:rsidR="00A84152" w:rsidRDefault="00A84152" w:rsidP="00D26D41">
      <w:pPr>
        <w:pStyle w:val="OutlineL2"/>
        <w:keepNext/>
        <w:keepLines/>
        <w:numPr>
          <w:ilvl w:val="0"/>
          <w:numId w:val="0"/>
        </w:numPr>
        <w:tabs>
          <w:tab w:val="left" w:pos="0"/>
        </w:tabs>
        <w:spacing w:after="0" w:line="360" w:lineRule="auto"/>
        <w:rPr>
          <w:sz w:val="26"/>
          <w:szCs w:val="26"/>
        </w:rPr>
      </w:pPr>
    </w:p>
    <w:p w:rsidR="00387640" w:rsidRDefault="00A84152" w:rsidP="00387640">
      <w:pPr>
        <w:pStyle w:val="OutlineL2"/>
        <w:keepNext/>
        <w:keepLines/>
        <w:numPr>
          <w:ilvl w:val="0"/>
          <w:numId w:val="0"/>
        </w:numPr>
        <w:tabs>
          <w:tab w:val="left" w:pos="0"/>
        </w:tabs>
        <w:spacing w:after="0" w:line="360" w:lineRule="auto"/>
        <w:rPr>
          <w:sz w:val="26"/>
          <w:szCs w:val="26"/>
        </w:rPr>
      </w:pPr>
      <w:r>
        <w:rPr>
          <w:sz w:val="26"/>
          <w:szCs w:val="26"/>
        </w:rPr>
        <w:tab/>
      </w:r>
      <w:r>
        <w:rPr>
          <w:sz w:val="26"/>
          <w:szCs w:val="26"/>
        </w:rPr>
        <w:tab/>
        <w:t>PPL stated that it proposed this</w:t>
      </w:r>
      <w:r w:rsidR="00F63BB3">
        <w:rPr>
          <w:sz w:val="26"/>
          <w:szCs w:val="26"/>
        </w:rPr>
        <w:t xml:space="preserve"> change in the demand level split </w:t>
      </w:r>
      <w:r>
        <w:rPr>
          <w:sz w:val="26"/>
          <w:szCs w:val="26"/>
        </w:rPr>
        <w:t>for three primary reasons.</w:t>
      </w:r>
      <w:r w:rsidR="00F63BB3">
        <w:rPr>
          <w:sz w:val="26"/>
          <w:szCs w:val="26"/>
        </w:rPr>
        <w:t xml:space="preserve">  First, PPL asserted that in the </w:t>
      </w:r>
      <w:r w:rsidR="00F63BB3" w:rsidRPr="00F63BB3">
        <w:rPr>
          <w:i/>
          <w:sz w:val="26"/>
          <w:szCs w:val="26"/>
        </w:rPr>
        <w:t>End State Order</w:t>
      </w:r>
      <w:r w:rsidR="00F63BB3">
        <w:rPr>
          <w:sz w:val="26"/>
          <w:szCs w:val="26"/>
        </w:rPr>
        <w:t>, the Commission stated that it expected EDCs to implement a 100 kW demand split for commercial and industrial customers.  PPL M.B.</w:t>
      </w:r>
      <w:r w:rsidR="00A711B2">
        <w:rPr>
          <w:sz w:val="26"/>
          <w:szCs w:val="26"/>
        </w:rPr>
        <w:t xml:space="preserve"> at 13</w:t>
      </w:r>
      <w:r w:rsidR="00F63BB3">
        <w:rPr>
          <w:sz w:val="26"/>
          <w:szCs w:val="26"/>
        </w:rPr>
        <w:t xml:space="preserve"> (citing </w:t>
      </w:r>
      <w:r w:rsidR="00F63BB3" w:rsidRPr="00F63BB3">
        <w:rPr>
          <w:i/>
          <w:sz w:val="26"/>
          <w:szCs w:val="26"/>
        </w:rPr>
        <w:t>End State Order</w:t>
      </w:r>
      <w:r w:rsidR="00F63BB3">
        <w:rPr>
          <w:sz w:val="26"/>
          <w:szCs w:val="26"/>
        </w:rPr>
        <w:t xml:space="preserve"> at </w:t>
      </w:r>
      <w:r w:rsidR="00D7748F">
        <w:rPr>
          <w:sz w:val="26"/>
          <w:szCs w:val="26"/>
        </w:rPr>
        <w:t>31-32).</w:t>
      </w:r>
      <w:r w:rsidR="007241F9">
        <w:rPr>
          <w:sz w:val="26"/>
          <w:szCs w:val="26"/>
        </w:rPr>
        <w:t xml:space="preserve">  Second, as noted above,</w:t>
      </w:r>
      <w:r w:rsidR="004E609E">
        <w:rPr>
          <w:sz w:val="26"/>
          <w:szCs w:val="26"/>
        </w:rPr>
        <w:t xml:space="preserve"> PPL stated that in its DSP II proceeding, it committed</w:t>
      </w:r>
      <w:r w:rsidR="00A711B2">
        <w:rPr>
          <w:sz w:val="26"/>
          <w:szCs w:val="26"/>
        </w:rPr>
        <w:t xml:space="preserve"> to reducing the peak demand limitation for the Small C&amp;I class in its DSP III program.  PPL M.B. at 13.  Third, PPL averred that the number of default service customers impacted by this change, as of May</w:t>
      </w:r>
      <w:r w:rsidR="003D6300">
        <w:rPr>
          <w:sz w:val="26"/>
          <w:szCs w:val="26"/>
        </w:rPr>
        <w:t> </w:t>
      </w:r>
      <w:r w:rsidR="00A711B2">
        <w:rPr>
          <w:sz w:val="26"/>
          <w:szCs w:val="26"/>
        </w:rPr>
        <w:t xml:space="preserve">2014, is very small at approximately 430 customers, which is </w:t>
      </w:r>
      <w:r w:rsidR="00A711B2" w:rsidRPr="002E1927">
        <w:rPr>
          <w:sz w:val="26"/>
          <w:szCs w:val="26"/>
        </w:rPr>
        <w:t xml:space="preserve">only 0.4% of all default service commercial and industrial customers.  PPL M.B. at 14; PPL St. No. 1-R at 20-21; PPL </w:t>
      </w:r>
      <w:proofErr w:type="spellStart"/>
      <w:r w:rsidR="00A711B2" w:rsidRPr="002E1927">
        <w:rPr>
          <w:sz w:val="26"/>
          <w:szCs w:val="26"/>
        </w:rPr>
        <w:t>Exh</w:t>
      </w:r>
      <w:proofErr w:type="spellEnd"/>
      <w:r w:rsidR="00A711B2" w:rsidRPr="002E1927">
        <w:rPr>
          <w:sz w:val="26"/>
          <w:szCs w:val="26"/>
        </w:rPr>
        <w:t>. JMR-5R.</w:t>
      </w:r>
      <w:r w:rsidR="00326747" w:rsidRPr="002E1927">
        <w:rPr>
          <w:sz w:val="26"/>
          <w:szCs w:val="26"/>
        </w:rPr>
        <w:t xml:space="preserve">  PPL further averred that these 430 customers represent about 2.1% of all Small C&amp;I customer load.  PPL R.B. at 5.</w:t>
      </w:r>
    </w:p>
    <w:p w:rsidR="00387640" w:rsidRDefault="00387640" w:rsidP="003D6300">
      <w:pPr>
        <w:pStyle w:val="OutlineL2"/>
        <w:numPr>
          <w:ilvl w:val="0"/>
          <w:numId w:val="0"/>
        </w:numPr>
        <w:tabs>
          <w:tab w:val="left" w:pos="0"/>
        </w:tabs>
        <w:spacing w:after="0" w:line="360" w:lineRule="auto"/>
        <w:rPr>
          <w:sz w:val="26"/>
          <w:szCs w:val="26"/>
        </w:rPr>
      </w:pPr>
    </w:p>
    <w:p w:rsidR="00BA63D7" w:rsidRDefault="00BA63D7" w:rsidP="00A70E5E">
      <w:pPr>
        <w:pStyle w:val="OutlineL2"/>
        <w:numPr>
          <w:ilvl w:val="0"/>
          <w:numId w:val="0"/>
        </w:numPr>
        <w:tabs>
          <w:tab w:val="left" w:pos="0"/>
        </w:tabs>
        <w:spacing w:after="0" w:line="360" w:lineRule="auto"/>
        <w:rPr>
          <w:sz w:val="26"/>
          <w:szCs w:val="26"/>
        </w:rPr>
      </w:pPr>
      <w:r>
        <w:rPr>
          <w:sz w:val="26"/>
          <w:szCs w:val="26"/>
        </w:rPr>
        <w:tab/>
      </w:r>
      <w:r>
        <w:rPr>
          <w:sz w:val="26"/>
          <w:szCs w:val="26"/>
        </w:rPr>
        <w:tab/>
        <w:t xml:space="preserve">PPL stated that all of its 3,200 commercial and industrial customers with demand between 100 kW and 500 kW have demand meters installed, and that 88% of </w:t>
      </w:r>
      <w:r>
        <w:rPr>
          <w:sz w:val="26"/>
          <w:szCs w:val="26"/>
        </w:rPr>
        <w:lastRenderedPageBreak/>
        <w:t xml:space="preserve">these customers are currently shopping.  Thus, PPL argued that it is clear that such customers </w:t>
      </w:r>
      <w:r w:rsidR="00803C65">
        <w:rPr>
          <w:sz w:val="26"/>
          <w:szCs w:val="26"/>
        </w:rPr>
        <w:t>“</w:t>
      </w:r>
      <w:r>
        <w:rPr>
          <w:sz w:val="26"/>
          <w:szCs w:val="26"/>
        </w:rPr>
        <w:t>are well-equipped and educated to manage their commodity costs in an hourly spot market default service environment.</w:t>
      </w:r>
      <w:r w:rsidR="00803C65">
        <w:rPr>
          <w:sz w:val="26"/>
          <w:szCs w:val="26"/>
        </w:rPr>
        <w:t>”</w:t>
      </w:r>
      <w:r>
        <w:rPr>
          <w:sz w:val="26"/>
          <w:szCs w:val="26"/>
        </w:rPr>
        <w:t xml:space="preserve">  PPL M.B. at 14</w:t>
      </w:r>
      <w:r w:rsidR="00DB55CF">
        <w:rPr>
          <w:sz w:val="26"/>
          <w:szCs w:val="26"/>
        </w:rPr>
        <w:t>; R.B. at 5</w:t>
      </w:r>
      <w:r>
        <w:rPr>
          <w:sz w:val="26"/>
          <w:szCs w:val="26"/>
        </w:rPr>
        <w:t>.</w:t>
      </w:r>
      <w:r w:rsidR="00A70E5E">
        <w:rPr>
          <w:sz w:val="26"/>
          <w:szCs w:val="26"/>
        </w:rPr>
        <w:t xml:space="preserve">  In addition, PPL asserted that the customers impacted by its proposal can still obtain fixed-price supply from the competitive market.</w:t>
      </w:r>
      <w:r w:rsidR="00DB55CF">
        <w:rPr>
          <w:sz w:val="26"/>
          <w:szCs w:val="26"/>
        </w:rPr>
        <w:t xml:space="preserve">  PPL M.B. at 14.</w:t>
      </w:r>
    </w:p>
    <w:p w:rsidR="00BA63D7" w:rsidRDefault="00BA63D7" w:rsidP="003D6300">
      <w:pPr>
        <w:pStyle w:val="OutlineL2"/>
        <w:numPr>
          <w:ilvl w:val="0"/>
          <w:numId w:val="0"/>
        </w:numPr>
        <w:tabs>
          <w:tab w:val="left" w:pos="0"/>
        </w:tabs>
        <w:spacing w:after="0" w:line="360" w:lineRule="auto"/>
        <w:rPr>
          <w:sz w:val="26"/>
          <w:szCs w:val="26"/>
        </w:rPr>
      </w:pPr>
    </w:p>
    <w:p w:rsidR="000646AA" w:rsidRPr="000646AA" w:rsidRDefault="000646AA" w:rsidP="00387640">
      <w:pPr>
        <w:pStyle w:val="OutlineL2"/>
        <w:keepNext/>
        <w:keepLines/>
        <w:numPr>
          <w:ilvl w:val="0"/>
          <w:numId w:val="0"/>
        </w:numPr>
        <w:tabs>
          <w:tab w:val="left" w:pos="0"/>
        </w:tabs>
        <w:spacing w:after="0" w:line="360" w:lineRule="auto"/>
        <w:rPr>
          <w:b/>
          <w:sz w:val="26"/>
          <w:szCs w:val="26"/>
        </w:rPr>
      </w:pPr>
      <w:r>
        <w:rPr>
          <w:sz w:val="26"/>
          <w:szCs w:val="26"/>
        </w:rPr>
        <w:tab/>
      </w:r>
      <w:r>
        <w:rPr>
          <w:sz w:val="26"/>
          <w:szCs w:val="26"/>
        </w:rPr>
        <w:tab/>
      </w:r>
      <w:r w:rsidRPr="000646AA">
        <w:rPr>
          <w:b/>
          <w:sz w:val="26"/>
          <w:szCs w:val="26"/>
        </w:rPr>
        <w:t>b.</w:t>
      </w:r>
      <w:r w:rsidRPr="000646AA">
        <w:rPr>
          <w:b/>
          <w:sz w:val="26"/>
          <w:szCs w:val="26"/>
        </w:rPr>
        <w:tab/>
        <w:t>OSBA</w:t>
      </w:r>
      <w:r w:rsidR="00803C65">
        <w:rPr>
          <w:b/>
          <w:sz w:val="26"/>
          <w:szCs w:val="26"/>
        </w:rPr>
        <w:t>’</w:t>
      </w:r>
      <w:r w:rsidRPr="000646AA">
        <w:rPr>
          <w:b/>
          <w:sz w:val="26"/>
          <w:szCs w:val="26"/>
        </w:rPr>
        <w:t>s Position</w:t>
      </w:r>
    </w:p>
    <w:p w:rsidR="000646AA" w:rsidRDefault="000646AA" w:rsidP="00387640">
      <w:pPr>
        <w:pStyle w:val="OutlineL2"/>
        <w:keepNext/>
        <w:keepLines/>
        <w:numPr>
          <w:ilvl w:val="0"/>
          <w:numId w:val="0"/>
        </w:numPr>
        <w:tabs>
          <w:tab w:val="left" w:pos="0"/>
        </w:tabs>
        <w:spacing w:after="0" w:line="360" w:lineRule="auto"/>
        <w:rPr>
          <w:sz w:val="26"/>
          <w:szCs w:val="26"/>
        </w:rPr>
      </w:pPr>
    </w:p>
    <w:p w:rsidR="00387640" w:rsidRPr="00387640" w:rsidRDefault="00387640" w:rsidP="00A70E5E">
      <w:pPr>
        <w:pStyle w:val="OutlineL2"/>
        <w:numPr>
          <w:ilvl w:val="0"/>
          <w:numId w:val="0"/>
        </w:numPr>
        <w:tabs>
          <w:tab w:val="left" w:pos="0"/>
        </w:tabs>
        <w:spacing w:after="0" w:line="360" w:lineRule="auto"/>
        <w:rPr>
          <w:sz w:val="26"/>
          <w:szCs w:val="26"/>
        </w:rPr>
      </w:pPr>
      <w:r>
        <w:rPr>
          <w:sz w:val="26"/>
          <w:szCs w:val="26"/>
        </w:rPr>
        <w:tab/>
      </w:r>
      <w:r>
        <w:rPr>
          <w:sz w:val="26"/>
          <w:szCs w:val="26"/>
        </w:rPr>
        <w:tab/>
      </w:r>
      <w:r w:rsidR="00FB2786">
        <w:rPr>
          <w:sz w:val="26"/>
          <w:szCs w:val="26"/>
        </w:rPr>
        <w:t>The OSBA opposes</w:t>
      </w:r>
      <w:r w:rsidR="004261D6">
        <w:rPr>
          <w:sz w:val="26"/>
          <w:szCs w:val="26"/>
        </w:rPr>
        <w:t xml:space="preserve"> PPL</w:t>
      </w:r>
      <w:r w:rsidR="00803C65">
        <w:rPr>
          <w:sz w:val="26"/>
          <w:szCs w:val="26"/>
        </w:rPr>
        <w:t>’</w:t>
      </w:r>
      <w:r w:rsidR="004261D6">
        <w:rPr>
          <w:sz w:val="26"/>
          <w:szCs w:val="26"/>
        </w:rPr>
        <w:t>s proposal to reduce the peak de</w:t>
      </w:r>
      <w:r w:rsidR="00177BB7">
        <w:rPr>
          <w:sz w:val="26"/>
          <w:szCs w:val="26"/>
        </w:rPr>
        <w:t>mand demarcation between Small</w:t>
      </w:r>
      <w:r w:rsidR="004B1DA8">
        <w:rPr>
          <w:sz w:val="26"/>
          <w:szCs w:val="26"/>
        </w:rPr>
        <w:t xml:space="preserve"> and Large</w:t>
      </w:r>
      <w:r w:rsidR="00177BB7">
        <w:rPr>
          <w:sz w:val="26"/>
          <w:szCs w:val="26"/>
        </w:rPr>
        <w:t xml:space="preserve"> </w:t>
      </w:r>
      <w:r w:rsidR="004B1DA8">
        <w:rPr>
          <w:sz w:val="26"/>
          <w:szCs w:val="26"/>
        </w:rPr>
        <w:t xml:space="preserve">C&amp;I </w:t>
      </w:r>
      <w:r w:rsidR="004261D6">
        <w:rPr>
          <w:sz w:val="26"/>
          <w:szCs w:val="26"/>
        </w:rPr>
        <w:t xml:space="preserve">customers from 500 kW to 100 kW.  </w:t>
      </w:r>
      <w:r w:rsidR="00D4444B">
        <w:rPr>
          <w:sz w:val="26"/>
          <w:szCs w:val="26"/>
        </w:rPr>
        <w:t xml:space="preserve">The OSBA </w:t>
      </w:r>
      <w:r w:rsidR="00284711">
        <w:rPr>
          <w:sz w:val="26"/>
          <w:szCs w:val="26"/>
        </w:rPr>
        <w:t>argued</w:t>
      </w:r>
      <w:r w:rsidR="003943B3">
        <w:rPr>
          <w:sz w:val="26"/>
          <w:szCs w:val="26"/>
        </w:rPr>
        <w:t xml:space="preserve"> t</w:t>
      </w:r>
      <w:r w:rsidR="00BF145F">
        <w:rPr>
          <w:sz w:val="26"/>
          <w:szCs w:val="26"/>
        </w:rPr>
        <w:t xml:space="preserve">hat moving </w:t>
      </w:r>
      <w:r w:rsidR="003943B3">
        <w:rPr>
          <w:sz w:val="26"/>
          <w:szCs w:val="26"/>
        </w:rPr>
        <w:t>430 small business customers</w:t>
      </w:r>
      <w:r w:rsidR="00BF145F">
        <w:rPr>
          <w:sz w:val="26"/>
          <w:szCs w:val="26"/>
        </w:rPr>
        <w:t xml:space="preserve"> from the Small </w:t>
      </w:r>
      <w:r w:rsidR="00031790">
        <w:rPr>
          <w:sz w:val="26"/>
          <w:szCs w:val="26"/>
        </w:rPr>
        <w:t>C&amp;I</w:t>
      </w:r>
      <w:r w:rsidR="00BF145F">
        <w:rPr>
          <w:sz w:val="26"/>
          <w:szCs w:val="26"/>
        </w:rPr>
        <w:t xml:space="preserve"> to</w:t>
      </w:r>
      <w:r w:rsidR="00D77798">
        <w:rPr>
          <w:sz w:val="26"/>
          <w:szCs w:val="26"/>
        </w:rPr>
        <w:t xml:space="preserve"> the Large C&amp;I class will cause these customers to be</w:t>
      </w:r>
      <w:r w:rsidR="00BF145F">
        <w:rPr>
          <w:sz w:val="26"/>
          <w:szCs w:val="26"/>
        </w:rPr>
        <w:t xml:space="preserve"> removed</w:t>
      </w:r>
      <w:r w:rsidR="003943B3">
        <w:rPr>
          <w:sz w:val="26"/>
          <w:szCs w:val="26"/>
        </w:rPr>
        <w:t xml:space="preserve"> from their current</w:t>
      </w:r>
      <w:r w:rsidR="00031790">
        <w:rPr>
          <w:sz w:val="26"/>
          <w:szCs w:val="26"/>
        </w:rPr>
        <w:t>, more stable fixed-price</w:t>
      </w:r>
      <w:r w:rsidR="003943B3">
        <w:rPr>
          <w:sz w:val="26"/>
          <w:szCs w:val="26"/>
        </w:rPr>
        <w:t xml:space="preserve"> default service at rates charged un</w:t>
      </w:r>
      <w:r w:rsidR="00031790">
        <w:rPr>
          <w:sz w:val="26"/>
          <w:szCs w:val="26"/>
        </w:rPr>
        <w:t xml:space="preserve">der GSC-1, and </w:t>
      </w:r>
      <w:r w:rsidR="00653724">
        <w:rPr>
          <w:sz w:val="26"/>
          <w:szCs w:val="26"/>
        </w:rPr>
        <w:t xml:space="preserve">to be </w:t>
      </w:r>
      <w:r w:rsidR="00031790">
        <w:rPr>
          <w:sz w:val="26"/>
          <w:szCs w:val="26"/>
        </w:rPr>
        <w:t>transfer</w:t>
      </w:r>
      <w:r w:rsidR="00D77798">
        <w:rPr>
          <w:sz w:val="26"/>
          <w:szCs w:val="26"/>
        </w:rPr>
        <w:t xml:space="preserve">red </w:t>
      </w:r>
      <w:r w:rsidR="00031790">
        <w:rPr>
          <w:sz w:val="26"/>
          <w:szCs w:val="26"/>
        </w:rPr>
        <w:t>to hourly spot-market-</w:t>
      </w:r>
      <w:r w:rsidR="009C40F1">
        <w:rPr>
          <w:sz w:val="26"/>
          <w:szCs w:val="26"/>
        </w:rPr>
        <w:t>priced service under GSC-2.</w:t>
      </w:r>
      <w:r w:rsidR="00B7018C">
        <w:rPr>
          <w:sz w:val="26"/>
          <w:szCs w:val="26"/>
        </w:rPr>
        <w:t xml:space="preserve">  OSBA M.B. at 3-4.</w:t>
      </w:r>
      <w:r w:rsidR="00031790">
        <w:rPr>
          <w:sz w:val="26"/>
          <w:szCs w:val="26"/>
        </w:rPr>
        <w:t xml:space="preserve">  </w:t>
      </w:r>
      <w:r w:rsidR="00FB2786">
        <w:rPr>
          <w:sz w:val="26"/>
          <w:szCs w:val="26"/>
        </w:rPr>
        <w:t xml:space="preserve">The OSBA contended that this result </w:t>
      </w:r>
      <w:r w:rsidR="008077CB">
        <w:rPr>
          <w:sz w:val="26"/>
          <w:szCs w:val="26"/>
        </w:rPr>
        <w:t xml:space="preserve">would be contrary to Section 2807(e) of the Code, particularly the requirement that a prudent mix of contracts be procured to ensure adequate and reliable service, and least cost to the customer over time.  </w:t>
      </w:r>
      <w:r w:rsidR="008077CB" w:rsidRPr="008077CB">
        <w:rPr>
          <w:i/>
          <w:sz w:val="26"/>
          <w:szCs w:val="26"/>
        </w:rPr>
        <w:t>Id</w:t>
      </w:r>
      <w:r w:rsidR="008077CB">
        <w:rPr>
          <w:sz w:val="26"/>
          <w:szCs w:val="26"/>
        </w:rPr>
        <w:t xml:space="preserve">. at 5 (citing 66 Pa. C.S. </w:t>
      </w:r>
      <w:r w:rsidR="008077CB" w:rsidRPr="008077CB">
        <w:rPr>
          <w:sz w:val="26"/>
          <w:szCs w:val="26"/>
        </w:rPr>
        <w:t>§§</w:t>
      </w:r>
      <w:r w:rsidR="008077CB">
        <w:rPr>
          <w:sz w:val="26"/>
          <w:szCs w:val="26"/>
        </w:rPr>
        <w:t xml:space="preserve"> 2807(e)(3.2) and (3.4)</w:t>
      </w:r>
      <w:r w:rsidR="004C24EF">
        <w:rPr>
          <w:sz w:val="26"/>
          <w:szCs w:val="26"/>
        </w:rPr>
        <w:t>)</w:t>
      </w:r>
      <w:r w:rsidR="008077CB">
        <w:rPr>
          <w:sz w:val="26"/>
          <w:szCs w:val="26"/>
        </w:rPr>
        <w:t>.</w:t>
      </w:r>
      <w:r w:rsidR="004C24EF">
        <w:rPr>
          <w:sz w:val="26"/>
          <w:szCs w:val="26"/>
        </w:rPr>
        <w:t xml:space="preserve">  </w:t>
      </w:r>
      <w:r w:rsidR="000F46A6">
        <w:rPr>
          <w:sz w:val="26"/>
          <w:szCs w:val="26"/>
        </w:rPr>
        <w:t>According to the OSBA</w:t>
      </w:r>
      <w:r w:rsidR="004C24EF">
        <w:rPr>
          <w:sz w:val="26"/>
          <w:szCs w:val="26"/>
        </w:rPr>
        <w:t xml:space="preserve">, </w:t>
      </w:r>
      <w:r w:rsidR="002F2529">
        <w:rPr>
          <w:sz w:val="26"/>
          <w:szCs w:val="26"/>
        </w:rPr>
        <w:t>the Commission</w:t>
      </w:r>
      <w:r w:rsidR="000F46A6">
        <w:rPr>
          <w:sz w:val="26"/>
          <w:szCs w:val="26"/>
        </w:rPr>
        <w:t xml:space="preserve"> has</w:t>
      </w:r>
      <w:r w:rsidR="002F2529">
        <w:rPr>
          <w:sz w:val="26"/>
          <w:szCs w:val="26"/>
        </w:rPr>
        <w:t xml:space="preserve"> rejected the argument that </w:t>
      </w:r>
      <w:r w:rsidR="0076775F">
        <w:rPr>
          <w:sz w:val="26"/>
          <w:szCs w:val="26"/>
        </w:rPr>
        <w:t xml:space="preserve">the least cost standard mandates that default service rates be market-reflective, and that such an interpretation of the least cost standard would be inconsistent with the price stability objective of Act 129.  OSBA M.B. at 6-7 (citing </w:t>
      </w:r>
      <w:r w:rsidR="004E0167" w:rsidRPr="00701498">
        <w:rPr>
          <w:i/>
          <w:sz w:val="26"/>
          <w:szCs w:val="26"/>
        </w:rPr>
        <w:t xml:space="preserve">Implementation of Act 129 of </w:t>
      </w:r>
      <w:r w:rsidRPr="00701498">
        <w:rPr>
          <w:i/>
          <w:sz w:val="26"/>
          <w:szCs w:val="26"/>
        </w:rPr>
        <w:t>October</w:t>
      </w:r>
      <w:r w:rsidR="003D6300">
        <w:rPr>
          <w:i/>
          <w:sz w:val="26"/>
          <w:szCs w:val="26"/>
        </w:rPr>
        <w:t> </w:t>
      </w:r>
      <w:r w:rsidRPr="00701498">
        <w:rPr>
          <w:i/>
          <w:sz w:val="26"/>
          <w:szCs w:val="26"/>
        </w:rPr>
        <w:t>15, 2008; Default Service</w:t>
      </w:r>
      <w:r w:rsidR="004E0167" w:rsidRPr="00701498">
        <w:rPr>
          <w:i/>
          <w:sz w:val="26"/>
          <w:szCs w:val="26"/>
        </w:rPr>
        <w:t xml:space="preserve"> And Retail Electric </w:t>
      </w:r>
      <w:r w:rsidR="004E0167" w:rsidRPr="00113BA0">
        <w:rPr>
          <w:i/>
          <w:sz w:val="26"/>
          <w:szCs w:val="26"/>
        </w:rPr>
        <w:t>Markets</w:t>
      </w:r>
      <w:r w:rsidR="004E0167" w:rsidRPr="00113BA0">
        <w:rPr>
          <w:sz w:val="26"/>
          <w:szCs w:val="26"/>
        </w:rPr>
        <w:t xml:space="preserve">, Docket No. </w:t>
      </w:r>
      <w:r w:rsidRPr="00113BA0">
        <w:rPr>
          <w:sz w:val="26"/>
          <w:szCs w:val="26"/>
        </w:rPr>
        <w:t>L-2009-2095604</w:t>
      </w:r>
      <w:r w:rsidR="004E0167" w:rsidRPr="00113BA0">
        <w:rPr>
          <w:sz w:val="26"/>
          <w:szCs w:val="26"/>
        </w:rPr>
        <w:t xml:space="preserve"> (Final Rulemaking Order entered </w:t>
      </w:r>
      <w:r w:rsidR="00701498" w:rsidRPr="00113BA0">
        <w:rPr>
          <w:sz w:val="26"/>
          <w:szCs w:val="26"/>
        </w:rPr>
        <w:t>October 4, 2011) (</w:t>
      </w:r>
      <w:r w:rsidR="00701498" w:rsidRPr="00113BA0">
        <w:rPr>
          <w:i/>
          <w:sz w:val="26"/>
          <w:szCs w:val="26"/>
        </w:rPr>
        <w:t>Final Default Service Rulemaking Order</w:t>
      </w:r>
      <w:r w:rsidR="00701498" w:rsidRPr="00113BA0">
        <w:rPr>
          <w:sz w:val="26"/>
          <w:szCs w:val="26"/>
        </w:rPr>
        <w:t xml:space="preserve">) at </w:t>
      </w:r>
      <w:r w:rsidR="00CD7EE1" w:rsidRPr="00113BA0">
        <w:rPr>
          <w:sz w:val="26"/>
          <w:szCs w:val="26"/>
        </w:rPr>
        <w:t>39-41</w:t>
      </w:r>
      <w:r w:rsidR="00427828">
        <w:rPr>
          <w:sz w:val="26"/>
          <w:szCs w:val="26"/>
        </w:rPr>
        <w:t>)</w:t>
      </w:r>
      <w:r w:rsidR="00CD7EE1" w:rsidRPr="00113BA0">
        <w:rPr>
          <w:sz w:val="26"/>
          <w:szCs w:val="26"/>
        </w:rPr>
        <w:t>.</w:t>
      </w:r>
    </w:p>
    <w:p w:rsidR="00FB2786" w:rsidRDefault="00FB2786" w:rsidP="00D26D41">
      <w:pPr>
        <w:pStyle w:val="OutlineL2"/>
        <w:keepNext/>
        <w:keepLines/>
        <w:numPr>
          <w:ilvl w:val="0"/>
          <w:numId w:val="0"/>
        </w:numPr>
        <w:tabs>
          <w:tab w:val="left" w:pos="0"/>
        </w:tabs>
        <w:spacing w:after="0" w:line="360" w:lineRule="auto"/>
        <w:rPr>
          <w:sz w:val="26"/>
          <w:szCs w:val="26"/>
        </w:rPr>
      </w:pPr>
    </w:p>
    <w:p w:rsidR="0001435F" w:rsidRDefault="000F46A6" w:rsidP="00A70E5E">
      <w:pPr>
        <w:pStyle w:val="OutlineL2"/>
        <w:numPr>
          <w:ilvl w:val="0"/>
          <w:numId w:val="0"/>
        </w:numPr>
        <w:tabs>
          <w:tab w:val="left" w:pos="0"/>
        </w:tabs>
        <w:spacing w:after="0" w:line="360" w:lineRule="auto"/>
        <w:rPr>
          <w:sz w:val="26"/>
          <w:szCs w:val="26"/>
        </w:rPr>
      </w:pPr>
      <w:r>
        <w:rPr>
          <w:sz w:val="26"/>
          <w:szCs w:val="26"/>
        </w:rPr>
        <w:tab/>
      </w:r>
      <w:r>
        <w:rPr>
          <w:sz w:val="26"/>
          <w:szCs w:val="26"/>
        </w:rPr>
        <w:tab/>
        <w:t xml:space="preserve">The OSBA asserted that </w:t>
      </w:r>
      <w:r w:rsidR="00D77798">
        <w:rPr>
          <w:sz w:val="26"/>
          <w:szCs w:val="26"/>
        </w:rPr>
        <w:t>PPL</w:t>
      </w:r>
      <w:r w:rsidR="00803C65">
        <w:rPr>
          <w:sz w:val="26"/>
          <w:szCs w:val="26"/>
        </w:rPr>
        <w:t>’</w:t>
      </w:r>
      <w:r w:rsidR="00D77798">
        <w:rPr>
          <w:sz w:val="26"/>
          <w:szCs w:val="26"/>
        </w:rPr>
        <w:t>s commitment to make such a change in its previous DSP II proceeding is no basis to approve its proposal</w:t>
      </w:r>
      <w:r w:rsidR="00555CF3">
        <w:rPr>
          <w:sz w:val="26"/>
          <w:szCs w:val="26"/>
        </w:rPr>
        <w:t xml:space="preserve"> here</w:t>
      </w:r>
      <w:r w:rsidR="00D77798">
        <w:rPr>
          <w:sz w:val="26"/>
          <w:szCs w:val="26"/>
        </w:rPr>
        <w:t>.</w:t>
      </w:r>
      <w:r w:rsidR="00D4444B">
        <w:rPr>
          <w:sz w:val="26"/>
          <w:szCs w:val="26"/>
        </w:rPr>
        <w:t xml:space="preserve">  </w:t>
      </w:r>
      <w:r w:rsidR="00D77798">
        <w:rPr>
          <w:sz w:val="26"/>
          <w:szCs w:val="26"/>
        </w:rPr>
        <w:t xml:space="preserve">Moreover, the OSBA </w:t>
      </w:r>
      <w:r w:rsidR="00284711">
        <w:rPr>
          <w:sz w:val="26"/>
          <w:szCs w:val="26"/>
        </w:rPr>
        <w:t>contended</w:t>
      </w:r>
      <w:r w:rsidR="00D4444B">
        <w:rPr>
          <w:sz w:val="26"/>
          <w:szCs w:val="26"/>
        </w:rPr>
        <w:t xml:space="preserve"> that PPL is mistaken in its assertion that the proposal will impact only a small number of customers, stating that the affected load represents 13.7 percent of the </w:t>
      </w:r>
      <w:r w:rsidR="00D4444B">
        <w:rPr>
          <w:sz w:val="26"/>
          <w:szCs w:val="26"/>
        </w:rPr>
        <w:lastRenderedPageBreak/>
        <w:t xml:space="preserve">total Small C&amp;I default service load.  </w:t>
      </w:r>
      <w:r w:rsidR="00427828">
        <w:rPr>
          <w:sz w:val="26"/>
          <w:szCs w:val="26"/>
        </w:rPr>
        <w:t xml:space="preserve">OSBA M.B. </w:t>
      </w:r>
      <w:r w:rsidR="00D4444B">
        <w:rPr>
          <w:sz w:val="26"/>
          <w:szCs w:val="26"/>
        </w:rPr>
        <w:t>at 4.</w:t>
      </w:r>
      <w:r w:rsidR="00284711">
        <w:rPr>
          <w:sz w:val="26"/>
          <w:szCs w:val="26"/>
        </w:rPr>
        <w:t xml:space="preserve">  The OSBA further argued that consistency </w:t>
      </w:r>
      <w:r w:rsidR="00505782">
        <w:rPr>
          <w:sz w:val="26"/>
          <w:szCs w:val="26"/>
        </w:rPr>
        <w:t xml:space="preserve">with the </w:t>
      </w:r>
      <w:r w:rsidR="00505782" w:rsidRPr="00071D36">
        <w:rPr>
          <w:i/>
          <w:sz w:val="26"/>
          <w:szCs w:val="26"/>
        </w:rPr>
        <w:t>End State Order</w:t>
      </w:r>
      <w:r w:rsidR="00505782">
        <w:rPr>
          <w:sz w:val="26"/>
          <w:szCs w:val="26"/>
        </w:rPr>
        <w:t xml:space="preserve"> is also </w:t>
      </w:r>
      <w:r w:rsidR="00803C65">
        <w:rPr>
          <w:sz w:val="26"/>
          <w:szCs w:val="26"/>
        </w:rPr>
        <w:t>“</w:t>
      </w:r>
      <w:r w:rsidR="00505782">
        <w:rPr>
          <w:sz w:val="26"/>
          <w:szCs w:val="26"/>
        </w:rPr>
        <w:t>not a basis on which 13.7 percent of the Small C&amp;I customer load should be disrupted from their current choice for stable rate default service.</w:t>
      </w:r>
      <w:r w:rsidR="00803C65">
        <w:rPr>
          <w:sz w:val="26"/>
          <w:szCs w:val="26"/>
        </w:rPr>
        <w:t>”</w:t>
      </w:r>
      <w:r w:rsidR="00505782">
        <w:rPr>
          <w:sz w:val="26"/>
          <w:szCs w:val="26"/>
        </w:rPr>
        <w:t xml:space="preserve">  </w:t>
      </w:r>
      <w:r w:rsidR="00505782" w:rsidRPr="00505782">
        <w:rPr>
          <w:i/>
          <w:sz w:val="26"/>
          <w:szCs w:val="26"/>
        </w:rPr>
        <w:t>Id</w:t>
      </w:r>
      <w:r w:rsidR="00505782">
        <w:rPr>
          <w:sz w:val="26"/>
          <w:szCs w:val="26"/>
        </w:rPr>
        <w:t xml:space="preserve">. at 8.  </w:t>
      </w:r>
      <w:r w:rsidR="00753329">
        <w:rPr>
          <w:sz w:val="26"/>
          <w:szCs w:val="26"/>
        </w:rPr>
        <w:t xml:space="preserve">According to the OSBA, the </w:t>
      </w:r>
      <w:r w:rsidR="00753329" w:rsidRPr="00753329">
        <w:rPr>
          <w:i/>
          <w:sz w:val="26"/>
          <w:szCs w:val="26"/>
        </w:rPr>
        <w:t>End State Order</w:t>
      </w:r>
      <w:r w:rsidR="00753329">
        <w:rPr>
          <w:sz w:val="26"/>
          <w:szCs w:val="26"/>
        </w:rPr>
        <w:t xml:space="preserve"> represents the Commission</w:t>
      </w:r>
      <w:r w:rsidR="00803C65">
        <w:rPr>
          <w:sz w:val="26"/>
          <w:szCs w:val="26"/>
        </w:rPr>
        <w:t>’</w:t>
      </w:r>
      <w:r w:rsidR="00753329">
        <w:rPr>
          <w:sz w:val="26"/>
          <w:szCs w:val="26"/>
        </w:rPr>
        <w:t xml:space="preserve">s </w:t>
      </w:r>
      <w:r w:rsidR="00803C65">
        <w:rPr>
          <w:sz w:val="26"/>
          <w:szCs w:val="26"/>
        </w:rPr>
        <w:t>“</w:t>
      </w:r>
      <w:r w:rsidR="00753329">
        <w:rPr>
          <w:sz w:val="26"/>
          <w:szCs w:val="26"/>
        </w:rPr>
        <w:t>wish list</w:t>
      </w:r>
      <w:r w:rsidR="00803C65">
        <w:rPr>
          <w:sz w:val="26"/>
          <w:szCs w:val="26"/>
        </w:rPr>
        <w:t>”</w:t>
      </w:r>
      <w:r w:rsidR="00753329">
        <w:rPr>
          <w:sz w:val="26"/>
          <w:szCs w:val="26"/>
        </w:rPr>
        <w:t xml:space="preserve"> regarding the future of default service, and is not a legal mandate, which the Commission itself conceded.  </w:t>
      </w:r>
      <w:r w:rsidR="00753329" w:rsidRPr="00753329">
        <w:rPr>
          <w:i/>
          <w:sz w:val="26"/>
          <w:szCs w:val="26"/>
        </w:rPr>
        <w:t>Id</w:t>
      </w:r>
      <w:r w:rsidR="00753329">
        <w:rPr>
          <w:sz w:val="26"/>
          <w:szCs w:val="26"/>
        </w:rPr>
        <w:t>.  In this regard, the OSBA noted that the Commission explicitly expressed concern about the legality of moving medium C&amp;I customers from stable-rate default service to hourly-priced service</w:t>
      </w:r>
      <w:r w:rsidR="00E76E05">
        <w:rPr>
          <w:sz w:val="26"/>
          <w:szCs w:val="26"/>
        </w:rPr>
        <w:t>, preferring instead to seek legislative changes to obtain the authority to do so</w:t>
      </w:r>
      <w:r w:rsidR="00753329">
        <w:rPr>
          <w:sz w:val="26"/>
          <w:szCs w:val="26"/>
        </w:rPr>
        <w:t xml:space="preserve">.  </w:t>
      </w:r>
      <w:r w:rsidR="00753329" w:rsidRPr="00753329">
        <w:rPr>
          <w:i/>
          <w:sz w:val="26"/>
          <w:szCs w:val="26"/>
        </w:rPr>
        <w:t>Id</w:t>
      </w:r>
      <w:r w:rsidR="00753329">
        <w:rPr>
          <w:sz w:val="26"/>
          <w:szCs w:val="26"/>
        </w:rPr>
        <w:t xml:space="preserve">. at 8-9 (quoting </w:t>
      </w:r>
      <w:r w:rsidR="00753329" w:rsidRPr="00753329">
        <w:rPr>
          <w:i/>
          <w:sz w:val="26"/>
          <w:szCs w:val="26"/>
        </w:rPr>
        <w:t>End State Order</w:t>
      </w:r>
      <w:r w:rsidR="00753329">
        <w:rPr>
          <w:sz w:val="26"/>
          <w:szCs w:val="26"/>
        </w:rPr>
        <w:t xml:space="preserve"> at 45).</w:t>
      </w:r>
    </w:p>
    <w:p w:rsidR="004261D6" w:rsidRDefault="004261D6" w:rsidP="003D6300">
      <w:pPr>
        <w:pStyle w:val="OutlineL2"/>
        <w:numPr>
          <w:ilvl w:val="0"/>
          <w:numId w:val="0"/>
        </w:numPr>
        <w:tabs>
          <w:tab w:val="left" w:pos="0"/>
        </w:tabs>
        <w:spacing w:after="0" w:line="360" w:lineRule="auto"/>
        <w:rPr>
          <w:sz w:val="26"/>
          <w:szCs w:val="26"/>
        </w:rPr>
      </w:pPr>
    </w:p>
    <w:p w:rsidR="000646AA" w:rsidRPr="000646AA" w:rsidRDefault="000646AA" w:rsidP="00D26D41">
      <w:pPr>
        <w:pStyle w:val="OutlineL2"/>
        <w:keepNext/>
        <w:keepLines/>
        <w:numPr>
          <w:ilvl w:val="0"/>
          <w:numId w:val="0"/>
        </w:numPr>
        <w:tabs>
          <w:tab w:val="left" w:pos="0"/>
        </w:tabs>
        <w:spacing w:after="0" w:line="360" w:lineRule="auto"/>
        <w:rPr>
          <w:b/>
          <w:sz w:val="26"/>
          <w:szCs w:val="26"/>
        </w:rPr>
      </w:pPr>
      <w:r>
        <w:rPr>
          <w:sz w:val="26"/>
          <w:szCs w:val="26"/>
        </w:rPr>
        <w:tab/>
      </w:r>
      <w:r>
        <w:rPr>
          <w:sz w:val="26"/>
          <w:szCs w:val="26"/>
        </w:rPr>
        <w:tab/>
      </w:r>
      <w:r w:rsidRPr="000646AA">
        <w:rPr>
          <w:b/>
          <w:sz w:val="26"/>
          <w:szCs w:val="26"/>
        </w:rPr>
        <w:t>c.</w:t>
      </w:r>
      <w:r w:rsidRPr="000646AA">
        <w:rPr>
          <w:b/>
          <w:sz w:val="26"/>
          <w:szCs w:val="26"/>
        </w:rPr>
        <w:tab/>
        <w:t>RESA</w:t>
      </w:r>
      <w:r w:rsidR="00803C65">
        <w:rPr>
          <w:b/>
          <w:sz w:val="26"/>
          <w:szCs w:val="26"/>
        </w:rPr>
        <w:t>’</w:t>
      </w:r>
      <w:r w:rsidRPr="000646AA">
        <w:rPr>
          <w:b/>
          <w:sz w:val="26"/>
          <w:szCs w:val="26"/>
        </w:rPr>
        <w:t>s Position</w:t>
      </w:r>
    </w:p>
    <w:p w:rsidR="000646AA" w:rsidRDefault="000646AA" w:rsidP="00D26D41">
      <w:pPr>
        <w:pStyle w:val="OutlineL2"/>
        <w:keepNext/>
        <w:keepLines/>
        <w:numPr>
          <w:ilvl w:val="0"/>
          <w:numId w:val="0"/>
        </w:numPr>
        <w:tabs>
          <w:tab w:val="left" w:pos="0"/>
        </w:tabs>
        <w:spacing w:after="0" w:line="360" w:lineRule="auto"/>
        <w:rPr>
          <w:sz w:val="26"/>
          <w:szCs w:val="26"/>
        </w:rPr>
      </w:pPr>
    </w:p>
    <w:p w:rsidR="0001435F" w:rsidRDefault="0001435F" w:rsidP="00ED631A">
      <w:pPr>
        <w:pStyle w:val="OutlineL2"/>
        <w:numPr>
          <w:ilvl w:val="0"/>
          <w:numId w:val="0"/>
        </w:numPr>
        <w:tabs>
          <w:tab w:val="left" w:pos="0"/>
        </w:tabs>
        <w:spacing w:after="0" w:line="360" w:lineRule="auto"/>
        <w:rPr>
          <w:sz w:val="26"/>
          <w:szCs w:val="26"/>
        </w:rPr>
      </w:pPr>
      <w:r>
        <w:rPr>
          <w:sz w:val="26"/>
          <w:szCs w:val="26"/>
        </w:rPr>
        <w:tab/>
      </w:r>
      <w:r>
        <w:rPr>
          <w:sz w:val="26"/>
          <w:szCs w:val="26"/>
        </w:rPr>
        <w:tab/>
        <w:t xml:space="preserve">RESA </w:t>
      </w:r>
      <w:r w:rsidR="00FD6E65">
        <w:rPr>
          <w:sz w:val="26"/>
          <w:szCs w:val="26"/>
        </w:rPr>
        <w:t>is supportive of PPL</w:t>
      </w:r>
      <w:r w:rsidR="00803C65">
        <w:rPr>
          <w:sz w:val="26"/>
          <w:szCs w:val="26"/>
        </w:rPr>
        <w:t>’</w:t>
      </w:r>
      <w:r w:rsidR="00FD6E65">
        <w:rPr>
          <w:sz w:val="26"/>
          <w:szCs w:val="26"/>
        </w:rPr>
        <w:t>s proposal, and disagrees with the OSBA</w:t>
      </w:r>
      <w:r w:rsidR="00803C65">
        <w:rPr>
          <w:sz w:val="26"/>
          <w:szCs w:val="26"/>
        </w:rPr>
        <w:t>’</w:t>
      </w:r>
      <w:r w:rsidR="00FD6E65">
        <w:rPr>
          <w:sz w:val="26"/>
          <w:szCs w:val="26"/>
        </w:rPr>
        <w:t>s contention that it will prevent affected customers from having access to stable pricing for electric service.  RESA argued that PPL</w:t>
      </w:r>
      <w:r w:rsidR="00803C65">
        <w:rPr>
          <w:sz w:val="26"/>
          <w:szCs w:val="26"/>
        </w:rPr>
        <w:t>’</w:t>
      </w:r>
      <w:r w:rsidR="00FD6E65">
        <w:rPr>
          <w:sz w:val="26"/>
          <w:szCs w:val="26"/>
        </w:rPr>
        <w:t>s proposal will result in the availability of more market-refle</w:t>
      </w:r>
      <w:r w:rsidR="009363AE">
        <w:rPr>
          <w:sz w:val="26"/>
          <w:szCs w:val="26"/>
        </w:rPr>
        <w:t xml:space="preserve">ctive rates for these customers.  According to RESA, </w:t>
      </w:r>
      <w:r w:rsidR="00FD6E65">
        <w:rPr>
          <w:sz w:val="26"/>
          <w:szCs w:val="26"/>
        </w:rPr>
        <w:t>competitors will</w:t>
      </w:r>
      <w:r w:rsidR="009363AE">
        <w:rPr>
          <w:sz w:val="26"/>
          <w:szCs w:val="26"/>
        </w:rPr>
        <w:t xml:space="preserve"> then</w:t>
      </w:r>
      <w:r w:rsidR="00FD6E65">
        <w:rPr>
          <w:sz w:val="26"/>
          <w:szCs w:val="26"/>
        </w:rPr>
        <w:t xml:space="preserve"> be encouraged to enter the market, resulting in a va</w:t>
      </w:r>
      <w:r w:rsidR="009363AE">
        <w:rPr>
          <w:sz w:val="26"/>
          <w:szCs w:val="26"/>
        </w:rPr>
        <w:t>riety of products and services from which these customers can choose, including products offered at more sta</w:t>
      </w:r>
      <w:r w:rsidR="004673F2">
        <w:rPr>
          <w:sz w:val="26"/>
          <w:szCs w:val="26"/>
        </w:rPr>
        <w:t xml:space="preserve">ble prices, if that is what </w:t>
      </w:r>
      <w:r w:rsidR="009363AE">
        <w:rPr>
          <w:sz w:val="26"/>
          <w:szCs w:val="26"/>
        </w:rPr>
        <w:t xml:space="preserve">customers desire.  </w:t>
      </w:r>
      <w:r w:rsidR="00A7382E">
        <w:rPr>
          <w:sz w:val="26"/>
          <w:szCs w:val="26"/>
        </w:rPr>
        <w:t>Thus, RESA asserted that the competitive retail market can be relied upon to achieve all policy objectives, including that of price stability.  RESA M.B. at 5-6.</w:t>
      </w:r>
    </w:p>
    <w:p w:rsidR="00EE7B9B" w:rsidRDefault="00EE7B9B" w:rsidP="00ED631A">
      <w:pPr>
        <w:pStyle w:val="OutlineL2"/>
        <w:numPr>
          <w:ilvl w:val="0"/>
          <w:numId w:val="0"/>
        </w:numPr>
        <w:tabs>
          <w:tab w:val="left" w:pos="0"/>
        </w:tabs>
        <w:spacing w:after="0" w:line="360" w:lineRule="auto"/>
        <w:rPr>
          <w:sz w:val="26"/>
          <w:szCs w:val="26"/>
        </w:rPr>
      </w:pPr>
    </w:p>
    <w:p w:rsidR="00EE7B9B" w:rsidRPr="00275E16" w:rsidRDefault="00332E2E" w:rsidP="00ED631A">
      <w:pPr>
        <w:pStyle w:val="OutlineL2"/>
        <w:numPr>
          <w:ilvl w:val="0"/>
          <w:numId w:val="0"/>
        </w:numPr>
        <w:tabs>
          <w:tab w:val="left" w:pos="0"/>
        </w:tabs>
        <w:spacing w:after="0" w:line="360" w:lineRule="auto"/>
        <w:rPr>
          <w:sz w:val="26"/>
          <w:szCs w:val="26"/>
        </w:rPr>
      </w:pPr>
      <w:r>
        <w:rPr>
          <w:sz w:val="26"/>
          <w:szCs w:val="26"/>
        </w:rPr>
        <w:tab/>
      </w:r>
      <w:r>
        <w:rPr>
          <w:sz w:val="26"/>
          <w:szCs w:val="26"/>
        </w:rPr>
        <w:tab/>
        <w:t xml:space="preserve">RESA also submitted that </w:t>
      </w:r>
      <w:r w:rsidR="00803C65">
        <w:rPr>
          <w:sz w:val="26"/>
          <w:szCs w:val="26"/>
        </w:rPr>
        <w:t>“</w:t>
      </w:r>
      <w:r>
        <w:rPr>
          <w:sz w:val="26"/>
          <w:szCs w:val="26"/>
        </w:rPr>
        <w:t>PPL</w:t>
      </w:r>
      <w:r w:rsidR="00803C65">
        <w:rPr>
          <w:sz w:val="26"/>
          <w:szCs w:val="26"/>
        </w:rPr>
        <w:t>’</w:t>
      </w:r>
      <w:r w:rsidR="00EE7B9B">
        <w:rPr>
          <w:sz w:val="26"/>
          <w:szCs w:val="26"/>
        </w:rPr>
        <w:t>s proposal is clearly consistent with the Commission</w:t>
      </w:r>
      <w:r w:rsidR="00803C65">
        <w:rPr>
          <w:sz w:val="26"/>
          <w:szCs w:val="26"/>
        </w:rPr>
        <w:t>’</w:t>
      </w:r>
      <w:r w:rsidR="00EE7B9B">
        <w:rPr>
          <w:sz w:val="26"/>
          <w:szCs w:val="26"/>
        </w:rPr>
        <w:t xml:space="preserve">s </w:t>
      </w:r>
      <w:r w:rsidR="00EE7B9B" w:rsidRPr="00332E2E">
        <w:rPr>
          <w:i/>
          <w:sz w:val="26"/>
          <w:szCs w:val="26"/>
        </w:rPr>
        <w:t>End State Order</w:t>
      </w:r>
      <w:r w:rsidR="00EE7B9B">
        <w:rPr>
          <w:sz w:val="26"/>
          <w:szCs w:val="26"/>
        </w:rPr>
        <w:t xml:space="preserve"> which directed that </w:t>
      </w:r>
      <w:r w:rsidR="003D6300">
        <w:rPr>
          <w:sz w:val="26"/>
          <w:szCs w:val="26"/>
        </w:rPr>
        <w:t>“</w:t>
      </w:r>
      <w:r w:rsidR="00EE7B9B">
        <w:rPr>
          <w:sz w:val="26"/>
          <w:szCs w:val="26"/>
        </w:rPr>
        <w:t xml:space="preserve">in the next round of default service plans that begin </w:t>
      </w:r>
      <w:r w:rsidR="00EE7B9B" w:rsidRPr="00332E2E">
        <w:rPr>
          <w:sz w:val="26"/>
          <w:szCs w:val="26"/>
        </w:rPr>
        <w:t>on June 1, 2015, we expect that EDCs will offer only hourly [locational marginal pricing (LMP)] to medium and large C&amp;I customers with interval meters.</w:t>
      </w:r>
      <w:r w:rsidR="00803C65">
        <w:rPr>
          <w:sz w:val="26"/>
          <w:szCs w:val="26"/>
        </w:rPr>
        <w:t>”</w:t>
      </w:r>
      <w:r w:rsidR="00EE7B9B" w:rsidRPr="00332E2E">
        <w:rPr>
          <w:sz w:val="26"/>
          <w:szCs w:val="26"/>
        </w:rPr>
        <w:t xml:space="preserve">  </w:t>
      </w:r>
      <w:r w:rsidR="00EC72C6" w:rsidRPr="00332E2E">
        <w:rPr>
          <w:i/>
          <w:sz w:val="26"/>
          <w:szCs w:val="26"/>
        </w:rPr>
        <w:t>Id</w:t>
      </w:r>
      <w:r w:rsidR="00EC72C6" w:rsidRPr="00332E2E">
        <w:rPr>
          <w:sz w:val="26"/>
          <w:szCs w:val="26"/>
        </w:rPr>
        <w:t xml:space="preserve">. at 6 (quoting </w:t>
      </w:r>
      <w:r w:rsidR="00EC72C6" w:rsidRPr="00332E2E">
        <w:rPr>
          <w:i/>
          <w:sz w:val="26"/>
          <w:szCs w:val="26"/>
        </w:rPr>
        <w:t>End State Order</w:t>
      </w:r>
      <w:r w:rsidR="00EC72C6" w:rsidRPr="00332E2E">
        <w:rPr>
          <w:sz w:val="26"/>
          <w:szCs w:val="26"/>
        </w:rPr>
        <w:t xml:space="preserve"> at 29).</w:t>
      </w:r>
      <w:r w:rsidR="00E76E05" w:rsidRPr="00332E2E">
        <w:rPr>
          <w:sz w:val="26"/>
          <w:szCs w:val="26"/>
        </w:rPr>
        <w:t xml:space="preserve">  RESA argued that hourly default service pricing will better reflect current</w:t>
      </w:r>
      <w:r w:rsidR="00E76E05">
        <w:rPr>
          <w:sz w:val="26"/>
          <w:szCs w:val="26"/>
        </w:rPr>
        <w:t xml:space="preserve"> market conditions, and would be more appropriate and </w:t>
      </w:r>
      <w:r w:rsidR="00E76E05">
        <w:rPr>
          <w:sz w:val="26"/>
          <w:szCs w:val="26"/>
        </w:rPr>
        <w:lastRenderedPageBreak/>
        <w:t>beneficial</w:t>
      </w:r>
      <w:r>
        <w:rPr>
          <w:sz w:val="26"/>
          <w:szCs w:val="26"/>
        </w:rPr>
        <w:t xml:space="preserve"> for medium to larger C&amp;I</w:t>
      </w:r>
      <w:r w:rsidR="00E76E05">
        <w:rPr>
          <w:sz w:val="26"/>
          <w:szCs w:val="26"/>
        </w:rPr>
        <w:t xml:space="preserve"> customers.  RESA M.B. at 6.  RESA </w:t>
      </w:r>
      <w:r w:rsidR="00AD29F0">
        <w:rPr>
          <w:sz w:val="26"/>
          <w:szCs w:val="26"/>
        </w:rPr>
        <w:t xml:space="preserve">also </w:t>
      </w:r>
      <w:r w:rsidR="00E76E05">
        <w:rPr>
          <w:sz w:val="26"/>
          <w:szCs w:val="26"/>
        </w:rPr>
        <w:t>contended that while the Commission expressed</w:t>
      </w:r>
      <w:r w:rsidR="00AD29F0">
        <w:rPr>
          <w:sz w:val="26"/>
          <w:szCs w:val="26"/>
        </w:rPr>
        <w:t xml:space="preserve"> a preference to seek legislative amendments to provide the authority to move C&amp;I customers to the hourly priced procurement group, nothing in the </w:t>
      </w:r>
      <w:r w:rsidR="00AD29F0" w:rsidRPr="00AD29F0">
        <w:rPr>
          <w:i/>
          <w:sz w:val="26"/>
          <w:szCs w:val="26"/>
        </w:rPr>
        <w:t>End State Order</w:t>
      </w:r>
      <w:r w:rsidR="00AD29F0">
        <w:rPr>
          <w:sz w:val="26"/>
          <w:szCs w:val="26"/>
        </w:rPr>
        <w:t xml:space="preserve"> prohibits such a movement or requires the Commission to await legislative changes.  </w:t>
      </w:r>
      <w:r w:rsidR="00AD29F0" w:rsidRPr="00AD29F0">
        <w:rPr>
          <w:i/>
          <w:sz w:val="26"/>
          <w:szCs w:val="26"/>
        </w:rPr>
        <w:t>Id</w:t>
      </w:r>
      <w:r w:rsidR="00AD29F0">
        <w:rPr>
          <w:sz w:val="26"/>
          <w:szCs w:val="26"/>
        </w:rPr>
        <w:t>. at 7.</w:t>
      </w:r>
    </w:p>
    <w:p w:rsidR="00011009" w:rsidRPr="00275E16" w:rsidRDefault="00011009" w:rsidP="00ED631A">
      <w:pPr>
        <w:rPr>
          <w:rFonts w:ascii="Times New Roman" w:hAnsi="Times New Roman"/>
          <w:sz w:val="26"/>
          <w:szCs w:val="26"/>
        </w:rPr>
      </w:pPr>
    </w:p>
    <w:p w:rsidR="00011009" w:rsidRPr="00614024" w:rsidRDefault="00011009" w:rsidP="00D26D41">
      <w:pPr>
        <w:rPr>
          <w:rFonts w:ascii="Times New Roman" w:hAnsi="Times New Roman"/>
          <w:b/>
          <w:sz w:val="26"/>
          <w:szCs w:val="26"/>
        </w:rPr>
      </w:pPr>
      <w:r w:rsidRPr="00614024">
        <w:rPr>
          <w:rFonts w:ascii="Times New Roman" w:hAnsi="Times New Roman"/>
          <w:sz w:val="26"/>
          <w:szCs w:val="26"/>
        </w:rPr>
        <w:tab/>
      </w:r>
      <w:r w:rsidRPr="00614024">
        <w:rPr>
          <w:rFonts w:ascii="Times New Roman" w:hAnsi="Times New Roman"/>
          <w:b/>
          <w:sz w:val="26"/>
          <w:szCs w:val="26"/>
        </w:rPr>
        <w:t>2.</w:t>
      </w:r>
      <w:r w:rsidRPr="00614024">
        <w:rPr>
          <w:rFonts w:ascii="Times New Roman" w:hAnsi="Times New Roman"/>
          <w:b/>
          <w:sz w:val="26"/>
          <w:szCs w:val="26"/>
        </w:rPr>
        <w:tab/>
        <w:t>ALJ</w:t>
      </w:r>
      <w:r w:rsidR="00803C65">
        <w:rPr>
          <w:rFonts w:ascii="Times New Roman" w:hAnsi="Times New Roman"/>
          <w:b/>
          <w:sz w:val="26"/>
          <w:szCs w:val="26"/>
        </w:rPr>
        <w:t>’</w:t>
      </w:r>
      <w:r w:rsidRPr="00614024">
        <w:rPr>
          <w:rFonts w:ascii="Times New Roman" w:hAnsi="Times New Roman"/>
          <w:b/>
          <w:sz w:val="26"/>
          <w:szCs w:val="26"/>
        </w:rPr>
        <w:t>s Recommendation</w:t>
      </w:r>
    </w:p>
    <w:p w:rsidR="00011009" w:rsidRDefault="00011009" w:rsidP="00D26D41">
      <w:pPr>
        <w:rPr>
          <w:rFonts w:ascii="Times New Roman" w:hAnsi="Times New Roman"/>
          <w:sz w:val="26"/>
          <w:szCs w:val="26"/>
        </w:rPr>
      </w:pPr>
    </w:p>
    <w:p w:rsidR="00614024" w:rsidRDefault="00EB6E5D" w:rsidP="00D26D41">
      <w:pPr>
        <w:rPr>
          <w:sz w:val="26"/>
          <w:szCs w:val="26"/>
        </w:rPr>
      </w:pPr>
      <w:r>
        <w:rPr>
          <w:rFonts w:ascii="Times New Roman" w:hAnsi="Times New Roman"/>
          <w:sz w:val="26"/>
          <w:szCs w:val="26"/>
        </w:rPr>
        <w:tab/>
      </w:r>
      <w:r>
        <w:rPr>
          <w:rFonts w:ascii="Times New Roman" w:hAnsi="Times New Roman"/>
          <w:sz w:val="26"/>
          <w:szCs w:val="26"/>
        </w:rPr>
        <w:tab/>
      </w:r>
      <w:r w:rsidR="00275168">
        <w:rPr>
          <w:rFonts w:ascii="Times New Roman" w:hAnsi="Times New Roman"/>
          <w:sz w:val="26"/>
          <w:szCs w:val="26"/>
        </w:rPr>
        <w:t>In her Recommended Decision, the ALJ first determined</w:t>
      </w:r>
      <w:r>
        <w:rPr>
          <w:rFonts w:ascii="Times New Roman" w:hAnsi="Times New Roman"/>
          <w:sz w:val="26"/>
          <w:szCs w:val="26"/>
        </w:rPr>
        <w:t xml:space="preserve"> that </w:t>
      </w:r>
      <w:r>
        <w:rPr>
          <w:sz w:val="26"/>
          <w:szCs w:val="26"/>
        </w:rPr>
        <w:t xml:space="preserve">the </w:t>
      </w:r>
      <w:r w:rsidRPr="00AD29F0">
        <w:rPr>
          <w:i/>
          <w:sz w:val="26"/>
          <w:szCs w:val="26"/>
        </w:rPr>
        <w:t>End State Order</w:t>
      </w:r>
      <w:r>
        <w:rPr>
          <w:sz w:val="26"/>
          <w:szCs w:val="26"/>
        </w:rPr>
        <w:t xml:space="preserve"> is not consistent with the Commission</w:t>
      </w:r>
      <w:r w:rsidR="00803C65">
        <w:rPr>
          <w:sz w:val="26"/>
          <w:szCs w:val="26"/>
        </w:rPr>
        <w:t>’</w:t>
      </w:r>
      <w:r>
        <w:rPr>
          <w:sz w:val="26"/>
          <w:szCs w:val="26"/>
        </w:rPr>
        <w:t xml:space="preserve">s Policy Statement set forth at 52 Pa. Code </w:t>
      </w:r>
      <w:r>
        <w:rPr>
          <w:rFonts w:ascii="Times New Roman" w:hAnsi="Times New Roman"/>
          <w:sz w:val="26"/>
          <w:szCs w:val="26"/>
        </w:rPr>
        <w:t>§</w:t>
      </w:r>
      <w:r w:rsidR="000850A9">
        <w:rPr>
          <w:sz w:val="26"/>
          <w:szCs w:val="26"/>
        </w:rPr>
        <w:t xml:space="preserve"> 69.1805 regarding electric generation supply procurement.  The ALJ </w:t>
      </w:r>
      <w:r w:rsidR="003649A0">
        <w:rPr>
          <w:sz w:val="26"/>
          <w:szCs w:val="26"/>
        </w:rPr>
        <w:t xml:space="preserve">stated that while the Policy Statement promotes the </w:t>
      </w:r>
      <w:r w:rsidR="00803C65">
        <w:rPr>
          <w:sz w:val="26"/>
          <w:szCs w:val="26"/>
        </w:rPr>
        <w:t>“</w:t>
      </w:r>
      <w:r w:rsidR="003649A0">
        <w:rPr>
          <w:sz w:val="26"/>
          <w:szCs w:val="26"/>
        </w:rPr>
        <w:t>prudent mix</w:t>
      </w:r>
      <w:r w:rsidR="00803C65">
        <w:rPr>
          <w:sz w:val="26"/>
          <w:szCs w:val="26"/>
        </w:rPr>
        <w:t>”</w:t>
      </w:r>
      <w:r w:rsidR="003649A0">
        <w:rPr>
          <w:sz w:val="26"/>
          <w:szCs w:val="26"/>
        </w:rPr>
        <w:t xml:space="preserve"> standard, the </w:t>
      </w:r>
      <w:r w:rsidR="003649A0" w:rsidRPr="003649A0">
        <w:rPr>
          <w:i/>
          <w:sz w:val="26"/>
          <w:szCs w:val="26"/>
        </w:rPr>
        <w:t>End State Order</w:t>
      </w:r>
      <w:r w:rsidR="003649A0">
        <w:rPr>
          <w:sz w:val="26"/>
          <w:szCs w:val="26"/>
        </w:rPr>
        <w:t xml:space="preserve"> prefers the LMP approach.</w:t>
      </w:r>
      <w:r w:rsidR="00B63B31">
        <w:rPr>
          <w:sz w:val="26"/>
          <w:szCs w:val="26"/>
        </w:rPr>
        <w:t xml:space="preserve">  </w:t>
      </w:r>
      <w:r w:rsidR="00DE531F">
        <w:rPr>
          <w:sz w:val="26"/>
          <w:szCs w:val="26"/>
        </w:rPr>
        <w:t xml:space="preserve">R.D. at 41-43.  </w:t>
      </w:r>
      <w:r w:rsidR="00C0570C">
        <w:rPr>
          <w:sz w:val="26"/>
          <w:szCs w:val="26"/>
        </w:rPr>
        <w:t>The ALJ further opined</w:t>
      </w:r>
      <w:r w:rsidR="00B63B31">
        <w:rPr>
          <w:sz w:val="26"/>
          <w:szCs w:val="26"/>
        </w:rPr>
        <w:t xml:space="preserve"> as follows:</w:t>
      </w:r>
    </w:p>
    <w:p w:rsidR="00B63B31" w:rsidRDefault="00B63B31" w:rsidP="00D26D41">
      <w:pPr>
        <w:rPr>
          <w:sz w:val="26"/>
          <w:szCs w:val="26"/>
        </w:rPr>
      </w:pPr>
    </w:p>
    <w:p w:rsidR="00DE531F" w:rsidRPr="00DE531F" w:rsidRDefault="00DE531F" w:rsidP="00DE531F">
      <w:pPr>
        <w:spacing w:line="240" w:lineRule="auto"/>
        <w:ind w:left="1440" w:right="1440"/>
        <w:rPr>
          <w:rFonts w:ascii="Times New Roman" w:hAnsi="Times New Roman"/>
          <w:sz w:val="26"/>
          <w:szCs w:val="26"/>
        </w:rPr>
      </w:pPr>
      <w:r w:rsidRPr="00DE531F">
        <w:rPr>
          <w:rFonts w:ascii="Times New Roman" w:hAnsi="Times New Roman"/>
          <w:sz w:val="26"/>
          <w:szCs w:val="26"/>
        </w:rPr>
        <w:t xml:space="preserve">For the Commission to adopt a standard other than the </w:t>
      </w:r>
      <w:r w:rsidR="00803C65">
        <w:rPr>
          <w:rFonts w:ascii="Times New Roman" w:hAnsi="Times New Roman"/>
          <w:sz w:val="26"/>
          <w:szCs w:val="26"/>
        </w:rPr>
        <w:t>“</w:t>
      </w:r>
      <w:r w:rsidRPr="00DE531F">
        <w:rPr>
          <w:rFonts w:ascii="Times New Roman" w:hAnsi="Times New Roman"/>
          <w:sz w:val="26"/>
          <w:szCs w:val="26"/>
        </w:rPr>
        <w:t>prudent mix</w:t>
      </w:r>
      <w:r w:rsidR="00803C65">
        <w:rPr>
          <w:rFonts w:ascii="Times New Roman" w:hAnsi="Times New Roman"/>
          <w:sz w:val="26"/>
          <w:szCs w:val="26"/>
        </w:rPr>
        <w:t>”</w:t>
      </w:r>
      <w:r w:rsidRPr="00DE531F">
        <w:rPr>
          <w:rFonts w:ascii="Times New Roman" w:hAnsi="Times New Roman"/>
          <w:sz w:val="26"/>
          <w:szCs w:val="26"/>
        </w:rPr>
        <w:t xml:space="preserve"> standard as a general rule (as opposed to the specific exception presented by the Pike County situation), thus expanding the standard provided in the statute, the Commission would be well advised to do so in a formal rulemaking proceeding.  While the </w:t>
      </w:r>
      <w:r w:rsidRPr="00DE531F">
        <w:rPr>
          <w:rFonts w:ascii="Times New Roman" w:hAnsi="Times New Roman"/>
          <w:i/>
          <w:sz w:val="26"/>
          <w:szCs w:val="26"/>
        </w:rPr>
        <w:t>End State Order</w:t>
      </w:r>
      <w:r w:rsidRPr="00DE531F">
        <w:rPr>
          <w:rFonts w:ascii="Times New Roman" w:hAnsi="Times New Roman"/>
          <w:sz w:val="26"/>
          <w:szCs w:val="26"/>
        </w:rPr>
        <w:t xml:space="preserve"> most likely does not reach the level of exceeding the Commission</w:t>
      </w:r>
      <w:r w:rsidR="00803C65">
        <w:rPr>
          <w:rFonts w:ascii="Times New Roman" w:hAnsi="Times New Roman"/>
          <w:sz w:val="26"/>
          <w:szCs w:val="26"/>
        </w:rPr>
        <w:t>’</w:t>
      </w:r>
      <w:r w:rsidRPr="00DE531F">
        <w:rPr>
          <w:rFonts w:ascii="Times New Roman" w:hAnsi="Times New Roman"/>
          <w:sz w:val="26"/>
          <w:szCs w:val="26"/>
        </w:rPr>
        <w:t xml:space="preserve">s administrative authority, neither is it, as an implementation order, standing alone, enforceable law.  </w:t>
      </w:r>
    </w:p>
    <w:p w:rsidR="00DE531F" w:rsidRPr="00DE531F" w:rsidRDefault="00DE531F" w:rsidP="00DE531F">
      <w:pPr>
        <w:spacing w:line="240" w:lineRule="auto"/>
        <w:ind w:left="1440" w:right="1440"/>
        <w:rPr>
          <w:rFonts w:ascii="Times New Roman" w:hAnsi="Times New Roman"/>
          <w:sz w:val="26"/>
          <w:szCs w:val="26"/>
        </w:rPr>
      </w:pPr>
    </w:p>
    <w:p w:rsidR="00972294" w:rsidRDefault="00DE531F" w:rsidP="00DE531F">
      <w:pPr>
        <w:spacing w:line="240" w:lineRule="auto"/>
        <w:ind w:left="1440" w:right="1440"/>
        <w:rPr>
          <w:rFonts w:ascii="Times New Roman" w:hAnsi="Times New Roman"/>
          <w:sz w:val="26"/>
          <w:szCs w:val="26"/>
        </w:rPr>
      </w:pPr>
      <w:r w:rsidRPr="00DE531F">
        <w:rPr>
          <w:rFonts w:ascii="Times New Roman" w:hAnsi="Times New Roman"/>
          <w:sz w:val="26"/>
          <w:szCs w:val="26"/>
        </w:rPr>
        <w:t>The result is that the Commission has one policy statement published in the Pennsylvania Code, where anyone unfamiliar with the law in Pennsylvania would, nonetheless, be likely to search for and find it, and one order which amounts to a policy statement that has not been published in a service such as the Pennsylvania Code.  Reliance upon the latter is antithetical to the Commission</w:t>
      </w:r>
      <w:r w:rsidR="00803C65">
        <w:rPr>
          <w:rFonts w:ascii="Times New Roman" w:hAnsi="Times New Roman"/>
          <w:sz w:val="26"/>
          <w:szCs w:val="26"/>
        </w:rPr>
        <w:t>’</w:t>
      </w:r>
      <w:r w:rsidRPr="00DE531F">
        <w:rPr>
          <w:rFonts w:ascii="Times New Roman" w:hAnsi="Times New Roman"/>
          <w:sz w:val="26"/>
          <w:szCs w:val="26"/>
        </w:rPr>
        <w:t xml:space="preserve">s usual practice of transparency.  The result is that neither is legally binding and each acts as advisory to both the parties to a default service </w:t>
      </w:r>
    </w:p>
    <w:p w:rsidR="00972294" w:rsidRDefault="00972294" w:rsidP="00DE531F">
      <w:pPr>
        <w:spacing w:line="240" w:lineRule="auto"/>
        <w:ind w:left="1440" w:right="1440"/>
        <w:rPr>
          <w:rFonts w:ascii="Times New Roman" w:hAnsi="Times New Roman"/>
          <w:sz w:val="26"/>
          <w:szCs w:val="26"/>
        </w:rPr>
      </w:pPr>
    </w:p>
    <w:p w:rsidR="00972294" w:rsidRDefault="00972294" w:rsidP="00DE531F">
      <w:pPr>
        <w:spacing w:line="240" w:lineRule="auto"/>
        <w:ind w:left="1440" w:right="1440"/>
        <w:rPr>
          <w:rFonts w:ascii="Times New Roman" w:hAnsi="Times New Roman"/>
          <w:sz w:val="26"/>
          <w:szCs w:val="26"/>
        </w:rPr>
      </w:pPr>
    </w:p>
    <w:p w:rsidR="00DE531F" w:rsidRPr="00DE531F" w:rsidRDefault="00DE531F" w:rsidP="00DE531F">
      <w:pPr>
        <w:spacing w:line="240" w:lineRule="auto"/>
        <w:ind w:left="1440" w:right="1440"/>
        <w:rPr>
          <w:rFonts w:ascii="Times New Roman" w:hAnsi="Times New Roman"/>
          <w:sz w:val="26"/>
          <w:szCs w:val="26"/>
        </w:rPr>
      </w:pPr>
      <w:r w:rsidRPr="00DE531F">
        <w:rPr>
          <w:rFonts w:ascii="Times New Roman" w:hAnsi="Times New Roman"/>
          <w:sz w:val="26"/>
          <w:szCs w:val="26"/>
        </w:rPr>
        <w:lastRenderedPageBreak/>
        <w:t>case and to the Commission itself.  As such, the legal analysis turns back to the statute for authority.</w:t>
      </w:r>
    </w:p>
    <w:p w:rsidR="00B63B31" w:rsidRDefault="00B63B31" w:rsidP="00D26D41">
      <w:pPr>
        <w:rPr>
          <w:rFonts w:ascii="Times New Roman" w:hAnsi="Times New Roman"/>
          <w:sz w:val="26"/>
          <w:szCs w:val="26"/>
        </w:rPr>
      </w:pPr>
    </w:p>
    <w:p w:rsidR="00614024" w:rsidRPr="00614024" w:rsidRDefault="00DE531F" w:rsidP="00D26D41">
      <w:pPr>
        <w:rPr>
          <w:rFonts w:ascii="Times New Roman" w:hAnsi="Times New Roman"/>
          <w:sz w:val="26"/>
          <w:szCs w:val="26"/>
        </w:rPr>
      </w:pPr>
      <w:r w:rsidRPr="00DE531F">
        <w:rPr>
          <w:rFonts w:ascii="Times New Roman" w:hAnsi="Times New Roman"/>
          <w:i/>
          <w:sz w:val="26"/>
          <w:szCs w:val="26"/>
        </w:rPr>
        <w:t>Id</w:t>
      </w:r>
      <w:r>
        <w:rPr>
          <w:rFonts w:ascii="Times New Roman" w:hAnsi="Times New Roman"/>
          <w:sz w:val="26"/>
          <w:szCs w:val="26"/>
        </w:rPr>
        <w:t xml:space="preserve">. at 43-44 (footnote omitted).  </w:t>
      </w:r>
    </w:p>
    <w:p w:rsidR="00614024" w:rsidRDefault="00614024" w:rsidP="00D26D41">
      <w:pPr>
        <w:rPr>
          <w:rFonts w:ascii="Times New Roman" w:hAnsi="Times New Roman"/>
          <w:sz w:val="26"/>
          <w:szCs w:val="26"/>
        </w:rPr>
      </w:pPr>
    </w:p>
    <w:p w:rsidR="009E6EF7" w:rsidRDefault="00C0570C"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9E6EF7">
        <w:rPr>
          <w:rFonts w:ascii="Times New Roman" w:hAnsi="Times New Roman"/>
          <w:sz w:val="26"/>
          <w:szCs w:val="26"/>
        </w:rPr>
        <w:t>The ALJ then quoted</w:t>
      </w:r>
      <w:r w:rsidR="008D2065">
        <w:rPr>
          <w:rFonts w:ascii="Times New Roman" w:hAnsi="Times New Roman"/>
          <w:sz w:val="26"/>
          <w:szCs w:val="26"/>
        </w:rPr>
        <w:t>, in pertinent part,</w:t>
      </w:r>
      <w:r w:rsidR="009E6EF7">
        <w:rPr>
          <w:rFonts w:ascii="Times New Roman" w:hAnsi="Times New Roman"/>
          <w:sz w:val="26"/>
          <w:szCs w:val="26"/>
        </w:rPr>
        <w:t xml:space="preserve"> </w:t>
      </w:r>
      <w:r w:rsidR="005B71CC">
        <w:rPr>
          <w:rFonts w:ascii="Times New Roman" w:hAnsi="Times New Roman"/>
          <w:sz w:val="26"/>
          <w:szCs w:val="26"/>
        </w:rPr>
        <w:t>from</w:t>
      </w:r>
      <w:r>
        <w:rPr>
          <w:rFonts w:ascii="Times New Roman" w:hAnsi="Times New Roman"/>
          <w:sz w:val="26"/>
          <w:szCs w:val="26"/>
        </w:rPr>
        <w:t xml:space="preserve"> the Code at 66 Pa. C.S. </w:t>
      </w:r>
      <w:r w:rsidRPr="00C0570C">
        <w:rPr>
          <w:rFonts w:ascii="Times New Roman" w:hAnsi="Times New Roman"/>
          <w:sz w:val="26"/>
          <w:szCs w:val="26"/>
        </w:rPr>
        <w:t>§</w:t>
      </w:r>
      <w:r w:rsidR="008D2065">
        <w:rPr>
          <w:rFonts w:ascii="Times New Roman" w:hAnsi="Times New Roman"/>
          <w:sz w:val="26"/>
          <w:szCs w:val="26"/>
        </w:rPr>
        <w:t>§ </w:t>
      </w:r>
      <w:r w:rsidR="005C45B8">
        <w:rPr>
          <w:rFonts w:ascii="Times New Roman" w:hAnsi="Times New Roman"/>
          <w:sz w:val="26"/>
          <w:szCs w:val="26"/>
        </w:rPr>
        <w:t>2807(e)(3.1) and</w:t>
      </w:r>
      <w:r w:rsidRPr="00C0570C">
        <w:rPr>
          <w:rFonts w:ascii="Times New Roman" w:hAnsi="Times New Roman"/>
          <w:sz w:val="26"/>
          <w:szCs w:val="26"/>
        </w:rPr>
        <w:t xml:space="preserve"> (3.2)</w:t>
      </w:r>
      <w:r w:rsidR="005B71CC">
        <w:rPr>
          <w:rFonts w:ascii="Times New Roman" w:hAnsi="Times New Roman"/>
          <w:sz w:val="26"/>
          <w:szCs w:val="26"/>
        </w:rPr>
        <w:t xml:space="preserve">, </w:t>
      </w:r>
      <w:r w:rsidR="009E6EF7">
        <w:rPr>
          <w:rFonts w:ascii="Times New Roman" w:hAnsi="Times New Roman"/>
          <w:sz w:val="26"/>
          <w:szCs w:val="26"/>
        </w:rPr>
        <w:t>as follows:</w:t>
      </w:r>
    </w:p>
    <w:p w:rsidR="009E6EF7" w:rsidRPr="009E6EF7" w:rsidRDefault="009E6EF7" w:rsidP="009E6EF7">
      <w:pPr>
        <w:rPr>
          <w:rFonts w:ascii="Times New Roman" w:hAnsi="Times New Roman"/>
          <w:sz w:val="26"/>
          <w:szCs w:val="26"/>
        </w:rPr>
      </w:pPr>
    </w:p>
    <w:p w:rsidR="00427828" w:rsidRDefault="009E6EF7" w:rsidP="00B409DC">
      <w:pPr>
        <w:spacing w:line="240" w:lineRule="auto"/>
        <w:ind w:left="1440" w:right="1440"/>
        <w:rPr>
          <w:rFonts w:ascii="Times New Roman" w:hAnsi="Times New Roman"/>
          <w:sz w:val="26"/>
          <w:szCs w:val="26"/>
        </w:rPr>
      </w:pPr>
      <w:r w:rsidRPr="009E6EF7">
        <w:rPr>
          <w:rFonts w:ascii="Times New Roman" w:hAnsi="Times New Roman"/>
          <w:sz w:val="26"/>
          <w:szCs w:val="26"/>
        </w:rPr>
        <w:tab/>
        <w:t>(3.1)  ….  The electric power acquired shall be procured through competitive procurement processes and shall include one or more of the following:</w:t>
      </w:r>
    </w:p>
    <w:p w:rsidR="009E6EF7" w:rsidRPr="009E6EF7" w:rsidRDefault="009E6EF7" w:rsidP="00B409DC">
      <w:pPr>
        <w:spacing w:line="240" w:lineRule="auto"/>
        <w:ind w:left="1440" w:right="1440"/>
        <w:rPr>
          <w:rFonts w:ascii="Times New Roman" w:hAnsi="Times New Roman"/>
          <w:sz w:val="26"/>
          <w:szCs w:val="26"/>
        </w:rPr>
      </w:pPr>
      <w:r w:rsidRPr="009E6EF7">
        <w:rPr>
          <w:rFonts w:ascii="Times New Roman" w:hAnsi="Times New Roman"/>
          <w:sz w:val="26"/>
          <w:szCs w:val="26"/>
        </w:rPr>
        <w:t xml:space="preserve"> </w:t>
      </w:r>
    </w:p>
    <w:p w:rsidR="009E6EF7" w:rsidRPr="009E6EF7" w:rsidRDefault="009E6EF7" w:rsidP="009E6EF7">
      <w:pPr>
        <w:spacing w:line="240" w:lineRule="auto"/>
        <w:ind w:left="2160" w:right="1440"/>
        <w:rPr>
          <w:rFonts w:ascii="Times New Roman" w:hAnsi="Times New Roman"/>
          <w:sz w:val="26"/>
          <w:szCs w:val="26"/>
        </w:rPr>
      </w:pPr>
      <w:r w:rsidRPr="009E6EF7">
        <w:rPr>
          <w:rFonts w:ascii="Times New Roman" w:hAnsi="Times New Roman"/>
          <w:sz w:val="26"/>
          <w:szCs w:val="26"/>
        </w:rPr>
        <w:t>(</w:t>
      </w:r>
      <w:proofErr w:type="spellStart"/>
      <w:r w:rsidRPr="009E6EF7">
        <w:rPr>
          <w:rFonts w:ascii="Times New Roman" w:hAnsi="Times New Roman"/>
          <w:sz w:val="26"/>
          <w:szCs w:val="26"/>
        </w:rPr>
        <w:t>i</w:t>
      </w:r>
      <w:proofErr w:type="spellEnd"/>
      <w:r w:rsidRPr="009E6EF7">
        <w:rPr>
          <w:rFonts w:ascii="Times New Roman" w:hAnsi="Times New Roman"/>
          <w:sz w:val="26"/>
          <w:szCs w:val="26"/>
        </w:rPr>
        <w:t>)</w:t>
      </w:r>
      <w:r w:rsidRPr="009E6EF7">
        <w:rPr>
          <w:rFonts w:ascii="Times New Roman" w:hAnsi="Times New Roman"/>
          <w:sz w:val="26"/>
          <w:szCs w:val="26"/>
        </w:rPr>
        <w:tab/>
        <w:t>Auctions.</w:t>
      </w:r>
    </w:p>
    <w:p w:rsidR="009E6EF7" w:rsidRPr="009E6EF7" w:rsidRDefault="009E6EF7" w:rsidP="009E6EF7">
      <w:pPr>
        <w:spacing w:line="240" w:lineRule="auto"/>
        <w:ind w:left="2160" w:right="1440"/>
        <w:rPr>
          <w:rFonts w:ascii="Times New Roman" w:hAnsi="Times New Roman"/>
          <w:sz w:val="26"/>
          <w:szCs w:val="26"/>
        </w:rPr>
      </w:pPr>
      <w:r w:rsidRPr="009E6EF7">
        <w:rPr>
          <w:rFonts w:ascii="Times New Roman" w:hAnsi="Times New Roman"/>
          <w:sz w:val="26"/>
          <w:szCs w:val="26"/>
        </w:rPr>
        <w:t>(ii)</w:t>
      </w:r>
      <w:r w:rsidRPr="009E6EF7">
        <w:rPr>
          <w:rFonts w:ascii="Times New Roman" w:hAnsi="Times New Roman"/>
          <w:sz w:val="26"/>
          <w:szCs w:val="26"/>
        </w:rPr>
        <w:tab/>
        <w:t>Requests for proposal.</w:t>
      </w:r>
    </w:p>
    <w:p w:rsidR="009E6EF7" w:rsidRDefault="009E6EF7" w:rsidP="009E6EF7">
      <w:pPr>
        <w:spacing w:line="240" w:lineRule="auto"/>
        <w:ind w:left="2160" w:right="1440"/>
        <w:rPr>
          <w:rFonts w:ascii="Times New Roman" w:hAnsi="Times New Roman"/>
          <w:sz w:val="26"/>
          <w:szCs w:val="26"/>
        </w:rPr>
      </w:pPr>
      <w:r w:rsidRPr="009E6EF7">
        <w:rPr>
          <w:rFonts w:ascii="Times New Roman" w:hAnsi="Times New Roman"/>
          <w:sz w:val="26"/>
          <w:szCs w:val="26"/>
        </w:rPr>
        <w:t>(iii)</w:t>
      </w:r>
      <w:r w:rsidRPr="009E6EF7">
        <w:rPr>
          <w:rFonts w:ascii="Times New Roman" w:hAnsi="Times New Roman"/>
          <w:sz w:val="26"/>
          <w:szCs w:val="26"/>
        </w:rPr>
        <w:tab/>
        <w:t>Bilateral agreements entered into at the sole discretion of the default service provider which shall be at prices which are:</w:t>
      </w:r>
    </w:p>
    <w:p w:rsidR="008D2065" w:rsidRPr="009E6EF7" w:rsidRDefault="008D2065" w:rsidP="009E6EF7">
      <w:pPr>
        <w:spacing w:line="240" w:lineRule="auto"/>
        <w:ind w:left="2160" w:right="1440"/>
        <w:rPr>
          <w:rFonts w:ascii="Times New Roman" w:hAnsi="Times New Roman"/>
          <w:sz w:val="26"/>
          <w:szCs w:val="26"/>
        </w:rPr>
      </w:pPr>
    </w:p>
    <w:p w:rsidR="009E6EF7" w:rsidRPr="009E6EF7" w:rsidRDefault="009E6EF7" w:rsidP="009E6EF7">
      <w:pPr>
        <w:spacing w:line="240" w:lineRule="auto"/>
        <w:ind w:left="2880" w:right="1440"/>
        <w:rPr>
          <w:rFonts w:ascii="Times New Roman" w:hAnsi="Times New Roman"/>
          <w:sz w:val="26"/>
          <w:szCs w:val="26"/>
        </w:rPr>
      </w:pPr>
      <w:r w:rsidRPr="009E6EF7">
        <w:rPr>
          <w:rFonts w:ascii="Times New Roman" w:hAnsi="Times New Roman"/>
          <w:sz w:val="26"/>
          <w:szCs w:val="26"/>
        </w:rPr>
        <w:tab/>
        <w:t>(A)</w:t>
      </w:r>
      <w:r w:rsidRPr="009E6EF7">
        <w:rPr>
          <w:rFonts w:ascii="Times New Roman" w:hAnsi="Times New Roman"/>
          <w:sz w:val="26"/>
          <w:szCs w:val="26"/>
        </w:rPr>
        <w:tab/>
        <w:t>no greater than the cost of obtaining generation under comparable terms in the wholesale market, as determined by the commission at the time of execution of the contract; or</w:t>
      </w:r>
    </w:p>
    <w:p w:rsidR="009E6EF7" w:rsidRPr="009E6EF7" w:rsidRDefault="009E6EF7" w:rsidP="009E6EF7">
      <w:pPr>
        <w:spacing w:line="240" w:lineRule="auto"/>
        <w:ind w:left="2880" w:right="1440"/>
        <w:rPr>
          <w:rFonts w:ascii="Times New Roman" w:hAnsi="Times New Roman"/>
          <w:sz w:val="26"/>
          <w:szCs w:val="26"/>
        </w:rPr>
      </w:pPr>
    </w:p>
    <w:p w:rsidR="009E6EF7" w:rsidRPr="009E6EF7" w:rsidRDefault="009E6EF7" w:rsidP="009E6EF7">
      <w:pPr>
        <w:spacing w:line="240" w:lineRule="auto"/>
        <w:ind w:left="2880" w:right="1440"/>
        <w:rPr>
          <w:rFonts w:ascii="Times New Roman" w:hAnsi="Times New Roman"/>
          <w:sz w:val="26"/>
          <w:szCs w:val="26"/>
        </w:rPr>
      </w:pPr>
      <w:r w:rsidRPr="009E6EF7">
        <w:rPr>
          <w:rFonts w:ascii="Times New Roman" w:hAnsi="Times New Roman"/>
          <w:sz w:val="26"/>
          <w:szCs w:val="26"/>
        </w:rPr>
        <w:tab/>
        <w:t>(B)</w:t>
      </w:r>
      <w:r w:rsidRPr="009E6EF7">
        <w:rPr>
          <w:rFonts w:ascii="Times New Roman" w:hAnsi="Times New Roman"/>
          <w:sz w:val="26"/>
          <w:szCs w:val="26"/>
        </w:rPr>
        <w:tab/>
        <w:t>consistent with a commission-approved competition procurement process. . . .</w:t>
      </w:r>
    </w:p>
    <w:p w:rsidR="009E6EF7" w:rsidRPr="009E6EF7" w:rsidRDefault="009E6EF7" w:rsidP="009E6EF7">
      <w:pPr>
        <w:spacing w:line="240" w:lineRule="auto"/>
        <w:ind w:left="1440" w:right="1440"/>
        <w:rPr>
          <w:rFonts w:ascii="Times New Roman" w:hAnsi="Times New Roman"/>
          <w:sz w:val="26"/>
          <w:szCs w:val="26"/>
        </w:rPr>
      </w:pPr>
    </w:p>
    <w:p w:rsidR="009E6EF7" w:rsidRDefault="009E6EF7" w:rsidP="009E6EF7">
      <w:pPr>
        <w:spacing w:line="240" w:lineRule="auto"/>
        <w:ind w:left="1440" w:right="1440"/>
        <w:rPr>
          <w:rFonts w:ascii="Times New Roman" w:hAnsi="Times New Roman"/>
          <w:sz w:val="26"/>
          <w:szCs w:val="26"/>
        </w:rPr>
      </w:pPr>
      <w:r w:rsidRPr="009E6EF7">
        <w:rPr>
          <w:rFonts w:ascii="Times New Roman" w:hAnsi="Times New Roman"/>
          <w:sz w:val="26"/>
          <w:szCs w:val="26"/>
        </w:rPr>
        <w:tab/>
        <w:t>(3.2)</w:t>
      </w:r>
      <w:r w:rsidRPr="009E6EF7">
        <w:rPr>
          <w:rFonts w:ascii="Times New Roman" w:hAnsi="Times New Roman"/>
          <w:sz w:val="26"/>
          <w:szCs w:val="26"/>
        </w:rPr>
        <w:tab/>
        <w:t>The electric power procu</w:t>
      </w:r>
      <w:r w:rsidR="008D2065">
        <w:rPr>
          <w:rFonts w:ascii="Times New Roman" w:hAnsi="Times New Roman"/>
          <w:sz w:val="26"/>
          <w:szCs w:val="26"/>
        </w:rPr>
        <w:t xml:space="preserve">red pursuant to paragraph (3.1) </w:t>
      </w:r>
      <w:r w:rsidRPr="009E6EF7">
        <w:rPr>
          <w:rFonts w:ascii="Times New Roman" w:hAnsi="Times New Roman"/>
          <w:sz w:val="26"/>
          <w:szCs w:val="26"/>
        </w:rPr>
        <w:t>shall include a prudent mix of the following:</w:t>
      </w:r>
    </w:p>
    <w:p w:rsidR="008D2065" w:rsidRPr="009E6EF7" w:rsidRDefault="008D2065" w:rsidP="009E6EF7">
      <w:pPr>
        <w:spacing w:line="240" w:lineRule="auto"/>
        <w:ind w:left="1440" w:right="1440"/>
        <w:rPr>
          <w:rFonts w:ascii="Times New Roman" w:hAnsi="Times New Roman"/>
          <w:sz w:val="26"/>
          <w:szCs w:val="26"/>
        </w:rPr>
      </w:pPr>
    </w:p>
    <w:p w:rsidR="009E6EF7" w:rsidRPr="009E6EF7" w:rsidRDefault="009E6EF7" w:rsidP="009E6EF7">
      <w:pPr>
        <w:spacing w:line="240" w:lineRule="auto"/>
        <w:ind w:left="1440"/>
        <w:rPr>
          <w:rFonts w:ascii="Times New Roman" w:hAnsi="Times New Roman"/>
          <w:sz w:val="26"/>
          <w:szCs w:val="26"/>
        </w:rPr>
      </w:pPr>
      <w:r w:rsidRPr="009E6EF7">
        <w:rPr>
          <w:rFonts w:ascii="Times New Roman" w:hAnsi="Times New Roman"/>
          <w:sz w:val="26"/>
          <w:szCs w:val="26"/>
        </w:rPr>
        <w:tab/>
        <w:t>(</w:t>
      </w:r>
      <w:proofErr w:type="spellStart"/>
      <w:r w:rsidRPr="009E6EF7">
        <w:rPr>
          <w:rFonts w:ascii="Times New Roman" w:hAnsi="Times New Roman"/>
          <w:sz w:val="26"/>
          <w:szCs w:val="26"/>
        </w:rPr>
        <w:t>i</w:t>
      </w:r>
      <w:proofErr w:type="spellEnd"/>
      <w:r w:rsidRPr="009E6EF7">
        <w:rPr>
          <w:rFonts w:ascii="Times New Roman" w:hAnsi="Times New Roman"/>
          <w:sz w:val="26"/>
          <w:szCs w:val="26"/>
        </w:rPr>
        <w:t>)</w:t>
      </w:r>
      <w:r w:rsidRPr="009E6EF7">
        <w:rPr>
          <w:rFonts w:ascii="Times New Roman" w:hAnsi="Times New Roman"/>
          <w:sz w:val="26"/>
          <w:szCs w:val="26"/>
        </w:rPr>
        <w:tab/>
        <w:t>Spot market purchases.</w:t>
      </w:r>
    </w:p>
    <w:p w:rsidR="009E6EF7" w:rsidRPr="009E6EF7" w:rsidRDefault="009E6EF7" w:rsidP="009E6EF7">
      <w:pPr>
        <w:spacing w:line="240" w:lineRule="auto"/>
        <w:ind w:left="1440"/>
        <w:rPr>
          <w:rFonts w:ascii="Times New Roman" w:hAnsi="Times New Roman"/>
          <w:sz w:val="26"/>
          <w:szCs w:val="26"/>
        </w:rPr>
      </w:pPr>
      <w:r w:rsidRPr="009E6EF7">
        <w:rPr>
          <w:rFonts w:ascii="Times New Roman" w:hAnsi="Times New Roman"/>
          <w:sz w:val="26"/>
          <w:szCs w:val="26"/>
        </w:rPr>
        <w:tab/>
        <w:t>(ii)</w:t>
      </w:r>
      <w:r w:rsidRPr="009E6EF7">
        <w:rPr>
          <w:rFonts w:ascii="Times New Roman" w:hAnsi="Times New Roman"/>
          <w:sz w:val="26"/>
          <w:szCs w:val="26"/>
        </w:rPr>
        <w:tab/>
        <w:t>Short-term contracts.</w:t>
      </w:r>
    </w:p>
    <w:p w:rsidR="009E6EF7" w:rsidRPr="009E6EF7" w:rsidRDefault="009E6EF7" w:rsidP="009E6EF7">
      <w:pPr>
        <w:spacing w:line="240" w:lineRule="auto"/>
        <w:ind w:left="1440"/>
        <w:rPr>
          <w:rFonts w:ascii="Times New Roman" w:hAnsi="Times New Roman"/>
          <w:sz w:val="26"/>
          <w:szCs w:val="26"/>
        </w:rPr>
      </w:pPr>
      <w:r w:rsidRPr="009E6EF7">
        <w:rPr>
          <w:rFonts w:ascii="Times New Roman" w:hAnsi="Times New Roman"/>
          <w:sz w:val="26"/>
          <w:szCs w:val="26"/>
        </w:rPr>
        <w:tab/>
        <w:t>(iii)</w:t>
      </w:r>
      <w:r w:rsidRPr="009E6EF7">
        <w:rPr>
          <w:rFonts w:ascii="Times New Roman" w:hAnsi="Times New Roman"/>
          <w:sz w:val="26"/>
          <w:szCs w:val="26"/>
        </w:rPr>
        <w:tab/>
        <w:t>Long-term purchase contracts . . . .</w:t>
      </w:r>
    </w:p>
    <w:p w:rsidR="009E6EF7" w:rsidRPr="009E6EF7" w:rsidRDefault="009E6EF7" w:rsidP="009E6EF7">
      <w:pPr>
        <w:spacing w:line="240" w:lineRule="auto"/>
        <w:rPr>
          <w:rFonts w:ascii="Times New Roman" w:hAnsi="Times New Roman"/>
          <w:sz w:val="26"/>
          <w:szCs w:val="26"/>
        </w:rPr>
      </w:pPr>
    </w:p>
    <w:p w:rsidR="00C0570C" w:rsidRDefault="00B45F85" w:rsidP="00B45F85">
      <w:pPr>
        <w:rPr>
          <w:rFonts w:ascii="Times New Roman" w:hAnsi="Times New Roman"/>
          <w:sz w:val="26"/>
          <w:szCs w:val="26"/>
        </w:rPr>
      </w:pPr>
      <w:r w:rsidRPr="00B45F85">
        <w:rPr>
          <w:rFonts w:ascii="Times New Roman" w:hAnsi="Times New Roman"/>
          <w:i/>
          <w:sz w:val="26"/>
          <w:szCs w:val="26"/>
        </w:rPr>
        <w:t>Id</w:t>
      </w:r>
      <w:r w:rsidRPr="00B45F85">
        <w:rPr>
          <w:rFonts w:ascii="Times New Roman" w:hAnsi="Times New Roman"/>
          <w:sz w:val="26"/>
          <w:szCs w:val="26"/>
        </w:rPr>
        <w:t>. at 44-45.</w:t>
      </w:r>
      <w:r>
        <w:rPr>
          <w:rFonts w:ascii="Times New Roman" w:hAnsi="Times New Roman"/>
          <w:sz w:val="26"/>
          <w:szCs w:val="26"/>
        </w:rPr>
        <w:t xml:space="preserve">  T</w:t>
      </w:r>
      <w:r w:rsidR="005B71CC">
        <w:rPr>
          <w:rFonts w:ascii="Times New Roman" w:hAnsi="Times New Roman"/>
          <w:sz w:val="26"/>
          <w:szCs w:val="26"/>
        </w:rPr>
        <w:t>he ALJ concluded</w:t>
      </w:r>
      <w:r w:rsidR="00C0570C">
        <w:rPr>
          <w:rFonts w:ascii="Times New Roman" w:hAnsi="Times New Roman"/>
          <w:sz w:val="26"/>
          <w:szCs w:val="26"/>
        </w:rPr>
        <w:t xml:space="preserve"> that </w:t>
      </w:r>
      <w:r w:rsidR="00803C65">
        <w:rPr>
          <w:rFonts w:ascii="Times New Roman" w:hAnsi="Times New Roman"/>
          <w:sz w:val="26"/>
          <w:szCs w:val="26"/>
        </w:rPr>
        <w:t>“</w:t>
      </w:r>
      <w:r w:rsidR="00C0570C">
        <w:rPr>
          <w:rFonts w:ascii="Times New Roman" w:hAnsi="Times New Roman"/>
          <w:sz w:val="26"/>
          <w:szCs w:val="26"/>
        </w:rPr>
        <w:t>it is clear that the statute favors the published policy statement, and that any change to that policy statement and the statue itself needs to be supported by substantial evidence.</w:t>
      </w:r>
      <w:r w:rsidR="00803C65">
        <w:rPr>
          <w:rFonts w:ascii="Times New Roman" w:hAnsi="Times New Roman"/>
          <w:sz w:val="26"/>
          <w:szCs w:val="26"/>
        </w:rPr>
        <w:t>”</w:t>
      </w:r>
      <w:r w:rsidR="00C0570C">
        <w:rPr>
          <w:rFonts w:ascii="Times New Roman" w:hAnsi="Times New Roman"/>
          <w:sz w:val="26"/>
          <w:szCs w:val="26"/>
        </w:rPr>
        <w:t xml:space="preserve">  </w:t>
      </w:r>
      <w:r w:rsidR="00C0570C" w:rsidRPr="005B71CC">
        <w:rPr>
          <w:rFonts w:ascii="Times New Roman" w:hAnsi="Times New Roman"/>
          <w:i/>
          <w:sz w:val="26"/>
          <w:szCs w:val="26"/>
        </w:rPr>
        <w:t>Id</w:t>
      </w:r>
      <w:r w:rsidR="00C0570C">
        <w:rPr>
          <w:rFonts w:ascii="Times New Roman" w:hAnsi="Times New Roman"/>
          <w:sz w:val="26"/>
          <w:szCs w:val="26"/>
        </w:rPr>
        <w:t>. at 44-45.</w:t>
      </w:r>
      <w:r w:rsidR="004C630F">
        <w:rPr>
          <w:rFonts w:ascii="Times New Roman" w:hAnsi="Times New Roman"/>
          <w:sz w:val="26"/>
          <w:szCs w:val="26"/>
        </w:rPr>
        <w:t xml:space="preserve">  Therefore, the ALJ stated that the question of whether PPL carried its burden of proving that its proposal to shift customers </w:t>
      </w:r>
      <w:r w:rsidR="004C630F">
        <w:rPr>
          <w:rFonts w:ascii="Times New Roman" w:hAnsi="Times New Roman"/>
          <w:sz w:val="26"/>
          <w:szCs w:val="26"/>
        </w:rPr>
        <w:lastRenderedPageBreak/>
        <w:t xml:space="preserve">who have a maximum load of 100 kW to 500 kW to hourly pricing is consistent with the statute.  </w:t>
      </w:r>
      <w:r w:rsidR="004C630F" w:rsidRPr="004C630F">
        <w:rPr>
          <w:rFonts w:ascii="Times New Roman" w:hAnsi="Times New Roman"/>
          <w:i/>
          <w:sz w:val="26"/>
          <w:szCs w:val="26"/>
        </w:rPr>
        <w:t>Id</w:t>
      </w:r>
      <w:r w:rsidR="004C630F">
        <w:rPr>
          <w:rFonts w:ascii="Times New Roman" w:hAnsi="Times New Roman"/>
          <w:sz w:val="26"/>
          <w:szCs w:val="26"/>
        </w:rPr>
        <w:t>. at 45.</w:t>
      </w:r>
    </w:p>
    <w:p w:rsidR="00F400A7" w:rsidRDefault="00F400A7" w:rsidP="00B45F85">
      <w:pPr>
        <w:rPr>
          <w:rFonts w:ascii="Times New Roman" w:hAnsi="Times New Roman"/>
          <w:sz w:val="26"/>
          <w:szCs w:val="26"/>
        </w:rPr>
      </w:pPr>
    </w:p>
    <w:p w:rsidR="00F400A7" w:rsidRDefault="00F400A7"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 ALJ appeared to agree with the OSBA that </w:t>
      </w:r>
      <w:r w:rsidR="00803C65">
        <w:rPr>
          <w:rFonts w:ascii="Times New Roman" w:hAnsi="Times New Roman"/>
          <w:sz w:val="26"/>
          <w:szCs w:val="26"/>
        </w:rPr>
        <w:t>“</w:t>
      </w:r>
      <w:r>
        <w:rPr>
          <w:rFonts w:ascii="Times New Roman" w:hAnsi="Times New Roman"/>
          <w:sz w:val="26"/>
          <w:szCs w:val="26"/>
        </w:rPr>
        <w:t xml:space="preserve">430 customers, or approximately 13% of </w:t>
      </w:r>
      <w:r w:rsidR="00B826F5">
        <w:rPr>
          <w:rFonts w:ascii="Times New Roman" w:hAnsi="Times New Roman"/>
          <w:sz w:val="26"/>
          <w:szCs w:val="26"/>
        </w:rPr>
        <w:t xml:space="preserve">the rate class, is not </w:t>
      </w:r>
      <w:r w:rsidR="00B826F5" w:rsidRPr="00B83E47">
        <w:rPr>
          <w:rFonts w:ascii="Times New Roman" w:hAnsi="Times New Roman"/>
          <w:i/>
          <w:sz w:val="26"/>
          <w:szCs w:val="26"/>
        </w:rPr>
        <w:t xml:space="preserve">de </w:t>
      </w:r>
      <w:proofErr w:type="spellStart"/>
      <w:r w:rsidR="00B826F5" w:rsidRPr="00B83E47">
        <w:rPr>
          <w:rFonts w:ascii="Times New Roman" w:hAnsi="Times New Roman"/>
          <w:i/>
          <w:sz w:val="26"/>
          <w:szCs w:val="26"/>
        </w:rPr>
        <w:t>minim</w:t>
      </w:r>
      <w:r w:rsidR="00A347F4">
        <w:rPr>
          <w:rFonts w:ascii="Times New Roman" w:hAnsi="Times New Roman"/>
          <w:i/>
          <w:sz w:val="26"/>
          <w:szCs w:val="26"/>
        </w:rPr>
        <w:t>i</w:t>
      </w:r>
      <w:r w:rsidRPr="00B83E47">
        <w:rPr>
          <w:rFonts w:ascii="Times New Roman" w:hAnsi="Times New Roman"/>
          <w:i/>
          <w:sz w:val="26"/>
          <w:szCs w:val="26"/>
        </w:rPr>
        <w:t>s</w:t>
      </w:r>
      <w:proofErr w:type="spellEnd"/>
      <w:r>
        <w:rPr>
          <w:rFonts w:ascii="Times New Roman" w:hAnsi="Times New Roman"/>
          <w:sz w:val="26"/>
          <w:szCs w:val="26"/>
        </w:rPr>
        <w:t>.</w:t>
      </w:r>
      <w:r w:rsidR="00803C65">
        <w:rPr>
          <w:rFonts w:ascii="Times New Roman" w:hAnsi="Times New Roman"/>
          <w:sz w:val="26"/>
          <w:szCs w:val="26"/>
        </w:rPr>
        <w:t>”</w:t>
      </w:r>
      <w:r w:rsidR="001640C8">
        <w:rPr>
          <w:rFonts w:ascii="Times New Roman" w:hAnsi="Times New Roman"/>
          <w:sz w:val="26"/>
          <w:szCs w:val="26"/>
        </w:rPr>
        <w:t xml:space="preserve">  </w:t>
      </w:r>
      <w:r w:rsidR="00D0542B">
        <w:rPr>
          <w:rFonts w:ascii="Times New Roman" w:hAnsi="Times New Roman"/>
          <w:sz w:val="26"/>
          <w:szCs w:val="26"/>
        </w:rPr>
        <w:t xml:space="preserve">  </w:t>
      </w:r>
      <w:r w:rsidR="00D0542B" w:rsidRPr="00D0542B">
        <w:rPr>
          <w:rFonts w:ascii="Times New Roman" w:hAnsi="Times New Roman"/>
          <w:i/>
          <w:sz w:val="26"/>
          <w:szCs w:val="26"/>
        </w:rPr>
        <w:t>Id</w:t>
      </w:r>
      <w:r w:rsidR="00D0542B">
        <w:rPr>
          <w:rFonts w:ascii="Times New Roman" w:hAnsi="Times New Roman"/>
          <w:sz w:val="26"/>
          <w:szCs w:val="26"/>
        </w:rPr>
        <w:t xml:space="preserve">.  </w:t>
      </w:r>
      <w:r w:rsidR="00275168">
        <w:rPr>
          <w:rFonts w:ascii="Times New Roman" w:hAnsi="Times New Roman"/>
          <w:sz w:val="26"/>
          <w:szCs w:val="26"/>
        </w:rPr>
        <w:t>Furthermore, the ALJ asserted</w:t>
      </w:r>
      <w:r w:rsidR="001640C8">
        <w:rPr>
          <w:rFonts w:ascii="Times New Roman" w:hAnsi="Times New Roman"/>
          <w:sz w:val="26"/>
          <w:szCs w:val="26"/>
        </w:rPr>
        <w:t xml:space="preserve"> that the </w:t>
      </w:r>
      <w:r w:rsidR="00275168">
        <w:rPr>
          <w:rFonts w:ascii="Times New Roman" w:hAnsi="Times New Roman"/>
          <w:i/>
          <w:sz w:val="26"/>
          <w:szCs w:val="26"/>
        </w:rPr>
        <w:t>End State</w:t>
      </w:r>
      <w:r w:rsidR="001640C8" w:rsidRPr="001640C8">
        <w:rPr>
          <w:rFonts w:ascii="Times New Roman" w:hAnsi="Times New Roman"/>
          <w:i/>
          <w:sz w:val="26"/>
          <w:szCs w:val="26"/>
        </w:rPr>
        <w:t xml:space="preserve"> Order</w:t>
      </w:r>
      <w:r w:rsidR="001640C8">
        <w:rPr>
          <w:rFonts w:ascii="Times New Roman" w:hAnsi="Times New Roman"/>
          <w:sz w:val="26"/>
          <w:szCs w:val="26"/>
        </w:rPr>
        <w:t xml:space="preserve"> recognizes that the Commission</w:t>
      </w:r>
      <w:r w:rsidR="00803C65">
        <w:rPr>
          <w:rFonts w:ascii="Times New Roman" w:hAnsi="Times New Roman"/>
          <w:sz w:val="26"/>
          <w:szCs w:val="26"/>
        </w:rPr>
        <w:t>’</w:t>
      </w:r>
      <w:r w:rsidR="001640C8">
        <w:rPr>
          <w:rFonts w:ascii="Times New Roman" w:hAnsi="Times New Roman"/>
          <w:sz w:val="26"/>
          <w:szCs w:val="26"/>
        </w:rPr>
        <w:t xml:space="preserve">s position would </w:t>
      </w:r>
      <w:r w:rsidR="00275168">
        <w:rPr>
          <w:rFonts w:ascii="Times New Roman" w:hAnsi="Times New Roman"/>
          <w:sz w:val="26"/>
          <w:szCs w:val="26"/>
        </w:rPr>
        <w:t>be better grounded if there was</w:t>
      </w:r>
      <w:r w:rsidR="001640C8">
        <w:rPr>
          <w:rFonts w:ascii="Times New Roman" w:hAnsi="Times New Roman"/>
          <w:sz w:val="26"/>
          <w:szCs w:val="26"/>
        </w:rPr>
        <w:t xml:space="preserve"> legislative support for the use of hourly pricing without the hedging of short- and long-term contracts to meet the price stabilization requirement of Act 129.</w:t>
      </w:r>
      <w:r w:rsidR="00D0542B">
        <w:rPr>
          <w:rFonts w:ascii="Times New Roman" w:hAnsi="Times New Roman"/>
          <w:sz w:val="26"/>
          <w:szCs w:val="26"/>
        </w:rPr>
        <w:t xml:space="preserve">  In addition, noting that the percentage of shopping Small C&amp;I customers dropped from 93% under PPL</w:t>
      </w:r>
      <w:r w:rsidR="00803C65">
        <w:rPr>
          <w:rFonts w:ascii="Times New Roman" w:hAnsi="Times New Roman"/>
          <w:sz w:val="26"/>
          <w:szCs w:val="26"/>
        </w:rPr>
        <w:t>’</w:t>
      </w:r>
      <w:r w:rsidR="00D0542B">
        <w:rPr>
          <w:rFonts w:ascii="Times New Roman" w:hAnsi="Times New Roman"/>
          <w:sz w:val="26"/>
          <w:szCs w:val="26"/>
        </w:rPr>
        <w:t>s DSP II</w:t>
      </w:r>
      <w:r w:rsidR="00786BE9">
        <w:rPr>
          <w:rFonts w:ascii="Times New Roman" w:hAnsi="Times New Roman"/>
          <w:sz w:val="26"/>
          <w:szCs w:val="26"/>
        </w:rPr>
        <w:t xml:space="preserve"> program</w:t>
      </w:r>
      <w:r w:rsidR="00D0542B">
        <w:rPr>
          <w:rFonts w:ascii="Times New Roman" w:hAnsi="Times New Roman"/>
          <w:sz w:val="26"/>
          <w:szCs w:val="26"/>
        </w:rPr>
        <w:t xml:space="preserve"> to the present 88%, the ALJ opined that </w:t>
      </w:r>
      <w:r w:rsidR="00803C65">
        <w:rPr>
          <w:rFonts w:ascii="Times New Roman" w:hAnsi="Times New Roman"/>
          <w:sz w:val="26"/>
          <w:szCs w:val="26"/>
        </w:rPr>
        <w:t>“</w:t>
      </w:r>
      <w:r w:rsidR="00D0542B">
        <w:rPr>
          <w:rFonts w:ascii="Times New Roman" w:hAnsi="Times New Roman"/>
          <w:sz w:val="26"/>
          <w:szCs w:val="26"/>
        </w:rPr>
        <w:t>[a]</w:t>
      </w:r>
      <w:proofErr w:type="spellStart"/>
      <w:r w:rsidR="00D0542B">
        <w:rPr>
          <w:rFonts w:ascii="Times New Roman" w:hAnsi="Times New Roman"/>
          <w:sz w:val="26"/>
          <w:szCs w:val="26"/>
        </w:rPr>
        <w:t>rguably</w:t>
      </w:r>
      <w:proofErr w:type="spellEnd"/>
      <w:r w:rsidR="00D0542B">
        <w:rPr>
          <w:rFonts w:ascii="Times New Roman" w:hAnsi="Times New Roman"/>
          <w:sz w:val="26"/>
          <w:szCs w:val="26"/>
        </w:rPr>
        <w:t>, the product available from default service under the full-requirements load-following contracts approach is one which those customers see as desirable.</w:t>
      </w:r>
      <w:r w:rsidR="00803C65">
        <w:rPr>
          <w:rFonts w:ascii="Times New Roman" w:hAnsi="Times New Roman"/>
          <w:sz w:val="26"/>
          <w:szCs w:val="26"/>
        </w:rPr>
        <w:t>”</w:t>
      </w:r>
      <w:r w:rsidR="00D0542B">
        <w:rPr>
          <w:rFonts w:ascii="Times New Roman" w:hAnsi="Times New Roman"/>
          <w:sz w:val="26"/>
          <w:szCs w:val="26"/>
        </w:rPr>
        <w:t xml:space="preserve">  </w:t>
      </w:r>
      <w:r w:rsidR="00D0542B" w:rsidRPr="00D0542B">
        <w:rPr>
          <w:rFonts w:ascii="Times New Roman" w:hAnsi="Times New Roman"/>
          <w:i/>
          <w:sz w:val="26"/>
          <w:szCs w:val="26"/>
        </w:rPr>
        <w:t>Id</w:t>
      </w:r>
      <w:r w:rsidR="00D0542B">
        <w:rPr>
          <w:rFonts w:ascii="Times New Roman" w:hAnsi="Times New Roman"/>
          <w:sz w:val="26"/>
          <w:szCs w:val="26"/>
        </w:rPr>
        <w:t xml:space="preserve">.  </w:t>
      </w:r>
      <w:r w:rsidR="00E551D3">
        <w:rPr>
          <w:rFonts w:ascii="Times New Roman" w:hAnsi="Times New Roman"/>
          <w:sz w:val="26"/>
          <w:szCs w:val="26"/>
        </w:rPr>
        <w:t>The ALJ concluded as follows:</w:t>
      </w:r>
    </w:p>
    <w:p w:rsidR="00E551D3" w:rsidRDefault="00E551D3" w:rsidP="00D26D41">
      <w:pPr>
        <w:rPr>
          <w:rFonts w:ascii="Times New Roman" w:hAnsi="Times New Roman"/>
          <w:sz w:val="26"/>
          <w:szCs w:val="26"/>
        </w:rPr>
      </w:pPr>
    </w:p>
    <w:p w:rsidR="00E551D3" w:rsidRPr="00E551D3" w:rsidRDefault="00E551D3" w:rsidP="00E551D3">
      <w:pPr>
        <w:spacing w:line="240" w:lineRule="auto"/>
        <w:ind w:left="1440" w:right="1440"/>
        <w:rPr>
          <w:rFonts w:ascii="Times New Roman" w:hAnsi="Times New Roman"/>
          <w:sz w:val="26"/>
          <w:szCs w:val="26"/>
        </w:rPr>
      </w:pPr>
      <w:r w:rsidRPr="00E551D3">
        <w:rPr>
          <w:rFonts w:ascii="Times New Roman" w:hAnsi="Times New Roman"/>
          <w:sz w:val="26"/>
          <w:szCs w:val="26"/>
        </w:rPr>
        <w:t xml:space="preserve">While PPL Electric has set forth a plan to comply with the </w:t>
      </w:r>
      <w:r w:rsidRPr="00E551D3">
        <w:rPr>
          <w:rFonts w:ascii="Times New Roman" w:hAnsi="Times New Roman"/>
          <w:i/>
          <w:sz w:val="26"/>
          <w:szCs w:val="26"/>
        </w:rPr>
        <w:t>End State Order</w:t>
      </w:r>
      <w:r w:rsidRPr="00E551D3">
        <w:rPr>
          <w:rFonts w:ascii="Times New Roman" w:hAnsi="Times New Roman"/>
          <w:sz w:val="26"/>
          <w:szCs w:val="26"/>
        </w:rPr>
        <w:t xml:space="preserve">, it has provided no evidence to support a finding that its proposal to move these small commercial customers to hourly pricing is consistent with the goal of the statute to establish a default plan which provides the least cost over time by using a prudent mix of products.  With the knowledge that this issue can be revisited in future DSP cases, I recommend that the proposal be rejected and the Company be directed to continue to serve the Small C&amp;I customers consistent with the plan approved in the DSP II.  </w:t>
      </w:r>
    </w:p>
    <w:p w:rsidR="00E551D3" w:rsidRPr="00614024" w:rsidRDefault="00E551D3" w:rsidP="00D26D41">
      <w:pPr>
        <w:rPr>
          <w:rFonts w:ascii="Times New Roman" w:hAnsi="Times New Roman"/>
          <w:sz w:val="26"/>
          <w:szCs w:val="26"/>
        </w:rPr>
      </w:pPr>
    </w:p>
    <w:p w:rsidR="00614024" w:rsidRPr="00614024" w:rsidRDefault="00E551D3" w:rsidP="00D26D41">
      <w:pPr>
        <w:rPr>
          <w:rFonts w:ascii="Times New Roman" w:hAnsi="Times New Roman"/>
          <w:sz w:val="26"/>
          <w:szCs w:val="26"/>
        </w:rPr>
      </w:pPr>
      <w:r w:rsidRPr="00E551D3">
        <w:rPr>
          <w:rFonts w:ascii="Times New Roman" w:hAnsi="Times New Roman"/>
          <w:i/>
          <w:sz w:val="26"/>
          <w:szCs w:val="26"/>
        </w:rPr>
        <w:t>Id</w:t>
      </w:r>
      <w:r>
        <w:rPr>
          <w:rFonts w:ascii="Times New Roman" w:hAnsi="Times New Roman"/>
          <w:sz w:val="26"/>
          <w:szCs w:val="26"/>
        </w:rPr>
        <w:t>.</w:t>
      </w:r>
    </w:p>
    <w:p w:rsidR="00614024" w:rsidRPr="00614024" w:rsidRDefault="00614024" w:rsidP="00D26D41">
      <w:pPr>
        <w:rPr>
          <w:rFonts w:ascii="Times New Roman" w:hAnsi="Times New Roman"/>
          <w:sz w:val="26"/>
          <w:szCs w:val="26"/>
        </w:rPr>
      </w:pPr>
    </w:p>
    <w:p w:rsidR="00011009" w:rsidRPr="00BC28A2" w:rsidRDefault="00011009" w:rsidP="00D26D41">
      <w:pPr>
        <w:keepNext/>
        <w:rPr>
          <w:rFonts w:ascii="Times New Roman" w:hAnsi="Times New Roman"/>
          <w:b/>
          <w:sz w:val="26"/>
          <w:szCs w:val="26"/>
        </w:rPr>
      </w:pPr>
      <w:r w:rsidRPr="00BC28A2">
        <w:rPr>
          <w:rFonts w:ascii="Times New Roman" w:hAnsi="Times New Roman"/>
          <w:b/>
          <w:sz w:val="26"/>
          <w:szCs w:val="26"/>
        </w:rPr>
        <w:lastRenderedPageBreak/>
        <w:tab/>
        <w:t>3.</w:t>
      </w:r>
      <w:r w:rsidRPr="00BC28A2">
        <w:rPr>
          <w:rFonts w:ascii="Times New Roman" w:hAnsi="Times New Roman"/>
          <w:b/>
          <w:sz w:val="26"/>
          <w:szCs w:val="26"/>
        </w:rPr>
        <w:tab/>
        <w:t>Exceptions and Replies</w:t>
      </w:r>
    </w:p>
    <w:p w:rsidR="00011009" w:rsidRDefault="00011009" w:rsidP="00D26D41">
      <w:pPr>
        <w:keepNext/>
        <w:rPr>
          <w:rFonts w:ascii="Times New Roman" w:hAnsi="Times New Roman"/>
          <w:sz w:val="26"/>
          <w:szCs w:val="26"/>
        </w:rPr>
      </w:pPr>
    </w:p>
    <w:p w:rsidR="00E24F7B" w:rsidRPr="00E24F7B" w:rsidRDefault="00E24F7B" w:rsidP="00D26D41">
      <w:pPr>
        <w:keepNext/>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sidRPr="00E24F7B">
        <w:rPr>
          <w:rFonts w:ascii="Times New Roman" w:hAnsi="Times New Roman"/>
          <w:b/>
          <w:sz w:val="26"/>
          <w:szCs w:val="26"/>
        </w:rPr>
        <w:t>a.</w:t>
      </w:r>
      <w:r w:rsidRPr="00E24F7B">
        <w:rPr>
          <w:rFonts w:ascii="Times New Roman" w:hAnsi="Times New Roman"/>
          <w:b/>
          <w:sz w:val="26"/>
          <w:szCs w:val="26"/>
        </w:rPr>
        <w:tab/>
        <w:t>PPL</w:t>
      </w:r>
      <w:r w:rsidR="00803C65">
        <w:rPr>
          <w:rFonts w:ascii="Times New Roman" w:hAnsi="Times New Roman"/>
          <w:b/>
          <w:sz w:val="26"/>
          <w:szCs w:val="26"/>
        </w:rPr>
        <w:t>’</w:t>
      </w:r>
      <w:r w:rsidR="00C556E0">
        <w:rPr>
          <w:rFonts w:ascii="Times New Roman" w:hAnsi="Times New Roman"/>
          <w:b/>
          <w:sz w:val="26"/>
          <w:szCs w:val="26"/>
        </w:rPr>
        <w:t>s Exceptions</w:t>
      </w:r>
    </w:p>
    <w:p w:rsidR="00E24F7B" w:rsidRPr="008F28A1" w:rsidRDefault="00E24F7B" w:rsidP="00D26D41">
      <w:pPr>
        <w:keepNext/>
        <w:rPr>
          <w:rFonts w:ascii="Times New Roman" w:hAnsi="Times New Roman"/>
          <w:sz w:val="26"/>
          <w:szCs w:val="26"/>
        </w:rPr>
      </w:pPr>
    </w:p>
    <w:p w:rsidR="008F28A1" w:rsidRPr="000404BA" w:rsidRDefault="008F28A1" w:rsidP="008F28A1">
      <w:pPr>
        <w:rPr>
          <w:rFonts w:ascii="Times New Roman" w:hAnsi="Times New Roman"/>
          <w:sz w:val="26"/>
          <w:szCs w:val="26"/>
        </w:rPr>
      </w:pPr>
      <w:r w:rsidRPr="00234785">
        <w:rPr>
          <w:rFonts w:ascii="Times New Roman" w:hAnsi="Times New Roman"/>
          <w:sz w:val="26"/>
          <w:szCs w:val="26"/>
        </w:rPr>
        <w:tab/>
      </w:r>
      <w:r w:rsidRPr="00234785">
        <w:rPr>
          <w:rFonts w:ascii="Times New Roman" w:hAnsi="Times New Roman"/>
          <w:sz w:val="26"/>
          <w:szCs w:val="26"/>
        </w:rPr>
        <w:tab/>
        <w:t xml:space="preserve">In its </w:t>
      </w:r>
      <w:r w:rsidRPr="000404BA">
        <w:rPr>
          <w:rFonts w:ascii="Times New Roman" w:hAnsi="Times New Roman"/>
          <w:sz w:val="26"/>
          <w:szCs w:val="26"/>
        </w:rPr>
        <w:t>Exceptions, PPL disputes the ALJ</w:t>
      </w:r>
      <w:r w:rsidR="00803C65">
        <w:rPr>
          <w:rFonts w:ascii="Times New Roman" w:hAnsi="Times New Roman"/>
          <w:sz w:val="26"/>
          <w:szCs w:val="26"/>
        </w:rPr>
        <w:t>’</w:t>
      </w:r>
      <w:r w:rsidRPr="000404BA">
        <w:rPr>
          <w:rFonts w:ascii="Times New Roman" w:hAnsi="Times New Roman"/>
          <w:sz w:val="26"/>
          <w:szCs w:val="26"/>
        </w:rPr>
        <w:t>s recommendation that the Commission reject PPL</w:t>
      </w:r>
      <w:r w:rsidR="00803C65">
        <w:rPr>
          <w:rFonts w:ascii="Times New Roman" w:hAnsi="Times New Roman"/>
          <w:sz w:val="26"/>
          <w:szCs w:val="26"/>
        </w:rPr>
        <w:t>’</w:t>
      </w:r>
      <w:r w:rsidRPr="000404BA">
        <w:rPr>
          <w:rFonts w:ascii="Times New Roman" w:hAnsi="Times New Roman"/>
          <w:sz w:val="26"/>
          <w:szCs w:val="26"/>
        </w:rPr>
        <w:t>s proposal to reduce</w:t>
      </w:r>
      <w:r w:rsidR="00234785" w:rsidRPr="000404BA">
        <w:rPr>
          <w:rFonts w:ascii="Times New Roman" w:hAnsi="Times New Roman"/>
          <w:sz w:val="26"/>
          <w:szCs w:val="26"/>
        </w:rPr>
        <w:t xml:space="preserve"> the</w:t>
      </w:r>
      <w:r w:rsidRPr="000404BA">
        <w:rPr>
          <w:rFonts w:ascii="Times New Roman" w:hAnsi="Times New Roman"/>
          <w:sz w:val="26"/>
          <w:szCs w:val="26"/>
        </w:rPr>
        <w:t xml:space="preserve"> peak demand limitation for the Small C&amp;I customer</w:t>
      </w:r>
      <w:r w:rsidR="00234785" w:rsidRPr="000404BA">
        <w:rPr>
          <w:rFonts w:ascii="Times New Roman" w:hAnsi="Times New Roman"/>
          <w:sz w:val="26"/>
          <w:szCs w:val="26"/>
        </w:rPr>
        <w:t xml:space="preserve"> class from 500 kW to 100 kW.</w:t>
      </w:r>
      <w:r w:rsidR="000404BA" w:rsidRPr="000404BA">
        <w:rPr>
          <w:rFonts w:ascii="Times New Roman" w:hAnsi="Times New Roman"/>
          <w:sz w:val="26"/>
          <w:szCs w:val="26"/>
        </w:rPr>
        <w:t xml:space="preserve">  </w:t>
      </w:r>
      <w:r w:rsidR="00684E76">
        <w:rPr>
          <w:rFonts w:ascii="Times New Roman" w:hAnsi="Times New Roman"/>
          <w:sz w:val="26"/>
          <w:szCs w:val="26"/>
        </w:rPr>
        <w:t>PPL argues that Section 2807</w:t>
      </w:r>
      <w:r w:rsidRPr="000404BA">
        <w:rPr>
          <w:rFonts w:ascii="Times New Roman" w:hAnsi="Times New Roman"/>
          <w:sz w:val="26"/>
          <w:szCs w:val="26"/>
        </w:rPr>
        <w:t>(e)(3.2) of the Code does not require a default service provider to procure multiple default service products for each customer class (or a subset of a customer class in this case)</w:t>
      </w:r>
      <w:r w:rsidR="000404BA" w:rsidRPr="000404BA">
        <w:rPr>
          <w:rFonts w:ascii="Times New Roman" w:hAnsi="Times New Roman"/>
          <w:sz w:val="26"/>
          <w:szCs w:val="26"/>
        </w:rPr>
        <w:t>,</w:t>
      </w:r>
      <w:r w:rsidRPr="000404BA">
        <w:rPr>
          <w:rFonts w:ascii="Times New Roman" w:hAnsi="Times New Roman"/>
          <w:sz w:val="26"/>
          <w:szCs w:val="26"/>
        </w:rPr>
        <w:t xml:space="preserve"> but rather, provides for a default service plan that includes a </w:t>
      </w:r>
      <w:r w:rsidR="00803C65">
        <w:rPr>
          <w:rFonts w:ascii="Times New Roman" w:hAnsi="Times New Roman"/>
          <w:sz w:val="26"/>
          <w:szCs w:val="26"/>
        </w:rPr>
        <w:t>“</w:t>
      </w:r>
      <w:r w:rsidRPr="000404BA">
        <w:rPr>
          <w:rFonts w:ascii="Times New Roman" w:hAnsi="Times New Roman"/>
          <w:sz w:val="26"/>
          <w:szCs w:val="26"/>
        </w:rPr>
        <w:t>prudent mix</w:t>
      </w:r>
      <w:r w:rsidR="00803C65">
        <w:rPr>
          <w:rFonts w:ascii="Times New Roman" w:hAnsi="Times New Roman"/>
          <w:sz w:val="26"/>
          <w:szCs w:val="26"/>
        </w:rPr>
        <w:t>”</w:t>
      </w:r>
      <w:r w:rsidRPr="000404BA">
        <w:rPr>
          <w:rFonts w:ascii="Times New Roman" w:hAnsi="Times New Roman"/>
          <w:sz w:val="26"/>
          <w:szCs w:val="26"/>
        </w:rPr>
        <w:t xml:space="preserve"> of products.  Acco</w:t>
      </w:r>
      <w:r w:rsidR="000404BA" w:rsidRPr="000404BA">
        <w:rPr>
          <w:rFonts w:ascii="Times New Roman" w:hAnsi="Times New Roman"/>
          <w:sz w:val="26"/>
          <w:szCs w:val="26"/>
        </w:rPr>
        <w:t>rding to PPL, its DSP III program</w:t>
      </w:r>
      <w:r w:rsidRPr="000404BA">
        <w:rPr>
          <w:rFonts w:ascii="Times New Roman" w:hAnsi="Times New Roman"/>
          <w:sz w:val="26"/>
          <w:szCs w:val="26"/>
        </w:rPr>
        <w:t>, as a whole, will include a prudent mix of default service products.  PPL Exc. at 4-5.</w:t>
      </w:r>
    </w:p>
    <w:p w:rsidR="008F28A1" w:rsidRPr="000404BA" w:rsidRDefault="008F28A1" w:rsidP="008F28A1">
      <w:pPr>
        <w:rPr>
          <w:rFonts w:ascii="Times New Roman" w:hAnsi="Times New Roman"/>
          <w:sz w:val="26"/>
          <w:szCs w:val="26"/>
        </w:rPr>
      </w:pPr>
    </w:p>
    <w:p w:rsidR="008B056C" w:rsidRPr="008B056C" w:rsidRDefault="008130A7" w:rsidP="008F28A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6851D4" w:rsidRPr="008B056C">
        <w:rPr>
          <w:rFonts w:ascii="Times New Roman" w:hAnsi="Times New Roman"/>
          <w:sz w:val="26"/>
          <w:szCs w:val="26"/>
        </w:rPr>
        <w:t xml:space="preserve">PPL </w:t>
      </w:r>
      <w:r w:rsidR="008B056C" w:rsidRPr="008B056C">
        <w:rPr>
          <w:rFonts w:ascii="Times New Roman" w:hAnsi="Times New Roman"/>
          <w:sz w:val="26"/>
          <w:szCs w:val="26"/>
        </w:rPr>
        <w:t xml:space="preserve">also </w:t>
      </w:r>
      <w:r w:rsidR="006851D4" w:rsidRPr="008B056C">
        <w:rPr>
          <w:rFonts w:ascii="Times New Roman" w:hAnsi="Times New Roman"/>
          <w:sz w:val="26"/>
          <w:szCs w:val="26"/>
        </w:rPr>
        <w:t>cites</w:t>
      </w:r>
      <w:r w:rsidR="008F28A1" w:rsidRPr="008B056C">
        <w:rPr>
          <w:rFonts w:ascii="Times New Roman" w:hAnsi="Times New Roman"/>
          <w:sz w:val="26"/>
          <w:szCs w:val="26"/>
        </w:rPr>
        <w:t xml:space="preserve"> to </w:t>
      </w:r>
      <w:proofErr w:type="spellStart"/>
      <w:r w:rsidR="008F28A1" w:rsidRPr="008B056C">
        <w:rPr>
          <w:rFonts w:ascii="Times New Roman" w:hAnsi="Times New Roman"/>
          <w:i/>
          <w:sz w:val="26"/>
          <w:szCs w:val="26"/>
        </w:rPr>
        <w:t>Popowsky</w:t>
      </w:r>
      <w:proofErr w:type="spellEnd"/>
      <w:r w:rsidR="008F28A1" w:rsidRPr="008B056C">
        <w:rPr>
          <w:rFonts w:ascii="Times New Roman" w:hAnsi="Times New Roman"/>
          <w:i/>
          <w:sz w:val="26"/>
          <w:szCs w:val="26"/>
        </w:rPr>
        <w:t xml:space="preserve"> v. Pa. PUC</w:t>
      </w:r>
      <w:r w:rsidR="008F28A1" w:rsidRPr="008B056C">
        <w:rPr>
          <w:rFonts w:ascii="Times New Roman" w:hAnsi="Times New Roman"/>
          <w:sz w:val="26"/>
          <w:szCs w:val="26"/>
        </w:rPr>
        <w:t xml:space="preserve">, 71 A.3d 1112 (Pa. </w:t>
      </w:r>
      <w:proofErr w:type="spellStart"/>
      <w:r w:rsidR="008F28A1" w:rsidRPr="008B056C">
        <w:rPr>
          <w:rFonts w:ascii="Times New Roman" w:hAnsi="Times New Roman"/>
          <w:sz w:val="26"/>
          <w:szCs w:val="26"/>
        </w:rPr>
        <w:t>Cmwlth</w:t>
      </w:r>
      <w:proofErr w:type="spellEnd"/>
      <w:r w:rsidR="008F28A1" w:rsidRPr="008B056C">
        <w:rPr>
          <w:rFonts w:ascii="Times New Roman" w:hAnsi="Times New Roman"/>
          <w:sz w:val="26"/>
          <w:szCs w:val="26"/>
        </w:rPr>
        <w:t xml:space="preserve">. 2013), </w:t>
      </w:r>
      <w:r w:rsidR="008F28A1" w:rsidRPr="008B056C">
        <w:rPr>
          <w:rFonts w:ascii="Times New Roman" w:hAnsi="Times New Roman"/>
          <w:i/>
          <w:sz w:val="26"/>
          <w:szCs w:val="26"/>
        </w:rPr>
        <w:t>appeal denied</w:t>
      </w:r>
      <w:r w:rsidR="008F28A1" w:rsidRPr="008B056C">
        <w:rPr>
          <w:rFonts w:ascii="Times New Roman" w:hAnsi="Times New Roman"/>
          <w:sz w:val="26"/>
          <w:szCs w:val="26"/>
        </w:rPr>
        <w:t>, 83 A.3d 416 (2013)</w:t>
      </w:r>
      <w:r w:rsidR="00D77AE2">
        <w:rPr>
          <w:rFonts w:ascii="Times New Roman" w:hAnsi="Times New Roman"/>
          <w:sz w:val="26"/>
          <w:szCs w:val="26"/>
        </w:rPr>
        <w:t xml:space="preserve"> (</w:t>
      </w:r>
      <w:proofErr w:type="spellStart"/>
      <w:r w:rsidR="00D77AE2" w:rsidRPr="008B056C">
        <w:rPr>
          <w:rFonts w:ascii="Times New Roman" w:hAnsi="Times New Roman"/>
          <w:i/>
          <w:sz w:val="26"/>
          <w:szCs w:val="26"/>
        </w:rPr>
        <w:t>Popowsky</w:t>
      </w:r>
      <w:proofErr w:type="spellEnd"/>
      <w:r w:rsidR="00D77AE2">
        <w:rPr>
          <w:rFonts w:ascii="Times New Roman" w:hAnsi="Times New Roman"/>
          <w:sz w:val="26"/>
          <w:szCs w:val="26"/>
        </w:rPr>
        <w:t>)</w:t>
      </w:r>
      <w:r w:rsidR="008F28A1" w:rsidRPr="008B056C">
        <w:rPr>
          <w:rFonts w:ascii="Times New Roman" w:hAnsi="Times New Roman"/>
          <w:sz w:val="26"/>
          <w:szCs w:val="26"/>
        </w:rPr>
        <w:t>, in which the</w:t>
      </w:r>
      <w:r w:rsidR="008B056C" w:rsidRPr="008B056C">
        <w:rPr>
          <w:rFonts w:ascii="Times New Roman" w:hAnsi="Times New Roman"/>
          <w:sz w:val="26"/>
          <w:szCs w:val="26"/>
        </w:rPr>
        <w:t xml:space="preserve"> Commonwealth Court upheld the</w:t>
      </w:r>
      <w:r w:rsidR="008F28A1" w:rsidRPr="008B056C">
        <w:rPr>
          <w:rFonts w:ascii="Times New Roman" w:hAnsi="Times New Roman"/>
          <w:sz w:val="26"/>
          <w:szCs w:val="26"/>
        </w:rPr>
        <w:t xml:space="preserve"> Commission</w:t>
      </w:r>
      <w:r w:rsidR="00803C65">
        <w:rPr>
          <w:rFonts w:ascii="Times New Roman" w:hAnsi="Times New Roman"/>
          <w:sz w:val="26"/>
          <w:szCs w:val="26"/>
        </w:rPr>
        <w:t>’</w:t>
      </w:r>
      <w:r w:rsidR="008B056C" w:rsidRPr="008B056C">
        <w:rPr>
          <w:rFonts w:ascii="Times New Roman" w:hAnsi="Times New Roman"/>
          <w:sz w:val="26"/>
          <w:szCs w:val="26"/>
        </w:rPr>
        <w:t>s approval</w:t>
      </w:r>
      <w:r w:rsidR="00D77AE2">
        <w:rPr>
          <w:rFonts w:ascii="Times New Roman" w:hAnsi="Times New Roman"/>
          <w:sz w:val="26"/>
          <w:szCs w:val="26"/>
        </w:rPr>
        <w:t xml:space="preserve"> of</w:t>
      </w:r>
      <w:r w:rsidR="008F28A1" w:rsidRPr="008B056C">
        <w:rPr>
          <w:rFonts w:ascii="Times New Roman" w:hAnsi="Times New Roman"/>
          <w:sz w:val="26"/>
          <w:szCs w:val="26"/>
        </w:rPr>
        <w:t xml:space="preserve"> a default</w:t>
      </w:r>
      <w:r w:rsidR="008F28A1" w:rsidRPr="00CA24AD">
        <w:rPr>
          <w:rFonts w:ascii="Times New Roman" w:hAnsi="Times New Roman"/>
          <w:sz w:val="26"/>
          <w:szCs w:val="26"/>
        </w:rPr>
        <w:t xml:space="preserve"> service plan for Pike County Light &amp; Power Company (Pike County) that contained only spot market</w:t>
      </w:r>
      <w:r w:rsidR="006851D4">
        <w:rPr>
          <w:rFonts w:ascii="Times New Roman" w:hAnsi="Times New Roman"/>
          <w:sz w:val="26"/>
          <w:szCs w:val="26"/>
        </w:rPr>
        <w:t xml:space="preserve"> purchases.  PPL notes</w:t>
      </w:r>
      <w:r w:rsidR="008D2065" w:rsidRPr="00CA24AD">
        <w:rPr>
          <w:rFonts w:ascii="Times New Roman" w:hAnsi="Times New Roman"/>
          <w:sz w:val="26"/>
          <w:szCs w:val="26"/>
        </w:rPr>
        <w:t xml:space="preserve"> that</w:t>
      </w:r>
      <w:r w:rsidR="008B056C">
        <w:rPr>
          <w:rFonts w:ascii="Times New Roman" w:hAnsi="Times New Roman"/>
          <w:sz w:val="26"/>
          <w:szCs w:val="26"/>
        </w:rPr>
        <w:t xml:space="preserve"> in that proceeding, the </w:t>
      </w:r>
      <w:r w:rsidR="008F28A1" w:rsidRPr="00CA24AD">
        <w:rPr>
          <w:rFonts w:ascii="Times New Roman" w:hAnsi="Times New Roman"/>
          <w:sz w:val="26"/>
          <w:szCs w:val="26"/>
        </w:rPr>
        <w:t>Court rejected the OCA</w:t>
      </w:r>
      <w:r w:rsidR="00803C65">
        <w:rPr>
          <w:rFonts w:ascii="Times New Roman" w:hAnsi="Times New Roman"/>
          <w:sz w:val="26"/>
          <w:szCs w:val="26"/>
        </w:rPr>
        <w:t>’</w:t>
      </w:r>
      <w:r w:rsidR="008F28A1" w:rsidRPr="00CA24AD">
        <w:rPr>
          <w:rFonts w:ascii="Times New Roman" w:hAnsi="Times New Roman"/>
          <w:sz w:val="26"/>
          <w:szCs w:val="26"/>
        </w:rPr>
        <w:t xml:space="preserve">s </w:t>
      </w:r>
      <w:r w:rsidR="008F28A1" w:rsidRPr="008B056C">
        <w:rPr>
          <w:rFonts w:ascii="Times New Roman" w:hAnsi="Times New Roman"/>
          <w:sz w:val="26"/>
          <w:szCs w:val="26"/>
        </w:rPr>
        <w:t>argument</w:t>
      </w:r>
      <w:r w:rsidR="008D2065" w:rsidRPr="008B056C">
        <w:rPr>
          <w:rFonts w:ascii="Times New Roman" w:hAnsi="Times New Roman"/>
          <w:sz w:val="26"/>
          <w:szCs w:val="26"/>
        </w:rPr>
        <w:t>,</w:t>
      </w:r>
      <w:r w:rsidR="001B2752" w:rsidRPr="008B056C">
        <w:rPr>
          <w:rFonts w:ascii="Times New Roman" w:hAnsi="Times New Roman"/>
          <w:sz w:val="26"/>
          <w:szCs w:val="26"/>
        </w:rPr>
        <w:t xml:space="preserve"> on appeal</w:t>
      </w:r>
      <w:r w:rsidR="008D2065" w:rsidRPr="008B056C">
        <w:rPr>
          <w:rFonts w:ascii="Times New Roman" w:hAnsi="Times New Roman"/>
          <w:sz w:val="26"/>
          <w:szCs w:val="26"/>
        </w:rPr>
        <w:t>,</w:t>
      </w:r>
      <w:r w:rsidR="008F28A1" w:rsidRPr="008B056C">
        <w:rPr>
          <w:rFonts w:ascii="Times New Roman" w:hAnsi="Times New Roman"/>
          <w:sz w:val="26"/>
          <w:szCs w:val="26"/>
        </w:rPr>
        <w:t xml:space="preserve"> that a default service plan must include at least two of the sources enumerated in Section 2807 (e)(3.2)(</w:t>
      </w:r>
      <w:proofErr w:type="spellStart"/>
      <w:r w:rsidR="008F28A1" w:rsidRPr="008B056C">
        <w:rPr>
          <w:rFonts w:ascii="Times New Roman" w:hAnsi="Times New Roman"/>
          <w:sz w:val="26"/>
          <w:szCs w:val="26"/>
        </w:rPr>
        <w:t>i</w:t>
      </w:r>
      <w:proofErr w:type="spellEnd"/>
      <w:r w:rsidR="008F28A1" w:rsidRPr="008B056C">
        <w:rPr>
          <w:rFonts w:ascii="Times New Roman" w:hAnsi="Times New Roman"/>
          <w:sz w:val="26"/>
          <w:szCs w:val="26"/>
        </w:rPr>
        <w:t xml:space="preserve">)-(iii) to be considered </w:t>
      </w:r>
      <w:r w:rsidR="008B056C" w:rsidRPr="008B056C">
        <w:rPr>
          <w:rFonts w:ascii="Times New Roman" w:hAnsi="Times New Roman"/>
          <w:sz w:val="26"/>
          <w:szCs w:val="26"/>
        </w:rPr>
        <w:t xml:space="preserve">a </w:t>
      </w:r>
      <w:r w:rsidR="00803C65">
        <w:rPr>
          <w:rFonts w:ascii="Times New Roman" w:hAnsi="Times New Roman"/>
          <w:sz w:val="26"/>
          <w:szCs w:val="26"/>
        </w:rPr>
        <w:t>“</w:t>
      </w:r>
      <w:r w:rsidR="008B056C" w:rsidRPr="008B056C">
        <w:rPr>
          <w:rFonts w:ascii="Times New Roman" w:hAnsi="Times New Roman"/>
          <w:sz w:val="26"/>
          <w:szCs w:val="26"/>
        </w:rPr>
        <w:t>prudent mix.</w:t>
      </w:r>
      <w:r w:rsidR="00803C65">
        <w:rPr>
          <w:rFonts w:ascii="Times New Roman" w:hAnsi="Times New Roman"/>
          <w:sz w:val="26"/>
          <w:szCs w:val="26"/>
        </w:rPr>
        <w:t>”</w:t>
      </w:r>
      <w:r w:rsidR="008B056C" w:rsidRPr="008B056C">
        <w:rPr>
          <w:rFonts w:ascii="Times New Roman" w:hAnsi="Times New Roman"/>
          <w:sz w:val="26"/>
          <w:szCs w:val="26"/>
        </w:rPr>
        <w:t xml:space="preserve">  PPL Exc. at 5 (citing </w:t>
      </w:r>
      <w:proofErr w:type="spellStart"/>
      <w:r w:rsidR="00AE6FD5">
        <w:rPr>
          <w:rFonts w:ascii="Times New Roman" w:hAnsi="Times New Roman"/>
          <w:i/>
          <w:sz w:val="26"/>
          <w:szCs w:val="26"/>
        </w:rPr>
        <w:t>Popowsky</w:t>
      </w:r>
      <w:proofErr w:type="spellEnd"/>
      <w:r w:rsidR="00AE6FD5">
        <w:rPr>
          <w:rFonts w:ascii="Times New Roman" w:hAnsi="Times New Roman"/>
          <w:i/>
          <w:sz w:val="26"/>
          <w:szCs w:val="26"/>
        </w:rPr>
        <w:t xml:space="preserve"> </w:t>
      </w:r>
      <w:r w:rsidR="008B056C" w:rsidRPr="008B056C">
        <w:rPr>
          <w:rFonts w:ascii="Times New Roman" w:hAnsi="Times New Roman"/>
          <w:sz w:val="26"/>
          <w:szCs w:val="26"/>
        </w:rPr>
        <w:t>at 1116).  PPL</w:t>
      </w:r>
      <w:r w:rsidR="008F28A1" w:rsidRPr="008B056C">
        <w:rPr>
          <w:rFonts w:ascii="Times New Roman" w:hAnsi="Times New Roman"/>
          <w:sz w:val="26"/>
          <w:szCs w:val="26"/>
        </w:rPr>
        <w:t xml:space="preserve"> </w:t>
      </w:r>
      <w:r w:rsidR="006851D4" w:rsidRPr="008B056C">
        <w:rPr>
          <w:rFonts w:ascii="Times New Roman" w:hAnsi="Times New Roman"/>
          <w:sz w:val="26"/>
          <w:szCs w:val="26"/>
        </w:rPr>
        <w:t xml:space="preserve">states that </w:t>
      </w:r>
      <w:r w:rsidR="008F28A1" w:rsidRPr="008B056C">
        <w:rPr>
          <w:rFonts w:ascii="Times New Roman" w:hAnsi="Times New Roman"/>
          <w:sz w:val="26"/>
          <w:szCs w:val="26"/>
        </w:rPr>
        <w:t xml:space="preserve">the Commonwealth Court took the position that the word </w:t>
      </w:r>
      <w:r w:rsidR="00803C65">
        <w:rPr>
          <w:rFonts w:ascii="Times New Roman" w:hAnsi="Times New Roman"/>
          <w:sz w:val="26"/>
          <w:szCs w:val="26"/>
        </w:rPr>
        <w:t>“</w:t>
      </w:r>
      <w:r w:rsidR="008F28A1" w:rsidRPr="008B056C">
        <w:rPr>
          <w:rFonts w:ascii="Times New Roman" w:hAnsi="Times New Roman"/>
          <w:sz w:val="26"/>
          <w:szCs w:val="26"/>
        </w:rPr>
        <w:t>prudent</w:t>
      </w:r>
      <w:r w:rsidR="00803C65">
        <w:rPr>
          <w:rFonts w:ascii="Times New Roman" w:hAnsi="Times New Roman"/>
          <w:sz w:val="26"/>
          <w:szCs w:val="26"/>
        </w:rPr>
        <w:t>”</w:t>
      </w:r>
      <w:r w:rsidR="008F28A1" w:rsidRPr="008B056C">
        <w:rPr>
          <w:rFonts w:ascii="Times New Roman" w:hAnsi="Times New Roman"/>
          <w:sz w:val="26"/>
          <w:szCs w:val="26"/>
        </w:rPr>
        <w:t xml:space="preserve"> must not be disregarded in Section 2807 (e)(3.2)</w:t>
      </w:r>
      <w:r w:rsidR="006851D4" w:rsidRPr="008B056C">
        <w:rPr>
          <w:rFonts w:ascii="Times New Roman" w:hAnsi="Times New Roman"/>
          <w:sz w:val="26"/>
          <w:szCs w:val="26"/>
        </w:rPr>
        <w:t xml:space="preserve"> of the Code</w:t>
      </w:r>
      <w:r w:rsidR="00CA24AD" w:rsidRPr="008B056C">
        <w:rPr>
          <w:rFonts w:ascii="Times New Roman" w:hAnsi="Times New Roman"/>
          <w:sz w:val="26"/>
          <w:szCs w:val="26"/>
        </w:rPr>
        <w:t>,</w:t>
      </w:r>
      <w:r w:rsidR="008F28A1" w:rsidRPr="008B056C">
        <w:rPr>
          <w:rFonts w:ascii="Times New Roman" w:hAnsi="Times New Roman"/>
          <w:sz w:val="26"/>
          <w:szCs w:val="26"/>
        </w:rPr>
        <w:t xml:space="preserve"> and that the Commission </w:t>
      </w:r>
      <w:r w:rsidR="00803C65">
        <w:rPr>
          <w:rFonts w:ascii="Times New Roman" w:hAnsi="Times New Roman"/>
          <w:sz w:val="26"/>
          <w:szCs w:val="26"/>
        </w:rPr>
        <w:t>“</w:t>
      </w:r>
      <w:r w:rsidR="008F28A1" w:rsidRPr="008B056C">
        <w:rPr>
          <w:rFonts w:ascii="Times New Roman" w:hAnsi="Times New Roman"/>
          <w:sz w:val="26"/>
          <w:szCs w:val="26"/>
        </w:rPr>
        <w:t xml:space="preserve">must exercise some balance and discretion under the circumstances of the case in order for the </w:t>
      </w:r>
      <w:r w:rsidR="00803C65">
        <w:rPr>
          <w:rFonts w:ascii="Times New Roman" w:hAnsi="Times New Roman"/>
          <w:sz w:val="26"/>
          <w:szCs w:val="26"/>
        </w:rPr>
        <w:t>‘</w:t>
      </w:r>
      <w:r w:rsidR="008F28A1" w:rsidRPr="008B056C">
        <w:rPr>
          <w:rFonts w:ascii="Times New Roman" w:hAnsi="Times New Roman"/>
          <w:sz w:val="26"/>
          <w:szCs w:val="26"/>
        </w:rPr>
        <w:t>mix</w:t>
      </w:r>
      <w:r w:rsidR="00803C65">
        <w:rPr>
          <w:rFonts w:ascii="Times New Roman" w:hAnsi="Times New Roman"/>
          <w:sz w:val="26"/>
          <w:szCs w:val="26"/>
        </w:rPr>
        <w:t>’</w:t>
      </w:r>
      <w:r w:rsidR="008F28A1" w:rsidRPr="008B056C">
        <w:rPr>
          <w:rFonts w:ascii="Times New Roman" w:hAnsi="Times New Roman"/>
          <w:sz w:val="26"/>
          <w:szCs w:val="26"/>
        </w:rPr>
        <w:t xml:space="preserve"> in question to be prudent.</w:t>
      </w:r>
      <w:r w:rsidR="00803C65">
        <w:rPr>
          <w:rFonts w:ascii="Times New Roman" w:hAnsi="Times New Roman"/>
          <w:sz w:val="26"/>
          <w:szCs w:val="26"/>
        </w:rPr>
        <w:t>’”</w:t>
      </w:r>
      <w:r w:rsidR="008F28A1" w:rsidRPr="008B056C">
        <w:rPr>
          <w:rFonts w:ascii="Times New Roman" w:hAnsi="Times New Roman"/>
          <w:sz w:val="26"/>
          <w:szCs w:val="26"/>
        </w:rPr>
        <w:t xml:space="preserve">  PPL Exc. at 5 (</w:t>
      </w:r>
      <w:r w:rsidR="008B056C" w:rsidRPr="008B056C">
        <w:rPr>
          <w:rFonts w:ascii="Times New Roman" w:hAnsi="Times New Roman"/>
          <w:sz w:val="26"/>
          <w:szCs w:val="26"/>
        </w:rPr>
        <w:t>quoting</w:t>
      </w:r>
      <w:r w:rsidR="008F28A1" w:rsidRPr="008B056C">
        <w:rPr>
          <w:rFonts w:ascii="Times New Roman" w:hAnsi="Times New Roman"/>
          <w:sz w:val="26"/>
          <w:szCs w:val="26"/>
        </w:rPr>
        <w:t xml:space="preserve"> </w:t>
      </w:r>
      <w:proofErr w:type="spellStart"/>
      <w:r w:rsidR="00AE6FD5">
        <w:rPr>
          <w:rFonts w:ascii="Times New Roman" w:hAnsi="Times New Roman"/>
          <w:i/>
          <w:sz w:val="26"/>
          <w:szCs w:val="26"/>
        </w:rPr>
        <w:t>Popowsky</w:t>
      </w:r>
      <w:proofErr w:type="spellEnd"/>
      <w:r w:rsidR="00AE6FD5">
        <w:rPr>
          <w:rFonts w:ascii="Times New Roman" w:hAnsi="Times New Roman"/>
          <w:i/>
          <w:sz w:val="26"/>
          <w:szCs w:val="26"/>
        </w:rPr>
        <w:t xml:space="preserve"> </w:t>
      </w:r>
      <w:r w:rsidR="008F28A1" w:rsidRPr="008B056C">
        <w:rPr>
          <w:rFonts w:ascii="Times New Roman" w:hAnsi="Times New Roman"/>
          <w:sz w:val="26"/>
          <w:szCs w:val="26"/>
        </w:rPr>
        <w:t>at</w:t>
      </w:r>
      <w:r w:rsidR="008B056C" w:rsidRPr="008B056C">
        <w:rPr>
          <w:rFonts w:ascii="Times New Roman" w:hAnsi="Times New Roman"/>
          <w:sz w:val="26"/>
          <w:szCs w:val="26"/>
        </w:rPr>
        <w:t xml:space="preserve"> </w:t>
      </w:r>
      <w:r w:rsidR="008F28A1" w:rsidRPr="008B056C">
        <w:rPr>
          <w:rFonts w:ascii="Times New Roman" w:hAnsi="Times New Roman"/>
          <w:sz w:val="26"/>
          <w:szCs w:val="26"/>
        </w:rPr>
        <w:t>1117).</w:t>
      </w:r>
      <w:r w:rsidR="008B495B">
        <w:rPr>
          <w:rFonts w:ascii="Times New Roman" w:hAnsi="Times New Roman"/>
          <w:sz w:val="26"/>
          <w:szCs w:val="26"/>
        </w:rPr>
        <w:t xml:space="preserve">  In addition, </w:t>
      </w:r>
      <w:r w:rsidR="008B056C">
        <w:rPr>
          <w:rFonts w:ascii="Times New Roman" w:hAnsi="Times New Roman"/>
          <w:sz w:val="26"/>
          <w:szCs w:val="26"/>
        </w:rPr>
        <w:t xml:space="preserve">PPL points to </w:t>
      </w:r>
      <w:r w:rsidR="008B495B">
        <w:rPr>
          <w:rFonts w:ascii="Times New Roman" w:hAnsi="Times New Roman"/>
          <w:sz w:val="26"/>
          <w:szCs w:val="26"/>
        </w:rPr>
        <w:t xml:space="preserve">prior </w:t>
      </w:r>
      <w:r w:rsidR="008B056C" w:rsidRPr="00CA24AD">
        <w:rPr>
          <w:rFonts w:ascii="Times New Roman" w:hAnsi="Times New Roman"/>
          <w:sz w:val="26"/>
          <w:szCs w:val="26"/>
        </w:rPr>
        <w:t>Commission decisions</w:t>
      </w:r>
      <w:r w:rsidR="008B495B">
        <w:rPr>
          <w:rFonts w:ascii="Times New Roman" w:hAnsi="Times New Roman"/>
          <w:sz w:val="26"/>
          <w:szCs w:val="26"/>
        </w:rPr>
        <w:t xml:space="preserve"> in which the Commission approved</w:t>
      </w:r>
      <w:r w:rsidR="008B056C">
        <w:rPr>
          <w:rFonts w:ascii="Times New Roman" w:hAnsi="Times New Roman"/>
          <w:sz w:val="26"/>
          <w:szCs w:val="26"/>
        </w:rPr>
        <w:t xml:space="preserve"> default service plans</w:t>
      </w:r>
      <w:r w:rsidR="008B495B">
        <w:rPr>
          <w:rFonts w:ascii="Times New Roman" w:hAnsi="Times New Roman"/>
          <w:sz w:val="26"/>
          <w:szCs w:val="26"/>
        </w:rPr>
        <w:t xml:space="preserve"> that included a single hourly-priced product for large commercial and industrial customers.  PPL Exc. at 5, n.3.</w:t>
      </w:r>
      <w:r w:rsidR="008B056C">
        <w:rPr>
          <w:rFonts w:ascii="Times New Roman" w:hAnsi="Times New Roman"/>
          <w:sz w:val="26"/>
          <w:szCs w:val="26"/>
        </w:rPr>
        <w:t xml:space="preserve"> </w:t>
      </w:r>
    </w:p>
    <w:p w:rsidR="008B056C" w:rsidRPr="008B056C" w:rsidRDefault="008B056C" w:rsidP="008F28A1">
      <w:pPr>
        <w:rPr>
          <w:rFonts w:ascii="Times New Roman" w:hAnsi="Times New Roman"/>
          <w:sz w:val="26"/>
          <w:szCs w:val="26"/>
        </w:rPr>
      </w:pPr>
    </w:p>
    <w:p w:rsidR="00655ED4" w:rsidRDefault="008F28A1" w:rsidP="008F28A1">
      <w:pPr>
        <w:rPr>
          <w:rFonts w:ascii="Times New Roman" w:hAnsi="Times New Roman"/>
          <w:sz w:val="26"/>
          <w:szCs w:val="26"/>
        </w:rPr>
      </w:pPr>
      <w:r w:rsidRPr="00655ED4">
        <w:rPr>
          <w:rFonts w:ascii="Times New Roman" w:hAnsi="Times New Roman"/>
          <w:sz w:val="26"/>
          <w:szCs w:val="26"/>
        </w:rPr>
        <w:lastRenderedPageBreak/>
        <w:tab/>
      </w:r>
      <w:r w:rsidRPr="00655ED4">
        <w:rPr>
          <w:rFonts w:ascii="Times New Roman" w:hAnsi="Times New Roman"/>
          <w:sz w:val="26"/>
          <w:szCs w:val="26"/>
        </w:rPr>
        <w:tab/>
        <w:t>PPL also argues that the Commission</w:t>
      </w:r>
      <w:r w:rsidR="00803C65">
        <w:rPr>
          <w:rFonts w:ascii="Times New Roman" w:hAnsi="Times New Roman"/>
          <w:sz w:val="26"/>
          <w:szCs w:val="26"/>
        </w:rPr>
        <w:t>’</w:t>
      </w:r>
      <w:r w:rsidRPr="00655ED4">
        <w:rPr>
          <w:rFonts w:ascii="Times New Roman" w:hAnsi="Times New Roman"/>
          <w:sz w:val="26"/>
          <w:szCs w:val="26"/>
        </w:rPr>
        <w:t xml:space="preserve">s expectation in the </w:t>
      </w:r>
      <w:r w:rsidRPr="00655ED4">
        <w:rPr>
          <w:rFonts w:ascii="Times New Roman" w:hAnsi="Times New Roman"/>
          <w:i/>
          <w:sz w:val="26"/>
          <w:szCs w:val="26"/>
        </w:rPr>
        <w:t>End State Order</w:t>
      </w:r>
      <w:r w:rsidRPr="00655ED4">
        <w:rPr>
          <w:rFonts w:ascii="Times New Roman" w:hAnsi="Times New Roman"/>
          <w:sz w:val="26"/>
          <w:szCs w:val="26"/>
        </w:rPr>
        <w:t xml:space="preserve"> that EDCs implement a 100 kW demand split for commercial and industrial customers is in ac</w:t>
      </w:r>
      <w:r w:rsidR="00655ED4">
        <w:rPr>
          <w:rFonts w:ascii="Times New Roman" w:hAnsi="Times New Roman"/>
          <w:sz w:val="26"/>
          <w:szCs w:val="26"/>
        </w:rPr>
        <w:t>cordance with the Commission</w:t>
      </w:r>
      <w:r w:rsidR="00803C65">
        <w:rPr>
          <w:rFonts w:ascii="Times New Roman" w:hAnsi="Times New Roman"/>
          <w:sz w:val="26"/>
          <w:szCs w:val="26"/>
        </w:rPr>
        <w:t>’</w:t>
      </w:r>
      <w:r w:rsidR="00655ED4">
        <w:rPr>
          <w:rFonts w:ascii="Times New Roman" w:hAnsi="Times New Roman"/>
          <w:sz w:val="26"/>
          <w:szCs w:val="26"/>
        </w:rPr>
        <w:t>s Policy S</w:t>
      </w:r>
      <w:r w:rsidR="00DF3E25">
        <w:rPr>
          <w:rFonts w:ascii="Times New Roman" w:hAnsi="Times New Roman"/>
          <w:sz w:val="26"/>
          <w:szCs w:val="26"/>
        </w:rPr>
        <w:t>tatement at 52</w:t>
      </w:r>
      <w:r w:rsidRPr="00655ED4">
        <w:rPr>
          <w:rFonts w:ascii="Times New Roman" w:hAnsi="Times New Roman"/>
          <w:sz w:val="26"/>
          <w:szCs w:val="26"/>
        </w:rPr>
        <w:t xml:space="preserve"> Pa. Code § 69.1805.  </w:t>
      </w:r>
      <w:r w:rsidR="00655ED4">
        <w:rPr>
          <w:rFonts w:ascii="Times New Roman" w:hAnsi="Times New Roman"/>
          <w:sz w:val="26"/>
          <w:szCs w:val="26"/>
        </w:rPr>
        <w:t>PPL quotes, in pertinent part, from the Policy Statement, as follows:</w:t>
      </w:r>
    </w:p>
    <w:p w:rsidR="00655ED4" w:rsidRDefault="00655ED4" w:rsidP="008F28A1">
      <w:pPr>
        <w:rPr>
          <w:rFonts w:ascii="Times New Roman" w:hAnsi="Times New Roman"/>
          <w:sz w:val="26"/>
          <w:szCs w:val="26"/>
        </w:rPr>
      </w:pPr>
    </w:p>
    <w:p w:rsidR="00655ED4" w:rsidRDefault="00655ED4" w:rsidP="00655ED4">
      <w:pPr>
        <w:spacing w:line="240" w:lineRule="auto"/>
        <w:ind w:left="1440" w:right="1526"/>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 xml:space="preserve">Nonresidential customers with 25—500 kW in maximum registered peak load.  The DSP should acquire electric generation supply for these customers using a mix of resources as described in the introductory paragraph to this section.  Fixed-term contracts may be laddered to minimize risk, with a minimum of two competitive bid solicitations a year to further reduce the risk of acquisition at a time of peak prices.  </w:t>
      </w:r>
      <w:r w:rsidRPr="00655ED4">
        <w:rPr>
          <w:rFonts w:ascii="Times New Roman" w:hAnsi="Times New Roman"/>
          <w:i/>
          <w:sz w:val="26"/>
          <w:szCs w:val="26"/>
        </w:rPr>
        <w:t>In subsequent programs, the mix percentage of supply acquired through long-term and short-term contracts and spot market purchases should be adjusted, depending on developments in retail and wholesale energy markets to ensure least cost to customers</w:t>
      </w:r>
      <w:r>
        <w:rPr>
          <w:rFonts w:ascii="Times New Roman" w:hAnsi="Times New Roman"/>
          <w:sz w:val="26"/>
          <w:szCs w:val="26"/>
        </w:rPr>
        <w:t>.</w:t>
      </w:r>
    </w:p>
    <w:p w:rsidR="00655ED4" w:rsidRDefault="00655ED4" w:rsidP="008F28A1">
      <w:pPr>
        <w:rPr>
          <w:rFonts w:ascii="Times New Roman" w:hAnsi="Times New Roman"/>
          <w:sz w:val="26"/>
          <w:szCs w:val="26"/>
        </w:rPr>
      </w:pPr>
    </w:p>
    <w:p w:rsidR="008F28A1" w:rsidRPr="004C4A3F" w:rsidRDefault="00655ED4" w:rsidP="008F28A1">
      <w:pPr>
        <w:rPr>
          <w:rFonts w:ascii="Times New Roman" w:hAnsi="Times New Roman"/>
          <w:sz w:val="26"/>
          <w:szCs w:val="26"/>
        </w:rPr>
      </w:pPr>
      <w:r w:rsidRPr="004C4A3F">
        <w:rPr>
          <w:rFonts w:ascii="Times New Roman" w:hAnsi="Times New Roman"/>
          <w:sz w:val="26"/>
          <w:szCs w:val="26"/>
        </w:rPr>
        <w:t>PPL Exc. at 6 (quoting from 52 Pa. Code § 69.1805 (emphasis added by PPL)).</w:t>
      </w:r>
      <w:r w:rsidR="004C4A3F" w:rsidRPr="004C4A3F">
        <w:rPr>
          <w:rFonts w:ascii="Times New Roman" w:hAnsi="Times New Roman"/>
          <w:sz w:val="26"/>
          <w:szCs w:val="26"/>
        </w:rPr>
        <w:t xml:space="preserve">  PPL</w:t>
      </w:r>
      <w:r w:rsidR="008F28A1" w:rsidRPr="004C4A3F">
        <w:rPr>
          <w:rFonts w:ascii="Times New Roman" w:hAnsi="Times New Roman"/>
          <w:sz w:val="26"/>
          <w:szCs w:val="26"/>
        </w:rPr>
        <w:t xml:space="preserve"> avers</w:t>
      </w:r>
      <w:r w:rsidR="004C4A3F" w:rsidRPr="004C4A3F">
        <w:rPr>
          <w:rFonts w:ascii="Times New Roman" w:hAnsi="Times New Roman"/>
          <w:sz w:val="26"/>
          <w:szCs w:val="26"/>
        </w:rPr>
        <w:t xml:space="preserve"> that the Policy Stat</w:t>
      </w:r>
      <w:r w:rsidR="00DF3E25">
        <w:rPr>
          <w:rFonts w:ascii="Times New Roman" w:hAnsi="Times New Roman"/>
          <w:sz w:val="26"/>
          <w:szCs w:val="26"/>
        </w:rPr>
        <w:t>e</w:t>
      </w:r>
      <w:r w:rsidR="004C4A3F" w:rsidRPr="004C4A3F">
        <w:rPr>
          <w:rFonts w:ascii="Times New Roman" w:hAnsi="Times New Roman"/>
          <w:sz w:val="26"/>
          <w:szCs w:val="26"/>
        </w:rPr>
        <w:t>ment</w:t>
      </w:r>
      <w:r w:rsidR="00B97565">
        <w:rPr>
          <w:rFonts w:ascii="Times New Roman" w:hAnsi="Times New Roman"/>
          <w:sz w:val="26"/>
          <w:szCs w:val="26"/>
        </w:rPr>
        <w:t xml:space="preserve"> contemplates</w:t>
      </w:r>
      <w:r w:rsidR="008F28A1" w:rsidRPr="004C4A3F">
        <w:rPr>
          <w:rFonts w:ascii="Times New Roman" w:hAnsi="Times New Roman"/>
          <w:sz w:val="26"/>
          <w:szCs w:val="26"/>
        </w:rPr>
        <w:t xml:space="preserve"> that the mix and types of products procured for nonresidential customers with a peak demand between 25 kW and 500 kW </w:t>
      </w:r>
      <w:r w:rsidR="004C4A3F" w:rsidRPr="004C4A3F">
        <w:rPr>
          <w:rFonts w:ascii="Times New Roman" w:hAnsi="Times New Roman"/>
          <w:sz w:val="26"/>
          <w:szCs w:val="26"/>
        </w:rPr>
        <w:t xml:space="preserve">would and should </w:t>
      </w:r>
      <w:r w:rsidR="008F28A1" w:rsidRPr="004C4A3F">
        <w:rPr>
          <w:rFonts w:ascii="Times New Roman" w:hAnsi="Times New Roman"/>
          <w:sz w:val="26"/>
          <w:szCs w:val="26"/>
        </w:rPr>
        <w:t xml:space="preserve">be adjusted relative to changes in the competitive energy markets.  </w:t>
      </w:r>
      <w:r w:rsidR="004C4A3F" w:rsidRPr="004C4A3F">
        <w:rPr>
          <w:rFonts w:ascii="Times New Roman" w:hAnsi="Times New Roman"/>
          <w:sz w:val="26"/>
          <w:szCs w:val="26"/>
        </w:rPr>
        <w:t>Thus</w:t>
      </w:r>
      <w:r w:rsidR="008F28A1" w:rsidRPr="004C4A3F">
        <w:rPr>
          <w:rFonts w:ascii="Times New Roman" w:hAnsi="Times New Roman"/>
          <w:sz w:val="26"/>
          <w:szCs w:val="26"/>
        </w:rPr>
        <w:t>, PPL states that it is responding to a robust competitive market in its service territory by shifting its</w:t>
      </w:r>
      <w:r w:rsidR="00DF3E25">
        <w:rPr>
          <w:rFonts w:ascii="Times New Roman" w:hAnsi="Times New Roman"/>
          <w:sz w:val="26"/>
          <w:szCs w:val="26"/>
        </w:rPr>
        <w:t xml:space="preserve"> overall procurement mix toward</w:t>
      </w:r>
      <w:r w:rsidR="008F28A1" w:rsidRPr="004C4A3F">
        <w:rPr>
          <w:rFonts w:ascii="Times New Roman" w:hAnsi="Times New Roman"/>
          <w:sz w:val="26"/>
          <w:szCs w:val="26"/>
        </w:rPr>
        <w:t xml:space="preserve"> shorter term products.  PPL Exc. at 6 (</w:t>
      </w:r>
      <w:r w:rsidR="004C4A3F" w:rsidRPr="00B409DC">
        <w:rPr>
          <w:rFonts w:ascii="Times New Roman" w:hAnsi="Times New Roman"/>
          <w:sz w:val="26"/>
          <w:szCs w:val="26"/>
        </w:rPr>
        <w:t>citing</w:t>
      </w:r>
      <w:r w:rsidR="004C4A3F" w:rsidRPr="004C4A3F">
        <w:rPr>
          <w:rFonts w:ascii="Times New Roman" w:hAnsi="Times New Roman"/>
          <w:i/>
          <w:sz w:val="26"/>
          <w:szCs w:val="26"/>
        </w:rPr>
        <w:t xml:space="preserve"> </w:t>
      </w:r>
      <w:r w:rsidR="004C4A3F" w:rsidRPr="00B409DC">
        <w:rPr>
          <w:rFonts w:ascii="Times New Roman" w:hAnsi="Times New Roman"/>
          <w:sz w:val="26"/>
          <w:szCs w:val="26"/>
        </w:rPr>
        <w:t>PPL St.</w:t>
      </w:r>
      <w:r w:rsidR="008F28A1" w:rsidRPr="00B409DC">
        <w:rPr>
          <w:rFonts w:ascii="Times New Roman" w:hAnsi="Times New Roman"/>
          <w:sz w:val="26"/>
          <w:szCs w:val="26"/>
        </w:rPr>
        <w:t xml:space="preserve"> No. 2 at 12-18</w:t>
      </w:r>
      <w:r w:rsidR="008F28A1" w:rsidRPr="004C4A3F">
        <w:rPr>
          <w:rFonts w:ascii="Times New Roman" w:hAnsi="Times New Roman"/>
          <w:sz w:val="26"/>
          <w:szCs w:val="26"/>
        </w:rPr>
        <w:t>).  From PPL</w:t>
      </w:r>
      <w:r w:rsidR="00803C65">
        <w:rPr>
          <w:rFonts w:ascii="Times New Roman" w:hAnsi="Times New Roman"/>
          <w:sz w:val="26"/>
          <w:szCs w:val="26"/>
        </w:rPr>
        <w:t>’</w:t>
      </w:r>
      <w:r w:rsidR="008F28A1" w:rsidRPr="004C4A3F">
        <w:rPr>
          <w:rFonts w:ascii="Times New Roman" w:hAnsi="Times New Roman"/>
          <w:sz w:val="26"/>
          <w:szCs w:val="26"/>
        </w:rPr>
        <w:t xml:space="preserve">s point of view, its current proposal </w:t>
      </w:r>
      <w:r w:rsidR="004C4A3F" w:rsidRPr="004C4A3F">
        <w:rPr>
          <w:rFonts w:ascii="Times New Roman" w:hAnsi="Times New Roman"/>
          <w:sz w:val="26"/>
          <w:szCs w:val="26"/>
        </w:rPr>
        <w:t>to implement a 100 kW demand split is consistent</w:t>
      </w:r>
      <w:r w:rsidR="008F28A1" w:rsidRPr="004C4A3F">
        <w:rPr>
          <w:rFonts w:ascii="Times New Roman" w:hAnsi="Times New Roman"/>
          <w:sz w:val="26"/>
          <w:szCs w:val="26"/>
        </w:rPr>
        <w:t xml:space="preserve"> with</w:t>
      </w:r>
      <w:r w:rsidR="004C4A3F" w:rsidRPr="004C4A3F">
        <w:rPr>
          <w:rFonts w:ascii="Times New Roman" w:hAnsi="Times New Roman"/>
          <w:sz w:val="26"/>
          <w:szCs w:val="26"/>
        </w:rPr>
        <w:t xml:space="preserve"> this</w:t>
      </w:r>
      <w:r w:rsidR="008F28A1" w:rsidRPr="004C4A3F">
        <w:rPr>
          <w:rFonts w:ascii="Times New Roman" w:hAnsi="Times New Roman"/>
          <w:sz w:val="26"/>
          <w:szCs w:val="26"/>
        </w:rPr>
        <w:t xml:space="preserve"> shift and the</w:t>
      </w:r>
      <w:r w:rsidR="004C4A3F" w:rsidRPr="004C4A3F">
        <w:rPr>
          <w:rFonts w:ascii="Times New Roman" w:hAnsi="Times New Roman"/>
          <w:sz w:val="26"/>
          <w:szCs w:val="26"/>
        </w:rPr>
        <w:t xml:space="preserve"> Commission</w:t>
      </w:r>
      <w:r w:rsidR="00803C65">
        <w:rPr>
          <w:rFonts w:ascii="Times New Roman" w:hAnsi="Times New Roman"/>
          <w:sz w:val="26"/>
          <w:szCs w:val="26"/>
        </w:rPr>
        <w:t>’</w:t>
      </w:r>
      <w:r w:rsidR="004C4A3F" w:rsidRPr="004C4A3F">
        <w:rPr>
          <w:rFonts w:ascii="Times New Roman" w:hAnsi="Times New Roman"/>
          <w:sz w:val="26"/>
          <w:szCs w:val="26"/>
        </w:rPr>
        <w:t xml:space="preserve">s </w:t>
      </w:r>
      <w:r w:rsidR="00B33AEA">
        <w:rPr>
          <w:rFonts w:ascii="Times New Roman" w:hAnsi="Times New Roman"/>
          <w:sz w:val="26"/>
          <w:szCs w:val="26"/>
        </w:rPr>
        <w:t>P</w:t>
      </w:r>
      <w:r w:rsidR="004C4A3F" w:rsidRPr="004C4A3F">
        <w:rPr>
          <w:rFonts w:ascii="Times New Roman" w:hAnsi="Times New Roman"/>
          <w:sz w:val="26"/>
          <w:szCs w:val="26"/>
        </w:rPr>
        <w:t xml:space="preserve">olicy </w:t>
      </w:r>
      <w:r w:rsidR="00B33AEA">
        <w:rPr>
          <w:rFonts w:ascii="Times New Roman" w:hAnsi="Times New Roman"/>
          <w:sz w:val="26"/>
          <w:szCs w:val="26"/>
        </w:rPr>
        <w:t>S</w:t>
      </w:r>
      <w:r w:rsidR="004C4A3F" w:rsidRPr="004C4A3F">
        <w:rPr>
          <w:rFonts w:ascii="Times New Roman" w:hAnsi="Times New Roman"/>
          <w:sz w:val="26"/>
          <w:szCs w:val="26"/>
        </w:rPr>
        <w:t>tatement.  PPL Exc. at 6.</w:t>
      </w:r>
      <w:r w:rsidR="00DF3E25">
        <w:rPr>
          <w:rFonts w:ascii="Times New Roman" w:hAnsi="Times New Roman"/>
          <w:sz w:val="26"/>
          <w:szCs w:val="26"/>
        </w:rPr>
        <w:t xml:space="preserve">  Moreover, PPL contends that </w:t>
      </w:r>
      <w:r w:rsidR="00F33253">
        <w:rPr>
          <w:rFonts w:ascii="Times New Roman" w:hAnsi="Times New Roman"/>
          <w:sz w:val="26"/>
          <w:szCs w:val="26"/>
        </w:rPr>
        <w:t xml:space="preserve">the </w:t>
      </w:r>
      <w:r w:rsidR="00F33253" w:rsidRPr="00F33253">
        <w:rPr>
          <w:rFonts w:ascii="Times New Roman" w:hAnsi="Times New Roman"/>
          <w:i/>
          <w:sz w:val="26"/>
          <w:szCs w:val="26"/>
        </w:rPr>
        <w:t>End State Order</w:t>
      </w:r>
      <w:r w:rsidR="00F33253">
        <w:rPr>
          <w:rFonts w:ascii="Times New Roman" w:hAnsi="Times New Roman"/>
          <w:sz w:val="26"/>
          <w:szCs w:val="26"/>
        </w:rPr>
        <w:t xml:space="preserve"> is consistent with the Policy Statement because it directed EDCs to implement an adjustment in the mix of products procured for non-residential customers with a peak demand of 100 kW or higher to more accurately reflect market conditions.  </w:t>
      </w:r>
      <w:r w:rsidR="00F33253" w:rsidRPr="00F33253">
        <w:rPr>
          <w:rFonts w:ascii="Times New Roman" w:hAnsi="Times New Roman"/>
          <w:i/>
          <w:sz w:val="26"/>
          <w:szCs w:val="26"/>
        </w:rPr>
        <w:t>Id</w:t>
      </w:r>
      <w:r w:rsidR="00F33253">
        <w:rPr>
          <w:rFonts w:ascii="Times New Roman" w:hAnsi="Times New Roman"/>
          <w:sz w:val="26"/>
          <w:szCs w:val="26"/>
        </w:rPr>
        <w:t>. at 6-7 (</w:t>
      </w:r>
      <w:r w:rsidR="00F33253" w:rsidRPr="00B33AEA">
        <w:rPr>
          <w:rFonts w:ascii="Times New Roman" w:hAnsi="Times New Roman"/>
          <w:sz w:val="26"/>
          <w:szCs w:val="26"/>
        </w:rPr>
        <w:t>citing</w:t>
      </w:r>
      <w:r w:rsidR="00F33253">
        <w:rPr>
          <w:rFonts w:ascii="Times New Roman" w:hAnsi="Times New Roman"/>
          <w:sz w:val="26"/>
          <w:szCs w:val="26"/>
        </w:rPr>
        <w:t xml:space="preserve"> </w:t>
      </w:r>
      <w:r w:rsidR="00F33253" w:rsidRPr="00B409DC">
        <w:rPr>
          <w:rFonts w:ascii="Times New Roman" w:hAnsi="Times New Roman"/>
          <w:i/>
          <w:sz w:val="26"/>
          <w:szCs w:val="26"/>
        </w:rPr>
        <w:t>End State Order</w:t>
      </w:r>
      <w:r w:rsidR="00F33253">
        <w:rPr>
          <w:rFonts w:ascii="Times New Roman" w:hAnsi="Times New Roman"/>
          <w:sz w:val="26"/>
          <w:szCs w:val="26"/>
        </w:rPr>
        <w:t xml:space="preserve"> at </w:t>
      </w:r>
      <w:r w:rsidR="00A463CA">
        <w:rPr>
          <w:rFonts w:ascii="Times New Roman" w:hAnsi="Times New Roman"/>
          <w:sz w:val="26"/>
          <w:szCs w:val="26"/>
        </w:rPr>
        <w:t>25,</w:t>
      </w:r>
      <w:r w:rsidR="00B83E47">
        <w:rPr>
          <w:rFonts w:ascii="Times New Roman" w:hAnsi="Times New Roman"/>
          <w:sz w:val="26"/>
          <w:szCs w:val="26"/>
        </w:rPr>
        <w:t> </w:t>
      </w:r>
      <w:r w:rsidR="00A463CA">
        <w:rPr>
          <w:rFonts w:ascii="Times New Roman" w:hAnsi="Times New Roman"/>
          <w:sz w:val="26"/>
          <w:szCs w:val="26"/>
        </w:rPr>
        <w:t>29).</w:t>
      </w:r>
    </w:p>
    <w:p w:rsidR="008F28A1" w:rsidRPr="005A2128" w:rsidRDefault="008F28A1" w:rsidP="008F28A1">
      <w:pPr>
        <w:rPr>
          <w:rFonts w:ascii="Times New Roman" w:hAnsi="Times New Roman"/>
          <w:sz w:val="26"/>
          <w:szCs w:val="26"/>
        </w:rPr>
      </w:pPr>
    </w:p>
    <w:p w:rsidR="005A2128" w:rsidRDefault="008F28A1" w:rsidP="008F28A1">
      <w:pPr>
        <w:rPr>
          <w:rFonts w:ascii="Times New Roman" w:hAnsi="Times New Roman"/>
          <w:sz w:val="26"/>
          <w:szCs w:val="26"/>
        </w:rPr>
      </w:pPr>
      <w:r w:rsidRPr="005A2128">
        <w:rPr>
          <w:rFonts w:ascii="Times New Roman" w:hAnsi="Times New Roman"/>
          <w:sz w:val="26"/>
          <w:szCs w:val="26"/>
        </w:rPr>
        <w:lastRenderedPageBreak/>
        <w:tab/>
      </w:r>
      <w:r w:rsidRPr="005A2128">
        <w:rPr>
          <w:rFonts w:ascii="Times New Roman" w:hAnsi="Times New Roman"/>
          <w:sz w:val="26"/>
          <w:szCs w:val="26"/>
        </w:rPr>
        <w:tab/>
      </w:r>
      <w:r w:rsidR="005A2128" w:rsidRPr="005A2128">
        <w:rPr>
          <w:rFonts w:ascii="Times New Roman" w:hAnsi="Times New Roman"/>
          <w:sz w:val="26"/>
          <w:szCs w:val="26"/>
        </w:rPr>
        <w:t xml:space="preserve">In conclusion, PPL reiterates </w:t>
      </w:r>
      <w:r w:rsidR="005A2128">
        <w:rPr>
          <w:rFonts w:ascii="Times New Roman" w:hAnsi="Times New Roman"/>
          <w:sz w:val="26"/>
          <w:szCs w:val="26"/>
        </w:rPr>
        <w:t>its argument that,</w:t>
      </w:r>
      <w:r w:rsidR="005A2128" w:rsidRPr="005A2128">
        <w:rPr>
          <w:rFonts w:ascii="Times New Roman" w:hAnsi="Times New Roman"/>
          <w:sz w:val="26"/>
          <w:szCs w:val="26"/>
        </w:rPr>
        <w:t xml:space="preserve"> as </w:t>
      </w:r>
      <w:r w:rsidRPr="005A2128">
        <w:rPr>
          <w:rFonts w:ascii="Times New Roman" w:hAnsi="Times New Roman"/>
          <w:sz w:val="26"/>
          <w:szCs w:val="26"/>
        </w:rPr>
        <w:t>the Commission and the Commonwealth C</w:t>
      </w:r>
      <w:r w:rsidR="005A2128" w:rsidRPr="005A2128">
        <w:rPr>
          <w:rFonts w:ascii="Times New Roman" w:hAnsi="Times New Roman"/>
          <w:sz w:val="26"/>
          <w:szCs w:val="26"/>
        </w:rPr>
        <w:t>ourt have previously recognized, a single product can</w:t>
      </w:r>
      <w:r w:rsidRPr="005A2128">
        <w:rPr>
          <w:rFonts w:ascii="Times New Roman" w:hAnsi="Times New Roman"/>
          <w:sz w:val="26"/>
          <w:szCs w:val="26"/>
        </w:rPr>
        <w:t xml:space="preserve"> be viewed as a </w:t>
      </w:r>
      <w:r w:rsidR="00803C65">
        <w:rPr>
          <w:rFonts w:ascii="Times New Roman" w:hAnsi="Times New Roman"/>
          <w:sz w:val="26"/>
          <w:szCs w:val="26"/>
        </w:rPr>
        <w:t>“</w:t>
      </w:r>
      <w:r w:rsidRPr="005A2128">
        <w:rPr>
          <w:rFonts w:ascii="Times New Roman" w:hAnsi="Times New Roman"/>
          <w:sz w:val="26"/>
          <w:szCs w:val="26"/>
        </w:rPr>
        <w:t>prudent mix</w:t>
      </w:r>
      <w:r w:rsidR="00803C65">
        <w:rPr>
          <w:rFonts w:ascii="Times New Roman" w:hAnsi="Times New Roman"/>
          <w:sz w:val="26"/>
          <w:szCs w:val="26"/>
        </w:rPr>
        <w:t>”</w:t>
      </w:r>
      <w:r w:rsidRPr="005A2128">
        <w:rPr>
          <w:rFonts w:ascii="Times New Roman" w:hAnsi="Times New Roman"/>
          <w:sz w:val="26"/>
          <w:szCs w:val="26"/>
        </w:rPr>
        <w:t xml:space="preserve"> for a specific customer class</w:t>
      </w:r>
      <w:r w:rsidR="005A2128">
        <w:rPr>
          <w:rFonts w:ascii="Times New Roman" w:hAnsi="Times New Roman"/>
          <w:sz w:val="26"/>
          <w:szCs w:val="26"/>
        </w:rPr>
        <w:t>,</w:t>
      </w:r>
      <w:r w:rsidRPr="005A2128">
        <w:rPr>
          <w:rFonts w:ascii="Times New Roman" w:hAnsi="Times New Roman"/>
          <w:sz w:val="26"/>
          <w:szCs w:val="26"/>
        </w:rPr>
        <w:t xml:space="preserve"> given the relevant circumstances.  </w:t>
      </w:r>
      <w:r w:rsidR="005A2128">
        <w:rPr>
          <w:rFonts w:ascii="Times New Roman" w:hAnsi="Times New Roman"/>
          <w:sz w:val="26"/>
          <w:szCs w:val="26"/>
        </w:rPr>
        <w:t xml:space="preserve">Therefore, PPL contends that when an additional </w:t>
      </w:r>
      <w:r w:rsidR="008F4E42">
        <w:rPr>
          <w:rFonts w:ascii="Times New Roman" w:hAnsi="Times New Roman"/>
          <w:sz w:val="26"/>
          <w:szCs w:val="26"/>
        </w:rPr>
        <w:t xml:space="preserve">group of commercial and industrial customers exhibit shopping characteristics similar to those of the existing Large C&amp;I class—which PPL avers is the case for the customers with demand between 100 kW and 500 kW—the Commission has the discretion to redefine the parameters of the Large C&amp;I class to include these additional customers without violating </w:t>
      </w:r>
      <w:r w:rsidR="008F4E42" w:rsidRPr="008F4E42">
        <w:rPr>
          <w:rFonts w:ascii="Times New Roman" w:hAnsi="Times New Roman"/>
          <w:sz w:val="26"/>
          <w:szCs w:val="26"/>
        </w:rPr>
        <w:t xml:space="preserve">the </w:t>
      </w:r>
      <w:r w:rsidR="00803C65">
        <w:rPr>
          <w:rFonts w:ascii="Times New Roman" w:hAnsi="Times New Roman"/>
          <w:sz w:val="26"/>
          <w:szCs w:val="26"/>
        </w:rPr>
        <w:t>“</w:t>
      </w:r>
      <w:r w:rsidR="008F4E42" w:rsidRPr="008F4E42">
        <w:rPr>
          <w:rFonts w:ascii="Times New Roman" w:hAnsi="Times New Roman"/>
          <w:sz w:val="26"/>
          <w:szCs w:val="26"/>
        </w:rPr>
        <w:t>prudent mix</w:t>
      </w:r>
      <w:r w:rsidR="00803C65">
        <w:rPr>
          <w:rFonts w:ascii="Times New Roman" w:hAnsi="Times New Roman"/>
          <w:sz w:val="26"/>
          <w:szCs w:val="26"/>
        </w:rPr>
        <w:t>”</w:t>
      </w:r>
      <w:r w:rsidR="008F4E42" w:rsidRPr="008F4E42">
        <w:rPr>
          <w:rFonts w:ascii="Times New Roman" w:hAnsi="Times New Roman"/>
          <w:sz w:val="26"/>
          <w:szCs w:val="26"/>
        </w:rPr>
        <w:t xml:space="preserve"> standard, </w:t>
      </w:r>
      <w:r w:rsidR="008F4E42" w:rsidRPr="006F7289">
        <w:rPr>
          <w:rFonts w:ascii="Times New Roman" w:hAnsi="Times New Roman"/>
          <w:sz w:val="26"/>
          <w:szCs w:val="26"/>
        </w:rPr>
        <w:t>consistent with the Policy Statement at 52 Pa. Code § 69.1805.</w:t>
      </w:r>
    </w:p>
    <w:p w:rsidR="00C556E0" w:rsidRPr="006F7289" w:rsidRDefault="00C556E0" w:rsidP="008F28A1">
      <w:pPr>
        <w:rPr>
          <w:rFonts w:ascii="Times New Roman" w:hAnsi="Times New Roman"/>
          <w:sz w:val="26"/>
          <w:szCs w:val="26"/>
        </w:rPr>
      </w:pPr>
    </w:p>
    <w:p w:rsidR="00AB3DE6" w:rsidRPr="00AB3DE6" w:rsidRDefault="00AB3DE6" w:rsidP="008F4E42">
      <w:pPr>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sidRPr="00AB3DE6">
        <w:rPr>
          <w:rFonts w:ascii="Times New Roman" w:hAnsi="Times New Roman"/>
          <w:b/>
          <w:sz w:val="26"/>
          <w:szCs w:val="26"/>
        </w:rPr>
        <w:t>b.</w:t>
      </w:r>
      <w:r w:rsidRPr="00AB3DE6">
        <w:rPr>
          <w:rFonts w:ascii="Times New Roman" w:hAnsi="Times New Roman"/>
          <w:b/>
          <w:sz w:val="26"/>
          <w:szCs w:val="26"/>
        </w:rPr>
        <w:tab/>
        <w:t>RESA</w:t>
      </w:r>
      <w:r w:rsidR="00803C65">
        <w:rPr>
          <w:rFonts w:ascii="Times New Roman" w:hAnsi="Times New Roman"/>
          <w:b/>
          <w:sz w:val="26"/>
          <w:szCs w:val="26"/>
        </w:rPr>
        <w:t>’</w:t>
      </w:r>
      <w:r w:rsidR="00C556E0">
        <w:rPr>
          <w:rFonts w:ascii="Times New Roman" w:hAnsi="Times New Roman"/>
          <w:b/>
          <w:sz w:val="26"/>
          <w:szCs w:val="26"/>
        </w:rPr>
        <w:t>s Exceptions</w:t>
      </w:r>
    </w:p>
    <w:p w:rsidR="00AB3DE6" w:rsidRPr="006F7289" w:rsidRDefault="00AB3DE6" w:rsidP="008F4E42">
      <w:pPr>
        <w:rPr>
          <w:rFonts w:ascii="Times New Roman" w:hAnsi="Times New Roman"/>
          <w:sz w:val="26"/>
          <w:szCs w:val="26"/>
        </w:rPr>
      </w:pPr>
    </w:p>
    <w:p w:rsidR="00D14EE1" w:rsidRDefault="00D14EE1" w:rsidP="00727F44">
      <w:pPr>
        <w:rPr>
          <w:rFonts w:ascii="Times New Roman" w:eastAsia="Calibri" w:hAnsi="Times New Roman"/>
          <w:sz w:val="26"/>
          <w:szCs w:val="26"/>
        </w:rPr>
      </w:pPr>
      <w:r w:rsidRPr="006F7289">
        <w:rPr>
          <w:rFonts w:ascii="Times New Roman" w:eastAsia="Calibri" w:hAnsi="Times New Roman"/>
          <w:sz w:val="26"/>
          <w:szCs w:val="26"/>
        </w:rPr>
        <w:tab/>
      </w:r>
      <w:r w:rsidRPr="006F7289">
        <w:rPr>
          <w:rFonts w:ascii="Times New Roman" w:eastAsia="Calibri" w:hAnsi="Times New Roman"/>
          <w:sz w:val="26"/>
          <w:szCs w:val="26"/>
        </w:rPr>
        <w:tab/>
        <w:t>RESA</w:t>
      </w:r>
      <w:r w:rsidR="006F7289" w:rsidRPr="006F7289">
        <w:rPr>
          <w:rFonts w:ascii="Times New Roman" w:eastAsia="Calibri" w:hAnsi="Times New Roman"/>
          <w:sz w:val="26"/>
          <w:szCs w:val="26"/>
        </w:rPr>
        <w:t xml:space="preserve"> also</w:t>
      </w:r>
      <w:r w:rsidRPr="006F7289">
        <w:rPr>
          <w:rFonts w:ascii="Times New Roman" w:eastAsia="Calibri" w:hAnsi="Times New Roman"/>
          <w:sz w:val="26"/>
          <w:szCs w:val="26"/>
        </w:rPr>
        <w:t xml:space="preserve"> </w:t>
      </w:r>
      <w:r w:rsidR="006F7289" w:rsidRPr="006F7289">
        <w:rPr>
          <w:rFonts w:ascii="Times New Roman" w:eastAsia="Calibri" w:hAnsi="Times New Roman"/>
          <w:sz w:val="26"/>
          <w:szCs w:val="26"/>
        </w:rPr>
        <w:t>faults the ALJ</w:t>
      </w:r>
      <w:r w:rsidR="00803C65">
        <w:rPr>
          <w:rFonts w:ascii="Times New Roman" w:eastAsia="Calibri" w:hAnsi="Times New Roman"/>
          <w:sz w:val="26"/>
          <w:szCs w:val="26"/>
        </w:rPr>
        <w:t>’</w:t>
      </w:r>
      <w:r w:rsidR="006F7289" w:rsidRPr="006F7289">
        <w:rPr>
          <w:rFonts w:ascii="Times New Roman" w:eastAsia="Calibri" w:hAnsi="Times New Roman"/>
          <w:sz w:val="26"/>
          <w:szCs w:val="26"/>
        </w:rPr>
        <w:t xml:space="preserve">s </w:t>
      </w:r>
      <w:r w:rsidRPr="006F7289">
        <w:rPr>
          <w:rFonts w:ascii="Times New Roman" w:eastAsia="Calibri" w:hAnsi="Times New Roman"/>
          <w:sz w:val="26"/>
          <w:szCs w:val="26"/>
        </w:rPr>
        <w:t xml:space="preserve">recommendation </w:t>
      </w:r>
      <w:r w:rsidR="006F7289" w:rsidRPr="006F7289">
        <w:rPr>
          <w:rFonts w:ascii="Times New Roman" w:eastAsia="Calibri" w:hAnsi="Times New Roman"/>
          <w:sz w:val="26"/>
          <w:szCs w:val="26"/>
        </w:rPr>
        <w:t>that PPL</w:t>
      </w:r>
      <w:r w:rsidR="00803C65">
        <w:rPr>
          <w:rFonts w:ascii="Times New Roman" w:eastAsia="Calibri" w:hAnsi="Times New Roman"/>
          <w:sz w:val="26"/>
          <w:szCs w:val="26"/>
        </w:rPr>
        <w:t>’</w:t>
      </w:r>
      <w:r w:rsidR="006F7289" w:rsidRPr="006F7289">
        <w:rPr>
          <w:rFonts w:ascii="Times New Roman" w:eastAsia="Calibri" w:hAnsi="Times New Roman"/>
          <w:sz w:val="26"/>
          <w:szCs w:val="26"/>
        </w:rPr>
        <w:t xml:space="preserve">s proposal be </w:t>
      </w:r>
      <w:r w:rsidRPr="006F7289">
        <w:rPr>
          <w:rFonts w:ascii="Times New Roman" w:eastAsia="Calibri" w:hAnsi="Times New Roman"/>
          <w:sz w:val="26"/>
          <w:szCs w:val="26"/>
        </w:rPr>
        <w:t>reje</w:t>
      </w:r>
      <w:r w:rsidR="006F7289" w:rsidRPr="006F7289">
        <w:rPr>
          <w:rFonts w:ascii="Times New Roman" w:eastAsia="Calibri" w:hAnsi="Times New Roman"/>
          <w:sz w:val="26"/>
          <w:szCs w:val="26"/>
        </w:rPr>
        <w:t>cted, claiming that</w:t>
      </w:r>
      <w:r w:rsidRPr="006F7289">
        <w:rPr>
          <w:rFonts w:ascii="Times New Roman" w:eastAsia="Calibri" w:hAnsi="Times New Roman"/>
          <w:sz w:val="26"/>
          <w:szCs w:val="26"/>
        </w:rPr>
        <w:t xml:space="preserve"> the ALJ did not conduct a thorough analysis of all the requirements of the Competition Act</w:t>
      </w:r>
      <w:r w:rsidR="006F7289" w:rsidRPr="006F7289">
        <w:rPr>
          <w:rFonts w:ascii="Times New Roman" w:eastAsia="Calibri" w:hAnsi="Times New Roman"/>
          <w:sz w:val="26"/>
          <w:szCs w:val="26"/>
        </w:rPr>
        <w:t xml:space="preserve"> in arriving at her conclusion</w:t>
      </w:r>
      <w:r w:rsidR="006F7289">
        <w:rPr>
          <w:rFonts w:ascii="Times New Roman" w:eastAsia="Calibri" w:hAnsi="Times New Roman"/>
          <w:sz w:val="26"/>
          <w:szCs w:val="26"/>
        </w:rPr>
        <w:t xml:space="preserve">.  RESA Exc. at </w:t>
      </w:r>
      <w:r w:rsidR="00BB7DDC">
        <w:rPr>
          <w:rFonts w:ascii="Times New Roman" w:eastAsia="Calibri" w:hAnsi="Times New Roman"/>
          <w:sz w:val="26"/>
          <w:szCs w:val="26"/>
        </w:rPr>
        <w:t xml:space="preserve">1-2.  </w:t>
      </w:r>
      <w:r w:rsidR="00E43FCD" w:rsidRPr="006F7289">
        <w:rPr>
          <w:rFonts w:ascii="Times New Roman" w:eastAsia="Calibri" w:hAnsi="Times New Roman"/>
          <w:sz w:val="26"/>
          <w:szCs w:val="26"/>
        </w:rPr>
        <w:t>RESA argues that the ALJ</w:t>
      </w:r>
      <w:r w:rsidR="0099574D" w:rsidRPr="006F7289">
        <w:rPr>
          <w:rFonts w:ascii="Times New Roman" w:eastAsia="Calibri" w:hAnsi="Times New Roman"/>
          <w:sz w:val="26"/>
          <w:szCs w:val="26"/>
        </w:rPr>
        <w:t xml:space="preserve"> correctly noted</w:t>
      </w:r>
      <w:r w:rsidR="00E43FCD" w:rsidRPr="006F7289">
        <w:rPr>
          <w:rFonts w:ascii="Times New Roman" w:eastAsia="Calibri" w:hAnsi="Times New Roman"/>
          <w:sz w:val="26"/>
          <w:szCs w:val="26"/>
        </w:rPr>
        <w:t xml:space="preserve"> </w:t>
      </w:r>
      <w:r w:rsidRPr="006F7289">
        <w:rPr>
          <w:rFonts w:ascii="Times New Roman" w:eastAsia="Calibri" w:hAnsi="Times New Roman"/>
          <w:sz w:val="26"/>
          <w:szCs w:val="26"/>
        </w:rPr>
        <w:t xml:space="preserve">the </w:t>
      </w:r>
      <w:r w:rsidR="00803C65">
        <w:rPr>
          <w:rFonts w:ascii="Times New Roman" w:eastAsia="Calibri" w:hAnsi="Times New Roman"/>
          <w:sz w:val="26"/>
          <w:szCs w:val="26"/>
        </w:rPr>
        <w:t>“</w:t>
      </w:r>
      <w:r w:rsidRPr="006F7289">
        <w:rPr>
          <w:rFonts w:ascii="Times New Roman" w:eastAsia="Calibri" w:hAnsi="Times New Roman"/>
          <w:sz w:val="26"/>
          <w:szCs w:val="26"/>
        </w:rPr>
        <w:t>prudent mix</w:t>
      </w:r>
      <w:r w:rsidR="00803C65">
        <w:rPr>
          <w:rFonts w:ascii="Times New Roman" w:eastAsia="Calibri" w:hAnsi="Times New Roman"/>
          <w:sz w:val="26"/>
          <w:szCs w:val="26"/>
        </w:rPr>
        <w:t>”</w:t>
      </w:r>
      <w:r w:rsidRPr="006F7289">
        <w:rPr>
          <w:rFonts w:ascii="Times New Roman" w:eastAsia="Calibri" w:hAnsi="Times New Roman"/>
          <w:sz w:val="26"/>
          <w:szCs w:val="26"/>
        </w:rPr>
        <w:t xml:space="preserve"> requireme</w:t>
      </w:r>
      <w:r w:rsidR="00E43FCD" w:rsidRPr="006F7289">
        <w:rPr>
          <w:rFonts w:ascii="Times New Roman" w:eastAsia="Calibri" w:hAnsi="Times New Roman"/>
          <w:sz w:val="26"/>
          <w:szCs w:val="26"/>
        </w:rPr>
        <w:t>nt</w:t>
      </w:r>
      <w:r w:rsidRPr="006F7289">
        <w:rPr>
          <w:rFonts w:ascii="Times New Roman" w:eastAsia="Calibri" w:hAnsi="Times New Roman"/>
          <w:sz w:val="26"/>
          <w:szCs w:val="26"/>
        </w:rPr>
        <w:t xml:space="preserve"> in </w:t>
      </w:r>
      <w:r w:rsidR="00E43FCD" w:rsidRPr="006F7289">
        <w:rPr>
          <w:rFonts w:ascii="Times New Roman" w:eastAsia="Calibri" w:hAnsi="Times New Roman"/>
          <w:sz w:val="26"/>
          <w:szCs w:val="26"/>
        </w:rPr>
        <w:t>the</w:t>
      </w:r>
      <w:r w:rsidR="00E43FCD" w:rsidRPr="0099574D">
        <w:rPr>
          <w:rFonts w:ascii="Times New Roman" w:eastAsia="Calibri" w:hAnsi="Times New Roman"/>
          <w:sz w:val="26"/>
          <w:szCs w:val="26"/>
        </w:rPr>
        <w:t xml:space="preserve"> Competition Act, but </w:t>
      </w:r>
      <w:r w:rsidR="0099574D" w:rsidRPr="0099574D">
        <w:rPr>
          <w:rFonts w:ascii="Times New Roman" w:eastAsia="Calibri" w:hAnsi="Times New Roman"/>
          <w:sz w:val="26"/>
          <w:szCs w:val="26"/>
        </w:rPr>
        <w:t>failed</w:t>
      </w:r>
      <w:r w:rsidR="00E43FCD" w:rsidRPr="0099574D">
        <w:rPr>
          <w:rFonts w:ascii="Times New Roman" w:eastAsia="Calibri" w:hAnsi="Times New Roman"/>
          <w:sz w:val="26"/>
          <w:szCs w:val="26"/>
        </w:rPr>
        <w:t xml:space="preserve"> to recognize that the Competition Act contains other relevant sections that need to be considered.</w:t>
      </w:r>
      <w:r w:rsidR="00C41370" w:rsidRPr="0099574D">
        <w:rPr>
          <w:rFonts w:ascii="Times New Roman" w:eastAsia="Calibri" w:hAnsi="Times New Roman"/>
          <w:sz w:val="26"/>
          <w:szCs w:val="26"/>
        </w:rPr>
        <w:t xml:space="preserve">  Specifically, RESA asserts that</w:t>
      </w:r>
      <w:r w:rsidRPr="00D14EE1">
        <w:rPr>
          <w:rFonts w:ascii="Times New Roman" w:eastAsia="Calibri" w:hAnsi="Times New Roman"/>
          <w:sz w:val="26"/>
          <w:szCs w:val="26"/>
        </w:rPr>
        <w:t xml:space="preserve"> the ALJ</w:t>
      </w:r>
      <w:r w:rsidR="00803C65">
        <w:rPr>
          <w:rFonts w:ascii="Times New Roman" w:eastAsia="Calibri" w:hAnsi="Times New Roman"/>
          <w:sz w:val="26"/>
          <w:szCs w:val="26"/>
        </w:rPr>
        <w:t>’</w:t>
      </w:r>
      <w:r w:rsidRPr="00D14EE1">
        <w:rPr>
          <w:rFonts w:ascii="Times New Roman" w:eastAsia="Calibri" w:hAnsi="Times New Roman"/>
          <w:sz w:val="26"/>
          <w:szCs w:val="26"/>
        </w:rPr>
        <w:t>s analysis ignored the fact that the Competition Act also states that transitioning customer</w:t>
      </w:r>
      <w:r w:rsidR="0099574D" w:rsidRPr="00261D0D">
        <w:rPr>
          <w:rFonts w:ascii="Times New Roman" w:eastAsia="Calibri" w:hAnsi="Times New Roman"/>
          <w:sz w:val="26"/>
          <w:szCs w:val="26"/>
        </w:rPr>
        <w:t xml:space="preserve">s to the competitive market is </w:t>
      </w:r>
      <w:r w:rsidRPr="00D14EE1">
        <w:rPr>
          <w:rFonts w:ascii="Times New Roman" w:eastAsia="Calibri" w:hAnsi="Times New Roman"/>
          <w:sz w:val="26"/>
          <w:szCs w:val="26"/>
        </w:rPr>
        <w:t xml:space="preserve">in </w:t>
      </w:r>
      <w:r w:rsidR="0099574D" w:rsidRPr="00261D0D">
        <w:rPr>
          <w:rFonts w:ascii="Times New Roman" w:eastAsia="Calibri" w:hAnsi="Times New Roman"/>
          <w:sz w:val="26"/>
          <w:szCs w:val="26"/>
        </w:rPr>
        <w:t xml:space="preserve">the public interest because of </w:t>
      </w:r>
      <w:r w:rsidRPr="00D14EE1">
        <w:rPr>
          <w:rFonts w:ascii="Times New Roman" w:eastAsia="Calibri" w:hAnsi="Times New Roman"/>
          <w:sz w:val="26"/>
          <w:szCs w:val="26"/>
        </w:rPr>
        <w:t xml:space="preserve">the effectiveness of </w:t>
      </w:r>
      <w:r w:rsidR="0099574D" w:rsidRPr="005140AA">
        <w:rPr>
          <w:rFonts w:ascii="Times New Roman" w:eastAsia="Calibri" w:hAnsi="Times New Roman"/>
          <w:sz w:val="26"/>
          <w:szCs w:val="26"/>
        </w:rPr>
        <w:t>market forces</w:t>
      </w:r>
      <w:r w:rsidRPr="00D14EE1">
        <w:rPr>
          <w:rFonts w:ascii="Times New Roman" w:eastAsia="Calibri" w:hAnsi="Times New Roman"/>
          <w:sz w:val="26"/>
          <w:szCs w:val="26"/>
        </w:rPr>
        <w:t xml:space="preserve"> in contr</w:t>
      </w:r>
      <w:r w:rsidR="0099574D" w:rsidRPr="005140AA">
        <w:rPr>
          <w:rFonts w:ascii="Times New Roman" w:eastAsia="Calibri" w:hAnsi="Times New Roman"/>
          <w:sz w:val="26"/>
          <w:szCs w:val="26"/>
        </w:rPr>
        <w:t>olling the cost of electric generation.</w:t>
      </w:r>
      <w:r w:rsidRPr="00D14EE1">
        <w:rPr>
          <w:rFonts w:ascii="Times New Roman" w:eastAsia="Calibri" w:hAnsi="Times New Roman"/>
          <w:sz w:val="26"/>
          <w:szCs w:val="26"/>
        </w:rPr>
        <w:t xml:space="preserve">  </w:t>
      </w:r>
      <w:r w:rsidR="00BB7DDC" w:rsidRPr="00BB7DDC">
        <w:rPr>
          <w:rFonts w:ascii="Times New Roman" w:eastAsia="Calibri" w:hAnsi="Times New Roman"/>
          <w:i/>
          <w:sz w:val="26"/>
          <w:szCs w:val="26"/>
        </w:rPr>
        <w:t>Id</w:t>
      </w:r>
      <w:r w:rsidR="001B24BF" w:rsidRPr="005140AA">
        <w:rPr>
          <w:rFonts w:ascii="Times New Roman" w:eastAsia="Calibri" w:hAnsi="Times New Roman"/>
          <w:sz w:val="26"/>
          <w:szCs w:val="26"/>
        </w:rPr>
        <w:t>. at 5 (</w:t>
      </w:r>
      <w:r w:rsidR="001B24BF" w:rsidRPr="00B33AEA">
        <w:rPr>
          <w:rFonts w:ascii="Times New Roman" w:eastAsia="Calibri" w:hAnsi="Times New Roman"/>
          <w:sz w:val="26"/>
          <w:szCs w:val="26"/>
        </w:rPr>
        <w:t>citing</w:t>
      </w:r>
      <w:r w:rsidR="001B24BF" w:rsidRPr="005140AA">
        <w:rPr>
          <w:rFonts w:ascii="Times New Roman" w:eastAsia="Calibri" w:hAnsi="Times New Roman"/>
          <w:sz w:val="26"/>
          <w:szCs w:val="26"/>
        </w:rPr>
        <w:t xml:space="preserve"> 66 Pa. C.S. </w:t>
      </w:r>
      <w:r w:rsidR="002222F4">
        <w:rPr>
          <w:rFonts w:ascii="Times New Roman" w:eastAsia="Calibri" w:hAnsi="Times New Roman"/>
          <w:sz w:val="26"/>
          <w:szCs w:val="26"/>
        </w:rPr>
        <w:t>§§ 2802(3) and 2802</w:t>
      </w:r>
      <w:r w:rsidR="001B24BF" w:rsidRPr="005140AA">
        <w:rPr>
          <w:rFonts w:ascii="Times New Roman" w:eastAsia="Calibri" w:hAnsi="Times New Roman"/>
          <w:sz w:val="26"/>
          <w:szCs w:val="26"/>
        </w:rPr>
        <w:t xml:space="preserve">(5)).  </w:t>
      </w:r>
      <w:r w:rsidR="00613C74" w:rsidRPr="005140AA">
        <w:rPr>
          <w:rFonts w:ascii="Times New Roman" w:eastAsia="Calibri" w:hAnsi="Times New Roman"/>
          <w:sz w:val="26"/>
          <w:szCs w:val="26"/>
        </w:rPr>
        <w:t>In this regard, RESA notes the Commonwealth Court</w:t>
      </w:r>
      <w:r w:rsidR="00803C65">
        <w:rPr>
          <w:rFonts w:ascii="Times New Roman" w:eastAsia="Calibri" w:hAnsi="Times New Roman"/>
          <w:sz w:val="26"/>
          <w:szCs w:val="26"/>
        </w:rPr>
        <w:t>’</w:t>
      </w:r>
      <w:r w:rsidR="00613C74" w:rsidRPr="005140AA">
        <w:rPr>
          <w:rFonts w:ascii="Times New Roman" w:eastAsia="Calibri" w:hAnsi="Times New Roman"/>
          <w:sz w:val="26"/>
          <w:szCs w:val="26"/>
        </w:rPr>
        <w:t>s statement that</w:t>
      </w:r>
      <w:r w:rsidRPr="00D14EE1">
        <w:rPr>
          <w:rFonts w:ascii="Times New Roman" w:eastAsia="Calibri" w:hAnsi="Times New Roman"/>
          <w:sz w:val="26"/>
          <w:szCs w:val="26"/>
        </w:rPr>
        <w:t xml:space="preserve"> the Competition Act was enacted to establish competition in the sale of electric power, </w:t>
      </w:r>
      <w:r w:rsidR="005140AA">
        <w:rPr>
          <w:rFonts w:ascii="Times New Roman" w:eastAsia="Calibri" w:hAnsi="Times New Roman"/>
          <w:sz w:val="26"/>
          <w:szCs w:val="26"/>
        </w:rPr>
        <w:t xml:space="preserve">placing an affirmative mandate on the Commission to foster </w:t>
      </w:r>
      <w:r w:rsidR="005140AA" w:rsidRPr="00F04F0E">
        <w:rPr>
          <w:rFonts w:ascii="Times New Roman" w:eastAsia="Calibri" w:hAnsi="Times New Roman"/>
          <w:sz w:val="26"/>
          <w:szCs w:val="26"/>
        </w:rPr>
        <w:t xml:space="preserve">competition in order to provide cost savings to consumers.  RESA Exc. at 5 (citing </w:t>
      </w:r>
      <w:r w:rsidR="005140AA" w:rsidRPr="001B2B87">
        <w:rPr>
          <w:rFonts w:eastAsia="Calibri"/>
          <w:i/>
          <w:sz w:val="26"/>
          <w:szCs w:val="26"/>
        </w:rPr>
        <w:t>ARIPPA v. Pennsylvania Public Utility Commission</w:t>
      </w:r>
      <w:r w:rsidR="005140AA" w:rsidRPr="001B2B87">
        <w:rPr>
          <w:rFonts w:eastAsia="Calibri"/>
          <w:sz w:val="26"/>
          <w:szCs w:val="26"/>
        </w:rPr>
        <w:t>, 792 A.2d 636,</w:t>
      </w:r>
      <w:r w:rsidR="00F04F0E" w:rsidRPr="001B2B87">
        <w:rPr>
          <w:rFonts w:eastAsia="Calibri"/>
          <w:sz w:val="26"/>
          <w:szCs w:val="26"/>
        </w:rPr>
        <w:t xml:space="preserve"> 642, 654 n. 30; (Pa. </w:t>
      </w:r>
      <w:proofErr w:type="spellStart"/>
      <w:r w:rsidR="00F04F0E" w:rsidRPr="001B2B87">
        <w:rPr>
          <w:rFonts w:eastAsia="Calibri"/>
          <w:sz w:val="26"/>
          <w:szCs w:val="26"/>
        </w:rPr>
        <w:t>Cmwlth</w:t>
      </w:r>
      <w:proofErr w:type="spellEnd"/>
      <w:r w:rsidR="00F04F0E" w:rsidRPr="001B2B87">
        <w:rPr>
          <w:rFonts w:eastAsia="Calibri"/>
          <w:sz w:val="26"/>
          <w:szCs w:val="26"/>
        </w:rPr>
        <w:t>.</w:t>
      </w:r>
      <w:r w:rsidR="005140AA" w:rsidRPr="001B2B87">
        <w:rPr>
          <w:rFonts w:eastAsia="Calibri"/>
          <w:sz w:val="26"/>
          <w:szCs w:val="26"/>
        </w:rPr>
        <w:t xml:space="preserve"> 2002); </w:t>
      </w:r>
      <w:r w:rsidR="005140AA" w:rsidRPr="001B2B87">
        <w:rPr>
          <w:rFonts w:eastAsia="Calibri"/>
          <w:i/>
          <w:sz w:val="26"/>
          <w:szCs w:val="26"/>
        </w:rPr>
        <w:t>PP&amp;L Industrial Customer Alliance v. PUC</w:t>
      </w:r>
      <w:r w:rsidR="005140AA" w:rsidRPr="001B2B87">
        <w:rPr>
          <w:rFonts w:eastAsia="Calibri"/>
          <w:sz w:val="26"/>
          <w:szCs w:val="26"/>
        </w:rPr>
        <w:t>, 78</w:t>
      </w:r>
      <w:r w:rsidR="00F04F0E" w:rsidRPr="001B2B87">
        <w:rPr>
          <w:rFonts w:eastAsia="Calibri"/>
          <w:sz w:val="26"/>
          <w:szCs w:val="26"/>
        </w:rPr>
        <w:t xml:space="preserve">0 A. 2d 773, 776 (Pa. </w:t>
      </w:r>
      <w:proofErr w:type="spellStart"/>
      <w:r w:rsidR="00F04F0E" w:rsidRPr="001B2B87">
        <w:rPr>
          <w:rFonts w:eastAsia="Calibri"/>
          <w:sz w:val="26"/>
          <w:szCs w:val="26"/>
        </w:rPr>
        <w:t>Cmwlth</w:t>
      </w:r>
      <w:proofErr w:type="spellEnd"/>
      <w:r w:rsidR="00F04F0E" w:rsidRPr="001B2B87">
        <w:rPr>
          <w:rFonts w:eastAsia="Calibri"/>
          <w:sz w:val="26"/>
          <w:szCs w:val="26"/>
        </w:rPr>
        <w:t>.</w:t>
      </w:r>
      <w:r w:rsidR="005140AA" w:rsidRPr="001B2B87">
        <w:rPr>
          <w:rFonts w:eastAsia="Calibri"/>
          <w:sz w:val="26"/>
          <w:szCs w:val="26"/>
        </w:rPr>
        <w:t xml:space="preserve"> 2001).</w:t>
      </w:r>
      <w:r w:rsidR="004F6686" w:rsidRPr="001B2B87">
        <w:rPr>
          <w:rFonts w:eastAsia="Calibri"/>
          <w:sz w:val="26"/>
          <w:szCs w:val="26"/>
        </w:rPr>
        <w:t xml:space="preserve"> </w:t>
      </w:r>
      <w:r w:rsidR="004F6686">
        <w:rPr>
          <w:rFonts w:eastAsia="Calibri"/>
          <w:szCs w:val="26"/>
        </w:rPr>
        <w:t xml:space="preserve"> </w:t>
      </w:r>
      <w:r w:rsidR="004F6686" w:rsidRPr="004F6686">
        <w:rPr>
          <w:rFonts w:ascii="Times New Roman" w:eastAsia="Calibri" w:hAnsi="Times New Roman"/>
          <w:sz w:val="26"/>
          <w:szCs w:val="26"/>
        </w:rPr>
        <w:t xml:space="preserve">Thus, RESA avers that </w:t>
      </w:r>
      <w:r w:rsidRPr="00D14EE1">
        <w:rPr>
          <w:rFonts w:ascii="Times New Roman" w:eastAsia="Calibri" w:hAnsi="Times New Roman"/>
          <w:sz w:val="26"/>
          <w:szCs w:val="26"/>
        </w:rPr>
        <w:t>in addition to ensuring that</w:t>
      </w:r>
      <w:r w:rsidR="004F6686" w:rsidRPr="004F6686">
        <w:rPr>
          <w:rFonts w:ascii="Times New Roman" w:eastAsia="Calibri" w:hAnsi="Times New Roman"/>
          <w:sz w:val="26"/>
          <w:szCs w:val="26"/>
        </w:rPr>
        <w:t xml:space="preserve"> the</w:t>
      </w:r>
      <w:r w:rsidRPr="00D14EE1">
        <w:rPr>
          <w:rFonts w:ascii="Times New Roman" w:eastAsia="Calibri" w:hAnsi="Times New Roman"/>
          <w:sz w:val="26"/>
          <w:szCs w:val="26"/>
        </w:rPr>
        <w:t xml:space="preserve"> specific requirements of Section 2807(e)(3.1) regardin</w:t>
      </w:r>
      <w:r w:rsidR="004F6686" w:rsidRPr="004F6686">
        <w:rPr>
          <w:rFonts w:ascii="Times New Roman" w:eastAsia="Calibri" w:hAnsi="Times New Roman"/>
          <w:sz w:val="26"/>
          <w:szCs w:val="26"/>
        </w:rPr>
        <w:t>g procurement plan design are</w:t>
      </w:r>
      <w:r w:rsidRPr="00D14EE1">
        <w:rPr>
          <w:rFonts w:ascii="Times New Roman" w:eastAsia="Calibri" w:hAnsi="Times New Roman"/>
          <w:sz w:val="26"/>
          <w:szCs w:val="26"/>
        </w:rPr>
        <w:t xml:space="preserve"> satisfied, </w:t>
      </w:r>
      <w:r w:rsidR="004F6686" w:rsidRPr="004F6686">
        <w:rPr>
          <w:rFonts w:ascii="Times New Roman" w:eastAsia="Calibri" w:hAnsi="Times New Roman"/>
          <w:sz w:val="26"/>
          <w:szCs w:val="26"/>
        </w:rPr>
        <w:t xml:space="preserve">the Commission </w:t>
      </w:r>
      <w:r w:rsidRPr="00D14EE1">
        <w:rPr>
          <w:rFonts w:ascii="Times New Roman" w:eastAsia="Calibri" w:hAnsi="Times New Roman"/>
          <w:sz w:val="26"/>
          <w:szCs w:val="26"/>
        </w:rPr>
        <w:t xml:space="preserve">is also </w:t>
      </w:r>
      <w:r w:rsidRPr="00D14EE1">
        <w:rPr>
          <w:rFonts w:ascii="Times New Roman" w:eastAsia="Calibri" w:hAnsi="Times New Roman"/>
          <w:sz w:val="26"/>
          <w:szCs w:val="26"/>
        </w:rPr>
        <w:lastRenderedPageBreak/>
        <w:t>legally re</w:t>
      </w:r>
      <w:r w:rsidR="004F6686" w:rsidRPr="004F6686">
        <w:rPr>
          <w:rFonts w:ascii="Times New Roman" w:eastAsia="Calibri" w:hAnsi="Times New Roman"/>
          <w:sz w:val="26"/>
          <w:szCs w:val="26"/>
        </w:rPr>
        <w:t>quired to make sure the default service plan promotes the development of a workably</w:t>
      </w:r>
      <w:r w:rsidRPr="00D14EE1">
        <w:rPr>
          <w:rFonts w:ascii="Times New Roman" w:eastAsia="Calibri" w:hAnsi="Times New Roman"/>
          <w:sz w:val="26"/>
          <w:szCs w:val="26"/>
        </w:rPr>
        <w:t xml:space="preserve"> competitive retail generation market.  </w:t>
      </w:r>
      <w:r w:rsidR="004F6686" w:rsidRPr="004F6686">
        <w:rPr>
          <w:rFonts w:ascii="Times New Roman" w:eastAsia="Calibri" w:hAnsi="Times New Roman"/>
          <w:sz w:val="26"/>
          <w:szCs w:val="26"/>
        </w:rPr>
        <w:t xml:space="preserve">RESA Exc. at </w:t>
      </w:r>
      <w:r w:rsidRPr="00D14EE1">
        <w:rPr>
          <w:rFonts w:ascii="Times New Roman" w:eastAsia="Calibri" w:hAnsi="Times New Roman"/>
          <w:sz w:val="26"/>
          <w:szCs w:val="26"/>
        </w:rPr>
        <w:t>5.</w:t>
      </w:r>
    </w:p>
    <w:p w:rsidR="00727F44" w:rsidRDefault="00727F44" w:rsidP="00727F44">
      <w:pPr>
        <w:rPr>
          <w:rFonts w:ascii="Times New Roman" w:eastAsia="Calibri" w:hAnsi="Times New Roman"/>
          <w:sz w:val="26"/>
          <w:szCs w:val="26"/>
        </w:rPr>
      </w:pPr>
    </w:p>
    <w:p w:rsidR="007E059C" w:rsidRDefault="00727F44" w:rsidP="00727F44">
      <w:pPr>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t>RESA contends that the ALJ focused only on the product mix for C&amp;I customers with demand at or above 100 kW to conclude that PPL</w:t>
      </w:r>
      <w:r w:rsidR="00803C65">
        <w:rPr>
          <w:rFonts w:ascii="Times New Roman" w:eastAsia="Calibri" w:hAnsi="Times New Roman"/>
          <w:sz w:val="26"/>
          <w:szCs w:val="26"/>
        </w:rPr>
        <w:t>’</w:t>
      </w:r>
      <w:r>
        <w:rPr>
          <w:rFonts w:ascii="Times New Roman" w:eastAsia="Calibri" w:hAnsi="Times New Roman"/>
          <w:sz w:val="26"/>
          <w:szCs w:val="26"/>
        </w:rPr>
        <w:t xml:space="preserve">s proposal is not consistent with the </w:t>
      </w:r>
      <w:r w:rsidR="00803C65">
        <w:rPr>
          <w:rFonts w:ascii="Times New Roman" w:eastAsia="Calibri" w:hAnsi="Times New Roman"/>
          <w:sz w:val="26"/>
          <w:szCs w:val="26"/>
        </w:rPr>
        <w:t>“</w:t>
      </w:r>
      <w:r>
        <w:rPr>
          <w:rFonts w:ascii="Times New Roman" w:eastAsia="Calibri" w:hAnsi="Times New Roman"/>
          <w:sz w:val="26"/>
          <w:szCs w:val="26"/>
        </w:rPr>
        <w:t>prudent mix</w:t>
      </w:r>
      <w:r w:rsidR="00803C65">
        <w:rPr>
          <w:rFonts w:ascii="Times New Roman" w:eastAsia="Calibri" w:hAnsi="Times New Roman"/>
          <w:sz w:val="26"/>
          <w:szCs w:val="26"/>
        </w:rPr>
        <w:t>”</w:t>
      </w:r>
      <w:r>
        <w:rPr>
          <w:rFonts w:ascii="Times New Roman" w:eastAsia="Calibri" w:hAnsi="Times New Roman"/>
          <w:sz w:val="26"/>
          <w:szCs w:val="26"/>
        </w:rPr>
        <w:t xml:space="preserve"> </w:t>
      </w:r>
      <w:r w:rsidRPr="00727F44">
        <w:rPr>
          <w:rFonts w:ascii="Times New Roman" w:eastAsia="Calibri" w:hAnsi="Times New Roman"/>
          <w:sz w:val="26"/>
          <w:szCs w:val="26"/>
        </w:rPr>
        <w:t>goal of the Competition Act, and did not discuss how the goals of</w:t>
      </w:r>
      <w:r w:rsidR="00D14EE1" w:rsidRPr="00D14EE1">
        <w:rPr>
          <w:rFonts w:ascii="Times New Roman" w:eastAsia="Calibri" w:hAnsi="Times New Roman"/>
          <w:sz w:val="26"/>
          <w:szCs w:val="26"/>
        </w:rPr>
        <w:t xml:space="preserve"> competition and direct access to </w:t>
      </w:r>
      <w:r w:rsidRPr="00727F44">
        <w:rPr>
          <w:rFonts w:ascii="Times New Roman" w:eastAsia="Calibri" w:hAnsi="Times New Roman"/>
          <w:sz w:val="26"/>
          <w:szCs w:val="26"/>
        </w:rPr>
        <w:t xml:space="preserve">the </w:t>
      </w:r>
      <w:r w:rsidR="00D14EE1" w:rsidRPr="00D14EE1">
        <w:rPr>
          <w:rFonts w:ascii="Times New Roman" w:eastAsia="Calibri" w:hAnsi="Times New Roman"/>
          <w:sz w:val="26"/>
          <w:szCs w:val="26"/>
        </w:rPr>
        <w:t xml:space="preserve">competitive market </w:t>
      </w:r>
      <w:r w:rsidR="007E059C">
        <w:rPr>
          <w:rFonts w:ascii="Times New Roman" w:eastAsia="Calibri" w:hAnsi="Times New Roman"/>
          <w:sz w:val="26"/>
          <w:szCs w:val="26"/>
        </w:rPr>
        <w:t>would be accomplished by denying hourly-priced service to C&amp;I customers.</w:t>
      </w:r>
      <w:r w:rsidR="0021158E">
        <w:rPr>
          <w:rFonts w:ascii="Times New Roman" w:eastAsia="Calibri" w:hAnsi="Times New Roman"/>
          <w:sz w:val="26"/>
          <w:szCs w:val="26"/>
        </w:rPr>
        <w:t xml:space="preserve">  </w:t>
      </w:r>
      <w:r w:rsidR="002E25E7" w:rsidRPr="002E25E7">
        <w:rPr>
          <w:rFonts w:ascii="Times New Roman" w:eastAsia="Calibri" w:hAnsi="Times New Roman"/>
          <w:i/>
          <w:sz w:val="26"/>
          <w:szCs w:val="26"/>
        </w:rPr>
        <w:t>Id</w:t>
      </w:r>
      <w:r w:rsidR="002E25E7">
        <w:rPr>
          <w:rFonts w:ascii="Times New Roman" w:eastAsia="Calibri" w:hAnsi="Times New Roman"/>
          <w:sz w:val="26"/>
          <w:szCs w:val="26"/>
        </w:rPr>
        <w:t xml:space="preserve">. at 5-6.  </w:t>
      </w:r>
      <w:r w:rsidR="0021158E">
        <w:rPr>
          <w:rFonts w:ascii="Times New Roman" w:eastAsia="Calibri" w:hAnsi="Times New Roman"/>
          <w:sz w:val="26"/>
          <w:szCs w:val="26"/>
        </w:rPr>
        <w:t>RESA also criticizes the ALJ</w:t>
      </w:r>
      <w:r w:rsidR="00803C65">
        <w:rPr>
          <w:rFonts w:ascii="Times New Roman" w:eastAsia="Calibri" w:hAnsi="Times New Roman"/>
          <w:sz w:val="26"/>
          <w:szCs w:val="26"/>
        </w:rPr>
        <w:t>’</w:t>
      </w:r>
      <w:r w:rsidR="0021158E">
        <w:rPr>
          <w:rFonts w:ascii="Times New Roman" w:eastAsia="Calibri" w:hAnsi="Times New Roman"/>
          <w:sz w:val="26"/>
          <w:szCs w:val="26"/>
        </w:rPr>
        <w:t xml:space="preserve">s conclusion that a 5% decrease in the shopping rate for the Small C&amp;I customers illustrates a preference by these customers for the current full-requirements load following contracts approach.  </w:t>
      </w:r>
      <w:r w:rsidR="002E25E7">
        <w:rPr>
          <w:rFonts w:ascii="Times New Roman" w:eastAsia="Calibri" w:hAnsi="Times New Roman"/>
          <w:sz w:val="26"/>
          <w:szCs w:val="26"/>
        </w:rPr>
        <w:t>According to RESA, the ALJ</w:t>
      </w:r>
      <w:r w:rsidR="00803C65">
        <w:rPr>
          <w:rFonts w:ascii="Times New Roman" w:eastAsia="Calibri" w:hAnsi="Times New Roman"/>
          <w:sz w:val="26"/>
          <w:szCs w:val="26"/>
        </w:rPr>
        <w:t>’</w:t>
      </w:r>
      <w:r w:rsidR="002E25E7">
        <w:rPr>
          <w:rFonts w:ascii="Times New Roman" w:eastAsia="Calibri" w:hAnsi="Times New Roman"/>
          <w:sz w:val="26"/>
          <w:szCs w:val="26"/>
        </w:rPr>
        <w:t xml:space="preserve">s belief that a default service plan should be designed to satisfy what she believes to be the preferences of customers based on her interpretation of shopping statistics lacks evidentiary support, and fails to achieve all the goals of the Competition Act.  </w:t>
      </w:r>
      <w:r w:rsidR="002E25E7" w:rsidRPr="002E25E7">
        <w:rPr>
          <w:rFonts w:ascii="Times New Roman" w:eastAsia="Calibri" w:hAnsi="Times New Roman"/>
          <w:i/>
          <w:sz w:val="26"/>
          <w:szCs w:val="26"/>
        </w:rPr>
        <w:t>Id</w:t>
      </w:r>
      <w:r w:rsidR="002E25E7">
        <w:rPr>
          <w:rFonts w:ascii="Times New Roman" w:eastAsia="Calibri" w:hAnsi="Times New Roman"/>
          <w:sz w:val="26"/>
          <w:szCs w:val="26"/>
        </w:rPr>
        <w:t>. at 6.</w:t>
      </w:r>
    </w:p>
    <w:p w:rsidR="005B40BC" w:rsidRDefault="005B40BC" w:rsidP="00727F44">
      <w:pPr>
        <w:rPr>
          <w:rFonts w:ascii="Times New Roman" w:eastAsia="Calibri" w:hAnsi="Times New Roman"/>
          <w:sz w:val="26"/>
          <w:szCs w:val="26"/>
        </w:rPr>
      </w:pPr>
    </w:p>
    <w:p w:rsidR="00D14EE1" w:rsidRDefault="005B40BC" w:rsidP="00B93E7F">
      <w:pPr>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t xml:space="preserve">RESA opines that the evidence in this proceeding makes clear that all the </w:t>
      </w:r>
      <w:r w:rsidRPr="0090361B">
        <w:rPr>
          <w:rFonts w:ascii="Times New Roman" w:eastAsia="Calibri" w:hAnsi="Times New Roman"/>
          <w:sz w:val="26"/>
          <w:szCs w:val="26"/>
        </w:rPr>
        <w:t>requirements of the Competition Act would be satisfied by adopting PPL</w:t>
      </w:r>
      <w:r w:rsidR="00803C65">
        <w:rPr>
          <w:rFonts w:ascii="Times New Roman" w:eastAsia="Calibri" w:hAnsi="Times New Roman"/>
          <w:sz w:val="26"/>
          <w:szCs w:val="26"/>
        </w:rPr>
        <w:t>’</w:t>
      </w:r>
      <w:r w:rsidRPr="0090361B">
        <w:rPr>
          <w:rFonts w:ascii="Times New Roman" w:eastAsia="Calibri" w:hAnsi="Times New Roman"/>
          <w:sz w:val="26"/>
          <w:szCs w:val="26"/>
        </w:rPr>
        <w:t>s propos</w:t>
      </w:r>
      <w:r w:rsidR="0090361B" w:rsidRPr="0090361B">
        <w:rPr>
          <w:rFonts w:ascii="Times New Roman" w:eastAsia="Calibri" w:hAnsi="Times New Roman"/>
          <w:sz w:val="26"/>
          <w:szCs w:val="26"/>
        </w:rPr>
        <w:t xml:space="preserve">al.  </w:t>
      </w:r>
      <w:r w:rsidR="00832516" w:rsidRPr="0090361B">
        <w:rPr>
          <w:rFonts w:ascii="Times New Roman" w:eastAsia="Calibri" w:hAnsi="Times New Roman"/>
          <w:sz w:val="26"/>
          <w:szCs w:val="26"/>
        </w:rPr>
        <w:t xml:space="preserve">Specifically, RESA maintains that hourly default service pricing is a more sustainable design </w:t>
      </w:r>
      <w:r w:rsidR="00832516" w:rsidRPr="00D14EE1">
        <w:rPr>
          <w:rFonts w:ascii="Times New Roman" w:eastAsia="Calibri" w:hAnsi="Times New Roman"/>
          <w:sz w:val="26"/>
          <w:szCs w:val="26"/>
        </w:rPr>
        <w:t>that promotes the development of a robust competitive retail market</w:t>
      </w:r>
      <w:r w:rsidR="00832516" w:rsidRPr="0090361B">
        <w:rPr>
          <w:rFonts w:ascii="Times New Roman" w:eastAsia="Calibri" w:hAnsi="Times New Roman"/>
          <w:sz w:val="26"/>
          <w:szCs w:val="26"/>
        </w:rPr>
        <w:t>, resul</w:t>
      </w:r>
      <w:r w:rsidR="00832516">
        <w:rPr>
          <w:rFonts w:ascii="Times New Roman" w:eastAsia="Calibri" w:hAnsi="Times New Roman"/>
          <w:sz w:val="26"/>
          <w:szCs w:val="26"/>
        </w:rPr>
        <w:t>t</w:t>
      </w:r>
      <w:r w:rsidR="00832516" w:rsidRPr="0090361B">
        <w:rPr>
          <w:rFonts w:ascii="Times New Roman" w:eastAsia="Calibri" w:hAnsi="Times New Roman"/>
          <w:sz w:val="26"/>
          <w:szCs w:val="26"/>
        </w:rPr>
        <w:t>ing</w:t>
      </w:r>
      <w:r w:rsidR="00832516">
        <w:rPr>
          <w:rFonts w:ascii="Times New Roman" w:eastAsia="Calibri" w:hAnsi="Times New Roman"/>
          <w:sz w:val="26"/>
          <w:szCs w:val="26"/>
        </w:rPr>
        <w:t xml:space="preserve"> in</w:t>
      </w:r>
      <w:r w:rsidR="00832516" w:rsidRPr="0090361B">
        <w:rPr>
          <w:rFonts w:ascii="Times New Roman" w:eastAsia="Calibri" w:hAnsi="Times New Roman"/>
          <w:sz w:val="26"/>
          <w:szCs w:val="26"/>
        </w:rPr>
        <w:t xml:space="preserve"> </w:t>
      </w:r>
      <w:r w:rsidR="00832516" w:rsidRPr="00D14EE1">
        <w:rPr>
          <w:rFonts w:ascii="Times New Roman" w:eastAsia="Calibri" w:hAnsi="Times New Roman"/>
          <w:sz w:val="26"/>
          <w:szCs w:val="26"/>
        </w:rPr>
        <w:t>a variety of products and services</w:t>
      </w:r>
      <w:r w:rsidR="00832516" w:rsidRPr="0090361B">
        <w:rPr>
          <w:rFonts w:ascii="Times New Roman" w:eastAsia="Calibri" w:hAnsi="Times New Roman"/>
          <w:sz w:val="26"/>
          <w:szCs w:val="26"/>
        </w:rPr>
        <w:t xml:space="preserve"> for customers</w:t>
      </w:r>
      <w:r w:rsidR="00832516">
        <w:rPr>
          <w:rFonts w:ascii="Times New Roman" w:eastAsia="Calibri" w:hAnsi="Times New Roman"/>
          <w:sz w:val="26"/>
          <w:szCs w:val="26"/>
        </w:rPr>
        <w:t>, and leading to least cost over time</w:t>
      </w:r>
      <w:r w:rsidR="00832516" w:rsidRPr="00D14EE1">
        <w:rPr>
          <w:rFonts w:ascii="Times New Roman" w:eastAsia="Calibri" w:hAnsi="Times New Roman"/>
          <w:sz w:val="26"/>
          <w:szCs w:val="26"/>
        </w:rPr>
        <w:t>.</w:t>
      </w:r>
      <w:r w:rsidR="00832516">
        <w:rPr>
          <w:rFonts w:ascii="Times New Roman" w:eastAsia="Calibri" w:hAnsi="Times New Roman"/>
          <w:sz w:val="26"/>
          <w:szCs w:val="26"/>
        </w:rPr>
        <w:t xml:space="preserve">  </w:t>
      </w:r>
      <w:r w:rsidR="00B93E7F">
        <w:rPr>
          <w:rFonts w:ascii="Times New Roman" w:eastAsia="Calibri" w:hAnsi="Times New Roman"/>
          <w:sz w:val="26"/>
          <w:szCs w:val="26"/>
        </w:rPr>
        <w:t>RESA contends that hourly pricing</w:t>
      </w:r>
      <w:r>
        <w:rPr>
          <w:rFonts w:ascii="Times New Roman" w:eastAsia="Calibri" w:hAnsi="Times New Roman"/>
          <w:sz w:val="26"/>
          <w:szCs w:val="26"/>
        </w:rPr>
        <w:t xml:space="preserve"> avoids the </w:t>
      </w:r>
      <w:r w:rsidR="00803C65">
        <w:rPr>
          <w:rFonts w:ascii="Times New Roman" w:eastAsia="Calibri" w:hAnsi="Times New Roman"/>
          <w:sz w:val="26"/>
          <w:szCs w:val="26"/>
        </w:rPr>
        <w:t>“</w:t>
      </w:r>
      <w:r w:rsidRPr="000A2C1B">
        <w:rPr>
          <w:rFonts w:ascii="Times New Roman" w:eastAsia="Calibri" w:hAnsi="Times New Roman"/>
          <w:sz w:val="26"/>
          <w:szCs w:val="26"/>
        </w:rPr>
        <w:t>boom</w:t>
      </w:r>
      <w:r w:rsidR="00803C65">
        <w:rPr>
          <w:rFonts w:ascii="Times New Roman" w:eastAsia="Calibri" w:hAnsi="Times New Roman"/>
          <w:sz w:val="26"/>
          <w:szCs w:val="26"/>
        </w:rPr>
        <w:t>”</w:t>
      </w:r>
      <w:r w:rsidRPr="000A2C1B">
        <w:rPr>
          <w:rFonts w:ascii="Times New Roman" w:eastAsia="Calibri" w:hAnsi="Times New Roman"/>
          <w:sz w:val="26"/>
          <w:szCs w:val="26"/>
        </w:rPr>
        <w:t xml:space="preserve"> or </w:t>
      </w:r>
      <w:r w:rsidR="00803C65">
        <w:rPr>
          <w:rFonts w:ascii="Times New Roman" w:eastAsia="Calibri" w:hAnsi="Times New Roman"/>
          <w:sz w:val="26"/>
          <w:szCs w:val="26"/>
        </w:rPr>
        <w:t>“</w:t>
      </w:r>
      <w:r w:rsidRPr="000A2C1B">
        <w:rPr>
          <w:rFonts w:ascii="Times New Roman" w:eastAsia="Calibri" w:hAnsi="Times New Roman"/>
          <w:sz w:val="26"/>
          <w:szCs w:val="26"/>
        </w:rPr>
        <w:t>bust</w:t>
      </w:r>
      <w:r w:rsidR="00803C65">
        <w:rPr>
          <w:rFonts w:ascii="Times New Roman" w:eastAsia="Calibri" w:hAnsi="Times New Roman"/>
          <w:sz w:val="26"/>
          <w:szCs w:val="26"/>
        </w:rPr>
        <w:t>”</w:t>
      </w:r>
      <w:r w:rsidRPr="000A2C1B">
        <w:rPr>
          <w:rFonts w:ascii="Times New Roman" w:eastAsia="Calibri" w:hAnsi="Times New Roman"/>
          <w:sz w:val="26"/>
          <w:szCs w:val="26"/>
        </w:rPr>
        <w:t xml:space="preserve"> business cycle that can result during times when retail competition is stifled, because longer-term fixed price service fails to reflect current market conditions.</w:t>
      </w:r>
      <w:r w:rsidR="00B93E7F" w:rsidRPr="000A2C1B">
        <w:rPr>
          <w:rFonts w:ascii="Times New Roman" w:eastAsia="Calibri" w:hAnsi="Times New Roman"/>
          <w:sz w:val="26"/>
          <w:szCs w:val="26"/>
        </w:rPr>
        <w:t xml:space="preserve">  RESA also contends that hourly pricing </w:t>
      </w:r>
      <w:r w:rsidR="00D14EE1" w:rsidRPr="00D14EE1">
        <w:rPr>
          <w:rFonts w:ascii="Times New Roman" w:eastAsia="Calibri" w:hAnsi="Times New Roman"/>
          <w:sz w:val="26"/>
          <w:szCs w:val="26"/>
        </w:rPr>
        <w:t>leads to more accurate price signals</w:t>
      </w:r>
      <w:r w:rsidR="00B93E7F" w:rsidRPr="000A2C1B">
        <w:rPr>
          <w:rFonts w:ascii="Times New Roman" w:eastAsia="Calibri" w:hAnsi="Times New Roman"/>
          <w:sz w:val="26"/>
          <w:szCs w:val="26"/>
        </w:rPr>
        <w:t>,</w:t>
      </w:r>
      <w:r w:rsidR="00D14EE1" w:rsidRPr="00D14EE1">
        <w:rPr>
          <w:rFonts w:ascii="Times New Roman" w:eastAsia="Calibri" w:hAnsi="Times New Roman"/>
          <w:sz w:val="26"/>
          <w:szCs w:val="26"/>
        </w:rPr>
        <w:t xml:space="preserve"> thereby encouraging energy conservation and demand response.  </w:t>
      </w:r>
      <w:r w:rsidR="00D14EE1" w:rsidRPr="00D14EE1">
        <w:rPr>
          <w:rFonts w:ascii="Times New Roman" w:eastAsia="Calibri" w:hAnsi="Times New Roman"/>
          <w:i/>
          <w:sz w:val="26"/>
          <w:szCs w:val="26"/>
        </w:rPr>
        <w:t xml:space="preserve"> </w:t>
      </w:r>
      <w:r w:rsidR="00D14EE1" w:rsidRPr="00D14EE1">
        <w:rPr>
          <w:rFonts w:ascii="Times New Roman" w:eastAsia="Calibri" w:hAnsi="Times New Roman"/>
          <w:sz w:val="26"/>
          <w:szCs w:val="26"/>
        </w:rPr>
        <w:t>RESA Exc.</w:t>
      </w:r>
      <w:r w:rsidR="00D14EE1" w:rsidRPr="00D14EE1">
        <w:rPr>
          <w:rFonts w:ascii="Times New Roman" w:eastAsia="Calibri" w:hAnsi="Times New Roman"/>
          <w:i/>
          <w:sz w:val="26"/>
          <w:szCs w:val="26"/>
        </w:rPr>
        <w:t xml:space="preserve"> </w:t>
      </w:r>
      <w:r w:rsidR="00D14EE1" w:rsidRPr="00D14EE1">
        <w:rPr>
          <w:rFonts w:ascii="Times New Roman" w:eastAsia="Calibri" w:hAnsi="Times New Roman"/>
          <w:sz w:val="26"/>
          <w:szCs w:val="26"/>
        </w:rPr>
        <w:t>at 6-7.</w:t>
      </w:r>
    </w:p>
    <w:p w:rsidR="00BB15E1" w:rsidRDefault="00BB15E1" w:rsidP="00B93E7F">
      <w:pPr>
        <w:rPr>
          <w:rFonts w:ascii="Times New Roman" w:eastAsia="Calibri" w:hAnsi="Times New Roman"/>
          <w:sz w:val="26"/>
          <w:szCs w:val="26"/>
        </w:rPr>
      </w:pPr>
    </w:p>
    <w:p w:rsidR="00BB15E1" w:rsidRDefault="009F4346" w:rsidP="00B93E7F">
      <w:pPr>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t>Finally, RESA asserts</w:t>
      </w:r>
      <w:r w:rsidR="00BB15E1">
        <w:rPr>
          <w:rFonts w:ascii="Times New Roman" w:eastAsia="Calibri" w:hAnsi="Times New Roman"/>
          <w:sz w:val="26"/>
          <w:szCs w:val="26"/>
        </w:rPr>
        <w:t xml:space="preserve"> that the Commission has expressed its preference for the expansion of hourly-priced default service</w:t>
      </w:r>
      <w:r w:rsidR="00AA4180">
        <w:rPr>
          <w:rFonts w:ascii="Times New Roman" w:eastAsia="Calibri" w:hAnsi="Times New Roman"/>
          <w:sz w:val="26"/>
          <w:szCs w:val="26"/>
        </w:rPr>
        <w:t xml:space="preserve"> for C&amp;I customers with demand at or above 100 kW</w:t>
      </w:r>
      <w:r w:rsidR="00BB15E1">
        <w:rPr>
          <w:rFonts w:ascii="Times New Roman" w:eastAsia="Calibri" w:hAnsi="Times New Roman"/>
          <w:sz w:val="26"/>
          <w:szCs w:val="26"/>
        </w:rPr>
        <w:t xml:space="preserve"> on a number of occasions, including </w:t>
      </w:r>
      <w:r w:rsidR="00AA4180">
        <w:rPr>
          <w:rFonts w:ascii="Times New Roman" w:eastAsia="Calibri" w:hAnsi="Times New Roman"/>
          <w:sz w:val="26"/>
          <w:szCs w:val="26"/>
        </w:rPr>
        <w:t xml:space="preserve">the </w:t>
      </w:r>
      <w:r w:rsidR="00AA4180" w:rsidRPr="009F4782">
        <w:rPr>
          <w:rFonts w:ascii="Times New Roman" w:eastAsia="Calibri" w:hAnsi="Times New Roman"/>
          <w:i/>
          <w:sz w:val="26"/>
          <w:szCs w:val="26"/>
        </w:rPr>
        <w:t>End State Order</w:t>
      </w:r>
      <w:r w:rsidR="00AA4180">
        <w:rPr>
          <w:rFonts w:ascii="Times New Roman" w:eastAsia="Calibri" w:hAnsi="Times New Roman"/>
          <w:sz w:val="26"/>
          <w:szCs w:val="26"/>
        </w:rPr>
        <w:t xml:space="preserve">, wherein the </w:t>
      </w:r>
      <w:r w:rsidR="009F4782">
        <w:rPr>
          <w:rFonts w:ascii="Times New Roman" w:eastAsia="Calibri" w:hAnsi="Times New Roman"/>
          <w:sz w:val="26"/>
          <w:szCs w:val="26"/>
        </w:rPr>
        <w:lastRenderedPageBreak/>
        <w:t>Co</w:t>
      </w:r>
      <w:r w:rsidR="003415C2">
        <w:rPr>
          <w:rFonts w:ascii="Times New Roman" w:eastAsia="Calibri" w:hAnsi="Times New Roman"/>
          <w:sz w:val="26"/>
          <w:szCs w:val="26"/>
        </w:rPr>
        <w:t>mmission stated its expectation</w:t>
      </w:r>
      <w:r w:rsidR="009F4782">
        <w:rPr>
          <w:rFonts w:ascii="Times New Roman" w:eastAsia="Calibri" w:hAnsi="Times New Roman"/>
          <w:sz w:val="26"/>
          <w:szCs w:val="26"/>
        </w:rPr>
        <w:t xml:space="preserve"> that EDCs would offer only hourly LMP to medium and large C&amp;I customers with interval meters</w:t>
      </w:r>
      <w:r w:rsidR="003415C2">
        <w:rPr>
          <w:rFonts w:ascii="Times New Roman" w:eastAsia="Calibri" w:hAnsi="Times New Roman"/>
          <w:sz w:val="26"/>
          <w:szCs w:val="26"/>
        </w:rPr>
        <w:t>, effective June 1, 2015</w:t>
      </w:r>
      <w:r w:rsidR="009F4782">
        <w:rPr>
          <w:rFonts w:ascii="Times New Roman" w:eastAsia="Calibri" w:hAnsi="Times New Roman"/>
          <w:sz w:val="26"/>
          <w:szCs w:val="26"/>
        </w:rPr>
        <w:t xml:space="preserve">.  </w:t>
      </w:r>
      <w:r w:rsidR="009F4782" w:rsidRPr="009F4782">
        <w:rPr>
          <w:rFonts w:ascii="Times New Roman" w:eastAsia="Calibri" w:hAnsi="Times New Roman"/>
          <w:i/>
          <w:sz w:val="26"/>
          <w:szCs w:val="26"/>
        </w:rPr>
        <w:t>Id</w:t>
      </w:r>
      <w:r w:rsidR="009F4782">
        <w:rPr>
          <w:rFonts w:ascii="Times New Roman" w:eastAsia="Calibri" w:hAnsi="Times New Roman"/>
          <w:sz w:val="26"/>
          <w:szCs w:val="26"/>
        </w:rPr>
        <w:t xml:space="preserve">. at 8-9 (citing </w:t>
      </w:r>
      <w:r w:rsidR="009F4782" w:rsidRPr="009F4782">
        <w:rPr>
          <w:rFonts w:ascii="Times New Roman" w:eastAsia="Calibri" w:hAnsi="Times New Roman"/>
          <w:i/>
          <w:sz w:val="26"/>
          <w:szCs w:val="26"/>
        </w:rPr>
        <w:t>End State Order</w:t>
      </w:r>
      <w:r w:rsidR="009F4782">
        <w:rPr>
          <w:rFonts w:ascii="Times New Roman" w:eastAsia="Calibri" w:hAnsi="Times New Roman"/>
          <w:sz w:val="26"/>
          <w:szCs w:val="26"/>
        </w:rPr>
        <w:t xml:space="preserve"> at 29, 31).</w:t>
      </w:r>
      <w:r>
        <w:rPr>
          <w:rFonts w:ascii="Times New Roman" w:eastAsia="Calibri" w:hAnsi="Times New Roman"/>
          <w:sz w:val="26"/>
          <w:szCs w:val="26"/>
        </w:rPr>
        <w:t xml:space="preserve">  RESA contends that the ALJ</w:t>
      </w:r>
      <w:r w:rsidR="00803C65">
        <w:rPr>
          <w:rFonts w:ascii="Times New Roman" w:eastAsia="Calibri" w:hAnsi="Times New Roman"/>
          <w:sz w:val="26"/>
          <w:szCs w:val="26"/>
        </w:rPr>
        <w:t>’</w:t>
      </w:r>
      <w:r>
        <w:rPr>
          <w:rFonts w:ascii="Times New Roman" w:eastAsia="Calibri" w:hAnsi="Times New Roman"/>
          <w:sz w:val="26"/>
          <w:szCs w:val="26"/>
        </w:rPr>
        <w:t>s attemp</w:t>
      </w:r>
      <w:r w:rsidR="006408DC">
        <w:rPr>
          <w:rFonts w:ascii="Times New Roman" w:eastAsia="Calibri" w:hAnsi="Times New Roman"/>
          <w:sz w:val="26"/>
          <w:szCs w:val="26"/>
        </w:rPr>
        <w:t>t to isolate and compare 52 Pa. Code §</w:t>
      </w:r>
      <w:r>
        <w:rPr>
          <w:rFonts w:ascii="Times New Roman" w:eastAsia="Calibri" w:hAnsi="Times New Roman"/>
          <w:sz w:val="26"/>
          <w:szCs w:val="26"/>
        </w:rPr>
        <w:t xml:space="preserve"> 69.1805(2)</w:t>
      </w:r>
      <w:r w:rsidR="006B5AD8">
        <w:rPr>
          <w:rFonts w:ascii="Times New Roman" w:eastAsia="Calibri" w:hAnsi="Times New Roman"/>
          <w:sz w:val="26"/>
          <w:szCs w:val="26"/>
        </w:rPr>
        <w:t xml:space="preserve"> and the </w:t>
      </w:r>
      <w:r w:rsidR="006B5AD8" w:rsidRPr="006B5AD8">
        <w:rPr>
          <w:rFonts w:ascii="Times New Roman" w:eastAsia="Calibri" w:hAnsi="Times New Roman"/>
          <w:i/>
          <w:sz w:val="26"/>
          <w:szCs w:val="26"/>
        </w:rPr>
        <w:t>End State Order</w:t>
      </w:r>
      <w:r w:rsidR="006B5AD8">
        <w:rPr>
          <w:rFonts w:ascii="Times New Roman" w:eastAsia="Calibri" w:hAnsi="Times New Roman"/>
          <w:sz w:val="26"/>
          <w:szCs w:val="26"/>
        </w:rPr>
        <w:t xml:space="preserve"> misses the point that the market continues to evolve, and that the Commission has made it clear that its policies would continue to evolve.  RESA states that there is nothing illegal about the </w:t>
      </w:r>
      <w:r w:rsidR="006B5AD8" w:rsidRPr="006B5AD8">
        <w:rPr>
          <w:rFonts w:ascii="Times New Roman" w:eastAsia="Calibri" w:hAnsi="Times New Roman"/>
          <w:i/>
          <w:sz w:val="26"/>
          <w:szCs w:val="26"/>
        </w:rPr>
        <w:t>End State Order</w:t>
      </w:r>
      <w:r w:rsidR="006B5AD8">
        <w:rPr>
          <w:rFonts w:ascii="Times New Roman" w:eastAsia="Calibri" w:hAnsi="Times New Roman"/>
          <w:i/>
          <w:sz w:val="26"/>
          <w:szCs w:val="26"/>
        </w:rPr>
        <w:t>,</w:t>
      </w:r>
      <w:r w:rsidR="006B5AD8">
        <w:rPr>
          <w:rFonts w:ascii="Times New Roman" w:eastAsia="Calibri" w:hAnsi="Times New Roman"/>
          <w:sz w:val="26"/>
          <w:szCs w:val="26"/>
        </w:rPr>
        <w:t xml:space="preserve"> and nothing to justify the ALJ</w:t>
      </w:r>
      <w:r w:rsidR="00803C65">
        <w:rPr>
          <w:rFonts w:ascii="Times New Roman" w:eastAsia="Calibri" w:hAnsi="Times New Roman"/>
          <w:sz w:val="26"/>
          <w:szCs w:val="26"/>
        </w:rPr>
        <w:t>’</w:t>
      </w:r>
      <w:r w:rsidR="006B5AD8">
        <w:rPr>
          <w:rFonts w:ascii="Times New Roman" w:eastAsia="Calibri" w:hAnsi="Times New Roman"/>
          <w:sz w:val="26"/>
          <w:szCs w:val="26"/>
        </w:rPr>
        <w:t>s recommendation that it be disregarded.  Rather, RESA asserts that PPL</w:t>
      </w:r>
      <w:r w:rsidR="00803C65">
        <w:rPr>
          <w:rFonts w:ascii="Times New Roman" w:eastAsia="Calibri" w:hAnsi="Times New Roman"/>
          <w:sz w:val="26"/>
          <w:szCs w:val="26"/>
        </w:rPr>
        <w:t>’</w:t>
      </w:r>
      <w:r w:rsidR="006B5AD8">
        <w:rPr>
          <w:rFonts w:ascii="Times New Roman" w:eastAsia="Calibri" w:hAnsi="Times New Roman"/>
          <w:sz w:val="26"/>
          <w:szCs w:val="26"/>
        </w:rPr>
        <w:t>s proposal to lower the hourly demand threshold for C&amp;I customers to 100 kW is supported by the evidence of record, and fully satisfies all the requirements of the Competition Act.  RESA Exc. at 9.</w:t>
      </w:r>
    </w:p>
    <w:p w:rsidR="00C556E0" w:rsidRDefault="00C556E0" w:rsidP="00B93E7F">
      <w:pPr>
        <w:rPr>
          <w:rFonts w:ascii="Times New Roman" w:eastAsia="Calibri" w:hAnsi="Times New Roman"/>
          <w:sz w:val="26"/>
          <w:szCs w:val="26"/>
        </w:rPr>
      </w:pPr>
    </w:p>
    <w:p w:rsidR="00C556E0" w:rsidRPr="00C556E0" w:rsidRDefault="00C556E0" w:rsidP="00702F15">
      <w:pPr>
        <w:rPr>
          <w:rFonts w:ascii="Times New Roman" w:eastAsia="Calibri" w:hAnsi="Times New Roman"/>
          <w:b/>
          <w:sz w:val="26"/>
          <w:szCs w:val="26"/>
        </w:rPr>
      </w:pPr>
      <w:r>
        <w:rPr>
          <w:rFonts w:ascii="Times New Roman" w:eastAsia="Calibri" w:hAnsi="Times New Roman"/>
          <w:sz w:val="26"/>
          <w:szCs w:val="26"/>
        </w:rPr>
        <w:tab/>
      </w:r>
      <w:r>
        <w:rPr>
          <w:rFonts w:ascii="Times New Roman" w:eastAsia="Calibri" w:hAnsi="Times New Roman"/>
          <w:sz w:val="26"/>
          <w:szCs w:val="26"/>
        </w:rPr>
        <w:tab/>
      </w:r>
      <w:r w:rsidRPr="00C556E0">
        <w:rPr>
          <w:rFonts w:ascii="Times New Roman" w:eastAsia="Calibri" w:hAnsi="Times New Roman"/>
          <w:b/>
          <w:sz w:val="26"/>
          <w:szCs w:val="26"/>
        </w:rPr>
        <w:t>c.</w:t>
      </w:r>
      <w:r w:rsidRPr="00C556E0">
        <w:rPr>
          <w:rFonts w:ascii="Times New Roman" w:eastAsia="Calibri" w:hAnsi="Times New Roman"/>
          <w:b/>
          <w:sz w:val="26"/>
          <w:szCs w:val="26"/>
        </w:rPr>
        <w:tab/>
        <w:t>OSBA</w:t>
      </w:r>
      <w:r w:rsidR="00803C65">
        <w:rPr>
          <w:rFonts w:ascii="Times New Roman" w:eastAsia="Calibri" w:hAnsi="Times New Roman"/>
          <w:b/>
          <w:sz w:val="26"/>
          <w:szCs w:val="26"/>
        </w:rPr>
        <w:t>’</w:t>
      </w:r>
      <w:r w:rsidR="0095413F">
        <w:rPr>
          <w:rFonts w:ascii="Times New Roman" w:eastAsia="Calibri" w:hAnsi="Times New Roman"/>
          <w:b/>
          <w:sz w:val="26"/>
          <w:szCs w:val="26"/>
        </w:rPr>
        <w:t>s Replies</w:t>
      </w:r>
      <w:r w:rsidRPr="00C556E0">
        <w:rPr>
          <w:rFonts w:ascii="Times New Roman" w:eastAsia="Calibri" w:hAnsi="Times New Roman"/>
          <w:b/>
          <w:sz w:val="26"/>
          <w:szCs w:val="26"/>
        </w:rPr>
        <w:t xml:space="preserve"> to Exceptions</w:t>
      </w:r>
    </w:p>
    <w:p w:rsidR="00C556E0" w:rsidRDefault="00C556E0" w:rsidP="00C556E0">
      <w:pPr>
        <w:rPr>
          <w:rFonts w:ascii="Times New Roman" w:hAnsi="Times New Roman"/>
          <w:sz w:val="26"/>
          <w:szCs w:val="26"/>
        </w:rPr>
      </w:pPr>
    </w:p>
    <w:p w:rsidR="00C556E0" w:rsidRDefault="00C556E0" w:rsidP="00C556E0">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B008A1">
        <w:rPr>
          <w:rFonts w:ascii="Times New Roman" w:hAnsi="Times New Roman"/>
          <w:sz w:val="26"/>
          <w:szCs w:val="26"/>
        </w:rPr>
        <w:t>In its Reply to PPL</w:t>
      </w:r>
      <w:r w:rsidR="00803C65">
        <w:rPr>
          <w:rFonts w:ascii="Times New Roman" w:hAnsi="Times New Roman"/>
          <w:sz w:val="26"/>
          <w:szCs w:val="26"/>
        </w:rPr>
        <w:t>’</w:t>
      </w:r>
      <w:r w:rsidRPr="00B008A1">
        <w:rPr>
          <w:rFonts w:ascii="Times New Roman" w:hAnsi="Times New Roman"/>
          <w:sz w:val="26"/>
          <w:szCs w:val="26"/>
        </w:rPr>
        <w:t xml:space="preserve">s Exceptions, the OSBA </w:t>
      </w:r>
      <w:r>
        <w:rPr>
          <w:rFonts w:ascii="Times New Roman" w:hAnsi="Times New Roman"/>
          <w:sz w:val="26"/>
          <w:szCs w:val="26"/>
        </w:rPr>
        <w:t>argues</w:t>
      </w:r>
      <w:r w:rsidRPr="00B008A1">
        <w:rPr>
          <w:rFonts w:ascii="Times New Roman" w:hAnsi="Times New Roman"/>
          <w:sz w:val="26"/>
          <w:szCs w:val="26"/>
        </w:rPr>
        <w:t xml:space="preserve"> that PPL</w:t>
      </w:r>
      <w:r w:rsidR="00803C65">
        <w:rPr>
          <w:rFonts w:ascii="Times New Roman" w:hAnsi="Times New Roman"/>
          <w:sz w:val="26"/>
          <w:szCs w:val="26"/>
        </w:rPr>
        <w:t>’</w:t>
      </w:r>
      <w:r w:rsidRPr="00B008A1">
        <w:rPr>
          <w:rFonts w:ascii="Times New Roman" w:hAnsi="Times New Roman"/>
          <w:sz w:val="26"/>
          <w:szCs w:val="26"/>
        </w:rPr>
        <w:t>s reliance on the Pike County case, in which the Commonwealth Court upheld the Commission</w:t>
      </w:r>
      <w:r w:rsidR="00803C65">
        <w:rPr>
          <w:rFonts w:ascii="Times New Roman" w:hAnsi="Times New Roman"/>
          <w:sz w:val="26"/>
          <w:szCs w:val="26"/>
        </w:rPr>
        <w:t>’</w:t>
      </w:r>
      <w:r w:rsidRPr="00B008A1">
        <w:rPr>
          <w:rFonts w:ascii="Times New Roman" w:hAnsi="Times New Roman"/>
          <w:sz w:val="26"/>
          <w:szCs w:val="26"/>
        </w:rPr>
        <w:t xml:space="preserve">s authority to move customers </w:t>
      </w:r>
      <w:r w:rsidRPr="00BD2E89">
        <w:rPr>
          <w:rFonts w:ascii="Times New Roman" w:hAnsi="Times New Roman"/>
          <w:sz w:val="26"/>
          <w:szCs w:val="26"/>
        </w:rPr>
        <w:t>to the hourly spot market, was misplaced.  The OSBA contends that the circumstances affecting Pike County are not relevant to PPL</w:t>
      </w:r>
      <w:r w:rsidR="00803C65">
        <w:rPr>
          <w:rFonts w:ascii="Times New Roman" w:hAnsi="Times New Roman"/>
          <w:sz w:val="26"/>
          <w:szCs w:val="26"/>
        </w:rPr>
        <w:t>’</w:t>
      </w:r>
      <w:r w:rsidRPr="00BD2E89">
        <w:rPr>
          <w:rFonts w:ascii="Times New Roman" w:hAnsi="Times New Roman"/>
          <w:sz w:val="26"/>
          <w:szCs w:val="26"/>
        </w:rPr>
        <w:t xml:space="preserve">s Small C&amp;I customers with loads between 100 and 500 kW.  Specifically, the OSBA states that while Pike County procures its default </w:t>
      </w:r>
      <w:r w:rsidRPr="00EE55DE">
        <w:rPr>
          <w:rFonts w:ascii="Times New Roman" w:hAnsi="Times New Roman"/>
          <w:sz w:val="26"/>
          <w:szCs w:val="26"/>
        </w:rPr>
        <w:t xml:space="preserve">service supplies on an hourly basis, it sets its prices on a quarterly basis, as opposed to the hourly basis proposed by PPL.  In addition, the OSBA asserts that, at the time hourly default service pricing was implemented, Pike County was a </w:t>
      </w:r>
      <w:r w:rsidR="00803C65">
        <w:rPr>
          <w:rFonts w:ascii="Times New Roman" w:hAnsi="Times New Roman"/>
          <w:sz w:val="26"/>
          <w:szCs w:val="26"/>
        </w:rPr>
        <w:t>“</w:t>
      </w:r>
      <w:r w:rsidRPr="00EE55DE">
        <w:rPr>
          <w:rFonts w:ascii="Times New Roman" w:hAnsi="Times New Roman"/>
          <w:sz w:val="26"/>
          <w:szCs w:val="26"/>
        </w:rPr>
        <w:t>tiny</w:t>
      </w:r>
      <w:r w:rsidR="00803C65">
        <w:rPr>
          <w:rFonts w:ascii="Times New Roman" w:hAnsi="Times New Roman"/>
          <w:sz w:val="26"/>
          <w:szCs w:val="26"/>
        </w:rPr>
        <w:t>”</w:t>
      </w:r>
      <w:r w:rsidRPr="00EE55DE">
        <w:rPr>
          <w:rFonts w:ascii="Times New Roman" w:hAnsi="Times New Roman"/>
          <w:sz w:val="26"/>
          <w:szCs w:val="26"/>
        </w:rPr>
        <w:t xml:space="preserve"> utility where most of its customers were shopping under a Commission-sponsored aggregation plan.  OSBA R. Exc. at 4.  The OSBA further asserts that </w:t>
      </w:r>
      <w:r>
        <w:rPr>
          <w:rFonts w:ascii="Times New Roman" w:hAnsi="Times New Roman"/>
          <w:sz w:val="26"/>
          <w:szCs w:val="26"/>
        </w:rPr>
        <w:t>stable prices were readily available from competitive suppliers, while Pike County</w:t>
      </w:r>
      <w:r w:rsidR="00803C65">
        <w:rPr>
          <w:rFonts w:ascii="Times New Roman" w:hAnsi="Times New Roman"/>
          <w:sz w:val="26"/>
          <w:szCs w:val="26"/>
        </w:rPr>
        <w:t>’</w:t>
      </w:r>
      <w:r>
        <w:rPr>
          <w:rFonts w:ascii="Times New Roman" w:hAnsi="Times New Roman"/>
          <w:sz w:val="26"/>
          <w:szCs w:val="26"/>
        </w:rPr>
        <w:t xml:space="preserve">s ability to contract for stable priced supplies </w:t>
      </w:r>
      <w:r w:rsidRPr="00AC5F82">
        <w:rPr>
          <w:rFonts w:ascii="Times New Roman" w:hAnsi="Times New Roman"/>
          <w:sz w:val="26"/>
          <w:szCs w:val="26"/>
        </w:rPr>
        <w:t xml:space="preserve">from the wholesale market for its small default service load was limited.  </w:t>
      </w:r>
      <w:r w:rsidRPr="00AC5F82">
        <w:rPr>
          <w:rFonts w:ascii="Times New Roman" w:hAnsi="Times New Roman"/>
          <w:i/>
          <w:sz w:val="26"/>
          <w:szCs w:val="26"/>
        </w:rPr>
        <w:t>Id</w:t>
      </w:r>
      <w:r w:rsidRPr="00AC5F82">
        <w:rPr>
          <w:rFonts w:ascii="Times New Roman" w:hAnsi="Times New Roman"/>
          <w:sz w:val="26"/>
          <w:szCs w:val="26"/>
        </w:rPr>
        <w:t xml:space="preserve">. (citing </w:t>
      </w:r>
      <w:r w:rsidRPr="00AC5F82">
        <w:rPr>
          <w:rFonts w:ascii="Times New Roman" w:hAnsi="Times New Roman"/>
          <w:i/>
          <w:sz w:val="26"/>
          <w:szCs w:val="26"/>
        </w:rPr>
        <w:t>Petition of Pike County Light &amp; Power Company</w:t>
      </w:r>
      <w:r w:rsidRPr="00AC5F82">
        <w:rPr>
          <w:rFonts w:ascii="Times New Roman" w:hAnsi="Times New Roman"/>
          <w:sz w:val="26"/>
          <w:szCs w:val="26"/>
        </w:rPr>
        <w:t>, Docket No. P-2008-2044561 (Order entered March 23, 2009) at 14-15).</w:t>
      </w:r>
    </w:p>
    <w:p w:rsidR="00C556E0" w:rsidRDefault="00C556E0" w:rsidP="00C556E0">
      <w:pPr>
        <w:rPr>
          <w:rFonts w:ascii="Times New Roman" w:hAnsi="Times New Roman"/>
          <w:sz w:val="26"/>
          <w:szCs w:val="26"/>
        </w:rPr>
      </w:pPr>
    </w:p>
    <w:p w:rsidR="00C556E0" w:rsidRPr="00407555" w:rsidRDefault="00C556E0" w:rsidP="00C556E0">
      <w:pPr>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sidRPr="004130FC">
        <w:rPr>
          <w:rFonts w:ascii="Times New Roman" w:hAnsi="Times New Roman"/>
          <w:sz w:val="26"/>
          <w:szCs w:val="26"/>
        </w:rPr>
        <w:t>With regard to PPL</w:t>
      </w:r>
      <w:r w:rsidR="00803C65">
        <w:rPr>
          <w:rFonts w:ascii="Times New Roman" w:hAnsi="Times New Roman"/>
          <w:sz w:val="26"/>
          <w:szCs w:val="26"/>
        </w:rPr>
        <w:t>’</w:t>
      </w:r>
      <w:r w:rsidRPr="004130FC">
        <w:rPr>
          <w:rFonts w:ascii="Times New Roman" w:hAnsi="Times New Roman"/>
          <w:sz w:val="26"/>
          <w:szCs w:val="26"/>
        </w:rPr>
        <w:t xml:space="preserve">s assertion that its proposal to drop the Small C&amp;I customer size limit from 500 to 100 kW is consistent with the </w:t>
      </w:r>
      <w:r w:rsidRPr="00DB57D2">
        <w:rPr>
          <w:rFonts w:ascii="Times New Roman" w:hAnsi="Times New Roman"/>
          <w:i/>
          <w:sz w:val="26"/>
          <w:szCs w:val="26"/>
        </w:rPr>
        <w:t>End State Order</w:t>
      </w:r>
      <w:r w:rsidRPr="004130FC">
        <w:rPr>
          <w:rFonts w:ascii="Times New Roman" w:hAnsi="Times New Roman"/>
          <w:sz w:val="26"/>
          <w:szCs w:val="26"/>
        </w:rPr>
        <w:t xml:space="preserve">, the OSBA contends that consistency with the </w:t>
      </w:r>
      <w:r w:rsidRPr="004130FC">
        <w:rPr>
          <w:rFonts w:ascii="Times New Roman" w:hAnsi="Times New Roman"/>
          <w:i/>
          <w:sz w:val="26"/>
          <w:szCs w:val="26"/>
        </w:rPr>
        <w:t>End State Order</w:t>
      </w:r>
      <w:r w:rsidRPr="004130FC">
        <w:rPr>
          <w:rFonts w:ascii="Times New Roman" w:hAnsi="Times New Roman"/>
          <w:sz w:val="26"/>
          <w:szCs w:val="26"/>
        </w:rPr>
        <w:t xml:space="preserve"> is not a basis for the Company to remove 13.7 percent of </w:t>
      </w:r>
      <w:r w:rsidRPr="00460DE0">
        <w:rPr>
          <w:rFonts w:ascii="Times New Roman" w:hAnsi="Times New Roman"/>
          <w:sz w:val="26"/>
          <w:szCs w:val="26"/>
        </w:rPr>
        <w:t>the Small C&amp;I customer load from those customers</w:t>
      </w:r>
      <w:r w:rsidR="00803C65">
        <w:rPr>
          <w:rFonts w:ascii="Times New Roman" w:hAnsi="Times New Roman"/>
          <w:sz w:val="26"/>
          <w:szCs w:val="26"/>
        </w:rPr>
        <w:t>’</w:t>
      </w:r>
      <w:r w:rsidRPr="00460DE0">
        <w:rPr>
          <w:rFonts w:ascii="Times New Roman" w:hAnsi="Times New Roman"/>
          <w:sz w:val="26"/>
          <w:szCs w:val="26"/>
        </w:rPr>
        <w:t xml:space="preserve"> current choice for stable rate default service.  The OSBA avers that the </w:t>
      </w:r>
      <w:r w:rsidRPr="00460DE0">
        <w:rPr>
          <w:rFonts w:ascii="Times New Roman" w:hAnsi="Times New Roman"/>
          <w:i/>
          <w:sz w:val="26"/>
          <w:szCs w:val="26"/>
        </w:rPr>
        <w:t>End State Order</w:t>
      </w:r>
      <w:r w:rsidRPr="00460DE0">
        <w:rPr>
          <w:rFonts w:ascii="Times New Roman" w:hAnsi="Times New Roman"/>
          <w:sz w:val="26"/>
          <w:szCs w:val="26"/>
        </w:rPr>
        <w:t xml:space="preserve"> is not a legal mandate, but rather, is a statement by the Commission as to what it envisions for the future of default service.  The OSBA states that the Commission itself expressed its concern regarding the legality of moving medium C&amp;I customers, with maximum demand between 100 and 500 kW, from stable-rate default service to hourly-priced service.  OSBA R. </w:t>
      </w:r>
      <w:r w:rsidRPr="00407555">
        <w:rPr>
          <w:rFonts w:ascii="Times New Roman" w:hAnsi="Times New Roman"/>
          <w:sz w:val="26"/>
          <w:szCs w:val="26"/>
        </w:rPr>
        <w:t xml:space="preserve">Exc. at 5-6 (citing </w:t>
      </w:r>
      <w:r w:rsidRPr="00407555">
        <w:rPr>
          <w:rFonts w:ascii="Times New Roman" w:hAnsi="Times New Roman"/>
          <w:i/>
          <w:sz w:val="26"/>
          <w:szCs w:val="26"/>
        </w:rPr>
        <w:t xml:space="preserve">End State Order </w:t>
      </w:r>
      <w:r w:rsidRPr="00407555">
        <w:rPr>
          <w:rFonts w:ascii="Times New Roman" w:hAnsi="Times New Roman"/>
          <w:sz w:val="26"/>
          <w:szCs w:val="26"/>
        </w:rPr>
        <w:t>at 45).</w:t>
      </w:r>
    </w:p>
    <w:p w:rsidR="00C556E0" w:rsidRPr="00407555" w:rsidRDefault="00C556E0" w:rsidP="00C556E0">
      <w:pPr>
        <w:rPr>
          <w:rFonts w:ascii="Times New Roman" w:hAnsi="Times New Roman"/>
          <w:sz w:val="26"/>
          <w:szCs w:val="26"/>
        </w:rPr>
      </w:pPr>
    </w:p>
    <w:p w:rsidR="00C556E0" w:rsidRDefault="00C556E0" w:rsidP="00C556E0">
      <w:pPr>
        <w:rPr>
          <w:rFonts w:ascii="Times New Roman" w:hAnsi="Times New Roman"/>
          <w:sz w:val="26"/>
          <w:szCs w:val="26"/>
        </w:rPr>
      </w:pPr>
      <w:r w:rsidRPr="00407555">
        <w:rPr>
          <w:rFonts w:ascii="Times New Roman" w:hAnsi="Times New Roman"/>
          <w:sz w:val="26"/>
          <w:szCs w:val="26"/>
        </w:rPr>
        <w:tab/>
      </w:r>
      <w:r w:rsidRPr="00407555">
        <w:rPr>
          <w:rFonts w:ascii="Times New Roman" w:hAnsi="Times New Roman"/>
          <w:sz w:val="26"/>
          <w:szCs w:val="26"/>
        </w:rPr>
        <w:tab/>
        <w:t>The OSBA also argues</w:t>
      </w:r>
      <w:r w:rsidR="00E372FA">
        <w:rPr>
          <w:rFonts w:ascii="Times New Roman" w:hAnsi="Times New Roman"/>
          <w:sz w:val="26"/>
          <w:szCs w:val="26"/>
        </w:rPr>
        <w:t xml:space="preserve"> that PPL</w:t>
      </w:r>
      <w:r w:rsidR="00803C65">
        <w:rPr>
          <w:rFonts w:ascii="Times New Roman" w:hAnsi="Times New Roman"/>
          <w:sz w:val="26"/>
          <w:szCs w:val="26"/>
        </w:rPr>
        <w:t>’</w:t>
      </w:r>
      <w:r w:rsidR="00E372FA">
        <w:rPr>
          <w:rFonts w:ascii="Times New Roman" w:hAnsi="Times New Roman"/>
          <w:sz w:val="26"/>
          <w:szCs w:val="26"/>
        </w:rPr>
        <w:t>s reliance on</w:t>
      </w:r>
      <w:r w:rsidRPr="00407555">
        <w:rPr>
          <w:rFonts w:ascii="Times New Roman" w:hAnsi="Times New Roman"/>
          <w:sz w:val="26"/>
          <w:szCs w:val="26"/>
        </w:rPr>
        <w:t xml:space="preserve"> 52 Pa. Code § 69.1805 does not support approval of its proposal or the legal authority of</w:t>
      </w:r>
      <w:r w:rsidR="00DB57D2">
        <w:rPr>
          <w:rFonts w:ascii="Times New Roman" w:hAnsi="Times New Roman"/>
          <w:sz w:val="26"/>
          <w:szCs w:val="26"/>
        </w:rPr>
        <w:t xml:space="preserve"> the</w:t>
      </w:r>
      <w:r w:rsidRPr="00407555">
        <w:rPr>
          <w:rFonts w:ascii="Times New Roman" w:hAnsi="Times New Roman"/>
          <w:sz w:val="26"/>
          <w:szCs w:val="26"/>
        </w:rPr>
        <w:t xml:space="preserve"> </w:t>
      </w:r>
      <w:r w:rsidRPr="00407555">
        <w:rPr>
          <w:rFonts w:ascii="Times New Roman" w:hAnsi="Times New Roman"/>
          <w:i/>
          <w:sz w:val="26"/>
          <w:szCs w:val="26"/>
        </w:rPr>
        <w:t>End State Order</w:t>
      </w:r>
      <w:r w:rsidRPr="00407555">
        <w:rPr>
          <w:rFonts w:ascii="Times New Roman" w:hAnsi="Times New Roman"/>
          <w:sz w:val="26"/>
          <w:szCs w:val="26"/>
        </w:rPr>
        <w:t xml:space="preserve">.  The OSBA contends that PPL provided no evidence that </w:t>
      </w:r>
      <w:r w:rsidRPr="00035D55">
        <w:rPr>
          <w:rFonts w:ascii="Times New Roman" w:hAnsi="Times New Roman"/>
          <w:sz w:val="26"/>
          <w:szCs w:val="26"/>
        </w:rPr>
        <w:t xml:space="preserve">its proposal to reduce the demand limit from 500 to 100 kW for Small C&amp;I customers will </w:t>
      </w:r>
      <w:r w:rsidR="00803C65">
        <w:rPr>
          <w:rFonts w:ascii="Times New Roman" w:hAnsi="Times New Roman"/>
          <w:sz w:val="26"/>
          <w:szCs w:val="26"/>
        </w:rPr>
        <w:t>“</w:t>
      </w:r>
      <w:r w:rsidRPr="00035D55">
        <w:rPr>
          <w:rFonts w:ascii="Times New Roman" w:hAnsi="Times New Roman"/>
          <w:sz w:val="26"/>
          <w:szCs w:val="26"/>
        </w:rPr>
        <w:t>ensure least cost</w:t>
      </w:r>
      <w:r w:rsidR="00803C65">
        <w:rPr>
          <w:rFonts w:ascii="Times New Roman" w:hAnsi="Times New Roman"/>
          <w:sz w:val="26"/>
          <w:szCs w:val="26"/>
        </w:rPr>
        <w:t>”</w:t>
      </w:r>
      <w:r w:rsidRPr="00035D55">
        <w:rPr>
          <w:rFonts w:ascii="Times New Roman" w:hAnsi="Times New Roman"/>
          <w:sz w:val="26"/>
          <w:szCs w:val="26"/>
        </w:rPr>
        <w:t xml:space="preserve"> to customers,</w:t>
      </w:r>
      <w:r w:rsidR="00803C65">
        <w:rPr>
          <w:rFonts w:ascii="Times New Roman" w:hAnsi="Times New Roman"/>
          <w:sz w:val="26"/>
          <w:szCs w:val="26"/>
        </w:rPr>
        <w:t>”</w:t>
      </w:r>
      <w:r w:rsidRPr="00035D55">
        <w:rPr>
          <w:rFonts w:ascii="Times New Roman" w:hAnsi="Times New Roman"/>
          <w:sz w:val="26"/>
          <w:szCs w:val="26"/>
        </w:rPr>
        <w:t xml:space="preserve"> consistent with </w:t>
      </w:r>
      <w:r w:rsidR="00DB57D2" w:rsidRPr="00407555">
        <w:rPr>
          <w:rFonts w:ascii="Times New Roman" w:hAnsi="Times New Roman"/>
          <w:sz w:val="26"/>
          <w:szCs w:val="26"/>
        </w:rPr>
        <w:t>52 Pa. Code § 69.1805</w:t>
      </w:r>
      <w:r w:rsidRPr="00035D55">
        <w:rPr>
          <w:rFonts w:ascii="Times New Roman" w:hAnsi="Times New Roman"/>
          <w:sz w:val="26"/>
          <w:szCs w:val="26"/>
        </w:rPr>
        <w:t xml:space="preserve">.  </w:t>
      </w:r>
      <w:r w:rsidR="00DB57D2">
        <w:rPr>
          <w:rFonts w:ascii="Times New Roman" w:hAnsi="Times New Roman"/>
          <w:sz w:val="26"/>
          <w:szCs w:val="26"/>
        </w:rPr>
        <w:t>OSBA R. Exc. at 6.</w:t>
      </w:r>
    </w:p>
    <w:p w:rsidR="00C556E0" w:rsidRDefault="00C556E0" w:rsidP="00C556E0">
      <w:pPr>
        <w:rPr>
          <w:rFonts w:ascii="Times New Roman" w:eastAsia="Calibri" w:hAnsi="Times New Roman"/>
          <w:sz w:val="26"/>
          <w:szCs w:val="26"/>
        </w:rPr>
      </w:pPr>
    </w:p>
    <w:p w:rsidR="00C556E0" w:rsidRPr="00816D62" w:rsidRDefault="00C556E0" w:rsidP="00C556E0">
      <w:pPr>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t>In its Reply to RESA</w:t>
      </w:r>
      <w:r w:rsidR="00803C65">
        <w:rPr>
          <w:rFonts w:ascii="Times New Roman" w:eastAsia="Calibri" w:hAnsi="Times New Roman"/>
          <w:sz w:val="26"/>
          <w:szCs w:val="26"/>
        </w:rPr>
        <w:t>’</w:t>
      </w:r>
      <w:r>
        <w:rPr>
          <w:rFonts w:ascii="Times New Roman" w:eastAsia="Calibri" w:hAnsi="Times New Roman"/>
          <w:sz w:val="26"/>
          <w:szCs w:val="26"/>
        </w:rPr>
        <w:t>s Exceptions, the OSBA disagrees with RESA</w:t>
      </w:r>
      <w:r w:rsidR="00803C65">
        <w:rPr>
          <w:rFonts w:ascii="Times New Roman" w:eastAsia="Calibri" w:hAnsi="Times New Roman"/>
          <w:sz w:val="26"/>
          <w:szCs w:val="26"/>
        </w:rPr>
        <w:t>’</w:t>
      </w:r>
      <w:r>
        <w:rPr>
          <w:rFonts w:ascii="Times New Roman" w:eastAsia="Calibri" w:hAnsi="Times New Roman"/>
          <w:sz w:val="26"/>
          <w:szCs w:val="26"/>
        </w:rPr>
        <w:t>s criticism of the ALJ</w:t>
      </w:r>
      <w:r w:rsidR="00803C65">
        <w:rPr>
          <w:rFonts w:ascii="Times New Roman" w:eastAsia="Calibri" w:hAnsi="Times New Roman"/>
          <w:sz w:val="26"/>
          <w:szCs w:val="26"/>
        </w:rPr>
        <w:t>’</w:t>
      </w:r>
      <w:r>
        <w:rPr>
          <w:rFonts w:ascii="Times New Roman" w:eastAsia="Calibri" w:hAnsi="Times New Roman"/>
          <w:sz w:val="26"/>
          <w:szCs w:val="26"/>
        </w:rPr>
        <w:t>s legal analysis regarding PPL</w:t>
      </w:r>
      <w:r w:rsidR="00803C65">
        <w:rPr>
          <w:rFonts w:ascii="Times New Roman" w:eastAsia="Calibri" w:hAnsi="Times New Roman"/>
          <w:sz w:val="26"/>
          <w:szCs w:val="26"/>
        </w:rPr>
        <w:t>’</w:t>
      </w:r>
      <w:r>
        <w:rPr>
          <w:rFonts w:ascii="Times New Roman" w:eastAsia="Calibri" w:hAnsi="Times New Roman"/>
          <w:sz w:val="26"/>
          <w:szCs w:val="26"/>
        </w:rPr>
        <w:t xml:space="preserve">s proposal, and her alleged failure to recognize that the </w:t>
      </w:r>
      <w:r w:rsidRPr="004E7932">
        <w:rPr>
          <w:rFonts w:ascii="Times New Roman" w:eastAsia="Calibri" w:hAnsi="Times New Roman"/>
          <w:sz w:val="26"/>
          <w:szCs w:val="26"/>
        </w:rPr>
        <w:t>Competition Act requires a default service plan to be designed to promote competition and direct access to the competitive market.  The OSBA contends that RESA ignores the fact that the 430 Small C&amp;I customers that would be affected by PPL</w:t>
      </w:r>
      <w:r w:rsidR="00803C65">
        <w:rPr>
          <w:rFonts w:ascii="Times New Roman" w:eastAsia="Calibri" w:hAnsi="Times New Roman"/>
          <w:sz w:val="26"/>
          <w:szCs w:val="26"/>
        </w:rPr>
        <w:t>’</w:t>
      </w:r>
      <w:r w:rsidRPr="004E7932">
        <w:rPr>
          <w:rFonts w:ascii="Times New Roman" w:eastAsia="Calibri" w:hAnsi="Times New Roman"/>
          <w:sz w:val="26"/>
          <w:szCs w:val="26"/>
        </w:rPr>
        <w:t>s proposal already have complete access to the co</w:t>
      </w:r>
      <w:r w:rsidR="00922B1D" w:rsidRPr="004E7932">
        <w:rPr>
          <w:rFonts w:ascii="Times New Roman" w:eastAsia="Calibri" w:hAnsi="Times New Roman"/>
          <w:sz w:val="26"/>
          <w:szCs w:val="26"/>
        </w:rPr>
        <w:t>mpetitive market, and that they have</w:t>
      </w:r>
      <w:r w:rsidRPr="004E7932">
        <w:rPr>
          <w:rFonts w:ascii="Times New Roman" w:eastAsia="Calibri" w:hAnsi="Times New Roman"/>
          <w:sz w:val="26"/>
          <w:szCs w:val="26"/>
        </w:rPr>
        <w:t xml:space="preserve"> all decided that taking default service from PPL is superior to competitive options.  The OSBA further contends that RESA ignores the fact that shopping in the Small C&amp;I class is already robust, and therefore, the existing procurement and pricing mechanism for these customers is not imposing any</w:t>
      </w:r>
      <w:r w:rsidRPr="00816D62">
        <w:rPr>
          <w:rFonts w:ascii="Times New Roman" w:eastAsia="Calibri" w:hAnsi="Times New Roman"/>
          <w:sz w:val="26"/>
          <w:szCs w:val="26"/>
        </w:rPr>
        <w:t xml:space="preserve"> unreasonable bar to competition.  </w:t>
      </w:r>
      <w:r>
        <w:rPr>
          <w:rFonts w:ascii="Times New Roman" w:eastAsia="Calibri" w:hAnsi="Times New Roman"/>
          <w:sz w:val="26"/>
          <w:szCs w:val="26"/>
        </w:rPr>
        <w:t xml:space="preserve">OSBA R. Exc. at 7-8.  Thus, the OSBA asserts that </w:t>
      </w:r>
      <w:r w:rsidR="00803C65">
        <w:rPr>
          <w:rFonts w:ascii="Times New Roman" w:eastAsia="Calibri" w:hAnsi="Times New Roman"/>
          <w:sz w:val="26"/>
          <w:szCs w:val="26"/>
        </w:rPr>
        <w:t>“</w:t>
      </w:r>
      <w:r>
        <w:rPr>
          <w:rFonts w:ascii="Times New Roman" w:eastAsia="Calibri" w:hAnsi="Times New Roman"/>
          <w:sz w:val="26"/>
          <w:szCs w:val="26"/>
        </w:rPr>
        <w:t>the ALJ</w:t>
      </w:r>
      <w:r w:rsidR="00803C65">
        <w:rPr>
          <w:rFonts w:ascii="Times New Roman" w:eastAsia="Calibri" w:hAnsi="Times New Roman"/>
          <w:sz w:val="26"/>
          <w:szCs w:val="26"/>
        </w:rPr>
        <w:t>’</w:t>
      </w:r>
      <w:r>
        <w:rPr>
          <w:rFonts w:ascii="Times New Roman" w:eastAsia="Calibri" w:hAnsi="Times New Roman"/>
          <w:sz w:val="26"/>
          <w:szCs w:val="26"/>
        </w:rPr>
        <w:t>s legal analysis missed nothing,</w:t>
      </w:r>
      <w:r w:rsidR="00803C65">
        <w:rPr>
          <w:rFonts w:ascii="Times New Roman" w:eastAsia="Calibri" w:hAnsi="Times New Roman"/>
          <w:sz w:val="26"/>
          <w:szCs w:val="26"/>
        </w:rPr>
        <w:t>”</w:t>
      </w:r>
      <w:r>
        <w:rPr>
          <w:rFonts w:ascii="Times New Roman" w:eastAsia="Calibri" w:hAnsi="Times New Roman"/>
          <w:sz w:val="26"/>
          <w:szCs w:val="26"/>
        </w:rPr>
        <w:t xml:space="preserve"> because there is already a fully robust competitive market in PPL</w:t>
      </w:r>
      <w:r w:rsidR="00803C65">
        <w:rPr>
          <w:rFonts w:ascii="Times New Roman" w:eastAsia="Calibri" w:hAnsi="Times New Roman"/>
          <w:sz w:val="26"/>
          <w:szCs w:val="26"/>
        </w:rPr>
        <w:t>’</w:t>
      </w:r>
      <w:r>
        <w:rPr>
          <w:rFonts w:ascii="Times New Roman" w:eastAsia="Calibri" w:hAnsi="Times New Roman"/>
          <w:sz w:val="26"/>
          <w:szCs w:val="26"/>
        </w:rPr>
        <w:t xml:space="preserve">s service territory.  </w:t>
      </w:r>
      <w:r w:rsidRPr="00364ABC">
        <w:rPr>
          <w:rFonts w:ascii="Times New Roman" w:eastAsia="Calibri" w:hAnsi="Times New Roman"/>
          <w:i/>
          <w:sz w:val="26"/>
          <w:szCs w:val="26"/>
        </w:rPr>
        <w:t>Id</w:t>
      </w:r>
      <w:r>
        <w:rPr>
          <w:rFonts w:ascii="Times New Roman" w:eastAsia="Calibri" w:hAnsi="Times New Roman"/>
          <w:sz w:val="26"/>
          <w:szCs w:val="26"/>
        </w:rPr>
        <w:t>. at 8.</w:t>
      </w:r>
    </w:p>
    <w:p w:rsidR="00C556E0" w:rsidRPr="00816D62" w:rsidRDefault="00C556E0" w:rsidP="00C556E0">
      <w:pPr>
        <w:rPr>
          <w:rFonts w:ascii="Times New Roman" w:eastAsia="Calibri" w:hAnsi="Times New Roman"/>
          <w:sz w:val="26"/>
          <w:szCs w:val="26"/>
        </w:rPr>
      </w:pPr>
    </w:p>
    <w:p w:rsidR="00C556E0" w:rsidRPr="00204737" w:rsidRDefault="00C556E0" w:rsidP="00C556E0">
      <w:pPr>
        <w:rPr>
          <w:rFonts w:ascii="Times New Roman" w:eastAsia="Calibri" w:hAnsi="Times New Roman"/>
          <w:sz w:val="26"/>
          <w:szCs w:val="26"/>
        </w:rPr>
      </w:pPr>
      <w:r w:rsidRPr="003A5A37">
        <w:rPr>
          <w:rFonts w:ascii="Times New Roman" w:eastAsia="Calibri" w:hAnsi="Times New Roman"/>
          <w:sz w:val="26"/>
          <w:szCs w:val="26"/>
        </w:rPr>
        <w:tab/>
      </w:r>
      <w:r w:rsidRPr="003A5A37">
        <w:rPr>
          <w:rFonts w:ascii="Times New Roman" w:eastAsia="Calibri" w:hAnsi="Times New Roman"/>
          <w:sz w:val="26"/>
          <w:szCs w:val="26"/>
        </w:rPr>
        <w:tab/>
      </w:r>
      <w:r w:rsidRPr="006838C9">
        <w:rPr>
          <w:rFonts w:ascii="Times New Roman" w:eastAsia="Calibri" w:hAnsi="Times New Roman"/>
          <w:sz w:val="26"/>
          <w:szCs w:val="26"/>
        </w:rPr>
        <w:t>The OSBA also dismisses RESA</w:t>
      </w:r>
      <w:r w:rsidR="00803C65">
        <w:rPr>
          <w:rFonts w:ascii="Times New Roman" w:eastAsia="Calibri" w:hAnsi="Times New Roman"/>
          <w:sz w:val="26"/>
          <w:szCs w:val="26"/>
        </w:rPr>
        <w:t>’</w:t>
      </w:r>
      <w:r w:rsidRPr="006838C9">
        <w:rPr>
          <w:rFonts w:ascii="Times New Roman" w:eastAsia="Calibri" w:hAnsi="Times New Roman"/>
          <w:sz w:val="26"/>
          <w:szCs w:val="26"/>
        </w:rPr>
        <w:t xml:space="preserve">s argument that hourly pricing avoids the </w:t>
      </w:r>
      <w:r w:rsidR="00803C65">
        <w:rPr>
          <w:rFonts w:ascii="Times New Roman" w:eastAsia="Calibri" w:hAnsi="Times New Roman"/>
          <w:sz w:val="26"/>
          <w:szCs w:val="26"/>
        </w:rPr>
        <w:t>“</w:t>
      </w:r>
      <w:r w:rsidRPr="006838C9">
        <w:rPr>
          <w:rFonts w:ascii="Times New Roman" w:eastAsia="Calibri" w:hAnsi="Times New Roman"/>
          <w:sz w:val="26"/>
          <w:szCs w:val="26"/>
        </w:rPr>
        <w:t>boom</w:t>
      </w:r>
      <w:r w:rsidR="00803C65">
        <w:rPr>
          <w:rFonts w:ascii="Times New Roman" w:eastAsia="Calibri" w:hAnsi="Times New Roman"/>
          <w:sz w:val="26"/>
          <w:szCs w:val="26"/>
        </w:rPr>
        <w:t>”</w:t>
      </w:r>
      <w:r w:rsidRPr="006838C9">
        <w:rPr>
          <w:rFonts w:ascii="Times New Roman" w:eastAsia="Calibri" w:hAnsi="Times New Roman"/>
          <w:sz w:val="26"/>
          <w:szCs w:val="26"/>
        </w:rPr>
        <w:t xml:space="preserve"> or </w:t>
      </w:r>
      <w:r w:rsidR="00803C65">
        <w:rPr>
          <w:rFonts w:ascii="Times New Roman" w:eastAsia="Calibri" w:hAnsi="Times New Roman"/>
          <w:sz w:val="26"/>
          <w:szCs w:val="26"/>
        </w:rPr>
        <w:t>“</w:t>
      </w:r>
      <w:r w:rsidRPr="006838C9">
        <w:rPr>
          <w:rFonts w:ascii="Times New Roman" w:eastAsia="Calibri" w:hAnsi="Times New Roman"/>
          <w:sz w:val="26"/>
          <w:szCs w:val="26"/>
        </w:rPr>
        <w:t>bust</w:t>
      </w:r>
      <w:r w:rsidR="00803C65">
        <w:rPr>
          <w:rFonts w:ascii="Times New Roman" w:eastAsia="Calibri" w:hAnsi="Times New Roman"/>
          <w:sz w:val="26"/>
          <w:szCs w:val="26"/>
        </w:rPr>
        <w:t>”</w:t>
      </w:r>
      <w:r w:rsidRPr="006838C9">
        <w:rPr>
          <w:rFonts w:ascii="Times New Roman" w:eastAsia="Calibri" w:hAnsi="Times New Roman"/>
          <w:sz w:val="26"/>
          <w:szCs w:val="26"/>
        </w:rPr>
        <w:t xml:space="preserve"> business cycle and provides more accurate price signals, contending that such an argument is irrelevant</w:t>
      </w:r>
      <w:r>
        <w:rPr>
          <w:rFonts w:ascii="Times New Roman" w:eastAsia="Calibri" w:hAnsi="Times New Roman"/>
          <w:sz w:val="26"/>
          <w:szCs w:val="26"/>
        </w:rPr>
        <w:t xml:space="preserve"> and of no legal significance</w:t>
      </w:r>
      <w:r w:rsidRPr="006838C9">
        <w:rPr>
          <w:rFonts w:ascii="Times New Roman" w:eastAsia="Calibri" w:hAnsi="Times New Roman"/>
          <w:sz w:val="26"/>
          <w:szCs w:val="26"/>
        </w:rPr>
        <w:t xml:space="preserve">.  </w:t>
      </w:r>
      <w:r w:rsidRPr="006838C9">
        <w:rPr>
          <w:rFonts w:ascii="Times New Roman" w:eastAsia="Calibri" w:hAnsi="Times New Roman"/>
          <w:i/>
          <w:sz w:val="26"/>
          <w:szCs w:val="26"/>
        </w:rPr>
        <w:t>Id</w:t>
      </w:r>
      <w:r w:rsidRPr="006838C9">
        <w:rPr>
          <w:rFonts w:ascii="Times New Roman" w:eastAsia="Calibri" w:hAnsi="Times New Roman"/>
          <w:sz w:val="26"/>
          <w:szCs w:val="26"/>
        </w:rPr>
        <w:t xml:space="preserve">. at 8-9.  The OSBA asserts that </w:t>
      </w:r>
      <w:r w:rsidR="00803C65">
        <w:rPr>
          <w:rFonts w:ascii="Times New Roman" w:eastAsia="Calibri" w:hAnsi="Times New Roman"/>
          <w:sz w:val="26"/>
          <w:szCs w:val="26"/>
        </w:rPr>
        <w:t>“</w:t>
      </w:r>
      <w:r w:rsidRPr="006838C9">
        <w:rPr>
          <w:rFonts w:ascii="Times New Roman" w:eastAsia="Calibri" w:hAnsi="Times New Roman"/>
          <w:sz w:val="26"/>
          <w:szCs w:val="26"/>
        </w:rPr>
        <w:t>more accurate price signals</w:t>
      </w:r>
      <w:r w:rsidR="00803C65">
        <w:rPr>
          <w:rFonts w:ascii="Times New Roman" w:eastAsia="Calibri" w:hAnsi="Times New Roman"/>
          <w:sz w:val="26"/>
          <w:szCs w:val="26"/>
        </w:rPr>
        <w:t>”</w:t>
      </w:r>
      <w:r w:rsidRPr="006838C9">
        <w:rPr>
          <w:rFonts w:ascii="Times New Roman" w:eastAsia="Calibri" w:hAnsi="Times New Roman"/>
          <w:sz w:val="26"/>
          <w:szCs w:val="26"/>
        </w:rPr>
        <w:t xml:space="preserve"> is RESA</w:t>
      </w:r>
      <w:r w:rsidR="00803C65">
        <w:rPr>
          <w:rFonts w:ascii="Times New Roman" w:eastAsia="Calibri" w:hAnsi="Times New Roman"/>
          <w:sz w:val="26"/>
          <w:szCs w:val="26"/>
        </w:rPr>
        <w:t>’</w:t>
      </w:r>
      <w:r w:rsidRPr="006838C9">
        <w:rPr>
          <w:rFonts w:ascii="Times New Roman" w:eastAsia="Calibri" w:hAnsi="Times New Roman"/>
          <w:sz w:val="26"/>
          <w:szCs w:val="26"/>
        </w:rPr>
        <w:t xml:space="preserve">s way of demanding </w:t>
      </w:r>
      <w:r w:rsidR="00803C65">
        <w:rPr>
          <w:rFonts w:ascii="Times New Roman" w:eastAsia="Calibri" w:hAnsi="Times New Roman"/>
          <w:sz w:val="26"/>
          <w:szCs w:val="26"/>
        </w:rPr>
        <w:t>“</w:t>
      </w:r>
      <w:r w:rsidRPr="006838C9">
        <w:rPr>
          <w:rFonts w:ascii="Times New Roman" w:eastAsia="Calibri" w:hAnsi="Times New Roman"/>
          <w:sz w:val="26"/>
          <w:szCs w:val="26"/>
        </w:rPr>
        <w:t>market reflective</w:t>
      </w:r>
      <w:r w:rsidR="00803C65">
        <w:rPr>
          <w:rFonts w:ascii="Times New Roman" w:eastAsia="Calibri" w:hAnsi="Times New Roman"/>
          <w:sz w:val="26"/>
          <w:szCs w:val="26"/>
        </w:rPr>
        <w:t>”</w:t>
      </w:r>
      <w:r w:rsidRPr="006838C9">
        <w:rPr>
          <w:rFonts w:ascii="Times New Roman" w:eastAsia="Calibri" w:hAnsi="Times New Roman"/>
          <w:sz w:val="26"/>
          <w:szCs w:val="26"/>
        </w:rPr>
        <w:t xml:space="preserve"> pricing, which is not the current legal standard for judging default service rates, as the Commission has made clear. </w:t>
      </w:r>
      <w:r w:rsidRPr="006838C9">
        <w:rPr>
          <w:rFonts w:ascii="Times New Roman" w:eastAsia="Calibri" w:hAnsi="Times New Roman"/>
          <w:i/>
          <w:sz w:val="26"/>
          <w:szCs w:val="26"/>
        </w:rPr>
        <w:t>Id</w:t>
      </w:r>
      <w:r w:rsidRPr="006838C9">
        <w:rPr>
          <w:rFonts w:ascii="Times New Roman" w:eastAsia="Calibri" w:hAnsi="Times New Roman"/>
          <w:sz w:val="26"/>
          <w:szCs w:val="26"/>
        </w:rPr>
        <w:t>.</w:t>
      </w:r>
      <w:r>
        <w:rPr>
          <w:rFonts w:ascii="Times New Roman" w:eastAsia="Calibri" w:hAnsi="Times New Roman"/>
          <w:sz w:val="26"/>
          <w:szCs w:val="26"/>
        </w:rPr>
        <w:t xml:space="preserve"> at 9 (citing </w:t>
      </w:r>
      <w:r w:rsidRPr="00113BA0">
        <w:rPr>
          <w:i/>
          <w:sz w:val="26"/>
          <w:szCs w:val="26"/>
        </w:rPr>
        <w:t xml:space="preserve">Final Default Service Rulemaking </w:t>
      </w:r>
      <w:r w:rsidRPr="00204737">
        <w:rPr>
          <w:i/>
          <w:sz w:val="26"/>
          <w:szCs w:val="26"/>
        </w:rPr>
        <w:t>Order</w:t>
      </w:r>
      <w:r w:rsidRPr="00204737">
        <w:rPr>
          <w:sz w:val="26"/>
          <w:szCs w:val="26"/>
        </w:rPr>
        <w:t xml:space="preserve"> at 39-40).</w:t>
      </w:r>
    </w:p>
    <w:p w:rsidR="00C556E0" w:rsidRPr="00204737" w:rsidRDefault="00C556E0" w:rsidP="00C556E0">
      <w:pPr>
        <w:rPr>
          <w:rFonts w:ascii="Times New Roman" w:eastAsia="Calibri" w:hAnsi="Times New Roman"/>
          <w:sz w:val="26"/>
          <w:szCs w:val="26"/>
        </w:rPr>
      </w:pPr>
    </w:p>
    <w:p w:rsidR="00C556E0" w:rsidRDefault="00C556E0" w:rsidP="00C556E0">
      <w:pPr>
        <w:rPr>
          <w:rFonts w:ascii="Times New Roman" w:eastAsia="Calibri" w:hAnsi="Times New Roman"/>
          <w:sz w:val="26"/>
          <w:szCs w:val="26"/>
        </w:rPr>
      </w:pPr>
      <w:r w:rsidRPr="00204737">
        <w:rPr>
          <w:rFonts w:ascii="Times New Roman" w:eastAsia="Calibri" w:hAnsi="Times New Roman"/>
          <w:sz w:val="26"/>
          <w:szCs w:val="26"/>
        </w:rPr>
        <w:tab/>
      </w:r>
      <w:r w:rsidRPr="00204737">
        <w:rPr>
          <w:rFonts w:ascii="Times New Roman" w:eastAsia="Calibri" w:hAnsi="Times New Roman"/>
          <w:sz w:val="26"/>
          <w:szCs w:val="26"/>
        </w:rPr>
        <w:tab/>
        <w:t xml:space="preserve">In response to </w:t>
      </w:r>
      <w:r w:rsidRPr="00C62EEB">
        <w:rPr>
          <w:rFonts w:ascii="Times New Roman" w:eastAsia="Calibri" w:hAnsi="Times New Roman"/>
          <w:sz w:val="26"/>
          <w:szCs w:val="26"/>
        </w:rPr>
        <w:t>RESA</w:t>
      </w:r>
      <w:r w:rsidR="00803C65">
        <w:rPr>
          <w:rFonts w:ascii="Times New Roman" w:eastAsia="Calibri" w:hAnsi="Times New Roman"/>
          <w:sz w:val="26"/>
          <w:szCs w:val="26"/>
        </w:rPr>
        <w:t>’</w:t>
      </w:r>
      <w:r w:rsidRPr="00C62EEB">
        <w:rPr>
          <w:rFonts w:ascii="Times New Roman" w:eastAsia="Calibri" w:hAnsi="Times New Roman"/>
          <w:sz w:val="26"/>
          <w:szCs w:val="26"/>
        </w:rPr>
        <w:t xml:space="preserve">s argument that the Commission expects EDCs to offer only hourly LMP to medium and large C&amp;I customers after June 1, 2015, as set forth in the </w:t>
      </w:r>
      <w:r w:rsidRPr="00C62EEB">
        <w:rPr>
          <w:rFonts w:ascii="Times New Roman" w:eastAsia="Calibri" w:hAnsi="Times New Roman"/>
          <w:i/>
          <w:sz w:val="26"/>
          <w:szCs w:val="26"/>
        </w:rPr>
        <w:t>End State Order</w:t>
      </w:r>
      <w:r w:rsidRPr="00C62EEB">
        <w:rPr>
          <w:rFonts w:ascii="Times New Roman" w:eastAsia="Calibri" w:hAnsi="Times New Roman"/>
          <w:sz w:val="26"/>
          <w:szCs w:val="26"/>
        </w:rPr>
        <w:t>, the OSBA notes the Commission</w:t>
      </w:r>
      <w:r w:rsidR="00803C65">
        <w:rPr>
          <w:rFonts w:ascii="Times New Roman" w:eastAsia="Calibri" w:hAnsi="Times New Roman"/>
          <w:sz w:val="26"/>
          <w:szCs w:val="26"/>
        </w:rPr>
        <w:t>’</w:t>
      </w:r>
      <w:r w:rsidRPr="00C62EEB">
        <w:rPr>
          <w:rFonts w:ascii="Times New Roman" w:eastAsia="Calibri" w:hAnsi="Times New Roman"/>
          <w:sz w:val="26"/>
          <w:szCs w:val="26"/>
        </w:rPr>
        <w:t>s assertion that it would prefer to p</w:t>
      </w:r>
      <w:r w:rsidR="00922B1D">
        <w:rPr>
          <w:rFonts w:ascii="Times New Roman" w:eastAsia="Calibri" w:hAnsi="Times New Roman"/>
          <w:sz w:val="26"/>
          <w:szCs w:val="26"/>
        </w:rPr>
        <w:t>ursue legislative amendments that</w:t>
      </w:r>
      <w:r w:rsidRPr="00C62EEB">
        <w:rPr>
          <w:rFonts w:ascii="Times New Roman" w:eastAsia="Calibri" w:hAnsi="Times New Roman"/>
          <w:sz w:val="26"/>
          <w:szCs w:val="26"/>
        </w:rPr>
        <w:t xml:space="preserve"> would provide the authority to approve default service plans that would include more market-based products.  OSBA</w:t>
      </w:r>
      <w:r>
        <w:rPr>
          <w:rFonts w:ascii="Times New Roman" w:eastAsia="Calibri" w:hAnsi="Times New Roman"/>
          <w:sz w:val="26"/>
          <w:szCs w:val="26"/>
        </w:rPr>
        <w:t xml:space="preserve"> R. Exc.</w:t>
      </w:r>
      <w:r w:rsidRPr="00C62EEB">
        <w:rPr>
          <w:rFonts w:ascii="Times New Roman" w:eastAsia="Calibri" w:hAnsi="Times New Roman"/>
          <w:sz w:val="26"/>
          <w:szCs w:val="26"/>
        </w:rPr>
        <w:t xml:space="preserve"> at 9-10 (citing </w:t>
      </w:r>
      <w:r w:rsidRPr="00C62EEB">
        <w:rPr>
          <w:rFonts w:ascii="Times New Roman" w:eastAsia="Calibri" w:hAnsi="Times New Roman"/>
          <w:i/>
          <w:sz w:val="26"/>
          <w:szCs w:val="26"/>
        </w:rPr>
        <w:t>End State Order</w:t>
      </w:r>
      <w:r w:rsidRPr="00C62EEB">
        <w:rPr>
          <w:rFonts w:ascii="Times New Roman" w:eastAsia="Calibri" w:hAnsi="Times New Roman"/>
          <w:sz w:val="26"/>
          <w:szCs w:val="26"/>
        </w:rPr>
        <w:t xml:space="preserve"> at 45).  The OSBA contends that no such legislative amendments have been adopted.  </w:t>
      </w:r>
      <w:r w:rsidR="00922B1D">
        <w:rPr>
          <w:rFonts w:ascii="Times New Roman" w:eastAsia="Calibri" w:hAnsi="Times New Roman"/>
          <w:sz w:val="26"/>
          <w:szCs w:val="26"/>
        </w:rPr>
        <w:t>Therefore, the OSBA concludes that,</w:t>
      </w:r>
      <w:r w:rsidRPr="006C6EB6">
        <w:rPr>
          <w:rFonts w:ascii="Times New Roman" w:eastAsia="Calibri" w:hAnsi="Times New Roman"/>
          <w:sz w:val="26"/>
          <w:szCs w:val="26"/>
        </w:rPr>
        <w:t xml:space="preserve"> contrary to RESA</w:t>
      </w:r>
      <w:r w:rsidR="00803C65">
        <w:rPr>
          <w:rFonts w:ascii="Times New Roman" w:eastAsia="Calibri" w:hAnsi="Times New Roman"/>
          <w:sz w:val="26"/>
          <w:szCs w:val="26"/>
        </w:rPr>
        <w:t>’</w:t>
      </w:r>
      <w:r w:rsidRPr="006C6EB6">
        <w:rPr>
          <w:rFonts w:ascii="Times New Roman" w:eastAsia="Calibri" w:hAnsi="Times New Roman"/>
          <w:sz w:val="26"/>
          <w:szCs w:val="26"/>
        </w:rPr>
        <w:t xml:space="preserve">s assertion that the ALJ disregarded the </w:t>
      </w:r>
      <w:r w:rsidRPr="006C6EB6">
        <w:rPr>
          <w:rFonts w:ascii="Times New Roman" w:eastAsia="Calibri" w:hAnsi="Times New Roman"/>
          <w:i/>
          <w:sz w:val="26"/>
          <w:szCs w:val="26"/>
        </w:rPr>
        <w:t>End State Order</w:t>
      </w:r>
      <w:r w:rsidRPr="006C6EB6">
        <w:rPr>
          <w:rFonts w:ascii="Times New Roman" w:eastAsia="Calibri" w:hAnsi="Times New Roman"/>
          <w:sz w:val="26"/>
          <w:szCs w:val="26"/>
        </w:rPr>
        <w:t xml:space="preserve"> in her analysis of PPL</w:t>
      </w:r>
      <w:r w:rsidR="00803C65">
        <w:rPr>
          <w:rFonts w:ascii="Times New Roman" w:eastAsia="Calibri" w:hAnsi="Times New Roman"/>
          <w:sz w:val="26"/>
          <w:szCs w:val="26"/>
        </w:rPr>
        <w:t>’</w:t>
      </w:r>
      <w:r w:rsidRPr="006C6EB6">
        <w:rPr>
          <w:rFonts w:ascii="Times New Roman" w:eastAsia="Calibri" w:hAnsi="Times New Roman"/>
          <w:sz w:val="26"/>
          <w:szCs w:val="26"/>
        </w:rPr>
        <w:t xml:space="preserve">s proposal, the ALJ simply recognized that the </w:t>
      </w:r>
      <w:r w:rsidRPr="006C6EB6">
        <w:rPr>
          <w:rFonts w:ascii="Times New Roman" w:eastAsia="Calibri" w:hAnsi="Times New Roman"/>
          <w:i/>
          <w:sz w:val="26"/>
          <w:szCs w:val="26"/>
        </w:rPr>
        <w:t>End State Order</w:t>
      </w:r>
      <w:r w:rsidRPr="006C6EB6">
        <w:rPr>
          <w:rFonts w:ascii="Times New Roman" w:eastAsia="Calibri" w:hAnsi="Times New Roman"/>
          <w:sz w:val="26"/>
          <w:szCs w:val="26"/>
        </w:rPr>
        <w:t xml:space="preserve"> is not tantamount to a Regulation or Statute.  Reply Exc. at 10 (citing R.D. 45).</w:t>
      </w:r>
    </w:p>
    <w:p w:rsidR="00C556E0" w:rsidRPr="00BC09B7" w:rsidRDefault="00C556E0" w:rsidP="00727F44">
      <w:pPr>
        <w:rPr>
          <w:rFonts w:ascii="Calibri" w:eastAsia="Calibri" w:hAnsi="Calibri"/>
          <w:sz w:val="22"/>
          <w:szCs w:val="22"/>
        </w:rPr>
      </w:pPr>
    </w:p>
    <w:p w:rsidR="00011009" w:rsidRDefault="00011009" w:rsidP="00D26D41">
      <w:pPr>
        <w:rPr>
          <w:rFonts w:ascii="Times New Roman" w:hAnsi="Times New Roman"/>
          <w:b/>
          <w:sz w:val="26"/>
          <w:szCs w:val="26"/>
        </w:rPr>
      </w:pPr>
      <w:r w:rsidRPr="0046551A">
        <w:rPr>
          <w:rFonts w:ascii="Times New Roman" w:hAnsi="Times New Roman"/>
          <w:b/>
          <w:sz w:val="26"/>
          <w:szCs w:val="26"/>
        </w:rPr>
        <w:tab/>
        <w:t>4.</w:t>
      </w:r>
      <w:r w:rsidRPr="0046551A">
        <w:rPr>
          <w:rFonts w:ascii="Times New Roman" w:hAnsi="Times New Roman"/>
          <w:b/>
          <w:sz w:val="26"/>
          <w:szCs w:val="26"/>
        </w:rPr>
        <w:tab/>
        <w:t>Disposition</w:t>
      </w:r>
    </w:p>
    <w:p w:rsidR="008420D0" w:rsidRDefault="008420D0" w:rsidP="00D26D41">
      <w:pPr>
        <w:rPr>
          <w:rFonts w:ascii="Times New Roman" w:hAnsi="Times New Roman"/>
          <w:sz w:val="26"/>
          <w:szCs w:val="26"/>
        </w:rPr>
      </w:pPr>
    </w:p>
    <w:p w:rsidR="00E904DC" w:rsidRPr="0023660E" w:rsidRDefault="00B32233" w:rsidP="00E904DC">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Upon considerati</w:t>
      </w:r>
      <w:r w:rsidR="00EA6CDA">
        <w:rPr>
          <w:rFonts w:ascii="Times New Roman" w:hAnsi="Times New Roman"/>
          <w:sz w:val="26"/>
          <w:szCs w:val="26"/>
        </w:rPr>
        <w:t>on of the Parties</w:t>
      </w:r>
      <w:r w:rsidR="00803C65">
        <w:rPr>
          <w:rFonts w:ascii="Times New Roman" w:hAnsi="Times New Roman"/>
          <w:sz w:val="26"/>
          <w:szCs w:val="26"/>
        </w:rPr>
        <w:t>’</w:t>
      </w:r>
      <w:r w:rsidR="00EA6CDA">
        <w:rPr>
          <w:rFonts w:ascii="Times New Roman" w:hAnsi="Times New Roman"/>
          <w:sz w:val="26"/>
          <w:szCs w:val="26"/>
        </w:rPr>
        <w:t xml:space="preserve"> arguments,</w:t>
      </w:r>
      <w:r>
        <w:rPr>
          <w:rFonts w:ascii="Times New Roman" w:hAnsi="Times New Roman"/>
          <w:sz w:val="26"/>
          <w:szCs w:val="26"/>
        </w:rPr>
        <w:t xml:space="preserve"> the record evidence,</w:t>
      </w:r>
      <w:r w:rsidR="00EA6CDA">
        <w:rPr>
          <w:rFonts w:ascii="Times New Roman" w:hAnsi="Times New Roman"/>
          <w:sz w:val="26"/>
          <w:szCs w:val="26"/>
        </w:rPr>
        <w:t xml:space="preserve"> and applicable law,</w:t>
      </w:r>
      <w:r>
        <w:rPr>
          <w:rFonts w:ascii="Times New Roman" w:hAnsi="Times New Roman"/>
          <w:sz w:val="26"/>
          <w:szCs w:val="26"/>
        </w:rPr>
        <w:t xml:space="preserve"> we will </w:t>
      </w:r>
      <w:r w:rsidR="007447B1">
        <w:rPr>
          <w:rFonts w:ascii="Times New Roman" w:hAnsi="Times New Roman"/>
          <w:sz w:val="26"/>
          <w:szCs w:val="26"/>
        </w:rPr>
        <w:t>reverse the ALJ</w:t>
      </w:r>
      <w:r w:rsidR="00803C65">
        <w:rPr>
          <w:rFonts w:ascii="Times New Roman" w:hAnsi="Times New Roman"/>
          <w:sz w:val="26"/>
          <w:szCs w:val="26"/>
        </w:rPr>
        <w:t>’</w:t>
      </w:r>
      <w:r w:rsidR="007447B1">
        <w:rPr>
          <w:rFonts w:ascii="Times New Roman" w:hAnsi="Times New Roman"/>
          <w:sz w:val="26"/>
          <w:szCs w:val="26"/>
        </w:rPr>
        <w:t>s recommendation on this issue and adopt PPL</w:t>
      </w:r>
      <w:r w:rsidR="00803C65">
        <w:rPr>
          <w:rFonts w:ascii="Times New Roman" w:hAnsi="Times New Roman"/>
          <w:sz w:val="26"/>
          <w:szCs w:val="26"/>
        </w:rPr>
        <w:t>’</w:t>
      </w:r>
      <w:r w:rsidR="007447B1">
        <w:rPr>
          <w:rFonts w:ascii="Times New Roman" w:hAnsi="Times New Roman"/>
          <w:sz w:val="26"/>
          <w:szCs w:val="26"/>
        </w:rPr>
        <w:t>s proposal.  We do not agree with the ALJ that</w:t>
      </w:r>
      <w:r w:rsidR="009149CD">
        <w:rPr>
          <w:rFonts w:ascii="Times New Roman" w:hAnsi="Times New Roman"/>
          <w:sz w:val="26"/>
          <w:szCs w:val="26"/>
        </w:rPr>
        <w:t xml:space="preserve"> a downward adjustment </w:t>
      </w:r>
      <w:r w:rsidR="0005452E">
        <w:rPr>
          <w:rFonts w:ascii="Times New Roman" w:hAnsi="Times New Roman"/>
          <w:sz w:val="26"/>
          <w:szCs w:val="26"/>
        </w:rPr>
        <w:t>to</w:t>
      </w:r>
      <w:r w:rsidR="009149CD">
        <w:rPr>
          <w:rFonts w:ascii="Times New Roman" w:hAnsi="Times New Roman"/>
          <w:sz w:val="26"/>
          <w:szCs w:val="26"/>
        </w:rPr>
        <w:t xml:space="preserve"> the peak demand threshold from 500 kW to 100 kW for the Large C&amp;I customer class is contrary to the Competition Act.</w:t>
      </w:r>
      <w:r w:rsidR="0005452E">
        <w:rPr>
          <w:rFonts w:ascii="Times New Roman" w:hAnsi="Times New Roman"/>
          <w:sz w:val="26"/>
          <w:szCs w:val="26"/>
        </w:rPr>
        <w:t xml:space="preserve">  We find nothing in the Competition Act tha</w:t>
      </w:r>
      <w:r w:rsidR="00347314">
        <w:rPr>
          <w:rFonts w:ascii="Times New Roman" w:hAnsi="Times New Roman"/>
          <w:sz w:val="26"/>
          <w:szCs w:val="26"/>
        </w:rPr>
        <w:t xml:space="preserve">t </w:t>
      </w:r>
      <w:r w:rsidR="0005452E">
        <w:rPr>
          <w:rFonts w:ascii="Times New Roman" w:hAnsi="Times New Roman"/>
          <w:sz w:val="26"/>
          <w:szCs w:val="26"/>
        </w:rPr>
        <w:t>preclude</w:t>
      </w:r>
      <w:r w:rsidR="00347314">
        <w:rPr>
          <w:rFonts w:ascii="Times New Roman" w:hAnsi="Times New Roman"/>
          <w:sz w:val="26"/>
          <w:szCs w:val="26"/>
        </w:rPr>
        <w:t>s</w:t>
      </w:r>
      <w:r w:rsidR="0005452E">
        <w:rPr>
          <w:rFonts w:ascii="Times New Roman" w:hAnsi="Times New Roman"/>
          <w:sz w:val="26"/>
          <w:szCs w:val="26"/>
        </w:rPr>
        <w:t xml:space="preserve"> us from approving a proposal that would result in some 430 additional C&amp;I customers receiving hourly-priced default service supply.</w:t>
      </w:r>
      <w:r w:rsidR="00347314">
        <w:rPr>
          <w:rFonts w:ascii="Times New Roman" w:hAnsi="Times New Roman"/>
          <w:sz w:val="26"/>
          <w:szCs w:val="26"/>
        </w:rPr>
        <w:t xml:space="preserve">  Indeed, we find the proposal to be consistent with </w:t>
      </w:r>
      <w:r w:rsidR="00347314">
        <w:rPr>
          <w:rFonts w:ascii="Times New Roman" w:hAnsi="Times New Roman"/>
          <w:sz w:val="26"/>
          <w:szCs w:val="26"/>
        </w:rPr>
        <w:lastRenderedPageBreak/>
        <w:t xml:space="preserve">the </w:t>
      </w:r>
      <w:r w:rsidR="00942C30">
        <w:rPr>
          <w:rFonts w:ascii="Times New Roman" w:hAnsi="Times New Roman"/>
          <w:sz w:val="26"/>
          <w:szCs w:val="26"/>
        </w:rPr>
        <w:t>Competition Act</w:t>
      </w:r>
      <w:r w:rsidR="00803C65">
        <w:rPr>
          <w:rFonts w:ascii="Times New Roman" w:hAnsi="Times New Roman"/>
          <w:sz w:val="26"/>
          <w:szCs w:val="26"/>
        </w:rPr>
        <w:t>’</w:t>
      </w:r>
      <w:r w:rsidR="00942C30">
        <w:rPr>
          <w:rFonts w:ascii="Times New Roman" w:hAnsi="Times New Roman"/>
          <w:sz w:val="26"/>
          <w:szCs w:val="26"/>
        </w:rPr>
        <w:t>s goal</w:t>
      </w:r>
      <w:r w:rsidR="00CD0FE8">
        <w:rPr>
          <w:rFonts w:ascii="Times New Roman" w:hAnsi="Times New Roman"/>
          <w:sz w:val="26"/>
          <w:szCs w:val="26"/>
        </w:rPr>
        <w:t xml:space="preserve">s of promoting a competitive marketplace for electricity, and ensuring </w:t>
      </w:r>
      <w:r w:rsidR="00E904DC">
        <w:rPr>
          <w:rFonts w:ascii="Times New Roman" w:hAnsi="Times New Roman"/>
          <w:sz w:val="26"/>
          <w:szCs w:val="26"/>
        </w:rPr>
        <w:t xml:space="preserve">that customers receive adequate and reliable service at the least cost over time.  </w:t>
      </w:r>
      <w:r w:rsidR="00E904DC" w:rsidRPr="00E904DC">
        <w:rPr>
          <w:rFonts w:ascii="Times New Roman" w:hAnsi="Times New Roman"/>
          <w:i/>
          <w:sz w:val="26"/>
          <w:szCs w:val="26"/>
        </w:rPr>
        <w:t>See</w:t>
      </w:r>
      <w:r w:rsidR="00FB27B3">
        <w:rPr>
          <w:rFonts w:ascii="Times New Roman" w:hAnsi="Times New Roman"/>
          <w:i/>
          <w:sz w:val="26"/>
          <w:szCs w:val="26"/>
        </w:rPr>
        <w:t>,</w:t>
      </w:r>
      <w:r w:rsidR="00E904DC">
        <w:rPr>
          <w:rFonts w:ascii="Times New Roman" w:hAnsi="Times New Roman"/>
          <w:sz w:val="26"/>
          <w:szCs w:val="26"/>
        </w:rPr>
        <w:t xml:space="preserve"> 66 Pa. C.S. §§ 2802(7) and </w:t>
      </w:r>
      <w:r w:rsidR="00E904DC" w:rsidRPr="00387868">
        <w:rPr>
          <w:sz w:val="26"/>
          <w:szCs w:val="26"/>
        </w:rPr>
        <w:t>2807(e)(3.4)</w:t>
      </w:r>
      <w:r w:rsidR="00E904DC">
        <w:rPr>
          <w:sz w:val="26"/>
          <w:szCs w:val="26"/>
        </w:rPr>
        <w:t xml:space="preserve">.  As we stated in the </w:t>
      </w:r>
      <w:r w:rsidR="00E904DC" w:rsidRPr="00E904DC">
        <w:rPr>
          <w:i/>
          <w:sz w:val="26"/>
          <w:szCs w:val="26"/>
        </w:rPr>
        <w:t>End State Order</w:t>
      </w:r>
      <w:r w:rsidR="00E904DC">
        <w:rPr>
          <w:sz w:val="26"/>
          <w:szCs w:val="26"/>
        </w:rPr>
        <w:t xml:space="preserve">, </w:t>
      </w:r>
      <w:r w:rsidR="00803C65">
        <w:rPr>
          <w:sz w:val="26"/>
          <w:szCs w:val="26"/>
        </w:rPr>
        <w:t>“</w:t>
      </w:r>
      <w:r w:rsidR="00E904DC">
        <w:rPr>
          <w:rFonts w:ascii="Times New Roman" w:hAnsi="Times New Roman"/>
          <w:sz w:val="26"/>
          <w:szCs w:val="26"/>
        </w:rPr>
        <w:t>[s]</w:t>
      </w:r>
      <w:r w:rsidR="00E904DC" w:rsidRPr="0023660E">
        <w:rPr>
          <w:rFonts w:ascii="Times New Roman" w:hAnsi="Times New Roman"/>
          <w:sz w:val="26"/>
          <w:szCs w:val="26"/>
        </w:rPr>
        <w:t>pot mar</w:t>
      </w:r>
      <w:r w:rsidR="00E904DC">
        <w:rPr>
          <w:rFonts w:ascii="Times New Roman" w:hAnsi="Times New Roman"/>
          <w:sz w:val="26"/>
          <w:szCs w:val="26"/>
        </w:rPr>
        <w:t xml:space="preserve">ket prices tend to produce the </w:t>
      </w:r>
      <w:r w:rsidR="00803C65">
        <w:rPr>
          <w:rFonts w:ascii="Times New Roman" w:hAnsi="Times New Roman"/>
          <w:sz w:val="26"/>
          <w:szCs w:val="26"/>
        </w:rPr>
        <w:t>‘</w:t>
      </w:r>
      <w:r w:rsidR="00E904DC" w:rsidRPr="0023660E">
        <w:rPr>
          <w:rFonts w:ascii="Times New Roman" w:hAnsi="Times New Roman"/>
          <w:sz w:val="26"/>
          <w:szCs w:val="26"/>
        </w:rPr>
        <w:t>le</w:t>
      </w:r>
      <w:r w:rsidR="00E904DC">
        <w:rPr>
          <w:rFonts w:ascii="Times New Roman" w:hAnsi="Times New Roman"/>
          <w:sz w:val="26"/>
          <w:szCs w:val="26"/>
        </w:rPr>
        <w:t>ast cost to consumers over time</w:t>
      </w:r>
      <w:r w:rsidR="00803C65">
        <w:rPr>
          <w:rFonts w:ascii="Times New Roman" w:hAnsi="Times New Roman"/>
          <w:sz w:val="26"/>
          <w:szCs w:val="26"/>
        </w:rPr>
        <w:t>’</w:t>
      </w:r>
      <w:r w:rsidR="00E904DC" w:rsidRPr="0023660E">
        <w:rPr>
          <w:rFonts w:ascii="Times New Roman" w:hAnsi="Times New Roman"/>
          <w:sz w:val="26"/>
          <w:szCs w:val="26"/>
        </w:rPr>
        <w:t xml:space="preserve"> because lower risk premiums are included in spot-market-priced contracts due to the reduced uncertainty of recovery for wholesalers of costs related to generation and transmission services.</w:t>
      </w:r>
      <w:r w:rsidR="00803C65">
        <w:rPr>
          <w:rFonts w:ascii="Times New Roman" w:hAnsi="Times New Roman"/>
          <w:sz w:val="26"/>
          <w:szCs w:val="26"/>
        </w:rPr>
        <w:t>”</w:t>
      </w:r>
      <w:r w:rsidR="00E904DC">
        <w:rPr>
          <w:rFonts w:ascii="Times New Roman" w:hAnsi="Times New Roman"/>
          <w:sz w:val="26"/>
          <w:szCs w:val="26"/>
        </w:rPr>
        <w:t xml:space="preserve">  </w:t>
      </w:r>
      <w:r w:rsidR="00E904DC" w:rsidRPr="00C3131F">
        <w:rPr>
          <w:rFonts w:ascii="Times New Roman" w:hAnsi="Times New Roman"/>
          <w:i/>
          <w:sz w:val="26"/>
          <w:szCs w:val="26"/>
        </w:rPr>
        <w:t>End State Order</w:t>
      </w:r>
      <w:r w:rsidR="00E904DC">
        <w:rPr>
          <w:rFonts w:ascii="Times New Roman" w:hAnsi="Times New Roman"/>
          <w:sz w:val="26"/>
          <w:szCs w:val="26"/>
        </w:rPr>
        <w:t xml:space="preserve"> at 15</w:t>
      </w:r>
      <w:r w:rsidR="003626E6">
        <w:rPr>
          <w:rFonts w:ascii="Times New Roman" w:hAnsi="Times New Roman"/>
          <w:sz w:val="26"/>
          <w:szCs w:val="26"/>
        </w:rPr>
        <w:t>.</w:t>
      </w:r>
    </w:p>
    <w:p w:rsidR="00CD0FE8" w:rsidRDefault="00CD0FE8" w:rsidP="00A1610D">
      <w:pPr>
        <w:rPr>
          <w:rFonts w:ascii="Times New Roman" w:hAnsi="Times New Roman"/>
          <w:sz w:val="26"/>
          <w:szCs w:val="26"/>
        </w:rPr>
      </w:pPr>
    </w:p>
    <w:p w:rsidR="00FB27B3" w:rsidRDefault="00FB27B3" w:rsidP="00FB27B3">
      <w:pPr>
        <w:pStyle w:val="OutlineL2"/>
        <w:numPr>
          <w:ilvl w:val="0"/>
          <w:numId w:val="0"/>
        </w:numPr>
        <w:tabs>
          <w:tab w:val="left" w:pos="0"/>
        </w:tabs>
        <w:spacing w:after="0" w:line="360" w:lineRule="auto"/>
        <w:rPr>
          <w:sz w:val="26"/>
          <w:szCs w:val="26"/>
        </w:rPr>
      </w:pPr>
      <w:r>
        <w:rPr>
          <w:sz w:val="26"/>
          <w:szCs w:val="26"/>
        </w:rPr>
        <w:tab/>
      </w:r>
      <w:r>
        <w:rPr>
          <w:sz w:val="26"/>
          <w:szCs w:val="26"/>
        </w:rPr>
        <w:tab/>
        <w:t xml:space="preserve">In addition, </w:t>
      </w:r>
      <w:r w:rsidR="00D13373">
        <w:rPr>
          <w:sz w:val="26"/>
          <w:szCs w:val="26"/>
        </w:rPr>
        <w:t xml:space="preserve">in the </w:t>
      </w:r>
      <w:r w:rsidR="00D13373" w:rsidRPr="004E7932">
        <w:rPr>
          <w:i/>
          <w:sz w:val="26"/>
          <w:szCs w:val="26"/>
        </w:rPr>
        <w:t>End State Order</w:t>
      </w:r>
      <w:r w:rsidR="00D13373" w:rsidRPr="004E7932">
        <w:rPr>
          <w:sz w:val="26"/>
          <w:szCs w:val="26"/>
        </w:rPr>
        <w:t>, we expressed our support for the threshold of 100 kW for purposes of determining medium and large C&amp;I customers, but stated our expectation that EDCs</w:t>
      </w:r>
      <w:r w:rsidR="00FD79F0" w:rsidRPr="004E7932">
        <w:rPr>
          <w:sz w:val="26"/>
          <w:szCs w:val="26"/>
        </w:rPr>
        <w:t xml:space="preserve"> would</w:t>
      </w:r>
      <w:r w:rsidR="00D13373" w:rsidRPr="004E7932">
        <w:rPr>
          <w:sz w:val="26"/>
          <w:szCs w:val="26"/>
        </w:rPr>
        <w:t xml:space="preserve"> </w:t>
      </w:r>
      <w:r w:rsidR="00803C65">
        <w:rPr>
          <w:sz w:val="26"/>
          <w:szCs w:val="26"/>
        </w:rPr>
        <w:t>“</w:t>
      </w:r>
      <w:r w:rsidR="00D13373" w:rsidRPr="004E7932">
        <w:rPr>
          <w:sz w:val="26"/>
          <w:szCs w:val="26"/>
        </w:rPr>
        <w:t>offer hourly LMP products only to the customers above that demand level who have interval meters.</w:t>
      </w:r>
      <w:r w:rsidR="00803C65">
        <w:rPr>
          <w:sz w:val="26"/>
          <w:szCs w:val="26"/>
        </w:rPr>
        <w:t>”</w:t>
      </w:r>
      <w:r w:rsidR="00D13373" w:rsidRPr="004E7932">
        <w:rPr>
          <w:sz w:val="26"/>
          <w:szCs w:val="26"/>
        </w:rPr>
        <w:t xml:space="preserve">  </w:t>
      </w:r>
      <w:r w:rsidR="00D13373" w:rsidRPr="004E7932">
        <w:rPr>
          <w:i/>
          <w:sz w:val="26"/>
          <w:szCs w:val="26"/>
        </w:rPr>
        <w:t>End State Order</w:t>
      </w:r>
      <w:r w:rsidR="00D13373" w:rsidRPr="004E7932">
        <w:rPr>
          <w:sz w:val="26"/>
          <w:szCs w:val="26"/>
        </w:rPr>
        <w:t xml:space="preserve"> at 31.  In this case, </w:t>
      </w:r>
      <w:r w:rsidRPr="004E7932">
        <w:rPr>
          <w:sz w:val="26"/>
          <w:szCs w:val="26"/>
        </w:rPr>
        <w:t>PP</w:t>
      </w:r>
      <w:r w:rsidR="00D13373" w:rsidRPr="004E7932">
        <w:rPr>
          <w:sz w:val="26"/>
          <w:szCs w:val="26"/>
        </w:rPr>
        <w:t xml:space="preserve">L indicated that all of the </w:t>
      </w:r>
      <w:r w:rsidRPr="004E7932">
        <w:rPr>
          <w:sz w:val="26"/>
          <w:szCs w:val="26"/>
        </w:rPr>
        <w:t>customers affected by its proposal</w:t>
      </w:r>
      <w:r w:rsidR="00D13373" w:rsidRPr="004E7932">
        <w:rPr>
          <w:sz w:val="26"/>
          <w:szCs w:val="26"/>
        </w:rPr>
        <w:t xml:space="preserve"> to lower the demand threshold to 100 kW for the Large C&amp;I class</w:t>
      </w:r>
      <w:r w:rsidRPr="004E7932">
        <w:rPr>
          <w:sz w:val="26"/>
          <w:szCs w:val="26"/>
        </w:rPr>
        <w:t xml:space="preserve"> are e</w:t>
      </w:r>
      <w:r w:rsidR="00D13373" w:rsidRPr="004E7932">
        <w:rPr>
          <w:sz w:val="26"/>
          <w:szCs w:val="26"/>
        </w:rPr>
        <w:t xml:space="preserve">quipped with demand meters.  Furthermore, PPL stated that </w:t>
      </w:r>
      <w:r w:rsidRPr="004E7932">
        <w:rPr>
          <w:sz w:val="26"/>
          <w:szCs w:val="26"/>
        </w:rPr>
        <w:t xml:space="preserve">88% of these customers are currently shopping.  PPL M.B. at 14.  Thus, we agree with the Company that these customers </w:t>
      </w:r>
      <w:r w:rsidR="00803C65">
        <w:rPr>
          <w:sz w:val="26"/>
          <w:szCs w:val="26"/>
        </w:rPr>
        <w:t>“</w:t>
      </w:r>
      <w:r w:rsidRPr="004E7932">
        <w:rPr>
          <w:sz w:val="26"/>
          <w:szCs w:val="26"/>
        </w:rPr>
        <w:t>are well-equipped and educated to manage their commodity costs in</w:t>
      </w:r>
      <w:r>
        <w:rPr>
          <w:sz w:val="26"/>
          <w:szCs w:val="26"/>
        </w:rPr>
        <w:t xml:space="preserve"> an hourly spot market default service environment.</w:t>
      </w:r>
      <w:r w:rsidR="00803C65">
        <w:rPr>
          <w:sz w:val="26"/>
          <w:szCs w:val="26"/>
        </w:rPr>
        <w:t>”</w:t>
      </w:r>
      <w:r>
        <w:rPr>
          <w:sz w:val="26"/>
          <w:szCs w:val="26"/>
        </w:rPr>
        <w:t xml:space="preserve">  </w:t>
      </w:r>
      <w:r w:rsidRPr="00FB27B3">
        <w:rPr>
          <w:i/>
          <w:sz w:val="26"/>
          <w:szCs w:val="26"/>
        </w:rPr>
        <w:t>Id</w:t>
      </w:r>
      <w:r>
        <w:rPr>
          <w:sz w:val="26"/>
          <w:szCs w:val="26"/>
        </w:rPr>
        <w:t xml:space="preserve">.; </w:t>
      </w:r>
      <w:r w:rsidRPr="00FB27B3">
        <w:rPr>
          <w:i/>
          <w:sz w:val="26"/>
          <w:szCs w:val="26"/>
        </w:rPr>
        <w:t>See also</w:t>
      </w:r>
      <w:r>
        <w:rPr>
          <w:i/>
          <w:sz w:val="26"/>
          <w:szCs w:val="26"/>
        </w:rPr>
        <w:t>,</w:t>
      </w:r>
      <w:r w:rsidRPr="00FB27B3">
        <w:rPr>
          <w:i/>
          <w:sz w:val="26"/>
          <w:szCs w:val="26"/>
        </w:rPr>
        <w:t xml:space="preserve"> End State Order</w:t>
      </w:r>
      <w:r>
        <w:rPr>
          <w:sz w:val="26"/>
          <w:szCs w:val="26"/>
        </w:rPr>
        <w:t xml:space="preserve"> at 29.  </w:t>
      </w:r>
      <w:r w:rsidR="00235605">
        <w:rPr>
          <w:sz w:val="26"/>
          <w:szCs w:val="26"/>
        </w:rPr>
        <w:t>As for the OSBA</w:t>
      </w:r>
      <w:r w:rsidR="00803C65">
        <w:rPr>
          <w:sz w:val="26"/>
          <w:szCs w:val="26"/>
        </w:rPr>
        <w:t>’</w:t>
      </w:r>
      <w:r w:rsidR="00235605">
        <w:rPr>
          <w:sz w:val="26"/>
          <w:szCs w:val="26"/>
        </w:rPr>
        <w:t>s concern that customers affected by PPL</w:t>
      </w:r>
      <w:r w:rsidR="00803C65">
        <w:rPr>
          <w:sz w:val="26"/>
          <w:szCs w:val="26"/>
        </w:rPr>
        <w:t>’</w:t>
      </w:r>
      <w:r w:rsidR="00235605">
        <w:rPr>
          <w:sz w:val="26"/>
          <w:szCs w:val="26"/>
        </w:rPr>
        <w:t xml:space="preserve">s proposal will be deprived of fixed-price service that may provide greater price stability, we </w:t>
      </w:r>
      <w:r w:rsidR="00E372FA">
        <w:rPr>
          <w:sz w:val="26"/>
          <w:szCs w:val="26"/>
        </w:rPr>
        <w:t>believe that C&amp;I customers</w:t>
      </w:r>
      <w:r w:rsidR="00803C65">
        <w:rPr>
          <w:sz w:val="26"/>
          <w:szCs w:val="26"/>
        </w:rPr>
        <w:t>’</w:t>
      </w:r>
      <w:r w:rsidR="00E372FA">
        <w:rPr>
          <w:sz w:val="26"/>
          <w:szCs w:val="26"/>
        </w:rPr>
        <w:t xml:space="preserve"> desire for fixed-price products can be adequately addressed though the competitive offerings of EGSs</w:t>
      </w:r>
      <w:r w:rsidR="00EA6CDA">
        <w:rPr>
          <w:sz w:val="26"/>
          <w:szCs w:val="26"/>
        </w:rPr>
        <w:t>.</w:t>
      </w:r>
    </w:p>
    <w:p w:rsidR="008D4283" w:rsidRDefault="008D4283" w:rsidP="00D26D41">
      <w:pPr>
        <w:rPr>
          <w:rFonts w:ascii="Times New Roman" w:hAnsi="Times New Roman"/>
          <w:sz w:val="26"/>
          <w:szCs w:val="26"/>
        </w:rPr>
      </w:pPr>
    </w:p>
    <w:p w:rsidR="003B31D9" w:rsidRDefault="00F744E3"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 ALJ </w:t>
      </w:r>
      <w:r w:rsidR="00684E76">
        <w:rPr>
          <w:rFonts w:ascii="Times New Roman" w:hAnsi="Times New Roman"/>
          <w:sz w:val="26"/>
          <w:szCs w:val="26"/>
        </w:rPr>
        <w:t>appears to believe that a single, hourly-priced</w:t>
      </w:r>
      <w:r w:rsidR="00FD79F0">
        <w:rPr>
          <w:rFonts w:ascii="Times New Roman" w:hAnsi="Times New Roman"/>
          <w:sz w:val="26"/>
          <w:szCs w:val="26"/>
        </w:rPr>
        <w:t xml:space="preserve"> spot market</w:t>
      </w:r>
      <w:r w:rsidR="00684E76">
        <w:rPr>
          <w:rFonts w:ascii="Times New Roman" w:hAnsi="Times New Roman"/>
          <w:sz w:val="26"/>
          <w:szCs w:val="26"/>
        </w:rPr>
        <w:t xml:space="preserve"> product for the C&amp;I customers affected by PPL</w:t>
      </w:r>
      <w:r w:rsidR="00803C65">
        <w:rPr>
          <w:rFonts w:ascii="Times New Roman" w:hAnsi="Times New Roman"/>
          <w:sz w:val="26"/>
          <w:szCs w:val="26"/>
        </w:rPr>
        <w:t>’</w:t>
      </w:r>
      <w:r w:rsidR="00684E76">
        <w:rPr>
          <w:rFonts w:ascii="Times New Roman" w:hAnsi="Times New Roman"/>
          <w:sz w:val="26"/>
          <w:szCs w:val="26"/>
        </w:rPr>
        <w:t xml:space="preserve">s proposal does not meet the </w:t>
      </w:r>
      <w:r w:rsidR="00803C65">
        <w:rPr>
          <w:rFonts w:ascii="Times New Roman" w:hAnsi="Times New Roman"/>
          <w:sz w:val="26"/>
          <w:szCs w:val="26"/>
        </w:rPr>
        <w:t>“</w:t>
      </w:r>
      <w:r w:rsidR="00684E76">
        <w:rPr>
          <w:rFonts w:ascii="Times New Roman" w:hAnsi="Times New Roman"/>
          <w:sz w:val="26"/>
          <w:szCs w:val="26"/>
        </w:rPr>
        <w:t>prudent mix</w:t>
      </w:r>
      <w:r w:rsidR="00803C65">
        <w:rPr>
          <w:rFonts w:ascii="Times New Roman" w:hAnsi="Times New Roman"/>
          <w:sz w:val="26"/>
          <w:szCs w:val="26"/>
        </w:rPr>
        <w:t>”</w:t>
      </w:r>
      <w:r w:rsidR="00684E76">
        <w:rPr>
          <w:rFonts w:ascii="Times New Roman" w:hAnsi="Times New Roman"/>
          <w:sz w:val="26"/>
          <w:szCs w:val="26"/>
        </w:rPr>
        <w:t xml:space="preserve"> standard of the Competition Act.  However</w:t>
      </w:r>
      <w:r w:rsidR="00B306F4">
        <w:rPr>
          <w:rFonts w:ascii="Times New Roman" w:hAnsi="Times New Roman"/>
          <w:sz w:val="26"/>
          <w:szCs w:val="26"/>
        </w:rPr>
        <w:t>, we agree with PPL that</w:t>
      </w:r>
      <w:r w:rsidR="00EC18D0">
        <w:rPr>
          <w:rFonts w:ascii="Times New Roman" w:hAnsi="Times New Roman"/>
          <w:sz w:val="26"/>
          <w:szCs w:val="26"/>
        </w:rPr>
        <w:t xml:space="preserve"> the Competition Act </w:t>
      </w:r>
      <w:r w:rsidR="00684E76">
        <w:rPr>
          <w:rFonts w:ascii="Times New Roman" w:hAnsi="Times New Roman"/>
          <w:sz w:val="26"/>
          <w:szCs w:val="26"/>
        </w:rPr>
        <w:t>does not require that multiple products</w:t>
      </w:r>
      <w:r w:rsidR="00251C6C">
        <w:rPr>
          <w:rFonts w:ascii="Times New Roman" w:hAnsi="Times New Roman"/>
          <w:sz w:val="26"/>
          <w:szCs w:val="26"/>
        </w:rPr>
        <w:t xml:space="preserve"> necessarily</w:t>
      </w:r>
      <w:r w:rsidR="00684E76">
        <w:rPr>
          <w:rFonts w:ascii="Times New Roman" w:hAnsi="Times New Roman"/>
          <w:sz w:val="26"/>
          <w:szCs w:val="26"/>
        </w:rPr>
        <w:t xml:space="preserve"> be procured for each customer class of a default service provider, but rather, requires that </w:t>
      </w:r>
      <w:r w:rsidR="003B1F03">
        <w:rPr>
          <w:rFonts w:ascii="Times New Roman" w:hAnsi="Times New Roman"/>
          <w:sz w:val="26"/>
          <w:szCs w:val="26"/>
        </w:rPr>
        <w:t xml:space="preserve">a default service plan </w:t>
      </w:r>
      <w:r w:rsidR="003B1F03" w:rsidRPr="00CE1C6F">
        <w:rPr>
          <w:rFonts w:ascii="Times New Roman" w:hAnsi="Times New Roman"/>
          <w:sz w:val="26"/>
          <w:szCs w:val="26"/>
        </w:rPr>
        <w:t>as a whole include a prudent mix of spot market purchases, short-term products, and long-term purchase contracts</w:t>
      </w:r>
      <w:r w:rsidR="00EC18D0">
        <w:rPr>
          <w:rFonts w:ascii="Times New Roman" w:hAnsi="Times New Roman"/>
          <w:sz w:val="26"/>
          <w:szCs w:val="26"/>
        </w:rPr>
        <w:t xml:space="preserve"> as necessary to ensure adequate and reliable service to customers at </w:t>
      </w:r>
      <w:r w:rsidR="00EC18D0">
        <w:rPr>
          <w:rFonts w:ascii="Times New Roman" w:hAnsi="Times New Roman"/>
          <w:sz w:val="26"/>
          <w:szCs w:val="26"/>
        </w:rPr>
        <w:lastRenderedPageBreak/>
        <w:t>the least cost over time</w:t>
      </w:r>
      <w:r w:rsidR="00CE1C6F" w:rsidRPr="00CE1C6F">
        <w:rPr>
          <w:rFonts w:ascii="Times New Roman" w:hAnsi="Times New Roman"/>
          <w:sz w:val="26"/>
          <w:szCs w:val="26"/>
        </w:rPr>
        <w:t xml:space="preserve">.  </w:t>
      </w:r>
      <w:r w:rsidR="00197AAE" w:rsidRPr="00197AAE">
        <w:rPr>
          <w:rFonts w:ascii="Times New Roman" w:hAnsi="Times New Roman"/>
          <w:i/>
          <w:sz w:val="26"/>
          <w:szCs w:val="26"/>
        </w:rPr>
        <w:t>See</w:t>
      </w:r>
      <w:r w:rsidR="00197AAE">
        <w:rPr>
          <w:rFonts w:ascii="Times New Roman" w:hAnsi="Times New Roman"/>
          <w:sz w:val="26"/>
          <w:szCs w:val="26"/>
        </w:rPr>
        <w:t xml:space="preserve">, </w:t>
      </w:r>
      <w:r w:rsidR="00251C6C">
        <w:rPr>
          <w:rFonts w:ascii="Times New Roman" w:hAnsi="Times New Roman"/>
          <w:sz w:val="26"/>
          <w:szCs w:val="26"/>
        </w:rPr>
        <w:t xml:space="preserve">66 Pa. C.S. §§ 2802(e)(3.2) and </w:t>
      </w:r>
      <w:r w:rsidR="00251C6C" w:rsidRPr="00387868">
        <w:rPr>
          <w:sz w:val="26"/>
          <w:szCs w:val="26"/>
        </w:rPr>
        <w:t>2807(e)(3.4)</w:t>
      </w:r>
      <w:r w:rsidR="00251C6C">
        <w:rPr>
          <w:sz w:val="26"/>
          <w:szCs w:val="26"/>
        </w:rPr>
        <w:t>.</w:t>
      </w:r>
      <w:r w:rsidR="00C20D76">
        <w:rPr>
          <w:rFonts w:ascii="Times New Roman" w:hAnsi="Times New Roman"/>
          <w:sz w:val="26"/>
          <w:szCs w:val="26"/>
        </w:rPr>
        <w:t xml:space="preserve">  In addition, a</w:t>
      </w:r>
      <w:r w:rsidR="003B1F03" w:rsidRPr="00CE1C6F">
        <w:rPr>
          <w:rFonts w:ascii="Times New Roman" w:hAnsi="Times New Roman"/>
          <w:sz w:val="26"/>
          <w:szCs w:val="26"/>
        </w:rPr>
        <w:t xml:space="preserve">s PPL points out, the </w:t>
      </w:r>
      <w:r w:rsidR="00684E76" w:rsidRPr="00CE1C6F">
        <w:rPr>
          <w:rFonts w:ascii="Times New Roman" w:hAnsi="Times New Roman"/>
          <w:sz w:val="26"/>
          <w:szCs w:val="26"/>
        </w:rPr>
        <w:t xml:space="preserve">Commonwealth Court recently upheld </w:t>
      </w:r>
      <w:r w:rsidR="003B1F03" w:rsidRPr="00CE1C6F">
        <w:rPr>
          <w:rFonts w:ascii="Times New Roman" w:hAnsi="Times New Roman"/>
          <w:sz w:val="26"/>
          <w:szCs w:val="26"/>
        </w:rPr>
        <w:t>the Commission</w:t>
      </w:r>
      <w:r w:rsidR="00803C65">
        <w:rPr>
          <w:rFonts w:ascii="Times New Roman" w:hAnsi="Times New Roman"/>
          <w:sz w:val="26"/>
          <w:szCs w:val="26"/>
        </w:rPr>
        <w:t>’</w:t>
      </w:r>
      <w:r w:rsidR="003B1F03" w:rsidRPr="00CE1C6F">
        <w:rPr>
          <w:rFonts w:ascii="Times New Roman" w:hAnsi="Times New Roman"/>
          <w:sz w:val="26"/>
          <w:szCs w:val="26"/>
        </w:rPr>
        <w:t>s approval of a default service plan for Pike County that</w:t>
      </w:r>
      <w:r w:rsidR="003B1F03">
        <w:rPr>
          <w:rFonts w:ascii="Times New Roman" w:hAnsi="Times New Roman"/>
          <w:sz w:val="26"/>
          <w:szCs w:val="26"/>
        </w:rPr>
        <w:t xml:space="preserve"> included only spot market purchases, finding that the Commission properly determined that a </w:t>
      </w:r>
      <w:r w:rsidR="00803C65">
        <w:rPr>
          <w:rFonts w:ascii="Times New Roman" w:hAnsi="Times New Roman"/>
          <w:sz w:val="26"/>
          <w:szCs w:val="26"/>
        </w:rPr>
        <w:t>“</w:t>
      </w:r>
      <w:r w:rsidR="003B1F03">
        <w:rPr>
          <w:rFonts w:ascii="Times New Roman" w:hAnsi="Times New Roman"/>
          <w:sz w:val="26"/>
          <w:szCs w:val="26"/>
        </w:rPr>
        <w:t>prudent mix</w:t>
      </w:r>
      <w:r w:rsidR="00803C65">
        <w:rPr>
          <w:rFonts w:ascii="Times New Roman" w:hAnsi="Times New Roman"/>
          <w:sz w:val="26"/>
          <w:szCs w:val="26"/>
        </w:rPr>
        <w:t>”</w:t>
      </w:r>
      <w:r w:rsidR="003B1F03">
        <w:rPr>
          <w:rFonts w:ascii="Times New Roman" w:hAnsi="Times New Roman"/>
          <w:sz w:val="26"/>
          <w:szCs w:val="26"/>
        </w:rPr>
        <w:t xml:space="preserve"> of </w:t>
      </w:r>
      <w:r w:rsidR="00B306F4">
        <w:rPr>
          <w:rFonts w:ascii="Times New Roman" w:hAnsi="Times New Roman"/>
          <w:sz w:val="26"/>
          <w:szCs w:val="26"/>
        </w:rPr>
        <w:t xml:space="preserve">products may include only one of the sources enumerated in 66 Pa. C.S. 2807(e)(3.2) when this is the most prudent course and is likely to incur the least cost over time.  </w:t>
      </w:r>
      <w:proofErr w:type="spellStart"/>
      <w:r w:rsidR="006B7A69">
        <w:rPr>
          <w:rFonts w:ascii="Times New Roman" w:hAnsi="Times New Roman"/>
          <w:i/>
          <w:sz w:val="26"/>
          <w:szCs w:val="26"/>
        </w:rPr>
        <w:t>Popowsky</w:t>
      </w:r>
      <w:proofErr w:type="spellEnd"/>
      <w:r w:rsidR="006B7A69">
        <w:rPr>
          <w:rFonts w:ascii="Times New Roman" w:hAnsi="Times New Roman"/>
          <w:i/>
          <w:sz w:val="26"/>
          <w:szCs w:val="26"/>
        </w:rPr>
        <w:t xml:space="preserve"> </w:t>
      </w:r>
      <w:r w:rsidR="001D35C5" w:rsidRPr="008B056C">
        <w:rPr>
          <w:rFonts w:ascii="Times New Roman" w:hAnsi="Times New Roman"/>
          <w:sz w:val="26"/>
          <w:szCs w:val="26"/>
        </w:rPr>
        <w:t xml:space="preserve">at </w:t>
      </w:r>
      <w:r w:rsidR="001D35C5">
        <w:rPr>
          <w:rFonts w:ascii="Times New Roman" w:hAnsi="Times New Roman"/>
          <w:sz w:val="26"/>
          <w:szCs w:val="26"/>
        </w:rPr>
        <w:t>1116</w:t>
      </w:r>
      <w:r w:rsidR="005165A7">
        <w:rPr>
          <w:rFonts w:ascii="Times New Roman" w:hAnsi="Times New Roman"/>
          <w:sz w:val="26"/>
          <w:szCs w:val="26"/>
        </w:rPr>
        <w:noBreakHyphen/>
      </w:r>
      <w:r w:rsidR="001D35C5" w:rsidRPr="008B056C">
        <w:rPr>
          <w:rFonts w:ascii="Times New Roman" w:hAnsi="Times New Roman"/>
          <w:sz w:val="26"/>
          <w:szCs w:val="26"/>
        </w:rPr>
        <w:t>1117</w:t>
      </w:r>
      <w:r w:rsidR="001D35C5">
        <w:rPr>
          <w:rFonts w:ascii="Times New Roman" w:hAnsi="Times New Roman"/>
          <w:sz w:val="26"/>
          <w:szCs w:val="26"/>
        </w:rPr>
        <w:t>.</w:t>
      </w:r>
    </w:p>
    <w:p w:rsidR="001D35C5" w:rsidRDefault="001D35C5" w:rsidP="00D26D41">
      <w:pPr>
        <w:rPr>
          <w:rFonts w:ascii="Times New Roman" w:hAnsi="Times New Roman"/>
          <w:sz w:val="26"/>
          <w:szCs w:val="26"/>
        </w:rPr>
      </w:pPr>
    </w:p>
    <w:p w:rsidR="00847D3A" w:rsidRPr="00A1610D" w:rsidRDefault="003B31D9" w:rsidP="00847D3A">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524D4D">
        <w:rPr>
          <w:rFonts w:ascii="Times New Roman" w:hAnsi="Times New Roman"/>
          <w:sz w:val="26"/>
          <w:szCs w:val="26"/>
        </w:rPr>
        <w:t xml:space="preserve">The OSBA argues that the circumstances presented in the Pike County proceeding were markedly different from those in the instant proceeding, and the ALJ </w:t>
      </w:r>
      <w:r w:rsidR="00524D4D" w:rsidRPr="00902E89">
        <w:rPr>
          <w:rFonts w:ascii="Times New Roman" w:hAnsi="Times New Roman"/>
          <w:sz w:val="26"/>
          <w:szCs w:val="26"/>
        </w:rPr>
        <w:t>appears to agree, referring</w:t>
      </w:r>
      <w:r w:rsidR="005D7D93" w:rsidRPr="00902E89">
        <w:rPr>
          <w:rFonts w:ascii="Times New Roman" w:hAnsi="Times New Roman"/>
          <w:sz w:val="26"/>
          <w:szCs w:val="26"/>
        </w:rPr>
        <w:t xml:space="preserve"> to the Pike County situation as a </w:t>
      </w:r>
      <w:r w:rsidR="00803C65">
        <w:rPr>
          <w:rFonts w:ascii="Times New Roman" w:hAnsi="Times New Roman"/>
          <w:sz w:val="26"/>
          <w:szCs w:val="26"/>
        </w:rPr>
        <w:t>“</w:t>
      </w:r>
      <w:r w:rsidR="005D7D93" w:rsidRPr="00902E89">
        <w:rPr>
          <w:rFonts w:ascii="Times New Roman" w:hAnsi="Times New Roman"/>
          <w:sz w:val="26"/>
          <w:szCs w:val="26"/>
        </w:rPr>
        <w:t>specific exception</w:t>
      </w:r>
      <w:r w:rsidR="00524D4D" w:rsidRPr="00902E89">
        <w:rPr>
          <w:rFonts w:ascii="Times New Roman" w:hAnsi="Times New Roman"/>
          <w:sz w:val="26"/>
          <w:szCs w:val="26"/>
        </w:rPr>
        <w:t>.</w:t>
      </w:r>
      <w:r w:rsidR="00803C65">
        <w:rPr>
          <w:rFonts w:ascii="Times New Roman" w:hAnsi="Times New Roman"/>
          <w:sz w:val="26"/>
          <w:szCs w:val="26"/>
        </w:rPr>
        <w:t>”</w:t>
      </w:r>
      <w:r w:rsidR="005D7D93" w:rsidRPr="00902E89">
        <w:rPr>
          <w:rFonts w:ascii="Times New Roman" w:hAnsi="Times New Roman"/>
          <w:sz w:val="26"/>
          <w:szCs w:val="26"/>
        </w:rPr>
        <w:t xml:space="preserve"> </w:t>
      </w:r>
      <w:r w:rsidR="00524D4D" w:rsidRPr="00902E89">
        <w:rPr>
          <w:rFonts w:ascii="Times New Roman" w:hAnsi="Times New Roman"/>
          <w:sz w:val="26"/>
          <w:szCs w:val="26"/>
        </w:rPr>
        <w:t xml:space="preserve"> </w:t>
      </w:r>
      <w:r w:rsidR="005D7D93" w:rsidRPr="00902E89">
        <w:rPr>
          <w:rFonts w:ascii="Times New Roman" w:hAnsi="Times New Roman"/>
          <w:sz w:val="26"/>
          <w:szCs w:val="26"/>
        </w:rPr>
        <w:t>R.D. at</w:t>
      </w:r>
      <w:r w:rsidR="005165A7">
        <w:rPr>
          <w:rFonts w:ascii="Times New Roman" w:hAnsi="Times New Roman"/>
          <w:sz w:val="26"/>
          <w:szCs w:val="26"/>
        </w:rPr>
        <w:t> </w:t>
      </w:r>
      <w:r w:rsidR="005D7D93" w:rsidRPr="00902E89">
        <w:rPr>
          <w:rFonts w:ascii="Times New Roman" w:hAnsi="Times New Roman"/>
          <w:sz w:val="26"/>
          <w:szCs w:val="26"/>
        </w:rPr>
        <w:t>43</w:t>
      </w:r>
      <w:r w:rsidR="00524D4D" w:rsidRPr="00902E89">
        <w:rPr>
          <w:rFonts w:ascii="Times New Roman" w:hAnsi="Times New Roman"/>
          <w:sz w:val="26"/>
          <w:szCs w:val="26"/>
        </w:rPr>
        <w:t>.</w:t>
      </w:r>
      <w:r w:rsidR="00CE1C6F" w:rsidRPr="00902E89">
        <w:rPr>
          <w:rFonts w:ascii="Times New Roman" w:hAnsi="Times New Roman"/>
          <w:sz w:val="26"/>
          <w:szCs w:val="26"/>
        </w:rPr>
        <w:t xml:space="preserve">  However, regardless of how different the specific circumstances may be, the Court found</w:t>
      </w:r>
      <w:r w:rsidR="00CE1C6F">
        <w:rPr>
          <w:rFonts w:ascii="Times New Roman" w:hAnsi="Times New Roman"/>
          <w:sz w:val="26"/>
          <w:szCs w:val="26"/>
        </w:rPr>
        <w:t xml:space="preserve"> that the Commission</w:t>
      </w:r>
      <w:r w:rsidR="00803C65">
        <w:rPr>
          <w:rFonts w:ascii="Times New Roman" w:hAnsi="Times New Roman"/>
          <w:sz w:val="26"/>
          <w:szCs w:val="26"/>
        </w:rPr>
        <w:t>’</w:t>
      </w:r>
      <w:r w:rsidR="00CE1C6F">
        <w:rPr>
          <w:rFonts w:ascii="Times New Roman" w:hAnsi="Times New Roman"/>
          <w:sz w:val="26"/>
          <w:szCs w:val="26"/>
        </w:rPr>
        <w:t>s interpretation of 66 Pa. C.S. 2807(e)(3.2)</w:t>
      </w:r>
      <w:r w:rsidR="00662B85">
        <w:rPr>
          <w:rFonts w:ascii="Times New Roman" w:hAnsi="Times New Roman"/>
          <w:sz w:val="26"/>
          <w:szCs w:val="26"/>
        </w:rPr>
        <w:t xml:space="preserve"> properly allowed for the possibility that a single procurement source may constitute a </w:t>
      </w:r>
      <w:r w:rsidR="00803C65">
        <w:rPr>
          <w:rFonts w:ascii="Times New Roman" w:hAnsi="Times New Roman"/>
          <w:sz w:val="26"/>
          <w:szCs w:val="26"/>
        </w:rPr>
        <w:t>“</w:t>
      </w:r>
      <w:r w:rsidR="00662B85">
        <w:rPr>
          <w:rFonts w:ascii="Times New Roman" w:hAnsi="Times New Roman"/>
          <w:sz w:val="26"/>
          <w:szCs w:val="26"/>
        </w:rPr>
        <w:t>prudent mix</w:t>
      </w:r>
      <w:r w:rsidR="00803C65">
        <w:rPr>
          <w:rFonts w:ascii="Times New Roman" w:hAnsi="Times New Roman"/>
          <w:sz w:val="26"/>
          <w:szCs w:val="26"/>
        </w:rPr>
        <w:t>”</w:t>
      </w:r>
      <w:r w:rsidR="00662B85">
        <w:rPr>
          <w:rFonts w:ascii="Times New Roman" w:hAnsi="Times New Roman"/>
          <w:sz w:val="26"/>
          <w:szCs w:val="26"/>
        </w:rPr>
        <w:t xml:space="preserve"> of sources when the evidence supports such a conclusion.</w:t>
      </w:r>
      <w:r w:rsidR="00ED68F1">
        <w:rPr>
          <w:rFonts w:ascii="Times New Roman" w:hAnsi="Times New Roman"/>
          <w:sz w:val="26"/>
          <w:szCs w:val="26"/>
        </w:rPr>
        <w:t xml:space="preserve">  </w:t>
      </w:r>
      <w:r w:rsidR="001D35C5">
        <w:rPr>
          <w:rFonts w:ascii="Times New Roman" w:hAnsi="Times New Roman"/>
          <w:sz w:val="26"/>
          <w:szCs w:val="26"/>
        </w:rPr>
        <w:t>Similarly, i</w:t>
      </w:r>
      <w:r w:rsidR="006C10D2">
        <w:rPr>
          <w:rFonts w:ascii="Times New Roman" w:hAnsi="Times New Roman"/>
          <w:sz w:val="26"/>
          <w:szCs w:val="26"/>
        </w:rPr>
        <w:t>n this case, w</w:t>
      </w:r>
      <w:r w:rsidR="007F0110">
        <w:rPr>
          <w:rFonts w:ascii="Times New Roman" w:hAnsi="Times New Roman"/>
          <w:sz w:val="26"/>
          <w:szCs w:val="26"/>
        </w:rPr>
        <w:t>e find that PPL</w:t>
      </w:r>
      <w:r w:rsidR="00803C65">
        <w:rPr>
          <w:rFonts w:ascii="Times New Roman" w:hAnsi="Times New Roman"/>
          <w:sz w:val="26"/>
          <w:szCs w:val="26"/>
        </w:rPr>
        <w:t>’</w:t>
      </w:r>
      <w:r w:rsidR="007F0110">
        <w:rPr>
          <w:rFonts w:ascii="Times New Roman" w:hAnsi="Times New Roman"/>
          <w:sz w:val="26"/>
          <w:szCs w:val="26"/>
        </w:rPr>
        <w:t xml:space="preserve">s proposal, which will result in the expansion of hourly-priced default service to </w:t>
      </w:r>
      <w:r w:rsidR="00ED68F1">
        <w:rPr>
          <w:rFonts w:ascii="Times New Roman" w:hAnsi="Times New Roman"/>
          <w:sz w:val="26"/>
          <w:szCs w:val="26"/>
        </w:rPr>
        <w:t>an additional group of C&amp;I customers, will result in least-cost service over time for these customers, and constitutes part of a prudent mix of products included in PPL</w:t>
      </w:r>
      <w:r w:rsidR="00803C65">
        <w:rPr>
          <w:rFonts w:ascii="Times New Roman" w:hAnsi="Times New Roman"/>
          <w:sz w:val="26"/>
          <w:szCs w:val="26"/>
        </w:rPr>
        <w:t>’</w:t>
      </w:r>
      <w:r w:rsidR="00ED68F1">
        <w:rPr>
          <w:rFonts w:ascii="Times New Roman" w:hAnsi="Times New Roman"/>
          <w:sz w:val="26"/>
          <w:szCs w:val="26"/>
        </w:rPr>
        <w:t>s overall DSP III program</w:t>
      </w:r>
      <w:r w:rsidR="00A21E07">
        <w:rPr>
          <w:rFonts w:ascii="Times New Roman" w:hAnsi="Times New Roman"/>
          <w:sz w:val="26"/>
          <w:szCs w:val="26"/>
        </w:rPr>
        <w:t>, consistent with 66 Pa. C.S. 2807(e)(3.2)</w:t>
      </w:r>
      <w:r w:rsidR="00ED68F1">
        <w:rPr>
          <w:rFonts w:ascii="Times New Roman" w:hAnsi="Times New Roman"/>
          <w:sz w:val="26"/>
          <w:szCs w:val="26"/>
        </w:rPr>
        <w:t>.</w:t>
      </w:r>
      <w:r w:rsidR="00847D3A">
        <w:rPr>
          <w:rFonts w:ascii="Times New Roman" w:hAnsi="Times New Roman"/>
          <w:sz w:val="26"/>
          <w:szCs w:val="26"/>
        </w:rPr>
        <w:t xml:space="preserve">  Moreover, this Commission has approved hourly pricing for C&amp;I customers on a number of </w:t>
      </w:r>
      <w:r w:rsidR="00FD79F0">
        <w:rPr>
          <w:rFonts w:ascii="Times New Roman" w:hAnsi="Times New Roman"/>
          <w:sz w:val="26"/>
          <w:szCs w:val="26"/>
        </w:rPr>
        <w:t xml:space="preserve">prior </w:t>
      </w:r>
      <w:r w:rsidR="00847D3A">
        <w:rPr>
          <w:rFonts w:ascii="Times New Roman" w:hAnsi="Times New Roman"/>
          <w:sz w:val="26"/>
          <w:szCs w:val="26"/>
        </w:rPr>
        <w:t xml:space="preserve">occasions.  </w:t>
      </w:r>
      <w:r w:rsidR="00847D3A" w:rsidRPr="00594452">
        <w:rPr>
          <w:rFonts w:ascii="Times New Roman" w:hAnsi="Times New Roman"/>
          <w:i/>
          <w:sz w:val="26"/>
          <w:szCs w:val="26"/>
        </w:rPr>
        <w:t>See</w:t>
      </w:r>
      <w:r w:rsidR="00847D3A">
        <w:rPr>
          <w:rFonts w:ascii="Times New Roman" w:hAnsi="Times New Roman"/>
          <w:sz w:val="26"/>
          <w:szCs w:val="26"/>
        </w:rPr>
        <w:t xml:space="preserve">, </w:t>
      </w:r>
      <w:r w:rsidR="00847D3A" w:rsidRPr="00A1610D">
        <w:rPr>
          <w:rFonts w:ascii="Times New Roman" w:hAnsi="Times New Roman"/>
          <w:i/>
          <w:sz w:val="26"/>
          <w:szCs w:val="26"/>
        </w:rPr>
        <w:t>e.g</w:t>
      </w:r>
      <w:r w:rsidR="00847D3A">
        <w:rPr>
          <w:rFonts w:ascii="Times New Roman" w:hAnsi="Times New Roman"/>
          <w:sz w:val="26"/>
          <w:szCs w:val="26"/>
        </w:rPr>
        <w:t xml:space="preserve">., </w:t>
      </w:r>
      <w:r w:rsidR="00847D3A" w:rsidRPr="00594452">
        <w:rPr>
          <w:rFonts w:ascii="Times New Roman" w:hAnsi="Times New Roman"/>
          <w:i/>
          <w:sz w:val="26"/>
          <w:szCs w:val="26"/>
        </w:rPr>
        <w:t>PPL DSP II</w:t>
      </w:r>
      <w:r w:rsidR="00847D3A">
        <w:rPr>
          <w:rFonts w:ascii="Times New Roman" w:hAnsi="Times New Roman"/>
          <w:sz w:val="26"/>
          <w:szCs w:val="26"/>
        </w:rPr>
        <w:t xml:space="preserve">; </w:t>
      </w:r>
      <w:r w:rsidR="00847D3A" w:rsidRPr="008F74FD">
        <w:rPr>
          <w:rFonts w:ascii="Times New Roman" w:hAnsi="Times New Roman"/>
          <w:i/>
          <w:sz w:val="26"/>
          <w:szCs w:val="26"/>
        </w:rPr>
        <w:t xml:space="preserve">Joint Petition of Metropolitan Edison Company, Pennsylvania Electric Company, Pennsylvania Power Company, and West Penn Power Company for Approval of their Default Service Programs, </w:t>
      </w:r>
      <w:r w:rsidR="00847D3A" w:rsidRPr="008F74FD">
        <w:rPr>
          <w:rFonts w:ascii="Times New Roman" w:hAnsi="Times New Roman"/>
          <w:sz w:val="26"/>
          <w:szCs w:val="26"/>
        </w:rPr>
        <w:t>Docket Nos. P</w:t>
      </w:r>
      <w:r w:rsidR="00847D3A" w:rsidRPr="008F74FD">
        <w:rPr>
          <w:rFonts w:ascii="Times New Roman" w:hAnsi="Times New Roman"/>
          <w:sz w:val="26"/>
          <w:szCs w:val="26"/>
        </w:rPr>
        <w:noBreakHyphen/>
      </w:r>
      <w:r w:rsidR="00847D3A">
        <w:rPr>
          <w:rFonts w:ascii="Times New Roman" w:hAnsi="Times New Roman"/>
          <w:sz w:val="26"/>
          <w:szCs w:val="26"/>
        </w:rPr>
        <w:t>2013-2391368, P-2013-2391372, P</w:t>
      </w:r>
      <w:r w:rsidR="00847D3A">
        <w:rPr>
          <w:rFonts w:ascii="Times New Roman" w:hAnsi="Times New Roman"/>
          <w:sz w:val="26"/>
          <w:szCs w:val="26"/>
        </w:rPr>
        <w:noBreakHyphen/>
      </w:r>
      <w:r w:rsidR="00847D3A" w:rsidRPr="008F74FD">
        <w:rPr>
          <w:rFonts w:ascii="Times New Roman" w:hAnsi="Times New Roman"/>
          <w:sz w:val="26"/>
          <w:szCs w:val="26"/>
        </w:rPr>
        <w:t>2013-2391375, P-2013-2391378</w:t>
      </w:r>
      <w:r w:rsidR="00FD450F">
        <w:rPr>
          <w:rFonts w:ascii="Times New Roman" w:hAnsi="Times New Roman"/>
          <w:sz w:val="26"/>
          <w:szCs w:val="26"/>
        </w:rPr>
        <w:t xml:space="preserve"> </w:t>
      </w:r>
      <w:r w:rsidR="00847D3A" w:rsidRPr="008F74FD">
        <w:rPr>
          <w:rFonts w:ascii="Times New Roman" w:hAnsi="Times New Roman"/>
          <w:sz w:val="26"/>
          <w:szCs w:val="26"/>
        </w:rPr>
        <w:t>(Opinion and Order entered July 24, 2014) (</w:t>
      </w:r>
      <w:r w:rsidR="00847D3A" w:rsidRPr="008F74FD">
        <w:rPr>
          <w:rFonts w:ascii="Times New Roman" w:hAnsi="Times New Roman"/>
          <w:i/>
          <w:sz w:val="26"/>
          <w:szCs w:val="26"/>
        </w:rPr>
        <w:t>FirstEnergy D</w:t>
      </w:r>
      <w:r w:rsidR="00847D3A">
        <w:rPr>
          <w:rFonts w:ascii="Times New Roman" w:hAnsi="Times New Roman"/>
          <w:i/>
          <w:sz w:val="26"/>
          <w:szCs w:val="26"/>
        </w:rPr>
        <w:t>SP III Order)</w:t>
      </w:r>
      <w:r w:rsidR="00847D3A">
        <w:rPr>
          <w:rFonts w:ascii="Times New Roman" w:hAnsi="Times New Roman"/>
          <w:sz w:val="26"/>
          <w:szCs w:val="26"/>
        </w:rPr>
        <w:t xml:space="preserve">; </w:t>
      </w:r>
      <w:r w:rsidR="00847D3A" w:rsidRPr="00677FC6">
        <w:rPr>
          <w:rFonts w:ascii="Times New Roman" w:hAnsi="Times New Roman"/>
          <w:i/>
          <w:sz w:val="26"/>
          <w:szCs w:val="26"/>
        </w:rPr>
        <w:t>Petitio</w:t>
      </w:r>
      <w:r w:rsidR="00847D3A">
        <w:rPr>
          <w:rFonts w:ascii="Times New Roman" w:hAnsi="Times New Roman"/>
          <w:i/>
          <w:sz w:val="26"/>
          <w:szCs w:val="26"/>
        </w:rPr>
        <w:t>n of PECO Energy Company f</w:t>
      </w:r>
      <w:r w:rsidR="00847D3A" w:rsidRPr="00677FC6">
        <w:rPr>
          <w:rFonts w:ascii="Times New Roman" w:hAnsi="Times New Roman"/>
          <w:i/>
          <w:sz w:val="26"/>
          <w:szCs w:val="26"/>
        </w:rPr>
        <w:t xml:space="preserve">or Approval of its Default Service Program </w:t>
      </w:r>
      <w:r w:rsidR="00847D3A" w:rsidRPr="00A1610D">
        <w:rPr>
          <w:rFonts w:ascii="Times New Roman" w:hAnsi="Times New Roman"/>
          <w:i/>
          <w:sz w:val="26"/>
          <w:szCs w:val="26"/>
        </w:rPr>
        <w:t>for the period from June 1, 2015 through</w:t>
      </w:r>
      <w:r w:rsidR="00847D3A">
        <w:rPr>
          <w:rFonts w:ascii="Times New Roman" w:hAnsi="Times New Roman"/>
          <w:i/>
          <w:sz w:val="26"/>
          <w:szCs w:val="26"/>
        </w:rPr>
        <w:t xml:space="preserve"> </w:t>
      </w:r>
      <w:r w:rsidR="00847D3A" w:rsidRPr="00A1610D">
        <w:rPr>
          <w:rFonts w:ascii="Times New Roman" w:hAnsi="Times New Roman"/>
          <w:i/>
          <w:sz w:val="26"/>
          <w:szCs w:val="26"/>
        </w:rPr>
        <w:t>May 31, 2017</w:t>
      </w:r>
      <w:r w:rsidR="00847D3A">
        <w:rPr>
          <w:rFonts w:ascii="Times New Roman" w:hAnsi="Times New Roman"/>
          <w:sz w:val="26"/>
          <w:szCs w:val="26"/>
        </w:rPr>
        <w:t>, Docket No. P</w:t>
      </w:r>
      <w:r w:rsidR="00847D3A">
        <w:rPr>
          <w:rFonts w:ascii="Times New Roman" w:hAnsi="Times New Roman"/>
          <w:sz w:val="26"/>
          <w:szCs w:val="26"/>
        </w:rPr>
        <w:noBreakHyphen/>
        <w:t xml:space="preserve">2014-2409362 </w:t>
      </w:r>
      <w:r w:rsidR="00847D3A" w:rsidRPr="00677FC6">
        <w:rPr>
          <w:rFonts w:ascii="Times New Roman" w:hAnsi="Times New Roman"/>
          <w:sz w:val="26"/>
          <w:szCs w:val="26"/>
        </w:rPr>
        <w:t>(Opinion an</w:t>
      </w:r>
      <w:r w:rsidR="00847D3A">
        <w:rPr>
          <w:rFonts w:ascii="Times New Roman" w:hAnsi="Times New Roman"/>
          <w:sz w:val="26"/>
          <w:szCs w:val="26"/>
        </w:rPr>
        <w:t>d Order entered December 4, 2014</w:t>
      </w:r>
      <w:r w:rsidR="00847D3A" w:rsidRPr="00677FC6">
        <w:rPr>
          <w:rFonts w:ascii="Times New Roman" w:hAnsi="Times New Roman"/>
          <w:sz w:val="26"/>
          <w:szCs w:val="26"/>
        </w:rPr>
        <w:t>)</w:t>
      </w:r>
      <w:r w:rsidR="00847D3A">
        <w:rPr>
          <w:rFonts w:ascii="Times New Roman" w:hAnsi="Times New Roman"/>
          <w:sz w:val="26"/>
          <w:szCs w:val="26"/>
        </w:rPr>
        <w:t>.</w:t>
      </w:r>
    </w:p>
    <w:p w:rsidR="007D1209" w:rsidRDefault="007D1209" w:rsidP="00D26D41">
      <w:pPr>
        <w:rPr>
          <w:rFonts w:ascii="Times New Roman" w:hAnsi="Times New Roman"/>
          <w:sz w:val="26"/>
          <w:szCs w:val="26"/>
        </w:rPr>
      </w:pPr>
    </w:p>
    <w:p w:rsidR="004B5C01" w:rsidRDefault="00E324C1" w:rsidP="00E324C1">
      <w:pPr>
        <w:rPr>
          <w:sz w:val="26"/>
          <w:szCs w:val="26"/>
        </w:rPr>
      </w:pPr>
      <w:r>
        <w:rPr>
          <w:rFonts w:ascii="Times New Roman" w:hAnsi="Times New Roman"/>
          <w:sz w:val="26"/>
          <w:szCs w:val="26"/>
        </w:rPr>
        <w:lastRenderedPageBreak/>
        <w:tab/>
      </w:r>
      <w:r>
        <w:rPr>
          <w:rFonts w:ascii="Times New Roman" w:hAnsi="Times New Roman"/>
          <w:sz w:val="26"/>
          <w:szCs w:val="26"/>
        </w:rPr>
        <w:tab/>
      </w:r>
      <w:r w:rsidR="0002097E">
        <w:rPr>
          <w:rFonts w:ascii="Times New Roman" w:hAnsi="Times New Roman"/>
          <w:sz w:val="26"/>
          <w:szCs w:val="26"/>
        </w:rPr>
        <w:t>Finally, we do n</w:t>
      </w:r>
      <w:r w:rsidR="002854A2">
        <w:rPr>
          <w:rFonts w:ascii="Times New Roman" w:hAnsi="Times New Roman"/>
          <w:sz w:val="26"/>
          <w:szCs w:val="26"/>
        </w:rPr>
        <w:t>ot agree with arguments suggesting that we are precluded from permitting EDCs to expand the availability of hourly-priced products to C&amp;I customers with demand between 100 kW and 500 kW</w:t>
      </w:r>
      <w:r w:rsidR="0002097E">
        <w:rPr>
          <w:rFonts w:ascii="Times New Roman" w:hAnsi="Times New Roman"/>
          <w:sz w:val="26"/>
          <w:szCs w:val="26"/>
        </w:rPr>
        <w:t xml:space="preserve"> because</w:t>
      </w:r>
      <w:r w:rsidR="00E52881">
        <w:rPr>
          <w:rFonts w:ascii="Times New Roman" w:hAnsi="Times New Roman"/>
          <w:sz w:val="26"/>
          <w:szCs w:val="26"/>
        </w:rPr>
        <w:t xml:space="preserve"> of certain pronouncements we made in the </w:t>
      </w:r>
      <w:r w:rsidR="00E52881" w:rsidRPr="00E52881">
        <w:rPr>
          <w:rFonts w:ascii="Times New Roman" w:hAnsi="Times New Roman"/>
          <w:i/>
          <w:sz w:val="26"/>
          <w:szCs w:val="26"/>
        </w:rPr>
        <w:t>End State Order</w:t>
      </w:r>
      <w:r w:rsidR="00E52881">
        <w:rPr>
          <w:rFonts w:ascii="Times New Roman" w:hAnsi="Times New Roman"/>
          <w:sz w:val="26"/>
          <w:szCs w:val="26"/>
        </w:rPr>
        <w:t>.</w:t>
      </w:r>
      <w:r w:rsidR="00C85DA8">
        <w:rPr>
          <w:rFonts w:ascii="Times New Roman" w:hAnsi="Times New Roman"/>
          <w:sz w:val="26"/>
          <w:szCs w:val="26"/>
        </w:rPr>
        <w:t xml:space="preserve">  While</w:t>
      </w:r>
      <w:r w:rsidR="0002097E">
        <w:rPr>
          <w:rFonts w:ascii="Times New Roman" w:hAnsi="Times New Roman"/>
          <w:sz w:val="26"/>
          <w:szCs w:val="26"/>
        </w:rPr>
        <w:t xml:space="preserve"> we expressed a preference</w:t>
      </w:r>
      <w:r w:rsidR="002854A2">
        <w:rPr>
          <w:rFonts w:ascii="Times New Roman" w:hAnsi="Times New Roman"/>
          <w:sz w:val="26"/>
          <w:szCs w:val="26"/>
        </w:rPr>
        <w:t xml:space="preserve"> for legislative amendments that would provide the authority to approve</w:t>
      </w:r>
      <w:r w:rsidR="00C85DA8" w:rsidRPr="00C85DA8">
        <w:rPr>
          <w:rFonts w:ascii="Times New Roman" w:hAnsi="Times New Roman"/>
          <w:sz w:val="26"/>
          <w:szCs w:val="26"/>
        </w:rPr>
        <w:t xml:space="preserve"> </w:t>
      </w:r>
      <w:r w:rsidR="00C85DA8" w:rsidRPr="008733F7">
        <w:rPr>
          <w:rFonts w:ascii="Times New Roman" w:hAnsi="Times New Roman"/>
          <w:sz w:val="26"/>
          <w:szCs w:val="26"/>
        </w:rPr>
        <w:t>defau</w:t>
      </w:r>
      <w:r w:rsidR="00C85DA8">
        <w:rPr>
          <w:rFonts w:ascii="Times New Roman" w:hAnsi="Times New Roman"/>
          <w:sz w:val="26"/>
          <w:szCs w:val="26"/>
        </w:rPr>
        <w:t xml:space="preserve">lt service plans containing more market-based products, we also stated our belief that </w:t>
      </w:r>
      <w:r w:rsidR="00803C65">
        <w:rPr>
          <w:rFonts w:ascii="Times New Roman" w:hAnsi="Times New Roman"/>
          <w:sz w:val="26"/>
          <w:szCs w:val="26"/>
        </w:rPr>
        <w:t>“</w:t>
      </w:r>
      <w:r w:rsidR="00C85DA8">
        <w:rPr>
          <w:rFonts w:ascii="Times New Roman" w:hAnsi="Times New Roman"/>
          <w:sz w:val="26"/>
          <w:szCs w:val="26"/>
        </w:rPr>
        <w:t xml:space="preserve">the Commission </w:t>
      </w:r>
      <w:r w:rsidR="00C85DA8" w:rsidRPr="008733F7">
        <w:rPr>
          <w:rFonts w:ascii="Times New Roman" w:hAnsi="Times New Roman"/>
          <w:sz w:val="26"/>
          <w:szCs w:val="26"/>
        </w:rPr>
        <w:t xml:space="preserve">appears </w:t>
      </w:r>
      <w:r w:rsidR="00C85DA8" w:rsidRPr="008733F7">
        <w:rPr>
          <w:rFonts w:ascii="Times New Roman" w:hAnsi="Times New Roman"/>
          <w:i/>
          <w:sz w:val="26"/>
          <w:szCs w:val="26"/>
        </w:rPr>
        <w:t>currently</w:t>
      </w:r>
      <w:r w:rsidR="00C85DA8" w:rsidRPr="008733F7">
        <w:rPr>
          <w:rFonts w:ascii="Times New Roman" w:hAnsi="Times New Roman"/>
          <w:sz w:val="26"/>
          <w:szCs w:val="26"/>
        </w:rPr>
        <w:t xml:space="preserve"> to have authority to establish shorter-term default service products that are more reflective of market conditions than existing products.</w:t>
      </w:r>
      <w:r w:rsidR="00803C65">
        <w:rPr>
          <w:rFonts w:ascii="Times New Roman" w:hAnsi="Times New Roman"/>
          <w:sz w:val="26"/>
          <w:szCs w:val="26"/>
        </w:rPr>
        <w:t>”</w:t>
      </w:r>
      <w:r w:rsidR="002223A8">
        <w:rPr>
          <w:rFonts w:ascii="Times New Roman" w:hAnsi="Times New Roman"/>
          <w:sz w:val="26"/>
          <w:szCs w:val="26"/>
        </w:rPr>
        <w:t xml:space="preserve">  </w:t>
      </w:r>
      <w:r w:rsidR="002223A8" w:rsidRPr="002223A8">
        <w:rPr>
          <w:rFonts w:ascii="Times New Roman" w:hAnsi="Times New Roman"/>
          <w:i/>
          <w:sz w:val="26"/>
          <w:szCs w:val="26"/>
        </w:rPr>
        <w:t>End State Order</w:t>
      </w:r>
      <w:r w:rsidR="002223A8">
        <w:rPr>
          <w:rFonts w:ascii="Times New Roman" w:hAnsi="Times New Roman"/>
          <w:sz w:val="26"/>
          <w:szCs w:val="26"/>
        </w:rPr>
        <w:t xml:space="preserve"> at 45-46</w:t>
      </w:r>
      <w:r w:rsidR="00F26037">
        <w:rPr>
          <w:rFonts w:ascii="Times New Roman" w:hAnsi="Times New Roman"/>
          <w:sz w:val="26"/>
          <w:szCs w:val="26"/>
        </w:rPr>
        <w:t xml:space="preserve"> (emphasis added)</w:t>
      </w:r>
      <w:r w:rsidR="002223A8">
        <w:rPr>
          <w:rFonts w:ascii="Times New Roman" w:hAnsi="Times New Roman"/>
          <w:sz w:val="26"/>
          <w:szCs w:val="26"/>
        </w:rPr>
        <w:t>.</w:t>
      </w:r>
      <w:r w:rsidR="00C85DA8" w:rsidRPr="008733F7">
        <w:rPr>
          <w:rFonts w:ascii="Times New Roman" w:hAnsi="Times New Roman"/>
          <w:sz w:val="26"/>
          <w:szCs w:val="26"/>
        </w:rPr>
        <w:t xml:space="preserve">  </w:t>
      </w:r>
      <w:r w:rsidR="00854489">
        <w:rPr>
          <w:rFonts w:ascii="Times New Roman" w:hAnsi="Times New Roman"/>
          <w:sz w:val="26"/>
          <w:szCs w:val="26"/>
        </w:rPr>
        <w:t xml:space="preserve">In the instant proceeding, we are not </w:t>
      </w:r>
      <w:r w:rsidR="00D34ED9">
        <w:rPr>
          <w:rFonts w:ascii="Times New Roman" w:hAnsi="Times New Roman"/>
          <w:sz w:val="26"/>
          <w:szCs w:val="26"/>
        </w:rPr>
        <w:t xml:space="preserve">attempting to revise what the </w:t>
      </w:r>
      <w:r w:rsidR="008A29D2">
        <w:rPr>
          <w:rFonts w:ascii="Times New Roman" w:hAnsi="Times New Roman"/>
          <w:sz w:val="26"/>
          <w:szCs w:val="26"/>
        </w:rPr>
        <w:t xml:space="preserve">General Assembly </w:t>
      </w:r>
      <w:r w:rsidR="00D34ED9">
        <w:rPr>
          <w:rFonts w:ascii="Times New Roman" w:hAnsi="Times New Roman"/>
          <w:sz w:val="26"/>
          <w:szCs w:val="26"/>
        </w:rPr>
        <w:t xml:space="preserve">has determined to constitute a prudent mix </w:t>
      </w:r>
      <w:r w:rsidR="00844669">
        <w:rPr>
          <w:rFonts w:ascii="Times New Roman" w:hAnsi="Times New Roman"/>
          <w:sz w:val="26"/>
          <w:szCs w:val="26"/>
        </w:rPr>
        <w:t>of products as enumerated in 66 </w:t>
      </w:r>
      <w:r w:rsidR="00D34ED9">
        <w:rPr>
          <w:rFonts w:ascii="Times New Roman" w:hAnsi="Times New Roman"/>
          <w:sz w:val="26"/>
          <w:szCs w:val="26"/>
        </w:rPr>
        <w:t>Pa. C.S. 2807(e)(3.2).  Rather, we are simply approving the proposed expansion of hourly-priced default service to an additional group of C&amp;I customers who</w:t>
      </w:r>
      <w:r w:rsidR="004B5C01">
        <w:rPr>
          <w:rFonts w:ascii="Times New Roman" w:hAnsi="Times New Roman"/>
          <w:sz w:val="26"/>
          <w:szCs w:val="26"/>
        </w:rPr>
        <w:t>, as we stated above,</w:t>
      </w:r>
      <w:r w:rsidR="00D34ED9">
        <w:rPr>
          <w:rFonts w:ascii="Times New Roman" w:hAnsi="Times New Roman"/>
          <w:sz w:val="26"/>
          <w:szCs w:val="26"/>
        </w:rPr>
        <w:t xml:space="preserve"> </w:t>
      </w:r>
      <w:r w:rsidR="004B5C01">
        <w:rPr>
          <w:rFonts w:ascii="Times New Roman" w:hAnsi="Times New Roman"/>
          <w:sz w:val="26"/>
          <w:szCs w:val="26"/>
        </w:rPr>
        <w:t xml:space="preserve">appear to be </w:t>
      </w:r>
      <w:r w:rsidR="00803C65">
        <w:rPr>
          <w:rFonts w:ascii="Times New Roman" w:hAnsi="Times New Roman"/>
          <w:sz w:val="26"/>
          <w:szCs w:val="26"/>
        </w:rPr>
        <w:t>“</w:t>
      </w:r>
      <w:r w:rsidR="004B5C01">
        <w:rPr>
          <w:sz w:val="26"/>
          <w:szCs w:val="26"/>
        </w:rPr>
        <w:t>well-equipped and educated to manage their commodity costs in an hourly spot market default service environment,</w:t>
      </w:r>
      <w:r w:rsidR="00803C65">
        <w:rPr>
          <w:sz w:val="26"/>
          <w:szCs w:val="26"/>
        </w:rPr>
        <w:t>”</w:t>
      </w:r>
      <w:r w:rsidR="004B5C01">
        <w:rPr>
          <w:sz w:val="26"/>
          <w:szCs w:val="26"/>
        </w:rPr>
        <w:t xml:space="preserve"> and who we believe will receive the benefits of reliable service at the least cost over time as a result, in accordance with </w:t>
      </w:r>
      <w:r w:rsidR="004B5C01" w:rsidRPr="00387868">
        <w:rPr>
          <w:sz w:val="26"/>
          <w:szCs w:val="26"/>
        </w:rPr>
        <w:t>2807(e)(3.4)</w:t>
      </w:r>
      <w:r w:rsidR="004B5C01">
        <w:rPr>
          <w:sz w:val="26"/>
          <w:szCs w:val="26"/>
        </w:rPr>
        <w:t>.</w:t>
      </w:r>
    </w:p>
    <w:p w:rsidR="00847D3A" w:rsidRDefault="00847D3A" w:rsidP="00E324C1">
      <w:pPr>
        <w:rPr>
          <w:sz w:val="26"/>
          <w:szCs w:val="26"/>
        </w:rPr>
      </w:pPr>
    </w:p>
    <w:p w:rsidR="00847D3A" w:rsidRDefault="00847D3A" w:rsidP="00E324C1">
      <w:pPr>
        <w:rPr>
          <w:rFonts w:ascii="Times New Roman" w:hAnsi="Times New Roman"/>
          <w:sz w:val="26"/>
          <w:szCs w:val="26"/>
        </w:rPr>
      </w:pPr>
      <w:r>
        <w:rPr>
          <w:sz w:val="26"/>
          <w:szCs w:val="26"/>
        </w:rPr>
        <w:tab/>
      </w:r>
      <w:r w:rsidR="00494F2C">
        <w:rPr>
          <w:sz w:val="26"/>
          <w:szCs w:val="26"/>
        </w:rPr>
        <w:tab/>
        <w:t>Consistent with the above discussion</w:t>
      </w:r>
      <w:r>
        <w:rPr>
          <w:sz w:val="26"/>
          <w:szCs w:val="26"/>
        </w:rPr>
        <w:t>, we</w:t>
      </w:r>
      <w:r w:rsidR="0029636B">
        <w:rPr>
          <w:sz w:val="26"/>
          <w:szCs w:val="26"/>
        </w:rPr>
        <w:t xml:space="preserve"> will</w:t>
      </w:r>
      <w:r w:rsidR="00494F2C">
        <w:rPr>
          <w:sz w:val="26"/>
          <w:szCs w:val="26"/>
        </w:rPr>
        <w:t xml:space="preserve"> grant the Exceptions of PPL and RESA</w:t>
      </w:r>
      <w:r w:rsidR="005C211C">
        <w:rPr>
          <w:sz w:val="26"/>
          <w:szCs w:val="26"/>
        </w:rPr>
        <w:t xml:space="preserve"> on this issue</w:t>
      </w:r>
      <w:r w:rsidR="00494F2C">
        <w:rPr>
          <w:sz w:val="26"/>
          <w:szCs w:val="26"/>
        </w:rPr>
        <w:t>, and we will</w:t>
      </w:r>
      <w:r w:rsidR="0029636B">
        <w:rPr>
          <w:sz w:val="26"/>
          <w:szCs w:val="26"/>
        </w:rPr>
        <w:t xml:space="preserve"> reverse the ALJ</w:t>
      </w:r>
      <w:r w:rsidR="00803C65">
        <w:rPr>
          <w:sz w:val="26"/>
          <w:szCs w:val="26"/>
        </w:rPr>
        <w:t>’</w:t>
      </w:r>
      <w:r w:rsidR="0029636B">
        <w:rPr>
          <w:sz w:val="26"/>
          <w:szCs w:val="26"/>
        </w:rPr>
        <w:t xml:space="preserve">s </w:t>
      </w:r>
      <w:r w:rsidR="00494F2C">
        <w:rPr>
          <w:sz w:val="26"/>
          <w:szCs w:val="26"/>
        </w:rPr>
        <w:t xml:space="preserve">recommendation and </w:t>
      </w:r>
      <w:r w:rsidR="0029636B">
        <w:rPr>
          <w:sz w:val="26"/>
          <w:szCs w:val="26"/>
        </w:rPr>
        <w:t>approve PPL</w:t>
      </w:r>
      <w:r w:rsidR="00803C65">
        <w:rPr>
          <w:sz w:val="26"/>
          <w:szCs w:val="26"/>
        </w:rPr>
        <w:t>’</w:t>
      </w:r>
      <w:r w:rsidR="0029636B">
        <w:rPr>
          <w:sz w:val="26"/>
          <w:szCs w:val="26"/>
        </w:rPr>
        <w:t>s proposal to reduce the peak demand threshold for Large C&amp;I customers from 500 kW to 100 kW.</w:t>
      </w:r>
    </w:p>
    <w:p w:rsidR="00011009" w:rsidRPr="00BC28A2" w:rsidRDefault="00011009" w:rsidP="00D26D41">
      <w:pPr>
        <w:rPr>
          <w:rFonts w:ascii="Times New Roman" w:hAnsi="Times New Roman"/>
          <w:b/>
          <w:sz w:val="26"/>
          <w:szCs w:val="26"/>
        </w:rPr>
      </w:pPr>
    </w:p>
    <w:p w:rsidR="00011009" w:rsidRPr="00BC28A2" w:rsidRDefault="00BC28A2" w:rsidP="00D26D41">
      <w:pPr>
        <w:keepNext/>
        <w:keepLines/>
        <w:rPr>
          <w:rFonts w:ascii="Times New Roman" w:hAnsi="Times New Roman"/>
          <w:b/>
          <w:sz w:val="26"/>
          <w:szCs w:val="26"/>
        </w:rPr>
      </w:pPr>
      <w:r w:rsidRPr="00BC28A2">
        <w:rPr>
          <w:rFonts w:ascii="Times New Roman" w:hAnsi="Times New Roman"/>
          <w:b/>
          <w:sz w:val="26"/>
          <w:szCs w:val="26"/>
        </w:rPr>
        <w:t>B.</w:t>
      </w:r>
      <w:r w:rsidRPr="00BC28A2">
        <w:rPr>
          <w:rFonts w:ascii="Times New Roman" w:hAnsi="Times New Roman"/>
          <w:b/>
          <w:sz w:val="26"/>
          <w:szCs w:val="26"/>
        </w:rPr>
        <w:tab/>
        <w:t>Recovery of Non-Market-Based</w:t>
      </w:r>
      <w:r w:rsidR="00011009" w:rsidRPr="00BC28A2">
        <w:rPr>
          <w:rFonts w:ascii="Times New Roman" w:hAnsi="Times New Roman"/>
          <w:b/>
          <w:sz w:val="26"/>
          <w:szCs w:val="26"/>
        </w:rPr>
        <w:t xml:space="preserve"> Charges</w:t>
      </w:r>
    </w:p>
    <w:p w:rsidR="00A2567A" w:rsidRPr="00D94914" w:rsidRDefault="00A2567A" w:rsidP="00A2567A">
      <w:pPr>
        <w:rPr>
          <w:rFonts w:ascii="Times New Roman" w:hAnsi="Times New Roman"/>
          <w:sz w:val="26"/>
          <w:szCs w:val="26"/>
        </w:rPr>
      </w:pPr>
    </w:p>
    <w:p w:rsidR="00A2567A" w:rsidRDefault="00A2567A" w:rsidP="00A2567A">
      <w:pPr>
        <w:rPr>
          <w:rFonts w:ascii="Times New Roman" w:hAnsi="Times New Roman"/>
          <w:sz w:val="26"/>
          <w:szCs w:val="26"/>
        </w:rPr>
      </w:pPr>
      <w:r w:rsidRPr="00D94914">
        <w:rPr>
          <w:rFonts w:ascii="Times New Roman" w:hAnsi="Times New Roman"/>
          <w:sz w:val="26"/>
          <w:szCs w:val="26"/>
        </w:rPr>
        <w:tab/>
      </w:r>
      <w:r w:rsidRPr="00D94914">
        <w:rPr>
          <w:rFonts w:ascii="Times New Roman" w:hAnsi="Times New Roman"/>
          <w:sz w:val="26"/>
          <w:szCs w:val="26"/>
        </w:rPr>
        <w:tab/>
      </w:r>
      <w:r w:rsidR="00D94914">
        <w:rPr>
          <w:rFonts w:ascii="Times New Roman" w:hAnsi="Times New Roman"/>
          <w:sz w:val="26"/>
          <w:szCs w:val="26"/>
        </w:rPr>
        <w:t>Under the SMA in PPL</w:t>
      </w:r>
      <w:r w:rsidR="00803C65">
        <w:rPr>
          <w:rFonts w:ascii="Times New Roman" w:hAnsi="Times New Roman"/>
          <w:sz w:val="26"/>
          <w:szCs w:val="26"/>
        </w:rPr>
        <w:t>’</w:t>
      </w:r>
      <w:r w:rsidR="00D94914">
        <w:rPr>
          <w:rFonts w:ascii="Times New Roman" w:hAnsi="Times New Roman"/>
          <w:sz w:val="26"/>
          <w:szCs w:val="26"/>
        </w:rPr>
        <w:t xml:space="preserve">s </w:t>
      </w:r>
      <w:r w:rsidR="00FB370A">
        <w:rPr>
          <w:rFonts w:ascii="Times New Roman" w:hAnsi="Times New Roman"/>
          <w:sz w:val="26"/>
          <w:szCs w:val="26"/>
        </w:rPr>
        <w:t xml:space="preserve">proposed </w:t>
      </w:r>
      <w:r w:rsidR="00D94914">
        <w:rPr>
          <w:rFonts w:ascii="Times New Roman" w:hAnsi="Times New Roman"/>
          <w:sz w:val="26"/>
          <w:szCs w:val="26"/>
        </w:rPr>
        <w:t xml:space="preserve">DSP III program, PPL is responsible for the following </w:t>
      </w:r>
      <w:r w:rsidR="00CD2568">
        <w:rPr>
          <w:rFonts w:ascii="Times New Roman" w:hAnsi="Times New Roman"/>
          <w:sz w:val="26"/>
          <w:szCs w:val="26"/>
        </w:rPr>
        <w:t xml:space="preserve">NMB </w:t>
      </w:r>
      <w:r w:rsidR="00221473">
        <w:rPr>
          <w:rFonts w:ascii="Times New Roman" w:hAnsi="Times New Roman"/>
          <w:sz w:val="26"/>
          <w:szCs w:val="26"/>
        </w:rPr>
        <w:t>costs</w:t>
      </w:r>
      <w:r w:rsidR="00D94914">
        <w:rPr>
          <w:rFonts w:ascii="Times New Roman" w:hAnsi="Times New Roman"/>
          <w:sz w:val="26"/>
          <w:szCs w:val="26"/>
        </w:rPr>
        <w:t xml:space="preserve"> for default service customers: </w:t>
      </w:r>
    </w:p>
    <w:p w:rsidR="00D94914" w:rsidRPr="00D94914" w:rsidRDefault="00D94914" w:rsidP="00A2567A">
      <w:pPr>
        <w:rPr>
          <w:rFonts w:ascii="Times New Roman" w:hAnsi="Times New Roman"/>
          <w:sz w:val="26"/>
          <w:szCs w:val="26"/>
        </w:rPr>
      </w:pPr>
    </w:p>
    <w:p w:rsidR="00D94914" w:rsidRPr="00D94914" w:rsidRDefault="00A2567A" w:rsidP="00D94914">
      <w:pPr>
        <w:pStyle w:val="ListParagraph"/>
        <w:numPr>
          <w:ilvl w:val="0"/>
          <w:numId w:val="7"/>
        </w:numPr>
        <w:rPr>
          <w:rFonts w:ascii="Times New Roman" w:hAnsi="Times New Roman"/>
          <w:sz w:val="26"/>
          <w:szCs w:val="26"/>
        </w:rPr>
      </w:pPr>
      <w:r w:rsidRPr="00D94914">
        <w:rPr>
          <w:rFonts w:ascii="Times New Roman" w:hAnsi="Times New Roman"/>
          <w:sz w:val="26"/>
          <w:szCs w:val="26"/>
        </w:rPr>
        <w:t>Network Integrati</w:t>
      </w:r>
      <w:r w:rsidR="00D94914" w:rsidRPr="00D94914">
        <w:rPr>
          <w:rFonts w:ascii="Times New Roman" w:hAnsi="Times New Roman"/>
          <w:sz w:val="26"/>
          <w:szCs w:val="26"/>
        </w:rPr>
        <w:t>on Transmission Services (NITS)</w:t>
      </w:r>
    </w:p>
    <w:p w:rsidR="00D94914" w:rsidRPr="00D94914" w:rsidRDefault="00D94914" w:rsidP="00D94914">
      <w:pPr>
        <w:pStyle w:val="ListParagraph"/>
        <w:numPr>
          <w:ilvl w:val="0"/>
          <w:numId w:val="7"/>
        </w:numPr>
        <w:rPr>
          <w:rFonts w:ascii="Times New Roman" w:hAnsi="Times New Roman"/>
          <w:sz w:val="26"/>
          <w:szCs w:val="26"/>
        </w:rPr>
      </w:pPr>
      <w:r w:rsidRPr="00D94914">
        <w:rPr>
          <w:rFonts w:ascii="Times New Roman" w:hAnsi="Times New Roman"/>
          <w:sz w:val="26"/>
          <w:szCs w:val="26"/>
        </w:rPr>
        <w:t>T</w:t>
      </w:r>
      <w:r w:rsidR="00A2567A" w:rsidRPr="00D94914">
        <w:rPr>
          <w:rFonts w:ascii="Times New Roman" w:hAnsi="Times New Roman"/>
          <w:sz w:val="26"/>
          <w:szCs w:val="26"/>
        </w:rPr>
        <w:t>ransmission Enhancement</w:t>
      </w:r>
      <w:r w:rsidR="00A97F59" w:rsidRPr="00D94914">
        <w:rPr>
          <w:rFonts w:ascii="Times New Roman" w:hAnsi="Times New Roman"/>
          <w:sz w:val="26"/>
          <w:szCs w:val="26"/>
        </w:rPr>
        <w:t xml:space="preserve"> Costs</w:t>
      </w:r>
    </w:p>
    <w:p w:rsidR="00D94914" w:rsidRPr="00D94914" w:rsidRDefault="00A2567A" w:rsidP="00D94914">
      <w:pPr>
        <w:pStyle w:val="ListParagraph"/>
        <w:numPr>
          <w:ilvl w:val="0"/>
          <w:numId w:val="7"/>
        </w:numPr>
        <w:rPr>
          <w:rFonts w:ascii="Times New Roman" w:hAnsi="Times New Roman"/>
          <w:sz w:val="26"/>
          <w:szCs w:val="26"/>
        </w:rPr>
      </w:pPr>
      <w:r w:rsidRPr="00D94914">
        <w:rPr>
          <w:rFonts w:ascii="Times New Roman" w:hAnsi="Times New Roman"/>
          <w:sz w:val="26"/>
          <w:szCs w:val="26"/>
        </w:rPr>
        <w:lastRenderedPageBreak/>
        <w:t>Expansion Cost Recovery</w:t>
      </w:r>
      <w:r w:rsidR="00A97F59" w:rsidRPr="00D94914">
        <w:rPr>
          <w:rFonts w:ascii="Times New Roman" w:hAnsi="Times New Roman"/>
          <w:sz w:val="26"/>
          <w:szCs w:val="26"/>
        </w:rPr>
        <w:t xml:space="preserve"> Costs</w:t>
      </w:r>
    </w:p>
    <w:p w:rsidR="00D94914" w:rsidRPr="00D94914" w:rsidRDefault="00A97F59" w:rsidP="00D94914">
      <w:pPr>
        <w:pStyle w:val="ListParagraph"/>
        <w:numPr>
          <w:ilvl w:val="0"/>
          <w:numId w:val="7"/>
        </w:numPr>
        <w:rPr>
          <w:rFonts w:ascii="Times New Roman" w:hAnsi="Times New Roman"/>
          <w:sz w:val="26"/>
          <w:szCs w:val="26"/>
        </w:rPr>
      </w:pPr>
      <w:r w:rsidRPr="00D94914">
        <w:rPr>
          <w:rFonts w:ascii="Times New Roman" w:hAnsi="Times New Roman"/>
          <w:sz w:val="26"/>
          <w:szCs w:val="26"/>
        </w:rPr>
        <w:t>Non-firm Point-to-</w:t>
      </w:r>
      <w:r w:rsidR="00A2567A" w:rsidRPr="00D94914">
        <w:rPr>
          <w:rFonts w:ascii="Times New Roman" w:hAnsi="Times New Roman"/>
          <w:sz w:val="26"/>
          <w:szCs w:val="26"/>
        </w:rPr>
        <w:t>Point T</w:t>
      </w:r>
      <w:r w:rsidR="00D94914" w:rsidRPr="00D94914">
        <w:rPr>
          <w:rFonts w:ascii="Times New Roman" w:hAnsi="Times New Roman"/>
          <w:sz w:val="26"/>
          <w:szCs w:val="26"/>
        </w:rPr>
        <w:t>ransmission Service Credits</w:t>
      </w:r>
    </w:p>
    <w:p w:rsidR="00D94914" w:rsidRPr="00D94914" w:rsidRDefault="00A2567A" w:rsidP="00D94914">
      <w:pPr>
        <w:pStyle w:val="ListParagraph"/>
        <w:numPr>
          <w:ilvl w:val="0"/>
          <w:numId w:val="7"/>
        </w:numPr>
        <w:rPr>
          <w:rFonts w:ascii="Times New Roman" w:hAnsi="Times New Roman"/>
          <w:sz w:val="26"/>
          <w:szCs w:val="26"/>
        </w:rPr>
      </w:pPr>
      <w:r w:rsidRPr="00D94914">
        <w:rPr>
          <w:rFonts w:ascii="Times New Roman" w:hAnsi="Times New Roman"/>
          <w:sz w:val="26"/>
          <w:szCs w:val="26"/>
        </w:rPr>
        <w:t>Regional Transmission Expansion</w:t>
      </w:r>
      <w:r w:rsidR="00D94914">
        <w:rPr>
          <w:rFonts w:ascii="Times New Roman" w:hAnsi="Times New Roman"/>
          <w:sz w:val="26"/>
          <w:szCs w:val="26"/>
        </w:rPr>
        <w:t xml:space="preserve"> Plan</w:t>
      </w:r>
      <w:r w:rsidRPr="00D94914">
        <w:rPr>
          <w:rFonts w:ascii="Times New Roman" w:hAnsi="Times New Roman"/>
          <w:sz w:val="26"/>
          <w:szCs w:val="26"/>
        </w:rPr>
        <w:t xml:space="preserve"> (RTEP)</w:t>
      </w:r>
    </w:p>
    <w:p w:rsidR="00D94914" w:rsidRPr="00D94914" w:rsidRDefault="00D94914" w:rsidP="00D94914">
      <w:pPr>
        <w:pStyle w:val="ListParagraph"/>
        <w:numPr>
          <w:ilvl w:val="0"/>
          <w:numId w:val="7"/>
        </w:numPr>
        <w:rPr>
          <w:rFonts w:ascii="Times New Roman" w:hAnsi="Times New Roman"/>
          <w:sz w:val="26"/>
          <w:szCs w:val="26"/>
        </w:rPr>
      </w:pPr>
      <w:r w:rsidRPr="00D94914">
        <w:rPr>
          <w:rFonts w:ascii="Times New Roman" w:hAnsi="Times New Roman"/>
          <w:sz w:val="26"/>
          <w:szCs w:val="26"/>
        </w:rPr>
        <w:t>Generati</w:t>
      </w:r>
      <w:r>
        <w:rPr>
          <w:rFonts w:ascii="Times New Roman" w:hAnsi="Times New Roman"/>
          <w:sz w:val="26"/>
          <w:szCs w:val="26"/>
        </w:rPr>
        <w:t>on Deactivation Charges</w:t>
      </w:r>
    </w:p>
    <w:p w:rsidR="00D94914" w:rsidRDefault="00D94914" w:rsidP="00A2567A">
      <w:pPr>
        <w:rPr>
          <w:rFonts w:ascii="Times New Roman" w:hAnsi="Times New Roman"/>
          <w:sz w:val="26"/>
          <w:szCs w:val="26"/>
        </w:rPr>
      </w:pPr>
    </w:p>
    <w:p w:rsidR="0046536C" w:rsidRDefault="00CD2568" w:rsidP="00A2567A">
      <w:pPr>
        <w:rPr>
          <w:rFonts w:ascii="Times New Roman" w:hAnsi="Times New Roman"/>
          <w:sz w:val="26"/>
          <w:szCs w:val="26"/>
        </w:rPr>
      </w:pPr>
      <w:r w:rsidRPr="0046536C">
        <w:rPr>
          <w:rFonts w:ascii="Times New Roman" w:hAnsi="Times New Roman"/>
          <w:sz w:val="26"/>
          <w:szCs w:val="26"/>
        </w:rPr>
        <w:t>The wholesale supplier is responsible</w:t>
      </w:r>
      <w:r>
        <w:rPr>
          <w:rFonts w:ascii="Times New Roman" w:hAnsi="Times New Roman"/>
          <w:sz w:val="26"/>
          <w:szCs w:val="26"/>
        </w:rPr>
        <w:t xml:space="preserve"> for all other costs.  </w:t>
      </w:r>
      <w:r w:rsidR="00FB370A">
        <w:rPr>
          <w:rFonts w:ascii="Times New Roman" w:hAnsi="Times New Roman"/>
          <w:sz w:val="26"/>
          <w:szCs w:val="26"/>
        </w:rPr>
        <w:t xml:space="preserve">In addition, </w:t>
      </w:r>
      <w:r>
        <w:rPr>
          <w:rFonts w:ascii="Times New Roman" w:hAnsi="Times New Roman"/>
          <w:sz w:val="26"/>
          <w:szCs w:val="26"/>
        </w:rPr>
        <w:t>PPL</w:t>
      </w:r>
      <w:r w:rsidR="00803C65">
        <w:rPr>
          <w:rFonts w:ascii="Times New Roman" w:hAnsi="Times New Roman"/>
          <w:sz w:val="26"/>
          <w:szCs w:val="26"/>
        </w:rPr>
        <w:t>’</w:t>
      </w:r>
      <w:r>
        <w:rPr>
          <w:rFonts w:ascii="Times New Roman" w:hAnsi="Times New Roman"/>
          <w:sz w:val="26"/>
          <w:szCs w:val="26"/>
        </w:rPr>
        <w:t>s responsibility for these NMB costs relates to default service only</w:t>
      </w:r>
      <w:r w:rsidR="00FB370A">
        <w:rPr>
          <w:rFonts w:ascii="Times New Roman" w:hAnsi="Times New Roman"/>
          <w:sz w:val="26"/>
          <w:szCs w:val="26"/>
        </w:rPr>
        <w:t>, and the Company</w:t>
      </w:r>
      <w:r w:rsidR="0046536C">
        <w:rPr>
          <w:rFonts w:ascii="Times New Roman" w:hAnsi="Times New Roman"/>
          <w:sz w:val="26"/>
          <w:szCs w:val="26"/>
        </w:rPr>
        <w:t xml:space="preserve"> recovers these costs from its default service customers through its TSC</w:t>
      </w:r>
      <w:r>
        <w:rPr>
          <w:rFonts w:ascii="Times New Roman" w:hAnsi="Times New Roman"/>
          <w:sz w:val="26"/>
          <w:szCs w:val="26"/>
        </w:rPr>
        <w:t xml:space="preserve">.  All costs incurred by retail EGSs, including NMB costs, are </w:t>
      </w:r>
      <w:r w:rsidR="0046536C">
        <w:rPr>
          <w:rFonts w:ascii="Times New Roman" w:hAnsi="Times New Roman"/>
          <w:sz w:val="26"/>
          <w:szCs w:val="26"/>
        </w:rPr>
        <w:t>the responsibility of the EGS.</w:t>
      </w:r>
      <w:r w:rsidR="0046536C" w:rsidRPr="0046536C">
        <w:rPr>
          <w:rFonts w:ascii="Times New Roman" w:hAnsi="Times New Roman"/>
          <w:sz w:val="26"/>
          <w:szCs w:val="26"/>
        </w:rPr>
        <w:t xml:space="preserve"> </w:t>
      </w:r>
      <w:r w:rsidR="0046536C">
        <w:rPr>
          <w:rFonts w:ascii="Times New Roman" w:hAnsi="Times New Roman"/>
          <w:sz w:val="26"/>
          <w:szCs w:val="26"/>
        </w:rPr>
        <w:t xml:space="preserve"> </w:t>
      </w:r>
      <w:r w:rsidR="0046536C" w:rsidRPr="0046536C">
        <w:rPr>
          <w:rFonts w:ascii="Times New Roman" w:hAnsi="Times New Roman"/>
          <w:sz w:val="26"/>
          <w:szCs w:val="26"/>
        </w:rPr>
        <w:t xml:space="preserve">PPL M.B. at 15; PPL St. 1-R at 42; PPL </w:t>
      </w:r>
      <w:proofErr w:type="spellStart"/>
      <w:r w:rsidR="0046536C" w:rsidRPr="0046536C">
        <w:rPr>
          <w:rFonts w:ascii="Times New Roman" w:hAnsi="Times New Roman"/>
          <w:sz w:val="26"/>
          <w:szCs w:val="26"/>
        </w:rPr>
        <w:t>Exh</w:t>
      </w:r>
      <w:proofErr w:type="spellEnd"/>
      <w:r w:rsidR="0046536C" w:rsidRPr="0046536C">
        <w:rPr>
          <w:rFonts w:ascii="Times New Roman" w:hAnsi="Times New Roman"/>
          <w:sz w:val="26"/>
          <w:szCs w:val="26"/>
        </w:rPr>
        <w:t xml:space="preserve">. 1, Attachment B, Appendix C; PPL </w:t>
      </w:r>
      <w:proofErr w:type="spellStart"/>
      <w:r w:rsidR="0046536C" w:rsidRPr="0046536C">
        <w:rPr>
          <w:rFonts w:ascii="Times New Roman" w:hAnsi="Times New Roman"/>
          <w:sz w:val="26"/>
          <w:szCs w:val="26"/>
        </w:rPr>
        <w:t>Exh</w:t>
      </w:r>
      <w:proofErr w:type="spellEnd"/>
      <w:r w:rsidR="0046536C" w:rsidRPr="0046536C">
        <w:rPr>
          <w:rFonts w:ascii="Times New Roman" w:hAnsi="Times New Roman"/>
          <w:sz w:val="26"/>
          <w:szCs w:val="26"/>
        </w:rPr>
        <w:t xml:space="preserve">. JMR-9-R.  </w:t>
      </w:r>
    </w:p>
    <w:p w:rsidR="0046536C" w:rsidRDefault="0046536C" w:rsidP="00A2567A">
      <w:pPr>
        <w:rPr>
          <w:rFonts w:ascii="Times New Roman" w:hAnsi="Times New Roman"/>
          <w:sz w:val="26"/>
          <w:szCs w:val="26"/>
        </w:rPr>
      </w:pPr>
    </w:p>
    <w:p w:rsidR="00A2567A" w:rsidRPr="009A4BE2" w:rsidRDefault="0046536C" w:rsidP="009A4BE2">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22703E">
        <w:rPr>
          <w:rFonts w:ascii="Times New Roman" w:hAnsi="Times New Roman"/>
          <w:sz w:val="26"/>
          <w:szCs w:val="26"/>
        </w:rPr>
        <w:t xml:space="preserve">PPL noted that this assignment of NMB cost </w:t>
      </w:r>
      <w:r w:rsidR="0022703E" w:rsidRPr="00700AD1">
        <w:rPr>
          <w:rFonts w:ascii="Times New Roman" w:hAnsi="Times New Roman"/>
          <w:sz w:val="26"/>
          <w:szCs w:val="26"/>
        </w:rPr>
        <w:t xml:space="preserve">responsibility is identical to that </w:t>
      </w:r>
      <w:r w:rsidR="00A273F2" w:rsidRPr="00700AD1">
        <w:rPr>
          <w:rFonts w:ascii="Times New Roman" w:hAnsi="Times New Roman"/>
          <w:sz w:val="26"/>
          <w:szCs w:val="26"/>
        </w:rPr>
        <w:t>approved in its DSP II program.  PPL ha</w:t>
      </w:r>
      <w:r w:rsidR="00A45D75" w:rsidRPr="00700AD1">
        <w:rPr>
          <w:rFonts w:ascii="Times New Roman" w:hAnsi="Times New Roman"/>
          <w:sz w:val="26"/>
          <w:szCs w:val="26"/>
        </w:rPr>
        <w:t>s</w:t>
      </w:r>
      <w:r w:rsidR="00A273F2" w:rsidRPr="00700AD1">
        <w:rPr>
          <w:rFonts w:ascii="Times New Roman" w:hAnsi="Times New Roman"/>
          <w:sz w:val="26"/>
          <w:szCs w:val="26"/>
        </w:rPr>
        <w:t xml:space="preserve"> not proposed to change the responsibility for NMB charges in its DSP III program.  </w:t>
      </w:r>
      <w:r w:rsidRPr="00700AD1">
        <w:rPr>
          <w:rFonts w:ascii="Times New Roman" w:hAnsi="Times New Roman"/>
          <w:sz w:val="26"/>
          <w:szCs w:val="26"/>
        </w:rPr>
        <w:t>PPL M.B. at 15</w:t>
      </w:r>
      <w:r w:rsidR="00A273F2" w:rsidRPr="00700AD1">
        <w:rPr>
          <w:rFonts w:ascii="Times New Roman" w:hAnsi="Times New Roman"/>
          <w:sz w:val="26"/>
          <w:szCs w:val="26"/>
        </w:rPr>
        <w:t>.</w:t>
      </w:r>
      <w:r w:rsidR="006C07C2" w:rsidRPr="00700AD1">
        <w:rPr>
          <w:rFonts w:ascii="Times New Roman" w:hAnsi="Times New Roman"/>
          <w:sz w:val="26"/>
          <w:szCs w:val="26"/>
        </w:rPr>
        <w:t xml:space="preserve">  </w:t>
      </w:r>
      <w:r w:rsidR="00700AD1">
        <w:rPr>
          <w:rFonts w:ascii="Times New Roman" w:hAnsi="Times New Roman"/>
          <w:sz w:val="26"/>
          <w:szCs w:val="26"/>
        </w:rPr>
        <w:t>Moreover, PPL noted that proposals to hold PPL responsible for NMB costs relating to both default service load and shopping load were rejected by the Commission</w:t>
      </w:r>
      <w:r w:rsidR="00700AD1" w:rsidRPr="00700AD1">
        <w:rPr>
          <w:rFonts w:ascii="Times New Roman" w:hAnsi="Times New Roman"/>
          <w:sz w:val="26"/>
          <w:szCs w:val="26"/>
        </w:rPr>
        <w:t xml:space="preserve"> in the </w:t>
      </w:r>
      <w:r w:rsidR="00FE5D70">
        <w:rPr>
          <w:rFonts w:ascii="Times New Roman" w:hAnsi="Times New Roman"/>
          <w:i/>
          <w:sz w:val="26"/>
          <w:szCs w:val="26"/>
        </w:rPr>
        <w:t>PPL DSP II Order</w:t>
      </w:r>
      <w:r w:rsidR="00D079BD">
        <w:rPr>
          <w:rFonts w:ascii="Times New Roman" w:hAnsi="Times New Roman"/>
          <w:i/>
          <w:sz w:val="26"/>
          <w:szCs w:val="26"/>
        </w:rPr>
        <w:t>.</w:t>
      </w:r>
      <w:r w:rsidR="00D079BD">
        <w:rPr>
          <w:rFonts w:ascii="Times New Roman" w:hAnsi="Times New Roman"/>
          <w:sz w:val="26"/>
          <w:szCs w:val="26"/>
        </w:rPr>
        <w:t xml:space="preserve">  </w:t>
      </w:r>
      <w:r w:rsidR="00D079BD" w:rsidRPr="00D079BD">
        <w:rPr>
          <w:rFonts w:ascii="Times New Roman" w:hAnsi="Times New Roman"/>
          <w:i/>
          <w:sz w:val="26"/>
          <w:szCs w:val="26"/>
        </w:rPr>
        <w:t>Id</w:t>
      </w:r>
      <w:r w:rsidR="00D079BD">
        <w:rPr>
          <w:rFonts w:ascii="Times New Roman" w:hAnsi="Times New Roman"/>
          <w:sz w:val="26"/>
          <w:szCs w:val="26"/>
        </w:rPr>
        <w:t>. at 17.</w:t>
      </w:r>
      <w:r w:rsidR="00700AD1" w:rsidRPr="00700AD1">
        <w:rPr>
          <w:rFonts w:ascii="Times New Roman" w:hAnsi="Times New Roman"/>
          <w:sz w:val="26"/>
          <w:szCs w:val="26"/>
        </w:rPr>
        <w:t xml:space="preserve"> </w:t>
      </w:r>
      <w:r w:rsidR="001648B5">
        <w:rPr>
          <w:rFonts w:ascii="Times New Roman" w:hAnsi="Times New Roman"/>
          <w:sz w:val="26"/>
          <w:szCs w:val="26"/>
        </w:rPr>
        <w:t xml:space="preserve"> </w:t>
      </w:r>
    </w:p>
    <w:p w:rsidR="00A2567A" w:rsidRDefault="00A2567A" w:rsidP="00A2567A">
      <w:pPr>
        <w:rPr>
          <w:rFonts w:ascii="Times New Roman" w:hAnsi="Times New Roman"/>
          <w:sz w:val="26"/>
          <w:szCs w:val="26"/>
        </w:rPr>
      </w:pPr>
    </w:p>
    <w:p w:rsidR="001648B5" w:rsidRPr="00BC28A2" w:rsidRDefault="001648B5" w:rsidP="001648B5">
      <w:pPr>
        <w:pStyle w:val="OutlineL2"/>
        <w:keepNext/>
        <w:keepLines/>
        <w:numPr>
          <w:ilvl w:val="0"/>
          <w:numId w:val="0"/>
        </w:numPr>
        <w:tabs>
          <w:tab w:val="left" w:pos="0"/>
        </w:tabs>
        <w:spacing w:after="0" w:line="360" w:lineRule="auto"/>
        <w:rPr>
          <w:b/>
          <w:sz w:val="26"/>
          <w:szCs w:val="26"/>
        </w:rPr>
      </w:pPr>
      <w:r>
        <w:rPr>
          <w:b/>
          <w:sz w:val="26"/>
          <w:szCs w:val="26"/>
        </w:rPr>
        <w:tab/>
      </w:r>
      <w:r w:rsidRPr="00BC28A2">
        <w:rPr>
          <w:b/>
          <w:sz w:val="26"/>
          <w:szCs w:val="26"/>
        </w:rPr>
        <w:t>1.</w:t>
      </w:r>
      <w:r w:rsidRPr="00BC28A2">
        <w:rPr>
          <w:b/>
          <w:sz w:val="26"/>
          <w:szCs w:val="26"/>
        </w:rPr>
        <w:tab/>
        <w:t>Positions of the Parties</w:t>
      </w:r>
    </w:p>
    <w:p w:rsidR="001648B5" w:rsidRDefault="001648B5" w:rsidP="00A2567A">
      <w:pPr>
        <w:rPr>
          <w:rFonts w:ascii="Times New Roman" w:hAnsi="Times New Roman"/>
          <w:sz w:val="26"/>
          <w:szCs w:val="26"/>
        </w:rPr>
      </w:pPr>
    </w:p>
    <w:p w:rsidR="001648B5" w:rsidRPr="001648B5" w:rsidRDefault="001648B5" w:rsidP="00A2567A">
      <w:pPr>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sidRPr="001648B5">
        <w:rPr>
          <w:rFonts w:ascii="Times New Roman" w:hAnsi="Times New Roman"/>
          <w:b/>
          <w:sz w:val="26"/>
          <w:szCs w:val="26"/>
        </w:rPr>
        <w:t>a.</w:t>
      </w:r>
      <w:r w:rsidRPr="001648B5">
        <w:rPr>
          <w:rFonts w:ascii="Times New Roman" w:hAnsi="Times New Roman"/>
          <w:b/>
          <w:sz w:val="26"/>
          <w:szCs w:val="26"/>
        </w:rPr>
        <w:tab/>
        <w:t>RESA</w:t>
      </w:r>
      <w:r w:rsidR="00803C65">
        <w:rPr>
          <w:rFonts w:ascii="Times New Roman" w:hAnsi="Times New Roman"/>
          <w:b/>
          <w:sz w:val="26"/>
          <w:szCs w:val="26"/>
        </w:rPr>
        <w:t>’</w:t>
      </w:r>
      <w:r w:rsidRPr="001648B5">
        <w:rPr>
          <w:rFonts w:ascii="Times New Roman" w:hAnsi="Times New Roman"/>
          <w:b/>
          <w:sz w:val="26"/>
          <w:szCs w:val="26"/>
        </w:rPr>
        <w:t>s Position</w:t>
      </w:r>
    </w:p>
    <w:p w:rsidR="001648B5" w:rsidRDefault="001648B5" w:rsidP="00A2567A">
      <w:pPr>
        <w:rPr>
          <w:rFonts w:ascii="Times New Roman" w:hAnsi="Times New Roman"/>
          <w:sz w:val="26"/>
          <w:szCs w:val="26"/>
        </w:rPr>
      </w:pPr>
    </w:p>
    <w:p w:rsidR="00A2567A" w:rsidRDefault="001648B5" w:rsidP="00A2567A">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RESA</w:t>
      </w:r>
      <w:r w:rsidR="00380FC3">
        <w:rPr>
          <w:rFonts w:ascii="Times New Roman" w:hAnsi="Times New Roman"/>
          <w:sz w:val="26"/>
          <w:szCs w:val="26"/>
        </w:rPr>
        <w:t xml:space="preserve"> and </w:t>
      </w:r>
      <w:proofErr w:type="spellStart"/>
      <w:r w:rsidR="00380FC3">
        <w:rPr>
          <w:rFonts w:ascii="Times New Roman" w:hAnsi="Times New Roman"/>
          <w:sz w:val="26"/>
          <w:szCs w:val="26"/>
        </w:rPr>
        <w:t>ExGen</w:t>
      </w:r>
      <w:proofErr w:type="spellEnd"/>
      <w:r w:rsidR="00380FC3">
        <w:rPr>
          <w:rFonts w:ascii="Times New Roman" w:hAnsi="Times New Roman"/>
          <w:sz w:val="26"/>
          <w:szCs w:val="26"/>
        </w:rPr>
        <w:t xml:space="preserve"> both take</w:t>
      </w:r>
      <w:r>
        <w:rPr>
          <w:rFonts w:ascii="Times New Roman" w:hAnsi="Times New Roman"/>
          <w:sz w:val="26"/>
          <w:szCs w:val="26"/>
        </w:rPr>
        <w:t xml:space="preserve"> iss</w:t>
      </w:r>
      <w:r w:rsidR="00F02041">
        <w:rPr>
          <w:rFonts w:ascii="Times New Roman" w:hAnsi="Times New Roman"/>
          <w:sz w:val="26"/>
          <w:szCs w:val="26"/>
        </w:rPr>
        <w:t>ue with PPL</w:t>
      </w:r>
      <w:r w:rsidR="00803C65">
        <w:rPr>
          <w:rFonts w:ascii="Times New Roman" w:hAnsi="Times New Roman"/>
          <w:sz w:val="26"/>
          <w:szCs w:val="26"/>
        </w:rPr>
        <w:t>’</w:t>
      </w:r>
      <w:r w:rsidR="00F02041">
        <w:rPr>
          <w:rFonts w:ascii="Times New Roman" w:hAnsi="Times New Roman"/>
          <w:sz w:val="26"/>
          <w:szCs w:val="26"/>
        </w:rPr>
        <w:t xml:space="preserve">s plan to retain the current arrangement with regard to NMB cost responsibility in its DSP III program. </w:t>
      </w:r>
      <w:r w:rsidR="008A320D">
        <w:rPr>
          <w:rFonts w:ascii="Times New Roman" w:hAnsi="Times New Roman"/>
          <w:sz w:val="26"/>
          <w:szCs w:val="26"/>
        </w:rPr>
        <w:t xml:space="preserve"> </w:t>
      </w:r>
      <w:r w:rsidR="00F02041">
        <w:rPr>
          <w:rFonts w:ascii="Times New Roman" w:hAnsi="Times New Roman"/>
          <w:sz w:val="26"/>
          <w:szCs w:val="26"/>
        </w:rPr>
        <w:t>RESA recommends</w:t>
      </w:r>
      <w:r w:rsidRPr="00700AD1">
        <w:rPr>
          <w:rFonts w:ascii="Times New Roman" w:hAnsi="Times New Roman"/>
          <w:sz w:val="26"/>
          <w:szCs w:val="26"/>
        </w:rPr>
        <w:t xml:space="preserve"> that PPL be directed to assume the cost responsibility for</w:t>
      </w:r>
      <w:r w:rsidR="00F02041">
        <w:rPr>
          <w:rFonts w:ascii="Times New Roman" w:hAnsi="Times New Roman"/>
          <w:sz w:val="26"/>
          <w:szCs w:val="26"/>
        </w:rPr>
        <w:t xml:space="preserve"> the NMB costs</w:t>
      </w:r>
      <w:r w:rsidRPr="00700AD1">
        <w:rPr>
          <w:rFonts w:ascii="Times New Roman" w:hAnsi="Times New Roman"/>
          <w:sz w:val="26"/>
          <w:szCs w:val="26"/>
        </w:rPr>
        <w:t xml:space="preserve"> on behalf of </w:t>
      </w:r>
      <w:r w:rsidRPr="00F02041">
        <w:rPr>
          <w:rFonts w:ascii="Times New Roman" w:hAnsi="Times New Roman"/>
          <w:i/>
          <w:sz w:val="26"/>
          <w:szCs w:val="26"/>
        </w:rPr>
        <w:t>both</w:t>
      </w:r>
      <w:r w:rsidRPr="00700AD1">
        <w:rPr>
          <w:rFonts w:ascii="Times New Roman" w:hAnsi="Times New Roman"/>
          <w:sz w:val="26"/>
          <w:szCs w:val="26"/>
        </w:rPr>
        <w:t xml:space="preserve"> the wholesale</w:t>
      </w:r>
      <w:r>
        <w:rPr>
          <w:rFonts w:ascii="Times New Roman" w:hAnsi="Times New Roman"/>
          <w:sz w:val="26"/>
          <w:szCs w:val="26"/>
        </w:rPr>
        <w:t xml:space="preserve"> default service suppliers </w:t>
      </w:r>
      <w:r w:rsidRPr="00A45D75">
        <w:rPr>
          <w:rFonts w:ascii="Times New Roman" w:hAnsi="Times New Roman"/>
          <w:i/>
          <w:sz w:val="26"/>
          <w:szCs w:val="26"/>
        </w:rPr>
        <w:t>and</w:t>
      </w:r>
      <w:r>
        <w:rPr>
          <w:rFonts w:ascii="Times New Roman" w:hAnsi="Times New Roman"/>
          <w:sz w:val="26"/>
          <w:szCs w:val="26"/>
        </w:rPr>
        <w:t xml:space="preserve"> EGSs, and to recover </w:t>
      </w:r>
      <w:r w:rsidRPr="00E2770C">
        <w:rPr>
          <w:rFonts w:ascii="Times New Roman" w:hAnsi="Times New Roman"/>
          <w:sz w:val="26"/>
          <w:szCs w:val="26"/>
        </w:rPr>
        <w:t>these costs from all customers—both default service customers and shopping customers—through a non-</w:t>
      </w:r>
      <w:proofErr w:type="spellStart"/>
      <w:r w:rsidRPr="00E2770C">
        <w:rPr>
          <w:rFonts w:ascii="Times New Roman" w:hAnsi="Times New Roman"/>
          <w:sz w:val="26"/>
          <w:szCs w:val="26"/>
        </w:rPr>
        <w:t>bypas</w:t>
      </w:r>
      <w:r>
        <w:rPr>
          <w:rFonts w:ascii="Times New Roman" w:hAnsi="Times New Roman"/>
          <w:sz w:val="26"/>
          <w:szCs w:val="26"/>
        </w:rPr>
        <w:t>sable</w:t>
      </w:r>
      <w:proofErr w:type="spellEnd"/>
      <w:r>
        <w:rPr>
          <w:rFonts w:ascii="Times New Roman" w:hAnsi="Times New Roman"/>
          <w:sz w:val="26"/>
          <w:szCs w:val="26"/>
        </w:rPr>
        <w:t xml:space="preserve"> charge.  RESA M.B. at 8-9.</w:t>
      </w:r>
      <w:r w:rsidR="00F02041">
        <w:rPr>
          <w:rFonts w:ascii="Times New Roman" w:hAnsi="Times New Roman"/>
          <w:sz w:val="26"/>
          <w:szCs w:val="26"/>
        </w:rPr>
        <w:t xml:space="preserve">  </w:t>
      </w:r>
      <w:r w:rsidR="005B148F">
        <w:rPr>
          <w:rFonts w:ascii="Times New Roman" w:hAnsi="Times New Roman"/>
          <w:sz w:val="26"/>
          <w:szCs w:val="26"/>
        </w:rPr>
        <w:t>RESA</w:t>
      </w:r>
      <w:r w:rsidR="00F02041">
        <w:rPr>
          <w:rFonts w:ascii="Times New Roman" w:hAnsi="Times New Roman"/>
          <w:sz w:val="26"/>
          <w:szCs w:val="26"/>
        </w:rPr>
        <w:t xml:space="preserve"> asserted that </w:t>
      </w:r>
      <w:r w:rsidR="009A4BE2">
        <w:rPr>
          <w:rFonts w:ascii="Times New Roman" w:hAnsi="Times New Roman"/>
          <w:sz w:val="26"/>
          <w:szCs w:val="26"/>
        </w:rPr>
        <w:t xml:space="preserve">NMB costs </w:t>
      </w:r>
      <w:r w:rsidR="009A4BE2" w:rsidRPr="009A4BE2">
        <w:rPr>
          <w:rFonts w:ascii="Times New Roman" w:hAnsi="Times New Roman"/>
          <w:sz w:val="26"/>
          <w:szCs w:val="26"/>
        </w:rPr>
        <w:t xml:space="preserve">are unpredictable and cannot be hedged by competitive retail suppliers or wholesale default service suppliers.  </w:t>
      </w:r>
      <w:r w:rsidR="009A4BE2" w:rsidRPr="009A4BE2">
        <w:rPr>
          <w:rFonts w:ascii="Times New Roman" w:hAnsi="Times New Roman"/>
          <w:i/>
          <w:sz w:val="26"/>
          <w:szCs w:val="26"/>
        </w:rPr>
        <w:t>Id</w:t>
      </w:r>
      <w:r w:rsidR="009A4BE2">
        <w:rPr>
          <w:rFonts w:ascii="Times New Roman" w:hAnsi="Times New Roman"/>
          <w:sz w:val="26"/>
          <w:szCs w:val="26"/>
        </w:rPr>
        <w:t xml:space="preserve">. at 9.  </w:t>
      </w:r>
      <w:r w:rsidR="00F02041">
        <w:rPr>
          <w:rFonts w:ascii="Times New Roman" w:hAnsi="Times New Roman"/>
          <w:sz w:val="26"/>
          <w:szCs w:val="26"/>
        </w:rPr>
        <w:t xml:space="preserve">Thus, </w:t>
      </w:r>
      <w:r w:rsidR="009A4BE2">
        <w:rPr>
          <w:rFonts w:ascii="Times New Roman" w:hAnsi="Times New Roman"/>
          <w:sz w:val="26"/>
          <w:szCs w:val="26"/>
        </w:rPr>
        <w:t xml:space="preserve">RESA </w:t>
      </w:r>
      <w:r w:rsidR="005B148F">
        <w:rPr>
          <w:rFonts w:ascii="Times New Roman" w:hAnsi="Times New Roman"/>
          <w:sz w:val="26"/>
          <w:szCs w:val="26"/>
        </w:rPr>
        <w:t xml:space="preserve">contended that allowing PPL to assume </w:t>
      </w:r>
      <w:r w:rsidR="005B148F">
        <w:rPr>
          <w:rFonts w:ascii="Times New Roman" w:hAnsi="Times New Roman"/>
          <w:sz w:val="26"/>
          <w:szCs w:val="26"/>
        </w:rPr>
        <w:lastRenderedPageBreak/>
        <w:t>the cost responsibility for</w:t>
      </w:r>
      <w:r w:rsidR="009A4BE2">
        <w:rPr>
          <w:rFonts w:ascii="Times New Roman" w:hAnsi="Times New Roman"/>
          <w:sz w:val="26"/>
          <w:szCs w:val="26"/>
        </w:rPr>
        <w:t xml:space="preserve"> these costs on behalf of</w:t>
      </w:r>
      <w:r w:rsidR="005B148F">
        <w:rPr>
          <w:rFonts w:ascii="Times New Roman" w:hAnsi="Times New Roman"/>
          <w:sz w:val="26"/>
          <w:szCs w:val="26"/>
        </w:rPr>
        <w:t xml:space="preserve"> only wholesale default service suppliers rather than for all load unfairly shifts a competitive advantage to PPL for default service, because the wholesale default service suppliers wi</w:t>
      </w:r>
      <w:r w:rsidR="00FB370A">
        <w:rPr>
          <w:rFonts w:ascii="Times New Roman" w:hAnsi="Times New Roman"/>
          <w:sz w:val="26"/>
          <w:szCs w:val="26"/>
        </w:rPr>
        <w:t xml:space="preserve">ll not be required to factor </w:t>
      </w:r>
      <w:r w:rsidR="005B148F">
        <w:rPr>
          <w:rFonts w:ascii="Times New Roman" w:hAnsi="Times New Roman"/>
          <w:sz w:val="26"/>
          <w:szCs w:val="26"/>
        </w:rPr>
        <w:t xml:space="preserve">the risk of future price increases in NMB charges into the bids they submit for default service supply.  </w:t>
      </w:r>
      <w:r w:rsidR="00D87EE0">
        <w:rPr>
          <w:rFonts w:ascii="Times New Roman" w:hAnsi="Times New Roman"/>
          <w:sz w:val="26"/>
          <w:szCs w:val="26"/>
        </w:rPr>
        <w:t>PPL will simply pass through the NMB charges to its defaul</w:t>
      </w:r>
      <w:r w:rsidR="00385E16">
        <w:rPr>
          <w:rFonts w:ascii="Times New Roman" w:hAnsi="Times New Roman"/>
          <w:sz w:val="26"/>
          <w:szCs w:val="26"/>
        </w:rPr>
        <w:t>t service customers through its TSC rider</w:t>
      </w:r>
      <w:r w:rsidR="00D87EE0">
        <w:rPr>
          <w:rFonts w:ascii="Times New Roman" w:hAnsi="Times New Roman"/>
          <w:sz w:val="26"/>
          <w:szCs w:val="26"/>
        </w:rPr>
        <w:t xml:space="preserve"> without any additional amount to account for the risk of future price increases to these charges.  In contrast, RESA asserted that the retail price offered by EGSs must account for the current transmission rate, as well as an amount to account for the risk of potential future increases in the NMB charges.  Thus, RESA stated that shopping customers may be required to pay more if an EGS chooses to embed a risk premium into its pricing.</w:t>
      </w:r>
      <w:r w:rsidR="007F76D8">
        <w:rPr>
          <w:rFonts w:ascii="Times New Roman" w:hAnsi="Times New Roman"/>
          <w:sz w:val="26"/>
          <w:szCs w:val="26"/>
        </w:rPr>
        <w:t xml:space="preserve">  </w:t>
      </w:r>
      <w:r w:rsidR="007F76D8" w:rsidRPr="007F76D8">
        <w:rPr>
          <w:rFonts w:ascii="Times New Roman" w:hAnsi="Times New Roman"/>
          <w:i/>
          <w:sz w:val="26"/>
          <w:szCs w:val="26"/>
        </w:rPr>
        <w:t>Id</w:t>
      </w:r>
      <w:r w:rsidR="007F76D8">
        <w:rPr>
          <w:rFonts w:ascii="Times New Roman" w:hAnsi="Times New Roman"/>
          <w:sz w:val="26"/>
          <w:szCs w:val="26"/>
        </w:rPr>
        <w:t>. at 12.</w:t>
      </w:r>
    </w:p>
    <w:p w:rsidR="00F24984" w:rsidRDefault="00F24984" w:rsidP="00A2567A">
      <w:pPr>
        <w:rPr>
          <w:rFonts w:ascii="Times New Roman" w:hAnsi="Times New Roman"/>
          <w:sz w:val="26"/>
          <w:szCs w:val="26"/>
        </w:rPr>
      </w:pPr>
    </w:p>
    <w:p w:rsidR="00F24984" w:rsidRPr="008F74FD" w:rsidRDefault="00F24984" w:rsidP="00A2567A">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8F74FD">
        <w:rPr>
          <w:rFonts w:ascii="Times New Roman" w:hAnsi="Times New Roman"/>
          <w:sz w:val="26"/>
          <w:szCs w:val="26"/>
        </w:rPr>
        <w:t>RESA noted that</w:t>
      </w:r>
      <w:r w:rsidR="00FB370A">
        <w:rPr>
          <w:rFonts w:ascii="Times New Roman" w:hAnsi="Times New Roman"/>
          <w:sz w:val="26"/>
          <w:szCs w:val="26"/>
        </w:rPr>
        <w:t xml:space="preserve"> in</w:t>
      </w:r>
      <w:r w:rsidR="00FB370A" w:rsidRPr="00FB370A">
        <w:rPr>
          <w:rFonts w:ascii="Times New Roman" w:hAnsi="Times New Roman"/>
          <w:i/>
          <w:sz w:val="26"/>
          <w:szCs w:val="26"/>
        </w:rPr>
        <w:t xml:space="preserve"> </w:t>
      </w:r>
      <w:r w:rsidR="00FB370A">
        <w:rPr>
          <w:rFonts w:ascii="Times New Roman" w:hAnsi="Times New Roman"/>
          <w:i/>
          <w:sz w:val="26"/>
          <w:szCs w:val="26"/>
        </w:rPr>
        <w:t>PPL DSP II</w:t>
      </w:r>
      <w:r w:rsidR="00FB370A">
        <w:rPr>
          <w:rFonts w:ascii="Times New Roman" w:hAnsi="Times New Roman"/>
          <w:sz w:val="26"/>
          <w:szCs w:val="26"/>
        </w:rPr>
        <w:t>,</w:t>
      </w:r>
      <w:r w:rsidRPr="008F74FD">
        <w:rPr>
          <w:rFonts w:ascii="Times New Roman" w:hAnsi="Times New Roman"/>
          <w:sz w:val="26"/>
          <w:szCs w:val="26"/>
        </w:rPr>
        <w:t xml:space="preserve"> the Commission</w:t>
      </w:r>
      <w:r w:rsidR="00FB370A">
        <w:rPr>
          <w:rFonts w:ascii="Times New Roman" w:hAnsi="Times New Roman"/>
          <w:sz w:val="26"/>
          <w:szCs w:val="26"/>
        </w:rPr>
        <w:t xml:space="preserve"> concluded that EGSs had</w:t>
      </w:r>
      <w:r w:rsidRPr="008F74FD">
        <w:rPr>
          <w:rFonts w:ascii="Times New Roman" w:hAnsi="Times New Roman"/>
          <w:sz w:val="26"/>
          <w:szCs w:val="26"/>
        </w:rPr>
        <w:t xml:space="preserve"> the ability to adjust to changes in NMB costs through special contract terms with their customers, while wholesale suppliers do not.  </w:t>
      </w:r>
      <w:r w:rsidRPr="008F74FD">
        <w:rPr>
          <w:rFonts w:ascii="Times New Roman" w:hAnsi="Times New Roman"/>
          <w:i/>
          <w:sz w:val="26"/>
          <w:szCs w:val="26"/>
        </w:rPr>
        <w:t>Id</w:t>
      </w:r>
      <w:r w:rsidRPr="008F74FD">
        <w:rPr>
          <w:rFonts w:ascii="Times New Roman" w:hAnsi="Times New Roman"/>
          <w:sz w:val="26"/>
          <w:szCs w:val="26"/>
        </w:rPr>
        <w:t xml:space="preserve">. at 13 (citing </w:t>
      </w:r>
      <w:r w:rsidR="00FE5D70">
        <w:rPr>
          <w:rFonts w:ascii="Times New Roman" w:hAnsi="Times New Roman"/>
          <w:i/>
          <w:sz w:val="26"/>
          <w:szCs w:val="26"/>
        </w:rPr>
        <w:t>PPL DSP II Order</w:t>
      </w:r>
      <w:r w:rsidRPr="008F74FD">
        <w:rPr>
          <w:rFonts w:ascii="Times New Roman" w:hAnsi="Times New Roman"/>
          <w:i/>
          <w:sz w:val="26"/>
          <w:szCs w:val="26"/>
        </w:rPr>
        <w:t xml:space="preserve"> </w:t>
      </w:r>
      <w:r w:rsidRPr="008F74FD">
        <w:rPr>
          <w:rFonts w:ascii="Times New Roman" w:hAnsi="Times New Roman"/>
          <w:sz w:val="26"/>
          <w:szCs w:val="26"/>
        </w:rPr>
        <w:t>at 86)</w:t>
      </w:r>
      <w:r w:rsidR="006A038D" w:rsidRPr="008F74FD">
        <w:rPr>
          <w:rFonts w:ascii="Times New Roman" w:hAnsi="Times New Roman"/>
          <w:sz w:val="26"/>
          <w:szCs w:val="26"/>
        </w:rPr>
        <w:t>.  However, RESA argued that this option has now been curtailed by the Commission</w:t>
      </w:r>
      <w:r w:rsidR="00803C65">
        <w:rPr>
          <w:rFonts w:ascii="Times New Roman" w:hAnsi="Times New Roman"/>
          <w:sz w:val="26"/>
          <w:szCs w:val="26"/>
        </w:rPr>
        <w:t>’</w:t>
      </w:r>
      <w:r w:rsidR="006A038D" w:rsidRPr="008F74FD">
        <w:rPr>
          <w:rFonts w:ascii="Times New Roman" w:hAnsi="Times New Roman"/>
          <w:sz w:val="26"/>
          <w:szCs w:val="26"/>
        </w:rPr>
        <w:t xml:space="preserve">s determination that </w:t>
      </w:r>
      <w:r w:rsidR="00EC5372">
        <w:rPr>
          <w:rFonts w:ascii="Times New Roman" w:hAnsi="Times New Roman"/>
          <w:sz w:val="26"/>
          <w:szCs w:val="26"/>
        </w:rPr>
        <w:t xml:space="preserve">a </w:t>
      </w:r>
      <w:r w:rsidR="00803C65">
        <w:rPr>
          <w:rFonts w:ascii="Times New Roman" w:hAnsi="Times New Roman"/>
          <w:sz w:val="26"/>
          <w:szCs w:val="26"/>
        </w:rPr>
        <w:t>“</w:t>
      </w:r>
      <w:r w:rsidR="00EC5372">
        <w:rPr>
          <w:rFonts w:ascii="Times New Roman" w:hAnsi="Times New Roman"/>
          <w:sz w:val="26"/>
          <w:szCs w:val="26"/>
        </w:rPr>
        <w:t>fixed price</w:t>
      </w:r>
      <w:r w:rsidR="00803C65">
        <w:rPr>
          <w:rFonts w:ascii="Times New Roman" w:hAnsi="Times New Roman"/>
          <w:sz w:val="26"/>
          <w:szCs w:val="26"/>
        </w:rPr>
        <w:t>”</w:t>
      </w:r>
      <w:r w:rsidR="006A038D" w:rsidRPr="008F74FD">
        <w:rPr>
          <w:rFonts w:ascii="Times New Roman" w:hAnsi="Times New Roman"/>
          <w:sz w:val="26"/>
          <w:szCs w:val="26"/>
        </w:rPr>
        <w:t xml:space="preserve"> product must not change in price d</w:t>
      </w:r>
      <w:r w:rsidR="00EC5372">
        <w:rPr>
          <w:rFonts w:ascii="Times New Roman" w:hAnsi="Times New Roman"/>
          <w:sz w:val="26"/>
          <w:szCs w:val="26"/>
        </w:rPr>
        <w:t xml:space="preserve">uring the term of the agreement.  </w:t>
      </w:r>
      <w:r w:rsidR="00EC5372" w:rsidRPr="00EC5372">
        <w:rPr>
          <w:rFonts w:ascii="Times New Roman" w:hAnsi="Times New Roman"/>
          <w:i/>
          <w:sz w:val="26"/>
          <w:szCs w:val="26"/>
        </w:rPr>
        <w:t>Id</w:t>
      </w:r>
      <w:r w:rsidR="00EC5372">
        <w:rPr>
          <w:rFonts w:ascii="Times New Roman" w:hAnsi="Times New Roman"/>
          <w:sz w:val="26"/>
          <w:szCs w:val="26"/>
        </w:rPr>
        <w:t>. at 13 (citing</w:t>
      </w:r>
      <w:r w:rsidR="006A038D" w:rsidRPr="008F74FD">
        <w:rPr>
          <w:rFonts w:ascii="Times New Roman" w:hAnsi="Times New Roman"/>
          <w:sz w:val="26"/>
          <w:szCs w:val="26"/>
        </w:rPr>
        <w:t xml:space="preserve"> </w:t>
      </w:r>
      <w:r w:rsidR="006A038D" w:rsidRPr="008F74FD">
        <w:rPr>
          <w:rFonts w:ascii="Times New Roman" w:hAnsi="Times New Roman"/>
          <w:i/>
          <w:sz w:val="26"/>
          <w:szCs w:val="26"/>
        </w:rPr>
        <w:t xml:space="preserve">Guidelines for Use of Fixed Price </w:t>
      </w:r>
      <w:r w:rsidR="00D30E42" w:rsidRPr="008F74FD">
        <w:rPr>
          <w:rFonts w:ascii="Times New Roman" w:hAnsi="Times New Roman"/>
          <w:i/>
          <w:sz w:val="26"/>
          <w:szCs w:val="26"/>
        </w:rPr>
        <w:t>Labels for Products With a Pass-</w:t>
      </w:r>
      <w:r w:rsidR="006A038D" w:rsidRPr="008F74FD">
        <w:rPr>
          <w:rFonts w:ascii="Times New Roman" w:hAnsi="Times New Roman"/>
          <w:i/>
          <w:sz w:val="26"/>
          <w:szCs w:val="26"/>
        </w:rPr>
        <w:t>Through Clause,</w:t>
      </w:r>
      <w:r w:rsidR="006A038D" w:rsidRPr="008F74FD">
        <w:rPr>
          <w:rFonts w:ascii="Times New Roman" w:hAnsi="Times New Roman"/>
          <w:sz w:val="26"/>
          <w:szCs w:val="26"/>
        </w:rPr>
        <w:t xml:space="preserve"> Docket No. M-2013-2362961 (Final Order entered November 14, 2013)</w:t>
      </w:r>
      <w:r w:rsidR="008B2A13">
        <w:rPr>
          <w:rFonts w:ascii="Times New Roman" w:hAnsi="Times New Roman"/>
          <w:sz w:val="26"/>
          <w:szCs w:val="26"/>
        </w:rPr>
        <w:t xml:space="preserve"> </w:t>
      </w:r>
      <w:r w:rsidR="006A038D" w:rsidRPr="008F74FD">
        <w:rPr>
          <w:rFonts w:ascii="Times New Roman" w:hAnsi="Times New Roman"/>
          <w:sz w:val="26"/>
          <w:szCs w:val="26"/>
        </w:rPr>
        <w:t>(</w:t>
      </w:r>
      <w:r w:rsidR="00A36842">
        <w:rPr>
          <w:rFonts w:ascii="Times New Roman" w:hAnsi="Times New Roman"/>
          <w:i/>
          <w:sz w:val="26"/>
          <w:szCs w:val="26"/>
        </w:rPr>
        <w:t>Fixed Price</w:t>
      </w:r>
      <w:r w:rsidR="006A038D" w:rsidRPr="008F74FD">
        <w:rPr>
          <w:rFonts w:ascii="Times New Roman" w:hAnsi="Times New Roman"/>
          <w:i/>
          <w:sz w:val="26"/>
          <w:szCs w:val="26"/>
        </w:rPr>
        <w:t xml:space="preserve"> Order</w:t>
      </w:r>
      <w:r w:rsidR="006A038D" w:rsidRPr="008F74FD">
        <w:rPr>
          <w:rFonts w:ascii="Times New Roman" w:hAnsi="Times New Roman"/>
          <w:sz w:val="26"/>
          <w:szCs w:val="26"/>
        </w:rPr>
        <w:t>)</w:t>
      </w:r>
      <w:r w:rsidR="008B2A13">
        <w:rPr>
          <w:rFonts w:ascii="Times New Roman" w:hAnsi="Times New Roman"/>
          <w:sz w:val="26"/>
          <w:szCs w:val="26"/>
        </w:rPr>
        <w:t>)</w:t>
      </w:r>
      <w:r w:rsidR="006A038D" w:rsidRPr="008F74FD">
        <w:rPr>
          <w:rFonts w:ascii="Times New Roman" w:hAnsi="Times New Roman"/>
          <w:sz w:val="26"/>
          <w:szCs w:val="26"/>
        </w:rPr>
        <w:t>.</w:t>
      </w:r>
      <w:r w:rsidR="00D30E42" w:rsidRPr="008F74FD">
        <w:rPr>
          <w:rFonts w:ascii="Times New Roman" w:hAnsi="Times New Roman"/>
          <w:sz w:val="26"/>
          <w:szCs w:val="26"/>
        </w:rPr>
        <w:t xml:space="preserve">  </w:t>
      </w:r>
      <w:r w:rsidR="008637FA" w:rsidRPr="008F74FD">
        <w:rPr>
          <w:rFonts w:ascii="Times New Roman" w:hAnsi="Times New Roman"/>
          <w:sz w:val="26"/>
          <w:szCs w:val="26"/>
        </w:rPr>
        <w:t xml:space="preserve">RESA contended that, in accordance with the </w:t>
      </w:r>
      <w:r w:rsidR="00A36842">
        <w:rPr>
          <w:rFonts w:ascii="Times New Roman" w:hAnsi="Times New Roman"/>
          <w:i/>
          <w:sz w:val="26"/>
          <w:szCs w:val="26"/>
        </w:rPr>
        <w:t>Fixed Price</w:t>
      </w:r>
      <w:r w:rsidR="008637FA" w:rsidRPr="008F74FD">
        <w:rPr>
          <w:rFonts w:ascii="Times New Roman" w:hAnsi="Times New Roman"/>
          <w:i/>
          <w:sz w:val="26"/>
          <w:szCs w:val="26"/>
        </w:rPr>
        <w:t xml:space="preserve"> Order, </w:t>
      </w:r>
      <w:r w:rsidR="008637FA" w:rsidRPr="008F74FD">
        <w:rPr>
          <w:rFonts w:ascii="Times New Roman" w:hAnsi="Times New Roman"/>
          <w:sz w:val="26"/>
          <w:szCs w:val="26"/>
        </w:rPr>
        <w:t>an EGS is not permitted to offer a fixed price product to mass market customers that is subsequently adjuste</w:t>
      </w:r>
      <w:r w:rsidR="00B02C45" w:rsidRPr="008F74FD">
        <w:rPr>
          <w:rFonts w:ascii="Times New Roman" w:hAnsi="Times New Roman"/>
          <w:sz w:val="26"/>
          <w:szCs w:val="26"/>
        </w:rPr>
        <w:t>d for increases to NMB charges, unless the EGS pr</w:t>
      </w:r>
      <w:r w:rsidR="001648B5">
        <w:rPr>
          <w:rFonts w:ascii="Times New Roman" w:hAnsi="Times New Roman"/>
          <w:sz w:val="26"/>
          <w:szCs w:val="26"/>
        </w:rPr>
        <w:t xml:space="preserve">ovides notice to its customers </w:t>
      </w:r>
      <w:r w:rsidR="00B02C45" w:rsidRPr="008F74FD">
        <w:rPr>
          <w:rFonts w:ascii="Times New Roman" w:hAnsi="Times New Roman"/>
          <w:sz w:val="26"/>
          <w:szCs w:val="26"/>
        </w:rPr>
        <w:t xml:space="preserve">of its intent to alter the contractual price.  If the customer does not affirmatively accept the new price, then the EGS must cancel the contract without customer </w:t>
      </w:r>
      <w:r w:rsidR="00832516" w:rsidRPr="008F74FD">
        <w:rPr>
          <w:rFonts w:ascii="Times New Roman" w:hAnsi="Times New Roman"/>
          <w:sz w:val="26"/>
          <w:szCs w:val="26"/>
        </w:rPr>
        <w:t>pena</w:t>
      </w:r>
      <w:r w:rsidR="00832516">
        <w:rPr>
          <w:rFonts w:ascii="Times New Roman" w:hAnsi="Times New Roman"/>
          <w:sz w:val="26"/>
          <w:szCs w:val="26"/>
        </w:rPr>
        <w:t>l</w:t>
      </w:r>
      <w:r w:rsidR="00832516" w:rsidRPr="008F74FD">
        <w:rPr>
          <w:rFonts w:ascii="Times New Roman" w:hAnsi="Times New Roman"/>
          <w:sz w:val="26"/>
          <w:szCs w:val="26"/>
        </w:rPr>
        <w:t>ty</w:t>
      </w:r>
      <w:r w:rsidR="00B02C45" w:rsidRPr="008F74FD">
        <w:rPr>
          <w:rFonts w:ascii="Times New Roman" w:hAnsi="Times New Roman"/>
          <w:sz w:val="26"/>
          <w:szCs w:val="26"/>
        </w:rPr>
        <w:t xml:space="preserve">.  RESA. M.B. at 13, 17 (citing </w:t>
      </w:r>
      <w:r w:rsidR="00A36842">
        <w:rPr>
          <w:rFonts w:ascii="Times New Roman" w:hAnsi="Times New Roman"/>
          <w:i/>
          <w:sz w:val="26"/>
          <w:szCs w:val="26"/>
        </w:rPr>
        <w:t>Fixed Price</w:t>
      </w:r>
      <w:r w:rsidR="00B02C45" w:rsidRPr="008F74FD">
        <w:rPr>
          <w:rFonts w:ascii="Times New Roman" w:hAnsi="Times New Roman"/>
          <w:i/>
          <w:sz w:val="26"/>
          <w:szCs w:val="26"/>
        </w:rPr>
        <w:t xml:space="preserve"> Order </w:t>
      </w:r>
      <w:r w:rsidR="00B02C45" w:rsidRPr="008F74FD">
        <w:rPr>
          <w:rFonts w:ascii="Times New Roman" w:hAnsi="Times New Roman"/>
          <w:sz w:val="26"/>
          <w:szCs w:val="26"/>
        </w:rPr>
        <w:t>at 26</w:t>
      </w:r>
      <w:r w:rsidR="00A7266D">
        <w:rPr>
          <w:rFonts w:ascii="Times New Roman" w:hAnsi="Times New Roman"/>
          <w:sz w:val="26"/>
          <w:szCs w:val="26"/>
        </w:rPr>
        <w:t>)</w:t>
      </w:r>
      <w:r w:rsidR="00B02C45" w:rsidRPr="008F74FD">
        <w:rPr>
          <w:rFonts w:ascii="Times New Roman" w:hAnsi="Times New Roman"/>
          <w:sz w:val="26"/>
          <w:szCs w:val="26"/>
        </w:rPr>
        <w:t>.</w:t>
      </w:r>
      <w:r w:rsidR="00771CA0" w:rsidRPr="008F74FD">
        <w:rPr>
          <w:rFonts w:ascii="Times New Roman" w:hAnsi="Times New Roman"/>
          <w:sz w:val="26"/>
          <w:szCs w:val="26"/>
        </w:rPr>
        <w:t xml:space="preserve">  However, RESA asserted that </w:t>
      </w:r>
      <w:r w:rsidR="008637FA" w:rsidRPr="008F74FD">
        <w:rPr>
          <w:rFonts w:ascii="Times New Roman" w:hAnsi="Times New Roman"/>
          <w:sz w:val="26"/>
          <w:szCs w:val="26"/>
        </w:rPr>
        <w:t xml:space="preserve">an EDC has the right of full cost recovery and default service reconciliation.  </w:t>
      </w:r>
      <w:r w:rsidR="00EE0FA4" w:rsidRPr="008F74FD">
        <w:rPr>
          <w:rFonts w:ascii="Times New Roman" w:hAnsi="Times New Roman"/>
          <w:sz w:val="26"/>
          <w:szCs w:val="26"/>
        </w:rPr>
        <w:t xml:space="preserve">Thus, RESA concluded that the only fair and equitable approach is for PPL to assume the costs of NMB charges on behalf of both wholesale default service suppliers </w:t>
      </w:r>
      <w:r w:rsidR="00EE0FA4" w:rsidRPr="008F74FD">
        <w:rPr>
          <w:rFonts w:ascii="Times New Roman" w:hAnsi="Times New Roman"/>
          <w:i/>
          <w:sz w:val="26"/>
          <w:szCs w:val="26"/>
        </w:rPr>
        <w:t>and</w:t>
      </w:r>
      <w:r w:rsidR="00EE0FA4" w:rsidRPr="008F74FD">
        <w:rPr>
          <w:rFonts w:ascii="Times New Roman" w:hAnsi="Times New Roman"/>
          <w:sz w:val="26"/>
          <w:szCs w:val="26"/>
        </w:rPr>
        <w:t xml:space="preserve"> EGSs.</w:t>
      </w:r>
      <w:r w:rsidR="009C6E0E">
        <w:rPr>
          <w:rFonts w:ascii="Times New Roman" w:hAnsi="Times New Roman"/>
          <w:sz w:val="26"/>
          <w:szCs w:val="26"/>
        </w:rPr>
        <w:t xml:space="preserve"> </w:t>
      </w:r>
      <w:r w:rsidR="009C6E0E" w:rsidRPr="009C6E0E">
        <w:rPr>
          <w:rFonts w:ascii="Times New Roman" w:hAnsi="Times New Roman"/>
          <w:sz w:val="26"/>
          <w:szCs w:val="26"/>
        </w:rPr>
        <w:t xml:space="preserve"> </w:t>
      </w:r>
      <w:r w:rsidR="009C6E0E" w:rsidRPr="008F74FD">
        <w:rPr>
          <w:rFonts w:ascii="Times New Roman" w:hAnsi="Times New Roman"/>
          <w:sz w:val="26"/>
          <w:szCs w:val="26"/>
        </w:rPr>
        <w:t xml:space="preserve">RESA M.B. at 13.  </w:t>
      </w:r>
    </w:p>
    <w:p w:rsidR="00117EDA" w:rsidRPr="008F74FD" w:rsidRDefault="00117EDA" w:rsidP="00A2567A">
      <w:pPr>
        <w:rPr>
          <w:rFonts w:ascii="Times New Roman" w:hAnsi="Times New Roman"/>
          <w:sz w:val="26"/>
          <w:szCs w:val="26"/>
        </w:rPr>
      </w:pPr>
    </w:p>
    <w:p w:rsidR="006A1D55" w:rsidRPr="008F74FD" w:rsidRDefault="00117EDA" w:rsidP="006A1D55">
      <w:pPr>
        <w:rPr>
          <w:rFonts w:ascii="Times New Roman" w:hAnsi="Times New Roman"/>
          <w:sz w:val="26"/>
          <w:szCs w:val="26"/>
        </w:rPr>
      </w:pPr>
      <w:r w:rsidRPr="008F74FD">
        <w:rPr>
          <w:rFonts w:ascii="Times New Roman" w:hAnsi="Times New Roman"/>
          <w:sz w:val="26"/>
          <w:szCs w:val="26"/>
        </w:rPr>
        <w:tab/>
      </w:r>
      <w:r w:rsidRPr="008F74FD">
        <w:rPr>
          <w:rFonts w:ascii="Times New Roman" w:hAnsi="Times New Roman"/>
          <w:sz w:val="26"/>
          <w:szCs w:val="26"/>
        </w:rPr>
        <w:tab/>
        <w:t>RESA n</w:t>
      </w:r>
      <w:r w:rsidR="00467C6A">
        <w:rPr>
          <w:rFonts w:ascii="Times New Roman" w:hAnsi="Times New Roman"/>
          <w:sz w:val="26"/>
          <w:szCs w:val="26"/>
        </w:rPr>
        <w:t xml:space="preserve">oted that in </w:t>
      </w:r>
      <w:r w:rsidR="00467C6A" w:rsidRPr="00467C6A">
        <w:rPr>
          <w:rFonts w:ascii="Times New Roman" w:hAnsi="Times New Roman"/>
          <w:i/>
          <w:sz w:val="26"/>
          <w:szCs w:val="26"/>
        </w:rPr>
        <w:t>FirstEnergy DSP III</w:t>
      </w:r>
      <w:r w:rsidRPr="008F74FD">
        <w:rPr>
          <w:rFonts w:ascii="Times New Roman" w:hAnsi="Times New Roman"/>
          <w:sz w:val="26"/>
          <w:szCs w:val="26"/>
        </w:rPr>
        <w:t>, the Commission determined that requiring an EDC to assume the cost responsibility on behalf of all load and to recover the costs from all customers through a non-</w:t>
      </w:r>
      <w:proofErr w:type="spellStart"/>
      <w:r w:rsidRPr="008F74FD">
        <w:rPr>
          <w:rFonts w:ascii="Times New Roman" w:hAnsi="Times New Roman"/>
          <w:sz w:val="26"/>
          <w:szCs w:val="26"/>
        </w:rPr>
        <w:t>bypassable</w:t>
      </w:r>
      <w:proofErr w:type="spellEnd"/>
      <w:r w:rsidRPr="008F74FD">
        <w:rPr>
          <w:rFonts w:ascii="Times New Roman" w:hAnsi="Times New Roman"/>
          <w:sz w:val="26"/>
          <w:szCs w:val="26"/>
        </w:rPr>
        <w:t xml:space="preserve"> charge did not violate the Competition Act, the Code, or the Commission</w:t>
      </w:r>
      <w:r w:rsidR="00803C65">
        <w:rPr>
          <w:rFonts w:ascii="Times New Roman" w:hAnsi="Times New Roman"/>
          <w:sz w:val="26"/>
          <w:szCs w:val="26"/>
        </w:rPr>
        <w:t>’</w:t>
      </w:r>
      <w:r w:rsidRPr="008F74FD">
        <w:rPr>
          <w:rFonts w:ascii="Times New Roman" w:hAnsi="Times New Roman"/>
          <w:sz w:val="26"/>
          <w:szCs w:val="26"/>
        </w:rPr>
        <w:t xml:space="preserve">s Regulations.  </w:t>
      </w:r>
      <w:r w:rsidRPr="008F74FD">
        <w:rPr>
          <w:rFonts w:ascii="Times New Roman" w:hAnsi="Times New Roman"/>
          <w:i/>
          <w:sz w:val="26"/>
          <w:szCs w:val="26"/>
        </w:rPr>
        <w:t>Id</w:t>
      </w:r>
      <w:r w:rsidR="00467C6A">
        <w:rPr>
          <w:rFonts w:ascii="Times New Roman" w:hAnsi="Times New Roman"/>
          <w:sz w:val="26"/>
          <w:szCs w:val="26"/>
        </w:rPr>
        <w:t xml:space="preserve">. (citing </w:t>
      </w:r>
      <w:r w:rsidR="00467C6A">
        <w:rPr>
          <w:rFonts w:ascii="Times New Roman" w:hAnsi="Times New Roman"/>
          <w:i/>
          <w:sz w:val="26"/>
          <w:szCs w:val="26"/>
        </w:rPr>
        <w:t xml:space="preserve">FirstEnergy DSP III Order </w:t>
      </w:r>
      <w:r w:rsidR="0022278C" w:rsidRPr="008F74FD">
        <w:rPr>
          <w:rFonts w:ascii="Times New Roman" w:hAnsi="Times New Roman"/>
          <w:sz w:val="26"/>
          <w:szCs w:val="26"/>
        </w:rPr>
        <w:t>at</w:t>
      </w:r>
      <w:r w:rsidR="00AB70B8" w:rsidRPr="008F74FD">
        <w:rPr>
          <w:rFonts w:ascii="Times New Roman" w:hAnsi="Times New Roman"/>
          <w:sz w:val="26"/>
          <w:szCs w:val="26"/>
        </w:rPr>
        <w:t xml:space="preserve"> 38</w:t>
      </w:r>
      <w:r w:rsidR="00467C6A">
        <w:rPr>
          <w:rFonts w:ascii="Times New Roman" w:hAnsi="Times New Roman"/>
          <w:sz w:val="26"/>
          <w:szCs w:val="26"/>
        </w:rPr>
        <w:t>)</w:t>
      </w:r>
      <w:r w:rsidR="00AB70B8" w:rsidRPr="008F74FD">
        <w:rPr>
          <w:rFonts w:ascii="Times New Roman" w:hAnsi="Times New Roman"/>
          <w:sz w:val="26"/>
          <w:szCs w:val="26"/>
        </w:rPr>
        <w:t>.  However, RESA opined</w:t>
      </w:r>
      <w:r w:rsidR="0022278C" w:rsidRPr="008F74FD">
        <w:rPr>
          <w:rFonts w:ascii="Times New Roman" w:hAnsi="Times New Roman"/>
          <w:sz w:val="26"/>
          <w:szCs w:val="26"/>
        </w:rPr>
        <w:t xml:space="preserve"> that when an EDC assumes the responsibility for NMB charges for default service suppliers but not for EGSs, the result is inconsistent with the Competition Act because the EDC can leverage its ability to receive full cost recovery on the NMB charges to impact the default service rate.</w:t>
      </w:r>
      <w:r w:rsidR="006A1D55" w:rsidRPr="008F74FD">
        <w:rPr>
          <w:rFonts w:ascii="Times New Roman" w:hAnsi="Times New Roman"/>
          <w:sz w:val="26"/>
          <w:szCs w:val="26"/>
        </w:rPr>
        <w:t xml:space="preserve">  </w:t>
      </w:r>
      <w:r w:rsidR="00AB70B8" w:rsidRPr="008F74FD">
        <w:rPr>
          <w:rFonts w:ascii="Times New Roman" w:hAnsi="Times New Roman"/>
          <w:sz w:val="26"/>
          <w:szCs w:val="26"/>
        </w:rPr>
        <w:t>Thus, RESA argued that PPL</w:t>
      </w:r>
      <w:r w:rsidR="00803C65">
        <w:rPr>
          <w:rFonts w:ascii="Times New Roman" w:hAnsi="Times New Roman"/>
          <w:sz w:val="26"/>
          <w:szCs w:val="26"/>
        </w:rPr>
        <w:t>’</w:t>
      </w:r>
      <w:r w:rsidR="002F18CA">
        <w:rPr>
          <w:rFonts w:ascii="Times New Roman" w:hAnsi="Times New Roman"/>
          <w:sz w:val="26"/>
          <w:szCs w:val="26"/>
        </w:rPr>
        <w:t xml:space="preserve">s approach with regard to NMB charges amounts to </w:t>
      </w:r>
      <w:r w:rsidR="00AB70B8" w:rsidRPr="008F74FD">
        <w:rPr>
          <w:rFonts w:ascii="Times New Roman" w:hAnsi="Times New Roman"/>
          <w:sz w:val="26"/>
          <w:szCs w:val="26"/>
        </w:rPr>
        <w:t>discriminatory</w:t>
      </w:r>
      <w:r w:rsidR="00306AB4" w:rsidRPr="008F74FD">
        <w:rPr>
          <w:rFonts w:ascii="Times New Roman" w:hAnsi="Times New Roman"/>
          <w:sz w:val="26"/>
          <w:szCs w:val="26"/>
        </w:rPr>
        <w:t xml:space="preserve"> and advantageous access to</w:t>
      </w:r>
      <w:r w:rsidR="00B402F7" w:rsidRPr="008F74FD">
        <w:rPr>
          <w:rFonts w:ascii="Times New Roman" w:hAnsi="Times New Roman"/>
          <w:sz w:val="26"/>
          <w:szCs w:val="26"/>
        </w:rPr>
        <w:t xml:space="preserve"> its facilities for</w:t>
      </w:r>
      <w:r w:rsidR="00306AB4" w:rsidRPr="008F74FD">
        <w:rPr>
          <w:rFonts w:ascii="Times New Roman" w:hAnsi="Times New Roman"/>
          <w:sz w:val="26"/>
          <w:szCs w:val="26"/>
        </w:rPr>
        <w:t xml:space="preserve"> wholesale default service suppliers</w:t>
      </w:r>
      <w:r w:rsidR="002F18CA">
        <w:rPr>
          <w:rFonts w:ascii="Times New Roman" w:hAnsi="Times New Roman"/>
          <w:sz w:val="26"/>
          <w:szCs w:val="26"/>
        </w:rPr>
        <w:t xml:space="preserve"> vis-à-vis</w:t>
      </w:r>
      <w:r w:rsidR="006B6300">
        <w:rPr>
          <w:rFonts w:ascii="Times New Roman" w:hAnsi="Times New Roman"/>
          <w:sz w:val="26"/>
          <w:szCs w:val="26"/>
        </w:rPr>
        <w:t xml:space="preserve"> </w:t>
      </w:r>
      <w:r w:rsidR="00B402F7" w:rsidRPr="008F74FD">
        <w:rPr>
          <w:rFonts w:ascii="Times New Roman" w:hAnsi="Times New Roman"/>
          <w:sz w:val="26"/>
          <w:szCs w:val="26"/>
        </w:rPr>
        <w:t xml:space="preserve">EGSs, in violation of </w:t>
      </w:r>
      <w:r w:rsidR="008F2288" w:rsidRPr="008F74FD">
        <w:rPr>
          <w:rFonts w:ascii="Times New Roman" w:hAnsi="Times New Roman"/>
          <w:sz w:val="26"/>
          <w:szCs w:val="26"/>
        </w:rPr>
        <w:t xml:space="preserve">the Competition Act.  RESA M.B. at 14-15 (citing </w:t>
      </w:r>
      <w:r w:rsidR="00B402F7" w:rsidRPr="008F74FD">
        <w:rPr>
          <w:rFonts w:ascii="Times New Roman" w:hAnsi="Times New Roman"/>
          <w:sz w:val="26"/>
          <w:szCs w:val="26"/>
        </w:rPr>
        <w:t>66 Pa. C.S. §§ 2803 and 280</w:t>
      </w:r>
      <w:r w:rsidR="008F2288" w:rsidRPr="008F74FD">
        <w:rPr>
          <w:rFonts w:ascii="Times New Roman" w:hAnsi="Times New Roman"/>
          <w:sz w:val="26"/>
          <w:szCs w:val="26"/>
        </w:rPr>
        <w:t>4(6)).</w:t>
      </w:r>
    </w:p>
    <w:p w:rsidR="00A80C83" w:rsidRPr="008F74FD" w:rsidRDefault="00A80C83" w:rsidP="006A1D55">
      <w:pPr>
        <w:rPr>
          <w:rFonts w:ascii="Times New Roman" w:hAnsi="Times New Roman"/>
          <w:sz w:val="26"/>
          <w:szCs w:val="26"/>
        </w:rPr>
      </w:pPr>
    </w:p>
    <w:p w:rsidR="00A80C83" w:rsidRPr="008F74FD" w:rsidRDefault="00A80C83" w:rsidP="006A1D55">
      <w:pPr>
        <w:rPr>
          <w:rFonts w:ascii="Times New Roman" w:hAnsi="Times New Roman"/>
          <w:sz w:val="26"/>
          <w:szCs w:val="26"/>
        </w:rPr>
      </w:pPr>
      <w:r w:rsidRPr="008F74FD">
        <w:rPr>
          <w:rFonts w:ascii="Times New Roman" w:hAnsi="Times New Roman"/>
          <w:sz w:val="26"/>
          <w:szCs w:val="26"/>
        </w:rPr>
        <w:tab/>
      </w:r>
      <w:r w:rsidRPr="008F74FD">
        <w:rPr>
          <w:rFonts w:ascii="Times New Roman" w:hAnsi="Times New Roman"/>
          <w:sz w:val="26"/>
          <w:szCs w:val="26"/>
        </w:rPr>
        <w:tab/>
        <w:t xml:space="preserve">RESA pointed out that while the Commission rejected a </w:t>
      </w:r>
      <w:r w:rsidR="00167890">
        <w:rPr>
          <w:rFonts w:ascii="Times New Roman" w:hAnsi="Times New Roman"/>
          <w:sz w:val="26"/>
          <w:szCs w:val="26"/>
        </w:rPr>
        <w:t>proposal that NITS costs relating</w:t>
      </w:r>
      <w:r w:rsidRPr="008F74FD">
        <w:rPr>
          <w:rFonts w:ascii="Times New Roman" w:hAnsi="Times New Roman"/>
          <w:sz w:val="26"/>
          <w:szCs w:val="26"/>
        </w:rPr>
        <w:t xml:space="preserve"> to all load</w:t>
      </w:r>
      <w:r w:rsidR="002916BB" w:rsidRPr="008F74FD">
        <w:rPr>
          <w:rFonts w:ascii="Times New Roman" w:hAnsi="Times New Roman"/>
          <w:sz w:val="26"/>
          <w:szCs w:val="26"/>
        </w:rPr>
        <w:t xml:space="preserve"> be recovered</w:t>
      </w:r>
      <w:r w:rsidRPr="008F74FD">
        <w:rPr>
          <w:rFonts w:ascii="Times New Roman" w:hAnsi="Times New Roman"/>
          <w:sz w:val="26"/>
          <w:szCs w:val="26"/>
        </w:rPr>
        <w:t xml:space="preserve"> through</w:t>
      </w:r>
      <w:r w:rsidR="009A24B3">
        <w:rPr>
          <w:rFonts w:ascii="Times New Roman" w:hAnsi="Times New Roman"/>
          <w:sz w:val="26"/>
          <w:szCs w:val="26"/>
        </w:rPr>
        <w:t xml:space="preserve"> a non-</w:t>
      </w:r>
      <w:proofErr w:type="spellStart"/>
      <w:r w:rsidR="009A24B3">
        <w:rPr>
          <w:rFonts w:ascii="Times New Roman" w:hAnsi="Times New Roman"/>
          <w:sz w:val="26"/>
          <w:szCs w:val="26"/>
        </w:rPr>
        <w:t>bypassable</w:t>
      </w:r>
      <w:proofErr w:type="spellEnd"/>
      <w:r w:rsidR="009A24B3">
        <w:rPr>
          <w:rFonts w:ascii="Times New Roman" w:hAnsi="Times New Roman"/>
          <w:sz w:val="26"/>
          <w:szCs w:val="26"/>
        </w:rPr>
        <w:t xml:space="preserve"> charge in </w:t>
      </w:r>
      <w:r w:rsidR="009A24B3" w:rsidRPr="009A24B3">
        <w:rPr>
          <w:rFonts w:ascii="Times New Roman" w:hAnsi="Times New Roman"/>
          <w:i/>
          <w:sz w:val="26"/>
          <w:szCs w:val="26"/>
        </w:rPr>
        <w:t xml:space="preserve">FirstEnergy </w:t>
      </w:r>
      <w:r w:rsidRPr="009A24B3">
        <w:rPr>
          <w:rFonts w:ascii="Times New Roman" w:hAnsi="Times New Roman"/>
          <w:i/>
          <w:sz w:val="26"/>
          <w:szCs w:val="26"/>
        </w:rPr>
        <w:t>DSP III</w:t>
      </w:r>
      <w:r w:rsidRPr="008F74FD">
        <w:rPr>
          <w:rFonts w:ascii="Times New Roman" w:hAnsi="Times New Roman"/>
          <w:sz w:val="26"/>
          <w:szCs w:val="26"/>
        </w:rPr>
        <w:t>, it did adopt the parties</w:t>
      </w:r>
      <w:r w:rsidR="00803C65">
        <w:rPr>
          <w:rFonts w:ascii="Times New Roman" w:hAnsi="Times New Roman"/>
          <w:sz w:val="26"/>
          <w:szCs w:val="26"/>
        </w:rPr>
        <w:t>’</w:t>
      </w:r>
      <w:r w:rsidRPr="008F74FD">
        <w:rPr>
          <w:rFonts w:ascii="Times New Roman" w:hAnsi="Times New Roman"/>
          <w:sz w:val="26"/>
          <w:szCs w:val="26"/>
        </w:rPr>
        <w:t xml:space="preserve"> settlement in</w:t>
      </w:r>
      <w:r w:rsidR="002916BB" w:rsidRPr="008F74FD">
        <w:rPr>
          <w:rFonts w:ascii="Times New Roman" w:hAnsi="Times New Roman"/>
          <w:sz w:val="26"/>
          <w:szCs w:val="26"/>
        </w:rPr>
        <w:t xml:space="preserve"> that proceeding to require</w:t>
      </w:r>
      <w:r w:rsidRPr="008F74FD">
        <w:rPr>
          <w:rFonts w:ascii="Times New Roman" w:hAnsi="Times New Roman"/>
          <w:sz w:val="26"/>
          <w:szCs w:val="26"/>
        </w:rPr>
        <w:t xml:space="preserve"> such a proposal with regard to </w:t>
      </w:r>
      <w:r w:rsidR="002916BB" w:rsidRPr="008F74FD">
        <w:rPr>
          <w:rFonts w:ascii="Times New Roman" w:hAnsi="Times New Roman"/>
          <w:sz w:val="26"/>
          <w:szCs w:val="26"/>
        </w:rPr>
        <w:t xml:space="preserve">other NMB charges.  </w:t>
      </w:r>
      <w:r w:rsidR="002916BB" w:rsidRPr="008F74FD">
        <w:rPr>
          <w:rFonts w:ascii="Times New Roman" w:hAnsi="Times New Roman"/>
          <w:i/>
          <w:sz w:val="26"/>
          <w:szCs w:val="26"/>
        </w:rPr>
        <w:t>See</w:t>
      </w:r>
      <w:r w:rsidR="002916BB" w:rsidRPr="008F74FD">
        <w:rPr>
          <w:rFonts w:ascii="Times New Roman" w:hAnsi="Times New Roman"/>
          <w:sz w:val="26"/>
          <w:szCs w:val="26"/>
        </w:rPr>
        <w:t xml:space="preserve">, </w:t>
      </w:r>
      <w:r w:rsidR="002916BB" w:rsidRPr="008F74FD">
        <w:rPr>
          <w:rFonts w:ascii="Times New Roman" w:hAnsi="Times New Roman"/>
          <w:i/>
          <w:sz w:val="26"/>
          <w:szCs w:val="26"/>
        </w:rPr>
        <w:t xml:space="preserve">FirstEnergy DSP III Order </w:t>
      </w:r>
      <w:r w:rsidR="002916BB" w:rsidRPr="008F74FD">
        <w:rPr>
          <w:rFonts w:ascii="Times New Roman" w:hAnsi="Times New Roman"/>
          <w:sz w:val="26"/>
          <w:szCs w:val="26"/>
        </w:rPr>
        <w:t>at 22-23, 53.</w:t>
      </w:r>
      <w:r w:rsidR="0012122D" w:rsidRPr="008F74FD">
        <w:rPr>
          <w:rFonts w:ascii="Times New Roman" w:hAnsi="Times New Roman"/>
          <w:sz w:val="26"/>
          <w:szCs w:val="26"/>
        </w:rPr>
        <w:t xml:space="preserve">  Thus, RESA concluded that there is no legal bar to adopting RESA</w:t>
      </w:r>
      <w:r w:rsidR="00803C65">
        <w:rPr>
          <w:rFonts w:ascii="Times New Roman" w:hAnsi="Times New Roman"/>
          <w:sz w:val="26"/>
          <w:szCs w:val="26"/>
        </w:rPr>
        <w:t>’</w:t>
      </w:r>
      <w:r w:rsidR="0012122D" w:rsidRPr="008F74FD">
        <w:rPr>
          <w:rFonts w:ascii="Times New Roman" w:hAnsi="Times New Roman"/>
          <w:sz w:val="26"/>
          <w:szCs w:val="26"/>
        </w:rPr>
        <w:t>s preferred approach with regard to all NMB charges.  RESA M.B. at 16.</w:t>
      </w:r>
      <w:r w:rsidR="00786791" w:rsidRPr="008F74FD">
        <w:rPr>
          <w:rFonts w:ascii="Times New Roman" w:hAnsi="Times New Roman"/>
          <w:sz w:val="26"/>
          <w:szCs w:val="26"/>
        </w:rPr>
        <w:t xml:space="preserve">  In addition, RESA contended that this case is d</w:t>
      </w:r>
      <w:r w:rsidR="009A24B3">
        <w:rPr>
          <w:rFonts w:ascii="Times New Roman" w:hAnsi="Times New Roman"/>
          <w:sz w:val="26"/>
          <w:szCs w:val="26"/>
        </w:rPr>
        <w:t xml:space="preserve">istinguishable from </w:t>
      </w:r>
      <w:r w:rsidR="009A24B3" w:rsidRPr="009A24B3">
        <w:rPr>
          <w:rFonts w:ascii="Times New Roman" w:hAnsi="Times New Roman"/>
          <w:i/>
          <w:sz w:val="26"/>
          <w:szCs w:val="26"/>
        </w:rPr>
        <w:t>FirstEnergy DSP III</w:t>
      </w:r>
      <w:r w:rsidR="009A24B3">
        <w:rPr>
          <w:rFonts w:ascii="Times New Roman" w:hAnsi="Times New Roman"/>
          <w:sz w:val="26"/>
          <w:szCs w:val="26"/>
        </w:rPr>
        <w:t xml:space="preserve"> </w:t>
      </w:r>
      <w:r w:rsidR="00D615BC" w:rsidRPr="008F74FD">
        <w:rPr>
          <w:rFonts w:ascii="Times New Roman" w:hAnsi="Times New Roman"/>
          <w:sz w:val="26"/>
          <w:szCs w:val="26"/>
        </w:rPr>
        <w:t xml:space="preserve">because the FirstEnergy Companies never assumed the cost responsibility for NMB charges on behalf of the wholesale </w:t>
      </w:r>
      <w:r w:rsidR="00167890">
        <w:rPr>
          <w:rFonts w:ascii="Times New Roman" w:hAnsi="Times New Roman"/>
          <w:sz w:val="26"/>
          <w:szCs w:val="26"/>
        </w:rPr>
        <w:t>default suppliers, but rather, t</w:t>
      </w:r>
      <w:r w:rsidR="00D615BC" w:rsidRPr="008F74FD">
        <w:rPr>
          <w:rFonts w:ascii="Times New Roman" w:hAnsi="Times New Roman"/>
          <w:sz w:val="26"/>
          <w:szCs w:val="26"/>
        </w:rPr>
        <w:t xml:space="preserve">he suppliers assumed their own cost responsibility.  RESA also stated that the Commission made it clear in the </w:t>
      </w:r>
      <w:r w:rsidR="00D615BC" w:rsidRPr="008F74FD">
        <w:rPr>
          <w:rFonts w:ascii="Times New Roman" w:hAnsi="Times New Roman"/>
          <w:i/>
          <w:sz w:val="26"/>
          <w:szCs w:val="26"/>
        </w:rPr>
        <w:t xml:space="preserve">FirstEnergy DSP III Order </w:t>
      </w:r>
      <w:r w:rsidR="00D615BC" w:rsidRPr="008F74FD">
        <w:rPr>
          <w:rFonts w:ascii="Times New Roman" w:hAnsi="Times New Roman"/>
          <w:sz w:val="26"/>
          <w:szCs w:val="26"/>
        </w:rPr>
        <w:t>that it based its decision on the record in that proceeding, and not because it was constrained by the doctrine of issue preclusion to reach the same conclusion it reached in FirstEnergy</w:t>
      </w:r>
      <w:r w:rsidR="00803C65">
        <w:rPr>
          <w:rFonts w:ascii="Times New Roman" w:hAnsi="Times New Roman"/>
          <w:sz w:val="26"/>
          <w:szCs w:val="26"/>
        </w:rPr>
        <w:t>’</w:t>
      </w:r>
      <w:r w:rsidR="00D615BC" w:rsidRPr="008F74FD">
        <w:rPr>
          <w:rFonts w:ascii="Times New Roman" w:hAnsi="Times New Roman"/>
          <w:sz w:val="26"/>
          <w:szCs w:val="26"/>
        </w:rPr>
        <w:t xml:space="preserve">s DSP II proceeding.  </w:t>
      </w:r>
      <w:r w:rsidR="00D615BC" w:rsidRPr="008F74FD">
        <w:rPr>
          <w:rFonts w:ascii="Times New Roman" w:hAnsi="Times New Roman"/>
          <w:i/>
          <w:sz w:val="26"/>
          <w:szCs w:val="26"/>
        </w:rPr>
        <w:t>Id</w:t>
      </w:r>
      <w:r w:rsidR="00D615BC" w:rsidRPr="008F74FD">
        <w:rPr>
          <w:rFonts w:ascii="Times New Roman" w:hAnsi="Times New Roman"/>
          <w:sz w:val="26"/>
          <w:szCs w:val="26"/>
        </w:rPr>
        <w:t xml:space="preserve">. at 16 (citing </w:t>
      </w:r>
      <w:r w:rsidR="00D615BC" w:rsidRPr="008F74FD">
        <w:rPr>
          <w:rFonts w:ascii="Times New Roman" w:hAnsi="Times New Roman"/>
          <w:i/>
          <w:sz w:val="26"/>
          <w:szCs w:val="26"/>
        </w:rPr>
        <w:t xml:space="preserve">FirstEnergy DSP III Order </w:t>
      </w:r>
      <w:r w:rsidR="00D615BC" w:rsidRPr="008F74FD">
        <w:rPr>
          <w:rFonts w:ascii="Times New Roman" w:hAnsi="Times New Roman"/>
          <w:sz w:val="26"/>
          <w:szCs w:val="26"/>
        </w:rPr>
        <w:t xml:space="preserve">at 53).  Thus, RESA argued that </w:t>
      </w:r>
      <w:r w:rsidR="00A43B35" w:rsidRPr="008F74FD">
        <w:rPr>
          <w:rFonts w:ascii="Times New Roman" w:hAnsi="Times New Roman"/>
          <w:sz w:val="26"/>
          <w:szCs w:val="26"/>
        </w:rPr>
        <w:t>the Commission</w:t>
      </w:r>
      <w:r w:rsidR="00803C65">
        <w:rPr>
          <w:rFonts w:ascii="Times New Roman" w:hAnsi="Times New Roman"/>
          <w:sz w:val="26"/>
          <w:szCs w:val="26"/>
        </w:rPr>
        <w:t>’</w:t>
      </w:r>
      <w:r w:rsidR="00A43B35" w:rsidRPr="008F74FD">
        <w:rPr>
          <w:rFonts w:ascii="Times New Roman" w:hAnsi="Times New Roman"/>
          <w:sz w:val="26"/>
          <w:szCs w:val="26"/>
        </w:rPr>
        <w:t xml:space="preserve">s rejection of proposals to shift NMB cost responsibility to </w:t>
      </w:r>
      <w:r w:rsidR="00A43B35" w:rsidRPr="008F74FD">
        <w:rPr>
          <w:rFonts w:ascii="Times New Roman" w:hAnsi="Times New Roman"/>
          <w:sz w:val="26"/>
          <w:szCs w:val="26"/>
        </w:rPr>
        <w:lastRenderedPageBreak/>
        <w:t xml:space="preserve">PPL for all load in the </w:t>
      </w:r>
      <w:r w:rsidR="00FE5D70">
        <w:rPr>
          <w:rFonts w:ascii="Times New Roman" w:hAnsi="Times New Roman"/>
          <w:i/>
          <w:sz w:val="26"/>
          <w:szCs w:val="26"/>
        </w:rPr>
        <w:t>PPL DSP II Order</w:t>
      </w:r>
      <w:r w:rsidR="00B02C45" w:rsidRPr="008F74FD">
        <w:rPr>
          <w:rFonts w:ascii="Times New Roman" w:hAnsi="Times New Roman"/>
          <w:i/>
          <w:sz w:val="26"/>
          <w:szCs w:val="26"/>
        </w:rPr>
        <w:t xml:space="preserve"> </w:t>
      </w:r>
      <w:r w:rsidR="00B02C45" w:rsidRPr="008F74FD">
        <w:rPr>
          <w:rFonts w:ascii="Times New Roman" w:hAnsi="Times New Roman"/>
          <w:sz w:val="26"/>
          <w:szCs w:val="26"/>
        </w:rPr>
        <w:t>does not preclude adoption of its proposal in this proceeding.  RESA M.B. at 16-17.</w:t>
      </w:r>
    </w:p>
    <w:p w:rsidR="00117EDA" w:rsidRPr="008F74FD" w:rsidRDefault="00117EDA" w:rsidP="00A2567A">
      <w:pPr>
        <w:rPr>
          <w:rFonts w:ascii="Times New Roman" w:hAnsi="Times New Roman"/>
          <w:sz w:val="26"/>
          <w:szCs w:val="26"/>
        </w:rPr>
      </w:pPr>
    </w:p>
    <w:p w:rsidR="00EE6626" w:rsidRPr="008F74FD" w:rsidRDefault="00EE6626" w:rsidP="00A2567A">
      <w:pPr>
        <w:rPr>
          <w:rFonts w:ascii="Times New Roman" w:hAnsi="Times New Roman"/>
          <w:sz w:val="26"/>
          <w:szCs w:val="26"/>
        </w:rPr>
      </w:pPr>
      <w:r w:rsidRPr="008F74FD">
        <w:rPr>
          <w:rFonts w:ascii="Times New Roman" w:hAnsi="Times New Roman"/>
          <w:sz w:val="26"/>
          <w:szCs w:val="26"/>
        </w:rPr>
        <w:tab/>
      </w:r>
      <w:r w:rsidRPr="008F74FD">
        <w:rPr>
          <w:rFonts w:ascii="Times New Roman" w:hAnsi="Times New Roman"/>
          <w:sz w:val="26"/>
          <w:szCs w:val="26"/>
        </w:rPr>
        <w:tab/>
        <w:t xml:space="preserve">RESA averred that any customer transition issues resulting from adopting its proposal can be adequately addressed, as they were with regard to the FirstEnergy Companies.  For example, RESA contended that </w:t>
      </w:r>
      <w:r w:rsidR="0027463A" w:rsidRPr="008F74FD">
        <w:rPr>
          <w:rFonts w:ascii="Times New Roman" w:hAnsi="Times New Roman"/>
          <w:sz w:val="26"/>
          <w:szCs w:val="26"/>
        </w:rPr>
        <w:t xml:space="preserve">the proposed change in cost responsibility for NMB charges could be limited to new charges, thus eliminating concerns of double recovery of costs that are already embedded in existing EGS contracts.  Alternatively, RESA stated that the change in cost responsibility could be deferred to a later date, such as June 2016, to provide a transition period during which many EGS contracts would expire and renew.  The new renewal rates would then reflect removal of the cost obligations from the EGSs, which also would address concerns of double recovery.  </w:t>
      </w:r>
      <w:r w:rsidR="0027463A" w:rsidRPr="008F74FD">
        <w:rPr>
          <w:rFonts w:ascii="Times New Roman" w:hAnsi="Times New Roman"/>
          <w:i/>
          <w:sz w:val="26"/>
          <w:szCs w:val="26"/>
        </w:rPr>
        <w:t>Id</w:t>
      </w:r>
      <w:r w:rsidR="0027463A" w:rsidRPr="008F74FD">
        <w:rPr>
          <w:rFonts w:ascii="Times New Roman" w:hAnsi="Times New Roman"/>
          <w:sz w:val="26"/>
          <w:szCs w:val="26"/>
        </w:rPr>
        <w:t>. at 18-19.</w:t>
      </w:r>
    </w:p>
    <w:p w:rsidR="0027463A" w:rsidRPr="008F74FD" w:rsidRDefault="0027463A" w:rsidP="00A2567A">
      <w:pPr>
        <w:rPr>
          <w:rFonts w:ascii="Times New Roman" w:hAnsi="Times New Roman"/>
          <w:sz w:val="26"/>
          <w:szCs w:val="26"/>
        </w:rPr>
      </w:pPr>
    </w:p>
    <w:p w:rsidR="00EE0FA4" w:rsidRDefault="00B631DA" w:rsidP="00A2567A">
      <w:pPr>
        <w:rPr>
          <w:rFonts w:ascii="Times New Roman" w:hAnsi="Times New Roman"/>
          <w:sz w:val="26"/>
          <w:szCs w:val="26"/>
        </w:rPr>
      </w:pPr>
      <w:r w:rsidRPr="008F74FD">
        <w:rPr>
          <w:rFonts w:ascii="Times New Roman" w:hAnsi="Times New Roman"/>
          <w:sz w:val="26"/>
          <w:szCs w:val="26"/>
        </w:rPr>
        <w:tab/>
      </w:r>
      <w:r w:rsidRPr="008F74FD">
        <w:rPr>
          <w:rFonts w:ascii="Times New Roman" w:hAnsi="Times New Roman"/>
          <w:sz w:val="26"/>
          <w:szCs w:val="26"/>
        </w:rPr>
        <w:tab/>
        <w:t>Finally, RESA stated that if the Commission does not adopt its proposal that PPL take on the cost responsibility for NMB charges with respect to all load</w:t>
      </w:r>
      <w:r w:rsidR="00167890">
        <w:rPr>
          <w:rFonts w:ascii="Times New Roman" w:hAnsi="Times New Roman"/>
          <w:sz w:val="26"/>
          <w:szCs w:val="26"/>
        </w:rPr>
        <w:t>,</w:t>
      </w:r>
      <w:r w:rsidRPr="008F74FD">
        <w:rPr>
          <w:rFonts w:ascii="Times New Roman" w:hAnsi="Times New Roman"/>
          <w:sz w:val="26"/>
          <w:szCs w:val="26"/>
        </w:rPr>
        <w:t xml:space="preserve"> and recover the costs from all customers through a non-</w:t>
      </w:r>
      <w:proofErr w:type="spellStart"/>
      <w:r w:rsidRPr="008F74FD">
        <w:rPr>
          <w:rFonts w:ascii="Times New Roman" w:hAnsi="Times New Roman"/>
          <w:sz w:val="26"/>
          <w:szCs w:val="26"/>
        </w:rPr>
        <w:t>bypassable</w:t>
      </w:r>
      <w:proofErr w:type="spellEnd"/>
      <w:r w:rsidRPr="008F74FD">
        <w:rPr>
          <w:rFonts w:ascii="Times New Roman" w:hAnsi="Times New Roman"/>
          <w:sz w:val="26"/>
          <w:szCs w:val="26"/>
        </w:rPr>
        <w:t xml:space="preserve"> charge, then PPL should be directed </w:t>
      </w:r>
      <w:r w:rsidR="00167890">
        <w:rPr>
          <w:rFonts w:ascii="Times New Roman" w:hAnsi="Times New Roman"/>
          <w:sz w:val="26"/>
          <w:szCs w:val="26"/>
        </w:rPr>
        <w:t>to modify its SMA to require that</w:t>
      </w:r>
      <w:r w:rsidRPr="008F74FD">
        <w:rPr>
          <w:rFonts w:ascii="Times New Roman" w:hAnsi="Times New Roman"/>
          <w:sz w:val="26"/>
          <w:szCs w:val="26"/>
        </w:rPr>
        <w:t xml:space="preserve"> wholesa</w:t>
      </w:r>
      <w:r w:rsidR="00167890">
        <w:rPr>
          <w:rFonts w:ascii="Times New Roman" w:hAnsi="Times New Roman"/>
          <w:sz w:val="26"/>
          <w:szCs w:val="26"/>
        </w:rPr>
        <w:t xml:space="preserve">le default service suppliers </w:t>
      </w:r>
      <w:r w:rsidRPr="008F74FD">
        <w:rPr>
          <w:rFonts w:ascii="Times New Roman" w:hAnsi="Times New Roman"/>
          <w:sz w:val="26"/>
          <w:szCs w:val="26"/>
        </w:rPr>
        <w:t xml:space="preserve">assume their own cost responsibility for the default service load, just as EGSs assume the cost responsibility for shopping customers.  </w:t>
      </w:r>
      <w:r w:rsidR="008D7B28" w:rsidRPr="008F74FD">
        <w:rPr>
          <w:rFonts w:ascii="Times New Roman" w:hAnsi="Times New Roman"/>
          <w:sz w:val="26"/>
          <w:szCs w:val="26"/>
        </w:rPr>
        <w:t xml:space="preserve">RESA argued that, while this would not be the ideal approach because it would result in the need for wholesale suppliers to account for the risk of increases to NMB charges in their bid prices, it would at least put the wholesale suppliers on equal footing with EGSs, who also must include a risk premium in their retail prices.  </w:t>
      </w:r>
      <w:r w:rsidR="008D7B28" w:rsidRPr="008F74FD">
        <w:rPr>
          <w:rFonts w:ascii="Times New Roman" w:hAnsi="Times New Roman"/>
          <w:i/>
          <w:sz w:val="26"/>
          <w:szCs w:val="26"/>
        </w:rPr>
        <w:t>Id</w:t>
      </w:r>
      <w:r w:rsidR="005B1253">
        <w:rPr>
          <w:rFonts w:ascii="Times New Roman" w:hAnsi="Times New Roman"/>
          <w:sz w:val="26"/>
          <w:szCs w:val="26"/>
        </w:rPr>
        <w:t>. at 19-20; RESA St. No. 1-SR at 12-13.</w:t>
      </w:r>
    </w:p>
    <w:p w:rsidR="008A320D" w:rsidRDefault="008A320D" w:rsidP="00A2567A">
      <w:pPr>
        <w:rPr>
          <w:rFonts w:ascii="Times New Roman" w:hAnsi="Times New Roman"/>
          <w:sz w:val="26"/>
          <w:szCs w:val="26"/>
        </w:rPr>
      </w:pPr>
    </w:p>
    <w:p w:rsidR="00A31037" w:rsidRPr="00A31037" w:rsidRDefault="00A31037" w:rsidP="00A2567A">
      <w:pPr>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sidRPr="00A31037">
        <w:rPr>
          <w:rFonts w:ascii="Times New Roman" w:hAnsi="Times New Roman"/>
          <w:b/>
          <w:sz w:val="26"/>
          <w:szCs w:val="26"/>
        </w:rPr>
        <w:t>b.</w:t>
      </w:r>
      <w:r w:rsidRPr="00A31037">
        <w:rPr>
          <w:rFonts w:ascii="Times New Roman" w:hAnsi="Times New Roman"/>
          <w:b/>
          <w:sz w:val="26"/>
          <w:szCs w:val="26"/>
        </w:rPr>
        <w:tab/>
      </w:r>
      <w:proofErr w:type="spellStart"/>
      <w:r w:rsidRPr="00A31037">
        <w:rPr>
          <w:rFonts w:ascii="Times New Roman" w:hAnsi="Times New Roman"/>
          <w:b/>
          <w:sz w:val="26"/>
          <w:szCs w:val="26"/>
        </w:rPr>
        <w:t>ExGen</w:t>
      </w:r>
      <w:r w:rsidR="00803C65">
        <w:rPr>
          <w:rFonts w:ascii="Times New Roman" w:hAnsi="Times New Roman"/>
          <w:b/>
          <w:sz w:val="26"/>
          <w:szCs w:val="26"/>
        </w:rPr>
        <w:t>’</w:t>
      </w:r>
      <w:r w:rsidRPr="00A31037">
        <w:rPr>
          <w:rFonts w:ascii="Times New Roman" w:hAnsi="Times New Roman"/>
          <w:b/>
          <w:sz w:val="26"/>
          <w:szCs w:val="26"/>
        </w:rPr>
        <w:t>s</w:t>
      </w:r>
      <w:proofErr w:type="spellEnd"/>
      <w:r w:rsidRPr="00A31037">
        <w:rPr>
          <w:rFonts w:ascii="Times New Roman" w:hAnsi="Times New Roman"/>
          <w:b/>
          <w:sz w:val="26"/>
          <w:szCs w:val="26"/>
        </w:rPr>
        <w:t xml:space="preserve"> Position</w:t>
      </w:r>
    </w:p>
    <w:p w:rsidR="00A31037" w:rsidRDefault="00A31037" w:rsidP="00A2567A">
      <w:pPr>
        <w:rPr>
          <w:rFonts w:ascii="Times New Roman" w:hAnsi="Times New Roman"/>
          <w:sz w:val="26"/>
          <w:szCs w:val="26"/>
        </w:rPr>
      </w:pPr>
    </w:p>
    <w:p w:rsidR="00A31037" w:rsidRDefault="00A31037" w:rsidP="00A2567A">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roofErr w:type="spellStart"/>
      <w:r>
        <w:rPr>
          <w:rFonts w:ascii="Times New Roman" w:hAnsi="Times New Roman"/>
          <w:sz w:val="26"/>
          <w:szCs w:val="26"/>
        </w:rPr>
        <w:t>ExGen</w:t>
      </w:r>
      <w:proofErr w:type="spellEnd"/>
      <w:r w:rsidR="00BE3B32">
        <w:rPr>
          <w:rFonts w:ascii="Times New Roman" w:hAnsi="Times New Roman"/>
          <w:sz w:val="26"/>
          <w:szCs w:val="26"/>
        </w:rPr>
        <w:t xml:space="preserve"> also</w:t>
      </w:r>
      <w:r>
        <w:rPr>
          <w:rFonts w:ascii="Times New Roman" w:hAnsi="Times New Roman"/>
          <w:sz w:val="26"/>
          <w:szCs w:val="26"/>
        </w:rPr>
        <w:t xml:space="preserve"> propose</w:t>
      </w:r>
      <w:r w:rsidR="0087074A">
        <w:rPr>
          <w:rFonts w:ascii="Times New Roman" w:hAnsi="Times New Roman"/>
          <w:sz w:val="26"/>
          <w:szCs w:val="26"/>
        </w:rPr>
        <w:t>d</w:t>
      </w:r>
      <w:r>
        <w:rPr>
          <w:rFonts w:ascii="Times New Roman" w:hAnsi="Times New Roman"/>
          <w:sz w:val="26"/>
          <w:szCs w:val="26"/>
        </w:rPr>
        <w:t xml:space="preserve"> that PPL be responsible for</w:t>
      </w:r>
      <w:r w:rsidR="00BE3B32">
        <w:rPr>
          <w:rFonts w:ascii="Times New Roman" w:hAnsi="Times New Roman"/>
          <w:sz w:val="26"/>
          <w:szCs w:val="26"/>
        </w:rPr>
        <w:t xml:space="preserve"> all NMB charges</w:t>
      </w:r>
      <w:r>
        <w:rPr>
          <w:rFonts w:ascii="Times New Roman" w:hAnsi="Times New Roman"/>
          <w:sz w:val="26"/>
          <w:szCs w:val="26"/>
        </w:rPr>
        <w:t xml:space="preserve">, and that it recover these charges through its TSC from both default service customers and </w:t>
      </w:r>
      <w:r>
        <w:rPr>
          <w:rFonts w:ascii="Times New Roman" w:hAnsi="Times New Roman"/>
          <w:sz w:val="26"/>
          <w:szCs w:val="26"/>
        </w:rPr>
        <w:lastRenderedPageBreak/>
        <w:t>shoppin</w:t>
      </w:r>
      <w:r w:rsidR="00BE3B32">
        <w:rPr>
          <w:rFonts w:ascii="Times New Roman" w:hAnsi="Times New Roman"/>
          <w:sz w:val="26"/>
          <w:szCs w:val="26"/>
        </w:rPr>
        <w:t xml:space="preserve">g customers.  </w:t>
      </w:r>
      <w:proofErr w:type="spellStart"/>
      <w:r w:rsidR="00BE3B32">
        <w:rPr>
          <w:rFonts w:ascii="Times New Roman" w:hAnsi="Times New Roman"/>
          <w:sz w:val="26"/>
          <w:szCs w:val="26"/>
        </w:rPr>
        <w:t>ExGen</w:t>
      </w:r>
      <w:proofErr w:type="spellEnd"/>
      <w:r w:rsidR="00BE3B32">
        <w:rPr>
          <w:rFonts w:ascii="Times New Roman" w:hAnsi="Times New Roman"/>
          <w:sz w:val="26"/>
          <w:szCs w:val="26"/>
        </w:rPr>
        <w:t xml:space="preserve"> St. No. 1 at 4-5.  </w:t>
      </w:r>
      <w:r w:rsidR="0087074A">
        <w:rPr>
          <w:rFonts w:ascii="Times New Roman" w:hAnsi="Times New Roman"/>
          <w:sz w:val="26"/>
          <w:szCs w:val="26"/>
        </w:rPr>
        <w:t xml:space="preserve">Similar to RESA, </w:t>
      </w:r>
      <w:proofErr w:type="spellStart"/>
      <w:r w:rsidR="0087074A">
        <w:rPr>
          <w:rFonts w:ascii="Times New Roman" w:hAnsi="Times New Roman"/>
          <w:sz w:val="26"/>
          <w:szCs w:val="26"/>
        </w:rPr>
        <w:t>ExGen</w:t>
      </w:r>
      <w:proofErr w:type="spellEnd"/>
      <w:r w:rsidR="0087074A">
        <w:rPr>
          <w:rFonts w:ascii="Times New Roman" w:hAnsi="Times New Roman"/>
          <w:sz w:val="26"/>
          <w:szCs w:val="26"/>
        </w:rPr>
        <w:t xml:space="preserve"> argued that the </w:t>
      </w:r>
      <w:r w:rsidR="0087074A" w:rsidRPr="00BE3B32">
        <w:rPr>
          <w:rFonts w:ascii="Times New Roman" w:hAnsi="Times New Roman"/>
          <w:i/>
          <w:sz w:val="26"/>
          <w:szCs w:val="26"/>
        </w:rPr>
        <w:t>Fixed Price Order</w:t>
      </w:r>
      <w:r w:rsidR="0087074A">
        <w:rPr>
          <w:rFonts w:ascii="Times New Roman" w:hAnsi="Times New Roman"/>
          <w:sz w:val="26"/>
          <w:szCs w:val="26"/>
        </w:rPr>
        <w:t xml:space="preserve"> limits an EGS</w:t>
      </w:r>
      <w:r w:rsidR="00803C65">
        <w:rPr>
          <w:rFonts w:ascii="Times New Roman" w:hAnsi="Times New Roman"/>
          <w:sz w:val="26"/>
          <w:szCs w:val="26"/>
        </w:rPr>
        <w:t>’</w:t>
      </w:r>
      <w:r w:rsidR="0087074A">
        <w:rPr>
          <w:rFonts w:ascii="Times New Roman" w:hAnsi="Times New Roman"/>
          <w:sz w:val="26"/>
          <w:szCs w:val="26"/>
        </w:rPr>
        <w:t xml:space="preserve">s ability to pass through unanticipated costs, such as </w:t>
      </w:r>
      <w:proofErr w:type="spellStart"/>
      <w:r w:rsidR="0087074A">
        <w:rPr>
          <w:rFonts w:ascii="Times New Roman" w:hAnsi="Times New Roman"/>
          <w:sz w:val="26"/>
          <w:szCs w:val="26"/>
        </w:rPr>
        <w:t>unhedgable</w:t>
      </w:r>
      <w:proofErr w:type="spellEnd"/>
      <w:r w:rsidR="0087074A">
        <w:rPr>
          <w:rFonts w:ascii="Times New Roman" w:hAnsi="Times New Roman"/>
          <w:sz w:val="26"/>
          <w:szCs w:val="26"/>
        </w:rPr>
        <w:t xml:space="preserve"> NMB costs</w:t>
      </w:r>
      <w:r w:rsidR="00BE3B32">
        <w:rPr>
          <w:rFonts w:ascii="Times New Roman" w:hAnsi="Times New Roman"/>
          <w:sz w:val="26"/>
          <w:szCs w:val="26"/>
        </w:rPr>
        <w:t>,</w:t>
      </w:r>
      <w:r w:rsidR="0087074A">
        <w:rPr>
          <w:rFonts w:ascii="Times New Roman" w:hAnsi="Times New Roman"/>
          <w:sz w:val="26"/>
          <w:szCs w:val="26"/>
        </w:rPr>
        <w:t xml:space="preserve"> to customers with fixed-price contracts.  </w:t>
      </w:r>
      <w:proofErr w:type="spellStart"/>
      <w:r w:rsidR="0087074A">
        <w:rPr>
          <w:rFonts w:ascii="Times New Roman" w:hAnsi="Times New Roman"/>
          <w:sz w:val="26"/>
          <w:szCs w:val="26"/>
        </w:rPr>
        <w:t>ExGen</w:t>
      </w:r>
      <w:proofErr w:type="spellEnd"/>
      <w:r w:rsidR="0087074A">
        <w:rPr>
          <w:rFonts w:ascii="Times New Roman" w:hAnsi="Times New Roman"/>
          <w:sz w:val="26"/>
          <w:szCs w:val="26"/>
        </w:rPr>
        <w:t xml:space="preserve"> asserted that if EGSs must account for NMB costs themselves, they are more likely to either of</w:t>
      </w:r>
      <w:r w:rsidR="00BB7B98">
        <w:rPr>
          <w:rFonts w:ascii="Times New Roman" w:hAnsi="Times New Roman"/>
          <w:sz w:val="26"/>
          <w:szCs w:val="26"/>
        </w:rPr>
        <w:t>fer variable-priced products or</w:t>
      </w:r>
      <w:r w:rsidR="0087074A">
        <w:rPr>
          <w:rFonts w:ascii="Times New Roman" w:hAnsi="Times New Roman"/>
          <w:sz w:val="26"/>
          <w:szCs w:val="26"/>
        </w:rPr>
        <w:t xml:space="preserve"> include premiums in their fixed-priced offers to account for </w:t>
      </w:r>
      <w:r w:rsidR="00BE3B32">
        <w:rPr>
          <w:rFonts w:ascii="Times New Roman" w:hAnsi="Times New Roman"/>
          <w:sz w:val="26"/>
          <w:szCs w:val="26"/>
        </w:rPr>
        <w:t>the risk of changes in the</w:t>
      </w:r>
      <w:r w:rsidR="0087074A">
        <w:rPr>
          <w:rFonts w:ascii="Times New Roman" w:hAnsi="Times New Roman"/>
          <w:sz w:val="26"/>
          <w:szCs w:val="26"/>
        </w:rPr>
        <w:t xml:space="preserve"> </w:t>
      </w:r>
      <w:r w:rsidR="007E2ED1">
        <w:rPr>
          <w:rFonts w:ascii="Times New Roman" w:hAnsi="Times New Roman"/>
          <w:sz w:val="26"/>
          <w:szCs w:val="26"/>
        </w:rPr>
        <w:t xml:space="preserve">NMB costs.  Thus, </w:t>
      </w:r>
      <w:proofErr w:type="spellStart"/>
      <w:r w:rsidR="007E2ED1">
        <w:rPr>
          <w:rFonts w:ascii="Times New Roman" w:hAnsi="Times New Roman"/>
          <w:sz w:val="26"/>
          <w:szCs w:val="26"/>
        </w:rPr>
        <w:t>ExGen</w:t>
      </w:r>
      <w:proofErr w:type="spellEnd"/>
      <w:r w:rsidR="007E2ED1">
        <w:rPr>
          <w:rFonts w:ascii="Times New Roman" w:hAnsi="Times New Roman"/>
          <w:sz w:val="26"/>
          <w:szCs w:val="26"/>
        </w:rPr>
        <w:t xml:space="preserve"> contended</w:t>
      </w:r>
      <w:r w:rsidR="0087074A">
        <w:rPr>
          <w:rFonts w:ascii="Times New Roman" w:hAnsi="Times New Roman"/>
          <w:sz w:val="26"/>
          <w:szCs w:val="26"/>
        </w:rPr>
        <w:t xml:space="preserve"> that customers will end up paying higher prices regardless of whether</w:t>
      </w:r>
      <w:r w:rsidR="007E2ED1">
        <w:rPr>
          <w:rFonts w:ascii="Times New Roman" w:hAnsi="Times New Roman"/>
          <w:sz w:val="26"/>
          <w:szCs w:val="26"/>
        </w:rPr>
        <w:t xml:space="preserve"> or not</w:t>
      </w:r>
      <w:r w:rsidR="0087074A">
        <w:rPr>
          <w:rFonts w:ascii="Times New Roman" w:hAnsi="Times New Roman"/>
          <w:sz w:val="26"/>
          <w:szCs w:val="26"/>
        </w:rPr>
        <w:t xml:space="preserve"> NMB costs change over the term of the fixed-priced contracts.  According to </w:t>
      </w:r>
      <w:proofErr w:type="spellStart"/>
      <w:r w:rsidR="0087074A">
        <w:rPr>
          <w:rFonts w:ascii="Times New Roman" w:hAnsi="Times New Roman"/>
          <w:sz w:val="26"/>
          <w:szCs w:val="26"/>
        </w:rPr>
        <w:t>ExGen</w:t>
      </w:r>
      <w:proofErr w:type="spellEnd"/>
      <w:r w:rsidR="0087074A">
        <w:rPr>
          <w:rFonts w:ascii="Times New Roman" w:hAnsi="Times New Roman"/>
          <w:sz w:val="26"/>
          <w:szCs w:val="26"/>
        </w:rPr>
        <w:t>, allowing</w:t>
      </w:r>
      <w:r w:rsidR="000C3D10">
        <w:rPr>
          <w:rFonts w:ascii="Times New Roman" w:hAnsi="Times New Roman"/>
          <w:sz w:val="26"/>
          <w:szCs w:val="26"/>
        </w:rPr>
        <w:t xml:space="preserve"> NMB charges to be collected by the EDC from all distribution customers will best allow EGSs to continue to offer competitive fixed-price contracts to shop</w:t>
      </w:r>
      <w:r w:rsidR="007E2ED1">
        <w:rPr>
          <w:rFonts w:ascii="Times New Roman" w:hAnsi="Times New Roman"/>
          <w:sz w:val="26"/>
          <w:szCs w:val="26"/>
        </w:rPr>
        <w:t xml:space="preserve">ping customers.  </w:t>
      </w:r>
      <w:r w:rsidR="007E2ED1" w:rsidRPr="007E2ED1">
        <w:rPr>
          <w:rFonts w:ascii="Times New Roman" w:hAnsi="Times New Roman"/>
          <w:i/>
          <w:sz w:val="26"/>
          <w:szCs w:val="26"/>
        </w:rPr>
        <w:t>Id</w:t>
      </w:r>
      <w:r w:rsidR="007E2ED1">
        <w:rPr>
          <w:rFonts w:ascii="Times New Roman" w:hAnsi="Times New Roman"/>
          <w:sz w:val="26"/>
          <w:szCs w:val="26"/>
        </w:rPr>
        <w:t>.</w:t>
      </w:r>
      <w:r w:rsidR="000C3D10">
        <w:rPr>
          <w:rFonts w:ascii="Times New Roman" w:hAnsi="Times New Roman"/>
          <w:sz w:val="26"/>
          <w:szCs w:val="26"/>
        </w:rPr>
        <w:t xml:space="preserve"> at 5-6.</w:t>
      </w:r>
    </w:p>
    <w:p w:rsidR="001D4F5A" w:rsidRDefault="001D4F5A" w:rsidP="00A2567A">
      <w:pPr>
        <w:rPr>
          <w:rFonts w:ascii="Times New Roman" w:hAnsi="Times New Roman"/>
          <w:sz w:val="26"/>
          <w:szCs w:val="26"/>
        </w:rPr>
      </w:pPr>
    </w:p>
    <w:p w:rsidR="001D4F5A" w:rsidRDefault="001D4F5A" w:rsidP="00A2567A">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roofErr w:type="spellStart"/>
      <w:r>
        <w:rPr>
          <w:rFonts w:ascii="Times New Roman" w:hAnsi="Times New Roman"/>
          <w:sz w:val="26"/>
          <w:szCs w:val="26"/>
        </w:rPr>
        <w:t>ExGen</w:t>
      </w:r>
      <w:proofErr w:type="spellEnd"/>
      <w:r>
        <w:rPr>
          <w:rFonts w:ascii="Times New Roman" w:hAnsi="Times New Roman"/>
          <w:sz w:val="26"/>
          <w:szCs w:val="26"/>
        </w:rPr>
        <w:t xml:space="preserve"> also asserted that its NMB proposal is not prohibited by the Competition Act, </w:t>
      </w:r>
      <w:r w:rsidR="009173F9">
        <w:rPr>
          <w:rFonts w:ascii="Times New Roman" w:hAnsi="Times New Roman"/>
          <w:sz w:val="26"/>
          <w:szCs w:val="26"/>
        </w:rPr>
        <w:t>and may, in fact, be considered more consistent with the</w:t>
      </w:r>
      <w:r w:rsidR="00735D92">
        <w:rPr>
          <w:rFonts w:ascii="Times New Roman" w:hAnsi="Times New Roman"/>
          <w:sz w:val="26"/>
          <w:szCs w:val="26"/>
        </w:rPr>
        <w:t xml:space="preserve"> provisions of the Competition A</w:t>
      </w:r>
      <w:r w:rsidR="009173F9">
        <w:rPr>
          <w:rFonts w:ascii="Times New Roman" w:hAnsi="Times New Roman"/>
          <w:sz w:val="26"/>
          <w:szCs w:val="26"/>
        </w:rPr>
        <w:t>ct</w:t>
      </w:r>
      <w:r w:rsidR="00735D92">
        <w:rPr>
          <w:rFonts w:ascii="Times New Roman" w:hAnsi="Times New Roman"/>
          <w:sz w:val="26"/>
          <w:szCs w:val="26"/>
        </w:rPr>
        <w:t xml:space="preserve"> in that it allows generation and other related products to be the primary focus of competitive offers from EGSs, while the EDC would be responsible for </w:t>
      </w:r>
      <w:r w:rsidR="005B74ED">
        <w:rPr>
          <w:rFonts w:ascii="Times New Roman" w:hAnsi="Times New Roman"/>
          <w:sz w:val="26"/>
          <w:szCs w:val="26"/>
        </w:rPr>
        <w:t xml:space="preserve">the costs of </w:t>
      </w:r>
      <w:r w:rsidR="00735D92">
        <w:rPr>
          <w:rFonts w:ascii="Times New Roman" w:hAnsi="Times New Roman"/>
          <w:sz w:val="26"/>
          <w:szCs w:val="26"/>
        </w:rPr>
        <w:t xml:space="preserve">transmission and distribution services.  </w:t>
      </w:r>
      <w:proofErr w:type="spellStart"/>
      <w:r w:rsidR="00735D92">
        <w:rPr>
          <w:rFonts w:ascii="Times New Roman" w:hAnsi="Times New Roman"/>
          <w:sz w:val="26"/>
          <w:szCs w:val="26"/>
        </w:rPr>
        <w:t>ExGen</w:t>
      </w:r>
      <w:proofErr w:type="spellEnd"/>
      <w:r w:rsidR="00735D92">
        <w:rPr>
          <w:rFonts w:ascii="Times New Roman" w:hAnsi="Times New Roman"/>
          <w:sz w:val="26"/>
          <w:szCs w:val="26"/>
        </w:rPr>
        <w:t xml:space="preserve"> R.B. at 8-9 (citing </w:t>
      </w:r>
      <w:r w:rsidR="00BB7B98">
        <w:rPr>
          <w:rFonts w:ascii="Times New Roman" w:hAnsi="Times New Roman"/>
          <w:sz w:val="26"/>
          <w:szCs w:val="26"/>
        </w:rPr>
        <w:t>66 Pa. C.S. §§ 2802(16) and 2803</w:t>
      </w:r>
      <w:r w:rsidR="004A565D">
        <w:rPr>
          <w:rFonts w:ascii="Times New Roman" w:hAnsi="Times New Roman"/>
          <w:sz w:val="26"/>
          <w:szCs w:val="26"/>
        </w:rPr>
        <w:t>)</w:t>
      </w:r>
      <w:r w:rsidR="00BB7B98">
        <w:rPr>
          <w:rFonts w:ascii="Times New Roman" w:hAnsi="Times New Roman"/>
          <w:sz w:val="26"/>
          <w:szCs w:val="26"/>
        </w:rPr>
        <w:t>.</w:t>
      </w:r>
      <w:r w:rsidR="004D19AE">
        <w:rPr>
          <w:rFonts w:ascii="Times New Roman" w:hAnsi="Times New Roman"/>
          <w:sz w:val="26"/>
          <w:szCs w:val="26"/>
        </w:rPr>
        <w:t xml:space="preserve">  </w:t>
      </w:r>
      <w:proofErr w:type="spellStart"/>
      <w:r w:rsidR="004D19AE">
        <w:rPr>
          <w:rFonts w:ascii="Times New Roman" w:hAnsi="Times New Roman"/>
          <w:sz w:val="26"/>
          <w:szCs w:val="26"/>
        </w:rPr>
        <w:t>ExGen</w:t>
      </w:r>
      <w:proofErr w:type="spellEnd"/>
      <w:r w:rsidR="004D19AE">
        <w:rPr>
          <w:rFonts w:ascii="Times New Roman" w:hAnsi="Times New Roman"/>
          <w:sz w:val="26"/>
          <w:szCs w:val="26"/>
        </w:rPr>
        <w:t xml:space="preserve"> also argued that there is nothing in the </w:t>
      </w:r>
      <w:r>
        <w:rPr>
          <w:rFonts w:ascii="Times New Roman" w:hAnsi="Times New Roman"/>
          <w:sz w:val="26"/>
          <w:szCs w:val="26"/>
        </w:rPr>
        <w:t>Commission</w:t>
      </w:r>
      <w:r w:rsidR="00803C65">
        <w:rPr>
          <w:rFonts w:ascii="Times New Roman" w:hAnsi="Times New Roman"/>
          <w:sz w:val="26"/>
          <w:szCs w:val="26"/>
        </w:rPr>
        <w:t>’</w:t>
      </w:r>
      <w:r w:rsidR="004D19AE">
        <w:rPr>
          <w:rFonts w:ascii="Times New Roman" w:hAnsi="Times New Roman"/>
          <w:sz w:val="26"/>
          <w:szCs w:val="26"/>
        </w:rPr>
        <w:t>s Regulations that require EGSs to be responsible f</w:t>
      </w:r>
      <w:r w:rsidR="00B10E61">
        <w:rPr>
          <w:rFonts w:ascii="Times New Roman" w:hAnsi="Times New Roman"/>
          <w:sz w:val="26"/>
          <w:szCs w:val="26"/>
        </w:rPr>
        <w:t>or recovering NMB costs from their</w:t>
      </w:r>
      <w:r w:rsidR="007403B3">
        <w:rPr>
          <w:rFonts w:ascii="Times New Roman" w:hAnsi="Times New Roman"/>
          <w:sz w:val="26"/>
          <w:szCs w:val="26"/>
        </w:rPr>
        <w:t xml:space="preserve"> retail customers.  </w:t>
      </w:r>
      <w:proofErr w:type="spellStart"/>
      <w:r w:rsidR="007403B3">
        <w:rPr>
          <w:rFonts w:ascii="Times New Roman" w:hAnsi="Times New Roman"/>
          <w:sz w:val="26"/>
          <w:szCs w:val="26"/>
        </w:rPr>
        <w:t>ExGen</w:t>
      </w:r>
      <w:proofErr w:type="spellEnd"/>
      <w:r w:rsidR="007403B3">
        <w:rPr>
          <w:rFonts w:ascii="Times New Roman" w:hAnsi="Times New Roman"/>
          <w:sz w:val="26"/>
          <w:szCs w:val="26"/>
        </w:rPr>
        <w:t xml:space="preserve"> R.B. at 11-14.  </w:t>
      </w:r>
      <w:r w:rsidR="00BE3B32">
        <w:rPr>
          <w:rFonts w:ascii="Times New Roman" w:hAnsi="Times New Roman"/>
          <w:sz w:val="26"/>
          <w:szCs w:val="26"/>
        </w:rPr>
        <w:t xml:space="preserve">In addition, </w:t>
      </w:r>
      <w:proofErr w:type="spellStart"/>
      <w:r w:rsidR="00BE3B32">
        <w:rPr>
          <w:rFonts w:ascii="Times New Roman" w:hAnsi="Times New Roman"/>
          <w:sz w:val="26"/>
          <w:szCs w:val="26"/>
        </w:rPr>
        <w:t>ExGen</w:t>
      </w:r>
      <w:proofErr w:type="spellEnd"/>
      <w:r w:rsidR="00BE3B32">
        <w:rPr>
          <w:rFonts w:ascii="Times New Roman" w:hAnsi="Times New Roman"/>
          <w:sz w:val="26"/>
          <w:szCs w:val="26"/>
        </w:rPr>
        <w:t xml:space="preserve"> agreed with RESA that there are reasonable ways of dealing with any customer transition issues that may arise if its proposal is adopted.  </w:t>
      </w:r>
      <w:r w:rsidR="00BE3B32" w:rsidRPr="00BE3B32">
        <w:rPr>
          <w:rFonts w:ascii="Times New Roman" w:hAnsi="Times New Roman"/>
          <w:i/>
          <w:sz w:val="26"/>
          <w:szCs w:val="26"/>
        </w:rPr>
        <w:t>Id</w:t>
      </w:r>
      <w:r w:rsidR="00BE3B32">
        <w:rPr>
          <w:rFonts w:ascii="Times New Roman" w:hAnsi="Times New Roman"/>
          <w:sz w:val="26"/>
          <w:szCs w:val="26"/>
        </w:rPr>
        <w:t>. at 15.</w:t>
      </w:r>
    </w:p>
    <w:p w:rsidR="00A31037" w:rsidRDefault="00A31037" w:rsidP="00A2567A">
      <w:pPr>
        <w:rPr>
          <w:rFonts w:ascii="Times New Roman" w:hAnsi="Times New Roman"/>
          <w:sz w:val="26"/>
          <w:szCs w:val="26"/>
        </w:rPr>
      </w:pPr>
    </w:p>
    <w:p w:rsidR="007C18B8" w:rsidRPr="007C18B8" w:rsidRDefault="007C18B8" w:rsidP="00A2567A">
      <w:pPr>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sidR="00A31037">
        <w:rPr>
          <w:rFonts w:ascii="Times New Roman" w:hAnsi="Times New Roman"/>
          <w:b/>
          <w:sz w:val="26"/>
          <w:szCs w:val="26"/>
        </w:rPr>
        <w:t>c</w:t>
      </w:r>
      <w:r w:rsidRPr="007C18B8">
        <w:rPr>
          <w:rFonts w:ascii="Times New Roman" w:hAnsi="Times New Roman"/>
          <w:b/>
          <w:sz w:val="26"/>
          <w:szCs w:val="26"/>
        </w:rPr>
        <w:t>.</w:t>
      </w:r>
      <w:r w:rsidRPr="007C18B8">
        <w:rPr>
          <w:rFonts w:ascii="Times New Roman" w:hAnsi="Times New Roman"/>
          <w:b/>
          <w:sz w:val="26"/>
          <w:szCs w:val="26"/>
        </w:rPr>
        <w:tab/>
        <w:t>PPL</w:t>
      </w:r>
      <w:r w:rsidR="00803C65">
        <w:rPr>
          <w:rFonts w:ascii="Times New Roman" w:hAnsi="Times New Roman"/>
          <w:b/>
          <w:sz w:val="26"/>
          <w:szCs w:val="26"/>
        </w:rPr>
        <w:t>’</w:t>
      </w:r>
      <w:r w:rsidRPr="007C18B8">
        <w:rPr>
          <w:rFonts w:ascii="Times New Roman" w:hAnsi="Times New Roman"/>
          <w:b/>
          <w:sz w:val="26"/>
          <w:szCs w:val="26"/>
        </w:rPr>
        <w:t>s Position</w:t>
      </w:r>
    </w:p>
    <w:p w:rsidR="007C18B8" w:rsidRPr="008F74FD" w:rsidRDefault="007C18B8" w:rsidP="00A2567A">
      <w:pPr>
        <w:rPr>
          <w:rFonts w:ascii="Times New Roman" w:hAnsi="Times New Roman"/>
          <w:sz w:val="26"/>
          <w:szCs w:val="26"/>
        </w:rPr>
      </w:pPr>
    </w:p>
    <w:p w:rsidR="00EE0FA4" w:rsidRPr="008F74FD" w:rsidRDefault="00365F12" w:rsidP="00A2567A">
      <w:pPr>
        <w:rPr>
          <w:rFonts w:ascii="Times New Roman" w:hAnsi="Times New Roman"/>
          <w:sz w:val="26"/>
          <w:szCs w:val="26"/>
        </w:rPr>
      </w:pPr>
      <w:r w:rsidRPr="008F74FD">
        <w:rPr>
          <w:rFonts w:ascii="Times New Roman" w:hAnsi="Times New Roman"/>
          <w:sz w:val="26"/>
          <w:szCs w:val="26"/>
        </w:rPr>
        <w:tab/>
      </w:r>
      <w:r w:rsidRPr="008F74FD">
        <w:rPr>
          <w:rFonts w:ascii="Times New Roman" w:hAnsi="Times New Roman"/>
          <w:sz w:val="26"/>
          <w:szCs w:val="26"/>
        </w:rPr>
        <w:tab/>
        <w:t>PPL contended that because RESA</w:t>
      </w:r>
      <w:r w:rsidR="00803C65">
        <w:rPr>
          <w:rFonts w:ascii="Times New Roman" w:hAnsi="Times New Roman"/>
          <w:sz w:val="26"/>
          <w:szCs w:val="26"/>
        </w:rPr>
        <w:t>’</w:t>
      </w:r>
      <w:r w:rsidRPr="008F74FD">
        <w:rPr>
          <w:rFonts w:ascii="Times New Roman" w:hAnsi="Times New Roman"/>
          <w:sz w:val="26"/>
          <w:szCs w:val="26"/>
        </w:rPr>
        <w:t xml:space="preserve">s and </w:t>
      </w:r>
      <w:proofErr w:type="spellStart"/>
      <w:r w:rsidRPr="008F74FD">
        <w:rPr>
          <w:rFonts w:ascii="Times New Roman" w:hAnsi="Times New Roman"/>
          <w:sz w:val="26"/>
          <w:szCs w:val="26"/>
        </w:rPr>
        <w:t>ExGen</w:t>
      </w:r>
      <w:r w:rsidR="00803C65">
        <w:rPr>
          <w:rFonts w:ascii="Times New Roman" w:hAnsi="Times New Roman"/>
          <w:sz w:val="26"/>
          <w:szCs w:val="26"/>
        </w:rPr>
        <w:t>’</w:t>
      </w:r>
      <w:r w:rsidRPr="008F74FD">
        <w:rPr>
          <w:rFonts w:ascii="Times New Roman" w:hAnsi="Times New Roman"/>
          <w:sz w:val="26"/>
          <w:szCs w:val="26"/>
        </w:rPr>
        <w:t>s</w:t>
      </w:r>
      <w:proofErr w:type="spellEnd"/>
      <w:r w:rsidRPr="008F74FD">
        <w:rPr>
          <w:rFonts w:ascii="Times New Roman" w:hAnsi="Times New Roman"/>
          <w:sz w:val="26"/>
          <w:szCs w:val="26"/>
        </w:rPr>
        <w:t xml:space="preserve"> proposal</w:t>
      </w:r>
      <w:r w:rsidR="0044038D" w:rsidRPr="008F74FD">
        <w:rPr>
          <w:rFonts w:ascii="Times New Roman" w:hAnsi="Times New Roman"/>
          <w:sz w:val="26"/>
          <w:szCs w:val="26"/>
        </w:rPr>
        <w:t>s regarding NMB costs are</w:t>
      </w:r>
      <w:r w:rsidRPr="008F74FD">
        <w:rPr>
          <w:rFonts w:ascii="Times New Roman" w:hAnsi="Times New Roman"/>
          <w:sz w:val="26"/>
          <w:szCs w:val="26"/>
        </w:rPr>
        <w:t xml:space="preserve"> entirely outside the proposals set forth in the Company</w:t>
      </w:r>
      <w:r w:rsidR="00803C65">
        <w:rPr>
          <w:rFonts w:ascii="Times New Roman" w:hAnsi="Times New Roman"/>
          <w:sz w:val="26"/>
          <w:szCs w:val="26"/>
        </w:rPr>
        <w:t>’</w:t>
      </w:r>
      <w:r w:rsidRPr="008F74FD">
        <w:rPr>
          <w:rFonts w:ascii="Times New Roman" w:hAnsi="Times New Roman"/>
          <w:sz w:val="26"/>
          <w:szCs w:val="26"/>
        </w:rPr>
        <w:t>s DSP III program, those parties bear the burden of proof</w:t>
      </w:r>
      <w:r w:rsidR="0044038D" w:rsidRPr="008F74FD">
        <w:rPr>
          <w:rFonts w:ascii="Times New Roman" w:hAnsi="Times New Roman"/>
          <w:sz w:val="26"/>
          <w:szCs w:val="26"/>
        </w:rPr>
        <w:t xml:space="preserve"> with respect to their proposals</w:t>
      </w:r>
      <w:r w:rsidRPr="008F74FD">
        <w:rPr>
          <w:rFonts w:ascii="Times New Roman" w:hAnsi="Times New Roman"/>
          <w:sz w:val="26"/>
          <w:szCs w:val="26"/>
        </w:rPr>
        <w:t xml:space="preserve">.  PPL asserted that RESA and </w:t>
      </w:r>
      <w:proofErr w:type="spellStart"/>
      <w:r w:rsidRPr="008F74FD">
        <w:rPr>
          <w:rFonts w:ascii="Times New Roman" w:hAnsi="Times New Roman"/>
          <w:sz w:val="26"/>
          <w:szCs w:val="26"/>
        </w:rPr>
        <w:t>ExGen</w:t>
      </w:r>
      <w:proofErr w:type="spellEnd"/>
      <w:r w:rsidRPr="008F74FD">
        <w:rPr>
          <w:rFonts w:ascii="Times New Roman" w:hAnsi="Times New Roman"/>
          <w:sz w:val="26"/>
          <w:szCs w:val="26"/>
        </w:rPr>
        <w:t xml:space="preserve"> have failed to meet their burden of proof, and therefore, their proposals should be rejected.  PPL M.B. at 16</w:t>
      </w:r>
    </w:p>
    <w:p w:rsidR="00365F12" w:rsidRPr="008F74FD" w:rsidRDefault="00365F12" w:rsidP="00A2567A">
      <w:pPr>
        <w:rPr>
          <w:rFonts w:ascii="Times New Roman" w:hAnsi="Times New Roman"/>
          <w:sz w:val="26"/>
          <w:szCs w:val="26"/>
        </w:rPr>
      </w:pPr>
    </w:p>
    <w:p w:rsidR="00B5696F" w:rsidRDefault="00365F12" w:rsidP="00A2567A">
      <w:pPr>
        <w:rPr>
          <w:rFonts w:ascii="Times New Roman" w:hAnsi="Times New Roman"/>
          <w:sz w:val="26"/>
          <w:szCs w:val="26"/>
        </w:rPr>
      </w:pPr>
      <w:r w:rsidRPr="008F74FD">
        <w:rPr>
          <w:rFonts w:ascii="Times New Roman" w:hAnsi="Times New Roman"/>
          <w:sz w:val="26"/>
          <w:szCs w:val="26"/>
        </w:rPr>
        <w:tab/>
      </w:r>
      <w:r w:rsidRPr="008F74FD">
        <w:rPr>
          <w:rFonts w:ascii="Times New Roman" w:hAnsi="Times New Roman"/>
          <w:sz w:val="26"/>
          <w:szCs w:val="26"/>
        </w:rPr>
        <w:tab/>
      </w:r>
      <w:r w:rsidRPr="00807F0A">
        <w:rPr>
          <w:rFonts w:ascii="Times New Roman" w:hAnsi="Times New Roman"/>
          <w:sz w:val="26"/>
          <w:szCs w:val="26"/>
        </w:rPr>
        <w:t>PPL argued that RESA</w:t>
      </w:r>
      <w:r w:rsidR="00803C65">
        <w:rPr>
          <w:rFonts w:ascii="Times New Roman" w:hAnsi="Times New Roman"/>
          <w:sz w:val="26"/>
          <w:szCs w:val="26"/>
        </w:rPr>
        <w:t>’</w:t>
      </w:r>
      <w:r w:rsidRPr="00807F0A">
        <w:rPr>
          <w:rFonts w:ascii="Times New Roman" w:hAnsi="Times New Roman"/>
          <w:sz w:val="26"/>
          <w:szCs w:val="26"/>
        </w:rPr>
        <w:t xml:space="preserve">s and </w:t>
      </w:r>
      <w:proofErr w:type="spellStart"/>
      <w:r w:rsidRPr="00807F0A">
        <w:rPr>
          <w:rFonts w:ascii="Times New Roman" w:hAnsi="Times New Roman"/>
          <w:sz w:val="26"/>
          <w:szCs w:val="26"/>
        </w:rPr>
        <w:t>ExGen</w:t>
      </w:r>
      <w:r w:rsidR="00803C65">
        <w:rPr>
          <w:rFonts w:ascii="Times New Roman" w:hAnsi="Times New Roman"/>
          <w:sz w:val="26"/>
          <w:szCs w:val="26"/>
        </w:rPr>
        <w:t>’</w:t>
      </w:r>
      <w:r w:rsidRPr="00807F0A">
        <w:rPr>
          <w:rFonts w:ascii="Times New Roman" w:hAnsi="Times New Roman"/>
          <w:sz w:val="26"/>
          <w:szCs w:val="26"/>
        </w:rPr>
        <w:t>s</w:t>
      </w:r>
      <w:proofErr w:type="spellEnd"/>
      <w:r w:rsidRPr="00807F0A">
        <w:rPr>
          <w:rFonts w:ascii="Times New Roman" w:hAnsi="Times New Roman"/>
          <w:sz w:val="26"/>
          <w:szCs w:val="26"/>
        </w:rPr>
        <w:t xml:space="preserve"> proposals</w:t>
      </w:r>
      <w:r w:rsidR="0044038D" w:rsidRPr="00807F0A">
        <w:rPr>
          <w:rFonts w:ascii="Times New Roman" w:hAnsi="Times New Roman"/>
          <w:sz w:val="26"/>
          <w:szCs w:val="26"/>
        </w:rPr>
        <w:t xml:space="preserve"> are inconsistent with PJM rules, under which all Load Serving Entities (LSEs)</w:t>
      </w:r>
      <w:r w:rsidR="003460A9">
        <w:rPr>
          <w:rStyle w:val="FootnoteReference"/>
          <w:rFonts w:ascii="Times New Roman" w:hAnsi="Times New Roman"/>
          <w:sz w:val="26"/>
          <w:szCs w:val="26"/>
        </w:rPr>
        <w:footnoteReference w:id="10"/>
      </w:r>
      <w:r w:rsidR="0044038D" w:rsidRPr="00807F0A">
        <w:rPr>
          <w:rFonts w:ascii="Times New Roman" w:hAnsi="Times New Roman"/>
          <w:sz w:val="26"/>
          <w:szCs w:val="26"/>
        </w:rPr>
        <w:t xml:space="preserve"> are charged market-based and NMB costs based on each LSE</w:t>
      </w:r>
      <w:r w:rsidR="00803C65">
        <w:rPr>
          <w:rFonts w:ascii="Times New Roman" w:hAnsi="Times New Roman"/>
          <w:sz w:val="26"/>
          <w:szCs w:val="26"/>
        </w:rPr>
        <w:t>’</w:t>
      </w:r>
      <w:r w:rsidR="0044038D" w:rsidRPr="00807F0A">
        <w:rPr>
          <w:rFonts w:ascii="Times New Roman" w:hAnsi="Times New Roman"/>
          <w:sz w:val="26"/>
          <w:szCs w:val="26"/>
        </w:rPr>
        <w:t>s share of the</w:t>
      </w:r>
      <w:r w:rsidR="0044038D" w:rsidRPr="008F74FD">
        <w:rPr>
          <w:rFonts w:ascii="Times New Roman" w:hAnsi="Times New Roman"/>
          <w:sz w:val="26"/>
          <w:szCs w:val="26"/>
        </w:rPr>
        <w:t xml:space="preserve"> load served.  Thus, PPL stated that each EGS bears the costs for the customers served by that EGS, and PPL bears the costs for its default service customers.  PPL contended that it would not be appropriate to make the Company pay the NMB costs for shopping customers, for whom it does not provide generation service.  </w:t>
      </w:r>
      <w:r w:rsidR="0044038D" w:rsidRPr="008F74FD">
        <w:rPr>
          <w:rFonts w:ascii="Times New Roman" w:hAnsi="Times New Roman"/>
          <w:i/>
          <w:sz w:val="26"/>
          <w:szCs w:val="26"/>
        </w:rPr>
        <w:t>Id</w:t>
      </w:r>
      <w:r w:rsidR="00B5696F">
        <w:rPr>
          <w:rFonts w:ascii="Times New Roman" w:hAnsi="Times New Roman"/>
          <w:sz w:val="26"/>
          <w:szCs w:val="26"/>
        </w:rPr>
        <w:t>. at 16-17; R.B. at 17-18.</w:t>
      </w:r>
    </w:p>
    <w:p w:rsidR="00B5696F" w:rsidRDefault="00B5696F" w:rsidP="00A2567A">
      <w:pPr>
        <w:rPr>
          <w:rFonts w:ascii="Times New Roman" w:hAnsi="Times New Roman"/>
          <w:sz w:val="26"/>
          <w:szCs w:val="26"/>
        </w:rPr>
      </w:pPr>
    </w:p>
    <w:p w:rsidR="0044038D" w:rsidRPr="008F74FD" w:rsidRDefault="00B5696F" w:rsidP="00A2567A">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With regard to RESA</w:t>
      </w:r>
      <w:r w:rsidR="00803C65">
        <w:rPr>
          <w:rFonts w:ascii="Times New Roman" w:hAnsi="Times New Roman"/>
          <w:sz w:val="26"/>
          <w:szCs w:val="26"/>
        </w:rPr>
        <w:t>’</w:t>
      </w:r>
      <w:r>
        <w:rPr>
          <w:rFonts w:ascii="Times New Roman" w:hAnsi="Times New Roman"/>
          <w:sz w:val="26"/>
          <w:szCs w:val="26"/>
        </w:rPr>
        <w:t>s contention that NMB costs are unpredictable and cannot be hedged, PPL stated that RESA provided only one example in which NITS charges increased in the PPL Zone between January 1, 2013</w:t>
      </w:r>
      <w:r w:rsidR="0005345B">
        <w:rPr>
          <w:rFonts w:ascii="Times New Roman" w:hAnsi="Times New Roman"/>
          <w:sz w:val="26"/>
          <w:szCs w:val="26"/>
        </w:rPr>
        <w:t>,</w:t>
      </w:r>
      <w:r>
        <w:rPr>
          <w:rFonts w:ascii="Times New Roman" w:hAnsi="Times New Roman"/>
          <w:sz w:val="26"/>
          <w:szCs w:val="26"/>
        </w:rPr>
        <w:t xml:space="preserve"> and June</w:t>
      </w:r>
      <w:r w:rsidR="0005345B">
        <w:rPr>
          <w:rFonts w:ascii="Times New Roman" w:hAnsi="Times New Roman"/>
          <w:sz w:val="26"/>
          <w:szCs w:val="26"/>
        </w:rPr>
        <w:t xml:space="preserve"> </w:t>
      </w:r>
      <w:r>
        <w:rPr>
          <w:rFonts w:ascii="Times New Roman" w:hAnsi="Times New Roman"/>
          <w:sz w:val="26"/>
          <w:szCs w:val="26"/>
        </w:rPr>
        <w:t xml:space="preserve">1, 2013.  </w:t>
      </w:r>
      <w:r w:rsidR="001A10D4">
        <w:rPr>
          <w:rFonts w:ascii="Times New Roman" w:hAnsi="Times New Roman"/>
          <w:sz w:val="26"/>
          <w:szCs w:val="26"/>
        </w:rPr>
        <w:t xml:space="preserve">PPL R.B. at 15 (citing RESA M.B. at 10-11).  PPL noted that the </w:t>
      </w:r>
      <w:r w:rsidR="00807F0A">
        <w:rPr>
          <w:rFonts w:ascii="Times New Roman" w:hAnsi="Times New Roman"/>
          <w:sz w:val="26"/>
          <w:szCs w:val="26"/>
        </w:rPr>
        <w:t xml:space="preserve">Commission recently found that </w:t>
      </w:r>
      <w:r w:rsidR="001A10D4">
        <w:rPr>
          <w:rFonts w:ascii="Times New Roman" w:hAnsi="Times New Roman"/>
          <w:sz w:val="26"/>
          <w:szCs w:val="26"/>
        </w:rPr>
        <w:t xml:space="preserve">such a single instance is insufficient to demonstrate the alleged volatility.  PPL R.B. at 15 (citing </w:t>
      </w:r>
      <w:r w:rsidR="001A10D4" w:rsidRPr="008F74FD">
        <w:rPr>
          <w:rFonts w:ascii="Times New Roman" w:hAnsi="Times New Roman"/>
          <w:i/>
          <w:sz w:val="26"/>
          <w:szCs w:val="26"/>
        </w:rPr>
        <w:t>FirstEnergy DSP III Order</w:t>
      </w:r>
      <w:r w:rsidR="001A10D4">
        <w:rPr>
          <w:rFonts w:ascii="Times New Roman" w:hAnsi="Times New Roman"/>
          <w:i/>
          <w:sz w:val="26"/>
          <w:szCs w:val="26"/>
        </w:rPr>
        <w:t xml:space="preserve"> </w:t>
      </w:r>
      <w:r w:rsidR="001A10D4">
        <w:rPr>
          <w:rFonts w:ascii="Times New Roman" w:hAnsi="Times New Roman"/>
          <w:sz w:val="26"/>
          <w:szCs w:val="26"/>
        </w:rPr>
        <w:t xml:space="preserve">at 31-32).  Moreover, PPL </w:t>
      </w:r>
      <w:r w:rsidR="001F3E54">
        <w:rPr>
          <w:rFonts w:ascii="Times New Roman" w:hAnsi="Times New Roman"/>
          <w:sz w:val="26"/>
          <w:szCs w:val="26"/>
        </w:rPr>
        <w:t>asserted that the fact that NMB charges may be variable or difficult to hedge is irrelevant to determining the proper cost responsibility for these charges because every LSE must be held responsible for the costs rela</w:t>
      </w:r>
      <w:r w:rsidR="001A10D4">
        <w:rPr>
          <w:rFonts w:ascii="Times New Roman" w:hAnsi="Times New Roman"/>
          <w:sz w:val="26"/>
          <w:szCs w:val="26"/>
        </w:rPr>
        <w:t>ting to its share of the load.  PPL M.B. at 18.  In addition</w:t>
      </w:r>
      <w:r w:rsidR="005A2229">
        <w:rPr>
          <w:rFonts w:ascii="Times New Roman" w:hAnsi="Times New Roman"/>
          <w:sz w:val="26"/>
          <w:szCs w:val="26"/>
        </w:rPr>
        <w:t xml:space="preserve">, PPL contended that there is no evidence that the unpredictability or </w:t>
      </w:r>
      <w:proofErr w:type="spellStart"/>
      <w:r w:rsidR="005A2229">
        <w:rPr>
          <w:rFonts w:ascii="Times New Roman" w:hAnsi="Times New Roman"/>
          <w:sz w:val="26"/>
          <w:szCs w:val="26"/>
        </w:rPr>
        <w:t>unhedgability</w:t>
      </w:r>
      <w:proofErr w:type="spellEnd"/>
      <w:r w:rsidR="005A2229">
        <w:rPr>
          <w:rFonts w:ascii="Times New Roman" w:hAnsi="Times New Roman"/>
          <w:sz w:val="26"/>
          <w:szCs w:val="26"/>
        </w:rPr>
        <w:t xml:space="preserve"> of NMB charges has changed since th</w:t>
      </w:r>
      <w:r w:rsidR="00786BE9">
        <w:rPr>
          <w:rFonts w:ascii="Times New Roman" w:hAnsi="Times New Roman"/>
          <w:sz w:val="26"/>
          <w:szCs w:val="26"/>
        </w:rPr>
        <w:t>e Commission</w:t>
      </w:r>
      <w:r w:rsidR="00803C65">
        <w:rPr>
          <w:rFonts w:ascii="Times New Roman" w:hAnsi="Times New Roman"/>
          <w:sz w:val="26"/>
          <w:szCs w:val="26"/>
        </w:rPr>
        <w:t>’</w:t>
      </w:r>
      <w:r w:rsidR="00786BE9">
        <w:rPr>
          <w:rFonts w:ascii="Times New Roman" w:hAnsi="Times New Roman"/>
          <w:sz w:val="26"/>
          <w:szCs w:val="26"/>
        </w:rPr>
        <w:t xml:space="preserve">s decision in </w:t>
      </w:r>
      <w:r w:rsidR="00786BE9" w:rsidRPr="00786BE9">
        <w:rPr>
          <w:rFonts w:ascii="Times New Roman" w:hAnsi="Times New Roman"/>
          <w:i/>
          <w:sz w:val="26"/>
          <w:szCs w:val="26"/>
        </w:rPr>
        <w:t>PPL DSP II</w:t>
      </w:r>
      <w:r w:rsidR="005A2229">
        <w:rPr>
          <w:rFonts w:ascii="Times New Roman" w:hAnsi="Times New Roman"/>
          <w:sz w:val="26"/>
          <w:szCs w:val="26"/>
        </w:rPr>
        <w:t xml:space="preserve">.  </w:t>
      </w:r>
      <w:r w:rsidR="005A2229" w:rsidRPr="005A2229">
        <w:rPr>
          <w:rFonts w:ascii="Times New Roman" w:hAnsi="Times New Roman"/>
          <w:i/>
          <w:sz w:val="26"/>
          <w:szCs w:val="26"/>
        </w:rPr>
        <w:t>Id</w:t>
      </w:r>
      <w:r w:rsidR="0005345B">
        <w:rPr>
          <w:rFonts w:ascii="Times New Roman" w:hAnsi="Times New Roman"/>
          <w:i/>
          <w:sz w:val="26"/>
          <w:szCs w:val="26"/>
        </w:rPr>
        <w:t>.</w:t>
      </w:r>
      <w:r w:rsidR="005A2229">
        <w:rPr>
          <w:rFonts w:ascii="Times New Roman" w:hAnsi="Times New Roman"/>
          <w:sz w:val="26"/>
          <w:szCs w:val="26"/>
        </w:rPr>
        <w:t xml:space="preserve"> at 19.  </w:t>
      </w:r>
      <w:r w:rsidR="001F3E54">
        <w:rPr>
          <w:rFonts w:ascii="Times New Roman" w:hAnsi="Times New Roman"/>
          <w:sz w:val="26"/>
          <w:szCs w:val="26"/>
        </w:rPr>
        <w:t>As for the concern that EGSs must add a risk premium to their prices, PPL ar</w:t>
      </w:r>
      <w:r w:rsidR="005A2229">
        <w:rPr>
          <w:rFonts w:ascii="Times New Roman" w:hAnsi="Times New Roman"/>
          <w:sz w:val="26"/>
          <w:szCs w:val="26"/>
        </w:rPr>
        <w:t xml:space="preserve">gued that this pricing structure is part of the reality of managing risk in a competitive industry, and that EGSs are aware of this structure when they enter the market and choose to compete under these conditions.  </w:t>
      </w:r>
      <w:r w:rsidR="005A2229" w:rsidRPr="005A2229">
        <w:rPr>
          <w:rFonts w:ascii="Times New Roman" w:hAnsi="Times New Roman"/>
          <w:i/>
          <w:sz w:val="26"/>
          <w:szCs w:val="26"/>
        </w:rPr>
        <w:t>Id</w:t>
      </w:r>
      <w:r w:rsidR="005A2229">
        <w:rPr>
          <w:rFonts w:ascii="Times New Roman" w:hAnsi="Times New Roman"/>
          <w:sz w:val="26"/>
          <w:szCs w:val="26"/>
        </w:rPr>
        <w:t xml:space="preserve">.  </w:t>
      </w:r>
    </w:p>
    <w:p w:rsidR="0044038D" w:rsidRPr="008F74FD" w:rsidRDefault="0044038D" w:rsidP="00A2567A">
      <w:pPr>
        <w:rPr>
          <w:rFonts w:ascii="Times New Roman" w:hAnsi="Times New Roman"/>
          <w:sz w:val="26"/>
          <w:szCs w:val="26"/>
        </w:rPr>
      </w:pPr>
    </w:p>
    <w:p w:rsidR="005B148F" w:rsidRDefault="00D910FA" w:rsidP="00A2567A">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PPL also argued that, in its </w:t>
      </w:r>
      <w:r w:rsidR="00A36842">
        <w:rPr>
          <w:rFonts w:ascii="Times New Roman" w:hAnsi="Times New Roman"/>
          <w:i/>
          <w:sz w:val="26"/>
          <w:szCs w:val="26"/>
        </w:rPr>
        <w:t>Fixed Price</w:t>
      </w:r>
      <w:r w:rsidRPr="00D910FA">
        <w:rPr>
          <w:rFonts w:ascii="Times New Roman" w:hAnsi="Times New Roman"/>
          <w:i/>
          <w:sz w:val="26"/>
          <w:szCs w:val="26"/>
        </w:rPr>
        <w:t xml:space="preserve"> Order</w:t>
      </w:r>
      <w:r>
        <w:rPr>
          <w:rFonts w:ascii="Times New Roman" w:hAnsi="Times New Roman"/>
          <w:sz w:val="26"/>
          <w:szCs w:val="26"/>
        </w:rPr>
        <w:t xml:space="preserve">, </w:t>
      </w:r>
      <w:r w:rsidR="00803C65">
        <w:rPr>
          <w:rFonts w:ascii="Times New Roman" w:hAnsi="Times New Roman"/>
          <w:sz w:val="26"/>
          <w:szCs w:val="26"/>
        </w:rPr>
        <w:t>“</w:t>
      </w:r>
      <w:r>
        <w:rPr>
          <w:rFonts w:ascii="Times New Roman" w:hAnsi="Times New Roman"/>
          <w:sz w:val="26"/>
          <w:szCs w:val="26"/>
        </w:rPr>
        <w:t>the Commission clear</w:t>
      </w:r>
      <w:r w:rsidR="00BA3540">
        <w:rPr>
          <w:rFonts w:ascii="Times New Roman" w:hAnsi="Times New Roman"/>
          <w:sz w:val="26"/>
          <w:szCs w:val="26"/>
        </w:rPr>
        <w:t xml:space="preserve">ly explained that the </w:t>
      </w:r>
      <w:r w:rsidR="00803C65">
        <w:rPr>
          <w:rFonts w:ascii="Times New Roman" w:hAnsi="Times New Roman"/>
          <w:sz w:val="26"/>
          <w:szCs w:val="26"/>
        </w:rPr>
        <w:t>‘</w:t>
      </w:r>
      <w:r w:rsidR="00BA3540">
        <w:rPr>
          <w:rFonts w:ascii="Times New Roman" w:hAnsi="Times New Roman"/>
          <w:sz w:val="26"/>
          <w:szCs w:val="26"/>
        </w:rPr>
        <w:t>price an</w:t>
      </w:r>
      <w:r>
        <w:rPr>
          <w:rFonts w:ascii="Times New Roman" w:hAnsi="Times New Roman"/>
          <w:sz w:val="26"/>
          <w:szCs w:val="26"/>
        </w:rPr>
        <w:t xml:space="preserve"> EGS presents to residential or small business customers is expected to be </w:t>
      </w:r>
      <w:r w:rsidR="00803C65">
        <w:rPr>
          <w:rFonts w:ascii="Times New Roman" w:hAnsi="Times New Roman"/>
          <w:sz w:val="26"/>
          <w:szCs w:val="26"/>
        </w:rPr>
        <w:t>“</w:t>
      </w:r>
      <w:r>
        <w:rPr>
          <w:rFonts w:ascii="Times New Roman" w:hAnsi="Times New Roman"/>
          <w:sz w:val="26"/>
          <w:szCs w:val="26"/>
        </w:rPr>
        <w:t>all inclusive</w:t>
      </w:r>
      <w:r w:rsidR="00803C65">
        <w:rPr>
          <w:rFonts w:ascii="Times New Roman" w:hAnsi="Times New Roman"/>
          <w:sz w:val="26"/>
          <w:szCs w:val="26"/>
        </w:rPr>
        <w:t>”</w:t>
      </w:r>
      <w:r>
        <w:rPr>
          <w:rFonts w:ascii="Times New Roman" w:hAnsi="Times New Roman"/>
          <w:sz w:val="26"/>
          <w:szCs w:val="26"/>
        </w:rPr>
        <w:t xml:space="preserve"> – including all of the pricing components found in the PTC for default customers (generation, transmission where applicable, gross receipts tax, etc.).</w:t>
      </w:r>
      <w:r w:rsidR="00803C65">
        <w:rPr>
          <w:rFonts w:ascii="Times New Roman" w:hAnsi="Times New Roman"/>
          <w:sz w:val="26"/>
          <w:szCs w:val="26"/>
        </w:rPr>
        <w:t>’”</w:t>
      </w:r>
      <w:r>
        <w:rPr>
          <w:rFonts w:ascii="Times New Roman" w:hAnsi="Times New Roman"/>
          <w:sz w:val="26"/>
          <w:szCs w:val="26"/>
        </w:rPr>
        <w:t xml:space="preserve">  </w:t>
      </w:r>
      <w:r w:rsidRPr="00D910FA">
        <w:rPr>
          <w:rFonts w:ascii="Times New Roman" w:hAnsi="Times New Roman"/>
          <w:i/>
          <w:sz w:val="26"/>
          <w:szCs w:val="26"/>
        </w:rPr>
        <w:t>Id</w:t>
      </w:r>
      <w:r>
        <w:rPr>
          <w:rFonts w:ascii="Times New Roman" w:hAnsi="Times New Roman"/>
          <w:sz w:val="26"/>
          <w:szCs w:val="26"/>
        </w:rPr>
        <w:t xml:space="preserve">. at 20 (quoting </w:t>
      </w:r>
      <w:r w:rsidR="00A36842">
        <w:rPr>
          <w:rFonts w:ascii="Times New Roman" w:hAnsi="Times New Roman"/>
          <w:i/>
          <w:sz w:val="26"/>
          <w:szCs w:val="26"/>
        </w:rPr>
        <w:t>Fixed Price</w:t>
      </w:r>
      <w:r w:rsidRPr="00D910FA">
        <w:rPr>
          <w:rFonts w:ascii="Times New Roman" w:hAnsi="Times New Roman"/>
          <w:i/>
          <w:sz w:val="26"/>
          <w:szCs w:val="26"/>
        </w:rPr>
        <w:t xml:space="preserve"> Order</w:t>
      </w:r>
      <w:r>
        <w:rPr>
          <w:rFonts w:ascii="Times New Roman" w:hAnsi="Times New Roman"/>
          <w:i/>
          <w:sz w:val="26"/>
          <w:szCs w:val="26"/>
        </w:rPr>
        <w:t xml:space="preserve"> </w:t>
      </w:r>
      <w:r>
        <w:rPr>
          <w:rFonts w:ascii="Times New Roman" w:hAnsi="Times New Roman"/>
          <w:sz w:val="26"/>
          <w:szCs w:val="26"/>
        </w:rPr>
        <w:t>at 28).</w:t>
      </w:r>
      <w:r w:rsidR="00466307">
        <w:rPr>
          <w:rFonts w:ascii="Times New Roman" w:hAnsi="Times New Roman"/>
          <w:sz w:val="26"/>
          <w:szCs w:val="26"/>
        </w:rPr>
        <w:t xml:space="preserve">  In addition, PPL noted that the </w:t>
      </w:r>
      <w:r w:rsidR="00A36842">
        <w:rPr>
          <w:rFonts w:ascii="Times New Roman" w:hAnsi="Times New Roman"/>
          <w:i/>
          <w:sz w:val="26"/>
          <w:szCs w:val="26"/>
        </w:rPr>
        <w:t>Fixed Price</w:t>
      </w:r>
      <w:r w:rsidR="00466307" w:rsidRPr="00D910FA">
        <w:rPr>
          <w:rFonts w:ascii="Times New Roman" w:hAnsi="Times New Roman"/>
          <w:i/>
          <w:sz w:val="26"/>
          <w:szCs w:val="26"/>
        </w:rPr>
        <w:t xml:space="preserve"> Order</w:t>
      </w:r>
      <w:r w:rsidR="00466307">
        <w:rPr>
          <w:rFonts w:ascii="Times New Roman" w:hAnsi="Times New Roman"/>
          <w:i/>
          <w:sz w:val="26"/>
          <w:szCs w:val="26"/>
        </w:rPr>
        <w:t xml:space="preserve"> </w:t>
      </w:r>
      <w:r w:rsidR="00466307" w:rsidRPr="00E805DC">
        <w:rPr>
          <w:rFonts w:ascii="Times New Roman" w:hAnsi="Times New Roman"/>
          <w:sz w:val="26"/>
          <w:szCs w:val="26"/>
          <w:u w:val="single"/>
        </w:rPr>
        <w:t>permits</w:t>
      </w:r>
      <w:r w:rsidR="00466307">
        <w:rPr>
          <w:rFonts w:ascii="Times New Roman" w:hAnsi="Times New Roman"/>
          <w:sz w:val="26"/>
          <w:szCs w:val="26"/>
        </w:rPr>
        <w:t xml:space="preserve"> EGS</w:t>
      </w:r>
      <w:r w:rsidR="00BA3540">
        <w:rPr>
          <w:rFonts w:ascii="Times New Roman" w:hAnsi="Times New Roman"/>
          <w:sz w:val="26"/>
          <w:szCs w:val="26"/>
        </w:rPr>
        <w:t>s</w:t>
      </w:r>
      <w:r w:rsidR="00466307">
        <w:rPr>
          <w:rFonts w:ascii="Times New Roman" w:hAnsi="Times New Roman"/>
          <w:sz w:val="26"/>
          <w:szCs w:val="26"/>
        </w:rPr>
        <w:t xml:space="preserve"> to reformulate existing contracts with customers by proposing new contract terms to fully account for unanticipated changes in costs, including NMB charges.  PPL M.B. at 21.</w:t>
      </w:r>
    </w:p>
    <w:p w:rsidR="00FF1B0A" w:rsidRDefault="00FF1B0A" w:rsidP="00A2567A">
      <w:pPr>
        <w:rPr>
          <w:rFonts w:ascii="Times New Roman" w:hAnsi="Times New Roman"/>
          <w:sz w:val="26"/>
          <w:szCs w:val="26"/>
        </w:rPr>
      </w:pPr>
    </w:p>
    <w:p w:rsidR="00FF1B0A" w:rsidRDefault="00FF1B0A" w:rsidP="00A2567A">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Additionally, PPL contended that if the EDC were to develop a non-</w:t>
      </w:r>
      <w:proofErr w:type="spellStart"/>
      <w:r>
        <w:rPr>
          <w:rFonts w:ascii="Times New Roman" w:hAnsi="Times New Roman"/>
          <w:sz w:val="26"/>
          <w:szCs w:val="26"/>
        </w:rPr>
        <w:t>bypassable</w:t>
      </w:r>
      <w:proofErr w:type="spellEnd"/>
      <w:r>
        <w:rPr>
          <w:rFonts w:ascii="Times New Roman" w:hAnsi="Times New Roman"/>
          <w:sz w:val="26"/>
          <w:szCs w:val="26"/>
        </w:rPr>
        <w:t xml:space="preserve"> clause to recover the NMB charges from all customers, every customer with every EGS would need a revised contract effective on the date on which the change took place in order to avoid customers paying both the EDC and EGS for the same transmission costs.  Furthermore, PPL asserted that changing the cost responsibility for NMB charges from the EGS to PPL will deprive customers, as well as the EGS, of the bargain they negotiated in fixed-price contracts that do not allow for changes due to NMB charges.  </w:t>
      </w:r>
      <w:r w:rsidRPr="00FF1B0A">
        <w:rPr>
          <w:rFonts w:ascii="Times New Roman" w:hAnsi="Times New Roman"/>
          <w:i/>
          <w:sz w:val="26"/>
          <w:szCs w:val="26"/>
        </w:rPr>
        <w:t>Id</w:t>
      </w:r>
      <w:r>
        <w:rPr>
          <w:rFonts w:ascii="Times New Roman" w:hAnsi="Times New Roman"/>
          <w:sz w:val="26"/>
          <w:szCs w:val="26"/>
        </w:rPr>
        <w:t>.</w:t>
      </w:r>
    </w:p>
    <w:p w:rsidR="001427F5" w:rsidRDefault="001427F5" w:rsidP="00A2567A">
      <w:pPr>
        <w:rPr>
          <w:rFonts w:ascii="Times New Roman" w:hAnsi="Times New Roman"/>
          <w:sz w:val="26"/>
          <w:szCs w:val="26"/>
        </w:rPr>
      </w:pPr>
    </w:p>
    <w:p w:rsidR="001427F5" w:rsidRPr="001427F5" w:rsidRDefault="001427F5" w:rsidP="00A2567A">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807F0A">
        <w:rPr>
          <w:rFonts w:ascii="Times New Roman" w:hAnsi="Times New Roman"/>
          <w:sz w:val="26"/>
          <w:szCs w:val="26"/>
        </w:rPr>
        <w:t>Finally, PPL stated that</w:t>
      </w:r>
      <w:r w:rsidR="00807F0A" w:rsidRPr="00807F0A">
        <w:rPr>
          <w:rFonts w:ascii="Times New Roman" w:hAnsi="Times New Roman"/>
          <w:sz w:val="26"/>
          <w:szCs w:val="26"/>
        </w:rPr>
        <w:t xml:space="preserve"> </w:t>
      </w:r>
      <w:r w:rsidR="00807F0A">
        <w:rPr>
          <w:rFonts w:ascii="Times New Roman" w:hAnsi="Times New Roman"/>
          <w:sz w:val="26"/>
          <w:szCs w:val="26"/>
        </w:rPr>
        <w:t xml:space="preserve">in </w:t>
      </w:r>
      <w:r w:rsidR="00807F0A" w:rsidRPr="0090327A">
        <w:rPr>
          <w:rFonts w:ascii="Times New Roman" w:hAnsi="Times New Roman"/>
          <w:i/>
          <w:sz w:val="26"/>
          <w:szCs w:val="26"/>
        </w:rPr>
        <w:t>FirstEnergy DSP III</w:t>
      </w:r>
      <w:r w:rsidR="00807F0A">
        <w:rPr>
          <w:rFonts w:ascii="Times New Roman" w:hAnsi="Times New Roman"/>
          <w:sz w:val="26"/>
          <w:szCs w:val="26"/>
        </w:rPr>
        <w:t xml:space="preserve">, the Commission </w:t>
      </w:r>
      <w:r w:rsidRPr="00807F0A">
        <w:rPr>
          <w:rFonts w:ascii="Times New Roman" w:hAnsi="Times New Roman"/>
          <w:sz w:val="26"/>
          <w:szCs w:val="26"/>
        </w:rPr>
        <w:t>considered and rejected RESA</w:t>
      </w:r>
      <w:r w:rsidR="00803C65">
        <w:rPr>
          <w:rFonts w:ascii="Times New Roman" w:hAnsi="Times New Roman"/>
          <w:sz w:val="26"/>
          <w:szCs w:val="26"/>
        </w:rPr>
        <w:t>’</w:t>
      </w:r>
      <w:r w:rsidRPr="00807F0A">
        <w:rPr>
          <w:rFonts w:ascii="Times New Roman" w:hAnsi="Times New Roman"/>
          <w:sz w:val="26"/>
          <w:szCs w:val="26"/>
        </w:rPr>
        <w:t xml:space="preserve">s </w:t>
      </w:r>
      <w:r w:rsidR="00807F0A" w:rsidRPr="00807F0A">
        <w:rPr>
          <w:rFonts w:ascii="Times New Roman" w:hAnsi="Times New Roman"/>
          <w:sz w:val="26"/>
          <w:szCs w:val="26"/>
        </w:rPr>
        <w:t xml:space="preserve">and </w:t>
      </w:r>
      <w:proofErr w:type="spellStart"/>
      <w:r w:rsidR="00807F0A" w:rsidRPr="00807F0A">
        <w:rPr>
          <w:rFonts w:ascii="Times New Roman" w:hAnsi="Times New Roman"/>
          <w:sz w:val="26"/>
          <w:szCs w:val="26"/>
        </w:rPr>
        <w:t>ExGen</w:t>
      </w:r>
      <w:r w:rsidR="00803C65">
        <w:rPr>
          <w:rFonts w:ascii="Times New Roman" w:hAnsi="Times New Roman"/>
          <w:sz w:val="26"/>
          <w:szCs w:val="26"/>
        </w:rPr>
        <w:t>’</w:t>
      </w:r>
      <w:r w:rsidR="00807F0A" w:rsidRPr="00807F0A">
        <w:rPr>
          <w:rFonts w:ascii="Times New Roman" w:hAnsi="Times New Roman"/>
          <w:sz w:val="26"/>
          <w:szCs w:val="26"/>
        </w:rPr>
        <w:t>s</w:t>
      </w:r>
      <w:proofErr w:type="spellEnd"/>
      <w:r w:rsidRPr="00807F0A">
        <w:rPr>
          <w:rFonts w:ascii="Times New Roman" w:hAnsi="Times New Roman"/>
          <w:sz w:val="26"/>
          <w:szCs w:val="26"/>
        </w:rPr>
        <w:t xml:space="preserve"> arguments that the unpredictable and </w:t>
      </w:r>
      <w:proofErr w:type="spellStart"/>
      <w:r w:rsidRPr="00807F0A">
        <w:rPr>
          <w:rFonts w:ascii="Times New Roman" w:hAnsi="Times New Roman"/>
          <w:sz w:val="26"/>
          <w:szCs w:val="26"/>
        </w:rPr>
        <w:t>unhedgable</w:t>
      </w:r>
      <w:proofErr w:type="spellEnd"/>
      <w:r w:rsidRPr="00807F0A">
        <w:rPr>
          <w:rFonts w:ascii="Times New Roman" w:hAnsi="Times New Roman"/>
          <w:sz w:val="26"/>
          <w:szCs w:val="26"/>
        </w:rPr>
        <w:t xml:space="preserve"> nature of NMB charges, and the</w:t>
      </w:r>
      <w:r w:rsidR="00917A09" w:rsidRPr="00807F0A">
        <w:rPr>
          <w:rFonts w:ascii="Times New Roman" w:hAnsi="Times New Roman"/>
          <w:sz w:val="26"/>
          <w:szCs w:val="26"/>
        </w:rPr>
        <w:t xml:space="preserve"> Commission</w:t>
      </w:r>
      <w:r w:rsidR="00803C65">
        <w:rPr>
          <w:rFonts w:ascii="Times New Roman" w:hAnsi="Times New Roman"/>
          <w:sz w:val="26"/>
          <w:szCs w:val="26"/>
        </w:rPr>
        <w:t>’</w:t>
      </w:r>
      <w:r w:rsidR="00917A09" w:rsidRPr="00807F0A">
        <w:rPr>
          <w:rFonts w:ascii="Times New Roman" w:hAnsi="Times New Roman"/>
          <w:sz w:val="26"/>
          <w:szCs w:val="26"/>
        </w:rPr>
        <w:t>s determinations in the</w:t>
      </w:r>
      <w:r w:rsidRPr="00807F0A">
        <w:rPr>
          <w:rFonts w:ascii="Times New Roman" w:hAnsi="Times New Roman"/>
          <w:sz w:val="26"/>
          <w:szCs w:val="26"/>
        </w:rPr>
        <w:t xml:space="preserve"> </w:t>
      </w:r>
      <w:r w:rsidR="00A36842" w:rsidRPr="00807F0A">
        <w:rPr>
          <w:rFonts w:ascii="Times New Roman" w:hAnsi="Times New Roman"/>
          <w:i/>
          <w:sz w:val="26"/>
          <w:szCs w:val="26"/>
        </w:rPr>
        <w:t>Fixed Price</w:t>
      </w:r>
      <w:r w:rsidRPr="00807F0A">
        <w:rPr>
          <w:rFonts w:ascii="Times New Roman" w:hAnsi="Times New Roman"/>
          <w:i/>
          <w:sz w:val="26"/>
          <w:szCs w:val="26"/>
        </w:rPr>
        <w:t xml:space="preserve"> Order</w:t>
      </w:r>
      <w:r w:rsidRPr="00807F0A">
        <w:rPr>
          <w:rFonts w:ascii="Times New Roman" w:hAnsi="Times New Roman"/>
          <w:sz w:val="26"/>
          <w:szCs w:val="26"/>
        </w:rPr>
        <w:t>, justified the non-</w:t>
      </w:r>
      <w:proofErr w:type="spellStart"/>
      <w:r w:rsidRPr="00807F0A">
        <w:rPr>
          <w:rFonts w:ascii="Times New Roman" w:hAnsi="Times New Roman"/>
          <w:sz w:val="26"/>
          <w:szCs w:val="26"/>
        </w:rPr>
        <w:t>bypassable</w:t>
      </w:r>
      <w:proofErr w:type="spellEnd"/>
      <w:r>
        <w:rPr>
          <w:rFonts w:ascii="Times New Roman" w:hAnsi="Times New Roman"/>
          <w:sz w:val="26"/>
          <w:szCs w:val="26"/>
        </w:rPr>
        <w:t xml:space="preserve"> nature of NMB charges.  </w:t>
      </w:r>
      <w:r w:rsidRPr="001427F5">
        <w:rPr>
          <w:rFonts w:ascii="Times New Roman" w:hAnsi="Times New Roman"/>
          <w:i/>
          <w:sz w:val="26"/>
          <w:szCs w:val="26"/>
        </w:rPr>
        <w:t>Id</w:t>
      </w:r>
      <w:r>
        <w:rPr>
          <w:rFonts w:ascii="Times New Roman" w:hAnsi="Times New Roman"/>
          <w:sz w:val="26"/>
          <w:szCs w:val="26"/>
        </w:rPr>
        <w:t xml:space="preserve">. at 21-22 (citing </w:t>
      </w:r>
      <w:r w:rsidRPr="008F74FD">
        <w:rPr>
          <w:rFonts w:ascii="Times New Roman" w:hAnsi="Times New Roman"/>
          <w:i/>
          <w:sz w:val="26"/>
          <w:szCs w:val="26"/>
        </w:rPr>
        <w:t>FirstEnergy DSP III Order</w:t>
      </w:r>
      <w:r>
        <w:rPr>
          <w:rFonts w:ascii="Times New Roman" w:hAnsi="Times New Roman"/>
          <w:i/>
          <w:sz w:val="26"/>
          <w:szCs w:val="26"/>
        </w:rPr>
        <w:t xml:space="preserve"> </w:t>
      </w:r>
      <w:r>
        <w:rPr>
          <w:rFonts w:ascii="Times New Roman" w:hAnsi="Times New Roman"/>
          <w:sz w:val="26"/>
          <w:szCs w:val="26"/>
        </w:rPr>
        <w:t>at 31-32</w:t>
      </w:r>
      <w:r w:rsidR="00917A09">
        <w:rPr>
          <w:rFonts w:ascii="Times New Roman" w:hAnsi="Times New Roman"/>
          <w:sz w:val="26"/>
          <w:szCs w:val="26"/>
        </w:rPr>
        <w:t>)</w:t>
      </w:r>
      <w:r>
        <w:rPr>
          <w:rFonts w:ascii="Times New Roman" w:hAnsi="Times New Roman"/>
          <w:sz w:val="26"/>
          <w:szCs w:val="26"/>
        </w:rPr>
        <w:t xml:space="preserve">.  PPL asserted that neither RESA nor </w:t>
      </w:r>
      <w:proofErr w:type="spellStart"/>
      <w:r>
        <w:rPr>
          <w:rFonts w:ascii="Times New Roman" w:hAnsi="Times New Roman"/>
          <w:sz w:val="26"/>
          <w:szCs w:val="26"/>
        </w:rPr>
        <w:t>ExGen</w:t>
      </w:r>
      <w:proofErr w:type="spellEnd"/>
      <w:r>
        <w:rPr>
          <w:rFonts w:ascii="Times New Roman" w:hAnsi="Times New Roman"/>
          <w:sz w:val="26"/>
          <w:szCs w:val="26"/>
        </w:rPr>
        <w:t xml:space="preserve"> has offered any reason or evidence to depart from the Commission</w:t>
      </w:r>
      <w:r w:rsidR="00803C65">
        <w:rPr>
          <w:rFonts w:ascii="Times New Roman" w:hAnsi="Times New Roman"/>
          <w:sz w:val="26"/>
          <w:szCs w:val="26"/>
        </w:rPr>
        <w:t>’</w:t>
      </w:r>
      <w:r>
        <w:rPr>
          <w:rFonts w:ascii="Times New Roman" w:hAnsi="Times New Roman"/>
          <w:sz w:val="26"/>
          <w:szCs w:val="26"/>
        </w:rPr>
        <w:t>s dec</w:t>
      </w:r>
      <w:r w:rsidR="00917A09">
        <w:rPr>
          <w:rFonts w:ascii="Times New Roman" w:hAnsi="Times New Roman"/>
          <w:sz w:val="26"/>
          <w:szCs w:val="26"/>
        </w:rPr>
        <w:t>ision in that</w:t>
      </w:r>
      <w:r>
        <w:rPr>
          <w:rFonts w:ascii="Times New Roman" w:hAnsi="Times New Roman"/>
          <w:sz w:val="26"/>
          <w:szCs w:val="26"/>
        </w:rPr>
        <w:t xml:space="preserve"> proceeding.  PPL M.B. at 22.</w:t>
      </w:r>
    </w:p>
    <w:p w:rsidR="005B148F" w:rsidRDefault="005B148F" w:rsidP="00A2567A">
      <w:pPr>
        <w:rPr>
          <w:rFonts w:ascii="Times New Roman" w:hAnsi="Times New Roman"/>
          <w:sz w:val="26"/>
          <w:szCs w:val="26"/>
        </w:rPr>
      </w:pPr>
    </w:p>
    <w:p w:rsidR="007C18B8" w:rsidRPr="007C18B8" w:rsidRDefault="007C18B8" w:rsidP="00E111F1">
      <w:pPr>
        <w:keepNext/>
        <w:rPr>
          <w:rFonts w:ascii="Times New Roman" w:hAnsi="Times New Roman"/>
          <w:b/>
          <w:sz w:val="26"/>
          <w:szCs w:val="26"/>
        </w:rPr>
      </w:pPr>
      <w:r>
        <w:rPr>
          <w:rFonts w:ascii="Times New Roman" w:hAnsi="Times New Roman"/>
          <w:sz w:val="26"/>
          <w:szCs w:val="26"/>
        </w:rPr>
        <w:lastRenderedPageBreak/>
        <w:tab/>
      </w:r>
      <w:r>
        <w:rPr>
          <w:rFonts w:ascii="Times New Roman" w:hAnsi="Times New Roman"/>
          <w:sz w:val="26"/>
          <w:szCs w:val="26"/>
        </w:rPr>
        <w:tab/>
      </w:r>
      <w:r w:rsidR="00A31037">
        <w:rPr>
          <w:rFonts w:ascii="Times New Roman" w:hAnsi="Times New Roman"/>
          <w:b/>
          <w:sz w:val="26"/>
          <w:szCs w:val="26"/>
        </w:rPr>
        <w:t>d</w:t>
      </w:r>
      <w:r w:rsidRPr="007C18B8">
        <w:rPr>
          <w:rFonts w:ascii="Times New Roman" w:hAnsi="Times New Roman"/>
          <w:b/>
          <w:sz w:val="26"/>
          <w:szCs w:val="26"/>
        </w:rPr>
        <w:t>.</w:t>
      </w:r>
      <w:r w:rsidRPr="007C18B8">
        <w:rPr>
          <w:rFonts w:ascii="Times New Roman" w:hAnsi="Times New Roman"/>
          <w:b/>
          <w:sz w:val="26"/>
          <w:szCs w:val="26"/>
        </w:rPr>
        <w:tab/>
        <w:t>PPLICA</w:t>
      </w:r>
      <w:r w:rsidR="00803C65">
        <w:rPr>
          <w:rFonts w:ascii="Times New Roman" w:hAnsi="Times New Roman"/>
          <w:b/>
          <w:sz w:val="26"/>
          <w:szCs w:val="26"/>
        </w:rPr>
        <w:t>’</w:t>
      </w:r>
      <w:r w:rsidRPr="007C18B8">
        <w:rPr>
          <w:rFonts w:ascii="Times New Roman" w:hAnsi="Times New Roman"/>
          <w:b/>
          <w:sz w:val="26"/>
          <w:szCs w:val="26"/>
        </w:rPr>
        <w:t>s Position</w:t>
      </w:r>
    </w:p>
    <w:p w:rsidR="007C18B8" w:rsidRDefault="007C18B8" w:rsidP="00E111F1">
      <w:pPr>
        <w:keepNext/>
        <w:rPr>
          <w:rFonts w:ascii="Times New Roman" w:hAnsi="Times New Roman"/>
          <w:sz w:val="26"/>
          <w:szCs w:val="26"/>
        </w:rPr>
      </w:pPr>
    </w:p>
    <w:p w:rsidR="003B7DA4" w:rsidRDefault="00E632DF" w:rsidP="003C6BFD">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PPLICA also opposes RESA</w:t>
      </w:r>
      <w:r w:rsidR="00803C65">
        <w:rPr>
          <w:rFonts w:ascii="Times New Roman" w:hAnsi="Times New Roman"/>
          <w:sz w:val="26"/>
          <w:szCs w:val="26"/>
        </w:rPr>
        <w:t>’</w:t>
      </w:r>
      <w:r>
        <w:rPr>
          <w:rFonts w:ascii="Times New Roman" w:hAnsi="Times New Roman"/>
          <w:sz w:val="26"/>
          <w:szCs w:val="26"/>
        </w:rPr>
        <w:t xml:space="preserve">s and </w:t>
      </w:r>
      <w:proofErr w:type="spellStart"/>
      <w:r>
        <w:rPr>
          <w:rFonts w:ascii="Times New Roman" w:hAnsi="Times New Roman"/>
          <w:sz w:val="26"/>
          <w:szCs w:val="26"/>
        </w:rPr>
        <w:t>ExGen</w:t>
      </w:r>
      <w:r w:rsidR="00803C65">
        <w:rPr>
          <w:rFonts w:ascii="Times New Roman" w:hAnsi="Times New Roman"/>
          <w:sz w:val="26"/>
          <w:szCs w:val="26"/>
        </w:rPr>
        <w:t>’</w:t>
      </w:r>
      <w:r>
        <w:rPr>
          <w:rFonts w:ascii="Times New Roman" w:hAnsi="Times New Roman"/>
          <w:sz w:val="26"/>
          <w:szCs w:val="26"/>
        </w:rPr>
        <w:t>s</w:t>
      </w:r>
      <w:proofErr w:type="spellEnd"/>
      <w:r>
        <w:rPr>
          <w:rFonts w:ascii="Times New Roman" w:hAnsi="Times New Roman"/>
          <w:sz w:val="26"/>
          <w:szCs w:val="26"/>
        </w:rPr>
        <w:t xml:space="preserve"> proposals to require PPL to be responsible for the NMB costs relating to all customer load, and to recover those costs through a non-</w:t>
      </w:r>
      <w:proofErr w:type="spellStart"/>
      <w:r>
        <w:rPr>
          <w:rFonts w:ascii="Times New Roman" w:hAnsi="Times New Roman"/>
          <w:sz w:val="26"/>
          <w:szCs w:val="26"/>
        </w:rPr>
        <w:t>bypassable</w:t>
      </w:r>
      <w:proofErr w:type="spellEnd"/>
      <w:r>
        <w:rPr>
          <w:rFonts w:ascii="Times New Roman" w:hAnsi="Times New Roman"/>
          <w:sz w:val="26"/>
          <w:szCs w:val="26"/>
        </w:rPr>
        <w:t xml:space="preserve"> charge.  PPLICA contended that the record evidence indicates that NMB costs are not volatile as RESA claims.  PPLICA </w:t>
      </w:r>
      <w:r w:rsidR="004C4001">
        <w:rPr>
          <w:rFonts w:ascii="Times New Roman" w:hAnsi="Times New Roman"/>
          <w:sz w:val="26"/>
          <w:szCs w:val="26"/>
        </w:rPr>
        <w:t>asserted that</w:t>
      </w:r>
      <w:r w:rsidR="00283612">
        <w:rPr>
          <w:rFonts w:ascii="Times New Roman" w:hAnsi="Times New Roman"/>
          <w:sz w:val="26"/>
          <w:szCs w:val="26"/>
        </w:rPr>
        <w:t>, in support of its allegations of such volatility,</w:t>
      </w:r>
      <w:r w:rsidR="004C4001">
        <w:rPr>
          <w:rFonts w:ascii="Times New Roman" w:hAnsi="Times New Roman"/>
          <w:sz w:val="26"/>
          <w:szCs w:val="26"/>
        </w:rPr>
        <w:t xml:space="preserve"> RESA relied upon a single instance involving a NITS rate increase of 52% in the PPL zone between January 1, 2013, and June 1, 2013, which PPLICA characterizes as an </w:t>
      </w:r>
      <w:r w:rsidR="00803C65">
        <w:rPr>
          <w:rFonts w:ascii="Times New Roman" w:hAnsi="Times New Roman"/>
          <w:sz w:val="26"/>
          <w:szCs w:val="26"/>
        </w:rPr>
        <w:t>“</w:t>
      </w:r>
      <w:r w:rsidR="004C4001">
        <w:rPr>
          <w:rFonts w:ascii="Times New Roman" w:hAnsi="Times New Roman"/>
          <w:sz w:val="26"/>
          <w:szCs w:val="26"/>
        </w:rPr>
        <w:t>outlier</w:t>
      </w:r>
      <w:r w:rsidR="00803C65">
        <w:rPr>
          <w:rFonts w:ascii="Times New Roman" w:hAnsi="Times New Roman"/>
          <w:sz w:val="26"/>
          <w:szCs w:val="26"/>
        </w:rPr>
        <w:t>”</w:t>
      </w:r>
      <w:r w:rsidR="00552B8B">
        <w:rPr>
          <w:rFonts w:ascii="Times New Roman" w:hAnsi="Times New Roman"/>
          <w:sz w:val="26"/>
          <w:szCs w:val="26"/>
        </w:rPr>
        <w:t xml:space="preserve"> in comparison to data showing more moderate changes in NITS charges.</w:t>
      </w:r>
      <w:r w:rsidR="00917A09">
        <w:rPr>
          <w:rFonts w:ascii="Times New Roman" w:hAnsi="Times New Roman"/>
          <w:sz w:val="26"/>
          <w:szCs w:val="26"/>
        </w:rPr>
        <w:t xml:space="preserve">  </w:t>
      </w:r>
      <w:r w:rsidR="00006D3A">
        <w:rPr>
          <w:rFonts w:ascii="Times New Roman" w:hAnsi="Times New Roman"/>
          <w:sz w:val="26"/>
          <w:szCs w:val="26"/>
        </w:rPr>
        <w:t xml:space="preserve">PPLICA M.B. at 13.  </w:t>
      </w:r>
      <w:r w:rsidR="00DA5783">
        <w:rPr>
          <w:rFonts w:ascii="Times New Roman" w:hAnsi="Times New Roman"/>
          <w:sz w:val="26"/>
          <w:szCs w:val="26"/>
        </w:rPr>
        <w:t>In addition, PPLICA stated that NITS charges are calculated on an annual basis, with a</w:t>
      </w:r>
      <w:r w:rsidR="00D14DB0">
        <w:rPr>
          <w:rFonts w:ascii="Times New Roman" w:hAnsi="Times New Roman"/>
          <w:sz w:val="26"/>
          <w:szCs w:val="26"/>
        </w:rPr>
        <w:t xml:space="preserve"> thirty-day notice provided before the rates take effect on June 1, the first day of the PJM Planning Year.  </w:t>
      </w:r>
      <w:r w:rsidR="00006D3A" w:rsidRPr="005F0E81">
        <w:rPr>
          <w:rFonts w:ascii="Times New Roman" w:hAnsi="Times New Roman"/>
          <w:i/>
          <w:sz w:val="26"/>
          <w:szCs w:val="26"/>
        </w:rPr>
        <w:t>Id</w:t>
      </w:r>
      <w:r w:rsidR="00006D3A">
        <w:rPr>
          <w:rFonts w:ascii="Times New Roman" w:hAnsi="Times New Roman"/>
          <w:sz w:val="26"/>
          <w:szCs w:val="26"/>
        </w:rPr>
        <w:t>. (citing PPL St. No. 3-R at 7)</w:t>
      </w:r>
      <w:r w:rsidR="00D14DB0">
        <w:rPr>
          <w:rFonts w:ascii="Times New Roman" w:hAnsi="Times New Roman"/>
          <w:sz w:val="26"/>
          <w:szCs w:val="26"/>
        </w:rPr>
        <w:t xml:space="preserve">.  </w:t>
      </w:r>
      <w:r w:rsidR="00917A09">
        <w:rPr>
          <w:rFonts w:ascii="Times New Roman" w:hAnsi="Times New Roman"/>
          <w:sz w:val="26"/>
          <w:szCs w:val="26"/>
        </w:rPr>
        <w:t>Moreo</w:t>
      </w:r>
      <w:r w:rsidR="0090327A">
        <w:rPr>
          <w:rFonts w:ascii="Times New Roman" w:hAnsi="Times New Roman"/>
          <w:sz w:val="26"/>
          <w:szCs w:val="26"/>
        </w:rPr>
        <w:t xml:space="preserve">ver, PPLICA contended that in </w:t>
      </w:r>
      <w:r w:rsidR="0090327A" w:rsidRPr="0090327A">
        <w:rPr>
          <w:rFonts w:ascii="Times New Roman" w:hAnsi="Times New Roman"/>
          <w:i/>
          <w:sz w:val="26"/>
          <w:szCs w:val="26"/>
        </w:rPr>
        <w:t>FirstEnergy DSP III</w:t>
      </w:r>
      <w:r w:rsidR="00917A09">
        <w:rPr>
          <w:rFonts w:ascii="Times New Roman" w:hAnsi="Times New Roman"/>
          <w:sz w:val="26"/>
          <w:szCs w:val="26"/>
        </w:rPr>
        <w:t>, the Commission found that NITS should not be recovered through a non-</w:t>
      </w:r>
      <w:proofErr w:type="spellStart"/>
      <w:r w:rsidR="00917A09">
        <w:rPr>
          <w:rFonts w:ascii="Times New Roman" w:hAnsi="Times New Roman"/>
          <w:sz w:val="26"/>
          <w:szCs w:val="26"/>
        </w:rPr>
        <w:t>bypassable</w:t>
      </w:r>
      <w:proofErr w:type="spellEnd"/>
      <w:r w:rsidR="00917A09">
        <w:rPr>
          <w:rFonts w:ascii="Times New Roman" w:hAnsi="Times New Roman"/>
          <w:sz w:val="26"/>
          <w:szCs w:val="26"/>
        </w:rPr>
        <w:t xml:space="preserve"> rider because the evidence of a single increase offered to show volatility in NITS costs was unconvincing.</w:t>
      </w:r>
      <w:r w:rsidR="00006D3A">
        <w:rPr>
          <w:rFonts w:ascii="Times New Roman" w:hAnsi="Times New Roman"/>
          <w:sz w:val="26"/>
          <w:szCs w:val="26"/>
        </w:rPr>
        <w:t xml:space="preserve">  PPLICA M.B. at 13</w:t>
      </w:r>
      <w:r w:rsidR="00917A09">
        <w:rPr>
          <w:rFonts w:ascii="Times New Roman" w:hAnsi="Times New Roman"/>
          <w:sz w:val="26"/>
          <w:szCs w:val="26"/>
        </w:rPr>
        <w:t xml:space="preserve"> (citing </w:t>
      </w:r>
      <w:r w:rsidR="00917A09" w:rsidRPr="008F74FD">
        <w:rPr>
          <w:rFonts w:ascii="Times New Roman" w:hAnsi="Times New Roman"/>
          <w:i/>
          <w:sz w:val="26"/>
          <w:szCs w:val="26"/>
        </w:rPr>
        <w:t>FirstEnergy DSP III Order</w:t>
      </w:r>
      <w:r w:rsidR="00917A09">
        <w:rPr>
          <w:rFonts w:ascii="Times New Roman" w:hAnsi="Times New Roman"/>
          <w:i/>
          <w:sz w:val="26"/>
          <w:szCs w:val="26"/>
        </w:rPr>
        <w:t xml:space="preserve"> </w:t>
      </w:r>
      <w:r w:rsidR="00917A09">
        <w:rPr>
          <w:rFonts w:ascii="Times New Roman" w:hAnsi="Times New Roman"/>
          <w:sz w:val="26"/>
          <w:szCs w:val="26"/>
        </w:rPr>
        <w:t>at 31).</w:t>
      </w:r>
    </w:p>
    <w:p w:rsidR="00070411" w:rsidRDefault="00070411" w:rsidP="00A2567A">
      <w:pPr>
        <w:rPr>
          <w:rFonts w:ascii="Times New Roman" w:hAnsi="Times New Roman"/>
          <w:sz w:val="26"/>
          <w:szCs w:val="26"/>
        </w:rPr>
      </w:pPr>
    </w:p>
    <w:p w:rsidR="00121C40" w:rsidRDefault="00070411" w:rsidP="00A2567A">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With regard to RESA</w:t>
      </w:r>
      <w:r w:rsidR="00803C65">
        <w:rPr>
          <w:rFonts w:ascii="Times New Roman" w:hAnsi="Times New Roman"/>
          <w:sz w:val="26"/>
          <w:szCs w:val="26"/>
        </w:rPr>
        <w:t>’</w:t>
      </w:r>
      <w:r>
        <w:rPr>
          <w:rFonts w:ascii="Times New Roman" w:hAnsi="Times New Roman"/>
          <w:sz w:val="26"/>
          <w:szCs w:val="26"/>
        </w:rPr>
        <w:t xml:space="preserve">s contention that, unlike EGSs, PPL can pass through NITS charges without reflecting a risk premium in its price for generation </w:t>
      </w:r>
      <w:r w:rsidR="00D614A5">
        <w:rPr>
          <w:rFonts w:ascii="Times New Roman" w:hAnsi="Times New Roman"/>
          <w:sz w:val="26"/>
          <w:szCs w:val="26"/>
        </w:rPr>
        <w:t>supply, PPLICA asserted that an</w:t>
      </w:r>
      <w:r>
        <w:rPr>
          <w:rFonts w:ascii="Times New Roman" w:hAnsi="Times New Roman"/>
          <w:sz w:val="26"/>
          <w:szCs w:val="26"/>
        </w:rPr>
        <w:t xml:space="preserve"> EGS can negotiate a pass-through clause with its customers, as has been done by many Large C&amp;I customers.  </w:t>
      </w:r>
      <w:r w:rsidR="009A7955">
        <w:rPr>
          <w:rFonts w:ascii="Times New Roman" w:hAnsi="Times New Roman"/>
          <w:sz w:val="26"/>
          <w:szCs w:val="26"/>
        </w:rPr>
        <w:t xml:space="preserve">PPLICA M.B. at 15.  </w:t>
      </w:r>
      <w:r w:rsidR="006B149A">
        <w:rPr>
          <w:rFonts w:ascii="Times New Roman" w:hAnsi="Times New Roman"/>
          <w:sz w:val="26"/>
          <w:szCs w:val="26"/>
        </w:rPr>
        <w:t xml:space="preserve">Moreover, PPLICA argued that the </w:t>
      </w:r>
      <w:r w:rsidR="006B149A" w:rsidRPr="006B149A">
        <w:rPr>
          <w:rFonts w:ascii="Times New Roman" w:hAnsi="Times New Roman"/>
          <w:i/>
          <w:sz w:val="26"/>
          <w:szCs w:val="26"/>
        </w:rPr>
        <w:t>Fixed Price Order</w:t>
      </w:r>
      <w:r w:rsidR="006B149A">
        <w:rPr>
          <w:rFonts w:ascii="Times New Roman" w:hAnsi="Times New Roman"/>
          <w:sz w:val="26"/>
          <w:szCs w:val="26"/>
        </w:rPr>
        <w:t xml:space="preserve"> does not prevent EGSs from doing this, as RESA contended, </w:t>
      </w:r>
      <w:r w:rsidR="009A7955">
        <w:rPr>
          <w:rFonts w:ascii="Times New Roman" w:hAnsi="Times New Roman"/>
          <w:sz w:val="26"/>
          <w:szCs w:val="26"/>
        </w:rPr>
        <w:t xml:space="preserve">but simply prohibits EGSs from including variable-price components and regulatory-out clauses in fixed-price contracts.  </w:t>
      </w:r>
      <w:r w:rsidR="009A7955" w:rsidRPr="009A7955">
        <w:rPr>
          <w:rFonts w:ascii="Times New Roman" w:hAnsi="Times New Roman"/>
          <w:i/>
          <w:sz w:val="26"/>
          <w:szCs w:val="26"/>
        </w:rPr>
        <w:t>Id</w:t>
      </w:r>
      <w:r w:rsidR="009A7955">
        <w:rPr>
          <w:rFonts w:ascii="Times New Roman" w:hAnsi="Times New Roman"/>
          <w:sz w:val="26"/>
          <w:szCs w:val="26"/>
        </w:rPr>
        <w:t xml:space="preserve">. at 14 (citing </w:t>
      </w:r>
      <w:r w:rsidR="009A7955" w:rsidRPr="009A7955">
        <w:rPr>
          <w:rFonts w:ascii="Times New Roman" w:hAnsi="Times New Roman"/>
          <w:i/>
          <w:sz w:val="26"/>
          <w:szCs w:val="26"/>
        </w:rPr>
        <w:t>Fixed Price Order</w:t>
      </w:r>
      <w:r w:rsidR="009A7955">
        <w:rPr>
          <w:rFonts w:ascii="Times New Roman" w:hAnsi="Times New Roman"/>
          <w:sz w:val="26"/>
          <w:szCs w:val="26"/>
        </w:rPr>
        <w:t xml:space="preserve"> at 21-23).</w:t>
      </w:r>
      <w:r w:rsidR="00712745">
        <w:rPr>
          <w:rFonts w:ascii="Times New Roman" w:hAnsi="Times New Roman"/>
          <w:sz w:val="26"/>
          <w:szCs w:val="26"/>
        </w:rPr>
        <w:t xml:space="preserve">  </w:t>
      </w:r>
      <w:r>
        <w:rPr>
          <w:rFonts w:ascii="Times New Roman" w:hAnsi="Times New Roman"/>
          <w:sz w:val="26"/>
          <w:szCs w:val="26"/>
        </w:rPr>
        <w:t xml:space="preserve">PPLICA also argued that Large C&amp;I customers are often </w:t>
      </w:r>
      <w:r w:rsidR="00034340">
        <w:rPr>
          <w:rFonts w:ascii="Times New Roman" w:hAnsi="Times New Roman"/>
          <w:sz w:val="26"/>
          <w:szCs w:val="26"/>
        </w:rPr>
        <w:t>willing to pay a risk premium in fixed-price contracts with</w:t>
      </w:r>
      <w:r>
        <w:rPr>
          <w:rFonts w:ascii="Times New Roman" w:hAnsi="Times New Roman"/>
          <w:sz w:val="26"/>
          <w:szCs w:val="26"/>
        </w:rPr>
        <w:t xml:space="preserve"> EGSs for various reasons, including avoiding market volatility an</w:t>
      </w:r>
      <w:r w:rsidR="00D614A5">
        <w:rPr>
          <w:rFonts w:ascii="Times New Roman" w:hAnsi="Times New Roman"/>
          <w:sz w:val="26"/>
          <w:szCs w:val="26"/>
        </w:rPr>
        <w:t>d establishing firm budgets, an</w:t>
      </w:r>
      <w:r>
        <w:rPr>
          <w:rFonts w:ascii="Times New Roman" w:hAnsi="Times New Roman"/>
          <w:sz w:val="26"/>
          <w:szCs w:val="26"/>
        </w:rPr>
        <w:t xml:space="preserve"> option that a non-</w:t>
      </w:r>
      <w:proofErr w:type="spellStart"/>
      <w:r>
        <w:rPr>
          <w:rFonts w:ascii="Times New Roman" w:hAnsi="Times New Roman"/>
          <w:sz w:val="26"/>
          <w:szCs w:val="26"/>
        </w:rPr>
        <w:t>bypassable</w:t>
      </w:r>
      <w:proofErr w:type="spellEnd"/>
      <w:r>
        <w:rPr>
          <w:rFonts w:ascii="Times New Roman" w:hAnsi="Times New Roman"/>
          <w:sz w:val="26"/>
          <w:szCs w:val="26"/>
        </w:rPr>
        <w:t xml:space="preserve"> rider woul</w:t>
      </w:r>
      <w:r w:rsidR="00034340">
        <w:rPr>
          <w:rFonts w:ascii="Times New Roman" w:hAnsi="Times New Roman"/>
          <w:sz w:val="26"/>
          <w:szCs w:val="26"/>
        </w:rPr>
        <w:t>d remove.  PPLICA M.B. at 15, 18-19.</w:t>
      </w:r>
      <w:r w:rsidR="0074799C">
        <w:rPr>
          <w:rFonts w:ascii="Times New Roman" w:hAnsi="Times New Roman"/>
          <w:sz w:val="26"/>
          <w:szCs w:val="26"/>
        </w:rPr>
        <w:t xml:space="preserve">  PPLICA further argued that having PPL collect NMB costs from all customers would effectively re-bundle transmission and </w:t>
      </w:r>
      <w:r w:rsidR="0074799C">
        <w:rPr>
          <w:rFonts w:ascii="Times New Roman" w:hAnsi="Times New Roman"/>
          <w:sz w:val="26"/>
          <w:szCs w:val="26"/>
        </w:rPr>
        <w:lastRenderedPageBreak/>
        <w:t xml:space="preserve">distribution, in violation of the Competition Act.  </w:t>
      </w:r>
      <w:r w:rsidR="0074799C" w:rsidRPr="00343232">
        <w:rPr>
          <w:rFonts w:ascii="Times New Roman" w:hAnsi="Times New Roman"/>
          <w:i/>
          <w:sz w:val="26"/>
          <w:szCs w:val="26"/>
        </w:rPr>
        <w:t>Id</w:t>
      </w:r>
      <w:r w:rsidR="0074799C">
        <w:rPr>
          <w:rFonts w:ascii="Times New Roman" w:hAnsi="Times New Roman"/>
          <w:sz w:val="26"/>
          <w:szCs w:val="26"/>
        </w:rPr>
        <w:t xml:space="preserve">. at 15-16 (citing 66 Pa. C.S. §§ 2802(13) and 2804(3).  </w:t>
      </w:r>
    </w:p>
    <w:p w:rsidR="00121C40" w:rsidRDefault="00121C40" w:rsidP="00A2567A">
      <w:pPr>
        <w:rPr>
          <w:rFonts w:ascii="Times New Roman" w:hAnsi="Times New Roman"/>
          <w:sz w:val="26"/>
          <w:szCs w:val="26"/>
        </w:rPr>
      </w:pPr>
    </w:p>
    <w:p w:rsidR="00070411" w:rsidRDefault="00121C40" w:rsidP="00A2567A">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D255D8">
        <w:rPr>
          <w:rFonts w:ascii="Times New Roman" w:hAnsi="Times New Roman"/>
          <w:sz w:val="26"/>
          <w:szCs w:val="26"/>
        </w:rPr>
        <w:t>PPLICA also contended</w:t>
      </w:r>
      <w:r>
        <w:rPr>
          <w:rFonts w:ascii="Times New Roman" w:hAnsi="Times New Roman"/>
          <w:sz w:val="26"/>
          <w:szCs w:val="26"/>
        </w:rPr>
        <w:t xml:space="preserve"> that there would be significant transitional issues if RESA</w:t>
      </w:r>
      <w:r w:rsidR="00803C65">
        <w:rPr>
          <w:rFonts w:ascii="Times New Roman" w:hAnsi="Times New Roman"/>
          <w:sz w:val="26"/>
          <w:szCs w:val="26"/>
        </w:rPr>
        <w:t>’</w:t>
      </w:r>
      <w:r>
        <w:rPr>
          <w:rFonts w:ascii="Times New Roman" w:hAnsi="Times New Roman"/>
          <w:sz w:val="26"/>
          <w:szCs w:val="26"/>
        </w:rPr>
        <w:t xml:space="preserve">s and </w:t>
      </w:r>
      <w:proofErr w:type="spellStart"/>
      <w:r>
        <w:rPr>
          <w:rFonts w:ascii="Times New Roman" w:hAnsi="Times New Roman"/>
          <w:sz w:val="26"/>
          <w:szCs w:val="26"/>
        </w:rPr>
        <w:t>ExGen</w:t>
      </w:r>
      <w:r w:rsidR="00803C65">
        <w:rPr>
          <w:rFonts w:ascii="Times New Roman" w:hAnsi="Times New Roman"/>
          <w:sz w:val="26"/>
          <w:szCs w:val="26"/>
        </w:rPr>
        <w:t>’</w:t>
      </w:r>
      <w:r>
        <w:rPr>
          <w:rFonts w:ascii="Times New Roman" w:hAnsi="Times New Roman"/>
          <w:sz w:val="26"/>
          <w:szCs w:val="26"/>
        </w:rPr>
        <w:t>s</w:t>
      </w:r>
      <w:proofErr w:type="spellEnd"/>
      <w:r>
        <w:rPr>
          <w:rFonts w:ascii="Times New Roman" w:hAnsi="Times New Roman"/>
          <w:sz w:val="26"/>
          <w:szCs w:val="26"/>
        </w:rPr>
        <w:t xml:space="preserve"> proposals were adopted.  Specifically, </w:t>
      </w:r>
      <w:r w:rsidR="00034340">
        <w:rPr>
          <w:rFonts w:ascii="Times New Roman" w:hAnsi="Times New Roman"/>
          <w:sz w:val="26"/>
          <w:szCs w:val="26"/>
        </w:rPr>
        <w:t>PPLICA expressed conc</w:t>
      </w:r>
      <w:r>
        <w:rPr>
          <w:rFonts w:ascii="Times New Roman" w:hAnsi="Times New Roman"/>
          <w:sz w:val="26"/>
          <w:szCs w:val="26"/>
        </w:rPr>
        <w:t>ern regarding the effect of these</w:t>
      </w:r>
      <w:r w:rsidR="00034340">
        <w:rPr>
          <w:rFonts w:ascii="Times New Roman" w:hAnsi="Times New Roman"/>
          <w:sz w:val="26"/>
          <w:szCs w:val="26"/>
        </w:rPr>
        <w:t xml:space="preserve"> proposals on existing fixed-price contracts that Large C&amp;I customers have with EGSs, which </w:t>
      </w:r>
      <w:r w:rsidR="0036251C">
        <w:rPr>
          <w:rFonts w:ascii="Times New Roman" w:hAnsi="Times New Roman"/>
          <w:sz w:val="26"/>
          <w:szCs w:val="26"/>
        </w:rPr>
        <w:t xml:space="preserve">may </w:t>
      </w:r>
      <w:r w:rsidR="00034340">
        <w:rPr>
          <w:rFonts w:ascii="Times New Roman" w:hAnsi="Times New Roman"/>
          <w:sz w:val="26"/>
          <w:szCs w:val="26"/>
        </w:rPr>
        <w:t>already include recovery of transmission-related charges.</w:t>
      </w:r>
      <w:r w:rsidR="0036251C">
        <w:rPr>
          <w:rFonts w:ascii="Times New Roman" w:hAnsi="Times New Roman"/>
          <w:sz w:val="26"/>
          <w:szCs w:val="26"/>
        </w:rPr>
        <w:t xml:space="preserve">  PPLICA argued that it would be difficult to determine how to adjust those contracts to properly remove the transmission and transmission-related costs that PPL would recover through a non-</w:t>
      </w:r>
      <w:proofErr w:type="spellStart"/>
      <w:r w:rsidR="0036251C">
        <w:rPr>
          <w:rFonts w:ascii="Times New Roman" w:hAnsi="Times New Roman"/>
          <w:sz w:val="26"/>
          <w:szCs w:val="26"/>
        </w:rPr>
        <w:t>bypassable</w:t>
      </w:r>
      <w:proofErr w:type="spellEnd"/>
      <w:r w:rsidR="0036251C">
        <w:rPr>
          <w:rFonts w:ascii="Times New Roman" w:hAnsi="Times New Roman"/>
          <w:sz w:val="26"/>
          <w:szCs w:val="26"/>
        </w:rPr>
        <w:t xml:space="preserve"> charge i</w:t>
      </w:r>
      <w:r>
        <w:rPr>
          <w:rFonts w:ascii="Times New Roman" w:hAnsi="Times New Roman"/>
          <w:sz w:val="26"/>
          <w:szCs w:val="26"/>
        </w:rPr>
        <w:t>n order to avoid double recovery of those costs</w:t>
      </w:r>
      <w:r w:rsidR="0036251C">
        <w:rPr>
          <w:rFonts w:ascii="Times New Roman" w:hAnsi="Times New Roman"/>
          <w:sz w:val="26"/>
          <w:szCs w:val="26"/>
        </w:rPr>
        <w:t xml:space="preserve">.  </w:t>
      </w:r>
      <w:r w:rsidR="0036251C" w:rsidRPr="0036251C">
        <w:rPr>
          <w:rFonts w:ascii="Times New Roman" w:hAnsi="Times New Roman"/>
          <w:i/>
          <w:sz w:val="26"/>
          <w:szCs w:val="26"/>
        </w:rPr>
        <w:t>Id</w:t>
      </w:r>
      <w:r w:rsidR="0036251C">
        <w:rPr>
          <w:rFonts w:ascii="Times New Roman" w:hAnsi="Times New Roman"/>
          <w:sz w:val="26"/>
          <w:szCs w:val="26"/>
        </w:rPr>
        <w:t>. at 19-21.  PPLICA contended that RESA</w:t>
      </w:r>
      <w:r w:rsidR="00803C65">
        <w:rPr>
          <w:rFonts w:ascii="Times New Roman" w:hAnsi="Times New Roman"/>
          <w:sz w:val="26"/>
          <w:szCs w:val="26"/>
        </w:rPr>
        <w:t>’</w:t>
      </w:r>
      <w:r w:rsidR="0036251C">
        <w:rPr>
          <w:rFonts w:ascii="Times New Roman" w:hAnsi="Times New Roman"/>
          <w:sz w:val="26"/>
          <w:szCs w:val="26"/>
        </w:rPr>
        <w:t>s propose</w:t>
      </w:r>
      <w:r>
        <w:rPr>
          <w:rFonts w:ascii="Times New Roman" w:hAnsi="Times New Roman"/>
          <w:sz w:val="26"/>
          <w:szCs w:val="26"/>
        </w:rPr>
        <w:t>d solutions to such concerns</w:t>
      </w:r>
      <w:r w:rsidR="0036251C">
        <w:rPr>
          <w:rFonts w:ascii="Times New Roman" w:hAnsi="Times New Roman"/>
          <w:sz w:val="26"/>
          <w:szCs w:val="26"/>
        </w:rPr>
        <w:t xml:space="preserve"> are inadequate</w:t>
      </w:r>
      <w:r>
        <w:rPr>
          <w:rFonts w:ascii="Times New Roman" w:hAnsi="Times New Roman"/>
          <w:sz w:val="26"/>
          <w:szCs w:val="26"/>
        </w:rPr>
        <w:t xml:space="preserve"> because they fail to address all potential</w:t>
      </w:r>
      <w:r w:rsidR="009710D1">
        <w:rPr>
          <w:rFonts w:ascii="Times New Roman" w:hAnsi="Times New Roman"/>
          <w:sz w:val="26"/>
          <w:szCs w:val="26"/>
        </w:rPr>
        <w:t xml:space="preserve"> problems that may arise</w:t>
      </w:r>
      <w:r w:rsidR="0036251C">
        <w:rPr>
          <w:rFonts w:ascii="Times New Roman" w:hAnsi="Times New Roman"/>
          <w:sz w:val="26"/>
          <w:szCs w:val="26"/>
        </w:rPr>
        <w:t xml:space="preserve">.  </w:t>
      </w:r>
      <w:r w:rsidR="0036251C" w:rsidRPr="0036251C">
        <w:rPr>
          <w:rFonts w:ascii="Times New Roman" w:hAnsi="Times New Roman"/>
          <w:i/>
          <w:sz w:val="26"/>
          <w:szCs w:val="26"/>
        </w:rPr>
        <w:t>Id</w:t>
      </w:r>
      <w:r w:rsidR="0036251C">
        <w:rPr>
          <w:rFonts w:ascii="Times New Roman" w:hAnsi="Times New Roman"/>
          <w:sz w:val="26"/>
          <w:szCs w:val="26"/>
        </w:rPr>
        <w:t>. at 21-22</w:t>
      </w:r>
      <w:r w:rsidR="009B2F44">
        <w:rPr>
          <w:rFonts w:ascii="Times New Roman" w:hAnsi="Times New Roman"/>
          <w:sz w:val="26"/>
          <w:szCs w:val="26"/>
        </w:rPr>
        <w:t>; R.B. at 12-14</w:t>
      </w:r>
      <w:r w:rsidR="0036251C">
        <w:rPr>
          <w:rFonts w:ascii="Times New Roman" w:hAnsi="Times New Roman"/>
          <w:sz w:val="26"/>
          <w:szCs w:val="26"/>
        </w:rPr>
        <w:t>.</w:t>
      </w:r>
      <w:r w:rsidR="00880637">
        <w:rPr>
          <w:rFonts w:ascii="Times New Roman" w:hAnsi="Times New Roman"/>
          <w:sz w:val="26"/>
          <w:szCs w:val="26"/>
        </w:rPr>
        <w:t xml:space="preserve">  In addition, PPLICA </w:t>
      </w:r>
      <w:r w:rsidR="00FA5FEE">
        <w:rPr>
          <w:rFonts w:ascii="Times New Roman" w:hAnsi="Times New Roman"/>
          <w:sz w:val="26"/>
          <w:szCs w:val="26"/>
        </w:rPr>
        <w:t>asserted that the record contains no</w:t>
      </w:r>
      <w:r w:rsidR="00880637">
        <w:rPr>
          <w:rFonts w:ascii="Times New Roman" w:hAnsi="Times New Roman"/>
          <w:sz w:val="26"/>
          <w:szCs w:val="26"/>
        </w:rPr>
        <w:t xml:space="preserve"> details with regard to the methodology that would be used to collect </w:t>
      </w:r>
      <w:r w:rsidR="00FA5FEE">
        <w:rPr>
          <w:rFonts w:ascii="Times New Roman" w:hAnsi="Times New Roman"/>
          <w:sz w:val="26"/>
          <w:szCs w:val="26"/>
        </w:rPr>
        <w:t xml:space="preserve">the NMB costs from all customers, </w:t>
      </w:r>
      <w:r w:rsidR="00EF72D9">
        <w:rPr>
          <w:rFonts w:ascii="Times New Roman" w:hAnsi="Times New Roman"/>
          <w:sz w:val="26"/>
          <w:szCs w:val="26"/>
        </w:rPr>
        <w:t xml:space="preserve">or with regard to </w:t>
      </w:r>
      <w:r w:rsidR="00880637">
        <w:rPr>
          <w:rFonts w:ascii="Times New Roman" w:hAnsi="Times New Roman"/>
          <w:sz w:val="26"/>
          <w:szCs w:val="26"/>
        </w:rPr>
        <w:t>how such costs would be a</w:t>
      </w:r>
      <w:r w:rsidR="00FA5FEE">
        <w:rPr>
          <w:rFonts w:ascii="Times New Roman" w:hAnsi="Times New Roman"/>
          <w:sz w:val="26"/>
          <w:szCs w:val="26"/>
        </w:rPr>
        <w:t>llocated among the rate classes, and how customers would</w:t>
      </w:r>
      <w:r w:rsidR="009B2F44">
        <w:rPr>
          <w:rFonts w:ascii="Times New Roman" w:hAnsi="Times New Roman"/>
          <w:sz w:val="26"/>
          <w:szCs w:val="26"/>
        </w:rPr>
        <w:t xml:space="preserve"> be impacted by these changes.  PPLICA M.B.</w:t>
      </w:r>
      <w:r w:rsidR="00FA5FEE">
        <w:rPr>
          <w:rFonts w:ascii="Times New Roman" w:hAnsi="Times New Roman"/>
          <w:sz w:val="26"/>
          <w:szCs w:val="26"/>
        </w:rPr>
        <w:t xml:space="preserve"> at 22</w:t>
      </w:r>
      <w:r w:rsidR="003C6BFD">
        <w:rPr>
          <w:rFonts w:ascii="Times New Roman" w:hAnsi="Times New Roman"/>
          <w:sz w:val="26"/>
          <w:szCs w:val="26"/>
        </w:rPr>
        <w:noBreakHyphen/>
      </w:r>
      <w:r w:rsidR="00FA5FEE">
        <w:rPr>
          <w:rFonts w:ascii="Times New Roman" w:hAnsi="Times New Roman"/>
          <w:sz w:val="26"/>
          <w:szCs w:val="26"/>
        </w:rPr>
        <w:t>23.</w:t>
      </w:r>
    </w:p>
    <w:p w:rsidR="00FA5FEE" w:rsidRDefault="00FA5FEE" w:rsidP="00A2567A">
      <w:pPr>
        <w:rPr>
          <w:rFonts w:ascii="Times New Roman" w:hAnsi="Times New Roman"/>
          <w:sz w:val="26"/>
          <w:szCs w:val="26"/>
        </w:rPr>
      </w:pPr>
    </w:p>
    <w:p w:rsidR="00FA5FEE" w:rsidRDefault="00751C42" w:rsidP="00A2567A">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Finally, PPLICA stated that, should the Commission approved a non-</w:t>
      </w:r>
      <w:proofErr w:type="spellStart"/>
      <w:r>
        <w:rPr>
          <w:rFonts w:ascii="Times New Roman" w:hAnsi="Times New Roman"/>
          <w:sz w:val="26"/>
          <w:szCs w:val="26"/>
        </w:rPr>
        <w:t>bypassable</w:t>
      </w:r>
      <w:proofErr w:type="spellEnd"/>
      <w:r>
        <w:rPr>
          <w:rFonts w:ascii="Times New Roman" w:hAnsi="Times New Roman"/>
          <w:sz w:val="26"/>
          <w:szCs w:val="26"/>
        </w:rPr>
        <w:t xml:space="preserve"> rider for the collection of any transmission or transmission-related costs, it should also approve a carve-out for Large C&amp;I customers.  PPLICA asserted that Large C&amp;I customers in PPL</w:t>
      </w:r>
      <w:r w:rsidR="00803C65">
        <w:rPr>
          <w:rFonts w:ascii="Times New Roman" w:hAnsi="Times New Roman"/>
          <w:sz w:val="26"/>
          <w:szCs w:val="26"/>
        </w:rPr>
        <w:t>’</w:t>
      </w:r>
      <w:r>
        <w:rPr>
          <w:rFonts w:ascii="Times New Roman" w:hAnsi="Times New Roman"/>
          <w:sz w:val="26"/>
          <w:szCs w:val="26"/>
        </w:rPr>
        <w:t xml:space="preserve">s service territory have successfully utilized the existing market structure, with 98.6% of these customers taking competitive supply from EGSs.  Thus, PPLICA argued that </w:t>
      </w:r>
      <w:r w:rsidR="00803C65">
        <w:rPr>
          <w:rFonts w:ascii="Times New Roman" w:hAnsi="Times New Roman"/>
          <w:sz w:val="26"/>
          <w:szCs w:val="26"/>
        </w:rPr>
        <w:t>“</w:t>
      </w:r>
      <w:r>
        <w:rPr>
          <w:rFonts w:ascii="Times New Roman" w:hAnsi="Times New Roman"/>
          <w:sz w:val="26"/>
          <w:szCs w:val="26"/>
        </w:rPr>
        <w:t>there is no need to make changes creating unnecessary restrictions on available competitive products (</w:t>
      </w:r>
      <w:r w:rsidRPr="00751C42">
        <w:rPr>
          <w:rFonts w:ascii="Times New Roman" w:hAnsi="Times New Roman"/>
          <w:i/>
          <w:sz w:val="26"/>
          <w:szCs w:val="26"/>
        </w:rPr>
        <w:t>i.e.</w:t>
      </w:r>
      <w:r>
        <w:rPr>
          <w:rFonts w:ascii="Times New Roman" w:hAnsi="Times New Roman"/>
          <w:sz w:val="26"/>
          <w:szCs w:val="26"/>
        </w:rPr>
        <w:t xml:space="preserve"> eliminating fixed price arrangements for transmission and transmission-related costs) and imposing transitional risks to Large C&amp;I customers in PPL</w:t>
      </w:r>
      <w:r w:rsidR="00803C65">
        <w:rPr>
          <w:rFonts w:ascii="Times New Roman" w:hAnsi="Times New Roman"/>
          <w:sz w:val="26"/>
          <w:szCs w:val="26"/>
        </w:rPr>
        <w:t>’</w:t>
      </w:r>
      <w:r>
        <w:rPr>
          <w:rFonts w:ascii="Times New Roman" w:hAnsi="Times New Roman"/>
          <w:sz w:val="26"/>
          <w:szCs w:val="26"/>
        </w:rPr>
        <w:t>s service territory.</w:t>
      </w:r>
      <w:r w:rsidR="00803C65">
        <w:rPr>
          <w:rFonts w:ascii="Times New Roman" w:hAnsi="Times New Roman"/>
          <w:sz w:val="26"/>
          <w:szCs w:val="26"/>
        </w:rPr>
        <w:t>”</w:t>
      </w:r>
      <w:r>
        <w:rPr>
          <w:rFonts w:ascii="Times New Roman" w:hAnsi="Times New Roman"/>
          <w:sz w:val="26"/>
          <w:szCs w:val="26"/>
        </w:rPr>
        <w:t xml:space="preserve">  </w:t>
      </w:r>
      <w:r w:rsidRPr="009B2F44">
        <w:rPr>
          <w:rFonts w:ascii="Times New Roman" w:hAnsi="Times New Roman"/>
          <w:i/>
          <w:sz w:val="26"/>
          <w:szCs w:val="26"/>
        </w:rPr>
        <w:t>Id</w:t>
      </w:r>
      <w:r>
        <w:rPr>
          <w:rFonts w:ascii="Times New Roman" w:hAnsi="Times New Roman"/>
          <w:sz w:val="26"/>
          <w:szCs w:val="26"/>
        </w:rPr>
        <w:t>. at 23, n.13.</w:t>
      </w:r>
    </w:p>
    <w:p w:rsidR="005523C5" w:rsidRDefault="005523C5" w:rsidP="00A2567A">
      <w:pPr>
        <w:rPr>
          <w:rFonts w:ascii="Times New Roman" w:hAnsi="Times New Roman"/>
          <w:sz w:val="26"/>
          <w:szCs w:val="26"/>
        </w:rPr>
      </w:pPr>
    </w:p>
    <w:p w:rsidR="00FD5CE3" w:rsidRPr="00FD5CE3" w:rsidRDefault="00FD5CE3" w:rsidP="00E111F1">
      <w:pPr>
        <w:keepNext/>
        <w:rPr>
          <w:rFonts w:ascii="Times New Roman" w:hAnsi="Times New Roman"/>
          <w:b/>
          <w:sz w:val="26"/>
          <w:szCs w:val="26"/>
        </w:rPr>
      </w:pPr>
      <w:r>
        <w:rPr>
          <w:rFonts w:ascii="Times New Roman" w:hAnsi="Times New Roman"/>
          <w:sz w:val="26"/>
          <w:szCs w:val="26"/>
        </w:rPr>
        <w:lastRenderedPageBreak/>
        <w:tab/>
      </w:r>
      <w:r>
        <w:rPr>
          <w:rFonts w:ascii="Times New Roman" w:hAnsi="Times New Roman"/>
          <w:sz w:val="26"/>
          <w:szCs w:val="26"/>
        </w:rPr>
        <w:tab/>
      </w:r>
      <w:r w:rsidR="00A31037">
        <w:rPr>
          <w:rFonts w:ascii="Times New Roman" w:hAnsi="Times New Roman"/>
          <w:b/>
          <w:sz w:val="26"/>
          <w:szCs w:val="26"/>
        </w:rPr>
        <w:t>e</w:t>
      </w:r>
      <w:r w:rsidRPr="00FD5CE3">
        <w:rPr>
          <w:rFonts w:ascii="Times New Roman" w:hAnsi="Times New Roman"/>
          <w:b/>
          <w:sz w:val="26"/>
          <w:szCs w:val="26"/>
        </w:rPr>
        <w:t>.</w:t>
      </w:r>
      <w:r w:rsidRPr="00FD5CE3">
        <w:rPr>
          <w:rFonts w:ascii="Times New Roman" w:hAnsi="Times New Roman"/>
          <w:b/>
          <w:sz w:val="26"/>
          <w:szCs w:val="26"/>
        </w:rPr>
        <w:tab/>
        <w:t>Noble Americas</w:t>
      </w:r>
      <w:r w:rsidR="00803C65">
        <w:rPr>
          <w:rFonts w:ascii="Times New Roman" w:hAnsi="Times New Roman"/>
          <w:b/>
          <w:sz w:val="26"/>
          <w:szCs w:val="26"/>
        </w:rPr>
        <w:t>’</w:t>
      </w:r>
      <w:r w:rsidRPr="00FD5CE3">
        <w:rPr>
          <w:rFonts w:ascii="Times New Roman" w:hAnsi="Times New Roman"/>
          <w:b/>
          <w:sz w:val="26"/>
          <w:szCs w:val="26"/>
        </w:rPr>
        <w:t xml:space="preserve"> Position</w:t>
      </w:r>
    </w:p>
    <w:p w:rsidR="00FD5CE3" w:rsidRDefault="00FD5CE3" w:rsidP="00E111F1">
      <w:pPr>
        <w:keepNext/>
        <w:rPr>
          <w:rFonts w:ascii="Times New Roman" w:hAnsi="Times New Roman"/>
          <w:sz w:val="26"/>
          <w:szCs w:val="26"/>
        </w:rPr>
      </w:pPr>
    </w:p>
    <w:p w:rsidR="005523C5" w:rsidRDefault="005523C5" w:rsidP="00E111F1">
      <w:pPr>
        <w:keepNex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Noble Americas supports PPL</w:t>
      </w:r>
      <w:r w:rsidR="00803C65">
        <w:rPr>
          <w:rFonts w:ascii="Times New Roman" w:hAnsi="Times New Roman"/>
          <w:sz w:val="26"/>
          <w:szCs w:val="26"/>
        </w:rPr>
        <w:t>’</w:t>
      </w:r>
      <w:r>
        <w:rPr>
          <w:rFonts w:ascii="Times New Roman" w:hAnsi="Times New Roman"/>
          <w:sz w:val="26"/>
          <w:szCs w:val="26"/>
        </w:rPr>
        <w:t>s DSP III as filed, wh</w:t>
      </w:r>
      <w:r w:rsidR="00C4678D">
        <w:rPr>
          <w:rFonts w:ascii="Times New Roman" w:hAnsi="Times New Roman"/>
          <w:sz w:val="26"/>
          <w:szCs w:val="26"/>
        </w:rPr>
        <w:t>ich</w:t>
      </w:r>
      <w:r>
        <w:rPr>
          <w:rFonts w:ascii="Times New Roman" w:hAnsi="Times New Roman"/>
          <w:sz w:val="26"/>
          <w:szCs w:val="26"/>
        </w:rPr>
        <w:t xml:space="preserve"> continue</w:t>
      </w:r>
      <w:r w:rsidR="00C4678D">
        <w:rPr>
          <w:rFonts w:ascii="Times New Roman" w:hAnsi="Times New Roman"/>
          <w:sz w:val="26"/>
          <w:szCs w:val="26"/>
        </w:rPr>
        <w:t>s</w:t>
      </w:r>
      <w:r>
        <w:rPr>
          <w:rFonts w:ascii="Times New Roman" w:hAnsi="Times New Roman"/>
          <w:sz w:val="26"/>
          <w:szCs w:val="26"/>
        </w:rPr>
        <w:t xml:space="preserve"> to require LSEs, such as EGS</w:t>
      </w:r>
      <w:r w:rsidR="00BF4790">
        <w:rPr>
          <w:rFonts w:ascii="Times New Roman" w:hAnsi="Times New Roman"/>
          <w:sz w:val="26"/>
          <w:szCs w:val="26"/>
        </w:rPr>
        <w:t>s</w:t>
      </w:r>
      <w:r>
        <w:rPr>
          <w:rFonts w:ascii="Times New Roman" w:hAnsi="Times New Roman"/>
          <w:sz w:val="26"/>
          <w:szCs w:val="26"/>
        </w:rPr>
        <w:t>, to maintain responsibility for the PJM charges assigned to them, and opposes RESA</w:t>
      </w:r>
      <w:r w:rsidR="00803C65">
        <w:rPr>
          <w:rFonts w:ascii="Times New Roman" w:hAnsi="Times New Roman"/>
          <w:sz w:val="26"/>
          <w:szCs w:val="26"/>
        </w:rPr>
        <w:t>’</w:t>
      </w:r>
      <w:r>
        <w:rPr>
          <w:rFonts w:ascii="Times New Roman" w:hAnsi="Times New Roman"/>
          <w:sz w:val="26"/>
          <w:szCs w:val="26"/>
        </w:rPr>
        <w:t xml:space="preserve">s and </w:t>
      </w:r>
      <w:proofErr w:type="spellStart"/>
      <w:r>
        <w:rPr>
          <w:rFonts w:ascii="Times New Roman" w:hAnsi="Times New Roman"/>
          <w:sz w:val="26"/>
          <w:szCs w:val="26"/>
        </w:rPr>
        <w:t>ExGen</w:t>
      </w:r>
      <w:r w:rsidR="00803C65">
        <w:rPr>
          <w:rFonts w:ascii="Times New Roman" w:hAnsi="Times New Roman"/>
          <w:sz w:val="26"/>
          <w:szCs w:val="26"/>
        </w:rPr>
        <w:t>’</w:t>
      </w:r>
      <w:r>
        <w:rPr>
          <w:rFonts w:ascii="Times New Roman" w:hAnsi="Times New Roman"/>
          <w:sz w:val="26"/>
          <w:szCs w:val="26"/>
        </w:rPr>
        <w:t>s</w:t>
      </w:r>
      <w:proofErr w:type="spellEnd"/>
      <w:r>
        <w:rPr>
          <w:rFonts w:ascii="Times New Roman" w:hAnsi="Times New Roman"/>
          <w:sz w:val="26"/>
          <w:szCs w:val="26"/>
        </w:rPr>
        <w:t xml:space="preserve"> proposal that PPL recover these charges from all customers th</w:t>
      </w:r>
      <w:r w:rsidR="003C4F1A">
        <w:rPr>
          <w:rFonts w:ascii="Times New Roman" w:hAnsi="Times New Roman"/>
          <w:sz w:val="26"/>
          <w:szCs w:val="26"/>
        </w:rPr>
        <w:t>rough a non-</w:t>
      </w:r>
      <w:proofErr w:type="spellStart"/>
      <w:r w:rsidR="003C4F1A">
        <w:rPr>
          <w:rFonts w:ascii="Times New Roman" w:hAnsi="Times New Roman"/>
          <w:sz w:val="26"/>
          <w:szCs w:val="26"/>
        </w:rPr>
        <w:t>bypassable</w:t>
      </w:r>
      <w:proofErr w:type="spellEnd"/>
      <w:r w:rsidR="003C4F1A">
        <w:rPr>
          <w:rFonts w:ascii="Times New Roman" w:hAnsi="Times New Roman"/>
          <w:sz w:val="26"/>
          <w:szCs w:val="26"/>
        </w:rPr>
        <w:t xml:space="preserve"> rider</w:t>
      </w:r>
      <w:r>
        <w:rPr>
          <w:rFonts w:ascii="Times New Roman" w:hAnsi="Times New Roman"/>
          <w:sz w:val="26"/>
          <w:szCs w:val="26"/>
        </w:rPr>
        <w:t xml:space="preserve">.  </w:t>
      </w:r>
      <w:r w:rsidR="00C8358B">
        <w:rPr>
          <w:rFonts w:ascii="Times New Roman" w:hAnsi="Times New Roman"/>
          <w:sz w:val="26"/>
          <w:szCs w:val="26"/>
        </w:rPr>
        <w:t>Noble Americas contended that NMB costs are manageable and predictable, and that an EGS</w:t>
      </w:r>
      <w:r w:rsidR="00803C65">
        <w:rPr>
          <w:rFonts w:ascii="Times New Roman" w:hAnsi="Times New Roman"/>
          <w:sz w:val="26"/>
          <w:szCs w:val="26"/>
        </w:rPr>
        <w:t>’</w:t>
      </w:r>
      <w:r w:rsidR="00C8358B">
        <w:rPr>
          <w:rFonts w:ascii="Times New Roman" w:hAnsi="Times New Roman"/>
          <w:sz w:val="26"/>
          <w:szCs w:val="26"/>
        </w:rPr>
        <w:t>s ability to manage such costs is an acceptable responsibility and inherent risk of competing in the retail market.  Noble Americas M.B. at 3.</w:t>
      </w:r>
      <w:r w:rsidR="003C4F1A">
        <w:rPr>
          <w:rFonts w:ascii="Times New Roman" w:hAnsi="Times New Roman"/>
          <w:sz w:val="26"/>
          <w:szCs w:val="26"/>
        </w:rPr>
        <w:t xml:space="preserve">  Noble Americas also argued that adopting a non-</w:t>
      </w:r>
      <w:proofErr w:type="spellStart"/>
      <w:r w:rsidR="003C4F1A">
        <w:rPr>
          <w:rFonts w:ascii="Times New Roman" w:hAnsi="Times New Roman"/>
          <w:sz w:val="26"/>
          <w:szCs w:val="26"/>
        </w:rPr>
        <w:t>bypassable</w:t>
      </w:r>
      <w:proofErr w:type="spellEnd"/>
      <w:r w:rsidR="003C4F1A">
        <w:rPr>
          <w:rFonts w:ascii="Times New Roman" w:hAnsi="Times New Roman"/>
          <w:sz w:val="26"/>
          <w:szCs w:val="26"/>
        </w:rPr>
        <w:t xml:space="preserve"> rider would have an adverse effect on the shopping decisions of customers, and would limit a customer</w:t>
      </w:r>
      <w:r w:rsidR="00803C65">
        <w:rPr>
          <w:rFonts w:ascii="Times New Roman" w:hAnsi="Times New Roman"/>
          <w:sz w:val="26"/>
          <w:szCs w:val="26"/>
        </w:rPr>
        <w:t>’</w:t>
      </w:r>
      <w:r w:rsidR="003C4F1A">
        <w:rPr>
          <w:rFonts w:ascii="Times New Roman" w:hAnsi="Times New Roman"/>
          <w:sz w:val="26"/>
          <w:szCs w:val="26"/>
        </w:rPr>
        <w:t xml:space="preserve">s ability to negotiate contracts relative to a variety of competitive retail products.  </w:t>
      </w:r>
      <w:r w:rsidR="003C4F1A" w:rsidRPr="003C4F1A">
        <w:rPr>
          <w:rFonts w:ascii="Times New Roman" w:hAnsi="Times New Roman"/>
          <w:i/>
          <w:sz w:val="26"/>
          <w:szCs w:val="26"/>
        </w:rPr>
        <w:t>Id</w:t>
      </w:r>
      <w:r w:rsidR="003C4F1A">
        <w:rPr>
          <w:rFonts w:ascii="Times New Roman" w:hAnsi="Times New Roman"/>
          <w:sz w:val="26"/>
          <w:szCs w:val="26"/>
        </w:rPr>
        <w:t>. at 4.</w:t>
      </w:r>
    </w:p>
    <w:p w:rsidR="003C4F1A" w:rsidRDefault="003C4F1A" w:rsidP="00A2567A">
      <w:pPr>
        <w:rPr>
          <w:rFonts w:ascii="Times New Roman" w:hAnsi="Times New Roman"/>
          <w:sz w:val="26"/>
          <w:szCs w:val="26"/>
        </w:rPr>
      </w:pPr>
    </w:p>
    <w:p w:rsidR="003C4F1A" w:rsidRDefault="003C4F1A" w:rsidP="00A2567A">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Noble Americas also expressed concern regarding possible double recovery of NMB costs, and </w:t>
      </w:r>
      <w:r w:rsidR="00BA0727">
        <w:rPr>
          <w:rFonts w:ascii="Times New Roman" w:hAnsi="Times New Roman"/>
          <w:sz w:val="26"/>
          <w:szCs w:val="26"/>
        </w:rPr>
        <w:t xml:space="preserve">the effect on existing contracts between customers and EGSs.  </w:t>
      </w:r>
      <w:r w:rsidR="00BA0727" w:rsidRPr="00BA0727">
        <w:rPr>
          <w:rFonts w:ascii="Times New Roman" w:hAnsi="Times New Roman"/>
          <w:i/>
          <w:sz w:val="26"/>
          <w:szCs w:val="26"/>
        </w:rPr>
        <w:t>Id</w:t>
      </w:r>
      <w:r w:rsidR="00BA0727">
        <w:rPr>
          <w:rFonts w:ascii="Times New Roman" w:hAnsi="Times New Roman"/>
          <w:sz w:val="26"/>
          <w:szCs w:val="26"/>
        </w:rPr>
        <w:t xml:space="preserve">. at 4-5.  In addition, Noble Americas asserted that </w:t>
      </w:r>
      <w:r w:rsidR="00803C65">
        <w:rPr>
          <w:rFonts w:ascii="Times New Roman" w:hAnsi="Times New Roman"/>
          <w:sz w:val="26"/>
          <w:szCs w:val="26"/>
        </w:rPr>
        <w:t>“</w:t>
      </w:r>
      <w:r w:rsidR="00BA0727">
        <w:rPr>
          <w:rFonts w:ascii="Times New Roman" w:hAnsi="Times New Roman"/>
          <w:sz w:val="26"/>
          <w:szCs w:val="26"/>
        </w:rPr>
        <w:t>any attempt to divide customers up by volume with respect to the treatment of NITS would be very problematic in terms of settlements with PJM, which does not recognize any artificial division of load.</w:t>
      </w:r>
      <w:r w:rsidR="00803C65">
        <w:rPr>
          <w:rFonts w:ascii="Times New Roman" w:hAnsi="Times New Roman"/>
          <w:sz w:val="26"/>
          <w:szCs w:val="26"/>
        </w:rPr>
        <w:t>”</w:t>
      </w:r>
      <w:r w:rsidR="00BA0727">
        <w:rPr>
          <w:rFonts w:ascii="Times New Roman" w:hAnsi="Times New Roman"/>
          <w:sz w:val="26"/>
          <w:szCs w:val="26"/>
        </w:rPr>
        <w:t xml:space="preserve">  </w:t>
      </w:r>
      <w:r w:rsidR="00BA0727" w:rsidRPr="00BA0727">
        <w:rPr>
          <w:rFonts w:ascii="Times New Roman" w:hAnsi="Times New Roman"/>
          <w:i/>
          <w:sz w:val="26"/>
          <w:szCs w:val="26"/>
        </w:rPr>
        <w:t>Id</w:t>
      </w:r>
      <w:r w:rsidR="00BA0727">
        <w:rPr>
          <w:rFonts w:ascii="Times New Roman" w:hAnsi="Times New Roman"/>
          <w:sz w:val="26"/>
          <w:szCs w:val="26"/>
        </w:rPr>
        <w:t>. at 5.  However, Nobel Americas submitt</w:t>
      </w:r>
      <w:r w:rsidR="004F71B6">
        <w:rPr>
          <w:rFonts w:ascii="Times New Roman" w:hAnsi="Times New Roman"/>
          <w:sz w:val="26"/>
          <w:szCs w:val="26"/>
        </w:rPr>
        <w:t>ed that, should the Commission adopt the</w:t>
      </w:r>
      <w:r w:rsidR="00BA0727">
        <w:rPr>
          <w:rFonts w:ascii="Times New Roman" w:hAnsi="Times New Roman"/>
          <w:sz w:val="26"/>
          <w:szCs w:val="26"/>
        </w:rPr>
        <w:t xml:space="preserve"> approach </w:t>
      </w:r>
      <w:r w:rsidR="004F71B6">
        <w:rPr>
          <w:rFonts w:ascii="Times New Roman" w:hAnsi="Times New Roman"/>
          <w:sz w:val="26"/>
          <w:szCs w:val="26"/>
        </w:rPr>
        <w:t xml:space="preserve">proposed by RESA and </w:t>
      </w:r>
      <w:proofErr w:type="spellStart"/>
      <w:r w:rsidR="004F71B6">
        <w:rPr>
          <w:rFonts w:ascii="Times New Roman" w:hAnsi="Times New Roman"/>
          <w:sz w:val="26"/>
          <w:szCs w:val="26"/>
        </w:rPr>
        <w:t>ExGen</w:t>
      </w:r>
      <w:proofErr w:type="spellEnd"/>
      <w:r w:rsidR="004F71B6">
        <w:rPr>
          <w:rFonts w:ascii="Times New Roman" w:hAnsi="Times New Roman"/>
          <w:sz w:val="26"/>
          <w:szCs w:val="26"/>
        </w:rPr>
        <w:t xml:space="preserve">, </w:t>
      </w:r>
      <w:r w:rsidR="00BA0727">
        <w:rPr>
          <w:rFonts w:ascii="Times New Roman" w:hAnsi="Times New Roman"/>
          <w:sz w:val="26"/>
          <w:szCs w:val="26"/>
        </w:rPr>
        <w:t xml:space="preserve">the entire load should be moved </w:t>
      </w:r>
      <w:r w:rsidR="004F71B6">
        <w:rPr>
          <w:rFonts w:ascii="Times New Roman" w:hAnsi="Times New Roman"/>
          <w:sz w:val="26"/>
          <w:szCs w:val="26"/>
        </w:rPr>
        <w:t>to a non-</w:t>
      </w:r>
      <w:proofErr w:type="spellStart"/>
      <w:r w:rsidR="004F71B6">
        <w:rPr>
          <w:rFonts w:ascii="Times New Roman" w:hAnsi="Times New Roman"/>
          <w:sz w:val="26"/>
          <w:szCs w:val="26"/>
        </w:rPr>
        <w:t>bypassable</w:t>
      </w:r>
      <w:proofErr w:type="spellEnd"/>
      <w:r w:rsidR="004F71B6">
        <w:rPr>
          <w:rFonts w:ascii="Times New Roman" w:hAnsi="Times New Roman"/>
          <w:sz w:val="26"/>
          <w:szCs w:val="26"/>
        </w:rPr>
        <w:t xml:space="preserve"> charge for Independent System Operator</w:t>
      </w:r>
      <w:r w:rsidR="00BA0727">
        <w:rPr>
          <w:rFonts w:ascii="Times New Roman" w:hAnsi="Times New Roman"/>
          <w:sz w:val="26"/>
          <w:szCs w:val="26"/>
        </w:rPr>
        <w:t xml:space="preserve"> settlement purposes</w:t>
      </w:r>
      <w:r w:rsidR="004F71B6">
        <w:rPr>
          <w:rFonts w:ascii="Times New Roman" w:hAnsi="Times New Roman"/>
          <w:sz w:val="26"/>
          <w:szCs w:val="26"/>
        </w:rPr>
        <w:t>, and the proposal</w:t>
      </w:r>
      <w:r w:rsidR="00BA0727">
        <w:rPr>
          <w:rFonts w:ascii="Times New Roman" w:hAnsi="Times New Roman"/>
          <w:sz w:val="26"/>
          <w:szCs w:val="26"/>
        </w:rPr>
        <w:t xml:space="preserve"> should not become effective </w:t>
      </w:r>
      <w:r w:rsidR="004F71B6">
        <w:rPr>
          <w:rFonts w:ascii="Times New Roman" w:hAnsi="Times New Roman"/>
          <w:sz w:val="26"/>
          <w:szCs w:val="26"/>
        </w:rPr>
        <w:t xml:space="preserve">without three years advance notice to avoid affecting current retail contracts.  </w:t>
      </w:r>
      <w:r w:rsidR="004F71B6" w:rsidRPr="004F71B6">
        <w:rPr>
          <w:rFonts w:ascii="Times New Roman" w:hAnsi="Times New Roman"/>
          <w:i/>
          <w:sz w:val="26"/>
          <w:szCs w:val="26"/>
        </w:rPr>
        <w:t>Id</w:t>
      </w:r>
      <w:r w:rsidR="004F71B6">
        <w:rPr>
          <w:rFonts w:ascii="Times New Roman" w:hAnsi="Times New Roman"/>
          <w:sz w:val="26"/>
          <w:szCs w:val="26"/>
        </w:rPr>
        <w:t>.</w:t>
      </w:r>
    </w:p>
    <w:p w:rsidR="00BC28A2" w:rsidRPr="009E10EF" w:rsidRDefault="00BC28A2" w:rsidP="00BC28A2">
      <w:pPr>
        <w:rPr>
          <w:rFonts w:ascii="Times New Roman" w:hAnsi="Times New Roman"/>
          <w:sz w:val="26"/>
          <w:szCs w:val="26"/>
        </w:rPr>
      </w:pPr>
    </w:p>
    <w:p w:rsidR="00BC2900" w:rsidRPr="00FE6838" w:rsidRDefault="00FE6838" w:rsidP="00D26D41">
      <w:pPr>
        <w:rPr>
          <w:rFonts w:ascii="Times New Roman" w:hAnsi="Times New Roman"/>
          <w:b/>
          <w:sz w:val="26"/>
          <w:szCs w:val="26"/>
        </w:rPr>
      </w:pPr>
      <w:r>
        <w:rPr>
          <w:rFonts w:ascii="Times New Roman" w:hAnsi="Times New Roman"/>
          <w:sz w:val="28"/>
          <w:szCs w:val="26"/>
        </w:rPr>
        <w:tab/>
      </w:r>
      <w:r w:rsidRPr="00FE6838">
        <w:rPr>
          <w:rFonts w:ascii="Times New Roman" w:hAnsi="Times New Roman"/>
          <w:b/>
          <w:sz w:val="28"/>
          <w:szCs w:val="26"/>
        </w:rPr>
        <w:t>2</w:t>
      </w:r>
      <w:r w:rsidR="00BC2900" w:rsidRPr="00FE6838">
        <w:rPr>
          <w:rFonts w:ascii="Times New Roman" w:hAnsi="Times New Roman"/>
          <w:b/>
          <w:sz w:val="26"/>
          <w:szCs w:val="26"/>
        </w:rPr>
        <w:t>.</w:t>
      </w:r>
      <w:r w:rsidR="00BC2900" w:rsidRPr="00FE6838">
        <w:rPr>
          <w:rFonts w:ascii="Times New Roman" w:hAnsi="Times New Roman"/>
          <w:b/>
          <w:sz w:val="26"/>
          <w:szCs w:val="26"/>
        </w:rPr>
        <w:tab/>
        <w:t>ALJ</w:t>
      </w:r>
      <w:r w:rsidR="00803C65">
        <w:rPr>
          <w:rFonts w:ascii="Times New Roman" w:hAnsi="Times New Roman"/>
          <w:b/>
          <w:sz w:val="26"/>
          <w:szCs w:val="26"/>
        </w:rPr>
        <w:t>’</w:t>
      </w:r>
      <w:r w:rsidR="00BC2900" w:rsidRPr="00FE6838">
        <w:rPr>
          <w:rFonts w:ascii="Times New Roman" w:hAnsi="Times New Roman"/>
          <w:b/>
          <w:sz w:val="26"/>
          <w:szCs w:val="26"/>
        </w:rPr>
        <w:t>s Recommendation</w:t>
      </w:r>
    </w:p>
    <w:p w:rsidR="00D701A0" w:rsidRDefault="00D701A0" w:rsidP="00D26D41">
      <w:pPr>
        <w:rPr>
          <w:rFonts w:ascii="Times New Roman" w:hAnsi="Times New Roman"/>
          <w:sz w:val="26"/>
          <w:szCs w:val="26"/>
        </w:rPr>
      </w:pPr>
    </w:p>
    <w:p w:rsidR="00951A85" w:rsidRDefault="00951A85" w:rsidP="00951A85">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Initially, the ALJ found that RESA and </w:t>
      </w:r>
      <w:proofErr w:type="spellStart"/>
      <w:r>
        <w:rPr>
          <w:rFonts w:ascii="Times New Roman" w:hAnsi="Times New Roman"/>
          <w:sz w:val="26"/>
          <w:szCs w:val="26"/>
        </w:rPr>
        <w:t>ExGen</w:t>
      </w:r>
      <w:proofErr w:type="spellEnd"/>
      <w:r>
        <w:rPr>
          <w:rFonts w:ascii="Times New Roman" w:hAnsi="Times New Roman"/>
          <w:sz w:val="26"/>
          <w:szCs w:val="26"/>
        </w:rPr>
        <w:t xml:space="preserve"> bear the burden of proof with regard to t</w:t>
      </w:r>
      <w:r w:rsidR="00D854A3">
        <w:rPr>
          <w:rFonts w:ascii="Times New Roman" w:hAnsi="Times New Roman"/>
          <w:sz w:val="26"/>
          <w:szCs w:val="26"/>
        </w:rPr>
        <w:t>his issue.  The ALJ stated that,</w:t>
      </w:r>
      <w:r>
        <w:rPr>
          <w:rFonts w:ascii="Times New Roman" w:hAnsi="Times New Roman"/>
          <w:sz w:val="26"/>
          <w:szCs w:val="26"/>
        </w:rPr>
        <w:t xml:space="preserve"> while</w:t>
      </w:r>
      <w:r w:rsidRPr="00951A85">
        <w:rPr>
          <w:rFonts w:ascii="Times New Roman" w:hAnsi="Times New Roman"/>
          <w:sz w:val="26"/>
          <w:szCs w:val="26"/>
        </w:rPr>
        <w:t xml:space="preserve"> PPL has the</w:t>
      </w:r>
      <w:r>
        <w:rPr>
          <w:rFonts w:ascii="Times New Roman" w:hAnsi="Times New Roman"/>
          <w:sz w:val="26"/>
          <w:szCs w:val="26"/>
        </w:rPr>
        <w:t xml:space="preserve"> ultimate burden of proof in this</w:t>
      </w:r>
      <w:r w:rsidRPr="00951A85">
        <w:rPr>
          <w:rFonts w:ascii="Times New Roman" w:hAnsi="Times New Roman"/>
          <w:sz w:val="26"/>
          <w:szCs w:val="26"/>
        </w:rPr>
        <w:t xml:space="preserve"> proceeding</w:t>
      </w:r>
      <w:r>
        <w:rPr>
          <w:rFonts w:ascii="Times New Roman" w:hAnsi="Times New Roman"/>
          <w:sz w:val="26"/>
          <w:szCs w:val="26"/>
        </w:rPr>
        <w:t>, and</w:t>
      </w:r>
      <w:r w:rsidRPr="00951A85">
        <w:rPr>
          <w:rFonts w:ascii="Times New Roman" w:hAnsi="Times New Roman"/>
          <w:sz w:val="26"/>
          <w:szCs w:val="26"/>
        </w:rPr>
        <w:t xml:space="preserve"> the initial burden of going forward with evidence showing that its </w:t>
      </w:r>
      <w:r w:rsidRPr="00951A85">
        <w:rPr>
          <w:rFonts w:ascii="Times New Roman" w:hAnsi="Times New Roman"/>
          <w:sz w:val="26"/>
          <w:szCs w:val="26"/>
        </w:rPr>
        <w:lastRenderedPageBreak/>
        <w:t xml:space="preserve">proposals </w:t>
      </w:r>
      <w:r>
        <w:rPr>
          <w:rFonts w:ascii="Times New Roman" w:hAnsi="Times New Roman"/>
          <w:sz w:val="26"/>
          <w:szCs w:val="26"/>
        </w:rPr>
        <w:t xml:space="preserve">are lawful and reasonable, the proposal at issue here </w:t>
      </w:r>
      <w:r w:rsidRPr="00951A85">
        <w:rPr>
          <w:rFonts w:ascii="Times New Roman" w:hAnsi="Times New Roman"/>
          <w:sz w:val="26"/>
          <w:szCs w:val="26"/>
        </w:rPr>
        <w:t>was not raised by the Company, and therefore, the burden of proof l</w:t>
      </w:r>
      <w:r>
        <w:rPr>
          <w:rFonts w:ascii="Times New Roman" w:hAnsi="Times New Roman"/>
          <w:sz w:val="26"/>
          <w:szCs w:val="26"/>
        </w:rPr>
        <w:t xml:space="preserve">ies with </w:t>
      </w:r>
      <w:r w:rsidRPr="00951A85">
        <w:rPr>
          <w:rFonts w:ascii="Times New Roman" w:hAnsi="Times New Roman"/>
          <w:sz w:val="26"/>
          <w:szCs w:val="26"/>
        </w:rPr>
        <w:t xml:space="preserve">those parties who raised it.  </w:t>
      </w:r>
      <w:r>
        <w:rPr>
          <w:rFonts w:ascii="Times New Roman" w:hAnsi="Times New Roman"/>
          <w:sz w:val="26"/>
          <w:szCs w:val="26"/>
        </w:rPr>
        <w:t>R.D. at 46.</w:t>
      </w:r>
    </w:p>
    <w:p w:rsidR="00D3562D" w:rsidRDefault="00D3562D" w:rsidP="00951A85">
      <w:pPr>
        <w:rPr>
          <w:rFonts w:ascii="Times New Roman" w:hAnsi="Times New Roman"/>
          <w:sz w:val="26"/>
          <w:szCs w:val="26"/>
        </w:rPr>
      </w:pPr>
    </w:p>
    <w:p w:rsidR="00D3562D" w:rsidRDefault="00D3562D" w:rsidP="00951A85">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The ALJ then noted that</w:t>
      </w:r>
      <w:r w:rsidR="005821FC">
        <w:rPr>
          <w:rFonts w:ascii="Times New Roman" w:hAnsi="Times New Roman"/>
          <w:sz w:val="26"/>
          <w:szCs w:val="26"/>
        </w:rPr>
        <w:t xml:space="preserve"> PPL proposed no change in its approach regarding NMB costs from that approved by the Commission in</w:t>
      </w:r>
      <w:r w:rsidR="00D854A3">
        <w:rPr>
          <w:rFonts w:ascii="Times New Roman" w:hAnsi="Times New Roman"/>
          <w:sz w:val="26"/>
          <w:szCs w:val="26"/>
        </w:rPr>
        <w:t xml:space="preserve"> </w:t>
      </w:r>
      <w:r w:rsidR="00D854A3" w:rsidRPr="00D854A3">
        <w:rPr>
          <w:rFonts w:ascii="Times New Roman" w:hAnsi="Times New Roman"/>
          <w:i/>
          <w:sz w:val="26"/>
          <w:szCs w:val="26"/>
        </w:rPr>
        <w:t>PPL DSP II</w:t>
      </w:r>
      <w:r w:rsidR="005821FC">
        <w:rPr>
          <w:rFonts w:ascii="Times New Roman" w:hAnsi="Times New Roman"/>
          <w:sz w:val="26"/>
          <w:szCs w:val="26"/>
        </w:rPr>
        <w:t xml:space="preserve">.  </w:t>
      </w:r>
      <w:r w:rsidR="005821FC" w:rsidRPr="005821FC">
        <w:rPr>
          <w:rFonts w:ascii="Times New Roman" w:hAnsi="Times New Roman"/>
          <w:i/>
          <w:sz w:val="26"/>
          <w:szCs w:val="26"/>
        </w:rPr>
        <w:t>Id</w:t>
      </w:r>
      <w:r w:rsidR="005821FC">
        <w:rPr>
          <w:rFonts w:ascii="Times New Roman" w:hAnsi="Times New Roman"/>
          <w:sz w:val="26"/>
          <w:szCs w:val="26"/>
        </w:rPr>
        <w:t xml:space="preserve">. at 47 (citing </w:t>
      </w:r>
      <w:r w:rsidR="00FE5D70">
        <w:rPr>
          <w:rFonts w:ascii="Times New Roman" w:hAnsi="Times New Roman"/>
          <w:i/>
          <w:sz w:val="26"/>
          <w:szCs w:val="26"/>
        </w:rPr>
        <w:t>PPL DSP II Order</w:t>
      </w:r>
      <w:r w:rsidR="005821FC">
        <w:rPr>
          <w:rFonts w:ascii="Times New Roman" w:hAnsi="Times New Roman"/>
          <w:sz w:val="26"/>
          <w:szCs w:val="26"/>
        </w:rPr>
        <w:t xml:space="preserve"> at 85).  The ALJ further noted that</w:t>
      </w:r>
      <w:r w:rsidR="006E00F0">
        <w:rPr>
          <w:rFonts w:ascii="Times New Roman" w:hAnsi="Times New Roman"/>
          <w:sz w:val="26"/>
          <w:szCs w:val="26"/>
        </w:rPr>
        <w:t xml:space="preserve"> in </w:t>
      </w:r>
      <w:r w:rsidR="006E00F0" w:rsidRPr="001363EB">
        <w:rPr>
          <w:rFonts w:ascii="Times New Roman" w:hAnsi="Times New Roman"/>
          <w:i/>
          <w:sz w:val="26"/>
          <w:szCs w:val="26"/>
        </w:rPr>
        <w:t>FirstEnergy DSP III</w:t>
      </w:r>
      <w:r w:rsidR="006E00F0">
        <w:rPr>
          <w:rFonts w:ascii="Times New Roman" w:hAnsi="Times New Roman"/>
          <w:sz w:val="26"/>
          <w:szCs w:val="26"/>
        </w:rPr>
        <w:t>,</w:t>
      </w:r>
      <w:r w:rsidR="005821FC">
        <w:rPr>
          <w:rFonts w:ascii="Times New Roman" w:hAnsi="Times New Roman"/>
          <w:sz w:val="26"/>
          <w:szCs w:val="26"/>
        </w:rPr>
        <w:t xml:space="preserve"> the Commission</w:t>
      </w:r>
      <w:r w:rsidR="006E00F0">
        <w:rPr>
          <w:rFonts w:ascii="Times New Roman" w:hAnsi="Times New Roman"/>
          <w:sz w:val="26"/>
          <w:szCs w:val="26"/>
        </w:rPr>
        <w:t xml:space="preserve"> </w:t>
      </w:r>
      <w:r>
        <w:rPr>
          <w:rFonts w:ascii="Times New Roman" w:hAnsi="Times New Roman"/>
          <w:sz w:val="26"/>
          <w:szCs w:val="26"/>
        </w:rPr>
        <w:t xml:space="preserve">affirmed its </w:t>
      </w:r>
      <w:r w:rsidR="00181E29">
        <w:rPr>
          <w:rFonts w:ascii="Times New Roman" w:hAnsi="Times New Roman"/>
          <w:sz w:val="26"/>
          <w:szCs w:val="26"/>
        </w:rPr>
        <w:t xml:space="preserve">prior </w:t>
      </w:r>
      <w:r>
        <w:rPr>
          <w:rFonts w:ascii="Times New Roman" w:hAnsi="Times New Roman"/>
          <w:sz w:val="26"/>
          <w:szCs w:val="26"/>
        </w:rPr>
        <w:t>decision</w:t>
      </w:r>
      <w:r w:rsidR="00181E29">
        <w:rPr>
          <w:rFonts w:ascii="Times New Roman" w:hAnsi="Times New Roman"/>
          <w:sz w:val="26"/>
          <w:szCs w:val="26"/>
        </w:rPr>
        <w:t>, set forth in</w:t>
      </w:r>
      <w:r w:rsidR="00D854A3">
        <w:rPr>
          <w:rFonts w:ascii="Times New Roman" w:hAnsi="Times New Roman"/>
          <w:sz w:val="26"/>
          <w:szCs w:val="26"/>
        </w:rPr>
        <w:t xml:space="preserve"> </w:t>
      </w:r>
      <w:r w:rsidR="00D854A3" w:rsidRPr="00D854A3">
        <w:rPr>
          <w:rFonts w:ascii="Times New Roman" w:hAnsi="Times New Roman"/>
          <w:i/>
          <w:sz w:val="26"/>
          <w:szCs w:val="26"/>
        </w:rPr>
        <w:t>FirstEnergy DSP II</w:t>
      </w:r>
      <w:r w:rsidR="00181E29">
        <w:rPr>
          <w:rFonts w:ascii="Times New Roman" w:hAnsi="Times New Roman"/>
          <w:sz w:val="26"/>
          <w:szCs w:val="26"/>
        </w:rPr>
        <w:t>,</w:t>
      </w:r>
      <w:r>
        <w:rPr>
          <w:rFonts w:ascii="Times New Roman" w:hAnsi="Times New Roman"/>
          <w:sz w:val="26"/>
          <w:szCs w:val="26"/>
        </w:rPr>
        <w:t xml:space="preserve"> that NITS costs should not be collected </w:t>
      </w:r>
      <w:r w:rsidR="00181E29">
        <w:rPr>
          <w:rFonts w:ascii="Times New Roman" w:hAnsi="Times New Roman"/>
          <w:sz w:val="26"/>
          <w:szCs w:val="26"/>
        </w:rPr>
        <w:t>through the FirstEnergy Companies</w:t>
      </w:r>
      <w:r w:rsidR="00803C65">
        <w:rPr>
          <w:rFonts w:ascii="Times New Roman" w:hAnsi="Times New Roman"/>
          <w:sz w:val="26"/>
          <w:szCs w:val="26"/>
        </w:rPr>
        <w:t>’</w:t>
      </w:r>
      <w:r w:rsidR="005821FC">
        <w:rPr>
          <w:rFonts w:ascii="Times New Roman" w:hAnsi="Times New Roman"/>
          <w:sz w:val="26"/>
          <w:szCs w:val="26"/>
        </w:rPr>
        <w:t xml:space="preserve"> non-</w:t>
      </w:r>
      <w:proofErr w:type="spellStart"/>
      <w:r w:rsidR="005821FC">
        <w:rPr>
          <w:rFonts w:ascii="Times New Roman" w:hAnsi="Times New Roman"/>
          <w:sz w:val="26"/>
          <w:szCs w:val="26"/>
        </w:rPr>
        <w:t>bypassable</w:t>
      </w:r>
      <w:proofErr w:type="spellEnd"/>
      <w:r w:rsidR="005821FC">
        <w:rPr>
          <w:rFonts w:ascii="Times New Roman" w:hAnsi="Times New Roman"/>
          <w:sz w:val="26"/>
          <w:szCs w:val="26"/>
        </w:rPr>
        <w:t xml:space="preserve"> rider.  R.D.</w:t>
      </w:r>
      <w:r w:rsidR="001363EB">
        <w:rPr>
          <w:rFonts w:ascii="Times New Roman" w:hAnsi="Times New Roman"/>
          <w:sz w:val="26"/>
          <w:szCs w:val="26"/>
        </w:rPr>
        <w:t xml:space="preserve"> at 47-48 (citing</w:t>
      </w:r>
      <w:r w:rsidR="008A655F">
        <w:rPr>
          <w:rFonts w:ascii="Times New Roman" w:hAnsi="Times New Roman"/>
          <w:sz w:val="26"/>
          <w:szCs w:val="26"/>
        </w:rPr>
        <w:t xml:space="preserve"> </w:t>
      </w:r>
      <w:r w:rsidR="008A655F" w:rsidRPr="008F74FD">
        <w:rPr>
          <w:rFonts w:ascii="Times New Roman" w:hAnsi="Times New Roman"/>
          <w:i/>
          <w:sz w:val="26"/>
          <w:szCs w:val="26"/>
        </w:rPr>
        <w:t>FirstEnergy DSP III Order</w:t>
      </w:r>
      <w:r w:rsidR="005821FC">
        <w:rPr>
          <w:rFonts w:ascii="Times New Roman" w:hAnsi="Times New Roman"/>
          <w:sz w:val="26"/>
          <w:szCs w:val="26"/>
        </w:rPr>
        <w:t xml:space="preserve"> at </w:t>
      </w:r>
      <w:r w:rsidR="00FC40BB">
        <w:rPr>
          <w:rFonts w:ascii="Times New Roman" w:hAnsi="Times New Roman"/>
          <w:sz w:val="26"/>
          <w:szCs w:val="26"/>
        </w:rPr>
        <w:t>31-32).</w:t>
      </w:r>
      <w:r w:rsidR="00CA36D0">
        <w:rPr>
          <w:rFonts w:ascii="Times New Roman" w:hAnsi="Times New Roman"/>
          <w:sz w:val="26"/>
          <w:szCs w:val="26"/>
        </w:rPr>
        <w:t xml:space="preserve">  The ALJ asserted</w:t>
      </w:r>
      <w:r w:rsidR="00F22BB0">
        <w:rPr>
          <w:rFonts w:ascii="Times New Roman" w:hAnsi="Times New Roman"/>
          <w:sz w:val="26"/>
          <w:szCs w:val="26"/>
        </w:rPr>
        <w:t xml:space="preserve"> that </w:t>
      </w:r>
      <w:r w:rsidR="00803C65">
        <w:rPr>
          <w:rFonts w:ascii="Times New Roman" w:hAnsi="Times New Roman"/>
          <w:sz w:val="26"/>
          <w:szCs w:val="26"/>
        </w:rPr>
        <w:t>“</w:t>
      </w:r>
      <w:r w:rsidR="00F22BB0">
        <w:rPr>
          <w:rFonts w:ascii="Times New Roman" w:hAnsi="Times New Roman"/>
          <w:sz w:val="26"/>
          <w:szCs w:val="26"/>
        </w:rPr>
        <w:t>the Commission has repeatedly and consistently decided that the NMB costs should be assigned to those served by the load which is accompanied by those costs.</w:t>
      </w:r>
      <w:r w:rsidR="00803C65">
        <w:rPr>
          <w:rFonts w:ascii="Times New Roman" w:hAnsi="Times New Roman"/>
          <w:sz w:val="26"/>
          <w:szCs w:val="26"/>
        </w:rPr>
        <w:t>”</w:t>
      </w:r>
      <w:r w:rsidR="00F22BB0">
        <w:rPr>
          <w:rFonts w:ascii="Times New Roman" w:hAnsi="Times New Roman"/>
          <w:sz w:val="26"/>
          <w:szCs w:val="26"/>
        </w:rPr>
        <w:t xml:space="preserve">  R.D. at 48.</w:t>
      </w:r>
      <w:r w:rsidR="00CA36D0">
        <w:rPr>
          <w:rFonts w:ascii="Times New Roman" w:hAnsi="Times New Roman"/>
          <w:sz w:val="26"/>
          <w:szCs w:val="26"/>
        </w:rPr>
        <w:t xml:space="preserve">  Thus, the ALJ concluded that RESA</w:t>
      </w:r>
      <w:r w:rsidR="00803C65">
        <w:rPr>
          <w:rFonts w:ascii="Times New Roman" w:hAnsi="Times New Roman"/>
          <w:sz w:val="26"/>
          <w:szCs w:val="26"/>
        </w:rPr>
        <w:t>’</w:t>
      </w:r>
      <w:r w:rsidR="00CA36D0">
        <w:rPr>
          <w:rFonts w:ascii="Times New Roman" w:hAnsi="Times New Roman"/>
          <w:sz w:val="26"/>
          <w:szCs w:val="26"/>
        </w:rPr>
        <w:t xml:space="preserve">s and </w:t>
      </w:r>
      <w:proofErr w:type="spellStart"/>
      <w:r w:rsidR="00CA36D0">
        <w:rPr>
          <w:rFonts w:ascii="Times New Roman" w:hAnsi="Times New Roman"/>
          <w:sz w:val="26"/>
          <w:szCs w:val="26"/>
        </w:rPr>
        <w:t>ExGen</w:t>
      </w:r>
      <w:r w:rsidR="00803C65">
        <w:rPr>
          <w:rFonts w:ascii="Times New Roman" w:hAnsi="Times New Roman"/>
          <w:sz w:val="26"/>
          <w:szCs w:val="26"/>
        </w:rPr>
        <w:t>’</w:t>
      </w:r>
      <w:r w:rsidR="00CA36D0">
        <w:rPr>
          <w:rFonts w:ascii="Times New Roman" w:hAnsi="Times New Roman"/>
          <w:sz w:val="26"/>
          <w:szCs w:val="26"/>
        </w:rPr>
        <w:t>s</w:t>
      </w:r>
      <w:proofErr w:type="spellEnd"/>
      <w:r w:rsidR="00CA36D0">
        <w:rPr>
          <w:rFonts w:ascii="Times New Roman" w:hAnsi="Times New Roman"/>
          <w:sz w:val="26"/>
          <w:szCs w:val="26"/>
        </w:rPr>
        <w:t xml:space="preserve"> proposals to aggregate the NMB costs and spread them evenly among all customers is not consistent with prior Commission decisions on this issue.  </w:t>
      </w:r>
      <w:r w:rsidR="00CA36D0" w:rsidRPr="00CA36D0">
        <w:rPr>
          <w:rFonts w:ascii="Times New Roman" w:hAnsi="Times New Roman"/>
          <w:i/>
          <w:sz w:val="26"/>
          <w:szCs w:val="26"/>
        </w:rPr>
        <w:t>Id</w:t>
      </w:r>
      <w:r w:rsidR="00CA36D0">
        <w:rPr>
          <w:rFonts w:ascii="Times New Roman" w:hAnsi="Times New Roman"/>
          <w:sz w:val="26"/>
          <w:szCs w:val="26"/>
        </w:rPr>
        <w:t>.</w:t>
      </w:r>
    </w:p>
    <w:p w:rsidR="002B151F" w:rsidRDefault="002B151F" w:rsidP="00951A85">
      <w:pPr>
        <w:rPr>
          <w:rFonts w:ascii="Times New Roman" w:hAnsi="Times New Roman"/>
          <w:sz w:val="26"/>
          <w:szCs w:val="26"/>
        </w:rPr>
      </w:pPr>
    </w:p>
    <w:p w:rsidR="00744A98" w:rsidRDefault="002B151F"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10319C">
        <w:rPr>
          <w:rFonts w:ascii="Times New Roman" w:hAnsi="Times New Roman"/>
          <w:sz w:val="26"/>
          <w:szCs w:val="26"/>
        </w:rPr>
        <w:t xml:space="preserve">The ALJ </w:t>
      </w:r>
      <w:r>
        <w:rPr>
          <w:rFonts w:ascii="Times New Roman" w:hAnsi="Times New Roman"/>
          <w:sz w:val="26"/>
          <w:szCs w:val="26"/>
        </w:rPr>
        <w:t>agreed with PPL that EGSs are the LSEs for shopping customers, and stated that it is unclear whether PJM rules would permit a third party to assume the LSEs</w:t>
      </w:r>
      <w:r w:rsidR="00803C65">
        <w:rPr>
          <w:rFonts w:ascii="Times New Roman" w:hAnsi="Times New Roman"/>
          <w:sz w:val="26"/>
          <w:szCs w:val="26"/>
        </w:rPr>
        <w:t>’</w:t>
      </w:r>
      <w:r>
        <w:rPr>
          <w:rFonts w:ascii="Times New Roman" w:hAnsi="Times New Roman"/>
          <w:sz w:val="26"/>
          <w:szCs w:val="26"/>
        </w:rPr>
        <w:t xml:space="preserve"> obligation</w:t>
      </w:r>
      <w:r w:rsidR="00E20ADA">
        <w:rPr>
          <w:rFonts w:ascii="Times New Roman" w:hAnsi="Times New Roman"/>
          <w:sz w:val="26"/>
          <w:szCs w:val="26"/>
        </w:rPr>
        <w:t>s</w:t>
      </w:r>
      <w:r>
        <w:rPr>
          <w:rFonts w:ascii="Times New Roman" w:hAnsi="Times New Roman"/>
          <w:sz w:val="26"/>
          <w:szCs w:val="26"/>
        </w:rPr>
        <w:t xml:space="preserve"> to pay NMB charges.  In addition, the ALJ stated that the record contains no details regarding the implementation of RESA</w:t>
      </w:r>
      <w:r w:rsidR="00803C65">
        <w:rPr>
          <w:rFonts w:ascii="Times New Roman" w:hAnsi="Times New Roman"/>
          <w:sz w:val="26"/>
          <w:szCs w:val="26"/>
        </w:rPr>
        <w:t>’</w:t>
      </w:r>
      <w:r>
        <w:rPr>
          <w:rFonts w:ascii="Times New Roman" w:hAnsi="Times New Roman"/>
          <w:sz w:val="26"/>
          <w:szCs w:val="26"/>
        </w:rPr>
        <w:t xml:space="preserve">s and </w:t>
      </w:r>
      <w:proofErr w:type="spellStart"/>
      <w:r>
        <w:rPr>
          <w:rFonts w:ascii="Times New Roman" w:hAnsi="Times New Roman"/>
          <w:sz w:val="26"/>
          <w:szCs w:val="26"/>
        </w:rPr>
        <w:t>ExGen</w:t>
      </w:r>
      <w:r w:rsidR="00803C65">
        <w:rPr>
          <w:rFonts w:ascii="Times New Roman" w:hAnsi="Times New Roman"/>
          <w:sz w:val="26"/>
          <w:szCs w:val="26"/>
        </w:rPr>
        <w:t>’</w:t>
      </w:r>
      <w:r>
        <w:rPr>
          <w:rFonts w:ascii="Times New Roman" w:hAnsi="Times New Roman"/>
          <w:sz w:val="26"/>
          <w:szCs w:val="26"/>
        </w:rPr>
        <w:t>s</w:t>
      </w:r>
      <w:proofErr w:type="spellEnd"/>
      <w:r>
        <w:rPr>
          <w:rFonts w:ascii="Times New Roman" w:hAnsi="Times New Roman"/>
          <w:sz w:val="26"/>
          <w:szCs w:val="26"/>
        </w:rPr>
        <w:t xml:space="preserve"> proposals, which makes it impossible to evaluate the extent to which the proposals may shift costs.  </w:t>
      </w:r>
      <w:r w:rsidRPr="002B151F">
        <w:rPr>
          <w:rFonts w:ascii="Times New Roman" w:hAnsi="Times New Roman"/>
          <w:i/>
          <w:sz w:val="26"/>
          <w:szCs w:val="26"/>
        </w:rPr>
        <w:t>Id</w:t>
      </w:r>
      <w:r>
        <w:rPr>
          <w:rFonts w:ascii="Times New Roman" w:hAnsi="Times New Roman"/>
          <w:sz w:val="26"/>
          <w:szCs w:val="26"/>
        </w:rPr>
        <w:t>. at 49.</w:t>
      </w:r>
    </w:p>
    <w:p w:rsidR="00744A98" w:rsidRDefault="00744A98" w:rsidP="00D26D41">
      <w:pPr>
        <w:rPr>
          <w:rFonts w:ascii="Times New Roman" w:hAnsi="Times New Roman"/>
          <w:sz w:val="26"/>
          <w:szCs w:val="26"/>
        </w:rPr>
      </w:pPr>
    </w:p>
    <w:p w:rsidR="009E10EF" w:rsidRDefault="00744A98"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E77A74">
        <w:rPr>
          <w:rFonts w:ascii="Times New Roman" w:hAnsi="Times New Roman"/>
          <w:sz w:val="26"/>
          <w:szCs w:val="26"/>
        </w:rPr>
        <w:t>The ALJ also agreed with PPLICA</w:t>
      </w:r>
      <w:r w:rsidR="00803C65">
        <w:rPr>
          <w:rFonts w:ascii="Times New Roman" w:hAnsi="Times New Roman"/>
          <w:sz w:val="26"/>
          <w:szCs w:val="26"/>
        </w:rPr>
        <w:t>’</w:t>
      </w:r>
      <w:r w:rsidR="00E77A74">
        <w:rPr>
          <w:rFonts w:ascii="Times New Roman" w:hAnsi="Times New Roman"/>
          <w:sz w:val="26"/>
          <w:szCs w:val="26"/>
        </w:rPr>
        <w:t>s concern that the imposition of a non-</w:t>
      </w:r>
      <w:proofErr w:type="spellStart"/>
      <w:r w:rsidR="00E77A74">
        <w:rPr>
          <w:rFonts w:ascii="Times New Roman" w:hAnsi="Times New Roman"/>
          <w:sz w:val="26"/>
          <w:szCs w:val="26"/>
        </w:rPr>
        <w:t>bypassable</w:t>
      </w:r>
      <w:proofErr w:type="spellEnd"/>
      <w:r w:rsidR="00E77A74">
        <w:rPr>
          <w:rFonts w:ascii="Times New Roman" w:hAnsi="Times New Roman"/>
          <w:sz w:val="26"/>
          <w:szCs w:val="26"/>
        </w:rPr>
        <w:t xml:space="preserve"> rider to recover NMB costs would re-bundl</w:t>
      </w:r>
      <w:r w:rsidR="000821ED">
        <w:rPr>
          <w:rFonts w:ascii="Times New Roman" w:hAnsi="Times New Roman"/>
          <w:sz w:val="26"/>
          <w:szCs w:val="26"/>
        </w:rPr>
        <w:t>e transmission and distribution</w:t>
      </w:r>
      <w:r w:rsidR="00E77A74">
        <w:rPr>
          <w:rFonts w:ascii="Times New Roman" w:hAnsi="Times New Roman"/>
          <w:sz w:val="26"/>
          <w:szCs w:val="26"/>
        </w:rPr>
        <w:t xml:space="preserve"> costs in v</w:t>
      </w:r>
      <w:r w:rsidR="00635CAA">
        <w:rPr>
          <w:rFonts w:ascii="Times New Roman" w:hAnsi="Times New Roman"/>
          <w:sz w:val="26"/>
          <w:szCs w:val="26"/>
        </w:rPr>
        <w:t xml:space="preserve">iolation of the Competition Act.  </w:t>
      </w:r>
      <w:r w:rsidR="00635CAA" w:rsidRPr="00635CAA">
        <w:rPr>
          <w:rFonts w:ascii="Times New Roman" w:hAnsi="Times New Roman"/>
          <w:i/>
          <w:sz w:val="26"/>
          <w:szCs w:val="26"/>
        </w:rPr>
        <w:t>Id</w:t>
      </w:r>
      <w:r w:rsidR="00635CAA">
        <w:rPr>
          <w:rFonts w:ascii="Times New Roman" w:hAnsi="Times New Roman"/>
          <w:sz w:val="26"/>
          <w:szCs w:val="26"/>
        </w:rPr>
        <w:t>. at</w:t>
      </w:r>
      <w:r w:rsidR="000821ED">
        <w:rPr>
          <w:rFonts w:ascii="Times New Roman" w:hAnsi="Times New Roman"/>
          <w:sz w:val="26"/>
          <w:szCs w:val="26"/>
        </w:rPr>
        <w:t xml:space="preserve"> 50.  The</w:t>
      </w:r>
      <w:r w:rsidR="00635CAA">
        <w:rPr>
          <w:rFonts w:ascii="Times New Roman" w:hAnsi="Times New Roman"/>
          <w:sz w:val="26"/>
          <w:szCs w:val="26"/>
        </w:rPr>
        <w:t xml:space="preserve"> ALJ stated that this concern</w:t>
      </w:r>
      <w:r w:rsidR="00E77A74">
        <w:rPr>
          <w:rFonts w:ascii="Times New Roman" w:hAnsi="Times New Roman"/>
          <w:sz w:val="26"/>
          <w:szCs w:val="26"/>
        </w:rPr>
        <w:t xml:space="preserve"> is consistent with the Commission</w:t>
      </w:r>
      <w:r w:rsidR="00803C65">
        <w:rPr>
          <w:rFonts w:ascii="Times New Roman" w:hAnsi="Times New Roman"/>
          <w:sz w:val="26"/>
          <w:szCs w:val="26"/>
        </w:rPr>
        <w:t>’</w:t>
      </w:r>
      <w:r w:rsidR="00E77A74">
        <w:rPr>
          <w:rFonts w:ascii="Times New Roman" w:hAnsi="Times New Roman"/>
          <w:sz w:val="26"/>
          <w:szCs w:val="26"/>
        </w:rPr>
        <w:t>s position in</w:t>
      </w:r>
      <w:r w:rsidR="00635CAA">
        <w:rPr>
          <w:rFonts w:ascii="Times New Roman" w:hAnsi="Times New Roman"/>
          <w:sz w:val="26"/>
          <w:szCs w:val="26"/>
        </w:rPr>
        <w:t xml:space="preserve"> Duquesne Light Company</w:t>
      </w:r>
      <w:r w:rsidR="00803C65">
        <w:rPr>
          <w:rFonts w:ascii="Times New Roman" w:hAnsi="Times New Roman"/>
          <w:sz w:val="26"/>
          <w:szCs w:val="26"/>
        </w:rPr>
        <w:t>’</w:t>
      </w:r>
      <w:r w:rsidR="00F02428">
        <w:rPr>
          <w:rFonts w:ascii="Times New Roman" w:hAnsi="Times New Roman"/>
          <w:sz w:val="26"/>
          <w:szCs w:val="26"/>
        </w:rPr>
        <w:t>s prior default service plan</w:t>
      </w:r>
      <w:r w:rsidR="00635CAA">
        <w:rPr>
          <w:rFonts w:ascii="Times New Roman" w:hAnsi="Times New Roman"/>
          <w:sz w:val="26"/>
          <w:szCs w:val="26"/>
        </w:rPr>
        <w:t xml:space="preserve"> proceeding, in which the Commission determined that RESA</w:t>
      </w:r>
      <w:r w:rsidR="00803C65">
        <w:rPr>
          <w:rFonts w:ascii="Times New Roman" w:hAnsi="Times New Roman"/>
          <w:sz w:val="26"/>
          <w:szCs w:val="26"/>
        </w:rPr>
        <w:t>’</w:t>
      </w:r>
      <w:r w:rsidR="00635CAA">
        <w:rPr>
          <w:rFonts w:ascii="Times New Roman" w:hAnsi="Times New Roman"/>
          <w:sz w:val="26"/>
          <w:szCs w:val="26"/>
        </w:rPr>
        <w:t>s proposal that a non-</w:t>
      </w:r>
      <w:proofErr w:type="spellStart"/>
      <w:r w:rsidR="00635CAA">
        <w:rPr>
          <w:rFonts w:ascii="Times New Roman" w:hAnsi="Times New Roman"/>
          <w:sz w:val="26"/>
          <w:szCs w:val="26"/>
        </w:rPr>
        <w:t>bypassable</w:t>
      </w:r>
      <w:proofErr w:type="spellEnd"/>
      <w:r w:rsidR="00635CAA">
        <w:rPr>
          <w:rFonts w:ascii="Times New Roman" w:hAnsi="Times New Roman"/>
          <w:sz w:val="26"/>
          <w:szCs w:val="26"/>
        </w:rPr>
        <w:t xml:space="preserve"> charge be established to recover certain transmission-related charges </w:t>
      </w:r>
      <w:r w:rsidR="00635CAA">
        <w:rPr>
          <w:rFonts w:ascii="Times New Roman" w:hAnsi="Times New Roman"/>
          <w:sz w:val="26"/>
          <w:szCs w:val="26"/>
        </w:rPr>
        <w:lastRenderedPageBreak/>
        <w:t xml:space="preserve">would be a step backward because it would result in the re-bundling of transmission costs with distribution costs.  </w:t>
      </w:r>
      <w:r w:rsidR="00635CAA" w:rsidRPr="00635CAA">
        <w:rPr>
          <w:rFonts w:ascii="Times New Roman" w:hAnsi="Times New Roman"/>
          <w:i/>
          <w:sz w:val="26"/>
          <w:szCs w:val="26"/>
        </w:rPr>
        <w:t>Id</w:t>
      </w:r>
      <w:r w:rsidR="00635CAA">
        <w:rPr>
          <w:rFonts w:ascii="Times New Roman" w:hAnsi="Times New Roman"/>
          <w:sz w:val="26"/>
          <w:szCs w:val="26"/>
        </w:rPr>
        <w:t xml:space="preserve">. at 50-51 (citing </w:t>
      </w:r>
      <w:r w:rsidR="00635CAA" w:rsidRPr="00635CAA">
        <w:rPr>
          <w:rFonts w:ascii="Times New Roman" w:hAnsi="Times New Roman"/>
          <w:i/>
          <w:sz w:val="26"/>
          <w:szCs w:val="26"/>
        </w:rPr>
        <w:t>Petition of Duquesne Light Company for Approval of Default Service</w:t>
      </w:r>
      <w:r w:rsidR="00F02428">
        <w:rPr>
          <w:rFonts w:ascii="Times New Roman" w:hAnsi="Times New Roman"/>
          <w:i/>
          <w:sz w:val="26"/>
          <w:szCs w:val="26"/>
        </w:rPr>
        <w:t xml:space="preserve"> Program and Procurement</w:t>
      </w:r>
      <w:r w:rsidR="00635CAA" w:rsidRPr="00635CAA">
        <w:rPr>
          <w:rFonts w:ascii="Times New Roman" w:hAnsi="Times New Roman"/>
          <w:i/>
          <w:sz w:val="26"/>
          <w:szCs w:val="26"/>
        </w:rPr>
        <w:t xml:space="preserve"> Plan for the Period of June 1, </w:t>
      </w:r>
      <w:r w:rsidR="00F02428">
        <w:rPr>
          <w:rFonts w:ascii="Times New Roman" w:hAnsi="Times New Roman"/>
          <w:i/>
          <w:sz w:val="26"/>
          <w:szCs w:val="26"/>
        </w:rPr>
        <w:t>2013 Through May 31, 2015</w:t>
      </w:r>
      <w:r w:rsidR="00635CAA" w:rsidRPr="00635CAA">
        <w:rPr>
          <w:rFonts w:ascii="Times New Roman" w:hAnsi="Times New Roman"/>
          <w:i/>
          <w:sz w:val="26"/>
          <w:szCs w:val="26"/>
        </w:rPr>
        <w:t xml:space="preserve">, </w:t>
      </w:r>
      <w:r w:rsidR="00F02428" w:rsidRPr="00BB3839">
        <w:rPr>
          <w:rFonts w:ascii="Times New Roman" w:hAnsi="Times New Roman"/>
          <w:sz w:val="26"/>
          <w:szCs w:val="26"/>
        </w:rPr>
        <w:t>Docket No. P-2012-2301664</w:t>
      </w:r>
      <w:r w:rsidR="00635CAA" w:rsidRPr="00BB3839">
        <w:rPr>
          <w:rFonts w:ascii="Times New Roman" w:hAnsi="Times New Roman"/>
          <w:sz w:val="26"/>
          <w:szCs w:val="26"/>
        </w:rPr>
        <w:t xml:space="preserve"> (Opinion and Order entered January 25, 2013) </w:t>
      </w:r>
      <w:r w:rsidR="00834CD6" w:rsidRPr="00BB3839">
        <w:rPr>
          <w:rFonts w:ascii="Times New Roman" w:hAnsi="Times New Roman"/>
          <w:sz w:val="26"/>
          <w:szCs w:val="26"/>
        </w:rPr>
        <w:t>(</w:t>
      </w:r>
      <w:r w:rsidR="00834CD6" w:rsidRPr="00BB3839">
        <w:rPr>
          <w:rFonts w:ascii="Times New Roman" w:hAnsi="Times New Roman"/>
          <w:i/>
          <w:sz w:val="26"/>
          <w:szCs w:val="26"/>
        </w:rPr>
        <w:t>Duquesne Light DSP VI Order</w:t>
      </w:r>
      <w:r w:rsidR="00834CD6" w:rsidRPr="00BB3839">
        <w:rPr>
          <w:rFonts w:ascii="Times New Roman" w:hAnsi="Times New Roman"/>
          <w:sz w:val="26"/>
          <w:szCs w:val="26"/>
        </w:rPr>
        <w:t xml:space="preserve">) </w:t>
      </w:r>
      <w:r w:rsidR="00635CAA" w:rsidRPr="00BB3839">
        <w:rPr>
          <w:rFonts w:ascii="Times New Roman" w:hAnsi="Times New Roman"/>
          <w:sz w:val="26"/>
          <w:szCs w:val="26"/>
        </w:rPr>
        <w:t>at 222</w:t>
      </w:r>
      <w:r w:rsidR="00F02428" w:rsidRPr="00BB3839">
        <w:rPr>
          <w:rFonts w:ascii="Times New Roman" w:hAnsi="Times New Roman"/>
          <w:sz w:val="26"/>
          <w:szCs w:val="26"/>
        </w:rPr>
        <w:t>.</w:t>
      </w:r>
      <w:r w:rsidRPr="00BB3839">
        <w:rPr>
          <w:rFonts w:ascii="Times New Roman" w:hAnsi="Times New Roman"/>
          <w:sz w:val="26"/>
          <w:szCs w:val="26"/>
        </w:rPr>
        <w:t xml:space="preserve">  The ALJ also found that, from the point of view of a large industrial or commercial energy user, there is a concern that the imposition of a non-</w:t>
      </w:r>
      <w:proofErr w:type="spellStart"/>
      <w:r w:rsidRPr="00BB3839">
        <w:rPr>
          <w:rFonts w:ascii="Times New Roman" w:hAnsi="Times New Roman"/>
          <w:sz w:val="26"/>
          <w:szCs w:val="26"/>
        </w:rPr>
        <w:t>bypassable</w:t>
      </w:r>
      <w:proofErr w:type="spellEnd"/>
      <w:r w:rsidRPr="00BB3839">
        <w:rPr>
          <w:rFonts w:ascii="Times New Roman" w:hAnsi="Times New Roman"/>
          <w:sz w:val="26"/>
          <w:szCs w:val="26"/>
        </w:rPr>
        <w:t xml:space="preserve"> rider</w:t>
      </w:r>
      <w:r>
        <w:rPr>
          <w:rFonts w:ascii="Times New Roman" w:hAnsi="Times New Roman"/>
          <w:sz w:val="26"/>
          <w:szCs w:val="26"/>
        </w:rPr>
        <w:t xml:space="preserve"> to recover NMB costs would create significant contractual and double collection concerns, which would have to be addressed before such a rider could be implemented.  R.D. at 51.</w:t>
      </w:r>
    </w:p>
    <w:p w:rsidR="00744A98" w:rsidRDefault="00744A98" w:rsidP="00D26D41">
      <w:pPr>
        <w:rPr>
          <w:rFonts w:ascii="Times New Roman" w:hAnsi="Times New Roman"/>
          <w:sz w:val="26"/>
          <w:szCs w:val="26"/>
        </w:rPr>
      </w:pPr>
    </w:p>
    <w:p w:rsidR="00744A98" w:rsidRDefault="00744A98"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The ALJ concluded that the record in this case contains no persuasive evidence to support a modification to the present method used by PPL for the collection of transmission and transmission-related costs.  Therefore, the ALJ recommended that RESA</w:t>
      </w:r>
      <w:r w:rsidR="00803C65">
        <w:rPr>
          <w:rFonts w:ascii="Times New Roman" w:hAnsi="Times New Roman"/>
          <w:sz w:val="26"/>
          <w:szCs w:val="26"/>
        </w:rPr>
        <w:t>’</w:t>
      </w:r>
      <w:r>
        <w:rPr>
          <w:rFonts w:ascii="Times New Roman" w:hAnsi="Times New Roman"/>
          <w:sz w:val="26"/>
          <w:szCs w:val="26"/>
        </w:rPr>
        <w:t xml:space="preserve">s and </w:t>
      </w:r>
      <w:proofErr w:type="spellStart"/>
      <w:r>
        <w:rPr>
          <w:rFonts w:ascii="Times New Roman" w:hAnsi="Times New Roman"/>
          <w:sz w:val="26"/>
          <w:szCs w:val="26"/>
        </w:rPr>
        <w:t>ExGen</w:t>
      </w:r>
      <w:r w:rsidR="00803C65">
        <w:rPr>
          <w:rFonts w:ascii="Times New Roman" w:hAnsi="Times New Roman"/>
          <w:sz w:val="26"/>
          <w:szCs w:val="26"/>
        </w:rPr>
        <w:t>’</w:t>
      </w:r>
      <w:r>
        <w:rPr>
          <w:rFonts w:ascii="Times New Roman" w:hAnsi="Times New Roman"/>
          <w:sz w:val="26"/>
          <w:szCs w:val="26"/>
        </w:rPr>
        <w:t>s</w:t>
      </w:r>
      <w:proofErr w:type="spellEnd"/>
      <w:r>
        <w:rPr>
          <w:rFonts w:ascii="Times New Roman" w:hAnsi="Times New Roman"/>
          <w:sz w:val="26"/>
          <w:szCs w:val="26"/>
        </w:rPr>
        <w:t xml:space="preserve"> proposals to require PPL</w:t>
      </w:r>
      <w:r w:rsidR="000821ED">
        <w:rPr>
          <w:rFonts w:ascii="Times New Roman" w:hAnsi="Times New Roman"/>
          <w:sz w:val="26"/>
          <w:szCs w:val="26"/>
        </w:rPr>
        <w:t xml:space="preserve"> to</w:t>
      </w:r>
      <w:r>
        <w:rPr>
          <w:rFonts w:ascii="Times New Roman" w:hAnsi="Times New Roman"/>
          <w:sz w:val="26"/>
          <w:szCs w:val="26"/>
        </w:rPr>
        <w:t xml:space="preserve"> recover NMB charges through a non-</w:t>
      </w:r>
      <w:proofErr w:type="spellStart"/>
      <w:r>
        <w:rPr>
          <w:rFonts w:ascii="Times New Roman" w:hAnsi="Times New Roman"/>
          <w:sz w:val="26"/>
          <w:szCs w:val="26"/>
        </w:rPr>
        <w:t>bypassable</w:t>
      </w:r>
      <w:proofErr w:type="spellEnd"/>
      <w:r>
        <w:rPr>
          <w:rFonts w:ascii="Times New Roman" w:hAnsi="Times New Roman"/>
          <w:sz w:val="26"/>
          <w:szCs w:val="26"/>
        </w:rPr>
        <w:t xml:space="preserve"> rider be denied.  </w:t>
      </w:r>
      <w:r w:rsidRPr="00744A98">
        <w:rPr>
          <w:rFonts w:ascii="Times New Roman" w:hAnsi="Times New Roman"/>
          <w:i/>
          <w:sz w:val="26"/>
          <w:szCs w:val="26"/>
        </w:rPr>
        <w:t>Id</w:t>
      </w:r>
      <w:r>
        <w:rPr>
          <w:rFonts w:ascii="Times New Roman" w:hAnsi="Times New Roman"/>
          <w:sz w:val="26"/>
          <w:szCs w:val="26"/>
        </w:rPr>
        <w:t>.</w:t>
      </w:r>
    </w:p>
    <w:p w:rsidR="00F453E4" w:rsidRPr="009E10EF" w:rsidRDefault="00F453E4" w:rsidP="00D26D41">
      <w:pPr>
        <w:rPr>
          <w:rFonts w:ascii="Times New Roman" w:hAnsi="Times New Roman"/>
          <w:sz w:val="26"/>
          <w:szCs w:val="26"/>
        </w:rPr>
      </w:pPr>
    </w:p>
    <w:p w:rsidR="00BC2900" w:rsidRPr="00C918A5" w:rsidRDefault="00FE6838" w:rsidP="00D26D41">
      <w:pPr>
        <w:rPr>
          <w:rFonts w:ascii="Times New Roman" w:hAnsi="Times New Roman"/>
          <w:b/>
          <w:sz w:val="26"/>
          <w:szCs w:val="26"/>
        </w:rPr>
      </w:pPr>
      <w:r>
        <w:rPr>
          <w:rFonts w:ascii="Times New Roman" w:hAnsi="Times New Roman"/>
          <w:b/>
          <w:sz w:val="28"/>
          <w:szCs w:val="26"/>
        </w:rPr>
        <w:tab/>
      </w:r>
      <w:r w:rsidRPr="00C918A5">
        <w:rPr>
          <w:rFonts w:ascii="Times New Roman" w:hAnsi="Times New Roman"/>
          <w:b/>
          <w:sz w:val="28"/>
          <w:szCs w:val="26"/>
        </w:rPr>
        <w:t>3</w:t>
      </w:r>
      <w:r w:rsidR="00BC2900" w:rsidRPr="00C918A5">
        <w:rPr>
          <w:rFonts w:ascii="Times New Roman" w:hAnsi="Times New Roman"/>
          <w:b/>
          <w:sz w:val="26"/>
          <w:szCs w:val="26"/>
        </w:rPr>
        <w:t>.</w:t>
      </w:r>
      <w:r w:rsidR="00BC2900" w:rsidRPr="00C918A5">
        <w:rPr>
          <w:rFonts w:ascii="Times New Roman" w:hAnsi="Times New Roman"/>
          <w:b/>
          <w:sz w:val="26"/>
          <w:szCs w:val="26"/>
        </w:rPr>
        <w:tab/>
        <w:t>Exceptions and Replies</w:t>
      </w:r>
    </w:p>
    <w:p w:rsidR="00F453E4" w:rsidRDefault="00F453E4" w:rsidP="007E3D5B">
      <w:pPr>
        <w:rPr>
          <w:rFonts w:ascii="Times New Roman" w:hAnsi="Times New Roman"/>
          <w:sz w:val="26"/>
          <w:szCs w:val="26"/>
        </w:rPr>
      </w:pPr>
    </w:p>
    <w:p w:rsidR="003E6044" w:rsidRPr="003E6044" w:rsidRDefault="003E6044" w:rsidP="007E3D5B">
      <w:pPr>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sidRPr="003E6044">
        <w:rPr>
          <w:rFonts w:ascii="Times New Roman" w:hAnsi="Times New Roman"/>
          <w:b/>
          <w:sz w:val="26"/>
          <w:szCs w:val="26"/>
        </w:rPr>
        <w:t>a.</w:t>
      </w:r>
      <w:r w:rsidRPr="003E6044">
        <w:rPr>
          <w:rFonts w:ascii="Times New Roman" w:hAnsi="Times New Roman"/>
          <w:b/>
          <w:sz w:val="26"/>
          <w:szCs w:val="26"/>
        </w:rPr>
        <w:tab/>
        <w:t>RESA</w:t>
      </w:r>
      <w:r w:rsidR="00803C65">
        <w:rPr>
          <w:rFonts w:ascii="Times New Roman" w:hAnsi="Times New Roman"/>
          <w:b/>
          <w:sz w:val="26"/>
          <w:szCs w:val="26"/>
        </w:rPr>
        <w:t>’</w:t>
      </w:r>
      <w:r w:rsidRPr="003E6044">
        <w:rPr>
          <w:rFonts w:ascii="Times New Roman" w:hAnsi="Times New Roman"/>
          <w:b/>
          <w:sz w:val="26"/>
          <w:szCs w:val="26"/>
        </w:rPr>
        <w:t>s Exceptions</w:t>
      </w:r>
    </w:p>
    <w:p w:rsidR="003E6044" w:rsidRPr="00C918A5" w:rsidRDefault="003E6044" w:rsidP="007E3D5B">
      <w:pPr>
        <w:rPr>
          <w:rFonts w:ascii="Times New Roman" w:hAnsi="Times New Roman"/>
          <w:sz w:val="26"/>
          <w:szCs w:val="26"/>
        </w:rPr>
      </w:pPr>
    </w:p>
    <w:p w:rsidR="00C918A5" w:rsidRDefault="00CD561C" w:rsidP="007E3D5B">
      <w:pPr>
        <w:rPr>
          <w:rFonts w:ascii="Times New Roman" w:eastAsia="Calibri" w:hAnsi="Times New Roman"/>
          <w:sz w:val="26"/>
          <w:szCs w:val="26"/>
        </w:rPr>
      </w:pPr>
      <w:r w:rsidRPr="00C918A5">
        <w:rPr>
          <w:rFonts w:ascii="Times New Roman" w:eastAsia="Calibri" w:hAnsi="Times New Roman"/>
          <w:sz w:val="26"/>
          <w:szCs w:val="26"/>
        </w:rPr>
        <w:tab/>
      </w:r>
      <w:r w:rsidRPr="00C918A5">
        <w:rPr>
          <w:rFonts w:ascii="Times New Roman" w:eastAsia="Calibri" w:hAnsi="Times New Roman"/>
          <w:sz w:val="26"/>
          <w:szCs w:val="26"/>
        </w:rPr>
        <w:tab/>
      </w:r>
      <w:r w:rsidR="007E3D5B" w:rsidRPr="007E3D5B">
        <w:rPr>
          <w:rFonts w:ascii="Times New Roman" w:eastAsia="Calibri" w:hAnsi="Times New Roman"/>
          <w:sz w:val="26"/>
          <w:szCs w:val="26"/>
        </w:rPr>
        <w:t>In its Excepti</w:t>
      </w:r>
      <w:r w:rsidRPr="00C918A5">
        <w:rPr>
          <w:rFonts w:ascii="Times New Roman" w:eastAsia="Calibri" w:hAnsi="Times New Roman"/>
          <w:sz w:val="26"/>
          <w:szCs w:val="26"/>
        </w:rPr>
        <w:t>ons, RESA asserts that the ALJ erred</w:t>
      </w:r>
      <w:r w:rsidR="00C918A5">
        <w:rPr>
          <w:rFonts w:ascii="Times New Roman" w:eastAsia="Calibri" w:hAnsi="Times New Roman"/>
          <w:sz w:val="26"/>
          <w:szCs w:val="26"/>
        </w:rPr>
        <w:t xml:space="preserve"> in recommending rejection of</w:t>
      </w:r>
      <w:r w:rsidRPr="00C918A5">
        <w:rPr>
          <w:rFonts w:ascii="Times New Roman" w:eastAsia="Calibri" w:hAnsi="Times New Roman"/>
          <w:sz w:val="26"/>
          <w:szCs w:val="26"/>
        </w:rPr>
        <w:t xml:space="preserve"> its proposal that PPL be required to recover the NMB costs from all distribution customers through a non-</w:t>
      </w:r>
      <w:proofErr w:type="spellStart"/>
      <w:r w:rsidRPr="00C918A5">
        <w:rPr>
          <w:rFonts w:ascii="Times New Roman" w:eastAsia="Calibri" w:hAnsi="Times New Roman"/>
          <w:sz w:val="26"/>
          <w:szCs w:val="26"/>
        </w:rPr>
        <w:t>bypassable</w:t>
      </w:r>
      <w:proofErr w:type="spellEnd"/>
      <w:r w:rsidRPr="00C918A5">
        <w:rPr>
          <w:rFonts w:ascii="Times New Roman" w:eastAsia="Calibri" w:hAnsi="Times New Roman"/>
          <w:sz w:val="26"/>
          <w:szCs w:val="26"/>
        </w:rPr>
        <w:t xml:space="preserve"> surcharge.</w:t>
      </w:r>
      <w:r w:rsidR="00C918A5">
        <w:rPr>
          <w:rFonts w:ascii="Times New Roman" w:eastAsia="Calibri" w:hAnsi="Times New Roman"/>
          <w:sz w:val="26"/>
          <w:szCs w:val="26"/>
        </w:rPr>
        <w:t xml:space="preserve">  RESA opines that the record fully supports rejecting the ALJ</w:t>
      </w:r>
      <w:r w:rsidR="00803C65">
        <w:rPr>
          <w:rFonts w:ascii="Times New Roman" w:eastAsia="Calibri" w:hAnsi="Times New Roman"/>
          <w:sz w:val="26"/>
          <w:szCs w:val="26"/>
        </w:rPr>
        <w:t>’</w:t>
      </w:r>
      <w:r w:rsidR="00C918A5">
        <w:rPr>
          <w:rFonts w:ascii="Times New Roman" w:eastAsia="Calibri" w:hAnsi="Times New Roman"/>
          <w:sz w:val="26"/>
          <w:szCs w:val="26"/>
        </w:rPr>
        <w:t>s recommendation.  RESA Exc. at 9.</w:t>
      </w:r>
    </w:p>
    <w:p w:rsidR="0095181B" w:rsidRDefault="0095181B" w:rsidP="007E3D5B">
      <w:pPr>
        <w:rPr>
          <w:rFonts w:ascii="Times New Roman" w:eastAsia="Calibri" w:hAnsi="Times New Roman"/>
          <w:sz w:val="26"/>
          <w:szCs w:val="26"/>
        </w:rPr>
      </w:pPr>
    </w:p>
    <w:p w:rsidR="0095181B" w:rsidRDefault="0095181B" w:rsidP="007E3D5B">
      <w:pPr>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t>RESA reiterates its position that the amount paid by all customers through a</w:t>
      </w:r>
      <w:r w:rsidRPr="0095181B">
        <w:rPr>
          <w:rFonts w:ascii="Times New Roman" w:eastAsia="Calibri" w:hAnsi="Times New Roman"/>
          <w:sz w:val="26"/>
          <w:szCs w:val="26"/>
        </w:rPr>
        <w:t xml:space="preserve"> </w:t>
      </w:r>
      <w:r>
        <w:rPr>
          <w:rFonts w:ascii="Times New Roman" w:eastAsia="Calibri" w:hAnsi="Times New Roman"/>
          <w:sz w:val="26"/>
          <w:szCs w:val="26"/>
        </w:rPr>
        <w:t>non-</w:t>
      </w:r>
      <w:proofErr w:type="spellStart"/>
      <w:r>
        <w:rPr>
          <w:rFonts w:ascii="Times New Roman" w:eastAsia="Calibri" w:hAnsi="Times New Roman"/>
          <w:sz w:val="26"/>
          <w:szCs w:val="26"/>
        </w:rPr>
        <w:t>bypassable</w:t>
      </w:r>
      <w:proofErr w:type="spellEnd"/>
      <w:r>
        <w:rPr>
          <w:rFonts w:ascii="Times New Roman" w:eastAsia="Calibri" w:hAnsi="Times New Roman"/>
          <w:sz w:val="26"/>
          <w:szCs w:val="26"/>
        </w:rPr>
        <w:t xml:space="preserve"> </w:t>
      </w:r>
      <w:r w:rsidRPr="00C918A5">
        <w:rPr>
          <w:rFonts w:ascii="Times New Roman" w:eastAsia="Calibri" w:hAnsi="Times New Roman"/>
          <w:sz w:val="26"/>
          <w:szCs w:val="26"/>
        </w:rPr>
        <w:t>charge</w:t>
      </w:r>
      <w:r w:rsidR="0091530E">
        <w:rPr>
          <w:rFonts w:ascii="Times New Roman" w:eastAsia="Calibri" w:hAnsi="Times New Roman"/>
          <w:sz w:val="26"/>
          <w:szCs w:val="26"/>
        </w:rPr>
        <w:t xml:space="preserve"> would</w:t>
      </w:r>
      <w:r>
        <w:rPr>
          <w:rFonts w:ascii="Times New Roman" w:eastAsia="Calibri" w:hAnsi="Times New Roman"/>
          <w:sz w:val="26"/>
          <w:szCs w:val="26"/>
        </w:rPr>
        <w:t xml:space="preserve"> be only the actual costs of the NMB charges, because </w:t>
      </w:r>
      <w:r w:rsidR="00FF59B1">
        <w:rPr>
          <w:rFonts w:ascii="Times New Roman" w:eastAsia="Calibri" w:hAnsi="Times New Roman"/>
          <w:sz w:val="26"/>
          <w:szCs w:val="26"/>
        </w:rPr>
        <w:t>there would</w:t>
      </w:r>
      <w:r w:rsidR="0091530E">
        <w:rPr>
          <w:rFonts w:ascii="Times New Roman" w:eastAsia="Calibri" w:hAnsi="Times New Roman"/>
          <w:sz w:val="26"/>
          <w:szCs w:val="26"/>
        </w:rPr>
        <w:t xml:space="preserve"> be no need to factor in a risk premium to account for the unpredictability and </w:t>
      </w:r>
      <w:proofErr w:type="spellStart"/>
      <w:r w:rsidR="00832516">
        <w:rPr>
          <w:rFonts w:ascii="Times New Roman" w:eastAsia="Calibri" w:hAnsi="Times New Roman"/>
          <w:sz w:val="26"/>
          <w:szCs w:val="26"/>
        </w:rPr>
        <w:t>unhedgability</w:t>
      </w:r>
      <w:proofErr w:type="spellEnd"/>
      <w:r w:rsidR="0091530E">
        <w:rPr>
          <w:rFonts w:ascii="Times New Roman" w:eastAsia="Calibri" w:hAnsi="Times New Roman"/>
          <w:sz w:val="26"/>
          <w:szCs w:val="26"/>
        </w:rPr>
        <w:t xml:space="preserve"> </w:t>
      </w:r>
      <w:r w:rsidR="00495078">
        <w:rPr>
          <w:rFonts w:ascii="Times New Roman" w:eastAsia="Calibri" w:hAnsi="Times New Roman"/>
          <w:sz w:val="26"/>
          <w:szCs w:val="26"/>
        </w:rPr>
        <w:t xml:space="preserve">of NMB charges.  </w:t>
      </w:r>
      <w:r w:rsidR="00126B64">
        <w:rPr>
          <w:rFonts w:ascii="Times New Roman" w:eastAsia="Calibri" w:hAnsi="Times New Roman"/>
          <w:sz w:val="26"/>
          <w:szCs w:val="26"/>
        </w:rPr>
        <w:t>RESA asserts</w:t>
      </w:r>
      <w:r w:rsidR="009E4B6E">
        <w:rPr>
          <w:rFonts w:ascii="Times New Roman" w:eastAsia="Calibri" w:hAnsi="Times New Roman"/>
          <w:sz w:val="26"/>
          <w:szCs w:val="26"/>
        </w:rPr>
        <w:t xml:space="preserve"> that</w:t>
      </w:r>
      <w:r w:rsidR="00F87A52">
        <w:rPr>
          <w:rFonts w:ascii="Times New Roman" w:eastAsia="Calibri" w:hAnsi="Times New Roman"/>
          <w:sz w:val="26"/>
          <w:szCs w:val="26"/>
        </w:rPr>
        <w:t xml:space="preserve"> when the EDC assumes the cost of </w:t>
      </w:r>
      <w:r w:rsidR="00F87A52">
        <w:rPr>
          <w:rFonts w:ascii="Times New Roman" w:eastAsia="Calibri" w:hAnsi="Times New Roman"/>
          <w:sz w:val="26"/>
          <w:szCs w:val="26"/>
        </w:rPr>
        <w:lastRenderedPageBreak/>
        <w:t>NMB charges for all load, no customers will need to pay anything beyond the actual costs of these charges, because the EDC is permitted to recover all reasonable costs incurred to provide default service o</w:t>
      </w:r>
      <w:r w:rsidR="00A33044">
        <w:rPr>
          <w:rFonts w:ascii="Times New Roman" w:eastAsia="Calibri" w:hAnsi="Times New Roman"/>
          <w:sz w:val="26"/>
          <w:szCs w:val="26"/>
        </w:rPr>
        <w:t>n a full and current basis</w:t>
      </w:r>
      <w:r w:rsidR="00F87A52">
        <w:rPr>
          <w:rFonts w:ascii="Times New Roman" w:eastAsia="Calibri" w:hAnsi="Times New Roman"/>
          <w:sz w:val="26"/>
          <w:szCs w:val="26"/>
        </w:rPr>
        <w:t xml:space="preserve"> pursuant to a reconcilable adjustment clause.</w:t>
      </w:r>
      <w:r w:rsidR="00D5077A">
        <w:rPr>
          <w:rFonts w:ascii="Times New Roman" w:eastAsia="Calibri" w:hAnsi="Times New Roman"/>
          <w:sz w:val="26"/>
          <w:szCs w:val="26"/>
        </w:rPr>
        <w:t xml:space="preserve">  However, RESA</w:t>
      </w:r>
      <w:r w:rsidR="004B1FBB">
        <w:rPr>
          <w:rFonts w:ascii="Times New Roman" w:eastAsia="Calibri" w:hAnsi="Times New Roman"/>
          <w:sz w:val="26"/>
          <w:szCs w:val="26"/>
        </w:rPr>
        <w:t xml:space="preserve"> contends that under PPL</w:t>
      </w:r>
      <w:r w:rsidR="00803C65">
        <w:rPr>
          <w:rFonts w:ascii="Times New Roman" w:eastAsia="Calibri" w:hAnsi="Times New Roman"/>
          <w:sz w:val="26"/>
          <w:szCs w:val="26"/>
        </w:rPr>
        <w:t>’</w:t>
      </w:r>
      <w:r w:rsidR="004B1FBB">
        <w:rPr>
          <w:rFonts w:ascii="Times New Roman" w:eastAsia="Calibri" w:hAnsi="Times New Roman"/>
          <w:sz w:val="26"/>
          <w:szCs w:val="26"/>
        </w:rPr>
        <w:t>s current</w:t>
      </w:r>
      <w:r w:rsidR="00A33044">
        <w:rPr>
          <w:rFonts w:ascii="Times New Roman" w:eastAsia="Calibri" w:hAnsi="Times New Roman"/>
          <w:sz w:val="26"/>
          <w:szCs w:val="26"/>
        </w:rPr>
        <w:t xml:space="preserve"> and preferred</w:t>
      </w:r>
      <w:r w:rsidR="004B1FBB">
        <w:rPr>
          <w:rFonts w:ascii="Times New Roman" w:eastAsia="Calibri" w:hAnsi="Times New Roman"/>
          <w:sz w:val="26"/>
          <w:szCs w:val="26"/>
        </w:rPr>
        <w:t xml:space="preserve"> approach, EGSs</w:t>
      </w:r>
      <w:r w:rsidR="00CB51A3">
        <w:rPr>
          <w:rFonts w:ascii="Times New Roman" w:eastAsia="Calibri" w:hAnsi="Times New Roman"/>
          <w:sz w:val="26"/>
          <w:szCs w:val="26"/>
        </w:rPr>
        <w:t xml:space="preserve"> are required to determine how to factor risk premium</w:t>
      </w:r>
      <w:r w:rsidR="004B1FBB">
        <w:rPr>
          <w:rFonts w:ascii="Times New Roman" w:eastAsia="Calibri" w:hAnsi="Times New Roman"/>
          <w:sz w:val="26"/>
          <w:szCs w:val="26"/>
        </w:rPr>
        <w:t>s into their retail pricing, while</w:t>
      </w:r>
      <w:r w:rsidR="00CB51A3">
        <w:rPr>
          <w:rFonts w:ascii="Times New Roman" w:eastAsia="Calibri" w:hAnsi="Times New Roman"/>
          <w:sz w:val="26"/>
          <w:szCs w:val="26"/>
        </w:rPr>
        <w:t xml:space="preserve"> wholesale suppliers have no need to include risk premiums in their default service supply bids.  </w:t>
      </w:r>
      <w:r w:rsidR="00100C3A">
        <w:rPr>
          <w:rFonts w:ascii="Times New Roman" w:eastAsia="Calibri" w:hAnsi="Times New Roman"/>
          <w:sz w:val="26"/>
          <w:szCs w:val="26"/>
        </w:rPr>
        <w:t xml:space="preserve">Furthermore, RESA argues that if an EGS does not include a risk premium in the retail price it charges its customers, it may be required to absorb the costs of NMB charges that it was not able to account for in the price.  </w:t>
      </w:r>
      <w:r w:rsidR="00CB51A3">
        <w:rPr>
          <w:rFonts w:ascii="Times New Roman" w:eastAsia="Calibri" w:hAnsi="Times New Roman"/>
          <w:sz w:val="26"/>
          <w:szCs w:val="26"/>
        </w:rPr>
        <w:t>RESA asserts that its propos</w:t>
      </w:r>
      <w:r w:rsidR="00100C3A">
        <w:rPr>
          <w:rFonts w:ascii="Times New Roman" w:eastAsia="Calibri" w:hAnsi="Times New Roman"/>
          <w:sz w:val="26"/>
          <w:szCs w:val="26"/>
        </w:rPr>
        <w:t>al would resolve this inequity</w:t>
      </w:r>
      <w:r w:rsidR="00CB51A3">
        <w:rPr>
          <w:rFonts w:ascii="Times New Roman" w:eastAsia="Calibri" w:hAnsi="Times New Roman"/>
          <w:sz w:val="26"/>
          <w:szCs w:val="26"/>
        </w:rPr>
        <w:t xml:space="preserve"> and ensure that all customers pay only the actual costs of the NMB charges.  </w:t>
      </w:r>
      <w:r w:rsidR="00CB51A3" w:rsidRPr="00CB51A3">
        <w:rPr>
          <w:rFonts w:ascii="Times New Roman" w:eastAsia="Calibri" w:hAnsi="Times New Roman"/>
          <w:i/>
          <w:sz w:val="26"/>
          <w:szCs w:val="26"/>
        </w:rPr>
        <w:t>Id</w:t>
      </w:r>
      <w:r w:rsidR="00CB51A3">
        <w:rPr>
          <w:rFonts w:ascii="Times New Roman" w:eastAsia="Calibri" w:hAnsi="Times New Roman"/>
          <w:sz w:val="26"/>
          <w:szCs w:val="26"/>
        </w:rPr>
        <w:t>. at 10-12.</w:t>
      </w:r>
    </w:p>
    <w:p w:rsidR="00CE6136" w:rsidRDefault="00CE6136" w:rsidP="007E3D5B">
      <w:pPr>
        <w:rPr>
          <w:rFonts w:ascii="Times New Roman" w:eastAsia="Calibri" w:hAnsi="Times New Roman"/>
          <w:sz w:val="26"/>
          <w:szCs w:val="26"/>
        </w:rPr>
      </w:pPr>
    </w:p>
    <w:p w:rsidR="00ED2020" w:rsidRDefault="00CE6136" w:rsidP="007E3D5B">
      <w:pPr>
        <w:rPr>
          <w:rFonts w:ascii="Times New Roman"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t xml:space="preserve">RESA states that the Commission has already concluded that there is no legal bar to requiring PPL to assume the cost responsibility for NMB charges.  </w:t>
      </w:r>
      <w:r w:rsidRPr="00CE6136">
        <w:rPr>
          <w:rFonts w:ascii="Times New Roman" w:eastAsia="Calibri" w:hAnsi="Times New Roman"/>
          <w:i/>
          <w:sz w:val="26"/>
          <w:szCs w:val="26"/>
        </w:rPr>
        <w:t>Id</w:t>
      </w:r>
      <w:r>
        <w:rPr>
          <w:rFonts w:ascii="Times New Roman" w:eastAsia="Calibri" w:hAnsi="Times New Roman"/>
          <w:sz w:val="26"/>
          <w:szCs w:val="26"/>
        </w:rPr>
        <w:t xml:space="preserve">. at 12 (citing </w:t>
      </w:r>
      <w:r w:rsidRPr="008F74FD">
        <w:rPr>
          <w:rFonts w:ascii="Times New Roman" w:hAnsi="Times New Roman"/>
          <w:i/>
          <w:sz w:val="26"/>
          <w:szCs w:val="26"/>
        </w:rPr>
        <w:t>FirstEnergy DSP III Order</w:t>
      </w:r>
      <w:r w:rsidR="00F50F90">
        <w:rPr>
          <w:rFonts w:ascii="Times New Roman" w:hAnsi="Times New Roman"/>
          <w:sz w:val="26"/>
          <w:szCs w:val="26"/>
        </w:rPr>
        <w:t>)</w:t>
      </w:r>
      <w:r w:rsidR="00ED2020">
        <w:rPr>
          <w:rFonts w:ascii="Times New Roman" w:hAnsi="Times New Roman"/>
          <w:i/>
          <w:sz w:val="26"/>
          <w:szCs w:val="26"/>
        </w:rPr>
        <w:t>.</w:t>
      </w:r>
      <w:r>
        <w:rPr>
          <w:rFonts w:ascii="Times New Roman" w:hAnsi="Times New Roman"/>
          <w:i/>
          <w:sz w:val="26"/>
          <w:szCs w:val="26"/>
        </w:rPr>
        <w:t xml:space="preserve"> </w:t>
      </w:r>
      <w:r w:rsidR="00ED2020">
        <w:rPr>
          <w:rFonts w:ascii="Times New Roman" w:hAnsi="Times New Roman"/>
          <w:sz w:val="26"/>
          <w:szCs w:val="26"/>
        </w:rPr>
        <w:t xml:space="preserve"> In contrast, RESA contends that allowing PPL to continue assuming cost responsibility for wholesale suppliers </w:t>
      </w:r>
      <w:r w:rsidR="0097473B">
        <w:rPr>
          <w:rFonts w:ascii="Times New Roman" w:hAnsi="Times New Roman"/>
          <w:sz w:val="26"/>
          <w:szCs w:val="26"/>
        </w:rPr>
        <w:t>but not</w:t>
      </w:r>
      <w:r w:rsidR="00F50F90">
        <w:rPr>
          <w:rFonts w:ascii="Times New Roman" w:hAnsi="Times New Roman"/>
          <w:sz w:val="26"/>
          <w:szCs w:val="26"/>
        </w:rPr>
        <w:t xml:space="preserve"> for</w:t>
      </w:r>
      <w:r w:rsidR="0097473B">
        <w:rPr>
          <w:rFonts w:ascii="Times New Roman" w:hAnsi="Times New Roman"/>
          <w:sz w:val="26"/>
          <w:szCs w:val="26"/>
        </w:rPr>
        <w:t xml:space="preserve"> EGSs</w:t>
      </w:r>
      <w:r w:rsidR="00ED2020">
        <w:rPr>
          <w:rFonts w:ascii="Times New Roman" w:hAnsi="Times New Roman"/>
          <w:sz w:val="26"/>
          <w:szCs w:val="26"/>
        </w:rPr>
        <w:t xml:space="preserve"> is contrary to the Competition Act</w:t>
      </w:r>
      <w:r w:rsidR="003D6CD6">
        <w:rPr>
          <w:rFonts w:ascii="Times New Roman" w:hAnsi="Times New Roman"/>
          <w:sz w:val="26"/>
          <w:szCs w:val="26"/>
        </w:rPr>
        <w:t xml:space="preserve">, which requires that EDCs allow EGSs to utilize the electric </w:t>
      </w:r>
      <w:r w:rsidR="003D6CD6" w:rsidRPr="0097473B">
        <w:rPr>
          <w:rFonts w:ascii="Times New Roman" w:hAnsi="Times New Roman"/>
          <w:sz w:val="26"/>
          <w:szCs w:val="26"/>
        </w:rPr>
        <w:t>transmission and distribution system on a non-</w:t>
      </w:r>
      <w:r w:rsidR="00832516" w:rsidRPr="0097473B">
        <w:rPr>
          <w:rFonts w:ascii="Times New Roman" w:hAnsi="Times New Roman"/>
          <w:sz w:val="26"/>
          <w:szCs w:val="26"/>
        </w:rPr>
        <w:t>discriminatory</w:t>
      </w:r>
      <w:r w:rsidR="003D6CD6" w:rsidRPr="0097473B">
        <w:rPr>
          <w:rFonts w:ascii="Times New Roman" w:hAnsi="Times New Roman"/>
          <w:sz w:val="26"/>
          <w:szCs w:val="26"/>
        </w:rPr>
        <w:t xml:space="preserve"> basis, at rates, terms and conditions</w:t>
      </w:r>
      <w:r w:rsidR="0097473B" w:rsidRPr="0097473B">
        <w:rPr>
          <w:rFonts w:ascii="Times New Roman" w:hAnsi="Times New Roman"/>
          <w:sz w:val="26"/>
          <w:szCs w:val="26"/>
        </w:rPr>
        <w:t xml:space="preserve"> of service that are comparable to the utilities</w:t>
      </w:r>
      <w:r w:rsidR="00803C65">
        <w:rPr>
          <w:rFonts w:ascii="Times New Roman" w:hAnsi="Times New Roman"/>
          <w:sz w:val="26"/>
          <w:szCs w:val="26"/>
        </w:rPr>
        <w:t>’</w:t>
      </w:r>
      <w:r w:rsidR="0097473B" w:rsidRPr="0097473B">
        <w:rPr>
          <w:rFonts w:ascii="Times New Roman" w:hAnsi="Times New Roman"/>
          <w:sz w:val="26"/>
          <w:szCs w:val="26"/>
        </w:rPr>
        <w:t xml:space="preserve"> </w:t>
      </w:r>
      <w:r w:rsidR="00750BF6">
        <w:rPr>
          <w:rFonts w:ascii="Times New Roman" w:hAnsi="Times New Roman"/>
          <w:sz w:val="26"/>
          <w:szCs w:val="26"/>
        </w:rPr>
        <w:t xml:space="preserve">own use of the system.  RESA </w:t>
      </w:r>
      <w:r w:rsidR="0097473B" w:rsidRPr="0097473B">
        <w:rPr>
          <w:rFonts w:ascii="Times New Roman" w:hAnsi="Times New Roman"/>
          <w:sz w:val="26"/>
          <w:szCs w:val="26"/>
        </w:rPr>
        <w:t xml:space="preserve">Exc. at 12 (citing </w:t>
      </w:r>
      <w:r w:rsidR="00ED2020" w:rsidRPr="0097473B">
        <w:rPr>
          <w:rFonts w:ascii="Times New Roman" w:hAnsi="Times New Roman"/>
          <w:sz w:val="26"/>
          <w:szCs w:val="26"/>
        </w:rPr>
        <w:t>66 Pa. C.S. §</w:t>
      </w:r>
      <w:r w:rsidR="0097473B" w:rsidRPr="0097473B">
        <w:rPr>
          <w:rFonts w:ascii="Times New Roman" w:hAnsi="Times New Roman"/>
          <w:sz w:val="26"/>
          <w:szCs w:val="26"/>
        </w:rPr>
        <w:t>§</w:t>
      </w:r>
      <w:r w:rsidR="00ED2020" w:rsidRPr="0097473B">
        <w:rPr>
          <w:rFonts w:ascii="Times New Roman" w:hAnsi="Times New Roman"/>
          <w:sz w:val="26"/>
          <w:szCs w:val="26"/>
        </w:rPr>
        <w:t xml:space="preserve"> 2803 and 2804(6)</w:t>
      </w:r>
      <w:r w:rsidR="00F50F90">
        <w:rPr>
          <w:rFonts w:ascii="Times New Roman" w:hAnsi="Times New Roman"/>
          <w:sz w:val="26"/>
          <w:szCs w:val="26"/>
        </w:rPr>
        <w:t>)</w:t>
      </w:r>
      <w:r w:rsidR="0097473B">
        <w:rPr>
          <w:rFonts w:ascii="Times New Roman" w:hAnsi="Times New Roman"/>
          <w:sz w:val="26"/>
          <w:szCs w:val="26"/>
        </w:rPr>
        <w:t xml:space="preserve">.  According to RESA, if an EDC assumes </w:t>
      </w:r>
      <w:r w:rsidR="00393F8D">
        <w:rPr>
          <w:rFonts w:ascii="Times New Roman" w:hAnsi="Times New Roman"/>
          <w:sz w:val="26"/>
          <w:szCs w:val="26"/>
        </w:rPr>
        <w:t xml:space="preserve">NMB </w:t>
      </w:r>
      <w:r w:rsidR="0097473B">
        <w:rPr>
          <w:rFonts w:ascii="Times New Roman" w:hAnsi="Times New Roman"/>
          <w:sz w:val="26"/>
          <w:szCs w:val="26"/>
        </w:rPr>
        <w:t xml:space="preserve">cost responsibility for wholesale </w:t>
      </w:r>
      <w:r w:rsidR="00393F8D">
        <w:rPr>
          <w:rFonts w:ascii="Times New Roman" w:hAnsi="Times New Roman"/>
          <w:sz w:val="26"/>
          <w:szCs w:val="26"/>
        </w:rPr>
        <w:t xml:space="preserve">default service </w:t>
      </w:r>
      <w:r w:rsidR="0097473B">
        <w:rPr>
          <w:rFonts w:ascii="Times New Roman" w:hAnsi="Times New Roman"/>
          <w:sz w:val="26"/>
          <w:szCs w:val="26"/>
        </w:rPr>
        <w:t>suppliers but no</w:t>
      </w:r>
      <w:r w:rsidR="00393F8D">
        <w:rPr>
          <w:rFonts w:ascii="Times New Roman" w:hAnsi="Times New Roman"/>
          <w:sz w:val="26"/>
          <w:szCs w:val="26"/>
        </w:rPr>
        <w:t xml:space="preserve">t </w:t>
      </w:r>
      <w:r w:rsidR="00F50F90">
        <w:rPr>
          <w:rFonts w:ascii="Times New Roman" w:hAnsi="Times New Roman"/>
          <w:sz w:val="26"/>
          <w:szCs w:val="26"/>
        </w:rPr>
        <w:t xml:space="preserve">for </w:t>
      </w:r>
      <w:r w:rsidR="00393F8D">
        <w:rPr>
          <w:rFonts w:ascii="Times New Roman" w:hAnsi="Times New Roman"/>
          <w:sz w:val="26"/>
          <w:szCs w:val="26"/>
        </w:rPr>
        <w:t>EGSs, then only the wholesale suppliers receive the benefit of the EDCs right to full cost recovery of NMB charges, which amounts to discriminatory access in violation of the Competition Act.  RESA Exc. at 13.</w:t>
      </w:r>
    </w:p>
    <w:p w:rsidR="00DB3E81" w:rsidRDefault="00DB3E81" w:rsidP="007E3D5B">
      <w:pPr>
        <w:rPr>
          <w:rFonts w:ascii="Times New Roman" w:hAnsi="Times New Roman"/>
          <w:sz w:val="26"/>
          <w:szCs w:val="26"/>
        </w:rPr>
      </w:pPr>
    </w:p>
    <w:p w:rsidR="00E477A1" w:rsidRPr="00E477A1" w:rsidRDefault="00DB3E81" w:rsidP="00E477A1">
      <w:pPr>
        <w:rPr>
          <w:rFonts w:ascii="Times New Roman" w:eastAsia="Calibri" w:hAnsi="Times New Roman"/>
          <w:sz w:val="26"/>
          <w:szCs w:val="26"/>
        </w:rPr>
      </w:pPr>
      <w:r>
        <w:rPr>
          <w:rFonts w:ascii="Times New Roman" w:hAnsi="Times New Roman"/>
          <w:sz w:val="26"/>
          <w:szCs w:val="26"/>
        </w:rPr>
        <w:tab/>
      </w:r>
      <w:r>
        <w:rPr>
          <w:rFonts w:ascii="Times New Roman" w:hAnsi="Times New Roman"/>
          <w:sz w:val="26"/>
          <w:szCs w:val="26"/>
        </w:rPr>
        <w:tab/>
        <w:t xml:space="preserve">RESA argues that the only way to satisfy the non-discriminatory access requirements of the Competition Act and to ensure that all customers </w:t>
      </w:r>
      <w:r w:rsidRPr="0048600D">
        <w:rPr>
          <w:rFonts w:ascii="Times New Roman" w:hAnsi="Times New Roman"/>
          <w:sz w:val="26"/>
          <w:szCs w:val="26"/>
        </w:rPr>
        <w:t xml:space="preserve">pay the actual costs of NMB charges is to require the EDC to assume the cost responsibility for these charges on behalf of both the wholesale default service suppliers and the EGSs.  </w:t>
      </w:r>
      <w:r w:rsidR="00550AB4" w:rsidRPr="0048600D">
        <w:rPr>
          <w:rFonts w:ascii="Times New Roman" w:hAnsi="Times New Roman"/>
          <w:i/>
          <w:sz w:val="26"/>
          <w:szCs w:val="26"/>
        </w:rPr>
        <w:t>Id</w:t>
      </w:r>
      <w:r w:rsidR="00550AB4" w:rsidRPr="0048600D">
        <w:rPr>
          <w:rFonts w:ascii="Times New Roman" w:hAnsi="Times New Roman"/>
          <w:sz w:val="26"/>
          <w:szCs w:val="26"/>
        </w:rPr>
        <w:t xml:space="preserve">.  </w:t>
      </w:r>
      <w:r w:rsidR="00E10D32" w:rsidRPr="0048600D">
        <w:rPr>
          <w:rFonts w:ascii="Times New Roman" w:hAnsi="Times New Roman"/>
          <w:sz w:val="26"/>
          <w:szCs w:val="26"/>
        </w:rPr>
        <w:t xml:space="preserve">In the </w:t>
      </w:r>
      <w:r w:rsidR="00E10D32" w:rsidRPr="0048600D">
        <w:rPr>
          <w:rFonts w:ascii="Times New Roman" w:hAnsi="Times New Roman"/>
          <w:sz w:val="26"/>
          <w:szCs w:val="26"/>
        </w:rPr>
        <w:lastRenderedPageBreak/>
        <w:t>alternative</w:t>
      </w:r>
      <w:r w:rsidR="001D598A" w:rsidRPr="0048600D">
        <w:rPr>
          <w:rFonts w:ascii="Times New Roman" w:hAnsi="Times New Roman"/>
          <w:sz w:val="26"/>
          <w:szCs w:val="26"/>
        </w:rPr>
        <w:t xml:space="preserve">, </w:t>
      </w:r>
      <w:r w:rsidR="00DB1515" w:rsidRPr="0048600D">
        <w:rPr>
          <w:rFonts w:ascii="Times New Roman" w:hAnsi="Times New Roman"/>
          <w:sz w:val="26"/>
          <w:szCs w:val="26"/>
        </w:rPr>
        <w:t>RESA recommends that the Commission adopt an approach</w:t>
      </w:r>
      <w:r w:rsidR="0023100D" w:rsidRPr="0048600D">
        <w:rPr>
          <w:rFonts w:ascii="Times New Roman" w:hAnsi="Times New Roman"/>
          <w:sz w:val="26"/>
          <w:szCs w:val="26"/>
        </w:rPr>
        <w:t xml:space="preserve"> similar to that approved in </w:t>
      </w:r>
      <w:r w:rsidR="00DB1515" w:rsidRPr="0048600D">
        <w:rPr>
          <w:rFonts w:ascii="Times New Roman" w:hAnsi="Times New Roman"/>
          <w:i/>
          <w:sz w:val="26"/>
          <w:szCs w:val="26"/>
        </w:rPr>
        <w:t>FirstEner</w:t>
      </w:r>
      <w:r w:rsidR="0023100D" w:rsidRPr="0048600D">
        <w:rPr>
          <w:rFonts w:ascii="Times New Roman" w:hAnsi="Times New Roman"/>
          <w:i/>
          <w:sz w:val="26"/>
          <w:szCs w:val="26"/>
        </w:rPr>
        <w:t>gy DSP III</w:t>
      </w:r>
      <w:r w:rsidR="0048600D" w:rsidRPr="0048600D">
        <w:rPr>
          <w:rFonts w:ascii="Times New Roman" w:hAnsi="Times New Roman"/>
          <w:sz w:val="26"/>
          <w:szCs w:val="26"/>
        </w:rPr>
        <w:t xml:space="preserve">.  </w:t>
      </w:r>
      <w:r w:rsidR="00DB1515" w:rsidRPr="0048600D">
        <w:rPr>
          <w:rFonts w:ascii="Times New Roman" w:hAnsi="Times New Roman"/>
          <w:sz w:val="26"/>
          <w:szCs w:val="26"/>
        </w:rPr>
        <w:t xml:space="preserve">Specifically, RESA recommends that </w:t>
      </w:r>
      <w:r w:rsidR="00E477A1" w:rsidRPr="0048600D">
        <w:rPr>
          <w:rFonts w:ascii="Times New Roman" w:hAnsi="Times New Roman"/>
          <w:sz w:val="26"/>
          <w:szCs w:val="26"/>
        </w:rPr>
        <w:t xml:space="preserve">wholesale default service suppliers be required to assume cost responsibility for NITS, and </w:t>
      </w:r>
      <w:r w:rsidR="00DB1515" w:rsidRPr="0048600D">
        <w:rPr>
          <w:rFonts w:ascii="Times New Roman" w:hAnsi="Times New Roman"/>
          <w:sz w:val="26"/>
          <w:szCs w:val="26"/>
        </w:rPr>
        <w:t xml:space="preserve">PPL </w:t>
      </w:r>
      <w:r w:rsidR="00E477A1" w:rsidRPr="0048600D">
        <w:rPr>
          <w:rFonts w:ascii="Times New Roman" w:hAnsi="Times New Roman"/>
          <w:sz w:val="26"/>
          <w:szCs w:val="26"/>
        </w:rPr>
        <w:t xml:space="preserve">should </w:t>
      </w:r>
      <w:r w:rsidR="00DB1515" w:rsidRPr="0048600D">
        <w:rPr>
          <w:rFonts w:ascii="Times New Roman" w:hAnsi="Times New Roman"/>
          <w:sz w:val="26"/>
          <w:szCs w:val="26"/>
        </w:rPr>
        <w:t xml:space="preserve">be directed to assume cost responsibility for </w:t>
      </w:r>
      <w:r w:rsidR="00E477A1" w:rsidRPr="0048600D">
        <w:rPr>
          <w:rFonts w:ascii="Times New Roman" w:hAnsi="Times New Roman"/>
          <w:sz w:val="26"/>
          <w:szCs w:val="26"/>
        </w:rPr>
        <w:t xml:space="preserve">Transmission Enhancement Costs, Expansion Cost Recovery Costs, Non-firm Point-to-Point Transmission Service Credits, Regional Transmission Expansion Plan, and Generation Deactivation Charges.  </w:t>
      </w:r>
      <w:r w:rsidR="00E477A1" w:rsidRPr="0048600D">
        <w:rPr>
          <w:rFonts w:ascii="Times New Roman" w:hAnsi="Times New Roman"/>
          <w:i/>
          <w:sz w:val="26"/>
          <w:szCs w:val="26"/>
        </w:rPr>
        <w:t>Id</w:t>
      </w:r>
      <w:r w:rsidR="00E477A1" w:rsidRPr="0048600D">
        <w:rPr>
          <w:rFonts w:ascii="Times New Roman" w:hAnsi="Times New Roman"/>
          <w:sz w:val="26"/>
          <w:szCs w:val="26"/>
        </w:rPr>
        <w:t>. at 14</w:t>
      </w:r>
      <w:r w:rsidR="003C6BFD">
        <w:rPr>
          <w:rFonts w:ascii="Times New Roman" w:hAnsi="Times New Roman"/>
          <w:sz w:val="26"/>
          <w:szCs w:val="26"/>
        </w:rPr>
        <w:noBreakHyphen/>
      </w:r>
      <w:r w:rsidR="00E477A1" w:rsidRPr="0048600D">
        <w:rPr>
          <w:rFonts w:ascii="Times New Roman" w:hAnsi="Times New Roman"/>
          <w:sz w:val="26"/>
          <w:szCs w:val="26"/>
        </w:rPr>
        <w:t>15.</w:t>
      </w:r>
    </w:p>
    <w:p w:rsidR="00ED2020" w:rsidRDefault="00ED2020" w:rsidP="007E3D5B">
      <w:pPr>
        <w:rPr>
          <w:rFonts w:ascii="Times New Roman" w:eastAsia="Calibri" w:hAnsi="Times New Roman"/>
          <w:sz w:val="26"/>
          <w:szCs w:val="26"/>
        </w:rPr>
      </w:pPr>
    </w:p>
    <w:p w:rsidR="003E6044" w:rsidRPr="003E6044" w:rsidRDefault="003E6044" w:rsidP="007E3D5B">
      <w:pPr>
        <w:rPr>
          <w:rFonts w:ascii="Times New Roman" w:eastAsia="Calibri" w:hAnsi="Times New Roman"/>
          <w:b/>
          <w:sz w:val="26"/>
          <w:szCs w:val="26"/>
        </w:rPr>
      </w:pPr>
      <w:r>
        <w:rPr>
          <w:rFonts w:ascii="Times New Roman" w:eastAsia="Calibri" w:hAnsi="Times New Roman"/>
          <w:sz w:val="26"/>
          <w:szCs w:val="26"/>
        </w:rPr>
        <w:tab/>
      </w:r>
      <w:r>
        <w:rPr>
          <w:rFonts w:ascii="Times New Roman" w:eastAsia="Calibri" w:hAnsi="Times New Roman"/>
          <w:sz w:val="26"/>
          <w:szCs w:val="26"/>
        </w:rPr>
        <w:tab/>
      </w:r>
      <w:r w:rsidR="00A33044">
        <w:rPr>
          <w:rFonts w:ascii="Times New Roman" w:eastAsia="Calibri" w:hAnsi="Times New Roman"/>
          <w:b/>
          <w:sz w:val="26"/>
          <w:szCs w:val="26"/>
        </w:rPr>
        <w:t>b.</w:t>
      </w:r>
      <w:r w:rsidR="00A33044">
        <w:rPr>
          <w:rFonts w:ascii="Times New Roman" w:eastAsia="Calibri" w:hAnsi="Times New Roman"/>
          <w:b/>
          <w:sz w:val="26"/>
          <w:szCs w:val="26"/>
        </w:rPr>
        <w:tab/>
        <w:t>PPL</w:t>
      </w:r>
      <w:r w:rsidR="00803C65">
        <w:rPr>
          <w:rFonts w:ascii="Times New Roman" w:eastAsia="Calibri" w:hAnsi="Times New Roman"/>
          <w:b/>
          <w:sz w:val="26"/>
          <w:szCs w:val="26"/>
        </w:rPr>
        <w:t>’</w:t>
      </w:r>
      <w:r w:rsidR="00A33044">
        <w:rPr>
          <w:rFonts w:ascii="Times New Roman" w:eastAsia="Calibri" w:hAnsi="Times New Roman"/>
          <w:b/>
          <w:sz w:val="26"/>
          <w:szCs w:val="26"/>
        </w:rPr>
        <w:t>s Reply</w:t>
      </w:r>
      <w:r w:rsidRPr="003E6044">
        <w:rPr>
          <w:rFonts w:ascii="Times New Roman" w:eastAsia="Calibri" w:hAnsi="Times New Roman"/>
          <w:b/>
          <w:sz w:val="26"/>
          <w:szCs w:val="26"/>
        </w:rPr>
        <w:t xml:space="preserve"> to RESA</w:t>
      </w:r>
      <w:r w:rsidR="00803C65">
        <w:rPr>
          <w:rFonts w:ascii="Times New Roman" w:eastAsia="Calibri" w:hAnsi="Times New Roman"/>
          <w:b/>
          <w:sz w:val="26"/>
          <w:szCs w:val="26"/>
        </w:rPr>
        <w:t>’</w:t>
      </w:r>
      <w:r w:rsidRPr="003E6044">
        <w:rPr>
          <w:rFonts w:ascii="Times New Roman" w:eastAsia="Calibri" w:hAnsi="Times New Roman"/>
          <w:b/>
          <w:sz w:val="26"/>
          <w:szCs w:val="26"/>
        </w:rPr>
        <w:t>s Exceptions</w:t>
      </w:r>
    </w:p>
    <w:p w:rsidR="003E6044" w:rsidRPr="0097473B" w:rsidRDefault="003E6044" w:rsidP="007E3D5B">
      <w:pPr>
        <w:rPr>
          <w:rFonts w:ascii="Times New Roman" w:eastAsia="Calibri" w:hAnsi="Times New Roman"/>
          <w:sz w:val="26"/>
          <w:szCs w:val="26"/>
        </w:rPr>
      </w:pPr>
    </w:p>
    <w:p w:rsidR="009E10EF" w:rsidRDefault="009F729A" w:rsidP="007E3D5B">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In its Reply to RESA</w:t>
      </w:r>
      <w:r w:rsidR="00803C65">
        <w:rPr>
          <w:rFonts w:ascii="Times New Roman" w:hAnsi="Times New Roman"/>
          <w:sz w:val="26"/>
          <w:szCs w:val="26"/>
        </w:rPr>
        <w:t>’</w:t>
      </w:r>
      <w:r>
        <w:rPr>
          <w:rFonts w:ascii="Times New Roman" w:hAnsi="Times New Roman"/>
          <w:sz w:val="26"/>
          <w:szCs w:val="26"/>
        </w:rPr>
        <w:t>s Exceptions, PPL asserts that the ALJ properly determined that RESA b</w:t>
      </w:r>
      <w:r w:rsidR="00A751F6">
        <w:rPr>
          <w:rFonts w:ascii="Times New Roman" w:hAnsi="Times New Roman"/>
          <w:sz w:val="26"/>
          <w:szCs w:val="26"/>
        </w:rPr>
        <w:t>ears</w:t>
      </w:r>
      <w:r>
        <w:rPr>
          <w:rFonts w:ascii="Times New Roman" w:hAnsi="Times New Roman"/>
          <w:sz w:val="26"/>
          <w:szCs w:val="26"/>
        </w:rPr>
        <w:t xml:space="preserve"> the burden of proof on this issue, and failed to meet that burden.  PPL R. Exc. at</w:t>
      </w:r>
      <w:r w:rsidR="00A751F6">
        <w:rPr>
          <w:rFonts w:ascii="Times New Roman" w:hAnsi="Times New Roman"/>
          <w:sz w:val="26"/>
          <w:szCs w:val="26"/>
        </w:rPr>
        <w:t xml:space="preserve"> 2.  PPL agrees that because RESA</w:t>
      </w:r>
      <w:r w:rsidR="00803C65">
        <w:rPr>
          <w:rFonts w:ascii="Times New Roman" w:hAnsi="Times New Roman"/>
          <w:sz w:val="26"/>
          <w:szCs w:val="26"/>
        </w:rPr>
        <w:t>’</w:t>
      </w:r>
      <w:r w:rsidR="00A751F6">
        <w:rPr>
          <w:rFonts w:ascii="Times New Roman" w:hAnsi="Times New Roman"/>
          <w:sz w:val="26"/>
          <w:szCs w:val="26"/>
        </w:rPr>
        <w:t>s proposal to shift cost responsibility for NMB charges is entirely outside the proposals set forth in its DSP III program, and because the Commission rejected such a proposal in the Company</w:t>
      </w:r>
      <w:r w:rsidR="00803C65">
        <w:rPr>
          <w:rFonts w:ascii="Times New Roman" w:hAnsi="Times New Roman"/>
          <w:sz w:val="26"/>
          <w:szCs w:val="26"/>
        </w:rPr>
        <w:t>’</w:t>
      </w:r>
      <w:r w:rsidR="00A751F6">
        <w:rPr>
          <w:rFonts w:ascii="Times New Roman" w:hAnsi="Times New Roman"/>
          <w:sz w:val="26"/>
          <w:szCs w:val="26"/>
        </w:rPr>
        <w:t xml:space="preserve">s DSP II proceeding, RESA has the burden to provide credible evidence sufficient to demonstrate a change in circumstances from DSP II to DSP III that would justify a departure from the approach previously approved by the Commission.  PPL R. Exc. at 3-4 (citing </w:t>
      </w:r>
      <w:r w:rsidR="00A751F6" w:rsidRPr="00983C3E">
        <w:rPr>
          <w:rFonts w:ascii="Times New Roman" w:hAnsi="Times New Roman"/>
          <w:i/>
          <w:sz w:val="26"/>
          <w:szCs w:val="26"/>
        </w:rPr>
        <w:t>FirstEnergy DSP III Order</w:t>
      </w:r>
      <w:r w:rsidR="00A751F6">
        <w:rPr>
          <w:rFonts w:ascii="Times New Roman" w:hAnsi="Times New Roman"/>
          <w:sz w:val="26"/>
          <w:szCs w:val="26"/>
        </w:rPr>
        <w:t xml:space="preserve"> at </w:t>
      </w:r>
      <w:r w:rsidR="00983C3E">
        <w:rPr>
          <w:rFonts w:ascii="Times New Roman" w:hAnsi="Times New Roman"/>
          <w:sz w:val="26"/>
          <w:szCs w:val="26"/>
        </w:rPr>
        <w:t>31-32</w:t>
      </w:r>
      <w:r w:rsidR="00EA782F">
        <w:rPr>
          <w:rFonts w:ascii="Times New Roman" w:hAnsi="Times New Roman"/>
          <w:sz w:val="26"/>
          <w:szCs w:val="26"/>
        </w:rPr>
        <w:t>)</w:t>
      </w:r>
      <w:r w:rsidR="00983C3E">
        <w:rPr>
          <w:rFonts w:ascii="Times New Roman" w:hAnsi="Times New Roman"/>
          <w:sz w:val="26"/>
          <w:szCs w:val="26"/>
        </w:rPr>
        <w:t>.</w:t>
      </w:r>
    </w:p>
    <w:p w:rsidR="00666DD7" w:rsidRDefault="00666DD7" w:rsidP="007E3D5B">
      <w:pPr>
        <w:rPr>
          <w:rFonts w:ascii="Times New Roman" w:hAnsi="Times New Roman"/>
          <w:sz w:val="26"/>
          <w:szCs w:val="26"/>
        </w:rPr>
      </w:pPr>
    </w:p>
    <w:p w:rsidR="009E10EF" w:rsidRDefault="00666DD7"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With regard to RESA</w:t>
      </w:r>
      <w:r w:rsidR="00803C65">
        <w:rPr>
          <w:rFonts w:ascii="Times New Roman" w:hAnsi="Times New Roman"/>
          <w:sz w:val="26"/>
          <w:szCs w:val="26"/>
        </w:rPr>
        <w:t>’</w:t>
      </w:r>
      <w:r>
        <w:rPr>
          <w:rFonts w:ascii="Times New Roman" w:hAnsi="Times New Roman"/>
          <w:sz w:val="26"/>
          <w:szCs w:val="26"/>
        </w:rPr>
        <w:t xml:space="preserve">s assertion of the unpredictability of NMB charges, PPL contends that there is no evidence in this proceeding that these charges are any more unpredictable or </w:t>
      </w:r>
      <w:proofErr w:type="spellStart"/>
      <w:r>
        <w:rPr>
          <w:rFonts w:ascii="Times New Roman" w:hAnsi="Times New Roman"/>
          <w:sz w:val="26"/>
          <w:szCs w:val="26"/>
        </w:rPr>
        <w:t>unhedgable</w:t>
      </w:r>
      <w:proofErr w:type="spellEnd"/>
      <w:r>
        <w:rPr>
          <w:rFonts w:ascii="Times New Roman" w:hAnsi="Times New Roman"/>
          <w:sz w:val="26"/>
          <w:szCs w:val="26"/>
        </w:rPr>
        <w:t xml:space="preserve"> than they were in the DSP II proceeding.  PPL further argues that there is no basis in law, fact or policy to support the position that EGSs should bear the costs to serve its own customers only when those costs can be hedged.</w:t>
      </w:r>
      <w:r w:rsidR="00822910">
        <w:rPr>
          <w:rFonts w:ascii="Times New Roman" w:hAnsi="Times New Roman"/>
          <w:sz w:val="26"/>
          <w:szCs w:val="26"/>
        </w:rPr>
        <w:t xml:space="preserve">  Moreover, PPL avers that EGSs have the ability to pass through unanticipated NMB charges to their customers, and that the </w:t>
      </w:r>
      <w:r w:rsidR="00822910" w:rsidRPr="00822910">
        <w:rPr>
          <w:rFonts w:ascii="Times New Roman" w:hAnsi="Times New Roman"/>
          <w:i/>
          <w:sz w:val="26"/>
          <w:szCs w:val="26"/>
        </w:rPr>
        <w:t>Fixed Price Order</w:t>
      </w:r>
      <w:r w:rsidR="00822910">
        <w:rPr>
          <w:rFonts w:ascii="Times New Roman" w:hAnsi="Times New Roman"/>
          <w:sz w:val="26"/>
          <w:szCs w:val="26"/>
        </w:rPr>
        <w:t xml:space="preserve"> does not foreclose this ability as RESA contends.</w:t>
      </w:r>
      <w:r w:rsidR="00B9600A">
        <w:rPr>
          <w:rFonts w:ascii="Times New Roman" w:hAnsi="Times New Roman"/>
          <w:sz w:val="26"/>
          <w:szCs w:val="26"/>
        </w:rPr>
        <w:t xml:space="preserve">  </w:t>
      </w:r>
      <w:r w:rsidR="00822910">
        <w:rPr>
          <w:rFonts w:ascii="Times New Roman" w:hAnsi="Times New Roman"/>
          <w:sz w:val="26"/>
          <w:szCs w:val="26"/>
        </w:rPr>
        <w:t xml:space="preserve">PPL R. Exc. at </w:t>
      </w:r>
      <w:r w:rsidR="00B9600A">
        <w:rPr>
          <w:rFonts w:ascii="Times New Roman" w:hAnsi="Times New Roman"/>
          <w:sz w:val="26"/>
          <w:szCs w:val="26"/>
        </w:rPr>
        <w:t>4-5</w:t>
      </w:r>
      <w:r w:rsidR="00822910">
        <w:rPr>
          <w:rFonts w:ascii="Times New Roman" w:hAnsi="Times New Roman"/>
          <w:sz w:val="26"/>
          <w:szCs w:val="26"/>
        </w:rPr>
        <w:t xml:space="preserve">.  </w:t>
      </w:r>
    </w:p>
    <w:p w:rsidR="009E10EF" w:rsidRDefault="009E10EF" w:rsidP="00D26D41">
      <w:pPr>
        <w:rPr>
          <w:rFonts w:ascii="Times New Roman" w:hAnsi="Times New Roman"/>
          <w:sz w:val="26"/>
          <w:szCs w:val="26"/>
        </w:rPr>
      </w:pPr>
    </w:p>
    <w:p w:rsidR="00955C52" w:rsidRDefault="00B9600A" w:rsidP="00D26D41">
      <w:pPr>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With respect to RESA</w:t>
      </w:r>
      <w:r w:rsidR="00803C65">
        <w:rPr>
          <w:rFonts w:ascii="Times New Roman" w:hAnsi="Times New Roman"/>
          <w:sz w:val="26"/>
          <w:szCs w:val="26"/>
        </w:rPr>
        <w:t>’</w:t>
      </w:r>
      <w:r>
        <w:rPr>
          <w:rFonts w:ascii="Times New Roman" w:hAnsi="Times New Roman"/>
          <w:sz w:val="26"/>
          <w:szCs w:val="26"/>
        </w:rPr>
        <w:t>s contention that its proposal is consistent with the Commission</w:t>
      </w:r>
      <w:r w:rsidR="00803C65">
        <w:rPr>
          <w:rFonts w:ascii="Times New Roman" w:hAnsi="Times New Roman"/>
          <w:sz w:val="26"/>
          <w:szCs w:val="26"/>
        </w:rPr>
        <w:t>’</w:t>
      </w:r>
      <w:r>
        <w:rPr>
          <w:rFonts w:ascii="Times New Roman" w:hAnsi="Times New Roman"/>
          <w:sz w:val="26"/>
          <w:szCs w:val="26"/>
        </w:rPr>
        <w:t xml:space="preserve">s decision in the </w:t>
      </w:r>
      <w:r w:rsidR="0023100D">
        <w:rPr>
          <w:rFonts w:ascii="Times New Roman" w:hAnsi="Times New Roman"/>
          <w:i/>
          <w:sz w:val="26"/>
          <w:szCs w:val="26"/>
        </w:rPr>
        <w:t>FirstEnergy DSP III</w:t>
      </w:r>
      <w:r>
        <w:rPr>
          <w:rFonts w:ascii="Times New Roman" w:hAnsi="Times New Roman"/>
          <w:sz w:val="26"/>
          <w:szCs w:val="26"/>
        </w:rPr>
        <w:t>, PPL asserts that the Commission</w:t>
      </w:r>
      <w:r w:rsidR="00803C65">
        <w:rPr>
          <w:rFonts w:ascii="Times New Roman" w:hAnsi="Times New Roman"/>
          <w:sz w:val="26"/>
          <w:szCs w:val="26"/>
        </w:rPr>
        <w:t>’</w:t>
      </w:r>
      <w:r>
        <w:rPr>
          <w:rFonts w:ascii="Times New Roman" w:hAnsi="Times New Roman"/>
          <w:sz w:val="26"/>
          <w:szCs w:val="26"/>
        </w:rPr>
        <w:t xml:space="preserve">s decision to allow the FirstEnergy Companies to assume cost responsibility for some, but not all, NMB charges was the result of a settlement in that proceeding.  Moreover, PPL argues that the </w:t>
      </w:r>
      <w:r w:rsidRPr="00B9600A">
        <w:rPr>
          <w:rFonts w:ascii="Times New Roman" w:hAnsi="Times New Roman"/>
          <w:i/>
          <w:sz w:val="26"/>
          <w:szCs w:val="26"/>
        </w:rPr>
        <w:t>FirstEnergy DSP III Order</w:t>
      </w:r>
      <w:r>
        <w:rPr>
          <w:rFonts w:ascii="Times New Roman" w:hAnsi="Times New Roman"/>
          <w:sz w:val="26"/>
          <w:szCs w:val="26"/>
        </w:rPr>
        <w:t xml:space="preserve"> </w:t>
      </w:r>
      <w:r w:rsidR="00803C65">
        <w:rPr>
          <w:rFonts w:ascii="Times New Roman" w:hAnsi="Times New Roman"/>
          <w:sz w:val="26"/>
          <w:szCs w:val="26"/>
        </w:rPr>
        <w:t>“</w:t>
      </w:r>
      <w:r>
        <w:rPr>
          <w:rFonts w:ascii="Times New Roman" w:hAnsi="Times New Roman"/>
          <w:sz w:val="26"/>
          <w:szCs w:val="26"/>
        </w:rPr>
        <w:t>unequivocally rejected the very same arguments raised by RESA in this proceeding.</w:t>
      </w:r>
      <w:r w:rsidR="00803C65">
        <w:rPr>
          <w:rFonts w:ascii="Times New Roman" w:hAnsi="Times New Roman"/>
          <w:sz w:val="26"/>
          <w:szCs w:val="26"/>
        </w:rPr>
        <w:t>”</w:t>
      </w:r>
      <w:r>
        <w:rPr>
          <w:rFonts w:ascii="Times New Roman" w:hAnsi="Times New Roman"/>
          <w:sz w:val="26"/>
          <w:szCs w:val="26"/>
        </w:rPr>
        <w:t xml:space="preserve">  </w:t>
      </w:r>
      <w:r w:rsidRPr="00B9600A">
        <w:rPr>
          <w:rFonts w:ascii="Times New Roman" w:hAnsi="Times New Roman"/>
          <w:i/>
          <w:sz w:val="26"/>
          <w:szCs w:val="26"/>
        </w:rPr>
        <w:t>Id</w:t>
      </w:r>
      <w:r>
        <w:rPr>
          <w:rFonts w:ascii="Times New Roman" w:hAnsi="Times New Roman"/>
          <w:sz w:val="26"/>
          <w:szCs w:val="26"/>
        </w:rPr>
        <w:t>. at 5 (citing PPL M.B. at 20; PPL R.B. at 19-20).</w:t>
      </w:r>
      <w:r w:rsidR="00955C52">
        <w:rPr>
          <w:rFonts w:ascii="Times New Roman" w:hAnsi="Times New Roman"/>
          <w:sz w:val="26"/>
          <w:szCs w:val="26"/>
        </w:rPr>
        <w:t xml:space="preserve">  In addition, PPL contends that RESA failed to provide any details regarding how its proposal would be implemented in this proceeding, including the methodology for recovering NMB costs through the proposed non-</w:t>
      </w:r>
      <w:proofErr w:type="spellStart"/>
      <w:r w:rsidR="00955C52">
        <w:rPr>
          <w:rFonts w:ascii="Times New Roman" w:hAnsi="Times New Roman"/>
          <w:sz w:val="26"/>
          <w:szCs w:val="26"/>
        </w:rPr>
        <w:t>bypassable</w:t>
      </w:r>
      <w:proofErr w:type="spellEnd"/>
      <w:r w:rsidR="00955C52">
        <w:rPr>
          <w:rFonts w:ascii="Times New Roman" w:hAnsi="Times New Roman"/>
          <w:sz w:val="26"/>
          <w:szCs w:val="26"/>
        </w:rPr>
        <w:t xml:space="preserve"> rider.  PPL argues that without such information, it is not possible to determine to what extent the proposal might shift costs between shopping and non-shopping customers.  PPL R. Exc. at 5-6.</w:t>
      </w:r>
    </w:p>
    <w:p w:rsidR="00955C52" w:rsidRDefault="00955C52" w:rsidP="00D26D41">
      <w:pPr>
        <w:rPr>
          <w:rFonts w:ascii="Times New Roman" w:hAnsi="Times New Roman"/>
          <w:sz w:val="26"/>
          <w:szCs w:val="26"/>
        </w:rPr>
      </w:pPr>
    </w:p>
    <w:p w:rsidR="00955C52" w:rsidRDefault="00FE558E"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PPL also dismisses RESA</w:t>
      </w:r>
      <w:r w:rsidR="00803C65">
        <w:rPr>
          <w:rFonts w:ascii="Times New Roman" w:hAnsi="Times New Roman"/>
          <w:sz w:val="26"/>
          <w:szCs w:val="26"/>
        </w:rPr>
        <w:t>’</w:t>
      </w:r>
      <w:r>
        <w:rPr>
          <w:rFonts w:ascii="Times New Roman" w:hAnsi="Times New Roman"/>
          <w:sz w:val="26"/>
          <w:szCs w:val="26"/>
        </w:rPr>
        <w:t>s argument that the Company</w:t>
      </w:r>
      <w:r w:rsidR="00803C65">
        <w:rPr>
          <w:rFonts w:ascii="Times New Roman" w:hAnsi="Times New Roman"/>
          <w:sz w:val="26"/>
          <w:szCs w:val="26"/>
        </w:rPr>
        <w:t>’</w:t>
      </w:r>
      <w:r>
        <w:rPr>
          <w:rFonts w:ascii="Times New Roman" w:hAnsi="Times New Roman"/>
          <w:sz w:val="26"/>
          <w:szCs w:val="26"/>
        </w:rPr>
        <w:t>s different treatment of NMB charges between EGS</w:t>
      </w:r>
      <w:r w:rsidR="001D598A">
        <w:rPr>
          <w:rFonts w:ascii="Times New Roman" w:hAnsi="Times New Roman"/>
          <w:sz w:val="26"/>
          <w:szCs w:val="26"/>
        </w:rPr>
        <w:t>s and wholesale default suppliers</w:t>
      </w:r>
      <w:r>
        <w:rPr>
          <w:rFonts w:ascii="Times New Roman" w:hAnsi="Times New Roman"/>
          <w:sz w:val="26"/>
          <w:szCs w:val="26"/>
        </w:rPr>
        <w:t xml:space="preserve"> is discriminatory, in violation of the Competition Act.  PPL argues that EGSs and wholesale suppliers are not similarly situated, because EGSs provide retail competitive supply to end-use shopping customers, while wholesale suppliers do not serve end-use customers, but provide wholesale electric supply to EDCs that serve as the default supply provider to non-shopping customers.</w:t>
      </w:r>
      <w:r w:rsidR="003B5C33">
        <w:rPr>
          <w:rFonts w:ascii="Times New Roman" w:hAnsi="Times New Roman"/>
          <w:sz w:val="26"/>
          <w:szCs w:val="26"/>
        </w:rPr>
        <w:t xml:space="preserve">  Thus, PPL contends that the circumstances under which these entities provide electric generation supply, and the contracts, risks, premiums, terms and conditions involved in these differing transactions, are not at all similar.  Therefore, PPL states that different treatment of these different entities cannot be seen as discriminatory, as RESA suggests.  </w:t>
      </w:r>
      <w:r w:rsidR="003B5C33" w:rsidRPr="003B5C33">
        <w:rPr>
          <w:rFonts w:ascii="Times New Roman" w:hAnsi="Times New Roman"/>
          <w:i/>
          <w:sz w:val="26"/>
          <w:szCs w:val="26"/>
        </w:rPr>
        <w:t>Id</w:t>
      </w:r>
      <w:r w:rsidR="003B5C33">
        <w:rPr>
          <w:rFonts w:ascii="Times New Roman" w:hAnsi="Times New Roman"/>
          <w:sz w:val="26"/>
          <w:szCs w:val="26"/>
        </w:rPr>
        <w:t>. at 7-8.</w:t>
      </w:r>
    </w:p>
    <w:p w:rsidR="00310DC0" w:rsidRDefault="00310DC0" w:rsidP="00D26D41">
      <w:pPr>
        <w:rPr>
          <w:rFonts w:ascii="Times New Roman" w:hAnsi="Times New Roman"/>
          <w:sz w:val="26"/>
          <w:szCs w:val="26"/>
        </w:rPr>
      </w:pPr>
    </w:p>
    <w:p w:rsidR="00310DC0" w:rsidRDefault="00310DC0"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PPL further contends that Sections 2803 and 2804(6) of the Code, which RESA cites in support of its unlawful discrimination argument, have nothing to do with NMB charges.  PPL argues that these sections are not about access to the Company</w:t>
      </w:r>
      <w:r w:rsidR="00803C65">
        <w:rPr>
          <w:rFonts w:ascii="Times New Roman" w:hAnsi="Times New Roman"/>
          <w:sz w:val="26"/>
          <w:szCs w:val="26"/>
        </w:rPr>
        <w:t>’</w:t>
      </w:r>
      <w:r>
        <w:rPr>
          <w:rFonts w:ascii="Times New Roman" w:hAnsi="Times New Roman"/>
          <w:sz w:val="26"/>
          <w:szCs w:val="26"/>
        </w:rPr>
        <w:t>s default service cost recovery mechanism, but about equal and open access to its transmission and distribution systems</w:t>
      </w:r>
      <w:r w:rsidR="00993F05">
        <w:rPr>
          <w:rFonts w:ascii="Times New Roman" w:hAnsi="Times New Roman"/>
          <w:sz w:val="26"/>
          <w:szCs w:val="26"/>
        </w:rPr>
        <w:t xml:space="preserve">.  PPL avers that there is nothing on the record in </w:t>
      </w:r>
      <w:r w:rsidR="00993F05">
        <w:rPr>
          <w:rFonts w:ascii="Times New Roman" w:hAnsi="Times New Roman"/>
          <w:sz w:val="26"/>
          <w:szCs w:val="26"/>
        </w:rPr>
        <w:lastRenderedPageBreak/>
        <w:t>this proceeding to suggest that EGSs do not have equal and open access to PPL</w:t>
      </w:r>
      <w:r w:rsidR="00803C65">
        <w:rPr>
          <w:rFonts w:ascii="Times New Roman" w:hAnsi="Times New Roman"/>
          <w:sz w:val="26"/>
          <w:szCs w:val="26"/>
        </w:rPr>
        <w:t>’</w:t>
      </w:r>
      <w:r w:rsidR="00993F05">
        <w:rPr>
          <w:rFonts w:ascii="Times New Roman" w:hAnsi="Times New Roman"/>
          <w:sz w:val="26"/>
          <w:szCs w:val="26"/>
        </w:rPr>
        <w:t>s transmission and distribution systems.</w:t>
      </w:r>
      <w:r w:rsidR="0061512E">
        <w:rPr>
          <w:rFonts w:ascii="Times New Roman" w:hAnsi="Times New Roman"/>
          <w:sz w:val="26"/>
          <w:szCs w:val="26"/>
        </w:rPr>
        <w:t xml:space="preserve">  </w:t>
      </w:r>
      <w:r w:rsidR="0061512E" w:rsidRPr="0061512E">
        <w:rPr>
          <w:rFonts w:ascii="Times New Roman" w:hAnsi="Times New Roman"/>
          <w:i/>
          <w:sz w:val="26"/>
          <w:szCs w:val="26"/>
        </w:rPr>
        <w:t>Id</w:t>
      </w:r>
      <w:r w:rsidR="0061512E">
        <w:rPr>
          <w:rFonts w:ascii="Times New Roman" w:hAnsi="Times New Roman"/>
          <w:sz w:val="26"/>
          <w:szCs w:val="26"/>
        </w:rPr>
        <w:t>. at 8.</w:t>
      </w:r>
    </w:p>
    <w:p w:rsidR="0064099A" w:rsidRDefault="0064099A" w:rsidP="00D26D41">
      <w:pPr>
        <w:rPr>
          <w:rFonts w:ascii="Times New Roman" w:hAnsi="Times New Roman"/>
          <w:sz w:val="26"/>
          <w:szCs w:val="26"/>
        </w:rPr>
      </w:pPr>
    </w:p>
    <w:p w:rsidR="0064099A" w:rsidRDefault="0064099A"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PPL also argues that, under PJM rules, all LSEs are charged market-based and NMB costs base on each LSE</w:t>
      </w:r>
      <w:r w:rsidR="00803C65">
        <w:rPr>
          <w:rFonts w:ascii="Times New Roman" w:hAnsi="Times New Roman"/>
          <w:sz w:val="26"/>
          <w:szCs w:val="26"/>
        </w:rPr>
        <w:t>’</w:t>
      </w:r>
      <w:r>
        <w:rPr>
          <w:rFonts w:ascii="Times New Roman" w:hAnsi="Times New Roman"/>
          <w:sz w:val="26"/>
          <w:szCs w:val="26"/>
        </w:rPr>
        <w:t>s share of the load served, and that each LSE is obligate to pay those costs.  PPL asserts that it is undisputed that EGSs are the LSEs for shopping customers and PPL is the LSE for default service customers, and therefore, the EGS must bear the costs for the shopping load it serves, and PPL must bear the costs for the default service load it serves.</w:t>
      </w:r>
      <w:r w:rsidR="00731C7C">
        <w:rPr>
          <w:rFonts w:ascii="Times New Roman" w:hAnsi="Times New Roman"/>
          <w:sz w:val="26"/>
          <w:szCs w:val="26"/>
        </w:rPr>
        <w:t xml:space="preserve">  In addition, PPL contends that the Commission previously conc</w:t>
      </w:r>
      <w:r w:rsidR="00786BE9">
        <w:rPr>
          <w:rFonts w:ascii="Times New Roman" w:hAnsi="Times New Roman"/>
          <w:sz w:val="26"/>
          <w:szCs w:val="26"/>
        </w:rPr>
        <w:t xml:space="preserve">luded in </w:t>
      </w:r>
      <w:r w:rsidR="00786BE9" w:rsidRPr="00786BE9">
        <w:rPr>
          <w:rFonts w:ascii="Times New Roman" w:hAnsi="Times New Roman"/>
          <w:i/>
          <w:sz w:val="26"/>
          <w:szCs w:val="26"/>
        </w:rPr>
        <w:t>PPL DSP II</w:t>
      </w:r>
      <w:r w:rsidR="00731C7C">
        <w:rPr>
          <w:rFonts w:ascii="Times New Roman" w:hAnsi="Times New Roman"/>
          <w:sz w:val="26"/>
          <w:szCs w:val="26"/>
        </w:rPr>
        <w:t xml:space="preserve"> that NMB costs should be recovered from customers by the entity that serves the customers.  </w:t>
      </w:r>
      <w:r w:rsidR="00731C7C" w:rsidRPr="00731C7C">
        <w:rPr>
          <w:rFonts w:ascii="Times New Roman" w:hAnsi="Times New Roman"/>
          <w:i/>
          <w:sz w:val="26"/>
          <w:szCs w:val="26"/>
        </w:rPr>
        <w:t>Id</w:t>
      </w:r>
      <w:r w:rsidR="00731C7C">
        <w:rPr>
          <w:rFonts w:ascii="Times New Roman" w:hAnsi="Times New Roman"/>
          <w:sz w:val="26"/>
          <w:szCs w:val="26"/>
        </w:rPr>
        <w:t xml:space="preserve">. at 9 (citing </w:t>
      </w:r>
      <w:r w:rsidR="00731C7C" w:rsidRPr="00731C7C">
        <w:rPr>
          <w:rFonts w:ascii="Times New Roman" w:hAnsi="Times New Roman"/>
          <w:i/>
          <w:sz w:val="26"/>
          <w:szCs w:val="26"/>
        </w:rPr>
        <w:t>PPL DSP II Order</w:t>
      </w:r>
      <w:r w:rsidR="00731C7C">
        <w:rPr>
          <w:rFonts w:ascii="Times New Roman" w:hAnsi="Times New Roman"/>
          <w:sz w:val="26"/>
          <w:szCs w:val="26"/>
        </w:rPr>
        <w:t xml:space="preserve"> at 85).</w:t>
      </w:r>
    </w:p>
    <w:p w:rsidR="00531AF4" w:rsidRDefault="00531AF4" w:rsidP="00D26D41">
      <w:pPr>
        <w:rPr>
          <w:rFonts w:ascii="Times New Roman" w:hAnsi="Times New Roman"/>
          <w:sz w:val="26"/>
          <w:szCs w:val="26"/>
        </w:rPr>
      </w:pPr>
    </w:p>
    <w:p w:rsidR="00531AF4" w:rsidRPr="00B9600A" w:rsidRDefault="00531AF4"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Finally, PPL opposes RESA</w:t>
      </w:r>
      <w:r w:rsidR="00803C65">
        <w:rPr>
          <w:rFonts w:ascii="Times New Roman" w:hAnsi="Times New Roman"/>
          <w:sz w:val="26"/>
          <w:szCs w:val="26"/>
        </w:rPr>
        <w:t>’</w:t>
      </w:r>
      <w:r>
        <w:rPr>
          <w:rFonts w:ascii="Times New Roman" w:hAnsi="Times New Roman"/>
          <w:sz w:val="26"/>
          <w:szCs w:val="26"/>
        </w:rPr>
        <w:t>s alternative proposal that the Commission adopt an approach</w:t>
      </w:r>
      <w:r w:rsidR="00C70657">
        <w:rPr>
          <w:rFonts w:ascii="Times New Roman" w:hAnsi="Times New Roman"/>
          <w:sz w:val="26"/>
          <w:szCs w:val="26"/>
        </w:rPr>
        <w:t xml:space="preserve"> similar to that approved in</w:t>
      </w:r>
      <w:r>
        <w:rPr>
          <w:rFonts w:ascii="Times New Roman" w:hAnsi="Times New Roman"/>
          <w:sz w:val="26"/>
          <w:szCs w:val="26"/>
        </w:rPr>
        <w:t xml:space="preserve"> </w:t>
      </w:r>
      <w:r w:rsidRPr="00C70657">
        <w:rPr>
          <w:rFonts w:ascii="Times New Roman" w:hAnsi="Times New Roman"/>
          <w:i/>
          <w:sz w:val="26"/>
          <w:szCs w:val="26"/>
        </w:rPr>
        <w:t>FirstEnergy DSP III</w:t>
      </w:r>
      <w:r w:rsidR="00C70657">
        <w:rPr>
          <w:rFonts w:ascii="Times New Roman" w:hAnsi="Times New Roman"/>
          <w:sz w:val="26"/>
          <w:szCs w:val="26"/>
        </w:rPr>
        <w:t xml:space="preserve"> </w:t>
      </w:r>
      <w:r>
        <w:rPr>
          <w:rFonts w:ascii="Times New Roman" w:hAnsi="Times New Roman"/>
          <w:sz w:val="26"/>
          <w:szCs w:val="26"/>
        </w:rPr>
        <w:t>with regard to NMB charges</w:t>
      </w:r>
      <w:r w:rsidR="00FB17D4">
        <w:rPr>
          <w:rFonts w:ascii="Times New Roman" w:hAnsi="Times New Roman"/>
          <w:sz w:val="26"/>
          <w:szCs w:val="26"/>
        </w:rPr>
        <w:t>, in</w:t>
      </w:r>
      <w:r w:rsidR="00031C33">
        <w:rPr>
          <w:rFonts w:ascii="Times New Roman" w:hAnsi="Times New Roman"/>
          <w:sz w:val="26"/>
          <w:szCs w:val="26"/>
        </w:rPr>
        <w:t xml:space="preserve"> which the EDC</w:t>
      </w:r>
      <w:r w:rsidR="00FB17D4">
        <w:rPr>
          <w:rFonts w:ascii="Times New Roman" w:hAnsi="Times New Roman"/>
          <w:sz w:val="26"/>
          <w:szCs w:val="26"/>
        </w:rPr>
        <w:t xml:space="preserve"> would assume cost responsibility for some, but not all, NMB charges</w:t>
      </w:r>
      <w:r>
        <w:rPr>
          <w:rFonts w:ascii="Times New Roman" w:hAnsi="Times New Roman"/>
          <w:sz w:val="26"/>
          <w:szCs w:val="26"/>
        </w:rPr>
        <w:t>.</w:t>
      </w:r>
      <w:r w:rsidR="00FB17D4">
        <w:rPr>
          <w:rFonts w:ascii="Times New Roman" w:hAnsi="Times New Roman"/>
          <w:sz w:val="26"/>
          <w:szCs w:val="26"/>
        </w:rPr>
        <w:t xml:space="preserve">  PPL points out that the Commission</w:t>
      </w:r>
      <w:r w:rsidR="00803C65">
        <w:rPr>
          <w:rFonts w:ascii="Times New Roman" w:hAnsi="Times New Roman"/>
          <w:sz w:val="26"/>
          <w:szCs w:val="26"/>
        </w:rPr>
        <w:t>’</w:t>
      </w:r>
      <w:r w:rsidR="00FB17D4">
        <w:rPr>
          <w:rFonts w:ascii="Times New Roman" w:hAnsi="Times New Roman"/>
          <w:sz w:val="26"/>
          <w:szCs w:val="26"/>
        </w:rPr>
        <w:t>s decision in that proceeding was the result of a settlement, and argues that</w:t>
      </w:r>
      <w:r w:rsidR="004F4497">
        <w:rPr>
          <w:rFonts w:ascii="Times New Roman" w:hAnsi="Times New Roman"/>
          <w:sz w:val="26"/>
          <w:szCs w:val="26"/>
        </w:rPr>
        <w:t xml:space="preserve"> the </w:t>
      </w:r>
      <w:r w:rsidR="00FB17D4">
        <w:rPr>
          <w:rFonts w:ascii="Times New Roman" w:hAnsi="Times New Roman"/>
          <w:sz w:val="26"/>
          <w:szCs w:val="26"/>
        </w:rPr>
        <w:t>FirstEnergy Companies</w:t>
      </w:r>
      <w:r w:rsidR="00803C65">
        <w:rPr>
          <w:rFonts w:ascii="Times New Roman" w:hAnsi="Times New Roman"/>
          <w:sz w:val="26"/>
          <w:szCs w:val="26"/>
        </w:rPr>
        <w:t>’</w:t>
      </w:r>
      <w:r w:rsidR="00FB17D4">
        <w:rPr>
          <w:rFonts w:ascii="Times New Roman" w:hAnsi="Times New Roman"/>
          <w:sz w:val="26"/>
          <w:szCs w:val="26"/>
        </w:rPr>
        <w:t xml:space="preserve"> </w:t>
      </w:r>
      <w:r w:rsidR="004F4497">
        <w:rPr>
          <w:rFonts w:ascii="Times New Roman" w:hAnsi="Times New Roman"/>
          <w:sz w:val="26"/>
          <w:szCs w:val="26"/>
        </w:rPr>
        <w:t>agreement to adopt that approach does not mean it is acceptable for all other EDCs.</w:t>
      </w:r>
      <w:r w:rsidR="00AD5F08">
        <w:rPr>
          <w:rFonts w:ascii="Times New Roman" w:hAnsi="Times New Roman"/>
          <w:sz w:val="26"/>
          <w:szCs w:val="26"/>
        </w:rPr>
        <w:t xml:space="preserve">  PPL R. Exc. at 10.  </w:t>
      </w:r>
      <w:r w:rsidR="006F181E">
        <w:rPr>
          <w:rFonts w:ascii="Times New Roman" w:hAnsi="Times New Roman"/>
          <w:sz w:val="26"/>
          <w:szCs w:val="26"/>
        </w:rPr>
        <w:t>PPL further notes that the settlement petition in that proceeding clearly indicate</w:t>
      </w:r>
      <w:r w:rsidR="004912E6">
        <w:rPr>
          <w:rFonts w:ascii="Times New Roman" w:hAnsi="Times New Roman"/>
          <w:sz w:val="26"/>
          <w:szCs w:val="26"/>
        </w:rPr>
        <w:t>d</w:t>
      </w:r>
      <w:r w:rsidR="006F181E">
        <w:rPr>
          <w:rFonts w:ascii="Times New Roman" w:hAnsi="Times New Roman"/>
          <w:sz w:val="26"/>
          <w:szCs w:val="26"/>
        </w:rPr>
        <w:t xml:space="preserve"> that it </w:t>
      </w:r>
      <w:r w:rsidR="004912E6">
        <w:rPr>
          <w:rFonts w:ascii="Times New Roman" w:hAnsi="Times New Roman"/>
          <w:sz w:val="26"/>
          <w:szCs w:val="26"/>
        </w:rPr>
        <w:t>was</w:t>
      </w:r>
      <w:r w:rsidR="006F181E">
        <w:rPr>
          <w:rFonts w:ascii="Times New Roman" w:hAnsi="Times New Roman"/>
          <w:sz w:val="26"/>
          <w:szCs w:val="26"/>
        </w:rPr>
        <w:t xml:space="preserve"> not binding on any part</w:t>
      </w:r>
      <w:r w:rsidR="004912E6">
        <w:rPr>
          <w:rFonts w:ascii="Times New Roman" w:hAnsi="Times New Roman"/>
          <w:sz w:val="26"/>
          <w:szCs w:val="26"/>
        </w:rPr>
        <w:t>y</w:t>
      </w:r>
      <w:r w:rsidR="006F181E">
        <w:rPr>
          <w:rFonts w:ascii="Times New Roman" w:hAnsi="Times New Roman"/>
          <w:sz w:val="26"/>
          <w:szCs w:val="26"/>
        </w:rPr>
        <w:t>, and asserts that it is certainly not binding on PPL, which was not a party to that settlement.</w:t>
      </w:r>
      <w:r w:rsidR="00AC4FF5">
        <w:rPr>
          <w:rFonts w:ascii="Times New Roman" w:hAnsi="Times New Roman"/>
          <w:sz w:val="26"/>
          <w:szCs w:val="26"/>
        </w:rPr>
        <w:t xml:space="preserve"> </w:t>
      </w:r>
      <w:r w:rsidR="006F181E">
        <w:rPr>
          <w:rFonts w:ascii="Times New Roman" w:hAnsi="Times New Roman"/>
          <w:sz w:val="26"/>
          <w:szCs w:val="26"/>
        </w:rPr>
        <w:t xml:space="preserve"> </w:t>
      </w:r>
      <w:r w:rsidR="00AC4FF5">
        <w:rPr>
          <w:rFonts w:ascii="Times New Roman" w:hAnsi="Times New Roman"/>
          <w:sz w:val="26"/>
          <w:szCs w:val="26"/>
        </w:rPr>
        <w:t>Moreover, PPL contends that RESA</w:t>
      </w:r>
      <w:r w:rsidR="00803C65">
        <w:rPr>
          <w:rFonts w:ascii="Times New Roman" w:hAnsi="Times New Roman"/>
          <w:sz w:val="26"/>
          <w:szCs w:val="26"/>
        </w:rPr>
        <w:t>’</w:t>
      </w:r>
      <w:r w:rsidR="00AC4FF5">
        <w:rPr>
          <w:rFonts w:ascii="Times New Roman" w:hAnsi="Times New Roman"/>
          <w:sz w:val="26"/>
          <w:szCs w:val="26"/>
        </w:rPr>
        <w:t xml:space="preserve">s proposal is not consistent with the </w:t>
      </w:r>
      <w:r w:rsidR="00AC4FF5" w:rsidRPr="00AC4FF5">
        <w:rPr>
          <w:rFonts w:ascii="Times New Roman" w:hAnsi="Times New Roman"/>
          <w:i/>
          <w:sz w:val="26"/>
          <w:szCs w:val="26"/>
        </w:rPr>
        <w:t>FirstEnergy DSP III Order</w:t>
      </w:r>
      <w:r w:rsidR="00AC4FF5">
        <w:rPr>
          <w:rFonts w:ascii="Times New Roman" w:hAnsi="Times New Roman"/>
          <w:sz w:val="26"/>
          <w:szCs w:val="26"/>
        </w:rPr>
        <w:t>, which</w:t>
      </w:r>
      <w:r w:rsidR="00E727CD">
        <w:rPr>
          <w:rFonts w:ascii="Times New Roman" w:hAnsi="Times New Roman"/>
          <w:sz w:val="26"/>
          <w:szCs w:val="26"/>
        </w:rPr>
        <w:t xml:space="preserve">, according to PPL, </w:t>
      </w:r>
      <w:r w:rsidR="00AC4FF5">
        <w:rPr>
          <w:rFonts w:ascii="Times New Roman" w:hAnsi="Times New Roman"/>
          <w:sz w:val="26"/>
          <w:szCs w:val="26"/>
        </w:rPr>
        <w:t>rejected RESA</w:t>
      </w:r>
      <w:r w:rsidR="00803C65">
        <w:rPr>
          <w:rFonts w:ascii="Times New Roman" w:hAnsi="Times New Roman"/>
          <w:sz w:val="26"/>
          <w:szCs w:val="26"/>
        </w:rPr>
        <w:t>’</w:t>
      </w:r>
      <w:r w:rsidR="00AC4FF5">
        <w:rPr>
          <w:rFonts w:ascii="Times New Roman" w:hAnsi="Times New Roman"/>
          <w:sz w:val="26"/>
          <w:szCs w:val="26"/>
        </w:rPr>
        <w:t xml:space="preserve">s argument that the unpredictable and </w:t>
      </w:r>
      <w:proofErr w:type="spellStart"/>
      <w:r w:rsidR="00AC4FF5">
        <w:rPr>
          <w:rFonts w:ascii="Times New Roman" w:hAnsi="Times New Roman"/>
          <w:sz w:val="26"/>
          <w:szCs w:val="26"/>
        </w:rPr>
        <w:t>unhedgable</w:t>
      </w:r>
      <w:proofErr w:type="spellEnd"/>
      <w:r w:rsidR="00AC4FF5">
        <w:rPr>
          <w:rFonts w:ascii="Times New Roman" w:hAnsi="Times New Roman"/>
          <w:sz w:val="26"/>
          <w:szCs w:val="26"/>
        </w:rPr>
        <w:t xml:space="preserve"> nature of NMB charges, as well as the </w:t>
      </w:r>
      <w:r w:rsidR="00AC4FF5" w:rsidRPr="00AC4FF5">
        <w:rPr>
          <w:rFonts w:ascii="Times New Roman" w:hAnsi="Times New Roman"/>
          <w:i/>
          <w:sz w:val="26"/>
          <w:szCs w:val="26"/>
        </w:rPr>
        <w:t>Fixed Price Order</w:t>
      </w:r>
      <w:r w:rsidR="00AC4FF5">
        <w:rPr>
          <w:rFonts w:ascii="Times New Roman" w:hAnsi="Times New Roman"/>
          <w:sz w:val="26"/>
          <w:szCs w:val="26"/>
        </w:rPr>
        <w:t>, justified the non-</w:t>
      </w:r>
      <w:proofErr w:type="spellStart"/>
      <w:r w:rsidR="00AC4FF5">
        <w:rPr>
          <w:rFonts w:ascii="Times New Roman" w:hAnsi="Times New Roman"/>
          <w:sz w:val="26"/>
          <w:szCs w:val="26"/>
        </w:rPr>
        <w:t>bypassable</w:t>
      </w:r>
      <w:proofErr w:type="spellEnd"/>
      <w:r w:rsidR="00AC4FF5">
        <w:rPr>
          <w:rFonts w:ascii="Times New Roman" w:hAnsi="Times New Roman"/>
          <w:sz w:val="26"/>
          <w:szCs w:val="26"/>
        </w:rPr>
        <w:t xml:space="preserve"> collection of NMB charges.  </w:t>
      </w:r>
      <w:r w:rsidR="00AC4FF5" w:rsidRPr="004912E6">
        <w:rPr>
          <w:rFonts w:ascii="Times New Roman" w:hAnsi="Times New Roman"/>
          <w:i/>
          <w:sz w:val="26"/>
          <w:szCs w:val="26"/>
        </w:rPr>
        <w:t>Id</w:t>
      </w:r>
      <w:r w:rsidR="00AC4FF5">
        <w:rPr>
          <w:rFonts w:ascii="Times New Roman" w:hAnsi="Times New Roman"/>
          <w:sz w:val="26"/>
          <w:szCs w:val="26"/>
        </w:rPr>
        <w:t xml:space="preserve">. at 11.  </w:t>
      </w:r>
      <w:r w:rsidR="000A371F">
        <w:rPr>
          <w:rFonts w:ascii="Times New Roman" w:hAnsi="Times New Roman"/>
          <w:sz w:val="26"/>
          <w:szCs w:val="26"/>
        </w:rPr>
        <w:t>In addition, PPL avers that adopting the proposa</w:t>
      </w:r>
      <w:r w:rsidR="00C70657">
        <w:rPr>
          <w:rFonts w:ascii="Times New Roman" w:hAnsi="Times New Roman"/>
          <w:sz w:val="26"/>
          <w:szCs w:val="26"/>
        </w:rPr>
        <w:t xml:space="preserve">l approved in </w:t>
      </w:r>
      <w:r w:rsidR="00C70657" w:rsidRPr="00C70657">
        <w:rPr>
          <w:rFonts w:ascii="Times New Roman" w:hAnsi="Times New Roman"/>
          <w:i/>
          <w:sz w:val="26"/>
          <w:szCs w:val="26"/>
        </w:rPr>
        <w:t>FirstEnergy DSP III</w:t>
      </w:r>
      <w:r w:rsidR="00C70657">
        <w:rPr>
          <w:rFonts w:ascii="Times New Roman" w:hAnsi="Times New Roman"/>
          <w:sz w:val="26"/>
          <w:szCs w:val="26"/>
        </w:rPr>
        <w:t xml:space="preserve"> </w:t>
      </w:r>
      <w:r w:rsidR="000A371F">
        <w:rPr>
          <w:rFonts w:ascii="Times New Roman" w:hAnsi="Times New Roman"/>
          <w:sz w:val="26"/>
          <w:szCs w:val="26"/>
        </w:rPr>
        <w:t xml:space="preserve">would require new contracts with wholesale suppliers, as well as a modified SMA.  PPL contends that this would be problematic because current DSP II contracts extend the various terms into the DSP III period.  PPL asserts that RESA failed to provide any </w:t>
      </w:r>
      <w:r w:rsidR="000A371F">
        <w:rPr>
          <w:rFonts w:ascii="Times New Roman" w:hAnsi="Times New Roman"/>
          <w:sz w:val="26"/>
          <w:szCs w:val="26"/>
        </w:rPr>
        <w:lastRenderedPageBreak/>
        <w:t xml:space="preserve">details regarding how its alternative proposal would be implemented, including what changes would need be made to the SMA.  </w:t>
      </w:r>
      <w:r w:rsidR="000A371F" w:rsidRPr="000A371F">
        <w:rPr>
          <w:rFonts w:ascii="Times New Roman" w:hAnsi="Times New Roman"/>
          <w:i/>
          <w:sz w:val="26"/>
          <w:szCs w:val="26"/>
        </w:rPr>
        <w:t>Id</w:t>
      </w:r>
      <w:r w:rsidR="000A371F">
        <w:rPr>
          <w:rFonts w:ascii="Times New Roman" w:hAnsi="Times New Roman"/>
          <w:sz w:val="26"/>
          <w:szCs w:val="26"/>
        </w:rPr>
        <w:t>. at 11-12.</w:t>
      </w:r>
    </w:p>
    <w:p w:rsidR="009E10EF" w:rsidRDefault="009E10EF" w:rsidP="00D26D41">
      <w:pPr>
        <w:rPr>
          <w:rFonts w:ascii="Times New Roman" w:hAnsi="Times New Roman"/>
          <w:sz w:val="26"/>
          <w:szCs w:val="26"/>
        </w:rPr>
      </w:pPr>
    </w:p>
    <w:p w:rsidR="003E6044" w:rsidRPr="003E6044" w:rsidRDefault="003E6044" w:rsidP="00D26D41">
      <w:pPr>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sidRPr="003E6044">
        <w:rPr>
          <w:rFonts w:ascii="Times New Roman" w:hAnsi="Times New Roman"/>
          <w:b/>
          <w:sz w:val="26"/>
          <w:szCs w:val="26"/>
        </w:rPr>
        <w:t>c.</w:t>
      </w:r>
      <w:r w:rsidRPr="003E6044">
        <w:rPr>
          <w:rFonts w:ascii="Times New Roman" w:hAnsi="Times New Roman"/>
          <w:b/>
          <w:sz w:val="26"/>
          <w:szCs w:val="26"/>
        </w:rPr>
        <w:tab/>
        <w:t>PPLICA</w:t>
      </w:r>
      <w:r w:rsidR="00803C65">
        <w:rPr>
          <w:rFonts w:ascii="Times New Roman" w:hAnsi="Times New Roman"/>
          <w:b/>
          <w:sz w:val="26"/>
          <w:szCs w:val="26"/>
        </w:rPr>
        <w:t>’</w:t>
      </w:r>
      <w:r w:rsidRPr="003E6044">
        <w:rPr>
          <w:rFonts w:ascii="Times New Roman" w:hAnsi="Times New Roman"/>
          <w:b/>
          <w:sz w:val="26"/>
          <w:szCs w:val="26"/>
        </w:rPr>
        <w:t>s Reply to RESA</w:t>
      </w:r>
      <w:r w:rsidR="00803C65">
        <w:rPr>
          <w:rFonts w:ascii="Times New Roman" w:hAnsi="Times New Roman"/>
          <w:b/>
          <w:sz w:val="26"/>
          <w:szCs w:val="26"/>
        </w:rPr>
        <w:t>’</w:t>
      </w:r>
      <w:r w:rsidRPr="003E6044">
        <w:rPr>
          <w:rFonts w:ascii="Times New Roman" w:hAnsi="Times New Roman"/>
          <w:b/>
          <w:sz w:val="26"/>
          <w:szCs w:val="26"/>
        </w:rPr>
        <w:t>s Exceptions</w:t>
      </w:r>
    </w:p>
    <w:p w:rsidR="003E6044" w:rsidRDefault="003E6044" w:rsidP="00D26D41">
      <w:pPr>
        <w:rPr>
          <w:rFonts w:ascii="Times New Roman" w:hAnsi="Times New Roman"/>
          <w:sz w:val="26"/>
          <w:szCs w:val="26"/>
        </w:rPr>
      </w:pPr>
    </w:p>
    <w:p w:rsidR="00FE6838" w:rsidRDefault="0095413F"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In its Reply</w:t>
      </w:r>
      <w:r w:rsidR="00B50224">
        <w:rPr>
          <w:rFonts w:ascii="Times New Roman" w:hAnsi="Times New Roman"/>
          <w:sz w:val="26"/>
          <w:szCs w:val="26"/>
        </w:rPr>
        <w:t xml:space="preserve"> to RESA</w:t>
      </w:r>
      <w:r w:rsidR="00803C65">
        <w:rPr>
          <w:rFonts w:ascii="Times New Roman" w:hAnsi="Times New Roman"/>
          <w:sz w:val="26"/>
          <w:szCs w:val="26"/>
        </w:rPr>
        <w:t>’</w:t>
      </w:r>
      <w:r w:rsidR="00B50224">
        <w:rPr>
          <w:rFonts w:ascii="Times New Roman" w:hAnsi="Times New Roman"/>
          <w:sz w:val="26"/>
          <w:szCs w:val="26"/>
        </w:rPr>
        <w:t>s Exceptions, PPLICA states that, contrary to RESA</w:t>
      </w:r>
      <w:r w:rsidR="00803C65">
        <w:rPr>
          <w:rFonts w:ascii="Times New Roman" w:hAnsi="Times New Roman"/>
          <w:sz w:val="26"/>
          <w:szCs w:val="26"/>
        </w:rPr>
        <w:t>’</w:t>
      </w:r>
      <w:r w:rsidR="00B50224">
        <w:rPr>
          <w:rFonts w:ascii="Times New Roman" w:hAnsi="Times New Roman"/>
          <w:sz w:val="26"/>
          <w:szCs w:val="26"/>
        </w:rPr>
        <w:t xml:space="preserve">s assertion, the ALJ provided a well-reasoned analysis of the record and applicable law.  PPLICA R. Exc. at 2.  PPLICA submits that the ALJ agreed with evidence provided by PPL, PPLICA, and Noble Americas that </w:t>
      </w:r>
      <w:r w:rsidR="00EA782F">
        <w:rPr>
          <w:rFonts w:ascii="Times New Roman" w:hAnsi="Times New Roman"/>
          <w:sz w:val="26"/>
          <w:szCs w:val="26"/>
        </w:rPr>
        <w:t>disproved RESA</w:t>
      </w:r>
      <w:r w:rsidR="00803C65">
        <w:rPr>
          <w:rFonts w:ascii="Times New Roman" w:hAnsi="Times New Roman"/>
          <w:sz w:val="26"/>
          <w:szCs w:val="26"/>
        </w:rPr>
        <w:t>’</w:t>
      </w:r>
      <w:r w:rsidR="00EA782F">
        <w:rPr>
          <w:rFonts w:ascii="Times New Roman" w:hAnsi="Times New Roman"/>
          <w:sz w:val="26"/>
          <w:szCs w:val="26"/>
        </w:rPr>
        <w:t xml:space="preserve">s claim </w:t>
      </w:r>
      <w:r w:rsidR="00B50224">
        <w:rPr>
          <w:rFonts w:ascii="Times New Roman" w:hAnsi="Times New Roman"/>
          <w:sz w:val="26"/>
          <w:szCs w:val="26"/>
        </w:rPr>
        <w:t>of unmanageable volati</w:t>
      </w:r>
      <w:r w:rsidR="002D6801">
        <w:rPr>
          <w:rFonts w:ascii="Times New Roman" w:hAnsi="Times New Roman"/>
          <w:sz w:val="26"/>
          <w:szCs w:val="26"/>
        </w:rPr>
        <w:t>lity in the NMB charges</w:t>
      </w:r>
      <w:r w:rsidR="00B50224">
        <w:rPr>
          <w:rFonts w:ascii="Times New Roman" w:hAnsi="Times New Roman"/>
          <w:sz w:val="26"/>
          <w:szCs w:val="26"/>
        </w:rPr>
        <w:t>, and th</w:t>
      </w:r>
      <w:r w:rsidR="007C1C7A">
        <w:rPr>
          <w:rFonts w:ascii="Times New Roman" w:hAnsi="Times New Roman"/>
          <w:sz w:val="26"/>
          <w:szCs w:val="26"/>
        </w:rPr>
        <w:t>at RESA</w:t>
      </w:r>
      <w:r w:rsidR="00803C65">
        <w:rPr>
          <w:rFonts w:ascii="Times New Roman" w:hAnsi="Times New Roman"/>
          <w:sz w:val="26"/>
          <w:szCs w:val="26"/>
        </w:rPr>
        <w:t>’</w:t>
      </w:r>
      <w:r w:rsidR="007C1C7A">
        <w:rPr>
          <w:rFonts w:ascii="Times New Roman" w:hAnsi="Times New Roman"/>
          <w:sz w:val="26"/>
          <w:szCs w:val="26"/>
        </w:rPr>
        <w:t xml:space="preserve">s claims with regard to the volatility of NITS charges in particular were unfounded.  </w:t>
      </w:r>
      <w:r w:rsidR="007C1C7A" w:rsidRPr="00C32399">
        <w:rPr>
          <w:rFonts w:ascii="Times New Roman" w:hAnsi="Times New Roman"/>
          <w:i/>
          <w:sz w:val="26"/>
          <w:szCs w:val="26"/>
        </w:rPr>
        <w:t>Id</w:t>
      </w:r>
      <w:r w:rsidR="007C1C7A">
        <w:rPr>
          <w:rFonts w:ascii="Times New Roman" w:hAnsi="Times New Roman"/>
          <w:sz w:val="26"/>
          <w:szCs w:val="26"/>
        </w:rPr>
        <w:t xml:space="preserve">. at 3 (citing R.D. at 47).  </w:t>
      </w:r>
      <w:r w:rsidR="001D4B32">
        <w:rPr>
          <w:rFonts w:ascii="Times New Roman" w:hAnsi="Times New Roman"/>
          <w:sz w:val="26"/>
          <w:szCs w:val="26"/>
        </w:rPr>
        <w:t xml:space="preserve">PPLICA also contends that the ALJ cited to extensive record evidence indicating that any EGS concerned with volatility of </w:t>
      </w:r>
      <w:r w:rsidR="002D6801">
        <w:rPr>
          <w:rFonts w:ascii="Times New Roman" w:hAnsi="Times New Roman"/>
          <w:sz w:val="26"/>
          <w:szCs w:val="26"/>
        </w:rPr>
        <w:t>MNB</w:t>
      </w:r>
      <w:r w:rsidR="001D4B32">
        <w:rPr>
          <w:rFonts w:ascii="Times New Roman" w:hAnsi="Times New Roman"/>
          <w:sz w:val="26"/>
          <w:szCs w:val="26"/>
        </w:rPr>
        <w:t xml:space="preserve"> charges has the authority to recover such charges on a pass-through basis.  PPLICA R. Exc. at 4 (citing R.D. at 11).  In addition, PPLICA disputes RESA</w:t>
      </w:r>
      <w:r w:rsidR="00803C65">
        <w:rPr>
          <w:rFonts w:ascii="Times New Roman" w:hAnsi="Times New Roman"/>
          <w:sz w:val="26"/>
          <w:szCs w:val="26"/>
        </w:rPr>
        <w:t>’</w:t>
      </w:r>
      <w:r w:rsidR="001D4B32">
        <w:rPr>
          <w:rFonts w:ascii="Times New Roman" w:hAnsi="Times New Roman"/>
          <w:sz w:val="26"/>
          <w:szCs w:val="26"/>
        </w:rPr>
        <w:t xml:space="preserve">s assertion that the </w:t>
      </w:r>
      <w:r w:rsidR="001D4B32" w:rsidRPr="007D5857">
        <w:rPr>
          <w:rFonts w:ascii="Times New Roman" w:hAnsi="Times New Roman"/>
          <w:i/>
          <w:sz w:val="26"/>
          <w:szCs w:val="26"/>
        </w:rPr>
        <w:t>Fixed Price Order</w:t>
      </w:r>
      <w:r w:rsidR="001D4B32">
        <w:rPr>
          <w:rFonts w:ascii="Times New Roman" w:hAnsi="Times New Roman"/>
          <w:sz w:val="26"/>
          <w:szCs w:val="26"/>
        </w:rPr>
        <w:t xml:space="preserve"> has any effect on the EGS</w:t>
      </w:r>
      <w:r w:rsidR="00803C65">
        <w:rPr>
          <w:rFonts w:ascii="Times New Roman" w:hAnsi="Times New Roman"/>
          <w:sz w:val="26"/>
          <w:szCs w:val="26"/>
        </w:rPr>
        <w:t>’</w:t>
      </w:r>
      <w:r w:rsidR="001D4B32">
        <w:rPr>
          <w:rFonts w:ascii="Times New Roman" w:hAnsi="Times New Roman"/>
          <w:sz w:val="26"/>
          <w:szCs w:val="26"/>
        </w:rPr>
        <w:t>s ability to apply pass-through arrangements.</w:t>
      </w:r>
      <w:r w:rsidR="00565AC1">
        <w:rPr>
          <w:rFonts w:ascii="Times New Roman" w:hAnsi="Times New Roman"/>
          <w:sz w:val="26"/>
          <w:szCs w:val="26"/>
        </w:rPr>
        <w:t xml:space="preserve">  PPLICA R. Exc. at 4.</w:t>
      </w:r>
    </w:p>
    <w:p w:rsidR="00F453E4" w:rsidRDefault="00F453E4" w:rsidP="00D26D41">
      <w:pPr>
        <w:rPr>
          <w:rFonts w:ascii="Times New Roman" w:hAnsi="Times New Roman"/>
          <w:sz w:val="26"/>
          <w:szCs w:val="26"/>
        </w:rPr>
      </w:pPr>
    </w:p>
    <w:p w:rsidR="00BD3DAF" w:rsidRDefault="002D6801"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PPLICA also asserted that the ALJ correctly </w:t>
      </w:r>
      <w:r w:rsidR="006A36E3">
        <w:rPr>
          <w:rFonts w:ascii="Times New Roman" w:hAnsi="Times New Roman"/>
          <w:sz w:val="26"/>
          <w:szCs w:val="26"/>
        </w:rPr>
        <w:t>recognized</w:t>
      </w:r>
      <w:r>
        <w:rPr>
          <w:rFonts w:ascii="Times New Roman" w:hAnsi="Times New Roman"/>
          <w:sz w:val="26"/>
          <w:szCs w:val="26"/>
        </w:rPr>
        <w:t xml:space="preserve"> that the risk premiums charged by EGSs to account for NMB charges </w:t>
      </w:r>
      <w:r w:rsidR="006A36E3">
        <w:rPr>
          <w:rFonts w:ascii="Times New Roman" w:hAnsi="Times New Roman"/>
          <w:sz w:val="26"/>
          <w:szCs w:val="26"/>
        </w:rPr>
        <w:t>are part of a valued fixed-price service, and that customers—particularly Large C&amp;I customers—may be willing to pay the risk premium in exchange for greater rate stability.  PPLICA R. Exc. at 5 (citing R.D. at 50).  PPLICA contended that under RESA</w:t>
      </w:r>
      <w:r w:rsidR="00803C65">
        <w:rPr>
          <w:rFonts w:ascii="Times New Roman" w:hAnsi="Times New Roman"/>
          <w:sz w:val="26"/>
          <w:szCs w:val="26"/>
        </w:rPr>
        <w:t>’</w:t>
      </w:r>
      <w:r w:rsidR="006A36E3">
        <w:rPr>
          <w:rFonts w:ascii="Times New Roman" w:hAnsi="Times New Roman"/>
          <w:sz w:val="26"/>
          <w:szCs w:val="26"/>
        </w:rPr>
        <w:t>s proposal, customers would lose this option, thus limiting the competitive retail options currently available to customers.</w:t>
      </w:r>
      <w:r w:rsidR="00312592">
        <w:rPr>
          <w:rFonts w:ascii="Times New Roman" w:hAnsi="Times New Roman"/>
          <w:sz w:val="26"/>
          <w:szCs w:val="26"/>
        </w:rPr>
        <w:t xml:space="preserve">  PPLICA R. Exc. at 5.</w:t>
      </w:r>
      <w:r w:rsidR="00BD3DAF">
        <w:rPr>
          <w:rFonts w:ascii="Times New Roman" w:hAnsi="Times New Roman"/>
          <w:sz w:val="26"/>
          <w:szCs w:val="26"/>
        </w:rPr>
        <w:t xml:space="preserve">  In addition, </w:t>
      </w:r>
      <w:r w:rsidR="00312592">
        <w:rPr>
          <w:rFonts w:ascii="Times New Roman" w:hAnsi="Times New Roman"/>
          <w:sz w:val="26"/>
          <w:szCs w:val="26"/>
        </w:rPr>
        <w:t>PPLICA</w:t>
      </w:r>
      <w:r w:rsidR="00BD3DAF">
        <w:rPr>
          <w:rFonts w:ascii="Times New Roman" w:hAnsi="Times New Roman"/>
          <w:sz w:val="26"/>
          <w:szCs w:val="26"/>
        </w:rPr>
        <w:t xml:space="preserve"> asserts that RESA has failed to address transitional issues that would result from the adoption of its proposal, such as the significant risk of double recovery of NMB charges, the need for EGSs to revise all of their contracts with their shopping customers, and the details of cost allocation and rate design relating to the implementation of the proposed non-</w:t>
      </w:r>
      <w:proofErr w:type="spellStart"/>
      <w:r w:rsidR="00BD3DAF">
        <w:rPr>
          <w:rFonts w:ascii="Times New Roman" w:hAnsi="Times New Roman"/>
          <w:sz w:val="26"/>
          <w:szCs w:val="26"/>
        </w:rPr>
        <w:t>bypassable</w:t>
      </w:r>
      <w:proofErr w:type="spellEnd"/>
      <w:r w:rsidR="00BD3DAF">
        <w:rPr>
          <w:rFonts w:ascii="Times New Roman" w:hAnsi="Times New Roman"/>
          <w:sz w:val="26"/>
          <w:szCs w:val="26"/>
        </w:rPr>
        <w:t xml:space="preserve"> charge.  </w:t>
      </w:r>
      <w:r w:rsidR="00BD3DAF" w:rsidRPr="00BD3DAF">
        <w:rPr>
          <w:rFonts w:ascii="Times New Roman" w:hAnsi="Times New Roman"/>
          <w:i/>
          <w:sz w:val="26"/>
          <w:szCs w:val="26"/>
        </w:rPr>
        <w:t>Id</w:t>
      </w:r>
      <w:r w:rsidR="00BD3DAF">
        <w:rPr>
          <w:rFonts w:ascii="Times New Roman" w:hAnsi="Times New Roman"/>
          <w:sz w:val="26"/>
          <w:szCs w:val="26"/>
        </w:rPr>
        <w:t>. at 5-6.</w:t>
      </w:r>
    </w:p>
    <w:p w:rsidR="00BD3DAF" w:rsidRDefault="00BD3DAF" w:rsidP="00D26D41">
      <w:pPr>
        <w:rPr>
          <w:rFonts w:ascii="Times New Roman" w:hAnsi="Times New Roman"/>
          <w:sz w:val="26"/>
          <w:szCs w:val="26"/>
        </w:rPr>
      </w:pPr>
    </w:p>
    <w:p w:rsidR="00BD3DAF" w:rsidRDefault="00BD3DAF" w:rsidP="00D26D41">
      <w:pPr>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sidR="0008325C">
        <w:rPr>
          <w:rFonts w:ascii="Times New Roman" w:hAnsi="Times New Roman"/>
          <w:sz w:val="26"/>
          <w:szCs w:val="26"/>
        </w:rPr>
        <w:t>PPLICA further asserts that the ALJ appropriately rejected RESA</w:t>
      </w:r>
      <w:r w:rsidR="00803C65">
        <w:rPr>
          <w:rFonts w:ascii="Times New Roman" w:hAnsi="Times New Roman"/>
          <w:sz w:val="26"/>
          <w:szCs w:val="26"/>
        </w:rPr>
        <w:t>’</w:t>
      </w:r>
      <w:r w:rsidR="0008325C">
        <w:rPr>
          <w:rFonts w:ascii="Times New Roman" w:hAnsi="Times New Roman"/>
          <w:sz w:val="26"/>
          <w:szCs w:val="26"/>
        </w:rPr>
        <w:t>s claim that PPL</w:t>
      </w:r>
      <w:r w:rsidR="00803C65">
        <w:rPr>
          <w:rFonts w:ascii="Times New Roman" w:hAnsi="Times New Roman"/>
          <w:sz w:val="26"/>
          <w:szCs w:val="26"/>
        </w:rPr>
        <w:t>’</w:t>
      </w:r>
      <w:r w:rsidR="0008325C">
        <w:rPr>
          <w:rFonts w:ascii="Times New Roman" w:hAnsi="Times New Roman"/>
          <w:sz w:val="26"/>
          <w:szCs w:val="26"/>
        </w:rPr>
        <w:t>s current practice of recovering NMB charges on a load-following basis violates the equal-access provisions of the Competition Act, and found that this practice is supported by PJM rules assigning responsibility for NMB charg</w:t>
      </w:r>
      <w:r w:rsidR="00BB3839">
        <w:rPr>
          <w:rFonts w:ascii="Times New Roman" w:hAnsi="Times New Roman"/>
          <w:sz w:val="26"/>
          <w:szCs w:val="26"/>
        </w:rPr>
        <w:t xml:space="preserve">es to each LSE.  PPLICA </w:t>
      </w:r>
      <w:r w:rsidR="0008325C">
        <w:rPr>
          <w:rFonts w:ascii="Times New Roman" w:hAnsi="Times New Roman"/>
          <w:sz w:val="26"/>
          <w:szCs w:val="26"/>
        </w:rPr>
        <w:t>argues that wholesale default service suppliers are not LSEs, and therefore, the Competition Act does not require parity between wholesale suppliers and EGSs, but simply requires that PPL offer use of its system to EGSs on terms that are comparable to the Company</w:t>
      </w:r>
      <w:r w:rsidR="00803C65">
        <w:rPr>
          <w:rFonts w:ascii="Times New Roman" w:hAnsi="Times New Roman"/>
          <w:sz w:val="26"/>
          <w:szCs w:val="26"/>
        </w:rPr>
        <w:t>’</w:t>
      </w:r>
      <w:r w:rsidR="0008325C">
        <w:rPr>
          <w:rFonts w:ascii="Times New Roman" w:hAnsi="Times New Roman"/>
          <w:sz w:val="26"/>
          <w:szCs w:val="26"/>
        </w:rPr>
        <w:t xml:space="preserve">s own use of the system.  According to PPLICA, because PPL and the EGSs remain responsible for NMB charges incurred on behalf of their respective customers, PPL has satisfied the equal-access provision with regard to these charges.  </w:t>
      </w:r>
      <w:r w:rsidR="0008325C" w:rsidRPr="0008325C">
        <w:rPr>
          <w:rFonts w:ascii="Times New Roman" w:hAnsi="Times New Roman"/>
          <w:i/>
          <w:sz w:val="26"/>
          <w:szCs w:val="26"/>
        </w:rPr>
        <w:t>Id</w:t>
      </w:r>
      <w:r w:rsidR="0008325C">
        <w:rPr>
          <w:rFonts w:ascii="Times New Roman" w:hAnsi="Times New Roman"/>
          <w:sz w:val="26"/>
          <w:szCs w:val="26"/>
        </w:rPr>
        <w:t>. at 6-7.</w:t>
      </w:r>
    </w:p>
    <w:p w:rsidR="0008325C" w:rsidRDefault="0008325C" w:rsidP="00D26D41">
      <w:pPr>
        <w:rPr>
          <w:rFonts w:ascii="Times New Roman" w:hAnsi="Times New Roman"/>
          <w:sz w:val="26"/>
          <w:szCs w:val="26"/>
        </w:rPr>
      </w:pPr>
    </w:p>
    <w:p w:rsidR="002D6801" w:rsidRPr="00BB3839" w:rsidRDefault="0008325C"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D81233" w:rsidRPr="00BB3839">
        <w:rPr>
          <w:rFonts w:ascii="Times New Roman" w:hAnsi="Times New Roman"/>
          <w:sz w:val="26"/>
          <w:szCs w:val="26"/>
        </w:rPr>
        <w:t>Finally, PPLICA noted that the Commission has previously rejected RESA</w:t>
      </w:r>
      <w:r w:rsidR="00803C65">
        <w:rPr>
          <w:rFonts w:ascii="Times New Roman" w:hAnsi="Times New Roman"/>
          <w:sz w:val="26"/>
          <w:szCs w:val="26"/>
        </w:rPr>
        <w:t>’</w:t>
      </w:r>
      <w:r w:rsidR="00D81233" w:rsidRPr="00BB3839">
        <w:rPr>
          <w:rFonts w:ascii="Times New Roman" w:hAnsi="Times New Roman"/>
          <w:sz w:val="26"/>
          <w:szCs w:val="26"/>
        </w:rPr>
        <w:t>s proposal to force EDCs to involuntarily implement non-</w:t>
      </w:r>
      <w:proofErr w:type="spellStart"/>
      <w:r w:rsidR="00D81233" w:rsidRPr="00BB3839">
        <w:rPr>
          <w:rFonts w:ascii="Times New Roman" w:hAnsi="Times New Roman"/>
          <w:sz w:val="26"/>
          <w:szCs w:val="26"/>
        </w:rPr>
        <w:t>bypassable</w:t>
      </w:r>
      <w:proofErr w:type="spellEnd"/>
      <w:r w:rsidR="00D81233" w:rsidRPr="00BB3839">
        <w:rPr>
          <w:rFonts w:ascii="Times New Roman" w:hAnsi="Times New Roman"/>
          <w:sz w:val="26"/>
          <w:szCs w:val="26"/>
        </w:rPr>
        <w:t xml:space="preserve"> riders to recover NMB charges on multiple occasions.  </w:t>
      </w:r>
      <w:r w:rsidR="00D81233" w:rsidRPr="00BB3839">
        <w:rPr>
          <w:rFonts w:ascii="Times New Roman" w:hAnsi="Times New Roman"/>
          <w:i/>
          <w:sz w:val="26"/>
          <w:szCs w:val="26"/>
        </w:rPr>
        <w:t>Id</w:t>
      </w:r>
      <w:r w:rsidR="00D81233" w:rsidRPr="00BB3839">
        <w:rPr>
          <w:rFonts w:ascii="Times New Roman" w:hAnsi="Times New Roman"/>
          <w:sz w:val="26"/>
          <w:szCs w:val="26"/>
        </w:rPr>
        <w:t xml:space="preserve">. at 7 (citing </w:t>
      </w:r>
      <w:r w:rsidR="00D81233" w:rsidRPr="00BB3839">
        <w:rPr>
          <w:rFonts w:ascii="Times New Roman" w:hAnsi="Times New Roman"/>
          <w:i/>
          <w:sz w:val="26"/>
          <w:szCs w:val="26"/>
        </w:rPr>
        <w:t>PPL DSP II Order</w:t>
      </w:r>
      <w:r w:rsidR="00E54709" w:rsidRPr="00BB3839">
        <w:rPr>
          <w:rFonts w:ascii="Times New Roman" w:hAnsi="Times New Roman"/>
          <w:i/>
          <w:sz w:val="26"/>
          <w:szCs w:val="26"/>
        </w:rPr>
        <w:t xml:space="preserve"> </w:t>
      </w:r>
      <w:r w:rsidR="00E54709" w:rsidRPr="00BB3839">
        <w:rPr>
          <w:rFonts w:ascii="Times New Roman" w:hAnsi="Times New Roman"/>
          <w:sz w:val="26"/>
          <w:szCs w:val="26"/>
        </w:rPr>
        <w:t>at 85</w:t>
      </w:r>
      <w:r w:rsidR="00D81233" w:rsidRPr="00BB3839">
        <w:rPr>
          <w:rFonts w:ascii="Times New Roman" w:hAnsi="Times New Roman"/>
          <w:sz w:val="26"/>
          <w:szCs w:val="26"/>
        </w:rPr>
        <w:t xml:space="preserve">; </w:t>
      </w:r>
      <w:r w:rsidR="00E54709" w:rsidRPr="00BB3839">
        <w:rPr>
          <w:rFonts w:ascii="Times New Roman" w:hAnsi="Times New Roman"/>
          <w:i/>
          <w:sz w:val="26"/>
          <w:szCs w:val="26"/>
        </w:rPr>
        <w:t>FirstEnergy DSP II Order</w:t>
      </w:r>
      <w:r w:rsidR="00E54709" w:rsidRPr="00BB3839">
        <w:rPr>
          <w:rFonts w:ascii="Times New Roman" w:hAnsi="Times New Roman"/>
          <w:sz w:val="26"/>
          <w:szCs w:val="26"/>
        </w:rPr>
        <w:t xml:space="preserve"> at 83; </w:t>
      </w:r>
      <w:r w:rsidR="00025BFE" w:rsidRPr="00BB3839">
        <w:rPr>
          <w:rFonts w:ascii="Times New Roman" w:hAnsi="Times New Roman"/>
          <w:i/>
          <w:sz w:val="26"/>
          <w:szCs w:val="26"/>
        </w:rPr>
        <w:t>Duquesne Light DSP VI Order</w:t>
      </w:r>
      <w:r w:rsidR="00025BFE" w:rsidRPr="00BB3839">
        <w:rPr>
          <w:rFonts w:ascii="Times New Roman" w:hAnsi="Times New Roman"/>
          <w:sz w:val="26"/>
          <w:szCs w:val="26"/>
        </w:rPr>
        <w:t xml:space="preserve"> at 222;</w:t>
      </w:r>
      <w:r w:rsidR="00E54709" w:rsidRPr="00BB3839">
        <w:rPr>
          <w:rFonts w:ascii="Times New Roman" w:hAnsi="Times New Roman"/>
          <w:sz w:val="26"/>
          <w:szCs w:val="26"/>
        </w:rPr>
        <w:t xml:space="preserve"> and </w:t>
      </w:r>
      <w:r w:rsidR="00677FC6" w:rsidRPr="00BB3839">
        <w:rPr>
          <w:rFonts w:ascii="Times New Roman" w:hAnsi="Times New Roman"/>
          <w:i/>
          <w:sz w:val="26"/>
          <w:szCs w:val="26"/>
        </w:rPr>
        <w:t>Petition of PECO Energy Company For Approval of its Default Service Program II</w:t>
      </w:r>
      <w:r w:rsidR="00677FC6" w:rsidRPr="00BB3839">
        <w:rPr>
          <w:rFonts w:ascii="Times New Roman" w:hAnsi="Times New Roman"/>
          <w:sz w:val="26"/>
          <w:szCs w:val="26"/>
        </w:rPr>
        <w:t>, Docket No. P</w:t>
      </w:r>
      <w:r w:rsidR="00677FC6" w:rsidRPr="00BB3839">
        <w:rPr>
          <w:rFonts w:ascii="Times New Roman" w:hAnsi="Times New Roman"/>
          <w:sz w:val="26"/>
          <w:szCs w:val="26"/>
        </w:rPr>
        <w:noBreakHyphen/>
        <w:t>2012-2283641 (Opinion and Order entered October 12, 2012) at 60.</w:t>
      </w:r>
    </w:p>
    <w:p w:rsidR="002D6801" w:rsidRPr="00BB3839" w:rsidRDefault="002D6801" w:rsidP="00D26D41">
      <w:pPr>
        <w:rPr>
          <w:rFonts w:ascii="Times New Roman" w:hAnsi="Times New Roman"/>
          <w:sz w:val="26"/>
          <w:szCs w:val="26"/>
        </w:rPr>
      </w:pPr>
    </w:p>
    <w:p w:rsidR="00BC2900" w:rsidRPr="00FE6838" w:rsidRDefault="00FE6838" w:rsidP="00FE6838">
      <w:pPr>
        <w:keepNext/>
        <w:rPr>
          <w:rFonts w:ascii="Times New Roman" w:hAnsi="Times New Roman"/>
          <w:b/>
          <w:sz w:val="26"/>
          <w:szCs w:val="26"/>
        </w:rPr>
      </w:pPr>
      <w:r w:rsidRPr="00BB3839">
        <w:rPr>
          <w:rFonts w:ascii="Times New Roman" w:hAnsi="Times New Roman"/>
          <w:b/>
          <w:sz w:val="26"/>
          <w:szCs w:val="26"/>
        </w:rPr>
        <w:tab/>
        <w:t>4</w:t>
      </w:r>
      <w:r w:rsidR="00BC2900" w:rsidRPr="00BB3839">
        <w:rPr>
          <w:rFonts w:ascii="Times New Roman" w:hAnsi="Times New Roman"/>
          <w:b/>
          <w:sz w:val="26"/>
          <w:szCs w:val="26"/>
        </w:rPr>
        <w:t>.</w:t>
      </w:r>
      <w:r w:rsidR="00BC2900" w:rsidRPr="00BB3839">
        <w:rPr>
          <w:rFonts w:ascii="Times New Roman" w:hAnsi="Times New Roman"/>
          <w:b/>
          <w:sz w:val="26"/>
          <w:szCs w:val="26"/>
        </w:rPr>
        <w:tab/>
        <w:t>Disposition</w:t>
      </w:r>
    </w:p>
    <w:p w:rsidR="00F476DB" w:rsidRDefault="00F476DB" w:rsidP="009E10EF">
      <w:pPr>
        <w:keepNext/>
        <w:rPr>
          <w:rFonts w:ascii="Times New Roman" w:hAnsi="Times New Roman"/>
          <w:sz w:val="26"/>
          <w:szCs w:val="26"/>
        </w:rPr>
      </w:pPr>
    </w:p>
    <w:p w:rsidR="00791111" w:rsidRDefault="00791111" w:rsidP="003C6BFD">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Upon consideration of the Parties</w:t>
      </w:r>
      <w:r w:rsidR="00803C65">
        <w:rPr>
          <w:rFonts w:ascii="Times New Roman" w:hAnsi="Times New Roman"/>
          <w:sz w:val="26"/>
          <w:szCs w:val="26"/>
        </w:rPr>
        <w:t>’</w:t>
      </w:r>
      <w:r>
        <w:rPr>
          <w:rFonts w:ascii="Times New Roman" w:hAnsi="Times New Roman"/>
          <w:sz w:val="26"/>
          <w:szCs w:val="26"/>
        </w:rPr>
        <w:t xml:space="preserve"> arguments, the record evidence, and applicable law, we will adopt the ALJ</w:t>
      </w:r>
      <w:r w:rsidR="00803C65">
        <w:rPr>
          <w:rFonts w:ascii="Times New Roman" w:hAnsi="Times New Roman"/>
          <w:sz w:val="26"/>
          <w:szCs w:val="26"/>
        </w:rPr>
        <w:t>’</w:t>
      </w:r>
      <w:r>
        <w:rPr>
          <w:rFonts w:ascii="Times New Roman" w:hAnsi="Times New Roman"/>
          <w:sz w:val="26"/>
          <w:szCs w:val="26"/>
        </w:rPr>
        <w:t xml:space="preserve">s recommendation on this issue and reject the proposals of RESA and </w:t>
      </w:r>
      <w:proofErr w:type="spellStart"/>
      <w:r>
        <w:rPr>
          <w:rFonts w:ascii="Times New Roman" w:hAnsi="Times New Roman"/>
          <w:sz w:val="26"/>
          <w:szCs w:val="26"/>
        </w:rPr>
        <w:t>ExGen</w:t>
      </w:r>
      <w:proofErr w:type="spellEnd"/>
      <w:r>
        <w:rPr>
          <w:rFonts w:ascii="Times New Roman" w:hAnsi="Times New Roman"/>
          <w:sz w:val="26"/>
          <w:szCs w:val="26"/>
        </w:rPr>
        <w:t xml:space="preserve"> to require PPL to recover NMB transmission-related costs from all distribution customers through a non-</w:t>
      </w:r>
      <w:proofErr w:type="spellStart"/>
      <w:r>
        <w:rPr>
          <w:rFonts w:ascii="Times New Roman" w:hAnsi="Times New Roman"/>
          <w:sz w:val="26"/>
          <w:szCs w:val="26"/>
        </w:rPr>
        <w:t>bypassable</w:t>
      </w:r>
      <w:proofErr w:type="spellEnd"/>
      <w:r>
        <w:rPr>
          <w:rFonts w:ascii="Times New Roman" w:hAnsi="Times New Roman"/>
          <w:sz w:val="26"/>
          <w:szCs w:val="26"/>
        </w:rPr>
        <w:t xml:space="preserve"> charge.  </w:t>
      </w:r>
      <w:r w:rsidR="003E712E">
        <w:rPr>
          <w:rFonts w:ascii="Times New Roman" w:hAnsi="Times New Roman"/>
          <w:sz w:val="26"/>
          <w:szCs w:val="26"/>
        </w:rPr>
        <w:t>As the ALJ pointed out, PPL</w:t>
      </w:r>
      <w:r w:rsidR="00803C65">
        <w:rPr>
          <w:rFonts w:ascii="Times New Roman" w:hAnsi="Times New Roman"/>
          <w:sz w:val="26"/>
          <w:szCs w:val="26"/>
        </w:rPr>
        <w:t>’</w:t>
      </w:r>
      <w:r w:rsidR="003E712E">
        <w:rPr>
          <w:rFonts w:ascii="Times New Roman" w:hAnsi="Times New Roman"/>
          <w:sz w:val="26"/>
          <w:szCs w:val="26"/>
        </w:rPr>
        <w:t>s current approach of incurring and recovering NMB costs relating to de</w:t>
      </w:r>
      <w:r w:rsidR="006E478F">
        <w:rPr>
          <w:rFonts w:ascii="Times New Roman" w:hAnsi="Times New Roman"/>
          <w:sz w:val="26"/>
          <w:szCs w:val="26"/>
        </w:rPr>
        <w:t>fault service load only, while EGSs assume responsibility</w:t>
      </w:r>
      <w:r w:rsidR="003E712E">
        <w:rPr>
          <w:rFonts w:ascii="Times New Roman" w:hAnsi="Times New Roman"/>
          <w:sz w:val="26"/>
          <w:szCs w:val="26"/>
        </w:rPr>
        <w:t xml:space="preserve"> for the NMB costs relating to the shopping load they serve, was approved by this Commission in </w:t>
      </w:r>
      <w:r w:rsidR="003E712E" w:rsidRPr="003E712E">
        <w:rPr>
          <w:rFonts w:ascii="Times New Roman" w:hAnsi="Times New Roman"/>
          <w:i/>
          <w:sz w:val="26"/>
          <w:szCs w:val="26"/>
        </w:rPr>
        <w:t>PPL DSP II</w:t>
      </w:r>
      <w:r w:rsidR="003E712E">
        <w:rPr>
          <w:rFonts w:ascii="Times New Roman" w:hAnsi="Times New Roman"/>
          <w:sz w:val="26"/>
          <w:szCs w:val="26"/>
        </w:rPr>
        <w:t xml:space="preserve">.  </w:t>
      </w:r>
      <w:r w:rsidR="006E478F">
        <w:rPr>
          <w:rFonts w:ascii="Times New Roman" w:hAnsi="Times New Roman"/>
          <w:sz w:val="26"/>
          <w:szCs w:val="26"/>
        </w:rPr>
        <w:t xml:space="preserve">In that proceeding, we rejected a similar proposal to that proffered by RESA in the instant </w:t>
      </w:r>
      <w:r w:rsidR="006E478F">
        <w:rPr>
          <w:rFonts w:ascii="Times New Roman" w:hAnsi="Times New Roman"/>
          <w:sz w:val="26"/>
          <w:szCs w:val="26"/>
        </w:rPr>
        <w:lastRenderedPageBreak/>
        <w:t>proceeding to require PPL to assume responsibility for NMB costs relating to both default service load and shopping load, and to recover those costs through a non-</w:t>
      </w:r>
      <w:proofErr w:type="spellStart"/>
      <w:r w:rsidR="006E478F">
        <w:rPr>
          <w:rFonts w:ascii="Times New Roman" w:hAnsi="Times New Roman"/>
          <w:sz w:val="26"/>
          <w:szCs w:val="26"/>
        </w:rPr>
        <w:t>bypassable</w:t>
      </w:r>
      <w:proofErr w:type="spellEnd"/>
      <w:r w:rsidR="006E478F">
        <w:rPr>
          <w:rFonts w:ascii="Times New Roman" w:hAnsi="Times New Roman"/>
          <w:sz w:val="26"/>
          <w:szCs w:val="26"/>
        </w:rPr>
        <w:t xml:space="preserve"> charge.  </w:t>
      </w:r>
      <w:r w:rsidR="006E478F" w:rsidRPr="00770185">
        <w:rPr>
          <w:rFonts w:ascii="Times New Roman" w:hAnsi="Times New Roman"/>
          <w:i/>
          <w:sz w:val="26"/>
          <w:szCs w:val="26"/>
        </w:rPr>
        <w:t>See</w:t>
      </w:r>
      <w:r w:rsidR="006E478F">
        <w:rPr>
          <w:rFonts w:ascii="Times New Roman" w:hAnsi="Times New Roman"/>
          <w:sz w:val="26"/>
          <w:szCs w:val="26"/>
        </w:rPr>
        <w:t xml:space="preserve">, </w:t>
      </w:r>
      <w:r w:rsidR="006E478F" w:rsidRPr="006E478F">
        <w:rPr>
          <w:rFonts w:ascii="Times New Roman" w:hAnsi="Times New Roman"/>
          <w:i/>
          <w:sz w:val="26"/>
          <w:szCs w:val="26"/>
        </w:rPr>
        <w:t>PPL DSP II Order</w:t>
      </w:r>
      <w:r w:rsidR="006E478F">
        <w:rPr>
          <w:rFonts w:ascii="Times New Roman" w:hAnsi="Times New Roman"/>
          <w:sz w:val="26"/>
          <w:szCs w:val="26"/>
        </w:rPr>
        <w:t xml:space="preserve"> at 85.  </w:t>
      </w:r>
      <w:r w:rsidR="00E31077">
        <w:rPr>
          <w:rFonts w:ascii="Times New Roman" w:hAnsi="Times New Roman"/>
          <w:sz w:val="26"/>
          <w:szCs w:val="26"/>
        </w:rPr>
        <w:t>We find nothing on the record to indicate that there has been any significant change in circumstances surrounding PPL</w:t>
      </w:r>
      <w:r w:rsidR="00803C65">
        <w:rPr>
          <w:rFonts w:ascii="Times New Roman" w:hAnsi="Times New Roman"/>
          <w:sz w:val="26"/>
          <w:szCs w:val="26"/>
        </w:rPr>
        <w:t>’</w:t>
      </w:r>
      <w:r w:rsidR="00E31077">
        <w:rPr>
          <w:rFonts w:ascii="Times New Roman" w:hAnsi="Times New Roman"/>
          <w:sz w:val="26"/>
          <w:szCs w:val="26"/>
        </w:rPr>
        <w:t>s current approach with regard to th</w:t>
      </w:r>
      <w:r w:rsidR="008776A1">
        <w:rPr>
          <w:rFonts w:ascii="Times New Roman" w:hAnsi="Times New Roman"/>
          <w:sz w:val="26"/>
          <w:szCs w:val="26"/>
        </w:rPr>
        <w:t>ese NMB costs since our prior approval of it in</w:t>
      </w:r>
      <w:r w:rsidR="008776A1" w:rsidRPr="008776A1">
        <w:rPr>
          <w:rFonts w:ascii="Times New Roman" w:hAnsi="Times New Roman"/>
          <w:i/>
          <w:sz w:val="26"/>
          <w:szCs w:val="26"/>
        </w:rPr>
        <w:t xml:space="preserve"> </w:t>
      </w:r>
      <w:r w:rsidR="008776A1" w:rsidRPr="003E712E">
        <w:rPr>
          <w:rFonts w:ascii="Times New Roman" w:hAnsi="Times New Roman"/>
          <w:i/>
          <w:sz w:val="26"/>
          <w:szCs w:val="26"/>
        </w:rPr>
        <w:t>PPL DSP II</w:t>
      </w:r>
      <w:r w:rsidR="008776A1">
        <w:rPr>
          <w:rFonts w:ascii="Times New Roman" w:hAnsi="Times New Roman"/>
          <w:i/>
          <w:sz w:val="26"/>
          <w:szCs w:val="26"/>
        </w:rPr>
        <w:t>.</w:t>
      </w:r>
      <w:r w:rsidR="008776A1">
        <w:rPr>
          <w:rFonts w:ascii="Times New Roman" w:hAnsi="Times New Roman"/>
          <w:sz w:val="26"/>
          <w:szCs w:val="26"/>
        </w:rPr>
        <w:t xml:space="preserve">  </w:t>
      </w:r>
    </w:p>
    <w:p w:rsidR="00E36ECA" w:rsidRDefault="00E36ECA" w:rsidP="003C6BFD">
      <w:pPr>
        <w:rPr>
          <w:rFonts w:ascii="Times New Roman" w:hAnsi="Times New Roman"/>
          <w:sz w:val="26"/>
          <w:szCs w:val="26"/>
        </w:rPr>
      </w:pPr>
    </w:p>
    <w:p w:rsidR="0021743A" w:rsidRDefault="00E36ECA" w:rsidP="003C6BFD">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6B520B">
        <w:rPr>
          <w:rFonts w:ascii="Times New Roman" w:hAnsi="Times New Roman"/>
          <w:sz w:val="26"/>
          <w:szCs w:val="26"/>
        </w:rPr>
        <w:t xml:space="preserve">Consistent with our </w:t>
      </w:r>
      <w:r w:rsidR="00891939">
        <w:rPr>
          <w:rFonts w:ascii="Times New Roman" w:hAnsi="Times New Roman"/>
          <w:sz w:val="26"/>
          <w:szCs w:val="26"/>
        </w:rPr>
        <w:t>discussion</w:t>
      </w:r>
      <w:r w:rsidR="00C2315A">
        <w:rPr>
          <w:rFonts w:ascii="Times New Roman" w:hAnsi="Times New Roman"/>
          <w:sz w:val="26"/>
          <w:szCs w:val="26"/>
        </w:rPr>
        <w:t xml:space="preserve"> in </w:t>
      </w:r>
      <w:r w:rsidR="00C2315A" w:rsidRPr="00C2315A">
        <w:rPr>
          <w:rFonts w:ascii="Times New Roman" w:hAnsi="Times New Roman"/>
          <w:i/>
          <w:sz w:val="26"/>
          <w:szCs w:val="26"/>
        </w:rPr>
        <w:t>PPL DSP II</w:t>
      </w:r>
      <w:r w:rsidR="00C2315A">
        <w:rPr>
          <w:rFonts w:ascii="Times New Roman" w:hAnsi="Times New Roman"/>
          <w:sz w:val="26"/>
          <w:szCs w:val="26"/>
        </w:rPr>
        <w:t xml:space="preserve">, </w:t>
      </w:r>
      <w:r w:rsidR="00891939">
        <w:rPr>
          <w:rFonts w:ascii="Times New Roman" w:hAnsi="Times New Roman"/>
          <w:sz w:val="26"/>
          <w:szCs w:val="26"/>
        </w:rPr>
        <w:t>we are concerned that the imposition of a non-</w:t>
      </w:r>
      <w:proofErr w:type="spellStart"/>
      <w:r w:rsidR="00891939">
        <w:rPr>
          <w:rFonts w:ascii="Times New Roman" w:hAnsi="Times New Roman"/>
          <w:sz w:val="26"/>
          <w:szCs w:val="26"/>
        </w:rPr>
        <w:t>bypassable</w:t>
      </w:r>
      <w:proofErr w:type="spellEnd"/>
      <w:r w:rsidR="00891939">
        <w:rPr>
          <w:rFonts w:ascii="Times New Roman" w:hAnsi="Times New Roman"/>
          <w:sz w:val="26"/>
          <w:szCs w:val="26"/>
        </w:rPr>
        <w:t xml:space="preserve"> charge would interrupt existing contracts between EGSs and their customers, which already account for NMB costs, and</w:t>
      </w:r>
      <w:r w:rsidR="004D7940">
        <w:rPr>
          <w:rFonts w:ascii="Times New Roman" w:hAnsi="Times New Roman"/>
          <w:sz w:val="26"/>
          <w:szCs w:val="26"/>
        </w:rPr>
        <w:t xml:space="preserve"> may lead to the possibility of double-recovery of those costs.</w:t>
      </w:r>
      <w:r w:rsidR="00BE3E85">
        <w:rPr>
          <w:rFonts w:ascii="Times New Roman" w:hAnsi="Times New Roman"/>
          <w:sz w:val="26"/>
          <w:szCs w:val="26"/>
        </w:rPr>
        <w:t xml:space="preserve">  While RESA maintains</w:t>
      </w:r>
      <w:r w:rsidR="004D7940">
        <w:rPr>
          <w:rFonts w:ascii="Times New Roman" w:hAnsi="Times New Roman"/>
          <w:sz w:val="26"/>
          <w:szCs w:val="26"/>
        </w:rPr>
        <w:t xml:space="preserve"> that such transition issues can be resolved, we find the record evidence to be insufficient to allow us to e</w:t>
      </w:r>
      <w:r w:rsidR="00BE3E85">
        <w:rPr>
          <w:rFonts w:ascii="Times New Roman" w:hAnsi="Times New Roman"/>
          <w:sz w:val="26"/>
          <w:szCs w:val="26"/>
        </w:rPr>
        <w:t xml:space="preserve">valuate </w:t>
      </w:r>
      <w:r w:rsidR="004D7940">
        <w:rPr>
          <w:rFonts w:ascii="Times New Roman" w:hAnsi="Times New Roman"/>
          <w:sz w:val="26"/>
          <w:szCs w:val="26"/>
        </w:rPr>
        <w:t xml:space="preserve">possible solutions to </w:t>
      </w:r>
      <w:r w:rsidR="00BE3E85">
        <w:rPr>
          <w:rFonts w:ascii="Times New Roman" w:hAnsi="Times New Roman"/>
          <w:sz w:val="26"/>
          <w:szCs w:val="26"/>
        </w:rPr>
        <w:t>these issues.</w:t>
      </w:r>
      <w:r w:rsidR="0011210F">
        <w:rPr>
          <w:rFonts w:ascii="Times New Roman" w:hAnsi="Times New Roman"/>
          <w:sz w:val="26"/>
          <w:szCs w:val="26"/>
        </w:rPr>
        <w:t xml:space="preserve">  </w:t>
      </w:r>
      <w:r w:rsidR="00F91624">
        <w:rPr>
          <w:rFonts w:ascii="Times New Roman" w:hAnsi="Times New Roman"/>
          <w:sz w:val="26"/>
          <w:szCs w:val="26"/>
        </w:rPr>
        <w:t xml:space="preserve">Moreover, we agree with PPLICA that </w:t>
      </w:r>
      <w:r w:rsidR="003A4DB4">
        <w:rPr>
          <w:rFonts w:ascii="Times New Roman" w:hAnsi="Times New Roman"/>
          <w:sz w:val="26"/>
          <w:szCs w:val="26"/>
        </w:rPr>
        <w:t>including NMB costs relating to shopping load in a non-</w:t>
      </w:r>
      <w:proofErr w:type="spellStart"/>
      <w:r w:rsidR="003A4DB4">
        <w:rPr>
          <w:rFonts w:ascii="Times New Roman" w:hAnsi="Times New Roman"/>
          <w:sz w:val="26"/>
          <w:szCs w:val="26"/>
        </w:rPr>
        <w:t>bypassable</w:t>
      </w:r>
      <w:proofErr w:type="spellEnd"/>
      <w:r w:rsidR="003A4DB4">
        <w:rPr>
          <w:rFonts w:ascii="Times New Roman" w:hAnsi="Times New Roman"/>
          <w:sz w:val="26"/>
          <w:szCs w:val="26"/>
        </w:rPr>
        <w:t xml:space="preserve"> charge would eliminate the option for </w:t>
      </w:r>
      <w:r w:rsidR="00586A91">
        <w:rPr>
          <w:rFonts w:ascii="Times New Roman" w:hAnsi="Times New Roman"/>
          <w:sz w:val="26"/>
          <w:szCs w:val="26"/>
        </w:rPr>
        <w:t xml:space="preserve">shopping </w:t>
      </w:r>
      <w:r w:rsidR="003A4DB4">
        <w:rPr>
          <w:rFonts w:ascii="Times New Roman" w:hAnsi="Times New Roman"/>
          <w:sz w:val="26"/>
          <w:szCs w:val="26"/>
        </w:rPr>
        <w:t>customers to choose the stability of fixed-price contracts with EGSs that include NMB costs, or to negoti</w:t>
      </w:r>
      <w:r w:rsidR="00CC25B6">
        <w:rPr>
          <w:rFonts w:ascii="Times New Roman" w:hAnsi="Times New Roman"/>
          <w:sz w:val="26"/>
          <w:szCs w:val="26"/>
        </w:rPr>
        <w:t>ate the terms of s</w:t>
      </w:r>
      <w:r w:rsidR="005E46AB">
        <w:rPr>
          <w:rFonts w:ascii="Times New Roman" w:hAnsi="Times New Roman"/>
          <w:sz w:val="26"/>
          <w:szCs w:val="26"/>
        </w:rPr>
        <w:t>uch contracts in relation to these</w:t>
      </w:r>
      <w:r w:rsidR="00CC25B6">
        <w:rPr>
          <w:rFonts w:ascii="Times New Roman" w:hAnsi="Times New Roman"/>
          <w:sz w:val="26"/>
          <w:szCs w:val="26"/>
        </w:rPr>
        <w:t xml:space="preserve"> costs.</w:t>
      </w:r>
      <w:r w:rsidR="0021743A">
        <w:rPr>
          <w:rFonts w:ascii="Times New Roman" w:hAnsi="Times New Roman"/>
          <w:sz w:val="26"/>
          <w:szCs w:val="26"/>
        </w:rPr>
        <w:t xml:space="preserve"> </w:t>
      </w:r>
    </w:p>
    <w:p w:rsidR="0019796D" w:rsidRPr="0019796D" w:rsidRDefault="0019796D" w:rsidP="003C6BFD">
      <w:pPr>
        <w:rPr>
          <w:rFonts w:ascii="Times New Roman" w:hAnsi="Times New Roman"/>
          <w:sz w:val="26"/>
          <w:szCs w:val="26"/>
        </w:rPr>
      </w:pPr>
    </w:p>
    <w:p w:rsidR="00E36ECA" w:rsidRDefault="009648B2" w:rsidP="003C6BFD">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BE3E85">
        <w:rPr>
          <w:rFonts w:ascii="Times New Roman" w:hAnsi="Times New Roman"/>
          <w:sz w:val="26"/>
          <w:szCs w:val="26"/>
        </w:rPr>
        <w:t xml:space="preserve">RESA points to </w:t>
      </w:r>
      <w:r w:rsidR="00BE3E85" w:rsidRPr="00BE3E85">
        <w:rPr>
          <w:rFonts w:ascii="Times New Roman" w:hAnsi="Times New Roman"/>
          <w:i/>
          <w:sz w:val="26"/>
          <w:szCs w:val="26"/>
        </w:rPr>
        <w:t>FirstEnergy DSP III</w:t>
      </w:r>
      <w:r w:rsidR="00BE3E85">
        <w:rPr>
          <w:rFonts w:ascii="Times New Roman" w:hAnsi="Times New Roman"/>
          <w:sz w:val="26"/>
          <w:szCs w:val="26"/>
        </w:rPr>
        <w:t xml:space="preserve">, in which we approved a plan that allows the FirstEnergy Companies to recover some, but not all NMB costs </w:t>
      </w:r>
      <w:r w:rsidR="005E46AB">
        <w:rPr>
          <w:rFonts w:ascii="Times New Roman" w:hAnsi="Times New Roman"/>
          <w:sz w:val="26"/>
          <w:szCs w:val="26"/>
        </w:rPr>
        <w:t>through a non-</w:t>
      </w:r>
      <w:proofErr w:type="spellStart"/>
      <w:r w:rsidR="005E46AB">
        <w:rPr>
          <w:rFonts w:ascii="Times New Roman" w:hAnsi="Times New Roman"/>
          <w:sz w:val="26"/>
          <w:szCs w:val="26"/>
        </w:rPr>
        <w:t>bypassable</w:t>
      </w:r>
      <w:proofErr w:type="spellEnd"/>
      <w:r w:rsidR="005E46AB">
        <w:rPr>
          <w:rFonts w:ascii="Times New Roman" w:hAnsi="Times New Roman"/>
          <w:sz w:val="26"/>
          <w:szCs w:val="26"/>
        </w:rPr>
        <w:t xml:space="preserve"> charge.  RESA</w:t>
      </w:r>
      <w:r w:rsidR="00BE3E85">
        <w:rPr>
          <w:rFonts w:ascii="Times New Roman" w:hAnsi="Times New Roman"/>
          <w:sz w:val="26"/>
          <w:szCs w:val="26"/>
        </w:rPr>
        <w:t xml:space="preserve"> </w:t>
      </w:r>
      <w:r w:rsidR="0011210F">
        <w:rPr>
          <w:rFonts w:ascii="Times New Roman" w:hAnsi="Times New Roman"/>
          <w:sz w:val="26"/>
          <w:szCs w:val="26"/>
        </w:rPr>
        <w:t>requests that we adopt a similar approach here, should we reject RESA</w:t>
      </w:r>
      <w:r w:rsidR="00803C65">
        <w:rPr>
          <w:rFonts w:ascii="Times New Roman" w:hAnsi="Times New Roman"/>
          <w:sz w:val="26"/>
          <w:szCs w:val="26"/>
        </w:rPr>
        <w:t>’</w:t>
      </w:r>
      <w:r w:rsidR="0011210F">
        <w:rPr>
          <w:rFonts w:ascii="Times New Roman" w:hAnsi="Times New Roman"/>
          <w:sz w:val="26"/>
          <w:szCs w:val="26"/>
        </w:rPr>
        <w:t xml:space="preserve">s primary recommendation that </w:t>
      </w:r>
      <w:r w:rsidR="0011210F" w:rsidRPr="0011210F">
        <w:rPr>
          <w:rFonts w:ascii="Times New Roman" w:hAnsi="Times New Roman"/>
          <w:i/>
          <w:sz w:val="26"/>
          <w:szCs w:val="26"/>
        </w:rPr>
        <w:t>all</w:t>
      </w:r>
      <w:r w:rsidR="0011210F">
        <w:rPr>
          <w:rFonts w:ascii="Times New Roman" w:hAnsi="Times New Roman"/>
          <w:sz w:val="26"/>
          <w:szCs w:val="26"/>
        </w:rPr>
        <w:t xml:space="preserve"> NMB costs be recovered through the</w:t>
      </w:r>
      <w:r w:rsidR="0011210F" w:rsidRPr="0011210F">
        <w:rPr>
          <w:rFonts w:ascii="Times New Roman" w:hAnsi="Times New Roman"/>
          <w:sz w:val="26"/>
          <w:szCs w:val="26"/>
        </w:rPr>
        <w:t xml:space="preserve"> </w:t>
      </w:r>
      <w:r w:rsidR="0011210F">
        <w:rPr>
          <w:rFonts w:ascii="Times New Roman" w:hAnsi="Times New Roman"/>
          <w:sz w:val="26"/>
          <w:szCs w:val="26"/>
        </w:rPr>
        <w:t>non-</w:t>
      </w:r>
      <w:proofErr w:type="spellStart"/>
      <w:r w:rsidR="0011210F">
        <w:rPr>
          <w:rFonts w:ascii="Times New Roman" w:hAnsi="Times New Roman"/>
          <w:sz w:val="26"/>
          <w:szCs w:val="26"/>
        </w:rPr>
        <w:t>bypassable</w:t>
      </w:r>
      <w:proofErr w:type="spellEnd"/>
      <w:r w:rsidR="0011210F">
        <w:rPr>
          <w:rFonts w:ascii="Times New Roman" w:hAnsi="Times New Roman"/>
          <w:sz w:val="26"/>
          <w:szCs w:val="26"/>
        </w:rPr>
        <w:t xml:space="preserve"> charge.  However, we note that the plan adopted in </w:t>
      </w:r>
      <w:r w:rsidR="0011210F" w:rsidRPr="00BE3E85">
        <w:rPr>
          <w:rFonts w:ascii="Times New Roman" w:hAnsi="Times New Roman"/>
          <w:i/>
          <w:sz w:val="26"/>
          <w:szCs w:val="26"/>
        </w:rPr>
        <w:t>FirstEnergy DSP III</w:t>
      </w:r>
      <w:r w:rsidR="0011210F">
        <w:rPr>
          <w:rFonts w:ascii="Times New Roman" w:hAnsi="Times New Roman"/>
          <w:sz w:val="26"/>
          <w:szCs w:val="26"/>
        </w:rPr>
        <w:t xml:space="preserve"> was developed and presented as part of a settlement, in which the parties to the settlement </w:t>
      </w:r>
      <w:r w:rsidR="00280478">
        <w:rPr>
          <w:rFonts w:ascii="Times New Roman" w:hAnsi="Times New Roman"/>
          <w:sz w:val="26"/>
          <w:szCs w:val="26"/>
        </w:rPr>
        <w:t>agreed to the inclusion of certain NMB charges in the FirstEnergy Companies</w:t>
      </w:r>
      <w:r w:rsidR="00803C65">
        <w:rPr>
          <w:rFonts w:ascii="Times New Roman" w:hAnsi="Times New Roman"/>
          <w:sz w:val="26"/>
          <w:szCs w:val="26"/>
        </w:rPr>
        <w:t>’</w:t>
      </w:r>
      <w:r w:rsidR="00280478">
        <w:rPr>
          <w:rFonts w:ascii="Times New Roman" w:hAnsi="Times New Roman"/>
          <w:sz w:val="26"/>
          <w:szCs w:val="26"/>
        </w:rPr>
        <w:t xml:space="preserve"> existing Default Service Supply Rider.  </w:t>
      </w:r>
      <w:r w:rsidR="00F91624" w:rsidRPr="00F91624">
        <w:rPr>
          <w:rFonts w:ascii="Times New Roman" w:hAnsi="Times New Roman"/>
          <w:i/>
          <w:sz w:val="26"/>
          <w:szCs w:val="26"/>
        </w:rPr>
        <w:t>See</w:t>
      </w:r>
      <w:r w:rsidR="00F91624">
        <w:rPr>
          <w:rFonts w:ascii="Times New Roman" w:hAnsi="Times New Roman"/>
          <w:i/>
          <w:sz w:val="26"/>
          <w:szCs w:val="26"/>
        </w:rPr>
        <w:t>,</w:t>
      </w:r>
      <w:r w:rsidR="00F91624" w:rsidRPr="00F91624">
        <w:rPr>
          <w:rFonts w:ascii="Times New Roman" w:hAnsi="Times New Roman"/>
          <w:i/>
          <w:sz w:val="26"/>
          <w:szCs w:val="26"/>
        </w:rPr>
        <w:t xml:space="preserve"> </w:t>
      </w:r>
      <w:r w:rsidR="00F91624" w:rsidRPr="00BE3E85">
        <w:rPr>
          <w:rFonts w:ascii="Times New Roman" w:hAnsi="Times New Roman"/>
          <w:i/>
          <w:sz w:val="26"/>
          <w:szCs w:val="26"/>
        </w:rPr>
        <w:t>FirstEnergy DSP III</w:t>
      </w:r>
      <w:r w:rsidR="00F91624">
        <w:rPr>
          <w:rFonts w:ascii="Times New Roman" w:hAnsi="Times New Roman"/>
          <w:sz w:val="26"/>
          <w:szCs w:val="26"/>
        </w:rPr>
        <w:t xml:space="preserve"> at 13-14.  </w:t>
      </w:r>
      <w:r w:rsidR="00280478">
        <w:rPr>
          <w:rFonts w:ascii="Times New Roman" w:hAnsi="Times New Roman"/>
          <w:sz w:val="26"/>
          <w:szCs w:val="26"/>
        </w:rPr>
        <w:t>No such agreement was reached in this proceeding.</w:t>
      </w:r>
    </w:p>
    <w:p w:rsidR="0021743A" w:rsidRDefault="0021743A" w:rsidP="003C6BFD">
      <w:pPr>
        <w:rPr>
          <w:rFonts w:ascii="Times New Roman" w:hAnsi="Times New Roman"/>
          <w:sz w:val="26"/>
          <w:szCs w:val="26"/>
        </w:rPr>
      </w:pPr>
    </w:p>
    <w:p w:rsidR="0021743A" w:rsidRDefault="0021743A" w:rsidP="00880A70">
      <w:pPr>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In addition, we do not agree with RESA</w:t>
      </w:r>
      <w:r w:rsidR="00803C65">
        <w:rPr>
          <w:rFonts w:ascii="Times New Roman" w:hAnsi="Times New Roman"/>
          <w:sz w:val="26"/>
          <w:szCs w:val="26"/>
        </w:rPr>
        <w:t>’</w:t>
      </w:r>
      <w:r>
        <w:rPr>
          <w:rFonts w:ascii="Times New Roman" w:hAnsi="Times New Roman"/>
          <w:sz w:val="26"/>
          <w:szCs w:val="26"/>
        </w:rPr>
        <w:t>s contention that PPL</w:t>
      </w:r>
      <w:r w:rsidR="00803C65">
        <w:rPr>
          <w:rFonts w:ascii="Times New Roman" w:hAnsi="Times New Roman"/>
          <w:sz w:val="26"/>
          <w:szCs w:val="26"/>
        </w:rPr>
        <w:t>’</w:t>
      </w:r>
      <w:r>
        <w:rPr>
          <w:rFonts w:ascii="Times New Roman" w:hAnsi="Times New Roman"/>
          <w:sz w:val="26"/>
          <w:szCs w:val="26"/>
        </w:rPr>
        <w:t xml:space="preserve">s recovery of NMB </w:t>
      </w:r>
      <w:r w:rsidR="00DD33C2">
        <w:rPr>
          <w:rFonts w:ascii="Times New Roman" w:hAnsi="Times New Roman"/>
          <w:sz w:val="26"/>
          <w:szCs w:val="26"/>
        </w:rPr>
        <w:t xml:space="preserve">costs only for default service load </w:t>
      </w:r>
      <w:r w:rsidR="003D3FC6">
        <w:rPr>
          <w:rFonts w:ascii="Times New Roman" w:hAnsi="Times New Roman"/>
          <w:sz w:val="26"/>
          <w:szCs w:val="26"/>
        </w:rPr>
        <w:t xml:space="preserve">amounts to discriminatory access </w:t>
      </w:r>
      <w:r w:rsidR="005E46AB">
        <w:rPr>
          <w:rFonts w:ascii="Times New Roman" w:hAnsi="Times New Roman"/>
          <w:sz w:val="26"/>
          <w:szCs w:val="26"/>
        </w:rPr>
        <w:t>to the Company</w:t>
      </w:r>
      <w:r w:rsidR="00803C65">
        <w:rPr>
          <w:rFonts w:ascii="Times New Roman" w:hAnsi="Times New Roman"/>
          <w:sz w:val="26"/>
          <w:szCs w:val="26"/>
        </w:rPr>
        <w:t>’</w:t>
      </w:r>
      <w:r w:rsidR="005E46AB">
        <w:rPr>
          <w:rFonts w:ascii="Times New Roman" w:hAnsi="Times New Roman"/>
          <w:sz w:val="26"/>
          <w:szCs w:val="26"/>
        </w:rPr>
        <w:t>s</w:t>
      </w:r>
      <w:r w:rsidR="00C24095">
        <w:rPr>
          <w:rFonts w:ascii="Times New Roman" w:hAnsi="Times New Roman"/>
          <w:sz w:val="26"/>
          <w:szCs w:val="26"/>
        </w:rPr>
        <w:t xml:space="preserve"> distribution and transmission </w:t>
      </w:r>
      <w:r w:rsidR="00935235">
        <w:rPr>
          <w:rFonts w:ascii="Times New Roman" w:hAnsi="Times New Roman"/>
          <w:sz w:val="26"/>
          <w:szCs w:val="26"/>
        </w:rPr>
        <w:t>facilities in violation of the Competition Act.</w:t>
      </w:r>
      <w:r w:rsidR="00A41EFE">
        <w:rPr>
          <w:rFonts w:ascii="Times New Roman" w:hAnsi="Times New Roman"/>
          <w:sz w:val="26"/>
          <w:szCs w:val="26"/>
        </w:rPr>
        <w:t xml:space="preserve">  </w:t>
      </w:r>
      <w:r w:rsidR="00935235">
        <w:rPr>
          <w:rFonts w:ascii="Times New Roman" w:hAnsi="Times New Roman"/>
          <w:sz w:val="26"/>
          <w:szCs w:val="26"/>
        </w:rPr>
        <w:t>Section 2804(6) of the Code provides as follows:</w:t>
      </w:r>
    </w:p>
    <w:p w:rsidR="00131361" w:rsidRDefault="00131361" w:rsidP="00880A70">
      <w:pPr>
        <w:rPr>
          <w:rFonts w:ascii="Times New Roman" w:hAnsi="Times New Roman"/>
          <w:sz w:val="26"/>
          <w:szCs w:val="26"/>
        </w:rPr>
      </w:pPr>
    </w:p>
    <w:p w:rsidR="00935235" w:rsidRDefault="00131361" w:rsidP="00131361">
      <w:pPr>
        <w:spacing w:line="240" w:lineRule="auto"/>
        <w:ind w:left="1440" w:right="1440"/>
        <w:rPr>
          <w:rFonts w:ascii="Times New Roman" w:hAnsi="Times New Roman"/>
          <w:sz w:val="26"/>
          <w:szCs w:val="26"/>
        </w:rPr>
      </w:pPr>
      <w:r w:rsidRPr="00131361">
        <w:rPr>
          <w:rFonts w:ascii="Times New Roman" w:hAnsi="Times New Roman"/>
          <w:sz w:val="26"/>
          <w:szCs w:val="26"/>
        </w:rPr>
        <w:t>Consistent with the</w:t>
      </w:r>
      <w:r>
        <w:rPr>
          <w:rFonts w:ascii="Times New Roman" w:hAnsi="Times New Roman"/>
          <w:sz w:val="26"/>
          <w:szCs w:val="26"/>
        </w:rPr>
        <w:t xml:space="preserve"> provision of section 2806, the </w:t>
      </w:r>
      <w:r w:rsidRPr="00131361">
        <w:rPr>
          <w:rFonts w:ascii="Times New Roman" w:hAnsi="Times New Roman"/>
          <w:sz w:val="26"/>
          <w:szCs w:val="26"/>
        </w:rPr>
        <w:t>commission shall require that a public utility that owns or operates jurisdictional transmission and distribution facilities shall provide transmission and distribution service to all retail electric customers in their service territory and to electric cooperative corporations and electric generation suppliers, affiliated or nonaffiliated, on rates, terms of access and conditions that are comparable to the utility</w:t>
      </w:r>
      <w:r w:rsidR="00803C65">
        <w:rPr>
          <w:rFonts w:ascii="Times New Roman" w:hAnsi="Times New Roman"/>
          <w:sz w:val="26"/>
          <w:szCs w:val="26"/>
        </w:rPr>
        <w:t>’</w:t>
      </w:r>
      <w:r w:rsidRPr="00131361">
        <w:rPr>
          <w:rFonts w:ascii="Times New Roman" w:hAnsi="Times New Roman"/>
          <w:sz w:val="26"/>
          <w:szCs w:val="26"/>
        </w:rPr>
        <w:t>s own use of its system.</w:t>
      </w:r>
    </w:p>
    <w:p w:rsidR="00131361" w:rsidRDefault="00131361" w:rsidP="00880A70">
      <w:pPr>
        <w:rPr>
          <w:rFonts w:ascii="Times New Roman" w:hAnsi="Times New Roman"/>
          <w:sz w:val="26"/>
          <w:szCs w:val="26"/>
        </w:rPr>
      </w:pPr>
    </w:p>
    <w:p w:rsidR="00A41EFE" w:rsidRPr="00A41EFE" w:rsidRDefault="00A41EFE" w:rsidP="00A41EFE">
      <w:pPr>
        <w:rPr>
          <w:rFonts w:ascii="Times New Roman" w:hAnsi="Times New Roman"/>
          <w:sz w:val="26"/>
          <w:szCs w:val="26"/>
        </w:rPr>
      </w:pPr>
      <w:r>
        <w:rPr>
          <w:rFonts w:ascii="Times New Roman" w:hAnsi="Times New Roman"/>
          <w:sz w:val="26"/>
          <w:szCs w:val="26"/>
        </w:rPr>
        <w:t xml:space="preserve">Under the current approach, both PPL and the EGSs—as LSEs—are responsible for paying NMB charges to PJM relating to the respective loads they serve.  While the methods used to recover these charges from customers differ between PPL and the EGSs, there is no evidence of record to indicate that the </w:t>
      </w:r>
      <w:r w:rsidR="00803C65">
        <w:rPr>
          <w:rFonts w:ascii="Times New Roman" w:hAnsi="Times New Roman"/>
          <w:sz w:val="26"/>
          <w:szCs w:val="26"/>
        </w:rPr>
        <w:t>“</w:t>
      </w:r>
      <w:r w:rsidRPr="00A41EFE">
        <w:rPr>
          <w:rFonts w:ascii="Times New Roman" w:hAnsi="Times New Roman"/>
          <w:sz w:val="26"/>
          <w:szCs w:val="26"/>
        </w:rPr>
        <w:t>rates, terms of access and conditions</w:t>
      </w:r>
      <w:r w:rsidR="00803C65">
        <w:rPr>
          <w:rFonts w:ascii="Times New Roman" w:hAnsi="Times New Roman"/>
          <w:sz w:val="26"/>
          <w:szCs w:val="26"/>
        </w:rPr>
        <w:t>”</w:t>
      </w:r>
      <w:r>
        <w:rPr>
          <w:rFonts w:ascii="Times New Roman" w:hAnsi="Times New Roman"/>
          <w:sz w:val="26"/>
          <w:szCs w:val="26"/>
        </w:rPr>
        <w:t xml:space="preserve"> </w:t>
      </w:r>
      <w:r w:rsidR="00822BF4">
        <w:rPr>
          <w:rFonts w:ascii="Times New Roman" w:hAnsi="Times New Roman"/>
          <w:sz w:val="26"/>
          <w:szCs w:val="26"/>
        </w:rPr>
        <w:t>under which the EGSs incur these charges are not</w:t>
      </w:r>
      <w:r>
        <w:rPr>
          <w:rFonts w:ascii="Times New Roman" w:hAnsi="Times New Roman"/>
          <w:sz w:val="26"/>
          <w:szCs w:val="26"/>
        </w:rPr>
        <w:t xml:space="preserve"> </w:t>
      </w:r>
      <w:r w:rsidR="00F72675">
        <w:rPr>
          <w:rFonts w:ascii="Times New Roman" w:hAnsi="Times New Roman"/>
          <w:sz w:val="26"/>
          <w:szCs w:val="26"/>
        </w:rPr>
        <w:t xml:space="preserve">comparable to those under which PPL incurs </w:t>
      </w:r>
      <w:r w:rsidR="005E46AB">
        <w:rPr>
          <w:rFonts w:ascii="Times New Roman" w:hAnsi="Times New Roman"/>
          <w:sz w:val="26"/>
          <w:szCs w:val="26"/>
        </w:rPr>
        <w:t>them.</w:t>
      </w:r>
    </w:p>
    <w:p w:rsidR="00880A70" w:rsidRDefault="008447F9" w:rsidP="00880A70">
      <w:pPr>
        <w:rPr>
          <w:rFonts w:ascii="Times New Roman" w:hAnsi="Times New Roman"/>
          <w:sz w:val="26"/>
          <w:szCs w:val="26"/>
        </w:rPr>
      </w:pPr>
      <w:r>
        <w:rPr>
          <w:rFonts w:ascii="Times New Roman" w:hAnsi="Times New Roman"/>
          <w:sz w:val="26"/>
          <w:szCs w:val="26"/>
        </w:rPr>
        <w:t xml:space="preserve"> </w:t>
      </w:r>
    </w:p>
    <w:p w:rsidR="000172F3" w:rsidRDefault="000172F3" w:rsidP="00880A70">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21743A">
        <w:rPr>
          <w:rFonts w:ascii="Times New Roman" w:hAnsi="Times New Roman"/>
          <w:sz w:val="26"/>
          <w:szCs w:val="26"/>
        </w:rPr>
        <w:t>Finally</w:t>
      </w:r>
      <w:r>
        <w:rPr>
          <w:rFonts w:ascii="Times New Roman" w:hAnsi="Times New Roman"/>
          <w:sz w:val="26"/>
          <w:szCs w:val="26"/>
        </w:rPr>
        <w:t>, we do not agree with RESA</w:t>
      </w:r>
      <w:r w:rsidR="00803C65">
        <w:rPr>
          <w:rFonts w:ascii="Times New Roman" w:hAnsi="Times New Roman"/>
          <w:sz w:val="26"/>
          <w:szCs w:val="26"/>
        </w:rPr>
        <w:t>’</w:t>
      </w:r>
      <w:r>
        <w:rPr>
          <w:rFonts w:ascii="Times New Roman" w:hAnsi="Times New Roman"/>
          <w:sz w:val="26"/>
          <w:szCs w:val="26"/>
        </w:rPr>
        <w:t xml:space="preserve">s contention that the </w:t>
      </w:r>
      <w:r w:rsidRPr="00087B40">
        <w:rPr>
          <w:rFonts w:ascii="Times New Roman" w:hAnsi="Times New Roman"/>
          <w:i/>
          <w:sz w:val="26"/>
          <w:szCs w:val="26"/>
        </w:rPr>
        <w:t>Fixed Price Order</w:t>
      </w:r>
      <w:r>
        <w:rPr>
          <w:rFonts w:ascii="Times New Roman" w:hAnsi="Times New Roman"/>
          <w:sz w:val="26"/>
          <w:szCs w:val="26"/>
        </w:rPr>
        <w:t xml:space="preserve"> now limits an EGS</w:t>
      </w:r>
      <w:r w:rsidR="00803C65">
        <w:rPr>
          <w:rFonts w:ascii="Times New Roman" w:hAnsi="Times New Roman"/>
          <w:sz w:val="26"/>
          <w:szCs w:val="26"/>
        </w:rPr>
        <w:t>’</w:t>
      </w:r>
      <w:r>
        <w:rPr>
          <w:rFonts w:ascii="Times New Roman" w:hAnsi="Times New Roman"/>
          <w:sz w:val="26"/>
          <w:szCs w:val="26"/>
        </w:rPr>
        <w:t xml:space="preserve">s ability to account for changes in NMB costs in the prices it charges customers.  The </w:t>
      </w:r>
      <w:r w:rsidRPr="009A7CD7">
        <w:rPr>
          <w:rFonts w:ascii="Times New Roman" w:hAnsi="Times New Roman"/>
          <w:i/>
          <w:sz w:val="26"/>
          <w:szCs w:val="26"/>
        </w:rPr>
        <w:t>Fixed Price Order</w:t>
      </w:r>
      <w:r>
        <w:rPr>
          <w:rFonts w:ascii="Times New Roman" w:hAnsi="Times New Roman"/>
          <w:sz w:val="26"/>
          <w:szCs w:val="26"/>
        </w:rPr>
        <w:t xml:space="preserve"> prohibits a </w:t>
      </w:r>
      <w:r w:rsidR="00803C65">
        <w:rPr>
          <w:rFonts w:ascii="Times New Roman" w:hAnsi="Times New Roman"/>
          <w:sz w:val="26"/>
          <w:szCs w:val="26"/>
        </w:rPr>
        <w:t>“</w:t>
      </w:r>
      <w:r>
        <w:rPr>
          <w:rFonts w:ascii="Times New Roman" w:hAnsi="Times New Roman"/>
          <w:sz w:val="26"/>
          <w:szCs w:val="26"/>
        </w:rPr>
        <w:t>fixed price</w:t>
      </w:r>
      <w:r w:rsidR="00803C65">
        <w:rPr>
          <w:rFonts w:ascii="Times New Roman" w:hAnsi="Times New Roman"/>
          <w:sz w:val="26"/>
          <w:szCs w:val="26"/>
        </w:rPr>
        <w:t>”</w:t>
      </w:r>
      <w:r>
        <w:rPr>
          <w:rFonts w:ascii="Times New Roman" w:hAnsi="Times New Roman"/>
          <w:sz w:val="26"/>
          <w:szCs w:val="26"/>
        </w:rPr>
        <w:t xml:space="preserve"> product from changing in price during the t</w:t>
      </w:r>
      <w:r w:rsidR="00DC75F7">
        <w:rPr>
          <w:rFonts w:ascii="Times New Roman" w:hAnsi="Times New Roman"/>
          <w:sz w:val="26"/>
          <w:szCs w:val="26"/>
        </w:rPr>
        <w:t>erm of the agreement, but permits</w:t>
      </w:r>
      <w:r>
        <w:rPr>
          <w:rFonts w:ascii="Times New Roman" w:hAnsi="Times New Roman"/>
          <w:sz w:val="26"/>
          <w:szCs w:val="26"/>
        </w:rPr>
        <w:t xml:space="preserve"> an EGS </w:t>
      </w:r>
      <w:r w:rsidR="00803C65">
        <w:rPr>
          <w:rFonts w:ascii="Times New Roman" w:hAnsi="Times New Roman"/>
          <w:sz w:val="26"/>
          <w:szCs w:val="26"/>
        </w:rPr>
        <w:t>“</w:t>
      </w:r>
      <w:r w:rsidRPr="00317EBC">
        <w:rPr>
          <w:rFonts w:ascii="Times New Roman" w:hAnsi="Times New Roman"/>
          <w:sz w:val="26"/>
          <w:szCs w:val="24"/>
        </w:rPr>
        <w:t xml:space="preserve">the option of including in disclosure statements </w:t>
      </w:r>
      <w:r w:rsidRPr="00055769">
        <w:rPr>
          <w:rFonts w:ascii="Times New Roman" w:hAnsi="Times New Roman"/>
          <w:sz w:val="26"/>
          <w:szCs w:val="24"/>
        </w:rPr>
        <w:t>a provision that allows the EGS to</w:t>
      </w:r>
      <w:r>
        <w:rPr>
          <w:rFonts w:ascii="Times New Roman" w:hAnsi="Times New Roman"/>
          <w:sz w:val="26"/>
          <w:szCs w:val="24"/>
        </w:rPr>
        <w:t>,</w:t>
      </w:r>
      <w:r w:rsidRPr="00055769">
        <w:rPr>
          <w:rFonts w:ascii="Times New Roman" w:hAnsi="Times New Roman"/>
          <w:sz w:val="26"/>
          <w:szCs w:val="24"/>
        </w:rPr>
        <w:t xml:space="preserve"> in the event of an unan</w:t>
      </w:r>
      <w:r w:rsidRPr="00317EBC">
        <w:rPr>
          <w:rFonts w:ascii="Times New Roman" w:hAnsi="Times New Roman"/>
          <w:sz w:val="26"/>
          <w:szCs w:val="24"/>
        </w:rPr>
        <w:t>ticipated cost</w:t>
      </w:r>
      <w:r>
        <w:rPr>
          <w:rFonts w:ascii="Times New Roman" w:hAnsi="Times New Roman"/>
          <w:sz w:val="26"/>
          <w:szCs w:val="24"/>
        </w:rPr>
        <w:t xml:space="preserve">, </w:t>
      </w:r>
      <w:r w:rsidRPr="00317EBC">
        <w:rPr>
          <w:rFonts w:ascii="Times New Roman" w:hAnsi="Times New Roman"/>
          <w:sz w:val="26"/>
          <w:szCs w:val="24"/>
        </w:rPr>
        <w:t>reformulate the contract by proposing new contract terms to the customer, as long as the customer affirmatively consents.</w:t>
      </w:r>
      <w:r w:rsidR="00803C65">
        <w:rPr>
          <w:rFonts w:ascii="Times New Roman" w:hAnsi="Times New Roman"/>
          <w:sz w:val="26"/>
          <w:szCs w:val="24"/>
        </w:rPr>
        <w:t>”</w:t>
      </w:r>
      <w:r>
        <w:rPr>
          <w:rFonts w:ascii="Times New Roman" w:hAnsi="Times New Roman"/>
          <w:sz w:val="26"/>
          <w:szCs w:val="26"/>
        </w:rPr>
        <w:t xml:space="preserve">  </w:t>
      </w:r>
      <w:r w:rsidRPr="00936155">
        <w:rPr>
          <w:rFonts w:ascii="Times New Roman" w:hAnsi="Times New Roman"/>
          <w:i/>
          <w:sz w:val="26"/>
          <w:szCs w:val="26"/>
        </w:rPr>
        <w:t>Fixed Price Order</w:t>
      </w:r>
      <w:r>
        <w:rPr>
          <w:rFonts w:ascii="Times New Roman" w:hAnsi="Times New Roman"/>
          <w:sz w:val="26"/>
          <w:szCs w:val="26"/>
        </w:rPr>
        <w:t xml:space="preserve"> at 32.  Similar to our finding in </w:t>
      </w:r>
      <w:r>
        <w:rPr>
          <w:rFonts w:ascii="Times New Roman" w:hAnsi="Times New Roman"/>
          <w:i/>
          <w:sz w:val="26"/>
          <w:szCs w:val="26"/>
        </w:rPr>
        <w:t xml:space="preserve">FirstEnergy III </w:t>
      </w:r>
      <w:r>
        <w:rPr>
          <w:rFonts w:ascii="Times New Roman" w:hAnsi="Times New Roman"/>
          <w:sz w:val="26"/>
          <w:szCs w:val="26"/>
        </w:rPr>
        <w:t>with regard to the inclusion of NITS in a non-</w:t>
      </w:r>
      <w:proofErr w:type="spellStart"/>
      <w:r>
        <w:rPr>
          <w:rFonts w:ascii="Times New Roman" w:hAnsi="Times New Roman"/>
          <w:sz w:val="26"/>
          <w:szCs w:val="26"/>
        </w:rPr>
        <w:t>bypassable</w:t>
      </w:r>
      <w:proofErr w:type="spellEnd"/>
      <w:r>
        <w:rPr>
          <w:rFonts w:ascii="Times New Roman" w:hAnsi="Times New Roman"/>
          <w:sz w:val="26"/>
          <w:szCs w:val="26"/>
        </w:rPr>
        <w:t xml:space="preserve"> charge, we find the </w:t>
      </w:r>
      <w:r w:rsidRPr="00936155">
        <w:rPr>
          <w:rFonts w:ascii="Times New Roman" w:hAnsi="Times New Roman"/>
          <w:i/>
          <w:sz w:val="26"/>
          <w:szCs w:val="26"/>
        </w:rPr>
        <w:t>Fixed Price Order</w:t>
      </w:r>
      <w:r>
        <w:rPr>
          <w:rFonts w:ascii="Times New Roman" w:hAnsi="Times New Roman"/>
          <w:sz w:val="26"/>
          <w:szCs w:val="26"/>
        </w:rPr>
        <w:t xml:space="preserve"> does not amount to </w:t>
      </w:r>
      <w:r w:rsidR="00803C65">
        <w:rPr>
          <w:rFonts w:ascii="Times New Roman" w:hAnsi="Times New Roman"/>
          <w:sz w:val="26"/>
          <w:szCs w:val="26"/>
        </w:rPr>
        <w:t>“</w:t>
      </w:r>
      <w:r>
        <w:rPr>
          <w:rFonts w:ascii="Times New Roman" w:hAnsi="Times New Roman"/>
          <w:sz w:val="26"/>
          <w:szCs w:val="26"/>
        </w:rPr>
        <w:t xml:space="preserve">changed </w:t>
      </w:r>
      <w:r>
        <w:rPr>
          <w:rFonts w:ascii="Times New Roman" w:hAnsi="Times New Roman"/>
          <w:sz w:val="26"/>
          <w:szCs w:val="26"/>
        </w:rPr>
        <w:lastRenderedPageBreak/>
        <w:t>circumstances</w:t>
      </w:r>
      <w:r w:rsidR="00803C65">
        <w:rPr>
          <w:rFonts w:ascii="Times New Roman" w:hAnsi="Times New Roman"/>
          <w:sz w:val="26"/>
          <w:szCs w:val="26"/>
        </w:rPr>
        <w:t>”</w:t>
      </w:r>
      <w:r>
        <w:rPr>
          <w:rFonts w:ascii="Times New Roman" w:hAnsi="Times New Roman"/>
          <w:sz w:val="26"/>
          <w:szCs w:val="26"/>
        </w:rPr>
        <w:t xml:space="preserve"> that would cause us to reconsider our prior decision on the issue of NMB costs in </w:t>
      </w:r>
      <w:r w:rsidRPr="0019796D">
        <w:rPr>
          <w:rFonts w:ascii="Times New Roman" w:hAnsi="Times New Roman"/>
          <w:i/>
          <w:sz w:val="26"/>
          <w:szCs w:val="26"/>
        </w:rPr>
        <w:t>PPL DSP II</w:t>
      </w:r>
      <w:r>
        <w:rPr>
          <w:rFonts w:ascii="Times New Roman" w:hAnsi="Times New Roman"/>
          <w:sz w:val="26"/>
          <w:szCs w:val="26"/>
        </w:rPr>
        <w:t xml:space="preserve">.  </w:t>
      </w:r>
      <w:r w:rsidRPr="00B77F44">
        <w:rPr>
          <w:rFonts w:ascii="Times New Roman" w:hAnsi="Times New Roman"/>
          <w:i/>
          <w:sz w:val="26"/>
          <w:szCs w:val="26"/>
        </w:rPr>
        <w:t>See</w:t>
      </w:r>
      <w:r>
        <w:rPr>
          <w:rFonts w:ascii="Times New Roman" w:hAnsi="Times New Roman"/>
          <w:sz w:val="26"/>
          <w:szCs w:val="26"/>
        </w:rPr>
        <w:t xml:space="preserve">, </w:t>
      </w:r>
      <w:r w:rsidRPr="0097779C">
        <w:rPr>
          <w:rFonts w:ascii="Times New Roman" w:hAnsi="Times New Roman"/>
          <w:i/>
          <w:sz w:val="26"/>
          <w:szCs w:val="26"/>
        </w:rPr>
        <w:t xml:space="preserve">FirstEnergy </w:t>
      </w:r>
      <w:r w:rsidRPr="000857B2">
        <w:rPr>
          <w:rFonts w:ascii="Times New Roman" w:hAnsi="Times New Roman"/>
          <w:i/>
          <w:sz w:val="26"/>
          <w:szCs w:val="26"/>
        </w:rPr>
        <w:t>III Order</w:t>
      </w:r>
      <w:r w:rsidRPr="000857B2">
        <w:rPr>
          <w:rFonts w:ascii="Times New Roman" w:hAnsi="Times New Roman"/>
          <w:sz w:val="26"/>
          <w:szCs w:val="26"/>
        </w:rPr>
        <w:t xml:space="preserve"> at 31.</w:t>
      </w:r>
    </w:p>
    <w:p w:rsidR="000857B2" w:rsidRDefault="000857B2" w:rsidP="00880A70">
      <w:pPr>
        <w:rPr>
          <w:rFonts w:ascii="Times New Roman" w:hAnsi="Times New Roman"/>
          <w:sz w:val="26"/>
          <w:szCs w:val="26"/>
        </w:rPr>
      </w:pPr>
    </w:p>
    <w:p w:rsidR="000857B2" w:rsidRDefault="000857B2" w:rsidP="000857B2">
      <w:pPr>
        <w:rPr>
          <w:rFonts w:ascii="Times New Roman" w:hAnsi="Times New Roman"/>
          <w:sz w:val="26"/>
          <w:szCs w:val="26"/>
        </w:rPr>
      </w:pPr>
      <w:r>
        <w:rPr>
          <w:sz w:val="26"/>
          <w:szCs w:val="26"/>
        </w:rPr>
        <w:tab/>
      </w:r>
      <w:r>
        <w:rPr>
          <w:sz w:val="26"/>
          <w:szCs w:val="26"/>
        </w:rPr>
        <w:tab/>
        <w:t>Consistent with the above discussion, we will deny RESA</w:t>
      </w:r>
      <w:r w:rsidR="00803C65">
        <w:rPr>
          <w:sz w:val="26"/>
          <w:szCs w:val="26"/>
        </w:rPr>
        <w:t>’</w:t>
      </w:r>
      <w:r>
        <w:rPr>
          <w:sz w:val="26"/>
          <w:szCs w:val="26"/>
        </w:rPr>
        <w:t>s Exceptions on this issue, and we will adopt the ALJ</w:t>
      </w:r>
      <w:r w:rsidR="00803C65">
        <w:rPr>
          <w:sz w:val="26"/>
          <w:szCs w:val="26"/>
        </w:rPr>
        <w:t>’</w:t>
      </w:r>
      <w:r>
        <w:rPr>
          <w:sz w:val="26"/>
          <w:szCs w:val="26"/>
        </w:rPr>
        <w:t>s recommendation to reject the proposal</w:t>
      </w:r>
      <w:r w:rsidR="00F04502">
        <w:rPr>
          <w:sz w:val="26"/>
          <w:szCs w:val="26"/>
        </w:rPr>
        <w:t>s</w:t>
      </w:r>
      <w:r>
        <w:rPr>
          <w:sz w:val="26"/>
          <w:szCs w:val="26"/>
        </w:rPr>
        <w:t xml:space="preserve"> of RESA and </w:t>
      </w:r>
      <w:proofErr w:type="spellStart"/>
      <w:r>
        <w:rPr>
          <w:sz w:val="26"/>
          <w:szCs w:val="26"/>
        </w:rPr>
        <w:t>ExGen</w:t>
      </w:r>
      <w:proofErr w:type="spellEnd"/>
      <w:r>
        <w:rPr>
          <w:sz w:val="26"/>
          <w:szCs w:val="26"/>
        </w:rPr>
        <w:t xml:space="preserve"> that PPL be directed to assume responsibility for NMB transmission-related costs on behalf of both wholesale default service suppliers and EGSs, and to recover those costs from both default service and shopping customers through a non-</w:t>
      </w:r>
      <w:proofErr w:type="spellStart"/>
      <w:r>
        <w:rPr>
          <w:sz w:val="26"/>
          <w:szCs w:val="26"/>
        </w:rPr>
        <w:t>bypassable</w:t>
      </w:r>
      <w:proofErr w:type="spellEnd"/>
      <w:r>
        <w:rPr>
          <w:sz w:val="26"/>
          <w:szCs w:val="26"/>
        </w:rPr>
        <w:t xml:space="preserve"> charge.</w:t>
      </w:r>
    </w:p>
    <w:p w:rsidR="00CC3755" w:rsidRPr="000857B2" w:rsidRDefault="00820E51" w:rsidP="000857B2">
      <w:pPr>
        <w:keepNext/>
        <w:rPr>
          <w:rFonts w:ascii="Times New Roman" w:hAnsi="Times New Roman"/>
          <w:sz w:val="26"/>
          <w:szCs w:val="26"/>
        </w:rPr>
      </w:pPr>
      <w:r w:rsidRPr="000857B2">
        <w:rPr>
          <w:rFonts w:ascii="Times New Roman" w:hAnsi="Times New Roman"/>
          <w:sz w:val="26"/>
          <w:szCs w:val="26"/>
        </w:rPr>
        <w:t xml:space="preserve"> </w:t>
      </w:r>
    </w:p>
    <w:p w:rsidR="00CC3755" w:rsidRPr="001656AB" w:rsidRDefault="00CC3755" w:rsidP="00D26D41">
      <w:pPr>
        <w:jc w:val="center"/>
        <w:rPr>
          <w:rFonts w:ascii="Times New Roman" w:hAnsi="Times New Roman"/>
          <w:b/>
          <w:sz w:val="26"/>
          <w:szCs w:val="26"/>
        </w:rPr>
      </w:pPr>
      <w:r w:rsidRPr="001656AB">
        <w:rPr>
          <w:rFonts w:ascii="Times New Roman" w:hAnsi="Times New Roman"/>
          <w:b/>
          <w:sz w:val="26"/>
          <w:szCs w:val="26"/>
        </w:rPr>
        <w:t>V</w:t>
      </w:r>
      <w:r w:rsidR="000857B2" w:rsidRPr="001656AB">
        <w:rPr>
          <w:rFonts w:ascii="Times New Roman" w:hAnsi="Times New Roman"/>
          <w:b/>
          <w:sz w:val="26"/>
          <w:szCs w:val="26"/>
        </w:rPr>
        <w:t>I</w:t>
      </w:r>
      <w:r w:rsidRPr="001656AB">
        <w:rPr>
          <w:rFonts w:ascii="Times New Roman" w:hAnsi="Times New Roman"/>
          <w:b/>
          <w:sz w:val="26"/>
          <w:szCs w:val="26"/>
        </w:rPr>
        <w:t>.</w:t>
      </w:r>
      <w:r w:rsidRPr="001656AB">
        <w:rPr>
          <w:rFonts w:ascii="Times New Roman" w:hAnsi="Times New Roman"/>
          <w:b/>
          <w:sz w:val="26"/>
          <w:szCs w:val="26"/>
        </w:rPr>
        <w:tab/>
        <w:t>Conclusion</w:t>
      </w:r>
    </w:p>
    <w:p w:rsidR="00CC3755" w:rsidRPr="001656AB" w:rsidRDefault="00CC3755" w:rsidP="00D26D41">
      <w:pPr>
        <w:jc w:val="center"/>
        <w:rPr>
          <w:rFonts w:ascii="Times New Roman" w:hAnsi="Times New Roman"/>
          <w:b/>
          <w:sz w:val="26"/>
          <w:szCs w:val="26"/>
        </w:rPr>
      </w:pPr>
    </w:p>
    <w:p w:rsidR="00CC3755" w:rsidRPr="00054AEE" w:rsidRDefault="00CC3755" w:rsidP="00D26D41">
      <w:pPr>
        <w:rPr>
          <w:rFonts w:ascii="Times New Roman" w:hAnsi="Times New Roman"/>
          <w:sz w:val="26"/>
          <w:szCs w:val="26"/>
        </w:rPr>
      </w:pPr>
      <w:r w:rsidRPr="001656AB">
        <w:rPr>
          <w:rFonts w:ascii="Times New Roman" w:hAnsi="Times New Roman"/>
          <w:sz w:val="26"/>
          <w:szCs w:val="26"/>
        </w:rPr>
        <w:tab/>
      </w:r>
      <w:r w:rsidRPr="001656AB">
        <w:rPr>
          <w:rFonts w:ascii="Times New Roman" w:hAnsi="Times New Roman"/>
          <w:sz w:val="26"/>
          <w:szCs w:val="26"/>
        </w:rPr>
        <w:tab/>
        <w:t xml:space="preserve">Based on </w:t>
      </w:r>
      <w:r w:rsidR="00AE0174" w:rsidRPr="001656AB">
        <w:rPr>
          <w:rFonts w:ascii="Times New Roman" w:hAnsi="Times New Roman"/>
          <w:sz w:val="26"/>
          <w:szCs w:val="26"/>
        </w:rPr>
        <w:t>the foregoing discussion</w:t>
      </w:r>
      <w:r w:rsidRPr="001656AB">
        <w:rPr>
          <w:rFonts w:ascii="Times New Roman" w:hAnsi="Times New Roman"/>
          <w:sz w:val="26"/>
          <w:szCs w:val="26"/>
        </w:rPr>
        <w:t>, we shall</w:t>
      </w:r>
      <w:r w:rsidR="003C6BFD">
        <w:rPr>
          <w:rFonts w:ascii="Times New Roman" w:hAnsi="Times New Roman"/>
          <w:sz w:val="26"/>
          <w:szCs w:val="26"/>
        </w:rPr>
        <w:t>:</w:t>
      </w:r>
      <w:r w:rsidR="00AE0174" w:rsidRPr="001656AB">
        <w:rPr>
          <w:rFonts w:ascii="Times New Roman" w:hAnsi="Times New Roman"/>
          <w:sz w:val="26"/>
          <w:szCs w:val="26"/>
        </w:rPr>
        <w:t xml:space="preserve"> (1)</w:t>
      </w:r>
      <w:r w:rsidRPr="001656AB">
        <w:rPr>
          <w:rFonts w:ascii="Times New Roman" w:hAnsi="Times New Roman"/>
          <w:sz w:val="26"/>
          <w:szCs w:val="26"/>
        </w:rPr>
        <w:t xml:space="preserve"> grant the</w:t>
      </w:r>
      <w:r w:rsidR="00AE0174" w:rsidRPr="001656AB">
        <w:rPr>
          <w:rFonts w:ascii="Times New Roman" w:hAnsi="Times New Roman"/>
          <w:sz w:val="26"/>
          <w:szCs w:val="26"/>
        </w:rPr>
        <w:t xml:space="preserve"> Exceptions of PPL</w:t>
      </w:r>
      <w:r w:rsidR="001656AB" w:rsidRPr="001656AB">
        <w:rPr>
          <w:rFonts w:ascii="Times New Roman" w:hAnsi="Times New Roman"/>
          <w:sz w:val="26"/>
          <w:szCs w:val="26"/>
        </w:rPr>
        <w:t>, consistent with this Opinion and Order</w:t>
      </w:r>
      <w:r w:rsidR="00AE0174" w:rsidRPr="001656AB">
        <w:rPr>
          <w:rFonts w:ascii="Times New Roman" w:hAnsi="Times New Roman"/>
          <w:sz w:val="26"/>
          <w:szCs w:val="26"/>
        </w:rPr>
        <w:t>; (2) grant, in part, and deny, in part, the Exceptions of RESA</w:t>
      </w:r>
      <w:r w:rsidR="001656AB" w:rsidRPr="001656AB">
        <w:rPr>
          <w:rFonts w:ascii="Times New Roman" w:hAnsi="Times New Roman"/>
          <w:sz w:val="26"/>
          <w:szCs w:val="26"/>
        </w:rPr>
        <w:t>, consistent with this Opinion and Order</w:t>
      </w:r>
      <w:r w:rsidR="00AE0174" w:rsidRPr="001656AB">
        <w:rPr>
          <w:rFonts w:ascii="Times New Roman" w:hAnsi="Times New Roman"/>
          <w:sz w:val="26"/>
          <w:szCs w:val="26"/>
        </w:rPr>
        <w:t>; (3)</w:t>
      </w:r>
      <w:r w:rsidR="001656AB" w:rsidRPr="001656AB">
        <w:rPr>
          <w:rFonts w:ascii="Times New Roman" w:hAnsi="Times New Roman"/>
          <w:sz w:val="26"/>
          <w:szCs w:val="26"/>
        </w:rPr>
        <w:t xml:space="preserve">, </w:t>
      </w:r>
      <w:r w:rsidR="00B928B2">
        <w:rPr>
          <w:rFonts w:ascii="Times New Roman" w:hAnsi="Times New Roman"/>
          <w:sz w:val="26"/>
          <w:szCs w:val="26"/>
        </w:rPr>
        <w:t xml:space="preserve">adopt, in part, and </w:t>
      </w:r>
      <w:r w:rsidR="00F04502">
        <w:rPr>
          <w:rFonts w:ascii="Times New Roman" w:hAnsi="Times New Roman"/>
          <w:sz w:val="26"/>
          <w:szCs w:val="26"/>
        </w:rPr>
        <w:t>modify</w:t>
      </w:r>
      <w:r w:rsidR="00B928B2">
        <w:rPr>
          <w:rFonts w:ascii="Times New Roman" w:hAnsi="Times New Roman"/>
          <w:sz w:val="26"/>
          <w:szCs w:val="26"/>
        </w:rPr>
        <w:t>, in part,</w:t>
      </w:r>
      <w:r w:rsidR="00F04502">
        <w:rPr>
          <w:rFonts w:ascii="Times New Roman" w:hAnsi="Times New Roman"/>
          <w:sz w:val="26"/>
          <w:szCs w:val="26"/>
        </w:rPr>
        <w:t xml:space="preserve"> the ALJ</w:t>
      </w:r>
      <w:r w:rsidR="00803C65">
        <w:rPr>
          <w:rFonts w:ascii="Times New Roman" w:hAnsi="Times New Roman"/>
          <w:sz w:val="26"/>
          <w:szCs w:val="26"/>
        </w:rPr>
        <w:t>’</w:t>
      </w:r>
      <w:r w:rsidR="00F04502">
        <w:rPr>
          <w:rFonts w:ascii="Times New Roman" w:hAnsi="Times New Roman"/>
          <w:sz w:val="26"/>
          <w:szCs w:val="26"/>
        </w:rPr>
        <w:t>s Recommended Decision, consistent with this Opinion and Order; (4) approve the Partial Settlement without modification; (5)</w:t>
      </w:r>
      <w:r w:rsidR="003C6BFD">
        <w:rPr>
          <w:rFonts w:ascii="Times New Roman" w:hAnsi="Times New Roman"/>
          <w:sz w:val="26"/>
          <w:szCs w:val="26"/>
        </w:rPr>
        <w:t> </w:t>
      </w:r>
      <w:r w:rsidR="00F04502">
        <w:rPr>
          <w:rFonts w:ascii="Times New Roman" w:hAnsi="Times New Roman"/>
          <w:sz w:val="26"/>
          <w:szCs w:val="26"/>
        </w:rPr>
        <w:t xml:space="preserve"> adopt PPL</w:t>
      </w:r>
      <w:r w:rsidR="00803C65">
        <w:rPr>
          <w:rFonts w:ascii="Times New Roman" w:hAnsi="Times New Roman"/>
          <w:sz w:val="26"/>
          <w:szCs w:val="26"/>
        </w:rPr>
        <w:t>’</w:t>
      </w:r>
      <w:r w:rsidR="00F04502">
        <w:rPr>
          <w:rFonts w:ascii="Times New Roman" w:hAnsi="Times New Roman"/>
          <w:sz w:val="26"/>
          <w:szCs w:val="26"/>
        </w:rPr>
        <w:t xml:space="preserve">s proposal </w:t>
      </w:r>
      <w:r w:rsidR="00F04502">
        <w:rPr>
          <w:sz w:val="26"/>
          <w:szCs w:val="26"/>
        </w:rPr>
        <w:t>to reduce the peak demand threshold for Large C&amp;I customers from 500 kW to 100 kW; (6)</w:t>
      </w:r>
      <w:r w:rsidR="003C6BFD">
        <w:rPr>
          <w:sz w:val="26"/>
          <w:szCs w:val="26"/>
        </w:rPr>
        <w:t> </w:t>
      </w:r>
      <w:r w:rsidR="00F04502">
        <w:rPr>
          <w:sz w:val="26"/>
          <w:szCs w:val="26"/>
        </w:rPr>
        <w:t xml:space="preserve">reject the proposals of RESA and </w:t>
      </w:r>
      <w:proofErr w:type="spellStart"/>
      <w:r w:rsidR="00F04502">
        <w:rPr>
          <w:sz w:val="26"/>
          <w:szCs w:val="26"/>
        </w:rPr>
        <w:t>ExGen</w:t>
      </w:r>
      <w:proofErr w:type="spellEnd"/>
      <w:r w:rsidR="00F04502">
        <w:rPr>
          <w:sz w:val="26"/>
          <w:szCs w:val="26"/>
        </w:rPr>
        <w:t xml:space="preserve"> that PPL be directed to assume responsibility for NMB transmission-related costs on behalf of both wholesale default service suppliers and EGSs, and to recover those costs from both default service and shopping customers through a non-</w:t>
      </w:r>
      <w:proofErr w:type="spellStart"/>
      <w:r w:rsidR="00F04502">
        <w:rPr>
          <w:sz w:val="26"/>
          <w:szCs w:val="26"/>
        </w:rPr>
        <w:t>bypassable</w:t>
      </w:r>
      <w:proofErr w:type="spellEnd"/>
      <w:r w:rsidR="00F04502">
        <w:rPr>
          <w:sz w:val="26"/>
          <w:szCs w:val="26"/>
        </w:rPr>
        <w:t xml:space="preserve"> charge</w:t>
      </w:r>
      <w:r w:rsidR="00054AEE">
        <w:rPr>
          <w:sz w:val="26"/>
          <w:szCs w:val="26"/>
        </w:rPr>
        <w:t>; and (7)</w:t>
      </w:r>
      <w:r w:rsidR="003C6BFD">
        <w:rPr>
          <w:sz w:val="26"/>
          <w:szCs w:val="26"/>
        </w:rPr>
        <w:t> </w:t>
      </w:r>
      <w:r w:rsidR="00054AEE">
        <w:rPr>
          <w:sz w:val="26"/>
          <w:szCs w:val="26"/>
        </w:rPr>
        <w:t>approve PPL</w:t>
      </w:r>
      <w:r w:rsidR="00803C65">
        <w:rPr>
          <w:sz w:val="26"/>
          <w:szCs w:val="26"/>
        </w:rPr>
        <w:t>’</w:t>
      </w:r>
      <w:r w:rsidR="00054AEE">
        <w:rPr>
          <w:sz w:val="26"/>
          <w:szCs w:val="26"/>
        </w:rPr>
        <w:t>s</w:t>
      </w:r>
      <w:r w:rsidR="00297B70">
        <w:rPr>
          <w:sz w:val="26"/>
          <w:szCs w:val="26"/>
        </w:rPr>
        <w:t xml:space="preserve"> Petition for approval of its</w:t>
      </w:r>
      <w:r w:rsidR="00054AEE">
        <w:rPr>
          <w:sz w:val="26"/>
          <w:szCs w:val="26"/>
        </w:rPr>
        <w:t xml:space="preserve"> DSP III program, consistent with the Partial Settlement and our disposition of the litigated issues as discuss</w:t>
      </w:r>
      <w:r w:rsidR="005665F0">
        <w:rPr>
          <w:sz w:val="26"/>
          <w:szCs w:val="26"/>
        </w:rPr>
        <w:t>ed above</w:t>
      </w:r>
      <w:r w:rsidR="00054AEE">
        <w:rPr>
          <w:sz w:val="26"/>
          <w:szCs w:val="26"/>
        </w:rPr>
        <w:t>;</w:t>
      </w:r>
      <w:r w:rsidR="00054AEE">
        <w:rPr>
          <w:rFonts w:ascii="Times New Roman" w:hAnsi="Times New Roman"/>
          <w:sz w:val="26"/>
          <w:szCs w:val="26"/>
        </w:rPr>
        <w:t xml:space="preserve"> </w:t>
      </w:r>
      <w:r w:rsidRPr="001656AB">
        <w:rPr>
          <w:rFonts w:ascii="Times New Roman" w:hAnsi="Times New Roman"/>
          <w:b/>
          <w:sz w:val="26"/>
          <w:szCs w:val="26"/>
        </w:rPr>
        <w:t>THEREFORE,</w:t>
      </w:r>
    </w:p>
    <w:p w:rsidR="00CC3755" w:rsidRPr="001656AB" w:rsidRDefault="00CC3755" w:rsidP="00D26D41">
      <w:pPr>
        <w:rPr>
          <w:rFonts w:ascii="Times New Roman" w:hAnsi="Times New Roman"/>
          <w:b/>
          <w:sz w:val="26"/>
          <w:szCs w:val="26"/>
        </w:rPr>
      </w:pPr>
    </w:p>
    <w:p w:rsidR="00CC3755" w:rsidRPr="001656AB" w:rsidRDefault="00CC3755" w:rsidP="00C81B35">
      <w:pPr>
        <w:keepNext/>
        <w:rPr>
          <w:rFonts w:ascii="Times New Roman" w:hAnsi="Times New Roman"/>
          <w:b/>
          <w:sz w:val="26"/>
          <w:szCs w:val="26"/>
        </w:rPr>
      </w:pPr>
      <w:r w:rsidRPr="001656AB">
        <w:rPr>
          <w:rFonts w:ascii="Times New Roman" w:hAnsi="Times New Roman"/>
          <w:b/>
          <w:sz w:val="26"/>
          <w:szCs w:val="26"/>
        </w:rPr>
        <w:lastRenderedPageBreak/>
        <w:tab/>
      </w:r>
      <w:r w:rsidRPr="001656AB">
        <w:rPr>
          <w:rFonts w:ascii="Times New Roman" w:hAnsi="Times New Roman"/>
          <w:b/>
          <w:sz w:val="26"/>
          <w:szCs w:val="26"/>
        </w:rPr>
        <w:tab/>
        <w:t>IT IS ORDERED:</w:t>
      </w:r>
    </w:p>
    <w:p w:rsidR="00CC3755" w:rsidRPr="001656AB" w:rsidRDefault="00CC3755" w:rsidP="00C81B35">
      <w:pPr>
        <w:keepNext/>
        <w:rPr>
          <w:rFonts w:ascii="Times New Roman" w:hAnsi="Times New Roman"/>
          <w:b/>
          <w:sz w:val="26"/>
          <w:szCs w:val="26"/>
        </w:rPr>
      </w:pPr>
    </w:p>
    <w:p w:rsidR="00AD6F9C" w:rsidRPr="00054AEE" w:rsidRDefault="00AD6F9C" w:rsidP="00C81B35">
      <w:pPr>
        <w:keepNext/>
        <w:ind w:firstLine="1440"/>
        <w:rPr>
          <w:rFonts w:ascii="Times New Roman" w:hAnsi="Times New Roman"/>
          <w:sz w:val="26"/>
          <w:szCs w:val="26"/>
        </w:rPr>
      </w:pPr>
      <w:r w:rsidRPr="00054AEE">
        <w:rPr>
          <w:rFonts w:ascii="Times New Roman" w:hAnsi="Times New Roman"/>
          <w:sz w:val="26"/>
          <w:szCs w:val="26"/>
        </w:rPr>
        <w:t>1.</w:t>
      </w:r>
      <w:r w:rsidRPr="00054AEE">
        <w:rPr>
          <w:rFonts w:ascii="Times New Roman" w:hAnsi="Times New Roman"/>
          <w:sz w:val="26"/>
          <w:szCs w:val="26"/>
        </w:rPr>
        <w:tab/>
        <w:t>That the Exceptions file</w:t>
      </w:r>
      <w:r w:rsidR="00054AEE">
        <w:rPr>
          <w:rFonts w:ascii="Times New Roman" w:hAnsi="Times New Roman"/>
          <w:sz w:val="26"/>
          <w:szCs w:val="26"/>
        </w:rPr>
        <w:t>d by PPL Electric Utilities Corporation on November 19, 2014</w:t>
      </w:r>
      <w:r w:rsidR="00EA782F">
        <w:rPr>
          <w:rFonts w:ascii="Times New Roman" w:hAnsi="Times New Roman"/>
          <w:sz w:val="26"/>
          <w:szCs w:val="26"/>
        </w:rPr>
        <w:t>,</w:t>
      </w:r>
      <w:r w:rsidRPr="00054AEE">
        <w:rPr>
          <w:rFonts w:ascii="Times New Roman" w:hAnsi="Times New Roman"/>
          <w:sz w:val="26"/>
          <w:szCs w:val="26"/>
        </w:rPr>
        <w:t xml:space="preserve"> to the Recommended Decision of Administr</w:t>
      </w:r>
      <w:r w:rsidR="00A073C7" w:rsidRPr="00054AEE">
        <w:rPr>
          <w:rFonts w:ascii="Times New Roman" w:hAnsi="Times New Roman"/>
          <w:sz w:val="26"/>
          <w:szCs w:val="26"/>
        </w:rPr>
        <w:t xml:space="preserve">ative Law Judge </w:t>
      </w:r>
      <w:r w:rsidR="00054AEE">
        <w:rPr>
          <w:rFonts w:ascii="Times New Roman" w:hAnsi="Times New Roman"/>
          <w:sz w:val="26"/>
          <w:szCs w:val="26"/>
        </w:rPr>
        <w:t>Susan</w:t>
      </w:r>
      <w:r w:rsidR="003C6BFD">
        <w:rPr>
          <w:rFonts w:ascii="Times New Roman" w:hAnsi="Times New Roman"/>
          <w:sz w:val="26"/>
          <w:szCs w:val="26"/>
        </w:rPr>
        <w:t> </w:t>
      </w:r>
      <w:r w:rsidR="00054AEE">
        <w:rPr>
          <w:rFonts w:ascii="Times New Roman" w:hAnsi="Times New Roman"/>
          <w:sz w:val="26"/>
          <w:szCs w:val="26"/>
        </w:rPr>
        <w:t xml:space="preserve">D. Colwell </w:t>
      </w:r>
      <w:r w:rsidRPr="00054AEE">
        <w:rPr>
          <w:rFonts w:ascii="Times New Roman" w:hAnsi="Times New Roman"/>
          <w:sz w:val="26"/>
          <w:szCs w:val="26"/>
        </w:rPr>
        <w:t>are granted</w:t>
      </w:r>
      <w:r w:rsidR="005109AE" w:rsidRPr="00054AEE">
        <w:rPr>
          <w:rFonts w:ascii="Times New Roman" w:hAnsi="Times New Roman"/>
          <w:sz w:val="26"/>
          <w:szCs w:val="26"/>
        </w:rPr>
        <w:t xml:space="preserve">, </w:t>
      </w:r>
      <w:r w:rsidRPr="00054AEE">
        <w:rPr>
          <w:rFonts w:ascii="Times New Roman" w:hAnsi="Times New Roman"/>
          <w:sz w:val="26"/>
          <w:szCs w:val="26"/>
        </w:rPr>
        <w:t>consistent with this Opinion and Order.</w:t>
      </w:r>
    </w:p>
    <w:p w:rsidR="005109AE" w:rsidRPr="00054AEE" w:rsidRDefault="005109AE" w:rsidP="00C81B35">
      <w:pPr>
        <w:ind w:firstLine="1440"/>
        <w:rPr>
          <w:rFonts w:ascii="Times New Roman" w:hAnsi="Times New Roman"/>
          <w:sz w:val="26"/>
          <w:szCs w:val="26"/>
        </w:rPr>
      </w:pPr>
    </w:p>
    <w:p w:rsidR="005109AE" w:rsidRPr="00054AEE" w:rsidRDefault="005109AE" w:rsidP="00C81B35">
      <w:pPr>
        <w:ind w:firstLine="1440"/>
        <w:rPr>
          <w:rFonts w:ascii="Times New Roman" w:hAnsi="Times New Roman"/>
          <w:sz w:val="26"/>
          <w:szCs w:val="26"/>
        </w:rPr>
      </w:pPr>
      <w:r w:rsidRPr="00054AEE">
        <w:rPr>
          <w:rFonts w:ascii="Times New Roman" w:hAnsi="Times New Roman"/>
          <w:sz w:val="26"/>
          <w:szCs w:val="26"/>
        </w:rPr>
        <w:t>2.</w:t>
      </w:r>
      <w:r w:rsidRPr="00054AEE">
        <w:rPr>
          <w:rFonts w:ascii="Times New Roman" w:hAnsi="Times New Roman"/>
          <w:sz w:val="26"/>
          <w:szCs w:val="26"/>
        </w:rPr>
        <w:tab/>
        <w:t>That the Exceptions filed by the Retail Energy Supply Association</w:t>
      </w:r>
      <w:r w:rsidR="00054AEE" w:rsidRPr="00054AEE">
        <w:rPr>
          <w:rFonts w:ascii="Times New Roman" w:hAnsi="Times New Roman"/>
          <w:sz w:val="26"/>
          <w:szCs w:val="26"/>
        </w:rPr>
        <w:t xml:space="preserve"> on November 19, 2014</w:t>
      </w:r>
      <w:r w:rsidR="003C3B7C">
        <w:rPr>
          <w:rFonts w:ascii="Times New Roman" w:hAnsi="Times New Roman"/>
          <w:sz w:val="26"/>
          <w:szCs w:val="26"/>
        </w:rPr>
        <w:t>,</w:t>
      </w:r>
      <w:r w:rsidRPr="00054AEE">
        <w:rPr>
          <w:rFonts w:ascii="Times New Roman" w:hAnsi="Times New Roman"/>
          <w:sz w:val="26"/>
          <w:szCs w:val="26"/>
        </w:rPr>
        <w:t xml:space="preserve"> to the Recommended Decision of Administrative </w:t>
      </w:r>
      <w:r w:rsidR="00054AEE" w:rsidRPr="00054AEE">
        <w:rPr>
          <w:rFonts w:ascii="Times New Roman" w:hAnsi="Times New Roman"/>
          <w:sz w:val="26"/>
          <w:szCs w:val="26"/>
        </w:rPr>
        <w:t>Law Judge Susan</w:t>
      </w:r>
      <w:r w:rsidR="003C6BFD">
        <w:rPr>
          <w:rFonts w:ascii="Times New Roman" w:hAnsi="Times New Roman"/>
          <w:sz w:val="26"/>
          <w:szCs w:val="26"/>
        </w:rPr>
        <w:t> D</w:t>
      </w:r>
      <w:r w:rsidR="00054AEE" w:rsidRPr="00054AEE">
        <w:rPr>
          <w:rFonts w:ascii="Times New Roman" w:hAnsi="Times New Roman"/>
          <w:sz w:val="26"/>
          <w:szCs w:val="26"/>
        </w:rPr>
        <w:t>.</w:t>
      </w:r>
      <w:r w:rsidR="003C6BFD">
        <w:rPr>
          <w:rFonts w:ascii="Times New Roman" w:hAnsi="Times New Roman"/>
          <w:sz w:val="26"/>
          <w:szCs w:val="26"/>
        </w:rPr>
        <w:t> </w:t>
      </w:r>
      <w:r w:rsidR="00054AEE" w:rsidRPr="00054AEE">
        <w:rPr>
          <w:rFonts w:ascii="Times New Roman" w:hAnsi="Times New Roman"/>
          <w:sz w:val="26"/>
          <w:szCs w:val="26"/>
        </w:rPr>
        <w:t>Colwell</w:t>
      </w:r>
      <w:r w:rsidRPr="00054AEE">
        <w:rPr>
          <w:rFonts w:ascii="Times New Roman" w:hAnsi="Times New Roman"/>
          <w:sz w:val="26"/>
          <w:szCs w:val="26"/>
        </w:rPr>
        <w:t xml:space="preserve"> are granted, in part, and denied, in part, consistent with this Opinion and Order.</w:t>
      </w:r>
    </w:p>
    <w:p w:rsidR="00AD6F9C" w:rsidRPr="00B928B2" w:rsidRDefault="00AD6F9C" w:rsidP="00C81B35">
      <w:pPr>
        <w:rPr>
          <w:rFonts w:ascii="Times New Roman" w:hAnsi="Times New Roman"/>
          <w:sz w:val="26"/>
          <w:szCs w:val="26"/>
        </w:rPr>
      </w:pPr>
    </w:p>
    <w:p w:rsidR="00AD6F9C" w:rsidRPr="00ED2974" w:rsidRDefault="00AD6F9C" w:rsidP="00C81B35">
      <w:pPr>
        <w:rPr>
          <w:rFonts w:ascii="Times New Roman" w:hAnsi="Times New Roman"/>
          <w:sz w:val="26"/>
          <w:szCs w:val="26"/>
        </w:rPr>
      </w:pPr>
      <w:r w:rsidRPr="00B928B2">
        <w:rPr>
          <w:rFonts w:ascii="Times New Roman" w:hAnsi="Times New Roman"/>
          <w:sz w:val="26"/>
          <w:szCs w:val="26"/>
        </w:rPr>
        <w:tab/>
      </w:r>
      <w:r w:rsidRPr="00B928B2">
        <w:rPr>
          <w:rFonts w:ascii="Times New Roman" w:hAnsi="Times New Roman"/>
          <w:sz w:val="26"/>
          <w:szCs w:val="26"/>
        </w:rPr>
        <w:tab/>
      </w:r>
      <w:r w:rsidR="00B928B2" w:rsidRPr="00B928B2">
        <w:rPr>
          <w:rFonts w:ascii="Times New Roman" w:hAnsi="Times New Roman"/>
          <w:sz w:val="26"/>
          <w:szCs w:val="26"/>
        </w:rPr>
        <w:t>3</w:t>
      </w:r>
      <w:r w:rsidRPr="00B928B2">
        <w:rPr>
          <w:rFonts w:ascii="Times New Roman" w:hAnsi="Times New Roman"/>
          <w:sz w:val="26"/>
          <w:szCs w:val="26"/>
        </w:rPr>
        <w:t>.</w:t>
      </w:r>
      <w:r w:rsidRPr="00B928B2">
        <w:rPr>
          <w:rFonts w:ascii="Times New Roman" w:hAnsi="Times New Roman"/>
          <w:sz w:val="26"/>
          <w:szCs w:val="26"/>
        </w:rPr>
        <w:tab/>
        <w:t>That the Recommended Decision of Administr</w:t>
      </w:r>
      <w:r w:rsidR="00A073C7" w:rsidRPr="00B928B2">
        <w:rPr>
          <w:rFonts w:ascii="Times New Roman" w:hAnsi="Times New Roman"/>
          <w:sz w:val="26"/>
          <w:szCs w:val="26"/>
        </w:rPr>
        <w:t>ative La</w:t>
      </w:r>
      <w:r w:rsidR="00B928B2" w:rsidRPr="00B928B2">
        <w:rPr>
          <w:rFonts w:ascii="Times New Roman" w:hAnsi="Times New Roman"/>
          <w:sz w:val="26"/>
          <w:szCs w:val="26"/>
        </w:rPr>
        <w:t>w Judge Susan</w:t>
      </w:r>
      <w:r w:rsidR="003C6BFD">
        <w:rPr>
          <w:rFonts w:ascii="Times New Roman" w:hAnsi="Times New Roman"/>
          <w:sz w:val="26"/>
          <w:szCs w:val="26"/>
        </w:rPr>
        <w:t> </w:t>
      </w:r>
      <w:r w:rsidR="00B928B2" w:rsidRPr="00B928B2">
        <w:rPr>
          <w:rFonts w:ascii="Times New Roman" w:hAnsi="Times New Roman"/>
          <w:sz w:val="26"/>
          <w:szCs w:val="26"/>
        </w:rPr>
        <w:t>D</w:t>
      </w:r>
      <w:r w:rsidR="00B928B2" w:rsidRPr="00ED2974">
        <w:rPr>
          <w:rFonts w:ascii="Times New Roman" w:hAnsi="Times New Roman"/>
          <w:sz w:val="26"/>
          <w:szCs w:val="26"/>
        </w:rPr>
        <w:t>.</w:t>
      </w:r>
      <w:r w:rsidR="003C6BFD">
        <w:rPr>
          <w:rFonts w:ascii="Times New Roman" w:hAnsi="Times New Roman"/>
          <w:sz w:val="26"/>
          <w:szCs w:val="26"/>
        </w:rPr>
        <w:t> </w:t>
      </w:r>
      <w:r w:rsidR="00B928B2" w:rsidRPr="00ED2974">
        <w:rPr>
          <w:rFonts w:ascii="Times New Roman" w:hAnsi="Times New Roman"/>
          <w:sz w:val="26"/>
          <w:szCs w:val="26"/>
        </w:rPr>
        <w:t>Colwell</w:t>
      </w:r>
      <w:r w:rsidRPr="00ED2974">
        <w:rPr>
          <w:rFonts w:ascii="Times New Roman" w:hAnsi="Times New Roman"/>
          <w:sz w:val="26"/>
          <w:szCs w:val="26"/>
        </w:rPr>
        <w:t xml:space="preserve">, issued on </w:t>
      </w:r>
      <w:r w:rsidR="00B928B2" w:rsidRPr="00ED2974">
        <w:rPr>
          <w:rFonts w:ascii="Times New Roman" w:hAnsi="Times New Roman"/>
          <w:sz w:val="26"/>
          <w:szCs w:val="26"/>
        </w:rPr>
        <w:t>October</w:t>
      </w:r>
      <w:r w:rsidR="00A073C7" w:rsidRPr="00ED2974">
        <w:rPr>
          <w:rFonts w:ascii="Times New Roman" w:hAnsi="Times New Roman"/>
          <w:sz w:val="26"/>
          <w:szCs w:val="26"/>
        </w:rPr>
        <w:t xml:space="preserve"> 30</w:t>
      </w:r>
      <w:r w:rsidRPr="00ED2974">
        <w:rPr>
          <w:rFonts w:ascii="Times New Roman" w:hAnsi="Times New Roman"/>
          <w:sz w:val="26"/>
          <w:szCs w:val="26"/>
        </w:rPr>
        <w:t xml:space="preserve">, 2014, is adopted, in part, </w:t>
      </w:r>
      <w:r w:rsidR="00B928B2" w:rsidRPr="00ED2974">
        <w:rPr>
          <w:rFonts w:ascii="Times New Roman" w:hAnsi="Times New Roman"/>
          <w:sz w:val="26"/>
          <w:szCs w:val="26"/>
        </w:rPr>
        <w:t xml:space="preserve">and modified, in part, </w:t>
      </w:r>
      <w:r w:rsidRPr="00ED2974">
        <w:rPr>
          <w:rFonts w:ascii="Times New Roman" w:hAnsi="Times New Roman"/>
          <w:sz w:val="26"/>
          <w:szCs w:val="26"/>
        </w:rPr>
        <w:t>consistent with this Opinion and Order.</w:t>
      </w:r>
    </w:p>
    <w:p w:rsidR="00AD6F9C" w:rsidRPr="00ED2974" w:rsidRDefault="00AD6F9C" w:rsidP="00C81B35">
      <w:pPr>
        <w:rPr>
          <w:rFonts w:ascii="Times New Roman" w:hAnsi="Times New Roman"/>
          <w:sz w:val="26"/>
          <w:szCs w:val="26"/>
        </w:rPr>
      </w:pPr>
    </w:p>
    <w:p w:rsidR="00AD6F9C" w:rsidRDefault="00AD6F9C" w:rsidP="00C81B35">
      <w:pPr>
        <w:rPr>
          <w:rFonts w:ascii="Times New Roman" w:hAnsi="Times New Roman"/>
          <w:sz w:val="26"/>
          <w:szCs w:val="26"/>
        </w:rPr>
      </w:pPr>
      <w:r w:rsidRPr="00ED2974">
        <w:rPr>
          <w:rFonts w:ascii="Times New Roman" w:hAnsi="Times New Roman"/>
          <w:sz w:val="26"/>
          <w:szCs w:val="26"/>
        </w:rPr>
        <w:tab/>
      </w:r>
      <w:r w:rsidRPr="00ED2974">
        <w:rPr>
          <w:rFonts w:ascii="Times New Roman" w:hAnsi="Times New Roman"/>
          <w:sz w:val="26"/>
          <w:szCs w:val="26"/>
        </w:rPr>
        <w:tab/>
      </w:r>
      <w:r w:rsidR="00ED2974">
        <w:rPr>
          <w:rFonts w:ascii="Times New Roman" w:hAnsi="Times New Roman"/>
          <w:sz w:val="26"/>
          <w:szCs w:val="26"/>
        </w:rPr>
        <w:t>4</w:t>
      </w:r>
      <w:r w:rsidRPr="00ED2974">
        <w:rPr>
          <w:rFonts w:ascii="Times New Roman" w:hAnsi="Times New Roman"/>
          <w:sz w:val="26"/>
          <w:szCs w:val="26"/>
        </w:rPr>
        <w:t>.</w:t>
      </w:r>
      <w:r w:rsidRPr="00ED2974">
        <w:rPr>
          <w:rFonts w:ascii="Times New Roman" w:hAnsi="Times New Roman"/>
          <w:sz w:val="26"/>
          <w:szCs w:val="26"/>
        </w:rPr>
        <w:tab/>
        <w:t>That</w:t>
      </w:r>
      <w:r w:rsidR="00ED2974">
        <w:rPr>
          <w:rFonts w:ascii="Times New Roman" w:hAnsi="Times New Roman"/>
          <w:sz w:val="26"/>
          <w:szCs w:val="26"/>
        </w:rPr>
        <w:t xml:space="preserve"> the</w:t>
      </w:r>
      <w:r w:rsidRPr="00ED2974">
        <w:rPr>
          <w:rFonts w:ascii="Times New Roman" w:hAnsi="Times New Roman"/>
          <w:sz w:val="26"/>
          <w:szCs w:val="26"/>
        </w:rPr>
        <w:t xml:space="preserve"> </w:t>
      </w:r>
      <w:r w:rsidR="00ED2974" w:rsidRPr="00ED2974">
        <w:rPr>
          <w:rFonts w:ascii="Times New Roman" w:hAnsi="Times New Roman"/>
          <w:sz w:val="26"/>
          <w:szCs w:val="26"/>
        </w:rPr>
        <w:t>Joint Petition for Approval of Partial Settlement</w:t>
      </w:r>
      <w:r w:rsidRPr="00ED2974">
        <w:rPr>
          <w:rFonts w:ascii="Times New Roman" w:hAnsi="Times New Roman"/>
          <w:sz w:val="26"/>
          <w:szCs w:val="26"/>
        </w:rPr>
        <w:t xml:space="preserve"> </w:t>
      </w:r>
      <w:r w:rsidR="00ED2974" w:rsidRPr="00ED2974">
        <w:rPr>
          <w:rFonts w:ascii="Times New Roman" w:hAnsi="Times New Roman"/>
          <w:sz w:val="26"/>
          <w:szCs w:val="26"/>
        </w:rPr>
        <w:t xml:space="preserve">filed in this proceeding </w:t>
      </w:r>
      <w:r w:rsidRPr="00ED2974">
        <w:rPr>
          <w:rFonts w:ascii="Times New Roman" w:hAnsi="Times New Roman"/>
          <w:sz w:val="26"/>
          <w:szCs w:val="26"/>
        </w:rPr>
        <w:t>is approved without modification.</w:t>
      </w:r>
    </w:p>
    <w:p w:rsidR="00ED2974" w:rsidRDefault="00ED2974" w:rsidP="00C81B35">
      <w:pPr>
        <w:rPr>
          <w:rFonts w:ascii="Times New Roman" w:hAnsi="Times New Roman"/>
          <w:sz w:val="26"/>
          <w:szCs w:val="26"/>
        </w:rPr>
      </w:pPr>
    </w:p>
    <w:p w:rsidR="00ED2974" w:rsidRDefault="00ED2974" w:rsidP="00C81B35">
      <w:pPr>
        <w:rPr>
          <w:sz w:val="26"/>
          <w:szCs w:val="26"/>
        </w:rPr>
      </w:pPr>
      <w:r>
        <w:rPr>
          <w:rFonts w:ascii="Times New Roman" w:hAnsi="Times New Roman"/>
          <w:sz w:val="26"/>
          <w:szCs w:val="26"/>
        </w:rPr>
        <w:tab/>
      </w:r>
      <w:r>
        <w:rPr>
          <w:rFonts w:ascii="Times New Roman" w:hAnsi="Times New Roman"/>
          <w:sz w:val="26"/>
          <w:szCs w:val="26"/>
        </w:rPr>
        <w:tab/>
        <w:t>5.</w:t>
      </w:r>
      <w:r>
        <w:rPr>
          <w:rFonts w:ascii="Times New Roman" w:hAnsi="Times New Roman"/>
          <w:sz w:val="26"/>
          <w:szCs w:val="26"/>
        </w:rPr>
        <w:tab/>
        <w:t>That</w:t>
      </w:r>
      <w:r w:rsidRPr="00ED2974">
        <w:rPr>
          <w:sz w:val="26"/>
          <w:szCs w:val="26"/>
        </w:rPr>
        <w:t xml:space="preserve"> </w:t>
      </w:r>
      <w:r>
        <w:rPr>
          <w:sz w:val="26"/>
          <w:szCs w:val="26"/>
        </w:rPr>
        <w:t xml:space="preserve">the proposal of PPL Electric Utilities Corporation </w:t>
      </w:r>
      <w:r w:rsidRPr="004114B0">
        <w:rPr>
          <w:sz w:val="26"/>
          <w:szCs w:val="26"/>
        </w:rPr>
        <w:t>to change the customer size demarcation between</w:t>
      </w:r>
      <w:r>
        <w:rPr>
          <w:sz w:val="26"/>
          <w:szCs w:val="26"/>
        </w:rPr>
        <w:t xml:space="preserve"> the Small Commercial &amp; Industrial customer class</w:t>
      </w:r>
      <w:r w:rsidRPr="004114B0">
        <w:rPr>
          <w:sz w:val="26"/>
          <w:szCs w:val="26"/>
        </w:rPr>
        <w:t xml:space="preserve"> and</w:t>
      </w:r>
      <w:r>
        <w:rPr>
          <w:sz w:val="26"/>
          <w:szCs w:val="26"/>
        </w:rPr>
        <w:t xml:space="preserve"> the Large Commercial &amp; Industrial customer class </w:t>
      </w:r>
      <w:r w:rsidRPr="004114B0">
        <w:rPr>
          <w:sz w:val="26"/>
          <w:szCs w:val="26"/>
        </w:rPr>
        <w:t>from a peak demand</w:t>
      </w:r>
      <w:r>
        <w:rPr>
          <w:sz w:val="26"/>
          <w:szCs w:val="26"/>
        </w:rPr>
        <w:t xml:space="preserve"> level</w:t>
      </w:r>
      <w:r w:rsidRPr="004114B0">
        <w:rPr>
          <w:sz w:val="26"/>
          <w:szCs w:val="26"/>
        </w:rPr>
        <w:t xml:space="preserve"> of 500</w:t>
      </w:r>
      <w:r w:rsidR="003C6BFD">
        <w:rPr>
          <w:sz w:val="26"/>
          <w:szCs w:val="26"/>
        </w:rPr>
        <w:t> </w:t>
      </w:r>
      <w:r w:rsidRPr="004114B0">
        <w:rPr>
          <w:sz w:val="26"/>
          <w:szCs w:val="26"/>
        </w:rPr>
        <w:t xml:space="preserve">kW to a peak demand </w:t>
      </w:r>
      <w:r>
        <w:rPr>
          <w:sz w:val="26"/>
          <w:szCs w:val="26"/>
        </w:rPr>
        <w:t xml:space="preserve">level </w:t>
      </w:r>
      <w:r w:rsidRPr="004114B0">
        <w:rPr>
          <w:sz w:val="26"/>
          <w:szCs w:val="26"/>
        </w:rPr>
        <w:t>of 100 kW</w:t>
      </w:r>
      <w:r>
        <w:rPr>
          <w:sz w:val="26"/>
          <w:szCs w:val="26"/>
        </w:rPr>
        <w:t xml:space="preserve"> is approved, consistent with this Opinion and Order.</w:t>
      </w:r>
    </w:p>
    <w:p w:rsidR="00467D86" w:rsidRDefault="00467D86" w:rsidP="00C81B35">
      <w:pPr>
        <w:rPr>
          <w:sz w:val="26"/>
          <w:szCs w:val="26"/>
        </w:rPr>
      </w:pPr>
    </w:p>
    <w:p w:rsidR="00467D86" w:rsidRDefault="00467D86" w:rsidP="00C81B35">
      <w:pPr>
        <w:rPr>
          <w:sz w:val="26"/>
          <w:szCs w:val="26"/>
        </w:rPr>
      </w:pPr>
      <w:r>
        <w:rPr>
          <w:sz w:val="26"/>
          <w:szCs w:val="26"/>
        </w:rPr>
        <w:tab/>
      </w:r>
      <w:r>
        <w:rPr>
          <w:sz w:val="26"/>
          <w:szCs w:val="26"/>
        </w:rPr>
        <w:tab/>
        <w:t>6.</w:t>
      </w:r>
      <w:r>
        <w:rPr>
          <w:sz w:val="26"/>
          <w:szCs w:val="26"/>
        </w:rPr>
        <w:tab/>
        <w:t xml:space="preserve">That the proposal of the Retail Energy Supply Association that PPL Electric Utilities Corporation be directed to assume responsibility for non-market-based transmission-related costs on behalf of both wholesale default service suppliers and electric generation suppliers, and to recover those costs from both default service and </w:t>
      </w:r>
      <w:r>
        <w:rPr>
          <w:sz w:val="26"/>
          <w:szCs w:val="26"/>
        </w:rPr>
        <w:lastRenderedPageBreak/>
        <w:t>shopping customers through a non-</w:t>
      </w:r>
      <w:proofErr w:type="spellStart"/>
      <w:r>
        <w:rPr>
          <w:sz w:val="26"/>
          <w:szCs w:val="26"/>
        </w:rPr>
        <w:t>bypassable</w:t>
      </w:r>
      <w:proofErr w:type="spellEnd"/>
      <w:r>
        <w:rPr>
          <w:sz w:val="26"/>
          <w:szCs w:val="26"/>
        </w:rPr>
        <w:t xml:space="preserve"> charge</w:t>
      </w:r>
      <w:r w:rsidR="0051735C">
        <w:rPr>
          <w:sz w:val="26"/>
          <w:szCs w:val="26"/>
        </w:rPr>
        <w:t>,</w:t>
      </w:r>
      <w:r>
        <w:rPr>
          <w:sz w:val="26"/>
          <w:szCs w:val="26"/>
        </w:rPr>
        <w:t xml:space="preserve"> is rejected, consistent with this Opinion and Order.</w:t>
      </w:r>
    </w:p>
    <w:p w:rsidR="004D0680" w:rsidRDefault="004D0680" w:rsidP="00C81B35">
      <w:pPr>
        <w:rPr>
          <w:sz w:val="26"/>
          <w:szCs w:val="26"/>
        </w:rPr>
      </w:pPr>
    </w:p>
    <w:p w:rsidR="004D0680" w:rsidRPr="004D0680" w:rsidRDefault="004D0680" w:rsidP="00C81B35">
      <w:pPr>
        <w:rPr>
          <w:sz w:val="26"/>
          <w:szCs w:val="26"/>
        </w:rPr>
      </w:pPr>
      <w:r>
        <w:rPr>
          <w:sz w:val="26"/>
          <w:szCs w:val="26"/>
        </w:rPr>
        <w:tab/>
      </w:r>
      <w:r>
        <w:rPr>
          <w:sz w:val="26"/>
          <w:szCs w:val="26"/>
        </w:rPr>
        <w:tab/>
        <w:t>7.</w:t>
      </w:r>
      <w:r>
        <w:rPr>
          <w:sz w:val="26"/>
          <w:szCs w:val="26"/>
        </w:rPr>
        <w:tab/>
        <w:t xml:space="preserve">That the </w:t>
      </w:r>
      <w:r w:rsidRPr="004D0680">
        <w:rPr>
          <w:sz w:val="26"/>
          <w:szCs w:val="26"/>
        </w:rPr>
        <w:t>Petition of PPL Electric Utilities Corporation for Approval of a Default Service Program and Procurement Plan for the Period June 1, 2015</w:t>
      </w:r>
      <w:r w:rsidR="003C6BFD">
        <w:rPr>
          <w:sz w:val="26"/>
          <w:szCs w:val="26"/>
        </w:rPr>
        <w:t>,</w:t>
      </w:r>
      <w:r w:rsidRPr="004D0680">
        <w:rPr>
          <w:sz w:val="26"/>
          <w:szCs w:val="26"/>
        </w:rPr>
        <w:t xml:space="preserve"> Through May 31, 2017</w:t>
      </w:r>
      <w:r w:rsidR="003C6BFD">
        <w:rPr>
          <w:sz w:val="26"/>
          <w:szCs w:val="26"/>
        </w:rPr>
        <w:t>,</w:t>
      </w:r>
      <w:r>
        <w:rPr>
          <w:sz w:val="26"/>
          <w:szCs w:val="26"/>
        </w:rPr>
        <w:t xml:space="preserve"> is granted, consistent with the terms and conditions of the </w:t>
      </w:r>
      <w:r w:rsidRPr="00ED2974">
        <w:rPr>
          <w:rFonts w:ascii="Times New Roman" w:hAnsi="Times New Roman"/>
          <w:sz w:val="26"/>
          <w:szCs w:val="26"/>
        </w:rPr>
        <w:t>Joint Petition for Approval of Partial Settlement</w:t>
      </w:r>
      <w:r>
        <w:rPr>
          <w:rFonts w:ascii="Times New Roman" w:hAnsi="Times New Roman"/>
          <w:sz w:val="26"/>
          <w:szCs w:val="26"/>
        </w:rPr>
        <w:t xml:space="preserve"> filed in this proceeding, and </w:t>
      </w:r>
      <w:r w:rsidR="008349F1">
        <w:rPr>
          <w:rFonts w:ascii="Times New Roman" w:hAnsi="Times New Roman"/>
          <w:sz w:val="26"/>
          <w:szCs w:val="26"/>
        </w:rPr>
        <w:t xml:space="preserve">consistent </w:t>
      </w:r>
      <w:r>
        <w:rPr>
          <w:rFonts w:ascii="Times New Roman" w:hAnsi="Times New Roman"/>
          <w:sz w:val="26"/>
          <w:szCs w:val="26"/>
        </w:rPr>
        <w:t>with the disposition of the litigated issues as discussed in this Opinion and Order.</w:t>
      </w:r>
    </w:p>
    <w:p w:rsidR="004D0680" w:rsidRPr="00ED2974" w:rsidRDefault="004D0680" w:rsidP="00C81B35">
      <w:pPr>
        <w:rPr>
          <w:rFonts w:ascii="Times New Roman" w:hAnsi="Times New Roman"/>
          <w:sz w:val="26"/>
          <w:szCs w:val="26"/>
        </w:rPr>
      </w:pPr>
    </w:p>
    <w:p w:rsidR="00C13786" w:rsidRPr="00025B23" w:rsidRDefault="00C13786" w:rsidP="00C81B35">
      <w:pPr>
        <w:pStyle w:val="BodyText2"/>
        <w:spacing w:after="0" w:line="360" w:lineRule="auto"/>
        <w:rPr>
          <w:sz w:val="26"/>
          <w:szCs w:val="26"/>
        </w:rPr>
      </w:pPr>
      <w:r>
        <w:rPr>
          <w:sz w:val="26"/>
          <w:szCs w:val="26"/>
        </w:rPr>
        <w:tab/>
      </w:r>
      <w:r>
        <w:rPr>
          <w:sz w:val="26"/>
          <w:szCs w:val="26"/>
        </w:rPr>
        <w:tab/>
      </w:r>
      <w:r w:rsidRPr="00025B23">
        <w:rPr>
          <w:sz w:val="26"/>
          <w:szCs w:val="26"/>
        </w:rPr>
        <w:t>8.</w:t>
      </w:r>
      <w:r w:rsidRPr="00025B23">
        <w:rPr>
          <w:sz w:val="26"/>
          <w:szCs w:val="26"/>
        </w:rPr>
        <w:tab/>
        <w:t xml:space="preserve">That </w:t>
      </w:r>
      <w:r w:rsidR="005F3918" w:rsidRPr="004D0680">
        <w:rPr>
          <w:sz w:val="26"/>
          <w:szCs w:val="26"/>
        </w:rPr>
        <w:t xml:space="preserve">PPL </w:t>
      </w:r>
      <w:r w:rsidR="005F3918">
        <w:rPr>
          <w:sz w:val="26"/>
          <w:szCs w:val="26"/>
        </w:rPr>
        <w:t>Electric Utilities Corporation</w:t>
      </w:r>
      <w:r w:rsidR="00803C65">
        <w:rPr>
          <w:sz w:val="26"/>
          <w:szCs w:val="26"/>
        </w:rPr>
        <w:t>’</w:t>
      </w:r>
      <w:r w:rsidR="005F3918">
        <w:rPr>
          <w:sz w:val="26"/>
          <w:szCs w:val="26"/>
        </w:rPr>
        <w:t xml:space="preserve">s DSP III program as </w:t>
      </w:r>
      <w:r w:rsidR="00277530">
        <w:rPr>
          <w:sz w:val="26"/>
          <w:szCs w:val="26"/>
        </w:rPr>
        <w:t>approved herein</w:t>
      </w:r>
      <w:r w:rsidR="005F3918">
        <w:rPr>
          <w:sz w:val="26"/>
          <w:szCs w:val="26"/>
        </w:rPr>
        <w:t xml:space="preserve"> </w:t>
      </w:r>
      <w:r w:rsidRPr="00025B23">
        <w:rPr>
          <w:sz w:val="26"/>
          <w:szCs w:val="26"/>
        </w:rPr>
        <w:t>contains all of the elements of a default service plan required by the</w:t>
      </w:r>
      <w:r>
        <w:rPr>
          <w:sz w:val="26"/>
          <w:szCs w:val="26"/>
        </w:rPr>
        <w:t xml:space="preserve"> Public Utility</w:t>
      </w:r>
      <w:r w:rsidRPr="00025B23">
        <w:rPr>
          <w:sz w:val="26"/>
          <w:szCs w:val="26"/>
        </w:rPr>
        <w:t xml:space="preserve"> Code, the Commission</w:t>
      </w:r>
      <w:r w:rsidR="00803C65">
        <w:rPr>
          <w:sz w:val="26"/>
          <w:szCs w:val="26"/>
        </w:rPr>
        <w:t>’</w:t>
      </w:r>
      <w:r>
        <w:rPr>
          <w:sz w:val="26"/>
          <w:szCs w:val="26"/>
        </w:rPr>
        <w:t>s Default Service R</w:t>
      </w:r>
      <w:r w:rsidR="0051735C">
        <w:rPr>
          <w:sz w:val="26"/>
          <w:szCs w:val="26"/>
        </w:rPr>
        <w:t>egulations (52 Pa. Code §§ </w:t>
      </w:r>
      <w:r w:rsidRPr="00025B23">
        <w:rPr>
          <w:sz w:val="26"/>
          <w:szCs w:val="26"/>
        </w:rPr>
        <w:t>54.181 – 54.189), and the Commission</w:t>
      </w:r>
      <w:r w:rsidR="00803C65">
        <w:rPr>
          <w:sz w:val="26"/>
          <w:szCs w:val="26"/>
        </w:rPr>
        <w:t>’</w:t>
      </w:r>
      <w:r w:rsidRPr="00025B23">
        <w:rPr>
          <w:sz w:val="26"/>
          <w:szCs w:val="26"/>
        </w:rPr>
        <w:t>s Policy Statement on Default Service (52 Pa. Code §§ 69.1801-69.1817), including p</w:t>
      </w:r>
      <w:r w:rsidR="0051735C">
        <w:rPr>
          <w:sz w:val="26"/>
          <w:szCs w:val="26"/>
        </w:rPr>
        <w:t xml:space="preserve">rocurement, implementation, </w:t>
      </w:r>
      <w:r w:rsidRPr="00025B23">
        <w:rPr>
          <w:sz w:val="26"/>
          <w:szCs w:val="26"/>
        </w:rPr>
        <w:t>contingency plans, a rate design plan, and copies of the agreements and forms to be used in procurement of default service supply.</w:t>
      </w:r>
    </w:p>
    <w:p w:rsidR="00C13786" w:rsidRPr="00025B23" w:rsidRDefault="00C13786" w:rsidP="00C81B35">
      <w:pPr>
        <w:pStyle w:val="BodyText2"/>
        <w:spacing w:after="0" w:line="360" w:lineRule="auto"/>
        <w:rPr>
          <w:sz w:val="26"/>
          <w:szCs w:val="26"/>
        </w:rPr>
      </w:pPr>
    </w:p>
    <w:p w:rsidR="00C13786" w:rsidRPr="00230F6A" w:rsidRDefault="00C13786" w:rsidP="00C81B35">
      <w:pPr>
        <w:pStyle w:val="BodyText2"/>
        <w:spacing w:after="0" w:line="360" w:lineRule="auto"/>
        <w:rPr>
          <w:sz w:val="26"/>
          <w:szCs w:val="26"/>
        </w:rPr>
      </w:pPr>
      <w:r w:rsidRPr="00025B23">
        <w:rPr>
          <w:sz w:val="26"/>
          <w:szCs w:val="26"/>
        </w:rPr>
        <w:tab/>
      </w:r>
      <w:r w:rsidRPr="00025B23">
        <w:rPr>
          <w:sz w:val="26"/>
          <w:szCs w:val="26"/>
        </w:rPr>
        <w:tab/>
      </w:r>
      <w:r w:rsidRPr="00F00945">
        <w:rPr>
          <w:sz w:val="26"/>
          <w:szCs w:val="26"/>
        </w:rPr>
        <w:t>9.</w:t>
      </w:r>
      <w:r w:rsidRPr="00F00945">
        <w:rPr>
          <w:sz w:val="26"/>
          <w:szCs w:val="26"/>
        </w:rPr>
        <w:tab/>
        <w:t>That</w:t>
      </w:r>
      <w:r w:rsidR="005F3918" w:rsidRPr="00F00945">
        <w:rPr>
          <w:sz w:val="26"/>
          <w:szCs w:val="26"/>
        </w:rPr>
        <w:t xml:space="preserve"> </w:t>
      </w:r>
      <w:r w:rsidR="00F94BC9" w:rsidRPr="00F00945">
        <w:rPr>
          <w:sz w:val="26"/>
          <w:szCs w:val="26"/>
        </w:rPr>
        <w:t>PPL Electric Utilities Corporation</w:t>
      </w:r>
      <w:r w:rsidR="00803C65">
        <w:rPr>
          <w:sz w:val="26"/>
          <w:szCs w:val="26"/>
        </w:rPr>
        <w:t>’</w:t>
      </w:r>
      <w:r w:rsidR="005F3918" w:rsidRPr="00F00945">
        <w:rPr>
          <w:sz w:val="26"/>
          <w:szCs w:val="26"/>
        </w:rPr>
        <w:t>s DSP III</w:t>
      </w:r>
      <w:r w:rsidR="00277530" w:rsidRPr="00F00945">
        <w:rPr>
          <w:sz w:val="26"/>
          <w:szCs w:val="26"/>
        </w:rPr>
        <w:t xml:space="preserve"> program as approved herein</w:t>
      </w:r>
      <w:r w:rsidR="005F3918" w:rsidRPr="00F00945">
        <w:rPr>
          <w:sz w:val="26"/>
          <w:szCs w:val="26"/>
        </w:rPr>
        <w:t xml:space="preserve"> is </w:t>
      </w:r>
      <w:r w:rsidRPr="00F00945">
        <w:rPr>
          <w:sz w:val="26"/>
          <w:szCs w:val="26"/>
        </w:rPr>
        <w:t>in compliance with 66 Pa</w:t>
      </w:r>
      <w:r w:rsidR="0051735C">
        <w:rPr>
          <w:sz w:val="26"/>
          <w:szCs w:val="26"/>
        </w:rPr>
        <w:t>. C.S. § 2807(e)(3.7) in that</w:t>
      </w:r>
      <w:r w:rsidR="003C6BFD">
        <w:rPr>
          <w:sz w:val="26"/>
          <w:szCs w:val="26"/>
        </w:rPr>
        <w:t>:</w:t>
      </w:r>
      <w:r w:rsidR="00F00945" w:rsidRPr="00F00945">
        <w:rPr>
          <w:sz w:val="26"/>
          <w:szCs w:val="26"/>
        </w:rPr>
        <w:t xml:space="preserve"> (1) it</w:t>
      </w:r>
      <w:r w:rsidRPr="00F00945">
        <w:rPr>
          <w:sz w:val="26"/>
          <w:szCs w:val="26"/>
        </w:rPr>
        <w:t xml:space="preserve"> includ</w:t>
      </w:r>
      <w:r w:rsidR="00F00945" w:rsidRPr="00F00945">
        <w:rPr>
          <w:sz w:val="26"/>
          <w:szCs w:val="26"/>
        </w:rPr>
        <w:t xml:space="preserve">es prudent steps necessary </w:t>
      </w:r>
      <w:r w:rsidRPr="00F00945">
        <w:rPr>
          <w:sz w:val="26"/>
          <w:szCs w:val="26"/>
        </w:rPr>
        <w:t xml:space="preserve">to negotiate favorable generation supply contracts; (2) </w:t>
      </w:r>
      <w:r w:rsidR="00F00945" w:rsidRPr="00F00945">
        <w:rPr>
          <w:sz w:val="26"/>
          <w:szCs w:val="26"/>
        </w:rPr>
        <w:t xml:space="preserve">it includes prudent steps necessary </w:t>
      </w:r>
      <w:r w:rsidRPr="00F00945">
        <w:rPr>
          <w:sz w:val="26"/>
          <w:szCs w:val="26"/>
        </w:rPr>
        <w:t>to obtain least cost generation su</w:t>
      </w:r>
      <w:r w:rsidR="00F00945" w:rsidRPr="00F00945">
        <w:rPr>
          <w:sz w:val="26"/>
          <w:szCs w:val="26"/>
        </w:rPr>
        <w:t>pply contracts; and (3) neither the default service provider nor its</w:t>
      </w:r>
      <w:r w:rsidRPr="00F00945">
        <w:rPr>
          <w:sz w:val="26"/>
          <w:szCs w:val="26"/>
        </w:rPr>
        <w:t xml:space="preserve"> affiliated interests have withheld from the market any generation su</w:t>
      </w:r>
      <w:r w:rsidR="00F00945" w:rsidRPr="00F00945">
        <w:rPr>
          <w:sz w:val="26"/>
          <w:szCs w:val="26"/>
        </w:rPr>
        <w:t>pply in a manner that violates F</w:t>
      </w:r>
      <w:r w:rsidRPr="00F00945">
        <w:rPr>
          <w:sz w:val="26"/>
          <w:szCs w:val="26"/>
        </w:rPr>
        <w:t>ederal law.</w:t>
      </w:r>
    </w:p>
    <w:p w:rsidR="005C32E8" w:rsidRDefault="005C32E8" w:rsidP="00C81B35">
      <w:pPr>
        <w:rPr>
          <w:rFonts w:ascii="Times New Roman" w:hAnsi="Times New Roman"/>
          <w:sz w:val="26"/>
          <w:szCs w:val="26"/>
        </w:rPr>
      </w:pPr>
    </w:p>
    <w:p w:rsidR="00A50D0C" w:rsidRPr="00CF2DD3" w:rsidRDefault="005C32E8" w:rsidP="00C81B35">
      <w:pPr>
        <w:pStyle w:val="FootnoteText"/>
        <w:widowControl/>
        <w:spacing w:line="360" w:lineRule="auto"/>
      </w:pPr>
      <w:r>
        <w:rPr>
          <w:szCs w:val="26"/>
        </w:rPr>
        <w:tab/>
      </w:r>
      <w:r>
        <w:rPr>
          <w:szCs w:val="26"/>
        </w:rPr>
        <w:tab/>
      </w:r>
      <w:r w:rsidR="00CF2DD3" w:rsidRPr="00CF2DD3">
        <w:rPr>
          <w:szCs w:val="26"/>
        </w:rPr>
        <w:t>10</w:t>
      </w:r>
      <w:r w:rsidRPr="00CF2DD3">
        <w:rPr>
          <w:szCs w:val="26"/>
        </w:rPr>
        <w:t>.</w:t>
      </w:r>
      <w:r w:rsidRPr="00CF2DD3">
        <w:rPr>
          <w:szCs w:val="26"/>
        </w:rPr>
        <w:tab/>
        <w:t xml:space="preserve">That the </w:t>
      </w:r>
      <w:r w:rsidR="009314E2" w:rsidRPr="009314E2">
        <w:rPr>
          <w:i/>
          <w:szCs w:val="26"/>
        </w:rPr>
        <w:t xml:space="preserve">pro </w:t>
      </w:r>
      <w:r w:rsidRPr="009314E2">
        <w:rPr>
          <w:i/>
          <w:szCs w:val="26"/>
        </w:rPr>
        <w:t>form</w:t>
      </w:r>
      <w:r w:rsidR="009314E2" w:rsidRPr="009314E2">
        <w:rPr>
          <w:i/>
          <w:szCs w:val="26"/>
        </w:rPr>
        <w:t>a</w:t>
      </w:r>
      <w:r w:rsidRPr="00CF2DD3">
        <w:rPr>
          <w:szCs w:val="26"/>
        </w:rPr>
        <w:t xml:space="preserve"> Supply Master Agreement </w:t>
      </w:r>
      <w:r w:rsidR="00CF2DD3" w:rsidRPr="00CF2DD3">
        <w:rPr>
          <w:szCs w:val="26"/>
        </w:rPr>
        <w:t>included as Attachment B to the</w:t>
      </w:r>
      <w:r w:rsidR="00CF2DD3" w:rsidRPr="00CF2DD3">
        <w:t xml:space="preserve"> Petition of PPL Electric Utilities Corporation for Approval of a Default Service Program and Procurement Plan for the Period June 1, 2015</w:t>
      </w:r>
      <w:r w:rsidR="003C6BFD">
        <w:t>,</w:t>
      </w:r>
      <w:r w:rsidR="00CF2DD3" w:rsidRPr="00CF2DD3">
        <w:t xml:space="preserve"> Through May 31, 2017</w:t>
      </w:r>
      <w:r w:rsidR="00CF2DD3">
        <w:t xml:space="preserve">, and modified by the </w:t>
      </w:r>
      <w:r w:rsidR="00CF2DD3" w:rsidRPr="00ED2974">
        <w:rPr>
          <w:szCs w:val="26"/>
        </w:rPr>
        <w:t>Joint Petition for Approval of Partial Settlement</w:t>
      </w:r>
      <w:r w:rsidR="00CF2DD3">
        <w:rPr>
          <w:szCs w:val="26"/>
        </w:rPr>
        <w:t xml:space="preserve"> filed </w:t>
      </w:r>
      <w:r w:rsidR="00CF2DD3">
        <w:rPr>
          <w:szCs w:val="26"/>
        </w:rPr>
        <w:lastRenderedPageBreak/>
        <w:t>in this proceeding,</w:t>
      </w:r>
      <w:r w:rsidRPr="00CF2DD3">
        <w:rPr>
          <w:szCs w:val="26"/>
        </w:rPr>
        <w:t xml:space="preserve"> is approved as an affiliated interest agreement</w:t>
      </w:r>
      <w:r w:rsidR="00BD3AD0">
        <w:rPr>
          <w:szCs w:val="26"/>
        </w:rPr>
        <w:t xml:space="preserve"> pursuant to 66 Pa. C.S. § </w:t>
      </w:r>
      <w:r w:rsidR="00A50D0C" w:rsidRPr="00CF2DD3">
        <w:rPr>
          <w:szCs w:val="26"/>
        </w:rPr>
        <w:t>2102.</w:t>
      </w:r>
    </w:p>
    <w:p w:rsidR="00A50D0C" w:rsidRDefault="00A50D0C" w:rsidP="00C81B35">
      <w:pPr>
        <w:rPr>
          <w:rFonts w:ascii="Times New Roman" w:hAnsi="Times New Roman"/>
          <w:sz w:val="26"/>
          <w:szCs w:val="26"/>
        </w:rPr>
      </w:pPr>
    </w:p>
    <w:p w:rsidR="00A50D0C" w:rsidRPr="009314E2" w:rsidRDefault="00A50D0C" w:rsidP="00C81B35">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401D8C">
        <w:rPr>
          <w:rFonts w:ascii="Times New Roman" w:hAnsi="Times New Roman"/>
          <w:sz w:val="26"/>
          <w:szCs w:val="26"/>
        </w:rPr>
        <w:t>11</w:t>
      </w:r>
      <w:r>
        <w:rPr>
          <w:rFonts w:ascii="Times New Roman" w:hAnsi="Times New Roman"/>
          <w:sz w:val="26"/>
          <w:szCs w:val="26"/>
        </w:rPr>
        <w:t>.</w:t>
      </w:r>
      <w:r>
        <w:rPr>
          <w:rFonts w:ascii="Times New Roman" w:hAnsi="Times New Roman"/>
          <w:sz w:val="26"/>
          <w:szCs w:val="26"/>
        </w:rPr>
        <w:tab/>
        <w:t>That the Third-Party Standard Offer Referral Program Services Contract extension between PPL Electric Utilities Corporation and PPL Solutions is approved</w:t>
      </w:r>
      <w:r w:rsidRPr="00A50D0C">
        <w:rPr>
          <w:rFonts w:ascii="Times New Roman" w:hAnsi="Times New Roman"/>
          <w:sz w:val="26"/>
          <w:szCs w:val="26"/>
        </w:rPr>
        <w:t xml:space="preserve"> </w:t>
      </w:r>
      <w:r>
        <w:rPr>
          <w:rFonts w:ascii="Times New Roman" w:hAnsi="Times New Roman"/>
          <w:sz w:val="26"/>
          <w:szCs w:val="26"/>
        </w:rPr>
        <w:t xml:space="preserve">as </w:t>
      </w:r>
      <w:r w:rsidRPr="009314E2">
        <w:rPr>
          <w:rFonts w:ascii="Times New Roman" w:hAnsi="Times New Roman"/>
          <w:sz w:val="26"/>
          <w:szCs w:val="26"/>
        </w:rPr>
        <w:t>an aff</w:t>
      </w:r>
      <w:r w:rsidR="009314E2" w:rsidRPr="009314E2">
        <w:rPr>
          <w:rFonts w:ascii="Times New Roman" w:hAnsi="Times New Roman"/>
          <w:sz w:val="26"/>
          <w:szCs w:val="26"/>
        </w:rPr>
        <w:t>iliated interest agreement pursuant to</w:t>
      </w:r>
      <w:r w:rsidRPr="009314E2">
        <w:rPr>
          <w:rFonts w:ascii="Times New Roman" w:hAnsi="Times New Roman"/>
          <w:sz w:val="26"/>
          <w:szCs w:val="26"/>
        </w:rPr>
        <w:t xml:space="preserve"> 66 Pa. C.S. § 2102.</w:t>
      </w:r>
    </w:p>
    <w:p w:rsidR="0017111C" w:rsidRPr="00BD3AD0" w:rsidRDefault="0017111C" w:rsidP="00C81B35">
      <w:pPr>
        <w:rPr>
          <w:rFonts w:ascii="Times New Roman" w:hAnsi="Times New Roman"/>
          <w:sz w:val="26"/>
          <w:szCs w:val="26"/>
        </w:rPr>
      </w:pPr>
    </w:p>
    <w:p w:rsidR="0017111C" w:rsidRPr="00BD3AD0" w:rsidRDefault="0017111C" w:rsidP="00C81B35">
      <w:pPr>
        <w:rPr>
          <w:rFonts w:ascii="Times New Roman" w:hAnsi="Times New Roman"/>
          <w:sz w:val="26"/>
          <w:szCs w:val="26"/>
        </w:rPr>
      </w:pPr>
      <w:r w:rsidRPr="00BD3AD0">
        <w:rPr>
          <w:rFonts w:ascii="Times New Roman" w:hAnsi="Times New Roman"/>
          <w:sz w:val="26"/>
          <w:szCs w:val="26"/>
        </w:rPr>
        <w:tab/>
      </w:r>
      <w:r w:rsidRPr="00BD3AD0">
        <w:rPr>
          <w:rFonts w:ascii="Times New Roman" w:hAnsi="Times New Roman"/>
          <w:sz w:val="26"/>
          <w:szCs w:val="26"/>
        </w:rPr>
        <w:tab/>
      </w:r>
      <w:r w:rsidR="00401D8C" w:rsidRPr="00BD3AD0">
        <w:rPr>
          <w:rFonts w:ascii="Times New Roman" w:hAnsi="Times New Roman"/>
          <w:sz w:val="26"/>
          <w:szCs w:val="26"/>
        </w:rPr>
        <w:t>12</w:t>
      </w:r>
      <w:r w:rsidR="009314E2" w:rsidRPr="00BD3AD0">
        <w:rPr>
          <w:rFonts w:ascii="Times New Roman" w:hAnsi="Times New Roman"/>
          <w:sz w:val="26"/>
          <w:szCs w:val="26"/>
        </w:rPr>
        <w:t>.</w:t>
      </w:r>
      <w:r w:rsidR="009314E2" w:rsidRPr="00BD3AD0">
        <w:rPr>
          <w:rFonts w:ascii="Times New Roman" w:hAnsi="Times New Roman"/>
          <w:sz w:val="26"/>
          <w:szCs w:val="26"/>
        </w:rPr>
        <w:tab/>
        <w:t xml:space="preserve">That the </w:t>
      </w:r>
      <w:r w:rsidR="009314E2" w:rsidRPr="00BD3AD0">
        <w:rPr>
          <w:rFonts w:ascii="Times New Roman" w:hAnsi="Times New Roman"/>
          <w:i/>
          <w:sz w:val="26"/>
          <w:szCs w:val="26"/>
        </w:rPr>
        <w:t>pro forma</w:t>
      </w:r>
      <w:r w:rsidR="009314E2" w:rsidRPr="00BD3AD0">
        <w:rPr>
          <w:rFonts w:ascii="Times New Roman" w:hAnsi="Times New Roman"/>
          <w:sz w:val="26"/>
          <w:szCs w:val="26"/>
        </w:rPr>
        <w:t xml:space="preserve"> tariff provisions </w:t>
      </w:r>
      <w:r w:rsidR="00401D8C" w:rsidRPr="00BD3AD0">
        <w:rPr>
          <w:rFonts w:ascii="Times New Roman" w:hAnsi="Times New Roman"/>
          <w:sz w:val="26"/>
          <w:szCs w:val="26"/>
        </w:rPr>
        <w:t>included as Attachment D to the Petition of PPL Electric Utilities Corporation for Approval of a Default Service Program and Procurement Plan for the Period June 1, 2015</w:t>
      </w:r>
      <w:r w:rsidR="003C6BFD">
        <w:rPr>
          <w:rFonts w:ascii="Times New Roman" w:hAnsi="Times New Roman"/>
          <w:sz w:val="26"/>
          <w:szCs w:val="26"/>
        </w:rPr>
        <w:t>,</w:t>
      </w:r>
      <w:r w:rsidR="00401D8C" w:rsidRPr="00BD3AD0">
        <w:rPr>
          <w:rFonts w:ascii="Times New Roman" w:hAnsi="Times New Roman"/>
          <w:sz w:val="26"/>
          <w:szCs w:val="26"/>
        </w:rPr>
        <w:t xml:space="preserve"> Through May 31, 2017, and modified by the Joint Petition for Approval of Partial Settlement filed in this proceeding, shall become effective as of June 1, 2015.</w:t>
      </w:r>
    </w:p>
    <w:p w:rsidR="0017111C" w:rsidRPr="00BD3AD0" w:rsidRDefault="0017111C" w:rsidP="00C81B35">
      <w:pPr>
        <w:rPr>
          <w:rFonts w:ascii="Times New Roman" w:hAnsi="Times New Roman"/>
          <w:sz w:val="26"/>
          <w:szCs w:val="26"/>
        </w:rPr>
      </w:pPr>
    </w:p>
    <w:p w:rsidR="0017111C" w:rsidRPr="00BD3AD0" w:rsidRDefault="0069121A" w:rsidP="00C81B35">
      <w:pPr>
        <w:rPr>
          <w:rFonts w:ascii="Times New Roman" w:hAnsi="Times New Roman"/>
          <w:sz w:val="26"/>
          <w:szCs w:val="26"/>
        </w:rPr>
      </w:pPr>
      <w:r w:rsidRPr="00BD3AD0">
        <w:rPr>
          <w:rFonts w:ascii="Times New Roman" w:hAnsi="Times New Roman"/>
          <w:sz w:val="26"/>
          <w:szCs w:val="26"/>
        </w:rPr>
        <w:tab/>
      </w:r>
      <w:r w:rsidRPr="00BD3AD0">
        <w:rPr>
          <w:rFonts w:ascii="Times New Roman" w:hAnsi="Times New Roman"/>
          <w:sz w:val="26"/>
          <w:szCs w:val="26"/>
        </w:rPr>
        <w:tab/>
        <w:t>1</w:t>
      </w:r>
      <w:r w:rsidR="00401D8C" w:rsidRPr="00BD3AD0">
        <w:rPr>
          <w:rFonts w:ascii="Times New Roman" w:hAnsi="Times New Roman"/>
          <w:sz w:val="26"/>
          <w:szCs w:val="26"/>
        </w:rPr>
        <w:t>3</w:t>
      </w:r>
      <w:r w:rsidRPr="00BD3AD0">
        <w:rPr>
          <w:rFonts w:ascii="Times New Roman" w:hAnsi="Times New Roman"/>
          <w:sz w:val="26"/>
          <w:szCs w:val="26"/>
        </w:rPr>
        <w:t>.</w:t>
      </w:r>
      <w:r w:rsidRPr="00BD3AD0">
        <w:rPr>
          <w:rFonts w:ascii="Times New Roman" w:hAnsi="Times New Roman"/>
          <w:sz w:val="26"/>
          <w:szCs w:val="26"/>
        </w:rPr>
        <w:tab/>
      </w:r>
      <w:r w:rsidR="0017111C" w:rsidRPr="00BD3AD0">
        <w:rPr>
          <w:rFonts w:ascii="Times New Roman" w:hAnsi="Times New Roman"/>
          <w:sz w:val="26"/>
          <w:szCs w:val="26"/>
        </w:rPr>
        <w:t xml:space="preserve">That any directive, requirement, disposition, or the like contained in the body of this Opinion and Order, which is not the subject of an individual Ordering Paragraph, shall have the full force and effect as if fully contained in this part. </w:t>
      </w:r>
    </w:p>
    <w:p w:rsidR="00AD6F9C" w:rsidRPr="00BD3AD0" w:rsidRDefault="00AD6F9C" w:rsidP="00C81B35">
      <w:pPr>
        <w:spacing w:line="276" w:lineRule="auto"/>
        <w:rPr>
          <w:rFonts w:ascii="Times New Roman" w:hAnsi="Times New Roman"/>
          <w:sz w:val="26"/>
          <w:szCs w:val="26"/>
        </w:rPr>
      </w:pPr>
    </w:p>
    <w:p w:rsidR="000B647C" w:rsidRDefault="00AD6F9C" w:rsidP="00C81B35">
      <w:pPr>
        <w:keepNext/>
        <w:rPr>
          <w:szCs w:val="24"/>
        </w:rPr>
      </w:pPr>
      <w:r w:rsidRPr="00FE1138">
        <w:rPr>
          <w:rFonts w:ascii="Times New Roman" w:hAnsi="Times New Roman"/>
          <w:sz w:val="26"/>
          <w:szCs w:val="26"/>
        </w:rPr>
        <w:tab/>
      </w:r>
      <w:r w:rsidRPr="00FE1138">
        <w:rPr>
          <w:rFonts w:ascii="Times New Roman" w:hAnsi="Times New Roman"/>
          <w:sz w:val="26"/>
          <w:szCs w:val="26"/>
        </w:rPr>
        <w:tab/>
      </w:r>
      <w:r w:rsidR="00401D8C" w:rsidRPr="00FE1138">
        <w:rPr>
          <w:rFonts w:ascii="Times New Roman" w:hAnsi="Times New Roman"/>
          <w:sz w:val="26"/>
          <w:szCs w:val="26"/>
        </w:rPr>
        <w:t>14</w:t>
      </w:r>
      <w:r w:rsidRPr="00FE1138">
        <w:rPr>
          <w:rFonts w:ascii="Times New Roman" w:hAnsi="Times New Roman"/>
          <w:sz w:val="26"/>
          <w:szCs w:val="26"/>
        </w:rPr>
        <w:t>.</w:t>
      </w:r>
      <w:r w:rsidRPr="00FE1138">
        <w:rPr>
          <w:rFonts w:ascii="Times New Roman" w:hAnsi="Times New Roman"/>
          <w:sz w:val="26"/>
          <w:szCs w:val="26"/>
        </w:rPr>
        <w:tab/>
        <w:t xml:space="preserve">That the investigation at Docket No. </w:t>
      </w:r>
      <w:r w:rsidR="0069121A" w:rsidRPr="00FE1138">
        <w:rPr>
          <w:rFonts w:ascii="Times New Roman" w:hAnsi="Times New Roman"/>
          <w:bCs/>
          <w:sz w:val="26"/>
          <w:szCs w:val="26"/>
        </w:rPr>
        <w:t>P-2014-2417907</w:t>
      </w:r>
      <w:r w:rsidR="00401D8C" w:rsidRPr="00FE1138">
        <w:rPr>
          <w:rFonts w:ascii="Times New Roman" w:hAnsi="Times New Roman"/>
          <w:bCs/>
          <w:sz w:val="26"/>
          <w:szCs w:val="26"/>
        </w:rPr>
        <w:t xml:space="preserve"> </w:t>
      </w:r>
      <w:r w:rsidRPr="00FE1138">
        <w:rPr>
          <w:rFonts w:ascii="Times New Roman" w:hAnsi="Times New Roman"/>
          <w:sz w:val="26"/>
          <w:szCs w:val="26"/>
        </w:rPr>
        <w:t>be terminated and the record be marked closed.</w:t>
      </w:r>
    </w:p>
    <w:p w:rsidR="003211D9" w:rsidRPr="0081619B" w:rsidRDefault="003211D9" w:rsidP="00CC5F55">
      <w:pPr>
        <w:keepNext/>
        <w:rPr>
          <w:szCs w:val="24"/>
        </w:rPr>
      </w:pPr>
    </w:p>
    <w:p w:rsidR="00D56D28" w:rsidRDefault="00F93588" w:rsidP="00CC5F55">
      <w:pPr>
        <w:keepNext/>
        <w:rPr>
          <w:rFonts w:ascii="Times New Roman" w:hAnsi="Times New Roman"/>
          <w:b/>
          <w:sz w:val="26"/>
          <w:szCs w:val="26"/>
        </w:rPr>
      </w:pPr>
      <w:r>
        <w:rPr>
          <w:noProof/>
        </w:rPr>
        <w:drawing>
          <wp:anchor distT="0" distB="0" distL="114300" distR="114300" simplePos="0" relativeHeight="251659264" behindDoc="1" locked="0" layoutInCell="1" allowOverlap="1" wp14:anchorId="6D8526F8" wp14:editId="2834E5CA">
            <wp:simplePos x="0" y="0"/>
            <wp:positionH relativeFrom="column">
              <wp:posOffset>3448050</wp:posOffset>
            </wp:positionH>
            <wp:positionV relativeFrom="paragraph">
              <wp:posOffset>220980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B647C" w:rsidRPr="0081619B">
        <w:rPr>
          <w:szCs w:val="24"/>
        </w:rPr>
        <w:tab/>
      </w:r>
      <w:r w:rsidR="000B647C" w:rsidRPr="0081619B">
        <w:rPr>
          <w:szCs w:val="24"/>
        </w:rPr>
        <w:tab/>
      </w:r>
      <w:r w:rsidR="00AD6F9C" w:rsidRPr="004D6C56">
        <w:rPr>
          <w:rFonts w:ascii="Times New Roman" w:hAnsi="Times New Roman"/>
          <w:b/>
          <w:sz w:val="26"/>
          <w:szCs w:val="26"/>
        </w:rPr>
        <w:tab/>
      </w:r>
      <w:r w:rsidR="00AD6F9C" w:rsidRPr="004D6C56">
        <w:rPr>
          <w:rFonts w:ascii="Times New Roman" w:hAnsi="Times New Roman"/>
          <w:b/>
          <w:sz w:val="26"/>
          <w:szCs w:val="26"/>
        </w:rPr>
        <w:tab/>
      </w:r>
      <w:r w:rsidR="00AD6F9C" w:rsidRPr="004D6C56">
        <w:rPr>
          <w:rFonts w:ascii="Times New Roman" w:hAnsi="Times New Roman"/>
          <w:b/>
          <w:sz w:val="26"/>
          <w:szCs w:val="26"/>
        </w:rPr>
        <w:tab/>
      </w:r>
      <w:r w:rsidR="00AD6F9C" w:rsidRPr="004D6C56">
        <w:rPr>
          <w:rFonts w:ascii="Times New Roman" w:hAnsi="Times New Roman"/>
          <w:b/>
          <w:sz w:val="26"/>
          <w:szCs w:val="26"/>
        </w:rPr>
        <w:tab/>
      </w:r>
      <w:r w:rsidR="00AD6F9C" w:rsidRPr="004D6C56">
        <w:rPr>
          <w:rFonts w:ascii="Times New Roman" w:hAnsi="Times New Roman"/>
          <w:b/>
          <w:sz w:val="26"/>
          <w:szCs w:val="26"/>
        </w:rPr>
        <w:tab/>
      </w:r>
      <w:r w:rsidR="00D56D28">
        <w:rPr>
          <w:rFonts w:ascii="Times New Roman" w:hAnsi="Times New Roman"/>
          <w:b/>
          <w:sz w:val="26"/>
          <w:szCs w:val="26"/>
        </w:rPr>
        <w:tab/>
      </w:r>
      <w:r w:rsidR="00AD6F9C" w:rsidRPr="004D6C56">
        <w:rPr>
          <w:rFonts w:ascii="Times New Roman" w:hAnsi="Times New Roman"/>
          <w:b/>
          <w:sz w:val="26"/>
          <w:szCs w:val="26"/>
        </w:rPr>
        <w:t>BY THE COMMISSION,</w:t>
      </w:r>
    </w:p>
    <w:p w:rsidR="00F93588" w:rsidRDefault="00F93588"/>
    <w:p w:rsidR="00D56D28" w:rsidRDefault="00D56D28" w:rsidP="00CC5F55">
      <w:pPr>
        <w:keepNext/>
        <w:rPr>
          <w:rFonts w:ascii="Times New Roman" w:hAnsi="Times New Roman"/>
          <w:b/>
          <w:sz w:val="26"/>
          <w:szCs w:val="26"/>
        </w:rPr>
      </w:pPr>
    </w:p>
    <w:p w:rsidR="00D56D28" w:rsidRDefault="00D56D28" w:rsidP="00CC5F55">
      <w:pPr>
        <w:keepNext/>
        <w:rPr>
          <w:rFonts w:ascii="Times New Roman" w:hAnsi="Times New Roman"/>
          <w:b/>
          <w:sz w:val="26"/>
          <w:szCs w:val="26"/>
        </w:rPr>
      </w:pPr>
    </w:p>
    <w:p w:rsidR="00D56D28" w:rsidRDefault="00AD6F9C" w:rsidP="00CC5F55">
      <w:pPr>
        <w:keepNext/>
        <w:spacing w:line="240" w:lineRule="auto"/>
        <w:rPr>
          <w:rFonts w:ascii="Times New Roman" w:hAnsi="Times New Roman"/>
          <w:sz w:val="26"/>
          <w:szCs w:val="26"/>
        </w:rPr>
      </w:pPr>
      <w:r w:rsidRPr="004D6C56">
        <w:rPr>
          <w:rFonts w:ascii="Times New Roman" w:hAnsi="Times New Roman"/>
          <w:sz w:val="26"/>
          <w:szCs w:val="26"/>
        </w:rPr>
        <w:tab/>
      </w:r>
      <w:r w:rsidRPr="004D6C56">
        <w:rPr>
          <w:rFonts w:ascii="Times New Roman" w:hAnsi="Times New Roman"/>
          <w:sz w:val="26"/>
          <w:szCs w:val="26"/>
        </w:rPr>
        <w:tab/>
      </w:r>
      <w:r w:rsidRPr="004D6C56">
        <w:rPr>
          <w:rFonts w:ascii="Times New Roman" w:hAnsi="Times New Roman"/>
          <w:sz w:val="26"/>
          <w:szCs w:val="26"/>
        </w:rPr>
        <w:tab/>
      </w:r>
      <w:r w:rsidRPr="004D6C56">
        <w:rPr>
          <w:rFonts w:ascii="Times New Roman" w:hAnsi="Times New Roman"/>
          <w:sz w:val="26"/>
          <w:szCs w:val="26"/>
        </w:rPr>
        <w:tab/>
      </w:r>
      <w:r w:rsidRPr="004D6C56">
        <w:rPr>
          <w:rFonts w:ascii="Times New Roman" w:hAnsi="Times New Roman"/>
          <w:sz w:val="26"/>
          <w:szCs w:val="26"/>
        </w:rPr>
        <w:tab/>
      </w:r>
      <w:r w:rsidRPr="004D6C56">
        <w:rPr>
          <w:rFonts w:ascii="Times New Roman" w:hAnsi="Times New Roman"/>
          <w:sz w:val="26"/>
          <w:szCs w:val="26"/>
        </w:rPr>
        <w:tab/>
      </w:r>
      <w:r w:rsidRPr="004D6C56">
        <w:rPr>
          <w:rFonts w:ascii="Times New Roman" w:hAnsi="Times New Roman"/>
          <w:sz w:val="26"/>
          <w:szCs w:val="26"/>
        </w:rPr>
        <w:tab/>
      </w:r>
      <w:r w:rsidRPr="004D6C56">
        <w:rPr>
          <w:rFonts w:ascii="Times New Roman" w:hAnsi="Times New Roman"/>
          <w:sz w:val="26"/>
          <w:szCs w:val="26"/>
        </w:rPr>
        <w:tab/>
        <w:t>Rosemary Chiavetta</w:t>
      </w:r>
    </w:p>
    <w:p w:rsidR="00AD6F9C" w:rsidRPr="004D6C56" w:rsidRDefault="00D56D28" w:rsidP="00CC5F55">
      <w:pPr>
        <w:keepNext/>
        <w:spacing w:line="24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AD6F9C" w:rsidRPr="004D6C56">
        <w:rPr>
          <w:rFonts w:ascii="Times New Roman" w:hAnsi="Times New Roman"/>
          <w:sz w:val="26"/>
          <w:szCs w:val="26"/>
        </w:rPr>
        <w:tab/>
      </w:r>
      <w:r w:rsidR="00AD6F9C" w:rsidRPr="004D6C56">
        <w:rPr>
          <w:rFonts w:ascii="Times New Roman" w:hAnsi="Times New Roman"/>
          <w:sz w:val="26"/>
          <w:szCs w:val="26"/>
        </w:rPr>
        <w:tab/>
      </w:r>
      <w:r w:rsidR="00AD6F9C" w:rsidRPr="004D6C56">
        <w:rPr>
          <w:rFonts w:ascii="Times New Roman" w:hAnsi="Times New Roman"/>
          <w:sz w:val="26"/>
          <w:szCs w:val="26"/>
        </w:rPr>
        <w:tab/>
      </w:r>
      <w:r w:rsidR="00AD6F9C" w:rsidRPr="004D6C56">
        <w:rPr>
          <w:rFonts w:ascii="Times New Roman" w:hAnsi="Times New Roman"/>
          <w:sz w:val="26"/>
          <w:szCs w:val="26"/>
        </w:rPr>
        <w:tab/>
      </w:r>
      <w:r w:rsidR="00AD6F9C" w:rsidRPr="004D6C56">
        <w:rPr>
          <w:rFonts w:ascii="Times New Roman" w:hAnsi="Times New Roman"/>
          <w:sz w:val="26"/>
          <w:szCs w:val="26"/>
        </w:rPr>
        <w:tab/>
        <w:t>Secretary</w:t>
      </w:r>
    </w:p>
    <w:p w:rsidR="00AD6F9C" w:rsidRPr="004D6C56" w:rsidRDefault="00AD6F9C" w:rsidP="00CC5F55">
      <w:pPr>
        <w:keepNext/>
        <w:keepLines/>
        <w:tabs>
          <w:tab w:val="left" w:pos="-720"/>
        </w:tabs>
        <w:suppressAutoHyphens/>
        <w:rPr>
          <w:rFonts w:ascii="Times New Roman" w:hAnsi="Times New Roman"/>
          <w:sz w:val="26"/>
          <w:szCs w:val="26"/>
        </w:rPr>
      </w:pPr>
      <w:r w:rsidRPr="004D6C56">
        <w:rPr>
          <w:rFonts w:ascii="Times New Roman" w:hAnsi="Times New Roman"/>
          <w:sz w:val="26"/>
          <w:szCs w:val="26"/>
        </w:rPr>
        <w:t>(SEAL)</w:t>
      </w:r>
    </w:p>
    <w:p w:rsidR="00AD6F9C" w:rsidRPr="004D6C56" w:rsidRDefault="00E35A32" w:rsidP="00CC5F55">
      <w:pPr>
        <w:keepNext/>
        <w:keepLines/>
        <w:tabs>
          <w:tab w:val="left" w:pos="-720"/>
        </w:tabs>
        <w:suppressAutoHyphens/>
        <w:rPr>
          <w:rFonts w:ascii="Times New Roman" w:hAnsi="Times New Roman"/>
          <w:sz w:val="26"/>
          <w:szCs w:val="26"/>
        </w:rPr>
      </w:pPr>
      <w:r>
        <w:rPr>
          <w:rFonts w:ascii="Times New Roman" w:hAnsi="Times New Roman"/>
          <w:sz w:val="26"/>
          <w:szCs w:val="26"/>
        </w:rPr>
        <w:t>ORDER ADOPTED:  January 15, 2015</w:t>
      </w:r>
      <w:r w:rsidR="00AD6F9C" w:rsidRPr="004D6C56">
        <w:rPr>
          <w:rFonts w:ascii="Times New Roman" w:hAnsi="Times New Roman"/>
          <w:sz w:val="26"/>
          <w:szCs w:val="26"/>
        </w:rPr>
        <w:t xml:space="preserve"> </w:t>
      </w:r>
    </w:p>
    <w:p w:rsidR="00AD6F9C" w:rsidRPr="004D6C56" w:rsidRDefault="00AD6F9C" w:rsidP="00CC5F55">
      <w:pPr>
        <w:keepNext/>
        <w:keepLines/>
        <w:tabs>
          <w:tab w:val="left" w:pos="-720"/>
        </w:tabs>
        <w:suppressAutoHyphens/>
        <w:rPr>
          <w:rFonts w:ascii="Times New Roman" w:hAnsi="Times New Roman"/>
          <w:sz w:val="26"/>
          <w:szCs w:val="26"/>
        </w:rPr>
      </w:pPr>
      <w:r w:rsidRPr="004D6C56">
        <w:rPr>
          <w:rFonts w:ascii="Times New Roman" w:hAnsi="Times New Roman"/>
          <w:sz w:val="26"/>
          <w:szCs w:val="26"/>
        </w:rPr>
        <w:t xml:space="preserve">ORDER ENTERED:  </w:t>
      </w:r>
      <w:r w:rsidR="00F93588">
        <w:rPr>
          <w:rFonts w:ascii="Times New Roman" w:hAnsi="Times New Roman"/>
          <w:sz w:val="26"/>
          <w:szCs w:val="26"/>
        </w:rPr>
        <w:t xml:space="preserve"> January 15, 2015</w:t>
      </w:r>
    </w:p>
    <w:sectPr w:rsidR="00AD6F9C" w:rsidRPr="004D6C56" w:rsidSect="00D26D41">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308" w:rsidRDefault="00AF5308" w:rsidP="00335C54">
      <w:pPr>
        <w:spacing w:line="240" w:lineRule="auto"/>
      </w:pPr>
      <w:r>
        <w:separator/>
      </w:r>
    </w:p>
  </w:endnote>
  <w:endnote w:type="continuationSeparator" w:id="0">
    <w:p w:rsidR="00AF5308" w:rsidRDefault="00AF5308" w:rsidP="00335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526243"/>
      <w:docPartObj>
        <w:docPartGallery w:val="Page Numbers (Bottom of Page)"/>
        <w:docPartUnique/>
      </w:docPartObj>
    </w:sdtPr>
    <w:sdtEndPr>
      <w:rPr>
        <w:noProof/>
      </w:rPr>
    </w:sdtEndPr>
    <w:sdtContent>
      <w:p w:rsidR="00991C93" w:rsidRDefault="00991C93">
        <w:pPr>
          <w:pStyle w:val="Footer"/>
          <w:jc w:val="center"/>
        </w:pPr>
        <w:r>
          <w:fldChar w:fldCharType="begin"/>
        </w:r>
        <w:r>
          <w:instrText xml:space="preserve"> PAGE   \* MERGEFORMAT </w:instrText>
        </w:r>
        <w:r>
          <w:fldChar w:fldCharType="separate"/>
        </w:r>
        <w:r w:rsidR="003A3CCA">
          <w:rPr>
            <w:noProof/>
          </w:rPr>
          <w:t>69</w:t>
        </w:r>
        <w:r>
          <w:rPr>
            <w:noProof/>
          </w:rPr>
          <w:fldChar w:fldCharType="end"/>
        </w:r>
      </w:p>
    </w:sdtContent>
  </w:sdt>
  <w:p w:rsidR="00991C93" w:rsidRDefault="00991C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308" w:rsidRDefault="00AF5308" w:rsidP="00335C54">
      <w:pPr>
        <w:spacing w:line="240" w:lineRule="auto"/>
      </w:pPr>
      <w:r>
        <w:separator/>
      </w:r>
    </w:p>
  </w:footnote>
  <w:footnote w:type="continuationSeparator" w:id="0">
    <w:p w:rsidR="00AF5308" w:rsidRDefault="00AF5308" w:rsidP="00335C54">
      <w:pPr>
        <w:spacing w:line="240" w:lineRule="auto"/>
      </w:pPr>
      <w:r>
        <w:continuationSeparator/>
      </w:r>
    </w:p>
  </w:footnote>
  <w:footnote w:id="1">
    <w:p w:rsidR="00991C93" w:rsidRDefault="00991C93" w:rsidP="004B740C">
      <w:pPr>
        <w:pStyle w:val="FootnoteText"/>
        <w:keepLines/>
        <w:widowControl/>
      </w:pPr>
      <w:r>
        <w:tab/>
      </w:r>
      <w:r w:rsidRPr="0059191F">
        <w:rPr>
          <w:rStyle w:val="FootnoteReference"/>
        </w:rPr>
        <w:footnoteRef/>
      </w:r>
      <w:r w:rsidRPr="0059191F">
        <w:tab/>
        <w:t xml:space="preserve">The Partial Settlement </w:t>
      </w:r>
      <w:r w:rsidRPr="0059191F">
        <w:rPr>
          <w:szCs w:val="26"/>
        </w:rPr>
        <w:t xml:space="preserve">indicates that I&amp;E, FES, Noble Americas, and Direct Energy are not parties to the Partial Settlement, but do not oppose it.  </w:t>
      </w:r>
      <w:r>
        <w:rPr>
          <w:szCs w:val="26"/>
        </w:rPr>
        <w:t>Partial Settlement at 2, n.1.  Also, s</w:t>
      </w:r>
      <w:r w:rsidRPr="0059191F">
        <w:rPr>
          <w:szCs w:val="26"/>
        </w:rPr>
        <w:t>pecific letters indicating non-opposition to the Partial Settlement were filed by FES and Direct Energy</w:t>
      </w:r>
      <w:r>
        <w:rPr>
          <w:szCs w:val="26"/>
        </w:rPr>
        <w:t>, and were attached to the Settlement as Appendices L and M, respectively.  In addition, Noble Americas filed a letter stating that it does not oppose the Partial Settlement, provided that its understanding of the Partial Settlement, as described in the letter, is correct.</w:t>
      </w:r>
    </w:p>
  </w:footnote>
  <w:footnote w:id="2">
    <w:p w:rsidR="00991C93" w:rsidRPr="004B740C" w:rsidRDefault="00991C93" w:rsidP="004B740C">
      <w:pPr>
        <w:pStyle w:val="FootnoteText"/>
        <w:outlineLvl w:val="0"/>
        <w:rPr>
          <w:szCs w:val="26"/>
        </w:rPr>
      </w:pPr>
      <w:r>
        <w:rPr>
          <w:szCs w:val="26"/>
        </w:rPr>
        <w:tab/>
      </w:r>
      <w:r w:rsidRPr="004B740C">
        <w:rPr>
          <w:rStyle w:val="FootnoteReference"/>
          <w:szCs w:val="26"/>
        </w:rPr>
        <w:footnoteRef/>
      </w:r>
      <w:r w:rsidRPr="004B740C">
        <w:rPr>
          <w:szCs w:val="26"/>
        </w:rPr>
        <w:tab/>
      </w:r>
      <w:r w:rsidRPr="00431FDE">
        <w:rPr>
          <w:i/>
          <w:szCs w:val="26"/>
        </w:rPr>
        <w:t>Electricity Generation Customer Choice and Competition Act</w:t>
      </w:r>
      <w:r w:rsidRPr="004B740C">
        <w:rPr>
          <w:szCs w:val="26"/>
        </w:rPr>
        <w:t xml:space="preserve">, Act 138 of 1996, (Competition Act) as amended by Act 129 of 2008, codified at 66 Pa. C.S. § 2801, </w:t>
      </w:r>
      <w:r w:rsidRPr="0094797D">
        <w:rPr>
          <w:i/>
          <w:szCs w:val="26"/>
        </w:rPr>
        <w:t>et seq</w:t>
      </w:r>
      <w:r w:rsidRPr="004B740C">
        <w:rPr>
          <w:szCs w:val="26"/>
        </w:rPr>
        <w:t>.</w:t>
      </w:r>
    </w:p>
    <w:p w:rsidR="00991C93" w:rsidRPr="00611039" w:rsidRDefault="00991C93" w:rsidP="00B37185">
      <w:pPr>
        <w:pStyle w:val="FootnoteText"/>
        <w:ind w:firstLine="720"/>
        <w:outlineLvl w:val="0"/>
        <w:rPr>
          <w:i/>
          <w:szCs w:val="26"/>
        </w:rPr>
      </w:pPr>
    </w:p>
  </w:footnote>
  <w:footnote w:id="3">
    <w:p w:rsidR="00991C93" w:rsidRPr="000A7BF0" w:rsidRDefault="00991C93" w:rsidP="00091B8C">
      <w:pPr>
        <w:pStyle w:val="FootnoteText"/>
        <w:keepLines/>
        <w:widowControl/>
        <w:rPr>
          <w:szCs w:val="26"/>
        </w:rPr>
      </w:pPr>
      <w:r>
        <w:rPr>
          <w:szCs w:val="26"/>
        </w:rPr>
        <w:tab/>
      </w:r>
      <w:r w:rsidRPr="000A7BF0">
        <w:rPr>
          <w:rStyle w:val="FootnoteReference"/>
          <w:szCs w:val="26"/>
        </w:rPr>
        <w:footnoteRef/>
      </w:r>
      <w:r>
        <w:rPr>
          <w:szCs w:val="26"/>
        </w:rPr>
        <w:tab/>
        <w:t>PPL has pre-existing block supply contracts for 150 MW through December 31, 2015, and 50 MW committed from January 1, 2016</w:t>
      </w:r>
      <w:r w:rsidR="00E428E5">
        <w:rPr>
          <w:szCs w:val="26"/>
        </w:rPr>
        <w:t>,</w:t>
      </w:r>
      <w:r>
        <w:rPr>
          <w:szCs w:val="26"/>
        </w:rPr>
        <w:t xml:space="preserve"> through May 31, 2021.  DSP III Petition at 14, n.8.</w:t>
      </w:r>
    </w:p>
  </w:footnote>
  <w:footnote w:id="4">
    <w:p w:rsidR="00991C93" w:rsidRDefault="00991C93" w:rsidP="004B740C">
      <w:pPr>
        <w:pStyle w:val="FootnoteText"/>
        <w:keepLines/>
        <w:widowControl/>
      </w:pPr>
      <w:r>
        <w:tab/>
      </w:r>
      <w:r>
        <w:rPr>
          <w:rStyle w:val="FootnoteReference"/>
        </w:rPr>
        <w:footnoteRef/>
      </w:r>
      <w:r>
        <w:tab/>
        <w:t xml:space="preserve">PPL’s </w:t>
      </w:r>
      <w:r w:rsidRPr="00CF5942">
        <w:rPr>
          <w:i/>
        </w:rPr>
        <w:t>pro forma</w:t>
      </w:r>
      <w:r>
        <w:t xml:space="preserve"> RFP Process and Rules document, which was included as Attachment A to its DSP III Petition, is based on the documents approved by the Commission in its DSP II proceeding.  DSP III Petition at 25.</w:t>
      </w:r>
    </w:p>
  </w:footnote>
  <w:footnote w:id="5">
    <w:p w:rsidR="00991C93" w:rsidRPr="00F517DB" w:rsidRDefault="00991C93" w:rsidP="00964B16">
      <w:pPr>
        <w:pStyle w:val="FootnoteText"/>
        <w:keepLines/>
        <w:widowControl/>
      </w:pPr>
      <w:r>
        <w:tab/>
      </w:r>
      <w:r>
        <w:rPr>
          <w:rStyle w:val="FootnoteReference"/>
        </w:rPr>
        <w:footnoteRef/>
      </w:r>
      <w:r>
        <w:tab/>
      </w:r>
      <w:r w:rsidRPr="00F517DB">
        <w:t xml:space="preserve">The proposed </w:t>
      </w:r>
      <w:r w:rsidRPr="00F517DB">
        <w:rPr>
          <w:i/>
        </w:rPr>
        <w:t>pro forma</w:t>
      </w:r>
      <w:r w:rsidRPr="00F517DB">
        <w:t xml:space="preserve"> SMA</w:t>
      </w:r>
      <w:r>
        <w:t xml:space="preserve"> document</w:t>
      </w:r>
      <w:r w:rsidRPr="00F517DB">
        <w:t xml:space="preserve"> </w:t>
      </w:r>
      <w:r>
        <w:t>is included as Attachment B to PPL’s DSP III Petition.</w:t>
      </w:r>
    </w:p>
    <w:p w:rsidR="00991C93" w:rsidRDefault="00991C93">
      <w:pPr>
        <w:pStyle w:val="FootnoteText"/>
      </w:pPr>
    </w:p>
  </w:footnote>
  <w:footnote w:id="6">
    <w:p w:rsidR="00991C93" w:rsidRDefault="00991C93" w:rsidP="00327F48">
      <w:pPr>
        <w:pStyle w:val="FootnoteText"/>
        <w:keepLines/>
        <w:widowControl/>
      </w:pPr>
      <w:r>
        <w:tab/>
      </w:r>
      <w:r>
        <w:rPr>
          <w:rStyle w:val="FootnoteReference"/>
        </w:rPr>
        <w:footnoteRef/>
      </w:r>
      <w:r>
        <w:tab/>
        <w:t>PPL stated that, as of April 14, 2014, approximately 66,100 eligible customers had been transferred to its third-party provider for further information on the Standard Offer Program, and approximately 56,600 of those customers enrolled in the program.  Thus, PPL asserted that its Standard Offer Program under the DSP II program has had a success rate of 86%.  PPL further stated that, of those customers that opted to participate in the Standard Offer Program, approximately 55,500, or 98%, were new or moving customers.  DSP III Petition at 33-34.</w:t>
      </w:r>
    </w:p>
  </w:footnote>
  <w:footnote w:id="7">
    <w:p w:rsidR="00991C93" w:rsidRDefault="00991C93" w:rsidP="004E79BD">
      <w:pPr>
        <w:pStyle w:val="FootnoteText"/>
        <w:keepLines/>
        <w:widowControl/>
      </w:pPr>
      <w:r>
        <w:tab/>
      </w:r>
      <w:r>
        <w:rPr>
          <w:rStyle w:val="FootnoteReference"/>
        </w:rPr>
        <w:footnoteRef/>
      </w:r>
      <w:r>
        <w:tab/>
        <w:t>The Company</w:t>
      </w:r>
      <w:r w:rsidRPr="00123F10">
        <w:t xml:space="preserve"> stated that PPL Solutions was the lowest bidder in the RFP process held to choose the third-party provider.  </w:t>
      </w:r>
      <w:r>
        <w:t>DSP III Petition at 34.</w:t>
      </w:r>
    </w:p>
  </w:footnote>
  <w:footnote w:id="8">
    <w:p w:rsidR="00991C93" w:rsidRPr="008B0164" w:rsidRDefault="00991C93" w:rsidP="00803C65">
      <w:pPr>
        <w:keepLines/>
        <w:spacing w:line="240" w:lineRule="auto"/>
        <w:rPr>
          <w:szCs w:val="26"/>
        </w:rPr>
      </w:pPr>
      <w:r>
        <w:rPr>
          <w:szCs w:val="26"/>
        </w:rPr>
        <w:tab/>
      </w:r>
      <w:r w:rsidRPr="008B0164">
        <w:rPr>
          <w:rStyle w:val="FootnoteReference"/>
          <w:sz w:val="26"/>
          <w:szCs w:val="26"/>
        </w:rPr>
        <w:footnoteRef/>
      </w:r>
      <w:r>
        <w:rPr>
          <w:szCs w:val="26"/>
        </w:rPr>
        <w:tab/>
      </w:r>
      <w:r>
        <w:rPr>
          <w:rFonts w:ascii="Times New Roman" w:hAnsi="Times New Roman"/>
          <w:sz w:val="26"/>
          <w:szCs w:val="26"/>
        </w:rPr>
        <w:t>The Partial Settlement resolved all issues among the Signatory Parties except for</w:t>
      </w:r>
      <w:r w:rsidR="00F616A8">
        <w:rPr>
          <w:rFonts w:ascii="Times New Roman" w:hAnsi="Times New Roman"/>
          <w:sz w:val="26"/>
          <w:szCs w:val="26"/>
        </w:rPr>
        <w:t>:</w:t>
      </w:r>
      <w:r>
        <w:rPr>
          <w:rFonts w:ascii="Times New Roman" w:hAnsi="Times New Roman"/>
          <w:sz w:val="26"/>
          <w:szCs w:val="26"/>
        </w:rPr>
        <w:t xml:space="preserve"> (1) PPL’s proposal to change the customer size demarcation between Small Commercial and Industrial and Large Commercial and Industrial customers from a peak demand of 500 kW to a peak demand of 100 kW; and (2)</w:t>
      </w:r>
      <w:r w:rsidRPr="00E826E6">
        <w:rPr>
          <w:rFonts w:ascii="Times New Roman" w:hAnsi="Times New Roman"/>
          <w:sz w:val="26"/>
          <w:szCs w:val="26"/>
        </w:rPr>
        <w:t xml:space="preserve"> </w:t>
      </w:r>
      <w:r>
        <w:rPr>
          <w:rFonts w:ascii="Times New Roman" w:hAnsi="Times New Roman"/>
          <w:sz w:val="26"/>
          <w:szCs w:val="26"/>
        </w:rPr>
        <w:t>the issue of cost responsibility for NMB transmission-related costs.  These issues were reserved for litigation, and will be discussed more fully below.</w:t>
      </w:r>
    </w:p>
  </w:footnote>
  <w:footnote w:id="9">
    <w:p w:rsidR="00991C93" w:rsidRDefault="00991C93" w:rsidP="00BF13B4">
      <w:pPr>
        <w:pStyle w:val="FootnoteText"/>
        <w:keepLines/>
        <w:widowControl/>
      </w:pPr>
      <w:r>
        <w:tab/>
      </w:r>
      <w:r>
        <w:rPr>
          <w:rStyle w:val="FootnoteReference"/>
        </w:rPr>
        <w:footnoteRef/>
      </w:r>
      <w:r>
        <w:tab/>
        <w:t xml:space="preserve">As noted above, PPL’s TOU Program was approved pursuant to the Commission’s </w:t>
      </w:r>
      <w:r w:rsidRPr="005D785E">
        <w:rPr>
          <w:i/>
          <w:szCs w:val="26"/>
        </w:rPr>
        <w:t>September 2014 TOU Order</w:t>
      </w:r>
      <w:r>
        <w:t>.</w:t>
      </w:r>
    </w:p>
  </w:footnote>
  <w:footnote w:id="10">
    <w:p w:rsidR="00991C93" w:rsidRDefault="00991C93" w:rsidP="00A420FD">
      <w:pPr>
        <w:pStyle w:val="FootnoteText"/>
        <w:keepLines/>
        <w:widowControl/>
      </w:pPr>
      <w:r>
        <w:tab/>
      </w:r>
      <w:r>
        <w:rPr>
          <w:rStyle w:val="FootnoteReference"/>
        </w:rPr>
        <w:footnoteRef/>
      </w:r>
      <w:r>
        <w:tab/>
        <w:t>PPL notes that “[u]</w:t>
      </w:r>
      <w:proofErr w:type="spellStart"/>
      <w:r>
        <w:t>nder</w:t>
      </w:r>
      <w:proofErr w:type="spellEnd"/>
      <w:r>
        <w:t xml:space="preserve"> the PJM rules, a LSE is defined as ‘any entity (or the duly designated agent of such an entity), including a load aggregator or power marketer that (a) serves end-users within the PJM Control Area, and (b) is granted the authority or has an obligation pursuant to state or local law, regulation or franchise to sell electric energy to end-users located within the PJM Control Area.’”  PPL M.B. at 16, n.10 (citing PPL St. No. 3-R at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6CA"/>
    <w:multiLevelType w:val="hybridMultilevel"/>
    <w:tmpl w:val="0910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F18A9"/>
    <w:multiLevelType w:val="hybridMultilevel"/>
    <w:tmpl w:val="3392F868"/>
    <w:lvl w:ilvl="0" w:tplc="7A06CC56">
      <w:start w:val="1"/>
      <w:numFmt w:val="upperRoman"/>
      <w:pStyle w:val="Heading1"/>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684825"/>
    <w:multiLevelType w:val="hybridMultilevel"/>
    <w:tmpl w:val="E066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B730BAE"/>
    <w:multiLevelType w:val="hybridMultilevel"/>
    <w:tmpl w:val="A92A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vanish w:val="0"/>
        <w:color w:val="00000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vanish w:val="0"/>
        <w:color w:val="00000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vanish w:val="0"/>
        <w:color w:val="00000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vanish w:val="0"/>
        <w:color w:val="00000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color w:val="00000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color w:val="00000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color w:val="00000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color w:val="00000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color w:val="000000"/>
        <w:sz w:val="24"/>
        <w:u w:val="none"/>
        <w:vertAlign w:val="baseline"/>
      </w:rPr>
    </w:lvl>
  </w:abstractNum>
  <w:abstractNum w:abstractNumId="6">
    <w:nsid w:val="4B6B03D4"/>
    <w:multiLevelType w:val="multilevel"/>
    <w:tmpl w:val="A5240054"/>
    <w:name w:val="zzmpOutline||Outline|2|3|1|1|2|41||1|4|0||1|4|0||1|4|1||1|4|0||1|4|9||1|4|0||1|4|0||1|4|0||"/>
    <w:lvl w:ilvl="0">
      <w:start w:val="1"/>
      <w:numFmt w:val="upperRoman"/>
      <w:pStyle w:val="OutlineL1"/>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1"/>
      <w:numFmt w:val="decimal"/>
      <w:lvlRestart w:val="0"/>
      <w:pStyle w:val="OutlineL2"/>
      <w:lvlText w:val="%2."/>
      <w:lvlJc w:val="left"/>
      <w:pPr>
        <w:tabs>
          <w:tab w:val="num" w:pos="1800"/>
        </w:tabs>
        <w:ind w:left="360" w:firstLine="720"/>
      </w:pPr>
      <w:rPr>
        <w:rFonts w:ascii="Times New Roman" w:hAnsi="Times New Roman" w:cs="Times New Roman" w:hint="default"/>
        <w:b w:val="0"/>
        <w:i w:val="0"/>
        <w:caps w:val="0"/>
        <w:strike w:val="0"/>
        <w:dstrike w:val="0"/>
        <w:sz w:val="24"/>
        <w:u w:val="none"/>
        <w:effect w:val="none"/>
      </w:rPr>
    </w:lvl>
    <w:lvl w:ilvl="2">
      <w:start w:val="1"/>
      <w:numFmt w:val="upperLetter"/>
      <w:pStyle w:val="OutlineL3"/>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pStyle w:val="OutlineL4"/>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pStyle w:val="Outline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pStyle w:val="OutlineL6"/>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pStyle w:val="OutlineL8"/>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pStyle w:val="OutlineL9"/>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7">
    <w:nsid w:val="7278290C"/>
    <w:multiLevelType w:val="hybridMultilevel"/>
    <w:tmpl w:val="E2D6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3"/>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B98"/>
    <w:rsid w:val="00000D7D"/>
    <w:rsid w:val="00003261"/>
    <w:rsid w:val="000034F6"/>
    <w:rsid w:val="00005FB3"/>
    <w:rsid w:val="00006419"/>
    <w:rsid w:val="00006D3A"/>
    <w:rsid w:val="00011009"/>
    <w:rsid w:val="0001435F"/>
    <w:rsid w:val="00014D71"/>
    <w:rsid w:val="00014F98"/>
    <w:rsid w:val="000172F3"/>
    <w:rsid w:val="0001778A"/>
    <w:rsid w:val="0002097E"/>
    <w:rsid w:val="000223A1"/>
    <w:rsid w:val="00022ED0"/>
    <w:rsid w:val="000249A7"/>
    <w:rsid w:val="00025BFE"/>
    <w:rsid w:val="00026AF9"/>
    <w:rsid w:val="00031790"/>
    <w:rsid w:val="00031C33"/>
    <w:rsid w:val="0003333C"/>
    <w:rsid w:val="00034340"/>
    <w:rsid w:val="00035D55"/>
    <w:rsid w:val="00036705"/>
    <w:rsid w:val="0003767C"/>
    <w:rsid w:val="000376DC"/>
    <w:rsid w:val="00040276"/>
    <w:rsid w:val="000404BA"/>
    <w:rsid w:val="00042D56"/>
    <w:rsid w:val="00043791"/>
    <w:rsid w:val="00044AE1"/>
    <w:rsid w:val="00051CC3"/>
    <w:rsid w:val="0005322B"/>
    <w:rsid w:val="0005345B"/>
    <w:rsid w:val="0005452E"/>
    <w:rsid w:val="00054AEE"/>
    <w:rsid w:val="000558B0"/>
    <w:rsid w:val="00063EFC"/>
    <w:rsid w:val="000646AA"/>
    <w:rsid w:val="0006762E"/>
    <w:rsid w:val="00067AF0"/>
    <w:rsid w:val="00070411"/>
    <w:rsid w:val="00071D36"/>
    <w:rsid w:val="00076EF7"/>
    <w:rsid w:val="00080077"/>
    <w:rsid w:val="00081456"/>
    <w:rsid w:val="000821ED"/>
    <w:rsid w:val="0008325C"/>
    <w:rsid w:val="000850A9"/>
    <w:rsid w:val="000857B2"/>
    <w:rsid w:val="00086FA7"/>
    <w:rsid w:val="00087B40"/>
    <w:rsid w:val="00091B8C"/>
    <w:rsid w:val="000931B5"/>
    <w:rsid w:val="00097304"/>
    <w:rsid w:val="000A2C1B"/>
    <w:rsid w:val="000A371F"/>
    <w:rsid w:val="000A601F"/>
    <w:rsid w:val="000A7BF0"/>
    <w:rsid w:val="000B1D69"/>
    <w:rsid w:val="000B38F5"/>
    <w:rsid w:val="000B647C"/>
    <w:rsid w:val="000C2784"/>
    <w:rsid w:val="000C2E6C"/>
    <w:rsid w:val="000C3D10"/>
    <w:rsid w:val="000C4CE0"/>
    <w:rsid w:val="000C4FB5"/>
    <w:rsid w:val="000C609A"/>
    <w:rsid w:val="000D1122"/>
    <w:rsid w:val="000D18E3"/>
    <w:rsid w:val="000D3485"/>
    <w:rsid w:val="000D6E38"/>
    <w:rsid w:val="000E32D0"/>
    <w:rsid w:val="000E4357"/>
    <w:rsid w:val="000F0CCA"/>
    <w:rsid w:val="000F46A6"/>
    <w:rsid w:val="000F6B5F"/>
    <w:rsid w:val="000F6E64"/>
    <w:rsid w:val="00100C3A"/>
    <w:rsid w:val="0010319C"/>
    <w:rsid w:val="0010496F"/>
    <w:rsid w:val="001055E1"/>
    <w:rsid w:val="00106091"/>
    <w:rsid w:val="001100FF"/>
    <w:rsid w:val="0011210F"/>
    <w:rsid w:val="0011266C"/>
    <w:rsid w:val="00113BA0"/>
    <w:rsid w:val="001152A2"/>
    <w:rsid w:val="00115F19"/>
    <w:rsid w:val="0011729B"/>
    <w:rsid w:val="00117EDA"/>
    <w:rsid w:val="0012122D"/>
    <w:rsid w:val="00121527"/>
    <w:rsid w:val="00121C40"/>
    <w:rsid w:val="00123F10"/>
    <w:rsid w:val="00125691"/>
    <w:rsid w:val="00126B64"/>
    <w:rsid w:val="00131361"/>
    <w:rsid w:val="00131939"/>
    <w:rsid w:val="00131B3D"/>
    <w:rsid w:val="001336F0"/>
    <w:rsid w:val="001356BE"/>
    <w:rsid w:val="001363EB"/>
    <w:rsid w:val="001427F5"/>
    <w:rsid w:val="0014312D"/>
    <w:rsid w:val="0014347F"/>
    <w:rsid w:val="001446B2"/>
    <w:rsid w:val="0015067C"/>
    <w:rsid w:val="00151EE9"/>
    <w:rsid w:val="00155A39"/>
    <w:rsid w:val="00155E75"/>
    <w:rsid w:val="00157120"/>
    <w:rsid w:val="00163EC0"/>
    <w:rsid w:val="001640C8"/>
    <w:rsid w:val="001641B6"/>
    <w:rsid w:val="001648B5"/>
    <w:rsid w:val="001656AB"/>
    <w:rsid w:val="00167890"/>
    <w:rsid w:val="0017111C"/>
    <w:rsid w:val="001733AB"/>
    <w:rsid w:val="00173DED"/>
    <w:rsid w:val="00174D6B"/>
    <w:rsid w:val="00174FA6"/>
    <w:rsid w:val="00177BB7"/>
    <w:rsid w:val="001804EB"/>
    <w:rsid w:val="0018149A"/>
    <w:rsid w:val="00181E29"/>
    <w:rsid w:val="00181E9C"/>
    <w:rsid w:val="00185F52"/>
    <w:rsid w:val="001901EF"/>
    <w:rsid w:val="0019237F"/>
    <w:rsid w:val="00193C12"/>
    <w:rsid w:val="001951C2"/>
    <w:rsid w:val="0019796D"/>
    <w:rsid w:val="00197AAE"/>
    <w:rsid w:val="001A10D4"/>
    <w:rsid w:val="001A58D0"/>
    <w:rsid w:val="001A6D9B"/>
    <w:rsid w:val="001B01A4"/>
    <w:rsid w:val="001B24BF"/>
    <w:rsid w:val="001B2752"/>
    <w:rsid w:val="001B2B87"/>
    <w:rsid w:val="001B7B0E"/>
    <w:rsid w:val="001D0982"/>
    <w:rsid w:val="001D29AA"/>
    <w:rsid w:val="001D35C5"/>
    <w:rsid w:val="001D4B32"/>
    <w:rsid w:val="001D4F5A"/>
    <w:rsid w:val="001D5313"/>
    <w:rsid w:val="001D598A"/>
    <w:rsid w:val="001D78BA"/>
    <w:rsid w:val="001D7B58"/>
    <w:rsid w:val="001E5319"/>
    <w:rsid w:val="001E5B6F"/>
    <w:rsid w:val="001E7136"/>
    <w:rsid w:val="001F0327"/>
    <w:rsid w:val="001F3105"/>
    <w:rsid w:val="001F3E54"/>
    <w:rsid w:val="001F4485"/>
    <w:rsid w:val="001F494A"/>
    <w:rsid w:val="001F71F3"/>
    <w:rsid w:val="0020067E"/>
    <w:rsid w:val="002022B7"/>
    <w:rsid w:val="00204737"/>
    <w:rsid w:val="0020592F"/>
    <w:rsid w:val="00207A98"/>
    <w:rsid w:val="0021158E"/>
    <w:rsid w:val="0021230A"/>
    <w:rsid w:val="002123A0"/>
    <w:rsid w:val="0021743A"/>
    <w:rsid w:val="00217BC6"/>
    <w:rsid w:val="00221473"/>
    <w:rsid w:val="002222F4"/>
    <w:rsid w:val="002223A8"/>
    <w:rsid w:val="00222585"/>
    <w:rsid w:val="0022278C"/>
    <w:rsid w:val="0022333A"/>
    <w:rsid w:val="00223858"/>
    <w:rsid w:val="002241B9"/>
    <w:rsid w:val="00224F4F"/>
    <w:rsid w:val="0022703E"/>
    <w:rsid w:val="0023100D"/>
    <w:rsid w:val="00234785"/>
    <w:rsid w:val="00235356"/>
    <w:rsid w:val="00235605"/>
    <w:rsid w:val="0023660E"/>
    <w:rsid w:val="00236BB0"/>
    <w:rsid w:val="00240486"/>
    <w:rsid w:val="00240E3E"/>
    <w:rsid w:val="002417F0"/>
    <w:rsid w:val="0024439D"/>
    <w:rsid w:val="0024527D"/>
    <w:rsid w:val="00246C9D"/>
    <w:rsid w:val="002518E1"/>
    <w:rsid w:val="00251C6C"/>
    <w:rsid w:val="00251E25"/>
    <w:rsid w:val="0025306C"/>
    <w:rsid w:val="002545A8"/>
    <w:rsid w:val="00256B71"/>
    <w:rsid w:val="00261D0D"/>
    <w:rsid w:val="00262429"/>
    <w:rsid w:val="002719CB"/>
    <w:rsid w:val="002731CA"/>
    <w:rsid w:val="00273BB3"/>
    <w:rsid w:val="00274005"/>
    <w:rsid w:val="0027463A"/>
    <w:rsid w:val="00275168"/>
    <w:rsid w:val="00275E16"/>
    <w:rsid w:val="002766F2"/>
    <w:rsid w:val="00277530"/>
    <w:rsid w:val="00280478"/>
    <w:rsid w:val="0028318B"/>
    <w:rsid w:val="00283612"/>
    <w:rsid w:val="00284711"/>
    <w:rsid w:val="002854A2"/>
    <w:rsid w:val="002858E1"/>
    <w:rsid w:val="002869C5"/>
    <w:rsid w:val="00290AD9"/>
    <w:rsid w:val="00291678"/>
    <w:rsid w:val="002916BB"/>
    <w:rsid w:val="00291754"/>
    <w:rsid w:val="0029636B"/>
    <w:rsid w:val="00296F02"/>
    <w:rsid w:val="00297B70"/>
    <w:rsid w:val="002A16DC"/>
    <w:rsid w:val="002A293E"/>
    <w:rsid w:val="002A3073"/>
    <w:rsid w:val="002B082D"/>
    <w:rsid w:val="002B151F"/>
    <w:rsid w:val="002C44E5"/>
    <w:rsid w:val="002D321F"/>
    <w:rsid w:val="002D6801"/>
    <w:rsid w:val="002E1927"/>
    <w:rsid w:val="002E25E7"/>
    <w:rsid w:val="002F18CA"/>
    <w:rsid w:val="002F2529"/>
    <w:rsid w:val="002F5F4A"/>
    <w:rsid w:val="002F71E4"/>
    <w:rsid w:val="002F7A9D"/>
    <w:rsid w:val="002F7E89"/>
    <w:rsid w:val="00305691"/>
    <w:rsid w:val="00306AB4"/>
    <w:rsid w:val="00307F29"/>
    <w:rsid w:val="00310777"/>
    <w:rsid w:val="00310DC0"/>
    <w:rsid w:val="003113F2"/>
    <w:rsid w:val="00311EB6"/>
    <w:rsid w:val="00312592"/>
    <w:rsid w:val="0031679C"/>
    <w:rsid w:val="00317170"/>
    <w:rsid w:val="003211D9"/>
    <w:rsid w:val="00321702"/>
    <w:rsid w:val="00321A3B"/>
    <w:rsid w:val="00324134"/>
    <w:rsid w:val="00326747"/>
    <w:rsid w:val="00327F48"/>
    <w:rsid w:val="00332E2E"/>
    <w:rsid w:val="003355C9"/>
    <w:rsid w:val="00335C54"/>
    <w:rsid w:val="00335CC9"/>
    <w:rsid w:val="00340008"/>
    <w:rsid w:val="00340661"/>
    <w:rsid w:val="003415C2"/>
    <w:rsid w:val="00342CD9"/>
    <w:rsid w:val="00343232"/>
    <w:rsid w:val="00343588"/>
    <w:rsid w:val="003460A9"/>
    <w:rsid w:val="00347314"/>
    <w:rsid w:val="0034779A"/>
    <w:rsid w:val="00360066"/>
    <w:rsid w:val="0036251C"/>
    <w:rsid w:val="003626E6"/>
    <w:rsid w:val="003645BA"/>
    <w:rsid w:val="003649A0"/>
    <w:rsid w:val="00364ABC"/>
    <w:rsid w:val="00365F12"/>
    <w:rsid w:val="00367703"/>
    <w:rsid w:val="00367E31"/>
    <w:rsid w:val="00371133"/>
    <w:rsid w:val="00373320"/>
    <w:rsid w:val="00373BC9"/>
    <w:rsid w:val="00376F73"/>
    <w:rsid w:val="00380143"/>
    <w:rsid w:val="00380FC3"/>
    <w:rsid w:val="00381BD1"/>
    <w:rsid w:val="00381C08"/>
    <w:rsid w:val="00382263"/>
    <w:rsid w:val="00385E16"/>
    <w:rsid w:val="003868BF"/>
    <w:rsid w:val="00387640"/>
    <w:rsid w:val="003878E3"/>
    <w:rsid w:val="00393F8D"/>
    <w:rsid w:val="003943B3"/>
    <w:rsid w:val="00394EE9"/>
    <w:rsid w:val="00395410"/>
    <w:rsid w:val="00395B0D"/>
    <w:rsid w:val="003A090D"/>
    <w:rsid w:val="003A264D"/>
    <w:rsid w:val="003A2B41"/>
    <w:rsid w:val="003A3CCA"/>
    <w:rsid w:val="003A4DB4"/>
    <w:rsid w:val="003A5A37"/>
    <w:rsid w:val="003A5FAD"/>
    <w:rsid w:val="003A6031"/>
    <w:rsid w:val="003A7FA5"/>
    <w:rsid w:val="003B1BDD"/>
    <w:rsid w:val="003B1F03"/>
    <w:rsid w:val="003B31D9"/>
    <w:rsid w:val="003B331B"/>
    <w:rsid w:val="003B408E"/>
    <w:rsid w:val="003B55AB"/>
    <w:rsid w:val="003B5973"/>
    <w:rsid w:val="003B5C33"/>
    <w:rsid w:val="003B653C"/>
    <w:rsid w:val="003B7DA4"/>
    <w:rsid w:val="003C3B7C"/>
    <w:rsid w:val="003C4F1A"/>
    <w:rsid w:val="003C5F70"/>
    <w:rsid w:val="003C6BFD"/>
    <w:rsid w:val="003C7C96"/>
    <w:rsid w:val="003D0A21"/>
    <w:rsid w:val="003D3FC6"/>
    <w:rsid w:val="003D6300"/>
    <w:rsid w:val="003D6CD6"/>
    <w:rsid w:val="003E029A"/>
    <w:rsid w:val="003E06A6"/>
    <w:rsid w:val="003E372D"/>
    <w:rsid w:val="003E5663"/>
    <w:rsid w:val="003E6044"/>
    <w:rsid w:val="003E65CE"/>
    <w:rsid w:val="003E712E"/>
    <w:rsid w:val="003F1469"/>
    <w:rsid w:val="003F2C24"/>
    <w:rsid w:val="003F7804"/>
    <w:rsid w:val="00401D8C"/>
    <w:rsid w:val="0040502A"/>
    <w:rsid w:val="00407555"/>
    <w:rsid w:val="004078C1"/>
    <w:rsid w:val="00407D72"/>
    <w:rsid w:val="00410355"/>
    <w:rsid w:val="004114B0"/>
    <w:rsid w:val="004122F2"/>
    <w:rsid w:val="004130FC"/>
    <w:rsid w:val="004168D7"/>
    <w:rsid w:val="00416DAE"/>
    <w:rsid w:val="00422618"/>
    <w:rsid w:val="00424926"/>
    <w:rsid w:val="00424BC1"/>
    <w:rsid w:val="00425541"/>
    <w:rsid w:val="004261D6"/>
    <w:rsid w:val="00427828"/>
    <w:rsid w:val="00427AE9"/>
    <w:rsid w:val="00431FDE"/>
    <w:rsid w:val="00433A81"/>
    <w:rsid w:val="00433B77"/>
    <w:rsid w:val="0043674F"/>
    <w:rsid w:val="0044038D"/>
    <w:rsid w:val="00450811"/>
    <w:rsid w:val="004527D8"/>
    <w:rsid w:val="0045367B"/>
    <w:rsid w:val="00454F4C"/>
    <w:rsid w:val="00456A22"/>
    <w:rsid w:val="00460DE0"/>
    <w:rsid w:val="004614C2"/>
    <w:rsid w:val="0046536C"/>
    <w:rsid w:val="0046551A"/>
    <w:rsid w:val="00466307"/>
    <w:rsid w:val="00466546"/>
    <w:rsid w:val="004673F2"/>
    <w:rsid w:val="0046790A"/>
    <w:rsid w:val="00467C6A"/>
    <w:rsid w:val="00467D86"/>
    <w:rsid w:val="00471D83"/>
    <w:rsid w:val="00472FBA"/>
    <w:rsid w:val="004762EA"/>
    <w:rsid w:val="00476321"/>
    <w:rsid w:val="00481C3D"/>
    <w:rsid w:val="0048433E"/>
    <w:rsid w:val="00484536"/>
    <w:rsid w:val="0048600D"/>
    <w:rsid w:val="004912E6"/>
    <w:rsid w:val="00494AE5"/>
    <w:rsid w:val="00494D35"/>
    <w:rsid w:val="00494F2C"/>
    <w:rsid w:val="00495078"/>
    <w:rsid w:val="00495749"/>
    <w:rsid w:val="004979C4"/>
    <w:rsid w:val="00497C9A"/>
    <w:rsid w:val="00497F28"/>
    <w:rsid w:val="004A1361"/>
    <w:rsid w:val="004A5177"/>
    <w:rsid w:val="004A565D"/>
    <w:rsid w:val="004B1DA8"/>
    <w:rsid w:val="004B1FBB"/>
    <w:rsid w:val="004B3E09"/>
    <w:rsid w:val="004B5A6D"/>
    <w:rsid w:val="004B5C01"/>
    <w:rsid w:val="004B740C"/>
    <w:rsid w:val="004B7E70"/>
    <w:rsid w:val="004C0549"/>
    <w:rsid w:val="004C24EF"/>
    <w:rsid w:val="004C3B6B"/>
    <w:rsid w:val="004C3B90"/>
    <w:rsid w:val="004C4001"/>
    <w:rsid w:val="004C4A3F"/>
    <w:rsid w:val="004C51BA"/>
    <w:rsid w:val="004C630F"/>
    <w:rsid w:val="004D0680"/>
    <w:rsid w:val="004D127F"/>
    <w:rsid w:val="004D19AE"/>
    <w:rsid w:val="004D34B5"/>
    <w:rsid w:val="004D405C"/>
    <w:rsid w:val="004D4264"/>
    <w:rsid w:val="004D70F4"/>
    <w:rsid w:val="004D7940"/>
    <w:rsid w:val="004E0167"/>
    <w:rsid w:val="004E609E"/>
    <w:rsid w:val="004E65EF"/>
    <w:rsid w:val="004E7932"/>
    <w:rsid w:val="004E79BD"/>
    <w:rsid w:val="004F2DC2"/>
    <w:rsid w:val="004F3B78"/>
    <w:rsid w:val="004F4497"/>
    <w:rsid w:val="004F4847"/>
    <w:rsid w:val="004F6686"/>
    <w:rsid w:val="004F71B6"/>
    <w:rsid w:val="00505782"/>
    <w:rsid w:val="00510262"/>
    <w:rsid w:val="005109AE"/>
    <w:rsid w:val="00512381"/>
    <w:rsid w:val="005140AA"/>
    <w:rsid w:val="005165A7"/>
    <w:rsid w:val="00517152"/>
    <w:rsid w:val="0051735C"/>
    <w:rsid w:val="00524D4D"/>
    <w:rsid w:val="00525396"/>
    <w:rsid w:val="005269EE"/>
    <w:rsid w:val="00531AF4"/>
    <w:rsid w:val="00531CC7"/>
    <w:rsid w:val="00534701"/>
    <w:rsid w:val="00534804"/>
    <w:rsid w:val="00534BD8"/>
    <w:rsid w:val="00541279"/>
    <w:rsid w:val="00541348"/>
    <w:rsid w:val="00546C43"/>
    <w:rsid w:val="00550AB4"/>
    <w:rsid w:val="00550EC9"/>
    <w:rsid w:val="00551379"/>
    <w:rsid w:val="005519C4"/>
    <w:rsid w:val="005523C5"/>
    <w:rsid w:val="00552B8B"/>
    <w:rsid w:val="00555CF3"/>
    <w:rsid w:val="00560901"/>
    <w:rsid w:val="0056315A"/>
    <w:rsid w:val="00563D95"/>
    <w:rsid w:val="0056431B"/>
    <w:rsid w:val="00565AC1"/>
    <w:rsid w:val="00566403"/>
    <w:rsid w:val="005665F0"/>
    <w:rsid w:val="0057420C"/>
    <w:rsid w:val="00576E5E"/>
    <w:rsid w:val="00580A0C"/>
    <w:rsid w:val="005821FC"/>
    <w:rsid w:val="00586A91"/>
    <w:rsid w:val="0059191F"/>
    <w:rsid w:val="005943A3"/>
    <w:rsid w:val="00594452"/>
    <w:rsid w:val="00597C68"/>
    <w:rsid w:val="005A2128"/>
    <w:rsid w:val="005A2229"/>
    <w:rsid w:val="005A3ED9"/>
    <w:rsid w:val="005A511A"/>
    <w:rsid w:val="005B1253"/>
    <w:rsid w:val="005B148F"/>
    <w:rsid w:val="005B38D9"/>
    <w:rsid w:val="005B40BC"/>
    <w:rsid w:val="005B69CA"/>
    <w:rsid w:val="005B71CC"/>
    <w:rsid w:val="005B74ED"/>
    <w:rsid w:val="005B7D60"/>
    <w:rsid w:val="005C211C"/>
    <w:rsid w:val="005C32E8"/>
    <w:rsid w:val="005C45B8"/>
    <w:rsid w:val="005D0ACC"/>
    <w:rsid w:val="005D42EB"/>
    <w:rsid w:val="005D785E"/>
    <w:rsid w:val="005D7D93"/>
    <w:rsid w:val="005E24A4"/>
    <w:rsid w:val="005E29B6"/>
    <w:rsid w:val="005E3595"/>
    <w:rsid w:val="005E46AB"/>
    <w:rsid w:val="005E7917"/>
    <w:rsid w:val="005F0E81"/>
    <w:rsid w:val="005F1166"/>
    <w:rsid w:val="005F1FCE"/>
    <w:rsid w:val="005F3057"/>
    <w:rsid w:val="005F3918"/>
    <w:rsid w:val="005F46CC"/>
    <w:rsid w:val="005F520F"/>
    <w:rsid w:val="005F732A"/>
    <w:rsid w:val="005F73DA"/>
    <w:rsid w:val="00600BB4"/>
    <w:rsid w:val="0060113C"/>
    <w:rsid w:val="0060609D"/>
    <w:rsid w:val="00606307"/>
    <w:rsid w:val="00613C74"/>
    <w:rsid w:val="00614024"/>
    <w:rsid w:val="00614113"/>
    <w:rsid w:val="0061512E"/>
    <w:rsid w:val="006157FB"/>
    <w:rsid w:val="006267FC"/>
    <w:rsid w:val="00635B58"/>
    <w:rsid w:val="00635CAA"/>
    <w:rsid w:val="00636309"/>
    <w:rsid w:val="00636931"/>
    <w:rsid w:val="006408DC"/>
    <w:rsid w:val="0064099A"/>
    <w:rsid w:val="00642AF9"/>
    <w:rsid w:val="0064550D"/>
    <w:rsid w:val="0065141C"/>
    <w:rsid w:val="006530F1"/>
    <w:rsid w:val="00653724"/>
    <w:rsid w:val="006555B5"/>
    <w:rsid w:val="006557DE"/>
    <w:rsid w:val="00655ED4"/>
    <w:rsid w:val="00657D1B"/>
    <w:rsid w:val="00661ADB"/>
    <w:rsid w:val="00662B85"/>
    <w:rsid w:val="00666B89"/>
    <w:rsid w:val="00666DD7"/>
    <w:rsid w:val="00667446"/>
    <w:rsid w:val="00667E2E"/>
    <w:rsid w:val="006701D4"/>
    <w:rsid w:val="00671843"/>
    <w:rsid w:val="00671CEC"/>
    <w:rsid w:val="00675204"/>
    <w:rsid w:val="00675E53"/>
    <w:rsid w:val="0067710C"/>
    <w:rsid w:val="00677FC6"/>
    <w:rsid w:val="00680730"/>
    <w:rsid w:val="0068343C"/>
    <w:rsid w:val="006838C9"/>
    <w:rsid w:val="00684E76"/>
    <w:rsid w:val="006851D4"/>
    <w:rsid w:val="00687FFD"/>
    <w:rsid w:val="0069121A"/>
    <w:rsid w:val="006937BD"/>
    <w:rsid w:val="006938F0"/>
    <w:rsid w:val="006967FA"/>
    <w:rsid w:val="006A038D"/>
    <w:rsid w:val="006A09A9"/>
    <w:rsid w:val="006A1D55"/>
    <w:rsid w:val="006A23BD"/>
    <w:rsid w:val="006A36E3"/>
    <w:rsid w:val="006B149A"/>
    <w:rsid w:val="006B520B"/>
    <w:rsid w:val="006B5AD8"/>
    <w:rsid w:val="006B5EE9"/>
    <w:rsid w:val="006B6300"/>
    <w:rsid w:val="006B77E4"/>
    <w:rsid w:val="006B7A69"/>
    <w:rsid w:val="006C0576"/>
    <w:rsid w:val="006C07C2"/>
    <w:rsid w:val="006C10D2"/>
    <w:rsid w:val="006C4783"/>
    <w:rsid w:val="006C6ABD"/>
    <w:rsid w:val="006C6EB6"/>
    <w:rsid w:val="006D7CD1"/>
    <w:rsid w:val="006E00F0"/>
    <w:rsid w:val="006E101A"/>
    <w:rsid w:val="006E478F"/>
    <w:rsid w:val="006E5C77"/>
    <w:rsid w:val="006E6DA8"/>
    <w:rsid w:val="006E6DB3"/>
    <w:rsid w:val="006F181E"/>
    <w:rsid w:val="006F69C4"/>
    <w:rsid w:val="006F6C11"/>
    <w:rsid w:val="006F7154"/>
    <w:rsid w:val="006F7289"/>
    <w:rsid w:val="00700AD1"/>
    <w:rsid w:val="00700CC5"/>
    <w:rsid w:val="00700D39"/>
    <w:rsid w:val="00701498"/>
    <w:rsid w:val="00702F15"/>
    <w:rsid w:val="0070665C"/>
    <w:rsid w:val="00712745"/>
    <w:rsid w:val="00713B61"/>
    <w:rsid w:val="00714B11"/>
    <w:rsid w:val="00720F52"/>
    <w:rsid w:val="007241F9"/>
    <w:rsid w:val="00725A15"/>
    <w:rsid w:val="00726D1C"/>
    <w:rsid w:val="00726EF4"/>
    <w:rsid w:val="00727F44"/>
    <w:rsid w:val="00731C7C"/>
    <w:rsid w:val="00734424"/>
    <w:rsid w:val="0073508D"/>
    <w:rsid w:val="00735D92"/>
    <w:rsid w:val="007403B3"/>
    <w:rsid w:val="007447B1"/>
    <w:rsid w:val="00744A98"/>
    <w:rsid w:val="007458AE"/>
    <w:rsid w:val="00745CC1"/>
    <w:rsid w:val="0074799C"/>
    <w:rsid w:val="007507BA"/>
    <w:rsid w:val="00750BF6"/>
    <w:rsid w:val="00751C42"/>
    <w:rsid w:val="00753329"/>
    <w:rsid w:val="007551C9"/>
    <w:rsid w:val="00756CE8"/>
    <w:rsid w:val="00762AF3"/>
    <w:rsid w:val="00763CAA"/>
    <w:rsid w:val="0076775F"/>
    <w:rsid w:val="00770185"/>
    <w:rsid w:val="00770281"/>
    <w:rsid w:val="007707C0"/>
    <w:rsid w:val="0077147B"/>
    <w:rsid w:val="00771CA0"/>
    <w:rsid w:val="00772671"/>
    <w:rsid w:val="0077474B"/>
    <w:rsid w:val="0077563B"/>
    <w:rsid w:val="00777297"/>
    <w:rsid w:val="007836D3"/>
    <w:rsid w:val="00784998"/>
    <w:rsid w:val="00784A5A"/>
    <w:rsid w:val="00784FAD"/>
    <w:rsid w:val="00786791"/>
    <w:rsid w:val="00786BE9"/>
    <w:rsid w:val="0079019D"/>
    <w:rsid w:val="00791111"/>
    <w:rsid w:val="007978C9"/>
    <w:rsid w:val="007A1A40"/>
    <w:rsid w:val="007B1CF2"/>
    <w:rsid w:val="007B1DAE"/>
    <w:rsid w:val="007B2984"/>
    <w:rsid w:val="007B7C8E"/>
    <w:rsid w:val="007C18B8"/>
    <w:rsid w:val="007C1C7A"/>
    <w:rsid w:val="007D1209"/>
    <w:rsid w:val="007D423A"/>
    <w:rsid w:val="007D4563"/>
    <w:rsid w:val="007D5857"/>
    <w:rsid w:val="007E03F8"/>
    <w:rsid w:val="007E059C"/>
    <w:rsid w:val="007E1541"/>
    <w:rsid w:val="007E2ED1"/>
    <w:rsid w:val="007E37C4"/>
    <w:rsid w:val="007E3D5B"/>
    <w:rsid w:val="007F0110"/>
    <w:rsid w:val="007F5E66"/>
    <w:rsid w:val="007F71AC"/>
    <w:rsid w:val="007F76D8"/>
    <w:rsid w:val="00803C65"/>
    <w:rsid w:val="008077CB"/>
    <w:rsid w:val="00807F0A"/>
    <w:rsid w:val="008130A7"/>
    <w:rsid w:val="00814AB2"/>
    <w:rsid w:val="00815E34"/>
    <w:rsid w:val="00816D62"/>
    <w:rsid w:val="00817E69"/>
    <w:rsid w:val="00820E51"/>
    <w:rsid w:val="00822910"/>
    <w:rsid w:val="00822BF4"/>
    <w:rsid w:val="00832516"/>
    <w:rsid w:val="008349F1"/>
    <w:rsid w:val="00834CD6"/>
    <w:rsid w:val="00836B74"/>
    <w:rsid w:val="008379E7"/>
    <w:rsid w:val="008420D0"/>
    <w:rsid w:val="0084257D"/>
    <w:rsid w:val="00844669"/>
    <w:rsid w:val="008447F9"/>
    <w:rsid w:val="0084663A"/>
    <w:rsid w:val="00847574"/>
    <w:rsid w:val="00847D3A"/>
    <w:rsid w:val="008516E9"/>
    <w:rsid w:val="00854489"/>
    <w:rsid w:val="00854733"/>
    <w:rsid w:val="00854754"/>
    <w:rsid w:val="00856D63"/>
    <w:rsid w:val="0086214D"/>
    <w:rsid w:val="008637FA"/>
    <w:rsid w:val="00867730"/>
    <w:rsid w:val="0087074A"/>
    <w:rsid w:val="00872AE4"/>
    <w:rsid w:val="0087317E"/>
    <w:rsid w:val="008733F7"/>
    <w:rsid w:val="00873A9B"/>
    <w:rsid w:val="00876459"/>
    <w:rsid w:val="008776A1"/>
    <w:rsid w:val="00880637"/>
    <w:rsid w:val="00880A70"/>
    <w:rsid w:val="00881BE0"/>
    <w:rsid w:val="00881E29"/>
    <w:rsid w:val="0088379E"/>
    <w:rsid w:val="00885187"/>
    <w:rsid w:val="00887450"/>
    <w:rsid w:val="00887C56"/>
    <w:rsid w:val="00891939"/>
    <w:rsid w:val="0089197B"/>
    <w:rsid w:val="008935E5"/>
    <w:rsid w:val="00894201"/>
    <w:rsid w:val="00894E08"/>
    <w:rsid w:val="008A0D93"/>
    <w:rsid w:val="008A1E65"/>
    <w:rsid w:val="008A29D2"/>
    <w:rsid w:val="008A320D"/>
    <w:rsid w:val="008A655F"/>
    <w:rsid w:val="008A6D72"/>
    <w:rsid w:val="008B0164"/>
    <w:rsid w:val="008B056C"/>
    <w:rsid w:val="008B2040"/>
    <w:rsid w:val="008B2A13"/>
    <w:rsid w:val="008B495B"/>
    <w:rsid w:val="008B539F"/>
    <w:rsid w:val="008B615D"/>
    <w:rsid w:val="008C39C9"/>
    <w:rsid w:val="008D2065"/>
    <w:rsid w:val="008D4283"/>
    <w:rsid w:val="008D4813"/>
    <w:rsid w:val="008D4AA7"/>
    <w:rsid w:val="008D53D9"/>
    <w:rsid w:val="008D5A96"/>
    <w:rsid w:val="008D7B28"/>
    <w:rsid w:val="008E1889"/>
    <w:rsid w:val="008E2DFD"/>
    <w:rsid w:val="008F2288"/>
    <w:rsid w:val="008F28A1"/>
    <w:rsid w:val="008F33B6"/>
    <w:rsid w:val="008F3BF5"/>
    <w:rsid w:val="008F4E42"/>
    <w:rsid w:val="008F607E"/>
    <w:rsid w:val="008F74FD"/>
    <w:rsid w:val="008F799E"/>
    <w:rsid w:val="0090146D"/>
    <w:rsid w:val="00901B87"/>
    <w:rsid w:val="00902870"/>
    <w:rsid w:val="00902E89"/>
    <w:rsid w:val="0090327A"/>
    <w:rsid w:val="0090361B"/>
    <w:rsid w:val="00907DB2"/>
    <w:rsid w:val="00907E2A"/>
    <w:rsid w:val="00910E4F"/>
    <w:rsid w:val="009149CD"/>
    <w:rsid w:val="0091530E"/>
    <w:rsid w:val="00916301"/>
    <w:rsid w:val="009173F9"/>
    <w:rsid w:val="00917A09"/>
    <w:rsid w:val="00922B1D"/>
    <w:rsid w:val="00922DB3"/>
    <w:rsid w:val="009300FA"/>
    <w:rsid w:val="009314E2"/>
    <w:rsid w:val="00932D05"/>
    <w:rsid w:val="00932E7C"/>
    <w:rsid w:val="00935235"/>
    <w:rsid w:val="00935F7E"/>
    <w:rsid w:val="00936155"/>
    <w:rsid w:val="009361BB"/>
    <w:rsid w:val="009363AE"/>
    <w:rsid w:val="00940AFD"/>
    <w:rsid w:val="00942C30"/>
    <w:rsid w:val="00945C17"/>
    <w:rsid w:val="00945FE9"/>
    <w:rsid w:val="0094797D"/>
    <w:rsid w:val="0095181B"/>
    <w:rsid w:val="0095182A"/>
    <w:rsid w:val="00951A85"/>
    <w:rsid w:val="00953180"/>
    <w:rsid w:val="0095323E"/>
    <w:rsid w:val="0095413F"/>
    <w:rsid w:val="0095581F"/>
    <w:rsid w:val="00955C52"/>
    <w:rsid w:val="00955CAC"/>
    <w:rsid w:val="00956BBB"/>
    <w:rsid w:val="009610FA"/>
    <w:rsid w:val="00964847"/>
    <w:rsid w:val="009648B2"/>
    <w:rsid w:val="00964B16"/>
    <w:rsid w:val="009702CD"/>
    <w:rsid w:val="009710D1"/>
    <w:rsid w:val="00972294"/>
    <w:rsid w:val="00972420"/>
    <w:rsid w:val="0097473B"/>
    <w:rsid w:val="00974C43"/>
    <w:rsid w:val="00976D55"/>
    <w:rsid w:val="0097779C"/>
    <w:rsid w:val="00977BAE"/>
    <w:rsid w:val="00980074"/>
    <w:rsid w:val="009827D5"/>
    <w:rsid w:val="009833CD"/>
    <w:rsid w:val="009837A1"/>
    <w:rsid w:val="00983C3E"/>
    <w:rsid w:val="00983E58"/>
    <w:rsid w:val="00984C7C"/>
    <w:rsid w:val="009858AC"/>
    <w:rsid w:val="00986248"/>
    <w:rsid w:val="0098695E"/>
    <w:rsid w:val="00987801"/>
    <w:rsid w:val="00987EDC"/>
    <w:rsid w:val="009901CE"/>
    <w:rsid w:val="00990C46"/>
    <w:rsid w:val="00991C93"/>
    <w:rsid w:val="00991D24"/>
    <w:rsid w:val="00993F05"/>
    <w:rsid w:val="009942D3"/>
    <w:rsid w:val="0099574D"/>
    <w:rsid w:val="00995C41"/>
    <w:rsid w:val="009A1A7F"/>
    <w:rsid w:val="009A24B3"/>
    <w:rsid w:val="009A2695"/>
    <w:rsid w:val="009A2D80"/>
    <w:rsid w:val="009A3950"/>
    <w:rsid w:val="009A4792"/>
    <w:rsid w:val="009A4B1E"/>
    <w:rsid w:val="009A4BE2"/>
    <w:rsid w:val="009A7955"/>
    <w:rsid w:val="009A7CD7"/>
    <w:rsid w:val="009B2379"/>
    <w:rsid w:val="009B2F44"/>
    <w:rsid w:val="009C0478"/>
    <w:rsid w:val="009C40F1"/>
    <w:rsid w:val="009C4650"/>
    <w:rsid w:val="009C6E0E"/>
    <w:rsid w:val="009D1540"/>
    <w:rsid w:val="009D2EF6"/>
    <w:rsid w:val="009D528E"/>
    <w:rsid w:val="009D5BCB"/>
    <w:rsid w:val="009D5E9F"/>
    <w:rsid w:val="009E10EF"/>
    <w:rsid w:val="009E11A3"/>
    <w:rsid w:val="009E1601"/>
    <w:rsid w:val="009E4B6E"/>
    <w:rsid w:val="009E59BA"/>
    <w:rsid w:val="009E651C"/>
    <w:rsid w:val="009E6EF7"/>
    <w:rsid w:val="009F07B9"/>
    <w:rsid w:val="009F4346"/>
    <w:rsid w:val="009F4782"/>
    <w:rsid w:val="009F729A"/>
    <w:rsid w:val="009F7EE5"/>
    <w:rsid w:val="00A02912"/>
    <w:rsid w:val="00A06EC8"/>
    <w:rsid w:val="00A073C7"/>
    <w:rsid w:val="00A109E3"/>
    <w:rsid w:val="00A10B1F"/>
    <w:rsid w:val="00A127AA"/>
    <w:rsid w:val="00A13097"/>
    <w:rsid w:val="00A14339"/>
    <w:rsid w:val="00A1610D"/>
    <w:rsid w:val="00A16458"/>
    <w:rsid w:val="00A17C59"/>
    <w:rsid w:val="00A20DF3"/>
    <w:rsid w:val="00A21E07"/>
    <w:rsid w:val="00A24BA1"/>
    <w:rsid w:val="00A24CFA"/>
    <w:rsid w:val="00A2567A"/>
    <w:rsid w:val="00A273F2"/>
    <w:rsid w:val="00A30117"/>
    <w:rsid w:val="00A31037"/>
    <w:rsid w:val="00A317E7"/>
    <w:rsid w:val="00A33044"/>
    <w:rsid w:val="00A33DC5"/>
    <w:rsid w:val="00A347F4"/>
    <w:rsid w:val="00A36842"/>
    <w:rsid w:val="00A3688A"/>
    <w:rsid w:val="00A3706D"/>
    <w:rsid w:val="00A371E2"/>
    <w:rsid w:val="00A4009C"/>
    <w:rsid w:val="00A40E02"/>
    <w:rsid w:val="00A41EFE"/>
    <w:rsid w:val="00A420FD"/>
    <w:rsid w:val="00A42292"/>
    <w:rsid w:val="00A435BC"/>
    <w:rsid w:val="00A43B35"/>
    <w:rsid w:val="00A45D75"/>
    <w:rsid w:val="00A463CA"/>
    <w:rsid w:val="00A47FFA"/>
    <w:rsid w:val="00A50D0C"/>
    <w:rsid w:val="00A5680D"/>
    <w:rsid w:val="00A57C12"/>
    <w:rsid w:val="00A62258"/>
    <w:rsid w:val="00A624D7"/>
    <w:rsid w:val="00A62E7F"/>
    <w:rsid w:val="00A66CC8"/>
    <w:rsid w:val="00A70E5E"/>
    <w:rsid w:val="00A711B2"/>
    <w:rsid w:val="00A7266D"/>
    <w:rsid w:val="00A7382E"/>
    <w:rsid w:val="00A74F7F"/>
    <w:rsid w:val="00A751F6"/>
    <w:rsid w:val="00A80C83"/>
    <w:rsid w:val="00A82A90"/>
    <w:rsid w:val="00A84152"/>
    <w:rsid w:val="00A9593A"/>
    <w:rsid w:val="00A95B32"/>
    <w:rsid w:val="00A96C56"/>
    <w:rsid w:val="00A96DEA"/>
    <w:rsid w:val="00A97F59"/>
    <w:rsid w:val="00AA4180"/>
    <w:rsid w:val="00AA4AE5"/>
    <w:rsid w:val="00AA597C"/>
    <w:rsid w:val="00AB3DE6"/>
    <w:rsid w:val="00AB4AB0"/>
    <w:rsid w:val="00AB4C04"/>
    <w:rsid w:val="00AB6677"/>
    <w:rsid w:val="00AB70B8"/>
    <w:rsid w:val="00AB7126"/>
    <w:rsid w:val="00AB758D"/>
    <w:rsid w:val="00AC12E2"/>
    <w:rsid w:val="00AC4FF5"/>
    <w:rsid w:val="00AC5F82"/>
    <w:rsid w:val="00AD08F5"/>
    <w:rsid w:val="00AD29F0"/>
    <w:rsid w:val="00AD3BBB"/>
    <w:rsid w:val="00AD47F7"/>
    <w:rsid w:val="00AD5F08"/>
    <w:rsid w:val="00AD6F9C"/>
    <w:rsid w:val="00AE0174"/>
    <w:rsid w:val="00AE6FD5"/>
    <w:rsid w:val="00AF117B"/>
    <w:rsid w:val="00AF4D56"/>
    <w:rsid w:val="00AF5308"/>
    <w:rsid w:val="00AF53B8"/>
    <w:rsid w:val="00AF727D"/>
    <w:rsid w:val="00AF7D83"/>
    <w:rsid w:val="00B008A1"/>
    <w:rsid w:val="00B01F3F"/>
    <w:rsid w:val="00B02C45"/>
    <w:rsid w:val="00B03B7D"/>
    <w:rsid w:val="00B071EA"/>
    <w:rsid w:val="00B07643"/>
    <w:rsid w:val="00B10E61"/>
    <w:rsid w:val="00B11743"/>
    <w:rsid w:val="00B11C67"/>
    <w:rsid w:val="00B12C23"/>
    <w:rsid w:val="00B15E90"/>
    <w:rsid w:val="00B306F4"/>
    <w:rsid w:val="00B30B8C"/>
    <w:rsid w:val="00B32233"/>
    <w:rsid w:val="00B3226F"/>
    <w:rsid w:val="00B32D3B"/>
    <w:rsid w:val="00B33AEA"/>
    <w:rsid w:val="00B3671F"/>
    <w:rsid w:val="00B37185"/>
    <w:rsid w:val="00B402F7"/>
    <w:rsid w:val="00B409DC"/>
    <w:rsid w:val="00B40E0B"/>
    <w:rsid w:val="00B435CE"/>
    <w:rsid w:val="00B4360E"/>
    <w:rsid w:val="00B4391A"/>
    <w:rsid w:val="00B45F85"/>
    <w:rsid w:val="00B46630"/>
    <w:rsid w:val="00B47E90"/>
    <w:rsid w:val="00B50224"/>
    <w:rsid w:val="00B521A0"/>
    <w:rsid w:val="00B53BD7"/>
    <w:rsid w:val="00B5696F"/>
    <w:rsid w:val="00B6080D"/>
    <w:rsid w:val="00B60833"/>
    <w:rsid w:val="00B631DA"/>
    <w:rsid w:val="00B63B31"/>
    <w:rsid w:val="00B67155"/>
    <w:rsid w:val="00B7018C"/>
    <w:rsid w:val="00B71642"/>
    <w:rsid w:val="00B72863"/>
    <w:rsid w:val="00B72AB0"/>
    <w:rsid w:val="00B77F44"/>
    <w:rsid w:val="00B80530"/>
    <w:rsid w:val="00B826F5"/>
    <w:rsid w:val="00B82A7C"/>
    <w:rsid w:val="00B838A7"/>
    <w:rsid w:val="00B83A17"/>
    <w:rsid w:val="00B83E47"/>
    <w:rsid w:val="00B84BD3"/>
    <w:rsid w:val="00B90B7C"/>
    <w:rsid w:val="00B928B2"/>
    <w:rsid w:val="00B93E7F"/>
    <w:rsid w:val="00B94624"/>
    <w:rsid w:val="00B9600A"/>
    <w:rsid w:val="00B97565"/>
    <w:rsid w:val="00BA0007"/>
    <w:rsid w:val="00BA0727"/>
    <w:rsid w:val="00BA0E94"/>
    <w:rsid w:val="00BA3540"/>
    <w:rsid w:val="00BA4D89"/>
    <w:rsid w:val="00BA5D69"/>
    <w:rsid w:val="00BA63D7"/>
    <w:rsid w:val="00BA72E6"/>
    <w:rsid w:val="00BA7BD3"/>
    <w:rsid w:val="00BB1539"/>
    <w:rsid w:val="00BB15E1"/>
    <w:rsid w:val="00BB3839"/>
    <w:rsid w:val="00BB4399"/>
    <w:rsid w:val="00BB48E6"/>
    <w:rsid w:val="00BB5A8E"/>
    <w:rsid w:val="00BB647F"/>
    <w:rsid w:val="00BB7B98"/>
    <w:rsid w:val="00BB7C0B"/>
    <w:rsid w:val="00BB7DDC"/>
    <w:rsid w:val="00BC09B7"/>
    <w:rsid w:val="00BC2098"/>
    <w:rsid w:val="00BC28A2"/>
    <w:rsid w:val="00BC2900"/>
    <w:rsid w:val="00BD0609"/>
    <w:rsid w:val="00BD13ED"/>
    <w:rsid w:val="00BD1A5D"/>
    <w:rsid w:val="00BD20D0"/>
    <w:rsid w:val="00BD288F"/>
    <w:rsid w:val="00BD2E89"/>
    <w:rsid w:val="00BD3279"/>
    <w:rsid w:val="00BD3AD0"/>
    <w:rsid w:val="00BD3DAF"/>
    <w:rsid w:val="00BD594D"/>
    <w:rsid w:val="00BE2811"/>
    <w:rsid w:val="00BE29D1"/>
    <w:rsid w:val="00BE2E1E"/>
    <w:rsid w:val="00BE3149"/>
    <w:rsid w:val="00BE3B32"/>
    <w:rsid w:val="00BE3E85"/>
    <w:rsid w:val="00BE6DCD"/>
    <w:rsid w:val="00BF13B4"/>
    <w:rsid w:val="00BF145F"/>
    <w:rsid w:val="00BF1E0D"/>
    <w:rsid w:val="00BF30A3"/>
    <w:rsid w:val="00BF4790"/>
    <w:rsid w:val="00BF53AF"/>
    <w:rsid w:val="00BF7424"/>
    <w:rsid w:val="00BF78C0"/>
    <w:rsid w:val="00C00A98"/>
    <w:rsid w:val="00C01BE2"/>
    <w:rsid w:val="00C0570C"/>
    <w:rsid w:val="00C06315"/>
    <w:rsid w:val="00C0705B"/>
    <w:rsid w:val="00C077E4"/>
    <w:rsid w:val="00C12B6B"/>
    <w:rsid w:val="00C1331E"/>
    <w:rsid w:val="00C13786"/>
    <w:rsid w:val="00C209E2"/>
    <w:rsid w:val="00C20A49"/>
    <w:rsid w:val="00C20D76"/>
    <w:rsid w:val="00C21EC9"/>
    <w:rsid w:val="00C2278B"/>
    <w:rsid w:val="00C22E05"/>
    <w:rsid w:val="00C22F82"/>
    <w:rsid w:val="00C2315A"/>
    <w:rsid w:val="00C24095"/>
    <w:rsid w:val="00C3131F"/>
    <w:rsid w:val="00C31325"/>
    <w:rsid w:val="00C32399"/>
    <w:rsid w:val="00C37337"/>
    <w:rsid w:val="00C40654"/>
    <w:rsid w:val="00C41370"/>
    <w:rsid w:val="00C416D3"/>
    <w:rsid w:val="00C41D86"/>
    <w:rsid w:val="00C422D5"/>
    <w:rsid w:val="00C43C67"/>
    <w:rsid w:val="00C442CA"/>
    <w:rsid w:val="00C45DFB"/>
    <w:rsid w:val="00C4678D"/>
    <w:rsid w:val="00C510FE"/>
    <w:rsid w:val="00C51ED8"/>
    <w:rsid w:val="00C53793"/>
    <w:rsid w:val="00C54680"/>
    <w:rsid w:val="00C556E0"/>
    <w:rsid w:val="00C57FA4"/>
    <w:rsid w:val="00C62EEB"/>
    <w:rsid w:val="00C64CCA"/>
    <w:rsid w:val="00C65C8A"/>
    <w:rsid w:val="00C70657"/>
    <w:rsid w:val="00C75DE8"/>
    <w:rsid w:val="00C760A1"/>
    <w:rsid w:val="00C818E8"/>
    <w:rsid w:val="00C81B35"/>
    <w:rsid w:val="00C8358B"/>
    <w:rsid w:val="00C8395A"/>
    <w:rsid w:val="00C84930"/>
    <w:rsid w:val="00C85DA8"/>
    <w:rsid w:val="00C9149A"/>
    <w:rsid w:val="00C918A5"/>
    <w:rsid w:val="00C928E7"/>
    <w:rsid w:val="00C9345A"/>
    <w:rsid w:val="00C93FBB"/>
    <w:rsid w:val="00C95326"/>
    <w:rsid w:val="00C96168"/>
    <w:rsid w:val="00C979CF"/>
    <w:rsid w:val="00CA24AD"/>
    <w:rsid w:val="00CA34E9"/>
    <w:rsid w:val="00CA36D0"/>
    <w:rsid w:val="00CA3880"/>
    <w:rsid w:val="00CA7E6C"/>
    <w:rsid w:val="00CB22C7"/>
    <w:rsid w:val="00CB29BB"/>
    <w:rsid w:val="00CB4993"/>
    <w:rsid w:val="00CB51A3"/>
    <w:rsid w:val="00CC11F7"/>
    <w:rsid w:val="00CC1BBC"/>
    <w:rsid w:val="00CC1C06"/>
    <w:rsid w:val="00CC25B6"/>
    <w:rsid w:val="00CC2BF7"/>
    <w:rsid w:val="00CC3755"/>
    <w:rsid w:val="00CC3BB0"/>
    <w:rsid w:val="00CC511E"/>
    <w:rsid w:val="00CC57B1"/>
    <w:rsid w:val="00CC5F55"/>
    <w:rsid w:val="00CC7057"/>
    <w:rsid w:val="00CD0FE8"/>
    <w:rsid w:val="00CD2568"/>
    <w:rsid w:val="00CD262A"/>
    <w:rsid w:val="00CD561C"/>
    <w:rsid w:val="00CD7EE1"/>
    <w:rsid w:val="00CE1C6F"/>
    <w:rsid w:val="00CE2DB0"/>
    <w:rsid w:val="00CE5358"/>
    <w:rsid w:val="00CE6136"/>
    <w:rsid w:val="00CF2DD3"/>
    <w:rsid w:val="00CF394C"/>
    <w:rsid w:val="00CF5942"/>
    <w:rsid w:val="00CF5F09"/>
    <w:rsid w:val="00D03A55"/>
    <w:rsid w:val="00D0542B"/>
    <w:rsid w:val="00D075A2"/>
    <w:rsid w:val="00D079BD"/>
    <w:rsid w:val="00D10552"/>
    <w:rsid w:val="00D13373"/>
    <w:rsid w:val="00D1368B"/>
    <w:rsid w:val="00D14DB0"/>
    <w:rsid w:val="00D14EAA"/>
    <w:rsid w:val="00D14EE1"/>
    <w:rsid w:val="00D17416"/>
    <w:rsid w:val="00D17FB3"/>
    <w:rsid w:val="00D255D8"/>
    <w:rsid w:val="00D25667"/>
    <w:rsid w:val="00D26D41"/>
    <w:rsid w:val="00D30994"/>
    <w:rsid w:val="00D30E42"/>
    <w:rsid w:val="00D34ED9"/>
    <w:rsid w:val="00D34EF4"/>
    <w:rsid w:val="00D3562D"/>
    <w:rsid w:val="00D378CF"/>
    <w:rsid w:val="00D4444B"/>
    <w:rsid w:val="00D5077A"/>
    <w:rsid w:val="00D540FE"/>
    <w:rsid w:val="00D56D28"/>
    <w:rsid w:val="00D57C4B"/>
    <w:rsid w:val="00D6070F"/>
    <w:rsid w:val="00D61152"/>
    <w:rsid w:val="00D614A5"/>
    <w:rsid w:val="00D615BC"/>
    <w:rsid w:val="00D664C0"/>
    <w:rsid w:val="00D666DA"/>
    <w:rsid w:val="00D701A0"/>
    <w:rsid w:val="00D7062D"/>
    <w:rsid w:val="00D74F0A"/>
    <w:rsid w:val="00D7748F"/>
    <w:rsid w:val="00D77798"/>
    <w:rsid w:val="00D77AE2"/>
    <w:rsid w:val="00D81233"/>
    <w:rsid w:val="00D82058"/>
    <w:rsid w:val="00D8252E"/>
    <w:rsid w:val="00D854A3"/>
    <w:rsid w:val="00D856F5"/>
    <w:rsid w:val="00D87EE0"/>
    <w:rsid w:val="00D90269"/>
    <w:rsid w:val="00D910FA"/>
    <w:rsid w:val="00D94914"/>
    <w:rsid w:val="00D97A9B"/>
    <w:rsid w:val="00DA2318"/>
    <w:rsid w:val="00DA4D09"/>
    <w:rsid w:val="00DA5783"/>
    <w:rsid w:val="00DA79B6"/>
    <w:rsid w:val="00DB1515"/>
    <w:rsid w:val="00DB1A35"/>
    <w:rsid w:val="00DB1CE7"/>
    <w:rsid w:val="00DB3C37"/>
    <w:rsid w:val="00DB3E81"/>
    <w:rsid w:val="00DB4E50"/>
    <w:rsid w:val="00DB5484"/>
    <w:rsid w:val="00DB55CF"/>
    <w:rsid w:val="00DB57D2"/>
    <w:rsid w:val="00DC0D3B"/>
    <w:rsid w:val="00DC3155"/>
    <w:rsid w:val="00DC3815"/>
    <w:rsid w:val="00DC59CB"/>
    <w:rsid w:val="00DC6386"/>
    <w:rsid w:val="00DC75F7"/>
    <w:rsid w:val="00DC7A5F"/>
    <w:rsid w:val="00DD22CE"/>
    <w:rsid w:val="00DD33C2"/>
    <w:rsid w:val="00DD4249"/>
    <w:rsid w:val="00DD508F"/>
    <w:rsid w:val="00DE01A1"/>
    <w:rsid w:val="00DE361B"/>
    <w:rsid w:val="00DE4654"/>
    <w:rsid w:val="00DE4D43"/>
    <w:rsid w:val="00DE531F"/>
    <w:rsid w:val="00DE7CED"/>
    <w:rsid w:val="00DF0643"/>
    <w:rsid w:val="00DF072B"/>
    <w:rsid w:val="00DF3E25"/>
    <w:rsid w:val="00DF64AB"/>
    <w:rsid w:val="00DF6B71"/>
    <w:rsid w:val="00E00F8A"/>
    <w:rsid w:val="00E0127F"/>
    <w:rsid w:val="00E01A96"/>
    <w:rsid w:val="00E01FF3"/>
    <w:rsid w:val="00E05A65"/>
    <w:rsid w:val="00E06ED2"/>
    <w:rsid w:val="00E10D32"/>
    <w:rsid w:val="00E111F1"/>
    <w:rsid w:val="00E1211C"/>
    <w:rsid w:val="00E15B98"/>
    <w:rsid w:val="00E20ADA"/>
    <w:rsid w:val="00E2478B"/>
    <w:rsid w:val="00E24F7B"/>
    <w:rsid w:val="00E25837"/>
    <w:rsid w:val="00E26B82"/>
    <w:rsid w:val="00E2770C"/>
    <w:rsid w:val="00E30A7D"/>
    <w:rsid w:val="00E31077"/>
    <w:rsid w:val="00E31DBF"/>
    <w:rsid w:val="00E324C1"/>
    <w:rsid w:val="00E35405"/>
    <w:rsid w:val="00E35A32"/>
    <w:rsid w:val="00E36ECA"/>
    <w:rsid w:val="00E372FA"/>
    <w:rsid w:val="00E40015"/>
    <w:rsid w:val="00E428E5"/>
    <w:rsid w:val="00E43FCD"/>
    <w:rsid w:val="00E44C18"/>
    <w:rsid w:val="00E477A1"/>
    <w:rsid w:val="00E51F71"/>
    <w:rsid w:val="00E52493"/>
    <w:rsid w:val="00E526B8"/>
    <w:rsid w:val="00E52881"/>
    <w:rsid w:val="00E54709"/>
    <w:rsid w:val="00E551D3"/>
    <w:rsid w:val="00E56D9C"/>
    <w:rsid w:val="00E6292D"/>
    <w:rsid w:val="00E632DF"/>
    <w:rsid w:val="00E64786"/>
    <w:rsid w:val="00E70136"/>
    <w:rsid w:val="00E703FF"/>
    <w:rsid w:val="00E727CD"/>
    <w:rsid w:val="00E74D0B"/>
    <w:rsid w:val="00E7586F"/>
    <w:rsid w:val="00E76E05"/>
    <w:rsid w:val="00E77A74"/>
    <w:rsid w:val="00E805DC"/>
    <w:rsid w:val="00E826E6"/>
    <w:rsid w:val="00E904DC"/>
    <w:rsid w:val="00E942B2"/>
    <w:rsid w:val="00E94833"/>
    <w:rsid w:val="00E95FBE"/>
    <w:rsid w:val="00EA2D53"/>
    <w:rsid w:val="00EA4E2C"/>
    <w:rsid w:val="00EA6981"/>
    <w:rsid w:val="00EA6CDA"/>
    <w:rsid w:val="00EA6FE8"/>
    <w:rsid w:val="00EA782F"/>
    <w:rsid w:val="00EA7E9E"/>
    <w:rsid w:val="00EB1966"/>
    <w:rsid w:val="00EB271B"/>
    <w:rsid w:val="00EB3EBC"/>
    <w:rsid w:val="00EB6E5D"/>
    <w:rsid w:val="00EB740F"/>
    <w:rsid w:val="00EB7635"/>
    <w:rsid w:val="00EC18D0"/>
    <w:rsid w:val="00EC2EBD"/>
    <w:rsid w:val="00EC5372"/>
    <w:rsid w:val="00EC5A63"/>
    <w:rsid w:val="00EC72C6"/>
    <w:rsid w:val="00EC7C2C"/>
    <w:rsid w:val="00ED2020"/>
    <w:rsid w:val="00ED2974"/>
    <w:rsid w:val="00ED3FE4"/>
    <w:rsid w:val="00ED4325"/>
    <w:rsid w:val="00ED631A"/>
    <w:rsid w:val="00ED68F1"/>
    <w:rsid w:val="00ED7B87"/>
    <w:rsid w:val="00EE05A1"/>
    <w:rsid w:val="00EE0FA4"/>
    <w:rsid w:val="00EE289B"/>
    <w:rsid w:val="00EE338C"/>
    <w:rsid w:val="00EE55DE"/>
    <w:rsid w:val="00EE5822"/>
    <w:rsid w:val="00EE6626"/>
    <w:rsid w:val="00EE7B9B"/>
    <w:rsid w:val="00EF661F"/>
    <w:rsid w:val="00EF72D9"/>
    <w:rsid w:val="00F00945"/>
    <w:rsid w:val="00F0189E"/>
    <w:rsid w:val="00F02041"/>
    <w:rsid w:val="00F02428"/>
    <w:rsid w:val="00F04502"/>
    <w:rsid w:val="00F04F0E"/>
    <w:rsid w:val="00F056DD"/>
    <w:rsid w:val="00F06A04"/>
    <w:rsid w:val="00F10027"/>
    <w:rsid w:val="00F1119A"/>
    <w:rsid w:val="00F12378"/>
    <w:rsid w:val="00F13750"/>
    <w:rsid w:val="00F14063"/>
    <w:rsid w:val="00F16770"/>
    <w:rsid w:val="00F168A8"/>
    <w:rsid w:val="00F220BA"/>
    <w:rsid w:val="00F22BB0"/>
    <w:rsid w:val="00F22CBF"/>
    <w:rsid w:val="00F24984"/>
    <w:rsid w:val="00F25C60"/>
    <w:rsid w:val="00F25F26"/>
    <w:rsid w:val="00F26037"/>
    <w:rsid w:val="00F26224"/>
    <w:rsid w:val="00F318C9"/>
    <w:rsid w:val="00F33253"/>
    <w:rsid w:val="00F34F63"/>
    <w:rsid w:val="00F400A7"/>
    <w:rsid w:val="00F44528"/>
    <w:rsid w:val="00F453E4"/>
    <w:rsid w:val="00F476DB"/>
    <w:rsid w:val="00F5038B"/>
    <w:rsid w:val="00F50F90"/>
    <w:rsid w:val="00F517DB"/>
    <w:rsid w:val="00F55D32"/>
    <w:rsid w:val="00F616A8"/>
    <w:rsid w:val="00F61E44"/>
    <w:rsid w:val="00F62A45"/>
    <w:rsid w:val="00F62A87"/>
    <w:rsid w:val="00F62BE3"/>
    <w:rsid w:val="00F63BB3"/>
    <w:rsid w:val="00F67997"/>
    <w:rsid w:val="00F717B7"/>
    <w:rsid w:val="00F72675"/>
    <w:rsid w:val="00F744E3"/>
    <w:rsid w:val="00F74664"/>
    <w:rsid w:val="00F760A4"/>
    <w:rsid w:val="00F77702"/>
    <w:rsid w:val="00F83678"/>
    <w:rsid w:val="00F84BBA"/>
    <w:rsid w:val="00F85EEB"/>
    <w:rsid w:val="00F87886"/>
    <w:rsid w:val="00F87A52"/>
    <w:rsid w:val="00F91624"/>
    <w:rsid w:val="00F92113"/>
    <w:rsid w:val="00F93588"/>
    <w:rsid w:val="00F94BC9"/>
    <w:rsid w:val="00FA0800"/>
    <w:rsid w:val="00FA3BA1"/>
    <w:rsid w:val="00FA5FEE"/>
    <w:rsid w:val="00FA65A0"/>
    <w:rsid w:val="00FA7543"/>
    <w:rsid w:val="00FB0169"/>
    <w:rsid w:val="00FB0765"/>
    <w:rsid w:val="00FB17D4"/>
    <w:rsid w:val="00FB20FB"/>
    <w:rsid w:val="00FB2786"/>
    <w:rsid w:val="00FB27B3"/>
    <w:rsid w:val="00FB370A"/>
    <w:rsid w:val="00FB54E0"/>
    <w:rsid w:val="00FB6F38"/>
    <w:rsid w:val="00FB7FAA"/>
    <w:rsid w:val="00FC25AB"/>
    <w:rsid w:val="00FC40BB"/>
    <w:rsid w:val="00FC672F"/>
    <w:rsid w:val="00FD384B"/>
    <w:rsid w:val="00FD450F"/>
    <w:rsid w:val="00FD45A6"/>
    <w:rsid w:val="00FD52C0"/>
    <w:rsid w:val="00FD5CE3"/>
    <w:rsid w:val="00FD6E65"/>
    <w:rsid w:val="00FD79F0"/>
    <w:rsid w:val="00FE0464"/>
    <w:rsid w:val="00FE1138"/>
    <w:rsid w:val="00FE1E59"/>
    <w:rsid w:val="00FE2051"/>
    <w:rsid w:val="00FE3EE7"/>
    <w:rsid w:val="00FE5538"/>
    <w:rsid w:val="00FE558E"/>
    <w:rsid w:val="00FE5D70"/>
    <w:rsid w:val="00FE6838"/>
    <w:rsid w:val="00FE71FD"/>
    <w:rsid w:val="00FF1B0A"/>
    <w:rsid w:val="00FF4594"/>
    <w:rsid w:val="00FF59B1"/>
    <w:rsid w:val="00FF6DD1"/>
    <w:rsid w:val="00FF7050"/>
    <w:rsid w:val="00FF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B98"/>
    <w:pPr>
      <w:spacing w:after="0" w:line="360" w:lineRule="auto"/>
    </w:pPr>
    <w:rPr>
      <w:rFonts w:ascii="CG Times" w:eastAsia="Times New Roman" w:hAnsi="CG Times" w:cs="Times New Roman"/>
      <w:sz w:val="24"/>
      <w:szCs w:val="20"/>
    </w:rPr>
  </w:style>
  <w:style w:type="paragraph" w:styleId="Heading1">
    <w:name w:val="heading 1"/>
    <w:basedOn w:val="ListParagraph"/>
    <w:next w:val="Normal"/>
    <w:link w:val="Heading1Char"/>
    <w:uiPriority w:val="9"/>
    <w:qFormat/>
    <w:rsid w:val="00E15B98"/>
    <w:pPr>
      <w:numPr>
        <w:numId w:val="1"/>
      </w:numPr>
      <w:ind w:left="0" w:firstLine="0"/>
      <w:contextualSpacing w:val="0"/>
      <w:jc w:val="center"/>
      <w:outlineLvl w:val="0"/>
    </w:pPr>
    <w:rPr>
      <w:rFonts w:ascii="Times New Roman" w:hAnsi="Times New Roman"/>
      <w:b/>
      <w:sz w:val="26"/>
      <w:szCs w:val="26"/>
    </w:rPr>
  </w:style>
  <w:style w:type="paragraph" w:styleId="Heading2">
    <w:name w:val="heading 2"/>
    <w:basedOn w:val="Normal"/>
    <w:next w:val="Normal"/>
    <w:link w:val="Heading2Char"/>
    <w:uiPriority w:val="9"/>
    <w:semiHidden/>
    <w:unhideWhenUsed/>
    <w:qFormat/>
    <w:rsid w:val="00D902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15B98"/>
    <w:pPr>
      <w:spacing w:line="240" w:lineRule="auto"/>
      <w:jc w:val="center"/>
    </w:pPr>
    <w:rPr>
      <w:b/>
    </w:rPr>
  </w:style>
  <w:style w:type="character" w:customStyle="1" w:styleId="SubtitleChar">
    <w:name w:val="Subtitle Char"/>
    <w:basedOn w:val="DefaultParagraphFont"/>
    <w:link w:val="Subtitle"/>
    <w:rsid w:val="00E15B98"/>
    <w:rPr>
      <w:rFonts w:ascii="CG Times" w:eastAsia="Times New Roman" w:hAnsi="CG Times" w:cs="Times New Roman"/>
      <w:b/>
      <w:sz w:val="24"/>
      <w:szCs w:val="20"/>
    </w:rPr>
  </w:style>
  <w:style w:type="character" w:customStyle="1" w:styleId="Heading1Char">
    <w:name w:val="Heading 1 Char"/>
    <w:basedOn w:val="DefaultParagraphFont"/>
    <w:link w:val="Heading1"/>
    <w:uiPriority w:val="9"/>
    <w:rsid w:val="00E15B98"/>
    <w:rPr>
      <w:rFonts w:ascii="Times New Roman" w:eastAsia="Times New Roman" w:hAnsi="Times New Roman" w:cs="Times New Roman"/>
      <w:b/>
      <w:sz w:val="26"/>
      <w:szCs w:val="26"/>
    </w:rPr>
  </w:style>
  <w:style w:type="paragraph" w:styleId="BodyTextIndent">
    <w:name w:val="Body Text Indent"/>
    <w:basedOn w:val="Normal"/>
    <w:link w:val="BodyTextIndentChar"/>
    <w:uiPriority w:val="99"/>
    <w:semiHidden/>
    <w:unhideWhenUsed/>
    <w:rsid w:val="00E15B98"/>
    <w:pPr>
      <w:spacing w:after="120"/>
      <w:ind w:left="360"/>
    </w:pPr>
  </w:style>
  <w:style w:type="character" w:customStyle="1" w:styleId="BodyTextIndentChar">
    <w:name w:val="Body Text Indent Char"/>
    <w:basedOn w:val="DefaultParagraphFont"/>
    <w:link w:val="BodyTextIndent"/>
    <w:uiPriority w:val="99"/>
    <w:semiHidden/>
    <w:rsid w:val="00E15B98"/>
    <w:rPr>
      <w:rFonts w:ascii="CG Times" w:eastAsia="Times New Roman" w:hAnsi="CG Times" w:cs="Times New Roman"/>
      <w:sz w:val="24"/>
      <w:szCs w:val="20"/>
    </w:rPr>
  </w:style>
  <w:style w:type="paragraph" w:styleId="ListParagraph">
    <w:name w:val="List Paragraph"/>
    <w:basedOn w:val="Normal"/>
    <w:uiPriority w:val="34"/>
    <w:qFormat/>
    <w:rsid w:val="00E15B98"/>
    <w:pPr>
      <w:ind w:left="720"/>
      <w:contextualSpacing/>
    </w:pPr>
  </w:style>
  <w:style w:type="paragraph" w:styleId="BodyText">
    <w:name w:val="Body Text"/>
    <w:basedOn w:val="Normal"/>
    <w:link w:val="BodyTextChar"/>
    <w:uiPriority w:val="99"/>
    <w:unhideWhenUsed/>
    <w:rsid w:val="00335C54"/>
    <w:pPr>
      <w:spacing w:after="120"/>
    </w:pPr>
  </w:style>
  <w:style w:type="character" w:customStyle="1" w:styleId="BodyTextChar">
    <w:name w:val="Body Text Char"/>
    <w:basedOn w:val="DefaultParagraphFont"/>
    <w:link w:val="BodyText"/>
    <w:uiPriority w:val="99"/>
    <w:rsid w:val="00335C54"/>
    <w:rPr>
      <w:rFonts w:ascii="CG Times" w:eastAsia="Times New Roman" w:hAnsi="CG Times" w:cs="Times New Roman"/>
      <w:sz w:val="24"/>
      <w:szCs w:val="20"/>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2"/>
    <w:basedOn w:val="Normal"/>
    <w:link w:val="FootnoteTextChar"/>
    <w:uiPriority w:val="99"/>
    <w:qFormat/>
    <w:rsid w:val="00335C54"/>
    <w:pPr>
      <w:widowControl w:val="0"/>
      <w:spacing w:line="240" w:lineRule="auto"/>
    </w:pPr>
    <w:rPr>
      <w:rFonts w:ascii="Times New Roman" w:hAnsi="Times New Roman"/>
      <w:sz w:val="2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335C54"/>
    <w:rPr>
      <w:rFonts w:ascii="Times New Roman" w:eastAsia="Times New Roman" w:hAnsi="Times New Roman" w:cs="Times New Roman"/>
      <w:sz w:val="26"/>
      <w:szCs w:val="20"/>
    </w:rPr>
  </w:style>
  <w:style w:type="character" w:styleId="FootnoteReference">
    <w:name w:val="footnote reference"/>
    <w:aliases w:val="footnote text,o,fr,Style 42,Style 13,Style 12,Style 28,(NECG) Footnote Reference,Style 11,Style 9,Style 16,Style 15,Style 17,Style 20,o1,fr1,o2,fr2,o3,fr3,Style 8,Style 7,Style 19"/>
    <w:uiPriority w:val="99"/>
    <w:rsid w:val="00335C54"/>
    <w:rPr>
      <w:vertAlign w:val="superscript"/>
    </w:rPr>
  </w:style>
  <w:style w:type="paragraph" w:customStyle="1" w:styleId="OutlineL1">
    <w:name w:val="Outline_L1"/>
    <w:basedOn w:val="Normal"/>
    <w:next w:val="FootnoteText"/>
    <w:rsid w:val="00335C54"/>
    <w:pPr>
      <w:keepNext/>
      <w:numPr>
        <w:numId w:val="2"/>
      </w:numPr>
      <w:spacing w:after="240" w:line="240" w:lineRule="auto"/>
      <w:jc w:val="center"/>
      <w:outlineLvl w:val="0"/>
    </w:pPr>
    <w:rPr>
      <w:rFonts w:ascii="Times New Roman Bold" w:hAnsi="Times New Roman Bold"/>
      <w:b/>
      <w:caps/>
    </w:rPr>
  </w:style>
  <w:style w:type="paragraph" w:customStyle="1" w:styleId="OutlineL2">
    <w:name w:val="Outline_L2"/>
    <w:basedOn w:val="OutlineL1"/>
    <w:rsid w:val="00335C54"/>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335C54"/>
    <w:pPr>
      <w:numPr>
        <w:ilvl w:val="2"/>
      </w:numPr>
      <w:spacing w:after="120"/>
      <w:outlineLvl w:val="2"/>
    </w:pPr>
  </w:style>
  <w:style w:type="paragraph" w:customStyle="1" w:styleId="OutlineL4">
    <w:name w:val="Outline_L4"/>
    <w:basedOn w:val="OutlineL3"/>
    <w:rsid w:val="00335C54"/>
    <w:pPr>
      <w:numPr>
        <w:ilvl w:val="3"/>
      </w:numPr>
      <w:outlineLvl w:val="3"/>
    </w:pPr>
  </w:style>
  <w:style w:type="paragraph" w:customStyle="1" w:styleId="OutlineL5">
    <w:name w:val="Outline_L5"/>
    <w:basedOn w:val="OutlineL4"/>
    <w:rsid w:val="00335C54"/>
    <w:pPr>
      <w:numPr>
        <w:ilvl w:val="4"/>
      </w:numPr>
      <w:spacing w:line="240" w:lineRule="auto"/>
      <w:outlineLvl w:val="4"/>
    </w:pPr>
  </w:style>
  <w:style w:type="paragraph" w:customStyle="1" w:styleId="OutlineL6">
    <w:name w:val="Outline_L6"/>
    <w:basedOn w:val="OutlineL5"/>
    <w:rsid w:val="00335C54"/>
    <w:pPr>
      <w:numPr>
        <w:ilvl w:val="5"/>
      </w:numPr>
      <w:spacing w:after="240"/>
      <w:outlineLvl w:val="5"/>
    </w:pPr>
    <w:rPr>
      <w:szCs w:val="24"/>
    </w:rPr>
  </w:style>
  <w:style w:type="paragraph" w:customStyle="1" w:styleId="OutlineL7">
    <w:name w:val="Outline_L7"/>
    <w:basedOn w:val="OutlineL6"/>
    <w:rsid w:val="00335C54"/>
    <w:pPr>
      <w:numPr>
        <w:ilvl w:val="6"/>
      </w:numPr>
      <w:outlineLvl w:val="6"/>
    </w:pPr>
    <w:rPr>
      <w:rFonts w:ascii="Times New Roman Bold" w:hAnsi="Times New Roman Bold"/>
      <w:b/>
    </w:rPr>
  </w:style>
  <w:style w:type="paragraph" w:customStyle="1" w:styleId="OutlineL8">
    <w:name w:val="Outline_L8"/>
    <w:basedOn w:val="OutlineL7"/>
    <w:rsid w:val="00335C54"/>
    <w:pPr>
      <w:numPr>
        <w:ilvl w:val="7"/>
      </w:numPr>
      <w:outlineLvl w:val="7"/>
    </w:pPr>
  </w:style>
  <w:style w:type="paragraph" w:customStyle="1" w:styleId="OutlineL9">
    <w:name w:val="Outline_L9"/>
    <w:basedOn w:val="OutlineL8"/>
    <w:rsid w:val="00335C54"/>
    <w:pPr>
      <w:numPr>
        <w:ilvl w:val="8"/>
      </w:numPr>
      <w:outlineLvl w:val="8"/>
    </w:pPr>
  </w:style>
  <w:style w:type="paragraph" w:styleId="NoSpacing">
    <w:name w:val="No Spacing"/>
    <w:uiPriority w:val="1"/>
    <w:qFormat/>
    <w:rsid w:val="00335C54"/>
    <w:pPr>
      <w:spacing w:after="0" w:line="240" w:lineRule="auto"/>
    </w:pPr>
    <w:rPr>
      <w:rFonts w:ascii="Times New Roman" w:eastAsia="Times New Roman" w:hAnsi="Times New Roman" w:cs="Times New Roman"/>
      <w:sz w:val="26"/>
      <w:szCs w:val="20"/>
    </w:rPr>
  </w:style>
  <w:style w:type="character" w:customStyle="1" w:styleId="Heading2Char">
    <w:name w:val="Heading 2 Char"/>
    <w:basedOn w:val="DefaultParagraphFont"/>
    <w:link w:val="Heading2"/>
    <w:uiPriority w:val="9"/>
    <w:semiHidden/>
    <w:rsid w:val="00D9026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31B3D"/>
    <w:pPr>
      <w:tabs>
        <w:tab w:val="center" w:pos="4680"/>
        <w:tab w:val="right" w:pos="9360"/>
      </w:tabs>
      <w:spacing w:line="240" w:lineRule="auto"/>
    </w:pPr>
  </w:style>
  <w:style w:type="character" w:customStyle="1" w:styleId="HeaderChar">
    <w:name w:val="Header Char"/>
    <w:basedOn w:val="DefaultParagraphFont"/>
    <w:link w:val="Header"/>
    <w:uiPriority w:val="99"/>
    <w:rsid w:val="00131B3D"/>
    <w:rPr>
      <w:rFonts w:ascii="CG Times" w:eastAsia="Times New Roman" w:hAnsi="CG Times" w:cs="Times New Roman"/>
      <w:sz w:val="24"/>
      <w:szCs w:val="20"/>
    </w:rPr>
  </w:style>
  <w:style w:type="paragraph" w:styleId="Footer">
    <w:name w:val="footer"/>
    <w:basedOn w:val="Normal"/>
    <w:link w:val="FooterChar"/>
    <w:uiPriority w:val="99"/>
    <w:unhideWhenUsed/>
    <w:rsid w:val="00131B3D"/>
    <w:pPr>
      <w:tabs>
        <w:tab w:val="center" w:pos="4680"/>
        <w:tab w:val="right" w:pos="9360"/>
      </w:tabs>
      <w:spacing w:line="240" w:lineRule="auto"/>
    </w:pPr>
  </w:style>
  <w:style w:type="character" w:customStyle="1" w:styleId="FooterChar">
    <w:name w:val="Footer Char"/>
    <w:basedOn w:val="DefaultParagraphFont"/>
    <w:link w:val="Footer"/>
    <w:uiPriority w:val="99"/>
    <w:rsid w:val="00131B3D"/>
    <w:rPr>
      <w:rFonts w:ascii="CG Times" w:eastAsia="Times New Roman" w:hAnsi="CG Times" w:cs="Times New Roman"/>
      <w:sz w:val="24"/>
      <w:szCs w:val="20"/>
    </w:rPr>
  </w:style>
  <w:style w:type="paragraph" w:styleId="BodyText2">
    <w:name w:val="Body Text 2"/>
    <w:basedOn w:val="Normal"/>
    <w:link w:val="BodyText2Char"/>
    <w:uiPriority w:val="99"/>
    <w:unhideWhenUsed/>
    <w:rsid w:val="007E37C4"/>
    <w:pPr>
      <w:spacing w:after="120" w:line="480" w:lineRule="auto"/>
    </w:pPr>
  </w:style>
  <w:style w:type="character" w:customStyle="1" w:styleId="BodyText2Char">
    <w:name w:val="Body Text 2 Char"/>
    <w:basedOn w:val="DefaultParagraphFont"/>
    <w:link w:val="BodyText2"/>
    <w:uiPriority w:val="99"/>
    <w:rsid w:val="007E37C4"/>
    <w:rPr>
      <w:rFonts w:ascii="CG Times" w:eastAsia="Times New Roman" w:hAnsi="CG Times" w:cs="Times New Roman"/>
      <w:sz w:val="24"/>
      <w:szCs w:val="20"/>
    </w:rPr>
  </w:style>
  <w:style w:type="character" w:customStyle="1" w:styleId="NormalChar">
    <w:name w:val="Normal Char"/>
    <w:link w:val="Normal1"/>
    <w:locked/>
    <w:rsid w:val="00011009"/>
    <w:rPr>
      <w:sz w:val="24"/>
      <w:szCs w:val="24"/>
    </w:rPr>
  </w:style>
  <w:style w:type="paragraph" w:customStyle="1" w:styleId="Normal1">
    <w:name w:val="Normal1"/>
    <w:basedOn w:val="Normal"/>
    <w:link w:val="NormalChar"/>
    <w:qFormat/>
    <w:rsid w:val="00011009"/>
    <w:pPr>
      <w:spacing w:line="480" w:lineRule="auto"/>
      <w:ind w:firstLine="720"/>
    </w:pPr>
    <w:rPr>
      <w:rFonts w:asciiTheme="minorHAnsi" w:eastAsiaTheme="minorHAnsi" w:hAnsiTheme="minorHAnsi" w:cstheme="minorBidi"/>
      <w:szCs w:val="24"/>
    </w:rPr>
  </w:style>
  <w:style w:type="paragraph" w:styleId="BalloonText">
    <w:name w:val="Balloon Text"/>
    <w:basedOn w:val="Normal"/>
    <w:link w:val="BalloonTextChar"/>
    <w:uiPriority w:val="99"/>
    <w:semiHidden/>
    <w:unhideWhenUsed/>
    <w:rsid w:val="007F5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E66"/>
    <w:rPr>
      <w:rFonts w:ascii="Tahoma" w:eastAsia="Times New Roman" w:hAnsi="Tahoma" w:cs="Tahoma"/>
      <w:sz w:val="16"/>
      <w:szCs w:val="16"/>
    </w:rPr>
  </w:style>
  <w:style w:type="paragraph" w:customStyle="1" w:styleId="Pleading2L1">
    <w:name w:val="Pleading2_L1"/>
    <w:basedOn w:val="Normal"/>
    <w:next w:val="BodyText"/>
    <w:rsid w:val="00C13786"/>
    <w:pPr>
      <w:numPr>
        <w:numId w:val="8"/>
      </w:numPr>
      <w:spacing w:after="240"/>
      <w:jc w:val="center"/>
      <w:outlineLvl w:val="0"/>
    </w:pPr>
    <w:rPr>
      <w:rFonts w:ascii="Times New Roman" w:hAnsi="Times New Roman"/>
      <w:b/>
      <w:caps/>
      <w:u w:val="single"/>
    </w:rPr>
  </w:style>
  <w:style w:type="paragraph" w:customStyle="1" w:styleId="Pleading2L2">
    <w:name w:val="Pleading2_L2"/>
    <w:basedOn w:val="Pleading2L1"/>
    <w:rsid w:val="00C13786"/>
    <w:pPr>
      <w:numPr>
        <w:ilvl w:val="1"/>
      </w:numPr>
      <w:spacing w:after="0" w:line="480" w:lineRule="auto"/>
      <w:jc w:val="left"/>
      <w:outlineLvl w:val="1"/>
    </w:pPr>
    <w:rPr>
      <w:b w:val="0"/>
      <w:caps w:val="0"/>
      <w:u w:val="none"/>
    </w:rPr>
  </w:style>
  <w:style w:type="paragraph" w:customStyle="1" w:styleId="Pleading2L3">
    <w:name w:val="Pleading2_L3"/>
    <w:basedOn w:val="Pleading2L2"/>
    <w:rsid w:val="00C13786"/>
    <w:pPr>
      <w:numPr>
        <w:ilvl w:val="2"/>
      </w:numPr>
      <w:outlineLvl w:val="2"/>
    </w:pPr>
  </w:style>
  <w:style w:type="paragraph" w:customStyle="1" w:styleId="Pleading2L4">
    <w:name w:val="Pleading2_L4"/>
    <w:basedOn w:val="Pleading2L3"/>
    <w:rsid w:val="00C13786"/>
    <w:pPr>
      <w:numPr>
        <w:ilvl w:val="3"/>
      </w:numPr>
      <w:outlineLvl w:val="3"/>
    </w:pPr>
  </w:style>
  <w:style w:type="paragraph" w:customStyle="1" w:styleId="Pleading2L5">
    <w:name w:val="Pleading2_L5"/>
    <w:basedOn w:val="Pleading2L4"/>
    <w:rsid w:val="00C13786"/>
    <w:pPr>
      <w:keepNext/>
      <w:keepLines/>
      <w:widowControl w:val="0"/>
      <w:numPr>
        <w:ilvl w:val="4"/>
      </w:numPr>
      <w:spacing w:after="240" w:line="240" w:lineRule="auto"/>
      <w:outlineLvl w:val="4"/>
    </w:pPr>
  </w:style>
  <w:style w:type="paragraph" w:customStyle="1" w:styleId="Pleading2L6">
    <w:name w:val="Pleading2_L6"/>
    <w:basedOn w:val="Pleading2L5"/>
    <w:rsid w:val="00C13786"/>
    <w:pPr>
      <w:numPr>
        <w:ilvl w:val="5"/>
      </w:numPr>
      <w:outlineLvl w:val="5"/>
    </w:pPr>
  </w:style>
  <w:style w:type="paragraph" w:customStyle="1" w:styleId="Pleading2L7">
    <w:name w:val="Pleading2_L7"/>
    <w:basedOn w:val="Pleading2L6"/>
    <w:rsid w:val="00C13786"/>
    <w:pPr>
      <w:numPr>
        <w:ilvl w:val="6"/>
      </w:numPr>
      <w:outlineLvl w:val="6"/>
    </w:pPr>
  </w:style>
  <w:style w:type="paragraph" w:customStyle="1" w:styleId="Pleading2L8">
    <w:name w:val="Pleading2_L8"/>
    <w:basedOn w:val="Pleading2L7"/>
    <w:rsid w:val="00C13786"/>
    <w:pPr>
      <w:numPr>
        <w:ilvl w:val="7"/>
      </w:numPr>
      <w:outlineLvl w:val="7"/>
    </w:pPr>
  </w:style>
  <w:style w:type="paragraph" w:customStyle="1" w:styleId="Pleading2L9">
    <w:name w:val="Pleading2_L9"/>
    <w:basedOn w:val="Pleading2L8"/>
    <w:rsid w:val="00C13786"/>
    <w:pPr>
      <w:numPr>
        <w:ilvl w:val="8"/>
      </w:numPr>
      <w:outlineLvl w:val="8"/>
    </w:pPr>
  </w:style>
  <w:style w:type="character" w:styleId="CommentReference">
    <w:name w:val="annotation reference"/>
    <w:basedOn w:val="DefaultParagraphFont"/>
    <w:uiPriority w:val="99"/>
    <w:semiHidden/>
    <w:unhideWhenUsed/>
    <w:rsid w:val="00DE4654"/>
    <w:rPr>
      <w:sz w:val="16"/>
      <w:szCs w:val="16"/>
    </w:rPr>
  </w:style>
  <w:style w:type="paragraph" w:styleId="CommentText">
    <w:name w:val="annotation text"/>
    <w:basedOn w:val="Normal"/>
    <w:link w:val="CommentTextChar"/>
    <w:uiPriority w:val="99"/>
    <w:semiHidden/>
    <w:unhideWhenUsed/>
    <w:rsid w:val="00DE4654"/>
    <w:pPr>
      <w:spacing w:line="240" w:lineRule="auto"/>
    </w:pPr>
    <w:rPr>
      <w:sz w:val="20"/>
    </w:rPr>
  </w:style>
  <w:style w:type="character" w:customStyle="1" w:styleId="CommentTextChar">
    <w:name w:val="Comment Text Char"/>
    <w:basedOn w:val="DefaultParagraphFont"/>
    <w:link w:val="CommentText"/>
    <w:uiPriority w:val="99"/>
    <w:semiHidden/>
    <w:rsid w:val="00DE4654"/>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DE4654"/>
    <w:rPr>
      <w:b/>
      <w:bCs/>
    </w:rPr>
  </w:style>
  <w:style w:type="character" w:customStyle="1" w:styleId="CommentSubjectChar">
    <w:name w:val="Comment Subject Char"/>
    <w:basedOn w:val="CommentTextChar"/>
    <w:link w:val="CommentSubject"/>
    <w:uiPriority w:val="99"/>
    <w:semiHidden/>
    <w:rsid w:val="00DE4654"/>
    <w:rPr>
      <w:rFonts w:ascii="CG Times" w:eastAsia="Times New Roman" w:hAnsi="CG Time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B98"/>
    <w:pPr>
      <w:spacing w:after="0" w:line="360" w:lineRule="auto"/>
    </w:pPr>
    <w:rPr>
      <w:rFonts w:ascii="CG Times" w:eastAsia="Times New Roman" w:hAnsi="CG Times" w:cs="Times New Roman"/>
      <w:sz w:val="24"/>
      <w:szCs w:val="20"/>
    </w:rPr>
  </w:style>
  <w:style w:type="paragraph" w:styleId="Heading1">
    <w:name w:val="heading 1"/>
    <w:basedOn w:val="ListParagraph"/>
    <w:next w:val="Normal"/>
    <w:link w:val="Heading1Char"/>
    <w:uiPriority w:val="9"/>
    <w:qFormat/>
    <w:rsid w:val="00E15B98"/>
    <w:pPr>
      <w:numPr>
        <w:numId w:val="1"/>
      </w:numPr>
      <w:ind w:left="0" w:firstLine="0"/>
      <w:contextualSpacing w:val="0"/>
      <w:jc w:val="center"/>
      <w:outlineLvl w:val="0"/>
    </w:pPr>
    <w:rPr>
      <w:rFonts w:ascii="Times New Roman" w:hAnsi="Times New Roman"/>
      <w:b/>
      <w:sz w:val="26"/>
      <w:szCs w:val="26"/>
    </w:rPr>
  </w:style>
  <w:style w:type="paragraph" w:styleId="Heading2">
    <w:name w:val="heading 2"/>
    <w:basedOn w:val="Normal"/>
    <w:next w:val="Normal"/>
    <w:link w:val="Heading2Char"/>
    <w:uiPriority w:val="9"/>
    <w:semiHidden/>
    <w:unhideWhenUsed/>
    <w:qFormat/>
    <w:rsid w:val="00D902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15B98"/>
    <w:pPr>
      <w:spacing w:line="240" w:lineRule="auto"/>
      <w:jc w:val="center"/>
    </w:pPr>
    <w:rPr>
      <w:b/>
    </w:rPr>
  </w:style>
  <w:style w:type="character" w:customStyle="1" w:styleId="SubtitleChar">
    <w:name w:val="Subtitle Char"/>
    <w:basedOn w:val="DefaultParagraphFont"/>
    <w:link w:val="Subtitle"/>
    <w:rsid w:val="00E15B98"/>
    <w:rPr>
      <w:rFonts w:ascii="CG Times" w:eastAsia="Times New Roman" w:hAnsi="CG Times" w:cs="Times New Roman"/>
      <w:b/>
      <w:sz w:val="24"/>
      <w:szCs w:val="20"/>
    </w:rPr>
  </w:style>
  <w:style w:type="character" w:customStyle="1" w:styleId="Heading1Char">
    <w:name w:val="Heading 1 Char"/>
    <w:basedOn w:val="DefaultParagraphFont"/>
    <w:link w:val="Heading1"/>
    <w:uiPriority w:val="9"/>
    <w:rsid w:val="00E15B98"/>
    <w:rPr>
      <w:rFonts w:ascii="Times New Roman" w:eastAsia="Times New Roman" w:hAnsi="Times New Roman" w:cs="Times New Roman"/>
      <w:b/>
      <w:sz w:val="26"/>
      <w:szCs w:val="26"/>
    </w:rPr>
  </w:style>
  <w:style w:type="paragraph" w:styleId="BodyTextIndent">
    <w:name w:val="Body Text Indent"/>
    <w:basedOn w:val="Normal"/>
    <w:link w:val="BodyTextIndentChar"/>
    <w:uiPriority w:val="99"/>
    <w:semiHidden/>
    <w:unhideWhenUsed/>
    <w:rsid w:val="00E15B98"/>
    <w:pPr>
      <w:spacing w:after="120"/>
      <w:ind w:left="360"/>
    </w:pPr>
  </w:style>
  <w:style w:type="character" w:customStyle="1" w:styleId="BodyTextIndentChar">
    <w:name w:val="Body Text Indent Char"/>
    <w:basedOn w:val="DefaultParagraphFont"/>
    <w:link w:val="BodyTextIndent"/>
    <w:uiPriority w:val="99"/>
    <w:semiHidden/>
    <w:rsid w:val="00E15B98"/>
    <w:rPr>
      <w:rFonts w:ascii="CG Times" w:eastAsia="Times New Roman" w:hAnsi="CG Times" w:cs="Times New Roman"/>
      <w:sz w:val="24"/>
      <w:szCs w:val="20"/>
    </w:rPr>
  </w:style>
  <w:style w:type="paragraph" w:styleId="ListParagraph">
    <w:name w:val="List Paragraph"/>
    <w:basedOn w:val="Normal"/>
    <w:uiPriority w:val="34"/>
    <w:qFormat/>
    <w:rsid w:val="00E15B98"/>
    <w:pPr>
      <w:ind w:left="720"/>
      <w:contextualSpacing/>
    </w:pPr>
  </w:style>
  <w:style w:type="paragraph" w:styleId="BodyText">
    <w:name w:val="Body Text"/>
    <w:basedOn w:val="Normal"/>
    <w:link w:val="BodyTextChar"/>
    <w:uiPriority w:val="99"/>
    <w:unhideWhenUsed/>
    <w:rsid w:val="00335C54"/>
    <w:pPr>
      <w:spacing w:after="120"/>
    </w:pPr>
  </w:style>
  <w:style w:type="character" w:customStyle="1" w:styleId="BodyTextChar">
    <w:name w:val="Body Text Char"/>
    <w:basedOn w:val="DefaultParagraphFont"/>
    <w:link w:val="BodyText"/>
    <w:uiPriority w:val="99"/>
    <w:rsid w:val="00335C54"/>
    <w:rPr>
      <w:rFonts w:ascii="CG Times" w:eastAsia="Times New Roman" w:hAnsi="CG Times" w:cs="Times New Roman"/>
      <w:sz w:val="24"/>
      <w:szCs w:val="20"/>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2"/>
    <w:basedOn w:val="Normal"/>
    <w:link w:val="FootnoteTextChar"/>
    <w:uiPriority w:val="99"/>
    <w:qFormat/>
    <w:rsid w:val="00335C54"/>
    <w:pPr>
      <w:widowControl w:val="0"/>
      <w:spacing w:line="240" w:lineRule="auto"/>
    </w:pPr>
    <w:rPr>
      <w:rFonts w:ascii="Times New Roman" w:hAnsi="Times New Roman"/>
      <w:sz w:val="2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335C54"/>
    <w:rPr>
      <w:rFonts w:ascii="Times New Roman" w:eastAsia="Times New Roman" w:hAnsi="Times New Roman" w:cs="Times New Roman"/>
      <w:sz w:val="26"/>
      <w:szCs w:val="20"/>
    </w:rPr>
  </w:style>
  <w:style w:type="character" w:styleId="FootnoteReference">
    <w:name w:val="footnote reference"/>
    <w:aliases w:val="footnote text,o,fr,Style 42,Style 13,Style 12,Style 28,(NECG) Footnote Reference,Style 11,Style 9,Style 16,Style 15,Style 17,Style 20,o1,fr1,o2,fr2,o3,fr3,Style 8,Style 7,Style 19"/>
    <w:uiPriority w:val="99"/>
    <w:rsid w:val="00335C54"/>
    <w:rPr>
      <w:vertAlign w:val="superscript"/>
    </w:rPr>
  </w:style>
  <w:style w:type="paragraph" w:customStyle="1" w:styleId="OutlineL1">
    <w:name w:val="Outline_L1"/>
    <w:basedOn w:val="Normal"/>
    <w:next w:val="FootnoteText"/>
    <w:rsid w:val="00335C54"/>
    <w:pPr>
      <w:keepNext/>
      <w:numPr>
        <w:numId w:val="2"/>
      </w:numPr>
      <w:spacing w:after="240" w:line="240" w:lineRule="auto"/>
      <w:jc w:val="center"/>
      <w:outlineLvl w:val="0"/>
    </w:pPr>
    <w:rPr>
      <w:rFonts w:ascii="Times New Roman Bold" w:hAnsi="Times New Roman Bold"/>
      <w:b/>
      <w:caps/>
    </w:rPr>
  </w:style>
  <w:style w:type="paragraph" w:customStyle="1" w:styleId="OutlineL2">
    <w:name w:val="Outline_L2"/>
    <w:basedOn w:val="OutlineL1"/>
    <w:rsid w:val="00335C54"/>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335C54"/>
    <w:pPr>
      <w:numPr>
        <w:ilvl w:val="2"/>
      </w:numPr>
      <w:spacing w:after="120"/>
      <w:outlineLvl w:val="2"/>
    </w:pPr>
  </w:style>
  <w:style w:type="paragraph" w:customStyle="1" w:styleId="OutlineL4">
    <w:name w:val="Outline_L4"/>
    <w:basedOn w:val="OutlineL3"/>
    <w:rsid w:val="00335C54"/>
    <w:pPr>
      <w:numPr>
        <w:ilvl w:val="3"/>
      </w:numPr>
      <w:outlineLvl w:val="3"/>
    </w:pPr>
  </w:style>
  <w:style w:type="paragraph" w:customStyle="1" w:styleId="OutlineL5">
    <w:name w:val="Outline_L5"/>
    <w:basedOn w:val="OutlineL4"/>
    <w:rsid w:val="00335C54"/>
    <w:pPr>
      <w:numPr>
        <w:ilvl w:val="4"/>
      </w:numPr>
      <w:spacing w:line="240" w:lineRule="auto"/>
      <w:outlineLvl w:val="4"/>
    </w:pPr>
  </w:style>
  <w:style w:type="paragraph" w:customStyle="1" w:styleId="OutlineL6">
    <w:name w:val="Outline_L6"/>
    <w:basedOn w:val="OutlineL5"/>
    <w:rsid w:val="00335C54"/>
    <w:pPr>
      <w:numPr>
        <w:ilvl w:val="5"/>
      </w:numPr>
      <w:spacing w:after="240"/>
      <w:outlineLvl w:val="5"/>
    </w:pPr>
    <w:rPr>
      <w:szCs w:val="24"/>
    </w:rPr>
  </w:style>
  <w:style w:type="paragraph" w:customStyle="1" w:styleId="OutlineL7">
    <w:name w:val="Outline_L7"/>
    <w:basedOn w:val="OutlineL6"/>
    <w:rsid w:val="00335C54"/>
    <w:pPr>
      <w:numPr>
        <w:ilvl w:val="6"/>
      </w:numPr>
      <w:outlineLvl w:val="6"/>
    </w:pPr>
    <w:rPr>
      <w:rFonts w:ascii="Times New Roman Bold" w:hAnsi="Times New Roman Bold"/>
      <w:b/>
    </w:rPr>
  </w:style>
  <w:style w:type="paragraph" w:customStyle="1" w:styleId="OutlineL8">
    <w:name w:val="Outline_L8"/>
    <w:basedOn w:val="OutlineL7"/>
    <w:rsid w:val="00335C54"/>
    <w:pPr>
      <w:numPr>
        <w:ilvl w:val="7"/>
      </w:numPr>
      <w:outlineLvl w:val="7"/>
    </w:pPr>
  </w:style>
  <w:style w:type="paragraph" w:customStyle="1" w:styleId="OutlineL9">
    <w:name w:val="Outline_L9"/>
    <w:basedOn w:val="OutlineL8"/>
    <w:rsid w:val="00335C54"/>
    <w:pPr>
      <w:numPr>
        <w:ilvl w:val="8"/>
      </w:numPr>
      <w:outlineLvl w:val="8"/>
    </w:pPr>
  </w:style>
  <w:style w:type="paragraph" w:styleId="NoSpacing">
    <w:name w:val="No Spacing"/>
    <w:uiPriority w:val="1"/>
    <w:qFormat/>
    <w:rsid w:val="00335C54"/>
    <w:pPr>
      <w:spacing w:after="0" w:line="240" w:lineRule="auto"/>
    </w:pPr>
    <w:rPr>
      <w:rFonts w:ascii="Times New Roman" w:eastAsia="Times New Roman" w:hAnsi="Times New Roman" w:cs="Times New Roman"/>
      <w:sz w:val="26"/>
      <w:szCs w:val="20"/>
    </w:rPr>
  </w:style>
  <w:style w:type="character" w:customStyle="1" w:styleId="Heading2Char">
    <w:name w:val="Heading 2 Char"/>
    <w:basedOn w:val="DefaultParagraphFont"/>
    <w:link w:val="Heading2"/>
    <w:uiPriority w:val="9"/>
    <w:semiHidden/>
    <w:rsid w:val="00D9026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31B3D"/>
    <w:pPr>
      <w:tabs>
        <w:tab w:val="center" w:pos="4680"/>
        <w:tab w:val="right" w:pos="9360"/>
      </w:tabs>
      <w:spacing w:line="240" w:lineRule="auto"/>
    </w:pPr>
  </w:style>
  <w:style w:type="character" w:customStyle="1" w:styleId="HeaderChar">
    <w:name w:val="Header Char"/>
    <w:basedOn w:val="DefaultParagraphFont"/>
    <w:link w:val="Header"/>
    <w:uiPriority w:val="99"/>
    <w:rsid w:val="00131B3D"/>
    <w:rPr>
      <w:rFonts w:ascii="CG Times" w:eastAsia="Times New Roman" w:hAnsi="CG Times" w:cs="Times New Roman"/>
      <w:sz w:val="24"/>
      <w:szCs w:val="20"/>
    </w:rPr>
  </w:style>
  <w:style w:type="paragraph" w:styleId="Footer">
    <w:name w:val="footer"/>
    <w:basedOn w:val="Normal"/>
    <w:link w:val="FooterChar"/>
    <w:uiPriority w:val="99"/>
    <w:unhideWhenUsed/>
    <w:rsid w:val="00131B3D"/>
    <w:pPr>
      <w:tabs>
        <w:tab w:val="center" w:pos="4680"/>
        <w:tab w:val="right" w:pos="9360"/>
      </w:tabs>
      <w:spacing w:line="240" w:lineRule="auto"/>
    </w:pPr>
  </w:style>
  <w:style w:type="character" w:customStyle="1" w:styleId="FooterChar">
    <w:name w:val="Footer Char"/>
    <w:basedOn w:val="DefaultParagraphFont"/>
    <w:link w:val="Footer"/>
    <w:uiPriority w:val="99"/>
    <w:rsid w:val="00131B3D"/>
    <w:rPr>
      <w:rFonts w:ascii="CG Times" w:eastAsia="Times New Roman" w:hAnsi="CG Times" w:cs="Times New Roman"/>
      <w:sz w:val="24"/>
      <w:szCs w:val="20"/>
    </w:rPr>
  </w:style>
  <w:style w:type="paragraph" w:styleId="BodyText2">
    <w:name w:val="Body Text 2"/>
    <w:basedOn w:val="Normal"/>
    <w:link w:val="BodyText2Char"/>
    <w:uiPriority w:val="99"/>
    <w:unhideWhenUsed/>
    <w:rsid w:val="007E37C4"/>
    <w:pPr>
      <w:spacing w:after="120" w:line="480" w:lineRule="auto"/>
    </w:pPr>
  </w:style>
  <w:style w:type="character" w:customStyle="1" w:styleId="BodyText2Char">
    <w:name w:val="Body Text 2 Char"/>
    <w:basedOn w:val="DefaultParagraphFont"/>
    <w:link w:val="BodyText2"/>
    <w:uiPriority w:val="99"/>
    <w:rsid w:val="007E37C4"/>
    <w:rPr>
      <w:rFonts w:ascii="CG Times" w:eastAsia="Times New Roman" w:hAnsi="CG Times" w:cs="Times New Roman"/>
      <w:sz w:val="24"/>
      <w:szCs w:val="20"/>
    </w:rPr>
  </w:style>
  <w:style w:type="character" w:customStyle="1" w:styleId="NormalChar">
    <w:name w:val="Normal Char"/>
    <w:link w:val="Normal1"/>
    <w:locked/>
    <w:rsid w:val="00011009"/>
    <w:rPr>
      <w:sz w:val="24"/>
      <w:szCs w:val="24"/>
    </w:rPr>
  </w:style>
  <w:style w:type="paragraph" w:customStyle="1" w:styleId="Normal1">
    <w:name w:val="Normal1"/>
    <w:basedOn w:val="Normal"/>
    <w:link w:val="NormalChar"/>
    <w:qFormat/>
    <w:rsid w:val="00011009"/>
    <w:pPr>
      <w:spacing w:line="480" w:lineRule="auto"/>
      <w:ind w:firstLine="720"/>
    </w:pPr>
    <w:rPr>
      <w:rFonts w:asciiTheme="minorHAnsi" w:eastAsiaTheme="minorHAnsi" w:hAnsiTheme="minorHAnsi" w:cstheme="minorBidi"/>
      <w:szCs w:val="24"/>
    </w:rPr>
  </w:style>
  <w:style w:type="paragraph" w:styleId="BalloonText">
    <w:name w:val="Balloon Text"/>
    <w:basedOn w:val="Normal"/>
    <w:link w:val="BalloonTextChar"/>
    <w:uiPriority w:val="99"/>
    <w:semiHidden/>
    <w:unhideWhenUsed/>
    <w:rsid w:val="007F5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E66"/>
    <w:rPr>
      <w:rFonts w:ascii="Tahoma" w:eastAsia="Times New Roman" w:hAnsi="Tahoma" w:cs="Tahoma"/>
      <w:sz w:val="16"/>
      <w:szCs w:val="16"/>
    </w:rPr>
  </w:style>
  <w:style w:type="paragraph" w:customStyle="1" w:styleId="Pleading2L1">
    <w:name w:val="Pleading2_L1"/>
    <w:basedOn w:val="Normal"/>
    <w:next w:val="BodyText"/>
    <w:rsid w:val="00C13786"/>
    <w:pPr>
      <w:numPr>
        <w:numId w:val="8"/>
      </w:numPr>
      <w:spacing w:after="240"/>
      <w:jc w:val="center"/>
      <w:outlineLvl w:val="0"/>
    </w:pPr>
    <w:rPr>
      <w:rFonts w:ascii="Times New Roman" w:hAnsi="Times New Roman"/>
      <w:b/>
      <w:caps/>
      <w:u w:val="single"/>
    </w:rPr>
  </w:style>
  <w:style w:type="paragraph" w:customStyle="1" w:styleId="Pleading2L2">
    <w:name w:val="Pleading2_L2"/>
    <w:basedOn w:val="Pleading2L1"/>
    <w:rsid w:val="00C13786"/>
    <w:pPr>
      <w:numPr>
        <w:ilvl w:val="1"/>
      </w:numPr>
      <w:spacing w:after="0" w:line="480" w:lineRule="auto"/>
      <w:jc w:val="left"/>
      <w:outlineLvl w:val="1"/>
    </w:pPr>
    <w:rPr>
      <w:b w:val="0"/>
      <w:caps w:val="0"/>
      <w:u w:val="none"/>
    </w:rPr>
  </w:style>
  <w:style w:type="paragraph" w:customStyle="1" w:styleId="Pleading2L3">
    <w:name w:val="Pleading2_L3"/>
    <w:basedOn w:val="Pleading2L2"/>
    <w:rsid w:val="00C13786"/>
    <w:pPr>
      <w:numPr>
        <w:ilvl w:val="2"/>
      </w:numPr>
      <w:outlineLvl w:val="2"/>
    </w:pPr>
  </w:style>
  <w:style w:type="paragraph" w:customStyle="1" w:styleId="Pleading2L4">
    <w:name w:val="Pleading2_L4"/>
    <w:basedOn w:val="Pleading2L3"/>
    <w:rsid w:val="00C13786"/>
    <w:pPr>
      <w:numPr>
        <w:ilvl w:val="3"/>
      </w:numPr>
      <w:outlineLvl w:val="3"/>
    </w:pPr>
  </w:style>
  <w:style w:type="paragraph" w:customStyle="1" w:styleId="Pleading2L5">
    <w:name w:val="Pleading2_L5"/>
    <w:basedOn w:val="Pleading2L4"/>
    <w:rsid w:val="00C13786"/>
    <w:pPr>
      <w:keepNext/>
      <w:keepLines/>
      <w:widowControl w:val="0"/>
      <w:numPr>
        <w:ilvl w:val="4"/>
      </w:numPr>
      <w:spacing w:after="240" w:line="240" w:lineRule="auto"/>
      <w:outlineLvl w:val="4"/>
    </w:pPr>
  </w:style>
  <w:style w:type="paragraph" w:customStyle="1" w:styleId="Pleading2L6">
    <w:name w:val="Pleading2_L6"/>
    <w:basedOn w:val="Pleading2L5"/>
    <w:rsid w:val="00C13786"/>
    <w:pPr>
      <w:numPr>
        <w:ilvl w:val="5"/>
      </w:numPr>
      <w:outlineLvl w:val="5"/>
    </w:pPr>
  </w:style>
  <w:style w:type="paragraph" w:customStyle="1" w:styleId="Pleading2L7">
    <w:name w:val="Pleading2_L7"/>
    <w:basedOn w:val="Pleading2L6"/>
    <w:rsid w:val="00C13786"/>
    <w:pPr>
      <w:numPr>
        <w:ilvl w:val="6"/>
      </w:numPr>
      <w:outlineLvl w:val="6"/>
    </w:pPr>
  </w:style>
  <w:style w:type="paragraph" w:customStyle="1" w:styleId="Pleading2L8">
    <w:name w:val="Pleading2_L8"/>
    <w:basedOn w:val="Pleading2L7"/>
    <w:rsid w:val="00C13786"/>
    <w:pPr>
      <w:numPr>
        <w:ilvl w:val="7"/>
      </w:numPr>
      <w:outlineLvl w:val="7"/>
    </w:pPr>
  </w:style>
  <w:style w:type="paragraph" w:customStyle="1" w:styleId="Pleading2L9">
    <w:name w:val="Pleading2_L9"/>
    <w:basedOn w:val="Pleading2L8"/>
    <w:rsid w:val="00C13786"/>
    <w:pPr>
      <w:numPr>
        <w:ilvl w:val="8"/>
      </w:numPr>
      <w:outlineLvl w:val="8"/>
    </w:pPr>
  </w:style>
  <w:style w:type="character" w:styleId="CommentReference">
    <w:name w:val="annotation reference"/>
    <w:basedOn w:val="DefaultParagraphFont"/>
    <w:uiPriority w:val="99"/>
    <w:semiHidden/>
    <w:unhideWhenUsed/>
    <w:rsid w:val="00DE4654"/>
    <w:rPr>
      <w:sz w:val="16"/>
      <w:szCs w:val="16"/>
    </w:rPr>
  </w:style>
  <w:style w:type="paragraph" w:styleId="CommentText">
    <w:name w:val="annotation text"/>
    <w:basedOn w:val="Normal"/>
    <w:link w:val="CommentTextChar"/>
    <w:uiPriority w:val="99"/>
    <w:semiHidden/>
    <w:unhideWhenUsed/>
    <w:rsid w:val="00DE4654"/>
    <w:pPr>
      <w:spacing w:line="240" w:lineRule="auto"/>
    </w:pPr>
    <w:rPr>
      <w:sz w:val="20"/>
    </w:rPr>
  </w:style>
  <w:style w:type="character" w:customStyle="1" w:styleId="CommentTextChar">
    <w:name w:val="Comment Text Char"/>
    <w:basedOn w:val="DefaultParagraphFont"/>
    <w:link w:val="CommentText"/>
    <w:uiPriority w:val="99"/>
    <w:semiHidden/>
    <w:rsid w:val="00DE4654"/>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DE4654"/>
    <w:rPr>
      <w:b/>
      <w:bCs/>
    </w:rPr>
  </w:style>
  <w:style w:type="character" w:customStyle="1" w:styleId="CommentSubjectChar">
    <w:name w:val="Comment Subject Char"/>
    <w:basedOn w:val="CommentTextChar"/>
    <w:link w:val="CommentSubject"/>
    <w:uiPriority w:val="99"/>
    <w:semiHidden/>
    <w:rsid w:val="00DE4654"/>
    <w:rPr>
      <w:rFonts w:ascii="CG Times" w:eastAsia="Times New Roman" w:hAnsi="CG 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0E29B-49DD-4ACF-9CCD-C05F9641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18677</Words>
  <Characters>106465</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rocarran</dc:creator>
  <cp:lastModifiedBy>Reynolds, Doris</cp:lastModifiedBy>
  <cp:revision>8</cp:revision>
  <cp:lastPrinted>2015-01-15T16:34:00Z</cp:lastPrinted>
  <dcterms:created xsi:type="dcterms:W3CDTF">2014-12-24T17:27:00Z</dcterms:created>
  <dcterms:modified xsi:type="dcterms:W3CDTF">2015-01-15T16:46:00Z</dcterms:modified>
</cp:coreProperties>
</file>