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06B" w:rsidRPr="00CE6637" w:rsidRDefault="007A206B">
      <w:pPr>
        <w:rPr>
          <w:rFonts w:ascii="Arial" w:hAnsi="Arial" w:cs="Arial"/>
          <w:b/>
        </w:rPr>
      </w:pPr>
    </w:p>
    <w:p w:rsidR="00DF7DC3" w:rsidRPr="00CE6637" w:rsidRDefault="00DF7DC3">
      <w:pPr>
        <w:rPr>
          <w:rFonts w:ascii="Arial" w:hAnsi="Arial" w:cs="Arial"/>
          <w:b/>
        </w:rPr>
      </w:pPr>
    </w:p>
    <w:p w:rsidR="00DF7DC3" w:rsidRPr="00CE6637" w:rsidRDefault="00DF7DC3">
      <w:pPr>
        <w:rPr>
          <w:rFonts w:ascii="Arial" w:hAnsi="Arial" w:cs="Arial"/>
          <w:b/>
        </w:rPr>
      </w:pPr>
    </w:p>
    <w:p w:rsidR="007A206B" w:rsidRPr="00CE6637" w:rsidRDefault="007A206B">
      <w:pPr>
        <w:rPr>
          <w:rFonts w:ascii="Arial" w:hAnsi="Arial" w:cs="Arial"/>
          <w:b/>
        </w:rPr>
      </w:pPr>
    </w:p>
    <w:p w:rsidR="004E4EC7" w:rsidRDefault="004E4EC7" w:rsidP="00905409">
      <w:pPr>
        <w:pStyle w:val="Title"/>
        <w:rPr>
          <w:rFonts w:ascii="Arial" w:hAnsi="Arial" w:cs="Arial"/>
          <w:sz w:val="36"/>
          <w:szCs w:val="36"/>
          <w:u w:val="none"/>
        </w:rPr>
      </w:pPr>
    </w:p>
    <w:p w:rsidR="001032C8" w:rsidRPr="00D915F2" w:rsidRDefault="00E56A7B" w:rsidP="00905409">
      <w:pPr>
        <w:pStyle w:val="Title"/>
        <w:rPr>
          <w:rFonts w:ascii="Arial" w:hAnsi="Arial" w:cs="Arial"/>
          <w:sz w:val="36"/>
          <w:szCs w:val="36"/>
          <w:u w:val="none"/>
        </w:rPr>
      </w:pPr>
      <w:r w:rsidRPr="00D915F2">
        <w:rPr>
          <w:rFonts w:ascii="Arial" w:hAnsi="Arial" w:cs="Arial"/>
          <w:sz w:val="36"/>
          <w:szCs w:val="36"/>
          <w:u w:val="none"/>
        </w:rPr>
        <w:t>PPL ELECTRIC UTILITIES CORPORATION</w:t>
      </w:r>
    </w:p>
    <w:p w:rsidR="001032C8" w:rsidRPr="00905409" w:rsidRDefault="001032C8" w:rsidP="00905409">
      <w:pPr>
        <w:jc w:val="center"/>
        <w:rPr>
          <w:rFonts w:ascii="Arial" w:hAnsi="Arial" w:cs="Arial"/>
          <w:b/>
          <w:sz w:val="36"/>
          <w:szCs w:val="36"/>
        </w:rPr>
      </w:pPr>
    </w:p>
    <w:p w:rsidR="001032C8" w:rsidRPr="00905409" w:rsidRDefault="001032C8" w:rsidP="00905409">
      <w:pPr>
        <w:jc w:val="center"/>
        <w:rPr>
          <w:rFonts w:ascii="Arial" w:hAnsi="Arial" w:cs="Arial"/>
          <w:b/>
          <w:sz w:val="36"/>
          <w:szCs w:val="36"/>
        </w:rPr>
      </w:pPr>
    </w:p>
    <w:p w:rsidR="005D711E" w:rsidRPr="00905409" w:rsidRDefault="005D711E" w:rsidP="00905409">
      <w:pPr>
        <w:pStyle w:val="BodyText2"/>
        <w:rPr>
          <w:rFonts w:ascii="Arial" w:hAnsi="Arial" w:cs="Arial"/>
          <w:szCs w:val="36"/>
        </w:rPr>
      </w:pPr>
    </w:p>
    <w:p w:rsidR="007A206B" w:rsidRPr="00905409" w:rsidRDefault="007A206B" w:rsidP="00905409">
      <w:pPr>
        <w:pStyle w:val="BodyText2"/>
        <w:tabs>
          <w:tab w:val="clear" w:pos="4680"/>
        </w:tabs>
        <w:rPr>
          <w:rFonts w:ascii="Arial" w:hAnsi="Arial" w:cs="Arial"/>
          <w:szCs w:val="36"/>
        </w:rPr>
      </w:pPr>
    </w:p>
    <w:p w:rsidR="007A206B" w:rsidRPr="00905409" w:rsidRDefault="007A206B" w:rsidP="00905409">
      <w:pPr>
        <w:pStyle w:val="BodyText2"/>
        <w:tabs>
          <w:tab w:val="clear" w:pos="4680"/>
        </w:tabs>
        <w:rPr>
          <w:rFonts w:ascii="Arial" w:hAnsi="Arial" w:cs="Arial"/>
          <w:szCs w:val="36"/>
        </w:rPr>
      </w:pPr>
    </w:p>
    <w:p w:rsidR="007A206B" w:rsidRPr="00905409" w:rsidRDefault="007A206B" w:rsidP="00905409">
      <w:pPr>
        <w:pStyle w:val="BodyText2"/>
        <w:tabs>
          <w:tab w:val="clear" w:pos="4680"/>
        </w:tabs>
        <w:rPr>
          <w:rFonts w:ascii="Arial" w:hAnsi="Arial" w:cs="Arial"/>
          <w:szCs w:val="36"/>
        </w:rPr>
      </w:pPr>
    </w:p>
    <w:p w:rsidR="007A206B" w:rsidRPr="00905409" w:rsidRDefault="007A206B" w:rsidP="00905409">
      <w:pPr>
        <w:pStyle w:val="BodyText2"/>
        <w:tabs>
          <w:tab w:val="clear" w:pos="4680"/>
        </w:tabs>
        <w:rPr>
          <w:rFonts w:ascii="Arial" w:hAnsi="Arial" w:cs="Arial"/>
          <w:szCs w:val="36"/>
        </w:rPr>
      </w:pPr>
    </w:p>
    <w:p w:rsidR="004B4861" w:rsidRPr="00905409" w:rsidRDefault="004B4861" w:rsidP="00905409">
      <w:pPr>
        <w:pStyle w:val="BodyText2"/>
        <w:tabs>
          <w:tab w:val="clear" w:pos="4680"/>
        </w:tabs>
        <w:rPr>
          <w:rFonts w:ascii="Arial" w:hAnsi="Arial" w:cs="Arial"/>
          <w:szCs w:val="36"/>
        </w:rPr>
      </w:pPr>
    </w:p>
    <w:p w:rsidR="00F4717D" w:rsidRPr="00D915F2" w:rsidRDefault="00554B9B" w:rsidP="00905409">
      <w:pPr>
        <w:suppressAutoHyphens/>
        <w:jc w:val="center"/>
        <w:rPr>
          <w:rFonts w:ascii="Arial" w:hAnsi="Arial" w:cs="Arial"/>
          <w:b/>
          <w:sz w:val="28"/>
          <w:szCs w:val="28"/>
        </w:rPr>
      </w:pPr>
      <w:r w:rsidRPr="00D915F2">
        <w:rPr>
          <w:rFonts w:ascii="Arial" w:hAnsi="Arial" w:cs="Arial"/>
          <w:b/>
          <w:sz w:val="28"/>
          <w:szCs w:val="28"/>
        </w:rPr>
        <w:t xml:space="preserve">A REPORT ON THE </w:t>
      </w:r>
    </w:p>
    <w:p w:rsidR="00216F99" w:rsidRPr="00D915F2" w:rsidRDefault="00216F99" w:rsidP="00905409">
      <w:pPr>
        <w:suppressAutoHyphens/>
        <w:jc w:val="center"/>
        <w:rPr>
          <w:rFonts w:ascii="Arial" w:hAnsi="Arial" w:cs="Arial"/>
          <w:b/>
          <w:sz w:val="28"/>
          <w:szCs w:val="28"/>
        </w:rPr>
      </w:pPr>
    </w:p>
    <w:p w:rsidR="00D061D1" w:rsidRDefault="00D061D1" w:rsidP="00905409">
      <w:pPr>
        <w:suppressAutoHyphens/>
        <w:jc w:val="center"/>
        <w:rPr>
          <w:rFonts w:ascii="Arial" w:hAnsi="Arial" w:cs="Arial"/>
          <w:b/>
          <w:sz w:val="28"/>
          <w:szCs w:val="28"/>
        </w:rPr>
      </w:pPr>
      <w:r>
        <w:rPr>
          <w:rFonts w:ascii="Arial" w:hAnsi="Arial" w:cs="Arial"/>
          <w:b/>
          <w:sz w:val="28"/>
          <w:szCs w:val="28"/>
        </w:rPr>
        <w:t xml:space="preserve">STATEMENT OF </w:t>
      </w:r>
      <w:r w:rsidR="00E56A7B" w:rsidRPr="00D915F2">
        <w:rPr>
          <w:rFonts w:ascii="Arial" w:hAnsi="Arial" w:cs="Arial"/>
          <w:b/>
          <w:sz w:val="28"/>
          <w:szCs w:val="28"/>
        </w:rPr>
        <w:t xml:space="preserve">GENERATION </w:t>
      </w:r>
      <w:r w:rsidR="00991813" w:rsidRPr="00D915F2">
        <w:rPr>
          <w:rFonts w:ascii="Arial" w:hAnsi="Arial" w:cs="Arial"/>
          <w:b/>
          <w:sz w:val="28"/>
          <w:szCs w:val="28"/>
        </w:rPr>
        <w:t>SUPPLY</w:t>
      </w:r>
      <w:r w:rsidR="00E56A7B" w:rsidRPr="00D915F2">
        <w:rPr>
          <w:rFonts w:ascii="Arial" w:hAnsi="Arial" w:cs="Arial"/>
          <w:b/>
          <w:sz w:val="28"/>
          <w:szCs w:val="28"/>
        </w:rPr>
        <w:t xml:space="preserve"> CHARGE</w:t>
      </w:r>
      <w:r w:rsidR="002968A3" w:rsidRPr="00D915F2">
        <w:rPr>
          <w:rFonts w:ascii="Arial" w:hAnsi="Arial" w:cs="Arial"/>
          <w:b/>
          <w:sz w:val="28"/>
          <w:szCs w:val="28"/>
        </w:rPr>
        <w:t>-1</w:t>
      </w:r>
    </w:p>
    <w:p w:rsidR="00D061D1" w:rsidRDefault="00D061D1" w:rsidP="00905409">
      <w:pPr>
        <w:suppressAutoHyphens/>
        <w:jc w:val="center"/>
        <w:rPr>
          <w:rFonts w:ascii="Arial" w:hAnsi="Arial" w:cs="Arial"/>
          <w:b/>
          <w:sz w:val="28"/>
          <w:szCs w:val="28"/>
        </w:rPr>
      </w:pPr>
    </w:p>
    <w:p w:rsidR="00216F99" w:rsidRPr="00D915F2" w:rsidRDefault="00D061D1" w:rsidP="00905409">
      <w:pPr>
        <w:suppressAutoHyphens/>
        <w:jc w:val="center"/>
        <w:rPr>
          <w:rFonts w:ascii="Arial" w:hAnsi="Arial" w:cs="Arial"/>
          <w:b/>
          <w:sz w:val="28"/>
          <w:szCs w:val="28"/>
        </w:rPr>
      </w:pPr>
      <w:r>
        <w:rPr>
          <w:rFonts w:ascii="Arial" w:hAnsi="Arial" w:cs="Arial"/>
          <w:b/>
          <w:sz w:val="28"/>
          <w:szCs w:val="28"/>
        </w:rPr>
        <w:t xml:space="preserve"> OVER</w:t>
      </w:r>
      <w:proofErr w:type="gramStart"/>
      <w:r>
        <w:rPr>
          <w:rFonts w:ascii="Arial" w:hAnsi="Arial" w:cs="Arial"/>
          <w:b/>
          <w:sz w:val="28"/>
          <w:szCs w:val="28"/>
        </w:rPr>
        <w:t>/(</w:t>
      </w:r>
      <w:proofErr w:type="gramEnd"/>
      <w:r>
        <w:rPr>
          <w:rFonts w:ascii="Arial" w:hAnsi="Arial" w:cs="Arial"/>
          <w:b/>
          <w:sz w:val="28"/>
          <w:szCs w:val="28"/>
        </w:rPr>
        <w:t>UNDER) COLLECTIONS</w:t>
      </w:r>
      <w:r w:rsidR="006831C8" w:rsidRPr="00D915F2">
        <w:rPr>
          <w:rFonts w:ascii="Arial" w:hAnsi="Arial" w:cs="Arial"/>
          <w:b/>
          <w:sz w:val="28"/>
          <w:szCs w:val="28"/>
        </w:rPr>
        <w:t xml:space="preserve"> </w:t>
      </w:r>
    </w:p>
    <w:p w:rsidR="00061843" w:rsidRPr="00D915F2" w:rsidRDefault="00554B9B" w:rsidP="00905409">
      <w:pPr>
        <w:suppressAutoHyphens/>
        <w:jc w:val="center"/>
        <w:rPr>
          <w:rFonts w:ascii="Arial" w:hAnsi="Arial" w:cs="Arial"/>
          <w:sz w:val="28"/>
          <w:szCs w:val="28"/>
        </w:rPr>
      </w:pPr>
      <w:r w:rsidRPr="00D915F2">
        <w:rPr>
          <w:rFonts w:ascii="Arial" w:hAnsi="Arial" w:cs="Arial"/>
          <w:sz w:val="28"/>
          <w:szCs w:val="28"/>
        </w:rPr>
        <w:t xml:space="preserve"> </w:t>
      </w:r>
    </w:p>
    <w:p w:rsidR="001E14C1" w:rsidRPr="00D915F2" w:rsidRDefault="00554B9B" w:rsidP="002968A3">
      <w:pPr>
        <w:suppressAutoHyphens/>
        <w:jc w:val="center"/>
        <w:rPr>
          <w:rFonts w:ascii="Arial" w:hAnsi="Arial" w:cs="Arial"/>
          <w:sz w:val="28"/>
          <w:szCs w:val="28"/>
        </w:rPr>
      </w:pPr>
      <w:r w:rsidRPr="00D915F2">
        <w:rPr>
          <w:rFonts w:ascii="Arial" w:hAnsi="Arial" w:cs="Arial"/>
          <w:b/>
          <w:sz w:val="28"/>
          <w:szCs w:val="28"/>
        </w:rPr>
        <w:t xml:space="preserve">FOR THE </w:t>
      </w:r>
      <w:r w:rsidR="002968A3" w:rsidRPr="00D915F2">
        <w:rPr>
          <w:rFonts w:ascii="Arial" w:hAnsi="Arial" w:cs="Arial"/>
          <w:b/>
          <w:sz w:val="28"/>
          <w:szCs w:val="28"/>
        </w:rPr>
        <w:t>TW</w:t>
      </w:r>
      <w:r w:rsidR="00D061D1">
        <w:rPr>
          <w:rFonts w:ascii="Arial" w:hAnsi="Arial" w:cs="Arial"/>
          <w:b/>
          <w:sz w:val="28"/>
          <w:szCs w:val="28"/>
        </w:rPr>
        <w:t>ELVE MONTHS ENDED APRIL 30, 2013</w:t>
      </w:r>
      <w:r w:rsidR="00991813" w:rsidRPr="00D915F2">
        <w:rPr>
          <w:rFonts w:ascii="Arial" w:hAnsi="Arial" w:cs="Arial"/>
          <w:b/>
          <w:sz w:val="28"/>
          <w:szCs w:val="28"/>
        </w:rPr>
        <w:t xml:space="preserve"> </w:t>
      </w:r>
    </w:p>
    <w:p w:rsidR="005D711E" w:rsidRPr="00905409" w:rsidRDefault="005D711E" w:rsidP="00905409">
      <w:pPr>
        <w:tabs>
          <w:tab w:val="left" w:pos="-720"/>
        </w:tabs>
        <w:suppressAutoHyphens/>
        <w:jc w:val="center"/>
        <w:rPr>
          <w:rFonts w:ascii="Arial" w:hAnsi="Arial" w:cs="Arial"/>
          <w:b/>
          <w:sz w:val="36"/>
          <w:szCs w:val="36"/>
        </w:rPr>
      </w:pPr>
    </w:p>
    <w:p w:rsidR="005D711E" w:rsidRDefault="005D711E" w:rsidP="00905409">
      <w:pPr>
        <w:tabs>
          <w:tab w:val="center" w:pos="4680"/>
        </w:tabs>
        <w:suppressAutoHyphens/>
        <w:jc w:val="center"/>
        <w:rPr>
          <w:rFonts w:ascii="Arial" w:hAnsi="Arial" w:cs="Arial"/>
          <w:b/>
          <w:sz w:val="36"/>
          <w:szCs w:val="36"/>
        </w:rPr>
      </w:pPr>
    </w:p>
    <w:p w:rsidR="00DE1518" w:rsidRDefault="00DE1518" w:rsidP="00905409">
      <w:pPr>
        <w:tabs>
          <w:tab w:val="center" w:pos="4680"/>
        </w:tabs>
        <w:suppressAutoHyphens/>
        <w:jc w:val="center"/>
        <w:rPr>
          <w:rFonts w:ascii="Arial" w:hAnsi="Arial" w:cs="Arial"/>
          <w:b/>
          <w:sz w:val="36"/>
          <w:szCs w:val="36"/>
        </w:rPr>
      </w:pPr>
    </w:p>
    <w:p w:rsidR="00DE1518" w:rsidRDefault="00DE1518" w:rsidP="00905409">
      <w:pPr>
        <w:tabs>
          <w:tab w:val="center" w:pos="4680"/>
        </w:tabs>
        <w:suppressAutoHyphens/>
        <w:jc w:val="center"/>
        <w:rPr>
          <w:rFonts w:ascii="Arial" w:hAnsi="Arial" w:cs="Arial"/>
          <w:b/>
          <w:sz w:val="36"/>
          <w:szCs w:val="36"/>
        </w:rPr>
      </w:pPr>
    </w:p>
    <w:p w:rsidR="00876EB0" w:rsidRDefault="00876EB0" w:rsidP="00905409">
      <w:pPr>
        <w:tabs>
          <w:tab w:val="center" w:pos="4680"/>
        </w:tabs>
        <w:suppressAutoHyphens/>
        <w:jc w:val="center"/>
        <w:rPr>
          <w:rFonts w:ascii="Arial" w:hAnsi="Arial" w:cs="Arial"/>
          <w:b/>
          <w:sz w:val="36"/>
          <w:szCs w:val="36"/>
        </w:rPr>
      </w:pPr>
    </w:p>
    <w:p w:rsidR="00876EB0" w:rsidRDefault="00876EB0" w:rsidP="00905409">
      <w:pPr>
        <w:tabs>
          <w:tab w:val="center" w:pos="4680"/>
        </w:tabs>
        <w:suppressAutoHyphens/>
        <w:jc w:val="center"/>
        <w:rPr>
          <w:rFonts w:ascii="Arial" w:hAnsi="Arial" w:cs="Arial"/>
          <w:b/>
          <w:sz w:val="36"/>
          <w:szCs w:val="36"/>
        </w:rPr>
      </w:pPr>
    </w:p>
    <w:p w:rsidR="00876EB0" w:rsidRDefault="00876EB0" w:rsidP="00905409">
      <w:pPr>
        <w:tabs>
          <w:tab w:val="center" w:pos="4680"/>
        </w:tabs>
        <w:suppressAutoHyphens/>
        <w:jc w:val="center"/>
        <w:rPr>
          <w:rFonts w:ascii="Arial" w:hAnsi="Arial" w:cs="Arial"/>
          <w:b/>
          <w:sz w:val="36"/>
          <w:szCs w:val="36"/>
        </w:rPr>
      </w:pPr>
    </w:p>
    <w:p w:rsidR="00876EB0" w:rsidRDefault="00876EB0" w:rsidP="00905409">
      <w:pPr>
        <w:tabs>
          <w:tab w:val="center" w:pos="4680"/>
        </w:tabs>
        <w:suppressAutoHyphens/>
        <w:jc w:val="center"/>
        <w:rPr>
          <w:rFonts w:ascii="Arial" w:hAnsi="Arial" w:cs="Arial"/>
          <w:b/>
          <w:sz w:val="36"/>
          <w:szCs w:val="36"/>
        </w:rPr>
      </w:pPr>
    </w:p>
    <w:p w:rsidR="009F6861" w:rsidRPr="00905409" w:rsidRDefault="005D711E" w:rsidP="00905409">
      <w:pPr>
        <w:tabs>
          <w:tab w:val="center" w:pos="4680"/>
        </w:tabs>
        <w:suppressAutoHyphens/>
        <w:jc w:val="center"/>
        <w:outlineLvl w:val="0"/>
        <w:rPr>
          <w:rFonts w:ascii="Arial" w:hAnsi="Arial" w:cs="Arial"/>
          <w:b/>
          <w:sz w:val="28"/>
          <w:szCs w:val="36"/>
        </w:rPr>
      </w:pPr>
      <w:r w:rsidRPr="00905409">
        <w:rPr>
          <w:rFonts w:ascii="Arial" w:hAnsi="Arial" w:cs="Arial"/>
          <w:b/>
          <w:sz w:val="28"/>
          <w:szCs w:val="36"/>
        </w:rPr>
        <w:t xml:space="preserve">Prepared </w:t>
      </w:r>
      <w:r w:rsidR="00C06521" w:rsidRPr="00905409">
        <w:rPr>
          <w:rFonts w:ascii="Arial" w:hAnsi="Arial" w:cs="Arial"/>
          <w:b/>
          <w:sz w:val="28"/>
          <w:szCs w:val="36"/>
        </w:rPr>
        <w:t xml:space="preserve">By </w:t>
      </w:r>
      <w:r w:rsidRPr="00905409">
        <w:rPr>
          <w:rFonts w:ascii="Arial" w:hAnsi="Arial" w:cs="Arial"/>
          <w:b/>
          <w:sz w:val="28"/>
          <w:szCs w:val="36"/>
        </w:rPr>
        <w:t>The</w:t>
      </w:r>
    </w:p>
    <w:p w:rsidR="005D711E" w:rsidRPr="00905409" w:rsidRDefault="005D711E" w:rsidP="00905409">
      <w:pPr>
        <w:tabs>
          <w:tab w:val="center" w:pos="4680"/>
        </w:tabs>
        <w:suppressAutoHyphens/>
        <w:jc w:val="center"/>
        <w:outlineLvl w:val="0"/>
        <w:rPr>
          <w:rFonts w:ascii="Arial" w:hAnsi="Arial" w:cs="Arial"/>
          <w:b/>
          <w:sz w:val="28"/>
          <w:szCs w:val="36"/>
        </w:rPr>
      </w:pPr>
      <w:r w:rsidRPr="00905409">
        <w:rPr>
          <w:rFonts w:ascii="Arial" w:hAnsi="Arial" w:cs="Arial"/>
          <w:b/>
          <w:sz w:val="28"/>
          <w:szCs w:val="36"/>
        </w:rPr>
        <w:t>Pennsylvania Public Utility Commission</w:t>
      </w:r>
    </w:p>
    <w:p w:rsidR="005D711E" w:rsidRPr="00905409" w:rsidRDefault="00C06521" w:rsidP="00905409">
      <w:pPr>
        <w:tabs>
          <w:tab w:val="center" w:pos="4680"/>
        </w:tabs>
        <w:suppressAutoHyphens/>
        <w:rPr>
          <w:rFonts w:ascii="Arial" w:hAnsi="Arial" w:cs="Arial"/>
          <w:b/>
          <w:sz w:val="28"/>
          <w:szCs w:val="36"/>
        </w:rPr>
      </w:pPr>
      <w:r w:rsidRPr="00905409">
        <w:rPr>
          <w:rFonts w:ascii="Arial" w:hAnsi="Arial" w:cs="Arial"/>
          <w:b/>
          <w:sz w:val="28"/>
          <w:szCs w:val="36"/>
        </w:rPr>
        <w:tab/>
      </w:r>
      <w:r w:rsidR="005D711E" w:rsidRPr="00905409">
        <w:rPr>
          <w:rFonts w:ascii="Arial" w:hAnsi="Arial" w:cs="Arial"/>
          <w:b/>
          <w:sz w:val="28"/>
          <w:szCs w:val="36"/>
        </w:rPr>
        <w:t xml:space="preserve">Bureau </w:t>
      </w:r>
      <w:r w:rsidR="00B00C27">
        <w:rPr>
          <w:rFonts w:ascii="Arial" w:hAnsi="Arial" w:cs="Arial"/>
          <w:b/>
          <w:sz w:val="28"/>
          <w:szCs w:val="36"/>
        </w:rPr>
        <w:t>o</w:t>
      </w:r>
      <w:r w:rsidR="005D711E" w:rsidRPr="00905409">
        <w:rPr>
          <w:rFonts w:ascii="Arial" w:hAnsi="Arial" w:cs="Arial"/>
          <w:b/>
          <w:sz w:val="28"/>
          <w:szCs w:val="36"/>
        </w:rPr>
        <w:t>f Audits</w:t>
      </w:r>
    </w:p>
    <w:p w:rsidR="009F6861" w:rsidRDefault="00C06521" w:rsidP="00905409">
      <w:pPr>
        <w:tabs>
          <w:tab w:val="center" w:pos="4680"/>
        </w:tabs>
        <w:suppressAutoHyphens/>
        <w:rPr>
          <w:rFonts w:ascii="Arial" w:hAnsi="Arial" w:cs="Arial"/>
          <w:b/>
          <w:sz w:val="28"/>
          <w:szCs w:val="36"/>
        </w:rPr>
      </w:pPr>
      <w:r w:rsidRPr="00905409">
        <w:rPr>
          <w:rFonts w:ascii="Arial" w:hAnsi="Arial" w:cs="Arial"/>
          <w:b/>
          <w:sz w:val="28"/>
          <w:szCs w:val="36"/>
        </w:rPr>
        <w:tab/>
      </w:r>
      <w:r w:rsidR="00D915F2">
        <w:rPr>
          <w:rFonts w:ascii="Arial" w:hAnsi="Arial" w:cs="Arial"/>
          <w:b/>
          <w:sz w:val="28"/>
          <w:szCs w:val="28"/>
        </w:rPr>
        <w:t>Report Date:</w:t>
      </w:r>
      <w:r w:rsidR="002E0BF1">
        <w:rPr>
          <w:rFonts w:ascii="Arial" w:hAnsi="Arial" w:cs="Arial"/>
          <w:b/>
          <w:sz w:val="28"/>
          <w:szCs w:val="28"/>
        </w:rPr>
        <w:t xml:space="preserve">  December 19</w:t>
      </w:r>
      <w:r w:rsidR="008112FB">
        <w:rPr>
          <w:rFonts w:ascii="Arial" w:hAnsi="Arial" w:cs="Arial"/>
          <w:b/>
          <w:sz w:val="28"/>
          <w:szCs w:val="28"/>
        </w:rPr>
        <w:t>, 2014</w:t>
      </w:r>
      <w:r w:rsidR="00D915F2">
        <w:rPr>
          <w:rFonts w:ascii="Arial" w:hAnsi="Arial" w:cs="Arial"/>
          <w:b/>
          <w:sz w:val="28"/>
          <w:szCs w:val="28"/>
        </w:rPr>
        <w:t xml:space="preserve">  </w:t>
      </w:r>
      <w:r w:rsidR="006E2CE6" w:rsidRPr="00905409">
        <w:rPr>
          <w:rFonts w:ascii="Arial" w:hAnsi="Arial" w:cs="Arial"/>
          <w:b/>
          <w:sz w:val="28"/>
          <w:szCs w:val="36"/>
        </w:rPr>
        <w:t xml:space="preserve"> </w:t>
      </w:r>
    </w:p>
    <w:p w:rsidR="00876EB0" w:rsidRDefault="00876EB0" w:rsidP="00905409">
      <w:pPr>
        <w:tabs>
          <w:tab w:val="center" w:pos="4680"/>
        </w:tabs>
        <w:suppressAutoHyphens/>
        <w:rPr>
          <w:rFonts w:ascii="Arial" w:hAnsi="Arial" w:cs="Arial"/>
          <w:b/>
          <w:sz w:val="28"/>
          <w:szCs w:val="36"/>
        </w:rPr>
      </w:pPr>
    </w:p>
    <w:p w:rsidR="00876EB0" w:rsidRDefault="00C06521" w:rsidP="00905409">
      <w:pPr>
        <w:tabs>
          <w:tab w:val="center" w:pos="4680"/>
        </w:tabs>
        <w:suppressAutoHyphens/>
        <w:rPr>
          <w:rFonts w:ascii="Arial" w:hAnsi="Arial" w:cs="Arial"/>
          <w:b/>
          <w:sz w:val="28"/>
          <w:szCs w:val="36"/>
        </w:rPr>
      </w:pPr>
      <w:r w:rsidRPr="00905409">
        <w:rPr>
          <w:rFonts w:ascii="Arial" w:hAnsi="Arial" w:cs="Arial"/>
          <w:b/>
          <w:sz w:val="28"/>
          <w:szCs w:val="36"/>
        </w:rPr>
        <w:tab/>
      </w:r>
    </w:p>
    <w:p w:rsidR="00DF7DC3" w:rsidRPr="00905409" w:rsidRDefault="00C06521" w:rsidP="00876EB0">
      <w:pPr>
        <w:tabs>
          <w:tab w:val="center" w:pos="4680"/>
        </w:tabs>
        <w:suppressAutoHyphens/>
        <w:jc w:val="center"/>
        <w:rPr>
          <w:rFonts w:ascii="Arial" w:hAnsi="Arial" w:cs="Arial"/>
          <w:b/>
          <w:sz w:val="36"/>
          <w:szCs w:val="36"/>
        </w:rPr>
      </w:pPr>
      <w:r w:rsidRPr="00905409">
        <w:rPr>
          <w:rFonts w:ascii="Arial" w:hAnsi="Arial" w:cs="Arial"/>
          <w:b/>
          <w:sz w:val="28"/>
          <w:szCs w:val="36"/>
        </w:rPr>
        <w:t>Docket D-</w:t>
      </w:r>
      <w:r w:rsidR="00E56A7B">
        <w:rPr>
          <w:rFonts w:ascii="Arial" w:hAnsi="Arial" w:cs="Arial"/>
          <w:b/>
          <w:sz w:val="28"/>
          <w:szCs w:val="36"/>
        </w:rPr>
        <w:t>201</w:t>
      </w:r>
      <w:r w:rsidR="00D061D1">
        <w:rPr>
          <w:rFonts w:ascii="Arial" w:hAnsi="Arial" w:cs="Arial"/>
          <w:b/>
          <w:sz w:val="28"/>
          <w:szCs w:val="36"/>
        </w:rPr>
        <w:t>3</w:t>
      </w:r>
      <w:r w:rsidR="00E56A7B">
        <w:rPr>
          <w:rFonts w:ascii="Arial" w:hAnsi="Arial" w:cs="Arial"/>
          <w:b/>
          <w:sz w:val="28"/>
          <w:szCs w:val="36"/>
        </w:rPr>
        <w:t>-</w:t>
      </w:r>
      <w:r w:rsidR="002968A3">
        <w:rPr>
          <w:rFonts w:ascii="Arial" w:hAnsi="Arial" w:cs="Arial"/>
          <w:b/>
          <w:sz w:val="28"/>
          <w:szCs w:val="36"/>
        </w:rPr>
        <w:t>23</w:t>
      </w:r>
      <w:r w:rsidR="00D061D1">
        <w:rPr>
          <w:rFonts w:ascii="Arial" w:hAnsi="Arial" w:cs="Arial"/>
          <w:b/>
          <w:sz w:val="28"/>
          <w:szCs w:val="36"/>
        </w:rPr>
        <w:t>98262</w:t>
      </w:r>
    </w:p>
    <w:p w:rsidR="00DF7DC3" w:rsidRPr="00905409" w:rsidRDefault="00DF7DC3" w:rsidP="00905409">
      <w:pPr>
        <w:tabs>
          <w:tab w:val="center" w:pos="4680"/>
        </w:tabs>
        <w:suppressAutoHyphens/>
        <w:rPr>
          <w:rFonts w:ascii="Arial" w:hAnsi="Arial" w:cs="Arial"/>
          <w:b/>
          <w:sz w:val="36"/>
          <w:szCs w:val="36"/>
        </w:rPr>
        <w:sectPr w:rsidR="00DF7DC3" w:rsidRPr="00905409" w:rsidSect="00876EB0">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008" w:left="1440" w:header="0" w:footer="720" w:gutter="0"/>
          <w:pgNumType w:start="1"/>
          <w:cols w:space="720"/>
          <w:noEndnote/>
          <w:docGrid w:linePitch="326"/>
        </w:sectPr>
      </w:pPr>
    </w:p>
    <w:p w:rsidR="005D711E" w:rsidRPr="008835D7" w:rsidRDefault="00E56A7B" w:rsidP="00905409">
      <w:pPr>
        <w:pStyle w:val="Heading1"/>
        <w:tabs>
          <w:tab w:val="left" w:pos="180"/>
          <w:tab w:val="left" w:pos="270"/>
        </w:tabs>
        <w:rPr>
          <w:rFonts w:ascii="Arial" w:hAnsi="Arial" w:cs="Arial"/>
          <w:sz w:val="26"/>
          <w:szCs w:val="26"/>
          <w:u w:val="none"/>
        </w:rPr>
      </w:pPr>
      <w:r w:rsidRPr="008835D7">
        <w:rPr>
          <w:rFonts w:ascii="Arial" w:hAnsi="Arial" w:cs="Arial"/>
          <w:sz w:val="26"/>
          <w:szCs w:val="26"/>
          <w:u w:val="none"/>
        </w:rPr>
        <w:lastRenderedPageBreak/>
        <w:t>PPL ELECTRIC UTILITIES CORPORATION</w:t>
      </w:r>
    </w:p>
    <w:p w:rsidR="005D711E" w:rsidRPr="008835D7" w:rsidRDefault="005D711E" w:rsidP="00905409">
      <w:pPr>
        <w:tabs>
          <w:tab w:val="left" w:pos="180"/>
          <w:tab w:val="left" w:pos="270"/>
        </w:tabs>
        <w:suppressAutoHyphens/>
        <w:rPr>
          <w:rFonts w:ascii="Arial" w:hAnsi="Arial" w:cs="Arial"/>
          <w:sz w:val="26"/>
          <w:szCs w:val="26"/>
        </w:rPr>
      </w:pPr>
    </w:p>
    <w:p w:rsidR="005D711E" w:rsidRPr="008835D7" w:rsidRDefault="00150043" w:rsidP="00905409">
      <w:pPr>
        <w:jc w:val="center"/>
        <w:rPr>
          <w:rFonts w:ascii="Arial" w:hAnsi="Arial" w:cs="Arial"/>
          <w:b/>
          <w:sz w:val="26"/>
          <w:szCs w:val="26"/>
        </w:rPr>
      </w:pPr>
      <w:r>
        <w:rPr>
          <w:rFonts w:ascii="Arial" w:hAnsi="Arial" w:cs="Arial"/>
          <w:b/>
          <w:sz w:val="26"/>
          <w:szCs w:val="26"/>
        </w:rPr>
        <w:t xml:space="preserve">Table of </w:t>
      </w:r>
      <w:r w:rsidR="005D711E" w:rsidRPr="008835D7">
        <w:rPr>
          <w:rFonts w:ascii="Arial" w:hAnsi="Arial" w:cs="Arial"/>
          <w:b/>
          <w:sz w:val="26"/>
          <w:szCs w:val="26"/>
        </w:rPr>
        <w:t>Contents</w:t>
      </w:r>
    </w:p>
    <w:p w:rsidR="00101D15" w:rsidRPr="00905409" w:rsidRDefault="00101D15" w:rsidP="00905409">
      <w:pPr>
        <w:tabs>
          <w:tab w:val="left" w:pos="-720"/>
          <w:tab w:val="left" w:pos="180"/>
          <w:tab w:val="left" w:pos="270"/>
        </w:tabs>
        <w:suppressAutoHyphens/>
        <w:ind w:right="-90"/>
        <w:rPr>
          <w:rFonts w:ascii="Arial" w:hAnsi="Arial" w:cs="Arial"/>
          <w:b/>
          <w:szCs w:val="24"/>
          <w:u w:val="single"/>
        </w:rPr>
      </w:pPr>
    </w:p>
    <w:tbl>
      <w:tblPr>
        <w:tblW w:w="0" w:type="auto"/>
        <w:tblLayout w:type="fixed"/>
        <w:tblLook w:val="0000" w:firstRow="0" w:lastRow="0" w:firstColumn="0" w:lastColumn="0" w:noHBand="0" w:noVBand="0"/>
      </w:tblPr>
      <w:tblGrid>
        <w:gridCol w:w="8478"/>
        <w:gridCol w:w="1098"/>
      </w:tblGrid>
      <w:tr w:rsidR="005D711E" w:rsidRPr="00905409" w:rsidTr="001657F8">
        <w:tc>
          <w:tcPr>
            <w:tcW w:w="8478" w:type="dxa"/>
            <w:tcBorders>
              <w:top w:val="nil"/>
              <w:left w:val="nil"/>
              <w:bottom w:val="nil"/>
              <w:right w:val="nil"/>
            </w:tcBorders>
          </w:tcPr>
          <w:p w:rsidR="005D711E" w:rsidRPr="00905409" w:rsidRDefault="005D711E" w:rsidP="00905409">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5D711E" w:rsidRPr="00905409" w:rsidRDefault="005D711E" w:rsidP="00905409">
            <w:pPr>
              <w:pStyle w:val="EndnoteText"/>
              <w:tabs>
                <w:tab w:val="left" w:pos="-720"/>
                <w:tab w:val="left" w:pos="180"/>
                <w:tab w:val="left" w:pos="270"/>
              </w:tabs>
              <w:suppressAutoHyphens/>
              <w:jc w:val="center"/>
              <w:rPr>
                <w:rFonts w:ascii="Arial" w:hAnsi="Arial" w:cs="Arial"/>
                <w:b/>
                <w:szCs w:val="24"/>
                <w:u w:val="single"/>
              </w:rPr>
            </w:pPr>
            <w:r w:rsidRPr="00905409">
              <w:rPr>
                <w:rFonts w:ascii="Arial" w:hAnsi="Arial" w:cs="Arial"/>
                <w:b/>
                <w:szCs w:val="24"/>
                <w:u w:val="single"/>
              </w:rPr>
              <w:t>Page</w:t>
            </w:r>
          </w:p>
        </w:tc>
      </w:tr>
      <w:tr w:rsidR="00423EEA" w:rsidRPr="00905409" w:rsidTr="001657F8">
        <w:tc>
          <w:tcPr>
            <w:tcW w:w="8478" w:type="dxa"/>
            <w:tcBorders>
              <w:top w:val="nil"/>
              <w:left w:val="nil"/>
              <w:bottom w:val="nil"/>
              <w:right w:val="nil"/>
            </w:tcBorders>
          </w:tcPr>
          <w:p w:rsidR="00423EEA" w:rsidRPr="00905409" w:rsidRDefault="00423EEA" w:rsidP="00905409">
            <w:pPr>
              <w:tabs>
                <w:tab w:val="left" w:pos="-720"/>
                <w:tab w:val="left" w:pos="180"/>
                <w:tab w:val="left" w:pos="270"/>
              </w:tabs>
              <w:suppressAutoHyphens/>
              <w:rPr>
                <w:rFonts w:ascii="Arial" w:hAnsi="Arial" w:cs="Arial"/>
                <w:b/>
                <w:szCs w:val="24"/>
                <w:u w:val="single"/>
              </w:rPr>
            </w:pPr>
          </w:p>
        </w:tc>
        <w:tc>
          <w:tcPr>
            <w:tcW w:w="1098" w:type="dxa"/>
            <w:tcBorders>
              <w:top w:val="nil"/>
              <w:left w:val="nil"/>
              <w:bottom w:val="nil"/>
              <w:right w:val="nil"/>
            </w:tcBorders>
          </w:tcPr>
          <w:p w:rsidR="00423EEA" w:rsidRPr="00905409" w:rsidRDefault="00423EEA" w:rsidP="00905409">
            <w:pPr>
              <w:pStyle w:val="EndnoteText"/>
              <w:tabs>
                <w:tab w:val="right" w:pos="562"/>
              </w:tabs>
              <w:suppressAutoHyphens/>
              <w:rPr>
                <w:rFonts w:ascii="Arial" w:hAnsi="Arial" w:cs="Arial"/>
                <w:szCs w:val="24"/>
              </w:rPr>
            </w:pPr>
          </w:p>
        </w:tc>
      </w:tr>
      <w:tr w:rsidR="005D711E" w:rsidRPr="00905409" w:rsidTr="001657F8">
        <w:tc>
          <w:tcPr>
            <w:tcW w:w="8478" w:type="dxa"/>
            <w:tcBorders>
              <w:top w:val="nil"/>
              <w:left w:val="nil"/>
              <w:bottom w:val="nil"/>
              <w:right w:val="nil"/>
            </w:tcBorders>
          </w:tcPr>
          <w:p w:rsidR="005D711E" w:rsidRPr="006F568F" w:rsidRDefault="005D711E" w:rsidP="00905409">
            <w:pPr>
              <w:tabs>
                <w:tab w:val="left" w:pos="-720"/>
                <w:tab w:val="left" w:pos="180"/>
                <w:tab w:val="left" w:pos="270"/>
              </w:tabs>
              <w:suppressAutoHyphens/>
              <w:rPr>
                <w:rFonts w:ascii="Arial" w:hAnsi="Arial" w:cs="Arial"/>
                <w:b/>
                <w:szCs w:val="24"/>
              </w:rPr>
            </w:pPr>
            <w:r w:rsidRPr="006F568F">
              <w:rPr>
                <w:rFonts w:ascii="Arial" w:hAnsi="Arial" w:cs="Arial"/>
                <w:b/>
                <w:szCs w:val="24"/>
              </w:rPr>
              <w:t xml:space="preserve">FINANCIAL REVIEW </w:t>
            </w:r>
          </w:p>
        </w:tc>
        <w:tc>
          <w:tcPr>
            <w:tcW w:w="1098" w:type="dxa"/>
            <w:tcBorders>
              <w:top w:val="nil"/>
              <w:left w:val="nil"/>
              <w:bottom w:val="nil"/>
              <w:right w:val="nil"/>
            </w:tcBorders>
          </w:tcPr>
          <w:p w:rsidR="005D711E" w:rsidRPr="00905409" w:rsidRDefault="005D711E" w:rsidP="00905409">
            <w:pPr>
              <w:pStyle w:val="EndnoteText"/>
              <w:tabs>
                <w:tab w:val="right" w:pos="562"/>
              </w:tabs>
              <w:suppressAutoHyphens/>
              <w:rPr>
                <w:rFonts w:ascii="Arial" w:hAnsi="Arial" w:cs="Arial"/>
                <w:szCs w:val="24"/>
              </w:rPr>
            </w:pPr>
          </w:p>
        </w:tc>
      </w:tr>
      <w:tr w:rsidR="00101D15" w:rsidRPr="00905409" w:rsidTr="001657F8">
        <w:tc>
          <w:tcPr>
            <w:tcW w:w="8478" w:type="dxa"/>
            <w:tcBorders>
              <w:top w:val="nil"/>
              <w:left w:val="nil"/>
              <w:bottom w:val="nil"/>
              <w:right w:val="nil"/>
            </w:tcBorders>
          </w:tcPr>
          <w:p w:rsidR="00101D15" w:rsidRPr="00905409" w:rsidRDefault="00101D15" w:rsidP="00905409">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Borders>
              <w:top w:val="nil"/>
              <w:left w:val="nil"/>
              <w:bottom w:val="nil"/>
              <w:right w:val="nil"/>
            </w:tcBorders>
          </w:tcPr>
          <w:p w:rsidR="00101D15" w:rsidRPr="00905409" w:rsidRDefault="00101D15" w:rsidP="00905409">
            <w:pPr>
              <w:pStyle w:val="EndnoteText"/>
              <w:tabs>
                <w:tab w:val="right" w:pos="562"/>
              </w:tabs>
              <w:suppressAutoHyphens/>
              <w:rPr>
                <w:rFonts w:ascii="Arial" w:hAnsi="Arial" w:cs="Arial"/>
                <w:szCs w:val="24"/>
              </w:rPr>
            </w:pPr>
          </w:p>
        </w:tc>
      </w:tr>
      <w:tr w:rsidR="005D711E" w:rsidRPr="00905409" w:rsidTr="001657F8">
        <w:tc>
          <w:tcPr>
            <w:tcW w:w="8478" w:type="dxa"/>
            <w:tcBorders>
              <w:top w:val="nil"/>
              <w:left w:val="nil"/>
              <w:bottom w:val="nil"/>
              <w:right w:val="nil"/>
            </w:tcBorders>
          </w:tcPr>
          <w:p w:rsidR="005D711E" w:rsidRPr="00905409" w:rsidRDefault="005D711E" w:rsidP="00905409">
            <w:pPr>
              <w:pStyle w:val="EndnoteText"/>
              <w:tabs>
                <w:tab w:val="left" w:pos="-720"/>
                <w:tab w:val="left" w:pos="360"/>
                <w:tab w:val="left" w:pos="540"/>
                <w:tab w:val="left" w:pos="810"/>
                <w:tab w:val="left" w:pos="9180"/>
              </w:tabs>
              <w:suppressAutoHyphens/>
              <w:rPr>
                <w:rFonts w:ascii="Arial" w:hAnsi="Arial" w:cs="Arial"/>
                <w:szCs w:val="24"/>
              </w:rPr>
            </w:pPr>
            <w:r w:rsidRPr="00905409">
              <w:rPr>
                <w:rFonts w:ascii="Arial" w:hAnsi="Arial" w:cs="Arial"/>
                <w:szCs w:val="24"/>
              </w:rPr>
              <w:tab/>
            </w:r>
            <w:r w:rsidR="00C06521" w:rsidRPr="00905409">
              <w:rPr>
                <w:rFonts w:ascii="Arial" w:hAnsi="Arial" w:cs="Arial"/>
                <w:szCs w:val="24"/>
              </w:rPr>
              <w:t xml:space="preserve">Independent </w:t>
            </w:r>
            <w:r w:rsidRPr="00905409">
              <w:rPr>
                <w:rFonts w:ascii="Arial" w:hAnsi="Arial" w:cs="Arial"/>
                <w:szCs w:val="24"/>
              </w:rPr>
              <w:t>Auditor's Report</w:t>
            </w:r>
          </w:p>
        </w:tc>
        <w:tc>
          <w:tcPr>
            <w:tcW w:w="1098" w:type="dxa"/>
            <w:tcBorders>
              <w:top w:val="nil"/>
              <w:left w:val="nil"/>
              <w:bottom w:val="nil"/>
              <w:right w:val="nil"/>
            </w:tcBorders>
          </w:tcPr>
          <w:p w:rsidR="005D711E" w:rsidRPr="00905409" w:rsidRDefault="0067451B" w:rsidP="00905409">
            <w:pPr>
              <w:pStyle w:val="EndnoteText"/>
              <w:tabs>
                <w:tab w:val="right" w:pos="562"/>
              </w:tabs>
              <w:suppressAutoHyphens/>
              <w:jc w:val="center"/>
              <w:rPr>
                <w:rFonts w:ascii="Arial" w:hAnsi="Arial" w:cs="Arial"/>
                <w:szCs w:val="24"/>
              </w:rPr>
            </w:pPr>
            <w:r w:rsidRPr="00905409">
              <w:rPr>
                <w:rFonts w:ascii="Arial" w:hAnsi="Arial" w:cs="Arial"/>
                <w:szCs w:val="24"/>
              </w:rPr>
              <w:t>1</w:t>
            </w:r>
          </w:p>
        </w:tc>
      </w:tr>
      <w:tr w:rsidR="00A8202D" w:rsidRPr="00905409" w:rsidTr="001657F8">
        <w:tc>
          <w:tcPr>
            <w:tcW w:w="8478" w:type="dxa"/>
            <w:tcBorders>
              <w:top w:val="nil"/>
              <w:left w:val="nil"/>
              <w:bottom w:val="nil"/>
              <w:right w:val="nil"/>
            </w:tcBorders>
          </w:tcPr>
          <w:p w:rsidR="00A8202D" w:rsidRPr="00905409" w:rsidRDefault="00A8202D" w:rsidP="00905409">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905409" w:rsidRDefault="00A8202D" w:rsidP="00905409">
            <w:pPr>
              <w:tabs>
                <w:tab w:val="right" w:pos="562"/>
              </w:tabs>
              <w:suppressAutoHyphens/>
              <w:rPr>
                <w:rFonts w:ascii="Arial" w:hAnsi="Arial" w:cs="Arial"/>
                <w:szCs w:val="24"/>
              </w:rPr>
            </w:pPr>
          </w:p>
        </w:tc>
      </w:tr>
      <w:tr w:rsidR="004755F0" w:rsidRPr="00905409" w:rsidTr="00F5231F">
        <w:trPr>
          <w:trHeight w:val="594"/>
        </w:trPr>
        <w:tc>
          <w:tcPr>
            <w:tcW w:w="8478" w:type="dxa"/>
            <w:tcBorders>
              <w:top w:val="nil"/>
              <w:left w:val="nil"/>
              <w:bottom w:val="nil"/>
              <w:right w:val="nil"/>
            </w:tcBorders>
            <w:vAlign w:val="bottom"/>
          </w:tcPr>
          <w:p w:rsidR="00117A35" w:rsidRDefault="00117A35" w:rsidP="00F5231F">
            <w:pPr>
              <w:pStyle w:val="EndnoteText"/>
              <w:tabs>
                <w:tab w:val="left" w:pos="9180"/>
              </w:tabs>
              <w:suppressAutoHyphens/>
              <w:ind w:left="360"/>
              <w:rPr>
                <w:rFonts w:ascii="Arial" w:hAnsi="Arial" w:cs="Arial"/>
                <w:szCs w:val="24"/>
              </w:rPr>
            </w:pPr>
            <w:r>
              <w:rPr>
                <w:rFonts w:ascii="Arial" w:hAnsi="Arial" w:cs="Arial"/>
                <w:szCs w:val="24"/>
              </w:rPr>
              <w:t xml:space="preserve">Condensed </w:t>
            </w:r>
            <w:r w:rsidR="00E56A7B">
              <w:rPr>
                <w:rFonts w:ascii="Arial" w:hAnsi="Arial" w:cs="Arial"/>
                <w:szCs w:val="24"/>
              </w:rPr>
              <w:t>Statement of Generation S</w:t>
            </w:r>
            <w:r w:rsidR="00991813">
              <w:rPr>
                <w:rFonts w:ascii="Arial" w:hAnsi="Arial" w:cs="Arial"/>
                <w:szCs w:val="24"/>
              </w:rPr>
              <w:t>upply</w:t>
            </w:r>
            <w:r w:rsidR="00E56A7B">
              <w:rPr>
                <w:rFonts w:ascii="Arial" w:hAnsi="Arial" w:cs="Arial"/>
                <w:szCs w:val="24"/>
              </w:rPr>
              <w:t xml:space="preserve"> Charge</w:t>
            </w:r>
            <w:r>
              <w:rPr>
                <w:rFonts w:ascii="Arial" w:hAnsi="Arial" w:cs="Arial"/>
                <w:szCs w:val="24"/>
              </w:rPr>
              <w:t>-</w:t>
            </w:r>
            <w:r w:rsidR="00E56A7B">
              <w:rPr>
                <w:rFonts w:ascii="Arial" w:hAnsi="Arial" w:cs="Arial"/>
                <w:szCs w:val="24"/>
              </w:rPr>
              <w:t xml:space="preserve">1 </w:t>
            </w:r>
            <w:r>
              <w:rPr>
                <w:rFonts w:ascii="Arial" w:hAnsi="Arial" w:cs="Arial"/>
                <w:szCs w:val="24"/>
              </w:rPr>
              <w:t>(GSC-1)</w:t>
            </w:r>
          </w:p>
          <w:p w:rsidR="004755F0" w:rsidRPr="00905409" w:rsidRDefault="00E56A7B" w:rsidP="00117A35">
            <w:pPr>
              <w:pStyle w:val="EndnoteText"/>
              <w:tabs>
                <w:tab w:val="left" w:pos="9180"/>
              </w:tabs>
              <w:suppressAutoHyphens/>
              <w:ind w:left="360"/>
              <w:rPr>
                <w:rFonts w:ascii="Arial" w:hAnsi="Arial" w:cs="Arial"/>
                <w:szCs w:val="24"/>
              </w:rPr>
            </w:pPr>
            <w:r>
              <w:rPr>
                <w:rFonts w:ascii="Arial" w:hAnsi="Arial" w:cs="Arial"/>
                <w:szCs w:val="24"/>
              </w:rPr>
              <w:t xml:space="preserve">Over/(Under) Collections </w:t>
            </w:r>
            <w:r w:rsidR="00117A35">
              <w:rPr>
                <w:rFonts w:ascii="Arial" w:hAnsi="Arial" w:cs="Arial"/>
                <w:szCs w:val="24"/>
              </w:rPr>
              <w:t>(Section 1307(e)) f</w:t>
            </w:r>
            <w:r>
              <w:rPr>
                <w:rFonts w:ascii="Arial" w:hAnsi="Arial" w:cs="Arial"/>
                <w:szCs w:val="24"/>
              </w:rPr>
              <w:t xml:space="preserve">or </w:t>
            </w:r>
            <w:r w:rsidR="00117A35">
              <w:rPr>
                <w:rFonts w:ascii="Arial" w:hAnsi="Arial" w:cs="Arial"/>
                <w:szCs w:val="24"/>
              </w:rPr>
              <w:t>t</w:t>
            </w:r>
            <w:r>
              <w:rPr>
                <w:rFonts w:ascii="Arial" w:hAnsi="Arial" w:cs="Arial"/>
                <w:szCs w:val="24"/>
              </w:rPr>
              <w:t xml:space="preserve">he </w:t>
            </w:r>
            <w:r w:rsidR="002968A3">
              <w:rPr>
                <w:rFonts w:ascii="Arial" w:hAnsi="Arial" w:cs="Arial"/>
                <w:szCs w:val="24"/>
              </w:rPr>
              <w:t>Twelve</w:t>
            </w:r>
            <w:r>
              <w:rPr>
                <w:rFonts w:ascii="Arial" w:hAnsi="Arial" w:cs="Arial"/>
                <w:szCs w:val="24"/>
              </w:rPr>
              <w:t xml:space="preserve"> Months Ended April 30, 201</w:t>
            </w:r>
            <w:r w:rsidR="00876EB0">
              <w:rPr>
                <w:rFonts w:ascii="Arial" w:hAnsi="Arial" w:cs="Arial"/>
                <w:szCs w:val="24"/>
              </w:rPr>
              <w:t>3</w:t>
            </w:r>
          </w:p>
        </w:tc>
        <w:tc>
          <w:tcPr>
            <w:tcW w:w="1098" w:type="dxa"/>
            <w:tcBorders>
              <w:top w:val="nil"/>
              <w:left w:val="nil"/>
              <w:bottom w:val="nil"/>
              <w:right w:val="nil"/>
            </w:tcBorders>
            <w:vAlign w:val="bottom"/>
          </w:tcPr>
          <w:p w:rsidR="004755F0" w:rsidRPr="00564043" w:rsidRDefault="0029129D" w:rsidP="00F5231F">
            <w:pPr>
              <w:jc w:val="center"/>
              <w:rPr>
                <w:rFonts w:ascii="Arial" w:hAnsi="Arial" w:cs="Arial"/>
                <w:szCs w:val="24"/>
              </w:rPr>
            </w:pPr>
            <w:r>
              <w:rPr>
                <w:rFonts w:ascii="Arial" w:hAnsi="Arial" w:cs="Arial"/>
                <w:szCs w:val="24"/>
              </w:rPr>
              <w:t>3</w:t>
            </w:r>
          </w:p>
        </w:tc>
      </w:tr>
      <w:tr w:rsidR="00991813" w:rsidRPr="00905409" w:rsidTr="001657F8">
        <w:tc>
          <w:tcPr>
            <w:tcW w:w="8478" w:type="dxa"/>
            <w:tcBorders>
              <w:top w:val="nil"/>
              <w:left w:val="nil"/>
              <w:bottom w:val="nil"/>
              <w:right w:val="nil"/>
            </w:tcBorders>
          </w:tcPr>
          <w:p w:rsidR="00991813" w:rsidRPr="00905409" w:rsidRDefault="00991813" w:rsidP="00905409">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991813" w:rsidRPr="00905409" w:rsidRDefault="00991813" w:rsidP="00905409">
            <w:pPr>
              <w:tabs>
                <w:tab w:val="right" w:pos="562"/>
              </w:tabs>
              <w:suppressAutoHyphens/>
              <w:rPr>
                <w:rFonts w:ascii="Arial" w:hAnsi="Arial" w:cs="Arial"/>
                <w:szCs w:val="24"/>
              </w:rPr>
            </w:pPr>
          </w:p>
        </w:tc>
      </w:tr>
      <w:tr w:rsidR="00991813" w:rsidRPr="00905409" w:rsidTr="001657F8">
        <w:tc>
          <w:tcPr>
            <w:tcW w:w="8478" w:type="dxa"/>
            <w:tcBorders>
              <w:top w:val="nil"/>
              <w:left w:val="nil"/>
              <w:bottom w:val="nil"/>
              <w:right w:val="nil"/>
            </w:tcBorders>
          </w:tcPr>
          <w:p w:rsidR="00991813" w:rsidRPr="00905409" w:rsidRDefault="00991813" w:rsidP="00905409">
            <w:pPr>
              <w:tabs>
                <w:tab w:val="left" w:pos="390"/>
                <w:tab w:val="left" w:pos="9180"/>
              </w:tabs>
              <w:suppressAutoHyphens/>
              <w:ind w:left="360"/>
              <w:rPr>
                <w:rFonts w:ascii="Arial" w:hAnsi="Arial" w:cs="Arial"/>
                <w:szCs w:val="24"/>
              </w:rPr>
            </w:pPr>
            <w:r w:rsidRPr="00905409">
              <w:rPr>
                <w:rFonts w:ascii="Arial" w:hAnsi="Arial" w:cs="Arial"/>
                <w:szCs w:val="24"/>
              </w:rPr>
              <w:t>Notes To The Financ</w:t>
            </w:r>
            <w:r w:rsidR="000347BF">
              <w:rPr>
                <w:rFonts w:ascii="Arial" w:hAnsi="Arial" w:cs="Arial"/>
                <w:szCs w:val="24"/>
              </w:rPr>
              <w:t>ial Statement</w:t>
            </w:r>
          </w:p>
        </w:tc>
        <w:tc>
          <w:tcPr>
            <w:tcW w:w="1098" w:type="dxa"/>
            <w:tcBorders>
              <w:top w:val="nil"/>
              <w:left w:val="nil"/>
              <w:bottom w:val="nil"/>
              <w:right w:val="nil"/>
            </w:tcBorders>
          </w:tcPr>
          <w:p w:rsidR="00991813" w:rsidRPr="00905409" w:rsidRDefault="0029129D" w:rsidP="00564043">
            <w:pPr>
              <w:tabs>
                <w:tab w:val="right" w:pos="562"/>
              </w:tabs>
              <w:suppressAutoHyphens/>
              <w:jc w:val="center"/>
              <w:rPr>
                <w:rFonts w:ascii="Arial" w:hAnsi="Arial" w:cs="Arial"/>
                <w:szCs w:val="24"/>
              </w:rPr>
            </w:pPr>
            <w:r>
              <w:rPr>
                <w:rFonts w:ascii="Arial" w:hAnsi="Arial" w:cs="Arial"/>
                <w:szCs w:val="24"/>
              </w:rPr>
              <w:t>4</w:t>
            </w:r>
          </w:p>
        </w:tc>
      </w:tr>
      <w:tr w:rsidR="00991813" w:rsidRPr="00905409" w:rsidTr="001657F8">
        <w:tc>
          <w:tcPr>
            <w:tcW w:w="8478" w:type="dxa"/>
            <w:tcBorders>
              <w:top w:val="nil"/>
              <w:left w:val="nil"/>
              <w:bottom w:val="nil"/>
              <w:right w:val="nil"/>
            </w:tcBorders>
          </w:tcPr>
          <w:p w:rsidR="00991813" w:rsidRPr="00905409" w:rsidRDefault="00991813" w:rsidP="00905409">
            <w:pPr>
              <w:tabs>
                <w:tab w:val="left" w:pos="390"/>
                <w:tab w:val="left" w:pos="9180"/>
              </w:tabs>
              <w:suppressAutoHyphens/>
              <w:ind w:left="360"/>
              <w:rPr>
                <w:rFonts w:ascii="Arial" w:hAnsi="Arial" w:cs="Arial"/>
                <w:szCs w:val="24"/>
              </w:rPr>
            </w:pPr>
          </w:p>
        </w:tc>
        <w:tc>
          <w:tcPr>
            <w:tcW w:w="1098" w:type="dxa"/>
            <w:tcBorders>
              <w:top w:val="nil"/>
              <w:left w:val="nil"/>
              <w:bottom w:val="nil"/>
              <w:right w:val="nil"/>
            </w:tcBorders>
          </w:tcPr>
          <w:p w:rsidR="00991813" w:rsidRPr="00905409" w:rsidRDefault="00991813" w:rsidP="00905409">
            <w:pPr>
              <w:tabs>
                <w:tab w:val="right" w:pos="562"/>
              </w:tabs>
              <w:suppressAutoHyphens/>
              <w:rPr>
                <w:rFonts w:ascii="Arial" w:hAnsi="Arial" w:cs="Arial"/>
                <w:szCs w:val="24"/>
              </w:rPr>
            </w:pPr>
          </w:p>
        </w:tc>
      </w:tr>
      <w:tr w:rsidR="00991813" w:rsidRPr="00905409" w:rsidTr="00A8202D">
        <w:trPr>
          <w:trHeight w:val="252"/>
        </w:trPr>
        <w:tc>
          <w:tcPr>
            <w:tcW w:w="8478" w:type="dxa"/>
            <w:tcBorders>
              <w:top w:val="nil"/>
              <w:left w:val="nil"/>
              <w:bottom w:val="nil"/>
              <w:right w:val="nil"/>
            </w:tcBorders>
          </w:tcPr>
          <w:p w:rsidR="00991813" w:rsidRPr="006F568F" w:rsidRDefault="00991813" w:rsidP="00905409">
            <w:pPr>
              <w:tabs>
                <w:tab w:val="left" w:pos="-720"/>
                <w:tab w:val="left" w:pos="360"/>
                <w:tab w:val="left" w:pos="1440"/>
                <w:tab w:val="left" w:pos="9180"/>
              </w:tabs>
              <w:suppressAutoHyphens/>
              <w:rPr>
                <w:rFonts w:ascii="Arial" w:hAnsi="Arial" w:cs="Arial"/>
                <w:b/>
                <w:szCs w:val="24"/>
              </w:rPr>
            </w:pPr>
          </w:p>
          <w:p w:rsidR="00991813" w:rsidRPr="006F568F" w:rsidRDefault="00991813" w:rsidP="00905409">
            <w:pPr>
              <w:tabs>
                <w:tab w:val="left" w:pos="-720"/>
                <w:tab w:val="left" w:pos="360"/>
                <w:tab w:val="left" w:pos="1440"/>
                <w:tab w:val="left" w:pos="9180"/>
              </w:tabs>
              <w:suppressAutoHyphens/>
              <w:rPr>
                <w:rFonts w:ascii="Arial" w:hAnsi="Arial" w:cs="Arial"/>
                <w:b/>
                <w:szCs w:val="24"/>
              </w:rPr>
            </w:pPr>
            <w:r w:rsidRPr="006F568F">
              <w:rPr>
                <w:rFonts w:ascii="Arial" w:hAnsi="Arial" w:cs="Arial"/>
                <w:b/>
                <w:szCs w:val="24"/>
              </w:rPr>
              <w:t>BACKGROUND AND OPERATIONAL REVIEW</w:t>
            </w:r>
          </w:p>
        </w:tc>
        <w:tc>
          <w:tcPr>
            <w:tcW w:w="1098" w:type="dxa"/>
            <w:tcBorders>
              <w:top w:val="nil"/>
              <w:left w:val="nil"/>
              <w:bottom w:val="nil"/>
              <w:right w:val="nil"/>
            </w:tcBorders>
          </w:tcPr>
          <w:p w:rsidR="00991813" w:rsidRPr="00905409" w:rsidRDefault="00991813" w:rsidP="00905409">
            <w:pPr>
              <w:tabs>
                <w:tab w:val="right" w:pos="562"/>
              </w:tabs>
              <w:suppressAutoHyphens/>
              <w:rPr>
                <w:rFonts w:ascii="Arial" w:hAnsi="Arial" w:cs="Arial"/>
                <w:szCs w:val="24"/>
              </w:rPr>
            </w:pPr>
          </w:p>
        </w:tc>
      </w:tr>
      <w:tr w:rsidR="00991813" w:rsidRPr="00905409" w:rsidTr="00A8202D">
        <w:trPr>
          <w:trHeight w:val="252"/>
        </w:trPr>
        <w:tc>
          <w:tcPr>
            <w:tcW w:w="8478" w:type="dxa"/>
            <w:tcBorders>
              <w:top w:val="nil"/>
              <w:left w:val="nil"/>
              <w:bottom w:val="nil"/>
              <w:right w:val="nil"/>
            </w:tcBorders>
          </w:tcPr>
          <w:p w:rsidR="00991813" w:rsidRPr="00905409" w:rsidRDefault="00991813" w:rsidP="00905409">
            <w:pPr>
              <w:tabs>
                <w:tab w:val="left" w:pos="-720"/>
                <w:tab w:val="left" w:pos="360"/>
                <w:tab w:val="left" w:pos="1440"/>
                <w:tab w:val="left" w:pos="9180"/>
              </w:tabs>
              <w:suppressAutoHyphens/>
              <w:rPr>
                <w:rFonts w:ascii="Arial" w:hAnsi="Arial" w:cs="Arial"/>
                <w:b/>
                <w:szCs w:val="24"/>
                <w:u w:val="single"/>
              </w:rPr>
            </w:pPr>
          </w:p>
        </w:tc>
        <w:tc>
          <w:tcPr>
            <w:tcW w:w="1098" w:type="dxa"/>
            <w:tcBorders>
              <w:top w:val="nil"/>
              <w:left w:val="nil"/>
              <w:bottom w:val="nil"/>
              <w:right w:val="nil"/>
            </w:tcBorders>
          </w:tcPr>
          <w:p w:rsidR="00991813" w:rsidRPr="00905409" w:rsidRDefault="00991813" w:rsidP="00905409">
            <w:pPr>
              <w:tabs>
                <w:tab w:val="right" w:pos="562"/>
              </w:tabs>
              <w:suppressAutoHyphens/>
              <w:rPr>
                <w:rFonts w:ascii="Arial" w:hAnsi="Arial" w:cs="Arial"/>
                <w:szCs w:val="24"/>
              </w:rPr>
            </w:pPr>
          </w:p>
        </w:tc>
      </w:tr>
      <w:tr w:rsidR="00991813" w:rsidRPr="00905409" w:rsidTr="001657F8">
        <w:tc>
          <w:tcPr>
            <w:tcW w:w="8478" w:type="dxa"/>
            <w:tcBorders>
              <w:top w:val="nil"/>
              <w:left w:val="nil"/>
              <w:bottom w:val="nil"/>
              <w:right w:val="nil"/>
            </w:tcBorders>
          </w:tcPr>
          <w:p w:rsidR="009933AE" w:rsidRPr="002968A3" w:rsidRDefault="00991813" w:rsidP="002968A3">
            <w:pPr>
              <w:tabs>
                <w:tab w:val="left" w:pos="-720"/>
                <w:tab w:val="left" w:pos="360"/>
                <w:tab w:val="left" w:pos="1440"/>
                <w:tab w:val="left" w:pos="9180"/>
              </w:tabs>
              <w:suppressAutoHyphens/>
              <w:ind w:left="360"/>
              <w:rPr>
                <w:rFonts w:ascii="Arial" w:hAnsi="Arial" w:cs="Arial"/>
                <w:szCs w:val="24"/>
              </w:rPr>
            </w:pPr>
            <w:r w:rsidRPr="00905409">
              <w:rPr>
                <w:rFonts w:ascii="Arial" w:hAnsi="Arial" w:cs="Arial"/>
                <w:szCs w:val="24"/>
              </w:rPr>
              <w:t>Background</w:t>
            </w:r>
          </w:p>
        </w:tc>
        <w:tc>
          <w:tcPr>
            <w:tcW w:w="1098" w:type="dxa"/>
            <w:tcBorders>
              <w:top w:val="nil"/>
              <w:left w:val="nil"/>
              <w:bottom w:val="nil"/>
              <w:right w:val="nil"/>
            </w:tcBorders>
          </w:tcPr>
          <w:p w:rsidR="002F639C" w:rsidRPr="00905409" w:rsidRDefault="0021231C" w:rsidP="002968A3">
            <w:pPr>
              <w:tabs>
                <w:tab w:val="right" w:pos="562"/>
              </w:tabs>
              <w:suppressAutoHyphens/>
              <w:jc w:val="center"/>
              <w:rPr>
                <w:rFonts w:ascii="Arial" w:hAnsi="Arial" w:cs="Arial"/>
                <w:szCs w:val="24"/>
              </w:rPr>
            </w:pPr>
            <w:r>
              <w:rPr>
                <w:rFonts w:ascii="Arial" w:hAnsi="Arial" w:cs="Arial"/>
                <w:szCs w:val="24"/>
              </w:rPr>
              <w:t>5</w:t>
            </w:r>
          </w:p>
        </w:tc>
      </w:tr>
      <w:tr w:rsidR="009933AE" w:rsidRPr="00905409" w:rsidTr="001657F8">
        <w:tc>
          <w:tcPr>
            <w:tcW w:w="8478" w:type="dxa"/>
            <w:tcBorders>
              <w:top w:val="nil"/>
              <w:left w:val="nil"/>
              <w:bottom w:val="nil"/>
              <w:right w:val="nil"/>
            </w:tcBorders>
          </w:tcPr>
          <w:p w:rsidR="009933AE" w:rsidRPr="00905409" w:rsidRDefault="009933AE" w:rsidP="00905409">
            <w:pPr>
              <w:tabs>
                <w:tab w:val="left" w:pos="-720"/>
                <w:tab w:val="left" w:pos="360"/>
                <w:tab w:val="left" w:pos="1440"/>
                <w:tab w:val="left" w:pos="9180"/>
              </w:tabs>
              <w:suppressAutoHyphens/>
              <w:ind w:left="360"/>
              <w:rPr>
                <w:rFonts w:ascii="Arial" w:hAnsi="Arial" w:cs="Arial"/>
                <w:szCs w:val="24"/>
              </w:rPr>
            </w:pPr>
          </w:p>
        </w:tc>
        <w:tc>
          <w:tcPr>
            <w:tcW w:w="1098" w:type="dxa"/>
            <w:tcBorders>
              <w:top w:val="nil"/>
              <w:left w:val="nil"/>
              <w:bottom w:val="nil"/>
              <w:right w:val="nil"/>
            </w:tcBorders>
          </w:tcPr>
          <w:p w:rsidR="009933AE" w:rsidRDefault="009933AE" w:rsidP="006C0231">
            <w:pPr>
              <w:tabs>
                <w:tab w:val="right" w:pos="562"/>
              </w:tabs>
              <w:suppressAutoHyphens/>
              <w:jc w:val="center"/>
              <w:rPr>
                <w:rFonts w:ascii="Arial" w:hAnsi="Arial" w:cs="Arial"/>
                <w:szCs w:val="24"/>
              </w:rPr>
            </w:pPr>
          </w:p>
        </w:tc>
      </w:tr>
      <w:tr w:rsidR="00D41BB9" w:rsidRPr="00905409" w:rsidTr="001657F8">
        <w:tc>
          <w:tcPr>
            <w:tcW w:w="8478" w:type="dxa"/>
            <w:tcBorders>
              <w:top w:val="nil"/>
              <w:left w:val="nil"/>
              <w:bottom w:val="nil"/>
              <w:right w:val="nil"/>
            </w:tcBorders>
          </w:tcPr>
          <w:p w:rsidR="00D41BB9" w:rsidRPr="00905409" w:rsidRDefault="00D41BB9" w:rsidP="008D5D42">
            <w:pPr>
              <w:tabs>
                <w:tab w:val="left" w:pos="-720"/>
                <w:tab w:val="left" w:pos="360"/>
                <w:tab w:val="left" w:pos="1440"/>
                <w:tab w:val="left" w:pos="9180"/>
              </w:tabs>
              <w:suppressAutoHyphens/>
              <w:ind w:left="360"/>
              <w:rPr>
                <w:rFonts w:ascii="Arial" w:hAnsi="Arial" w:cs="Arial"/>
                <w:szCs w:val="24"/>
              </w:rPr>
            </w:pPr>
            <w:r w:rsidRPr="000910B1">
              <w:rPr>
                <w:rFonts w:ascii="Arial" w:hAnsi="Arial" w:cs="Arial"/>
                <w:szCs w:val="26"/>
              </w:rPr>
              <w:t xml:space="preserve">Disposition of Prior </w:t>
            </w:r>
            <w:r>
              <w:rPr>
                <w:rFonts w:ascii="Arial" w:hAnsi="Arial" w:cs="Arial"/>
                <w:szCs w:val="26"/>
              </w:rPr>
              <w:t>Period</w:t>
            </w:r>
            <w:r w:rsidRPr="000910B1">
              <w:rPr>
                <w:rFonts w:ascii="Arial" w:hAnsi="Arial" w:cs="Arial"/>
                <w:szCs w:val="26"/>
              </w:rPr>
              <w:t xml:space="preserve"> </w:t>
            </w:r>
            <w:r>
              <w:rPr>
                <w:rFonts w:ascii="Arial" w:hAnsi="Arial" w:cs="Arial"/>
                <w:szCs w:val="26"/>
              </w:rPr>
              <w:t xml:space="preserve">Audit </w:t>
            </w:r>
            <w:r w:rsidRPr="000910B1">
              <w:rPr>
                <w:rFonts w:ascii="Arial" w:hAnsi="Arial" w:cs="Arial"/>
                <w:szCs w:val="26"/>
              </w:rPr>
              <w:t>Finding</w:t>
            </w:r>
          </w:p>
        </w:tc>
        <w:tc>
          <w:tcPr>
            <w:tcW w:w="1098" w:type="dxa"/>
            <w:tcBorders>
              <w:top w:val="nil"/>
              <w:left w:val="nil"/>
              <w:bottom w:val="nil"/>
              <w:right w:val="nil"/>
            </w:tcBorders>
          </w:tcPr>
          <w:p w:rsidR="00D41BB9" w:rsidRDefault="0021231C" w:rsidP="006C0231">
            <w:pPr>
              <w:tabs>
                <w:tab w:val="right" w:pos="562"/>
              </w:tabs>
              <w:suppressAutoHyphens/>
              <w:jc w:val="center"/>
              <w:rPr>
                <w:rFonts w:ascii="Arial" w:hAnsi="Arial" w:cs="Arial"/>
                <w:szCs w:val="24"/>
              </w:rPr>
            </w:pPr>
            <w:r>
              <w:rPr>
                <w:rFonts w:ascii="Arial" w:hAnsi="Arial" w:cs="Arial"/>
                <w:szCs w:val="24"/>
              </w:rPr>
              <w:t>6</w:t>
            </w:r>
          </w:p>
        </w:tc>
      </w:tr>
      <w:tr w:rsidR="00D41BB9" w:rsidRPr="00905409" w:rsidTr="001657F8">
        <w:tc>
          <w:tcPr>
            <w:tcW w:w="8478" w:type="dxa"/>
            <w:tcBorders>
              <w:top w:val="nil"/>
              <w:left w:val="nil"/>
              <w:bottom w:val="nil"/>
              <w:right w:val="nil"/>
            </w:tcBorders>
          </w:tcPr>
          <w:p w:rsidR="00D41BB9" w:rsidRPr="00905409" w:rsidRDefault="00D41BB9" w:rsidP="00905409">
            <w:pPr>
              <w:tabs>
                <w:tab w:val="left" w:pos="-720"/>
                <w:tab w:val="left" w:pos="360"/>
                <w:tab w:val="left" w:pos="1440"/>
                <w:tab w:val="left" w:pos="9180"/>
              </w:tabs>
              <w:suppressAutoHyphens/>
              <w:ind w:left="360"/>
              <w:rPr>
                <w:rFonts w:ascii="Arial" w:hAnsi="Arial" w:cs="Arial"/>
                <w:szCs w:val="24"/>
              </w:rPr>
            </w:pPr>
          </w:p>
        </w:tc>
        <w:tc>
          <w:tcPr>
            <w:tcW w:w="1098" w:type="dxa"/>
            <w:tcBorders>
              <w:top w:val="nil"/>
              <w:left w:val="nil"/>
              <w:bottom w:val="nil"/>
              <w:right w:val="nil"/>
            </w:tcBorders>
          </w:tcPr>
          <w:p w:rsidR="00D41BB9" w:rsidRDefault="00D41BB9" w:rsidP="006C0231">
            <w:pPr>
              <w:tabs>
                <w:tab w:val="right" w:pos="562"/>
              </w:tabs>
              <w:suppressAutoHyphens/>
              <w:jc w:val="center"/>
              <w:rPr>
                <w:rFonts w:ascii="Arial" w:hAnsi="Arial" w:cs="Arial"/>
                <w:szCs w:val="24"/>
              </w:rPr>
            </w:pPr>
          </w:p>
        </w:tc>
      </w:tr>
      <w:tr w:rsidR="00D41BB9" w:rsidRPr="00905409" w:rsidTr="001657F8">
        <w:tc>
          <w:tcPr>
            <w:tcW w:w="8478" w:type="dxa"/>
            <w:tcBorders>
              <w:top w:val="nil"/>
              <w:left w:val="nil"/>
              <w:bottom w:val="nil"/>
              <w:right w:val="nil"/>
            </w:tcBorders>
          </w:tcPr>
          <w:p w:rsidR="00D41BB9" w:rsidRPr="00905409" w:rsidRDefault="00D41BB9" w:rsidP="008D5D42">
            <w:pPr>
              <w:tabs>
                <w:tab w:val="left" w:pos="-720"/>
                <w:tab w:val="left" w:pos="360"/>
                <w:tab w:val="left" w:pos="1440"/>
                <w:tab w:val="left" w:pos="9180"/>
              </w:tabs>
              <w:suppressAutoHyphens/>
              <w:ind w:left="360"/>
              <w:rPr>
                <w:rFonts w:ascii="Arial" w:hAnsi="Arial" w:cs="Arial"/>
                <w:szCs w:val="24"/>
              </w:rPr>
            </w:pPr>
            <w:r>
              <w:rPr>
                <w:rFonts w:ascii="Arial" w:hAnsi="Arial" w:cs="Arial"/>
                <w:szCs w:val="24"/>
              </w:rPr>
              <w:t>Current Period Audit Finding</w:t>
            </w:r>
          </w:p>
        </w:tc>
        <w:tc>
          <w:tcPr>
            <w:tcW w:w="1098" w:type="dxa"/>
            <w:tcBorders>
              <w:top w:val="nil"/>
              <w:left w:val="nil"/>
              <w:bottom w:val="nil"/>
              <w:right w:val="nil"/>
            </w:tcBorders>
          </w:tcPr>
          <w:p w:rsidR="00D41BB9" w:rsidRDefault="00D41BB9" w:rsidP="006C0231">
            <w:pPr>
              <w:tabs>
                <w:tab w:val="right" w:pos="562"/>
              </w:tabs>
              <w:suppressAutoHyphens/>
              <w:jc w:val="center"/>
              <w:rPr>
                <w:rFonts w:ascii="Arial" w:hAnsi="Arial" w:cs="Arial"/>
                <w:szCs w:val="24"/>
              </w:rPr>
            </w:pPr>
          </w:p>
        </w:tc>
      </w:tr>
      <w:tr w:rsidR="00D41BB9" w:rsidRPr="00905409" w:rsidTr="001657F8">
        <w:tc>
          <w:tcPr>
            <w:tcW w:w="8478" w:type="dxa"/>
            <w:tcBorders>
              <w:top w:val="nil"/>
              <w:left w:val="nil"/>
              <w:bottom w:val="nil"/>
              <w:right w:val="nil"/>
            </w:tcBorders>
          </w:tcPr>
          <w:p w:rsidR="00D41BB9" w:rsidRPr="00905409" w:rsidRDefault="00D41BB9" w:rsidP="00905409">
            <w:pPr>
              <w:tabs>
                <w:tab w:val="left" w:pos="-720"/>
                <w:tab w:val="left" w:pos="360"/>
                <w:tab w:val="left" w:pos="1440"/>
                <w:tab w:val="left" w:pos="9180"/>
              </w:tabs>
              <w:suppressAutoHyphens/>
              <w:ind w:left="360"/>
              <w:rPr>
                <w:rFonts w:ascii="Arial" w:hAnsi="Arial" w:cs="Arial"/>
                <w:szCs w:val="24"/>
              </w:rPr>
            </w:pPr>
          </w:p>
        </w:tc>
        <w:tc>
          <w:tcPr>
            <w:tcW w:w="1098" w:type="dxa"/>
            <w:tcBorders>
              <w:top w:val="nil"/>
              <w:left w:val="nil"/>
              <w:bottom w:val="nil"/>
              <w:right w:val="nil"/>
            </w:tcBorders>
          </w:tcPr>
          <w:p w:rsidR="00D41BB9" w:rsidRDefault="00D41BB9" w:rsidP="006C0231">
            <w:pPr>
              <w:tabs>
                <w:tab w:val="right" w:pos="562"/>
              </w:tabs>
              <w:suppressAutoHyphens/>
              <w:jc w:val="center"/>
              <w:rPr>
                <w:rFonts w:ascii="Arial" w:hAnsi="Arial" w:cs="Arial"/>
                <w:szCs w:val="24"/>
              </w:rPr>
            </w:pPr>
          </w:p>
        </w:tc>
      </w:tr>
      <w:tr w:rsidR="00D41BB9" w:rsidRPr="00905409" w:rsidTr="00C56642">
        <w:tc>
          <w:tcPr>
            <w:tcW w:w="8478" w:type="dxa"/>
            <w:tcBorders>
              <w:top w:val="nil"/>
              <w:left w:val="nil"/>
              <w:bottom w:val="nil"/>
              <w:right w:val="nil"/>
            </w:tcBorders>
          </w:tcPr>
          <w:p w:rsidR="00D41BB9" w:rsidRPr="006F568F" w:rsidRDefault="00C56642" w:rsidP="00C56642">
            <w:pPr>
              <w:pStyle w:val="Heading1"/>
              <w:tabs>
                <w:tab w:val="clear" w:pos="4680"/>
                <w:tab w:val="left" w:pos="-2880"/>
                <w:tab w:val="left" w:pos="1080"/>
              </w:tabs>
              <w:ind w:left="1800" w:hanging="1170"/>
              <w:jc w:val="left"/>
              <w:rPr>
                <w:rFonts w:ascii="Arial" w:hAnsi="Arial" w:cs="Arial"/>
                <w:szCs w:val="24"/>
                <w:u w:val="none"/>
              </w:rPr>
            </w:pPr>
            <w:r w:rsidRPr="006F568F">
              <w:rPr>
                <w:rFonts w:ascii="Arial" w:hAnsi="Arial" w:cs="Arial"/>
                <w:szCs w:val="24"/>
                <w:u w:val="none"/>
              </w:rPr>
              <w:t>Finding – PPL Electric Utilities Corporation Adjusted The Time Of Use Rate Components While The Billing Rates Were Frozen</w:t>
            </w:r>
            <w:r w:rsidR="0021231C">
              <w:rPr>
                <w:rFonts w:ascii="Arial" w:hAnsi="Arial" w:cs="Arial"/>
                <w:szCs w:val="24"/>
                <w:u w:val="none"/>
              </w:rPr>
              <w:t>.</w:t>
            </w:r>
          </w:p>
        </w:tc>
        <w:tc>
          <w:tcPr>
            <w:tcW w:w="1098" w:type="dxa"/>
            <w:tcBorders>
              <w:top w:val="nil"/>
              <w:left w:val="nil"/>
              <w:bottom w:val="nil"/>
              <w:right w:val="nil"/>
            </w:tcBorders>
            <w:vAlign w:val="bottom"/>
          </w:tcPr>
          <w:p w:rsidR="00D41BB9" w:rsidRDefault="0021231C" w:rsidP="00C56642">
            <w:pPr>
              <w:tabs>
                <w:tab w:val="right" w:pos="562"/>
              </w:tabs>
              <w:suppressAutoHyphens/>
              <w:jc w:val="center"/>
              <w:rPr>
                <w:rFonts w:ascii="Arial" w:hAnsi="Arial" w:cs="Arial"/>
                <w:szCs w:val="24"/>
              </w:rPr>
            </w:pPr>
            <w:r>
              <w:rPr>
                <w:rFonts w:ascii="Arial" w:hAnsi="Arial" w:cs="Arial"/>
                <w:szCs w:val="24"/>
              </w:rPr>
              <w:t>7</w:t>
            </w:r>
          </w:p>
        </w:tc>
      </w:tr>
      <w:tr w:rsidR="00D41BB9" w:rsidRPr="00905409" w:rsidTr="001657F8">
        <w:tc>
          <w:tcPr>
            <w:tcW w:w="8478" w:type="dxa"/>
            <w:tcBorders>
              <w:top w:val="nil"/>
              <w:left w:val="nil"/>
              <w:bottom w:val="nil"/>
              <w:right w:val="nil"/>
            </w:tcBorders>
          </w:tcPr>
          <w:p w:rsidR="00D41BB9" w:rsidRPr="00905409" w:rsidRDefault="00D41BB9" w:rsidP="00905409">
            <w:pPr>
              <w:tabs>
                <w:tab w:val="left" w:pos="-720"/>
                <w:tab w:val="left" w:pos="360"/>
                <w:tab w:val="left" w:pos="1440"/>
                <w:tab w:val="left" w:pos="9180"/>
              </w:tabs>
              <w:suppressAutoHyphens/>
              <w:ind w:left="360"/>
              <w:rPr>
                <w:rFonts w:ascii="Arial" w:hAnsi="Arial" w:cs="Arial"/>
                <w:szCs w:val="24"/>
              </w:rPr>
            </w:pPr>
          </w:p>
        </w:tc>
        <w:tc>
          <w:tcPr>
            <w:tcW w:w="1098" w:type="dxa"/>
            <w:tcBorders>
              <w:top w:val="nil"/>
              <w:left w:val="nil"/>
              <w:bottom w:val="nil"/>
              <w:right w:val="nil"/>
            </w:tcBorders>
          </w:tcPr>
          <w:p w:rsidR="00D41BB9" w:rsidRDefault="00D41BB9" w:rsidP="006C0231">
            <w:pPr>
              <w:tabs>
                <w:tab w:val="right" w:pos="562"/>
              </w:tabs>
              <w:suppressAutoHyphens/>
              <w:jc w:val="center"/>
              <w:rPr>
                <w:rFonts w:ascii="Arial" w:hAnsi="Arial" w:cs="Arial"/>
                <w:szCs w:val="24"/>
              </w:rPr>
            </w:pPr>
          </w:p>
        </w:tc>
      </w:tr>
      <w:tr w:rsidR="002968A3" w:rsidRPr="00905409" w:rsidTr="001657F8">
        <w:tc>
          <w:tcPr>
            <w:tcW w:w="8478" w:type="dxa"/>
            <w:tcBorders>
              <w:top w:val="nil"/>
              <w:left w:val="nil"/>
              <w:bottom w:val="nil"/>
              <w:right w:val="nil"/>
            </w:tcBorders>
          </w:tcPr>
          <w:p w:rsidR="002968A3" w:rsidRPr="006F568F" w:rsidRDefault="002968A3" w:rsidP="00117A35">
            <w:pPr>
              <w:tabs>
                <w:tab w:val="left" w:pos="-720"/>
              </w:tabs>
              <w:suppressAutoHyphens/>
              <w:rPr>
                <w:rFonts w:ascii="Arial" w:hAnsi="Arial" w:cs="Arial"/>
                <w:b/>
                <w:szCs w:val="26"/>
              </w:rPr>
            </w:pPr>
            <w:r w:rsidRPr="006F568F">
              <w:rPr>
                <w:rFonts w:ascii="Arial" w:hAnsi="Arial" w:cs="Arial"/>
                <w:b/>
                <w:szCs w:val="24"/>
              </w:rPr>
              <w:t>ACKNOWLEDGEMENTS</w:t>
            </w:r>
          </w:p>
        </w:tc>
        <w:tc>
          <w:tcPr>
            <w:tcW w:w="1098" w:type="dxa"/>
            <w:tcBorders>
              <w:top w:val="nil"/>
              <w:left w:val="nil"/>
              <w:bottom w:val="nil"/>
              <w:right w:val="nil"/>
            </w:tcBorders>
          </w:tcPr>
          <w:p w:rsidR="002968A3" w:rsidRDefault="0016658F" w:rsidP="0029129D">
            <w:pPr>
              <w:tabs>
                <w:tab w:val="right" w:pos="562"/>
              </w:tabs>
              <w:suppressAutoHyphens/>
              <w:jc w:val="center"/>
              <w:rPr>
                <w:rFonts w:ascii="Arial" w:hAnsi="Arial" w:cs="Arial"/>
                <w:szCs w:val="24"/>
              </w:rPr>
            </w:pPr>
            <w:r>
              <w:rPr>
                <w:rFonts w:ascii="Arial" w:hAnsi="Arial" w:cs="Arial"/>
                <w:szCs w:val="24"/>
              </w:rPr>
              <w:t>10</w:t>
            </w:r>
          </w:p>
        </w:tc>
      </w:tr>
    </w:tbl>
    <w:p w:rsidR="00080FED" w:rsidRDefault="00080FED" w:rsidP="00905409">
      <w:pPr>
        <w:tabs>
          <w:tab w:val="center" w:pos="4680"/>
        </w:tabs>
        <w:suppressAutoHyphens/>
        <w:rPr>
          <w:rFonts w:ascii="Arial" w:hAnsi="Arial" w:cs="Arial"/>
          <w:b/>
          <w:szCs w:val="24"/>
          <w:u w:val="single"/>
        </w:rPr>
      </w:pPr>
    </w:p>
    <w:p w:rsidR="00FB1D8B" w:rsidRPr="00905409" w:rsidRDefault="0067451B" w:rsidP="00905409">
      <w:pPr>
        <w:tabs>
          <w:tab w:val="center" w:pos="4680"/>
        </w:tabs>
        <w:suppressAutoHyphens/>
        <w:rPr>
          <w:rFonts w:ascii="Arial" w:hAnsi="Arial" w:cs="Arial"/>
          <w:szCs w:val="24"/>
        </w:rPr>
      </w:pP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r>
      <w:r w:rsidRPr="00905409">
        <w:rPr>
          <w:rFonts w:ascii="Arial" w:hAnsi="Arial" w:cs="Arial"/>
          <w:szCs w:val="24"/>
        </w:rPr>
        <w:tab/>
        <w:t xml:space="preserve">  </w:t>
      </w:r>
    </w:p>
    <w:p w:rsidR="00B8416D" w:rsidRPr="00905409" w:rsidRDefault="00B8416D" w:rsidP="00905409">
      <w:pPr>
        <w:tabs>
          <w:tab w:val="center" w:pos="4680"/>
        </w:tabs>
        <w:suppressAutoHyphens/>
        <w:rPr>
          <w:rFonts w:ascii="Arial" w:hAnsi="Arial" w:cs="Arial"/>
          <w:szCs w:val="24"/>
        </w:rPr>
      </w:pPr>
    </w:p>
    <w:p w:rsidR="00B8416D" w:rsidRPr="00905409" w:rsidRDefault="00B8416D" w:rsidP="00905409">
      <w:pPr>
        <w:tabs>
          <w:tab w:val="center" w:pos="4680"/>
        </w:tabs>
        <w:suppressAutoHyphens/>
        <w:rPr>
          <w:rFonts w:ascii="Arial" w:hAnsi="Arial" w:cs="Arial"/>
          <w:szCs w:val="24"/>
        </w:rPr>
      </w:pPr>
    </w:p>
    <w:p w:rsidR="00B8416D" w:rsidRPr="00905409" w:rsidRDefault="00B8416D" w:rsidP="00905409">
      <w:pPr>
        <w:tabs>
          <w:tab w:val="center" w:pos="4680"/>
        </w:tabs>
        <w:suppressAutoHyphens/>
        <w:rPr>
          <w:rFonts w:ascii="Arial" w:hAnsi="Arial" w:cs="Arial"/>
          <w:szCs w:val="24"/>
        </w:rPr>
      </w:pPr>
    </w:p>
    <w:p w:rsidR="0067451B" w:rsidRPr="00905409" w:rsidRDefault="0067451B" w:rsidP="00905409">
      <w:pPr>
        <w:tabs>
          <w:tab w:val="center" w:pos="4680"/>
        </w:tabs>
        <w:suppressAutoHyphens/>
        <w:jc w:val="center"/>
        <w:rPr>
          <w:rFonts w:ascii="Arial" w:hAnsi="Arial" w:cs="Arial"/>
          <w:szCs w:val="24"/>
        </w:rPr>
      </w:pPr>
    </w:p>
    <w:p w:rsidR="00901A3F" w:rsidRPr="00905409" w:rsidRDefault="00901A3F" w:rsidP="00905409">
      <w:pPr>
        <w:tabs>
          <w:tab w:val="left" w:pos="-1440"/>
          <w:tab w:val="left" w:pos="-720"/>
        </w:tabs>
        <w:suppressAutoHyphens/>
        <w:rPr>
          <w:rFonts w:ascii="Arial" w:hAnsi="Arial" w:cs="Arial"/>
          <w:szCs w:val="24"/>
        </w:rPr>
      </w:pPr>
    </w:p>
    <w:p w:rsidR="00B613F2" w:rsidRPr="00905409" w:rsidRDefault="00B613F2" w:rsidP="00905409">
      <w:pPr>
        <w:tabs>
          <w:tab w:val="center" w:pos="4680"/>
        </w:tabs>
        <w:suppressAutoHyphens/>
        <w:jc w:val="center"/>
        <w:rPr>
          <w:rFonts w:ascii="Arial" w:hAnsi="Arial" w:cs="Arial"/>
          <w:szCs w:val="24"/>
        </w:rPr>
        <w:sectPr w:rsidR="00B613F2" w:rsidRPr="00905409" w:rsidSect="00B613F2">
          <w:headerReference w:type="even" r:id="rId15"/>
          <w:headerReference w:type="default" r:id="rId16"/>
          <w:footerReference w:type="default" r:id="rId17"/>
          <w:headerReference w:type="first" r:id="rId18"/>
          <w:endnotePr>
            <w:numFmt w:val="decimal"/>
          </w:endnotePr>
          <w:pgSz w:w="12240" w:h="15840" w:code="1"/>
          <w:pgMar w:top="1440" w:right="1440" w:bottom="1152" w:left="1440" w:header="0" w:footer="720" w:gutter="0"/>
          <w:pgNumType w:start="1"/>
          <w:cols w:space="720"/>
          <w:noEndnote/>
        </w:sectPr>
      </w:pPr>
    </w:p>
    <w:p w:rsidR="005D711E" w:rsidRPr="00905409" w:rsidRDefault="005D711E" w:rsidP="00905409">
      <w:pPr>
        <w:pStyle w:val="Heading4"/>
        <w:tabs>
          <w:tab w:val="clear" w:pos="4680"/>
        </w:tabs>
        <w:rPr>
          <w:rFonts w:ascii="Arial" w:hAnsi="Arial" w:cs="Arial"/>
          <w:sz w:val="36"/>
          <w:szCs w:val="36"/>
          <w:u w:val="none"/>
        </w:rPr>
      </w:pPr>
      <w:r w:rsidRPr="00905409">
        <w:rPr>
          <w:rFonts w:ascii="Arial" w:hAnsi="Arial" w:cs="Arial"/>
          <w:sz w:val="36"/>
          <w:szCs w:val="36"/>
          <w:u w:val="none"/>
        </w:rPr>
        <w:lastRenderedPageBreak/>
        <w:t>FINANCIAL REVIEW</w:t>
      </w:r>
    </w:p>
    <w:p w:rsidR="005D711E" w:rsidRPr="00905409" w:rsidRDefault="005D711E" w:rsidP="00905409">
      <w:pPr>
        <w:tabs>
          <w:tab w:val="left" w:pos="-1440"/>
          <w:tab w:val="left" w:pos="-720"/>
        </w:tabs>
        <w:suppressAutoHyphens/>
        <w:jc w:val="center"/>
        <w:rPr>
          <w:rFonts w:ascii="Arial" w:hAnsi="Arial" w:cs="Arial"/>
          <w:szCs w:val="24"/>
        </w:rPr>
      </w:pPr>
    </w:p>
    <w:p w:rsidR="005D711E" w:rsidRPr="00905409" w:rsidRDefault="005D711E" w:rsidP="00905409">
      <w:pPr>
        <w:tabs>
          <w:tab w:val="left" w:pos="1440"/>
          <w:tab w:val="center" w:pos="4464"/>
        </w:tabs>
        <w:suppressAutoHyphens/>
        <w:rPr>
          <w:rFonts w:ascii="Arial" w:hAnsi="Arial" w:cs="Arial"/>
          <w:szCs w:val="24"/>
        </w:rPr>
        <w:sectPr w:rsidR="005D711E" w:rsidRPr="00905409" w:rsidSect="00B613F2">
          <w:headerReference w:type="even" r:id="rId19"/>
          <w:headerReference w:type="default" r:id="rId20"/>
          <w:footerReference w:type="default" r:id="rId21"/>
          <w:headerReference w:type="first" r:id="rId22"/>
          <w:endnotePr>
            <w:numFmt w:val="decimal"/>
          </w:endnotePr>
          <w:pgSz w:w="12240" w:h="15840" w:code="1"/>
          <w:pgMar w:top="1440" w:right="1440" w:bottom="1152" w:left="1440" w:header="0" w:footer="720" w:gutter="0"/>
          <w:pgNumType w:start="1"/>
          <w:cols w:space="720"/>
          <w:vAlign w:val="center"/>
          <w:noEndnote/>
        </w:sectPr>
      </w:pPr>
    </w:p>
    <w:tbl>
      <w:tblPr>
        <w:tblW w:w="0" w:type="auto"/>
        <w:tblInd w:w="-702" w:type="dxa"/>
        <w:tblLayout w:type="fixed"/>
        <w:tblLook w:val="0000" w:firstRow="0" w:lastRow="0" w:firstColumn="0" w:lastColumn="0" w:noHBand="0" w:noVBand="0"/>
      </w:tblPr>
      <w:tblGrid>
        <w:gridCol w:w="1363"/>
        <w:gridCol w:w="8075"/>
        <w:gridCol w:w="1452"/>
      </w:tblGrid>
      <w:tr w:rsidR="005D711E" w:rsidRPr="00905409">
        <w:trPr>
          <w:trHeight w:val="990"/>
        </w:trPr>
        <w:tc>
          <w:tcPr>
            <w:tcW w:w="1363" w:type="dxa"/>
          </w:tcPr>
          <w:p w:rsidR="005D711E" w:rsidRPr="00905409" w:rsidRDefault="00D06D67" w:rsidP="00905409">
            <w:pPr>
              <w:rPr>
                <w:rFonts w:ascii="Arial" w:hAnsi="Arial" w:cs="Arial"/>
                <w:szCs w:val="24"/>
              </w:rPr>
            </w:pPr>
            <w:r>
              <w:rPr>
                <w:rFonts w:ascii="Arial" w:hAnsi="Arial" w:cs="Arial"/>
                <w:noProof/>
                <w:spacing w:val="-2"/>
                <w:szCs w:val="24"/>
              </w:rPr>
              <w:lastRenderedPageBreak/>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5D711E" w:rsidRPr="00905409" w:rsidRDefault="005D711E" w:rsidP="00905409">
            <w:pPr>
              <w:suppressAutoHyphens/>
              <w:spacing w:line="204" w:lineRule="auto"/>
              <w:jc w:val="center"/>
              <w:rPr>
                <w:rFonts w:ascii="Arial" w:hAnsi="Arial" w:cs="Arial"/>
                <w:color w:val="000080"/>
                <w:spacing w:val="-3"/>
                <w:szCs w:val="24"/>
              </w:rPr>
            </w:pPr>
          </w:p>
          <w:p w:rsidR="005D711E" w:rsidRPr="00905409" w:rsidRDefault="005D711E" w:rsidP="00905409">
            <w:pPr>
              <w:suppressAutoHyphens/>
              <w:spacing w:line="204" w:lineRule="auto"/>
              <w:jc w:val="center"/>
              <w:rPr>
                <w:rFonts w:ascii="Arial" w:hAnsi="Arial" w:cs="Arial"/>
                <w:color w:val="000080"/>
                <w:spacing w:val="-3"/>
                <w:szCs w:val="24"/>
              </w:rPr>
            </w:pPr>
            <w:r w:rsidRPr="00905409">
              <w:rPr>
                <w:rFonts w:ascii="Arial" w:hAnsi="Arial" w:cs="Arial"/>
                <w:color w:val="000080"/>
                <w:spacing w:val="-3"/>
                <w:szCs w:val="24"/>
              </w:rPr>
              <w:t>COMMONWEALTH OF PENNSYLVANIA</w:t>
            </w:r>
          </w:p>
          <w:p w:rsidR="005D711E" w:rsidRPr="00905409" w:rsidRDefault="005D711E" w:rsidP="00905409">
            <w:pPr>
              <w:suppressAutoHyphens/>
              <w:spacing w:line="204" w:lineRule="auto"/>
              <w:jc w:val="center"/>
              <w:rPr>
                <w:rFonts w:ascii="Arial" w:hAnsi="Arial" w:cs="Arial"/>
                <w:color w:val="000080"/>
                <w:spacing w:val="-3"/>
                <w:szCs w:val="24"/>
              </w:rPr>
            </w:pPr>
            <w:r w:rsidRPr="00905409">
              <w:rPr>
                <w:rFonts w:ascii="Arial" w:hAnsi="Arial" w:cs="Arial"/>
                <w:color w:val="000080"/>
                <w:spacing w:val="-3"/>
                <w:szCs w:val="24"/>
              </w:rPr>
              <w:t>PENNSYLVANIA PUBLIC UTILITY COMMISSION</w:t>
            </w:r>
          </w:p>
          <w:p w:rsidR="005D711E" w:rsidRPr="00905409" w:rsidRDefault="005D711E" w:rsidP="00905409">
            <w:pPr>
              <w:jc w:val="center"/>
              <w:rPr>
                <w:rFonts w:ascii="Arial" w:hAnsi="Arial" w:cs="Arial"/>
                <w:szCs w:val="24"/>
              </w:rPr>
            </w:pPr>
            <w:r w:rsidRPr="00905409">
              <w:rPr>
                <w:rFonts w:ascii="Arial" w:hAnsi="Arial" w:cs="Arial"/>
                <w:color w:val="000080"/>
                <w:spacing w:val="-3"/>
                <w:szCs w:val="24"/>
              </w:rPr>
              <w:t>P.O. BOX 3265, HARRISBURG, PA 17105-3265</w:t>
            </w:r>
          </w:p>
        </w:tc>
        <w:tc>
          <w:tcPr>
            <w:tcW w:w="1452" w:type="dxa"/>
          </w:tcPr>
          <w:p w:rsidR="005D711E" w:rsidRPr="00905409" w:rsidRDefault="005D711E" w:rsidP="00905409">
            <w:pPr>
              <w:rPr>
                <w:rFonts w:ascii="Arial" w:hAnsi="Arial" w:cs="Arial"/>
                <w:szCs w:val="24"/>
              </w:rPr>
            </w:pPr>
          </w:p>
          <w:p w:rsidR="005D711E" w:rsidRPr="00905409" w:rsidRDefault="005D711E" w:rsidP="00905409">
            <w:pPr>
              <w:rPr>
                <w:rFonts w:ascii="Arial" w:hAnsi="Arial" w:cs="Arial"/>
                <w:szCs w:val="24"/>
              </w:rPr>
            </w:pPr>
          </w:p>
          <w:p w:rsidR="005D711E" w:rsidRPr="00905409" w:rsidRDefault="005D711E" w:rsidP="00905409">
            <w:pPr>
              <w:jc w:val="center"/>
              <w:rPr>
                <w:rFonts w:ascii="Arial" w:hAnsi="Arial" w:cs="Arial"/>
                <w:szCs w:val="24"/>
              </w:rPr>
            </w:pPr>
            <w:r w:rsidRPr="00905409">
              <w:rPr>
                <w:rFonts w:ascii="Arial" w:hAnsi="Arial" w:cs="Arial"/>
                <w:b/>
                <w:spacing w:val="-1"/>
                <w:sz w:val="16"/>
                <w:szCs w:val="24"/>
              </w:rPr>
              <w:t>IN REPLY PLEASE REFER TO OUR FILE</w:t>
            </w:r>
          </w:p>
        </w:tc>
      </w:tr>
    </w:tbl>
    <w:p w:rsidR="005D711E" w:rsidRPr="00905409" w:rsidRDefault="005D711E" w:rsidP="00905409">
      <w:pPr>
        <w:pStyle w:val="Heading1"/>
        <w:tabs>
          <w:tab w:val="clear" w:pos="4680"/>
        </w:tabs>
        <w:jc w:val="left"/>
        <w:rPr>
          <w:rFonts w:ascii="Arial" w:hAnsi="Arial" w:cs="Arial"/>
          <w:szCs w:val="24"/>
        </w:rPr>
      </w:pPr>
    </w:p>
    <w:p w:rsidR="007B3D99" w:rsidRPr="004D5A09" w:rsidRDefault="007B3D99" w:rsidP="007B3D99">
      <w:pPr>
        <w:pStyle w:val="Heading1"/>
        <w:tabs>
          <w:tab w:val="clear" w:pos="4680"/>
        </w:tabs>
        <w:rPr>
          <w:rFonts w:ascii="Arial" w:hAnsi="Arial" w:cs="Arial"/>
          <w:sz w:val="26"/>
          <w:szCs w:val="26"/>
          <w:u w:val="none"/>
        </w:rPr>
      </w:pPr>
      <w:r w:rsidRPr="004D5A09">
        <w:rPr>
          <w:rFonts w:ascii="Arial" w:hAnsi="Arial" w:cs="Arial"/>
          <w:sz w:val="26"/>
          <w:szCs w:val="26"/>
          <w:u w:val="none"/>
        </w:rPr>
        <w:t>INDEPENDENT AUDITOR'S REPORT</w:t>
      </w:r>
    </w:p>
    <w:p w:rsidR="007B3D99" w:rsidRPr="004D5A09" w:rsidRDefault="007B3D99" w:rsidP="007B3D99">
      <w:pPr>
        <w:suppressAutoHyphens/>
        <w:rPr>
          <w:rFonts w:ascii="Arial" w:hAnsi="Arial" w:cs="Arial"/>
          <w:b/>
          <w:sz w:val="26"/>
          <w:szCs w:val="26"/>
        </w:rPr>
      </w:pPr>
    </w:p>
    <w:p w:rsidR="007B3D99" w:rsidRPr="004D5A09" w:rsidRDefault="007B3D99" w:rsidP="007B3D99">
      <w:pPr>
        <w:pStyle w:val="Heading1"/>
        <w:tabs>
          <w:tab w:val="clear" w:pos="4680"/>
        </w:tabs>
        <w:rPr>
          <w:rFonts w:ascii="Arial" w:hAnsi="Arial" w:cs="Arial"/>
          <w:sz w:val="26"/>
          <w:szCs w:val="26"/>
          <w:u w:val="none"/>
        </w:rPr>
      </w:pPr>
      <w:r w:rsidRPr="004D5A09">
        <w:rPr>
          <w:rFonts w:ascii="Arial" w:hAnsi="Arial" w:cs="Arial"/>
          <w:sz w:val="26"/>
          <w:szCs w:val="26"/>
          <w:u w:val="none"/>
        </w:rPr>
        <w:t>To The Pennsylvania Public Utility Commission</w:t>
      </w:r>
    </w:p>
    <w:p w:rsidR="007B3D99" w:rsidRPr="001D73AB" w:rsidRDefault="007B3D99" w:rsidP="007B3D99">
      <w:pPr>
        <w:suppressAutoHyphens/>
        <w:rPr>
          <w:rFonts w:ascii="Arial" w:hAnsi="Arial" w:cs="Arial"/>
          <w:sz w:val="26"/>
          <w:szCs w:val="26"/>
        </w:rPr>
      </w:pPr>
    </w:p>
    <w:p w:rsidR="007B3D99" w:rsidRDefault="007B3D99" w:rsidP="007B3D99">
      <w:pPr>
        <w:suppressAutoHyphens/>
        <w:ind w:firstLine="720"/>
        <w:rPr>
          <w:rFonts w:ascii="Arial" w:hAnsi="Arial" w:cs="Arial"/>
          <w:szCs w:val="24"/>
        </w:rPr>
      </w:pPr>
    </w:p>
    <w:p w:rsidR="007B3D99" w:rsidRPr="00A377AC" w:rsidRDefault="007B3D99" w:rsidP="007B3D99">
      <w:pPr>
        <w:rPr>
          <w:rFonts w:ascii="Arial" w:hAnsi="Arial" w:cs="Arial"/>
          <w:b/>
          <w:bCs/>
          <w:szCs w:val="24"/>
        </w:rPr>
      </w:pPr>
      <w:r w:rsidRPr="00A377AC">
        <w:rPr>
          <w:rFonts w:ascii="Arial" w:hAnsi="Arial" w:cs="Arial"/>
          <w:b/>
          <w:bCs/>
          <w:szCs w:val="24"/>
        </w:rPr>
        <w:t>Re</w:t>
      </w:r>
      <w:r w:rsidR="00AE3D81">
        <w:rPr>
          <w:rFonts w:ascii="Arial" w:hAnsi="Arial" w:cs="Arial"/>
          <w:b/>
          <w:bCs/>
          <w:szCs w:val="24"/>
        </w:rPr>
        <w:t>port on the Financial Statement</w:t>
      </w:r>
    </w:p>
    <w:p w:rsidR="007B3D99" w:rsidRPr="00A377AC" w:rsidRDefault="007B3D99" w:rsidP="007B3D99">
      <w:pPr>
        <w:rPr>
          <w:rFonts w:ascii="Arial" w:hAnsi="Arial" w:cs="Arial"/>
          <w:b/>
          <w:bCs/>
          <w:szCs w:val="24"/>
        </w:rPr>
      </w:pPr>
    </w:p>
    <w:p w:rsidR="007B3D99" w:rsidRPr="00A377AC" w:rsidRDefault="007B3D99" w:rsidP="007B3D99">
      <w:pPr>
        <w:rPr>
          <w:rFonts w:ascii="Arial" w:hAnsi="Arial" w:cs="Arial"/>
          <w:szCs w:val="24"/>
        </w:rPr>
      </w:pPr>
      <w:r w:rsidRPr="00A377AC">
        <w:rPr>
          <w:szCs w:val="24"/>
        </w:rPr>
        <w:tab/>
      </w:r>
      <w:r w:rsidRPr="00A377AC">
        <w:rPr>
          <w:rFonts w:ascii="Arial" w:hAnsi="Arial" w:cs="Arial"/>
          <w:szCs w:val="24"/>
        </w:rPr>
        <w:t xml:space="preserve">We have audited </w:t>
      </w:r>
      <w:r>
        <w:rPr>
          <w:rFonts w:ascii="Arial" w:hAnsi="Arial" w:cs="Arial"/>
          <w:szCs w:val="24"/>
        </w:rPr>
        <w:t>PPL Electric Utilities Corporation’s Statement</w:t>
      </w:r>
      <w:r w:rsidRPr="00A377AC">
        <w:rPr>
          <w:rFonts w:ascii="Arial" w:hAnsi="Arial" w:cs="Arial"/>
          <w:szCs w:val="24"/>
        </w:rPr>
        <w:t xml:space="preserve"> of </w:t>
      </w:r>
      <w:r>
        <w:rPr>
          <w:rFonts w:ascii="Arial" w:hAnsi="Arial" w:cs="Arial"/>
          <w:szCs w:val="24"/>
        </w:rPr>
        <w:t>Generation Supply Charge - 1 Over/Under Collection</w:t>
      </w:r>
      <w:r w:rsidR="00F54BC8">
        <w:rPr>
          <w:rFonts w:ascii="Arial" w:hAnsi="Arial" w:cs="Arial"/>
          <w:szCs w:val="24"/>
        </w:rPr>
        <w:t>s</w:t>
      </w:r>
      <w:r w:rsidRPr="00A377AC">
        <w:rPr>
          <w:rFonts w:ascii="Arial" w:hAnsi="Arial" w:cs="Arial"/>
          <w:szCs w:val="24"/>
        </w:rPr>
        <w:t xml:space="preserve"> (Section 1307(e)) for the twelve months ended </w:t>
      </w:r>
      <w:r>
        <w:rPr>
          <w:rFonts w:ascii="Arial" w:hAnsi="Arial" w:cs="Arial"/>
          <w:szCs w:val="24"/>
        </w:rPr>
        <w:t>April</w:t>
      </w:r>
      <w:r w:rsidRPr="00A377AC">
        <w:rPr>
          <w:rFonts w:ascii="Arial" w:hAnsi="Arial" w:cs="Arial"/>
          <w:szCs w:val="24"/>
        </w:rPr>
        <w:t xml:space="preserve"> 30, 2013</w:t>
      </w:r>
      <w:r>
        <w:rPr>
          <w:rFonts w:ascii="Arial" w:hAnsi="Arial" w:cs="Arial"/>
          <w:szCs w:val="24"/>
        </w:rPr>
        <w:t>.</w:t>
      </w:r>
    </w:p>
    <w:p w:rsidR="007B3D99" w:rsidRPr="00A377AC" w:rsidRDefault="007B3D99" w:rsidP="007B3D99">
      <w:pPr>
        <w:rPr>
          <w:rFonts w:ascii="Arial" w:hAnsi="Arial" w:cs="Arial"/>
          <w:i/>
          <w:szCs w:val="24"/>
        </w:rPr>
      </w:pPr>
    </w:p>
    <w:p w:rsidR="007B3D99" w:rsidRPr="00A377AC" w:rsidRDefault="007B3D99" w:rsidP="007B3D99">
      <w:pPr>
        <w:rPr>
          <w:rFonts w:ascii="Arial" w:hAnsi="Arial" w:cs="Arial"/>
          <w:szCs w:val="24"/>
        </w:rPr>
      </w:pPr>
      <w:r w:rsidRPr="00A377AC">
        <w:rPr>
          <w:rFonts w:ascii="Arial" w:hAnsi="Arial" w:cs="Arial"/>
          <w:b/>
          <w:bCs/>
          <w:iCs/>
          <w:szCs w:val="24"/>
        </w:rPr>
        <w:t>Management’s Responsibility for the Financial Statement</w:t>
      </w:r>
    </w:p>
    <w:p w:rsidR="007B3D99" w:rsidRPr="00A377AC" w:rsidRDefault="007B3D99" w:rsidP="007B3D99">
      <w:pPr>
        <w:rPr>
          <w:rFonts w:ascii="Arial" w:hAnsi="Arial" w:cs="Arial"/>
          <w:i/>
          <w:szCs w:val="24"/>
        </w:rPr>
      </w:pPr>
    </w:p>
    <w:p w:rsidR="007B3D99" w:rsidRPr="00A377AC" w:rsidRDefault="007B3D99" w:rsidP="007B3D99">
      <w:pPr>
        <w:ind w:firstLine="720"/>
        <w:rPr>
          <w:rFonts w:ascii="Arial" w:hAnsi="Arial" w:cs="Arial"/>
          <w:szCs w:val="24"/>
        </w:rPr>
      </w:pPr>
      <w:r w:rsidRPr="00A377AC">
        <w:rPr>
          <w:rFonts w:ascii="Arial" w:hAnsi="Arial" w:cs="Arial"/>
          <w:szCs w:val="24"/>
        </w:rPr>
        <w:t>Management is responsible for the preparation and fair presentation of th</w:t>
      </w:r>
      <w:r w:rsidR="00AE3D81">
        <w:rPr>
          <w:rFonts w:ascii="Arial" w:hAnsi="Arial" w:cs="Arial"/>
          <w:szCs w:val="24"/>
        </w:rPr>
        <w:t>is</w:t>
      </w:r>
      <w:r w:rsidRPr="00A377AC">
        <w:rPr>
          <w:rFonts w:ascii="Arial" w:hAnsi="Arial" w:cs="Arial"/>
          <w:szCs w:val="24"/>
        </w:rPr>
        <w:t xml:space="preserve"> statement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7B3D99" w:rsidRPr="00A377AC" w:rsidRDefault="007B3D99" w:rsidP="007B3D99">
      <w:pPr>
        <w:rPr>
          <w:rFonts w:ascii="Arial" w:hAnsi="Arial" w:cs="Arial"/>
          <w:i/>
          <w:szCs w:val="24"/>
        </w:rPr>
      </w:pPr>
    </w:p>
    <w:p w:rsidR="007B3D99" w:rsidRPr="00A377AC" w:rsidRDefault="007B3D99" w:rsidP="007B3D99">
      <w:pPr>
        <w:rPr>
          <w:rFonts w:ascii="Arial" w:hAnsi="Arial" w:cs="Arial"/>
          <w:b/>
          <w:bCs/>
          <w:iCs/>
          <w:szCs w:val="24"/>
        </w:rPr>
      </w:pPr>
      <w:r w:rsidRPr="00A377AC">
        <w:rPr>
          <w:rFonts w:ascii="Arial" w:hAnsi="Arial" w:cs="Arial"/>
          <w:b/>
          <w:bCs/>
          <w:iCs/>
          <w:szCs w:val="24"/>
        </w:rPr>
        <w:t>Auditor’s Responsibility</w:t>
      </w:r>
    </w:p>
    <w:p w:rsidR="007B3D99" w:rsidRPr="00A377AC" w:rsidRDefault="007B3D99" w:rsidP="007B3D99">
      <w:pPr>
        <w:rPr>
          <w:rFonts w:ascii="Arial" w:hAnsi="Arial" w:cs="Arial"/>
          <w:szCs w:val="24"/>
        </w:rPr>
      </w:pPr>
    </w:p>
    <w:p w:rsidR="007B3D99" w:rsidRPr="00A377AC" w:rsidRDefault="007B3D99" w:rsidP="007B3D99">
      <w:pPr>
        <w:ind w:firstLine="720"/>
        <w:rPr>
          <w:rFonts w:ascii="Arial" w:hAnsi="Arial" w:cs="Arial"/>
          <w:szCs w:val="24"/>
        </w:rPr>
      </w:pPr>
      <w:r w:rsidRPr="00A377AC">
        <w:rPr>
          <w:rFonts w:ascii="Arial" w:hAnsi="Arial" w:cs="Arial"/>
          <w:szCs w:val="24"/>
        </w:rPr>
        <w:t>Our responsibility is to express an opinion on th</w:t>
      </w:r>
      <w:r w:rsidR="00AE3D81">
        <w:rPr>
          <w:rFonts w:ascii="Arial" w:hAnsi="Arial" w:cs="Arial"/>
          <w:szCs w:val="24"/>
        </w:rPr>
        <w:t>is</w:t>
      </w:r>
      <w:r w:rsidRPr="00A377AC">
        <w:rPr>
          <w:rFonts w:ascii="Arial" w:hAnsi="Arial" w:cs="Arial"/>
          <w:szCs w:val="24"/>
        </w:rPr>
        <w:t xml:space="preserve"> statement based on our </w:t>
      </w:r>
      <w:r w:rsidR="00F54BC8">
        <w:rPr>
          <w:rFonts w:ascii="Arial" w:hAnsi="Arial" w:cs="Arial"/>
          <w:szCs w:val="24"/>
        </w:rPr>
        <w:t>audit.  We conducted our audit</w:t>
      </w:r>
      <w:r w:rsidRPr="00A377AC">
        <w:rPr>
          <w:rFonts w:ascii="Arial" w:hAnsi="Arial" w:cs="Arial"/>
          <w:szCs w:val="24"/>
        </w:rPr>
        <w:t xml:space="preserve"> in accordance with auditing standards generally accepted in the United States of America.</w:t>
      </w:r>
      <w:r w:rsidR="007C5374">
        <w:rPr>
          <w:rFonts w:ascii="Arial" w:hAnsi="Arial" w:cs="Arial"/>
          <w:szCs w:val="24"/>
        </w:rPr>
        <w:t xml:space="preserve"> </w:t>
      </w:r>
      <w:r w:rsidRPr="00A377AC">
        <w:rPr>
          <w:rFonts w:ascii="Arial" w:hAnsi="Arial" w:cs="Arial"/>
          <w:szCs w:val="24"/>
        </w:rPr>
        <w:t xml:space="preserve"> Those standards require that we plan and perform the audit to obtain reasonable assurance about whether th</w:t>
      </w:r>
      <w:r w:rsidR="00AE3D81">
        <w:rPr>
          <w:rFonts w:ascii="Arial" w:hAnsi="Arial" w:cs="Arial"/>
          <w:szCs w:val="24"/>
        </w:rPr>
        <w:t>i</w:t>
      </w:r>
      <w:r w:rsidRPr="00A377AC">
        <w:rPr>
          <w:rFonts w:ascii="Arial" w:hAnsi="Arial" w:cs="Arial"/>
          <w:szCs w:val="24"/>
        </w:rPr>
        <w:t xml:space="preserve">s statement </w:t>
      </w:r>
      <w:r w:rsidR="00AE3D81">
        <w:rPr>
          <w:rFonts w:ascii="Arial" w:hAnsi="Arial" w:cs="Arial"/>
          <w:szCs w:val="24"/>
        </w:rPr>
        <w:t>is</w:t>
      </w:r>
      <w:r w:rsidRPr="00A377AC">
        <w:rPr>
          <w:rFonts w:ascii="Arial" w:hAnsi="Arial" w:cs="Arial"/>
          <w:szCs w:val="24"/>
        </w:rPr>
        <w:t xml:space="preserve"> free from material misstatement.  An audit involves performing procedures to obtain audit evidence about the amounts and disclosures in th</w:t>
      </w:r>
      <w:r w:rsidR="00AE3D81">
        <w:rPr>
          <w:rFonts w:ascii="Arial" w:hAnsi="Arial" w:cs="Arial"/>
          <w:szCs w:val="24"/>
        </w:rPr>
        <w:t>i</w:t>
      </w:r>
      <w:r w:rsidRPr="00A377AC">
        <w:rPr>
          <w:rFonts w:ascii="Arial" w:hAnsi="Arial" w:cs="Arial"/>
          <w:szCs w:val="24"/>
        </w:rPr>
        <w:t>s statement.  The procedures selected depend on the auditor’s judgment, including the assessment of the risks of material misstatement of th</w:t>
      </w:r>
      <w:r w:rsidR="00AC3F54">
        <w:rPr>
          <w:rFonts w:ascii="Arial" w:hAnsi="Arial" w:cs="Arial"/>
          <w:szCs w:val="24"/>
        </w:rPr>
        <w:t>is</w:t>
      </w:r>
      <w:r w:rsidRPr="00A377AC">
        <w:rPr>
          <w:rFonts w:ascii="Arial" w:hAnsi="Arial" w:cs="Arial"/>
          <w:szCs w:val="24"/>
        </w:rPr>
        <w:t xml:space="preserve"> statement, whether due to fraud or error.  In making those risk assessments, the auditor considers internal control relevant to the entity’s preparatio</w:t>
      </w:r>
      <w:r w:rsidR="007C5374">
        <w:rPr>
          <w:rFonts w:ascii="Arial" w:hAnsi="Arial" w:cs="Arial"/>
          <w:szCs w:val="24"/>
        </w:rPr>
        <w:t>n and fair presentation of this</w:t>
      </w:r>
      <w:r w:rsidRPr="00A377AC">
        <w:rPr>
          <w:rFonts w:ascii="Arial" w:hAnsi="Arial" w:cs="Arial"/>
          <w:szCs w:val="24"/>
        </w:rPr>
        <w:t xml:space="preserve"> statement in order to design audit procedures that are appropriate in the circumstances, but not for the purpose of expressing an opinion on the effectiveness of the entity’s internal control.  An audit also includes evaluating the appropriateness of accounting policies used and the reasonableness of significant accounting estimates made by management, as well as evaluating the overall presentation of th</w:t>
      </w:r>
      <w:r w:rsidR="00AE3D81">
        <w:rPr>
          <w:rFonts w:ascii="Arial" w:hAnsi="Arial" w:cs="Arial"/>
          <w:szCs w:val="24"/>
        </w:rPr>
        <w:t>i</w:t>
      </w:r>
      <w:r w:rsidRPr="00A377AC">
        <w:rPr>
          <w:rFonts w:ascii="Arial" w:hAnsi="Arial" w:cs="Arial"/>
          <w:szCs w:val="24"/>
        </w:rPr>
        <w:t>s statemen</w:t>
      </w:r>
      <w:r w:rsidR="00AE3D81">
        <w:rPr>
          <w:rFonts w:ascii="Arial" w:hAnsi="Arial" w:cs="Arial"/>
          <w:szCs w:val="24"/>
        </w:rPr>
        <w:t>t</w:t>
      </w:r>
      <w:r w:rsidRPr="00A377AC">
        <w:rPr>
          <w:rFonts w:ascii="Arial" w:hAnsi="Arial" w:cs="Arial"/>
          <w:szCs w:val="24"/>
        </w:rPr>
        <w:t>.  We believe that the audit evidence we have obtained is sufficient and appropriate to provide a basis for our audit opinion.</w:t>
      </w:r>
    </w:p>
    <w:p w:rsidR="000D2F7D" w:rsidRDefault="000D2F7D" w:rsidP="007B3D99">
      <w:pPr>
        <w:rPr>
          <w:rFonts w:ascii="Arial" w:hAnsi="Arial" w:cs="Arial"/>
          <w:b/>
          <w:bCs/>
          <w:iCs/>
          <w:szCs w:val="24"/>
        </w:rPr>
        <w:sectPr w:rsidR="000D2F7D" w:rsidSect="006F568F">
          <w:headerReference w:type="even" r:id="rId24"/>
          <w:headerReference w:type="default" r:id="rId25"/>
          <w:footerReference w:type="default" r:id="rId26"/>
          <w:headerReference w:type="first" r:id="rId27"/>
          <w:endnotePr>
            <w:numFmt w:val="decimal"/>
          </w:endnotePr>
          <w:pgSz w:w="12240" w:h="15840" w:code="1"/>
          <w:pgMar w:top="1440" w:right="1440" w:bottom="1152" w:left="1440" w:header="0" w:footer="720" w:gutter="0"/>
          <w:pgNumType w:fmt="numberInDash" w:start="1"/>
          <w:cols w:space="720"/>
          <w:noEndnote/>
        </w:sectPr>
      </w:pPr>
    </w:p>
    <w:p w:rsidR="007B3D99" w:rsidRPr="00A377AC" w:rsidRDefault="007B3D99" w:rsidP="007B3D99">
      <w:pPr>
        <w:rPr>
          <w:rFonts w:ascii="Arial" w:hAnsi="Arial" w:cs="Arial"/>
          <w:szCs w:val="24"/>
        </w:rPr>
      </w:pPr>
      <w:r w:rsidRPr="00A377AC">
        <w:rPr>
          <w:rFonts w:ascii="Arial" w:hAnsi="Arial" w:cs="Arial"/>
          <w:b/>
          <w:bCs/>
          <w:iCs/>
          <w:szCs w:val="24"/>
        </w:rPr>
        <w:lastRenderedPageBreak/>
        <w:t>Opinion</w:t>
      </w:r>
    </w:p>
    <w:p w:rsidR="007B3D99" w:rsidRPr="00A377AC" w:rsidRDefault="007B3D99" w:rsidP="007B3D99">
      <w:pPr>
        <w:rPr>
          <w:rFonts w:ascii="Arial" w:hAnsi="Arial" w:cs="Arial"/>
          <w:szCs w:val="24"/>
        </w:rPr>
      </w:pPr>
    </w:p>
    <w:p w:rsidR="007B3D99" w:rsidRPr="00A377AC" w:rsidRDefault="007B3D99" w:rsidP="007B3D99">
      <w:pPr>
        <w:ind w:firstLine="720"/>
        <w:rPr>
          <w:rFonts w:ascii="Arial" w:hAnsi="Arial" w:cs="Arial"/>
          <w:szCs w:val="24"/>
        </w:rPr>
      </w:pPr>
      <w:r w:rsidRPr="00A377AC">
        <w:rPr>
          <w:rFonts w:ascii="Arial" w:hAnsi="Arial" w:cs="Arial"/>
          <w:szCs w:val="24"/>
        </w:rPr>
        <w:t xml:space="preserve">In our opinion, the </w:t>
      </w:r>
      <w:r>
        <w:rPr>
          <w:rFonts w:ascii="Arial" w:hAnsi="Arial" w:cs="Arial"/>
          <w:szCs w:val="24"/>
        </w:rPr>
        <w:t xml:space="preserve">information set forth in the accompanying condensed Statement of Generation Supply Charge - 1 Over/Under Collections </w:t>
      </w:r>
      <w:r w:rsidRPr="00A377AC">
        <w:rPr>
          <w:rFonts w:ascii="Arial" w:hAnsi="Arial" w:cs="Arial"/>
          <w:szCs w:val="24"/>
        </w:rPr>
        <w:t xml:space="preserve">for the twelve months ended </w:t>
      </w:r>
      <w:r>
        <w:rPr>
          <w:rFonts w:ascii="Arial" w:hAnsi="Arial" w:cs="Arial"/>
          <w:szCs w:val="24"/>
        </w:rPr>
        <w:t>April</w:t>
      </w:r>
      <w:r w:rsidRPr="00A377AC">
        <w:rPr>
          <w:rFonts w:ascii="Arial" w:hAnsi="Arial" w:cs="Arial"/>
          <w:szCs w:val="24"/>
        </w:rPr>
        <w:t xml:space="preserve"> 30, 2013 </w:t>
      </w:r>
      <w:r>
        <w:rPr>
          <w:rFonts w:ascii="Arial" w:hAnsi="Arial" w:cs="Arial"/>
          <w:szCs w:val="24"/>
        </w:rPr>
        <w:t>of PPL Electric Utilities Corporation</w:t>
      </w:r>
      <w:r w:rsidRPr="00A377AC">
        <w:rPr>
          <w:rFonts w:ascii="Arial" w:hAnsi="Arial" w:cs="Arial"/>
          <w:szCs w:val="24"/>
        </w:rPr>
        <w:t xml:space="preserve"> present</w:t>
      </w:r>
      <w:r>
        <w:rPr>
          <w:rFonts w:ascii="Arial" w:hAnsi="Arial" w:cs="Arial"/>
          <w:szCs w:val="24"/>
        </w:rPr>
        <w:t>s</w:t>
      </w:r>
      <w:r w:rsidRPr="00A377AC">
        <w:rPr>
          <w:rFonts w:ascii="Arial" w:hAnsi="Arial" w:cs="Arial"/>
          <w:szCs w:val="24"/>
        </w:rPr>
        <w:t xml:space="preserve"> fairly, in all material respects, </w:t>
      </w:r>
      <w:r>
        <w:rPr>
          <w:rFonts w:ascii="Arial" w:hAnsi="Arial" w:cs="Arial"/>
          <w:szCs w:val="24"/>
        </w:rPr>
        <w:t>in relation to the audited financial statement from which it has been derived</w:t>
      </w:r>
      <w:r w:rsidRPr="00A377AC">
        <w:rPr>
          <w:rFonts w:ascii="Arial" w:hAnsi="Arial" w:cs="Arial"/>
          <w:szCs w:val="24"/>
        </w:rPr>
        <w:t>.</w:t>
      </w:r>
    </w:p>
    <w:p w:rsidR="007B3D99" w:rsidRPr="00A377AC" w:rsidRDefault="007B3D99" w:rsidP="007B3D99">
      <w:pPr>
        <w:rPr>
          <w:szCs w:val="24"/>
        </w:rPr>
      </w:pPr>
    </w:p>
    <w:p w:rsidR="007B3D99" w:rsidRPr="00A377AC" w:rsidRDefault="007B3D99" w:rsidP="007B3D99">
      <w:pPr>
        <w:rPr>
          <w:rFonts w:ascii="Arial" w:hAnsi="Arial" w:cs="Arial"/>
          <w:szCs w:val="24"/>
        </w:rPr>
      </w:pPr>
    </w:p>
    <w:p w:rsidR="007B3D99" w:rsidRPr="00A377AC" w:rsidRDefault="007B3D99" w:rsidP="007B3D99">
      <w:pPr>
        <w:rPr>
          <w:rFonts w:ascii="Arial" w:hAnsi="Arial" w:cs="Arial"/>
          <w:szCs w:val="24"/>
        </w:rPr>
      </w:pPr>
      <w:r w:rsidRPr="00A377AC">
        <w:rPr>
          <w:rFonts w:ascii="Arial" w:hAnsi="Arial" w:cs="Arial"/>
          <w:b/>
          <w:bCs/>
          <w:szCs w:val="24"/>
        </w:rPr>
        <w:t>Report on Other Legal and Regulatory Requirements</w:t>
      </w:r>
    </w:p>
    <w:p w:rsidR="007B3D99" w:rsidRPr="00A377AC" w:rsidRDefault="007B3D99" w:rsidP="007B3D99">
      <w:pPr>
        <w:rPr>
          <w:rFonts w:ascii="Arial" w:hAnsi="Arial" w:cs="Arial"/>
          <w:szCs w:val="24"/>
        </w:rPr>
      </w:pPr>
    </w:p>
    <w:p w:rsidR="007B3D99" w:rsidRPr="00A377AC" w:rsidRDefault="00B323DA" w:rsidP="007B3D99">
      <w:pPr>
        <w:rPr>
          <w:rFonts w:ascii="Arial" w:hAnsi="Arial" w:cs="Arial"/>
          <w:szCs w:val="24"/>
        </w:rPr>
      </w:pPr>
      <w:r>
        <w:rPr>
          <w:rFonts w:ascii="Arial" w:hAnsi="Arial" w:cs="Arial"/>
          <w:szCs w:val="24"/>
        </w:rPr>
        <w:tab/>
        <w:t>The accompanying statement</w:t>
      </w:r>
      <w:r w:rsidR="007B3D99" w:rsidRPr="00A377AC">
        <w:rPr>
          <w:rFonts w:ascii="Arial" w:hAnsi="Arial" w:cs="Arial"/>
          <w:szCs w:val="24"/>
        </w:rPr>
        <w:t xml:space="preserve"> w</w:t>
      </w:r>
      <w:r>
        <w:rPr>
          <w:rFonts w:ascii="Arial" w:hAnsi="Arial" w:cs="Arial"/>
          <w:szCs w:val="24"/>
        </w:rPr>
        <w:t>as</w:t>
      </w:r>
      <w:r w:rsidR="007B3D99" w:rsidRPr="00A377AC">
        <w:rPr>
          <w:rFonts w:ascii="Arial" w:hAnsi="Arial" w:cs="Arial"/>
          <w:szCs w:val="24"/>
        </w:rPr>
        <w:t xml:space="preserve"> prepared for the purpose of complying with the rules and regulations of the Pennsylvania P</w:t>
      </w:r>
      <w:r w:rsidR="0043144C">
        <w:rPr>
          <w:rFonts w:ascii="Arial" w:hAnsi="Arial" w:cs="Arial"/>
          <w:szCs w:val="24"/>
        </w:rPr>
        <w:t>ublic Utility Commission and is</w:t>
      </w:r>
      <w:r w:rsidR="007B3D99" w:rsidRPr="00A377AC">
        <w:rPr>
          <w:rFonts w:ascii="Arial" w:hAnsi="Arial" w:cs="Arial"/>
          <w:szCs w:val="24"/>
        </w:rPr>
        <w:t xml:space="preserve"> not intended to be a complete presentation of the Company’s revenues and expenses.</w:t>
      </w:r>
    </w:p>
    <w:p w:rsidR="007B3D99" w:rsidRPr="00A377AC" w:rsidRDefault="007B3D99" w:rsidP="007B3D99">
      <w:pPr>
        <w:rPr>
          <w:rFonts w:ascii="Arial" w:hAnsi="Arial" w:cs="Arial"/>
          <w:szCs w:val="24"/>
        </w:rPr>
      </w:pPr>
    </w:p>
    <w:p w:rsidR="007B3D99" w:rsidRPr="00A377AC" w:rsidRDefault="007B3D99" w:rsidP="007B3D99">
      <w:pPr>
        <w:rPr>
          <w:rFonts w:ascii="Arial" w:hAnsi="Arial" w:cs="Arial"/>
          <w:szCs w:val="24"/>
        </w:rPr>
      </w:pPr>
    </w:p>
    <w:p w:rsidR="007B3D99" w:rsidRPr="00A377AC" w:rsidRDefault="007B3D99" w:rsidP="007B3D99">
      <w:pPr>
        <w:rPr>
          <w:rFonts w:ascii="Arial" w:hAnsi="Arial" w:cs="Arial"/>
          <w:szCs w:val="24"/>
        </w:rPr>
      </w:pPr>
    </w:p>
    <w:p w:rsidR="000157D7" w:rsidRDefault="007B3D99" w:rsidP="007B3D99">
      <w:pPr>
        <w:tabs>
          <w:tab w:val="left" w:pos="5400"/>
        </w:tabs>
        <w:rPr>
          <w:szCs w:val="24"/>
        </w:rPr>
      </w:pPr>
      <w:r w:rsidRPr="00A377AC">
        <w:rPr>
          <w:szCs w:val="24"/>
        </w:rPr>
        <w:tab/>
      </w:r>
    </w:p>
    <w:p w:rsidR="000157D7" w:rsidRDefault="000157D7" w:rsidP="007B3D99">
      <w:pPr>
        <w:tabs>
          <w:tab w:val="left" w:pos="5400"/>
        </w:tabs>
        <w:rPr>
          <w:szCs w:val="24"/>
        </w:rPr>
      </w:pPr>
    </w:p>
    <w:p w:rsidR="000157D7" w:rsidRDefault="000157D7" w:rsidP="007B3D99">
      <w:pPr>
        <w:tabs>
          <w:tab w:val="left" w:pos="5400"/>
        </w:tabs>
        <w:rPr>
          <w:szCs w:val="24"/>
        </w:rPr>
      </w:pPr>
    </w:p>
    <w:p w:rsidR="007B3D99" w:rsidRPr="00A377AC" w:rsidRDefault="000157D7" w:rsidP="007B3D99">
      <w:pPr>
        <w:tabs>
          <w:tab w:val="left" w:pos="5400"/>
        </w:tabs>
        <w:rPr>
          <w:rFonts w:ascii="Arial" w:hAnsi="Arial" w:cs="Arial"/>
          <w:szCs w:val="24"/>
        </w:rPr>
      </w:pPr>
      <w:r>
        <w:rPr>
          <w:szCs w:val="24"/>
        </w:rPr>
        <w:tab/>
      </w:r>
      <w:r w:rsidR="007B3D99">
        <w:rPr>
          <w:rFonts w:ascii="Arial" w:hAnsi="Arial" w:cs="Arial"/>
          <w:szCs w:val="24"/>
        </w:rPr>
        <w:t>Dennis P. Hosler</w:t>
      </w:r>
      <w:r w:rsidR="007B3D99" w:rsidRPr="00A377AC">
        <w:rPr>
          <w:rFonts w:ascii="Arial" w:hAnsi="Arial" w:cs="Arial"/>
          <w:szCs w:val="24"/>
        </w:rPr>
        <w:t>, CPA</w:t>
      </w:r>
    </w:p>
    <w:p w:rsidR="007B3D99" w:rsidRPr="00A377AC" w:rsidRDefault="007B3D99" w:rsidP="007B3D99">
      <w:pPr>
        <w:tabs>
          <w:tab w:val="left" w:pos="5400"/>
        </w:tabs>
        <w:rPr>
          <w:rFonts w:ascii="Arial" w:hAnsi="Arial" w:cs="Arial"/>
          <w:szCs w:val="24"/>
        </w:rPr>
      </w:pPr>
      <w:r w:rsidRPr="00A377AC">
        <w:rPr>
          <w:rFonts w:ascii="Arial" w:hAnsi="Arial" w:cs="Arial"/>
          <w:szCs w:val="24"/>
        </w:rPr>
        <w:tab/>
        <w:t>Director</w:t>
      </w:r>
    </w:p>
    <w:p w:rsidR="007B3D99" w:rsidRPr="00A377AC" w:rsidRDefault="007B3D99" w:rsidP="007B3D99">
      <w:pPr>
        <w:tabs>
          <w:tab w:val="left" w:pos="5400"/>
        </w:tabs>
        <w:rPr>
          <w:rFonts w:ascii="Arial" w:hAnsi="Arial" w:cs="Arial"/>
          <w:szCs w:val="24"/>
        </w:rPr>
      </w:pPr>
      <w:r w:rsidRPr="00A377AC">
        <w:rPr>
          <w:rFonts w:ascii="Arial" w:hAnsi="Arial" w:cs="Arial"/>
          <w:szCs w:val="24"/>
        </w:rPr>
        <w:tab/>
        <w:t>Bureau of Audits</w:t>
      </w:r>
    </w:p>
    <w:p w:rsidR="007B3D99" w:rsidRPr="00A377AC" w:rsidRDefault="007B3D99" w:rsidP="007B3D99">
      <w:pPr>
        <w:tabs>
          <w:tab w:val="left" w:pos="5400"/>
        </w:tabs>
        <w:rPr>
          <w:rFonts w:ascii="Arial" w:hAnsi="Arial" w:cs="Arial"/>
          <w:szCs w:val="24"/>
        </w:rPr>
      </w:pPr>
      <w:r w:rsidRPr="00A377AC">
        <w:rPr>
          <w:rFonts w:ascii="Arial" w:hAnsi="Arial" w:cs="Arial"/>
          <w:szCs w:val="24"/>
        </w:rPr>
        <w:tab/>
        <w:t>Harrisburg, PA</w:t>
      </w:r>
    </w:p>
    <w:p w:rsidR="007B3D99" w:rsidRPr="003B4AF8" w:rsidRDefault="007B3D99" w:rsidP="007B3D99">
      <w:pPr>
        <w:tabs>
          <w:tab w:val="left" w:pos="5400"/>
        </w:tabs>
        <w:rPr>
          <w:rFonts w:ascii="Arial" w:hAnsi="Arial" w:cs="Arial"/>
          <w:szCs w:val="24"/>
        </w:rPr>
      </w:pPr>
      <w:r w:rsidRPr="00A377AC">
        <w:rPr>
          <w:rFonts w:ascii="Arial" w:hAnsi="Arial" w:cs="Arial"/>
          <w:szCs w:val="24"/>
        </w:rPr>
        <w:tab/>
      </w:r>
      <w:r w:rsidR="003B4AF8">
        <w:rPr>
          <w:rFonts w:ascii="Arial" w:hAnsi="Arial" w:cs="Arial"/>
          <w:szCs w:val="24"/>
        </w:rPr>
        <w:t>December 19, 2014</w:t>
      </w:r>
      <w:bookmarkStart w:id="0" w:name="_GoBack"/>
      <w:bookmarkEnd w:id="0"/>
    </w:p>
    <w:p w:rsidR="0035149A" w:rsidRPr="00905409" w:rsidRDefault="0035149A" w:rsidP="0035149A">
      <w:pPr>
        <w:suppressAutoHyphens/>
        <w:rPr>
          <w:rFonts w:ascii="Arial" w:hAnsi="Arial" w:cs="Arial"/>
          <w:szCs w:val="24"/>
        </w:rPr>
      </w:pPr>
    </w:p>
    <w:p w:rsidR="00FA7E9F" w:rsidRDefault="00FA7E9F" w:rsidP="000577C0">
      <w:pPr>
        <w:tabs>
          <w:tab w:val="center" w:pos="4680"/>
        </w:tabs>
        <w:suppressAutoHyphens/>
        <w:jc w:val="center"/>
        <w:rPr>
          <w:rFonts w:ascii="Arial" w:hAnsi="Arial" w:cs="Arial"/>
          <w:b/>
          <w:sz w:val="26"/>
          <w:szCs w:val="26"/>
        </w:rPr>
        <w:sectPr w:rsidR="00FA7E9F" w:rsidSect="000D2F7D">
          <w:headerReference w:type="even" r:id="rId28"/>
          <w:headerReference w:type="default" r:id="rId29"/>
          <w:footerReference w:type="default" r:id="rId30"/>
          <w:headerReference w:type="first" r:id="rId31"/>
          <w:endnotePr>
            <w:numFmt w:val="decimal"/>
          </w:endnotePr>
          <w:pgSz w:w="12240" w:h="15840" w:code="1"/>
          <w:pgMar w:top="1440" w:right="1440" w:bottom="1152" w:left="1440" w:header="0" w:footer="720" w:gutter="0"/>
          <w:pgNumType w:fmt="numberInDash" w:start="2"/>
          <w:cols w:space="720"/>
          <w:noEndnote/>
        </w:sectPr>
      </w:pPr>
    </w:p>
    <w:p w:rsidR="000577C0" w:rsidRPr="00C00860" w:rsidRDefault="00235BB8" w:rsidP="000577C0">
      <w:pPr>
        <w:tabs>
          <w:tab w:val="center" w:pos="4680"/>
        </w:tabs>
        <w:suppressAutoHyphens/>
        <w:jc w:val="center"/>
        <w:rPr>
          <w:rFonts w:ascii="Arial" w:hAnsi="Arial" w:cs="Arial"/>
          <w:b/>
          <w:sz w:val="26"/>
          <w:szCs w:val="26"/>
        </w:rPr>
      </w:pPr>
      <w:r w:rsidRPr="00C00860">
        <w:rPr>
          <w:rFonts w:ascii="Arial" w:hAnsi="Arial" w:cs="Arial"/>
          <w:b/>
          <w:sz w:val="26"/>
          <w:szCs w:val="26"/>
        </w:rPr>
        <w:lastRenderedPageBreak/>
        <w:t>PPL ELECTRIC UTILITIES CORPORATION</w:t>
      </w:r>
    </w:p>
    <w:p w:rsidR="00E27849" w:rsidRDefault="00E27849" w:rsidP="00C00860">
      <w:pPr>
        <w:tabs>
          <w:tab w:val="center" w:pos="4680"/>
        </w:tabs>
        <w:suppressAutoHyphens/>
        <w:jc w:val="center"/>
        <w:rPr>
          <w:rFonts w:ascii="Arial" w:hAnsi="Arial" w:cs="Arial"/>
          <w:b/>
          <w:sz w:val="26"/>
          <w:szCs w:val="28"/>
        </w:rPr>
      </w:pPr>
    </w:p>
    <w:p w:rsidR="00C00860" w:rsidRDefault="00C00860" w:rsidP="00C00860">
      <w:pPr>
        <w:tabs>
          <w:tab w:val="center" w:pos="4680"/>
        </w:tabs>
        <w:suppressAutoHyphens/>
        <w:jc w:val="center"/>
        <w:rPr>
          <w:rFonts w:ascii="Arial" w:hAnsi="Arial" w:cs="Arial"/>
          <w:b/>
          <w:sz w:val="26"/>
          <w:szCs w:val="28"/>
        </w:rPr>
      </w:pPr>
      <w:r>
        <w:rPr>
          <w:rFonts w:ascii="Arial" w:hAnsi="Arial" w:cs="Arial"/>
          <w:b/>
          <w:sz w:val="26"/>
          <w:szCs w:val="28"/>
        </w:rPr>
        <w:t>Condensed (Note 1)</w:t>
      </w:r>
    </w:p>
    <w:p w:rsidR="00C00860" w:rsidRDefault="00C00860" w:rsidP="00C00860">
      <w:pPr>
        <w:tabs>
          <w:tab w:val="center" w:pos="4680"/>
        </w:tabs>
        <w:suppressAutoHyphens/>
        <w:jc w:val="center"/>
        <w:rPr>
          <w:rFonts w:ascii="Arial" w:hAnsi="Arial" w:cs="Arial"/>
          <w:b/>
          <w:sz w:val="26"/>
          <w:szCs w:val="28"/>
        </w:rPr>
      </w:pPr>
      <w:r w:rsidRPr="004A3BF2">
        <w:rPr>
          <w:rFonts w:ascii="Arial" w:hAnsi="Arial" w:cs="Arial"/>
          <w:b/>
          <w:sz w:val="26"/>
          <w:szCs w:val="28"/>
        </w:rPr>
        <w:t xml:space="preserve">Statement </w:t>
      </w:r>
      <w:proofErr w:type="gramStart"/>
      <w:r w:rsidRPr="004A3BF2">
        <w:rPr>
          <w:rFonts w:ascii="Arial" w:hAnsi="Arial" w:cs="Arial"/>
          <w:b/>
          <w:sz w:val="26"/>
          <w:szCs w:val="28"/>
        </w:rPr>
        <w:t>Of</w:t>
      </w:r>
      <w:proofErr w:type="gramEnd"/>
      <w:r>
        <w:rPr>
          <w:rFonts w:ascii="Arial" w:hAnsi="Arial" w:cs="Arial"/>
          <w:b/>
          <w:sz w:val="26"/>
          <w:szCs w:val="28"/>
        </w:rPr>
        <w:t xml:space="preserve"> </w:t>
      </w:r>
      <w:r w:rsidRPr="003D022F">
        <w:rPr>
          <w:rFonts w:ascii="Arial" w:hAnsi="Arial" w:cs="Arial"/>
          <w:b/>
          <w:sz w:val="26"/>
          <w:szCs w:val="28"/>
        </w:rPr>
        <w:t>Generation Supply Charge-</w:t>
      </w:r>
      <w:r w:rsidR="002A6E11">
        <w:rPr>
          <w:rFonts w:ascii="Arial" w:hAnsi="Arial" w:cs="Arial"/>
          <w:b/>
          <w:sz w:val="26"/>
          <w:szCs w:val="28"/>
        </w:rPr>
        <w:t>1</w:t>
      </w:r>
      <w:r>
        <w:rPr>
          <w:rFonts w:ascii="Arial" w:hAnsi="Arial" w:cs="Arial"/>
          <w:b/>
          <w:sz w:val="26"/>
          <w:szCs w:val="28"/>
        </w:rPr>
        <w:t xml:space="preserve"> (GSC-</w:t>
      </w:r>
      <w:r w:rsidR="002A6E11">
        <w:rPr>
          <w:rFonts w:ascii="Arial" w:hAnsi="Arial" w:cs="Arial"/>
          <w:b/>
          <w:sz w:val="26"/>
          <w:szCs w:val="28"/>
        </w:rPr>
        <w:t>1</w:t>
      </w:r>
      <w:r>
        <w:rPr>
          <w:rFonts w:ascii="Arial" w:hAnsi="Arial" w:cs="Arial"/>
          <w:b/>
          <w:sz w:val="26"/>
          <w:szCs w:val="28"/>
        </w:rPr>
        <w:t>)</w:t>
      </w:r>
      <w:r w:rsidRPr="003D022F">
        <w:rPr>
          <w:rFonts w:ascii="Arial" w:hAnsi="Arial" w:cs="Arial"/>
          <w:b/>
          <w:sz w:val="26"/>
          <w:szCs w:val="28"/>
        </w:rPr>
        <w:t xml:space="preserve"> </w:t>
      </w:r>
    </w:p>
    <w:p w:rsidR="00C00860" w:rsidRDefault="00C00860" w:rsidP="00C00860">
      <w:pPr>
        <w:tabs>
          <w:tab w:val="center" w:pos="4680"/>
        </w:tabs>
        <w:suppressAutoHyphens/>
        <w:jc w:val="center"/>
        <w:rPr>
          <w:rFonts w:ascii="Arial" w:hAnsi="Arial" w:cs="Arial"/>
          <w:b/>
          <w:sz w:val="26"/>
          <w:szCs w:val="28"/>
        </w:rPr>
      </w:pPr>
      <w:r w:rsidRPr="003D022F">
        <w:rPr>
          <w:rFonts w:ascii="Arial" w:hAnsi="Arial" w:cs="Arial"/>
          <w:b/>
          <w:sz w:val="26"/>
          <w:szCs w:val="28"/>
        </w:rPr>
        <w:t>Over</w:t>
      </w:r>
      <w:proofErr w:type="gramStart"/>
      <w:r w:rsidRPr="003D022F">
        <w:rPr>
          <w:rFonts w:ascii="Arial" w:hAnsi="Arial" w:cs="Arial"/>
          <w:b/>
          <w:sz w:val="26"/>
          <w:szCs w:val="28"/>
        </w:rPr>
        <w:t>/(</w:t>
      </w:r>
      <w:proofErr w:type="gramEnd"/>
      <w:r w:rsidRPr="003D022F">
        <w:rPr>
          <w:rFonts w:ascii="Arial" w:hAnsi="Arial" w:cs="Arial"/>
          <w:b/>
          <w:sz w:val="26"/>
          <w:szCs w:val="28"/>
        </w:rPr>
        <w:t>Under) Collections</w:t>
      </w:r>
      <w:r>
        <w:rPr>
          <w:rFonts w:ascii="Arial" w:hAnsi="Arial" w:cs="Arial"/>
          <w:b/>
          <w:sz w:val="26"/>
          <w:szCs w:val="28"/>
        </w:rPr>
        <w:t xml:space="preserve"> </w:t>
      </w:r>
      <w:r w:rsidRPr="004A3BF2">
        <w:rPr>
          <w:rFonts w:ascii="Arial" w:hAnsi="Arial" w:cs="Arial"/>
          <w:b/>
          <w:sz w:val="26"/>
          <w:szCs w:val="28"/>
        </w:rPr>
        <w:t xml:space="preserve">(Section 1307(e)) </w:t>
      </w:r>
    </w:p>
    <w:p w:rsidR="00C00860" w:rsidRDefault="00C00860" w:rsidP="00C00860">
      <w:pPr>
        <w:tabs>
          <w:tab w:val="center" w:pos="4680"/>
        </w:tabs>
        <w:suppressAutoHyphens/>
        <w:jc w:val="center"/>
        <w:rPr>
          <w:rFonts w:ascii="Arial" w:hAnsi="Arial" w:cs="Arial"/>
          <w:b/>
          <w:sz w:val="26"/>
          <w:szCs w:val="28"/>
        </w:rPr>
      </w:pPr>
      <w:r w:rsidRPr="004A3BF2">
        <w:rPr>
          <w:rFonts w:ascii="Arial" w:hAnsi="Arial" w:cs="Arial"/>
          <w:b/>
          <w:sz w:val="26"/>
          <w:szCs w:val="28"/>
        </w:rPr>
        <w:t>For The Tw</w:t>
      </w:r>
      <w:r w:rsidR="008057D6">
        <w:rPr>
          <w:rFonts w:ascii="Arial" w:hAnsi="Arial" w:cs="Arial"/>
          <w:b/>
          <w:sz w:val="26"/>
          <w:szCs w:val="28"/>
        </w:rPr>
        <w:t>elve Months Ended April 30, 2013</w:t>
      </w:r>
      <w:r w:rsidRPr="004A3BF2">
        <w:rPr>
          <w:rFonts w:ascii="Arial" w:hAnsi="Arial" w:cs="Arial"/>
          <w:b/>
          <w:sz w:val="26"/>
          <w:szCs w:val="28"/>
        </w:rPr>
        <w:t>*</w:t>
      </w:r>
    </w:p>
    <w:p w:rsidR="00E27849" w:rsidRDefault="00E27849" w:rsidP="00C00860">
      <w:pPr>
        <w:tabs>
          <w:tab w:val="center" w:pos="4680"/>
        </w:tabs>
        <w:suppressAutoHyphens/>
        <w:jc w:val="center"/>
        <w:rPr>
          <w:rFonts w:ascii="Arial" w:hAnsi="Arial" w:cs="Arial"/>
          <w:b/>
          <w:sz w:val="26"/>
          <w:szCs w:val="28"/>
        </w:rPr>
      </w:pPr>
    </w:p>
    <w:p w:rsidR="00E27849" w:rsidRDefault="00E27849" w:rsidP="00C00860">
      <w:pPr>
        <w:tabs>
          <w:tab w:val="center" w:pos="4680"/>
        </w:tabs>
        <w:suppressAutoHyphens/>
        <w:jc w:val="center"/>
        <w:rPr>
          <w:rFonts w:ascii="Arial" w:hAnsi="Arial" w:cs="Arial"/>
          <w:b/>
          <w:sz w:val="26"/>
          <w:szCs w:val="28"/>
        </w:rPr>
      </w:pPr>
    </w:p>
    <w:p w:rsidR="00235BB8" w:rsidRDefault="00235BB8" w:rsidP="00235BB8">
      <w:pPr>
        <w:tabs>
          <w:tab w:val="center" w:pos="4680"/>
        </w:tabs>
        <w:suppressAutoHyphens/>
        <w:jc w:val="center"/>
        <w:rPr>
          <w:rFonts w:ascii="Arial" w:hAnsi="Arial" w:cs="Arial"/>
          <w:b/>
          <w:sz w:val="26"/>
          <w:szCs w:val="28"/>
          <w:u w:val="single"/>
        </w:rPr>
      </w:pPr>
    </w:p>
    <w:p w:rsidR="00235BB8" w:rsidRPr="001D73AB" w:rsidRDefault="00235BB8" w:rsidP="00FA7E9F">
      <w:pPr>
        <w:tabs>
          <w:tab w:val="left" w:pos="360"/>
          <w:tab w:val="center" w:pos="4680"/>
        </w:tabs>
        <w:suppressAutoHyphens/>
        <w:ind w:left="-450"/>
        <w:rPr>
          <w:rFonts w:ascii="Arial" w:hAnsi="Arial" w:cs="Arial"/>
          <w:szCs w:val="24"/>
        </w:rPr>
      </w:pPr>
    </w:p>
    <w:tbl>
      <w:tblPr>
        <w:tblW w:w="9918" w:type="dxa"/>
        <w:tblLayout w:type="fixed"/>
        <w:tblLook w:val="0000" w:firstRow="0" w:lastRow="0" w:firstColumn="0" w:lastColumn="0" w:noHBand="0" w:noVBand="0"/>
      </w:tblPr>
      <w:tblGrid>
        <w:gridCol w:w="3078"/>
        <w:gridCol w:w="270"/>
        <w:gridCol w:w="2070"/>
        <w:gridCol w:w="270"/>
        <w:gridCol w:w="2070"/>
        <w:gridCol w:w="270"/>
        <w:gridCol w:w="1890"/>
      </w:tblGrid>
      <w:tr w:rsidR="006762C6" w:rsidRPr="001D73AB" w:rsidTr="007B2EC2">
        <w:trPr>
          <w:trHeight w:val="1134"/>
        </w:trPr>
        <w:tc>
          <w:tcPr>
            <w:tcW w:w="3078" w:type="dxa"/>
            <w:noWrap/>
            <w:vAlign w:val="bottom"/>
          </w:tcPr>
          <w:p w:rsidR="002970BD" w:rsidRDefault="002970BD" w:rsidP="002970BD">
            <w:pPr>
              <w:overflowPunct/>
              <w:autoSpaceDE/>
              <w:autoSpaceDN/>
              <w:adjustRightInd/>
              <w:ind w:right="368"/>
              <w:jc w:val="center"/>
              <w:textAlignment w:val="auto"/>
              <w:rPr>
                <w:rFonts w:ascii="Arial" w:hAnsi="Arial" w:cs="Arial"/>
                <w:b/>
                <w:szCs w:val="24"/>
                <w:u w:val="single"/>
              </w:rPr>
            </w:pPr>
          </w:p>
          <w:p w:rsidR="002970BD" w:rsidRPr="0003704D" w:rsidRDefault="00E341FC" w:rsidP="00E341FC">
            <w:pPr>
              <w:overflowPunct/>
              <w:autoSpaceDE/>
              <w:autoSpaceDN/>
              <w:adjustRightInd/>
              <w:textAlignment w:val="auto"/>
              <w:rPr>
                <w:rFonts w:ascii="Arial" w:hAnsi="Arial" w:cs="Arial"/>
                <w:b/>
                <w:szCs w:val="24"/>
                <w:u w:val="single"/>
              </w:rPr>
            </w:pPr>
            <w:r>
              <w:rPr>
                <w:rFonts w:ascii="Arial" w:hAnsi="Arial" w:cs="Arial"/>
                <w:b/>
                <w:szCs w:val="24"/>
                <w:u w:val="single"/>
              </w:rPr>
              <w:t>Customer</w:t>
            </w:r>
            <w:r w:rsidR="002970BD" w:rsidRPr="0003704D">
              <w:rPr>
                <w:rFonts w:ascii="Arial" w:hAnsi="Arial" w:cs="Arial"/>
                <w:b/>
                <w:szCs w:val="24"/>
                <w:u w:val="single"/>
              </w:rPr>
              <w:t xml:space="preserve"> Class</w:t>
            </w:r>
          </w:p>
        </w:tc>
        <w:tc>
          <w:tcPr>
            <w:tcW w:w="270" w:type="dxa"/>
          </w:tcPr>
          <w:p w:rsidR="002970BD" w:rsidRDefault="002970BD" w:rsidP="002970BD">
            <w:pPr>
              <w:overflowPunct/>
              <w:autoSpaceDE/>
              <w:autoSpaceDN/>
              <w:adjustRightInd/>
              <w:jc w:val="center"/>
              <w:textAlignment w:val="auto"/>
              <w:rPr>
                <w:rFonts w:ascii="Arial" w:hAnsi="Arial" w:cs="Arial"/>
                <w:szCs w:val="24"/>
              </w:rPr>
            </w:pPr>
          </w:p>
        </w:tc>
        <w:tc>
          <w:tcPr>
            <w:tcW w:w="2070" w:type="dxa"/>
            <w:noWrap/>
            <w:vAlign w:val="bottom"/>
          </w:tcPr>
          <w:p w:rsidR="002970BD" w:rsidRPr="00A87E9A" w:rsidRDefault="002970BD" w:rsidP="002970BD">
            <w:pPr>
              <w:overflowPunct/>
              <w:autoSpaceDE/>
              <w:autoSpaceDN/>
              <w:adjustRightInd/>
              <w:jc w:val="center"/>
              <w:textAlignment w:val="auto"/>
              <w:rPr>
                <w:rFonts w:ascii="Arial" w:hAnsi="Arial" w:cs="Arial"/>
                <w:b/>
                <w:szCs w:val="24"/>
                <w:u w:val="single"/>
              </w:rPr>
            </w:pPr>
            <w:r w:rsidRPr="00A87E9A">
              <w:rPr>
                <w:rFonts w:ascii="Arial" w:hAnsi="Arial" w:cs="Arial"/>
                <w:b/>
                <w:szCs w:val="24"/>
              </w:rPr>
              <w:t xml:space="preserve">GSC-1 </w:t>
            </w:r>
            <w:r w:rsidRPr="0003704D">
              <w:rPr>
                <w:rFonts w:ascii="Arial" w:hAnsi="Arial" w:cs="Arial"/>
                <w:b/>
                <w:szCs w:val="24"/>
                <w:u w:val="single"/>
              </w:rPr>
              <w:t>Revenues</w:t>
            </w:r>
          </w:p>
        </w:tc>
        <w:tc>
          <w:tcPr>
            <w:tcW w:w="270" w:type="dxa"/>
          </w:tcPr>
          <w:p w:rsidR="002970BD" w:rsidRPr="00C00860" w:rsidRDefault="002970BD" w:rsidP="002970BD">
            <w:pPr>
              <w:overflowPunct/>
              <w:autoSpaceDE/>
              <w:autoSpaceDN/>
              <w:adjustRightInd/>
              <w:ind w:right="2749"/>
              <w:jc w:val="center"/>
              <w:textAlignment w:val="auto"/>
              <w:rPr>
                <w:rFonts w:ascii="Arial" w:hAnsi="Arial" w:cs="Arial"/>
                <w:szCs w:val="24"/>
              </w:rPr>
            </w:pPr>
          </w:p>
        </w:tc>
        <w:tc>
          <w:tcPr>
            <w:tcW w:w="2070" w:type="dxa"/>
            <w:noWrap/>
            <w:vAlign w:val="bottom"/>
          </w:tcPr>
          <w:p w:rsidR="002970BD" w:rsidRPr="00A87E9A" w:rsidRDefault="002970BD" w:rsidP="002970BD">
            <w:pPr>
              <w:overflowPunct/>
              <w:autoSpaceDE/>
              <w:autoSpaceDN/>
              <w:adjustRightInd/>
              <w:jc w:val="center"/>
              <w:textAlignment w:val="auto"/>
              <w:rPr>
                <w:rFonts w:ascii="Arial" w:hAnsi="Arial" w:cs="Arial"/>
                <w:b/>
                <w:szCs w:val="24"/>
              </w:rPr>
            </w:pPr>
            <w:r w:rsidRPr="00A87E9A">
              <w:rPr>
                <w:rFonts w:ascii="Arial" w:hAnsi="Arial" w:cs="Arial"/>
                <w:b/>
                <w:szCs w:val="24"/>
              </w:rPr>
              <w:t>GSC-1</w:t>
            </w:r>
          </w:p>
          <w:p w:rsidR="002970BD" w:rsidRPr="0003704D" w:rsidRDefault="002970BD" w:rsidP="002970BD">
            <w:pPr>
              <w:overflowPunct/>
              <w:autoSpaceDE/>
              <w:autoSpaceDN/>
              <w:adjustRightInd/>
              <w:jc w:val="center"/>
              <w:textAlignment w:val="auto"/>
              <w:rPr>
                <w:rFonts w:ascii="Arial" w:hAnsi="Arial" w:cs="Arial"/>
                <w:b/>
                <w:szCs w:val="24"/>
                <w:u w:val="single"/>
              </w:rPr>
            </w:pPr>
            <w:r w:rsidRPr="0003704D">
              <w:rPr>
                <w:rFonts w:ascii="Arial" w:hAnsi="Arial" w:cs="Arial"/>
                <w:b/>
                <w:szCs w:val="24"/>
                <w:u w:val="single"/>
              </w:rPr>
              <w:t>Expenses</w:t>
            </w:r>
          </w:p>
        </w:tc>
        <w:tc>
          <w:tcPr>
            <w:tcW w:w="270" w:type="dxa"/>
          </w:tcPr>
          <w:p w:rsidR="002970BD" w:rsidRPr="00586E9B" w:rsidRDefault="002970BD" w:rsidP="002970BD">
            <w:pPr>
              <w:overflowPunct/>
              <w:autoSpaceDE/>
              <w:autoSpaceDN/>
              <w:adjustRightInd/>
              <w:jc w:val="center"/>
              <w:textAlignment w:val="auto"/>
              <w:rPr>
                <w:rFonts w:ascii="Arial" w:hAnsi="Arial" w:cs="Arial"/>
                <w:szCs w:val="24"/>
              </w:rPr>
            </w:pPr>
          </w:p>
        </w:tc>
        <w:tc>
          <w:tcPr>
            <w:tcW w:w="1890" w:type="dxa"/>
            <w:noWrap/>
            <w:vAlign w:val="bottom"/>
          </w:tcPr>
          <w:p w:rsidR="002970BD" w:rsidRPr="00A87E9A" w:rsidRDefault="002970BD" w:rsidP="002970BD">
            <w:pPr>
              <w:overflowPunct/>
              <w:autoSpaceDE/>
              <w:autoSpaceDN/>
              <w:adjustRightInd/>
              <w:jc w:val="center"/>
              <w:textAlignment w:val="auto"/>
              <w:rPr>
                <w:rFonts w:ascii="Arial" w:hAnsi="Arial" w:cs="Arial"/>
                <w:b/>
                <w:szCs w:val="24"/>
              </w:rPr>
            </w:pPr>
            <w:r w:rsidRPr="00A87E9A">
              <w:rPr>
                <w:rFonts w:ascii="Arial" w:hAnsi="Arial" w:cs="Arial"/>
                <w:b/>
                <w:szCs w:val="24"/>
              </w:rPr>
              <w:t>Over/(Under)</w:t>
            </w:r>
          </w:p>
          <w:p w:rsidR="002970BD" w:rsidRPr="0003704D" w:rsidRDefault="002970BD" w:rsidP="002970BD">
            <w:pPr>
              <w:overflowPunct/>
              <w:autoSpaceDE/>
              <w:autoSpaceDN/>
              <w:adjustRightInd/>
              <w:jc w:val="center"/>
              <w:textAlignment w:val="auto"/>
              <w:rPr>
                <w:rFonts w:ascii="Arial" w:hAnsi="Arial" w:cs="Arial"/>
                <w:b/>
                <w:szCs w:val="24"/>
                <w:u w:val="single"/>
              </w:rPr>
            </w:pPr>
            <w:r w:rsidRPr="0003704D">
              <w:rPr>
                <w:rFonts w:ascii="Arial" w:hAnsi="Arial" w:cs="Arial"/>
                <w:b/>
                <w:szCs w:val="24"/>
                <w:u w:val="single"/>
              </w:rPr>
              <w:t>Collections</w:t>
            </w:r>
          </w:p>
        </w:tc>
      </w:tr>
      <w:tr w:rsidR="006762C6" w:rsidRPr="001D73AB" w:rsidTr="007B2EC2">
        <w:trPr>
          <w:trHeight w:val="300"/>
        </w:trPr>
        <w:tc>
          <w:tcPr>
            <w:tcW w:w="3078" w:type="dxa"/>
            <w:noWrap/>
            <w:vAlign w:val="bottom"/>
          </w:tcPr>
          <w:p w:rsidR="002970BD" w:rsidRDefault="002970BD" w:rsidP="002970BD">
            <w:pPr>
              <w:overflowPunct/>
              <w:autoSpaceDE/>
              <w:autoSpaceDN/>
              <w:adjustRightInd/>
              <w:ind w:right="368"/>
              <w:jc w:val="center"/>
              <w:textAlignment w:val="auto"/>
              <w:rPr>
                <w:rFonts w:ascii="Arial" w:hAnsi="Arial" w:cs="Arial"/>
                <w:b/>
                <w:szCs w:val="24"/>
                <w:u w:val="single"/>
              </w:rPr>
            </w:pPr>
          </w:p>
        </w:tc>
        <w:tc>
          <w:tcPr>
            <w:tcW w:w="270" w:type="dxa"/>
          </w:tcPr>
          <w:p w:rsidR="002970BD" w:rsidRDefault="002970BD" w:rsidP="002970BD">
            <w:pPr>
              <w:overflowPunct/>
              <w:autoSpaceDE/>
              <w:autoSpaceDN/>
              <w:adjustRightInd/>
              <w:jc w:val="center"/>
              <w:textAlignment w:val="auto"/>
              <w:rPr>
                <w:rFonts w:ascii="Arial" w:hAnsi="Arial" w:cs="Arial"/>
                <w:szCs w:val="24"/>
              </w:rPr>
            </w:pPr>
          </w:p>
        </w:tc>
        <w:tc>
          <w:tcPr>
            <w:tcW w:w="2070" w:type="dxa"/>
            <w:noWrap/>
            <w:vAlign w:val="bottom"/>
          </w:tcPr>
          <w:p w:rsidR="002970BD" w:rsidRDefault="002970BD" w:rsidP="002970BD">
            <w:pPr>
              <w:overflowPunct/>
              <w:autoSpaceDE/>
              <w:autoSpaceDN/>
              <w:adjustRightInd/>
              <w:jc w:val="center"/>
              <w:textAlignment w:val="auto"/>
              <w:rPr>
                <w:rFonts w:ascii="Arial" w:hAnsi="Arial" w:cs="Arial"/>
                <w:szCs w:val="24"/>
              </w:rPr>
            </w:pPr>
            <w:r>
              <w:rPr>
                <w:rFonts w:ascii="Arial" w:hAnsi="Arial" w:cs="Arial"/>
                <w:szCs w:val="24"/>
              </w:rPr>
              <w:t>(1)</w:t>
            </w:r>
          </w:p>
        </w:tc>
        <w:tc>
          <w:tcPr>
            <w:tcW w:w="270" w:type="dxa"/>
          </w:tcPr>
          <w:p w:rsidR="002970BD" w:rsidRPr="00C00860" w:rsidRDefault="002970BD" w:rsidP="002970BD">
            <w:pPr>
              <w:overflowPunct/>
              <w:autoSpaceDE/>
              <w:autoSpaceDN/>
              <w:adjustRightInd/>
              <w:ind w:right="2749"/>
              <w:jc w:val="center"/>
              <w:textAlignment w:val="auto"/>
              <w:rPr>
                <w:rFonts w:ascii="Arial" w:hAnsi="Arial" w:cs="Arial"/>
                <w:szCs w:val="24"/>
              </w:rPr>
            </w:pPr>
          </w:p>
        </w:tc>
        <w:tc>
          <w:tcPr>
            <w:tcW w:w="2070" w:type="dxa"/>
            <w:noWrap/>
            <w:vAlign w:val="bottom"/>
          </w:tcPr>
          <w:p w:rsidR="002970BD" w:rsidRDefault="002970BD" w:rsidP="002D46FE">
            <w:pPr>
              <w:overflowPunct/>
              <w:autoSpaceDE/>
              <w:autoSpaceDN/>
              <w:adjustRightInd/>
              <w:jc w:val="center"/>
              <w:textAlignment w:val="auto"/>
              <w:rPr>
                <w:rFonts w:ascii="Arial" w:hAnsi="Arial" w:cs="Arial"/>
                <w:szCs w:val="24"/>
              </w:rPr>
            </w:pPr>
            <w:r>
              <w:rPr>
                <w:rFonts w:ascii="Arial" w:hAnsi="Arial" w:cs="Arial"/>
                <w:szCs w:val="24"/>
              </w:rPr>
              <w:t>(</w:t>
            </w:r>
            <w:r w:rsidR="002D46FE">
              <w:rPr>
                <w:rFonts w:ascii="Arial" w:hAnsi="Arial" w:cs="Arial"/>
                <w:szCs w:val="24"/>
              </w:rPr>
              <w:t>2</w:t>
            </w:r>
            <w:r>
              <w:rPr>
                <w:rFonts w:ascii="Arial" w:hAnsi="Arial" w:cs="Arial"/>
                <w:szCs w:val="24"/>
              </w:rPr>
              <w:t>)</w:t>
            </w:r>
          </w:p>
        </w:tc>
        <w:tc>
          <w:tcPr>
            <w:tcW w:w="270" w:type="dxa"/>
          </w:tcPr>
          <w:p w:rsidR="002970BD" w:rsidRPr="00586E9B" w:rsidRDefault="002970BD" w:rsidP="002970BD">
            <w:pPr>
              <w:overflowPunct/>
              <w:autoSpaceDE/>
              <w:autoSpaceDN/>
              <w:adjustRightInd/>
              <w:jc w:val="center"/>
              <w:textAlignment w:val="auto"/>
              <w:rPr>
                <w:rFonts w:ascii="Arial" w:hAnsi="Arial" w:cs="Arial"/>
                <w:szCs w:val="24"/>
              </w:rPr>
            </w:pPr>
          </w:p>
        </w:tc>
        <w:tc>
          <w:tcPr>
            <w:tcW w:w="1890" w:type="dxa"/>
            <w:noWrap/>
            <w:vAlign w:val="bottom"/>
          </w:tcPr>
          <w:p w:rsidR="002970BD" w:rsidRPr="00586E9B" w:rsidRDefault="002970BD" w:rsidP="002D46FE">
            <w:pPr>
              <w:overflowPunct/>
              <w:autoSpaceDE/>
              <w:autoSpaceDN/>
              <w:adjustRightInd/>
              <w:jc w:val="center"/>
              <w:textAlignment w:val="auto"/>
              <w:rPr>
                <w:rFonts w:ascii="Arial" w:hAnsi="Arial" w:cs="Arial"/>
                <w:szCs w:val="24"/>
              </w:rPr>
            </w:pPr>
            <w:r>
              <w:rPr>
                <w:rFonts w:ascii="Arial" w:hAnsi="Arial" w:cs="Arial"/>
                <w:szCs w:val="24"/>
              </w:rPr>
              <w:t>(</w:t>
            </w:r>
            <w:r w:rsidR="002D46FE">
              <w:rPr>
                <w:rFonts w:ascii="Arial" w:hAnsi="Arial" w:cs="Arial"/>
                <w:szCs w:val="24"/>
              </w:rPr>
              <w:t>3</w:t>
            </w:r>
            <w:r>
              <w:rPr>
                <w:rFonts w:ascii="Arial" w:hAnsi="Arial" w:cs="Arial"/>
                <w:szCs w:val="24"/>
              </w:rPr>
              <w:t>)=(1)-(</w:t>
            </w:r>
            <w:r w:rsidR="002D46FE">
              <w:rPr>
                <w:rFonts w:ascii="Arial" w:hAnsi="Arial" w:cs="Arial"/>
                <w:szCs w:val="24"/>
              </w:rPr>
              <w:t>2</w:t>
            </w:r>
            <w:r>
              <w:rPr>
                <w:rFonts w:ascii="Arial" w:hAnsi="Arial" w:cs="Arial"/>
                <w:szCs w:val="24"/>
              </w:rPr>
              <w:t>)</w:t>
            </w:r>
          </w:p>
        </w:tc>
      </w:tr>
      <w:tr w:rsidR="006762C6" w:rsidRPr="001D73AB" w:rsidTr="007B2EC2">
        <w:trPr>
          <w:trHeight w:val="274"/>
        </w:trPr>
        <w:tc>
          <w:tcPr>
            <w:tcW w:w="3078" w:type="dxa"/>
            <w:noWrap/>
            <w:vAlign w:val="bottom"/>
          </w:tcPr>
          <w:p w:rsidR="002970BD" w:rsidRDefault="002970BD" w:rsidP="002970BD">
            <w:pPr>
              <w:overflowPunct/>
              <w:autoSpaceDE/>
              <w:autoSpaceDN/>
              <w:adjustRightInd/>
              <w:ind w:right="368"/>
              <w:jc w:val="center"/>
              <w:textAlignment w:val="auto"/>
              <w:rPr>
                <w:rFonts w:ascii="Arial" w:hAnsi="Arial" w:cs="Arial"/>
                <w:b/>
                <w:szCs w:val="24"/>
                <w:u w:val="single"/>
              </w:rPr>
            </w:pPr>
          </w:p>
        </w:tc>
        <w:tc>
          <w:tcPr>
            <w:tcW w:w="270" w:type="dxa"/>
          </w:tcPr>
          <w:p w:rsidR="002970BD" w:rsidRDefault="002970BD" w:rsidP="002970BD">
            <w:pPr>
              <w:overflowPunct/>
              <w:autoSpaceDE/>
              <w:autoSpaceDN/>
              <w:adjustRightInd/>
              <w:jc w:val="center"/>
              <w:textAlignment w:val="auto"/>
              <w:rPr>
                <w:rFonts w:ascii="Arial" w:hAnsi="Arial" w:cs="Arial"/>
                <w:szCs w:val="24"/>
              </w:rPr>
            </w:pPr>
          </w:p>
        </w:tc>
        <w:tc>
          <w:tcPr>
            <w:tcW w:w="2070" w:type="dxa"/>
            <w:noWrap/>
            <w:vAlign w:val="bottom"/>
          </w:tcPr>
          <w:p w:rsidR="002970BD" w:rsidRDefault="002970BD" w:rsidP="002970BD">
            <w:pPr>
              <w:overflowPunct/>
              <w:autoSpaceDE/>
              <w:autoSpaceDN/>
              <w:adjustRightInd/>
              <w:jc w:val="center"/>
              <w:textAlignment w:val="auto"/>
              <w:rPr>
                <w:rFonts w:ascii="Arial" w:hAnsi="Arial" w:cs="Arial"/>
                <w:szCs w:val="24"/>
              </w:rPr>
            </w:pPr>
            <w:r>
              <w:rPr>
                <w:rFonts w:ascii="Arial" w:hAnsi="Arial" w:cs="Arial"/>
                <w:szCs w:val="24"/>
              </w:rPr>
              <w:t>(Note 2)</w:t>
            </w:r>
          </w:p>
        </w:tc>
        <w:tc>
          <w:tcPr>
            <w:tcW w:w="270" w:type="dxa"/>
          </w:tcPr>
          <w:p w:rsidR="002970BD" w:rsidRPr="00C00860" w:rsidRDefault="002970BD" w:rsidP="002970BD">
            <w:pPr>
              <w:overflowPunct/>
              <w:autoSpaceDE/>
              <w:autoSpaceDN/>
              <w:adjustRightInd/>
              <w:ind w:right="2749"/>
              <w:jc w:val="center"/>
              <w:textAlignment w:val="auto"/>
              <w:rPr>
                <w:rFonts w:ascii="Arial" w:hAnsi="Arial" w:cs="Arial"/>
                <w:szCs w:val="24"/>
              </w:rPr>
            </w:pPr>
          </w:p>
        </w:tc>
        <w:tc>
          <w:tcPr>
            <w:tcW w:w="2070" w:type="dxa"/>
            <w:noWrap/>
            <w:vAlign w:val="bottom"/>
          </w:tcPr>
          <w:p w:rsidR="002970BD" w:rsidRDefault="002970BD" w:rsidP="00A87E9A">
            <w:pPr>
              <w:overflowPunct/>
              <w:autoSpaceDE/>
              <w:autoSpaceDN/>
              <w:adjustRightInd/>
              <w:jc w:val="center"/>
              <w:textAlignment w:val="auto"/>
              <w:rPr>
                <w:rFonts w:ascii="Arial" w:hAnsi="Arial" w:cs="Arial"/>
                <w:szCs w:val="24"/>
              </w:rPr>
            </w:pPr>
            <w:r>
              <w:rPr>
                <w:rFonts w:ascii="Arial" w:hAnsi="Arial" w:cs="Arial"/>
                <w:szCs w:val="24"/>
              </w:rPr>
              <w:t xml:space="preserve">(Note </w:t>
            </w:r>
            <w:r w:rsidR="00A87E9A">
              <w:rPr>
                <w:rFonts w:ascii="Arial" w:hAnsi="Arial" w:cs="Arial"/>
                <w:szCs w:val="24"/>
              </w:rPr>
              <w:t>3</w:t>
            </w:r>
            <w:r>
              <w:rPr>
                <w:rFonts w:ascii="Arial" w:hAnsi="Arial" w:cs="Arial"/>
                <w:szCs w:val="24"/>
              </w:rPr>
              <w:t>)</w:t>
            </w:r>
          </w:p>
        </w:tc>
        <w:tc>
          <w:tcPr>
            <w:tcW w:w="270" w:type="dxa"/>
          </w:tcPr>
          <w:p w:rsidR="002970BD" w:rsidRPr="00586E9B" w:rsidRDefault="002970BD" w:rsidP="002970BD">
            <w:pPr>
              <w:overflowPunct/>
              <w:autoSpaceDE/>
              <w:autoSpaceDN/>
              <w:adjustRightInd/>
              <w:jc w:val="center"/>
              <w:textAlignment w:val="auto"/>
              <w:rPr>
                <w:rFonts w:ascii="Arial" w:hAnsi="Arial" w:cs="Arial"/>
                <w:szCs w:val="24"/>
              </w:rPr>
            </w:pPr>
          </w:p>
        </w:tc>
        <w:tc>
          <w:tcPr>
            <w:tcW w:w="1890" w:type="dxa"/>
            <w:noWrap/>
            <w:vAlign w:val="bottom"/>
          </w:tcPr>
          <w:p w:rsidR="002970BD" w:rsidRPr="00586E9B" w:rsidRDefault="002970BD" w:rsidP="00A87E9A">
            <w:pPr>
              <w:overflowPunct/>
              <w:autoSpaceDE/>
              <w:autoSpaceDN/>
              <w:adjustRightInd/>
              <w:jc w:val="center"/>
              <w:textAlignment w:val="auto"/>
              <w:rPr>
                <w:rFonts w:ascii="Arial" w:hAnsi="Arial" w:cs="Arial"/>
                <w:szCs w:val="24"/>
              </w:rPr>
            </w:pPr>
            <w:r>
              <w:rPr>
                <w:rFonts w:ascii="Arial" w:hAnsi="Arial" w:cs="Arial"/>
                <w:szCs w:val="24"/>
              </w:rPr>
              <w:t xml:space="preserve">(Note </w:t>
            </w:r>
            <w:r w:rsidR="00A87E9A">
              <w:rPr>
                <w:rFonts w:ascii="Arial" w:hAnsi="Arial" w:cs="Arial"/>
                <w:szCs w:val="24"/>
              </w:rPr>
              <w:t>4</w:t>
            </w:r>
            <w:r>
              <w:rPr>
                <w:rFonts w:ascii="Arial" w:hAnsi="Arial" w:cs="Arial"/>
                <w:szCs w:val="24"/>
              </w:rPr>
              <w:t>)</w:t>
            </w:r>
          </w:p>
        </w:tc>
      </w:tr>
      <w:tr w:rsidR="006762C6" w:rsidRPr="001D73AB" w:rsidTr="007B2EC2">
        <w:trPr>
          <w:trHeight w:val="427"/>
        </w:trPr>
        <w:tc>
          <w:tcPr>
            <w:tcW w:w="3078" w:type="dxa"/>
            <w:noWrap/>
          </w:tcPr>
          <w:p w:rsidR="002970BD" w:rsidRDefault="002970BD" w:rsidP="002970BD">
            <w:pPr>
              <w:overflowPunct/>
              <w:autoSpaceDE/>
              <w:autoSpaceDN/>
              <w:adjustRightInd/>
              <w:textAlignment w:val="auto"/>
              <w:rPr>
                <w:rFonts w:ascii="Arial" w:hAnsi="Arial" w:cs="Arial"/>
                <w:szCs w:val="24"/>
              </w:rPr>
            </w:pPr>
          </w:p>
          <w:p w:rsidR="002970BD" w:rsidRPr="00216442" w:rsidRDefault="002970BD" w:rsidP="002970BD">
            <w:pPr>
              <w:overflowPunct/>
              <w:autoSpaceDE/>
              <w:autoSpaceDN/>
              <w:adjustRightInd/>
              <w:textAlignment w:val="auto"/>
              <w:rPr>
                <w:rFonts w:ascii="Arial" w:hAnsi="Arial" w:cs="Arial"/>
                <w:szCs w:val="24"/>
              </w:rPr>
            </w:pPr>
            <w:r w:rsidRPr="00216442">
              <w:rPr>
                <w:rFonts w:ascii="Arial" w:hAnsi="Arial" w:cs="Arial"/>
                <w:szCs w:val="24"/>
              </w:rPr>
              <w:t>Residential</w:t>
            </w:r>
          </w:p>
        </w:tc>
        <w:tc>
          <w:tcPr>
            <w:tcW w:w="270" w:type="dxa"/>
          </w:tcPr>
          <w:p w:rsidR="002970BD" w:rsidRDefault="002970BD" w:rsidP="002970BD">
            <w:pPr>
              <w:tabs>
                <w:tab w:val="decimal" w:pos="1524"/>
              </w:tabs>
              <w:overflowPunct/>
              <w:autoSpaceDE/>
              <w:autoSpaceDN/>
              <w:adjustRightInd/>
              <w:textAlignment w:val="auto"/>
              <w:rPr>
                <w:rFonts w:ascii="Arial" w:hAnsi="Arial" w:cs="Arial"/>
                <w:szCs w:val="24"/>
              </w:rPr>
            </w:pPr>
          </w:p>
        </w:tc>
        <w:tc>
          <w:tcPr>
            <w:tcW w:w="2070" w:type="dxa"/>
            <w:noWrap/>
          </w:tcPr>
          <w:p w:rsidR="002970BD" w:rsidRDefault="002970BD" w:rsidP="002970BD">
            <w:pPr>
              <w:tabs>
                <w:tab w:val="decimal" w:pos="1524"/>
              </w:tabs>
              <w:overflowPunct/>
              <w:autoSpaceDE/>
              <w:autoSpaceDN/>
              <w:adjustRightInd/>
              <w:textAlignment w:val="auto"/>
              <w:rPr>
                <w:rFonts w:ascii="Arial" w:hAnsi="Arial" w:cs="Arial"/>
                <w:szCs w:val="24"/>
              </w:rPr>
            </w:pPr>
          </w:p>
          <w:p w:rsidR="002970BD" w:rsidRPr="00216442" w:rsidRDefault="00B87C15" w:rsidP="00B87C15">
            <w:pPr>
              <w:tabs>
                <w:tab w:val="decimal" w:pos="1524"/>
              </w:tabs>
              <w:overflowPunct/>
              <w:autoSpaceDE/>
              <w:autoSpaceDN/>
              <w:adjustRightInd/>
              <w:textAlignment w:val="auto"/>
              <w:rPr>
                <w:rFonts w:ascii="Arial" w:hAnsi="Arial" w:cs="Arial"/>
                <w:szCs w:val="24"/>
              </w:rPr>
            </w:pPr>
            <w:r>
              <w:rPr>
                <w:rFonts w:ascii="Arial" w:hAnsi="Arial" w:cs="Arial"/>
                <w:szCs w:val="24"/>
              </w:rPr>
              <w:t xml:space="preserve">  </w:t>
            </w:r>
            <w:r w:rsidR="002970BD" w:rsidRPr="00216442">
              <w:rPr>
                <w:rFonts w:ascii="Arial" w:hAnsi="Arial" w:cs="Arial"/>
                <w:szCs w:val="24"/>
              </w:rPr>
              <w:t>$</w:t>
            </w:r>
            <w:r w:rsidR="002970BD">
              <w:rPr>
                <w:rFonts w:ascii="Arial" w:hAnsi="Arial" w:cs="Arial"/>
                <w:szCs w:val="24"/>
              </w:rPr>
              <w:t xml:space="preserve"> </w:t>
            </w:r>
            <w:r w:rsidR="006762C6">
              <w:rPr>
                <w:rFonts w:ascii="Arial" w:hAnsi="Arial" w:cs="Arial"/>
                <w:szCs w:val="24"/>
              </w:rPr>
              <w:t xml:space="preserve"> </w:t>
            </w:r>
            <w:r w:rsidR="002970BD">
              <w:rPr>
                <w:rFonts w:ascii="Arial" w:hAnsi="Arial" w:cs="Arial"/>
                <w:szCs w:val="24"/>
              </w:rPr>
              <w:t>4</w:t>
            </w:r>
            <w:r w:rsidR="004B2134">
              <w:rPr>
                <w:rFonts w:ascii="Arial" w:hAnsi="Arial" w:cs="Arial"/>
                <w:szCs w:val="24"/>
              </w:rPr>
              <w:t>80</w:t>
            </w:r>
            <w:r w:rsidR="002970BD">
              <w:rPr>
                <w:rFonts w:ascii="Arial" w:hAnsi="Arial" w:cs="Arial"/>
                <w:szCs w:val="24"/>
              </w:rPr>
              <w:t>,</w:t>
            </w:r>
            <w:r w:rsidR="00E92673">
              <w:rPr>
                <w:rFonts w:ascii="Arial" w:hAnsi="Arial" w:cs="Arial"/>
                <w:szCs w:val="24"/>
              </w:rPr>
              <w:t>854</w:t>
            </w:r>
            <w:r w:rsidR="002970BD">
              <w:rPr>
                <w:rFonts w:ascii="Arial" w:hAnsi="Arial" w:cs="Arial"/>
                <w:szCs w:val="24"/>
              </w:rPr>
              <w:t>,</w:t>
            </w:r>
            <w:r w:rsidR="00E92673">
              <w:rPr>
                <w:rFonts w:ascii="Arial" w:hAnsi="Arial" w:cs="Arial"/>
                <w:szCs w:val="24"/>
              </w:rPr>
              <w:t>922</w:t>
            </w:r>
          </w:p>
        </w:tc>
        <w:tc>
          <w:tcPr>
            <w:tcW w:w="270" w:type="dxa"/>
          </w:tcPr>
          <w:p w:rsidR="002970BD" w:rsidRDefault="002970BD" w:rsidP="002970BD">
            <w:pPr>
              <w:pStyle w:val="NoSpacing"/>
              <w:jc w:val="right"/>
              <w:rPr>
                <w:rFonts w:ascii="Arial" w:hAnsi="Arial" w:cs="Arial"/>
                <w:sz w:val="24"/>
                <w:szCs w:val="24"/>
              </w:rPr>
            </w:pPr>
          </w:p>
        </w:tc>
        <w:tc>
          <w:tcPr>
            <w:tcW w:w="2070" w:type="dxa"/>
            <w:noWrap/>
            <w:vAlign w:val="bottom"/>
          </w:tcPr>
          <w:p w:rsidR="002970BD" w:rsidRPr="00216442" w:rsidRDefault="002970BD" w:rsidP="00E92673">
            <w:pPr>
              <w:tabs>
                <w:tab w:val="decimal" w:pos="1605"/>
              </w:tabs>
              <w:overflowPunct/>
              <w:autoSpaceDE/>
              <w:autoSpaceDN/>
              <w:adjustRightInd/>
              <w:textAlignment w:val="auto"/>
              <w:rPr>
                <w:rFonts w:ascii="Arial" w:hAnsi="Arial" w:cs="Arial"/>
                <w:szCs w:val="24"/>
              </w:rPr>
            </w:pPr>
            <w:r w:rsidRPr="00216442">
              <w:rPr>
                <w:rFonts w:ascii="Arial" w:hAnsi="Arial" w:cs="Arial"/>
                <w:szCs w:val="24"/>
              </w:rPr>
              <w:t xml:space="preserve">$  </w:t>
            </w:r>
            <w:r>
              <w:rPr>
                <w:rFonts w:ascii="Arial" w:hAnsi="Arial" w:cs="Arial"/>
                <w:szCs w:val="24"/>
              </w:rPr>
              <w:t>4</w:t>
            </w:r>
            <w:r w:rsidR="00E92673">
              <w:rPr>
                <w:rFonts w:ascii="Arial" w:hAnsi="Arial" w:cs="Arial"/>
                <w:szCs w:val="24"/>
              </w:rPr>
              <w:t>88</w:t>
            </w:r>
            <w:r>
              <w:rPr>
                <w:rFonts w:ascii="Arial" w:hAnsi="Arial" w:cs="Arial"/>
                <w:szCs w:val="24"/>
              </w:rPr>
              <w:t>,</w:t>
            </w:r>
            <w:r w:rsidR="00E92673">
              <w:rPr>
                <w:rFonts w:ascii="Arial" w:hAnsi="Arial" w:cs="Arial"/>
                <w:szCs w:val="24"/>
              </w:rPr>
              <w:t>420</w:t>
            </w:r>
            <w:r>
              <w:rPr>
                <w:rFonts w:ascii="Arial" w:hAnsi="Arial" w:cs="Arial"/>
                <w:szCs w:val="24"/>
              </w:rPr>
              <w:t>,</w:t>
            </w:r>
            <w:r w:rsidR="00E92673">
              <w:rPr>
                <w:rFonts w:ascii="Arial" w:hAnsi="Arial" w:cs="Arial"/>
                <w:szCs w:val="24"/>
              </w:rPr>
              <w:t>328</w:t>
            </w:r>
          </w:p>
        </w:tc>
        <w:tc>
          <w:tcPr>
            <w:tcW w:w="270" w:type="dxa"/>
          </w:tcPr>
          <w:p w:rsidR="002970BD" w:rsidRPr="00F774EB" w:rsidRDefault="002970BD" w:rsidP="002970BD">
            <w:pPr>
              <w:pStyle w:val="NoSpacing"/>
              <w:jc w:val="right"/>
              <w:rPr>
                <w:rFonts w:ascii="Arial" w:hAnsi="Arial" w:cs="Arial"/>
                <w:sz w:val="24"/>
                <w:szCs w:val="24"/>
              </w:rPr>
            </w:pPr>
          </w:p>
        </w:tc>
        <w:tc>
          <w:tcPr>
            <w:tcW w:w="1890" w:type="dxa"/>
            <w:noWrap/>
            <w:vAlign w:val="bottom"/>
          </w:tcPr>
          <w:p w:rsidR="002970BD" w:rsidRPr="00F774EB" w:rsidRDefault="002970BD" w:rsidP="00E92673">
            <w:pPr>
              <w:pStyle w:val="NoSpacing"/>
              <w:jc w:val="right"/>
              <w:rPr>
                <w:rFonts w:ascii="Arial" w:hAnsi="Arial" w:cs="Arial"/>
                <w:sz w:val="24"/>
                <w:szCs w:val="24"/>
              </w:rPr>
            </w:pPr>
            <w:r w:rsidRPr="00F774EB">
              <w:rPr>
                <w:rFonts w:ascii="Arial" w:hAnsi="Arial" w:cs="Arial"/>
                <w:sz w:val="24"/>
                <w:szCs w:val="24"/>
              </w:rPr>
              <w:t>$   (</w:t>
            </w:r>
            <w:r w:rsidR="00E92673">
              <w:rPr>
                <w:rFonts w:ascii="Arial" w:hAnsi="Arial" w:cs="Arial"/>
                <w:sz w:val="24"/>
                <w:szCs w:val="24"/>
              </w:rPr>
              <w:t>7,565</w:t>
            </w:r>
            <w:r w:rsidRPr="00F774EB">
              <w:rPr>
                <w:rFonts w:ascii="Arial" w:hAnsi="Arial" w:cs="Arial"/>
                <w:sz w:val="24"/>
                <w:szCs w:val="24"/>
              </w:rPr>
              <w:t>,</w:t>
            </w:r>
            <w:r w:rsidR="00E92673">
              <w:rPr>
                <w:rFonts w:ascii="Arial" w:hAnsi="Arial" w:cs="Arial"/>
                <w:sz w:val="24"/>
                <w:szCs w:val="24"/>
              </w:rPr>
              <w:t>406</w:t>
            </w:r>
            <w:r w:rsidRPr="00F774EB">
              <w:rPr>
                <w:rFonts w:ascii="Arial" w:hAnsi="Arial" w:cs="Arial"/>
                <w:sz w:val="24"/>
                <w:szCs w:val="24"/>
              </w:rPr>
              <w:t>)</w:t>
            </w:r>
          </w:p>
        </w:tc>
      </w:tr>
      <w:tr w:rsidR="006762C6" w:rsidRPr="001D73AB" w:rsidTr="00480216">
        <w:trPr>
          <w:trHeight w:val="81"/>
        </w:trPr>
        <w:tc>
          <w:tcPr>
            <w:tcW w:w="3078" w:type="dxa"/>
            <w:noWrap/>
          </w:tcPr>
          <w:p w:rsidR="002970BD" w:rsidRPr="00216442" w:rsidRDefault="002970BD" w:rsidP="002970BD">
            <w:pPr>
              <w:overflowPunct/>
              <w:autoSpaceDE/>
              <w:autoSpaceDN/>
              <w:adjustRightInd/>
              <w:jc w:val="center"/>
              <w:textAlignment w:val="auto"/>
              <w:rPr>
                <w:rFonts w:ascii="Arial" w:hAnsi="Arial" w:cs="Arial"/>
                <w:szCs w:val="24"/>
                <w:u w:val="single"/>
              </w:rPr>
            </w:pPr>
          </w:p>
        </w:tc>
        <w:tc>
          <w:tcPr>
            <w:tcW w:w="270" w:type="dxa"/>
          </w:tcPr>
          <w:p w:rsidR="002970BD" w:rsidRPr="00216442" w:rsidRDefault="002970BD" w:rsidP="002970BD">
            <w:pPr>
              <w:tabs>
                <w:tab w:val="decimal" w:pos="1524"/>
              </w:tabs>
              <w:overflowPunct/>
              <w:autoSpaceDE/>
              <w:autoSpaceDN/>
              <w:adjustRightInd/>
              <w:textAlignment w:val="auto"/>
              <w:rPr>
                <w:rFonts w:ascii="Arial" w:hAnsi="Arial" w:cs="Arial"/>
                <w:szCs w:val="24"/>
              </w:rPr>
            </w:pPr>
          </w:p>
        </w:tc>
        <w:tc>
          <w:tcPr>
            <w:tcW w:w="2070" w:type="dxa"/>
            <w:noWrap/>
          </w:tcPr>
          <w:p w:rsidR="002970BD" w:rsidRPr="00216442" w:rsidRDefault="002970BD" w:rsidP="002970BD">
            <w:pPr>
              <w:tabs>
                <w:tab w:val="decimal" w:pos="1524"/>
              </w:tabs>
              <w:overflowPunct/>
              <w:autoSpaceDE/>
              <w:autoSpaceDN/>
              <w:adjustRightInd/>
              <w:textAlignment w:val="auto"/>
              <w:rPr>
                <w:rFonts w:ascii="Arial" w:hAnsi="Arial" w:cs="Arial"/>
                <w:szCs w:val="24"/>
              </w:rPr>
            </w:pPr>
          </w:p>
        </w:tc>
        <w:tc>
          <w:tcPr>
            <w:tcW w:w="270" w:type="dxa"/>
          </w:tcPr>
          <w:p w:rsidR="002970BD" w:rsidRPr="00F774EB" w:rsidRDefault="002970BD" w:rsidP="002970BD">
            <w:pPr>
              <w:pStyle w:val="NoSpacing"/>
              <w:jc w:val="right"/>
              <w:rPr>
                <w:rFonts w:ascii="Arial" w:hAnsi="Arial" w:cs="Arial"/>
                <w:sz w:val="24"/>
                <w:szCs w:val="24"/>
              </w:rPr>
            </w:pPr>
          </w:p>
        </w:tc>
        <w:tc>
          <w:tcPr>
            <w:tcW w:w="2070" w:type="dxa"/>
            <w:noWrap/>
            <w:vAlign w:val="bottom"/>
          </w:tcPr>
          <w:p w:rsidR="002970BD" w:rsidRPr="00216442" w:rsidRDefault="002970BD" w:rsidP="002970BD">
            <w:pPr>
              <w:tabs>
                <w:tab w:val="decimal" w:pos="1605"/>
              </w:tabs>
              <w:overflowPunct/>
              <w:autoSpaceDE/>
              <w:autoSpaceDN/>
              <w:adjustRightInd/>
              <w:textAlignment w:val="auto"/>
              <w:rPr>
                <w:rFonts w:ascii="Arial" w:hAnsi="Arial" w:cs="Arial"/>
                <w:szCs w:val="24"/>
              </w:rPr>
            </w:pPr>
          </w:p>
        </w:tc>
        <w:tc>
          <w:tcPr>
            <w:tcW w:w="270" w:type="dxa"/>
          </w:tcPr>
          <w:p w:rsidR="002970BD" w:rsidRPr="00F774EB" w:rsidRDefault="002970BD" w:rsidP="002970BD">
            <w:pPr>
              <w:pStyle w:val="NoSpacing"/>
              <w:jc w:val="right"/>
              <w:rPr>
                <w:rFonts w:ascii="Arial" w:hAnsi="Arial" w:cs="Arial"/>
                <w:sz w:val="24"/>
                <w:szCs w:val="24"/>
              </w:rPr>
            </w:pPr>
          </w:p>
        </w:tc>
        <w:tc>
          <w:tcPr>
            <w:tcW w:w="1890" w:type="dxa"/>
            <w:noWrap/>
            <w:vAlign w:val="bottom"/>
          </w:tcPr>
          <w:p w:rsidR="002970BD" w:rsidRPr="00F774EB" w:rsidRDefault="002970BD" w:rsidP="002970BD">
            <w:pPr>
              <w:pStyle w:val="NoSpacing"/>
              <w:jc w:val="right"/>
              <w:rPr>
                <w:rFonts w:ascii="Arial" w:hAnsi="Arial" w:cs="Arial"/>
                <w:sz w:val="24"/>
                <w:szCs w:val="24"/>
              </w:rPr>
            </w:pPr>
          </w:p>
        </w:tc>
      </w:tr>
      <w:tr w:rsidR="006762C6" w:rsidRPr="001D73AB" w:rsidTr="007B2EC2">
        <w:trPr>
          <w:trHeight w:val="255"/>
        </w:trPr>
        <w:tc>
          <w:tcPr>
            <w:tcW w:w="3078" w:type="dxa"/>
            <w:noWrap/>
          </w:tcPr>
          <w:p w:rsidR="002970BD" w:rsidRPr="00216442" w:rsidRDefault="002970BD" w:rsidP="002970BD">
            <w:pPr>
              <w:overflowPunct/>
              <w:autoSpaceDE/>
              <w:autoSpaceDN/>
              <w:adjustRightInd/>
              <w:textAlignment w:val="auto"/>
              <w:rPr>
                <w:rFonts w:ascii="Arial" w:hAnsi="Arial" w:cs="Arial"/>
                <w:szCs w:val="24"/>
              </w:rPr>
            </w:pPr>
            <w:r>
              <w:rPr>
                <w:rFonts w:ascii="Arial" w:hAnsi="Arial" w:cs="Arial"/>
                <w:szCs w:val="24"/>
              </w:rPr>
              <w:t>RS Off Peak</w:t>
            </w:r>
          </w:p>
        </w:tc>
        <w:tc>
          <w:tcPr>
            <w:tcW w:w="270" w:type="dxa"/>
          </w:tcPr>
          <w:p w:rsidR="002970BD" w:rsidRDefault="002970BD" w:rsidP="002970BD">
            <w:pPr>
              <w:tabs>
                <w:tab w:val="decimal" w:pos="1524"/>
              </w:tabs>
              <w:overflowPunct/>
              <w:autoSpaceDE/>
              <w:autoSpaceDN/>
              <w:adjustRightInd/>
              <w:textAlignment w:val="auto"/>
              <w:rPr>
                <w:rFonts w:ascii="Arial" w:hAnsi="Arial" w:cs="Arial"/>
                <w:szCs w:val="24"/>
              </w:rPr>
            </w:pPr>
          </w:p>
        </w:tc>
        <w:tc>
          <w:tcPr>
            <w:tcW w:w="2070" w:type="dxa"/>
            <w:noWrap/>
            <w:vAlign w:val="bottom"/>
          </w:tcPr>
          <w:p w:rsidR="002970BD" w:rsidRPr="00216442" w:rsidRDefault="002970BD" w:rsidP="00E92673">
            <w:pPr>
              <w:overflowPunct/>
              <w:autoSpaceDE/>
              <w:autoSpaceDN/>
              <w:adjustRightInd/>
              <w:textAlignment w:val="auto"/>
              <w:rPr>
                <w:rFonts w:ascii="Arial" w:hAnsi="Arial" w:cs="Arial"/>
                <w:szCs w:val="24"/>
              </w:rPr>
            </w:pPr>
            <w:r>
              <w:rPr>
                <w:rFonts w:ascii="Arial" w:hAnsi="Arial" w:cs="Arial"/>
                <w:szCs w:val="24"/>
              </w:rPr>
              <w:t xml:space="preserve">            </w:t>
            </w:r>
            <w:r w:rsidR="006762C6">
              <w:rPr>
                <w:rFonts w:ascii="Arial" w:hAnsi="Arial" w:cs="Arial"/>
                <w:szCs w:val="24"/>
              </w:rPr>
              <w:t xml:space="preserve"> </w:t>
            </w:r>
            <w:r w:rsidR="00E92673">
              <w:rPr>
                <w:rFonts w:ascii="Arial" w:hAnsi="Arial" w:cs="Arial"/>
                <w:szCs w:val="24"/>
              </w:rPr>
              <w:t>67</w:t>
            </w:r>
            <w:r>
              <w:rPr>
                <w:rFonts w:ascii="Arial" w:hAnsi="Arial" w:cs="Arial"/>
                <w:szCs w:val="24"/>
              </w:rPr>
              <w:t>2,24</w:t>
            </w:r>
            <w:r w:rsidR="00E92673">
              <w:rPr>
                <w:rFonts w:ascii="Arial" w:hAnsi="Arial" w:cs="Arial"/>
                <w:szCs w:val="24"/>
              </w:rPr>
              <w:t>4</w:t>
            </w:r>
          </w:p>
        </w:tc>
        <w:tc>
          <w:tcPr>
            <w:tcW w:w="270" w:type="dxa"/>
          </w:tcPr>
          <w:p w:rsidR="002970BD" w:rsidRPr="00F774EB" w:rsidRDefault="002970BD" w:rsidP="002970BD">
            <w:pPr>
              <w:pStyle w:val="NoSpacing"/>
              <w:jc w:val="right"/>
              <w:rPr>
                <w:rFonts w:ascii="Arial" w:hAnsi="Arial" w:cs="Arial"/>
                <w:sz w:val="24"/>
                <w:szCs w:val="24"/>
              </w:rPr>
            </w:pPr>
          </w:p>
        </w:tc>
        <w:tc>
          <w:tcPr>
            <w:tcW w:w="2070" w:type="dxa"/>
            <w:noWrap/>
            <w:vAlign w:val="bottom"/>
          </w:tcPr>
          <w:p w:rsidR="002970BD" w:rsidRPr="00216442" w:rsidRDefault="00E92673" w:rsidP="00E92673">
            <w:pPr>
              <w:tabs>
                <w:tab w:val="decimal" w:pos="1605"/>
              </w:tabs>
              <w:overflowPunct/>
              <w:autoSpaceDE/>
              <w:autoSpaceDN/>
              <w:adjustRightInd/>
              <w:textAlignment w:val="auto"/>
              <w:rPr>
                <w:rFonts w:ascii="Arial" w:hAnsi="Arial" w:cs="Arial"/>
                <w:szCs w:val="24"/>
              </w:rPr>
            </w:pPr>
            <w:r>
              <w:rPr>
                <w:rFonts w:ascii="Arial" w:hAnsi="Arial" w:cs="Arial"/>
                <w:szCs w:val="24"/>
              </w:rPr>
              <w:t>1</w:t>
            </w:r>
            <w:r w:rsidR="002970BD">
              <w:rPr>
                <w:rFonts w:ascii="Arial" w:hAnsi="Arial" w:cs="Arial"/>
                <w:szCs w:val="24"/>
              </w:rPr>
              <w:t>,</w:t>
            </w:r>
            <w:r>
              <w:rPr>
                <w:rFonts w:ascii="Arial" w:hAnsi="Arial" w:cs="Arial"/>
                <w:szCs w:val="24"/>
              </w:rPr>
              <w:t>505</w:t>
            </w:r>
            <w:r w:rsidR="002970BD">
              <w:rPr>
                <w:rFonts w:ascii="Arial" w:hAnsi="Arial" w:cs="Arial"/>
                <w:szCs w:val="24"/>
              </w:rPr>
              <w:t>,</w:t>
            </w:r>
            <w:r>
              <w:rPr>
                <w:rFonts w:ascii="Arial" w:hAnsi="Arial" w:cs="Arial"/>
                <w:szCs w:val="24"/>
              </w:rPr>
              <w:t>954</w:t>
            </w:r>
          </w:p>
        </w:tc>
        <w:tc>
          <w:tcPr>
            <w:tcW w:w="270" w:type="dxa"/>
          </w:tcPr>
          <w:p w:rsidR="002970BD" w:rsidRPr="00F774EB" w:rsidRDefault="002970BD" w:rsidP="002970BD">
            <w:pPr>
              <w:pStyle w:val="NoSpacing"/>
              <w:jc w:val="right"/>
              <w:rPr>
                <w:rFonts w:ascii="Arial" w:hAnsi="Arial" w:cs="Arial"/>
                <w:sz w:val="24"/>
                <w:szCs w:val="24"/>
              </w:rPr>
            </w:pPr>
          </w:p>
        </w:tc>
        <w:tc>
          <w:tcPr>
            <w:tcW w:w="1890" w:type="dxa"/>
            <w:noWrap/>
            <w:vAlign w:val="bottom"/>
          </w:tcPr>
          <w:p w:rsidR="002970BD" w:rsidRPr="00F774EB" w:rsidRDefault="002970BD" w:rsidP="00E92673">
            <w:pPr>
              <w:pStyle w:val="NoSpacing"/>
              <w:jc w:val="right"/>
              <w:rPr>
                <w:rFonts w:ascii="Arial" w:hAnsi="Arial" w:cs="Arial"/>
                <w:sz w:val="24"/>
                <w:szCs w:val="24"/>
              </w:rPr>
            </w:pPr>
            <w:r w:rsidRPr="00F774EB">
              <w:rPr>
                <w:rFonts w:ascii="Arial" w:hAnsi="Arial" w:cs="Arial"/>
                <w:sz w:val="24"/>
                <w:szCs w:val="24"/>
              </w:rPr>
              <w:t>(</w:t>
            </w:r>
            <w:r w:rsidR="00E92673">
              <w:rPr>
                <w:rFonts w:ascii="Arial" w:hAnsi="Arial" w:cs="Arial"/>
                <w:sz w:val="24"/>
                <w:szCs w:val="24"/>
              </w:rPr>
              <w:t>833</w:t>
            </w:r>
            <w:r w:rsidRPr="00F774EB">
              <w:rPr>
                <w:rFonts w:ascii="Arial" w:hAnsi="Arial" w:cs="Arial"/>
                <w:sz w:val="24"/>
                <w:szCs w:val="24"/>
              </w:rPr>
              <w:t>,</w:t>
            </w:r>
            <w:r w:rsidR="00E92673">
              <w:rPr>
                <w:rFonts w:ascii="Arial" w:hAnsi="Arial" w:cs="Arial"/>
                <w:sz w:val="24"/>
                <w:szCs w:val="24"/>
              </w:rPr>
              <w:t>710</w:t>
            </w:r>
            <w:r w:rsidRPr="00F774EB">
              <w:rPr>
                <w:rFonts w:ascii="Arial" w:hAnsi="Arial" w:cs="Arial"/>
                <w:sz w:val="24"/>
                <w:szCs w:val="24"/>
              </w:rPr>
              <w:t>)</w:t>
            </w:r>
          </w:p>
        </w:tc>
      </w:tr>
      <w:tr w:rsidR="006762C6" w:rsidRPr="001D73AB" w:rsidTr="007B2EC2">
        <w:trPr>
          <w:trHeight w:val="255"/>
        </w:trPr>
        <w:tc>
          <w:tcPr>
            <w:tcW w:w="3078" w:type="dxa"/>
            <w:noWrap/>
          </w:tcPr>
          <w:p w:rsidR="002970BD" w:rsidRPr="00216442" w:rsidRDefault="002970BD" w:rsidP="002970BD">
            <w:pPr>
              <w:overflowPunct/>
              <w:autoSpaceDE/>
              <w:autoSpaceDN/>
              <w:adjustRightInd/>
              <w:textAlignment w:val="auto"/>
              <w:rPr>
                <w:rFonts w:ascii="Arial" w:hAnsi="Arial" w:cs="Arial"/>
                <w:szCs w:val="24"/>
              </w:rPr>
            </w:pPr>
          </w:p>
        </w:tc>
        <w:tc>
          <w:tcPr>
            <w:tcW w:w="270" w:type="dxa"/>
          </w:tcPr>
          <w:p w:rsidR="002970BD" w:rsidRPr="00216442" w:rsidRDefault="002970BD" w:rsidP="002970BD">
            <w:pPr>
              <w:tabs>
                <w:tab w:val="decimal" w:pos="1524"/>
              </w:tabs>
              <w:overflowPunct/>
              <w:autoSpaceDE/>
              <w:autoSpaceDN/>
              <w:adjustRightInd/>
              <w:textAlignment w:val="auto"/>
              <w:rPr>
                <w:rFonts w:ascii="Arial" w:hAnsi="Arial" w:cs="Arial"/>
                <w:szCs w:val="24"/>
              </w:rPr>
            </w:pPr>
          </w:p>
        </w:tc>
        <w:tc>
          <w:tcPr>
            <w:tcW w:w="2070" w:type="dxa"/>
            <w:noWrap/>
          </w:tcPr>
          <w:p w:rsidR="002970BD" w:rsidRPr="00216442" w:rsidRDefault="002970BD" w:rsidP="002970BD">
            <w:pPr>
              <w:tabs>
                <w:tab w:val="decimal" w:pos="1524"/>
              </w:tabs>
              <w:overflowPunct/>
              <w:autoSpaceDE/>
              <w:autoSpaceDN/>
              <w:adjustRightInd/>
              <w:textAlignment w:val="auto"/>
              <w:rPr>
                <w:rFonts w:ascii="Arial" w:hAnsi="Arial" w:cs="Arial"/>
                <w:szCs w:val="24"/>
              </w:rPr>
            </w:pPr>
          </w:p>
        </w:tc>
        <w:tc>
          <w:tcPr>
            <w:tcW w:w="270" w:type="dxa"/>
          </w:tcPr>
          <w:p w:rsidR="002970BD" w:rsidRPr="00F774EB" w:rsidRDefault="002970BD" w:rsidP="002970BD">
            <w:pPr>
              <w:pStyle w:val="NoSpacing"/>
              <w:jc w:val="right"/>
              <w:rPr>
                <w:rFonts w:ascii="Arial" w:hAnsi="Arial" w:cs="Arial"/>
                <w:sz w:val="24"/>
                <w:szCs w:val="24"/>
              </w:rPr>
            </w:pPr>
          </w:p>
        </w:tc>
        <w:tc>
          <w:tcPr>
            <w:tcW w:w="2070" w:type="dxa"/>
            <w:noWrap/>
            <w:vAlign w:val="bottom"/>
          </w:tcPr>
          <w:p w:rsidR="002970BD" w:rsidRPr="00216442" w:rsidRDefault="002970BD" w:rsidP="002970BD">
            <w:pPr>
              <w:tabs>
                <w:tab w:val="decimal" w:pos="1605"/>
              </w:tabs>
              <w:overflowPunct/>
              <w:autoSpaceDE/>
              <w:autoSpaceDN/>
              <w:adjustRightInd/>
              <w:textAlignment w:val="auto"/>
              <w:rPr>
                <w:rFonts w:ascii="Arial" w:hAnsi="Arial" w:cs="Arial"/>
                <w:szCs w:val="24"/>
              </w:rPr>
            </w:pPr>
          </w:p>
        </w:tc>
        <w:tc>
          <w:tcPr>
            <w:tcW w:w="270" w:type="dxa"/>
          </w:tcPr>
          <w:p w:rsidR="002970BD" w:rsidRPr="00F774EB" w:rsidRDefault="002970BD" w:rsidP="002970BD">
            <w:pPr>
              <w:pStyle w:val="NoSpacing"/>
              <w:jc w:val="right"/>
              <w:rPr>
                <w:rFonts w:ascii="Arial" w:hAnsi="Arial" w:cs="Arial"/>
                <w:sz w:val="24"/>
                <w:szCs w:val="24"/>
              </w:rPr>
            </w:pPr>
          </w:p>
        </w:tc>
        <w:tc>
          <w:tcPr>
            <w:tcW w:w="1890" w:type="dxa"/>
            <w:noWrap/>
            <w:vAlign w:val="bottom"/>
          </w:tcPr>
          <w:p w:rsidR="002970BD" w:rsidRPr="00F774EB" w:rsidRDefault="002970BD" w:rsidP="002970BD">
            <w:pPr>
              <w:pStyle w:val="NoSpacing"/>
              <w:jc w:val="right"/>
              <w:rPr>
                <w:rFonts w:ascii="Arial" w:hAnsi="Arial" w:cs="Arial"/>
                <w:sz w:val="24"/>
                <w:szCs w:val="24"/>
              </w:rPr>
            </w:pPr>
          </w:p>
        </w:tc>
      </w:tr>
      <w:tr w:rsidR="006762C6" w:rsidRPr="001D73AB" w:rsidTr="007B2EC2">
        <w:trPr>
          <w:trHeight w:val="255"/>
        </w:trPr>
        <w:tc>
          <w:tcPr>
            <w:tcW w:w="3078" w:type="dxa"/>
            <w:noWrap/>
          </w:tcPr>
          <w:p w:rsidR="002970BD" w:rsidRPr="00216442" w:rsidRDefault="002970BD" w:rsidP="002970BD">
            <w:pPr>
              <w:overflowPunct/>
              <w:autoSpaceDE/>
              <w:autoSpaceDN/>
              <w:adjustRightInd/>
              <w:textAlignment w:val="auto"/>
              <w:rPr>
                <w:rFonts w:ascii="Arial" w:hAnsi="Arial" w:cs="Arial"/>
                <w:szCs w:val="24"/>
              </w:rPr>
            </w:pPr>
            <w:r>
              <w:rPr>
                <w:rFonts w:ascii="Arial" w:hAnsi="Arial" w:cs="Arial"/>
                <w:szCs w:val="24"/>
              </w:rPr>
              <w:t>RS On Peak</w:t>
            </w:r>
          </w:p>
        </w:tc>
        <w:tc>
          <w:tcPr>
            <w:tcW w:w="270" w:type="dxa"/>
          </w:tcPr>
          <w:p w:rsidR="002970BD" w:rsidRDefault="002970BD" w:rsidP="002970BD">
            <w:pPr>
              <w:tabs>
                <w:tab w:val="decimal" w:pos="1524"/>
              </w:tabs>
              <w:overflowPunct/>
              <w:autoSpaceDE/>
              <w:autoSpaceDN/>
              <w:adjustRightInd/>
              <w:textAlignment w:val="auto"/>
              <w:rPr>
                <w:rFonts w:ascii="Arial" w:hAnsi="Arial" w:cs="Arial"/>
                <w:szCs w:val="24"/>
              </w:rPr>
            </w:pPr>
          </w:p>
        </w:tc>
        <w:tc>
          <w:tcPr>
            <w:tcW w:w="2070" w:type="dxa"/>
            <w:noWrap/>
            <w:vAlign w:val="bottom"/>
          </w:tcPr>
          <w:p w:rsidR="002970BD" w:rsidRPr="00216442" w:rsidRDefault="002970BD" w:rsidP="00E92673">
            <w:pPr>
              <w:overflowPunct/>
              <w:autoSpaceDE/>
              <w:autoSpaceDN/>
              <w:adjustRightInd/>
              <w:textAlignment w:val="auto"/>
              <w:rPr>
                <w:rFonts w:ascii="Arial" w:hAnsi="Arial" w:cs="Arial"/>
                <w:szCs w:val="24"/>
              </w:rPr>
            </w:pPr>
            <w:r>
              <w:rPr>
                <w:rFonts w:ascii="Arial" w:hAnsi="Arial" w:cs="Arial"/>
                <w:szCs w:val="24"/>
              </w:rPr>
              <w:t xml:space="preserve">            </w:t>
            </w:r>
            <w:r w:rsidR="006762C6">
              <w:rPr>
                <w:rFonts w:ascii="Arial" w:hAnsi="Arial" w:cs="Arial"/>
                <w:szCs w:val="24"/>
              </w:rPr>
              <w:t xml:space="preserve"> </w:t>
            </w:r>
            <w:r>
              <w:rPr>
                <w:rFonts w:ascii="Arial" w:hAnsi="Arial" w:cs="Arial"/>
                <w:szCs w:val="24"/>
              </w:rPr>
              <w:t>2</w:t>
            </w:r>
            <w:r w:rsidR="00E92673">
              <w:rPr>
                <w:rFonts w:ascii="Arial" w:hAnsi="Arial" w:cs="Arial"/>
                <w:szCs w:val="24"/>
              </w:rPr>
              <w:t>44</w:t>
            </w:r>
            <w:r>
              <w:rPr>
                <w:rFonts w:ascii="Arial" w:hAnsi="Arial" w:cs="Arial"/>
                <w:szCs w:val="24"/>
              </w:rPr>
              <w:t>,</w:t>
            </w:r>
            <w:r w:rsidR="00E92673">
              <w:rPr>
                <w:rFonts w:ascii="Arial" w:hAnsi="Arial" w:cs="Arial"/>
                <w:szCs w:val="24"/>
              </w:rPr>
              <w:t>873</w:t>
            </w:r>
          </w:p>
        </w:tc>
        <w:tc>
          <w:tcPr>
            <w:tcW w:w="270" w:type="dxa"/>
          </w:tcPr>
          <w:p w:rsidR="002970BD" w:rsidRPr="00F774EB" w:rsidRDefault="002970BD" w:rsidP="002970BD">
            <w:pPr>
              <w:pStyle w:val="NoSpacing"/>
              <w:jc w:val="right"/>
              <w:rPr>
                <w:rFonts w:ascii="Arial" w:hAnsi="Arial" w:cs="Arial"/>
                <w:sz w:val="24"/>
                <w:szCs w:val="24"/>
              </w:rPr>
            </w:pPr>
          </w:p>
        </w:tc>
        <w:tc>
          <w:tcPr>
            <w:tcW w:w="2070" w:type="dxa"/>
            <w:noWrap/>
            <w:vAlign w:val="bottom"/>
          </w:tcPr>
          <w:p w:rsidR="002970BD" w:rsidRPr="00216442" w:rsidRDefault="00E92673" w:rsidP="00E92673">
            <w:pPr>
              <w:tabs>
                <w:tab w:val="decimal" w:pos="1605"/>
              </w:tabs>
              <w:overflowPunct/>
              <w:autoSpaceDE/>
              <w:autoSpaceDN/>
              <w:adjustRightInd/>
              <w:textAlignment w:val="auto"/>
              <w:rPr>
                <w:rFonts w:ascii="Arial" w:hAnsi="Arial" w:cs="Arial"/>
                <w:szCs w:val="24"/>
              </w:rPr>
            </w:pPr>
            <w:r>
              <w:rPr>
                <w:rFonts w:ascii="Arial" w:hAnsi="Arial" w:cs="Arial"/>
                <w:szCs w:val="24"/>
              </w:rPr>
              <w:t>300</w:t>
            </w:r>
            <w:r w:rsidR="002970BD">
              <w:rPr>
                <w:rFonts w:ascii="Arial" w:hAnsi="Arial" w:cs="Arial"/>
                <w:szCs w:val="24"/>
              </w:rPr>
              <w:t>,</w:t>
            </w:r>
            <w:r>
              <w:rPr>
                <w:rFonts w:ascii="Arial" w:hAnsi="Arial" w:cs="Arial"/>
                <w:szCs w:val="24"/>
              </w:rPr>
              <w:t>198</w:t>
            </w:r>
          </w:p>
        </w:tc>
        <w:tc>
          <w:tcPr>
            <w:tcW w:w="270" w:type="dxa"/>
          </w:tcPr>
          <w:p w:rsidR="002970BD" w:rsidRPr="00F774EB" w:rsidRDefault="002970BD" w:rsidP="002970BD">
            <w:pPr>
              <w:pStyle w:val="NoSpacing"/>
              <w:jc w:val="right"/>
              <w:rPr>
                <w:rFonts w:ascii="Arial" w:hAnsi="Arial" w:cs="Arial"/>
                <w:sz w:val="24"/>
                <w:szCs w:val="24"/>
              </w:rPr>
            </w:pPr>
          </w:p>
        </w:tc>
        <w:tc>
          <w:tcPr>
            <w:tcW w:w="1890" w:type="dxa"/>
            <w:noWrap/>
            <w:vAlign w:val="bottom"/>
          </w:tcPr>
          <w:p w:rsidR="002970BD" w:rsidRPr="00F774EB" w:rsidRDefault="002970BD" w:rsidP="00E92673">
            <w:pPr>
              <w:pStyle w:val="NoSpacing"/>
              <w:jc w:val="right"/>
              <w:rPr>
                <w:rFonts w:ascii="Arial" w:hAnsi="Arial" w:cs="Arial"/>
                <w:sz w:val="24"/>
                <w:szCs w:val="24"/>
              </w:rPr>
            </w:pPr>
            <w:r w:rsidRPr="00F774EB">
              <w:rPr>
                <w:rFonts w:ascii="Arial" w:hAnsi="Arial" w:cs="Arial"/>
                <w:sz w:val="24"/>
                <w:szCs w:val="24"/>
              </w:rPr>
              <w:t>(</w:t>
            </w:r>
            <w:r w:rsidR="00E92673">
              <w:rPr>
                <w:rFonts w:ascii="Arial" w:hAnsi="Arial" w:cs="Arial"/>
                <w:sz w:val="24"/>
                <w:szCs w:val="24"/>
              </w:rPr>
              <w:t>5</w:t>
            </w:r>
            <w:r w:rsidRPr="00F774EB">
              <w:rPr>
                <w:rFonts w:ascii="Arial" w:hAnsi="Arial" w:cs="Arial"/>
                <w:sz w:val="24"/>
                <w:szCs w:val="24"/>
              </w:rPr>
              <w:t>5,</w:t>
            </w:r>
            <w:r w:rsidR="00E92673">
              <w:rPr>
                <w:rFonts w:ascii="Arial" w:hAnsi="Arial" w:cs="Arial"/>
                <w:sz w:val="24"/>
                <w:szCs w:val="24"/>
              </w:rPr>
              <w:t>325</w:t>
            </w:r>
            <w:r w:rsidRPr="00F774EB">
              <w:rPr>
                <w:rFonts w:ascii="Arial" w:hAnsi="Arial" w:cs="Arial"/>
                <w:sz w:val="24"/>
                <w:szCs w:val="24"/>
              </w:rPr>
              <w:t>)</w:t>
            </w:r>
          </w:p>
        </w:tc>
      </w:tr>
      <w:tr w:rsidR="006762C6" w:rsidRPr="00216442" w:rsidTr="007B2EC2">
        <w:trPr>
          <w:trHeight w:val="255"/>
        </w:trPr>
        <w:tc>
          <w:tcPr>
            <w:tcW w:w="3078" w:type="dxa"/>
            <w:noWrap/>
          </w:tcPr>
          <w:p w:rsidR="002970BD" w:rsidRDefault="002970BD" w:rsidP="002970BD">
            <w:pPr>
              <w:overflowPunct/>
              <w:autoSpaceDE/>
              <w:autoSpaceDN/>
              <w:adjustRightInd/>
              <w:textAlignment w:val="auto"/>
              <w:rPr>
                <w:rFonts w:ascii="Arial" w:hAnsi="Arial" w:cs="Arial"/>
                <w:szCs w:val="24"/>
              </w:rPr>
            </w:pPr>
          </w:p>
        </w:tc>
        <w:tc>
          <w:tcPr>
            <w:tcW w:w="270" w:type="dxa"/>
          </w:tcPr>
          <w:p w:rsidR="002970BD" w:rsidRDefault="002970BD" w:rsidP="002970BD">
            <w:pPr>
              <w:tabs>
                <w:tab w:val="decimal" w:pos="1524"/>
              </w:tabs>
              <w:overflowPunct/>
              <w:autoSpaceDE/>
              <w:autoSpaceDN/>
              <w:adjustRightInd/>
              <w:textAlignment w:val="auto"/>
              <w:rPr>
                <w:rFonts w:ascii="Arial" w:hAnsi="Arial" w:cs="Arial"/>
                <w:szCs w:val="24"/>
              </w:rPr>
            </w:pPr>
          </w:p>
        </w:tc>
        <w:tc>
          <w:tcPr>
            <w:tcW w:w="2070" w:type="dxa"/>
            <w:noWrap/>
          </w:tcPr>
          <w:p w:rsidR="002970BD" w:rsidRDefault="002970BD" w:rsidP="002970BD">
            <w:pPr>
              <w:tabs>
                <w:tab w:val="decimal" w:pos="1524"/>
              </w:tabs>
              <w:overflowPunct/>
              <w:autoSpaceDE/>
              <w:autoSpaceDN/>
              <w:adjustRightInd/>
              <w:textAlignment w:val="auto"/>
              <w:rPr>
                <w:rFonts w:ascii="Arial" w:hAnsi="Arial" w:cs="Arial"/>
                <w:szCs w:val="24"/>
              </w:rPr>
            </w:pPr>
          </w:p>
        </w:tc>
        <w:tc>
          <w:tcPr>
            <w:tcW w:w="270" w:type="dxa"/>
          </w:tcPr>
          <w:p w:rsidR="002970BD" w:rsidRPr="00F774EB" w:rsidRDefault="002970BD" w:rsidP="002970BD">
            <w:pPr>
              <w:pStyle w:val="NoSpacing"/>
              <w:jc w:val="right"/>
              <w:rPr>
                <w:rFonts w:ascii="Arial" w:hAnsi="Arial" w:cs="Arial"/>
                <w:sz w:val="24"/>
                <w:szCs w:val="24"/>
              </w:rPr>
            </w:pPr>
          </w:p>
        </w:tc>
        <w:tc>
          <w:tcPr>
            <w:tcW w:w="2070" w:type="dxa"/>
            <w:noWrap/>
            <w:vAlign w:val="bottom"/>
          </w:tcPr>
          <w:p w:rsidR="002970BD" w:rsidRDefault="002970BD" w:rsidP="002970BD">
            <w:pPr>
              <w:tabs>
                <w:tab w:val="decimal" w:pos="1605"/>
              </w:tabs>
              <w:overflowPunct/>
              <w:autoSpaceDE/>
              <w:autoSpaceDN/>
              <w:adjustRightInd/>
              <w:textAlignment w:val="auto"/>
              <w:rPr>
                <w:rFonts w:ascii="Arial" w:hAnsi="Arial" w:cs="Arial"/>
                <w:szCs w:val="24"/>
              </w:rPr>
            </w:pPr>
          </w:p>
        </w:tc>
        <w:tc>
          <w:tcPr>
            <w:tcW w:w="270" w:type="dxa"/>
          </w:tcPr>
          <w:p w:rsidR="002970BD" w:rsidRPr="00F774EB" w:rsidRDefault="002970BD" w:rsidP="002970BD">
            <w:pPr>
              <w:pStyle w:val="NoSpacing"/>
              <w:jc w:val="right"/>
              <w:rPr>
                <w:rFonts w:ascii="Arial" w:hAnsi="Arial" w:cs="Arial"/>
                <w:sz w:val="24"/>
                <w:szCs w:val="24"/>
              </w:rPr>
            </w:pPr>
          </w:p>
        </w:tc>
        <w:tc>
          <w:tcPr>
            <w:tcW w:w="1890" w:type="dxa"/>
            <w:noWrap/>
            <w:vAlign w:val="bottom"/>
          </w:tcPr>
          <w:p w:rsidR="002970BD" w:rsidRPr="00F774EB" w:rsidRDefault="002970BD" w:rsidP="002970BD">
            <w:pPr>
              <w:pStyle w:val="NoSpacing"/>
              <w:jc w:val="right"/>
              <w:rPr>
                <w:rFonts w:ascii="Arial" w:hAnsi="Arial" w:cs="Arial"/>
                <w:sz w:val="24"/>
                <w:szCs w:val="24"/>
              </w:rPr>
            </w:pPr>
          </w:p>
        </w:tc>
      </w:tr>
      <w:tr w:rsidR="006762C6" w:rsidRPr="00216442" w:rsidTr="007B2EC2">
        <w:trPr>
          <w:trHeight w:val="255"/>
        </w:trPr>
        <w:tc>
          <w:tcPr>
            <w:tcW w:w="3078" w:type="dxa"/>
            <w:noWrap/>
          </w:tcPr>
          <w:p w:rsidR="002970BD" w:rsidRPr="00216442" w:rsidRDefault="002970BD" w:rsidP="002970BD">
            <w:pPr>
              <w:overflowPunct/>
              <w:autoSpaceDE/>
              <w:autoSpaceDN/>
              <w:adjustRightInd/>
              <w:textAlignment w:val="auto"/>
              <w:rPr>
                <w:rFonts w:ascii="Arial" w:hAnsi="Arial" w:cs="Arial"/>
                <w:szCs w:val="24"/>
              </w:rPr>
            </w:pPr>
            <w:r>
              <w:rPr>
                <w:rFonts w:ascii="Arial" w:hAnsi="Arial" w:cs="Arial"/>
                <w:szCs w:val="24"/>
              </w:rPr>
              <w:t>RTS Off Peak</w:t>
            </w:r>
          </w:p>
        </w:tc>
        <w:tc>
          <w:tcPr>
            <w:tcW w:w="270" w:type="dxa"/>
          </w:tcPr>
          <w:p w:rsidR="002970BD" w:rsidRDefault="002970BD" w:rsidP="002970BD">
            <w:pPr>
              <w:tabs>
                <w:tab w:val="decimal" w:pos="1524"/>
              </w:tabs>
              <w:overflowPunct/>
              <w:autoSpaceDE/>
              <w:autoSpaceDN/>
              <w:adjustRightInd/>
              <w:textAlignment w:val="auto"/>
              <w:rPr>
                <w:rFonts w:ascii="Arial" w:hAnsi="Arial" w:cs="Arial"/>
                <w:szCs w:val="24"/>
              </w:rPr>
            </w:pPr>
          </w:p>
        </w:tc>
        <w:tc>
          <w:tcPr>
            <w:tcW w:w="2070" w:type="dxa"/>
            <w:noWrap/>
          </w:tcPr>
          <w:p w:rsidR="002970BD" w:rsidRPr="00216442" w:rsidRDefault="00E92673" w:rsidP="00E92673">
            <w:pPr>
              <w:overflowPunct/>
              <w:autoSpaceDE/>
              <w:autoSpaceDN/>
              <w:adjustRightInd/>
              <w:textAlignment w:val="auto"/>
              <w:rPr>
                <w:rFonts w:ascii="Arial" w:hAnsi="Arial" w:cs="Arial"/>
                <w:szCs w:val="24"/>
              </w:rPr>
            </w:pPr>
            <w:r>
              <w:rPr>
                <w:rFonts w:ascii="Arial" w:hAnsi="Arial" w:cs="Arial"/>
                <w:szCs w:val="24"/>
              </w:rPr>
              <w:t xml:space="preserve">            </w:t>
            </w:r>
            <w:r w:rsidR="006762C6">
              <w:rPr>
                <w:rFonts w:ascii="Arial" w:hAnsi="Arial" w:cs="Arial"/>
                <w:szCs w:val="24"/>
              </w:rPr>
              <w:t xml:space="preserve"> </w:t>
            </w:r>
            <w:r>
              <w:rPr>
                <w:rFonts w:ascii="Arial" w:hAnsi="Arial" w:cs="Arial"/>
                <w:szCs w:val="24"/>
              </w:rPr>
              <w:t>145</w:t>
            </w:r>
            <w:r w:rsidR="002970BD">
              <w:rPr>
                <w:rFonts w:ascii="Arial" w:hAnsi="Arial" w:cs="Arial"/>
                <w:szCs w:val="24"/>
              </w:rPr>
              <w:t>,</w:t>
            </w:r>
            <w:r>
              <w:rPr>
                <w:rFonts w:ascii="Arial" w:hAnsi="Arial" w:cs="Arial"/>
                <w:szCs w:val="24"/>
              </w:rPr>
              <w:t>324</w:t>
            </w:r>
          </w:p>
        </w:tc>
        <w:tc>
          <w:tcPr>
            <w:tcW w:w="270" w:type="dxa"/>
          </w:tcPr>
          <w:p w:rsidR="002970BD" w:rsidRPr="00F774EB" w:rsidRDefault="002970BD" w:rsidP="002970BD">
            <w:pPr>
              <w:pStyle w:val="NoSpacing"/>
              <w:jc w:val="right"/>
              <w:rPr>
                <w:rFonts w:ascii="Arial" w:hAnsi="Arial" w:cs="Arial"/>
                <w:sz w:val="24"/>
                <w:szCs w:val="24"/>
              </w:rPr>
            </w:pPr>
          </w:p>
        </w:tc>
        <w:tc>
          <w:tcPr>
            <w:tcW w:w="2070" w:type="dxa"/>
            <w:noWrap/>
            <w:vAlign w:val="bottom"/>
          </w:tcPr>
          <w:p w:rsidR="002970BD" w:rsidRPr="00216442" w:rsidRDefault="00E92673" w:rsidP="00E92673">
            <w:pPr>
              <w:tabs>
                <w:tab w:val="decimal" w:pos="1605"/>
              </w:tabs>
              <w:overflowPunct/>
              <w:autoSpaceDE/>
              <w:autoSpaceDN/>
              <w:adjustRightInd/>
              <w:textAlignment w:val="auto"/>
              <w:rPr>
                <w:rFonts w:ascii="Arial" w:hAnsi="Arial" w:cs="Arial"/>
                <w:szCs w:val="24"/>
              </w:rPr>
            </w:pPr>
            <w:r>
              <w:rPr>
                <w:rFonts w:ascii="Arial" w:hAnsi="Arial" w:cs="Arial"/>
                <w:szCs w:val="24"/>
              </w:rPr>
              <w:t>167</w:t>
            </w:r>
            <w:r w:rsidR="002970BD">
              <w:rPr>
                <w:rFonts w:ascii="Arial" w:hAnsi="Arial" w:cs="Arial"/>
                <w:szCs w:val="24"/>
              </w:rPr>
              <w:t>,</w:t>
            </w:r>
            <w:r>
              <w:rPr>
                <w:rFonts w:ascii="Arial" w:hAnsi="Arial" w:cs="Arial"/>
                <w:szCs w:val="24"/>
              </w:rPr>
              <w:t>547</w:t>
            </w:r>
          </w:p>
        </w:tc>
        <w:tc>
          <w:tcPr>
            <w:tcW w:w="270" w:type="dxa"/>
          </w:tcPr>
          <w:p w:rsidR="002970BD" w:rsidRPr="00F774EB" w:rsidRDefault="002970BD" w:rsidP="002970BD">
            <w:pPr>
              <w:pStyle w:val="NoSpacing"/>
              <w:jc w:val="right"/>
              <w:rPr>
                <w:rFonts w:ascii="Arial" w:hAnsi="Arial" w:cs="Arial"/>
                <w:sz w:val="24"/>
                <w:szCs w:val="24"/>
              </w:rPr>
            </w:pPr>
          </w:p>
        </w:tc>
        <w:tc>
          <w:tcPr>
            <w:tcW w:w="1890" w:type="dxa"/>
            <w:noWrap/>
            <w:vAlign w:val="bottom"/>
          </w:tcPr>
          <w:p w:rsidR="002970BD" w:rsidRPr="00F774EB" w:rsidRDefault="002970BD" w:rsidP="00E92673">
            <w:pPr>
              <w:pStyle w:val="NoSpacing"/>
              <w:jc w:val="right"/>
              <w:rPr>
                <w:rFonts w:ascii="Arial" w:hAnsi="Arial" w:cs="Arial"/>
                <w:sz w:val="24"/>
                <w:szCs w:val="24"/>
              </w:rPr>
            </w:pPr>
            <w:r w:rsidRPr="00F774EB">
              <w:rPr>
                <w:rFonts w:ascii="Arial" w:hAnsi="Arial" w:cs="Arial"/>
                <w:sz w:val="24"/>
                <w:szCs w:val="24"/>
              </w:rPr>
              <w:t>(</w:t>
            </w:r>
            <w:r w:rsidR="00E92673">
              <w:rPr>
                <w:rFonts w:ascii="Arial" w:hAnsi="Arial" w:cs="Arial"/>
                <w:sz w:val="24"/>
                <w:szCs w:val="24"/>
              </w:rPr>
              <w:t>22</w:t>
            </w:r>
            <w:r w:rsidRPr="00F774EB">
              <w:rPr>
                <w:rFonts w:ascii="Arial" w:hAnsi="Arial" w:cs="Arial"/>
                <w:sz w:val="24"/>
                <w:szCs w:val="24"/>
              </w:rPr>
              <w:t>,</w:t>
            </w:r>
            <w:r w:rsidR="00E92673">
              <w:rPr>
                <w:rFonts w:ascii="Arial" w:hAnsi="Arial" w:cs="Arial"/>
                <w:sz w:val="24"/>
                <w:szCs w:val="24"/>
              </w:rPr>
              <w:t>223</w:t>
            </w:r>
            <w:r w:rsidRPr="00F774EB">
              <w:rPr>
                <w:rFonts w:ascii="Arial" w:hAnsi="Arial" w:cs="Arial"/>
                <w:sz w:val="24"/>
                <w:szCs w:val="24"/>
              </w:rPr>
              <w:t>)</w:t>
            </w:r>
          </w:p>
        </w:tc>
      </w:tr>
      <w:tr w:rsidR="006762C6" w:rsidRPr="00216442" w:rsidTr="007B2EC2">
        <w:trPr>
          <w:trHeight w:val="83"/>
        </w:trPr>
        <w:tc>
          <w:tcPr>
            <w:tcW w:w="3078" w:type="dxa"/>
            <w:noWrap/>
          </w:tcPr>
          <w:p w:rsidR="002970BD" w:rsidRPr="00216442" w:rsidRDefault="002970BD" w:rsidP="002970BD">
            <w:pPr>
              <w:overflowPunct/>
              <w:autoSpaceDE/>
              <w:autoSpaceDN/>
              <w:adjustRightInd/>
              <w:jc w:val="center"/>
              <w:textAlignment w:val="auto"/>
              <w:rPr>
                <w:rFonts w:ascii="Arial" w:hAnsi="Arial" w:cs="Arial"/>
                <w:szCs w:val="24"/>
                <w:u w:val="single"/>
              </w:rPr>
            </w:pPr>
          </w:p>
        </w:tc>
        <w:tc>
          <w:tcPr>
            <w:tcW w:w="270" w:type="dxa"/>
          </w:tcPr>
          <w:p w:rsidR="002970BD" w:rsidRPr="00216442" w:rsidRDefault="002970BD" w:rsidP="002970BD">
            <w:pPr>
              <w:tabs>
                <w:tab w:val="decimal" w:pos="1524"/>
              </w:tabs>
              <w:overflowPunct/>
              <w:autoSpaceDE/>
              <w:autoSpaceDN/>
              <w:adjustRightInd/>
              <w:textAlignment w:val="auto"/>
              <w:rPr>
                <w:rFonts w:ascii="Arial" w:hAnsi="Arial" w:cs="Arial"/>
                <w:szCs w:val="24"/>
              </w:rPr>
            </w:pPr>
          </w:p>
        </w:tc>
        <w:tc>
          <w:tcPr>
            <w:tcW w:w="2070" w:type="dxa"/>
            <w:noWrap/>
          </w:tcPr>
          <w:p w:rsidR="002970BD" w:rsidRPr="00216442" w:rsidRDefault="002970BD" w:rsidP="002970BD">
            <w:pPr>
              <w:tabs>
                <w:tab w:val="decimal" w:pos="1524"/>
              </w:tabs>
              <w:overflowPunct/>
              <w:autoSpaceDE/>
              <w:autoSpaceDN/>
              <w:adjustRightInd/>
              <w:textAlignment w:val="auto"/>
              <w:rPr>
                <w:rFonts w:ascii="Arial" w:hAnsi="Arial" w:cs="Arial"/>
                <w:szCs w:val="24"/>
              </w:rPr>
            </w:pPr>
          </w:p>
        </w:tc>
        <w:tc>
          <w:tcPr>
            <w:tcW w:w="270" w:type="dxa"/>
          </w:tcPr>
          <w:p w:rsidR="002970BD" w:rsidRPr="00F774EB" w:rsidRDefault="002970BD" w:rsidP="002970BD">
            <w:pPr>
              <w:pStyle w:val="NoSpacing"/>
              <w:jc w:val="right"/>
              <w:rPr>
                <w:rFonts w:ascii="Arial" w:hAnsi="Arial" w:cs="Arial"/>
                <w:sz w:val="24"/>
                <w:szCs w:val="24"/>
              </w:rPr>
            </w:pPr>
          </w:p>
        </w:tc>
        <w:tc>
          <w:tcPr>
            <w:tcW w:w="2070" w:type="dxa"/>
            <w:noWrap/>
            <w:vAlign w:val="bottom"/>
          </w:tcPr>
          <w:p w:rsidR="002970BD" w:rsidRPr="00216442" w:rsidRDefault="002970BD" w:rsidP="002970BD">
            <w:pPr>
              <w:tabs>
                <w:tab w:val="decimal" w:pos="1605"/>
              </w:tabs>
              <w:overflowPunct/>
              <w:autoSpaceDE/>
              <w:autoSpaceDN/>
              <w:adjustRightInd/>
              <w:textAlignment w:val="auto"/>
              <w:rPr>
                <w:rFonts w:ascii="Arial" w:hAnsi="Arial" w:cs="Arial"/>
                <w:szCs w:val="24"/>
              </w:rPr>
            </w:pPr>
          </w:p>
        </w:tc>
        <w:tc>
          <w:tcPr>
            <w:tcW w:w="270" w:type="dxa"/>
          </w:tcPr>
          <w:p w:rsidR="002970BD" w:rsidRPr="00F774EB" w:rsidRDefault="002970BD" w:rsidP="002970BD">
            <w:pPr>
              <w:pStyle w:val="NoSpacing"/>
              <w:jc w:val="right"/>
              <w:rPr>
                <w:rFonts w:ascii="Arial" w:hAnsi="Arial" w:cs="Arial"/>
                <w:sz w:val="24"/>
                <w:szCs w:val="24"/>
              </w:rPr>
            </w:pPr>
          </w:p>
        </w:tc>
        <w:tc>
          <w:tcPr>
            <w:tcW w:w="1890" w:type="dxa"/>
            <w:noWrap/>
            <w:vAlign w:val="bottom"/>
          </w:tcPr>
          <w:p w:rsidR="002970BD" w:rsidRPr="00F774EB" w:rsidRDefault="002970BD" w:rsidP="002970BD">
            <w:pPr>
              <w:pStyle w:val="NoSpacing"/>
              <w:jc w:val="right"/>
              <w:rPr>
                <w:rFonts w:ascii="Arial" w:hAnsi="Arial" w:cs="Arial"/>
                <w:sz w:val="24"/>
                <w:szCs w:val="24"/>
              </w:rPr>
            </w:pPr>
          </w:p>
        </w:tc>
      </w:tr>
      <w:tr w:rsidR="006762C6" w:rsidRPr="00216442" w:rsidTr="007B2EC2">
        <w:trPr>
          <w:trHeight w:val="255"/>
        </w:trPr>
        <w:tc>
          <w:tcPr>
            <w:tcW w:w="3078" w:type="dxa"/>
            <w:noWrap/>
          </w:tcPr>
          <w:p w:rsidR="002970BD" w:rsidRPr="00216442" w:rsidRDefault="002970BD" w:rsidP="002970BD">
            <w:pPr>
              <w:overflowPunct/>
              <w:autoSpaceDE/>
              <w:autoSpaceDN/>
              <w:adjustRightInd/>
              <w:textAlignment w:val="auto"/>
              <w:rPr>
                <w:rFonts w:ascii="Arial" w:hAnsi="Arial" w:cs="Arial"/>
                <w:szCs w:val="24"/>
              </w:rPr>
            </w:pPr>
            <w:r>
              <w:rPr>
                <w:rFonts w:ascii="Arial" w:hAnsi="Arial" w:cs="Arial"/>
                <w:szCs w:val="24"/>
              </w:rPr>
              <w:t>RTS On Peak</w:t>
            </w:r>
          </w:p>
        </w:tc>
        <w:tc>
          <w:tcPr>
            <w:tcW w:w="270" w:type="dxa"/>
          </w:tcPr>
          <w:p w:rsidR="002970BD" w:rsidRDefault="002970BD" w:rsidP="002970BD">
            <w:pPr>
              <w:tabs>
                <w:tab w:val="decimal" w:pos="1524"/>
              </w:tabs>
              <w:overflowPunct/>
              <w:autoSpaceDE/>
              <w:autoSpaceDN/>
              <w:adjustRightInd/>
              <w:textAlignment w:val="auto"/>
              <w:rPr>
                <w:rFonts w:ascii="Arial" w:hAnsi="Arial" w:cs="Arial"/>
                <w:szCs w:val="24"/>
              </w:rPr>
            </w:pPr>
          </w:p>
        </w:tc>
        <w:tc>
          <w:tcPr>
            <w:tcW w:w="2070" w:type="dxa"/>
            <w:noWrap/>
            <w:vAlign w:val="bottom"/>
          </w:tcPr>
          <w:p w:rsidR="002970BD" w:rsidRPr="00216442" w:rsidRDefault="002970BD" w:rsidP="00E92673">
            <w:pPr>
              <w:overflowPunct/>
              <w:autoSpaceDE/>
              <w:autoSpaceDN/>
              <w:adjustRightInd/>
              <w:textAlignment w:val="auto"/>
              <w:rPr>
                <w:rFonts w:ascii="Arial" w:hAnsi="Arial" w:cs="Arial"/>
                <w:szCs w:val="24"/>
              </w:rPr>
            </w:pPr>
            <w:r>
              <w:rPr>
                <w:rFonts w:ascii="Arial" w:hAnsi="Arial" w:cs="Arial"/>
                <w:szCs w:val="24"/>
              </w:rPr>
              <w:t xml:space="preserve">             </w:t>
            </w:r>
            <w:r w:rsidR="006762C6">
              <w:rPr>
                <w:rFonts w:ascii="Arial" w:hAnsi="Arial" w:cs="Arial"/>
                <w:szCs w:val="24"/>
              </w:rPr>
              <w:t xml:space="preserve"> </w:t>
            </w:r>
            <w:r>
              <w:rPr>
                <w:rFonts w:ascii="Arial" w:hAnsi="Arial" w:cs="Arial"/>
                <w:szCs w:val="24"/>
              </w:rPr>
              <w:t>(</w:t>
            </w:r>
            <w:r w:rsidR="00E92673">
              <w:rPr>
                <w:rFonts w:ascii="Arial" w:hAnsi="Arial" w:cs="Arial"/>
                <w:szCs w:val="24"/>
              </w:rPr>
              <w:t>57</w:t>
            </w:r>
            <w:r>
              <w:rPr>
                <w:rFonts w:ascii="Arial" w:hAnsi="Arial" w:cs="Arial"/>
                <w:szCs w:val="24"/>
              </w:rPr>
              <w:t>,</w:t>
            </w:r>
            <w:r w:rsidR="00E92673">
              <w:rPr>
                <w:rFonts w:ascii="Arial" w:hAnsi="Arial" w:cs="Arial"/>
                <w:szCs w:val="24"/>
              </w:rPr>
              <w:t>729</w:t>
            </w:r>
            <w:r>
              <w:rPr>
                <w:rFonts w:ascii="Arial" w:hAnsi="Arial" w:cs="Arial"/>
                <w:szCs w:val="24"/>
              </w:rPr>
              <w:t>)</w:t>
            </w:r>
          </w:p>
        </w:tc>
        <w:tc>
          <w:tcPr>
            <w:tcW w:w="270" w:type="dxa"/>
          </w:tcPr>
          <w:p w:rsidR="002970BD" w:rsidRPr="00F774EB" w:rsidRDefault="002970BD" w:rsidP="002970BD">
            <w:pPr>
              <w:pStyle w:val="NoSpacing"/>
              <w:jc w:val="right"/>
              <w:rPr>
                <w:rFonts w:ascii="Arial" w:hAnsi="Arial" w:cs="Arial"/>
                <w:sz w:val="24"/>
                <w:szCs w:val="24"/>
              </w:rPr>
            </w:pPr>
          </w:p>
        </w:tc>
        <w:tc>
          <w:tcPr>
            <w:tcW w:w="2070" w:type="dxa"/>
            <w:noWrap/>
            <w:vAlign w:val="bottom"/>
          </w:tcPr>
          <w:p w:rsidR="002970BD" w:rsidRPr="00216442" w:rsidRDefault="00E92673" w:rsidP="00E92673">
            <w:pPr>
              <w:tabs>
                <w:tab w:val="decimal" w:pos="1605"/>
              </w:tabs>
              <w:overflowPunct/>
              <w:autoSpaceDE/>
              <w:autoSpaceDN/>
              <w:adjustRightInd/>
              <w:textAlignment w:val="auto"/>
              <w:rPr>
                <w:rFonts w:ascii="Arial" w:hAnsi="Arial" w:cs="Arial"/>
                <w:szCs w:val="24"/>
              </w:rPr>
            </w:pPr>
            <w:r>
              <w:rPr>
                <w:rFonts w:ascii="Arial" w:hAnsi="Arial" w:cs="Arial"/>
                <w:szCs w:val="24"/>
              </w:rPr>
              <w:t>32</w:t>
            </w:r>
            <w:r w:rsidR="002970BD">
              <w:rPr>
                <w:rFonts w:ascii="Arial" w:hAnsi="Arial" w:cs="Arial"/>
                <w:szCs w:val="24"/>
              </w:rPr>
              <w:t>,</w:t>
            </w:r>
            <w:r>
              <w:rPr>
                <w:rFonts w:ascii="Arial" w:hAnsi="Arial" w:cs="Arial"/>
                <w:szCs w:val="24"/>
              </w:rPr>
              <w:t>065</w:t>
            </w:r>
          </w:p>
        </w:tc>
        <w:tc>
          <w:tcPr>
            <w:tcW w:w="270" w:type="dxa"/>
          </w:tcPr>
          <w:p w:rsidR="002970BD" w:rsidRPr="00F774EB" w:rsidRDefault="002970BD" w:rsidP="002970BD">
            <w:pPr>
              <w:pStyle w:val="NoSpacing"/>
              <w:jc w:val="right"/>
              <w:rPr>
                <w:rFonts w:ascii="Arial" w:hAnsi="Arial" w:cs="Arial"/>
                <w:sz w:val="24"/>
                <w:szCs w:val="24"/>
              </w:rPr>
            </w:pPr>
          </w:p>
        </w:tc>
        <w:tc>
          <w:tcPr>
            <w:tcW w:w="1890" w:type="dxa"/>
            <w:noWrap/>
            <w:vAlign w:val="bottom"/>
          </w:tcPr>
          <w:p w:rsidR="002970BD" w:rsidRPr="00F774EB" w:rsidRDefault="00E92673" w:rsidP="00E92673">
            <w:pPr>
              <w:pStyle w:val="NoSpacing"/>
              <w:jc w:val="right"/>
              <w:rPr>
                <w:rFonts w:ascii="Arial" w:hAnsi="Arial" w:cs="Arial"/>
                <w:sz w:val="24"/>
                <w:szCs w:val="24"/>
              </w:rPr>
            </w:pPr>
            <w:r>
              <w:rPr>
                <w:rFonts w:ascii="Arial" w:hAnsi="Arial" w:cs="Arial"/>
                <w:sz w:val="24"/>
                <w:szCs w:val="24"/>
              </w:rPr>
              <w:t>(89,794</w:t>
            </w:r>
            <w:r w:rsidR="002970BD" w:rsidRPr="00F774EB">
              <w:rPr>
                <w:rFonts w:ascii="Arial" w:hAnsi="Arial" w:cs="Arial"/>
                <w:sz w:val="24"/>
                <w:szCs w:val="24"/>
              </w:rPr>
              <w:t>)</w:t>
            </w:r>
          </w:p>
        </w:tc>
      </w:tr>
      <w:tr w:rsidR="006762C6" w:rsidRPr="00216442" w:rsidTr="007B2EC2">
        <w:trPr>
          <w:trHeight w:val="255"/>
        </w:trPr>
        <w:tc>
          <w:tcPr>
            <w:tcW w:w="3078" w:type="dxa"/>
            <w:noWrap/>
          </w:tcPr>
          <w:p w:rsidR="002970BD" w:rsidRPr="00216442" w:rsidRDefault="002970BD" w:rsidP="002970BD">
            <w:pPr>
              <w:overflowPunct/>
              <w:autoSpaceDE/>
              <w:autoSpaceDN/>
              <w:adjustRightInd/>
              <w:textAlignment w:val="auto"/>
              <w:rPr>
                <w:rFonts w:ascii="Arial" w:hAnsi="Arial" w:cs="Arial"/>
                <w:szCs w:val="24"/>
              </w:rPr>
            </w:pPr>
          </w:p>
        </w:tc>
        <w:tc>
          <w:tcPr>
            <w:tcW w:w="270" w:type="dxa"/>
          </w:tcPr>
          <w:p w:rsidR="002970BD" w:rsidRPr="00216442" w:rsidRDefault="002970BD" w:rsidP="002970BD">
            <w:pPr>
              <w:tabs>
                <w:tab w:val="decimal" w:pos="1524"/>
              </w:tabs>
              <w:overflowPunct/>
              <w:autoSpaceDE/>
              <w:autoSpaceDN/>
              <w:adjustRightInd/>
              <w:textAlignment w:val="auto"/>
              <w:rPr>
                <w:rFonts w:ascii="Arial" w:hAnsi="Arial" w:cs="Arial"/>
                <w:szCs w:val="24"/>
              </w:rPr>
            </w:pPr>
          </w:p>
        </w:tc>
        <w:tc>
          <w:tcPr>
            <w:tcW w:w="2070" w:type="dxa"/>
            <w:noWrap/>
          </w:tcPr>
          <w:p w:rsidR="002970BD" w:rsidRPr="00216442" w:rsidRDefault="002970BD" w:rsidP="002970BD">
            <w:pPr>
              <w:tabs>
                <w:tab w:val="decimal" w:pos="1524"/>
              </w:tabs>
              <w:overflowPunct/>
              <w:autoSpaceDE/>
              <w:autoSpaceDN/>
              <w:adjustRightInd/>
              <w:textAlignment w:val="auto"/>
              <w:rPr>
                <w:rFonts w:ascii="Arial" w:hAnsi="Arial" w:cs="Arial"/>
                <w:szCs w:val="24"/>
              </w:rPr>
            </w:pPr>
          </w:p>
        </w:tc>
        <w:tc>
          <w:tcPr>
            <w:tcW w:w="270" w:type="dxa"/>
          </w:tcPr>
          <w:p w:rsidR="002970BD" w:rsidRPr="00F774EB" w:rsidRDefault="002970BD" w:rsidP="002970BD">
            <w:pPr>
              <w:pStyle w:val="NoSpacing"/>
              <w:jc w:val="right"/>
              <w:rPr>
                <w:rFonts w:ascii="Arial" w:hAnsi="Arial" w:cs="Arial"/>
                <w:sz w:val="24"/>
                <w:szCs w:val="24"/>
              </w:rPr>
            </w:pPr>
          </w:p>
        </w:tc>
        <w:tc>
          <w:tcPr>
            <w:tcW w:w="2070" w:type="dxa"/>
            <w:noWrap/>
            <w:vAlign w:val="bottom"/>
          </w:tcPr>
          <w:p w:rsidR="002970BD" w:rsidRPr="00216442" w:rsidRDefault="002970BD" w:rsidP="002970BD">
            <w:pPr>
              <w:tabs>
                <w:tab w:val="decimal" w:pos="1605"/>
              </w:tabs>
              <w:overflowPunct/>
              <w:autoSpaceDE/>
              <w:autoSpaceDN/>
              <w:adjustRightInd/>
              <w:textAlignment w:val="auto"/>
              <w:rPr>
                <w:rFonts w:ascii="Arial" w:hAnsi="Arial" w:cs="Arial"/>
                <w:szCs w:val="24"/>
              </w:rPr>
            </w:pPr>
          </w:p>
        </w:tc>
        <w:tc>
          <w:tcPr>
            <w:tcW w:w="270" w:type="dxa"/>
          </w:tcPr>
          <w:p w:rsidR="002970BD" w:rsidRPr="00F774EB" w:rsidRDefault="002970BD" w:rsidP="002970BD">
            <w:pPr>
              <w:pStyle w:val="NoSpacing"/>
              <w:jc w:val="right"/>
              <w:rPr>
                <w:rFonts w:ascii="Arial" w:hAnsi="Arial" w:cs="Arial"/>
                <w:sz w:val="24"/>
                <w:szCs w:val="24"/>
              </w:rPr>
            </w:pPr>
          </w:p>
        </w:tc>
        <w:tc>
          <w:tcPr>
            <w:tcW w:w="1890" w:type="dxa"/>
            <w:noWrap/>
            <w:vAlign w:val="bottom"/>
          </w:tcPr>
          <w:p w:rsidR="002970BD" w:rsidRPr="00F774EB" w:rsidRDefault="002970BD" w:rsidP="002970BD">
            <w:pPr>
              <w:pStyle w:val="NoSpacing"/>
              <w:jc w:val="right"/>
              <w:rPr>
                <w:rFonts w:ascii="Arial" w:hAnsi="Arial" w:cs="Arial"/>
                <w:sz w:val="24"/>
                <w:szCs w:val="24"/>
              </w:rPr>
            </w:pPr>
          </w:p>
        </w:tc>
      </w:tr>
      <w:tr w:rsidR="006762C6" w:rsidRPr="00216442" w:rsidTr="007B2EC2">
        <w:trPr>
          <w:trHeight w:val="255"/>
        </w:trPr>
        <w:tc>
          <w:tcPr>
            <w:tcW w:w="3078" w:type="dxa"/>
            <w:noWrap/>
          </w:tcPr>
          <w:p w:rsidR="002970BD" w:rsidRPr="00216442" w:rsidRDefault="002970BD" w:rsidP="002970BD">
            <w:pPr>
              <w:overflowPunct/>
              <w:autoSpaceDE/>
              <w:autoSpaceDN/>
              <w:adjustRightInd/>
              <w:textAlignment w:val="auto"/>
              <w:rPr>
                <w:rFonts w:ascii="Arial" w:hAnsi="Arial" w:cs="Arial"/>
                <w:szCs w:val="24"/>
              </w:rPr>
            </w:pPr>
            <w:r>
              <w:rPr>
                <w:rFonts w:ascii="Arial" w:hAnsi="Arial" w:cs="Arial"/>
                <w:szCs w:val="24"/>
              </w:rPr>
              <w:t>Small C&amp;I</w:t>
            </w:r>
            <w:r w:rsidRPr="00216442">
              <w:rPr>
                <w:rFonts w:ascii="Arial" w:hAnsi="Arial" w:cs="Arial"/>
                <w:szCs w:val="24"/>
              </w:rPr>
              <w:t xml:space="preserve"> </w:t>
            </w:r>
            <w:r>
              <w:rPr>
                <w:rFonts w:ascii="Arial" w:hAnsi="Arial" w:cs="Arial"/>
                <w:szCs w:val="24"/>
              </w:rPr>
              <w:t>–</w:t>
            </w:r>
            <w:r w:rsidRPr="00216442">
              <w:rPr>
                <w:rFonts w:ascii="Arial" w:hAnsi="Arial" w:cs="Arial"/>
                <w:szCs w:val="24"/>
              </w:rPr>
              <w:t xml:space="preserve"> </w:t>
            </w:r>
            <w:r>
              <w:rPr>
                <w:rFonts w:ascii="Arial" w:hAnsi="Arial" w:cs="Arial"/>
                <w:szCs w:val="24"/>
              </w:rPr>
              <w:t>Fixed</w:t>
            </w:r>
          </w:p>
        </w:tc>
        <w:tc>
          <w:tcPr>
            <w:tcW w:w="270" w:type="dxa"/>
          </w:tcPr>
          <w:p w:rsidR="002970BD" w:rsidRDefault="002970BD" w:rsidP="002970BD">
            <w:pPr>
              <w:tabs>
                <w:tab w:val="decimal" w:pos="1524"/>
              </w:tabs>
              <w:overflowPunct/>
              <w:autoSpaceDE/>
              <w:autoSpaceDN/>
              <w:adjustRightInd/>
              <w:textAlignment w:val="auto"/>
              <w:rPr>
                <w:rFonts w:ascii="Arial" w:hAnsi="Arial" w:cs="Arial"/>
                <w:szCs w:val="24"/>
              </w:rPr>
            </w:pPr>
          </w:p>
        </w:tc>
        <w:tc>
          <w:tcPr>
            <w:tcW w:w="2070" w:type="dxa"/>
            <w:noWrap/>
          </w:tcPr>
          <w:p w:rsidR="002970BD" w:rsidRPr="00216442" w:rsidRDefault="002970BD" w:rsidP="007B2EC2">
            <w:pPr>
              <w:overflowPunct/>
              <w:autoSpaceDE/>
              <w:autoSpaceDN/>
              <w:adjustRightInd/>
              <w:textAlignment w:val="auto"/>
              <w:rPr>
                <w:rFonts w:ascii="Arial" w:hAnsi="Arial" w:cs="Arial"/>
                <w:szCs w:val="24"/>
              </w:rPr>
            </w:pPr>
            <w:r>
              <w:rPr>
                <w:rFonts w:ascii="Arial" w:hAnsi="Arial" w:cs="Arial"/>
                <w:szCs w:val="24"/>
              </w:rPr>
              <w:t xml:space="preserve">     </w:t>
            </w:r>
            <w:r w:rsidR="006762C6">
              <w:rPr>
                <w:rFonts w:ascii="Arial" w:hAnsi="Arial" w:cs="Arial"/>
                <w:szCs w:val="24"/>
              </w:rPr>
              <w:t xml:space="preserve"> </w:t>
            </w:r>
            <w:r>
              <w:rPr>
                <w:rFonts w:ascii="Arial" w:hAnsi="Arial" w:cs="Arial"/>
                <w:szCs w:val="24"/>
              </w:rPr>
              <w:t>1</w:t>
            </w:r>
            <w:r w:rsidR="00E92673">
              <w:rPr>
                <w:rFonts w:ascii="Arial" w:hAnsi="Arial" w:cs="Arial"/>
                <w:szCs w:val="24"/>
              </w:rPr>
              <w:t>09</w:t>
            </w:r>
            <w:r>
              <w:rPr>
                <w:rFonts w:ascii="Arial" w:hAnsi="Arial" w:cs="Arial"/>
                <w:szCs w:val="24"/>
              </w:rPr>
              <w:t>,</w:t>
            </w:r>
            <w:r w:rsidR="00E92673">
              <w:rPr>
                <w:rFonts w:ascii="Arial" w:hAnsi="Arial" w:cs="Arial"/>
                <w:szCs w:val="24"/>
              </w:rPr>
              <w:t>778</w:t>
            </w:r>
            <w:r>
              <w:rPr>
                <w:rFonts w:ascii="Arial" w:hAnsi="Arial" w:cs="Arial"/>
                <w:szCs w:val="24"/>
              </w:rPr>
              <w:t>,</w:t>
            </w:r>
            <w:r w:rsidR="00E92673">
              <w:rPr>
                <w:rFonts w:ascii="Arial" w:hAnsi="Arial" w:cs="Arial"/>
                <w:szCs w:val="24"/>
              </w:rPr>
              <w:t>912</w:t>
            </w:r>
          </w:p>
        </w:tc>
        <w:tc>
          <w:tcPr>
            <w:tcW w:w="270" w:type="dxa"/>
          </w:tcPr>
          <w:p w:rsidR="002970BD" w:rsidRPr="00F774EB" w:rsidRDefault="002970BD" w:rsidP="002970BD">
            <w:pPr>
              <w:pStyle w:val="NoSpacing"/>
              <w:jc w:val="right"/>
              <w:rPr>
                <w:rFonts w:ascii="Arial" w:hAnsi="Arial" w:cs="Arial"/>
                <w:sz w:val="24"/>
                <w:szCs w:val="24"/>
              </w:rPr>
            </w:pPr>
          </w:p>
        </w:tc>
        <w:tc>
          <w:tcPr>
            <w:tcW w:w="2070" w:type="dxa"/>
            <w:noWrap/>
          </w:tcPr>
          <w:p w:rsidR="002970BD" w:rsidRPr="00216442" w:rsidRDefault="002970BD" w:rsidP="007B2EC2">
            <w:pPr>
              <w:tabs>
                <w:tab w:val="decimal" w:pos="1605"/>
              </w:tabs>
              <w:overflowPunct/>
              <w:autoSpaceDE/>
              <w:autoSpaceDN/>
              <w:adjustRightInd/>
              <w:textAlignment w:val="auto"/>
              <w:rPr>
                <w:rFonts w:ascii="Arial" w:hAnsi="Arial" w:cs="Arial"/>
                <w:szCs w:val="24"/>
              </w:rPr>
            </w:pPr>
            <w:r>
              <w:rPr>
                <w:rFonts w:ascii="Arial" w:hAnsi="Arial" w:cs="Arial"/>
                <w:szCs w:val="24"/>
              </w:rPr>
              <w:t>12</w:t>
            </w:r>
            <w:r w:rsidR="00E92673">
              <w:rPr>
                <w:rFonts w:ascii="Arial" w:hAnsi="Arial" w:cs="Arial"/>
                <w:szCs w:val="24"/>
              </w:rPr>
              <w:t>6</w:t>
            </w:r>
            <w:r>
              <w:rPr>
                <w:rFonts w:ascii="Arial" w:hAnsi="Arial" w:cs="Arial"/>
                <w:szCs w:val="24"/>
              </w:rPr>
              <w:t>,2</w:t>
            </w:r>
            <w:r w:rsidR="00E92673">
              <w:rPr>
                <w:rFonts w:ascii="Arial" w:hAnsi="Arial" w:cs="Arial"/>
                <w:szCs w:val="24"/>
              </w:rPr>
              <w:t>02</w:t>
            </w:r>
            <w:r>
              <w:rPr>
                <w:rFonts w:ascii="Arial" w:hAnsi="Arial" w:cs="Arial"/>
                <w:szCs w:val="24"/>
              </w:rPr>
              <w:t>,</w:t>
            </w:r>
            <w:r w:rsidR="00E92673">
              <w:rPr>
                <w:rFonts w:ascii="Arial" w:hAnsi="Arial" w:cs="Arial"/>
                <w:szCs w:val="24"/>
              </w:rPr>
              <w:t>452</w:t>
            </w:r>
          </w:p>
        </w:tc>
        <w:tc>
          <w:tcPr>
            <w:tcW w:w="270" w:type="dxa"/>
          </w:tcPr>
          <w:p w:rsidR="002970BD" w:rsidRPr="00F774EB" w:rsidRDefault="002970BD" w:rsidP="002970BD">
            <w:pPr>
              <w:pStyle w:val="NoSpacing"/>
              <w:jc w:val="right"/>
              <w:rPr>
                <w:rFonts w:ascii="Arial" w:hAnsi="Arial" w:cs="Arial"/>
                <w:sz w:val="24"/>
                <w:szCs w:val="24"/>
              </w:rPr>
            </w:pPr>
          </w:p>
        </w:tc>
        <w:tc>
          <w:tcPr>
            <w:tcW w:w="1890" w:type="dxa"/>
            <w:noWrap/>
            <w:vAlign w:val="bottom"/>
          </w:tcPr>
          <w:p w:rsidR="002970BD" w:rsidRPr="00F774EB" w:rsidRDefault="00E92673" w:rsidP="007B2EC2">
            <w:pPr>
              <w:pStyle w:val="NoSpacing"/>
              <w:jc w:val="right"/>
              <w:rPr>
                <w:rFonts w:ascii="Arial" w:hAnsi="Arial" w:cs="Arial"/>
                <w:sz w:val="24"/>
                <w:szCs w:val="24"/>
              </w:rPr>
            </w:pPr>
            <w:r>
              <w:rPr>
                <w:rFonts w:ascii="Arial" w:hAnsi="Arial" w:cs="Arial"/>
                <w:sz w:val="24"/>
                <w:szCs w:val="24"/>
              </w:rPr>
              <w:t xml:space="preserve">    (16</w:t>
            </w:r>
            <w:r w:rsidR="002970BD" w:rsidRPr="00F774EB">
              <w:rPr>
                <w:rFonts w:ascii="Arial" w:hAnsi="Arial" w:cs="Arial"/>
                <w:sz w:val="24"/>
                <w:szCs w:val="24"/>
              </w:rPr>
              <w:t>,</w:t>
            </w:r>
            <w:r>
              <w:rPr>
                <w:rFonts w:ascii="Arial" w:hAnsi="Arial" w:cs="Arial"/>
                <w:sz w:val="24"/>
                <w:szCs w:val="24"/>
              </w:rPr>
              <w:t>423</w:t>
            </w:r>
            <w:r w:rsidR="002970BD" w:rsidRPr="00F774EB">
              <w:rPr>
                <w:rFonts w:ascii="Arial" w:hAnsi="Arial" w:cs="Arial"/>
                <w:sz w:val="24"/>
                <w:szCs w:val="24"/>
              </w:rPr>
              <w:t>,</w:t>
            </w:r>
            <w:r>
              <w:rPr>
                <w:rFonts w:ascii="Arial" w:hAnsi="Arial" w:cs="Arial"/>
                <w:sz w:val="24"/>
                <w:szCs w:val="24"/>
              </w:rPr>
              <w:t>540)</w:t>
            </w:r>
          </w:p>
        </w:tc>
      </w:tr>
      <w:tr w:rsidR="006762C6" w:rsidRPr="001D73AB" w:rsidTr="007B2EC2">
        <w:trPr>
          <w:trHeight w:val="103"/>
        </w:trPr>
        <w:tc>
          <w:tcPr>
            <w:tcW w:w="3078" w:type="dxa"/>
            <w:noWrap/>
          </w:tcPr>
          <w:p w:rsidR="002970BD" w:rsidRDefault="002970BD" w:rsidP="002970BD">
            <w:pPr>
              <w:overflowPunct/>
              <w:autoSpaceDE/>
              <w:autoSpaceDN/>
              <w:adjustRightInd/>
              <w:textAlignment w:val="auto"/>
              <w:rPr>
                <w:rFonts w:ascii="Arial" w:hAnsi="Arial" w:cs="Arial"/>
                <w:szCs w:val="24"/>
              </w:rPr>
            </w:pPr>
          </w:p>
        </w:tc>
        <w:tc>
          <w:tcPr>
            <w:tcW w:w="270" w:type="dxa"/>
          </w:tcPr>
          <w:p w:rsidR="002970BD" w:rsidRDefault="002970BD" w:rsidP="002970BD">
            <w:pPr>
              <w:tabs>
                <w:tab w:val="decimal" w:pos="1524"/>
              </w:tabs>
              <w:overflowPunct/>
              <w:autoSpaceDE/>
              <w:autoSpaceDN/>
              <w:adjustRightInd/>
              <w:textAlignment w:val="auto"/>
              <w:rPr>
                <w:rFonts w:ascii="Arial" w:hAnsi="Arial" w:cs="Arial"/>
                <w:szCs w:val="24"/>
              </w:rPr>
            </w:pPr>
          </w:p>
        </w:tc>
        <w:tc>
          <w:tcPr>
            <w:tcW w:w="2070" w:type="dxa"/>
            <w:noWrap/>
          </w:tcPr>
          <w:p w:rsidR="002970BD" w:rsidRDefault="002970BD" w:rsidP="002970BD">
            <w:pPr>
              <w:tabs>
                <w:tab w:val="decimal" w:pos="1524"/>
              </w:tabs>
              <w:overflowPunct/>
              <w:autoSpaceDE/>
              <w:autoSpaceDN/>
              <w:adjustRightInd/>
              <w:textAlignment w:val="auto"/>
              <w:rPr>
                <w:rFonts w:ascii="Arial" w:hAnsi="Arial" w:cs="Arial"/>
                <w:szCs w:val="24"/>
              </w:rPr>
            </w:pPr>
          </w:p>
        </w:tc>
        <w:tc>
          <w:tcPr>
            <w:tcW w:w="270" w:type="dxa"/>
          </w:tcPr>
          <w:p w:rsidR="002970BD" w:rsidRPr="00F774EB" w:rsidRDefault="002970BD" w:rsidP="002970BD">
            <w:pPr>
              <w:pStyle w:val="NoSpacing"/>
              <w:jc w:val="right"/>
              <w:rPr>
                <w:rFonts w:ascii="Arial" w:hAnsi="Arial" w:cs="Arial"/>
                <w:sz w:val="24"/>
                <w:szCs w:val="24"/>
              </w:rPr>
            </w:pPr>
          </w:p>
        </w:tc>
        <w:tc>
          <w:tcPr>
            <w:tcW w:w="2070" w:type="dxa"/>
            <w:noWrap/>
          </w:tcPr>
          <w:p w:rsidR="002970BD" w:rsidRDefault="002970BD" w:rsidP="002970BD">
            <w:pPr>
              <w:tabs>
                <w:tab w:val="decimal" w:pos="1605"/>
              </w:tabs>
              <w:overflowPunct/>
              <w:autoSpaceDE/>
              <w:autoSpaceDN/>
              <w:adjustRightInd/>
              <w:textAlignment w:val="auto"/>
              <w:rPr>
                <w:rFonts w:ascii="Arial" w:hAnsi="Arial" w:cs="Arial"/>
                <w:szCs w:val="24"/>
              </w:rPr>
            </w:pPr>
          </w:p>
        </w:tc>
        <w:tc>
          <w:tcPr>
            <w:tcW w:w="270" w:type="dxa"/>
          </w:tcPr>
          <w:p w:rsidR="002970BD" w:rsidRPr="00F774EB" w:rsidRDefault="002970BD" w:rsidP="002970BD">
            <w:pPr>
              <w:pStyle w:val="NoSpacing"/>
              <w:jc w:val="right"/>
              <w:rPr>
                <w:rFonts w:ascii="Arial" w:hAnsi="Arial" w:cs="Arial"/>
                <w:sz w:val="24"/>
                <w:szCs w:val="24"/>
              </w:rPr>
            </w:pPr>
          </w:p>
        </w:tc>
        <w:tc>
          <w:tcPr>
            <w:tcW w:w="1890" w:type="dxa"/>
            <w:noWrap/>
            <w:vAlign w:val="bottom"/>
          </w:tcPr>
          <w:p w:rsidR="002970BD" w:rsidRPr="00F774EB" w:rsidRDefault="002970BD" w:rsidP="002970BD">
            <w:pPr>
              <w:pStyle w:val="NoSpacing"/>
              <w:jc w:val="right"/>
              <w:rPr>
                <w:rFonts w:ascii="Arial" w:hAnsi="Arial" w:cs="Arial"/>
                <w:sz w:val="24"/>
                <w:szCs w:val="24"/>
              </w:rPr>
            </w:pPr>
          </w:p>
        </w:tc>
      </w:tr>
      <w:tr w:rsidR="006762C6" w:rsidRPr="001D73AB" w:rsidTr="007B2EC2">
        <w:trPr>
          <w:trHeight w:val="255"/>
        </w:trPr>
        <w:tc>
          <w:tcPr>
            <w:tcW w:w="3078" w:type="dxa"/>
            <w:noWrap/>
          </w:tcPr>
          <w:p w:rsidR="002970BD" w:rsidRPr="00216442" w:rsidRDefault="002970BD" w:rsidP="002970BD">
            <w:pPr>
              <w:overflowPunct/>
              <w:autoSpaceDE/>
              <w:autoSpaceDN/>
              <w:adjustRightInd/>
              <w:textAlignment w:val="auto"/>
              <w:rPr>
                <w:rFonts w:ascii="Arial" w:hAnsi="Arial" w:cs="Arial"/>
                <w:szCs w:val="24"/>
              </w:rPr>
            </w:pPr>
            <w:r>
              <w:rPr>
                <w:rFonts w:ascii="Arial" w:hAnsi="Arial" w:cs="Arial"/>
                <w:szCs w:val="24"/>
              </w:rPr>
              <w:t>Small C&amp;I</w:t>
            </w:r>
            <w:r w:rsidRPr="00216442">
              <w:rPr>
                <w:rFonts w:ascii="Arial" w:hAnsi="Arial" w:cs="Arial"/>
                <w:szCs w:val="24"/>
              </w:rPr>
              <w:t xml:space="preserve"> </w:t>
            </w:r>
            <w:r>
              <w:rPr>
                <w:rFonts w:ascii="Arial" w:hAnsi="Arial" w:cs="Arial"/>
                <w:szCs w:val="24"/>
              </w:rPr>
              <w:t>–</w:t>
            </w:r>
            <w:r w:rsidRPr="00216442">
              <w:rPr>
                <w:rFonts w:ascii="Arial" w:hAnsi="Arial" w:cs="Arial"/>
                <w:szCs w:val="24"/>
              </w:rPr>
              <w:t xml:space="preserve"> </w:t>
            </w:r>
            <w:r>
              <w:rPr>
                <w:rFonts w:ascii="Arial" w:hAnsi="Arial" w:cs="Arial"/>
                <w:szCs w:val="24"/>
              </w:rPr>
              <w:t>TOU Off Peak</w:t>
            </w:r>
          </w:p>
        </w:tc>
        <w:tc>
          <w:tcPr>
            <w:tcW w:w="270" w:type="dxa"/>
          </w:tcPr>
          <w:p w:rsidR="002970BD" w:rsidRDefault="002970BD" w:rsidP="002970BD">
            <w:pPr>
              <w:tabs>
                <w:tab w:val="decimal" w:pos="1524"/>
              </w:tabs>
              <w:overflowPunct/>
              <w:autoSpaceDE/>
              <w:autoSpaceDN/>
              <w:adjustRightInd/>
              <w:textAlignment w:val="auto"/>
              <w:rPr>
                <w:rFonts w:ascii="Arial" w:hAnsi="Arial" w:cs="Arial"/>
                <w:szCs w:val="24"/>
              </w:rPr>
            </w:pPr>
          </w:p>
        </w:tc>
        <w:tc>
          <w:tcPr>
            <w:tcW w:w="2070" w:type="dxa"/>
            <w:noWrap/>
            <w:vAlign w:val="bottom"/>
          </w:tcPr>
          <w:p w:rsidR="002970BD" w:rsidRPr="00216442" w:rsidRDefault="002970BD" w:rsidP="00E92673">
            <w:pPr>
              <w:overflowPunct/>
              <w:autoSpaceDE/>
              <w:autoSpaceDN/>
              <w:adjustRightInd/>
              <w:textAlignment w:val="auto"/>
              <w:rPr>
                <w:rFonts w:ascii="Arial" w:hAnsi="Arial" w:cs="Arial"/>
                <w:szCs w:val="24"/>
              </w:rPr>
            </w:pPr>
            <w:r>
              <w:rPr>
                <w:rFonts w:ascii="Arial" w:hAnsi="Arial" w:cs="Arial"/>
                <w:szCs w:val="24"/>
              </w:rPr>
              <w:t xml:space="preserve">            </w:t>
            </w:r>
            <w:r w:rsidR="006762C6">
              <w:rPr>
                <w:rFonts w:ascii="Arial" w:hAnsi="Arial" w:cs="Arial"/>
                <w:szCs w:val="24"/>
              </w:rPr>
              <w:t xml:space="preserve"> </w:t>
            </w:r>
            <w:r w:rsidR="00E92673">
              <w:rPr>
                <w:rFonts w:ascii="Arial" w:hAnsi="Arial" w:cs="Arial"/>
                <w:szCs w:val="24"/>
              </w:rPr>
              <w:t>294</w:t>
            </w:r>
            <w:r>
              <w:rPr>
                <w:rFonts w:ascii="Arial" w:hAnsi="Arial" w:cs="Arial"/>
                <w:szCs w:val="24"/>
              </w:rPr>
              <w:t>,</w:t>
            </w:r>
            <w:r w:rsidR="00E92673">
              <w:rPr>
                <w:rFonts w:ascii="Arial" w:hAnsi="Arial" w:cs="Arial"/>
                <w:szCs w:val="24"/>
              </w:rPr>
              <w:t>023</w:t>
            </w:r>
          </w:p>
        </w:tc>
        <w:tc>
          <w:tcPr>
            <w:tcW w:w="270" w:type="dxa"/>
          </w:tcPr>
          <w:p w:rsidR="002970BD" w:rsidRPr="00F774EB" w:rsidRDefault="002970BD" w:rsidP="002970BD">
            <w:pPr>
              <w:pStyle w:val="NoSpacing"/>
              <w:jc w:val="right"/>
              <w:rPr>
                <w:rFonts w:ascii="Arial" w:hAnsi="Arial" w:cs="Arial"/>
                <w:sz w:val="24"/>
                <w:szCs w:val="24"/>
              </w:rPr>
            </w:pPr>
          </w:p>
        </w:tc>
        <w:tc>
          <w:tcPr>
            <w:tcW w:w="2070" w:type="dxa"/>
            <w:noWrap/>
            <w:vAlign w:val="bottom"/>
          </w:tcPr>
          <w:p w:rsidR="002970BD" w:rsidRPr="00216442" w:rsidRDefault="00E92673" w:rsidP="00E92673">
            <w:pPr>
              <w:tabs>
                <w:tab w:val="decimal" w:pos="1605"/>
              </w:tabs>
              <w:overflowPunct/>
              <w:autoSpaceDE/>
              <w:autoSpaceDN/>
              <w:adjustRightInd/>
              <w:textAlignment w:val="auto"/>
              <w:rPr>
                <w:rFonts w:ascii="Arial" w:hAnsi="Arial" w:cs="Arial"/>
                <w:szCs w:val="24"/>
              </w:rPr>
            </w:pPr>
            <w:r>
              <w:rPr>
                <w:rFonts w:ascii="Arial" w:hAnsi="Arial" w:cs="Arial"/>
                <w:szCs w:val="24"/>
              </w:rPr>
              <w:t>35</w:t>
            </w:r>
            <w:r w:rsidR="002970BD">
              <w:rPr>
                <w:rFonts w:ascii="Arial" w:hAnsi="Arial" w:cs="Arial"/>
                <w:szCs w:val="24"/>
              </w:rPr>
              <w:t>,</w:t>
            </w:r>
            <w:r>
              <w:rPr>
                <w:rFonts w:ascii="Arial" w:hAnsi="Arial" w:cs="Arial"/>
                <w:szCs w:val="24"/>
              </w:rPr>
              <w:t>174</w:t>
            </w:r>
          </w:p>
        </w:tc>
        <w:tc>
          <w:tcPr>
            <w:tcW w:w="270" w:type="dxa"/>
          </w:tcPr>
          <w:p w:rsidR="002970BD" w:rsidRPr="00F774EB" w:rsidRDefault="002970BD" w:rsidP="002970BD">
            <w:pPr>
              <w:pStyle w:val="NoSpacing"/>
              <w:jc w:val="right"/>
              <w:rPr>
                <w:rFonts w:ascii="Arial" w:hAnsi="Arial" w:cs="Arial"/>
                <w:sz w:val="24"/>
                <w:szCs w:val="24"/>
              </w:rPr>
            </w:pPr>
          </w:p>
        </w:tc>
        <w:tc>
          <w:tcPr>
            <w:tcW w:w="1890" w:type="dxa"/>
            <w:noWrap/>
            <w:vAlign w:val="bottom"/>
          </w:tcPr>
          <w:p w:rsidR="002970BD" w:rsidRPr="00F774EB" w:rsidRDefault="00A87E9A" w:rsidP="00A87E9A">
            <w:pPr>
              <w:pStyle w:val="NoSpacing"/>
              <w:jc w:val="center"/>
              <w:rPr>
                <w:rFonts w:ascii="Arial" w:hAnsi="Arial" w:cs="Arial"/>
                <w:sz w:val="24"/>
                <w:szCs w:val="24"/>
              </w:rPr>
            </w:pPr>
            <w:r>
              <w:rPr>
                <w:rFonts w:ascii="Arial" w:hAnsi="Arial" w:cs="Arial"/>
                <w:sz w:val="24"/>
                <w:szCs w:val="24"/>
              </w:rPr>
              <w:t xml:space="preserve">           </w:t>
            </w:r>
            <w:r w:rsidR="00E92673">
              <w:rPr>
                <w:rFonts w:ascii="Arial" w:hAnsi="Arial" w:cs="Arial"/>
                <w:sz w:val="24"/>
                <w:szCs w:val="24"/>
              </w:rPr>
              <w:t>258</w:t>
            </w:r>
            <w:r w:rsidR="002970BD" w:rsidRPr="00F774EB">
              <w:rPr>
                <w:rFonts w:ascii="Arial" w:hAnsi="Arial" w:cs="Arial"/>
                <w:sz w:val="24"/>
                <w:szCs w:val="24"/>
              </w:rPr>
              <w:t>,</w:t>
            </w:r>
            <w:r w:rsidR="00E92673">
              <w:rPr>
                <w:rFonts w:ascii="Arial" w:hAnsi="Arial" w:cs="Arial"/>
                <w:sz w:val="24"/>
                <w:szCs w:val="24"/>
              </w:rPr>
              <w:t>84</w:t>
            </w:r>
            <w:r w:rsidR="00E72846">
              <w:rPr>
                <w:rFonts w:ascii="Arial" w:hAnsi="Arial" w:cs="Arial"/>
                <w:sz w:val="24"/>
                <w:szCs w:val="24"/>
              </w:rPr>
              <w:t>9</w:t>
            </w:r>
          </w:p>
        </w:tc>
      </w:tr>
      <w:tr w:rsidR="006762C6" w:rsidRPr="001D73AB" w:rsidTr="007B2EC2">
        <w:trPr>
          <w:trHeight w:val="255"/>
        </w:trPr>
        <w:tc>
          <w:tcPr>
            <w:tcW w:w="3078" w:type="dxa"/>
            <w:noWrap/>
          </w:tcPr>
          <w:p w:rsidR="002970BD" w:rsidRPr="00216442" w:rsidRDefault="002970BD" w:rsidP="002970BD">
            <w:pPr>
              <w:overflowPunct/>
              <w:autoSpaceDE/>
              <w:autoSpaceDN/>
              <w:adjustRightInd/>
              <w:jc w:val="center"/>
              <w:textAlignment w:val="auto"/>
              <w:rPr>
                <w:rFonts w:ascii="Arial" w:hAnsi="Arial" w:cs="Arial"/>
                <w:szCs w:val="24"/>
                <w:u w:val="single"/>
              </w:rPr>
            </w:pPr>
          </w:p>
        </w:tc>
        <w:tc>
          <w:tcPr>
            <w:tcW w:w="270" w:type="dxa"/>
          </w:tcPr>
          <w:p w:rsidR="002970BD" w:rsidRPr="00216442" w:rsidRDefault="002970BD" w:rsidP="002970BD">
            <w:pPr>
              <w:tabs>
                <w:tab w:val="decimal" w:pos="1524"/>
              </w:tabs>
              <w:overflowPunct/>
              <w:autoSpaceDE/>
              <w:autoSpaceDN/>
              <w:adjustRightInd/>
              <w:textAlignment w:val="auto"/>
              <w:rPr>
                <w:rFonts w:ascii="Arial" w:hAnsi="Arial" w:cs="Arial"/>
                <w:szCs w:val="24"/>
              </w:rPr>
            </w:pPr>
          </w:p>
        </w:tc>
        <w:tc>
          <w:tcPr>
            <w:tcW w:w="2070" w:type="dxa"/>
            <w:noWrap/>
            <w:vAlign w:val="bottom"/>
          </w:tcPr>
          <w:p w:rsidR="002970BD" w:rsidRPr="00216442" w:rsidRDefault="002970BD" w:rsidP="002970BD">
            <w:pPr>
              <w:tabs>
                <w:tab w:val="decimal" w:pos="1524"/>
              </w:tabs>
              <w:overflowPunct/>
              <w:autoSpaceDE/>
              <w:autoSpaceDN/>
              <w:adjustRightInd/>
              <w:textAlignment w:val="auto"/>
              <w:rPr>
                <w:rFonts w:ascii="Arial" w:hAnsi="Arial" w:cs="Arial"/>
                <w:szCs w:val="24"/>
              </w:rPr>
            </w:pPr>
          </w:p>
        </w:tc>
        <w:tc>
          <w:tcPr>
            <w:tcW w:w="270" w:type="dxa"/>
          </w:tcPr>
          <w:p w:rsidR="002970BD" w:rsidRPr="00F774EB" w:rsidRDefault="002970BD" w:rsidP="002970BD">
            <w:pPr>
              <w:pStyle w:val="NoSpacing"/>
              <w:jc w:val="right"/>
              <w:rPr>
                <w:rFonts w:ascii="Arial" w:hAnsi="Arial" w:cs="Arial"/>
                <w:sz w:val="24"/>
                <w:szCs w:val="24"/>
              </w:rPr>
            </w:pPr>
          </w:p>
        </w:tc>
        <w:tc>
          <w:tcPr>
            <w:tcW w:w="2070" w:type="dxa"/>
            <w:noWrap/>
            <w:vAlign w:val="bottom"/>
          </w:tcPr>
          <w:p w:rsidR="002970BD" w:rsidRPr="00216442" w:rsidRDefault="002970BD" w:rsidP="002970BD">
            <w:pPr>
              <w:tabs>
                <w:tab w:val="decimal" w:pos="1605"/>
              </w:tabs>
              <w:overflowPunct/>
              <w:autoSpaceDE/>
              <w:autoSpaceDN/>
              <w:adjustRightInd/>
              <w:textAlignment w:val="auto"/>
              <w:rPr>
                <w:rFonts w:ascii="Arial" w:hAnsi="Arial" w:cs="Arial"/>
                <w:szCs w:val="24"/>
              </w:rPr>
            </w:pPr>
          </w:p>
        </w:tc>
        <w:tc>
          <w:tcPr>
            <w:tcW w:w="270" w:type="dxa"/>
          </w:tcPr>
          <w:p w:rsidR="002970BD" w:rsidRPr="00F774EB" w:rsidRDefault="002970BD" w:rsidP="002970BD">
            <w:pPr>
              <w:pStyle w:val="NoSpacing"/>
              <w:jc w:val="right"/>
              <w:rPr>
                <w:rFonts w:ascii="Arial" w:hAnsi="Arial" w:cs="Arial"/>
                <w:sz w:val="24"/>
                <w:szCs w:val="24"/>
              </w:rPr>
            </w:pPr>
          </w:p>
        </w:tc>
        <w:tc>
          <w:tcPr>
            <w:tcW w:w="1890" w:type="dxa"/>
            <w:noWrap/>
            <w:vAlign w:val="bottom"/>
          </w:tcPr>
          <w:p w:rsidR="002970BD" w:rsidRPr="00F774EB" w:rsidRDefault="002970BD" w:rsidP="002970BD">
            <w:pPr>
              <w:pStyle w:val="NoSpacing"/>
              <w:jc w:val="right"/>
              <w:rPr>
                <w:rFonts w:ascii="Arial" w:hAnsi="Arial" w:cs="Arial"/>
                <w:sz w:val="24"/>
                <w:szCs w:val="24"/>
              </w:rPr>
            </w:pPr>
          </w:p>
        </w:tc>
      </w:tr>
      <w:tr w:rsidR="006762C6" w:rsidRPr="001D73AB" w:rsidTr="007B2EC2">
        <w:trPr>
          <w:trHeight w:val="255"/>
        </w:trPr>
        <w:tc>
          <w:tcPr>
            <w:tcW w:w="3078" w:type="dxa"/>
            <w:noWrap/>
          </w:tcPr>
          <w:p w:rsidR="002970BD" w:rsidRPr="00216442" w:rsidRDefault="002970BD" w:rsidP="002970BD">
            <w:pPr>
              <w:overflowPunct/>
              <w:autoSpaceDE/>
              <w:autoSpaceDN/>
              <w:adjustRightInd/>
              <w:textAlignment w:val="auto"/>
              <w:rPr>
                <w:rFonts w:ascii="Arial" w:hAnsi="Arial" w:cs="Arial"/>
                <w:szCs w:val="24"/>
              </w:rPr>
            </w:pPr>
            <w:r>
              <w:rPr>
                <w:rFonts w:ascii="Arial" w:hAnsi="Arial" w:cs="Arial"/>
                <w:szCs w:val="24"/>
              </w:rPr>
              <w:t>Small C&amp;I</w:t>
            </w:r>
            <w:r w:rsidRPr="00216442">
              <w:rPr>
                <w:rFonts w:ascii="Arial" w:hAnsi="Arial" w:cs="Arial"/>
                <w:szCs w:val="24"/>
              </w:rPr>
              <w:t xml:space="preserve"> </w:t>
            </w:r>
            <w:r>
              <w:rPr>
                <w:rFonts w:ascii="Arial" w:hAnsi="Arial" w:cs="Arial"/>
                <w:szCs w:val="24"/>
              </w:rPr>
              <w:t>–</w:t>
            </w:r>
            <w:r w:rsidRPr="00216442">
              <w:rPr>
                <w:rFonts w:ascii="Arial" w:hAnsi="Arial" w:cs="Arial"/>
                <w:szCs w:val="24"/>
              </w:rPr>
              <w:t xml:space="preserve"> </w:t>
            </w:r>
            <w:r>
              <w:rPr>
                <w:rFonts w:ascii="Arial" w:hAnsi="Arial" w:cs="Arial"/>
                <w:szCs w:val="24"/>
              </w:rPr>
              <w:t>TOU On Peak</w:t>
            </w:r>
          </w:p>
        </w:tc>
        <w:tc>
          <w:tcPr>
            <w:tcW w:w="270" w:type="dxa"/>
          </w:tcPr>
          <w:p w:rsidR="002970BD" w:rsidRDefault="002970BD" w:rsidP="002970BD">
            <w:pPr>
              <w:tabs>
                <w:tab w:val="decimal" w:pos="1524"/>
              </w:tabs>
              <w:overflowPunct/>
              <w:autoSpaceDE/>
              <w:autoSpaceDN/>
              <w:adjustRightInd/>
              <w:textAlignment w:val="auto"/>
              <w:rPr>
                <w:rFonts w:ascii="Arial" w:hAnsi="Arial" w:cs="Arial"/>
                <w:szCs w:val="24"/>
                <w:u w:val="single"/>
              </w:rPr>
            </w:pPr>
          </w:p>
        </w:tc>
        <w:tc>
          <w:tcPr>
            <w:tcW w:w="2070" w:type="dxa"/>
            <w:noWrap/>
            <w:vAlign w:val="bottom"/>
          </w:tcPr>
          <w:p w:rsidR="002970BD" w:rsidRPr="00881912" w:rsidRDefault="002970BD" w:rsidP="00E92673">
            <w:pPr>
              <w:overflowPunct/>
              <w:autoSpaceDE/>
              <w:autoSpaceDN/>
              <w:adjustRightInd/>
              <w:textAlignment w:val="auto"/>
              <w:rPr>
                <w:rFonts w:ascii="Arial" w:hAnsi="Arial" w:cs="Arial"/>
                <w:szCs w:val="24"/>
                <w:u w:val="single"/>
              </w:rPr>
            </w:pPr>
            <w:r w:rsidRPr="00881912">
              <w:rPr>
                <w:rFonts w:ascii="Arial" w:hAnsi="Arial" w:cs="Arial"/>
                <w:szCs w:val="24"/>
              </w:rPr>
              <w:t xml:space="preserve"> </w:t>
            </w:r>
            <w:r w:rsidRPr="00B87C15">
              <w:rPr>
                <w:rFonts w:ascii="Arial" w:hAnsi="Arial" w:cs="Arial"/>
                <w:szCs w:val="24"/>
              </w:rPr>
              <w:t xml:space="preserve"> </w:t>
            </w:r>
            <w:r w:rsidRPr="00881912">
              <w:rPr>
                <w:rFonts w:ascii="Arial" w:hAnsi="Arial" w:cs="Arial"/>
                <w:szCs w:val="24"/>
                <w:u w:val="single"/>
              </w:rPr>
              <w:t xml:space="preserve">         </w:t>
            </w:r>
            <w:r w:rsidR="006762C6">
              <w:rPr>
                <w:rFonts w:ascii="Arial" w:hAnsi="Arial" w:cs="Arial"/>
                <w:szCs w:val="24"/>
                <w:u w:val="single"/>
              </w:rPr>
              <w:t xml:space="preserve"> </w:t>
            </w:r>
            <w:r w:rsidRPr="00881912">
              <w:rPr>
                <w:rFonts w:ascii="Arial" w:hAnsi="Arial" w:cs="Arial"/>
                <w:szCs w:val="24"/>
                <w:u w:val="single"/>
              </w:rPr>
              <w:t xml:space="preserve"> </w:t>
            </w:r>
            <w:r w:rsidR="00E92673" w:rsidRPr="00881912">
              <w:rPr>
                <w:rFonts w:ascii="Arial" w:hAnsi="Arial" w:cs="Arial"/>
                <w:szCs w:val="24"/>
                <w:u w:val="single"/>
              </w:rPr>
              <w:t>136</w:t>
            </w:r>
            <w:r w:rsidRPr="00881912">
              <w:rPr>
                <w:rFonts w:ascii="Arial" w:hAnsi="Arial" w:cs="Arial"/>
                <w:szCs w:val="24"/>
                <w:u w:val="single"/>
              </w:rPr>
              <w:t>,</w:t>
            </w:r>
            <w:r w:rsidR="00E92673" w:rsidRPr="00881912">
              <w:rPr>
                <w:rFonts w:ascii="Arial" w:hAnsi="Arial" w:cs="Arial"/>
                <w:szCs w:val="24"/>
                <w:u w:val="single"/>
              </w:rPr>
              <w:t>994</w:t>
            </w:r>
          </w:p>
        </w:tc>
        <w:tc>
          <w:tcPr>
            <w:tcW w:w="270" w:type="dxa"/>
          </w:tcPr>
          <w:p w:rsidR="002970BD" w:rsidRPr="00F774EB" w:rsidRDefault="002970BD" w:rsidP="002970BD">
            <w:pPr>
              <w:pStyle w:val="NoSpacing"/>
              <w:jc w:val="right"/>
              <w:rPr>
                <w:rFonts w:ascii="Arial" w:hAnsi="Arial" w:cs="Arial"/>
                <w:sz w:val="24"/>
                <w:szCs w:val="24"/>
                <w:u w:val="single"/>
              </w:rPr>
            </w:pPr>
          </w:p>
        </w:tc>
        <w:tc>
          <w:tcPr>
            <w:tcW w:w="2070" w:type="dxa"/>
            <w:noWrap/>
            <w:vAlign w:val="bottom"/>
          </w:tcPr>
          <w:p w:rsidR="002970BD" w:rsidRPr="00881912" w:rsidRDefault="002970BD" w:rsidP="00E92673">
            <w:pPr>
              <w:overflowPunct/>
              <w:autoSpaceDE/>
              <w:autoSpaceDN/>
              <w:adjustRightInd/>
              <w:textAlignment w:val="auto"/>
              <w:rPr>
                <w:rFonts w:ascii="Arial" w:hAnsi="Arial" w:cs="Arial"/>
                <w:szCs w:val="24"/>
                <w:u w:val="single"/>
              </w:rPr>
            </w:pPr>
            <w:r w:rsidRPr="00881912">
              <w:rPr>
                <w:rFonts w:ascii="Arial" w:hAnsi="Arial" w:cs="Arial"/>
                <w:szCs w:val="24"/>
                <w:u w:val="single"/>
              </w:rPr>
              <w:t xml:space="preserve">           </w:t>
            </w:r>
            <w:r w:rsidR="00E92673" w:rsidRPr="00881912">
              <w:rPr>
                <w:rFonts w:ascii="Arial" w:hAnsi="Arial" w:cs="Arial"/>
                <w:szCs w:val="24"/>
                <w:u w:val="single"/>
              </w:rPr>
              <w:t xml:space="preserve">  31</w:t>
            </w:r>
            <w:r w:rsidRPr="00881912">
              <w:rPr>
                <w:rFonts w:ascii="Arial" w:hAnsi="Arial" w:cs="Arial"/>
                <w:szCs w:val="24"/>
                <w:u w:val="single"/>
              </w:rPr>
              <w:t>,</w:t>
            </w:r>
            <w:r w:rsidR="00E92673" w:rsidRPr="00881912">
              <w:rPr>
                <w:rFonts w:ascii="Arial" w:hAnsi="Arial" w:cs="Arial"/>
                <w:szCs w:val="24"/>
                <w:u w:val="single"/>
              </w:rPr>
              <w:t>132</w:t>
            </w:r>
          </w:p>
        </w:tc>
        <w:tc>
          <w:tcPr>
            <w:tcW w:w="270" w:type="dxa"/>
          </w:tcPr>
          <w:p w:rsidR="002970BD" w:rsidRPr="00F774EB" w:rsidRDefault="002970BD" w:rsidP="002970BD">
            <w:pPr>
              <w:pStyle w:val="NoSpacing"/>
              <w:jc w:val="right"/>
              <w:rPr>
                <w:rFonts w:ascii="Arial" w:hAnsi="Arial" w:cs="Arial"/>
                <w:sz w:val="24"/>
                <w:szCs w:val="24"/>
                <w:u w:val="single"/>
              </w:rPr>
            </w:pPr>
          </w:p>
        </w:tc>
        <w:tc>
          <w:tcPr>
            <w:tcW w:w="1890" w:type="dxa"/>
            <w:noWrap/>
            <w:vAlign w:val="bottom"/>
          </w:tcPr>
          <w:p w:rsidR="002970BD" w:rsidRPr="00881912" w:rsidRDefault="00A87E9A" w:rsidP="00A87E9A">
            <w:pPr>
              <w:pStyle w:val="NoSpacing"/>
              <w:jc w:val="center"/>
              <w:rPr>
                <w:rFonts w:ascii="Arial" w:hAnsi="Arial" w:cs="Arial"/>
                <w:sz w:val="24"/>
                <w:szCs w:val="24"/>
                <w:u w:val="single"/>
              </w:rPr>
            </w:pPr>
            <w:r w:rsidRPr="006C137A">
              <w:rPr>
                <w:rFonts w:ascii="Arial" w:hAnsi="Arial" w:cs="Arial"/>
                <w:sz w:val="24"/>
                <w:szCs w:val="24"/>
              </w:rPr>
              <w:t xml:space="preserve">  </w:t>
            </w:r>
            <w:r w:rsidRPr="00881912">
              <w:rPr>
                <w:rFonts w:ascii="Arial" w:hAnsi="Arial" w:cs="Arial"/>
                <w:sz w:val="24"/>
                <w:szCs w:val="24"/>
                <w:u w:val="single"/>
              </w:rPr>
              <w:t xml:space="preserve">         </w:t>
            </w:r>
            <w:r w:rsidR="00E92673" w:rsidRPr="00881912">
              <w:rPr>
                <w:rFonts w:ascii="Arial" w:hAnsi="Arial" w:cs="Arial"/>
                <w:sz w:val="24"/>
                <w:szCs w:val="24"/>
                <w:u w:val="single"/>
              </w:rPr>
              <w:t>105</w:t>
            </w:r>
            <w:r w:rsidR="002970BD" w:rsidRPr="00881912">
              <w:rPr>
                <w:rFonts w:ascii="Arial" w:hAnsi="Arial" w:cs="Arial"/>
                <w:sz w:val="24"/>
                <w:szCs w:val="24"/>
                <w:u w:val="single"/>
              </w:rPr>
              <w:t>,8</w:t>
            </w:r>
            <w:r w:rsidR="00E92673" w:rsidRPr="00881912">
              <w:rPr>
                <w:rFonts w:ascii="Arial" w:hAnsi="Arial" w:cs="Arial"/>
                <w:sz w:val="24"/>
                <w:szCs w:val="24"/>
                <w:u w:val="single"/>
              </w:rPr>
              <w:t>62</w:t>
            </w:r>
          </w:p>
        </w:tc>
      </w:tr>
      <w:tr w:rsidR="006762C6" w:rsidRPr="001D73AB" w:rsidTr="007B2EC2">
        <w:trPr>
          <w:trHeight w:val="255"/>
        </w:trPr>
        <w:tc>
          <w:tcPr>
            <w:tcW w:w="3078" w:type="dxa"/>
            <w:noWrap/>
          </w:tcPr>
          <w:p w:rsidR="002970BD" w:rsidRDefault="002970BD" w:rsidP="002970BD">
            <w:pPr>
              <w:overflowPunct/>
              <w:autoSpaceDE/>
              <w:autoSpaceDN/>
              <w:adjustRightInd/>
              <w:textAlignment w:val="auto"/>
              <w:rPr>
                <w:rFonts w:ascii="Arial" w:hAnsi="Arial" w:cs="Arial"/>
                <w:szCs w:val="24"/>
              </w:rPr>
            </w:pPr>
          </w:p>
        </w:tc>
        <w:tc>
          <w:tcPr>
            <w:tcW w:w="270" w:type="dxa"/>
          </w:tcPr>
          <w:p w:rsidR="002970BD" w:rsidRDefault="002970BD" w:rsidP="002970BD">
            <w:pPr>
              <w:tabs>
                <w:tab w:val="decimal" w:pos="1524"/>
              </w:tabs>
              <w:overflowPunct/>
              <w:autoSpaceDE/>
              <w:autoSpaceDN/>
              <w:adjustRightInd/>
              <w:textAlignment w:val="auto"/>
              <w:rPr>
                <w:rFonts w:ascii="Arial" w:hAnsi="Arial" w:cs="Arial"/>
                <w:szCs w:val="24"/>
                <w:u w:val="double"/>
              </w:rPr>
            </w:pPr>
          </w:p>
        </w:tc>
        <w:tc>
          <w:tcPr>
            <w:tcW w:w="2070" w:type="dxa"/>
            <w:noWrap/>
            <w:vAlign w:val="bottom"/>
          </w:tcPr>
          <w:p w:rsidR="002970BD" w:rsidRDefault="002970BD" w:rsidP="002970BD">
            <w:pPr>
              <w:tabs>
                <w:tab w:val="decimal" w:pos="1524"/>
              </w:tabs>
              <w:overflowPunct/>
              <w:autoSpaceDE/>
              <w:autoSpaceDN/>
              <w:adjustRightInd/>
              <w:textAlignment w:val="auto"/>
              <w:rPr>
                <w:rFonts w:ascii="Arial" w:hAnsi="Arial" w:cs="Arial"/>
                <w:szCs w:val="24"/>
                <w:u w:val="double"/>
              </w:rPr>
            </w:pPr>
          </w:p>
        </w:tc>
        <w:tc>
          <w:tcPr>
            <w:tcW w:w="270" w:type="dxa"/>
          </w:tcPr>
          <w:p w:rsidR="002970BD" w:rsidRPr="00F774EB" w:rsidRDefault="002970BD" w:rsidP="002970BD">
            <w:pPr>
              <w:pStyle w:val="NoSpacing"/>
              <w:jc w:val="right"/>
              <w:rPr>
                <w:rFonts w:ascii="Arial" w:hAnsi="Arial" w:cs="Arial"/>
                <w:sz w:val="24"/>
                <w:szCs w:val="24"/>
              </w:rPr>
            </w:pPr>
          </w:p>
        </w:tc>
        <w:tc>
          <w:tcPr>
            <w:tcW w:w="2070" w:type="dxa"/>
            <w:noWrap/>
            <w:vAlign w:val="bottom"/>
          </w:tcPr>
          <w:p w:rsidR="002970BD" w:rsidRDefault="002970BD" w:rsidP="002970BD">
            <w:pPr>
              <w:tabs>
                <w:tab w:val="decimal" w:pos="1605"/>
              </w:tabs>
              <w:overflowPunct/>
              <w:autoSpaceDE/>
              <w:autoSpaceDN/>
              <w:adjustRightInd/>
              <w:textAlignment w:val="auto"/>
              <w:rPr>
                <w:rFonts w:ascii="Arial" w:hAnsi="Arial" w:cs="Arial"/>
                <w:szCs w:val="24"/>
                <w:u w:val="double"/>
              </w:rPr>
            </w:pPr>
          </w:p>
        </w:tc>
        <w:tc>
          <w:tcPr>
            <w:tcW w:w="270" w:type="dxa"/>
          </w:tcPr>
          <w:p w:rsidR="002970BD" w:rsidRPr="00F774EB" w:rsidRDefault="002970BD" w:rsidP="002970BD">
            <w:pPr>
              <w:pStyle w:val="NoSpacing"/>
              <w:jc w:val="right"/>
              <w:rPr>
                <w:rFonts w:ascii="Arial" w:hAnsi="Arial" w:cs="Arial"/>
                <w:sz w:val="24"/>
                <w:szCs w:val="24"/>
              </w:rPr>
            </w:pPr>
          </w:p>
        </w:tc>
        <w:tc>
          <w:tcPr>
            <w:tcW w:w="1890" w:type="dxa"/>
            <w:noWrap/>
            <w:vAlign w:val="bottom"/>
          </w:tcPr>
          <w:p w:rsidR="002970BD" w:rsidRPr="00F774EB" w:rsidRDefault="002970BD" w:rsidP="002970BD">
            <w:pPr>
              <w:pStyle w:val="NoSpacing"/>
              <w:jc w:val="right"/>
              <w:rPr>
                <w:rFonts w:ascii="Arial" w:hAnsi="Arial" w:cs="Arial"/>
                <w:sz w:val="24"/>
                <w:szCs w:val="24"/>
              </w:rPr>
            </w:pPr>
          </w:p>
        </w:tc>
      </w:tr>
      <w:tr w:rsidR="006762C6" w:rsidRPr="001D73AB" w:rsidTr="007B2EC2">
        <w:trPr>
          <w:trHeight w:val="255"/>
        </w:trPr>
        <w:tc>
          <w:tcPr>
            <w:tcW w:w="3078" w:type="dxa"/>
            <w:noWrap/>
          </w:tcPr>
          <w:p w:rsidR="002970BD" w:rsidRPr="00216442" w:rsidRDefault="00252C14" w:rsidP="002970BD">
            <w:pPr>
              <w:overflowPunct/>
              <w:autoSpaceDE/>
              <w:autoSpaceDN/>
              <w:adjustRightInd/>
              <w:textAlignment w:val="auto"/>
              <w:rPr>
                <w:rFonts w:ascii="Arial" w:hAnsi="Arial" w:cs="Arial"/>
                <w:szCs w:val="24"/>
              </w:rPr>
            </w:pPr>
            <w:r>
              <w:rPr>
                <w:rFonts w:ascii="Arial" w:hAnsi="Arial" w:cs="Arial"/>
                <w:szCs w:val="24"/>
              </w:rPr>
              <w:t xml:space="preserve">     </w:t>
            </w:r>
            <w:r w:rsidR="002970BD">
              <w:rPr>
                <w:rFonts w:ascii="Arial" w:hAnsi="Arial" w:cs="Arial"/>
                <w:szCs w:val="24"/>
              </w:rPr>
              <w:t>Totals</w:t>
            </w:r>
          </w:p>
        </w:tc>
        <w:tc>
          <w:tcPr>
            <w:tcW w:w="270" w:type="dxa"/>
          </w:tcPr>
          <w:p w:rsidR="002970BD" w:rsidRDefault="002970BD" w:rsidP="002970BD">
            <w:pPr>
              <w:tabs>
                <w:tab w:val="decimal" w:pos="1524"/>
              </w:tabs>
              <w:overflowPunct/>
              <w:autoSpaceDE/>
              <w:autoSpaceDN/>
              <w:adjustRightInd/>
              <w:textAlignment w:val="auto"/>
              <w:rPr>
                <w:rFonts w:ascii="Arial" w:hAnsi="Arial" w:cs="Arial"/>
                <w:szCs w:val="24"/>
                <w:u w:val="double"/>
              </w:rPr>
            </w:pPr>
          </w:p>
        </w:tc>
        <w:tc>
          <w:tcPr>
            <w:tcW w:w="2070" w:type="dxa"/>
            <w:noWrap/>
            <w:vAlign w:val="bottom"/>
          </w:tcPr>
          <w:p w:rsidR="002970BD" w:rsidRPr="00881912" w:rsidRDefault="00B87C15" w:rsidP="00B87C15">
            <w:pPr>
              <w:overflowPunct/>
              <w:autoSpaceDE/>
              <w:autoSpaceDN/>
              <w:adjustRightInd/>
              <w:textAlignment w:val="auto"/>
              <w:rPr>
                <w:rFonts w:ascii="Arial" w:hAnsi="Arial" w:cs="Arial"/>
                <w:szCs w:val="24"/>
                <w:u w:val="double"/>
              </w:rPr>
            </w:pPr>
            <w:r w:rsidRPr="00B87C15">
              <w:rPr>
                <w:rFonts w:ascii="Arial" w:hAnsi="Arial" w:cs="Arial"/>
                <w:szCs w:val="24"/>
              </w:rPr>
              <w:t xml:space="preserve">  </w:t>
            </w:r>
            <w:r w:rsidR="002970BD" w:rsidRPr="00881912">
              <w:rPr>
                <w:rFonts w:ascii="Arial" w:hAnsi="Arial" w:cs="Arial"/>
                <w:szCs w:val="24"/>
                <w:u w:val="double"/>
              </w:rPr>
              <w:t>$</w:t>
            </w:r>
            <w:r w:rsidR="006762C6">
              <w:rPr>
                <w:rFonts w:ascii="Arial" w:hAnsi="Arial" w:cs="Arial"/>
                <w:szCs w:val="24"/>
                <w:u w:val="double"/>
              </w:rPr>
              <w:t xml:space="preserve">  </w:t>
            </w:r>
            <w:r w:rsidR="002970BD" w:rsidRPr="00881912">
              <w:rPr>
                <w:rFonts w:ascii="Arial" w:hAnsi="Arial" w:cs="Arial"/>
                <w:szCs w:val="24"/>
                <w:u w:val="double"/>
              </w:rPr>
              <w:t>59</w:t>
            </w:r>
            <w:r w:rsidR="00E92673" w:rsidRPr="00881912">
              <w:rPr>
                <w:rFonts w:ascii="Arial" w:hAnsi="Arial" w:cs="Arial"/>
                <w:szCs w:val="24"/>
                <w:u w:val="double"/>
              </w:rPr>
              <w:t>2</w:t>
            </w:r>
            <w:r w:rsidR="002970BD" w:rsidRPr="00881912">
              <w:rPr>
                <w:rFonts w:ascii="Arial" w:hAnsi="Arial" w:cs="Arial"/>
                <w:szCs w:val="24"/>
                <w:u w:val="double"/>
              </w:rPr>
              <w:t>,</w:t>
            </w:r>
            <w:r w:rsidR="00E92673" w:rsidRPr="00881912">
              <w:rPr>
                <w:rFonts w:ascii="Arial" w:hAnsi="Arial" w:cs="Arial"/>
                <w:szCs w:val="24"/>
                <w:u w:val="double"/>
              </w:rPr>
              <w:t>069</w:t>
            </w:r>
            <w:r w:rsidR="002970BD" w:rsidRPr="00881912">
              <w:rPr>
                <w:rFonts w:ascii="Arial" w:hAnsi="Arial" w:cs="Arial"/>
                <w:szCs w:val="24"/>
                <w:u w:val="double"/>
              </w:rPr>
              <w:t>,</w:t>
            </w:r>
            <w:r w:rsidR="00E92673" w:rsidRPr="00881912">
              <w:rPr>
                <w:rFonts w:ascii="Arial" w:hAnsi="Arial" w:cs="Arial"/>
                <w:szCs w:val="24"/>
                <w:u w:val="double"/>
              </w:rPr>
              <w:t>563</w:t>
            </w:r>
          </w:p>
        </w:tc>
        <w:tc>
          <w:tcPr>
            <w:tcW w:w="270" w:type="dxa"/>
          </w:tcPr>
          <w:p w:rsidR="002970BD" w:rsidRDefault="002970BD" w:rsidP="002970BD">
            <w:pPr>
              <w:pStyle w:val="NoSpacing"/>
              <w:jc w:val="right"/>
              <w:rPr>
                <w:rFonts w:ascii="Arial" w:hAnsi="Arial" w:cs="Arial"/>
                <w:sz w:val="24"/>
                <w:szCs w:val="24"/>
                <w:u w:val="double"/>
              </w:rPr>
            </w:pPr>
          </w:p>
        </w:tc>
        <w:tc>
          <w:tcPr>
            <w:tcW w:w="2070" w:type="dxa"/>
            <w:noWrap/>
            <w:vAlign w:val="bottom"/>
          </w:tcPr>
          <w:p w:rsidR="002970BD" w:rsidRPr="00881912" w:rsidRDefault="002970BD" w:rsidP="00E92673">
            <w:pPr>
              <w:tabs>
                <w:tab w:val="decimal" w:pos="1605"/>
              </w:tabs>
              <w:overflowPunct/>
              <w:autoSpaceDE/>
              <w:autoSpaceDN/>
              <w:adjustRightInd/>
              <w:textAlignment w:val="auto"/>
              <w:rPr>
                <w:rFonts w:ascii="Arial" w:hAnsi="Arial" w:cs="Arial"/>
                <w:szCs w:val="24"/>
                <w:u w:val="double"/>
              </w:rPr>
            </w:pPr>
            <w:r w:rsidRPr="00881912">
              <w:rPr>
                <w:rFonts w:ascii="Arial" w:hAnsi="Arial" w:cs="Arial"/>
                <w:szCs w:val="24"/>
                <w:u w:val="double"/>
              </w:rPr>
              <w:t xml:space="preserve">$  </w:t>
            </w:r>
            <w:r w:rsidR="00E92673" w:rsidRPr="00881912">
              <w:rPr>
                <w:rFonts w:ascii="Arial" w:hAnsi="Arial" w:cs="Arial"/>
                <w:szCs w:val="24"/>
                <w:u w:val="double"/>
              </w:rPr>
              <w:t>616</w:t>
            </w:r>
            <w:r w:rsidRPr="00881912">
              <w:rPr>
                <w:rFonts w:ascii="Arial" w:hAnsi="Arial" w:cs="Arial"/>
                <w:szCs w:val="24"/>
                <w:u w:val="double"/>
              </w:rPr>
              <w:t>,</w:t>
            </w:r>
            <w:r w:rsidR="00E92673" w:rsidRPr="00881912">
              <w:rPr>
                <w:rFonts w:ascii="Arial" w:hAnsi="Arial" w:cs="Arial"/>
                <w:szCs w:val="24"/>
                <w:u w:val="double"/>
              </w:rPr>
              <w:t>694</w:t>
            </w:r>
            <w:r w:rsidRPr="00881912">
              <w:rPr>
                <w:rFonts w:ascii="Arial" w:hAnsi="Arial" w:cs="Arial"/>
                <w:szCs w:val="24"/>
                <w:u w:val="double"/>
              </w:rPr>
              <w:t>,</w:t>
            </w:r>
            <w:r w:rsidR="00E92673" w:rsidRPr="00881912">
              <w:rPr>
                <w:rFonts w:ascii="Arial" w:hAnsi="Arial" w:cs="Arial"/>
                <w:szCs w:val="24"/>
                <w:u w:val="double"/>
              </w:rPr>
              <w:t>850</w:t>
            </w:r>
          </w:p>
        </w:tc>
        <w:tc>
          <w:tcPr>
            <w:tcW w:w="270" w:type="dxa"/>
          </w:tcPr>
          <w:p w:rsidR="002970BD" w:rsidRPr="00F774EB" w:rsidRDefault="002970BD" w:rsidP="002970BD">
            <w:pPr>
              <w:pStyle w:val="NoSpacing"/>
              <w:jc w:val="right"/>
              <w:rPr>
                <w:rFonts w:ascii="Arial" w:hAnsi="Arial" w:cs="Arial"/>
                <w:sz w:val="24"/>
                <w:szCs w:val="24"/>
                <w:u w:val="double"/>
              </w:rPr>
            </w:pPr>
          </w:p>
        </w:tc>
        <w:tc>
          <w:tcPr>
            <w:tcW w:w="1890" w:type="dxa"/>
            <w:noWrap/>
            <w:vAlign w:val="bottom"/>
          </w:tcPr>
          <w:p w:rsidR="002970BD" w:rsidRPr="00881912" w:rsidRDefault="002970BD" w:rsidP="006C137A">
            <w:pPr>
              <w:pStyle w:val="NoSpacing"/>
              <w:jc w:val="right"/>
              <w:rPr>
                <w:rFonts w:ascii="Arial" w:hAnsi="Arial" w:cs="Arial"/>
                <w:sz w:val="24"/>
                <w:szCs w:val="24"/>
                <w:u w:val="double"/>
              </w:rPr>
            </w:pPr>
            <w:r w:rsidRPr="00881912">
              <w:rPr>
                <w:rFonts w:ascii="Arial" w:hAnsi="Arial" w:cs="Arial"/>
                <w:sz w:val="24"/>
                <w:szCs w:val="24"/>
                <w:u w:val="double"/>
              </w:rPr>
              <w:t xml:space="preserve">$ </w:t>
            </w:r>
            <w:r w:rsidR="00E92673" w:rsidRPr="00881912">
              <w:rPr>
                <w:rFonts w:ascii="Arial" w:hAnsi="Arial" w:cs="Arial"/>
                <w:sz w:val="24"/>
                <w:szCs w:val="24"/>
                <w:u w:val="double"/>
              </w:rPr>
              <w:t xml:space="preserve"> </w:t>
            </w:r>
            <w:r w:rsidRPr="00881912">
              <w:rPr>
                <w:rFonts w:ascii="Arial" w:hAnsi="Arial" w:cs="Arial"/>
                <w:sz w:val="24"/>
                <w:szCs w:val="24"/>
                <w:u w:val="double"/>
              </w:rPr>
              <w:t>(2</w:t>
            </w:r>
            <w:r w:rsidR="00E92673" w:rsidRPr="00881912">
              <w:rPr>
                <w:rFonts w:ascii="Arial" w:hAnsi="Arial" w:cs="Arial"/>
                <w:sz w:val="24"/>
                <w:szCs w:val="24"/>
                <w:u w:val="double"/>
              </w:rPr>
              <w:t>4</w:t>
            </w:r>
            <w:r w:rsidRPr="00881912">
              <w:rPr>
                <w:rFonts w:ascii="Arial" w:hAnsi="Arial" w:cs="Arial"/>
                <w:sz w:val="24"/>
                <w:szCs w:val="24"/>
                <w:u w:val="double"/>
              </w:rPr>
              <w:t>,</w:t>
            </w:r>
            <w:r w:rsidR="00E92673" w:rsidRPr="00881912">
              <w:rPr>
                <w:rFonts w:ascii="Arial" w:hAnsi="Arial" w:cs="Arial"/>
                <w:sz w:val="24"/>
                <w:szCs w:val="24"/>
                <w:u w:val="double"/>
              </w:rPr>
              <w:t>625</w:t>
            </w:r>
            <w:r w:rsidRPr="00881912">
              <w:rPr>
                <w:rFonts w:ascii="Arial" w:hAnsi="Arial" w:cs="Arial"/>
                <w:sz w:val="24"/>
                <w:szCs w:val="24"/>
                <w:u w:val="double"/>
              </w:rPr>
              <w:t>,</w:t>
            </w:r>
            <w:r w:rsidR="00E92673" w:rsidRPr="00881912">
              <w:rPr>
                <w:rFonts w:ascii="Arial" w:hAnsi="Arial" w:cs="Arial"/>
                <w:sz w:val="24"/>
                <w:szCs w:val="24"/>
                <w:u w:val="double"/>
              </w:rPr>
              <w:t>287</w:t>
            </w:r>
            <w:r w:rsidRPr="00881912">
              <w:rPr>
                <w:rFonts w:ascii="Arial" w:hAnsi="Arial" w:cs="Arial"/>
                <w:sz w:val="24"/>
                <w:szCs w:val="24"/>
                <w:u w:val="double"/>
              </w:rPr>
              <w:t>)</w:t>
            </w:r>
          </w:p>
        </w:tc>
      </w:tr>
      <w:tr w:rsidR="006762C6" w:rsidRPr="001D73AB" w:rsidTr="007B2EC2">
        <w:trPr>
          <w:trHeight w:val="255"/>
        </w:trPr>
        <w:tc>
          <w:tcPr>
            <w:tcW w:w="3078" w:type="dxa"/>
            <w:noWrap/>
          </w:tcPr>
          <w:p w:rsidR="002970BD" w:rsidRPr="00216442" w:rsidRDefault="002970BD" w:rsidP="002970BD">
            <w:pPr>
              <w:overflowPunct/>
              <w:autoSpaceDE/>
              <w:autoSpaceDN/>
              <w:adjustRightInd/>
              <w:textAlignment w:val="auto"/>
              <w:rPr>
                <w:rFonts w:ascii="Arial" w:hAnsi="Arial" w:cs="Arial"/>
                <w:szCs w:val="24"/>
              </w:rPr>
            </w:pPr>
          </w:p>
        </w:tc>
        <w:tc>
          <w:tcPr>
            <w:tcW w:w="270" w:type="dxa"/>
          </w:tcPr>
          <w:p w:rsidR="002970BD" w:rsidRPr="00216442" w:rsidRDefault="002970BD" w:rsidP="002970BD">
            <w:pPr>
              <w:tabs>
                <w:tab w:val="decimal" w:pos="1524"/>
              </w:tabs>
              <w:overflowPunct/>
              <w:autoSpaceDE/>
              <w:autoSpaceDN/>
              <w:adjustRightInd/>
              <w:textAlignment w:val="auto"/>
              <w:rPr>
                <w:rFonts w:ascii="Arial" w:hAnsi="Arial" w:cs="Arial"/>
                <w:szCs w:val="24"/>
                <w:u w:val="single"/>
              </w:rPr>
            </w:pPr>
          </w:p>
        </w:tc>
        <w:tc>
          <w:tcPr>
            <w:tcW w:w="2070" w:type="dxa"/>
            <w:noWrap/>
            <w:vAlign w:val="bottom"/>
          </w:tcPr>
          <w:p w:rsidR="002970BD" w:rsidRPr="00216442" w:rsidRDefault="002970BD" w:rsidP="002970BD">
            <w:pPr>
              <w:tabs>
                <w:tab w:val="decimal" w:pos="1524"/>
              </w:tabs>
              <w:overflowPunct/>
              <w:autoSpaceDE/>
              <w:autoSpaceDN/>
              <w:adjustRightInd/>
              <w:textAlignment w:val="auto"/>
              <w:rPr>
                <w:rFonts w:ascii="Arial" w:hAnsi="Arial" w:cs="Arial"/>
                <w:szCs w:val="24"/>
                <w:u w:val="single"/>
              </w:rPr>
            </w:pPr>
          </w:p>
        </w:tc>
        <w:tc>
          <w:tcPr>
            <w:tcW w:w="270" w:type="dxa"/>
          </w:tcPr>
          <w:p w:rsidR="002970BD" w:rsidRPr="00216442" w:rsidRDefault="002970BD" w:rsidP="002970BD">
            <w:pPr>
              <w:tabs>
                <w:tab w:val="decimal" w:pos="1605"/>
              </w:tabs>
              <w:overflowPunct/>
              <w:autoSpaceDE/>
              <w:autoSpaceDN/>
              <w:adjustRightInd/>
              <w:textAlignment w:val="auto"/>
              <w:rPr>
                <w:rFonts w:ascii="Arial" w:hAnsi="Arial" w:cs="Arial"/>
                <w:szCs w:val="24"/>
                <w:u w:val="single"/>
              </w:rPr>
            </w:pPr>
          </w:p>
        </w:tc>
        <w:tc>
          <w:tcPr>
            <w:tcW w:w="2070" w:type="dxa"/>
            <w:noWrap/>
            <w:vAlign w:val="bottom"/>
          </w:tcPr>
          <w:p w:rsidR="002970BD" w:rsidRPr="00216442" w:rsidRDefault="002970BD" w:rsidP="002970BD">
            <w:pPr>
              <w:tabs>
                <w:tab w:val="decimal" w:pos="1605"/>
              </w:tabs>
              <w:overflowPunct/>
              <w:autoSpaceDE/>
              <w:autoSpaceDN/>
              <w:adjustRightInd/>
              <w:textAlignment w:val="auto"/>
              <w:rPr>
                <w:rFonts w:ascii="Arial" w:hAnsi="Arial" w:cs="Arial"/>
                <w:szCs w:val="24"/>
                <w:u w:val="single"/>
              </w:rPr>
            </w:pPr>
          </w:p>
        </w:tc>
        <w:tc>
          <w:tcPr>
            <w:tcW w:w="270" w:type="dxa"/>
          </w:tcPr>
          <w:p w:rsidR="002970BD" w:rsidRPr="00216442" w:rsidRDefault="002970BD" w:rsidP="002970BD">
            <w:pPr>
              <w:tabs>
                <w:tab w:val="decimal" w:pos="1605"/>
              </w:tabs>
              <w:overflowPunct/>
              <w:autoSpaceDE/>
              <w:autoSpaceDN/>
              <w:adjustRightInd/>
              <w:textAlignment w:val="auto"/>
              <w:rPr>
                <w:rFonts w:ascii="Arial" w:hAnsi="Arial" w:cs="Arial"/>
                <w:szCs w:val="24"/>
                <w:u w:val="single"/>
              </w:rPr>
            </w:pPr>
          </w:p>
        </w:tc>
        <w:tc>
          <w:tcPr>
            <w:tcW w:w="1890" w:type="dxa"/>
            <w:noWrap/>
            <w:vAlign w:val="bottom"/>
          </w:tcPr>
          <w:p w:rsidR="002970BD" w:rsidRPr="00216442" w:rsidRDefault="002970BD" w:rsidP="002970BD">
            <w:pPr>
              <w:tabs>
                <w:tab w:val="decimal" w:pos="1605"/>
              </w:tabs>
              <w:overflowPunct/>
              <w:autoSpaceDE/>
              <w:autoSpaceDN/>
              <w:adjustRightInd/>
              <w:textAlignment w:val="auto"/>
              <w:rPr>
                <w:rFonts w:ascii="Arial" w:hAnsi="Arial" w:cs="Arial"/>
                <w:szCs w:val="24"/>
                <w:u w:val="single"/>
              </w:rPr>
            </w:pPr>
          </w:p>
        </w:tc>
      </w:tr>
    </w:tbl>
    <w:p w:rsidR="00FA7E9F" w:rsidRDefault="00FA7E9F" w:rsidP="00FA7E9F">
      <w:pPr>
        <w:suppressAutoHyphens/>
        <w:rPr>
          <w:rFonts w:ascii="Arial" w:hAnsi="Arial" w:cs="Arial"/>
          <w:b/>
          <w:sz w:val="26"/>
          <w:szCs w:val="26"/>
        </w:rPr>
      </w:pPr>
    </w:p>
    <w:p w:rsidR="00F112C2" w:rsidRDefault="002970BD" w:rsidP="00F112C2">
      <w:pPr>
        <w:tabs>
          <w:tab w:val="left" w:pos="360"/>
          <w:tab w:val="center" w:pos="4680"/>
        </w:tabs>
        <w:suppressAutoHyphens/>
        <w:ind w:left="-450"/>
        <w:rPr>
          <w:rFonts w:ascii="Arial" w:hAnsi="Arial" w:cs="Arial"/>
          <w:szCs w:val="24"/>
        </w:rPr>
      </w:pPr>
      <w:r>
        <w:rPr>
          <w:rFonts w:ascii="Arial" w:hAnsi="Arial" w:cs="Arial"/>
          <w:szCs w:val="24"/>
        </w:rPr>
        <w:t xml:space="preserve">     </w:t>
      </w:r>
    </w:p>
    <w:p w:rsidR="00F112C2" w:rsidRDefault="00F112C2" w:rsidP="00F112C2">
      <w:pPr>
        <w:tabs>
          <w:tab w:val="left" w:pos="360"/>
          <w:tab w:val="center" w:pos="4680"/>
        </w:tabs>
        <w:suppressAutoHyphens/>
        <w:ind w:left="-450"/>
        <w:rPr>
          <w:rFonts w:ascii="Arial" w:hAnsi="Arial" w:cs="Arial"/>
          <w:szCs w:val="24"/>
        </w:rPr>
      </w:pPr>
    </w:p>
    <w:p w:rsidR="002970BD" w:rsidRPr="00F112C2" w:rsidRDefault="00F112C2" w:rsidP="00F112C2">
      <w:pPr>
        <w:tabs>
          <w:tab w:val="left" w:pos="360"/>
          <w:tab w:val="center" w:pos="4680"/>
        </w:tabs>
        <w:suppressAutoHyphens/>
        <w:rPr>
          <w:rFonts w:ascii="Arial" w:hAnsi="Arial" w:cs="Arial"/>
          <w:szCs w:val="24"/>
        </w:rPr>
      </w:pPr>
      <w:r>
        <w:rPr>
          <w:rFonts w:ascii="Arial" w:hAnsi="Arial" w:cs="Arial"/>
          <w:szCs w:val="24"/>
        </w:rPr>
        <w:t xml:space="preserve">* - </w:t>
      </w:r>
      <w:r w:rsidR="002970BD" w:rsidRPr="00F112C2">
        <w:rPr>
          <w:rFonts w:ascii="Arial" w:hAnsi="Arial" w:cs="Arial"/>
          <w:szCs w:val="24"/>
        </w:rPr>
        <w:t xml:space="preserve">As reported to the Commission at Docket No. </w:t>
      </w:r>
      <w:proofErr w:type="gramStart"/>
      <w:r w:rsidR="002970BD" w:rsidRPr="00F112C2">
        <w:rPr>
          <w:rFonts w:ascii="Arial" w:hAnsi="Arial" w:cs="Arial"/>
          <w:szCs w:val="24"/>
        </w:rPr>
        <w:t>M-201</w:t>
      </w:r>
      <w:r w:rsidR="002D46FE" w:rsidRPr="00F112C2">
        <w:rPr>
          <w:rFonts w:ascii="Arial" w:hAnsi="Arial" w:cs="Arial"/>
          <w:szCs w:val="24"/>
        </w:rPr>
        <w:t>3</w:t>
      </w:r>
      <w:r w:rsidR="002970BD" w:rsidRPr="00F112C2">
        <w:rPr>
          <w:rFonts w:ascii="Arial" w:hAnsi="Arial" w:cs="Arial"/>
          <w:szCs w:val="24"/>
        </w:rPr>
        <w:t>-23</w:t>
      </w:r>
      <w:r w:rsidR="002D46FE" w:rsidRPr="00F112C2">
        <w:rPr>
          <w:rFonts w:ascii="Arial" w:hAnsi="Arial" w:cs="Arial"/>
          <w:szCs w:val="24"/>
        </w:rPr>
        <w:t>65092</w:t>
      </w:r>
      <w:r w:rsidR="002970BD" w:rsidRPr="00F112C2">
        <w:rPr>
          <w:rFonts w:ascii="Arial" w:hAnsi="Arial" w:cs="Arial"/>
          <w:szCs w:val="24"/>
        </w:rPr>
        <w:t>.</w:t>
      </w:r>
      <w:proofErr w:type="gramEnd"/>
      <w:r w:rsidR="002970BD" w:rsidRPr="00F112C2">
        <w:rPr>
          <w:rFonts w:ascii="Arial" w:hAnsi="Arial" w:cs="Arial"/>
          <w:szCs w:val="24"/>
        </w:rPr>
        <w:t xml:space="preserve">  </w:t>
      </w:r>
    </w:p>
    <w:p w:rsidR="00A54327" w:rsidRDefault="00A54327" w:rsidP="00A54327">
      <w:pPr>
        <w:suppressAutoHyphens/>
        <w:ind w:left="-90"/>
        <w:jc w:val="center"/>
        <w:rPr>
          <w:rFonts w:ascii="Arial" w:hAnsi="Arial" w:cs="Arial"/>
          <w:szCs w:val="24"/>
        </w:rPr>
      </w:pPr>
    </w:p>
    <w:p w:rsidR="00D80A88" w:rsidRDefault="00F112C2" w:rsidP="0019026C">
      <w:pPr>
        <w:suppressAutoHyphens/>
        <w:ind w:left="-90"/>
        <w:rPr>
          <w:rFonts w:ascii="Arial" w:hAnsi="Arial" w:cs="Arial"/>
          <w:szCs w:val="24"/>
        </w:rPr>
      </w:pPr>
      <w:r>
        <w:rPr>
          <w:rFonts w:ascii="Arial" w:hAnsi="Arial" w:cs="Arial"/>
          <w:szCs w:val="24"/>
        </w:rPr>
        <w:t xml:space="preserve"> </w:t>
      </w:r>
      <w:r w:rsidR="002970BD" w:rsidRPr="007A206B">
        <w:rPr>
          <w:rFonts w:ascii="Arial" w:hAnsi="Arial" w:cs="Arial"/>
          <w:szCs w:val="24"/>
        </w:rPr>
        <w:t>N</w:t>
      </w:r>
      <w:r w:rsidR="002970BD">
        <w:rPr>
          <w:rFonts w:ascii="Arial" w:hAnsi="Arial" w:cs="Arial"/>
          <w:szCs w:val="24"/>
        </w:rPr>
        <w:t>otes to the Financial Statement</w:t>
      </w:r>
      <w:r w:rsidR="002970BD" w:rsidRPr="007A206B">
        <w:rPr>
          <w:rFonts w:ascii="Arial" w:hAnsi="Arial" w:cs="Arial"/>
          <w:szCs w:val="24"/>
        </w:rPr>
        <w:t xml:space="preserve"> are an integral part of this report.</w:t>
      </w:r>
    </w:p>
    <w:p w:rsidR="00D06D67" w:rsidRDefault="00D06D67">
      <w:pPr>
        <w:overflowPunct/>
        <w:autoSpaceDE/>
        <w:autoSpaceDN/>
        <w:adjustRightInd/>
        <w:textAlignment w:val="auto"/>
        <w:rPr>
          <w:rFonts w:ascii="Arial" w:hAnsi="Arial" w:cs="Arial"/>
          <w:b/>
          <w:sz w:val="26"/>
          <w:szCs w:val="26"/>
        </w:rPr>
      </w:pPr>
      <w:r>
        <w:rPr>
          <w:rFonts w:ascii="Arial" w:hAnsi="Arial" w:cs="Arial"/>
          <w:b/>
          <w:sz w:val="26"/>
          <w:szCs w:val="26"/>
        </w:rPr>
        <w:br w:type="page"/>
      </w:r>
    </w:p>
    <w:p w:rsidR="0031644D" w:rsidRPr="002970BD" w:rsidRDefault="00A66005" w:rsidP="00B06C69">
      <w:pPr>
        <w:suppressAutoHyphens/>
        <w:ind w:left="-90"/>
        <w:jc w:val="center"/>
        <w:rPr>
          <w:rFonts w:ascii="Arial" w:hAnsi="Arial" w:cs="Arial"/>
          <w:szCs w:val="24"/>
        </w:rPr>
      </w:pPr>
      <w:r w:rsidRPr="00C32ACF">
        <w:rPr>
          <w:rFonts w:ascii="Arial" w:hAnsi="Arial" w:cs="Arial"/>
          <w:b/>
          <w:sz w:val="26"/>
          <w:szCs w:val="26"/>
        </w:rPr>
        <w:lastRenderedPageBreak/>
        <w:t>PPL ELECTRIC UTILITIES CORPORATION</w:t>
      </w:r>
    </w:p>
    <w:p w:rsidR="0031644D" w:rsidRPr="00C32ACF" w:rsidRDefault="0031644D" w:rsidP="00D24FFD">
      <w:pPr>
        <w:pStyle w:val="Heading1"/>
        <w:rPr>
          <w:rFonts w:ascii="Arial" w:hAnsi="Arial" w:cs="Arial"/>
          <w:sz w:val="26"/>
          <w:szCs w:val="26"/>
          <w:u w:val="none"/>
        </w:rPr>
      </w:pPr>
    </w:p>
    <w:p w:rsidR="005D711E" w:rsidRPr="00C32ACF" w:rsidRDefault="005D711E" w:rsidP="00905409">
      <w:pPr>
        <w:pStyle w:val="Heading1"/>
        <w:rPr>
          <w:rFonts w:ascii="Arial" w:hAnsi="Arial" w:cs="Arial"/>
          <w:sz w:val="26"/>
          <w:szCs w:val="26"/>
          <w:u w:val="none"/>
        </w:rPr>
      </w:pPr>
      <w:r w:rsidRPr="00C32ACF">
        <w:rPr>
          <w:rFonts w:ascii="Arial" w:hAnsi="Arial" w:cs="Arial"/>
          <w:sz w:val="26"/>
          <w:szCs w:val="26"/>
          <w:u w:val="none"/>
        </w:rPr>
        <w:t>N</w:t>
      </w:r>
      <w:r w:rsidR="00A71E22">
        <w:rPr>
          <w:rFonts w:ascii="Arial" w:hAnsi="Arial" w:cs="Arial"/>
          <w:sz w:val="26"/>
          <w:szCs w:val="26"/>
          <w:u w:val="none"/>
        </w:rPr>
        <w:t xml:space="preserve">otes </w:t>
      </w:r>
      <w:r w:rsidR="006213CD">
        <w:rPr>
          <w:rFonts w:ascii="Arial" w:hAnsi="Arial" w:cs="Arial"/>
          <w:sz w:val="26"/>
          <w:szCs w:val="26"/>
          <w:u w:val="none"/>
        </w:rPr>
        <w:t>t</w:t>
      </w:r>
      <w:r w:rsidR="00A71E22">
        <w:rPr>
          <w:rFonts w:ascii="Arial" w:hAnsi="Arial" w:cs="Arial"/>
          <w:sz w:val="26"/>
          <w:szCs w:val="26"/>
          <w:u w:val="none"/>
        </w:rPr>
        <w:t xml:space="preserve">o </w:t>
      </w:r>
      <w:r w:rsidR="00D158E0">
        <w:rPr>
          <w:rFonts w:ascii="Arial" w:hAnsi="Arial" w:cs="Arial"/>
          <w:sz w:val="26"/>
          <w:szCs w:val="26"/>
          <w:u w:val="none"/>
        </w:rPr>
        <w:t>t</w:t>
      </w:r>
      <w:r w:rsidR="00A71E22">
        <w:rPr>
          <w:rFonts w:ascii="Arial" w:hAnsi="Arial" w:cs="Arial"/>
          <w:sz w:val="26"/>
          <w:szCs w:val="26"/>
          <w:u w:val="none"/>
        </w:rPr>
        <w:t>he Financial Statement</w:t>
      </w:r>
    </w:p>
    <w:p w:rsidR="005D711E" w:rsidRPr="006C2E78" w:rsidRDefault="005D711E" w:rsidP="00905409">
      <w:pPr>
        <w:tabs>
          <w:tab w:val="center" w:pos="4680"/>
        </w:tabs>
        <w:suppressAutoHyphens/>
        <w:outlineLvl w:val="0"/>
        <w:rPr>
          <w:rFonts w:ascii="Arial" w:hAnsi="Arial" w:cs="Arial"/>
          <w:b/>
          <w:szCs w:val="24"/>
        </w:rPr>
      </w:pPr>
    </w:p>
    <w:p w:rsidR="003731A5" w:rsidRPr="000D0C52" w:rsidRDefault="003731A5" w:rsidP="00905409">
      <w:pPr>
        <w:tabs>
          <w:tab w:val="center" w:pos="4680"/>
        </w:tabs>
        <w:suppressAutoHyphens/>
        <w:outlineLvl w:val="0"/>
        <w:rPr>
          <w:rFonts w:ascii="Arial" w:hAnsi="Arial" w:cs="Arial"/>
          <w:b/>
          <w:sz w:val="20"/>
        </w:rPr>
      </w:pPr>
    </w:p>
    <w:p w:rsidR="0094229B" w:rsidRPr="00F51FF0" w:rsidRDefault="0094229B" w:rsidP="0094229B">
      <w:pPr>
        <w:tabs>
          <w:tab w:val="left" w:pos="360"/>
        </w:tabs>
        <w:jc w:val="both"/>
        <w:rPr>
          <w:rFonts w:ascii="Arial" w:hAnsi="Arial" w:cs="Arial"/>
          <w:b/>
          <w:szCs w:val="24"/>
          <w:u w:val="single"/>
        </w:rPr>
      </w:pPr>
      <w:r w:rsidRPr="00F51FF0">
        <w:rPr>
          <w:rFonts w:ascii="Arial" w:hAnsi="Arial" w:cs="Arial"/>
          <w:b/>
          <w:szCs w:val="24"/>
          <w:u w:val="single"/>
        </w:rPr>
        <w:t>1 -</w:t>
      </w:r>
      <w:r w:rsidRPr="00F51FF0">
        <w:rPr>
          <w:rFonts w:ascii="Arial" w:hAnsi="Arial" w:cs="Arial"/>
          <w:b/>
          <w:szCs w:val="24"/>
          <w:u w:val="single"/>
        </w:rPr>
        <w:tab/>
      </w:r>
      <w:r>
        <w:rPr>
          <w:rFonts w:ascii="Arial" w:hAnsi="Arial" w:cs="Arial"/>
          <w:b/>
          <w:szCs w:val="24"/>
          <w:u w:val="single"/>
        </w:rPr>
        <w:t>Condensed Statement</w:t>
      </w:r>
      <w:r w:rsidRPr="00F51FF0">
        <w:rPr>
          <w:rFonts w:ascii="Arial" w:hAnsi="Arial" w:cs="Arial"/>
          <w:b/>
          <w:szCs w:val="24"/>
          <w:u w:val="single"/>
        </w:rPr>
        <w:t xml:space="preserve"> </w:t>
      </w:r>
    </w:p>
    <w:p w:rsidR="0094229B" w:rsidRPr="00F51FF0" w:rsidRDefault="0094229B" w:rsidP="0094229B">
      <w:pPr>
        <w:tabs>
          <w:tab w:val="left" w:pos="360"/>
        </w:tabs>
        <w:jc w:val="both"/>
        <w:rPr>
          <w:rFonts w:ascii="Arial" w:hAnsi="Arial" w:cs="Arial"/>
          <w:b/>
          <w:szCs w:val="24"/>
          <w:u w:val="single"/>
        </w:rPr>
      </w:pPr>
    </w:p>
    <w:p w:rsidR="00252C14" w:rsidRDefault="00252C14" w:rsidP="00252C14">
      <w:pPr>
        <w:pStyle w:val="EndnoteText"/>
        <w:tabs>
          <w:tab w:val="left" w:pos="9180"/>
        </w:tabs>
        <w:suppressAutoHyphens/>
        <w:ind w:left="360"/>
        <w:rPr>
          <w:rFonts w:ascii="Arial" w:hAnsi="Arial" w:cs="Arial"/>
          <w:b/>
          <w:szCs w:val="24"/>
          <w:u w:val="single"/>
        </w:rPr>
      </w:pPr>
      <w:r>
        <w:rPr>
          <w:rFonts w:ascii="Arial" w:hAnsi="Arial" w:cs="Arial"/>
          <w:szCs w:val="24"/>
        </w:rPr>
        <w:t xml:space="preserve">The </w:t>
      </w:r>
      <w:r w:rsidRPr="00936DE2">
        <w:rPr>
          <w:rFonts w:ascii="Arial" w:hAnsi="Arial" w:cs="Arial"/>
          <w:szCs w:val="24"/>
        </w:rPr>
        <w:t xml:space="preserve">Statement </w:t>
      </w:r>
      <w:r>
        <w:rPr>
          <w:rFonts w:ascii="Arial" w:hAnsi="Arial" w:cs="Arial"/>
          <w:szCs w:val="24"/>
        </w:rPr>
        <w:t>o</w:t>
      </w:r>
      <w:r w:rsidRPr="00936DE2">
        <w:rPr>
          <w:rFonts w:ascii="Arial" w:hAnsi="Arial" w:cs="Arial"/>
          <w:szCs w:val="24"/>
        </w:rPr>
        <w:t xml:space="preserve">f </w:t>
      </w:r>
      <w:r>
        <w:rPr>
          <w:rFonts w:ascii="Arial" w:hAnsi="Arial" w:cs="Arial"/>
          <w:szCs w:val="24"/>
        </w:rPr>
        <w:t>Generation Supply Charge-1</w:t>
      </w:r>
      <w:r w:rsidRPr="00936DE2">
        <w:rPr>
          <w:rFonts w:ascii="Arial" w:hAnsi="Arial" w:cs="Arial"/>
          <w:szCs w:val="24"/>
        </w:rPr>
        <w:t xml:space="preserve"> </w:t>
      </w:r>
      <w:r>
        <w:rPr>
          <w:rFonts w:ascii="Arial" w:hAnsi="Arial" w:cs="Arial"/>
          <w:szCs w:val="24"/>
        </w:rPr>
        <w:t xml:space="preserve">(GSC-1) </w:t>
      </w:r>
      <w:r w:rsidRPr="00936DE2">
        <w:rPr>
          <w:rFonts w:ascii="Arial" w:hAnsi="Arial" w:cs="Arial"/>
          <w:szCs w:val="24"/>
        </w:rPr>
        <w:t>Over</w:t>
      </w:r>
      <w:proofErr w:type="gramStart"/>
      <w:r w:rsidRPr="00936DE2">
        <w:rPr>
          <w:rFonts w:ascii="Arial" w:hAnsi="Arial" w:cs="Arial"/>
          <w:szCs w:val="24"/>
        </w:rPr>
        <w:t>/(</w:t>
      </w:r>
      <w:proofErr w:type="gramEnd"/>
      <w:r w:rsidRPr="00936DE2">
        <w:rPr>
          <w:rFonts w:ascii="Arial" w:hAnsi="Arial" w:cs="Arial"/>
          <w:szCs w:val="24"/>
        </w:rPr>
        <w:t>Under) Collections</w:t>
      </w:r>
      <w:r>
        <w:rPr>
          <w:rFonts w:ascii="Arial" w:hAnsi="Arial" w:cs="Arial"/>
          <w:szCs w:val="24"/>
        </w:rPr>
        <w:t xml:space="preserve"> </w:t>
      </w:r>
      <w:r w:rsidRPr="007D5DFB">
        <w:rPr>
          <w:rFonts w:ascii="Arial" w:hAnsi="Arial" w:cs="Arial"/>
          <w:szCs w:val="26"/>
        </w:rPr>
        <w:t xml:space="preserve">presented </w:t>
      </w:r>
      <w:r>
        <w:rPr>
          <w:rFonts w:ascii="Arial" w:hAnsi="Arial" w:cs="Arial"/>
          <w:szCs w:val="26"/>
        </w:rPr>
        <w:t>in this</w:t>
      </w:r>
      <w:r w:rsidRPr="007D5DFB">
        <w:rPr>
          <w:rFonts w:ascii="Arial" w:hAnsi="Arial" w:cs="Arial"/>
          <w:szCs w:val="26"/>
        </w:rPr>
        <w:t xml:space="preserve"> report is condensed from the officially filed statement for the purpose of clarity. </w:t>
      </w:r>
      <w:r>
        <w:rPr>
          <w:rFonts w:ascii="Arial" w:hAnsi="Arial" w:cs="Arial"/>
          <w:szCs w:val="26"/>
        </w:rPr>
        <w:t xml:space="preserve"> </w:t>
      </w:r>
      <w:r w:rsidRPr="007D5DFB">
        <w:rPr>
          <w:rFonts w:ascii="Arial" w:hAnsi="Arial" w:cs="Arial"/>
          <w:szCs w:val="26"/>
        </w:rPr>
        <w:t xml:space="preserve">The audit was conducted on </w:t>
      </w:r>
      <w:r>
        <w:rPr>
          <w:rFonts w:ascii="Arial" w:hAnsi="Arial" w:cs="Arial"/>
          <w:szCs w:val="24"/>
        </w:rPr>
        <w:t xml:space="preserve">PPL Electric Utilities Corporation’s (PPL or Company) </w:t>
      </w:r>
      <w:r w:rsidRPr="007D5DFB">
        <w:rPr>
          <w:rFonts w:ascii="Arial" w:hAnsi="Arial" w:cs="Arial"/>
          <w:szCs w:val="26"/>
        </w:rPr>
        <w:t xml:space="preserve">officially filed 1307(e) </w:t>
      </w:r>
      <w:r>
        <w:rPr>
          <w:rFonts w:ascii="Arial" w:hAnsi="Arial" w:cs="Arial"/>
          <w:szCs w:val="26"/>
        </w:rPr>
        <w:t xml:space="preserve">statement </w:t>
      </w:r>
      <w:r w:rsidRPr="007D5DFB">
        <w:rPr>
          <w:rFonts w:ascii="Arial" w:hAnsi="Arial" w:cs="Arial"/>
          <w:szCs w:val="26"/>
        </w:rPr>
        <w:t xml:space="preserve">submitted to the </w:t>
      </w:r>
      <w:r>
        <w:rPr>
          <w:rFonts w:ascii="Arial" w:hAnsi="Arial" w:cs="Arial"/>
          <w:szCs w:val="26"/>
        </w:rPr>
        <w:t xml:space="preserve">Pennsylvania Public Utility </w:t>
      </w:r>
      <w:r w:rsidRPr="007D5DFB">
        <w:rPr>
          <w:rFonts w:ascii="Arial" w:hAnsi="Arial" w:cs="Arial"/>
          <w:szCs w:val="26"/>
        </w:rPr>
        <w:t>Commission</w:t>
      </w:r>
      <w:r>
        <w:rPr>
          <w:rFonts w:ascii="Arial" w:hAnsi="Arial" w:cs="Arial"/>
          <w:szCs w:val="26"/>
        </w:rPr>
        <w:t xml:space="preserve"> (PUC or Comm</w:t>
      </w:r>
      <w:r w:rsidRPr="007D5DFB">
        <w:rPr>
          <w:rFonts w:ascii="Arial" w:hAnsi="Arial" w:cs="Arial"/>
          <w:szCs w:val="26"/>
        </w:rPr>
        <w:t>ission</w:t>
      </w:r>
      <w:r>
        <w:rPr>
          <w:rFonts w:ascii="Arial" w:hAnsi="Arial" w:cs="Arial"/>
          <w:szCs w:val="26"/>
        </w:rPr>
        <w:t>)</w:t>
      </w:r>
      <w:r w:rsidRPr="007662D9">
        <w:rPr>
          <w:rFonts w:ascii="Arial" w:hAnsi="Arial" w:cs="Arial"/>
          <w:szCs w:val="24"/>
        </w:rPr>
        <w:t xml:space="preserve"> </w:t>
      </w:r>
      <w:r>
        <w:rPr>
          <w:rFonts w:ascii="Arial" w:hAnsi="Arial" w:cs="Arial"/>
          <w:szCs w:val="24"/>
        </w:rPr>
        <w:t xml:space="preserve">in accordance with Section </w:t>
      </w:r>
      <w:r w:rsidRPr="00E729D3">
        <w:rPr>
          <w:rFonts w:ascii="Arial" w:hAnsi="Arial" w:cs="Arial"/>
          <w:szCs w:val="24"/>
        </w:rPr>
        <w:t>1307(</w:t>
      </w:r>
      <w:r>
        <w:rPr>
          <w:rFonts w:ascii="Arial" w:hAnsi="Arial" w:cs="Arial"/>
          <w:szCs w:val="24"/>
        </w:rPr>
        <w:t>e</w:t>
      </w:r>
      <w:r w:rsidRPr="00E729D3">
        <w:rPr>
          <w:rFonts w:ascii="Arial" w:hAnsi="Arial" w:cs="Arial"/>
          <w:szCs w:val="24"/>
        </w:rPr>
        <w:t>)</w:t>
      </w:r>
      <w:r>
        <w:rPr>
          <w:rFonts w:ascii="Arial" w:hAnsi="Arial" w:cs="Arial"/>
          <w:szCs w:val="24"/>
        </w:rPr>
        <w:t>(1)</w:t>
      </w:r>
      <w:r w:rsidRPr="00E729D3">
        <w:rPr>
          <w:rFonts w:ascii="Arial" w:hAnsi="Arial" w:cs="Arial"/>
          <w:szCs w:val="24"/>
        </w:rPr>
        <w:t xml:space="preserve"> </w:t>
      </w:r>
      <w:r>
        <w:rPr>
          <w:rFonts w:ascii="Arial" w:hAnsi="Arial" w:cs="Arial"/>
          <w:szCs w:val="24"/>
        </w:rPr>
        <w:t>of the Public Utility Code</w:t>
      </w:r>
      <w:r w:rsidRPr="007D5DFB">
        <w:rPr>
          <w:rFonts w:ascii="Arial" w:hAnsi="Arial" w:cs="Arial"/>
          <w:szCs w:val="26"/>
        </w:rPr>
        <w:t xml:space="preserve"> on</w:t>
      </w:r>
      <w:r>
        <w:rPr>
          <w:rFonts w:ascii="Arial" w:hAnsi="Arial" w:cs="Arial"/>
          <w:szCs w:val="26"/>
        </w:rPr>
        <w:t xml:space="preserve"> May 17, 2013</w:t>
      </w:r>
      <w:r w:rsidR="00CB1769">
        <w:rPr>
          <w:rFonts w:ascii="Arial" w:hAnsi="Arial" w:cs="Arial"/>
          <w:szCs w:val="26"/>
        </w:rPr>
        <w:t>,</w:t>
      </w:r>
      <w:r w:rsidRPr="007D5DFB">
        <w:rPr>
          <w:rFonts w:ascii="Arial" w:hAnsi="Arial" w:cs="Arial"/>
          <w:szCs w:val="26"/>
        </w:rPr>
        <w:t xml:space="preserve"> at Docket No. M</w:t>
      </w:r>
      <w:r w:rsidR="00CB1769">
        <w:rPr>
          <w:rFonts w:ascii="Arial" w:hAnsi="Arial" w:cs="Arial"/>
          <w:szCs w:val="26"/>
        </w:rPr>
        <w:noBreakHyphen/>
      </w:r>
      <w:r w:rsidRPr="007D5DFB">
        <w:rPr>
          <w:rFonts w:ascii="Arial" w:hAnsi="Arial" w:cs="Arial"/>
          <w:szCs w:val="26"/>
        </w:rPr>
        <w:t>20</w:t>
      </w:r>
      <w:r>
        <w:rPr>
          <w:rFonts w:ascii="Arial" w:hAnsi="Arial" w:cs="Arial"/>
          <w:szCs w:val="26"/>
        </w:rPr>
        <w:t>13</w:t>
      </w:r>
      <w:r w:rsidR="00CB1769">
        <w:rPr>
          <w:rFonts w:ascii="Arial" w:hAnsi="Arial" w:cs="Arial"/>
          <w:szCs w:val="26"/>
        </w:rPr>
        <w:noBreakHyphen/>
      </w:r>
      <w:r w:rsidRPr="004A1323">
        <w:rPr>
          <w:rFonts w:ascii="Arial" w:hAnsi="Arial" w:cs="Arial"/>
          <w:szCs w:val="24"/>
        </w:rPr>
        <w:t>23</w:t>
      </w:r>
      <w:r>
        <w:rPr>
          <w:rFonts w:ascii="Arial" w:hAnsi="Arial" w:cs="Arial"/>
          <w:szCs w:val="24"/>
        </w:rPr>
        <w:t>65092</w:t>
      </w:r>
      <w:r w:rsidR="00CB1769">
        <w:rPr>
          <w:rFonts w:ascii="Arial" w:hAnsi="Arial" w:cs="Arial"/>
          <w:szCs w:val="24"/>
        </w:rPr>
        <w:t>, and is available</w:t>
      </w:r>
      <w:r>
        <w:rPr>
          <w:rFonts w:ascii="Arial" w:hAnsi="Arial" w:cs="Arial"/>
          <w:szCs w:val="26"/>
        </w:rPr>
        <w:t xml:space="preserve"> via </w:t>
      </w:r>
      <w:hyperlink r:id="rId32" w:history="1">
        <w:r w:rsidR="00CB1769" w:rsidRPr="00EB7DCB">
          <w:rPr>
            <w:rStyle w:val="Hyperlink"/>
            <w:rFonts w:ascii="Arial" w:hAnsi="Arial" w:cs="Arial"/>
            <w:szCs w:val="26"/>
          </w:rPr>
          <w:t>http://www.puc.pa.gov</w:t>
        </w:r>
      </w:hyperlink>
      <w:r w:rsidR="00CB1769">
        <w:rPr>
          <w:rFonts w:ascii="Arial" w:hAnsi="Arial" w:cs="Arial"/>
          <w:szCs w:val="26"/>
        </w:rPr>
        <w:t>.</w:t>
      </w:r>
    </w:p>
    <w:p w:rsidR="00CB1769" w:rsidRPr="000D0C52" w:rsidRDefault="00CB1769" w:rsidP="00905409">
      <w:pPr>
        <w:tabs>
          <w:tab w:val="left" w:pos="360"/>
        </w:tabs>
        <w:jc w:val="both"/>
        <w:rPr>
          <w:rFonts w:ascii="Arial" w:hAnsi="Arial" w:cs="Arial"/>
          <w:b/>
          <w:sz w:val="22"/>
          <w:szCs w:val="22"/>
          <w:u w:val="single"/>
        </w:rPr>
      </w:pPr>
    </w:p>
    <w:p w:rsidR="00C82D14" w:rsidRPr="00383E58" w:rsidRDefault="00260D45" w:rsidP="00905409">
      <w:pPr>
        <w:tabs>
          <w:tab w:val="left" w:pos="360"/>
        </w:tabs>
        <w:jc w:val="both"/>
        <w:rPr>
          <w:rFonts w:ascii="Arial" w:hAnsi="Arial" w:cs="Arial"/>
          <w:b/>
          <w:szCs w:val="24"/>
          <w:u w:val="single"/>
        </w:rPr>
      </w:pPr>
      <w:r>
        <w:rPr>
          <w:rFonts w:ascii="Arial" w:hAnsi="Arial" w:cs="Arial"/>
          <w:b/>
          <w:szCs w:val="24"/>
          <w:u w:val="single"/>
        </w:rPr>
        <w:t>2</w:t>
      </w:r>
      <w:r w:rsidR="00C82D14" w:rsidRPr="00383E58">
        <w:rPr>
          <w:rFonts w:ascii="Arial" w:hAnsi="Arial" w:cs="Arial"/>
          <w:b/>
          <w:szCs w:val="24"/>
          <w:u w:val="single"/>
        </w:rPr>
        <w:t xml:space="preserve"> -</w:t>
      </w:r>
      <w:r w:rsidR="00C82D14" w:rsidRPr="00383E58">
        <w:rPr>
          <w:rFonts w:ascii="Arial" w:hAnsi="Arial" w:cs="Arial"/>
          <w:b/>
          <w:szCs w:val="24"/>
          <w:u w:val="single"/>
        </w:rPr>
        <w:tab/>
      </w:r>
      <w:r w:rsidR="00DE1EAE">
        <w:rPr>
          <w:rFonts w:ascii="Arial" w:hAnsi="Arial" w:cs="Arial"/>
          <w:b/>
          <w:szCs w:val="24"/>
          <w:u w:val="single"/>
        </w:rPr>
        <w:t>GSC</w:t>
      </w:r>
      <w:r w:rsidR="00DD2E23">
        <w:rPr>
          <w:rFonts w:ascii="Arial" w:hAnsi="Arial" w:cs="Arial"/>
          <w:b/>
          <w:szCs w:val="24"/>
          <w:u w:val="single"/>
        </w:rPr>
        <w:t>-</w:t>
      </w:r>
      <w:r w:rsidR="006D2D2F">
        <w:rPr>
          <w:rFonts w:ascii="Arial" w:hAnsi="Arial" w:cs="Arial"/>
          <w:b/>
          <w:szCs w:val="24"/>
          <w:u w:val="single"/>
        </w:rPr>
        <w:t xml:space="preserve">1 </w:t>
      </w:r>
      <w:r w:rsidR="00011810" w:rsidRPr="00383E58">
        <w:rPr>
          <w:rFonts w:ascii="Arial" w:hAnsi="Arial" w:cs="Arial"/>
          <w:b/>
          <w:szCs w:val="24"/>
          <w:u w:val="single"/>
        </w:rPr>
        <w:t xml:space="preserve">Revenues </w:t>
      </w:r>
    </w:p>
    <w:p w:rsidR="00C82D14" w:rsidRPr="0074546C" w:rsidRDefault="00C82D14" w:rsidP="00905409">
      <w:pPr>
        <w:tabs>
          <w:tab w:val="left" w:pos="360"/>
        </w:tabs>
        <w:jc w:val="both"/>
        <w:rPr>
          <w:rFonts w:ascii="Arial" w:hAnsi="Arial" w:cs="Arial"/>
          <w:b/>
          <w:szCs w:val="24"/>
          <w:highlight w:val="yellow"/>
          <w:u w:val="single"/>
        </w:rPr>
      </w:pPr>
    </w:p>
    <w:p w:rsidR="00380EF9" w:rsidRDefault="00380EF9" w:rsidP="00AE3B6C">
      <w:pPr>
        <w:ind w:left="360"/>
        <w:rPr>
          <w:rFonts w:ascii="Arial" w:hAnsi="Arial" w:cs="Arial"/>
        </w:rPr>
      </w:pPr>
      <w:r w:rsidRPr="00F72903">
        <w:rPr>
          <w:rFonts w:ascii="Arial" w:hAnsi="Arial" w:cs="Arial"/>
        </w:rPr>
        <w:t>The GSC</w:t>
      </w:r>
      <w:r w:rsidR="00227D89">
        <w:rPr>
          <w:rFonts w:ascii="Arial" w:hAnsi="Arial" w:cs="Arial"/>
        </w:rPr>
        <w:t>-1</w:t>
      </w:r>
      <w:r w:rsidRPr="00F72903">
        <w:rPr>
          <w:rFonts w:ascii="Arial" w:hAnsi="Arial" w:cs="Arial"/>
        </w:rPr>
        <w:t xml:space="preserve"> Revenues are derived by applying the</w:t>
      </w:r>
      <w:r>
        <w:rPr>
          <w:rFonts w:ascii="Arial" w:hAnsi="Arial" w:cs="Arial"/>
        </w:rPr>
        <w:t xml:space="preserve"> projected cost component of the</w:t>
      </w:r>
      <w:r w:rsidRPr="00F72903">
        <w:rPr>
          <w:rFonts w:ascii="Arial" w:hAnsi="Arial" w:cs="Arial"/>
        </w:rPr>
        <w:t xml:space="preserve"> GSC</w:t>
      </w:r>
      <w:r w:rsidR="00227D89">
        <w:rPr>
          <w:rFonts w:ascii="Arial" w:hAnsi="Arial" w:cs="Arial"/>
        </w:rPr>
        <w:t>-1</w:t>
      </w:r>
      <w:r>
        <w:rPr>
          <w:rFonts w:ascii="Arial" w:hAnsi="Arial" w:cs="Arial"/>
        </w:rPr>
        <w:t xml:space="preserve"> rate, exclusive of Gross Receipts Tax</w:t>
      </w:r>
      <w:r w:rsidRPr="00F72903">
        <w:rPr>
          <w:rFonts w:ascii="Arial" w:hAnsi="Arial" w:cs="Arial"/>
        </w:rPr>
        <w:t xml:space="preserve"> </w:t>
      </w:r>
      <w:r>
        <w:rPr>
          <w:rFonts w:ascii="Arial" w:hAnsi="Arial" w:cs="Arial"/>
        </w:rPr>
        <w:t xml:space="preserve">(GRT) and the </w:t>
      </w:r>
      <w:r w:rsidR="00227D89">
        <w:rPr>
          <w:rFonts w:ascii="Arial" w:hAnsi="Arial" w:cs="Arial"/>
        </w:rPr>
        <w:t>Merchant Function Charge (MFC)</w:t>
      </w:r>
      <w:r>
        <w:rPr>
          <w:rFonts w:ascii="Arial" w:hAnsi="Arial" w:cs="Arial"/>
        </w:rPr>
        <w:t xml:space="preserve">, </w:t>
      </w:r>
      <w:r w:rsidRPr="00F72903">
        <w:rPr>
          <w:rFonts w:ascii="Arial" w:hAnsi="Arial" w:cs="Arial"/>
        </w:rPr>
        <w:t xml:space="preserve">to each </w:t>
      </w:r>
      <w:r w:rsidR="00686DCD" w:rsidRPr="00F51FF0">
        <w:rPr>
          <w:rFonts w:ascii="Arial" w:hAnsi="Arial" w:cs="Arial"/>
          <w:szCs w:val="24"/>
        </w:rPr>
        <w:t>kilowatt-hour</w:t>
      </w:r>
      <w:r w:rsidR="00686DCD">
        <w:rPr>
          <w:rFonts w:ascii="Arial" w:hAnsi="Arial" w:cs="Arial"/>
          <w:szCs w:val="24"/>
        </w:rPr>
        <w:t xml:space="preserve"> (kWh)</w:t>
      </w:r>
      <w:r w:rsidR="00686DCD" w:rsidRPr="00F72903">
        <w:rPr>
          <w:rFonts w:ascii="Arial" w:hAnsi="Arial" w:cs="Arial"/>
        </w:rPr>
        <w:t xml:space="preserve"> </w:t>
      </w:r>
      <w:r w:rsidR="00686DCD">
        <w:rPr>
          <w:rFonts w:ascii="Arial" w:hAnsi="Arial" w:cs="Arial"/>
        </w:rPr>
        <w:t xml:space="preserve">supplied to each Residential and Small </w:t>
      </w:r>
      <w:r w:rsidR="00AB68A4">
        <w:rPr>
          <w:rFonts w:ascii="Arial" w:hAnsi="Arial" w:cs="Arial"/>
        </w:rPr>
        <w:t>Commercial and Industrial (</w:t>
      </w:r>
      <w:r w:rsidR="00686DCD">
        <w:rPr>
          <w:rFonts w:ascii="Arial" w:hAnsi="Arial" w:cs="Arial"/>
        </w:rPr>
        <w:t>C&amp;</w:t>
      </w:r>
      <w:r w:rsidR="00252C14">
        <w:rPr>
          <w:rFonts w:ascii="Arial" w:hAnsi="Arial" w:cs="Arial"/>
        </w:rPr>
        <w:t>I</w:t>
      </w:r>
      <w:r w:rsidR="00AB68A4">
        <w:rPr>
          <w:rFonts w:ascii="Arial" w:hAnsi="Arial" w:cs="Arial"/>
        </w:rPr>
        <w:t>)</w:t>
      </w:r>
      <w:r w:rsidR="00686DCD">
        <w:rPr>
          <w:rFonts w:ascii="Arial" w:hAnsi="Arial" w:cs="Arial"/>
        </w:rPr>
        <w:t xml:space="preserve"> customer who takes </w:t>
      </w:r>
      <w:r w:rsidR="00686DCD" w:rsidRPr="00F51FF0">
        <w:rPr>
          <w:rFonts w:ascii="Arial" w:hAnsi="Arial" w:cs="Arial"/>
          <w:szCs w:val="24"/>
        </w:rPr>
        <w:t>Basic Utility Supply Service</w:t>
      </w:r>
      <w:r w:rsidR="00686DCD">
        <w:rPr>
          <w:rFonts w:ascii="Arial" w:hAnsi="Arial" w:cs="Arial"/>
          <w:szCs w:val="24"/>
        </w:rPr>
        <w:t xml:space="preserve"> (BUSS)</w:t>
      </w:r>
      <w:r w:rsidR="00686DCD">
        <w:rPr>
          <w:rFonts w:ascii="Arial" w:hAnsi="Arial" w:cs="Arial"/>
        </w:rPr>
        <w:t>,</w:t>
      </w:r>
      <w:r w:rsidR="00686DCD" w:rsidRPr="00F72903">
        <w:rPr>
          <w:rFonts w:ascii="Arial" w:hAnsi="Arial" w:cs="Arial"/>
        </w:rPr>
        <w:t xml:space="preserve"> </w:t>
      </w:r>
      <w:r w:rsidR="00686DCD">
        <w:rPr>
          <w:rFonts w:ascii="Arial" w:hAnsi="Arial" w:cs="Arial"/>
        </w:rPr>
        <w:t>as defined in the</w:t>
      </w:r>
      <w:r w:rsidR="00686DCD" w:rsidRPr="00F72903">
        <w:rPr>
          <w:rFonts w:ascii="Arial" w:hAnsi="Arial" w:cs="Arial"/>
        </w:rPr>
        <w:t xml:space="preserve"> </w:t>
      </w:r>
      <w:r w:rsidRPr="00F72903">
        <w:rPr>
          <w:rFonts w:ascii="Arial" w:hAnsi="Arial" w:cs="Arial"/>
        </w:rPr>
        <w:t xml:space="preserve">GSC-1 </w:t>
      </w:r>
      <w:r>
        <w:rPr>
          <w:rFonts w:ascii="Arial" w:hAnsi="Arial" w:cs="Arial"/>
        </w:rPr>
        <w:t>Tariff</w:t>
      </w:r>
      <w:r w:rsidRPr="00F72903">
        <w:rPr>
          <w:rFonts w:ascii="Arial" w:hAnsi="Arial" w:cs="Arial"/>
        </w:rPr>
        <w:t xml:space="preserve"> Rider.  </w:t>
      </w:r>
    </w:p>
    <w:p w:rsidR="00E22AB0" w:rsidRPr="000D0C52" w:rsidRDefault="00E22AB0" w:rsidP="00E22AB0">
      <w:pPr>
        <w:tabs>
          <w:tab w:val="left" w:pos="360"/>
        </w:tabs>
        <w:rPr>
          <w:rFonts w:ascii="Arial" w:hAnsi="Arial" w:cs="Arial"/>
          <w:sz w:val="22"/>
          <w:szCs w:val="22"/>
          <w:highlight w:val="yellow"/>
        </w:rPr>
      </w:pPr>
    </w:p>
    <w:p w:rsidR="00C82D14" w:rsidRPr="00F72903" w:rsidRDefault="00252C14" w:rsidP="00905409">
      <w:pPr>
        <w:tabs>
          <w:tab w:val="left" w:pos="360"/>
        </w:tabs>
        <w:jc w:val="both"/>
        <w:rPr>
          <w:rFonts w:ascii="Arial" w:hAnsi="Arial" w:cs="Arial"/>
          <w:b/>
          <w:szCs w:val="24"/>
          <w:u w:val="single"/>
        </w:rPr>
      </w:pPr>
      <w:r>
        <w:rPr>
          <w:rFonts w:ascii="Arial" w:hAnsi="Arial" w:cs="Arial"/>
          <w:b/>
          <w:szCs w:val="24"/>
          <w:u w:val="single"/>
        </w:rPr>
        <w:t>3</w:t>
      </w:r>
      <w:r w:rsidR="00DD2E23">
        <w:rPr>
          <w:rFonts w:ascii="Arial" w:hAnsi="Arial" w:cs="Arial"/>
          <w:b/>
          <w:szCs w:val="24"/>
          <w:u w:val="single"/>
        </w:rPr>
        <w:t xml:space="preserve"> -</w:t>
      </w:r>
      <w:r w:rsidR="00F72903" w:rsidRPr="00F72903">
        <w:rPr>
          <w:rFonts w:ascii="Arial" w:hAnsi="Arial" w:cs="Arial"/>
          <w:b/>
          <w:szCs w:val="24"/>
          <w:u w:val="single"/>
        </w:rPr>
        <w:t xml:space="preserve"> GSC</w:t>
      </w:r>
      <w:r w:rsidR="00DE1EAE">
        <w:rPr>
          <w:rFonts w:ascii="Arial" w:hAnsi="Arial" w:cs="Arial"/>
          <w:b/>
          <w:szCs w:val="24"/>
          <w:u w:val="single"/>
        </w:rPr>
        <w:t>-1</w:t>
      </w:r>
      <w:r w:rsidR="000014E9" w:rsidRPr="00F72903">
        <w:rPr>
          <w:rFonts w:ascii="Arial" w:hAnsi="Arial" w:cs="Arial"/>
          <w:b/>
          <w:szCs w:val="24"/>
          <w:u w:val="single"/>
        </w:rPr>
        <w:t xml:space="preserve"> </w:t>
      </w:r>
      <w:r w:rsidR="000556FD">
        <w:rPr>
          <w:rFonts w:ascii="Arial" w:hAnsi="Arial" w:cs="Arial"/>
          <w:b/>
          <w:szCs w:val="24"/>
          <w:u w:val="single"/>
        </w:rPr>
        <w:t>Expenses</w:t>
      </w:r>
    </w:p>
    <w:p w:rsidR="005D711E" w:rsidRPr="000D0C52" w:rsidRDefault="005D711E" w:rsidP="00905409">
      <w:pPr>
        <w:pStyle w:val="EndnoteText"/>
        <w:tabs>
          <w:tab w:val="left" w:pos="-720"/>
        </w:tabs>
        <w:suppressAutoHyphens/>
        <w:rPr>
          <w:rFonts w:ascii="Arial" w:hAnsi="Arial" w:cs="Arial"/>
          <w:sz w:val="22"/>
          <w:szCs w:val="22"/>
          <w:highlight w:val="yellow"/>
        </w:rPr>
      </w:pPr>
    </w:p>
    <w:p w:rsidR="00137370" w:rsidRDefault="00380EF9" w:rsidP="00D129DA">
      <w:pPr>
        <w:pStyle w:val="EndnoteText"/>
        <w:suppressAutoHyphens/>
        <w:ind w:left="360"/>
        <w:rPr>
          <w:rFonts w:ascii="Arial" w:hAnsi="Arial" w:cs="Arial"/>
        </w:rPr>
      </w:pPr>
      <w:r>
        <w:rPr>
          <w:rFonts w:ascii="Arial" w:hAnsi="Arial" w:cs="Arial"/>
          <w:szCs w:val="24"/>
        </w:rPr>
        <w:t xml:space="preserve">The GSC-1 expenses are actual expenses incurred to provide generation supply service to Residential and Small C&amp;I customers receiving default service.  </w:t>
      </w:r>
      <w:r w:rsidR="00137370">
        <w:rPr>
          <w:rFonts w:ascii="Arial" w:hAnsi="Arial" w:cs="Arial"/>
          <w:szCs w:val="24"/>
        </w:rPr>
        <w:t>T</w:t>
      </w:r>
      <w:r w:rsidR="00137370" w:rsidRPr="00E22AB0">
        <w:rPr>
          <w:rFonts w:ascii="Arial" w:hAnsi="Arial" w:cs="Arial"/>
          <w:szCs w:val="24"/>
        </w:rPr>
        <w:t xml:space="preserve">he </w:t>
      </w:r>
      <w:r w:rsidR="00137370">
        <w:rPr>
          <w:rFonts w:ascii="Arial" w:hAnsi="Arial" w:cs="Arial"/>
          <w:szCs w:val="24"/>
        </w:rPr>
        <w:t>GSC</w:t>
      </w:r>
      <w:r w:rsidR="00061757">
        <w:rPr>
          <w:rFonts w:ascii="Arial" w:hAnsi="Arial" w:cs="Arial"/>
          <w:szCs w:val="24"/>
        </w:rPr>
        <w:noBreakHyphen/>
      </w:r>
      <w:r w:rsidR="00137370">
        <w:rPr>
          <w:rFonts w:ascii="Arial" w:hAnsi="Arial" w:cs="Arial"/>
          <w:szCs w:val="24"/>
        </w:rPr>
        <w:t xml:space="preserve">1 </w:t>
      </w:r>
      <w:r w:rsidR="00137370" w:rsidRPr="00E22AB0">
        <w:rPr>
          <w:rFonts w:ascii="Arial" w:hAnsi="Arial" w:cs="Arial"/>
          <w:szCs w:val="24"/>
        </w:rPr>
        <w:t>expenses include payments to power suppliers (</w:t>
      </w:r>
      <w:r w:rsidR="002D42DE">
        <w:rPr>
          <w:rFonts w:ascii="Arial" w:hAnsi="Arial" w:cs="Arial"/>
          <w:szCs w:val="24"/>
        </w:rPr>
        <w:t xml:space="preserve">i.e., </w:t>
      </w:r>
      <w:r w:rsidR="00137370" w:rsidRPr="00E22AB0">
        <w:rPr>
          <w:rFonts w:ascii="Arial" w:hAnsi="Arial" w:cs="Arial"/>
          <w:szCs w:val="24"/>
        </w:rPr>
        <w:t>RFP Bidders),</w:t>
      </w:r>
      <w:r w:rsidR="00137370">
        <w:rPr>
          <w:rFonts w:ascii="Arial" w:hAnsi="Arial" w:cs="Arial"/>
          <w:szCs w:val="24"/>
        </w:rPr>
        <w:t xml:space="preserve"> </w:t>
      </w:r>
      <w:r w:rsidR="00137370">
        <w:rPr>
          <w:rFonts w:ascii="Arial" w:hAnsi="Arial" w:cs="Arial"/>
        </w:rPr>
        <w:t xml:space="preserve">energy procurement expenses related to PJM Reliability Pricing Model capacity costs, other PJM-related expenses, net metering expenses and administrative expenses incurred during the current reconciliation period, plus the monthly amortization of the costs associated with administering the energy procurement program incurred prior to January 1, 2011.  These prior administrative expenses are being amortized over </w:t>
      </w:r>
      <w:r w:rsidR="00F113B8">
        <w:rPr>
          <w:rFonts w:ascii="Arial" w:hAnsi="Arial" w:cs="Arial"/>
        </w:rPr>
        <w:t xml:space="preserve">the </w:t>
      </w:r>
      <w:r w:rsidR="00137370">
        <w:rPr>
          <w:rFonts w:ascii="Arial" w:hAnsi="Arial" w:cs="Arial"/>
        </w:rPr>
        <w:t>29</w:t>
      </w:r>
      <w:r w:rsidR="00137370">
        <w:rPr>
          <w:rFonts w:ascii="Arial" w:hAnsi="Arial" w:cs="Arial"/>
        </w:rPr>
        <w:noBreakHyphen/>
        <w:t>month period</w:t>
      </w:r>
      <w:r w:rsidR="00E02412">
        <w:rPr>
          <w:rFonts w:ascii="Arial" w:hAnsi="Arial" w:cs="Arial"/>
        </w:rPr>
        <w:t xml:space="preserve"> of </w:t>
      </w:r>
      <w:r w:rsidR="00137370">
        <w:rPr>
          <w:rFonts w:ascii="Arial" w:hAnsi="Arial" w:cs="Arial"/>
        </w:rPr>
        <w:t xml:space="preserve">January 1, 2011 through May 31, 2013.  </w:t>
      </w:r>
    </w:p>
    <w:p w:rsidR="000D0C52" w:rsidRPr="000D0C52" w:rsidRDefault="000D0C52" w:rsidP="000D0C52">
      <w:pPr>
        <w:pStyle w:val="EndnoteText"/>
        <w:tabs>
          <w:tab w:val="left" w:pos="360"/>
        </w:tabs>
        <w:suppressAutoHyphens/>
        <w:rPr>
          <w:rFonts w:ascii="Arial" w:hAnsi="Arial" w:cs="Arial"/>
          <w:b/>
          <w:sz w:val="22"/>
          <w:szCs w:val="22"/>
          <w:u w:val="single"/>
        </w:rPr>
      </w:pPr>
    </w:p>
    <w:p w:rsidR="000D0C52" w:rsidRPr="00450495" w:rsidRDefault="000D0C52" w:rsidP="000D0C52">
      <w:pPr>
        <w:pStyle w:val="EndnoteText"/>
        <w:tabs>
          <w:tab w:val="left" w:pos="360"/>
        </w:tabs>
        <w:suppressAutoHyphens/>
        <w:rPr>
          <w:rFonts w:ascii="Arial" w:hAnsi="Arial" w:cs="Arial"/>
          <w:b/>
          <w:szCs w:val="24"/>
          <w:u w:val="single"/>
        </w:rPr>
      </w:pPr>
      <w:r>
        <w:rPr>
          <w:rFonts w:ascii="Arial" w:hAnsi="Arial" w:cs="Arial"/>
          <w:b/>
          <w:szCs w:val="24"/>
          <w:u w:val="single"/>
        </w:rPr>
        <w:t xml:space="preserve">4 </w:t>
      </w:r>
      <w:r w:rsidRPr="00450495">
        <w:rPr>
          <w:rFonts w:ascii="Arial" w:hAnsi="Arial" w:cs="Arial"/>
          <w:b/>
          <w:szCs w:val="24"/>
          <w:u w:val="single"/>
        </w:rPr>
        <w:t>- Over</w:t>
      </w:r>
      <w:proofErr w:type="gramStart"/>
      <w:r w:rsidRPr="00450495">
        <w:rPr>
          <w:rFonts w:ascii="Arial" w:hAnsi="Arial" w:cs="Arial"/>
          <w:b/>
          <w:szCs w:val="24"/>
          <w:u w:val="single"/>
        </w:rPr>
        <w:t>/(</w:t>
      </w:r>
      <w:proofErr w:type="gramEnd"/>
      <w:r w:rsidRPr="00450495">
        <w:rPr>
          <w:rFonts w:ascii="Arial" w:hAnsi="Arial" w:cs="Arial"/>
          <w:b/>
          <w:szCs w:val="24"/>
          <w:u w:val="single"/>
        </w:rPr>
        <w:t>Under) Collections</w:t>
      </w:r>
    </w:p>
    <w:p w:rsidR="000D0C52" w:rsidRPr="000D0C52" w:rsidRDefault="000D0C52" w:rsidP="000D0C52">
      <w:pPr>
        <w:tabs>
          <w:tab w:val="left" w:pos="360"/>
        </w:tabs>
        <w:ind w:left="360"/>
        <w:rPr>
          <w:rFonts w:ascii="Arial" w:hAnsi="Arial" w:cs="Arial"/>
          <w:sz w:val="22"/>
          <w:szCs w:val="22"/>
        </w:rPr>
      </w:pPr>
    </w:p>
    <w:p w:rsidR="000D0C52" w:rsidRDefault="000D0C52" w:rsidP="000D0C52">
      <w:pPr>
        <w:tabs>
          <w:tab w:val="left" w:pos="360"/>
        </w:tabs>
        <w:ind w:left="360"/>
        <w:rPr>
          <w:rFonts w:ascii="Arial" w:hAnsi="Arial" w:cs="Arial"/>
          <w:szCs w:val="24"/>
        </w:rPr>
      </w:pPr>
      <w:r w:rsidRPr="00F51FF0">
        <w:rPr>
          <w:rFonts w:ascii="Arial" w:hAnsi="Arial" w:cs="Arial"/>
          <w:szCs w:val="24"/>
        </w:rPr>
        <w:t>The Over</w:t>
      </w:r>
      <w:proofErr w:type="gramStart"/>
      <w:r w:rsidRPr="00F51FF0">
        <w:rPr>
          <w:rFonts w:ascii="Arial" w:hAnsi="Arial" w:cs="Arial"/>
          <w:szCs w:val="24"/>
        </w:rPr>
        <w:t>/(</w:t>
      </w:r>
      <w:proofErr w:type="gramEnd"/>
      <w:r w:rsidRPr="00F51FF0">
        <w:rPr>
          <w:rFonts w:ascii="Arial" w:hAnsi="Arial" w:cs="Arial"/>
          <w:szCs w:val="24"/>
        </w:rPr>
        <w:t>Under) Collection</w:t>
      </w:r>
      <w:r>
        <w:rPr>
          <w:rFonts w:ascii="Arial" w:hAnsi="Arial" w:cs="Arial"/>
          <w:szCs w:val="24"/>
        </w:rPr>
        <w:t>s</w:t>
      </w:r>
      <w:r w:rsidRPr="00F51FF0">
        <w:rPr>
          <w:rFonts w:ascii="Arial" w:hAnsi="Arial" w:cs="Arial"/>
          <w:szCs w:val="24"/>
        </w:rPr>
        <w:t xml:space="preserve"> </w:t>
      </w:r>
      <w:r>
        <w:rPr>
          <w:rFonts w:ascii="Arial" w:hAnsi="Arial" w:cs="Arial"/>
          <w:szCs w:val="24"/>
        </w:rPr>
        <w:t>are the differences between the GSC-1</w:t>
      </w:r>
      <w:r w:rsidRPr="00F51FF0">
        <w:rPr>
          <w:rFonts w:ascii="Arial" w:hAnsi="Arial" w:cs="Arial"/>
          <w:szCs w:val="24"/>
        </w:rPr>
        <w:t xml:space="preserve"> </w:t>
      </w:r>
      <w:r>
        <w:rPr>
          <w:rFonts w:ascii="Arial" w:hAnsi="Arial" w:cs="Arial"/>
          <w:szCs w:val="24"/>
        </w:rPr>
        <w:t>R</w:t>
      </w:r>
      <w:r w:rsidRPr="00F51FF0">
        <w:rPr>
          <w:rFonts w:ascii="Arial" w:hAnsi="Arial" w:cs="Arial"/>
          <w:szCs w:val="24"/>
        </w:rPr>
        <w:t xml:space="preserve">evenues and </w:t>
      </w:r>
      <w:r>
        <w:rPr>
          <w:rFonts w:ascii="Arial" w:hAnsi="Arial" w:cs="Arial"/>
          <w:szCs w:val="24"/>
        </w:rPr>
        <w:t>the GSC-1</w:t>
      </w:r>
      <w:r w:rsidRPr="00F51FF0">
        <w:rPr>
          <w:rFonts w:ascii="Arial" w:hAnsi="Arial" w:cs="Arial"/>
          <w:szCs w:val="24"/>
        </w:rPr>
        <w:t xml:space="preserve"> </w:t>
      </w:r>
      <w:r>
        <w:rPr>
          <w:rFonts w:ascii="Arial" w:hAnsi="Arial" w:cs="Arial"/>
          <w:szCs w:val="24"/>
        </w:rPr>
        <w:t>E</w:t>
      </w:r>
      <w:r w:rsidRPr="00F51FF0">
        <w:rPr>
          <w:rFonts w:ascii="Arial" w:hAnsi="Arial" w:cs="Arial"/>
          <w:szCs w:val="24"/>
        </w:rPr>
        <w:t>xpenses</w:t>
      </w:r>
      <w:r w:rsidR="001943CA">
        <w:rPr>
          <w:rFonts w:ascii="Arial" w:hAnsi="Arial" w:cs="Arial"/>
          <w:szCs w:val="24"/>
        </w:rPr>
        <w:t>.</w:t>
      </w:r>
      <w:r w:rsidRPr="00F51FF0">
        <w:rPr>
          <w:rFonts w:ascii="Arial" w:hAnsi="Arial" w:cs="Arial"/>
          <w:szCs w:val="24"/>
        </w:rPr>
        <w:t xml:space="preserve"> </w:t>
      </w:r>
      <w:r>
        <w:rPr>
          <w:rFonts w:ascii="Arial" w:hAnsi="Arial" w:cs="Arial"/>
          <w:szCs w:val="24"/>
        </w:rPr>
        <w:t xml:space="preserve"> The resulting amount</w:t>
      </w:r>
      <w:r w:rsidR="000569DD">
        <w:rPr>
          <w:rFonts w:ascii="Arial" w:hAnsi="Arial" w:cs="Arial"/>
          <w:szCs w:val="24"/>
        </w:rPr>
        <w:t>s</w:t>
      </w:r>
      <w:r>
        <w:rPr>
          <w:rFonts w:ascii="Arial" w:hAnsi="Arial" w:cs="Arial"/>
          <w:szCs w:val="24"/>
        </w:rPr>
        <w:t xml:space="preserve"> represent the portion of GSC-1 Revenues refundable to or expenses recoverable from customers through subsequent GSC-1 filings.  Interest is applied to both over and under collections.  Differences arise for two primary reasons:</w:t>
      </w:r>
    </w:p>
    <w:p w:rsidR="000D0C52" w:rsidRPr="00137370" w:rsidRDefault="000D0C52" w:rsidP="000D0C52"/>
    <w:p w:rsidR="000D0C52" w:rsidRPr="00810BDC" w:rsidRDefault="000D0C52" w:rsidP="000D0C52">
      <w:pPr>
        <w:pStyle w:val="ListParagraph"/>
        <w:numPr>
          <w:ilvl w:val="0"/>
          <w:numId w:val="11"/>
        </w:numPr>
        <w:ind w:left="1080"/>
        <w:rPr>
          <w:rFonts w:ascii="Arial" w:hAnsi="Arial" w:cs="Arial"/>
          <w:szCs w:val="24"/>
        </w:rPr>
      </w:pPr>
      <w:r w:rsidRPr="00810BDC">
        <w:rPr>
          <w:rFonts w:ascii="Arial" w:hAnsi="Arial" w:cs="Arial"/>
          <w:szCs w:val="24"/>
        </w:rPr>
        <w:t xml:space="preserve">Variations between the actual </w:t>
      </w:r>
      <w:r>
        <w:rPr>
          <w:rFonts w:ascii="Arial" w:hAnsi="Arial" w:cs="Arial"/>
          <w:szCs w:val="24"/>
        </w:rPr>
        <w:t xml:space="preserve">monthly </w:t>
      </w:r>
      <w:r w:rsidRPr="00810BDC">
        <w:rPr>
          <w:rFonts w:ascii="Arial" w:hAnsi="Arial" w:cs="Arial"/>
          <w:szCs w:val="24"/>
        </w:rPr>
        <w:t>volumes billed to customers and</w:t>
      </w:r>
      <w:r>
        <w:rPr>
          <w:rFonts w:ascii="Arial" w:hAnsi="Arial" w:cs="Arial"/>
          <w:szCs w:val="24"/>
        </w:rPr>
        <w:t xml:space="preserve"> the </w:t>
      </w:r>
      <w:r w:rsidRPr="00810BDC">
        <w:rPr>
          <w:rFonts w:ascii="Arial" w:hAnsi="Arial" w:cs="Arial"/>
          <w:szCs w:val="24"/>
        </w:rPr>
        <w:t>estimates</w:t>
      </w:r>
      <w:r>
        <w:rPr>
          <w:rFonts w:ascii="Arial" w:hAnsi="Arial" w:cs="Arial"/>
          <w:szCs w:val="24"/>
        </w:rPr>
        <w:t xml:space="preserve"> used to determine the GSC-1</w:t>
      </w:r>
      <w:r w:rsidRPr="00810BDC">
        <w:rPr>
          <w:rFonts w:ascii="Arial" w:hAnsi="Arial" w:cs="Arial"/>
          <w:szCs w:val="24"/>
        </w:rPr>
        <w:t xml:space="preserve"> rate.</w:t>
      </w:r>
    </w:p>
    <w:p w:rsidR="000D0C52" w:rsidRDefault="000D0C52" w:rsidP="000D0C52">
      <w:pPr>
        <w:pStyle w:val="ListParagraph"/>
        <w:rPr>
          <w:rFonts w:ascii="Arial" w:hAnsi="Arial" w:cs="Arial"/>
          <w:szCs w:val="24"/>
        </w:rPr>
      </w:pPr>
    </w:p>
    <w:p w:rsidR="00D06D67" w:rsidRDefault="000D0C52" w:rsidP="0019026C">
      <w:pPr>
        <w:pStyle w:val="ListParagraph"/>
        <w:numPr>
          <w:ilvl w:val="0"/>
          <w:numId w:val="11"/>
        </w:numPr>
        <w:ind w:left="1080"/>
        <w:rPr>
          <w:rFonts w:ascii="Arial" w:hAnsi="Arial" w:cs="Arial"/>
          <w:szCs w:val="24"/>
        </w:rPr>
        <w:sectPr w:rsidR="00D06D67" w:rsidSect="00D06D67">
          <w:headerReference w:type="even" r:id="rId33"/>
          <w:headerReference w:type="default" r:id="rId34"/>
          <w:footerReference w:type="default" r:id="rId35"/>
          <w:headerReference w:type="first" r:id="rId36"/>
          <w:endnotePr>
            <w:numFmt w:val="decimal"/>
          </w:endnotePr>
          <w:pgSz w:w="12240" w:h="15840" w:code="1"/>
          <w:pgMar w:top="1440" w:right="1440" w:bottom="1152" w:left="1440" w:header="0" w:footer="720" w:gutter="0"/>
          <w:pgNumType w:fmt="numberInDash" w:start="3"/>
          <w:cols w:space="720"/>
          <w:noEndnote/>
        </w:sectPr>
      </w:pPr>
      <w:r w:rsidRPr="0019026C">
        <w:rPr>
          <w:rFonts w:ascii="Arial" w:hAnsi="Arial" w:cs="Arial"/>
          <w:szCs w:val="24"/>
        </w:rPr>
        <w:t>Variations between the actual GSC-1 expenses and the estimates used to determine the GSC-1 rate.</w:t>
      </w:r>
    </w:p>
    <w:p w:rsidR="000D0C52" w:rsidRPr="0019026C" w:rsidRDefault="000D0C52" w:rsidP="006E0301">
      <w:pPr>
        <w:pStyle w:val="ListParagraph"/>
        <w:ind w:left="1080"/>
        <w:rPr>
          <w:rFonts w:ascii="Arial" w:hAnsi="Arial" w:cs="Arial"/>
          <w:b/>
          <w:sz w:val="26"/>
          <w:szCs w:val="26"/>
        </w:rPr>
      </w:pPr>
    </w:p>
    <w:p w:rsidR="000D0C52" w:rsidRDefault="000D0C52" w:rsidP="00137370">
      <w:pPr>
        <w:pStyle w:val="EndnoteText"/>
        <w:tabs>
          <w:tab w:val="left" w:pos="-1440"/>
          <w:tab w:val="left" w:pos="-720"/>
          <w:tab w:val="left" w:pos="720"/>
          <w:tab w:val="left" w:pos="990"/>
          <w:tab w:val="left" w:pos="1440"/>
        </w:tabs>
        <w:suppressAutoHyphens/>
        <w:overflowPunct/>
        <w:autoSpaceDE/>
        <w:autoSpaceDN/>
        <w:adjustRightInd/>
        <w:jc w:val="center"/>
        <w:textAlignment w:val="auto"/>
        <w:rPr>
          <w:rFonts w:ascii="Arial" w:hAnsi="Arial" w:cs="Arial"/>
          <w:b/>
          <w:sz w:val="26"/>
          <w:szCs w:val="26"/>
        </w:rPr>
      </w:pPr>
    </w:p>
    <w:p w:rsidR="000D0C52" w:rsidRDefault="000D0C52" w:rsidP="00137370">
      <w:pPr>
        <w:pStyle w:val="EndnoteText"/>
        <w:tabs>
          <w:tab w:val="left" w:pos="-1440"/>
          <w:tab w:val="left" w:pos="-720"/>
          <w:tab w:val="left" w:pos="720"/>
          <w:tab w:val="left" w:pos="990"/>
          <w:tab w:val="left" w:pos="1440"/>
        </w:tabs>
        <w:suppressAutoHyphens/>
        <w:overflowPunct/>
        <w:autoSpaceDE/>
        <w:autoSpaceDN/>
        <w:adjustRightInd/>
        <w:jc w:val="center"/>
        <w:textAlignment w:val="auto"/>
        <w:rPr>
          <w:rFonts w:ascii="Arial" w:hAnsi="Arial" w:cs="Arial"/>
          <w:b/>
          <w:sz w:val="26"/>
          <w:szCs w:val="26"/>
        </w:rPr>
      </w:pPr>
    </w:p>
    <w:p w:rsidR="000D0C52" w:rsidRDefault="000D0C52" w:rsidP="00137370">
      <w:pPr>
        <w:pStyle w:val="EndnoteText"/>
        <w:tabs>
          <w:tab w:val="left" w:pos="-1440"/>
          <w:tab w:val="left" w:pos="-720"/>
          <w:tab w:val="left" w:pos="720"/>
          <w:tab w:val="left" w:pos="990"/>
          <w:tab w:val="left" w:pos="1440"/>
        </w:tabs>
        <w:suppressAutoHyphens/>
        <w:overflowPunct/>
        <w:autoSpaceDE/>
        <w:autoSpaceDN/>
        <w:adjustRightInd/>
        <w:jc w:val="center"/>
        <w:textAlignment w:val="auto"/>
        <w:rPr>
          <w:rFonts w:ascii="Arial" w:hAnsi="Arial" w:cs="Arial"/>
          <w:b/>
          <w:sz w:val="26"/>
          <w:szCs w:val="26"/>
        </w:rPr>
      </w:pPr>
    </w:p>
    <w:p w:rsidR="000D0C52" w:rsidRDefault="000D0C52" w:rsidP="00137370">
      <w:pPr>
        <w:pStyle w:val="EndnoteText"/>
        <w:tabs>
          <w:tab w:val="left" w:pos="-1440"/>
          <w:tab w:val="left" w:pos="-720"/>
          <w:tab w:val="left" w:pos="720"/>
          <w:tab w:val="left" w:pos="990"/>
          <w:tab w:val="left" w:pos="1440"/>
        </w:tabs>
        <w:suppressAutoHyphens/>
        <w:overflowPunct/>
        <w:autoSpaceDE/>
        <w:autoSpaceDN/>
        <w:adjustRightInd/>
        <w:jc w:val="center"/>
        <w:textAlignment w:val="auto"/>
        <w:rPr>
          <w:rFonts w:ascii="Arial" w:hAnsi="Arial" w:cs="Arial"/>
          <w:b/>
          <w:sz w:val="26"/>
          <w:szCs w:val="26"/>
        </w:rPr>
      </w:pPr>
    </w:p>
    <w:p w:rsidR="000D0C52" w:rsidRDefault="000D0C52" w:rsidP="00137370">
      <w:pPr>
        <w:pStyle w:val="EndnoteText"/>
        <w:tabs>
          <w:tab w:val="left" w:pos="-1440"/>
          <w:tab w:val="left" w:pos="-720"/>
          <w:tab w:val="left" w:pos="720"/>
          <w:tab w:val="left" w:pos="990"/>
          <w:tab w:val="left" w:pos="1440"/>
        </w:tabs>
        <w:suppressAutoHyphens/>
        <w:overflowPunct/>
        <w:autoSpaceDE/>
        <w:autoSpaceDN/>
        <w:adjustRightInd/>
        <w:jc w:val="center"/>
        <w:textAlignment w:val="auto"/>
        <w:rPr>
          <w:rFonts w:ascii="Arial" w:hAnsi="Arial" w:cs="Arial"/>
          <w:b/>
          <w:sz w:val="26"/>
          <w:szCs w:val="26"/>
        </w:rPr>
      </w:pPr>
    </w:p>
    <w:p w:rsidR="000D0C52" w:rsidRDefault="000D0C52" w:rsidP="00137370">
      <w:pPr>
        <w:pStyle w:val="EndnoteText"/>
        <w:tabs>
          <w:tab w:val="left" w:pos="-1440"/>
          <w:tab w:val="left" w:pos="-720"/>
          <w:tab w:val="left" w:pos="720"/>
          <w:tab w:val="left" w:pos="990"/>
          <w:tab w:val="left" w:pos="1440"/>
        </w:tabs>
        <w:suppressAutoHyphens/>
        <w:overflowPunct/>
        <w:autoSpaceDE/>
        <w:autoSpaceDN/>
        <w:adjustRightInd/>
        <w:jc w:val="center"/>
        <w:textAlignment w:val="auto"/>
        <w:rPr>
          <w:rFonts w:ascii="Arial" w:hAnsi="Arial" w:cs="Arial"/>
          <w:b/>
          <w:sz w:val="26"/>
          <w:szCs w:val="26"/>
        </w:rPr>
      </w:pPr>
    </w:p>
    <w:p w:rsidR="000D0C52" w:rsidRDefault="000D0C52" w:rsidP="00137370">
      <w:pPr>
        <w:pStyle w:val="EndnoteText"/>
        <w:tabs>
          <w:tab w:val="left" w:pos="-1440"/>
          <w:tab w:val="left" w:pos="-720"/>
          <w:tab w:val="left" w:pos="720"/>
          <w:tab w:val="left" w:pos="990"/>
          <w:tab w:val="left" w:pos="1440"/>
        </w:tabs>
        <w:suppressAutoHyphens/>
        <w:overflowPunct/>
        <w:autoSpaceDE/>
        <w:autoSpaceDN/>
        <w:adjustRightInd/>
        <w:jc w:val="center"/>
        <w:textAlignment w:val="auto"/>
        <w:rPr>
          <w:rFonts w:ascii="Arial" w:hAnsi="Arial" w:cs="Arial"/>
          <w:b/>
          <w:sz w:val="26"/>
          <w:szCs w:val="26"/>
        </w:rPr>
      </w:pPr>
    </w:p>
    <w:p w:rsidR="000D0C52" w:rsidRDefault="000D0C52" w:rsidP="00137370">
      <w:pPr>
        <w:pStyle w:val="EndnoteText"/>
        <w:tabs>
          <w:tab w:val="left" w:pos="-1440"/>
          <w:tab w:val="left" w:pos="-720"/>
          <w:tab w:val="left" w:pos="720"/>
          <w:tab w:val="left" w:pos="990"/>
          <w:tab w:val="left" w:pos="1440"/>
        </w:tabs>
        <w:suppressAutoHyphens/>
        <w:overflowPunct/>
        <w:autoSpaceDE/>
        <w:autoSpaceDN/>
        <w:adjustRightInd/>
        <w:jc w:val="center"/>
        <w:textAlignment w:val="auto"/>
        <w:rPr>
          <w:rFonts w:ascii="Arial" w:hAnsi="Arial" w:cs="Arial"/>
          <w:b/>
          <w:sz w:val="26"/>
          <w:szCs w:val="26"/>
        </w:rPr>
      </w:pPr>
    </w:p>
    <w:p w:rsidR="000D2F7D" w:rsidRDefault="000D2F7D" w:rsidP="000D2F7D"/>
    <w:p w:rsidR="000D2F7D" w:rsidRDefault="000D2F7D" w:rsidP="000D2F7D"/>
    <w:p w:rsidR="000D2F7D" w:rsidRPr="000D2F7D" w:rsidRDefault="000D2F7D" w:rsidP="000D2F7D"/>
    <w:p w:rsidR="00665FEF" w:rsidRDefault="00665FEF" w:rsidP="00905409">
      <w:pPr>
        <w:pStyle w:val="Heading4"/>
        <w:tabs>
          <w:tab w:val="clear" w:pos="4680"/>
        </w:tabs>
        <w:rPr>
          <w:rFonts w:ascii="Arial" w:hAnsi="Arial" w:cs="Arial"/>
          <w:sz w:val="36"/>
          <w:szCs w:val="36"/>
          <w:u w:val="none"/>
        </w:rPr>
      </w:pPr>
    </w:p>
    <w:p w:rsidR="00665FEF" w:rsidRDefault="00665FEF" w:rsidP="00905409">
      <w:pPr>
        <w:pStyle w:val="Heading4"/>
        <w:tabs>
          <w:tab w:val="clear" w:pos="4680"/>
        </w:tabs>
        <w:rPr>
          <w:rFonts w:ascii="Arial" w:hAnsi="Arial" w:cs="Arial"/>
          <w:sz w:val="36"/>
          <w:szCs w:val="36"/>
          <w:u w:val="none"/>
        </w:rPr>
      </w:pPr>
    </w:p>
    <w:p w:rsidR="00886692" w:rsidRPr="006C2E78" w:rsidRDefault="00886692" w:rsidP="00905409">
      <w:pPr>
        <w:pStyle w:val="Heading4"/>
        <w:tabs>
          <w:tab w:val="clear" w:pos="4680"/>
        </w:tabs>
        <w:rPr>
          <w:rFonts w:ascii="Arial" w:hAnsi="Arial" w:cs="Arial"/>
          <w:sz w:val="36"/>
          <w:szCs w:val="36"/>
          <w:u w:val="none"/>
        </w:rPr>
      </w:pPr>
      <w:r w:rsidRPr="006C2E78">
        <w:rPr>
          <w:rFonts w:ascii="Arial" w:hAnsi="Arial" w:cs="Arial"/>
          <w:sz w:val="36"/>
          <w:szCs w:val="36"/>
          <w:u w:val="none"/>
        </w:rPr>
        <w:t>BACKGROUND</w:t>
      </w:r>
    </w:p>
    <w:p w:rsidR="00886692" w:rsidRPr="006C2E78" w:rsidRDefault="00886692" w:rsidP="00905409">
      <w:pPr>
        <w:pStyle w:val="EndnoteText"/>
        <w:tabs>
          <w:tab w:val="left" w:pos="331"/>
          <w:tab w:val="left" w:pos="4680"/>
        </w:tabs>
        <w:suppressAutoHyphens/>
        <w:jc w:val="center"/>
        <w:rPr>
          <w:rFonts w:ascii="Arial" w:hAnsi="Arial" w:cs="Arial"/>
          <w:b/>
          <w:szCs w:val="24"/>
          <w:u w:val="single"/>
        </w:rPr>
      </w:pPr>
    </w:p>
    <w:p w:rsidR="00886692" w:rsidRPr="006C2E78" w:rsidRDefault="00886692" w:rsidP="00905409">
      <w:pPr>
        <w:pStyle w:val="EndnoteText"/>
        <w:tabs>
          <w:tab w:val="left" w:pos="331"/>
          <w:tab w:val="left" w:pos="4680"/>
        </w:tabs>
        <w:suppressAutoHyphens/>
        <w:jc w:val="center"/>
        <w:rPr>
          <w:rFonts w:ascii="Arial" w:hAnsi="Arial" w:cs="Arial"/>
          <w:b/>
          <w:szCs w:val="24"/>
          <w:u w:val="single"/>
        </w:rPr>
      </w:pPr>
    </w:p>
    <w:p w:rsidR="00886692" w:rsidRPr="006C2E78" w:rsidRDefault="00886692" w:rsidP="00905409">
      <w:pPr>
        <w:pStyle w:val="Heading4"/>
        <w:tabs>
          <w:tab w:val="clear" w:pos="4680"/>
        </w:tabs>
        <w:rPr>
          <w:rFonts w:ascii="Arial" w:hAnsi="Arial" w:cs="Arial"/>
          <w:sz w:val="36"/>
          <w:szCs w:val="36"/>
          <w:u w:val="none"/>
        </w:rPr>
      </w:pPr>
      <w:r w:rsidRPr="006C2E78">
        <w:rPr>
          <w:rFonts w:ascii="Arial" w:hAnsi="Arial" w:cs="Arial"/>
          <w:sz w:val="36"/>
          <w:szCs w:val="36"/>
          <w:u w:val="none"/>
        </w:rPr>
        <w:t>AND</w:t>
      </w:r>
    </w:p>
    <w:p w:rsidR="00886692" w:rsidRPr="006C2E78" w:rsidRDefault="00886692" w:rsidP="00905409">
      <w:pPr>
        <w:pStyle w:val="EndnoteText"/>
        <w:tabs>
          <w:tab w:val="left" w:pos="331"/>
          <w:tab w:val="left" w:pos="4680"/>
        </w:tabs>
        <w:suppressAutoHyphens/>
        <w:jc w:val="center"/>
        <w:rPr>
          <w:rFonts w:ascii="Arial" w:hAnsi="Arial" w:cs="Arial"/>
          <w:b/>
          <w:szCs w:val="24"/>
          <w:u w:val="single"/>
        </w:rPr>
      </w:pPr>
    </w:p>
    <w:p w:rsidR="00886692" w:rsidRPr="006C2E78" w:rsidRDefault="00886692" w:rsidP="00905409">
      <w:pPr>
        <w:pStyle w:val="EndnoteText"/>
        <w:tabs>
          <w:tab w:val="left" w:pos="331"/>
          <w:tab w:val="left" w:pos="4680"/>
        </w:tabs>
        <w:suppressAutoHyphens/>
        <w:jc w:val="center"/>
        <w:rPr>
          <w:rFonts w:ascii="Arial" w:hAnsi="Arial" w:cs="Arial"/>
          <w:b/>
          <w:szCs w:val="24"/>
          <w:u w:val="single"/>
        </w:rPr>
      </w:pPr>
    </w:p>
    <w:p w:rsidR="00886692" w:rsidRPr="006C2E78" w:rsidRDefault="00886692" w:rsidP="00905409">
      <w:pPr>
        <w:pStyle w:val="Heading4"/>
        <w:tabs>
          <w:tab w:val="clear" w:pos="4680"/>
        </w:tabs>
        <w:rPr>
          <w:rFonts w:ascii="Arial" w:hAnsi="Arial" w:cs="Arial"/>
          <w:sz w:val="36"/>
          <w:szCs w:val="36"/>
          <w:u w:val="none"/>
        </w:rPr>
      </w:pPr>
      <w:r w:rsidRPr="006C2E78">
        <w:rPr>
          <w:rFonts w:ascii="Arial" w:hAnsi="Arial" w:cs="Arial"/>
          <w:sz w:val="36"/>
          <w:szCs w:val="36"/>
          <w:u w:val="none"/>
        </w:rPr>
        <w:t>OPERATIONAL REVIEW</w:t>
      </w:r>
    </w:p>
    <w:p w:rsidR="004F0882" w:rsidRPr="006C2E78" w:rsidRDefault="004F0882" w:rsidP="00905409">
      <w:pPr>
        <w:pStyle w:val="EndnoteText"/>
        <w:tabs>
          <w:tab w:val="left" w:pos="331"/>
          <w:tab w:val="left" w:pos="4680"/>
        </w:tabs>
        <w:suppressAutoHyphens/>
        <w:jc w:val="center"/>
        <w:rPr>
          <w:rFonts w:ascii="Arial" w:hAnsi="Arial" w:cs="Arial"/>
          <w:b/>
          <w:szCs w:val="24"/>
          <w:u w:val="single"/>
        </w:rPr>
      </w:pPr>
    </w:p>
    <w:p w:rsidR="007E4643" w:rsidRDefault="007E4643" w:rsidP="00905409">
      <w:pPr>
        <w:pStyle w:val="EndnoteText"/>
        <w:tabs>
          <w:tab w:val="left" w:pos="331"/>
          <w:tab w:val="left" w:pos="4680"/>
        </w:tabs>
        <w:suppressAutoHyphens/>
        <w:jc w:val="center"/>
        <w:rPr>
          <w:rFonts w:ascii="Arial" w:hAnsi="Arial" w:cs="Arial"/>
          <w:b/>
          <w:szCs w:val="24"/>
          <w:u w:val="single"/>
        </w:rPr>
        <w:sectPr w:rsidR="007E4643" w:rsidSect="00D06D67">
          <w:headerReference w:type="even" r:id="rId37"/>
          <w:headerReference w:type="default" r:id="rId38"/>
          <w:footerReference w:type="default" r:id="rId39"/>
          <w:headerReference w:type="first" r:id="rId40"/>
          <w:endnotePr>
            <w:numFmt w:val="decimal"/>
          </w:endnotePr>
          <w:pgSz w:w="12240" w:h="15840" w:code="1"/>
          <w:pgMar w:top="1440" w:right="1440" w:bottom="1152" w:left="1440" w:header="0" w:footer="720" w:gutter="0"/>
          <w:pgNumType w:fmt="numberInDash" w:start="3"/>
          <w:cols w:space="720"/>
          <w:noEndnote/>
        </w:sectPr>
      </w:pPr>
    </w:p>
    <w:p w:rsidR="0074546C" w:rsidRPr="00FB1394" w:rsidRDefault="0074546C" w:rsidP="0074546C">
      <w:pPr>
        <w:pStyle w:val="EndnoteText"/>
        <w:tabs>
          <w:tab w:val="left" w:pos="331"/>
          <w:tab w:val="left" w:pos="4680"/>
        </w:tabs>
        <w:suppressAutoHyphens/>
        <w:jc w:val="center"/>
        <w:rPr>
          <w:rFonts w:ascii="Arial" w:hAnsi="Arial" w:cs="Arial"/>
          <w:b/>
          <w:sz w:val="26"/>
          <w:szCs w:val="26"/>
        </w:rPr>
      </w:pPr>
      <w:r w:rsidRPr="00FB1394">
        <w:rPr>
          <w:rFonts w:ascii="Arial" w:hAnsi="Arial" w:cs="Arial"/>
          <w:b/>
          <w:sz w:val="26"/>
          <w:szCs w:val="26"/>
        </w:rPr>
        <w:lastRenderedPageBreak/>
        <w:t xml:space="preserve">PPL </w:t>
      </w:r>
      <w:r w:rsidR="002F639C" w:rsidRPr="00FB1394">
        <w:rPr>
          <w:rFonts w:ascii="Arial" w:hAnsi="Arial" w:cs="Arial"/>
          <w:b/>
          <w:sz w:val="26"/>
          <w:szCs w:val="26"/>
        </w:rPr>
        <w:t>ELECTRIC UTILITIES CORPORATION</w:t>
      </w:r>
    </w:p>
    <w:p w:rsidR="0074546C" w:rsidRPr="00FB1394" w:rsidRDefault="0074546C" w:rsidP="0074546C">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rPr>
      </w:pPr>
    </w:p>
    <w:p w:rsidR="0074546C" w:rsidRPr="00FB1394" w:rsidRDefault="0074546C" w:rsidP="0074546C">
      <w:pPr>
        <w:tabs>
          <w:tab w:val="left" w:pos="-1440"/>
          <w:tab w:val="left" w:pos="-720"/>
        </w:tabs>
        <w:suppressAutoHyphens/>
        <w:jc w:val="center"/>
        <w:rPr>
          <w:rFonts w:ascii="Arial" w:hAnsi="Arial" w:cs="Arial"/>
          <w:sz w:val="26"/>
          <w:szCs w:val="26"/>
        </w:rPr>
      </w:pPr>
      <w:r w:rsidRPr="00FB1394">
        <w:rPr>
          <w:rFonts w:ascii="Arial" w:hAnsi="Arial" w:cs="Arial"/>
          <w:b/>
          <w:sz w:val="26"/>
          <w:szCs w:val="26"/>
        </w:rPr>
        <w:t>Background</w:t>
      </w:r>
    </w:p>
    <w:p w:rsidR="0074546C" w:rsidRPr="00DB0C82" w:rsidRDefault="0074546C" w:rsidP="0074546C">
      <w:pPr>
        <w:tabs>
          <w:tab w:val="left" w:pos="-1440"/>
          <w:tab w:val="left" w:pos="-720"/>
        </w:tabs>
        <w:suppressAutoHyphens/>
        <w:rPr>
          <w:rFonts w:ascii="Arial" w:hAnsi="Arial" w:cs="Arial"/>
          <w:szCs w:val="24"/>
        </w:rPr>
      </w:pPr>
    </w:p>
    <w:p w:rsidR="0074546C" w:rsidRPr="00DB0C82" w:rsidRDefault="0074546C" w:rsidP="0074546C">
      <w:pPr>
        <w:tabs>
          <w:tab w:val="left" w:pos="-1440"/>
          <w:tab w:val="left" w:pos="-720"/>
        </w:tabs>
        <w:suppressAutoHyphens/>
        <w:rPr>
          <w:rFonts w:ascii="Arial" w:hAnsi="Arial" w:cs="Arial"/>
          <w:szCs w:val="24"/>
        </w:rPr>
      </w:pPr>
    </w:p>
    <w:p w:rsidR="000E6D9E" w:rsidRDefault="000E6D9E" w:rsidP="000E6D9E">
      <w:pPr>
        <w:ind w:firstLine="720"/>
        <w:rPr>
          <w:rFonts w:ascii="Arial" w:hAnsi="Arial" w:cs="Arial"/>
          <w:szCs w:val="24"/>
        </w:rPr>
      </w:pPr>
      <w:r>
        <w:rPr>
          <w:rFonts w:ascii="Arial" w:hAnsi="Arial" w:cs="Arial"/>
          <w:szCs w:val="24"/>
        </w:rPr>
        <w:t xml:space="preserve">This background section was developed substantially from unaudited data and documentation made available by PPL and is presented solely for informational purposes.  </w:t>
      </w:r>
    </w:p>
    <w:p w:rsidR="00EF7157" w:rsidRDefault="00EF7157" w:rsidP="00252C14">
      <w:pPr>
        <w:tabs>
          <w:tab w:val="left" w:pos="-1440"/>
          <w:tab w:val="left" w:pos="-720"/>
        </w:tabs>
        <w:suppressAutoHyphens/>
        <w:rPr>
          <w:rFonts w:ascii="Arial" w:hAnsi="Arial" w:cs="Arial"/>
          <w:szCs w:val="24"/>
        </w:rPr>
      </w:pPr>
    </w:p>
    <w:p w:rsidR="00EF7157" w:rsidRPr="00EF7157" w:rsidRDefault="00EF7157" w:rsidP="00EF7157">
      <w:pPr>
        <w:pStyle w:val="p3"/>
        <w:widowControl/>
        <w:tabs>
          <w:tab w:val="clear" w:pos="204"/>
        </w:tabs>
        <w:spacing w:line="240" w:lineRule="auto"/>
        <w:ind w:firstLine="720"/>
        <w:rPr>
          <w:rFonts w:ascii="Arial" w:hAnsi="Arial" w:cs="Arial"/>
          <w:color w:val="000000"/>
          <w:sz w:val="24"/>
        </w:rPr>
      </w:pPr>
      <w:r w:rsidRPr="00EF7157">
        <w:rPr>
          <w:rFonts w:ascii="Arial" w:hAnsi="Arial" w:cs="Arial"/>
          <w:color w:val="000000"/>
          <w:sz w:val="24"/>
        </w:rPr>
        <w:t>PPL is a wholly owned subsidiary of PPL Corporation that furnishes electric distribution, transmission, and default supply services to approximately 1.4 million customers throughout 29 counties in eastern and central Pennsylvania.  According to PPL’s annual reports filed with the PUC, for the years of 2013 and 2012, PPL’s total electric distribution revenues from residential, commercial, and industrial customers was approximately $1.6 billion for both years.</w:t>
      </w:r>
    </w:p>
    <w:p w:rsidR="00EF7157" w:rsidRPr="00DB0C82" w:rsidRDefault="00EF7157" w:rsidP="00252C14">
      <w:pPr>
        <w:tabs>
          <w:tab w:val="left" w:pos="-1440"/>
          <w:tab w:val="left" w:pos="-720"/>
        </w:tabs>
        <w:suppressAutoHyphens/>
        <w:rPr>
          <w:rFonts w:ascii="Arial" w:hAnsi="Arial" w:cs="Arial"/>
          <w:szCs w:val="24"/>
        </w:rPr>
      </w:pPr>
    </w:p>
    <w:p w:rsidR="00DA3179" w:rsidRDefault="00DA3179" w:rsidP="00380EF9">
      <w:pPr>
        <w:rPr>
          <w:rFonts w:ascii="Arial" w:hAnsi="Arial" w:cs="Arial"/>
        </w:rPr>
      </w:pPr>
      <w:r>
        <w:rPr>
          <w:rFonts w:ascii="Arial" w:hAnsi="Arial" w:cs="Arial"/>
        </w:rPr>
        <w:tab/>
        <w:t xml:space="preserve">By Order entered on June 30, 2009, at Docket No. P-2008-2060309, the Commission approved PPL’s Default Service Program and Procurement Plan (DSPP) for the period January 1, 2011 through May 31, 2013.  Beginning on January 1, 2011, the Generation Supply Charge (GSC) Rider was replaced with a GSC-1 Rider and a GSC-2 Rider.  </w:t>
      </w:r>
    </w:p>
    <w:p w:rsidR="00120C2B" w:rsidRDefault="00120C2B" w:rsidP="00380EF9">
      <w:pPr>
        <w:rPr>
          <w:rFonts w:ascii="Arial" w:hAnsi="Arial" w:cs="Arial"/>
          <w:szCs w:val="24"/>
        </w:rPr>
      </w:pPr>
    </w:p>
    <w:p w:rsidR="00A82368" w:rsidRDefault="00723F90" w:rsidP="00A82368">
      <w:pPr>
        <w:ind w:firstLine="720"/>
        <w:rPr>
          <w:rFonts w:ascii="Arial" w:hAnsi="Arial" w:cs="Arial"/>
          <w:szCs w:val="24"/>
        </w:rPr>
      </w:pPr>
      <w:r>
        <w:rPr>
          <w:rFonts w:ascii="Arial" w:hAnsi="Arial" w:cs="Arial"/>
          <w:szCs w:val="24"/>
        </w:rPr>
        <w:t>The Commission approved</w:t>
      </w:r>
      <w:r w:rsidR="00A82368">
        <w:rPr>
          <w:rFonts w:ascii="Arial" w:hAnsi="Arial" w:cs="Arial"/>
          <w:szCs w:val="24"/>
        </w:rPr>
        <w:t xml:space="preserve"> PPL’s Voluntary Purchase of Accounts Receivable Program and Merchant Function Charge (MFC), by Order entered on November 19, 2009, at Docket No. </w:t>
      </w:r>
      <w:proofErr w:type="gramStart"/>
      <w:r w:rsidR="00A82368">
        <w:rPr>
          <w:rFonts w:ascii="Arial" w:hAnsi="Arial" w:cs="Arial"/>
          <w:szCs w:val="24"/>
        </w:rPr>
        <w:t>P-2009-2129502.</w:t>
      </w:r>
      <w:proofErr w:type="gramEnd"/>
      <w:r w:rsidR="00A82368">
        <w:rPr>
          <w:rFonts w:ascii="Arial" w:hAnsi="Arial" w:cs="Arial"/>
          <w:szCs w:val="24"/>
        </w:rPr>
        <w:t xml:space="preserve">  Accordingly, effective January 1, 2010, PPL unbundled its generation-related uncollectible accounts expense from distribution rates.  PPL collects its generation-related uncollectible accounts and MCF costs from default service customers through its MFC that is applied as a percentage added to the GSC-1 rates of Residential and Small C&amp; I customers at </w:t>
      </w:r>
      <w:r w:rsidR="00A82368" w:rsidRPr="00141F39">
        <w:rPr>
          <w:rFonts w:ascii="Arial" w:hAnsi="Arial" w:cs="Arial"/>
          <w:szCs w:val="24"/>
        </w:rPr>
        <w:t>1.80% and 0.10%,</w:t>
      </w:r>
      <w:r w:rsidR="00A82368">
        <w:rPr>
          <w:rFonts w:ascii="Arial" w:hAnsi="Arial" w:cs="Arial"/>
          <w:szCs w:val="24"/>
        </w:rPr>
        <w:t xml:space="preserve"> respectively.</w:t>
      </w:r>
    </w:p>
    <w:p w:rsidR="00B856DB" w:rsidRDefault="00B856DB" w:rsidP="002F639C">
      <w:pPr>
        <w:pStyle w:val="Heading1"/>
        <w:tabs>
          <w:tab w:val="clear" w:pos="4680"/>
          <w:tab w:val="left" w:pos="360"/>
        </w:tabs>
        <w:rPr>
          <w:rFonts w:ascii="Arial" w:hAnsi="Arial" w:cs="Arial"/>
          <w:b w:val="0"/>
          <w:sz w:val="26"/>
          <w:szCs w:val="26"/>
        </w:rPr>
      </w:pPr>
    </w:p>
    <w:p w:rsidR="00124D6F" w:rsidRDefault="00611E6C" w:rsidP="00611E6C">
      <w:pPr>
        <w:pStyle w:val="EndnoteText"/>
        <w:tabs>
          <w:tab w:val="left" w:pos="0"/>
        </w:tabs>
        <w:suppressAutoHyphens/>
        <w:rPr>
          <w:rFonts w:ascii="Arial" w:hAnsi="Arial" w:cs="Arial"/>
        </w:rPr>
      </w:pPr>
      <w:r>
        <w:rPr>
          <w:rFonts w:ascii="Arial" w:hAnsi="Arial" w:cs="Arial"/>
          <w:szCs w:val="24"/>
        </w:rPr>
        <w:tab/>
      </w:r>
      <w:r w:rsidR="00124D6F">
        <w:rPr>
          <w:rFonts w:ascii="Arial" w:hAnsi="Arial" w:cs="Arial"/>
        </w:rPr>
        <w:t xml:space="preserve"> </w:t>
      </w:r>
    </w:p>
    <w:p w:rsidR="00124D6F" w:rsidRDefault="00124D6F" w:rsidP="00124D6F"/>
    <w:p w:rsidR="00611E6C" w:rsidRDefault="00611E6C" w:rsidP="00124D6F"/>
    <w:p w:rsidR="00611E6C" w:rsidRDefault="00611E6C" w:rsidP="00124D6F"/>
    <w:p w:rsidR="00611E6C" w:rsidRDefault="00611E6C" w:rsidP="00124D6F"/>
    <w:p w:rsidR="002F639C" w:rsidRPr="00FB1394" w:rsidRDefault="00FA7E9F" w:rsidP="002F639C">
      <w:pPr>
        <w:pStyle w:val="Heading1"/>
        <w:tabs>
          <w:tab w:val="clear" w:pos="4680"/>
          <w:tab w:val="left" w:pos="360"/>
        </w:tabs>
        <w:rPr>
          <w:rFonts w:ascii="Arial" w:hAnsi="Arial" w:cs="Arial"/>
          <w:sz w:val="26"/>
          <w:szCs w:val="26"/>
          <w:u w:val="none"/>
        </w:rPr>
      </w:pPr>
      <w:r>
        <w:rPr>
          <w:rFonts w:ascii="Arial" w:hAnsi="Arial" w:cs="Arial"/>
          <w:sz w:val="26"/>
          <w:szCs w:val="26"/>
          <w:u w:val="none"/>
        </w:rPr>
        <w:br w:type="page"/>
      </w:r>
      <w:r w:rsidR="002F639C" w:rsidRPr="00FB1394">
        <w:rPr>
          <w:rFonts w:ascii="Arial" w:hAnsi="Arial" w:cs="Arial"/>
          <w:sz w:val="26"/>
          <w:szCs w:val="26"/>
          <w:u w:val="none"/>
        </w:rPr>
        <w:lastRenderedPageBreak/>
        <w:t>PPL ELECTRIC UTILITIES CORPORATION</w:t>
      </w:r>
    </w:p>
    <w:p w:rsidR="002F639C" w:rsidRPr="00FB1394" w:rsidRDefault="002F639C" w:rsidP="002F639C">
      <w:pPr>
        <w:pStyle w:val="Heading1"/>
        <w:tabs>
          <w:tab w:val="clear" w:pos="4680"/>
          <w:tab w:val="left" w:pos="360"/>
        </w:tabs>
        <w:jc w:val="left"/>
        <w:rPr>
          <w:rFonts w:ascii="Arial" w:hAnsi="Arial" w:cs="Arial"/>
          <w:sz w:val="26"/>
          <w:szCs w:val="26"/>
          <w:u w:val="none"/>
        </w:rPr>
      </w:pPr>
    </w:p>
    <w:p w:rsidR="002F639C" w:rsidRPr="00FB1394" w:rsidRDefault="00FB1394" w:rsidP="002F639C">
      <w:pPr>
        <w:pStyle w:val="Heading1"/>
        <w:tabs>
          <w:tab w:val="clear" w:pos="4680"/>
          <w:tab w:val="left" w:pos="360"/>
        </w:tabs>
        <w:rPr>
          <w:rFonts w:ascii="Arial" w:hAnsi="Arial" w:cs="Arial"/>
          <w:sz w:val="26"/>
          <w:szCs w:val="26"/>
          <w:u w:val="none"/>
        </w:rPr>
      </w:pPr>
      <w:r>
        <w:rPr>
          <w:rFonts w:ascii="Arial" w:hAnsi="Arial" w:cs="Arial"/>
          <w:sz w:val="26"/>
          <w:szCs w:val="26"/>
          <w:u w:val="none"/>
        </w:rPr>
        <w:t xml:space="preserve">Disposition of Prior Period </w:t>
      </w:r>
      <w:r w:rsidR="00E20498" w:rsidRPr="00FB1394">
        <w:rPr>
          <w:rFonts w:ascii="Arial" w:hAnsi="Arial" w:cs="Arial"/>
          <w:sz w:val="26"/>
          <w:szCs w:val="26"/>
          <w:u w:val="none"/>
        </w:rPr>
        <w:t>Audit Finding</w:t>
      </w:r>
    </w:p>
    <w:p w:rsidR="002F639C" w:rsidRDefault="002F639C" w:rsidP="002F639C">
      <w:pPr>
        <w:rPr>
          <w:rFonts w:ascii="Arial" w:hAnsi="Arial" w:cs="Arial"/>
          <w:szCs w:val="24"/>
        </w:rPr>
      </w:pPr>
    </w:p>
    <w:p w:rsidR="002F639C" w:rsidRPr="00E25FDB" w:rsidRDefault="002F639C" w:rsidP="002F639C">
      <w:pPr>
        <w:rPr>
          <w:rFonts w:ascii="Arial" w:hAnsi="Arial" w:cs="Arial"/>
          <w:szCs w:val="24"/>
        </w:rPr>
      </w:pPr>
    </w:p>
    <w:p w:rsidR="00436076" w:rsidRPr="00556FE9" w:rsidRDefault="00436076" w:rsidP="00436076">
      <w:pPr>
        <w:tabs>
          <w:tab w:val="left" w:pos="1620"/>
          <w:tab w:val="left" w:pos="1800"/>
        </w:tabs>
        <w:outlineLvl w:val="0"/>
        <w:rPr>
          <w:rFonts w:ascii="Arial" w:hAnsi="Arial" w:cs="Arial"/>
          <w:szCs w:val="24"/>
        </w:rPr>
      </w:pPr>
      <w:r w:rsidRPr="00556FE9">
        <w:rPr>
          <w:rFonts w:ascii="Arial" w:hAnsi="Arial" w:cs="Arial"/>
          <w:szCs w:val="24"/>
        </w:rPr>
        <w:t xml:space="preserve">Our audit of </w:t>
      </w:r>
      <w:r w:rsidR="00172359">
        <w:rPr>
          <w:rFonts w:ascii="Arial" w:hAnsi="Arial" w:cs="Arial"/>
          <w:szCs w:val="24"/>
        </w:rPr>
        <w:t>PPL’s</w:t>
      </w:r>
      <w:r>
        <w:rPr>
          <w:rFonts w:ascii="Arial" w:hAnsi="Arial" w:cs="Arial"/>
          <w:szCs w:val="24"/>
        </w:rPr>
        <w:t xml:space="preserve"> GSC</w:t>
      </w:r>
      <w:r w:rsidR="006C6828">
        <w:rPr>
          <w:rFonts w:ascii="Arial" w:hAnsi="Arial" w:cs="Arial"/>
          <w:szCs w:val="24"/>
        </w:rPr>
        <w:t>-</w:t>
      </w:r>
      <w:r w:rsidR="003C007B">
        <w:rPr>
          <w:rFonts w:ascii="Arial" w:hAnsi="Arial" w:cs="Arial"/>
          <w:szCs w:val="24"/>
        </w:rPr>
        <w:t>1</w:t>
      </w:r>
      <w:r>
        <w:rPr>
          <w:rFonts w:ascii="Arial" w:hAnsi="Arial" w:cs="Arial"/>
          <w:szCs w:val="24"/>
        </w:rPr>
        <w:t xml:space="preserve"> for the </w:t>
      </w:r>
      <w:r w:rsidR="003C007B">
        <w:rPr>
          <w:rFonts w:ascii="Arial" w:hAnsi="Arial" w:cs="Arial"/>
          <w:szCs w:val="24"/>
        </w:rPr>
        <w:t>twelve</w:t>
      </w:r>
      <w:r>
        <w:rPr>
          <w:rFonts w:ascii="Arial" w:hAnsi="Arial" w:cs="Arial"/>
          <w:szCs w:val="24"/>
        </w:rPr>
        <w:t xml:space="preserve"> months</w:t>
      </w:r>
      <w:r w:rsidRPr="00556FE9">
        <w:rPr>
          <w:rFonts w:ascii="Arial" w:hAnsi="Arial" w:cs="Arial"/>
          <w:szCs w:val="24"/>
        </w:rPr>
        <w:t xml:space="preserve"> ended </w:t>
      </w:r>
      <w:r w:rsidR="003C007B">
        <w:rPr>
          <w:rFonts w:ascii="Arial" w:hAnsi="Arial" w:cs="Arial"/>
          <w:szCs w:val="24"/>
        </w:rPr>
        <w:t>April</w:t>
      </w:r>
      <w:r>
        <w:rPr>
          <w:rFonts w:ascii="Arial" w:hAnsi="Arial" w:cs="Arial"/>
          <w:szCs w:val="24"/>
        </w:rPr>
        <w:t xml:space="preserve"> 3</w:t>
      </w:r>
      <w:r w:rsidR="003C007B">
        <w:rPr>
          <w:rFonts w:ascii="Arial" w:hAnsi="Arial" w:cs="Arial"/>
          <w:szCs w:val="24"/>
        </w:rPr>
        <w:t>0</w:t>
      </w:r>
      <w:r>
        <w:rPr>
          <w:rFonts w:ascii="Arial" w:hAnsi="Arial" w:cs="Arial"/>
          <w:szCs w:val="24"/>
        </w:rPr>
        <w:t>, 201</w:t>
      </w:r>
      <w:r w:rsidR="003C007B">
        <w:rPr>
          <w:rFonts w:ascii="Arial" w:hAnsi="Arial" w:cs="Arial"/>
          <w:szCs w:val="24"/>
        </w:rPr>
        <w:t xml:space="preserve">2 </w:t>
      </w:r>
      <w:r w:rsidRPr="00473211">
        <w:rPr>
          <w:rFonts w:ascii="Arial" w:hAnsi="Arial" w:cs="Arial"/>
          <w:szCs w:val="24"/>
        </w:rPr>
        <w:t>disclosed the following fin</w:t>
      </w:r>
      <w:r w:rsidRPr="00556FE9">
        <w:rPr>
          <w:rFonts w:ascii="Arial" w:hAnsi="Arial" w:cs="Arial"/>
          <w:szCs w:val="24"/>
        </w:rPr>
        <w:t>ding:</w:t>
      </w:r>
    </w:p>
    <w:p w:rsidR="00436076" w:rsidRDefault="00436076" w:rsidP="002F639C">
      <w:pPr>
        <w:pStyle w:val="Heading1"/>
        <w:tabs>
          <w:tab w:val="clear" w:pos="4680"/>
          <w:tab w:val="left" w:pos="-2880"/>
          <w:tab w:val="left" w:pos="1080"/>
        </w:tabs>
        <w:jc w:val="left"/>
        <w:rPr>
          <w:rFonts w:ascii="Arial" w:hAnsi="Arial" w:cs="Arial"/>
          <w:szCs w:val="24"/>
        </w:rPr>
      </w:pPr>
    </w:p>
    <w:p w:rsidR="003C007B" w:rsidRPr="000B4D4A" w:rsidRDefault="003C007B" w:rsidP="003C007B">
      <w:pPr>
        <w:pStyle w:val="Heading1"/>
        <w:tabs>
          <w:tab w:val="clear" w:pos="4680"/>
          <w:tab w:val="left" w:pos="-2880"/>
          <w:tab w:val="left" w:pos="1080"/>
        </w:tabs>
        <w:ind w:left="1170" w:hanging="1170"/>
        <w:jc w:val="left"/>
        <w:rPr>
          <w:rFonts w:ascii="Arial" w:hAnsi="Arial" w:cs="Arial"/>
          <w:szCs w:val="24"/>
          <w:u w:val="none"/>
        </w:rPr>
      </w:pPr>
      <w:r w:rsidRPr="000B4D4A">
        <w:rPr>
          <w:rFonts w:ascii="Arial" w:hAnsi="Arial" w:cs="Arial"/>
          <w:szCs w:val="24"/>
          <w:u w:val="none"/>
        </w:rPr>
        <w:t>Finding – PPL Electric Utilities Corporation Adjusted The Time Of Use Rate Components While The Billing Rates Were Frozen</w:t>
      </w:r>
      <w:r w:rsidR="00BF2682">
        <w:rPr>
          <w:rFonts w:ascii="Arial" w:hAnsi="Arial" w:cs="Arial"/>
          <w:szCs w:val="24"/>
          <w:u w:val="none"/>
        </w:rPr>
        <w:t>.</w:t>
      </w:r>
    </w:p>
    <w:p w:rsidR="002F639C" w:rsidRPr="00E25FDB" w:rsidRDefault="002F639C" w:rsidP="002F639C">
      <w:pPr>
        <w:pStyle w:val="Heading1"/>
        <w:tabs>
          <w:tab w:val="clear" w:pos="4680"/>
          <w:tab w:val="left" w:pos="-2880"/>
        </w:tabs>
        <w:jc w:val="left"/>
        <w:rPr>
          <w:rFonts w:ascii="Arial" w:hAnsi="Arial" w:cs="Arial"/>
          <w:szCs w:val="24"/>
        </w:rPr>
      </w:pPr>
    </w:p>
    <w:p w:rsidR="00E20498" w:rsidRPr="000B4D4A" w:rsidRDefault="00E20498" w:rsidP="00E20498">
      <w:pPr>
        <w:tabs>
          <w:tab w:val="left" w:pos="-2880"/>
        </w:tabs>
        <w:rPr>
          <w:rFonts w:ascii="Arial" w:hAnsi="Arial" w:cs="Arial"/>
          <w:b/>
          <w:szCs w:val="24"/>
        </w:rPr>
      </w:pPr>
      <w:r w:rsidRPr="000B4D4A">
        <w:rPr>
          <w:rFonts w:ascii="Arial" w:hAnsi="Arial" w:cs="Arial"/>
          <w:b/>
          <w:szCs w:val="24"/>
        </w:rPr>
        <w:t>Recommendation</w:t>
      </w:r>
    </w:p>
    <w:p w:rsidR="00E20498" w:rsidRPr="00E25FDB" w:rsidRDefault="00E20498" w:rsidP="00E20498">
      <w:pPr>
        <w:tabs>
          <w:tab w:val="left" w:pos="-2880"/>
        </w:tabs>
        <w:rPr>
          <w:rFonts w:ascii="Arial" w:hAnsi="Arial" w:cs="Arial"/>
          <w:b/>
          <w:szCs w:val="24"/>
          <w:u w:val="single"/>
        </w:rPr>
      </w:pPr>
    </w:p>
    <w:p w:rsidR="003C007B" w:rsidRPr="003C007B" w:rsidRDefault="00E20498" w:rsidP="003C007B">
      <w:pPr>
        <w:tabs>
          <w:tab w:val="left" w:pos="-2880"/>
        </w:tabs>
        <w:rPr>
          <w:rFonts w:ascii="Arial" w:hAnsi="Arial" w:cs="Arial"/>
          <w:szCs w:val="24"/>
        </w:rPr>
      </w:pPr>
      <w:r>
        <w:rPr>
          <w:rFonts w:ascii="Arial" w:hAnsi="Arial" w:cs="Arial"/>
          <w:szCs w:val="24"/>
        </w:rPr>
        <w:tab/>
      </w:r>
      <w:r w:rsidR="003C007B" w:rsidRPr="003C007B">
        <w:rPr>
          <w:rFonts w:ascii="Arial" w:hAnsi="Arial" w:cs="Arial"/>
          <w:szCs w:val="24"/>
        </w:rPr>
        <w:t xml:space="preserve">We recommend that when the </w:t>
      </w:r>
      <w:r w:rsidR="0013085C">
        <w:rPr>
          <w:rFonts w:ascii="Arial" w:hAnsi="Arial" w:cs="Arial"/>
          <w:szCs w:val="24"/>
        </w:rPr>
        <w:t>Time of Use (</w:t>
      </w:r>
      <w:r w:rsidR="003C007B" w:rsidRPr="003C007B">
        <w:rPr>
          <w:rFonts w:ascii="Arial" w:hAnsi="Arial" w:cs="Arial"/>
          <w:szCs w:val="24"/>
        </w:rPr>
        <w:t>TOU</w:t>
      </w:r>
      <w:r w:rsidR="0013085C">
        <w:rPr>
          <w:rFonts w:ascii="Arial" w:hAnsi="Arial" w:cs="Arial"/>
          <w:szCs w:val="24"/>
        </w:rPr>
        <w:t>)</w:t>
      </w:r>
      <w:r w:rsidR="003C007B" w:rsidRPr="003C007B">
        <w:rPr>
          <w:rFonts w:ascii="Arial" w:hAnsi="Arial" w:cs="Arial"/>
          <w:szCs w:val="24"/>
        </w:rPr>
        <w:t xml:space="preserve"> rates are unfrozen by the Commission, the Company should refund the following interest amounts through a subsequent TOU rate filing to the following rate classes:  $57,038 to RS Off Peak, $5,426 to RS On Peak, $6,505 to RTS Off Peak, $2,937 to RTS On Peak, and $1,485 to SC&amp;I On Peak.  In addition, PPL should recoup $1,913 in interest from the SC&amp;I </w:t>
      </w:r>
      <w:proofErr w:type="gramStart"/>
      <w:r w:rsidR="003C007B" w:rsidRPr="003C007B">
        <w:rPr>
          <w:rFonts w:ascii="Arial" w:hAnsi="Arial" w:cs="Arial"/>
          <w:szCs w:val="24"/>
        </w:rPr>
        <w:t>Off</w:t>
      </w:r>
      <w:proofErr w:type="gramEnd"/>
      <w:r w:rsidR="003C007B" w:rsidRPr="003C007B">
        <w:rPr>
          <w:rFonts w:ascii="Arial" w:hAnsi="Arial" w:cs="Arial"/>
          <w:szCs w:val="24"/>
        </w:rPr>
        <w:t xml:space="preserve"> Peak rate class.  We also recommend that the Company establish controls to ensure that in the future the E</w:t>
      </w:r>
      <w:r w:rsidR="003C007B" w:rsidRPr="003C007B">
        <w:rPr>
          <w:rFonts w:ascii="Arial" w:hAnsi="Arial" w:cs="Arial"/>
          <w:szCs w:val="24"/>
        </w:rPr>
        <w:noBreakHyphen/>
        <w:t xml:space="preserve">Factor and C-Factor components of the approved tariff rates are not adjusted once the rate is in effect. </w:t>
      </w:r>
    </w:p>
    <w:p w:rsidR="002F639C" w:rsidRPr="00E25FDB" w:rsidRDefault="002F639C" w:rsidP="00E20498">
      <w:pPr>
        <w:pStyle w:val="Heading1"/>
        <w:tabs>
          <w:tab w:val="clear" w:pos="4680"/>
          <w:tab w:val="left" w:pos="-2880"/>
        </w:tabs>
        <w:jc w:val="left"/>
        <w:rPr>
          <w:rFonts w:ascii="Arial" w:hAnsi="Arial" w:cs="Arial"/>
          <w:szCs w:val="24"/>
        </w:rPr>
      </w:pPr>
    </w:p>
    <w:p w:rsidR="002F639C" w:rsidRPr="000B4D4A" w:rsidRDefault="002F639C" w:rsidP="002F639C">
      <w:pPr>
        <w:pStyle w:val="Heading1"/>
        <w:tabs>
          <w:tab w:val="left" w:pos="-3060"/>
        </w:tabs>
        <w:jc w:val="left"/>
        <w:rPr>
          <w:rFonts w:ascii="Arial" w:hAnsi="Arial" w:cs="Arial"/>
          <w:szCs w:val="24"/>
          <w:u w:val="none"/>
        </w:rPr>
      </w:pPr>
      <w:r w:rsidRPr="000B4D4A">
        <w:rPr>
          <w:rFonts w:ascii="Arial" w:hAnsi="Arial" w:cs="Arial"/>
          <w:szCs w:val="24"/>
          <w:u w:val="none"/>
        </w:rPr>
        <w:t>Disposition</w:t>
      </w:r>
    </w:p>
    <w:p w:rsidR="002F639C" w:rsidRPr="000A7085" w:rsidRDefault="002F639C" w:rsidP="002F639C">
      <w:pPr>
        <w:pStyle w:val="Heading1"/>
        <w:tabs>
          <w:tab w:val="left" w:pos="-3060"/>
        </w:tabs>
        <w:jc w:val="left"/>
        <w:rPr>
          <w:rFonts w:ascii="Arial" w:hAnsi="Arial" w:cs="Arial"/>
          <w:b w:val="0"/>
          <w:szCs w:val="24"/>
          <w:u w:val="none"/>
        </w:rPr>
      </w:pPr>
    </w:p>
    <w:p w:rsidR="000A7085" w:rsidRPr="00090D8D" w:rsidRDefault="000A7085" w:rsidP="000A7085">
      <w:pPr>
        <w:tabs>
          <w:tab w:val="left" w:pos="-1440"/>
          <w:tab w:val="left" w:pos="-720"/>
          <w:tab w:val="left" w:pos="864"/>
          <w:tab w:val="decimal" w:pos="6192"/>
          <w:tab w:val="decimal" w:pos="7344"/>
        </w:tabs>
        <w:suppressAutoHyphens/>
      </w:pPr>
      <w:r w:rsidRPr="000A7085">
        <w:rPr>
          <w:rFonts w:ascii="Arial" w:hAnsi="Arial" w:cs="Arial"/>
        </w:rPr>
        <w:tab/>
        <w:t xml:space="preserve">The company has agreed to make the recommended refunds and recoupments once the </w:t>
      </w:r>
      <w:r w:rsidR="00BF2682">
        <w:rPr>
          <w:rFonts w:ascii="Arial" w:hAnsi="Arial" w:cs="Arial"/>
        </w:rPr>
        <w:t>C</w:t>
      </w:r>
      <w:r w:rsidRPr="000A7085">
        <w:rPr>
          <w:rFonts w:ascii="Arial" w:hAnsi="Arial" w:cs="Arial"/>
        </w:rPr>
        <w:t xml:space="preserve">ompany’s TOU Rates are unfrozen. </w:t>
      </w:r>
      <w:r w:rsidR="00BF2682">
        <w:rPr>
          <w:rFonts w:ascii="Arial" w:hAnsi="Arial" w:cs="Arial"/>
        </w:rPr>
        <w:t xml:space="preserve"> </w:t>
      </w:r>
      <w:r w:rsidRPr="000A7085">
        <w:rPr>
          <w:rFonts w:ascii="Arial" w:hAnsi="Arial" w:cs="Arial"/>
        </w:rPr>
        <w:t xml:space="preserve">The Company filed a petition for the approval of a Pilot </w:t>
      </w:r>
      <w:r w:rsidR="0013085C">
        <w:rPr>
          <w:rFonts w:ascii="Arial" w:hAnsi="Arial" w:cs="Arial"/>
        </w:rPr>
        <w:t>TOU</w:t>
      </w:r>
      <w:r w:rsidRPr="000A7085">
        <w:rPr>
          <w:rFonts w:ascii="Arial" w:hAnsi="Arial" w:cs="Arial"/>
        </w:rPr>
        <w:t xml:space="preserve"> </w:t>
      </w:r>
      <w:r w:rsidR="00BF2682">
        <w:rPr>
          <w:rFonts w:ascii="Arial" w:hAnsi="Arial" w:cs="Arial"/>
        </w:rPr>
        <w:t>Program</w:t>
      </w:r>
      <w:r w:rsidRPr="000A7085">
        <w:rPr>
          <w:rFonts w:ascii="Arial" w:hAnsi="Arial" w:cs="Arial"/>
        </w:rPr>
        <w:t xml:space="preserve"> </w:t>
      </w:r>
      <w:r w:rsidR="00BD6B30">
        <w:rPr>
          <w:rFonts w:ascii="Arial" w:hAnsi="Arial" w:cs="Arial"/>
        </w:rPr>
        <w:t xml:space="preserve">along with </w:t>
      </w:r>
      <w:r w:rsidRPr="000A7085">
        <w:rPr>
          <w:rFonts w:ascii="Arial" w:hAnsi="Arial" w:cs="Arial"/>
        </w:rPr>
        <w:t xml:space="preserve">their Default Service Plan </w:t>
      </w:r>
      <w:r w:rsidR="00355DA3">
        <w:rPr>
          <w:rFonts w:ascii="Arial" w:hAnsi="Arial" w:cs="Arial"/>
        </w:rPr>
        <w:t xml:space="preserve">at Docket No. </w:t>
      </w:r>
      <w:proofErr w:type="gramStart"/>
      <w:r w:rsidRPr="000A7085">
        <w:rPr>
          <w:rFonts w:ascii="Arial" w:hAnsi="Arial" w:cs="Arial"/>
        </w:rPr>
        <w:t>P</w:t>
      </w:r>
      <w:r w:rsidR="00BD6B30">
        <w:rPr>
          <w:rFonts w:ascii="Arial" w:hAnsi="Arial" w:cs="Arial"/>
        </w:rPr>
        <w:noBreakHyphen/>
      </w:r>
      <w:r w:rsidRPr="000A7085">
        <w:rPr>
          <w:rFonts w:ascii="Arial" w:hAnsi="Arial" w:cs="Arial"/>
        </w:rPr>
        <w:t>2013-2389572</w:t>
      </w:r>
      <w:r w:rsidR="00BD6B30">
        <w:rPr>
          <w:rFonts w:ascii="Arial" w:hAnsi="Arial" w:cs="Arial"/>
        </w:rPr>
        <w:t>.</w:t>
      </w:r>
      <w:proofErr w:type="gramEnd"/>
      <w:r w:rsidR="00BD6B30">
        <w:rPr>
          <w:rFonts w:ascii="Arial" w:hAnsi="Arial" w:cs="Arial"/>
        </w:rPr>
        <w:t xml:space="preserve">  By Or</w:t>
      </w:r>
      <w:r w:rsidR="00355DA3">
        <w:rPr>
          <w:rFonts w:ascii="Arial" w:hAnsi="Arial" w:cs="Arial"/>
        </w:rPr>
        <w:t xml:space="preserve">der entered September 11, 2014, the Commission approved the Pilot TOU </w:t>
      </w:r>
      <w:r w:rsidR="00BD6B30">
        <w:rPr>
          <w:rFonts w:ascii="Arial" w:hAnsi="Arial" w:cs="Arial"/>
        </w:rPr>
        <w:t>P</w:t>
      </w:r>
      <w:r w:rsidR="00355DA3">
        <w:rPr>
          <w:rFonts w:ascii="Arial" w:hAnsi="Arial" w:cs="Arial"/>
        </w:rPr>
        <w:t>rogram</w:t>
      </w:r>
      <w:r w:rsidRPr="000A7085">
        <w:rPr>
          <w:rFonts w:ascii="Arial" w:hAnsi="Arial" w:cs="Arial"/>
        </w:rPr>
        <w:t xml:space="preserve">. </w:t>
      </w:r>
      <w:r w:rsidR="00BD6B30">
        <w:rPr>
          <w:rFonts w:ascii="Arial" w:hAnsi="Arial" w:cs="Arial"/>
        </w:rPr>
        <w:t xml:space="preserve"> </w:t>
      </w:r>
    </w:p>
    <w:p w:rsidR="002F639C" w:rsidRPr="002F639C" w:rsidRDefault="00246BE1" w:rsidP="002F639C">
      <w:pPr>
        <w:ind w:firstLine="720"/>
        <w:rPr>
          <w:rFonts w:ascii="Arial" w:hAnsi="Arial" w:cs="Arial"/>
        </w:rPr>
      </w:pPr>
      <w:r w:rsidRPr="002F639C">
        <w:rPr>
          <w:rFonts w:ascii="Arial" w:hAnsi="Arial" w:cs="Arial"/>
        </w:rPr>
        <w:t xml:space="preserve">  </w:t>
      </w:r>
    </w:p>
    <w:p w:rsidR="002F639C" w:rsidRDefault="002F639C" w:rsidP="002F639C">
      <w:pPr>
        <w:ind w:left="1440" w:hanging="1620"/>
        <w:rPr>
          <w:rFonts w:ascii="Arial" w:hAnsi="Arial" w:cs="Arial"/>
          <w:b/>
          <w:szCs w:val="24"/>
        </w:rPr>
      </w:pPr>
    </w:p>
    <w:p w:rsidR="000E6288" w:rsidRPr="00FB1394" w:rsidRDefault="00FA7E9F" w:rsidP="000E6288">
      <w:pPr>
        <w:pStyle w:val="Heading1"/>
        <w:tabs>
          <w:tab w:val="clear" w:pos="4680"/>
          <w:tab w:val="left" w:pos="360"/>
        </w:tabs>
        <w:rPr>
          <w:rFonts w:ascii="Arial" w:hAnsi="Arial" w:cs="Arial"/>
          <w:sz w:val="26"/>
          <w:szCs w:val="26"/>
          <w:u w:val="none"/>
        </w:rPr>
      </w:pPr>
      <w:r>
        <w:rPr>
          <w:rFonts w:ascii="Arial" w:hAnsi="Arial" w:cs="Arial"/>
          <w:sz w:val="26"/>
          <w:szCs w:val="26"/>
          <w:u w:val="none"/>
        </w:rPr>
        <w:br w:type="page"/>
      </w:r>
      <w:r w:rsidR="000E6288" w:rsidRPr="00FB1394">
        <w:rPr>
          <w:rFonts w:ascii="Arial" w:hAnsi="Arial" w:cs="Arial"/>
          <w:sz w:val="26"/>
          <w:szCs w:val="26"/>
          <w:u w:val="none"/>
        </w:rPr>
        <w:lastRenderedPageBreak/>
        <w:t>PPL ELECTRIC UTILITIES CORPORATION</w:t>
      </w:r>
    </w:p>
    <w:p w:rsidR="000E6288" w:rsidRPr="00FB1394" w:rsidRDefault="000E6288" w:rsidP="000E6288">
      <w:pPr>
        <w:pStyle w:val="Heading1"/>
        <w:tabs>
          <w:tab w:val="clear" w:pos="4680"/>
          <w:tab w:val="left" w:pos="360"/>
        </w:tabs>
        <w:jc w:val="left"/>
        <w:rPr>
          <w:rFonts w:ascii="Arial" w:hAnsi="Arial" w:cs="Arial"/>
          <w:sz w:val="26"/>
          <w:szCs w:val="26"/>
          <w:u w:val="none"/>
        </w:rPr>
      </w:pPr>
    </w:p>
    <w:p w:rsidR="000E6288" w:rsidRPr="00FB1394" w:rsidRDefault="000E6288" w:rsidP="000E6288">
      <w:pPr>
        <w:pStyle w:val="Heading1"/>
        <w:tabs>
          <w:tab w:val="clear" w:pos="4680"/>
          <w:tab w:val="left" w:pos="360"/>
        </w:tabs>
        <w:rPr>
          <w:rFonts w:ascii="Arial" w:hAnsi="Arial" w:cs="Arial"/>
          <w:sz w:val="26"/>
          <w:szCs w:val="26"/>
          <w:u w:val="none"/>
        </w:rPr>
      </w:pPr>
      <w:r w:rsidRPr="00FB1394">
        <w:rPr>
          <w:rFonts w:ascii="Arial" w:hAnsi="Arial" w:cs="Arial"/>
          <w:sz w:val="26"/>
          <w:szCs w:val="26"/>
          <w:u w:val="none"/>
        </w:rPr>
        <w:t xml:space="preserve">Current </w:t>
      </w:r>
      <w:r w:rsidR="008D5D42">
        <w:rPr>
          <w:rFonts w:ascii="Arial" w:hAnsi="Arial" w:cs="Arial"/>
          <w:sz w:val="26"/>
          <w:szCs w:val="26"/>
          <w:u w:val="none"/>
        </w:rPr>
        <w:t>Period</w:t>
      </w:r>
      <w:r w:rsidRPr="00FB1394">
        <w:rPr>
          <w:rFonts w:ascii="Arial" w:hAnsi="Arial" w:cs="Arial"/>
          <w:sz w:val="26"/>
          <w:szCs w:val="26"/>
          <w:u w:val="none"/>
        </w:rPr>
        <w:t xml:space="preserve"> Audit Finding</w:t>
      </w:r>
    </w:p>
    <w:p w:rsidR="000E6288" w:rsidRDefault="000E6288" w:rsidP="000E6288">
      <w:pPr>
        <w:rPr>
          <w:rFonts w:ascii="Arial" w:hAnsi="Arial" w:cs="Arial"/>
          <w:szCs w:val="24"/>
        </w:rPr>
      </w:pPr>
    </w:p>
    <w:p w:rsidR="000E6288" w:rsidRPr="00E25FDB" w:rsidRDefault="000E6288" w:rsidP="000E6288">
      <w:pPr>
        <w:rPr>
          <w:rFonts w:ascii="Arial" w:hAnsi="Arial" w:cs="Arial"/>
          <w:szCs w:val="24"/>
        </w:rPr>
      </w:pPr>
    </w:p>
    <w:p w:rsidR="000E6288" w:rsidRPr="000B4D4A" w:rsidRDefault="000E6288" w:rsidP="00DE40FA">
      <w:pPr>
        <w:pStyle w:val="Heading1"/>
        <w:tabs>
          <w:tab w:val="clear" w:pos="4680"/>
          <w:tab w:val="left" w:pos="-2880"/>
          <w:tab w:val="left" w:pos="1080"/>
        </w:tabs>
        <w:ind w:left="1170" w:hanging="1170"/>
        <w:jc w:val="left"/>
        <w:rPr>
          <w:rFonts w:ascii="Arial" w:hAnsi="Arial" w:cs="Arial"/>
          <w:szCs w:val="24"/>
          <w:u w:val="none"/>
        </w:rPr>
      </w:pPr>
      <w:r w:rsidRPr="000B4D4A">
        <w:rPr>
          <w:rFonts w:ascii="Arial" w:hAnsi="Arial" w:cs="Arial"/>
          <w:szCs w:val="24"/>
          <w:u w:val="none"/>
        </w:rPr>
        <w:t xml:space="preserve">Finding – </w:t>
      </w:r>
      <w:r w:rsidR="00F6288D" w:rsidRPr="000B4D4A">
        <w:rPr>
          <w:rFonts w:ascii="Arial" w:hAnsi="Arial" w:cs="Arial"/>
          <w:szCs w:val="24"/>
          <w:u w:val="none"/>
        </w:rPr>
        <w:t xml:space="preserve">PPL Electric Utilities </w:t>
      </w:r>
      <w:r w:rsidR="00D026A2" w:rsidRPr="000B4D4A">
        <w:rPr>
          <w:rFonts w:ascii="Arial" w:hAnsi="Arial" w:cs="Arial"/>
          <w:szCs w:val="24"/>
          <w:u w:val="none"/>
        </w:rPr>
        <w:t>Corporation</w:t>
      </w:r>
      <w:r w:rsidR="003C4A3A" w:rsidRPr="000B4D4A">
        <w:rPr>
          <w:rFonts w:ascii="Arial" w:hAnsi="Arial" w:cs="Arial"/>
          <w:szCs w:val="24"/>
          <w:u w:val="none"/>
        </w:rPr>
        <w:t xml:space="preserve"> </w:t>
      </w:r>
      <w:r w:rsidR="00BE2109" w:rsidRPr="000B4D4A">
        <w:rPr>
          <w:rFonts w:ascii="Arial" w:hAnsi="Arial" w:cs="Arial"/>
          <w:szCs w:val="24"/>
          <w:u w:val="none"/>
        </w:rPr>
        <w:t xml:space="preserve">Adjusted The </w:t>
      </w:r>
      <w:r w:rsidR="00DE40FA" w:rsidRPr="000B4D4A">
        <w:rPr>
          <w:rFonts w:ascii="Arial" w:hAnsi="Arial" w:cs="Arial"/>
          <w:szCs w:val="24"/>
          <w:u w:val="none"/>
        </w:rPr>
        <w:t xml:space="preserve">Time Of Use </w:t>
      </w:r>
      <w:r w:rsidR="00BE2109" w:rsidRPr="000B4D4A">
        <w:rPr>
          <w:rFonts w:ascii="Arial" w:hAnsi="Arial" w:cs="Arial"/>
          <w:szCs w:val="24"/>
          <w:u w:val="none"/>
        </w:rPr>
        <w:t>Rate Components While The Billing Rates Were Frozen</w:t>
      </w:r>
      <w:r w:rsidR="00226FE0">
        <w:rPr>
          <w:rFonts w:ascii="Arial" w:hAnsi="Arial" w:cs="Arial"/>
          <w:szCs w:val="24"/>
          <w:u w:val="none"/>
        </w:rPr>
        <w:t>.</w:t>
      </w:r>
    </w:p>
    <w:p w:rsidR="00880C94" w:rsidRPr="00880C94" w:rsidRDefault="00880C94" w:rsidP="00880C94"/>
    <w:p w:rsidR="0049420E" w:rsidRDefault="000E6288" w:rsidP="004305E4">
      <w:pPr>
        <w:rPr>
          <w:rFonts w:ascii="Arial" w:hAnsi="Arial" w:cs="Arial"/>
        </w:rPr>
      </w:pPr>
      <w:r>
        <w:rPr>
          <w:rFonts w:ascii="Arial" w:hAnsi="Arial" w:cs="Arial"/>
          <w:b/>
          <w:szCs w:val="24"/>
        </w:rPr>
        <w:tab/>
      </w:r>
      <w:r w:rsidR="00C60157">
        <w:rPr>
          <w:rFonts w:ascii="Arial" w:hAnsi="Arial" w:cs="Arial"/>
          <w:szCs w:val="24"/>
        </w:rPr>
        <w:t xml:space="preserve">On August 22, 2011 PPL filed proposed TOU rates </w:t>
      </w:r>
      <w:r w:rsidR="00D33773">
        <w:rPr>
          <w:rFonts w:ascii="Arial" w:hAnsi="Arial" w:cs="Arial"/>
          <w:szCs w:val="24"/>
        </w:rPr>
        <w:t xml:space="preserve">to go into effect September 1, 2011 </w:t>
      </w:r>
      <w:r w:rsidR="00C60157">
        <w:rPr>
          <w:rFonts w:ascii="Arial" w:hAnsi="Arial" w:cs="Arial"/>
          <w:szCs w:val="24"/>
        </w:rPr>
        <w:t xml:space="preserve">that were approximately four times </w:t>
      </w:r>
      <w:r w:rsidR="00D33773">
        <w:rPr>
          <w:rFonts w:ascii="Arial" w:hAnsi="Arial" w:cs="Arial"/>
          <w:szCs w:val="24"/>
        </w:rPr>
        <w:t xml:space="preserve">higher than </w:t>
      </w:r>
      <w:r w:rsidR="00C60157">
        <w:rPr>
          <w:rFonts w:ascii="Arial" w:hAnsi="Arial" w:cs="Arial"/>
          <w:szCs w:val="24"/>
        </w:rPr>
        <w:t xml:space="preserve">the </w:t>
      </w:r>
      <w:r w:rsidR="00BE6B92">
        <w:rPr>
          <w:rFonts w:ascii="Arial" w:hAnsi="Arial" w:cs="Arial"/>
          <w:szCs w:val="24"/>
        </w:rPr>
        <w:t xml:space="preserve">proposed </w:t>
      </w:r>
      <w:r w:rsidR="00A73377">
        <w:rPr>
          <w:rFonts w:ascii="Arial" w:hAnsi="Arial" w:cs="Arial"/>
          <w:szCs w:val="24"/>
        </w:rPr>
        <w:t xml:space="preserve">fixed price default service </w:t>
      </w:r>
      <w:r w:rsidR="00C60157">
        <w:rPr>
          <w:rFonts w:ascii="Arial" w:hAnsi="Arial" w:cs="Arial"/>
          <w:szCs w:val="24"/>
        </w:rPr>
        <w:t>rates</w:t>
      </w:r>
      <w:r w:rsidR="00BE6B92">
        <w:rPr>
          <w:rFonts w:ascii="Arial" w:hAnsi="Arial" w:cs="Arial"/>
          <w:szCs w:val="24"/>
        </w:rPr>
        <w:t xml:space="preserve"> and approximate</w:t>
      </w:r>
      <w:r w:rsidR="001B51DD">
        <w:rPr>
          <w:rFonts w:ascii="Arial" w:hAnsi="Arial" w:cs="Arial"/>
          <w:szCs w:val="24"/>
        </w:rPr>
        <w:t>ly three times higher than the existing</w:t>
      </w:r>
      <w:r w:rsidR="00BE6B92">
        <w:rPr>
          <w:rFonts w:ascii="Arial" w:hAnsi="Arial" w:cs="Arial"/>
          <w:szCs w:val="24"/>
        </w:rPr>
        <w:t xml:space="preserve"> TOU rates that </w:t>
      </w:r>
      <w:r w:rsidR="00503B51">
        <w:rPr>
          <w:rFonts w:ascii="Arial" w:hAnsi="Arial" w:cs="Arial"/>
          <w:szCs w:val="24"/>
        </w:rPr>
        <w:t>became</w:t>
      </w:r>
      <w:r w:rsidR="00BE6B92">
        <w:rPr>
          <w:rFonts w:ascii="Arial" w:hAnsi="Arial" w:cs="Arial"/>
          <w:szCs w:val="24"/>
        </w:rPr>
        <w:t xml:space="preserve"> </w:t>
      </w:r>
      <w:r w:rsidR="00BE6B92" w:rsidRPr="00584E62">
        <w:rPr>
          <w:rFonts w:ascii="Arial" w:hAnsi="Arial" w:cs="Arial"/>
        </w:rPr>
        <w:t>effect</w:t>
      </w:r>
      <w:r w:rsidR="00503B51">
        <w:rPr>
          <w:rFonts w:ascii="Arial" w:hAnsi="Arial" w:cs="Arial"/>
        </w:rPr>
        <w:t>ive</w:t>
      </w:r>
      <w:r w:rsidR="00BE6B92" w:rsidRPr="00584E62">
        <w:rPr>
          <w:rFonts w:ascii="Arial" w:hAnsi="Arial" w:cs="Arial"/>
        </w:rPr>
        <w:t xml:space="preserve"> June 1, 2011</w:t>
      </w:r>
      <w:r w:rsidR="00D33773" w:rsidRPr="00584E62">
        <w:rPr>
          <w:rFonts w:ascii="Arial" w:hAnsi="Arial" w:cs="Arial"/>
        </w:rPr>
        <w:t xml:space="preserve">.  The proposed rate increases were a result </w:t>
      </w:r>
      <w:r w:rsidR="00584E62" w:rsidRPr="00584E62">
        <w:rPr>
          <w:rFonts w:ascii="Arial" w:hAnsi="Arial" w:cs="Arial"/>
        </w:rPr>
        <w:t>of PPL reali</w:t>
      </w:r>
      <w:r w:rsidR="00102AAC">
        <w:rPr>
          <w:rFonts w:ascii="Arial" w:hAnsi="Arial" w:cs="Arial"/>
        </w:rPr>
        <w:t>zi</w:t>
      </w:r>
      <w:r w:rsidR="00584E62" w:rsidRPr="00584E62">
        <w:rPr>
          <w:rFonts w:ascii="Arial" w:hAnsi="Arial" w:cs="Arial"/>
        </w:rPr>
        <w:t>ng a substantial under</w:t>
      </w:r>
      <w:r w:rsidR="00102AAC">
        <w:rPr>
          <w:rFonts w:ascii="Arial" w:hAnsi="Arial" w:cs="Arial"/>
        </w:rPr>
        <w:t xml:space="preserve"> </w:t>
      </w:r>
      <w:r w:rsidR="00584E62" w:rsidRPr="00584E62">
        <w:rPr>
          <w:rFonts w:ascii="Arial" w:hAnsi="Arial" w:cs="Arial"/>
        </w:rPr>
        <w:t xml:space="preserve">collection for its </w:t>
      </w:r>
      <w:r w:rsidR="001B51DD">
        <w:rPr>
          <w:rFonts w:ascii="Arial" w:hAnsi="Arial" w:cs="Arial"/>
        </w:rPr>
        <w:t>TOU program during</w:t>
      </w:r>
      <w:r w:rsidR="00584E62" w:rsidRPr="00584E62">
        <w:rPr>
          <w:rFonts w:ascii="Arial" w:hAnsi="Arial" w:cs="Arial"/>
        </w:rPr>
        <w:t xml:space="preserve"> the January 1, 2011 through May 31, 2011 application period.  </w:t>
      </w:r>
      <w:proofErr w:type="gramStart"/>
      <w:r w:rsidR="003A55D4">
        <w:rPr>
          <w:rFonts w:ascii="Arial" w:hAnsi="Arial" w:cs="Arial"/>
        </w:rPr>
        <w:t>On August 25, 2011, by Order entered at</w:t>
      </w:r>
      <w:r w:rsidR="00B0210F" w:rsidRPr="00B0210F">
        <w:rPr>
          <w:rFonts w:ascii="Arial" w:hAnsi="Arial" w:cs="Arial"/>
        </w:rPr>
        <w:t xml:space="preserve"> </w:t>
      </w:r>
      <w:r w:rsidR="003A55D4">
        <w:rPr>
          <w:rFonts w:ascii="Arial" w:hAnsi="Arial" w:cs="Arial"/>
        </w:rPr>
        <w:t>D</w:t>
      </w:r>
      <w:r w:rsidR="00B0210F" w:rsidRPr="00B0210F">
        <w:rPr>
          <w:rFonts w:ascii="Arial" w:hAnsi="Arial" w:cs="Arial"/>
        </w:rPr>
        <w:t xml:space="preserve">ocket </w:t>
      </w:r>
      <w:r w:rsidR="003A55D4">
        <w:rPr>
          <w:rFonts w:ascii="Arial" w:hAnsi="Arial" w:cs="Arial"/>
        </w:rPr>
        <w:t>N</w:t>
      </w:r>
      <w:r w:rsidR="00B0210F" w:rsidRPr="00B0210F">
        <w:rPr>
          <w:rFonts w:ascii="Arial" w:hAnsi="Arial" w:cs="Arial"/>
        </w:rPr>
        <w:t>o.</w:t>
      </w:r>
      <w:proofErr w:type="gramEnd"/>
      <w:r w:rsidR="00B0210F" w:rsidRPr="00B0210F">
        <w:rPr>
          <w:rFonts w:ascii="Arial" w:hAnsi="Arial" w:cs="Arial"/>
        </w:rPr>
        <w:t xml:space="preserve"> M</w:t>
      </w:r>
      <w:r w:rsidR="00D33773">
        <w:rPr>
          <w:rFonts w:ascii="Arial" w:hAnsi="Arial" w:cs="Arial"/>
        </w:rPr>
        <w:noBreakHyphen/>
      </w:r>
      <w:r w:rsidR="00B0210F" w:rsidRPr="00B0210F">
        <w:rPr>
          <w:rFonts w:ascii="Arial" w:hAnsi="Arial" w:cs="Arial"/>
        </w:rPr>
        <w:t>2011</w:t>
      </w:r>
      <w:r w:rsidR="00D33773">
        <w:rPr>
          <w:rFonts w:ascii="Arial" w:hAnsi="Arial" w:cs="Arial"/>
        </w:rPr>
        <w:noBreakHyphen/>
      </w:r>
      <w:r w:rsidR="00B0210F" w:rsidRPr="00B0210F">
        <w:rPr>
          <w:rFonts w:ascii="Arial" w:hAnsi="Arial" w:cs="Arial"/>
        </w:rPr>
        <w:t>2258733, the Commission suspended</w:t>
      </w:r>
      <w:r w:rsidR="00AE29DF">
        <w:rPr>
          <w:rFonts w:ascii="Arial" w:hAnsi="Arial" w:cs="Arial"/>
        </w:rPr>
        <w:t xml:space="preserve"> </w:t>
      </w:r>
      <w:r w:rsidR="003A55D4">
        <w:rPr>
          <w:rFonts w:ascii="Arial" w:hAnsi="Arial" w:cs="Arial"/>
        </w:rPr>
        <w:t>the proposed TOU rates to be</w:t>
      </w:r>
      <w:r w:rsidR="00681D28">
        <w:rPr>
          <w:rFonts w:ascii="Arial" w:hAnsi="Arial" w:cs="Arial"/>
        </w:rPr>
        <w:t>come</w:t>
      </w:r>
      <w:r w:rsidR="003A55D4">
        <w:rPr>
          <w:rFonts w:ascii="Arial" w:hAnsi="Arial" w:cs="Arial"/>
        </w:rPr>
        <w:t xml:space="preserve"> effective September 1, 2011</w:t>
      </w:r>
      <w:r w:rsidR="00681D28">
        <w:rPr>
          <w:rFonts w:ascii="Arial" w:hAnsi="Arial" w:cs="Arial"/>
        </w:rPr>
        <w:t xml:space="preserve"> </w:t>
      </w:r>
      <w:r w:rsidR="00B0210F" w:rsidRPr="00B0210F">
        <w:rPr>
          <w:rFonts w:ascii="Arial" w:hAnsi="Arial" w:cs="Arial"/>
        </w:rPr>
        <w:t>an</w:t>
      </w:r>
      <w:r w:rsidR="003A55D4">
        <w:rPr>
          <w:rFonts w:ascii="Arial" w:hAnsi="Arial" w:cs="Arial"/>
        </w:rPr>
        <w:t>d</w:t>
      </w:r>
      <w:r w:rsidR="001B51DD">
        <w:rPr>
          <w:rFonts w:ascii="Arial" w:hAnsi="Arial" w:cs="Arial"/>
        </w:rPr>
        <w:t xml:space="preserve"> ordered that the existing rates, which had become effective June 1, 2011,</w:t>
      </w:r>
      <w:r w:rsidR="005E50CE">
        <w:rPr>
          <w:rFonts w:ascii="Arial" w:hAnsi="Arial" w:cs="Arial"/>
        </w:rPr>
        <w:t xml:space="preserve"> remain in effect</w:t>
      </w:r>
      <w:r w:rsidR="00B6178C">
        <w:rPr>
          <w:rFonts w:ascii="Arial" w:hAnsi="Arial" w:cs="Arial"/>
        </w:rPr>
        <w:t xml:space="preserve"> </w:t>
      </w:r>
      <w:r w:rsidR="00FD217E">
        <w:rPr>
          <w:rFonts w:ascii="Arial" w:hAnsi="Arial" w:cs="Arial"/>
        </w:rPr>
        <w:t xml:space="preserve">until </w:t>
      </w:r>
      <w:r w:rsidR="00B6178C">
        <w:rPr>
          <w:rFonts w:ascii="Arial" w:hAnsi="Arial" w:cs="Arial"/>
        </w:rPr>
        <w:t>the Commission approves new rates</w:t>
      </w:r>
      <w:r w:rsidR="00B05D38">
        <w:rPr>
          <w:rFonts w:ascii="Arial" w:hAnsi="Arial" w:cs="Arial"/>
        </w:rPr>
        <w:t>, or for a period of up to six months</w:t>
      </w:r>
      <w:r w:rsidR="00DF50B8">
        <w:rPr>
          <w:rFonts w:ascii="Arial" w:hAnsi="Arial" w:cs="Arial"/>
        </w:rPr>
        <w:t xml:space="preserve">.  In addition, PPL was ordered to submit a plan proposing revisions to the pricing of the TOU rates in an effort to avoid or minimize this problem prospectively. </w:t>
      </w:r>
    </w:p>
    <w:p w:rsidR="00B6178C" w:rsidRDefault="00B6178C" w:rsidP="004305E4">
      <w:pPr>
        <w:rPr>
          <w:rFonts w:ascii="Arial" w:hAnsi="Arial" w:cs="Arial"/>
        </w:rPr>
      </w:pPr>
    </w:p>
    <w:p w:rsidR="00B6178C" w:rsidRDefault="00B6178C" w:rsidP="004305E4">
      <w:pPr>
        <w:rPr>
          <w:rFonts w:ascii="Arial" w:hAnsi="Arial" w:cs="Arial"/>
        </w:rPr>
      </w:pPr>
      <w:r>
        <w:rPr>
          <w:rFonts w:ascii="Arial" w:hAnsi="Arial" w:cs="Arial"/>
        </w:rPr>
        <w:tab/>
      </w:r>
      <w:proofErr w:type="gramStart"/>
      <w:r>
        <w:rPr>
          <w:rFonts w:ascii="Arial" w:hAnsi="Arial" w:cs="Arial"/>
        </w:rPr>
        <w:t>On November 10, 2011, by Order entered at Docket No.</w:t>
      </w:r>
      <w:proofErr w:type="gramEnd"/>
      <w:r>
        <w:rPr>
          <w:rFonts w:ascii="Arial" w:hAnsi="Arial" w:cs="Arial"/>
        </w:rPr>
        <w:t xml:space="preserve"> R-2011-2264771, the Commission ordered that an investigation be instituted to determine the lawfulness, justness, and reasonableness of the rates, rules, and regulations contained in the proposed Supplement No. 110 to Tariff Electric Pa. P.U.C. No. 201, which contained the proposed changes to implement a new TOU program for its residential and small commercial and industrial classes.  In addition, the Order suspended the proposed Supplement No. 110 to Tariff Electric Pa. P.U.C. No 201 until September 1, 2012, unless otherwise directed by Order of the Commission.</w:t>
      </w:r>
    </w:p>
    <w:p w:rsidR="00230806" w:rsidRDefault="00230806" w:rsidP="004305E4">
      <w:pPr>
        <w:rPr>
          <w:rFonts w:ascii="Arial" w:hAnsi="Arial" w:cs="Arial"/>
        </w:rPr>
      </w:pPr>
    </w:p>
    <w:p w:rsidR="00B44253" w:rsidRPr="009516F1" w:rsidRDefault="00230806" w:rsidP="00B44253">
      <w:pPr>
        <w:rPr>
          <w:rFonts w:ascii="Arial" w:hAnsi="Arial" w:cs="Arial"/>
          <w:i/>
        </w:rPr>
      </w:pPr>
      <w:r>
        <w:rPr>
          <w:rFonts w:ascii="Arial" w:hAnsi="Arial" w:cs="Arial"/>
        </w:rPr>
        <w:tab/>
      </w:r>
      <w:proofErr w:type="gramStart"/>
      <w:r>
        <w:rPr>
          <w:rFonts w:ascii="Arial" w:hAnsi="Arial" w:cs="Arial"/>
        </w:rPr>
        <w:t>On August 30, 2012, by Final Order entered at</w:t>
      </w:r>
      <w:r w:rsidRPr="00B0210F">
        <w:rPr>
          <w:rFonts w:ascii="Arial" w:hAnsi="Arial" w:cs="Arial"/>
        </w:rPr>
        <w:t xml:space="preserve"> </w:t>
      </w:r>
      <w:r>
        <w:rPr>
          <w:rFonts w:ascii="Arial" w:hAnsi="Arial" w:cs="Arial"/>
        </w:rPr>
        <w:t>D</w:t>
      </w:r>
      <w:r w:rsidRPr="00B0210F">
        <w:rPr>
          <w:rFonts w:ascii="Arial" w:hAnsi="Arial" w:cs="Arial"/>
        </w:rPr>
        <w:t xml:space="preserve">ocket </w:t>
      </w:r>
      <w:r>
        <w:rPr>
          <w:rFonts w:ascii="Arial" w:hAnsi="Arial" w:cs="Arial"/>
        </w:rPr>
        <w:t>N</w:t>
      </w:r>
      <w:r w:rsidRPr="00B0210F">
        <w:rPr>
          <w:rFonts w:ascii="Arial" w:hAnsi="Arial" w:cs="Arial"/>
        </w:rPr>
        <w:t>o.</w:t>
      </w:r>
      <w:proofErr w:type="gramEnd"/>
      <w:r w:rsidRPr="00B0210F">
        <w:rPr>
          <w:rFonts w:ascii="Arial" w:hAnsi="Arial" w:cs="Arial"/>
        </w:rPr>
        <w:t xml:space="preserve"> </w:t>
      </w:r>
      <w:r>
        <w:rPr>
          <w:rFonts w:ascii="Arial" w:hAnsi="Arial" w:cs="Arial"/>
        </w:rPr>
        <w:t>R</w:t>
      </w:r>
      <w:r>
        <w:rPr>
          <w:rFonts w:ascii="Arial" w:hAnsi="Arial" w:cs="Arial"/>
        </w:rPr>
        <w:noBreakHyphen/>
      </w:r>
      <w:r w:rsidRPr="00B0210F">
        <w:rPr>
          <w:rFonts w:ascii="Arial" w:hAnsi="Arial" w:cs="Arial"/>
        </w:rPr>
        <w:t>2011</w:t>
      </w:r>
      <w:r>
        <w:rPr>
          <w:rFonts w:ascii="Arial" w:hAnsi="Arial" w:cs="Arial"/>
        </w:rPr>
        <w:noBreakHyphen/>
        <w:t xml:space="preserve">2264771, </w:t>
      </w:r>
      <w:r w:rsidR="006E6F2C">
        <w:rPr>
          <w:rFonts w:ascii="Arial" w:hAnsi="Arial" w:cs="Arial"/>
        </w:rPr>
        <w:t xml:space="preserve">the Commission </w:t>
      </w:r>
      <w:r w:rsidR="00DD6753">
        <w:rPr>
          <w:rFonts w:ascii="Arial" w:hAnsi="Arial" w:cs="Arial"/>
        </w:rPr>
        <w:t xml:space="preserve">denied PPL’s Supplement No. 110 to Tariff Electric Pa. P.U.C. No. 201 and </w:t>
      </w:r>
      <w:r w:rsidR="006E6F2C">
        <w:rPr>
          <w:rFonts w:ascii="Arial" w:hAnsi="Arial" w:cs="Arial"/>
        </w:rPr>
        <w:t xml:space="preserve">ordered that PPL </w:t>
      </w:r>
      <w:r w:rsidR="006E6F2C" w:rsidRPr="006E6F2C">
        <w:rPr>
          <w:rFonts w:ascii="Arial" w:hAnsi="Arial" w:cs="Arial"/>
        </w:rPr>
        <w:t>may recover the net under</w:t>
      </w:r>
      <w:r w:rsidR="006E6F2C">
        <w:rPr>
          <w:rFonts w:ascii="Arial" w:hAnsi="Arial" w:cs="Arial"/>
        </w:rPr>
        <w:t xml:space="preserve"> </w:t>
      </w:r>
      <w:r w:rsidR="006E6F2C" w:rsidRPr="006E6F2C">
        <w:rPr>
          <w:rFonts w:ascii="Arial" w:hAnsi="Arial" w:cs="Arial"/>
        </w:rPr>
        <w:t>collection of its prior period</w:t>
      </w:r>
      <w:r w:rsidR="00676731">
        <w:rPr>
          <w:rFonts w:ascii="Arial" w:hAnsi="Arial" w:cs="Arial"/>
        </w:rPr>
        <w:t xml:space="preserve"> (i.e., January 1, 2011 through May 31, 2011)</w:t>
      </w:r>
      <w:r w:rsidR="006E6F2C" w:rsidRPr="006E6F2C">
        <w:rPr>
          <w:rFonts w:ascii="Arial" w:hAnsi="Arial" w:cs="Arial"/>
        </w:rPr>
        <w:t xml:space="preserve"> TOU program from all default service customers, by customer class, following certification</w:t>
      </w:r>
      <w:r w:rsidR="00676731">
        <w:rPr>
          <w:rFonts w:ascii="Arial" w:hAnsi="Arial" w:cs="Arial"/>
        </w:rPr>
        <w:t>,</w:t>
      </w:r>
      <w:r w:rsidR="006E6F2C" w:rsidRPr="006E6F2C">
        <w:rPr>
          <w:rFonts w:ascii="Arial" w:hAnsi="Arial" w:cs="Arial"/>
        </w:rPr>
        <w:t xml:space="preserve"> by the Commission’s Bureau of Audits to the Commission’s Secretary’s Bureau</w:t>
      </w:r>
      <w:r w:rsidR="00676731">
        <w:rPr>
          <w:rFonts w:ascii="Arial" w:hAnsi="Arial" w:cs="Arial"/>
        </w:rPr>
        <w:t>,</w:t>
      </w:r>
      <w:r w:rsidR="006E6F2C" w:rsidRPr="006E6F2C">
        <w:rPr>
          <w:rFonts w:ascii="Arial" w:hAnsi="Arial" w:cs="Arial"/>
        </w:rPr>
        <w:t xml:space="preserve"> that the amount of the net under</w:t>
      </w:r>
      <w:r w:rsidR="006E6F2C">
        <w:rPr>
          <w:rFonts w:ascii="Arial" w:hAnsi="Arial" w:cs="Arial"/>
        </w:rPr>
        <w:t xml:space="preserve"> </w:t>
      </w:r>
      <w:r w:rsidR="006E6F2C" w:rsidRPr="006E6F2C">
        <w:rPr>
          <w:rFonts w:ascii="Arial" w:hAnsi="Arial" w:cs="Arial"/>
        </w:rPr>
        <w:t>collection claimed is correct and the accounting method used is consistent with Commission directives</w:t>
      </w:r>
      <w:r w:rsidR="000E3090">
        <w:rPr>
          <w:rFonts w:ascii="Arial" w:hAnsi="Arial" w:cs="Arial"/>
        </w:rPr>
        <w:t>.</w:t>
      </w:r>
      <w:r w:rsidR="00653833">
        <w:rPr>
          <w:rFonts w:ascii="Arial" w:hAnsi="Arial" w:cs="Arial"/>
        </w:rPr>
        <w:t xml:space="preserve"> </w:t>
      </w:r>
      <w:r w:rsidR="00060C18">
        <w:rPr>
          <w:rFonts w:ascii="Arial" w:hAnsi="Arial" w:cs="Arial"/>
        </w:rPr>
        <w:t xml:space="preserve"> </w:t>
      </w:r>
      <w:r w:rsidR="000E3090">
        <w:rPr>
          <w:rFonts w:ascii="Arial" w:hAnsi="Arial" w:cs="Arial"/>
        </w:rPr>
        <w:t xml:space="preserve">This certification was issued in the </w:t>
      </w:r>
      <w:r w:rsidR="009A28F2">
        <w:rPr>
          <w:rFonts w:ascii="Arial" w:hAnsi="Arial" w:cs="Arial"/>
        </w:rPr>
        <w:t xml:space="preserve">prior audit report at </w:t>
      </w:r>
      <w:r w:rsidR="00060C18">
        <w:rPr>
          <w:rFonts w:ascii="Arial" w:hAnsi="Arial" w:cs="Arial"/>
        </w:rPr>
        <w:t>D</w:t>
      </w:r>
      <w:r w:rsidR="009A28F2">
        <w:rPr>
          <w:rFonts w:ascii="Arial" w:hAnsi="Arial" w:cs="Arial"/>
        </w:rPr>
        <w:t xml:space="preserve">ocket </w:t>
      </w:r>
      <w:r w:rsidR="00060C18">
        <w:rPr>
          <w:rFonts w:ascii="Arial" w:hAnsi="Arial" w:cs="Arial"/>
        </w:rPr>
        <w:t xml:space="preserve">No. </w:t>
      </w:r>
      <w:proofErr w:type="gramStart"/>
      <w:r w:rsidR="009A28F2">
        <w:rPr>
          <w:rFonts w:ascii="Arial" w:hAnsi="Arial" w:cs="Arial"/>
        </w:rPr>
        <w:t>D-2012-2330841</w:t>
      </w:r>
      <w:r w:rsidR="006E6F2C" w:rsidRPr="00B0210F">
        <w:rPr>
          <w:rFonts w:ascii="Arial" w:hAnsi="Arial" w:cs="Arial"/>
        </w:rPr>
        <w:t>.</w:t>
      </w:r>
      <w:proofErr w:type="gramEnd"/>
      <w:r w:rsidR="006E6F2C">
        <w:rPr>
          <w:rFonts w:ascii="Arial" w:hAnsi="Arial" w:cs="Arial"/>
        </w:rPr>
        <w:t xml:space="preserve">  </w:t>
      </w:r>
      <w:proofErr w:type="gramStart"/>
      <w:r w:rsidR="006E6F2C">
        <w:rPr>
          <w:rFonts w:ascii="Arial" w:hAnsi="Arial" w:cs="Arial"/>
        </w:rPr>
        <w:t xml:space="preserve">In addition, </w:t>
      </w:r>
      <w:r w:rsidR="00AD3ADD" w:rsidRPr="00230806">
        <w:rPr>
          <w:rFonts w:ascii="Arial" w:hAnsi="Arial" w:cs="Arial"/>
        </w:rPr>
        <w:t>at Docket No.</w:t>
      </w:r>
      <w:proofErr w:type="gramEnd"/>
      <w:r w:rsidR="00AD3ADD" w:rsidRPr="00230806">
        <w:rPr>
          <w:rFonts w:ascii="Arial" w:hAnsi="Arial" w:cs="Arial"/>
        </w:rPr>
        <w:t xml:space="preserve"> P-2012-2302074</w:t>
      </w:r>
      <w:r w:rsidR="00AD3ADD">
        <w:rPr>
          <w:rFonts w:ascii="Arial" w:hAnsi="Arial" w:cs="Arial"/>
        </w:rPr>
        <w:t xml:space="preserve">, </w:t>
      </w:r>
      <w:r>
        <w:rPr>
          <w:rFonts w:ascii="Arial" w:hAnsi="Arial" w:cs="Arial"/>
        </w:rPr>
        <w:t>t</w:t>
      </w:r>
      <w:r w:rsidRPr="000C23EF">
        <w:rPr>
          <w:rFonts w:ascii="Arial" w:hAnsi="Arial" w:cs="Arial"/>
        </w:rPr>
        <w:t>he</w:t>
      </w:r>
      <w:r>
        <w:rPr>
          <w:rFonts w:ascii="Arial" w:hAnsi="Arial" w:cs="Arial"/>
        </w:rPr>
        <w:t xml:space="preserve"> Commission ordered </w:t>
      </w:r>
      <w:r w:rsidRPr="00230806">
        <w:rPr>
          <w:rFonts w:ascii="Arial" w:hAnsi="Arial" w:cs="Arial"/>
        </w:rPr>
        <w:t xml:space="preserve">PPL </w:t>
      </w:r>
      <w:r>
        <w:rPr>
          <w:rFonts w:ascii="Arial" w:hAnsi="Arial" w:cs="Arial"/>
        </w:rPr>
        <w:t>to</w:t>
      </w:r>
      <w:r w:rsidRPr="00230806">
        <w:rPr>
          <w:rFonts w:ascii="Arial" w:hAnsi="Arial" w:cs="Arial"/>
        </w:rPr>
        <w:t xml:space="preserve"> file an extension to its existing T</w:t>
      </w:r>
      <w:r>
        <w:rPr>
          <w:rFonts w:ascii="Arial" w:hAnsi="Arial" w:cs="Arial"/>
        </w:rPr>
        <w:t>OU</w:t>
      </w:r>
      <w:r w:rsidRPr="00230806">
        <w:rPr>
          <w:rFonts w:ascii="Arial" w:hAnsi="Arial" w:cs="Arial"/>
        </w:rPr>
        <w:t xml:space="preserve"> Program to extend its application until the issuance of the final Commission Order in </w:t>
      </w:r>
      <w:r w:rsidR="00114ED2">
        <w:rPr>
          <w:rFonts w:ascii="Arial" w:hAnsi="Arial" w:cs="Arial"/>
        </w:rPr>
        <w:t xml:space="preserve">the </w:t>
      </w:r>
      <w:r w:rsidRPr="009516F1">
        <w:rPr>
          <w:rFonts w:ascii="Arial" w:hAnsi="Arial" w:cs="Arial"/>
          <w:i/>
        </w:rPr>
        <w:t>Petition of PPL Electric Utilities Corporation for Approval of a Default Service Program and Procurement Plan for the Period June 1, 2013 through May 31, 2015.</w:t>
      </w:r>
      <w:r w:rsidR="00B85B29" w:rsidRPr="009516F1">
        <w:rPr>
          <w:rFonts w:ascii="Arial" w:hAnsi="Arial" w:cs="Arial"/>
          <w:i/>
        </w:rPr>
        <w:t xml:space="preserve"> </w:t>
      </w:r>
      <w:r w:rsidR="00060C18" w:rsidRPr="009516F1">
        <w:rPr>
          <w:rFonts w:ascii="Arial" w:hAnsi="Arial" w:cs="Arial"/>
          <w:i/>
        </w:rPr>
        <w:t xml:space="preserve"> </w:t>
      </w:r>
    </w:p>
    <w:p w:rsidR="00B44253" w:rsidRDefault="00B44253" w:rsidP="00676731">
      <w:pPr>
        <w:rPr>
          <w:rFonts w:ascii="Arial" w:hAnsi="Arial" w:cs="Arial"/>
        </w:rPr>
      </w:pPr>
    </w:p>
    <w:p w:rsidR="00F35ED3" w:rsidRDefault="00B44253" w:rsidP="00B44253">
      <w:pPr>
        <w:overflowPunct/>
        <w:autoSpaceDE/>
        <w:autoSpaceDN/>
        <w:adjustRightInd/>
        <w:textAlignment w:val="auto"/>
        <w:rPr>
          <w:rFonts w:ascii="Arial" w:hAnsi="Arial" w:cs="Arial"/>
        </w:rPr>
      </w:pPr>
      <w:r>
        <w:rPr>
          <w:rFonts w:ascii="Arial" w:hAnsi="Arial" w:cs="Arial"/>
        </w:rPr>
        <w:tab/>
      </w:r>
      <w:proofErr w:type="gramStart"/>
      <w:r w:rsidR="00060C18">
        <w:rPr>
          <w:rFonts w:ascii="Arial" w:hAnsi="Arial" w:cs="Arial"/>
        </w:rPr>
        <w:t>On October 24, 2013</w:t>
      </w:r>
      <w:r w:rsidR="00735ADC">
        <w:rPr>
          <w:rFonts w:ascii="Arial" w:hAnsi="Arial" w:cs="Arial"/>
        </w:rPr>
        <w:t>,</w:t>
      </w:r>
      <w:r w:rsidR="00060C18">
        <w:rPr>
          <w:rFonts w:ascii="Arial" w:hAnsi="Arial" w:cs="Arial"/>
        </w:rPr>
        <w:t xml:space="preserve"> at Docket No.</w:t>
      </w:r>
      <w:proofErr w:type="gramEnd"/>
      <w:r w:rsidR="00060C18">
        <w:rPr>
          <w:rFonts w:ascii="Arial" w:hAnsi="Arial" w:cs="Arial"/>
        </w:rPr>
        <w:t xml:space="preserve"> P</w:t>
      </w:r>
      <w:r w:rsidR="00060C18">
        <w:rPr>
          <w:rFonts w:ascii="Arial" w:hAnsi="Arial" w:cs="Arial"/>
        </w:rPr>
        <w:noBreakHyphen/>
        <w:t xml:space="preserve">2013-2389572, </w:t>
      </w:r>
      <w:r w:rsidR="00B85B29">
        <w:rPr>
          <w:rFonts w:ascii="Arial" w:hAnsi="Arial" w:cs="Arial"/>
        </w:rPr>
        <w:t xml:space="preserve">PPL filed a petition for approval of a Pilot </w:t>
      </w:r>
      <w:r w:rsidR="00AD3ADD">
        <w:rPr>
          <w:rFonts w:ascii="Arial" w:hAnsi="Arial" w:cs="Arial"/>
        </w:rPr>
        <w:t>TOU</w:t>
      </w:r>
      <w:r w:rsidR="00B85B29">
        <w:rPr>
          <w:rFonts w:ascii="Arial" w:hAnsi="Arial" w:cs="Arial"/>
        </w:rPr>
        <w:t xml:space="preserve"> Program for their Default Service Plan.</w:t>
      </w:r>
      <w:r w:rsidR="00230806">
        <w:rPr>
          <w:rFonts w:ascii="Arial" w:hAnsi="Arial" w:cs="Arial"/>
        </w:rPr>
        <w:t xml:space="preserve">  </w:t>
      </w:r>
      <w:r>
        <w:rPr>
          <w:rFonts w:ascii="Arial" w:hAnsi="Arial" w:cs="Arial"/>
        </w:rPr>
        <w:t xml:space="preserve">On September 11, </w:t>
      </w:r>
    </w:p>
    <w:p w:rsidR="00F35ED3" w:rsidRDefault="00F35ED3" w:rsidP="00B44253">
      <w:pPr>
        <w:overflowPunct/>
        <w:autoSpaceDE/>
        <w:autoSpaceDN/>
        <w:adjustRightInd/>
        <w:textAlignment w:val="auto"/>
        <w:rPr>
          <w:rFonts w:ascii="Arial" w:hAnsi="Arial" w:cs="Arial"/>
        </w:rPr>
      </w:pPr>
    </w:p>
    <w:p w:rsidR="00F35ED3" w:rsidRPr="00DD6F3F" w:rsidRDefault="00F35ED3" w:rsidP="00F35ED3">
      <w:pPr>
        <w:pStyle w:val="Heading1"/>
        <w:tabs>
          <w:tab w:val="clear" w:pos="4680"/>
          <w:tab w:val="left" w:pos="360"/>
        </w:tabs>
        <w:rPr>
          <w:rFonts w:ascii="Arial" w:hAnsi="Arial" w:cs="Arial"/>
          <w:sz w:val="26"/>
          <w:szCs w:val="26"/>
          <w:u w:val="none"/>
        </w:rPr>
      </w:pPr>
      <w:r w:rsidRPr="00DD6F3F">
        <w:rPr>
          <w:rFonts w:ascii="Arial" w:hAnsi="Arial" w:cs="Arial"/>
          <w:sz w:val="26"/>
          <w:szCs w:val="26"/>
          <w:u w:val="none"/>
        </w:rPr>
        <w:lastRenderedPageBreak/>
        <w:t>PPL ELECTRIC UTILITIES CORPORATION</w:t>
      </w:r>
    </w:p>
    <w:p w:rsidR="00F35ED3" w:rsidRPr="00DD6F3F" w:rsidRDefault="00F35ED3" w:rsidP="00F35ED3">
      <w:pPr>
        <w:pStyle w:val="Heading1"/>
        <w:tabs>
          <w:tab w:val="clear" w:pos="4680"/>
          <w:tab w:val="left" w:pos="360"/>
        </w:tabs>
        <w:jc w:val="left"/>
        <w:rPr>
          <w:rFonts w:ascii="Arial" w:hAnsi="Arial" w:cs="Arial"/>
          <w:sz w:val="26"/>
          <w:szCs w:val="26"/>
          <w:u w:val="none"/>
        </w:rPr>
      </w:pPr>
    </w:p>
    <w:p w:rsidR="00F35ED3" w:rsidRPr="00DD6F3F" w:rsidRDefault="00F35ED3" w:rsidP="00F35ED3">
      <w:pPr>
        <w:pStyle w:val="Heading1"/>
        <w:tabs>
          <w:tab w:val="left" w:pos="-3060"/>
        </w:tabs>
        <w:rPr>
          <w:rFonts w:ascii="Arial" w:hAnsi="Arial" w:cs="Arial"/>
          <w:sz w:val="26"/>
          <w:szCs w:val="26"/>
          <w:u w:val="none"/>
        </w:rPr>
      </w:pPr>
      <w:r w:rsidRPr="00DD6F3F">
        <w:rPr>
          <w:rFonts w:ascii="Arial" w:hAnsi="Arial" w:cs="Arial"/>
          <w:sz w:val="26"/>
          <w:szCs w:val="26"/>
          <w:u w:val="none"/>
        </w:rPr>
        <w:t>Current Period Audit Finding (</w:t>
      </w:r>
      <w:r>
        <w:rPr>
          <w:rFonts w:ascii="Arial" w:hAnsi="Arial" w:cs="Arial"/>
          <w:sz w:val="26"/>
          <w:szCs w:val="26"/>
          <w:u w:val="none"/>
        </w:rPr>
        <w:t>c</w:t>
      </w:r>
      <w:r w:rsidRPr="00DD6F3F">
        <w:rPr>
          <w:rFonts w:ascii="Arial" w:hAnsi="Arial" w:cs="Arial"/>
          <w:sz w:val="26"/>
          <w:szCs w:val="26"/>
          <w:u w:val="none"/>
        </w:rPr>
        <w:t>ont</w:t>
      </w:r>
      <w:r>
        <w:rPr>
          <w:rFonts w:ascii="Arial" w:hAnsi="Arial" w:cs="Arial"/>
          <w:sz w:val="26"/>
          <w:szCs w:val="26"/>
          <w:u w:val="none"/>
        </w:rPr>
        <w:t>inued</w:t>
      </w:r>
      <w:r w:rsidRPr="00DD6F3F">
        <w:rPr>
          <w:rFonts w:ascii="Arial" w:hAnsi="Arial" w:cs="Arial"/>
          <w:sz w:val="26"/>
          <w:szCs w:val="26"/>
          <w:u w:val="none"/>
        </w:rPr>
        <w:t>)</w:t>
      </w:r>
    </w:p>
    <w:p w:rsidR="00F35ED3" w:rsidRPr="00ED3748" w:rsidRDefault="00F35ED3" w:rsidP="00B44253">
      <w:pPr>
        <w:overflowPunct/>
        <w:autoSpaceDE/>
        <w:autoSpaceDN/>
        <w:adjustRightInd/>
        <w:textAlignment w:val="auto"/>
        <w:rPr>
          <w:rFonts w:ascii="Arial" w:hAnsi="Arial" w:cs="Arial"/>
          <w:sz w:val="22"/>
          <w:szCs w:val="22"/>
        </w:rPr>
      </w:pPr>
    </w:p>
    <w:p w:rsidR="00F35ED3" w:rsidRPr="00ED3748" w:rsidRDefault="00F35ED3" w:rsidP="00B44253">
      <w:pPr>
        <w:overflowPunct/>
        <w:autoSpaceDE/>
        <w:autoSpaceDN/>
        <w:adjustRightInd/>
        <w:textAlignment w:val="auto"/>
        <w:rPr>
          <w:rFonts w:ascii="Arial" w:hAnsi="Arial" w:cs="Arial"/>
          <w:sz w:val="22"/>
          <w:szCs w:val="22"/>
        </w:rPr>
      </w:pPr>
    </w:p>
    <w:p w:rsidR="00B44253" w:rsidRDefault="00B44253" w:rsidP="00B44253">
      <w:pPr>
        <w:overflowPunct/>
        <w:autoSpaceDE/>
        <w:autoSpaceDN/>
        <w:adjustRightInd/>
        <w:textAlignment w:val="auto"/>
        <w:rPr>
          <w:sz w:val="26"/>
          <w:szCs w:val="26"/>
        </w:rPr>
      </w:pPr>
      <w:r>
        <w:rPr>
          <w:rFonts w:ascii="Arial" w:hAnsi="Arial" w:cs="Arial"/>
        </w:rPr>
        <w:t>2014, the Commission ordered</w:t>
      </w:r>
      <w:r w:rsidRPr="00B44253">
        <w:rPr>
          <w:rFonts w:ascii="Arial" w:hAnsi="Arial" w:cs="Arial"/>
        </w:rPr>
        <w:t xml:space="preserve"> PPL </w:t>
      </w:r>
      <w:r>
        <w:rPr>
          <w:rFonts w:ascii="Arial" w:hAnsi="Arial" w:cs="Arial"/>
        </w:rPr>
        <w:t>to</w:t>
      </w:r>
      <w:r w:rsidRPr="00B44253">
        <w:rPr>
          <w:rFonts w:ascii="Arial" w:hAnsi="Arial" w:cs="Arial"/>
        </w:rPr>
        <w:t xml:space="preserve"> file a tariff to</w:t>
      </w:r>
      <w:r>
        <w:rPr>
          <w:sz w:val="26"/>
          <w:szCs w:val="26"/>
        </w:rPr>
        <w:t xml:space="preserve"> </w:t>
      </w:r>
      <w:r w:rsidRPr="00B44253">
        <w:rPr>
          <w:rFonts w:ascii="Arial" w:hAnsi="Arial" w:cs="Arial"/>
        </w:rPr>
        <w:t>implement the Pilot T</w:t>
      </w:r>
      <w:r>
        <w:rPr>
          <w:rFonts w:ascii="Arial" w:hAnsi="Arial" w:cs="Arial"/>
        </w:rPr>
        <w:t>OU</w:t>
      </w:r>
      <w:r w:rsidRPr="00B44253">
        <w:rPr>
          <w:rFonts w:ascii="Arial" w:hAnsi="Arial" w:cs="Arial"/>
        </w:rPr>
        <w:t xml:space="preserve"> Program, consistent with the terms of the Joint Petition for Partial Settlement.</w:t>
      </w:r>
      <w:r w:rsidR="008052F0">
        <w:rPr>
          <w:rFonts w:ascii="Arial" w:hAnsi="Arial" w:cs="Arial"/>
        </w:rPr>
        <w:t xml:space="preserve">  On November 20, 2014, PPL filed Supplement No. 166 to Tariff-Electric Pa. P.U.C. No. 201</w:t>
      </w:r>
      <w:r w:rsidR="007E271F">
        <w:rPr>
          <w:rFonts w:ascii="Arial" w:hAnsi="Arial" w:cs="Arial"/>
        </w:rPr>
        <w:t>, which added the terms of the Joint Petition, while maintaining the frozen TOU rates.</w:t>
      </w:r>
    </w:p>
    <w:p w:rsidR="00230806" w:rsidRPr="00ED3748" w:rsidRDefault="00230806" w:rsidP="00676731">
      <w:pPr>
        <w:rPr>
          <w:rFonts w:ascii="Arial" w:hAnsi="Arial" w:cs="Arial"/>
          <w:sz w:val="22"/>
          <w:szCs w:val="22"/>
        </w:rPr>
      </w:pPr>
    </w:p>
    <w:p w:rsidR="00B0210F" w:rsidRDefault="006E1F27" w:rsidP="004305E4">
      <w:pPr>
        <w:overflowPunct/>
        <w:autoSpaceDE/>
        <w:autoSpaceDN/>
        <w:adjustRightInd/>
        <w:textAlignment w:val="auto"/>
        <w:rPr>
          <w:rFonts w:ascii="Arial" w:hAnsi="Arial" w:cs="Arial"/>
        </w:rPr>
      </w:pPr>
      <w:r>
        <w:rPr>
          <w:rFonts w:ascii="Arial" w:hAnsi="Arial" w:cs="Arial"/>
        </w:rPr>
        <w:tab/>
      </w:r>
      <w:r w:rsidR="00B85B29">
        <w:rPr>
          <w:rFonts w:ascii="Arial" w:hAnsi="Arial" w:cs="Arial"/>
        </w:rPr>
        <w:t xml:space="preserve">The TOU rates that went into effect on June 1, 2011 and were frozen until further notice consist of two primary components:  a C-factor to recover projected costs and an </w:t>
      </w:r>
      <w:r w:rsidR="00465B67">
        <w:rPr>
          <w:rFonts w:ascii="Arial" w:hAnsi="Arial" w:cs="Arial"/>
        </w:rPr>
        <w:t>E</w:t>
      </w:r>
      <w:r w:rsidR="00676731">
        <w:rPr>
          <w:rFonts w:ascii="Arial" w:hAnsi="Arial" w:cs="Arial"/>
        </w:rPr>
        <w:noBreakHyphen/>
      </w:r>
      <w:r w:rsidR="00465B67">
        <w:rPr>
          <w:rFonts w:ascii="Arial" w:hAnsi="Arial" w:cs="Arial"/>
        </w:rPr>
        <w:t xml:space="preserve">factor to recover a prior period under collection.  </w:t>
      </w:r>
      <w:r w:rsidR="00432439" w:rsidRPr="00234AD8">
        <w:rPr>
          <w:rFonts w:ascii="Arial" w:hAnsi="Arial" w:cs="Arial"/>
        </w:rPr>
        <w:t xml:space="preserve">During the course of our audit it was discovered that </w:t>
      </w:r>
      <w:r w:rsidR="00326224">
        <w:rPr>
          <w:rFonts w:ascii="Arial" w:hAnsi="Arial" w:cs="Arial"/>
        </w:rPr>
        <w:t xml:space="preserve">for accounting purposes </w:t>
      </w:r>
      <w:r w:rsidR="00432439" w:rsidRPr="00234AD8">
        <w:rPr>
          <w:rFonts w:ascii="Arial" w:hAnsi="Arial" w:cs="Arial"/>
        </w:rPr>
        <w:t>t</w:t>
      </w:r>
      <w:r w:rsidR="00533F41" w:rsidRPr="00234AD8">
        <w:rPr>
          <w:rFonts w:ascii="Arial" w:hAnsi="Arial" w:cs="Arial"/>
        </w:rPr>
        <w:t xml:space="preserve">he Company </w:t>
      </w:r>
      <w:r w:rsidR="00326224">
        <w:rPr>
          <w:rFonts w:ascii="Arial" w:hAnsi="Arial" w:cs="Arial"/>
        </w:rPr>
        <w:t xml:space="preserve">had </w:t>
      </w:r>
      <w:r w:rsidR="00B5595F">
        <w:rPr>
          <w:rFonts w:ascii="Arial" w:hAnsi="Arial" w:cs="Arial"/>
        </w:rPr>
        <w:t>adjusted</w:t>
      </w:r>
      <w:r w:rsidR="00465B67">
        <w:rPr>
          <w:rFonts w:ascii="Arial" w:hAnsi="Arial" w:cs="Arial"/>
        </w:rPr>
        <w:t xml:space="preserve"> the </w:t>
      </w:r>
      <w:r w:rsidR="00044B0B">
        <w:rPr>
          <w:rFonts w:ascii="Arial" w:hAnsi="Arial" w:cs="Arial"/>
        </w:rPr>
        <w:t xml:space="preserve">rate </w:t>
      </w:r>
      <w:r w:rsidR="00465B67">
        <w:rPr>
          <w:rFonts w:ascii="Arial" w:hAnsi="Arial" w:cs="Arial"/>
        </w:rPr>
        <w:t xml:space="preserve">components </w:t>
      </w:r>
      <w:r w:rsidR="00551ACE">
        <w:rPr>
          <w:rFonts w:ascii="Arial" w:hAnsi="Arial" w:cs="Arial"/>
        </w:rPr>
        <w:t xml:space="preserve">being charged to the customer, </w:t>
      </w:r>
      <w:r w:rsidR="002F4B3B">
        <w:rPr>
          <w:rFonts w:ascii="Arial" w:hAnsi="Arial" w:cs="Arial"/>
        </w:rPr>
        <w:t xml:space="preserve">while still maintaining the overall </w:t>
      </w:r>
      <w:r w:rsidR="00676731">
        <w:rPr>
          <w:rFonts w:ascii="Arial" w:hAnsi="Arial" w:cs="Arial"/>
        </w:rPr>
        <w:t xml:space="preserve">frozen </w:t>
      </w:r>
      <w:r w:rsidR="002F4B3B">
        <w:rPr>
          <w:rFonts w:ascii="Arial" w:hAnsi="Arial" w:cs="Arial"/>
        </w:rPr>
        <w:t>rate.  Revenue collected duri</w:t>
      </w:r>
      <w:r w:rsidR="00551ACE">
        <w:rPr>
          <w:rFonts w:ascii="Arial" w:hAnsi="Arial" w:cs="Arial"/>
        </w:rPr>
        <w:t>ng the months after the rates were frozen</w:t>
      </w:r>
      <w:r w:rsidR="002F4B3B">
        <w:rPr>
          <w:rFonts w:ascii="Arial" w:hAnsi="Arial" w:cs="Arial"/>
        </w:rPr>
        <w:t xml:space="preserve"> was first ap</w:t>
      </w:r>
      <w:r w:rsidR="002F0D1B">
        <w:rPr>
          <w:rFonts w:ascii="Arial" w:hAnsi="Arial" w:cs="Arial"/>
        </w:rPr>
        <w:t>plied to the prior period under</w:t>
      </w:r>
      <w:r w:rsidR="008235DB">
        <w:rPr>
          <w:rFonts w:ascii="Arial" w:hAnsi="Arial" w:cs="Arial"/>
        </w:rPr>
        <w:t xml:space="preserve"> </w:t>
      </w:r>
      <w:r w:rsidR="002F4B3B">
        <w:rPr>
          <w:rFonts w:ascii="Arial" w:hAnsi="Arial" w:cs="Arial"/>
        </w:rPr>
        <w:t xml:space="preserve">collection balance </w:t>
      </w:r>
      <w:r w:rsidR="00741568">
        <w:rPr>
          <w:rFonts w:ascii="Arial" w:hAnsi="Arial" w:cs="Arial"/>
        </w:rPr>
        <w:t>by</w:t>
      </w:r>
      <w:r w:rsidR="00551ACE">
        <w:rPr>
          <w:rFonts w:ascii="Arial" w:hAnsi="Arial" w:cs="Arial"/>
        </w:rPr>
        <w:t xml:space="preserve"> increasing the E-factor rate component </w:t>
      </w:r>
      <w:r w:rsidR="002F4B3B">
        <w:rPr>
          <w:rFonts w:ascii="Arial" w:hAnsi="Arial" w:cs="Arial"/>
        </w:rPr>
        <w:t>and any remaining revenue</w:t>
      </w:r>
      <w:r w:rsidR="00B5595F">
        <w:rPr>
          <w:rFonts w:ascii="Arial" w:hAnsi="Arial" w:cs="Arial"/>
        </w:rPr>
        <w:t xml:space="preserve"> was</w:t>
      </w:r>
      <w:r w:rsidR="002F4B3B">
        <w:rPr>
          <w:rFonts w:ascii="Arial" w:hAnsi="Arial" w:cs="Arial"/>
        </w:rPr>
        <w:t xml:space="preserve"> </w:t>
      </w:r>
      <w:r w:rsidR="00326224">
        <w:rPr>
          <w:rFonts w:ascii="Arial" w:hAnsi="Arial" w:cs="Arial"/>
        </w:rPr>
        <w:t>booked as revenue to recover current</w:t>
      </w:r>
      <w:r w:rsidR="002F4B3B">
        <w:rPr>
          <w:rFonts w:ascii="Arial" w:hAnsi="Arial" w:cs="Arial"/>
        </w:rPr>
        <w:t xml:space="preserve"> expenses</w:t>
      </w:r>
      <w:r w:rsidR="00551ACE">
        <w:rPr>
          <w:rFonts w:ascii="Arial" w:hAnsi="Arial" w:cs="Arial"/>
        </w:rPr>
        <w:t xml:space="preserve"> </w:t>
      </w:r>
      <w:r w:rsidR="00741568">
        <w:rPr>
          <w:rFonts w:ascii="Arial" w:hAnsi="Arial" w:cs="Arial"/>
        </w:rPr>
        <w:t>by</w:t>
      </w:r>
      <w:r w:rsidR="00551ACE">
        <w:rPr>
          <w:rFonts w:ascii="Arial" w:hAnsi="Arial" w:cs="Arial"/>
        </w:rPr>
        <w:t xml:space="preserve"> decreasing the C-factor rate component</w:t>
      </w:r>
      <w:r w:rsidR="002F4B3B">
        <w:rPr>
          <w:rFonts w:ascii="Arial" w:hAnsi="Arial" w:cs="Arial"/>
        </w:rPr>
        <w:t xml:space="preserve">.  As a result, there were </w:t>
      </w:r>
      <w:r w:rsidR="00623BDB">
        <w:rPr>
          <w:rFonts w:ascii="Arial" w:hAnsi="Arial" w:cs="Arial"/>
        </w:rPr>
        <w:t>several</w:t>
      </w:r>
      <w:r w:rsidR="00B0210F" w:rsidRPr="00B0210F">
        <w:rPr>
          <w:rFonts w:ascii="Arial" w:hAnsi="Arial" w:cs="Arial"/>
        </w:rPr>
        <w:t xml:space="preserve"> months </w:t>
      </w:r>
      <w:r w:rsidR="00326224">
        <w:rPr>
          <w:rFonts w:ascii="Arial" w:hAnsi="Arial" w:cs="Arial"/>
        </w:rPr>
        <w:t>during</w:t>
      </w:r>
      <w:r w:rsidR="00B0210F" w:rsidRPr="00B0210F">
        <w:rPr>
          <w:rFonts w:ascii="Arial" w:hAnsi="Arial" w:cs="Arial"/>
        </w:rPr>
        <w:t xml:space="preserve"> the </w:t>
      </w:r>
      <w:r w:rsidR="00623BDB">
        <w:rPr>
          <w:rFonts w:ascii="Arial" w:hAnsi="Arial" w:cs="Arial"/>
        </w:rPr>
        <w:t xml:space="preserve">audit </w:t>
      </w:r>
      <w:r w:rsidR="00B0210F" w:rsidRPr="00B0210F">
        <w:rPr>
          <w:rFonts w:ascii="Arial" w:hAnsi="Arial" w:cs="Arial"/>
        </w:rPr>
        <w:t xml:space="preserve">period when </w:t>
      </w:r>
      <w:r w:rsidR="004A1AC8">
        <w:rPr>
          <w:rFonts w:ascii="Arial" w:hAnsi="Arial" w:cs="Arial"/>
        </w:rPr>
        <w:t xml:space="preserve">no revenue </w:t>
      </w:r>
      <w:r w:rsidR="00326224">
        <w:rPr>
          <w:rFonts w:ascii="Arial" w:hAnsi="Arial" w:cs="Arial"/>
        </w:rPr>
        <w:t>was</w:t>
      </w:r>
      <w:r w:rsidR="004A1AC8">
        <w:rPr>
          <w:rFonts w:ascii="Arial" w:hAnsi="Arial" w:cs="Arial"/>
        </w:rPr>
        <w:t xml:space="preserve"> applied to </w:t>
      </w:r>
      <w:r w:rsidR="002F4B3B">
        <w:rPr>
          <w:rFonts w:ascii="Arial" w:hAnsi="Arial" w:cs="Arial"/>
        </w:rPr>
        <w:t>the current period costs</w:t>
      </w:r>
      <w:r w:rsidR="004A1AC8">
        <w:rPr>
          <w:rFonts w:ascii="Arial" w:hAnsi="Arial" w:cs="Arial"/>
        </w:rPr>
        <w:t xml:space="preserve"> resulting in</w:t>
      </w:r>
      <w:r w:rsidR="00551ACE">
        <w:rPr>
          <w:rFonts w:ascii="Arial" w:hAnsi="Arial" w:cs="Arial"/>
        </w:rPr>
        <w:t xml:space="preserve"> PPL record</w:t>
      </w:r>
      <w:r w:rsidR="004A1AC8">
        <w:rPr>
          <w:rFonts w:ascii="Arial" w:hAnsi="Arial" w:cs="Arial"/>
        </w:rPr>
        <w:t>ing</w:t>
      </w:r>
      <w:r w:rsidR="00551ACE">
        <w:rPr>
          <w:rFonts w:ascii="Arial" w:hAnsi="Arial" w:cs="Arial"/>
        </w:rPr>
        <w:t xml:space="preserve"> a C-factor revenue deficit</w:t>
      </w:r>
      <w:r w:rsidR="00696B41">
        <w:rPr>
          <w:rFonts w:ascii="Arial" w:hAnsi="Arial" w:cs="Arial"/>
        </w:rPr>
        <w:t xml:space="preserve"> (i.e., under</w:t>
      </w:r>
      <w:r w:rsidR="008235DB">
        <w:rPr>
          <w:rFonts w:ascii="Arial" w:hAnsi="Arial" w:cs="Arial"/>
        </w:rPr>
        <w:t xml:space="preserve"> </w:t>
      </w:r>
      <w:r w:rsidR="00696B41">
        <w:rPr>
          <w:rFonts w:ascii="Arial" w:hAnsi="Arial" w:cs="Arial"/>
        </w:rPr>
        <w:t>collection)</w:t>
      </w:r>
      <w:r w:rsidR="00551ACE">
        <w:rPr>
          <w:rFonts w:ascii="Arial" w:hAnsi="Arial" w:cs="Arial"/>
        </w:rPr>
        <w:t xml:space="preserve"> for those months</w:t>
      </w:r>
      <w:r w:rsidR="002F4B3B">
        <w:rPr>
          <w:rFonts w:ascii="Arial" w:hAnsi="Arial" w:cs="Arial"/>
        </w:rPr>
        <w:t>.</w:t>
      </w:r>
      <w:r w:rsidR="00B0210F" w:rsidRPr="00B0210F">
        <w:rPr>
          <w:rFonts w:ascii="Arial" w:hAnsi="Arial" w:cs="Arial"/>
        </w:rPr>
        <w:t xml:space="preserve">  </w:t>
      </w:r>
    </w:p>
    <w:p w:rsidR="00DD28F4" w:rsidRPr="00ED3748" w:rsidRDefault="00DD28F4" w:rsidP="00DD28F4">
      <w:pPr>
        <w:pStyle w:val="Heading1"/>
        <w:tabs>
          <w:tab w:val="clear" w:pos="4680"/>
          <w:tab w:val="left" w:pos="360"/>
        </w:tabs>
        <w:rPr>
          <w:rFonts w:ascii="Arial" w:hAnsi="Arial" w:cs="Arial"/>
          <w:sz w:val="22"/>
          <w:szCs w:val="22"/>
        </w:rPr>
      </w:pPr>
    </w:p>
    <w:p w:rsidR="00DD28F4" w:rsidRPr="00AD03F1" w:rsidRDefault="00DD28F4" w:rsidP="00DD28F4">
      <w:pPr>
        <w:rPr>
          <w:rFonts w:ascii="Arial" w:hAnsi="Arial" w:cs="Arial"/>
        </w:rPr>
      </w:pPr>
      <w:r>
        <w:rPr>
          <w:rFonts w:ascii="Arial" w:hAnsi="Arial" w:cs="Arial"/>
        </w:rPr>
        <w:tab/>
      </w:r>
      <w:r w:rsidRPr="00B0210F">
        <w:rPr>
          <w:rFonts w:ascii="Arial" w:hAnsi="Arial" w:cs="Arial"/>
        </w:rPr>
        <w:t xml:space="preserve">The Bureau of Audits </w:t>
      </w:r>
      <w:r>
        <w:rPr>
          <w:rFonts w:ascii="Arial" w:hAnsi="Arial" w:cs="Arial"/>
        </w:rPr>
        <w:t>asserts</w:t>
      </w:r>
      <w:r w:rsidRPr="00B0210F">
        <w:rPr>
          <w:rFonts w:ascii="Arial" w:hAnsi="Arial" w:cs="Arial"/>
        </w:rPr>
        <w:t xml:space="preserve"> th</w:t>
      </w:r>
      <w:r>
        <w:rPr>
          <w:rFonts w:ascii="Arial" w:hAnsi="Arial" w:cs="Arial"/>
        </w:rPr>
        <w:t>at when the</w:t>
      </w:r>
      <w:r w:rsidRPr="00B0210F">
        <w:rPr>
          <w:rFonts w:ascii="Arial" w:hAnsi="Arial" w:cs="Arial"/>
        </w:rPr>
        <w:t xml:space="preserve"> Com</w:t>
      </w:r>
      <w:r>
        <w:rPr>
          <w:rFonts w:ascii="Arial" w:hAnsi="Arial" w:cs="Arial"/>
        </w:rPr>
        <w:t>mission</w:t>
      </w:r>
      <w:r w:rsidRPr="00B0210F">
        <w:rPr>
          <w:rFonts w:ascii="Arial" w:hAnsi="Arial" w:cs="Arial"/>
        </w:rPr>
        <w:t xml:space="preserve"> </w:t>
      </w:r>
      <w:r>
        <w:rPr>
          <w:rFonts w:ascii="Arial" w:hAnsi="Arial" w:cs="Arial"/>
        </w:rPr>
        <w:t>froze</w:t>
      </w:r>
      <w:r w:rsidRPr="00B0210F">
        <w:rPr>
          <w:rFonts w:ascii="Arial" w:hAnsi="Arial" w:cs="Arial"/>
        </w:rPr>
        <w:t xml:space="preserve"> the TOU rates</w:t>
      </w:r>
      <w:r>
        <w:rPr>
          <w:rFonts w:ascii="Arial" w:hAnsi="Arial" w:cs="Arial"/>
        </w:rPr>
        <w:t>,</w:t>
      </w:r>
      <w:r w:rsidRPr="00B0210F">
        <w:rPr>
          <w:rFonts w:ascii="Arial" w:hAnsi="Arial" w:cs="Arial"/>
        </w:rPr>
        <w:t xml:space="preserve"> </w:t>
      </w:r>
      <w:r>
        <w:rPr>
          <w:rFonts w:ascii="Arial" w:hAnsi="Arial" w:cs="Arial"/>
        </w:rPr>
        <w:t>the Company also should have frozen</w:t>
      </w:r>
      <w:r w:rsidRPr="00B0210F">
        <w:rPr>
          <w:rFonts w:ascii="Arial" w:hAnsi="Arial" w:cs="Arial"/>
        </w:rPr>
        <w:t xml:space="preserve"> the TOU </w:t>
      </w:r>
      <w:r>
        <w:rPr>
          <w:rFonts w:ascii="Arial" w:hAnsi="Arial" w:cs="Arial"/>
        </w:rPr>
        <w:t>rate components</w:t>
      </w:r>
      <w:r w:rsidRPr="00B0210F">
        <w:rPr>
          <w:rFonts w:ascii="Arial" w:hAnsi="Arial" w:cs="Arial"/>
        </w:rPr>
        <w:t xml:space="preserve"> </w:t>
      </w:r>
      <w:r>
        <w:rPr>
          <w:rFonts w:ascii="Arial" w:hAnsi="Arial" w:cs="Arial"/>
        </w:rPr>
        <w:t>(i.e., C-factor and E</w:t>
      </w:r>
      <w:r>
        <w:rPr>
          <w:rFonts w:ascii="Arial" w:hAnsi="Arial" w:cs="Arial"/>
        </w:rPr>
        <w:noBreakHyphen/>
        <w:t xml:space="preserve">factor) </w:t>
      </w:r>
      <w:r w:rsidRPr="00B0210F">
        <w:rPr>
          <w:rFonts w:ascii="Arial" w:hAnsi="Arial" w:cs="Arial"/>
        </w:rPr>
        <w:t>used to reconcile</w:t>
      </w:r>
      <w:r>
        <w:rPr>
          <w:rFonts w:ascii="Arial" w:hAnsi="Arial" w:cs="Arial"/>
        </w:rPr>
        <w:t xml:space="preserve"> the revenues and expenses</w:t>
      </w:r>
      <w:r w:rsidRPr="00B0210F">
        <w:rPr>
          <w:rFonts w:ascii="Arial" w:hAnsi="Arial" w:cs="Arial"/>
        </w:rPr>
        <w:t xml:space="preserve">.  </w:t>
      </w:r>
      <w:r w:rsidRPr="00AD03F1">
        <w:rPr>
          <w:rFonts w:ascii="Arial" w:hAnsi="Arial" w:cs="Arial"/>
        </w:rPr>
        <w:t>Although there is no impact to the total revenue collected from customers or the combined over/under collections balance during the period, there is an effect on the calculation of interest applied to current period over/under collections from the changing of the rate components within the frozen TOU rate.  This is because interest is applied to current period over</w:t>
      </w:r>
      <w:r>
        <w:rPr>
          <w:rFonts w:ascii="Arial" w:hAnsi="Arial" w:cs="Arial"/>
        </w:rPr>
        <w:t>/under</w:t>
      </w:r>
      <w:r w:rsidRPr="00AD03F1">
        <w:rPr>
          <w:rFonts w:ascii="Arial" w:hAnsi="Arial" w:cs="Arial"/>
        </w:rPr>
        <w:t xml:space="preserve"> collections and interest is not applied to the residual recoupment of prior period over/under collections that are normally produced solely by variances in actual sales from projected sales.  For the particular period in question, computing the interest based on maintaining the rate components the same throughout the period of frozen rates, results in higher interes</w:t>
      </w:r>
      <w:r w:rsidR="007B0B1A">
        <w:rPr>
          <w:rFonts w:ascii="Arial" w:hAnsi="Arial" w:cs="Arial"/>
        </w:rPr>
        <w:t>t payments to three</w:t>
      </w:r>
      <w:r w:rsidRPr="00AD03F1">
        <w:rPr>
          <w:rFonts w:ascii="Arial" w:hAnsi="Arial" w:cs="Arial"/>
        </w:rPr>
        <w:t xml:space="preserve"> rate classes and a </w:t>
      </w:r>
      <w:r w:rsidR="007B0B1A">
        <w:rPr>
          <w:rFonts w:ascii="Arial" w:hAnsi="Arial" w:cs="Arial"/>
        </w:rPr>
        <w:t>reduction in interest due to three</w:t>
      </w:r>
      <w:r w:rsidRPr="00AD03F1">
        <w:rPr>
          <w:rFonts w:ascii="Arial" w:hAnsi="Arial" w:cs="Arial"/>
        </w:rPr>
        <w:t xml:space="preserve"> rate class</w:t>
      </w:r>
      <w:r w:rsidR="007B0B1A">
        <w:rPr>
          <w:rFonts w:ascii="Arial" w:hAnsi="Arial" w:cs="Arial"/>
        </w:rPr>
        <w:t>es</w:t>
      </w:r>
      <w:r w:rsidRPr="00AD03F1">
        <w:rPr>
          <w:rFonts w:ascii="Arial" w:hAnsi="Arial" w:cs="Arial"/>
        </w:rPr>
        <w:t>.</w:t>
      </w:r>
    </w:p>
    <w:p w:rsidR="00DD28F4" w:rsidRPr="00ED3748" w:rsidRDefault="00DD28F4" w:rsidP="00DD28F4">
      <w:pPr>
        <w:overflowPunct/>
        <w:autoSpaceDE/>
        <w:autoSpaceDN/>
        <w:adjustRightInd/>
        <w:textAlignment w:val="auto"/>
        <w:rPr>
          <w:rFonts w:ascii="Arial" w:hAnsi="Arial" w:cs="Arial"/>
          <w:sz w:val="22"/>
          <w:szCs w:val="22"/>
        </w:rPr>
      </w:pPr>
    </w:p>
    <w:p w:rsidR="00DD28F4" w:rsidRPr="003F0AE6" w:rsidRDefault="00DD28F4" w:rsidP="00DD28F4">
      <w:pPr>
        <w:tabs>
          <w:tab w:val="left" w:pos="-2880"/>
        </w:tabs>
        <w:rPr>
          <w:rFonts w:ascii="Arial" w:hAnsi="Arial" w:cs="Arial"/>
          <w:b/>
          <w:szCs w:val="24"/>
        </w:rPr>
      </w:pPr>
      <w:r w:rsidRPr="003F0AE6">
        <w:rPr>
          <w:rFonts w:ascii="Arial" w:hAnsi="Arial" w:cs="Arial"/>
          <w:b/>
          <w:szCs w:val="24"/>
        </w:rPr>
        <w:t>Recommendation</w:t>
      </w:r>
    </w:p>
    <w:p w:rsidR="00DD28F4" w:rsidRPr="00ED3748" w:rsidRDefault="00DD28F4" w:rsidP="00DD28F4">
      <w:pPr>
        <w:tabs>
          <w:tab w:val="left" w:pos="-2880"/>
        </w:tabs>
        <w:rPr>
          <w:rFonts w:ascii="Arial" w:hAnsi="Arial" w:cs="Arial"/>
          <w:b/>
          <w:sz w:val="22"/>
          <w:szCs w:val="22"/>
          <w:u w:val="single"/>
        </w:rPr>
      </w:pPr>
    </w:p>
    <w:p w:rsidR="00DD28F4" w:rsidRDefault="00DD28F4" w:rsidP="00DD28F4">
      <w:pPr>
        <w:tabs>
          <w:tab w:val="left" w:pos="-1440"/>
          <w:tab w:val="left" w:pos="-720"/>
          <w:tab w:val="left" w:pos="864"/>
          <w:tab w:val="decimal" w:pos="6192"/>
          <w:tab w:val="decimal" w:pos="7344"/>
        </w:tabs>
        <w:suppressAutoHyphens/>
        <w:rPr>
          <w:rFonts w:ascii="Arial" w:hAnsi="Arial" w:cs="Arial"/>
          <w:szCs w:val="24"/>
        </w:rPr>
      </w:pPr>
      <w:r>
        <w:rPr>
          <w:rFonts w:ascii="Arial" w:hAnsi="Arial" w:cs="Arial"/>
          <w:szCs w:val="24"/>
        </w:rPr>
        <w:tab/>
        <w:t>We recommend</w:t>
      </w:r>
      <w:r w:rsidRPr="007C154C">
        <w:rPr>
          <w:rFonts w:ascii="Arial" w:hAnsi="Arial" w:cs="Arial"/>
          <w:szCs w:val="24"/>
        </w:rPr>
        <w:t xml:space="preserve"> that</w:t>
      </w:r>
      <w:r w:rsidR="0092051E">
        <w:rPr>
          <w:rFonts w:ascii="Arial" w:hAnsi="Arial" w:cs="Arial"/>
          <w:szCs w:val="24"/>
        </w:rPr>
        <w:t>, consistent with Order entered August 30, 2012 at Docket No. R-2011-2264771, that when its</w:t>
      </w:r>
      <w:r w:rsidR="007B0B1A">
        <w:rPr>
          <w:rFonts w:ascii="Arial" w:hAnsi="Arial" w:cs="Arial"/>
          <w:szCs w:val="24"/>
        </w:rPr>
        <w:t xml:space="preserve"> </w:t>
      </w:r>
      <w:r w:rsidR="00744F5C">
        <w:rPr>
          <w:rFonts w:ascii="Arial" w:hAnsi="Arial" w:cs="Arial"/>
          <w:szCs w:val="24"/>
        </w:rPr>
        <w:t xml:space="preserve">TOU rates are </w:t>
      </w:r>
      <w:r w:rsidR="0092051E">
        <w:rPr>
          <w:rFonts w:ascii="Arial" w:hAnsi="Arial" w:cs="Arial"/>
          <w:szCs w:val="24"/>
        </w:rPr>
        <w:t xml:space="preserve">unfrozen and </w:t>
      </w:r>
      <w:r w:rsidR="00744F5C">
        <w:rPr>
          <w:rFonts w:ascii="Arial" w:hAnsi="Arial" w:cs="Arial"/>
          <w:szCs w:val="24"/>
        </w:rPr>
        <w:t>reconciled</w:t>
      </w:r>
      <w:r w:rsidR="00933469">
        <w:rPr>
          <w:rFonts w:ascii="Arial" w:hAnsi="Arial" w:cs="Arial"/>
          <w:szCs w:val="24"/>
        </w:rPr>
        <w:t xml:space="preserve"> that the Company refund </w:t>
      </w:r>
      <w:r w:rsidR="00933469" w:rsidRPr="003C007B">
        <w:rPr>
          <w:rFonts w:ascii="Arial" w:hAnsi="Arial" w:cs="Arial"/>
          <w:szCs w:val="24"/>
        </w:rPr>
        <w:t xml:space="preserve">through a subsequent TOU rate filing to the following rate </w:t>
      </w:r>
      <w:r w:rsidR="00933469">
        <w:rPr>
          <w:rFonts w:ascii="Arial" w:hAnsi="Arial" w:cs="Arial"/>
        </w:rPr>
        <w:t>classes:</w:t>
      </w:r>
      <w:r w:rsidR="00933469">
        <w:rPr>
          <w:rFonts w:ascii="Arial" w:hAnsi="Arial" w:cs="Arial"/>
          <w:szCs w:val="24"/>
        </w:rPr>
        <w:t xml:space="preserve">  </w:t>
      </w:r>
      <w:r w:rsidRPr="007C154C">
        <w:rPr>
          <w:rFonts w:ascii="Arial" w:hAnsi="Arial" w:cs="Arial"/>
        </w:rPr>
        <w:t>$</w:t>
      </w:r>
      <w:r w:rsidR="00B16D2A">
        <w:rPr>
          <w:rFonts w:ascii="Arial" w:hAnsi="Arial" w:cs="Arial"/>
        </w:rPr>
        <w:t>21</w:t>
      </w:r>
      <w:r w:rsidRPr="007C154C">
        <w:rPr>
          <w:rFonts w:ascii="Arial" w:hAnsi="Arial" w:cs="Arial"/>
        </w:rPr>
        <w:t>,</w:t>
      </w:r>
      <w:r w:rsidR="00B16D2A">
        <w:rPr>
          <w:rFonts w:ascii="Arial" w:hAnsi="Arial" w:cs="Arial"/>
        </w:rPr>
        <w:t>466</w:t>
      </w:r>
      <w:r w:rsidRPr="007C154C">
        <w:rPr>
          <w:rFonts w:ascii="Arial" w:hAnsi="Arial" w:cs="Arial"/>
        </w:rPr>
        <w:t xml:space="preserve"> to RS Off Peak, $</w:t>
      </w:r>
      <w:r w:rsidR="00B16D2A">
        <w:rPr>
          <w:rFonts w:ascii="Arial" w:hAnsi="Arial" w:cs="Arial"/>
        </w:rPr>
        <w:t>753</w:t>
      </w:r>
      <w:r w:rsidRPr="007C154C">
        <w:rPr>
          <w:rFonts w:ascii="Arial" w:hAnsi="Arial" w:cs="Arial"/>
        </w:rPr>
        <w:t xml:space="preserve"> to RTS Off Peak, $2,</w:t>
      </w:r>
      <w:r w:rsidR="00B16D2A">
        <w:rPr>
          <w:rFonts w:ascii="Arial" w:hAnsi="Arial" w:cs="Arial"/>
        </w:rPr>
        <w:t>265</w:t>
      </w:r>
      <w:r w:rsidRPr="007C154C">
        <w:rPr>
          <w:rFonts w:ascii="Arial" w:hAnsi="Arial" w:cs="Arial"/>
        </w:rPr>
        <w:t xml:space="preserve"> to RTS On Peak.  </w:t>
      </w:r>
      <w:r>
        <w:rPr>
          <w:rFonts w:ascii="Arial" w:hAnsi="Arial" w:cs="Arial"/>
        </w:rPr>
        <w:t>In addition, PPL should r</w:t>
      </w:r>
      <w:r w:rsidRPr="007C154C">
        <w:rPr>
          <w:rFonts w:ascii="Arial" w:hAnsi="Arial" w:cs="Arial"/>
        </w:rPr>
        <w:t xml:space="preserve">ecoup </w:t>
      </w:r>
      <w:r w:rsidR="00B16D2A">
        <w:rPr>
          <w:rFonts w:ascii="Arial" w:hAnsi="Arial" w:cs="Arial"/>
        </w:rPr>
        <w:t>the following</w:t>
      </w:r>
      <w:r>
        <w:rPr>
          <w:rFonts w:ascii="Arial" w:hAnsi="Arial" w:cs="Arial"/>
        </w:rPr>
        <w:t xml:space="preserve"> interest</w:t>
      </w:r>
      <w:r w:rsidR="00B16D2A">
        <w:rPr>
          <w:rFonts w:ascii="Arial" w:hAnsi="Arial" w:cs="Arial"/>
        </w:rPr>
        <w:t xml:space="preserve"> amounts</w:t>
      </w:r>
      <w:r>
        <w:rPr>
          <w:rFonts w:ascii="Arial" w:hAnsi="Arial" w:cs="Arial"/>
        </w:rPr>
        <w:t xml:space="preserve"> </w:t>
      </w:r>
      <w:r w:rsidR="00B16D2A">
        <w:rPr>
          <w:rFonts w:ascii="Arial" w:hAnsi="Arial" w:cs="Arial"/>
        </w:rPr>
        <w:t xml:space="preserve">through a subsequent TOU rate filing </w:t>
      </w:r>
      <w:r w:rsidR="007220E2">
        <w:rPr>
          <w:rFonts w:ascii="Arial" w:hAnsi="Arial" w:cs="Arial"/>
        </w:rPr>
        <w:t>from</w:t>
      </w:r>
      <w:r w:rsidR="00B16D2A">
        <w:rPr>
          <w:rFonts w:ascii="Arial" w:hAnsi="Arial" w:cs="Arial"/>
        </w:rPr>
        <w:t xml:space="preserve"> the following rate classes: </w:t>
      </w:r>
      <w:r w:rsidR="007B0B1A">
        <w:rPr>
          <w:rFonts w:ascii="Arial" w:hAnsi="Arial" w:cs="Arial"/>
        </w:rPr>
        <w:t xml:space="preserve"> </w:t>
      </w:r>
      <w:r w:rsidR="00B16D2A">
        <w:rPr>
          <w:rFonts w:ascii="Arial" w:hAnsi="Arial" w:cs="Arial"/>
        </w:rPr>
        <w:t xml:space="preserve">$525 to RS </w:t>
      </w:r>
      <w:proofErr w:type="gramStart"/>
      <w:r w:rsidR="00B16D2A">
        <w:rPr>
          <w:rFonts w:ascii="Arial" w:hAnsi="Arial" w:cs="Arial"/>
        </w:rPr>
        <w:t>On</w:t>
      </w:r>
      <w:proofErr w:type="gramEnd"/>
      <w:r w:rsidR="00B16D2A">
        <w:rPr>
          <w:rFonts w:ascii="Arial" w:hAnsi="Arial" w:cs="Arial"/>
        </w:rPr>
        <w:t xml:space="preserve"> Peak, $6,532 to SC&amp;I </w:t>
      </w:r>
      <w:r w:rsidRPr="007C154C">
        <w:rPr>
          <w:rFonts w:ascii="Arial" w:hAnsi="Arial" w:cs="Arial"/>
        </w:rPr>
        <w:t>Off Peak</w:t>
      </w:r>
      <w:r w:rsidR="00B16D2A">
        <w:rPr>
          <w:rFonts w:ascii="Arial" w:hAnsi="Arial" w:cs="Arial"/>
        </w:rPr>
        <w:t>, $2,087</w:t>
      </w:r>
      <w:r w:rsidR="00B3530A">
        <w:rPr>
          <w:rFonts w:ascii="Arial" w:hAnsi="Arial" w:cs="Arial"/>
        </w:rPr>
        <w:t xml:space="preserve"> SC&amp;I On Peak</w:t>
      </w:r>
      <w:r w:rsidRPr="007C154C">
        <w:rPr>
          <w:rFonts w:ascii="Arial" w:hAnsi="Arial" w:cs="Arial"/>
        </w:rPr>
        <w:t>.</w:t>
      </w:r>
      <w:r>
        <w:rPr>
          <w:rFonts w:ascii="Arial" w:hAnsi="Arial" w:cs="Arial"/>
        </w:rPr>
        <w:t xml:space="preserve">  </w:t>
      </w:r>
      <w:r w:rsidR="007220E2">
        <w:rPr>
          <w:rFonts w:ascii="Arial" w:hAnsi="Arial" w:cs="Arial"/>
        </w:rPr>
        <w:t>We also recommend that the Company establish</w:t>
      </w:r>
      <w:r w:rsidR="007220E2" w:rsidRPr="00DF518D">
        <w:rPr>
          <w:rFonts w:ascii="Arial" w:hAnsi="Arial" w:cs="Arial"/>
        </w:rPr>
        <w:t xml:space="preserve"> controls to </w:t>
      </w:r>
      <w:r w:rsidR="007220E2">
        <w:rPr>
          <w:rFonts w:ascii="Arial" w:hAnsi="Arial" w:cs="Arial"/>
        </w:rPr>
        <w:t>ensure that in the future the E</w:t>
      </w:r>
      <w:r w:rsidR="007220E2">
        <w:rPr>
          <w:rFonts w:ascii="Arial" w:hAnsi="Arial" w:cs="Arial"/>
        </w:rPr>
        <w:noBreakHyphen/>
        <w:t xml:space="preserve">Factor and C-Factor components of the approved tariff rates are not adjusted once the rate is in effect. </w:t>
      </w:r>
    </w:p>
    <w:p w:rsidR="00DD28F4" w:rsidRDefault="00DD28F4" w:rsidP="00DD28F4">
      <w:pPr>
        <w:tabs>
          <w:tab w:val="left" w:pos="-2880"/>
        </w:tabs>
        <w:rPr>
          <w:rFonts w:ascii="Arial" w:hAnsi="Arial" w:cs="Arial"/>
          <w:szCs w:val="24"/>
        </w:rPr>
      </w:pPr>
    </w:p>
    <w:p w:rsidR="0016658F" w:rsidRPr="00DD6F3F" w:rsidRDefault="0016658F" w:rsidP="0016658F">
      <w:pPr>
        <w:pStyle w:val="Heading1"/>
        <w:tabs>
          <w:tab w:val="clear" w:pos="4680"/>
          <w:tab w:val="left" w:pos="360"/>
        </w:tabs>
        <w:rPr>
          <w:rFonts w:ascii="Arial" w:hAnsi="Arial" w:cs="Arial"/>
          <w:sz w:val="26"/>
          <w:szCs w:val="26"/>
          <w:u w:val="none"/>
        </w:rPr>
      </w:pPr>
      <w:r w:rsidRPr="00DD6F3F">
        <w:rPr>
          <w:rFonts w:ascii="Arial" w:hAnsi="Arial" w:cs="Arial"/>
          <w:sz w:val="26"/>
          <w:szCs w:val="26"/>
          <w:u w:val="none"/>
        </w:rPr>
        <w:lastRenderedPageBreak/>
        <w:t>PPL ELECTRIC UTILITIES CORPORATION</w:t>
      </w:r>
    </w:p>
    <w:p w:rsidR="0016658F" w:rsidRPr="00DD6F3F" w:rsidRDefault="0016658F" w:rsidP="0016658F">
      <w:pPr>
        <w:pStyle w:val="Heading1"/>
        <w:tabs>
          <w:tab w:val="clear" w:pos="4680"/>
          <w:tab w:val="left" w:pos="360"/>
        </w:tabs>
        <w:jc w:val="left"/>
        <w:rPr>
          <w:rFonts w:ascii="Arial" w:hAnsi="Arial" w:cs="Arial"/>
          <w:sz w:val="26"/>
          <w:szCs w:val="26"/>
          <w:u w:val="none"/>
        </w:rPr>
      </w:pPr>
    </w:p>
    <w:p w:rsidR="0016658F" w:rsidRPr="00DD6F3F" w:rsidRDefault="0016658F" w:rsidP="0016658F">
      <w:pPr>
        <w:pStyle w:val="Heading1"/>
        <w:tabs>
          <w:tab w:val="left" w:pos="-3060"/>
        </w:tabs>
        <w:rPr>
          <w:rFonts w:ascii="Arial" w:hAnsi="Arial" w:cs="Arial"/>
          <w:sz w:val="26"/>
          <w:szCs w:val="26"/>
          <w:u w:val="none"/>
        </w:rPr>
      </w:pPr>
      <w:r w:rsidRPr="00DD6F3F">
        <w:rPr>
          <w:rFonts w:ascii="Arial" w:hAnsi="Arial" w:cs="Arial"/>
          <w:sz w:val="26"/>
          <w:szCs w:val="26"/>
          <w:u w:val="none"/>
        </w:rPr>
        <w:t>Current Period Audit Finding (</w:t>
      </w:r>
      <w:r>
        <w:rPr>
          <w:rFonts w:ascii="Arial" w:hAnsi="Arial" w:cs="Arial"/>
          <w:sz w:val="26"/>
          <w:szCs w:val="26"/>
          <w:u w:val="none"/>
        </w:rPr>
        <w:t>c</w:t>
      </w:r>
      <w:r w:rsidRPr="00DD6F3F">
        <w:rPr>
          <w:rFonts w:ascii="Arial" w:hAnsi="Arial" w:cs="Arial"/>
          <w:sz w:val="26"/>
          <w:szCs w:val="26"/>
          <w:u w:val="none"/>
        </w:rPr>
        <w:t>ont</w:t>
      </w:r>
      <w:r>
        <w:rPr>
          <w:rFonts w:ascii="Arial" w:hAnsi="Arial" w:cs="Arial"/>
          <w:sz w:val="26"/>
          <w:szCs w:val="26"/>
          <w:u w:val="none"/>
        </w:rPr>
        <w:t>inued</w:t>
      </w:r>
      <w:r w:rsidRPr="00DD6F3F">
        <w:rPr>
          <w:rFonts w:ascii="Arial" w:hAnsi="Arial" w:cs="Arial"/>
          <w:sz w:val="26"/>
          <w:szCs w:val="26"/>
          <w:u w:val="none"/>
        </w:rPr>
        <w:t>)</w:t>
      </w:r>
    </w:p>
    <w:p w:rsidR="0016658F" w:rsidRDefault="0016658F" w:rsidP="00ED3748">
      <w:pPr>
        <w:pStyle w:val="Heading1"/>
        <w:tabs>
          <w:tab w:val="left" w:pos="-3060"/>
        </w:tabs>
        <w:jc w:val="left"/>
        <w:rPr>
          <w:rFonts w:ascii="Arial" w:hAnsi="Arial" w:cs="Arial"/>
          <w:szCs w:val="24"/>
          <w:u w:val="none"/>
        </w:rPr>
      </w:pPr>
    </w:p>
    <w:p w:rsidR="0016658F" w:rsidRDefault="0016658F" w:rsidP="00ED3748">
      <w:pPr>
        <w:pStyle w:val="Heading1"/>
        <w:tabs>
          <w:tab w:val="left" w:pos="-3060"/>
        </w:tabs>
        <w:jc w:val="left"/>
        <w:rPr>
          <w:rFonts w:ascii="Arial" w:hAnsi="Arial" w:cs="Arial"/>
          <w:szCs w:val="24"/>
          <w:u w:val="none"/>
        </w:rPr>
      </w:pPr>
    </w:p>
    <w:p w:rsidR="00ED3748" w:rsidRPr="003F0AE6" w:rsidRDefault="00ED3748" w:rsidP="00ED3748">
      <w:pPr>
        <w:pStyle w:val="Heading1"/>
        <w:tabs>
          <w:tab w:val="left" w:pos="-3060"/>
        </w:tabs>
        <w:jc w:val="left"/>
        <w:rPr>
          <w:rFonts w:ascii="Arial" w:hAnsi="Arial" w:cs="Arial"/>
          <w:szCs w:val="24"/>
          <w:u w:val="none"/>
        </w:rPr>
      </w:pPr>
      <w:r w:rsidRPr="003F0AE6">
        <w:rPr>
          <w:rFonts w:ascii="Arial" w:hAnsi="Arial" w:cs="Arial"/>
          <w:szCs w:val="24"/>
          <w:u w:val="none"/>
        </w:rPr>
        <w:t>Auditor’s Note</w:t>
      </w:r>
    </w:p>
    <w:p w:rsidR="00ED3748" w:rsidRDefault="00ED3748" w:rsidP="00ED3748"/>
    <w:p w:rsidR="00ED3748" w:rsidRPr="00CD5A74" w:rsidRDefault="00ED3748" w:rsidP="00ED3748">
      <w:pPr>
        <w:rPr>
          <w:rFonts w:ascii="Arial" w:hAnsi="Arial" w:cs="Arial"/>
        </w:rPr>
      </w:pPr>
      <w:r>
        <w:rPr>
          <w:rFonts w:ascii="Arial" w:hAnsi="Arial" w:cs="Arial"/>
        </w:rPr>
        <w:tab/>
        <w:t>The Company agrees with the recommendation.</w:t>
      </w:r>
    </w:p>
    <w:p w:rsidR="005D711E" w:rsidRPr="003F0AE6" w:rsidRDefault="00FA7E9F" w:rsidP="00876EB0">
      <w:pPr>
        <w:pStyle w:val="Heading1"/>
        <w:tabs>
          <w:tab w:val="clear" w:pos="4680"/>
          <w:tab w:val="left" w:pos="360"/>
        </w:tabs>
        <w:rPr>
          <w:rFonts w:ascii="Arial" w:hAnsi="Arial" w:cs="Arial"/>
          <w:sz w:val="26"/>
          <w:szCs w:val="26"/>
          <w:u w:val="none"/>
        </w:rPr>
      </w:pPr>
      <w:r>
        <w:rPr>
          <w:rFonts w:ascii="Arial" w:hAnsi="Arial" w:cs="Arial"/>
        </w:rPr>
        <w:br w:type="page"/>
      </w:r>
      <w:r w:rsidR="007603E9" w:rsidRPr="003F0AE6">
        <w:rPr>
          <w:rFonts w:ascii="Arial" w:hAnsi="Arial" w:cs="Arial"/>
          <w:sz w:val="26"/>
          <w:szCs w:val="26"/>
          <w:u w:val="none"/>
        </w:rPr>
        <w:lastRenderedPageBreak/>
        <w:t>ACKNOWLEDGEMENTS</w:t>
      </w:r>
    </w:p>
    <w:p w:rsidR="007603E9" w:rsidRPr="006C2E78" w:rsidRDefault="007603E9" w:rsidP="00905409">
      <w:pPr>
        <w:rPr>
          <w:rFonts w:ascii="Arial" w:hAnsi="Arial" w:cs="Arial"/>
          <w:b/>
          <w:szCs w:val="24"/>
          <w:u w:val="single"/>
        </w:rPr>
      </w:pPr>
    </w:p>
    <w:p w:rsidR="003612E7" w:rsidRPr="006C2E78" w:rsidRDefault="003612E7" w:rsidP="00905409">
      <w:pPr>
        <w:rPr>
          <w:rFonts w:ascii="Arial" w:hAnsi="Arial" w:cs="Arial"/>
          <w:b/>
          <w:szCs w:val="24"/>
          <w:u w:val="single"/>
        </w:rPr>
      </w:pPr>
    </w:p>
    <w:p w:rsidR="007603E9" w:rsidRPr="007A206B" w:rsidRDefault="007603E9" w:rsidP="00905409">
      <w:pPr>
        <w:rPr>
          <w:rFonts w:ascii="Arial" w:hAnsi="Arial" w:cs="Arial"/>
          <w:szCs w:val="24"/>
        </w:rPr>
      </w:pPr>
      <w:r w:rsidRPr="006C2E78">
        <w:rPr>
          <w:rFonts w:ascii="Arial" w:hAnsi="Arial" w:cs="Arial"/>
          <w:szCs w:val="24"/>
        </w:rPr>
        <w:tab/>
        <w:t xml:space="preserve">We wish to express our appreciation to the officers and staff of </w:t>
      </w:r>
      <w:r w:rsidR="0074546C">
        <w:rPr>
          <w:rFonts w:ascii="Arial" w:hAnsi="Arial" w:cs="Arial"/>
          <w:szCs w:val="24"/>
        </w:rPr>
        <w:t>PPL Electric Utilities Corporation</w:t>
      </w:r>
      <w:r w:rsidRPr="006C2E78">
        <w:rPr>
          <w:rFonts w:ascii="Arial" w:hAnsi="Arial" w:cs="Arial"/>
          <w:szCs w:val="24"/>
        </w:rPr>
        <w:t xml:space="preserve"> for the cooperation and assistance given</w:t>
      </w:r>
      <w:r w:rsidR="00CF7432" w:rsidRPr="006C2E78">
        <w:rPr>
          <w:rFonts w:ascii="Arial" w:hAnsi="Arial" w:cs="Arial"/>
          <w:szCs w:val="24"/>
        </w:rPr>
        <w:t xml:space="preserve"> to </w:t>
      </w:r>
      <w:r w:rsidRPr="006C2E78">
        <w:rPr>
          <w:rFonts w:ascii="Arial" w:hAnsi="Arial" w:cs="Arial"/>
          <w:szCs w:val="24"/>
        </w:rPr>
        <w:t xml:space="preserve">us during the course of our examination.  </w:t>
      </w:r>
      <w:r w:rsidR="00C208DE" w:rsidRPr="006C2E78">
        <w:rPr>
          <w:rFonts w:ascii="Arial" w:hAnsi="Arial" w:cs="Arial"/>
          <w:szCs w:val="24"/>
        </w:rPr>
        <w:t xml:space="preserve">The audit was conducted by </w:t>
      </w:r>
      <w:r w:rsidR="00876EB0">
        <w:rPr>
          <w:rFonts w:ascii="Arial" w:hAnsi="Arial" w:cs="Arial"/>
          <w:szCs w:val="24"/>
        </w:rPr>
        <w:t>Walter D.</w:t>
      </w:r>
      <w:r w:rsidR="0074546C">
        <w:rPr>
          <w:rFonts w:ascii="Arial" w:hAnsi="Arial" w:cs="Arial"/>
          <w:szCs w:val="24"/>
        </w:rPr>
        <w:t xml:space="preserve"> </w:t>
      </w:r>
      <w:r w:rsidR="00876EB0">
        <w:rPr>
          <w:rFonts w:ascii="Arial" w:hAnsi="Arial" w:cs="Arial"/>
          <w:szCs w:val="24"/>
        </w:rPr>
        <w:t>Burd</w:t>
      </w:r>
      <w:r w:rsidR="003B7861" w:rsidRPr="006C2E78">
        <w:rPr>
          <w:rFonts w:ascii="Arial" w:hAnsi="Arial" w:cs="Arial"/>
          <w:szCs w:val="24"/>
        </w:rPr>
        <w:t>, assisted</w:t>
      </w:r>
      <w:r w:rsidR="00C208DE" w:rsidRPr="006C2E78">
        <w:rPr>
          <w:rFonts w:ascii="Arial" w:hAnsi="Arial" w:cs="Arial"/>
          <w:szCs w:val="24"/>
        </w:rPr>
        <w:t xml:space="preserve"> by</w:t>
      </w:r>
      <w:r w:rsidR="003E644B" w:rsidRPr="006C2E78">
        <w:rPr>
          <w:rFonts w:ascii="Arial" w:hAnsi="Arial" w:cs="Arial"/>
          <w:szCs w:val="24"/>
        </w:rPr>
        <w:t xml:space="preserve"> </w:t>
      </w:r>
      <w:r w:rsidR="00744F5C">
        <w:rPr>
          <w:rFonts w:ascii="Arial" w:hAnsi="Arial" w:cs="Arial"/>
          <w:szCs w:val="24"/>
        </w:rPr>
        <w:t>David Kennerly</w:t>
      </w:r>
      <w:r w:rsidR="00E20498">
        <w:rPr>
          <w:rFonts w:ascii="Arial" w:hAnsi="Arial" w:cs="Arial"/>
          <w:szCs w:val="24"/>
        </w:rPr>
        <w:t>.</w:t>
      </w:r>
    </w:p>
    <w:p w:rsidR="00D21BB1" w:rsidRPr="007A206B" w:rsidRDefault="00D21BB1" w:rsidP="00905409">
      <w:pPr>
        <w:rPr>
          <w:rFonts w:ascii="Arial" w:hAnsi="Arial" w:cs="Arial"/>
          <w:szCs w:val="24"/>
        </w:rPr>
      </w:pPr>
    </w:p>
    <w:sectPr w:rsidR="00D21BB1" w:rsidRPr="007A206B" w:rsidSect="0019026C">
      <w:headerReference w:type="even" r:id="rId41"/>
      <w:headerReference w:type="default" r:id="rId42"/>
      <w:footerReference w:type="default" r:id="rId43"/>
      <w:headerReference w:type="first" r:id="rId44"/>
      <w:endnotePr>
        <w:numFmt w:val="decimal"/>
      </w:endnotePr>
      <w:pgSz w:w="12240" w:h="15840" w:code="1"/>
      <w:pgMar w:top="1440" w:right="1440" w:bottom="1152" w:left="1440" w:header="0" w:footer="720" w:gutter="0"/>
      <w:pgNumType w:fmt="numberInDash" w:start="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23B" w:rsidRDefault="00D7223B">
      <w:r>
        <w:separator/>
      </w:r>
    </w:p>
  </w:endnote>
  <w:endnote w:type="continuationSeparator" w:id="0">
    <w:p w:rsidR="00D7223B" w:rsidRDefault="00D7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8E2E2A" w:rsidP="00485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E2E2A" w:rsidRDefault="008E2E2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BFA" w:rsidRPr="00FA7E9F" w:rsidRDefault="00FA7E9F" w:rsidP="00FA7E9F">
    <w:pPr>
      <w:pStyle w:val="Footer"/>
      <w:jc w:val="center"/>
      <w:rPr>
        <w:rFonts w:ascii="Arial" w:hAnsi="Arial" w:cs="Arial"/>
      </w:rPr>
    </w:pPr>
    <w:r w:rsidRPr="00FA7E9F">
      <w:rPr>
        <w:rFonts w:ascii="Arial" w:hAnsi="Arial" w:cs="Arial"/>
      </w:rPr>
      <w:fldChar w:fldCharType="begin"/>
    </w:r>
    <w:r w:rsidRPr="00FA7E9F">
      <w:rPr>
        <w:rFonts w:ascii="Arial" w:hAnsi="Arial" w:cs="Arial"/>
      </w:rPr>
      <w:instrText xml:space="preserve"> PAGE   \* MERGEFORMAT </w:instrText>
    </w:r>
    <w:r w:rsidRPr="00FA7E9F">
      <w:rPr>
        <w:rFonts w:ascii="Arial" w:hAnsi="Arial" w:cs="Arial"/>
      </w:rPr>
      <w:fldChar w:fldCharType="separate"/>
    </w:r>
    <w:r w:rsidR="00787001">
      <w:rPr>
        <w:rFonts w:ascii="Arial" w:hAnsi="Arial" w:cs="Arial"/>
        <w:noProof/>
      </w:rPr>
      <w:t>- 10 -</w:t>
    </w:r>
    <w:r w:rsidRPr="00FA7E9F">
      <w:rPr>
        <w:rFonts w:ascii="Arial" w:hAnsi="Arial" w:cs="Arial"/>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Default="008E2E2A">
    <w:pPr>
      <w:pStyle w:val="Footer"/>
      <w:tabs>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A7" w:rsidRDefault="008A48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E2A" w:rsidRPr="00FA7E9F" w:rsidRDefault="008E2E2A" w:rsidP="00FA7E9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9F" w:rsidRPr="00FA7E9F" w:rsidRDefault="00FA7E9F" w:rsidP="00FA7E9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9F" w:rsidRPr="00FA7E9F" w:rsidRDefault="00FA7E9F" w:rsidP="00FA7E9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F7D" w:rsidRPr="000D2F7D" w:rsidRDefault="000D2F7D" w:rsidP="000D2F7D">
    <w:pPr>
      <w:pStyle w:val="Footer"/>
      <w:jc w:val="center"/>
      <w:rPr>
        <w:rFonts w:ascii="Arial" w:hAnsi="Arial" w:cs="Arial"/>
      </w:rPr>
    </w:pPr>
    <w:r w:rsidRPr="000D2F7D">
      <w:rPr>
        <w:rFonts w:ascii="Arial" w:hAnsi="Arial" w:cs="Arial"/>
      </w:rPr>
      <w:fldChar w:fldCharType="begin"/>
    </w:r>
    <w:r w:rsidRPr="000D2F7D">
      <w:rPr>
        <w:rFonts w:ascii="Arial" w:hAnsi="Arial" w:cs="Arial"/>
      </w:rPr>
      <w:instrText xml:space="preserve"> PAGE   \* MERGEFORMAT </w:instrText>
    </w:r>
    <w:r w:rsidRPr="000D2F7D">
      <w:rPr>
        <w:rFonts w:ascii="Arial" w:hAnsi="Arial" w:cs="Arial"/>
      </w:rPr>
      <w:fldChar w:fldCharType="separate"/>
    </w:r>
    <w:r w:rsidR="003B4AF8">
      <w:rPr>
        <w:rFonts w:ascii="Arial" w:hAnsi="Arial" w:cs="Arial"/>
        <w:noProof/>
      </w:rPr>
      <w:t>- 2 -</w:t>
    </w:r>
    <w:r w:rsidRPr="000D2F7D">
      <w:rPr>
        <w:rFonts w:ascii="Arial" w:hAnsi="Arial" w:cs="Arial"/>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0342377"/>
      <w:docPartObj>
        <w:docPartGallery w:val="Page Numbers (Bottom of Page)"/>
        <w:docPartUnique/>
      </w:docPartObj>
    </w:sdtPr>
    <w:sdtEndPr>
      <w:rPr>
        <w:noProof/>
      </w:rPr>
    </w:sdtEndPr>
    <w:sdtContent>
      <w:p w:rsidR="0019026C" w:rsidRPr="00D06D67" w:rsidRDefault="006E0301" w:rsidP="006E0301">
        <w:pPr>
          <w:pStyle w:val="Footer"/>
          <w:jc w:val="center"/>
        </w:pPr>
        <w:r w:rsidRPr="006E0301">
          <w:rPr>
            <w:rFonts w:ascii="Arial" w:hAnsi="Arial" w:cs="Arial"/>
          </w:rPr>
          <w:fldChar w:fldCharType="begin"/>
        </w:r>
        <w:r w:rsidRPr="006E0301">
          <w:rPr>
            <w:rFonts w:ascii="Arial" w:hAnsi="Arial" w:cs="Arial"/>
          </w:rPr>
          <w:instrText xml:space="preserve"> PAGE   \* MERGEFORMAT </w:instrText>
        </w:r>
        <w:r w:rsidRPr="006E0301">
          <w:rPr>
            <w:rFonts w:ascii="Arial" w:hAnsi="Arial" w:cs="Arial"/>
          </w:rPr>
          <w:fldChar w:fldCharType="separate"/>
        </w:r>
        <w:r w:rsidR="00787001">
          <w:rPr>
            <w:rFonts w:ascii="Arial" w:hAnsi="Arial" w:cs="Arial"/>
            <w:noProof/>
          </w:rPr>
          <w:t>- 4 -</w:t>
        </w:r>
        <w:r w:rsidRPr="006E0301">
          <w:rPr>
            <w:rFonts w:ascii="Arial" w:hAnsi="Arial" w:cs="Arial"/>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301" w:rsidRPr="00D06D67" w:rsidRDefault="006E0301" w:rsidP="006E030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23B" w:rsidRDefault="00D7223B">
      <w:r>
        <w:separator/>
      </w:r>
    </w:p>
  </w:footnote>
  <w:footnote w:type="continuationSeparator" w:id="0">
    <w:p w:rsidR="00D7223B" w:rsidRDefault="00D722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A7" w:rsidRDefault="008A48A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37" w:rsidRDefault="00CE6637">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37" w:rsidRDefault="00CE663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37" w:rsidRDefault="00CE663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A7" w:rsidRDefault="008A48A7">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A7" w:rsidRDefault="008A48A7">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A7" w:rsidRDefault="008A48A7">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37" w:rsidRDefault="00CE6637">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37" w:rsidRDefault="00CE6637">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637" w:rsidRDefault="00CE6637">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A7" w:rsidRDefault="008A48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A7" w:rsidRDefault="008A48A7">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A7" w:rsidRDefault="008A48A7">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A7" w:rsidRDefault="008A48A7">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4EB" w:rsidRDefault="000944EB">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4EB" w:rsidRDefault="000944EB">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4EB" w:rsidRDefault="000944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A7" w:rsidRDefault="008A48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48" w:rsidRDefault="0053074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48" w:rsidRDefault="0053074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748" w:rsidRDefault="0053074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4EB" w:rsidRDefault="000944E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4EB" w:rsidRDefault="000944E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4EB" w:rsidRDefault="000944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307456"/>
    <w:multiLevelType w:val="hybridMultilevel"/>
    <w:tmpl w:val="B0E247C0"/>
    <w:lvl w:ilvl="0" w:tplc="A53A3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nsid w:val="12FC74CF"/>
    <w:multiLevelType w:val="hybridMultilevel"/>
    <w:tmpl w:val="E5EC32CA"/>
    <w:lvl w:ilvl="0" w:tplc="26C0ED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5">
    <w:nsid w:val="1C2905B9"/>
    <w:multiLevelType w:val="hybridMultilevel"/>
    <w:tmpl w:val="B9F2FEFA"/>
    <w:lvl w:ilvl="0" w:tplc="FC1ED2C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26524"/>
    <w:multiLevelType w:val="hybridMultilevel"/>
    <w:tmpl w:val="711A95BE"/>
    <w:lvl w:ilvl="0" w:tplc="1ECA99D8">
      <w:numFmt w:val="bullet"/>
      <w:lvlText w:val=""/>
      <w:lvlJc w:val="left"/>
      <w:pPr>
        <w:ind w:left="240" w:hanging="360"/>
      </w:pPr>
      <w:rPr>
        <w:rFonts w:ascii="Symbol" w:eastAsia="Times New Roman" w:hAnsi="Symbol" w:cs="Arial"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7">
    <w:nsid w:val="26177BC6"/>
    <w:multiLevelType w:val="hybridMultilevel"/>
    <w:tmpl w:val="4A923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C7F41D3"/>
    <w:multiLevelType w:val="hybridMultilevel"/>
    <w:tmpl w:val="D9820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0">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11">
    <w:nsid w:val="3E992231"/>
    <w:multiLevelType w:val="hybridMultilevel"/>
    <w:tmpl w:val="A2BC7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3DA6CED"/>
    <w:multiLevelType w:val="hybridMultilevel"/>
    <w:tmpl w:val="6BE8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9"/>
  </w:num>
  <w:num w:numId="4">
    <w:abstractNumId w:val="2"/>
  </w:num>
  <w:num w:numId="5">
    <w:abstractNumId w:val="4"/>
  </w:num>
  <w:num w:numId="6">
    <w:abstractNumId w:val="3"/>
  </w:num>
  <w:num w:numId="7">
    <w:abstractNumId w:val="12"/>
  </w:num>
  <w:num w:numId="8">
    <w:abstractNumId w:val="1"/>
  </w:num>
  <w:num w:numId="9">
    <w:abstractNumId w:val="8"/>
  </w:num>
  <w:num w:numId="10">
    <w:abstractNumId w:val="11"/>
  </w:num>
  <w:num w:numId="11">
    <w:abstractNumId w:val="7"/>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E"/>
    <w:rsid w:val="00000053"/>
    <w:rsid w:val="000008D8"/>
    <w:rsid w:val="000014E9"/>
    <w:rsid w:val="00002328"/>
    <w:rsid w:val="000058DD"/>
    <w:rsid w:val="000065D6"/>
    <w:rsid w:val="000068CE"/>
    <w:rsid w:val="000069D5"/>
    <w:rsid w:val="00006F7C"/>
    <w:rsid w:val="00007FF2"/>
    <w:rsid w:val="00010347"/>
    <w:rsid w:val="00011623"/>
    <w:rsid w:val="00011810"/>
    <w:rsid w:val="00011DF0"/>
    <w:rsid w:val="00013201"/>
    <w:rsid w:val="000157D7"/>
    <w:rsid w:val="00015CB1"/>
    <w:rsid w:val="00015EE2"/>
    <w:rsid w:val="000162AB"/>
    <w:rsid w:val="000166C7"/>
    <w:rsid w:val="000170BD"/>
    <w:rsid w:val="00020E5C"/>
    <w:rsid w:val="00021880"/>
    <w:rsid w:val="00021C53"/>
    <w:rsid w:val="00023F02"/>
    <w:rsid w:val="000244C4"/>
    <w:rsid w:val="0002626A"/>
    <w:rsid w:val="00027AC3"/>
    <w:rsid w:val="000315A5"/>
    <w:rsid w:val="00031B75"/>
    <w:rsid w:val="00031D01"/>
    <w:rsid w:val="0003354D"/>
    <w:rsid w:val="00033937"/>
    <w:rsid w:val="00033ECB"/>
    <w:rsid w:val="000347BF"/>
    <w:rsid w:val="000360DC"/>
    <w:rsid w:val="00036C2A"/>
    <w:rsid w:val="0003704D"/>
    <w:rsid w:val="000372CE"/>
    <w:rsid w:val="00037B79"/>
    <w:rsid w:val="000419CC"/>
    <w:rsid w:val="000442F2"/>
    <w:rsid w:val="00044B0B"/>
    <w:rsid w:val="00044F2B"/>
    <w:rsid w:val="000453E2"/>
    <w:rsid w:val="0004663E"/>
    <w:rsid w:val="00046640"/>
    <w:rsid w:val="00047EF9"/>
    <w:rsid w:val="000502A5"/>
    <w:rsid w:val="000505BE"/>
    <w:rsid w:val="000508AF"/>
    <w:rsid w:val="00052156"/>
    <w:rsid w:val="00052968"/>
    <w:rsid w:val="00053070"/>
    <w:rsid w:val="00053C47"/>
    <w:rsid w:val="00054EF6"/>
    <w:rsid w:val="000556FD"/>
    <w:rsid w:val="00055AF6"/>
    <w:rsid w:val="000569DD"/>
    <w:rsid w:val="00056D53"/>
    <w:rsid w:val="000577C0"/>
    <w:rsid w:val="00057B4C"/>
    <w:rsid w:val="00060885"/>
    <w:rsid w:val="00060C18"/>
    <w:rsid w:val="00061757"/>
    <w:rsid w:val="00061843"/>
    <w:rsid w:val="00064A95"/>
    <w:rsid w:val="00066F74"/>
    <w:rsid w:val="00070064"/>
    <w:rsid w:val="00072D88"/>
    <w:rsid w:val="00075059"/>
    <w:rsid w:val="000775B4"/>
    <w:rsid w:val="00077B12"/>
    <w:rsid w:val="00080FED"/>
    <w:rsid w:val="000827D8"/>
    <w:rsid w:val="00082BDC"/>
    <w:rsid w:val="000830F4"/>
    <w:rsid w:val="0008324C"/>
    <w:rsid w:val="000843E7"/>
    <w:rsid w:val="000862EE"/>
    <w:rsid w:val="00086D47"/>
    <w:rsid w:val="000925FB"/>
    <w:rsid w:val="000935FF"/>
    <w:rsid w:val="000944E3"/>
    <w:rsid w:val="000944EB"/>
    <w:rsid w:val="00097AAD"/>
    <w:rsid w:val="00097B77"/>
    <w:rsid w:val="000A09E9"/>
    <w:rsid w:val="000A3382"/>
    <w:rsid w:val="000A424E"/>
    <w:rsid w:val="000A47F7"/>
    <w:rsid w:val="000A480D"/>
    <w:rsid w:val="000A7085"/>
    <w:rsid w:val="000A769D"/>
    <w:rsid w:val="000B0498"/>
    <w:rsid w:val="000B4091"/>
    <w:rsid w:val="000B4D4A"/>
    <w:rsid w:val="000B5397"/>
    <w:rsid w:val="000B7AA4"/>
    <w:rsid w:val="000C0401"/>
    <w:rsid w:val="000C0673"/>
    <w:rsid w:val="000C077A"/>
    <w:rsid w:val="000C1019"/>
    <w:rsid w:val="000C1526"/>
    <w:rsid w:val="000C23EF"/>
    <w:rsid w:val="000C6E9E"/>
    <w:rsid w:val="000C7C0E"/>
    <w:rsid w:val="000C7C23"/>
    <w:rsid w:val="000D07EE"/>
    <w:rsid w:val="000D0C52"/>
    <w:rsid w:val="000D2F7D"/>
    <w:rsid w:val="000D3162"/>
    <w:rsid w:val="000D36EC"/>
    <w:rsid w:val="000D389D"/>
    <w:rsid w:val="000D4E11"/>
    <w:rsid w:val="000D7ED0"/>
    <w:rsid w:val="000E1CF4"/>
    <w:rsid w:val="000E3090"/>
    <w:rsid w:val="000E3141"/>
    <w:rsid w:val="000E3E48"/>
    <w:rsid w:val="000E4B0D"/>
    <w:rsid w:val="000E6288"/>
    <w:rsid w:val="000E6571"/>
    <w:rsid w:val="000E6D9E"/>
    <w:rsid w:val="000E7FF1"/>
    <w:rsid w:val="000F11FD"/>
    <w:rsid w:val="000F237D"/>
    <w:rsid w:val="000F2F3B"/>
    <w:rsid w:val="000F4016"/>
    <w:rsid w:val="000F6CC8"/>
    <w:rsid w:val="00101D15"/>
    <w:rsid w:val="00102AAC"/>
    <w:rsid w:val="00102D5B"/>
    <w:rsid w:val="001032C8"/>
    <w:rsid w:val="00103CB4"/>
    <w:rsid w:val="0010499E"/>
    <w:rsid w:val="001066B1"/>
    <w:rsid w:val="001067A5"/>
    <w:rsid w:val="00106ADD"/>
    <w:rsid w:val="00107CAA"/>
    <w:rsid w:val="00111FE4"/>
    <w:rsid w:val="00113680"/>
    <w:rsid w:val="00113B97"/>
    <w:rsid w:val="00114448"/>
    <w:rsid w:val="00114ED2"/>
    <w:rsid w:val="001175DC"/>
    <w:rsid w:val="00117A35"/>
    <w:rsid w:val="0012026E"/>
    <w:rsid w:val="00120C2B"/>
    <w:rsid w:val="00123DA5"/>
    <w:rsid w:val="00124112"/>
    <w:rsid w:val="00124D6F"/>
    <w:rsid w:val="0012782C"/>
    <w:rsid w:val="0013081F"/>
    <w:rsid w:val="0013085C"/>
    <w:rsid w:val="00131DDB"/>
    <w:rsid w:val="00131E66"/>
    <w:rsid w:val="00133126"/>
    <w:rsid w:val="00135C0E"/>
    <w:rsid w:val="00135EC4"/>
    <w:rsid w:val="00137370"/>
    <w:rsid w:val="001378ED"/>
    <w:rsid w:val="00137C3B"/>
    <w:rsid w:val="00137DB9"/>
    <w:rsid w:val="00141F39"/>
    <w:rsid w:val="001428D7"/>
    <w:rsid w:val="00143115"/>
    <w:rsid w:val="0014334C"/>
    <w:rsid w:val="0014482D"/>
    <w:rsid w:val="00144BDA"/>
    <w:rsid w:val="0014537E"/>
    <w:rsid w:val="00146132"/>
    <w:rsid w:val="00150043"/>
    <w:rsid w:val="00150332"/>
    <w:rsid w:val="00150CFD"/>
    <w:rsid w:val="00154DD2"/>
    <w:rsid w:val="00155701"/>
    <w:rsid w:val="001572A6"/>
    <w:rsid w:val="00157380"/>
    <w:rsid w:val="00157397"/>
    <w:rsid w:val="00157BF1"/>
    <w:rsid w:val="00160FFA"/>
    <w:rsid w:val="00161B74"/>
    <w:rsid w:val="00162C55"/>
    <w:rsid w:val="001635FF"/>
    <w:rsid w:val="0016361B"/>
    <w:rsid w:val="00164754"/>
    <w:rsid w:val="001657F8"/>
    <w:rsid w:val="0016639F"/>
    <w:rsid w:val="0016658F"/>
    <w:rsid w:val="001665FE"/>
    <w:rsid w:val="00166716"/>
    <w:rsid w:val="00170113"/>
    <w:rsid w:val="001704DD"/>
    <w:rsid w:val="00172359"/>
    <w:rsid w:val="00172A73"/>
    <w:rsid w:val="00172C9B"/>
    <w:rsid w:val="0017305E"/>
    <w:rsid w:val="00173A1E"/>
    <w:rsid w:val="00173D64"/>
    <w:rsid w:val="00173F1D"/>
    <w:rsid w:val="0017508B"/>
    <w:rsid w:val="00176017"/>
    <w:rsid w:val="0017608D"/>
    <w:rsid w:val="00177533"/>
    <w:rsid w:val="00177F78"/>
    <w:rsid w:val="00180395"/>
    <w:rsid w:val="001814C1"/>
    <w:rsid w:val="00186FF1"/>
    <w:rsid w:val="0018725D"/>
    <w:rsid w:val="001877B4"/>
    <w:rsid w:val="0019026C"/>
    <w:rsid w:val="0019208C"/>
    <w:rsid w:val="00192144"/>
    <w:rsid w:val="00193D8E"/>
    <w:rsid w:val="001943CA"/>
    <w:rsid w:val="00194FE4"/>
    <w:rsid w:val="001969E6"/>
    <w:rsid w:val="001A1B0A"/>
    <w:rsid w:val="001A1E97"/>
    <w:rsid w:val="001A36FF"/>
    <w:rsid w:val="001A3EEE"/>
    <w:rsid w:val="001B0888"/>
    <w:rsid w:val="001B42BE"/>
    <w:rsid w:val="001B51DD"/>
    <w:rsid w:val="001B7482"/>
    <w:rsid w:val="001B78F9"/>
    <w:rsid w:val="001C09CD"/>
    <w:rsid w:val="001C1B3F"/>
    <w:rsid w:val="001C228D"/>
    <w:rsid w:val="001C26EA"/>
    <w:rsid w:val="001C347D"/>
    <w:rsid w:val="001C37D9"/>
    <w:rsid w:val="001C4D17"/>
    <w:rsid w:val="001C5737"/>
    <w:rsid w:val="001C70EA"/>
    <w:rsid w:val="001C7D51"/>
    <w:rsid w:val="001D1537"/>
    <w:rsid w:val="001D1B38"/>
    <w:rsid w:val="001D24EC"/>
    <w:rsid w:val="001D3EC3"/>
    <w:rsid w:val="001D4A83"/>
    <w:rsid w:val="001D52A4"/>
    <w:rsid w:val="001D60BF"/>
    <w:rsid w:val="001D6360"/>
    <w:rsid w:val="001D6C8B"/>
    <w:rsid w:val="001D6F30"/>
    <w:rsid w:val="001D7592"/>
    <w:rsid w:val="001D7FF5"/>
    <w:rsid w:val="001E0223"/>
    <w:rsid w:val="001E0AF7"/>
    <w:rsid w:val="001E14C1"/>
    <w:rsid w:val="001E1879"/>
    <w:rsid w:val="001E3058"/>
    <w:rsid w:val="001E3A8D"/>
    <w:rsid w:val="001F176D"/>
    <w:rsid w:val="001F1FC1"/>
    <w:rsid w:val="001F39DE"/>
    <w:rsid w:val="001F3F08"/>
    <w:rsid w:val="001F5E83"/>
    <w:rsid w:val="001F781E"/>
    <w:rsid w:val="00202858"/>
    <w:rsid w:val="002065CF"/>
    <w:rsid w:val="0021231C"/>
    <w:rsid w:val="00212D01"/>
    <w:rsid w:val="00213F93"/>
    <w:rsid w:val="00214241"/>
    <w:rsid w:val="002162F1"/>
    <w:rsid w:val="00216F99"/>
    <w:rsid w:val="002203F7"/>
    <w:rsid w:val="00220474"/>
    <w:rsid w:val="0022155A"/>
    <w:rsid w:val="002218F8"/>
    <w:rsid w:val="00226FE0"/>
    <w:rsid w:val="00227D89"/>
    <w:rsid w:val="00230806"/>
    <w:rsid w:val="00230BB1"/>
    <w:rsid w:val="00230CF7"/>
    <w:rsid w:val="0023432A"/>
    <w:rsid w:val="00234AD8"/>
    <w:rsid w:val="0023522A"/>
    <w:rsid w:val="00235BB8"/>
    <w:rsid w:val="002377F4"/>
    <w:rsid w:val="00240719"/>
    <w:rsid w:val="002429F0"/>
    <w:rsid w:val="00243DA2"/>
    <w:rsid w:val="0024409F"/>
    <w:rsid w:val="0024555E"/>
    <w:rsid w:val="00245AE1"/>
    <w:rsid w:val="00246B54"/>
    <w:rsid w:val="00246BE1"/>
    <w:rsid w:val="00250177"/>
    <w:rsid w:val="002506E9"/>
    <w:rsid w:val="0025251F"/>
    <w:rsid w:val="0025257D"/>
    <w:rsid w:val="00252B00"/>
    <w:rsid w:val="00252B74"/>
    <w:rsid w:val="00252C14"/>
    <w:rsid w:val="00253B13"/>
    <w:rsid w:val="002545DD"/>
    <w:rsid w:val="0025512F"/>
    <w:rsid w:val="0025778E"/>
    <w:rsid w:val="00260D45"/>
    <w:rsid w:val="00260F97"/>
    <w:rsid w:val="00261451"/>
    <w:rsid w:val="002628B8"/>
    <w:rsid w:val="002675D2"/>
    <w:rsid w:val="002705B4"/>
    <w:rsid w:val="00273213"/>
    <w:rsid w:val="00273998"/>
    <w:rsid w:val="00273FE8"/>
    <w:rsid w:val="00275DC6"/>
    <w:rsid w:val="002763DC"/>
    <w:rsid w:val="002802CB"/>
    <w:rsid w:val="002831D2"/>
    <w:rsid w:val="00285AF7"/>
    <w:rsid w:val="00285B4A"/>
    <w:rsid w:val="002910CA"/>
    <w:rsid w:val="0029129D"/>
    <w:rsid w:val="00291895"/>
    <w:rsid w:val="00291BD5"/>
    <w:rsid w:val="00292717"/>
    <w:rsid w:val="0029497C"/>
    <w:rsid w:val="00295927"/>
    <w:rsid w:val="00296325"/>
    <w:rsid w:val="002968A3"/>
    <w:rsid w:val="00296A4C"/>
    <w:rsid w:val="002970BD"/>
    <w:rsid w:val="00297D96"/>
    <w:rsid w:val="002A1B85"/>
    <w:rsid w:val="002A31D3"/>
    <w:rsid w:val="002A3361"/>
    <w:rsid w:val="002A34FC"/>
    <w:rsid w:val="002A38F4"/>
    <w:rsid w:val="002A476C"/>
    <w:rsid w:val="002A6E11"/>
    <w:rsid w:val="002B3160"/>
    <w:rsid w:val="002B3D52"/>
    <w:rsid w:val="002B5E39"/>
    <w:rsid w:val="002B6A49"/>
    <w:rsid w:val="002B751E"/>
    <w:rsid w:val="002C04B5"/>
    <w:rsid w:val="002C0E2D"/>
    <w:rsid w:val="002C1FC4"/>
    <w:rsid w:val="002C3EA2"/>
    <w:rsid w:val="002C554A"/>
    <w:rsid w:val="002C6C45"/>
    <w:rsid w:val="002D08B0"/>
    <w:rsid w:val="002D0900"/>
    <w:rsid w:val="002D13BB"/>
    <w:rsid w:val="002D15BF"/>
    <w:rsid w:val="002D27C7"/>
    <w:rsid w:val="002D3502"/>
    <w:rsid w:val="002D3DD6"/>
    <w:rsid w:val="002D42DE"/>
    <w:rsid w:val="002D42ED"/>
    <w:rsid w:val="002D46FE"/>
    <w:rsid w:val="002E0448"/>
    <w:rsid w:val="002E0BF1"/>
    <w:rsid w:val="002E0F06"/>
    <w:rsid w:val="002E32E8"/>
    <w:rsid w:val="002E4072"/>
    <w:rsid w:val="002E4F50"/>
    <w:rsid w:val="002E55D4"/>
    <w:rsid w:val="002E5F21"/>
    <w:rsid w:val="002E6731"/>
    <w:rsid w:val="002E6D73"/>
    <w:rsid w:val="002F0D1B"/>
    <w:rsid w:val="002F2295"/>
    <w:rsid w:val="002F2BE7"/>
    <w:rsid w:val="002F4079"/>
    <w:rsid w:val="002F42DE"/>
    <w:rsid w:val="002F4B3B"/>
    <w:rsid w:val="002F5E97"/>
    <w:rsid w:val="002F639C"/>
    <w:rsid w:val="002F7968"/>
    <w:rsid w:val="002F7AC1"/>
    <w:rsid w:val="00301D0E"/>
    <w:rsid w:val="00304C93"/>
    <w:rsid w:val="00307929"/>
    <w:rsid w:val="0031351C"/>
    <w:rsid w:val="0031644D"/>
    <w:rsid w:val="00316BC6"/>
    <w:rsid w:val="00316D8B"/>
    <w:rsid w:val="0032010E"/>
    <w:rsid w:val="00323F2F"/>
    <w:rsid w:val="00324335"/>
    <w:rsid w:val="00324407"/>
    <w:rsid w:val="00326224"/>
    <w:rsid w:val="003262ED"/>
    <w:rsid w:val="00326B34"/>
    <w:rsid w:val="003276AC"/>
    <w:rsid w:val="00330C87"/>
    <w:rsid w:val="00332E96"/>
    <w:rsid w:val="003344D7"/>
    <w:rsid w:val="003345CF"/>
    <w:rsid w:val="00342746"/>
    <w:rsid w:val="003430EA"/>
    <w:rsid w:val="00344C6D"/>
    <w:rsid w:val="00345D80"/>
    <w:rsid w:val="00347F59"/>
    <w:rsid w:val="0035017F"/>
    <w:rsid w:val="0035149A"/>
    <w:rsid w:val="0035218A"/>
    <w:rsid w:val="003529D8"/>
    <w:rsid w:val="00354376"/>
    <w:rsid w:val="003552E3"/>
    <w:rsid w:val="00355B6F"/>
    <w:rsid w:val="00355DA3"/>
    <w:rsid w:val="00356922"/>
    <w:rsid w:val="00357222"/>
    <w:rsid w:val="003612E7"/>
    <w:rsid w:val="00361BAE"/>
    <w:rsid w:val="00361CAF"/>
    <w:rsid w:val="00361DBA"/>
    <w:rsid w:val="00362F3F"/>
    <w:rsid w:val="00363254"/>
    <w:rsid w:val="00363CAE"/>
    <w:rsid w:val="00365D36"/>
    <w:rsid w:val="00366497"/>
    <w:rsid w:val="00367C8F"/>
    <w:rsid w:val="003731A5"/>
    <w:rsid w:val="00374B46"/>
    <w:rsid w:val="003802FE"/>
    <w:rsid w:val="00380EF9"/>
    <w:rsid w:val="00383E58"/>
    <w:rsid w:val="0038505A"/>
    <w:rsid w:val="00386B86"/>
    <w:rsid w:val="00387064"/>
    <w:rsid w:val="00390A82"/>
    <w:rsid w:val="0039358B"/>
    <w:rsid w:val="00393BA0"/>
    <w:rsid w:val="003A2671"/>
    <w:rsid w:val="003A4AC6"/>
    <w:rsid w:val="003A4AFE"/>
    <w:rsid w:val="003A55D4"/>
    <w:rsid w:val="003A6C20"/>
    <w:rsid w:val="003B0FA3"/>
    <w:rsid w:val="003B303A"/>
    <w:rsid w:val="003B3611"/>
    <w:rsid w:val="003B4193"/>
    <w:rsid w:val="003B443E"/>
    <w:rsid w:val="003B4AF8"/>
    <w:rsid w:val="003B58D2"/>
    <w:rsid w:val="003B6519"/>
    <w:rsid w:val="003B7861"/>
    <w:rsid w:val="003C007B"/>
    <w:rsid w:val="003C3017"/>
    <w:rsid w:val="003C3B2E"/>
    <w:rsid w:val="003C3DC4"/>
    <w:rsid w:val="003C463F"/>
    <w:rsid w:val="003C4A3A"/>
    <w:rsid w:val="003C52E3"/>
    <w:rsid w:val="003C53D4"/>
    <w:rsid w:val="003D2564"/>
    <w:rsid w:val="003D6279"/>
    <w:rsid w:val="003D633B"/>
    <w:rsid w:val="003D6418"/>
    <w:rsid w:val="003D6478"/>
    <w:rsid w:val="003D7154"/>
    <w:rsid w:val="003E0515"/>
    <w:rsid w:val="003E2493"/>
    <w:rsid w:val="003E2E29"/>
    <w:rsid w:val="003E33E2"/>
    <w:rsid w:val="003E391F"/>
    <w:rsid w:val="003E53F9"/>
    <w:rsid w:val="003E5960"/>
    <w:rsid w:val="003E644B"/>
    <w:rsid w:val="003F0AE6"/>
    <w:rsid w:val="003F22E6"/>
    <w:rsid w:val="003F35F8"/>
    <w:rsid w:val="003F5D4D"/>
    <w:rsid w:val="003F746B"/>
    <w:rsid w:val="0040154A"/>
    <w:rsid w:val="00410BE2"/>
    <w:rsid w:val="00411C7F"/>
    <w:rsid w:val="00420F93"/>
    <w:rsid w:val="0042256B"/>
    <w:rsid w:val="00422958"/>
    <w:rsid w:val="00422AA9"/>
    <w:rsid w:val="00423EEA"/>
    <w:rsid w:val="004245EE"/>
    <w:rsid w:val="004250E6"/>
    <w:rsid w:val="004305E4"/>
    <w:rsid w:val="0043144C"/>
    <w:rsid w:val="004318ED"/>
    <w:rsid w:val="00432439"/>
    <w:rsid w:val="00432453"/>
    <w:rsid w:val="00436076"/>
    <w:rsid w:val="00436C21"/>
    <w:rsid w:val="004377B1"/>
    <w:rsid w:val="00437890"/>
    <w:rsid w:val="0044071E"/>
    <w:rsid w:val="00441128"/>
    <w:rsid w:val="00442806"/>
    <w:rsid w:val="00445300"/>
    <w:rsid w:val="004470AA"/>
    <w:rsid w:val="00450495"/>
    <w:rsid w:val="00450B25"/>
    <w:rsid w:val="00455785"/>
    <w:rsid w:val="00460158"/>
    <w:rsid w:val="004602B7"/>
    <w:rsid w:val="004652B8"/>
    <w:rsid w:val="00465B67"/>
    <w:rsid w:val="00470D7A"/>
    <w:rsid w:val="00472B8E"/>
    <w:rsid w:val="00472C70"/>
    <w:rsid w:val="0047509D"/>
    <w:rsid w:val="004755F0"/>
    <w:rsid w:val="00480216"/>
    <w:rsid w:val="00480D93"/>
    <w:rsid w:val="00480FF5"/>
    <w:rsid w:val="0048119C"/>
    <w:rsid w:val="00484357"/>
    <w:rsid w:val="0048492A"/>
    <w:rsid w:val="004857D7"/>
    <w:rsid w:val="004858E3"/>
    <w:rsid w:val="0048643E"/>
    <w:rsid w:val="00486C56"/>
    <w:rsid w:val="00487733"/>
    <w:rsid w:val="004927B0"/>
    <w:rsid w:val="00492AC9"/>
    <w:rsid w:val="0049420E"/>
    <w:rsid w:val="00495071"/>
    <w:rsid w:val="004974C4"/>
    <w:rsid w:val="004A0144"/>
    <w:rsid w:val="004A139F"/>
    <w:rsid w:val="004A1AC8"/>
    <w:rsid w:val="004A3A3E"/>
    <w:rsid w:val="004A4D15"/>
    <w:rsid w:val="004B0140"/>
    <w:rsid w:val="004B2134"/>
    <w:rsid w:val="004B3085"/>
    <w:rsid w:val="004B31BE"/>
    <w:rsid w:val="004B3F28"/>
    <w:rsid w:val="004B4861"/>
    <w:rsid w:val="004B6134"/>
    <w:rsid w:val="004C17E2"/>
    <w:rsid w:val="004C298F"/>
    <w:rsid w:val="004C386C"/>
    <w:rsid w:val="004C4015"/>
    <w:rsid w:val="004C4B10"/>
    <w:rsid w:val="004C5C42"/>
    <w:rsid w:val="004C6D41"/>
    <w:rsid w:val="004D1051"/>
    <w:rsid w:val="004D1784"/>
    <w:rsid w:val="004D2740"/>
    <w:rsid w:val="004D28EA"/>
    <w:rsid w:val="004D5A5F"/>
    <w:rsid w:val="004E07DC"/>
    <w:rsid w:val="004E2BC7"/>
    <w:rsid w:val="004E3874"/>
    <w:rsid w:val="004E3D14"/>
    <w:rsid w:val="004E4EC7"/>
    <w:rsid w:val="004E6B95"/>
    <w:rsid w:val="004F0882"/>
    <w:rsid w:val="004F0B95"/>
    <w:rsid w:val="004F263B"/>
    <w:rsid w:val="004F7063"/>
    <w:rsid w:val="004F70BE"/>
    <w:rsid w:val="004F79E7"/>
    <w:rsid w:val="00500349"/>
    <w:rsid w:val="005005F5"/>
    <w:rsid w:val="00500E36"/>
    <w:rsid w:val="00501A6C"/>
    <w:rsid w:val="00501E12"/>
    <w:rsid w:val="00502ACA"/>
    <w:rsid w:val="005039E5"/>
    <w:rsid w:val="00503B51"/>
    <w:rsid w:val="0050544A"/>
    <w:rsid w:val="00511D16"/>
    <w:rsid w:val="005146DA"/>
    <w:rsid w:val="005173A0"/>
    <w:rsid w:val="005207FB"/>
    <w:rsid w:val="00520E00"/>
    <w:rsid w:val="005225DA"/>
    <w:rsid w:val="005234BE"/>
    <w:rsid w:val="005258AF"/>
    <w:rsid w:val="00525BF4"/>
    <w:rsid w:val="00530748"/>
    <w:rsid w:val="00531263"/>
    <w:rsid w:val="00532849"/>
    <w:rsid w:val="00533F41"/>
    <w:rsid w:val="00534870"/>
    <w:rsid w:val="00535AD0"/>
    <w:rsid w:val="00535ADD"/>
    <w:rsid w:val="00536540"/>
    <w:rsid w:val="00536A62"/>
    <w:rsid w:val="005374DD"/>
    <w:rsid w:val="00537A1F"/>
    <w:rsid w:val="005407AE"/>
    <w:rsid w:val="00540EA9"/>
    <w:rsid w:val="00542143"/>
    <w:rsid w:val="005421EE"/>
    <w:rsid w:val="005447BA"/>
    <w:rsid w:val="00544883"/>
    <w:rsid w:val="0054539C"/>
    <w:rsid w:val="00545F3E"/>
    <w:rsid w:val="00546A14"/>
    <w:rsid w:val="00551ACE"/>
    <w:rsid w:val="00552A73"/>
    <w:rsid w:val="00552C84"/>
    <w:rsid w:val="00553F0C"/>
    <w:rsid w:val="00554B9B"/>
    <w:rsid w:val="00555001"/>
    <w:rsid w:val="00555F8F"/>
    <w:rsid w:val="005578AA"/>
    <w:rsid w:val="00561001"/>
    <w:rsid w:val="005614D4"/>
    <w:rsid w:val="00564043"/>
    <w:rsid w:val="0056678A"/>
    <w:rsid w:val="00566C8A"/>
    <w:rsid w:val="0056727E"/>
    <w:rsid w:val="00567A39"/>
    <w:rsid w:val="00570381"/>
    <w:rsid w:val="00571EE4"/>
    <w:rsid w:val="00574F4B"/>
    <w:rsid w:val="00576E48"/>
    <w:rsid w:val="005773A3"/>
    <w:rsid w:val="00580B56"/>
    <w:rsid w:val="005815BF"/>
    <w:rsid w:val="005818DF"/>
    <w:rsid w:val="0058323E"/>
    <w:rsid w:val="00583D17"/>
    <w:rsid w:val="00583E04"/>
    <w:rsid w:val="00583FDA"/>
    <w:rsid w:val="00584E62"/>
    <w:rsid w:val="00585989"/>
    <w:rsid w:val="005871D3"/>
    <w:rsid w:val="00590BA2"/>
    <w:rsid w:val="00590DC8"/>
    <w:rsid w:val="00591073"/>
    <w:rsid w:val="00592663"/>
    <w:rsid w:val="00592800"/>
    <w:rsid w:val="00592F8D"/>
    <w:rsid w:val="00596D2E"/>
    <w:rsid w:val="005A15AA"/>
    <w:rsid w:val="005A1973"/>
    <w:rsid w:val="005A3AF5"/>
    <w:rsid w:val="005A6827"/>
    <w:rsid w:val="005B113F"/>
    <w:rsid w:val="005B2DDE"/>
    <w:rsid w:val="005B35E4"/>
    <w:rsid w:val="005B54A8"/>
    <w:rsid w:val="005B64A1"/>
    <w:rsid w:val="005C0C8F"/>
    <w:rsid w:val="005C0F73"/>
    <w:rsid w:val="005C0FBD"/>
    <w:rsid w:val="005C1502"/>
    <w:rsid w:val="005C1AEC"/>
    <w:rsid w:val="005C2521"/>
    <w:rsid w:val="005C33C4"/>
    <w:rsid w:val="005C3A56"/>
    <w:rsid w:val="005C400A"/>
    <w:rsid w:val="005C5771"/>
    <w:rsid w:val="005C6620"/>
    <w:rsid w:val="005C66F7"/>
    <w:rsid w:val="005C6AF7"/>
    <w:rsid w:val="005C748D"/>
    <w:rsid w:val="005D0648"/>
    <w:rsid w:val="005D3745"/>
    <w:rsid w:val="005D3AB8"/>
    <w:rsid w:val="005D52DB"/>
    <w:rsid w:val="005D711E"/>
    <w:rsid w:val="005E0BC1"/>
    <w:rsid w:val="005E1292"/>
    <w:rsid w:val="005E2E48"/>
    <w:rsid w:val="005E4A85"/>
    <w:rsid w:val="005E50CE"/>
    <w:rsid w:val="005E5817"/>
    <w:rsid w:val="005E5F65"/>
    <w:rsid w:val="005E7842"/>
    <w:rsid w:val="005F1173"/>
    <w:rsid w:val="005F18B4"/>
    <w:rsid w:val="005F3595"/>
    <w:rsid w:val="005F5037"/>
    <w:rsid w:val="00600004"/>
    <w:rsid w:val="0060259D"/>
    <w:rsid w:val="0060335E"/>
    <w:rsid w:val="00605269"/>
    <w:rsid w:val="00605511"/>
    <w:rsid w:val="00605E9B"/>
    <w:rsid w:val="00611E6C"/>
    <w:rsid w:val="00612979"/>
    <w:rsid w:val="0061371D"/>
    <w:rsid w:val="00614C95"/>
    <w:rsid w:val="00615083"/>
    <w:rsid w:val="00621118"/>
    <w:rsid w:val="006213CD"/>
    <w:rsid w:val="00621867"/>
    <w:rsid w:val="00622FAA"/>
    <w:rsid w:val="00623BDB"/>
    <w:rsid w:val="00625B11"/>
    <w:rsid w:val="00625F07"/>
    <w:rsid w:val="00630251"/>
    <w:rsid w:val="0063054E"/>
    <w:rsid w:val="00631357"/>
    <w:rsid w:val="00633063"/>
    <w:rsid w:val="0063521D"/>
    <w:rsid w:val="006355A7"/>
    <w:rsid w:val="00635D06"/>
    <w:rsid w:val="00640450"/>
    <w:rsid w:val="00643356"/>
    <w:rsid w:val="00645654"/>
    <w:rsid w:val="0065070F"/>
    <w:rsid w:val="00651B92"/>
    <w:rsid w:val="00653833"/>
    <w:rsid w:val="006545F0"/>
    <w:rsid w:val="00654F7C"/>
    <w:rsid w:val="00655DB5"/>
    <w:rsid w:val="00657C2A"/>
    <w:rsid w:val="00662297"/>
    <w:rsid w:val="00662A08"/>
    <w:rsid w:val="00664314"/>
    <w:rsid w:val="00664FA5"/>
    <w:rsid w:val="0066596A"/>
    <w:rsid w:val="00665AF5"/>
    <w:rsid w:val="00665FEF"/>
    <w:rsid w:val="0066693F"/>
    <w:rsid w:val="00667098"/>
    <w:rsid w:val="00667A9A"/>
    <w:rsid w:val="00672A0F"/>
    <w:rsid w:val="0067371F"/>
    <w:rsid w:val="0067451B"/>
    <w:rsid w:val="006753BD"/>
    <w:rsid w:val="00675CEF"/>
    <w:rsid w:val="006762C6"/>
    <w:rsid w:val="00676731"/>
    <w:rsid w:val="006813F0"/>
    <w:rsid w:val="00681D28"/>
    <w:rsid w:val="00682435"/>
    <w:rsid w:val="006831C8"/>
    <w:rsid w:val="00684737"/>
    <w:rsid w:val="006867DB"/>
    <w:rsid w:val="00686D06"/>
    <w:rsid w:val="00686DCD"/>
    <w:rsid w:val="00691323"/>
    <w:rsid w:val="00691C9D"/>
    <w:rsid w:val="00691DAF"/>
    <w:rsid w:val="00695807"/>
    <w:rsid w:val="00696B41"/>
    <w:rsid w:val="006A024C"/>
    <w:rsid w:val="006A04F8"/>
    <w:rsid w:val="006A0815"/>
    <w:rsid w:val="006A11B8"/>
    <w:rsid w:val="006A2462"/>
    <w:rsid w:val="006A2F2D"/>
    <w:rsid w:val="006A32F2"/>
    <w:rsid w:val="006A33B2"/>
    <w:rsid w:val="006A41BF"/>
    <w:rsid w:val="006B0A81"/>
    <w:rsid w:val="006B117A"/>
    <w:rsid w:val="006B1D4E"/>
    <w:rsid w:val="006B2E63"/>
    <w:rsid w:val="006B3E0C"/>
    <w:rsid w:val="006C0231"/>
    <w:rsid w:val="006C0DF8"/>
    <w:rsid w:val="006C137A"/>
    <w:rsid w:val="006C166D"/>
    <w:rsid w:val="006C2439"/>
    <w:rsid w:val="006C2E78"/>
    <w:rsid w:val="006C3490"/>
    <w:rsid w:val="006C420E"/>
    <w:rsid w:val="006C5E25"/>
    <w:rsid w:val="006C6828"/>
    <w:rsid w:val="006D05E0"/>
    <w:rsid w:val="006D0AB8"/>
    <w:rsid w:val="006D1F5A"/>
    <w:rsid w:val="006D2A3F"/>
    <w:rsid w:val="006D2D2F"/>
    <w:rsid w:val="006D3F92"/>
    <w:rsid w:val="006D4292"/>
    <w:rsid w:val="006D4B77"/>
    <w:rsid w:val="006E01E4"/>
    <w:rsid w:val="006E0301"/>
    <w:rsid w:val="006E1A20"/>
    <w:rsid w:val="006E1E8D"/>
    <w:rsid w:val="006E1F27"/>
    <w:rsid w:val="006E2CE6"/>
    <w:rsid w:val="006E2EF4"/>
    <w:rsid w:val="006E4A8B"/>
    <w:rsid w:val="006E62CD"/>
    <w:rsid w:val="006E6F2C"/>
    <w:rsid w:val="006F3515"/>
    <w:rsid w:val="006F4759"/>
    <w:rsid w:val="006F4C5F"/>
    <w:rsid w:val="006F568F"/>
    <w:rsid w:val="006F5A5E"/>
    <w:rsid w:val="006F61BC"/>
    <w:rsid w:val="007001C9"/>
    <w:rsid w:val="00700693"/>
    <w:rsid w:val="0070132F"/>
    <w:rsid w:val="007015D2"/>
    <w:rsid w:val="007025CC"/>
    <w:rsid w:val="00702FCA"/>
    <w:rsid w:val="0071251C"/>
    <w:rsid w:val="00712A0F"/>
    <w:rsid w:val="00716960"/>
    <w:rsid w:val="00721084"/>
    <w:rsid w:val="007220E2"/>
    <w:rsid w:val="0072224B"/>
    <w:rsid w:val="00723477"/>
    <w:rsid w:val="007238A4"/>
    <w:rsid w:val="00723F90"/>
    <w:rsid w:val="0072553E"/>
    <w:rsid w:val="00727532"/>
    <w:rsid w:val="007309D7"/>
    <w:rsid w:val="00730A92"/>
    <w:rsid w:val="00732260"/>
    <w:rsid w:val="0073359D"/>
    <w:rsid w:val="007350A5"/>
    <w:rsid w:val="0073583C"/>
    <w:rsid w:val="00735ADC"/>
    <w:rsid w:val="00735C95"/>
    <w:rsid w:val="00740C7A"/>
    <w:rsid w:val="00741568"/>
    <w:rsid w:val="00742083"/>
    <w:rsid w:val="0074208D"/>
    <w:rsid w:val="00742A08"/>
    <w:rsid w:val="007440EB"/>
    <w:rsid w:val="00744F5C"/>
    <w:rsid w:val="0074546C"/>
    <w:rsid w:val="00747161"/>
    <w:rsid w:val="00747E0F"/>
    <w:rsid w:val="00750DBA"/>
    <w:rsid w:val="00752BDC"/>
    <w:rsid w:val="00753A79"/>
    <w:rsid w:val="007541A8"/>
    <w:rsid w:val="0075566B"/>
    <w:rsid w:val="0075647E"/>
    <w:rsid w:val="007569FC"/>
    <w:rsid w:val="007603E9"/>
    <w:rsid w:val="00760ECD"/>
    <w:rsid w:val="00765AFD"/>
    <w:rsid w:val="00767729"/>
    <w:rsid w:val="00770DA0"/>
    <w:rsid w:val="007715E0"/>
    <w:rsid w:val="00771692"/>
    <w:rsid w:val="0077185A"/>
    <w:rsid w:val="00775F5F"/>
    <w:rsid w:val="0077606C"/>
    <w:rsid w:val="007763C0"/>
    <w:rsid w:val="007806A6"/>
    <w:rsid w:val="00780785"/>
    <w:rsid w:val="00781778"/>
    <w:rsid w:val="007834DA"/>
    <w:rsid w:val="00783BBE"/>
    <w:rsid w:val="007848C4"/>
    <w:rsid w:val="007853E5"/>
    <w:rsid w:val="00785BC8"/>
    <w:rsid w:val="00785BF2"/>
    <w:rsid w:val="00787001"/>
    <w:rsid w:val="007879DD"/>
    <w:rsid w:val="00792451"/>
    <w:rsid w:val="007931ED"/>
    <w:rsid w:val="00794D80"/>
    <w:rsid w:val="00795B38"/>
    <w:rsid w:val="007973A3"/>
    <w:rsid w:val="007A06B9"/>
    <w:rsid w:val="007A160D"/>
    <w:rsid w:val="007A206B"/>
    <w:rsid w:val="007A50AF"/>
    <w:rsid w:val="007A548A"/>
    <w:rsid w:val="007A5A37"/>
    <w:rsid w:val="007B0B1A"/>
    <w:rsid w:val="007B2EC2"/>
    <w:rsid w:val="007B2F04"/>
    <w:rsid w:val="007B3D99"/>
    <w:rsid w:val="007B3F93"/>
    <w:rsid w:val="007B6040"/>
    <w:rsid w:val="007B77B9"/>
    <w:rsid w:val="007C154C"/>
    <w:rsid w:val="007C38ED"/>
    <w:rsid w:val="007C5192"/>
    <w:rsid w:val="007C5374"/>
    <w:rsid w:val="007C59F8"/>
    <w:rsid w:val="007C7EC0"/>
    <w:rsid w:val="007D123A"/>
    <w:rsid w:val="007D1B26"/>
    <w:rsid w:val="007D3802"/>
    <w:rsid w:val="007D5D48"/>
    <w:rsid w:val="007D76C0"/>
    <w:rsid w:val="007D7CA5"/>
    <w:rsid w:val="007E00E3"/>
    <w:rsid w:val="007E03F5"/>
    <w:rsid w:val="007E271F"/>
    <w:rsid w:val="007E3D10"/>
    <w:rsid w:val="007E4643"/>
    <w:rsid w:val="007E4BF9"/>
    <w:rsid w:val="007F50E7"/>
    <w:rsid w:val="007F5D10"/>
    <w:rsid w:val="007F65D9"/>
    <w:rsid w:val="007F73D3"/>
    <w:rsid w:val="007F7EFC"/>
    <w:rsid w:val="00801743"/>
    <w:rsid w:val="008017B2"/>
    <w:rsid w:val="00802766"/>
    <w:rsid w:val="00803654"/>
    <w:rsid w:val="00804367"/>
    <w:rsid w:val="00805024"/>
    <w:rsid w:val="008052F0"/>
    <w:rsid w:val="008057D6"/>
    <w:rsid w:val="008061B5"/>
    <w:rsid w:val="00806715"/>
    <w:rsid w:val="008074D5"/>
    <w:rsid w:val="00811076"/>
    <w:rsid w:val="008112FB"/>
    <w:rsid w:val="00811B9B"/>
    <w:rsid w:val="008121A1"/>
    <w:rsid w:val="0081284B"/>
    <w:rsid w:val="00813F37"/>
    <w:rsid w:val="00816EBC"/>
    <w:rsid w:val="00816F02"/>
    <w:rsid w:val="0081700E"/>
    <w:rsid w:val="00820D6F"/>
    <w:rsid w:val="00821BDE"/>
    <w:rsid w:val="00822ADF"/>
    <w:rsid w:val="008235DB"/>
    <w:rsid w:val="00824BFA"/>
    <w:rsid w:val="00826570"/>
    <w:rsid w:val="00827D4B"/>
    <w:rsid w:val="00831498"/>
    <w:rsid w:val="00832846"/>
    <w:rsid w:val="008339FC"/>
    <w:rsid w:val="00835C89"/>
    <w:rsid w:val="008402FB"/>
    <w:rsid w:val="008461BF"/>
    <w:rsid w:val="00846FCA"/>
    <w:rsid w:val="0084700B"/>
    <w:rsid w:val="008508E4"/>
    <w:rsid w:val="008531DF"/>
    <w:rsid w:val="00853BB8"/>
    <w:rsid w:val="00854102"/>
    <w:rsid w:val="00854316"/>
    <w:rsid w:val="00855B52"/>
    <w:rsid w:val="00855CF7"/>
    <w:rsid w:val="00872000"/>
    <w:rsid w:val="00872343"/>
    <w:rsid w:val="008735C8"/>
    <w:rsid w:val="00874DA9"/>
    <w:rsid w:val="00875C91"/>
    <w:rsid w:val="00876BA5"/>
    <w:rsid w:val="00876EB0"/>
    <w:rsid w:val="008778BD"/>
    <w:rsid w:val="00880C94"/>
    <w:rsid w:val="00881912"/>
    <w:rsid w:val="00882AB8"/>
    <w:rsid w:val="008835D7"/>
    <w:rsid w:val="008859A7"/>
    <w:rsid w:val="00885C39"/>
    <w:rsid w:val="00886692"/>
    <w:rsid w:val="008866BE"/>
    <w:rsid w:val="00887D4B"/>
    <w:rsid w:val="00887FFB"/>
    <w:rsid w:val="00890E99"/>
    <w:rsid w:val="00891368"/>
    <w:rsid w:val="008913DB"/>
    <w:rsid w:val="00892639"/>
    <w:rsid w:val="0089271B"/>
    <w:rsid w:val="008939C1"/>
    <w:rsid w:val="00897785"/>
    <w:rsid w:val="008A00F3"/>
    <w:rsid w:val="008A0CD9"/>
    <w:rsid w:val="008A14FF"/>
    <w:rsid w:val="008A171C"/>
    <w:rsid w:val="008A2423"/>
    <w:rsid w:val="008A327E"/>
    <w:rsid w:val="008A409C"/>
    <w:rsid w:val="008A48A7"/>
    <w:rsid w:val="008A48B8"/>
    <w:rsid w:val="008A7B02"/>
    <w:rsid w:val="008B004E"/>
    <w:rsid w:val="008B2105"/>
    <w:rsid w:val="008B2A09"/>
    <w:rsid w:val="008B36EA"/>
    <w:rsid w:val="008B48D8"/>
    <w:rsid w:val="008B72FD"/>
    <w:rsid w:val="008B7FFA"/>
    <w:rsid w:val="008C0DBE"/>
    <w:rsid w:val="008C1241"/>
    <w:rsid w:val="008C13F4"/>
    <w:rsid w:val="008C25A7"/>
    <w:rsid w:val="008C3229"/>
    <w:rsid w:val="008C5757"/>
    <w:rsid w:val="008C71B4"/>
    <w:rsid w:val="008D078A"/>
    <w:rsid w:val="008D14D4"/>
    <w:rsid w:val="008D1FB8"/>
    <w:rsid w:val="008D3050"/>
    <w:rsid w:val="008D47F8"/>
    <w:rsid w:val="008D4948"/>
    <w:rsid w:val="008D5D42"/>
    <w:rsid w:val="008D6BA7"/>
    <w:rsid w:val="008D7534"/>
    <w:rsid w:val="008D7927"/>
    <w:rsid w:val="008E00F3"/>
    <w:rsid w:val="008E0364"/>
    <w:rsid w:val="008E2C9F"/>
    <w:rsid w:val="008E2E2A"/>
    <w:rsid w:val="008E6056"/>
    <w:rsid w:val="008E662D"/>
    <w:rsid w:val="008E692F"/>
    <w:rsid w:val="008E6CC5"/>
    <w:rsid w:val="008E706D"/>
    <w:rsid w:val="008E7347"/>
    <w:rsid w:val="008F2DA3"/>
    <w:rsid w:val="008F666E"/>
    <w:rsid w:val="008F66C5"/>
    <w:rsid w:val="00900E54"/>
    <w:rsid w:val="00901A3F"/>
    <w:rsid w:val="00902770"/>
    <w:rsid w:val="00903B35"/>
    <w:rsid w:val="009041CC"/>
    <w:rsid w:val="00904907"/>
    <w:rsid w:val="00905409"/>
    <w:rsid w:val="009075E7"/>
    <w:rsid w:val="009112B6"/>
    <w:rsid w:val="009114C4"/>
    <w:rsid w:val="0091610D"/>
    <w:rsid w:val="0091649F"/>
    <w:rsid w:val="0091691E"/>
    <w:rsid w:val="0092051E"/>
    <w:rsid w:val="00923635"/>
    <w:rsid w:val="0092487F"/>
    <w:rsid w:val="00926789"/>
    <w:rsid w:val="00926C42"/>
    <w:rsid w:val="0092798C"/>
    <w:rsid w:val="00927C96"/>
    <w:rsid w:val="00930EA4"/>
    <w:rsid w:val="00932ECB"/>
    <w:rsid w:val="00933469"/>
    <w:rsid w:val="00934CE5"/>
    <w:rsid w:val="00936392"/>
    <w:rsid w:val="009370A0"/>
    <w:rsid w:val="00937F1C"/>
    <w:rsid w:val="00937F57"/>
    <w:rsid w:val="00941EBC"/>
    <w:rsid w:val="0094229B"/>
    <w:rsid w:val="00947F96"/>
    <w:rsid w:val="00950B59"/>
    <w:rsid w:val="0095153A"/>
    <w:rsid w:val="009516F1"/>
    <w:rsid w:val="009530D6"/>
    <w:rsid w:val="00953A95"/>
    <w:rsid w:val="00954CD0"/>
    <w:rsid w:val="009554E9"/>
    <w:rsid w:val="0095585F"/>
    <w:rsid w:val="009564FB"/>
    <w:rsid w:val="0095798D"/>
    <w:rsid w:val="00965C18"/>
    <w:rsid w:val="00966F11"/>
    <w:rsid w:val="0096766A"/>
    <w:rsid w:val="00967E77"/>
    <w:rsid w:val="00970F02"/>
    <w:rsid w:val="00970FEF"/>
    <w:rsid w:val="00971FF2"/>
    <w:rsid w:val="009736BB"/>
    <w:rsid w:val="00973B32"/>
    <w:rsid w:val="00973D31"/>
    <w:rsid w:val="00973ECE"/>
    <w:rsid w:val="0097630B"/>
    <w:rsid w:val="0098216F"/>
    <w:rsid w:val="00982534"/>
    <w:rsid w:val="00982B42"/>
    <w:rsid w:val="00982B76"/>
    <w:rsid w:val="00983EB1"/>
    <w:rsid w:val="00984CD8"/>
    <w:rsid w:val="0098587E"/>
    <w:rsid w:val="00986B31"/>
    <w:rsid w:val="0099051E"/>
    <w:rsid w:val="00991813"/>
    <w:rsid w:val="009933AE"/>
    <w:rsid w:val="00993A1D"/>
    <w:rsid w:val="00995400"/>
    <w:rsid w:val="00997736"/>
    <w:rsid w:val="009A09E2"/>
    <w:rsid w:val="009A1B64"/>
    <w:rsid w:val="009A28F2"/>
    <w:rsid w:val="009A3B45"/>
    <w:rsid w:val="009A6AFD"/>
    <w:rsid w:val="009A7234"/>
    <w:rsid w:val="009B0770"/>
    <w:rsid w:val="009B0F62"/>
    <w:rsid w:val="009B236C"/>
    <w:rsid w:val="009B5259"/>
    <w:rsid w:val="009B5558"/>
    <w:rsid w:val="009B5AD2"/>
    <w:rsid w:val="009B5DF2"/>
    <w:rsid w:val="009B6835"/>
    <w:rsid w:val="009B6A80"/>
    <w:rsid w:val="009B6E0D"/>
    <w:rsid w:val="009B7A49"/>
    <w:rsid w:val="009C05E4"/>
    <w:rsid w:val="009C0A77"/>
    <w:rsid w:val="009C2E4A"/>
    <w:rsid w:val="009C34FB"/>
    <w:rsid w:val="009C40C2"/>
    <w:rsid w:val="009C7B48"/>
    <w:rsid w:val="009D0B7C"/>
    <w:rsid w:val="009D1319"/>
    <w:rsid w:val="009D2D34"/>
    <w:rsid w:val="009D2E47"/>
    <w:rsid w:val="009D2F1C"/>
    <w:rsid w:val="009D3AE8"/>
    <w:rsid w:val="009D4C48"/>
    <w:rsid w:val="009D5AB4"/>
    <w:rsid w:val="009D67B1"/>
    <w:rsid w:val="009D69DB"/>
    <w:rsid w:val="009E1499"/>
    <w:rsid w:val="009E3025"/>
    <w:rsid w:val="009E3032"/>
    <w:rsid w:val="009E32C6"/>
    <w:rsid w:val="009E4A85"/>
    <w:rsid w:val="009E6383"/>
    <w:rsid w:val="009E7B26"/>
    <w:rsid w:val="009F0098"/>
    <w:rsid w:val="009F1A3A"/>
    <w:rsid w:val="009F253A"/>
    <w:rsid w:val="009F3A4C"/>
    <w:rsid w:val="009F4795"/>
    <w:rsid w:val="009F536A"/>
    <w:rsid w:val="009F6631"/>
    <w:rsid w:val="009F6861"/>
    <w:rsid w:val="009F6BA4"/>
    <w:rsid w:val="009F7ADE"/>
    <w:rsid w:val="00A00294"/>
    <w:rsid w:val="00A00D16"/>
    <w:rsid w:val="00A04E60"/>
    <w:rsid w:val="00A05BF1"/>
    <w:rsid w:val="00A11529"/>
    <w:rsid w:val="00A13801"/>
    <w:rsid w:val="00A14062"/>
    <w:rsid w:val="00A15B92"/>
    <w:rsid w:val="00A178D9"/>
    <w:rsid w:val="00A21075"/>
    <w:rsid w:val="00A260E6"/>
    <w:rsid w:val="00A27F48"/>
    <w:rsid w:val="00A31A47"/>
    <w:rsid w:val="00A339F3"/>
    <w:rsid w:val="00A357AE"/>
    <w:rsid w:val="00A35C3F"/>
    <w:rsid w:val="00A36A73"/>
    <w:rsid w:val="00A377D0"/>
    <w:rsid w:val="00A402F0"/>
    <w:rsid w:val="00A433B9"/>
    <w:rsid w:val="00A44AA5"/>
    <w:rsid w:val="00A462F1"/>
    <w:rsid w:val="00A47EAF"/>
    <w:rsid w:val="00A50962"/>
    <w:rsid w:val="00A54327"/>
    <w:rsid w:val="00A54E38"/>
    <w:rsid w:val="00A564C8"/>
    <w:rsid w:val="00A5723D"/>
    <w:rsid w:val="00A62BBB"/>
    <w:rsid w:val="00A63648"/>
    <w:rsid w:val="00A64342"/>
    <w:rsid w:val="00A64846"/>
    <w:rsid w:val="00A66005"/>
    <w:rsid w:val="00A704B0"/>
    <w:rsid w:val="00A71A0F"/>
    <w:rsid w:val="00A71E22"/>
    <w:rsid w:val="00A73377"/>
    <w:rsid w:val="00A74669"/>
    <w:rsid w:val="00A74947"/>
    <w:rsid w:val="00A75438"/>
    <w:rsid w:val="00A755A3"/>
    <w:rsid w:val="00A755B0"/>
    <w:rsid w:val="00A767FB"/>
    <w:rsid w:val="00A8169B"/>
    <w:rsid w:val="00A8202D"/>
    <w:rsid w:val="00A82368"/>
    <w:rsid w:val="00A8493F"/>
    <w:rsid w:val="00A86D8B"/>
    <w:rsid w:val="00A87E9A"/>
    <w:rsid w:val="00A87FC2"/>
    <w:rsid w:val="00A909BC"/>
    <w:rsid w:val="00A90E7E"/>
    <w:rsid w:val="00A91FC5"/>
    <w:rsid w:val="00A93E54"/>
    <w:rsid w:val="00A9474F"/>
    <w:rsid w:val="00A96B4E"/>
    <w:rsid w:val="00AA00B3"/>
    <w:rsid w:val="00AA0949"/>
    <w:rsid w:val="00AB0FE1"/>
    <w:rsid w:val="00AB1283"/>
    <w:rsid w:val="00AB1FC0"/>
    <w:rsid w:val="00AB3B4D"/>
    <w:rsid w:val="00AB3DBC"/>
    <w:rsid w:val="00AB3E64"/>
    <w:rsid w:val="00AB5511"/>
    <w:rsid w:val="00AB68A4"/>
    <w:rsid w:val="00AC0C14"/>
    <w:rsid w:val="00AC1E23"/>
    <w:rsid w:val="00AC2182"/>
    <w:rsid w:val="00AC2CF8"/>
    <w:rsid w:val="00AC3AE9"/>
    <w:rsid w:val="00AC3F54"/>
    <w:rsid w:val="00AC42D2"/>
    <w:rsid w:val="00AC6886"/>
    <w:rsid w:val="00AC7708"/>
    <w:rsid w:val="00AC7F46"/>
    <w:rsid w:val="00AD03F1"/>
    <w:rsid w:val="00AD1CC6"/>
    <w:rsid w:val="00AD28DC"/>
    <w:rsid w:val="00AD3ADD"/>
    <w:rsid w:val="00AD6046"/>
    <w:rsid w:val="00AD70D0"/>
    <w:rsid w:val="00AD7C85"/>
    <w:rsid w:val="00AE045E"/>
    <w:rsid w:val="00AE0C38"/>
    <w:rsid w:val="00AE0F4C"/>
    <w:rsid w:val="00AE29DF"/>
    <w:rsid w:val="00AE2A80"/>
    <w:rsid w:val="00AE30A1"/>
    <w:rsid w:val="00AE3B6C"/>
    <w:rsid w:val="00AE3D81"/>
    <w:rsid w:val="00AE4091"/>
    <w:rsid w:val="00AE54C4"/>
    <w:rsid w:val="00AE59B4"/>
    <w:rsid w:val="00AE5C4B"/>
    <w:rsid w:val="00AE6C40"/>
    <w:rsid w:val="00AF0CD9"/>
    <w:rsid w:val="00AF2A71"/>
    <w:rsid w:val="00AF3179"/>
    <w:rsid w:val="00AF5405"/>
    <w:rsid w:val="00B00C27"/>
    <w:rsid w:val="00B0210F"/>
    <w:rsid w:val="00B029A5"/>
    <w:rsid w:val="00B02F75"/>
    <w:rsid w:val="00B04CD4"/>
    <w:rsid w:val="00B05D38"/>
    <w:rsid w:val="00B06446"/>
    <w:rsid w:val="00B06C69"/>
    <w:rsid w:val="00B12440"/>
    <w:rsid w:val="00B127AB"/>
    <w:rsid w:val="00B16550"/>
    <w:rsid w:val="00B16D2A"/>
    <w:rsid w:val="00B176AF"/>
    <w:rsid w:val="00B17A40"/>
    <w:rsid w:val="00B202B2"/>
    <w:rsid w:val="00B2033F"/>
    <w:rsid w:val="00B21E1C"/>
    <w:rsid w:val="00B2231D"/>
    <w:rsid w:val="00B231D9"/>
    <w:rsid w:val="00B25D07"/>
    <w:rsid w:val="00B279C1"/>
    <w:rsid w:val="00B30887"/>
    <w:rsid w:val="00B323DA"/>
    <w:rsid w:val="00B33B74"/>
    <w:rsid w:val="00B33C1E"/>
    <w:rsid w:val="00B351B5"/>
    <w:rsid w:val="00B3530A"/>
    <w:rsid w:val="00B36665"/>
    <w:rsid w:val="00B36D34"/>
    <w:rsid w:val="00B37803"/>
    <w:rsid w:val="00B40A2B"/>
    <w:rsid w:val="00B40DE3"/>
    <w:rsid w:val="00B40F27"/>
    <w:rsid w:val="00B42D1F"/>
    <w:rsid w:val="00B43023"/>
    <w:rsid w:val="00B44121"/>
    <w:rsid w:val="00B44253"/>
    <w:rsid w:val="00B46D06"/>
    <w:rsid w:val="00B46FD6"/>
    <w:rsid w:val="00B470D7"/>
    <w:rsid w:val="00B52555"/>
    <w:rsid w:val="00B544AF"/>
    <w:rsid w:val="00B547C1"/>
    <w:rsid w:val="00B5595F"/>
    <w:rsid w:val="00B57893"/>
    <w:rsid w:val="00B60DC5"/>
    <w:rsid w:val="00B613F2"/>
    <w:rsid w:val="00B6178C"/>
    <w:rsid w:val="00B62271"/>
    <w:rsid w:val="00B62C81"/>
    <w:rsid w:val="00B62FEE"/>
    <w:rsid w:val="00B632A0"/>
    <w:rsid w:val="00B66F39"/>
    <w:rsid w:val="00B6715F"/>
    <w:rsid w:val="00B67B15"/>
    <w:rsid w:val="00B67D5C"/>
    <w:rsid w:val="00B70CD5"/>
    <w:rsid w:val="00B71718"/>
    <w:rsid w:val="00B72491"/>
    <w:rsid w:val="00B749E1"/>
    <w:rsid w:val="00B75F17"/>
    <w:rsid w:val="00B7669E"/>
    <w:rsid w:val="00B779B0"/>
    <w:rsid w:val="00B8185A"/>
    <w:rsid w:val="00B82ABD"/>
    <w:rsid w:val="00B83265"/>
    <w:rsid w:val="00B835EC"/>
    <w:rsid w:val="00B8416D"/>
    <w:rsid w:val="00B852ED"/>
    <w:rsid w:val="00B856DB"/>
    <w:rsid w:val="00B85B29"/>
    <w:rsid w:val="00B87B2F"/>
    <w:rsid w:val="00B87C15"/>
    <w:rsid w:val="00B92825"/>
    <w:rsid w:val="00B9352E"/>
    <w:rsid w:val="00B9444D"/>
    <w:rsid w:val="00B94F97"/>
    <w:rsid w:val="00B958D6"/>
    <w:rsid w:val="00B97037"/>
    <w:rsid w:val="00B97918"/>
    <w:rsid w:val="00BA064A"/>
    <w:rsid w:val="00BA0B6E"/>
    <w:rsid w:val="00BA0E6D"/>
    <w:rsid w:val="00BA2497"/>
    <w:rsid w:val="00BA27E2"/>
    <w:rsid w:val="00BA6446"/>
    <w:rsid w:val="00BA718F"/>
    <w:rsid w:val="00BB133D"/>
    <w:rsid w:val="00BB1555"/>
    <w:rsid w:val="00BB1B98"/>
    <w:rsid w:val="00BB23EF"/>
    <w:rsid w:val="00BB40EF"/>
    <w:rsid w:val="00BB54FE"/>
    <w:rsid w:val="00BC0763"/>
    <w:rsid w:val="00BC2B50"/>
    <w:rsid w:val="00BC304C"/>
    <w:rsid w:val="00BC4B9B"/>
    <w:rsid w:val="00BC7C6B"/>
    <w:rsid w:val="00BD0DC7"/>
    <w:rsid w:val="00BD347F"/>
    <w:rsid w:val="00BD63BB"/>
    <w:rsid w:val="00BD69A8"/>
    <w:rsid w:val="00BD6B30"/>
    <w:rsid w:val="00BD72EB"/>
    <w:rsid w:val="00BE0337"/>
    <w:rsid w:val="00BE2109"/>
    <w:rsid w:val="00BE3969"/>
    <w:rsid w:val="00BE3E1B"/>
    <w:rsid w:val="00BE65CC"/>
    <w:rsid w:val="00BE6B92"/>
    <w:rsid w:val="00BE74C6"/>
    <w:rsid w:val="00BF2682"/>
    <w:rsid w:val="00BF3573"/>
    <w:rsid w:val="00BF3BC1"/>
    <w:rsid w:val="00BF7CE0"/>
    <w:rsid w:val="00C00860"/>
    <w:rsid w:val="00C01BC1"/>
    <w:rsid w:val="00C02622"/>
    <w:rsid w:val="00C030F7"/>
    <w:rsid w:val="00C03A12"/>
    <w:rsid w:val="00C06521"/>
    <w:rsid w:val="00C0762F"/>
    <w:rsid w:val="00C07D99"/>
    <w:rsid w:val="00C1192D"/>
    <w:rsid w:val="00C1734A"/>
    <w:rsid w:val="00C176F5"/>
    <w:rsid w:val="00C208DE"/>
    <w:rsid w:val="00C21E07"/>
    <w:rsid w:val="00C26D6D"/>
    <w:rsid w:val="00C31399"/>
    <w:rsid w:val="00C32ACF"/>
    <w:rsid w:val="00C34D20"/>
    <w:rsid w:val="00C3535A"/>
    <w:rsid w:val="00C354B5"/>
    <w:rsid w:val="00C3560D"/>
    <w:rsid w:val="00C35CDC"/>
    <w:rsid w:val="00C429BC"/>
    <w:rsid w:val="00C42ED3"/>
    <w:rsid w:val="00C43245"/>
    <w:rsid w:val="00C46B81"/>
    <w:rsid w:val="00C4708F"/>
    <w:rsid w:val="00C5159E"/>
    <w:rsid w:val="00C539F2"/>
    <w:rsid w:val="00C54125"/>
    <w:rsid w:val="00C56642"/>
    <w:rsid w:val="00C60157"/>
    <w:rsid w:val="00C60176"/>
    <w:rsid w:val="00C60192"/>
    <w:rsid w:val="00C6244A"/>
    <w:rsid w:val="00C62486"/>
    <w:rsid w:val="00C63626"/>
    <w:rsid w:val="00C64838"/>
    <w:rsid w:val="00C64898"/>
    <w:rsid w:val="00C66ED4"/>
    <w:rsid w:val="00C67251"/>
    <w:rsid w:val="00C67A26"/>
    <w:rsid w:val="00C67FAA"/>
    <w:rsid w:val="00C70911"/>
    <w:rsid w:val="00C71115"/>
    <w:rsid w:val="00C7131F"/>
    <w:rsid w:val="00C747A6"/>
    <w:rsid w:val="00C76AF0"/>
    <w:rsid w:val="00C77242"/>
    <w:rsid w:val="00C77CE1"/>
    <w:rsid w:val="00C82D14"/>
    <w:rsid w:val="00C85745"/>
    <w:rsid w:val="00C86826"/>
    <w:rsid w:val="00C87DDC"/>
    <w:rsid w:val="00C91090"/>
    <w:rsid w:val="00C93E6A"/>
    <w:rsid w:val="00C9523D"/>
    <w:rsid w:val="00C967E2"/>
    <w:rsid w:val="00CA086C"/>
    <w:rsid w:val="00CA1429"/>
    <w:rsid w:val="00CA1F77"/>
    <w:rsid w:val="00CA291D"/>
    <w:rsid w:val="00CA398C"/>
    <w:rsid w:val="00CA4FBC"/>
    <w:rsid w:val="00CA5EB3"/>
    <w:rsid w:val="00CB1158"/>
    <w:rsid w:val="00CB1769"/>
    <w:rsid w:val="00CB1A75"/>
    <w:rsid w:val="00CB1EE4"/>
    <w:rsid w:val="00CB3751"/>
    <w:rsid w:val="00CB389D"/>
    <w:rsid w:val="00CB396C"/>
    <w:rsid w:val="00CB4F2E"/>
    <w:rsid w:val="00CB5FA1"/>
    <w:rsid w:val="00CB66DF"/>
    <w:rsid w:val="00CB6ED5"/>
    <w:rsid w:val="00CC0219"/>
    <w:rsid w:val="00CC1D99"/>
    <w:rsid w:val="00CC2418"/>
    <w:rsid w:val="00CC2AE4"/>
    <w:rsid w:val="00CC49A0"/>
    <w:rsid w:val="00CC58BC"/>
    <w:rsid w:val="00CC5CB9"/>
    <w:rsid w:val="00CC603E"/>
    <w:rsid w:val="00CC67ED"/>
    <w:rsid w:val="00CC702A"/>
    <w:rsid w:val="00CC70B3"/>
    <w:rsid w:val="00CD08D6"/>
    <w:rsid w:val="00CD2369"/>
    <w:rsid w:val="00CD23B3"/>
    <w:rsid w:val="00CD31C8"/>
    <w:rsid w:val="00CD3511"/>
    <w:rsid w:val="00CD3B02"/>
    <w:rsid w:val="00CD4959"/>
    <w:rsid w:val="00CD5A74"/>
    <w:rsid w:val="00CD78D0"/>
    <w:rsid w:val="00CE0F32"/>
    <w:rsid w:val="00CE36AF"/>
    <w:rsid w:val="00CE3997"/>
    <w:rsid w:val="00CE6637"/>
    <w:rsid w:val="00CF2AC5"/>
    <w:rsid w:val="00CF2F5B"/>
    <w:rsid w:val="00CF40A5"/>
    <w:rsid w:val="00CF7432"/>
    <w:rsid w:val="00D0110A"/>
    <w:rsid w:val="00D026A2"/>
    <w:rsid w:val="00D03CB8"/>
    <w:rsid w:val="00D03CF6"/>
    <w:rsid w:val="00D061D1"/>
    <w:rsid w:val="00D06595"/>
    <w:rsid w:val="00D06895"/>
    <w:rsid w:val="00D06D67"/>
    <w:rsid w:val="00D0787B"/>
    <w:rsid w:val="00D107D0"/>
    <w:rsid w:val="00D10E29"/>
    <w:rsid w:val="00D129DA"/>
    <w:rsid w:val="00D134DB"/>
    <w:rsid w:val="00D146AB"/>
    <w:rsid w:val="00D14717"/>
    <w:rsid w:val="00D158E0"/>
    <w:rsid w:val="00D20090"/>
    <w:rsid w:val="00D21BB1"/>
    <w:rsid w:val="00D21E7D"/>
    <w:rsid w:val="00D22128"/>
    <w:rsid w:val="00D226A6"/>
    <w:rsid w:val="00D2365F"/>
    <w:rsid w:val="00D24FFD"/>
    <w:rsid w:val="00D261F6"/>
    <w:rsid w:val="00D26F1B"/>
    <w:rsid w:val="00D308D9"/>
    <w:rsid w:val="00D33773"/>
    <w:rsid w:val="00D33E95"/>
    <w:rsid w:val="00D34249"/>
    <w:rsid w:val="00D349DC"/>
    <w:rsid w:val="00D359DA"/>
    <w:rsid w:val="00D37989"/>
    <w:rsid w:val="00D410FF"/>
    <w:rsid w:val="00D41BB9"/>
    <w:rsid w:val="00D4224D"/>
    <w:rsid w:val="00D46B08"/>
    <w:rsid w:val="00D46B8E"/>
    <w:rsid w:val="00D50744"/>
    <w:rsid w:val="00D55489"/>
    <w:rsid w:val="00D605BF"/>
    <w:rsid w:val="00D60BC8"/>
    <w:rsid w:val="00D6163A"/>
    <w:rsid w:val="00D62A5C"/>
    <w:rsid w:val="00D63C79"/>
    <w:rsid w:val="00D63D3A"/>
    <w:rsid w:val="00D6412C"/>
    <w:rsid w:val="00D6435E"/>
    <w:rsid w:val="00D64D42"/>
    <w:rsid w:val="00D658FB"/>
    <w:rsid w:val="00D65E15"/>
    <w:rsid w:val="00D666B1"/>
    <w:rsid w:val="00D7223B"/>
    <w:rsid w:val="00D727AE"/>
    <w:rsid w:val="00D728B8"/>
    <w:rsid w:val="00D75032"/>
    <w:rsid w:val="00D7509D"/>
    <w:rsid w:val="00D80A88"/>
    <w:rsid w:val="00D80B41"/>
    <w:rsid w:val="00D81C55"/>
    <w:rsid w:val="00D826E4"/>
    <w:rsid w:val="00D82DE2"/>
    <w:rsid w:val="00D83FC0"/>
    <w:rsid w:val="00D84158"/>
    <w:rsid w:val="00D84896"/>
    <w:rsid w:val="00D84CF7"/>
    <w:rsid w:val="00D85805"/>
    <w:rsid w:val="00D85C9F"/>
    <w:rsid w:val="00D8719C"/>
    <w:rsid w:val="00D915F2"/>
    <w:rsid w:val="00DA3179"/>
    <w:rsid w:val="00DA32C0"/>
    <w:rsid w:val="00DA3CC5"/>
    <w:rsid w:val="00DA47CD"/>
    <w:rsid w:val="00DA4B8F"/>
    <w:rsid w:val="00DA5A00"/>
    <w:rsid w:val="00DA5A6B"/>
    <w:rsid w:val="00DA65B5"/>
    <w:rsid w:val="00DA6976"/>
    <w:rsid w:val="00DA72D2"/>
    <w:rsid w:val="00DA7575"/>
    <w:rsid w:val="00DA770C"/>
    <w:rsid w:val="00DA7B41"/>
    <w:rsid w:val="00DB17A2"/>
    <w:rsid w:val="00DB281F"/>
    <w:rsid w:val="00DB2B3F"/>
    <w:rsid w:val="00DB2C0B"/>
    <w:rsid w:val="00DB309B"/>
    <w:rsid w:val="00DB33B5"/>
    <w:rsid w:val="00DB5E50"/>
    <w:rsid w:val="00DB5F21"/>
    <w:rsid w:val="00DB756A"/>
    <w:rsid w:val="00DC3329"/>
    <w:rsid w:val="00DC411C"/>
    <w:rsid w:val="00DC511E"/>
    <w:rsid w:val="00DC56B1"/>
    <w:rsid w:val="00DC73C5"/>
    <w:rsid w:val="00DD196F"/>
    <w:rsid w:val="00DD1E89"/>
    <w:rsid w:val="00DD28F4"/>
    <w:rsid w:val="00DD2E23"/>
    <w:rsid w:val="00DD4E67"/>
    <w:rsid w:val="00DD5181"/>
    <w:rsid w:val="00DD5191"/>
    <w:rsid w:val="00DD5D89"/>
    <w:rsid w:val="00DD6753"/>
    <w:rsid w:val="00DD69F0"/>
    <w:rsid w:val="00DD6F3F"/>
    <w:rsid w:val="00DE08C8"/>
    <w:rsid w:val="00DE14E0"/>
    <w:rsid w:val="00DE1518"/>
    <w:rsid w:val="00DE1EAE"/>
    <w:rsid w:val="00DE23AC"/>
    <w:rsid w:val="00DE40FA"/>
    <w:rsid w:val="00DE47DA"/>
    <w:rsid w:val="00DE4B73"/>
    <w:rsid w:val="00DE588A"/>
    <w:rsid w:val="00DE6B96"/>
    <w:rsid w:val="00DE72B5"/>
    <w:rsid w:val="00DE767E"/>
    <w:rsid w:val="00DF071D"/>
    <w:rsid w:val="00DF1656"/>
    <w:rsid w:val="00DF2203"/>
    <w:rsid w:val="00DF4D27"/>
    <w:rsid w:val="00DF50B8"/>
    <w:rsid w:val="00DF7BC1"/>
    <w:rsid w:val="00DF7DC3"/>
    <w:rsid w:val="00E011E8"/>
    <w:rsid w:val="00E018F8"/>
    <w:rsid w:val="00E022D2"/>
    <w:rsid w:val="00E02412"/>
    <w:rsid w:val="00E03782"/>
    <w:rsid w:val="00E045AA"/>
    <w:rsid w:val="00E06C23"/>
    <w:rsid w:val="00E07837"/>
    <w:rsid w:val="00E07F14"/>
    <w:rsid w:val="00E100A7"/>
    <w:rsid w:val="00E1389A"/>
    <w:rsid w:val="00E139AD"/>
    <w:rsid w:val="00E14185"/>
    <w:rsid w:val="00E1598C"/>
    <w:rsid w:val="00E20498"/>
    <w:rsid w:val="00E21FC2"/>
    <w:rsid w:val="00E22AB0"/>
    <w:rsid w:val="00E22EC4"/>
    <w:rsid w:val="00E24C01"/>
    <w:rsid w:val="00E25E2B"/>
    <w:rsid w:val="00E27463"/>
    <w:rsid w:val="00E27849"/>
    <w:rsid w:val="00E304F3"/>
    <w:rsid w:val="00E30D7C"/>
    <w:rsid w:val="00E3175C"/>
    <w:rsid w:val="00E341FC"/>
    <w:rsid w:val="00E34280"/>
    <w:rsid w:val="00E354FB"/>
    <w:rsid w:val="00E3642B"/>
    <w:rsid w:val="00E41C68"/>
    <w:rsid w:val="00E41DDB"/>
    <w:rsid w:val="00E42FEF"/>
    <w:rsid w:val="00E43E99"/>
    <w:rsid w:val="00E50BDE"/>
    <w:rsid w:val="00E51462"/>
    <w:rsid w:val="00E520D6"/>
    <w:rsid w:val="00E5265E"/>
    <w:rsid w:val="00E52EAB"/>
    <w:rsid w:val="00E55749"/>
    <w:rsid w:val="00E55DE0"/>
    <w:rsid w:val="00E56A7B"/>
    <w:rsid w:val="00E605DA"/>
    <w:rsid w:val="00E61981"/>
    <w:rsid w:val="00E63165"/>
    <w:rsid w:val="00E63726"/>
    <w:rsid w:val="00E7209D"/>
    <w:rsid w:val="00E72846"/>
    <w:rsid w:val="00E73105"/>
    <w:rsid w:val="00E7451E"/>
    <w:rsid w:val="00E7504F"/>
    <w:rsid w:val="00E803F4"/>
    <w:rsid w:val="00E80C33"/>
    <w:rsid w:val="00E81033"/>
    <w:rsid w:val="00E81C7B"/>
    <w:rsid w:val="00E83460"/>
    <w:rsid w:val="00E84381"/>
    <w:rsid w:val="00E86E29"/>
    <w:rsid w:val="00E92673"/>
    <w:rsid w:val="00E94B67"/>
    <w:rsid w:val="00E971A1"/>
    <w:rsid w:val="00EA19B2"/>
    <w:rsid w:val="00EA268F"/>
    <w:rsid w:val="00EA26D1"/>
    <w:rsid w:val="00EA291D"/>
    <w:rsid w:val="00EA49E5"/>
    <w:rsid w:val="00EA5109"/>
    <w:rsid w:val="00EA5551"/>
    <w:rsid w:val="00EA5883"/>
    <w:rsid w:val="00EB1297"/>
    <w:rsid w:val="00EB2D28"/>
    <w:rsid w:val="00EB4347"/>
    <w:rsid w:val="00EB7AEA"/>
    <w:rsid w:val="00EB7B39"/>
    <w:rsid w:val="00EC268F"/>
    <w:rsid w:val="00EC56D9"/>
    <w:rsid w:val="00EC6E80"/>
    <w:rsid w:val="00EC6FE7"/>
    <w:rsid w:val="00ED3748"/>
    <w:rsid w:val="00ED741E"/>
    <w:rsid w:val="00EE14EB"/>
    <w:rsid w:val="00EE4E5D"/>
    <w:rsid w:val="00EE543B"/>
    <w:rsid w:val="00EE586B"/>
    <w:rsid w:val="00EE638F"/>
    <w:rsid w:val="00EE6437"/>
    <w:rsid w:val="00EF0761"/>
    <w:rsid w:val="00EF1A16"/>
    <w:rsid w:val="00EF3095"/>
    <w:rsid w:val="00EF3E2A"/>
    <w:rsid w:val="00EF4396"/>
    <w:rsid w:val="00EF7157"/>
    <w:rsid w:val="00EF7C9B"/>
    <w:rsid w:val="00F00BDA"/>
    <w:rsid w:val="00F01268"/>
    <w:rsid w:val="00F024E1"/>
    <w:rsid w:val="00F029D8"/>
    <w:rsid w:val="00F049EA"/>
    <w:rsid w:val="00F112C2"/>
    <w:rsid w:val="00F113B8"/>
    <w:rsid w:val="00F1417A"/>
    <w:rsid w:val="00F141D9"/>
    <w:rsid w:val="00F211A1"/>
    <w:rsid w:val="00F21C72"/>
    <w:rsid w:val="00F27DDA"/>
    <w:rsid w:val="00F308CB"/>
    <w:rsid w:val="00F30BAB"/>
    <w:rsid w:val="00F31C8C"/>
    <w:rsid w:val="00F35179"/>
    <w:rsid w:val="00F35C96"/>
    <w:rsid w:val="00F35ED3"/>
    <w:rsid w:val="00F35F69"/>
    <w:rsid w:val="00F401E7"/>
    <w:rsid w:val="00F4120B"/>
    <w:rsid w:val="00F4136D"/>
    <w:rsid w:val="00F42406"/>
    <w:rsid w:val="00F42CA5"/>
    <w:rsid w:val="00F4528A"/>
    <w:rsid w:val="00F452EB"/>
    <w:rsid w:val="00F45DAA"/>
    <w:rsid w:val="00F46386"/>
    <w:rsid w:val="00F4717D"/>
    <w:rsid w:val="00F47DED"/>
    <w:rsid w:val="00F51D4B"/>
    <w:rsid w:val="00F5231F"/>
    <w:rsid w:val="00F542D7"/>
    <w:rsid w:val="00F54BC8"/>
    <w:rsid w:val="00F5721A"/>
    <w:rsid w:val="00F61145"/>
    <w:rsid w:val="00F61C4D"/>
    <w:rsid w:val="00F6288D"/>
    <w:rsid w:val="00F63C61"/>
    <w:rsid w:val="00F70523"/>
    <w:rsid w:val="00F707AC"/>
    <w:rsid w:val="00F72903"/>
    <w:rsid w:val="00F753E1"/>
    <w:rsid w:val="00F757EB"/>
    <w:rsid w:val="00F765DD"/>
    <w:rsid w:val="00F801C7"/>
    <w:rsid w:val="00F85DCD"/>
    <w:rsid w:val="00F926B8"/>
    <w:rsid w:val="00F931A8"/>
    <w:rsid w:val="00F95475"/>
    <w:rsid w:val="00F954BD"/>
    <w:rsid w:val="00F9579C"/>
    <w:rsid w:val="00F97B0F"/>
    <w:rsid w:val="00FA05DA"/>
    <w:rsid w:val="00FA0B76"/>
    <w:rsid w:val="00FA1E47"/>
    <w:rsid w:val="00FA7D83"/>
    <w:rsid w:val="00FA7E9F"/>
    <w:rsid w:val="00FB11E2"/>
    <w:rsid w:val="00FB1394"/>
    <w:rsid w:val="00FB15E8"/>
    <w:rsid w:val="00FB1D8B"/>
    <w:rsid w:val="00FB585C"/>
    <w:rsid w:val="00FB78B0"/>
    <w:rsid w:val="00FB79F7"/>
    <w:rsid w:val="00FC08D6"/>
    <w:rsid w:val="00FC0ED5"/>
    <w:rsid w:val="00FC1443"/>
    <w:rsid w:val="00FC2082"/>
    <w:rsid w:val="00FC380A"/>
    <w:rsid w:val="00FC3DE8"/>
    <w:rsid w:val="00FC43C8"/>
    <w:rsid w:val="00FC5333"/>
    <w:rsid w:val="00FC6E36"/>
    <w:rsid w:val="00FC7657"/>
    <w:rsid w:val="00FC78F0"/>
    <w:rsid w:val="00FC7F94"/>
    <w:rsid w:val="00FD217E"/>
    <w:rsid w:val="00FD3DED"/>
    <w:rsid w:val="00FD5080"/>
    <w:rsid w:val="00FD53E0"/>
    <w:rsid w:val="00FD6001"/>
    <w:rsid w:val="00FD62E5"/>
    <w:rsid w:val="00FD75D9"/>
    <w:rsid w:val="00FD7788"/>
    <w:rsid w:val="00FE1737"/>
    <w:rsid w:val="00FE3DCA"/>
    <w:rsid w:val="00FE44AF"/>
    <w:rsid w:val="00FE473A"/>
    <w:rsid w:val="00FE7054"/>
    <w:rsid w:val="00FE7D3B"/>
    <w:rsid w:val="00FF236D"/>
    <w:rsid w:val="00FF5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link w:val="EndnoteTextChar"/>
    <w:semiHidden/>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CB11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2">
    <w:name w:val="Table Simple 2"/>
    <w:basedOn w:val="TableNormal"/>
    <w:rsid w:val="009F4795"/>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FooterChar">
    <w:name w:val="Footer Char"/>
    <w:link w:val="Footer"/>
    <w:uiPriority w:val="99"/>
    <w:rsid w:val="006C2E78"/>
    <w:rPr>
      <w:rFonts w:ascii="Book Antiqua" w:hAnsi="Book Antiqua"/>
      <w:sz w:val="24"/>
    </w:rPr>
  </w:style>
  <w:style w:type="character" w:customStyle="1" w:styleId="EndnoteTextChar">
    <w:name w:val="Endnote Text Char"/>
    <w:link w:val="EndnoteText"/>
    <w:semiHidden/>
    <w:rsid w:val="0074546C"/>
    <w:rPr>
      <w:rFonts w:ascii="Book Antiqua" w:hAnsi="Book Antiqua"/>
      <w:sz w:val="24"/>
    </w:rPr>
  </w:style>
  <w:style w:type="paragraph" w:styleId="ListParagraph">
    <w:name w:val="List Paragraph"/>
    <w:basedOn w:val="Normal"/>
    <w:uiPriority w:val="34"/>
    <w:qFormat/>
    <w:rsid w:val="009933AE"/>
    <w:pPr>
      <w:ind w:left="720"/>
    </w:pPr>
  </w:style>
  <w:style w:type="character" w:styleId="CommentReference">
    <w:name w:val="annotation reference"/>
    <w:rsid w:val="00144BDA"/>
    <w:rPr>
      <w:sz w:val="16"/>
      <w:szCs w:val="16"/>
    </w:rPr>
  </w:style>
  <w:style w:type="paragraph" w:styleId="CommentText">
    <w:name w:val="annotation text"/>
    <w:basedOn w:val="Normal"/>
    <w:link w:val="CommentTextChar"/>
    <w:rsid w:val="00144BDA"/>
    <w:rPr>
      <w:sz w:val="20"/>
    </w:rPr>
  </w:style>
  <w:style w:type="character" w:customStyle="1" w:styleId="CommentTextChar">
    <w:name w:val="Comment Text Char"/>
    <w:link w:val="CommentText"/>
    <w:rsid w:val="00144BDA"/>
    <w:rPr>
      <w:rFonts w:ascii="Book Antiqua" w:hAnsi="Book Antiqua"/>
    </w:rPr>
  </w:style>
  <w:style w:type="paragraph" w:styleId="CommentSubject">
    <w:name w:val="annotation subject"/>
    <w:basedOn w:val="CommentText"/>
    <w:next w:val="CommentText"/>
    <w:link w:val="CommentSubjectChar"/>
    <w:rsid w:val="00144BDA"/>
    <w:rPr>
      <w:b/>
      <w:bCs/>
    </w:rPr>
  </w:style>
  <w:style w:type="character" w:customStyle="1" w:styleId="CommentSubjectChar">
    <w:name w:val="Comment Subject Char"/>
    <w:link w:val="CommentSubject"/>
    <w:rsid w:val="00144BDA"/>
    <w:rPr>
      <w:rFonts w:ascii="Book Antiqua" w:hAnsi="Book Antiqua"/>
      <w:b/>
      <w:bCs/>
    </w:rPr>
  </w:style>
  <w:style w:type="paragraph" w:styleId="NoSpacing">
    <w:name w:val="No Spacing"/>
    <w:uiPriority w:val="99"/>
    <w:qFormat/>
    <w:rsid w:val="00721084"/>
    <w:rPr>
      <w:rFonts w:ascii="Calibri" w:eastAsia="Calibri" w:hAnsi="Calibri"/>
      <w:sz w:val="22"/>
      <w:szCs w:val="22"/>
    </w:rPr>
  </w:style>
  <w:style w:type="paragraph" w:customStyle="1" w:styleId="p3">
    <w:name w:val="p3"/>
    <w:basedOn w:val="Normal"/>
    <w:rsid w:val="00EF3095"/>
    <w:pPr>
      <w:widowControl w:val="0"/>
      <w:tabs>
        <w:tab w:val="left" w:pos="204"/>
      </w:tabs>
      <w:overflowPunct/>
      <w:spacing w:line="360" w:lineRule="auto"/>
      <w:ind w:firstLine="1440"/>
      <w:textAlignment w:val="auto"/>
    </w:pPr>
    <w:rPr>
      <w:rFonts w:ascii="Times New Roman" w:hAnsi="Times New Roman"/>
      <w:sz w:val="26"/>
      <w:szCs w:val="24"/>
    </w:rPr>
  </w:style>
  <w:style w:type="character" w:customStyle="1" w:styleId="FootnoteTextChar">
    <w:name w:val="Footnote Text Char"/>
    <w:link w:val="FootnoteText"/>
    <w:uiPriority w:val="99"/>
    <w:semiHidden/>
    <w:rsid w:val="00584E62"/>
    <w:rPr>
      <w:rFonts w:ascii="Book Antiqua" w:hAnsi="Book Antiqua"/>
    </w:rPr>
  </w:style>
  <w:style w:type="character" w:customStyle="1" w:styleId="Heading1Char">
    <w:name w:val="Heading 1 Char"/>
    <w:link w:val="Heading1"/>
    <w:rsid w:val="007B3D99"/>
    <w:rPr>
      <w:rFonts w:ascii="Book Antiqua" w:hAnsi="Book Antiqua"/>
      <w:b/>
      <w:sz w:val="24"/>
      <w:u w:val="single"/>
    </w:rPr>
  </w:style>
  <w:style w:type="character" w:styleId="Hyperlink">
    <w:name w:val="Hyperlink"/>
    <w:rsid w:val="00CB17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link w:val="EndnoteTextChar"/>
    <w:semiHidden/>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table" w:styleId="TableGrid">
    <w:name w:val="Table Grid"/>
    <w:basedOn w:val="TableNormal"/>
    <w:rsid w:val="00CB11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Simple2">
    <w:name w:val="Table Simple 2"/>
    <w:basedOn w:val="TableNormal"/>
    <w:rsid w:val="009F4795"/>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FooterChar">
    <w:name w:val="Footer Char"/>
    <w:link w:val="Footer"/>
    <w:uiPriority w:val="99"/>
    <w:rsid w:val="006C2E78"/>
    <w:rPr>
      <w:rFonts w:ascii="Book Antiqua" w:hAnsi="Book Antiqua"/>
      <w:sz w:val="24"/>
    </w:rPr>
  </w:style>
  <w:style w:type="character" w:customStyle="1" w:styleId="EndnoteTextChar">
    <w:name w:val="Endnote Text Char"/>
    <w:link w:val="EndnoteText"/>
    <w:semiHidden/>
    <w:rsid w:val="0074546C"/>
    <w:rPr>
      <w:rFonts w:ascii="Book Antiqua" w:hAnsi="Book Antiqua"/>
      <w:sz w:val="24"/>
    </w:rPr>
  </w:style>
  <w:style w:type="paragraph" w:styleId="ListParagraph">
    <w:name w:val="List Paragraph"/>
    <w:basedOn w:val="Normal"/>
    <w:uiPriority w:val="34"/>
    <w:qFormat/>
    <w:rsid w:val="009933AE"/>
    <w:pPr>
      <w:ind w:left="720"/>
    </w:pPr>
  </w:style>
  <w:style w:type="character" w:styleId="CommentReference">
    <w:name w:val="annotation reference"/>
    <w:rsid w:val="00144BDA"/>
    <w:rPr>
      <w:sz w:val="16"/>
      <w:szCs w:val="16"/>
    </w:rPr>
  </w:style>
  <w:style w:type="paragraph" w:styleId="CommentText">
    <w:name w:val="annotation text"/>
    <w:basedOn w:val="Normal"/>
    <w:link w:val="CommentTextChar"/>
    <w:rsid w:val="00144BDA"/>
    <w:rPr>
      <w:sz w:val="20"/>
    </w:rPr>
  </w:style>
  <w:style w:type="character" w:customStyle="1" w:styleId="CommentTextChar">
    <w:name w:val="Comment Text Char"/>
    <w:link w:val="CommentText"/>
    <w:rsid w:val="00144BDA"/>
    <w:rPr>
      <w:rFonts w:ascii="Book Antiqua" w:hAnsi="Book Antiqua"/>
    </w:rPr>
  </w:style>
  <w:style w:type="paragraph" w:styleId="CommentSubject">
    <w:name w:val="annotation subject"/>
    <w:basedOn w:val="CommentText"/>
    <w:next w:val="CommentText"/>
    <w:link w:val="CommentSubjectChar"/>
    <w:rsid w:val="00144BDA"/>
    <w:rPr>
      <w:b/>
      <w:bCs/>
    </w:rPr>
  </w:style>
  <w:style w:type="character" w:customStyle="1" w:styleId="CommentSubjectChar">
    <w:name w:val="Comment Subject Char"/>
    <w:link w:val="CommentSubject"/>
    <w:rsid w:val="00144BDA"/>
    <w:rPr>
      <w:rFonts w:ascii="Book Antiqua" w:hAnsi="Book Antiqua"/>
      <w:b/>
      <w:bCs/>
    </w:rPr>
  </w:style>
  <w:style w:type="paragraph" w:styleId="NoSpacing">
    <w:name w:val="No Spacing"/>
    <w:uiPriority w:val="99"/>
    <w:qFormat/>
    <w:rsid w:val="00721084"/>
    <w:rPr>
      <w:rFonts w:ascii="Calibri" w:eastAsia="Calibri" w:hAnsi="Calibri"/>
      <w:sz w:val="22"/>
      <w:szCs w:val="22"/>
    </w:rPr>
  </w:style>
  <w:style w:type="paragraph" w:customStyle="1" w:styleId="p3">
    <w:name w:val="p3"/>
    <w:basedOn w:val="Normal"/>
    <w:rsid w:val="00EF3095"/>
    <w:pPr>
      <w:widowControl w:val="0"/>
      <w:tabs>
        <w:tab w:val="left" w:pos="204"/>
      </w:tabs>
      <w:overflowPunct/>
      <w:spacing w:line="360" w:lineRule="auto"/>
      <w:ind w:firstLine="1440"/>
      <w:textAlignment w:val="auto"/>
    </w:pPr>
    <w:rPr>
      <w:rFonts w:ascii="Times New Roman" w:hAnsi="Times New Roman"/>
      <w:sz w:val="26"/>
      <w:szCs w:val="24"/>
    </w:rPr>
  </w:style>
  <w:style w:type="character" w:customStyle="1" w:styleId="FootnoteTextChar">
    <w:name w:val="Footnote Text Char"/>
    <w:link w:val="FootnoteText"/>
    <w:uiPriority w:val="99"/>
    <w:semiHidden/>
    <w:rsid w:val="00584E62"/>
    <w:rPr>
      <w:rFonts w:ascii="Book Antiqua" w:hAnsi="Book Antiqua"/>
    </w:rPr>
  </w:style>
  <w:style w:type="character" w:customStyle="1" w:styleId="Heading1Char">
    <w:name w:val="Heading 1 Char"/>
    <w:link w:val="Heading1"/>
    <w:rsid w:val="007B3D99"/>
    <w:rPr>
      <w:rFonts w:ascii="Book Antiqua" w:hAnsi="Book Antiqua"/>
      <w:b/>
      <w:sz w:val="24"/>
      <w:u w:val="single"/>
    </w:rPr>
  </w:style>
  <w:style w:type="character" w:styleId="Hyperlink">
    <w:name w:val="Hyperlink"/>
    <w:rsid w:val="00CB17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14140786">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7.xml"/><Relationship Id="rId42"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yperlink" Target="http://www.puc.pa.gov" TargetMode="Externa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png"/><Relationship Id="rId28" Type="http://schemas.openxmlformats.org/officeDocument/2006/relationships/header" Target="header13.xml"/><Relationship Id="rId36" Type="http://schemas.openxmlformats.org/officeDocument/2006/relationships/header" Target="header18.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5.xml"/><Relationship Id="rId44" Type="http://schemas.openxmlformats.org/officeDocument/2006/relationships/header" Target="header2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footer" Target="footer8.xml"/><Relationship Id="rId43"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F4DAA-1815-4422-B1EF-9983E464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16867</CharactersWithSpaces>
  <SharedDoc>false</SharedDoc>
  <HLinks>
    <vt:vector size="6" baseType="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J  Hess</dc:creator>
  <cp:lastModifiedBy>Administrator</cp:lastModifiedBy>
  <cp:revision>32</cp:revision>
  <cp:lastPrinted>2014-12-03T19:06:00Z</cp:lastPrinted>
  <dcterms:created xsi:type="dcterms:W3CDTF">2014-12-03T18:57:00Z</dcterms:created>
  <dcterms:modified xsi:type="dcterms:W3CDTF">2014-12-23T14:00:00Z</dcterms:modified>
</cp:coreProperties>
</file>