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Default="003B13CA" w:rsidP="00CB74B2">
      <w:pPr>
        <w:jc w:val="center"/>
        <w:rPr>
          <w:color w:val="000000"/>
        </w:rPr>
      </w:pPr>
      <w:r>
        <w:rPr>
          <w:color w:val="000000"/>
        </w:rPr>
        <w:t>January 21, 2014</w:t>
      </w:r>
    </w:p>
    <w:p w:rsidR="00F12B3D" w:rsidRDefault="00F12B3D" w:rsidP="00CB74B2">
      <w:pPr>
        <w:jc w:val="center"/>
        <w:rPr>
          <w:color w:val="000000"/>
        </w:rPr>
      </w:pPr>
    </w:p>
    <w:p w:rsidR="00F12B3D" w:rsidRPr="005D357A" w:rsidRDefault="00F12B3D" w:rsidP="00CB74B2">
      <w:pPr>
        <w:jc w:val="center"/>
        <w:rPr>
          <w:color w:val="000000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BD4CB8">
        <w:rPr>
          <w:color w:val="000000"/>
          <w:sz w:val="24"/>
          <w:szCs w:val="24"/>
        </w:rPr>
        <w:t>2013-2396449</w:t>
      </w:r>
    </w:p>
    <w:p w:rsidR="000D2FAA" w:rsidRDefault="00BD4CB8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Utility Code:  1216187</w:t>
      </w:r>
    </w:p>
    <w:p w:rsidR="004D2C8F" w:rsidRDefault="004D2C8F">
      <w:pPr>
        <w:rPr>
          <w:color w:val="000000"/>
          <w:sz w:val="24"/>
          <w:szCs w:val="24"/>
        </w:rPr>
      </w:pPr>
    </w:p>
    <w:p w:rsidR="00F12B3D" w:rsidRDefault="00B84BAE" w:rsidP="00B84BAE">
      <w:pPr>
        <w:ind w:right="576"/>
        <w:rPr>
          <w:color w:val="000000"/>
          <w:sz w:val="24"/>
          <w:szCs w:val="24"/>
        </w:rPr>
      </w:pPr>
      <w:r w:rsidRPr="00B84BAE">
        <w:rPr>
          <w:color w:val="000000"/>
          <w:sz w:val="24"/>
          <w:szCs w:val="24"/>
        </w:rPr>
        <w:t xml:space="preserve">LEAH GIBBONS  </w:t>
      </w:r>
    </w:p>
    <w:p w:rsidR="00B84BAE" w:rsidRPr="00B84BAE" w:rsidRDefault="00B84BAE" w:rsidP="00B84BAE">
      <w:pPr>
        <w:ind w:right="576"/>
        <w:rPr>
          <w:color w:val="000000"/>
          <w:sz w:val="24"/>
          <w:szCs w:val="24"/>
        </w:rPr>
      </w:pPr>
      <w:r w:rsidRPr="00B84BAE">
        <w:rPr>
          <w:color w:val="000000"/>
          <w:sz w:val="24"/>
          <w:szCs w:val="24"/>
        </w:rPr>
        <w:t>DIR OF REG AFFAIRS</w:t>
      </w:r>
    </w:p>
    <w:p w:rsidR="00B84BAE" w:rsidRPr="00B84BAE" w:rsidRDefault="00B84BAE" w:rsidP="00B84BAE">
      <w:pPr>
        <w:ind w:right="576"/>
        <w:rPr>
          <w:color w:val="000000"/>
          <w:sz w:val="24"/>
          <w:szCs w:val="24"/>
        </w:rPr>
      </w:pPr>
      <w:r w:rsidRPr="00B84BAE">
        <w:rPr>
          <w:color w:val="000000"/>
          <w:sz w:val="24"/>
          <w:szCs w:val="24"/>
        </w:rPr>
        <w:t>INDEPENDENCE ENERGY GROUP LLC</w:t>
      </w:r>
    </w:p>
    <w:p w:rsidR="00B84BAE" w:rsidRPr="00B84BAE" w:rsidRDefault="00B84BAE" w:rsidP="00B84BAE">
      <w:pPr>
        <w:ind w:right="576"/>
        <w:rPr>
          <w:color w:val="000000"/>
          <w:sz w:val="24"/>
          <w:szCs w:val="24"/>
        </w:rPr>
      </w:pPr>
      <w:r w:rsidRPr="00B84BAE">
        <w:rPr>
          <w:color w:val="000000"/>
          <w:sz w:val="24"/>
          <w:szCs w:val="24"/>
        </w:rPr>
        <w:t>324 CEDAR LN</w:t>
      </w:r>
    </w:p>
    <w:p w:rsidR="008C37FD" w:rsidRPr="009F61AE" w:rsidRDefault="00B84BAE" w:rsidP="00B84BAE">
      <w:pPr>
        <w:ind w:right="576"/>
        <w:rPr>
          <w:color w:val="000000"/>
          <w:sz w:val="24"/>
          <w:szCs w:val="24"/>
        </w:rPr>
      </w:pPr>
      <w:proofErr w:type="gramStart"/>
      <w:r w:rsidRPr="00B84BAE">
        <w:rPr>
          <w:color w:val="000000"/>
          <w:sz w:val="24"/>
          <w:szCs w:val="24"/>
        </w:rPr>
        <w:t>ROCKVILLE  MD</w:t>
      </w:r>
      <w:proofErr w:type="gramEnd"/>
      <w:r w:rsidRPr="00B84BAE">
        <w:rPr>
          <w:color w:val="000000"/>
          <w:sz w:val="24"/>
          <w:szCs w:val="24"/>
        </w:rPr>
        <w:t xml:space="preserve">   20851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0D2FAA">
        <w:rPr>
          <w:color w:val="000000"/>
          <w:sz w:val="24"/>
          <w:szCs w:val="24"/>
        </w:rPr>
        <w:t>Natural Gas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 A-</w:t>
      </w:r>
      <w:r w:rsidR="007E35B5">
        <w:rPr>
          <w:color w:val="000000"/>
          <w:sz w:val="24"/>
          <w:szCs w:val="24"/>
        </w:rPr>
        <w:t>2013-</w:t>
      </w:r>
      <w:r w:rsidR="000D2FAA">
        <w:rPr>
          <w:color w:val="000000"/>
          <w:sz w:val="24"/>
          <w:szCs w:val="24"/>
        </w:rPr>
        <w:t>23</w:t>
      </w:r>
      <w:r w:rsidR="00BD4CB8">
        <w:rPr>
          <w:color w:val="000000"/>
          <w:sz w:val="24"/>
          <w:szCs w:val="24"/>
        </w:rPr>
        <w:t>96449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BD4CB8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BD4CB8">
        <w:rPr>
          <w:color w:val="000000"/>
          <w:sz w:val="24"/>
          <w:szCs w:val="24"/>
        </w:rPr>
        <w:t>Gibbons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280B3B">
        <w:rPr>
          <w:color w:val="000000"/>
          <w:sz w:val="24"/>
          <w:szCs w:val="24"/>
        </w:rPr>
        <w:t>April 23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201</w:t>
      </w:r>
      <w:r w:rsidR="00280B3B">
        <w:rPr>
          <w:color w:val="000000"/>
          <w:sz w:val="24"/>
          <w:szCs w:val="24"/>
        </w:rPr>
        <w:t>4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>A-</w:t>
      </w:r>
      <w:r w:rsidR="007E35B5">
        <w:rPr>
          <w:color w:val="000000"/>
          <w:sz w:val="24"/>
          <w:szCs w:val="24"/>
        </w:rPr>
        <w:t>2013</w:t>
      </w:r>
      <w:r w:rsidR="00DD614B">
        <w:rPr>
          <w:color w:val="000000"/>
          <w:sz w:val="24"/>
          <w:szCs w:val="24"/>
        </w:rPr>
        <w:t>-</w:t>
      </w:r>
      <w:r w:rsidR="000D2FAA">
        <w:rPr>
          <w:color w:val="000000"/>
          <w:sz w:val="24"/>
          <w:szCs w:val="24"/>
        </w:rPr>
        <w:t>23</w:t>
      </w:r>
      <w:r w:rsidR="00280B3B">
        <w:rPr>
          <w:color w:val="000000"/>
          <w:sz w:val="24"/>
          <w:szCs w:val="24"/>
        </w:rPr>
        <w:t>96449</w:t>
      </w:r>
      <w:r w:rsidR="008C37FD" w:rsidRPr="009F61AE">
        <w:rPr>
          <w:color w:val="000000"/>
          <w:sz w:val="24"/>
          <w:szCs w:val="24"/>
        </w:rPr>
        <w:t xml:space="preserve">, authorizing </w:t>
      </w:r>
      <w:r w:rsidR="00280B3B">
        <w:rPr>
          <w:color w:val="000000"/>
          <w:sz w:val="24"/>
          <w:szCs w:val="24"/>
        </w:rPr>
        <w:t>Independence Energy Group, LLC d/b/a Energy Rewards</w:t>
      </w:r>
      <w:r w:rsidR="00822DED">
        <w:rPr>
          <w:color w:val="000000"/>
          <w:sz w:val="24"/>
          <w:szCs w:val="24"/>
        </w:rPr>
        <w:t xml:space="preserve"> (</w:t>
      </w:r>
      <w:r w:rsidR="00280B3B">
        <w:rPr>
          <w:color w:val="000000"/>
          <w:sz w:val="24"/>
          <w:szCs w:val="24"/>
        </w:rPr>
        <w:t>Independence</w:t>
      </w:r>
      <w:r w:rsidR="00A3714F">
        <w:rPr>
          <w:color w:val="000000"/>
          <w:sz w:val="24"/>
          <w:szCs w:val="24"/>
        </w:rPr>
        <w:t>)</w:t>
      </w:r>
      <w:r w:rsidR="00F65FC3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0D2FAA">
        <w:rPr>
          <w:color w:val="000000"/>
          <w:sz w:val="24"/>
          <w:szCs w:val="24"/>
        </w:rPr>
        <w:t xml:space="preserve">natural gas </w:t>
      </w:r>
      <w:r w:rsidR="005F774C">
        <w:rPr>
          <w:color w:val="000000"/>
          <w:sz w:val="24"/>
          <w:szCs w:val="24"/>
        </w:rPr>
        <w:t>supp</w:t>
      </w:r>
      <w:r w:rsidR="00E678B3">
        <w:rPr>
          <w:color w:val="000000"/>
          <w:sz w:val="24"/>
          <w:szCs w:val="24"/>
        </w:rPr>
        <w:t>ly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2D146A">
        <w:rPr>
          <w:color w:val="000000"/>
          <w:sz w:val="24"/>
          <w:szCs w:val="24"/>
        </w:rPr>
        <w:t xml:space="preserve">as a supplier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7E35B5">
        <w:rPr>
          <w:color w:val="000000"/>
          <w:sz w:val="24"/>
          <w:szCs w:val="24"/>
        </w:rPr>
        <w:t xml:space="preserve">residential, small </w:t>
      </w:r>
      <w:r w:rsidR="00DD614B">
        <w:rPr>
          <w:color w:val="000000"/>
          <w:sz w:val="24"/>
          <w:szCs w:val="24"/>
        </w:rPr>
        <w:t>commercial</w:t>
      </w:r>
      <w:r w:rsidR="007E35B5">
        <w:rPr>
          <w:color w:val="000000"/>
          <w:sz w:val="24"/>
          <w:szCs w:val="24"/>
        </w:rPr>
        <w:t xml:space="preserve"> (</w:t>
      </w:r>
      <w:r w:rsidR="003009DB">
        <w:rPr>
          <w:color w:val="000000"/>
          <w:sz w:val="24"/>
          <w:szCs w:val="24"/>
        </w:rPr>
        <w:t xml:space="preserve">6,000 </w:t>
      </w:r>
      <w:proofErr w:type="spellStart"/>
      <w:r w:rsidR="003009DB">
        <w:rPr>
          <w:color w:val="000000"/>
          <w:sz w:val="24"/>
          <w:szCs w:val="24"/>
        </w:rPr>
        <w:t>Mcf</w:t>
      </w:r>
      <w:proofErr w:type="spellEnd"/>
      <w:r w:rsidR="003009DB">
        <w:rPr>
          <w:color w:val="000000"/>
          <w:sz w:val="24"/>
          <w:szCs w:val="24"/>
        </w:rPr>
        <w:t xml:space="preserve"> and under</w:t>
      </w:r>
      <w:r w:rsidR="007E35B5">
        <w:rPr>
          <w:color w:val="000000"/>
          <w:sz w:val="24"/>
          <w:szCs w:val="24"/>
        </w:rPr>
        <w:t>)</w:t>
      </w:r>
      <w:r w:rsidR="00DD614B">
        <w:rPr>
          <w:color w:val="000000"/>
          <w:sz w:val="24"/>
          <w:szCs w:val="24"/>
        </w:rPr>
        <w:t>,</w:t>
      </w:r>
      <w:r w:rsidR="007E35B5">
        <w:rPr>
          <w:color w:val="000000"/>
          <w:sz w:val="24"/>
          <w:szCs w:val="24"/>
        </w:rPr>
        <w:t xml:space="preserve"> </w:t>
      </w:r>
      <w:r w:rsidR="00280B3B">
        <w:rPr>
          <w:color w:val="000000"/>
          <w:sz w:val="24"/>
          <w:szCs w:val="24"/>
        </w:rPr>
        <w:t xml:space="preserve">and </w:t>
      </w:r>
      <w:r w:rsidR="007E35B5">
        <w:rPr>
          <w:color w:val="000000"/>
          <w:sz w:val="24"/>
          <w:szCs w:val="24"/>
        </w:rPr>
        <w:t>large commercial (</w:t>
      </w:r>
      <w:r w:rsidR="00E678B3">
        <w:rPr>
          <w:color w:val="000000"/>
          <w:sz w:val="24"/>
          <w:szCs w:val="24"/>
        </w:rPr>
        <w:t>o</w:t>
      </w:r>
      <w:r w:rsidR="003009DB">
        <w:rPr>
          <w:color w:val="000000"/>
          <w:sz w:val="24"/>
          <w:szCs w:val="24"/>
        </w:rPr>
        <w:t xml:space="preserve">ver 6,000 </w:t>
      </w:r>
      <w:proofErr w:type="spellStart"/>
      <w:r w:rsidR="003009DB">
        <w:rPr>
          <w:color w:val="000000"/>
          <w:sz w:val="24"/>
          <w:szCs w:val="24"/>
        </w:rPr>
        <w:t>Mcf</w:t>
      </w:r>
      <w:proofErr w:type="spellEnd"/>
      <w:r w:rsidR="00441AFE">
        <w:rPr>
          <w:color w:val="000000"/>
          <w:sz w:val="24"/>
          <w:szCs w:val="24"/>
        </w:rPr>
        <w:t>)</w:t>
      </w:r>
      <w:r w:rsidR="00DD614B">
        <w:rPr>
          <w:color w:val="000000"/>
          <w:sz w:val="24"/>
          <w:szCs w:val="24"/>
        </w:rPr>
        <w:t xml:space="preserve"> </w:t>
      </w:r>
      <w:r w:rsidR="00126753">
        <w:rPr>
          <w:color w:val="000000"/>
          <w:sz w:val="24"/>
          <w:szCs w:val="24"/>
        </w:rPr>
        <w:t>customer</w:t>
      </w:r>
      <w:r w:rsidR="00DD614B">
        <w:rPr>
          <w:color w:val="000000"/>
          <w:sz w:val="24"/>
          <w:szCs w:val="24"/>
        </w:rPr>
        <w:t xml:space="preserve">s in </w:t>
      </w:r>
      <w:r w:rsidR="003009DB">
        <w:rPr>
          <w:color w:val="000000"/>
          <w:sz w:val="24"/>
          <w:szCs w:val="24"/>
        </w:rPr>
        <w:t>the natural gas distribution company</w:t>
      </w:r>
      <w:r w:rsidR="007E35B5">
        <w:rPr>
          <w:color w:val="000000"/>
          <w:sz w:val="24"/>
          <w:szCs w:val="24"/>
        </w:rPr>
        <w:t xml:space="preserve"> </w:t>
      </w:r>
      <w:r w:rsidR="00DD614B">
        <w:rPr>
          <w:color w:val="000000"/>
          <w:sz w:val="24"/>
          <w:szCs w:val="24"/>
        </w:rPr>
        <w:t>service territories</w:t>
      </w:r>
      <w:r w:rsidR="003009DB">
        <w:rPr>
          <w:color w:val="000000"/>
          <w:sz w:val="24"/>
          <w:szCs w:val="24"/>
        </w:rPr>
        <w:t xml:space="preserve"> of </w:t>
      </w:r>
      <w:r w:rsidR="001F3CB5">
        <w:rPr>
          <w:color w:val="000000"/>
          <w:sz w:val="24"/>
          <w:szCs w:val="24"/>
        </w:rPr>
        <w:t>Peoples Natural Gas Company LLC – Equitable Division</w:t>
      </w:r>
      <w:r w:rsidR="003009DB">
        <w:rPr>
          <w:color w:val="000000"/>
          <w:sz w:val="24"/>
          <w:szCs w:val="24"/>
        </w:rPr>
        <w:t>, Peoples Natural Gas Company</w:t>
      </w:r>
      <w:r w:rsidR="00441AFE">
        <w:rPr>
          <w:color w:val="000000"/>
          <w:sz w:val="24"/>
          <w:szCs w:val="24"/>
        </w:rPr>
        <w:t>,</w:t>
      </w:r>
      <w:r w:rsidR="003009DB">
        <w:rPr>
          <w:color w:val="000000"/>
          <w:sz w:val="24"/>
          <w:szCs w:val="24"/>
        </w:rPr>
        <w:t xml:space="preserve"> LLC, </w:t>
      </w:r>
      <w:r w:rsidR="00441AFE">
        <w:rPr>
          <w:color w:val="000000"/>
          <w:sz w:val="24"/>
          <w:szCs w:val="24"/>
        </w:rPr>
        <w:t>and Columbia Gas of PA,</w:t>
      </w:r>
      <w:r w:rsidR="003009DB">
        <w:rPr>
          <w:color w:val="000000"/>
          <w:sz w:val="24"/>
          <w:szCs w:val="24"/>
        </w:rPr>
        <w:t xml:space="preserve"> Inc.</w:t>
      </w:r>
      <w:r w:rsidR="001F3CB5">
        <w:rPr>
          <w:color w:val="000000"/>
          <w:sz w:val="24"/>
          <w:szCs w:val="24"/>
        </w:rPr>
        <w:t>,</w:t>
      </w:r>
      <w:r w:rsidR="00DD614B">
        <w:rPr>
          <w:color w:val="000000"/>
          <w:sz w:val="24"/>
          <w:szCs w:val="24"/>
        </w:rPr>
        <w:t xml:space="preserve"> </w:t>
      </w:r>
      <w:r w:rsidR="00EA45A8">
        <w:rPr>
          <w:color w:val="000000"/>
          <w:sz w:val="24"/>
          <w:szCs w:val="24"/>
        </w:rPr>
        <w:t xml:space="preserve">within </w:t>
      </w:r>
      <w:r w:rsidR="00F65FC3">
        <w:rPr>
          <w:color w:val="000000"/>
          <w:sz w:val="24"/>
          <w:szCs w:val="24"/>
        </w:rPr>
        <w:t>the Commo</w:t>
      </w:r>
      <w:r w:rsidR="008C37FD" w:rsidRPr="009F61AE">
        <w:rPr>
          <w:color w:val="000000"/>
          <w:sz w:val="24"/>
          <w:szCs w:val="24"/>
        </w:rPr>
        <w:t>nwealth of Pennsylvania.</w:t>
      </w:r>
      <w:r>
        <w:rPr>
          <w:color w:val="000000"/>
          <w:sz w:val="24"/>
          <w:szCs w:val="24"/>
        </w:rPr>
        <w:t xml:space="preserve">  </w:t>
      </w:r>
    </w:p>
    <w:p w:rsidR="00F12B3D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B81E83">
        <w:rPr>
          <w:color w:val="000000"/>
          <w:sz w:val="24"/>
          <w:szCs w:val="24"/>
        </w:rPr>
        <w:t>December 5</w:t>
      </w:r>
      <w:r w:rsidR="00370F42">
        <w:rPr>
          <w:color w:val="000000"/>
          <w:sz w:val="24"/>
          <w:szCs w:val="24"/>
        </w:rPr>
        <w:t>, 201</w:t>
      </w:r>
      <w:r w:rsidR="007E35B5">
        <w:rPr>
          <w:color w:val="000000"/>
          <w:sz w:val="24"/>
          <w:szCs w:val="24"/>
        </w:rPr>
        <w:t>4</w:t>
      </w:r>
      <w:r w:rsidR="00911FDD">
        <w:rPr>
          <w:color w:val="000000"/>
          <w:sz w:val="24"/>
          <w:szCs w:val="24"/>
        </w:rPr>
        <w:t xml:space="preserve">, </w:t>
      </w:r>
      <w:r w:rsidR="00B81E83">
        <w:rPr>
          <w:color w:val="000000"/>
          <w:sz w:val="24"/>
          <w:szCs w:val="24"/>
        </w:rPr>
        <w:t>Independence</w:t>
      </w:r>
      <w:r w:rsidR="00911FDD">
        <w:rPr>
          <w:color w:val="000000"/>
          <w:sz w:val="24"/>
          <w:szCs w:val="24"/>
        </w:rPr>
        <w:t xml:space="preserve"> filed a request </w:t>
      </w:r>
      <w:r w:rsidR="005F2D3C">
        <w:rPr>
          <w:color w:val="000000"/>
          <w:sz w:val="24"/>
          <w:szCs w:val="24"/>
        </w:rPr>
        <w:t>with</w:t>
      </w:r>
      <w:r w:rsidR="00911FDD">
        <w:rPr>
          <w:color w:val="000000"/>
          <w:sz w:val="24"/>
          <w:szCs w:val="24"/>
        </w:rPr>
        <w:t xml:space="preserve"> the Commission </w:t>
      </w:r>
      <w:r w:rsidR="005F2D3C">
        <w:rPr>
          <w:color w:val="000000"/>
          <w:sz w:val="24"/>
          <w:szCs w:val="24"/>
        </w:rPr>
        <w:t xml:space="preserve">to </w:t>
      </w:r>
      <w:r w:rsidR="00911FDD">
        <w:rPr>
          <w:color w:val="000000"/>
          <w:sz w:val="24"/>
          <w:szCs w:val="24"/>
        </w:rPr>
        <w:t xml:space="preserve">change the name on its license to provide </w:t>
      </w:r>
      <w:r w:rsidR="000D2FAA">
        <w:rPr>
          <w:color w:val="000000"/>
          <w:sz w:val="24"/>
          <w:szCs w:val="24"/>
        </w:rPr>
        <w:t>natural gas</w:t>
      </w:r>
      <w:r w:rsidR="00911FDD">
        <w:rPr>
          <w:color w:val="000000"/>
          <w:sz w:val="24"/>
          <w:szCs w:val="24"/>
        </w:rPr>
        <w:t xml:space="preserve"> suppl</w:t>
      </w:r>
      <w:r w:rsidR="000D2FAA">
        <w:rPr>
          <w:color w:val="000000"/>
          <w:sz w:val="24"/>
          <w:szCs w:val="24"/>
        </w:rPr>
        <w:t>y</w:t>
      </w:r>
      <w:r w:rsidR="00911FDD">
        <w:rPr>
          <w:color w:val="000000"/>
          <w:sz w:val="24"/>
          <w:szCs w:val="24"/>
        </w:rPr>
        <w:t xml:space="preserve"> services </w:t>
      </w:r>
      <w:r w:rsidR="00B81E83">
        <w:rPr>
          <w:color w:val="000000"/>
          <w:sz w:val="24"/>
          <w:szCs w:val="24"/>
        </w:rPr>
        <w:t>with the additional d/b/a name of NRG Home</w:t>
      </w:r>
      <w:r w:rsidR="007E35B5">
        <w:rPr>
          <w:color w:val="000000"/>
          <w:sz w:val="24"/>
          <w:szCs w:val="24"/>
        </w:rPr>
        <w:t>.</w:t>
      </w:r>
      <w:r w:rsidR="00F12B3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5F2D3C">
        <w:rPr>
          <w:color w:val="000000"/>
          <w:sz w:val="24"/>
          <w:szCs w:val="24"/>
        </w:rPr>
        <w:t>Independence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5F2D3C">
        <w:rPr>
          <w:color w:val="000000"/>
          <w:sz w:val="24"/>
          <w:szCs w:val="24"/>
        </w:rPr>
        <w:t xml:space="preserve"> regarding their fictitious name of NRG Home.</w:t>
      </w:r>
      <w:r w:rsidR="00F12B3D">
        <w:rPr>
          <w:color w:val="000000"/>
          <w:sz w:val="24"/>
          <w:szCs w:val="24"/>
        </w:rPr>
        <w:t xml:space="preserve">  </w:t>
      </w:r>
    </w:p>
    <w:p w:rsidR="004D2C8F" w:rsidRPr="00F12B3D" w:rsidRDefault="00F12B3D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F12B3D">
        <w:rPr>
          <w:color w:val="000000"/>
          <w:sz w:val="24"/>
          <w:szCs w:val="24"/>
        </w:rPr>
        <w:t>Ther</w:t>
      </w:r>
      <w:r w:rsidR="00934251" w:rsidRPr="00F12B3D">
        <w:rPr>
          <w:color w:val="000000"/>
          <w:sz w:val="24"/>
          <w:szCs w:val="24"/>
        </w:rPr>
        <w:t xml:space="preserve">efore, the Commission approves </w:t>
      </w:r>
      <w:r w:rsidR="008C37FD" w:rsidRPr="00F12B3D">
        <w:rPr>
          <w:color w:val="000000"/>
          <w:sz w:val="24"/>
          <w:szCs w:val="24"/>
        </w:rPr>
        <w:t xml:space="preserve">the change of </w:t>
      </w:r>
      <w:r w:rsidR="003C3398" w:rsidRPr="00F12B3D">
        <w:rPr>
          <w:color w:val="000000"/>
          <w:sz w:val="24"/>
          <w:szCs w:val="24"/>
        </w:rPr>
        <w:t xml:space="preserve">Independence Energy Group, LLC d/b/a Energy Rewards’ </w:t>
      </w:r>
      <w:r w:rsidR="008C37FD" w:rsidRPr="00F12B3D">
        <w:rPr>
          <w:color w:val="000000"/>
          <w:sz w:val="24"/>
          <w:szCs w:val="24"/>
        </w:rPr>
        <w:t xml:space="preserve">name on its license </w:t>
      </w:r>
      <w:r w:rsidR="002D146A" w:rsidRPr="00F12B3D">
        <w:rPr>
          <w:color w:val="000000"/>
          <w:sz w:val="24"/>
          <w:szCs w:val="24"/>
        </w:rPr>
        <w:t>to</w:t>
      </w:r>
      <w:r w:rsidR="00176CFD" w:rsidRPr="00F12B3D">
        <w:rPr>
          <w:color w:val="000000"/>
          <w:sz w:val="24"/>
          <w:szCs w:val="24"/>
        </w:rPr>
        <w:t xml:space="preserve"> Independence Energy Group, LLC d/b/a Energy Rewards d/b/a NRG Home</w:t>
      </w:r>
      <w:r w:rsidR="00BB38E5" w:rsidRPr="00F12B3D">
        <w:rPr>
          <w:color w:val="000000"/>
          <w:sz w:val="24"/>
          <w:szCs w:val="24"/>
        </w:rPr>
        <w:t>.</w:t>
      </w:r>
      <w:r w:rsidR="00BF7BBA" w:rsidRPr="00F12B3D">
        <w:rPr>
          <w:color w:val="000000"/>
          <w:sz w:val="24"/>
          <w:szCs w:val="24"/>
        </w:rPr>
        <w:t xml:space="preserve">  </w:t>
      </w:r>
    </w:p>
    <w:p w:rsidR="008C37FD" w:rsidRDefault="00BF7BBA" w:rsidP="004D2C8F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A225EE" w:rsidRDefault="00E14F2F" w:rsidP="00A225EE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Additionally,</w:t>
      </w:r>
      <w:r w:rsidR="00A225EE">
        <w:rPr>
          <w:color w:val="000000"/>
          <w:sz w:val="24"/>
          <w:szCs w:val="24"/>
        </w:rPr>
        <w:t xml:space="preserve"> Independence is </w:t>
      </w:r>
      <w:r>
        <w:rPr>
          <w:color w:val="000000"/>
          <w:sz w:val="24"/>
          <w:szCs w:val="24"/>
        </w:rPr>
        <w:t>directed</w:t>
      </w:r>
      <w:r w:rsidR="00A225EE">
        <w:rPr>
          <w:color w:val="000000"/>
          <w:sz w:val="24"/>
          <w:szCs w:val="24"/>
        </w:rPr>
        <w:t xml:space="preserve"> to inform all of </w:t>
      </w:r>
      <w:r w:rsidR="000D11C9">
        <w:rPr>
          <w:color w:val="000000"/>
          <w:sz w:val="24"/>
          <w:szCs w:val="24"/>
        </w:rPr>
        <w:t>its</w:t>
      </w:r>
      <w:r w:rsidR="00A225EE">
        <w:rPr>
          <w:color w:val="000000"/>
          <w:sz w:val="24"/>
          <w:szCs w:val="24"/>
        </w:rPr>
        <w:t xml:space="preserve"> customers of this name change, as well as all natural gas distribution companies in </w:t>
      </w:r>
      <w:r w:rsidR="00F12B3D">
        <w:rPr>
          <w:color w:val="000000"/>
          <w:sz w:val="24"/>
          <w:szCs w:val="24"/>
        </w:rPr>
        <w:t>whose service territor</w:t>
      </w:r>
      <w:r w:rsidR="00274F50">
        <w:rPr>
          <w:color w:val="000000"/>
          <w:sz w:val="24"/>
          <w:szCs w:val="24"/>
        </w:rPr>
        <w:t>y</w:t>
      </w:r>
      <w:r w:rsidR="00A225EE">
        <w:rPr>
          <w:color w:val="000000"/>
          <w:sz w:val="24"/>
          <w:szCs w:val="24"/>
        </w:rPr>
        <w:t xml:space="preserve"> </w:t>
      </w:r>
      <w:r w:rsidR="000D11C9">
        <w:rPr>
          <w:color w:val="000000"/>
          <w:sz w:val="24"/>
          <w:szCs w:val="24"/>
        </w:rPr>
        <w:t>it</w:t>
      </w:r>
      <w:r w:rsidR="00F12B3D">
        <w:rPr>
          <w:color w:val="000000"/>
          <w:sz w:val="24"/>
          <w:szCs w:val="24"/>
        </w:rPr>
        <w:t xml:space="preserve"> currently operates, within 30 days of the date of this Secretarial Letter.</w:t>
      </w:r>
    </w:p>
    <w:p w:rsidR="00F12B3D" w:rsidRDefault="00F12B3D" w:rsidP="00A225EE">
      <w:pPr>
        <w:spacing w:after="240"/>
        <w:ind w:firstLine="1440"/>
        <w:rPr>
          <w:color w:val="000000"/>
          <w:sz w:val="24"/>
          <w:szCs w:val="24"/>
        </w:rPr>
      </w:pPr>
    </w:p>
    <w:p w:rsidR="00F12B3D" w:rsidRDefault="00F12B3D" w:rsidP="00A225EE">
      <w:pPr>
        <w:spacing w:after="240"/>
        <w:ind w:firstLine="1440"/>
        <w:rPr>
          <w:color w:val="000000"/>
          <w:sz w:val="24"/>
          <w:szCs w:val="24"/>
        </w:rPr>
      </w:pPr>
    </w:p>
    <w:p w:rsidR="00F12B3D" w:rsidRDefault="00F12B3D" w:rsidP="00A225EE">
      <w:pPr>
        <w:spacing w:after="240"/>
        <w:ind w:firstLine="1440"/>
        <w:rPr>
          <w:color w:val="000000"/>
          <w:sz w:val="24"/>
          <w:szCs w:val="24"/>
        </w:rPr>
      </w:pPr>
    </w:p>
    <w:p w:rsidR="00B82BF2" w:rsidRPr="005D357A" w:rsidRDefault="003B13CA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72EF478" wp14:editId="2F654DFA">
            <wp:simplePos x="0" y="0"/>
            <wp:positionH relativeFrom="column">
              <wp:posOffset>2245360</wp:posOffset>
            </wp:positionH>
            <wp:positionV relativeFrom="paragraph">
              <wp:posOffset>447040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2BF2">
        <w:rPr>
          <w:sz w:val="24"/>
          <w:szCs w:val="24"/>
        </w:rPr>
        <w:t xml:space="preserve">If you have any questions in this matter, please contact </w:t>
      </w:r>
      <w:r w:rsidR="00D443CD">
        <w:rPr>
          <w:sz w:val="24"/>
          <w:szCs w:val="24"/>
        </w:rPr>
        <w:t>Jeff McCracken</w:t>
      </w:r>
      <w:r w:rsidR="00B82BF2"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D443CD">
        <w:rPr>
          <w:sz w:val="24"/>
          <w:szCs w:val="24"/>
        </w:rPr>
        <w:t xml:space="preserve"> Utility Services, 717-783</w:t>
      </w:r>
      <w:r w:rsidR="00B82BF2">
        <w:rPr>
          <w:sz w:val="24"/>
          <w:szCs w:val="24"/>
        </w:rPr>
        <w:t>-</w:t>
      </w:r>
      <w:r w:rsidR="00D443CD">
        <w:rPr>
          <w:sz w:val="24"/>
          <w:szCs w:val="24"/>
        </w:rPr>
        <w:t>6163</w:t>
      </w:r>
      <w:r w:rsidR="00B82BF2">
        <w:rPr>
          <w:sz w:val="24"/>
          <w:szCs w:val="24"/>
        </w:rPr>
        <w:t xml:space="preserve">, or email </w:t>
      </w:r>
      <w:r w:rsidR="00D443CD">
        <w:rPr>
          <w:sz w:val="24"/>
          <w:szCs w:val="24"/>
        </w:rPr>
        <w:t>jmccracken</w:t>
      </w:r>
      <w:r w:rsidR="00B82BF2" w:rsidRPr="00AD3174">
        <w:rPr>
          <w:sz w:val="24"/>
          <w:szCs w:val="24"/>
        </w:rPr>
        <w:t>@</w:t>
      </w:r>
      <w:r w:rsidR="007E35B5">
        <w:rPr>
          <w:sz w:val="24"/>
          <w:szCs w:val="24"/>
        </w:rPr>
        <w:t>pa.gov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Default="008C37FD" w:rsidP="005D357A">
      <w:pPr>
        <w:rPr>
          <w:color w:val="000000"/>
          <w:sz w:val="24"/>
          <w:szCs w:val="24"/>
        </w:rPr>
      </w:pPr>
    </w:p>
    <w:p w:rsidR="00F12B3D" w:rsidRPr="009F61AE" w:rsidRDefault="00F12B3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35B5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7E35B5">
        <w:rPr>
          <w:color w:val="000000"/>
          <w:sz w:val="24"/>
          <w:szCs w:val="24"/>
        </w:rPr>
        <w:t xml:space="preserve">Technical </w:t>
      </w:r>
      <w:r w:rsidR="003D2F30" w:rsidRPr="009F61AE">
        <w:rPr>
          <w:color w:val="000000"/>
          <w:sz w:val="24"/>
          <w:szCs w:val="24"/>
        </w:rPr>
        <w:t>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AE" w:rsidRDefault="001733AE">
      <w:r>
        <w:separator/>
      </w:r>
    </w:p>
  </w:endnote>
  <w:endnote w:type="continuationSeparator" w:id="0">
    <w:p w:rsidR="001733AE" w:rsidRDefault="0017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AE" w:rsidRDefault="001733AE">
      <w:r>
        <w:separator/>
      </w:r>
    </w:p>
  </w:footnote>
  <w:footnote w:type="continuationSeparator" w:id="0">
    <w:p w:rsidR="001733AE" w:rsidRDefault="0017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D11C9"/>
    <w:rsid w:val="000D2FAA"/>
    <w:rsid w:val="000D51C0"/>
    <w:rsid w:val="00122E55"/>
    <w:rsid w:val="00126753"/>
    <w:rsid w:val="00146882"/>
    <w:rsid w:val="001621DA"/>
    <w:rsid w:val="001733AE"/>
    <w:rsid w:val="00176CFD"/>
    <w:rsid w:val="0019193F"/>
    <w:rsid w:val="001F3CB5"/>
    <w:rsid w:val="00200272"/>
    <w:rsid w:val="00200A3E"/>
    <w:rsid w:val="00274F50"/>
    <w:rsid w:val="00280B3B"/>
    <w:rsid w:val="002A1C8B"/>
    <w:rsid w:val="002D146A"/>
    <w:rsid w:val="003009DB"/>
    <w:rsid w:val="00316038"/>
    <w:rsid w:val="00320C03"/>
    <w:rsid w:val="00364F33"/>
    <w:rsid w:val="00370F42"/>
    <w:rsid w:val="00381C4A"/>
    <w:rsid w:val="0038512B"/>
    <w:rsid w:val="003B13CA"/>
    <w:rsid w:val="003C1609"/>
    <w:rsid w:val="003C3398"/>
    <w:rsid w:val="003C7D0E"/>
    <w:rsid w:val="003D1E53"/>
    <w:rsid w:val="003D2F30"/>
    <w:rsid w:val="003F783C"/>
    <w:rsid w:val="0040222D"/>
    <w:rsid w:val="0041593F"/>
    <w:rsid w:val="00436776"/>
    <w:rsid w:val="00441AFE"/>
    <w:rsid w:val="004543AA"/>
    <w:rsid w:val="00486379"/>
    <w:rsid w:val="004D2C8F"/>
    <w:rsid w:val="004F3CDA"/>
    <w:rsid w:val="0055318A"/>
    <w:rsid w:val="0056296F"/>
    <w:rsid w:val="00590A9A"/>
    <w:rsid w:val="005B5740"/>
    <w:rsid w:val="005D357A"/>
    <w:rsid w:val="005E4FC7"/>
    <w:rsid w:val="005F2D3C"/>
    <w:rsid w:val="005F774C"/>
    <w:rsid w:val="00627804"/>
    <w:rsid w:val="00644219"/>
    <w:rsid w:val="006542F1"/>
    <w:rsid w:val="00684091"/>
    <w:rsid w:val="006976E8"/>
    <w:rsid w:val="006A3C49"/>
    <w:rsid w:val="006B6747"/>
    <w:rsid w:val="006C3AF5"/>
    <w:rsid w:val="006E356D"/>
    <w:rsid w:val="00754572"/>
    <w:rsid w:val="007664AC"/>
    <w:rsid w:val="007749F9"/>
    <w:rsid w:val="007860A7"/>
    <w:rsid w:val="007959D9"/>
    <w:rsid w:val="007A4F6E"/>
    <w:rsid w:val="007B0B74"/>
    <w:rsid w:val="007C02FB"/>
    <w:rsid w:val="007E35B5"/>
    <w:rsid w:val="00810121"/>
    <w:rsid w:val="00822DED"/>
    <w:rsid w:val="00823158"/>
    <w:rsid w:val="008503D0"/>
    <w:rsid w:val="00876EFB"/>
    <w:rsid w:val="00892FC9"/>
    <w:rsid w:val="008A52A4"/>
    <w:rsid w:val="008C37FD"/>
    <w:rsid w:val="008D50D9"/>
    <w:rsid w:val="008E22AF"/>
    <w:rsid w:val="00911FDD"/>
    <w:rsid w:val="00934251"/>
    <w:rsid w:val="00980171"/>
    <w:rsid w:val="009818B7"/>
    <w:rsid w:val="009A442E"/>
    <w:rsid w:val="009B1B49"/>
    <w:rsid w:val="009B7D33"/>
    <w:rsid w:val="009D6A8A"/>
    <w:rsid w:val="009F61AE"/>
    <w:rsid w:val="00A03D0A"/>
    <w:rsid w:val="00A225EE"/>
    <w:rsid w:val="00A317D5"/>
    <w:rsid w:val="00A3714F"/>
    <w:rsid w:val="00A469D7"/>
    <w:rsid w:val="00A57D74"/>
    <w:rsid w:val="00AB420F"/>
    <w:rsid w:val="00AF5A87"/>
    <w:rsid w:val="00B016DB"/>
    <w:rsid w:val="00B1061F"/>
    <w:rsid w:val="00B67190"/>
    <w:rsid w:val="00B81E83"/>
    <w:rsid w:val="00B82BF2"/>
    <w:rsid w:val="00B84BAE"/>
    <w:rsid w:val="00BB38E5"/>
    <w:rsid w:val="00BD4CB8"/>
    <w:rsid w:val="00BF6A22"/>
    <w:rsid w:val="00BF7BBA"/>
    <w:rsid w:val="00C63912"/>
    <w:rsid w:val="00C654C4"/>
    <w:rsid w:val="00C733F6"/>
    <w:rsid w:val="00CB74B2"/>
    <w:rsid w:val="00CE2293"/>
    <w:rsid w:val="00CF572D"/>
    <w:rsid w:val="00D443CD"/>
    <w:rsid w:val="00D51CDD"/>
    <w:rsid w:val="00D52904"/>
    <w:rsid w:val="00D83B99"/>
    <w:rsid w:val="00D91430"/>
    <w:rsid w:val="00DA266E"/>
    <w:rsid w:val="00DB79FD"/>
    <w:rsid w:val="00DC2095"/>
    <w:rsid w:val="00DC3ED7"/>
    <w:rsid w:val="00DD614B"/>
    <w:rsid w:val="00DD65D9"/>
    <w:rsid w:val="00DF0DDD"/>
    <w:rsid w:val="00E044B8"/>
    <w:rsid w:val="00E14F2F"/>
    <w:rsid w:val="00E56449"/>
    <w:rsid w:val="00E678B3"/>
    <w:rsid w:val="00E97548"/>
    <w:rsid w:val="00EA45A8"/>
    <w:rsid w:val="00EC1684"/>
    <w:rsid w:val="00EC1771"/>
    <w:rsid w:val="00EC1F1F"/>
    <w:rsid w:val="00EE254C"/>
    <w:rsid w:val="00F05F1C"/>
    <w:rsid w:val="00F12B3D"/>
    <w:rsid w:val="00F46B94"/>
    <w:rsid w:val="00F65FC3"/>
    <w:rsid w:val="00FB09C3"/>
    <w:rsid w:val="00FB4578"/>
    <w:rsid w:val="00FD45A5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20</cp:revision>
  <cp:lastPrinted>2015-01-21T15:03:00Z</cp:lastPrinted>
  <dcterms:created xsi:type="dcterms:W3CDTF">2015-01-13T14:07:00Z</dcterms:created>
  <dcterms:modified xsi:type="dcterms:W3CDTF">2015-01-21T15:03:00Z</dcterms:modified>
</cp:coreProperties>
</file>