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Commonwealth of Pennsylvania, </w:t>
      </w:r>
      <w:r w:rsidRPr="008F2FCF">
        <w:rPr>
          <w:bCs/>
          <w:i/>
          <w:color w:val="000000"/>
          <w:sz w:val="24"/>
          <w:szCs w:val="24"/>
        </w:rPr>
        <w:t>et al.</w:t>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C-2014-2427659</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p>
    <w:p w:rsidR="008F2FCF" w:rsidRPr="008F2FCF" w:rsidRDefault="008F2FCF" w:rsidP="008F2FCF">
      <w:pPr>
        <w:widowControl w:val="0"/>
        <w:adjustRightInd w:val="0"/>
        <w:rPr>
          <w:bCs/>
          <w:color w:val="000000"/>
          <w:sz w:val="24"/>
          <w:szCs w:val="24"/>
        </w:rPr>
      </w:pPr>
      <w:r w:rsidRPr="008F2FCF">
        <w:rPr>
          <w:bCs/>
          <w:color w:val="000000"/>
          <w:sz w:val="24"/>
          <w:szCs w:val="24"/>
        </w:rPr>
        <w:t xml:space="preserve">Pennsylvania Public Utility Commission, </w:t>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Bureau of Investigation and Enforcement</w:t>
      </w:r>
      <w:r w:rsidRPr="008F2FCF">
        <w:rPr>
          <w:bCs/>
          <w:color w:val="000000"/>
          <w:sz w:val="24"/>
          <w:szCs w:val="24"/>
        </w:rPr>
        <w:tab/>
      </w:r>
      <w:r w:rsidRPr="008F2FCF">
        <w:rPr>
          <w:bCs/>
          <w:color w:val="000000"/>
          <w:sz w:val="24"/>
          <w:szCs w:val="24"/>
        </w:rPr>
        <w:tab/>
        <w:t>:</w:t>
      </w:r>
      <w:r w:rsidRPr="008F2FCF">
        <w:rPr>
          <w:bCs/>
          <w:color w:val="000000"/>
          <w:sz w:val="24"/>
          <w:szCs w:val="24"/>
        </w:rPr>
        <w:tab/>
      </w:r>
      <w:r w:rsidRPr="008F2FCF">
        <w:rPr>
          <w:bCs/>
          <w:color w:val="000000"/>
          <w:sz w:val="24"/>
          <w:szCs w:val="24"/>
        </w:rPr>
        <w:tab/>
        <w:t>C-2014-2438640</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t>v.</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8F2FCF" w:rsidRPr="008F2FCF" w:rsidRDefault="008F2FCF" w:rsidP="008F2FCF">
      <w:pPr>
        <w:widowControl w:val="0"/>
        <w:adjustRightInd w:val="0"/>
        <w:rPr>
          <w:bCs/>
          <w:color w:val="000000"/>
          <w:sz w:val="24"/>
          <w:szCs w:val="24"/>
        </w:rPr>
      </w:pPr>
      <w:r w:rsidRPr="008F2FCF">
        <w:rPr>
          <w:bCs/>
          <w:color w:val="000000"/>
          <w:sz w:val="24"/>
          <w:szCs w:val="24"/>
        </w:rPr>
        <w:t>Respond Power LLC</w:t>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r>
      <w:r w:rsidRPr="008F2FCF">
        <w:rPr>
          <w:bCs/>
          <w:color w:val="000000"/>
          <w:sz w:val="24"/>
          <w:szCs w:val="24"/>
        </w:rPr>
        <w:tab/>
        <w:t>:</w:t>
      </w:r>
    </w:p>
    <w:p w:rsidR="003A5CD9" w:rsidRDefault="003A5CD9" w:rsidP="003A5CD9">
      <w:pPr>
        <w:tabs>
          <w:tab w:val="left" w:pos="-720"/>
        </w:tabs>
        <w:suppressAutoHyphens/>
        <w:jc w:val="both"/>
        <w:rPr>
          <w:spacing w:val="-3"/>
          <w:sz w:val="24"/>
          <w:szCs w:val="24"/>
        </w:rPr>
      </w:pPr>
    </w:p>
    <w:p w:rsidR="008F2FCF" w:rsidRPr="007E56EB" w:rsidRDefault="008F2FCF" w:rsidP="003A5CD9">
      <w:pPr>
        <w:tabs>
          <w:tab w:val="left" w:pos="-720"/>
        </w:tabs>
        <w:suppressAutoHyphens/>
        <w:jc w:val="both"/>
        <w:rPr>
          <w:spacing w:val="-3"/>
          <w:sz w:val="24"/>
          <w:szCs w:val="24"/>
        </w:rPr>
      </w:pPr>
    </w:p>
    <w:p w:rsidR="003A5CD9" w:rsidRPr="007E56EB" w:rsidRDefault="00E3299D" w:rsidP="003A5CD9">
      <w:pPr>
        <w:jc w:val="center"/>
        <w:rPr>
          <w:b/>
          <w:sz w:val="24"/>
          <w:szCs w:val="24"/>
          <w:u w:val="single"/>
        </w:rPr>
      </w:pPr>
      <w:r>
        <w:rPr>
          <w:b/>
          <w:sz w:val="24"/>
          <w:szCs w:val="24"/>
          <w:u w:val="single"/>
        </w:rPr>
        <w:t>PROCEDURAL</w:t>
      </w:r>
      <w:r w:rsidR="003A5CD9" w:rsidRPr="007E56EB">
        <w:rPr>
          <w:b/>
          <w:sz w:val="24"/>
          <w:szCs w:val="24"/>
          <w:u w:val="single"/>
        </w:rPr>
        <w:t xml:space="preserve"> ORDER</w:t>
      </w:r>
      <w:r>
        <w:rPr>
          <w:b/>
          <w:sz w:val="24"/>
          <w:szCs w:val="24"/>
          <w:u w:val="single"/>
        </w:rPr>
        <w:t xml:space="preserve"> #4</w:t>
      </w:r>
    </w:p>
    <w:p w:rsidR="003A5CD9" w:rsidRPr="007E56EB" w:rsidRDefault="003A5CD9" w:rsidP="003A5CD9">
      <w:pPr>
        <w:jc w:val="center"/>
        <w:rPr>
          <w:sz w:val="24"/>
          <w:szCs w:val="24"/>
        </w:rPr>
      </w:pPr>
    </w:p>
    <w:p w:rsidR="003A5CD9" w:rsidRPr="007E56EB" w:rsidRDefault="003A5CD9" w:rsidP="003A5CD9">
      <w:pPr>
        <w:jc w:val="center"/>
        <w:rPr>
          <w:sz w:val="24"/>
          <w:szCs w:val="24"/>
        </w:rPr>
      </w:pPr>
    </w:p>
    <w:p w:rsidR="00D269E9" w:rsidRPr="00D269E9" w:rsidRDefault="00D269E9" w:rsidP="00D269E9">
      <w:pPr>
        <w:widowControl w:val="0"/>
        <w:adjustRightInd w:val="0"/>
        <w:spacing w:line="360" w:lineRule="auto"/>
        <w:ind w:firstLine="1440"/>
        <w:rPr>
          <w:bCs/>
          <w:color w:val="000000"/>
          <w:sz w:val="24"/>
          <w:szCs w:val="24"/>
        </w:rPr>
      </w:pPr>
      <w:r w:rsidRPr="00D269E9">
        <w:rPr>
          <w:bCs/>
          <w:color w:val="000000"/>
          <w:sz w:val="24"/>
          <w:szCs w:val="24"/>
        </w:rPr>
        <w:t>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Respond Power LLC (Respond or “the Company”), at Docket Number C-2014-2427659.  The Joint Complainants averred that they had received numerous contacts and complaints from consumers related to variable rates charged by Respond, including approximately twenty formal complaints filed by consumers at the Commission.  As a result, the Joint Complainants averred nine separate counts against Respond, including, but not limited to, making misleading and deceptive claims, making misleading and deceptive promises of savings, slamming and failing to provide accurate pricing information.  The Joint Complainants made several requests for relief, including providing restitution and prohibiting deceptive practices in the future.</w:t>
      </w:r>
    </w:p>
    <w:p w:rsidR="00D269E9" w:rsidRPr="00D269E9" w:rsidRDefault="00D269E9" w:rsidP="00D269E9">
      <w:pPr>
        <w:widowControl w:val="0"/>
        <w:adjustRightInd w:val="0"/>
        <w:spacing w:line="360" w:lineRule="auto"/>
        <w:ind w:firstLine="1440"/>
        <w:rPr>
          <w:bCs/>
          <w:color w:val="000000"/>
          <w:sz w:val="24"/>
          <w:szCs w:val="24"/>
        </w:rPr>
      </w:pPr>
    </w:p>
    <w:p w:rsidR="00305B6B" w:rsidRDefault="00D269E9" w:rsidP="00D269E9">
      <w:pPr>
        <w:widowControl w:val="0"/>
        <w:adjustRightInd w:val="0"/>
        <w:spacing w:line="360" w:lineRule="auto"/>
        <w:ind w:firstLine="1440"/>
        <w:rPr>
          <w:bCs/>
          <w:color w:val="000000"/>
          <w:sz w:val="24"/>
          <w:szCs w:val="24"/>
        </w:rPr>
        <w:sectPr w:rsidR="00305B6B" w:rsidSect="00BA3167">
          <w:footerReference w:type="default" r:id="rId9"/>
          <w:footerReference w:type="first" r:id="rId10"/>
          <w:pgSz w:w="12240" w:h="15840" w:code="1"/>
          <w:pgMar w:top="1440" w:right="1440" w:bottom="1440" w:left="1440" w:header="720" w:footer="720" w:gutter="0"/>
          <w:cols w:space="720"/>
          <w:docGrid w:linePitch="360"/>
        </w:sectPr>
      </w:pPr>
      <w:r w:rsidRPr="00D269E9">
        <w:rPr>
          <w:bCs/>
          <w:color w:val="000000"/>
          <w:sz w:val="24"/>
          <w:szCs w:val="24"/>
        </w:rPr>
        <w:t xml:space="preserve">On August 21, 2014, the Commission’s Bureau of Investigation and Enforcement (I&amp;E) filed a formal Complaint against Respond containing 639 counts of 1) slamming, 2) misleading and deceptive claims of affiliation with electric distribution companies, 3) misleading </w:t>
      </w:r>
    </w:p>
    <w:p w:rsidR="00D269E9" w:rsidRPr="00D269E9" w:rsidRDefault="00D269E9" w:rsidP="00305B6B">
      <w:pPr>
        <w:widowControl w:val="0"/>
        <w:adjustRightInd w:val="0"/>
        <w:spacing w:line="360" w:lineRule="auto"/>
        <w:rPr>
          <w:bCs/>
          <w:color w:val="000000"/>
          <w:sz w:val="24"/>
          <w:szCs w:val="24"/>
        </w:rPr>
      </w:pPr>
      <w:r w:rsidRPr="00D269E9">
        <w:rPr>
          <w:bCs/>
          <w:color w:val="000000"/>
          <w:sz w:val="24"/>
          <w:szCs w:val="24"/>
        </w:rPr>
        <w:lastRenderedPageBreak/>
        <w:t>and deceptive promises of savings, 4) failure to disclose material pricing terms in Respond Power’s Disclosure Agreement/Prices not conforming to Disclosure Agreement, 5) lack of good faith in handling customer complaints/cancellations, 6) inaccurate/incomplete/fraudulent sales agreements and 7) incorrect billing.</w:t>
      </w:r>
    </w:p>
    <w:p w:rsidR="0069128C" w:rsidRDefault="0069128C" w:rsidP="00D269E9">
      <w:pPr>
        <w:widowControl w:val="0"/>
        <w:adjustRightInd w:val="0"/>
        <w:spacing w:line="360" w:lineRule="auto"/>
        <w:ind w:firstLine="1440"/>
        <w:rPr>
          <w:bCs/>
          <w:color w:val="000000"/>
          <w:sz w:val="24"/>
          <w:szCs w:val="24"/>
        </w:rPr>
      </w:pPr>
    </w:p>
    <w:p w:rsidR="0069128C" w:rsidRPr="00D269E9" w:rsidRDefault="0069128C" w:rsidP="0069128C">
      <w:pPr>
        <w:widowControl w:val="0"/>
        <w:adjustRightInd w:val="0"/>
        <w:spacing w:line="360" w:lineRule="auto"/>
        <w:ind w:firstLine="1440"/>
        <w:rPr>
          <w:bCs/>
          <w:color w:val="000000"/>
          <w:sz w:val="24"/>
          <w:szCs w:val="24"/>
        </w:rPr>
      </w:pPr>
      <w:r>
        <w:rPr>
          <w:bCs/>
          <w:color w:val="000000"/>
          <w:sz w:val="24"/>
          <w:szCs w:val="24"/>
        </w:rPr>
        <w:t>Subsequently, the procedural history of these complaints has been quite extensive.  Various pleadings have been filed in these matters, including Answers with New Matter, Answers to the New Matter, Preliminary Objections and Answers to the Preliminary Objections.  Orders granting in part and denying in part Preliminary Objections were issued.  A Petition for Interlocutory Review of a Material Question was filed with t</w:t>
      </w:r>
      <w:bookmarkStart w:id="0" w:name="_GoBack"/>
      <w:bookmarkEnd w:id="0"/>
      <w:r>
        <w:rPr>
          <w:bCs/>
          <w:color w:val="000000"/>
          <w:sz w:val="24"/>
          <w:szCs w:val="24"/>
        </w:rPr>
        <w:t>he Commission.  O</w:t>
      </w:r>
      <w:r w:rsidRPr="00D269E9">
        <w:rPr>
          <w:bCs/>
          <w:color w:val="000000"/>
          <w:sz w:val="24"/>
          <w:szCs w:val="24"/>
        </w:rPr>
        <w:t>n October 2</w:t>
      </w:r>
      <w:r>
        <w:rPr>
          <w:bCs/>
          <w:color w:val="000000"/>
          <w:sz w:val="24"/>
          <w:szCs w:val="24"/>
        </w:rPr>
        <w:t>8</w:t>
      </w:r>
      <w:r w:rsidRPr="00D269E9">
        <w:rPr>
          <w:bCs/>
          <w:color w:val="000000"/>
          <w:sz w:val="24"/>
          <w:szCs w:val="24"/>
        </w:rPr>
        <w:t xml:space="preserve">, 2014, </w:t>
      </w:r>
      <w:r>
        <w:rPr>
          <w:bCs/>
          <w:color w:val="000000"/>
          <w:sz w:val="24"/>
          <w:szCs w:val="24"/>
        </w:rPr>
        <w:t xml:space="preserve">an Order granting </w:t>
      </w:r>
      <w:r w:rsidRPr="00D269E9">
        <w:rPr>
          <w:bCs/>
          <w:color w:val="000000"/>
          <w:sz w:val="24"/>
          <w:szCs w:val="24"/>
        </w:rPr>
        <w:t xml:space="preserve">a Petition to Consolidate the formal Complaint filed </w:t>
      </w:r>
      <w:r>
        <w:rPr>
          <w:bCs/>
          <w:color w:val="000000"/>
          <w:sz w:val="24"/>
          <w:szCs w:val="24"/>
        </w:rPr>
        <w:t xml:space="preserve">by I&amp;E </w:t>
      </w:r>
      <w:r w:rsidRPr="00D269E9">
        <w:rPr>
          <w:bCs/>
          <w:color w:val="000000"/>
          <w:sz w:val="24"/>
          <w:szCs w:val="24"/>
        </w:rPr>
        <w:t>against Respond with the formal Complaint filed against Respond by the Joint Complainants</w:t>
      </w:r>
      <w:r>
        <w:rPr>
          <w:bCs/>
          <w:color w:val="000000"/>
          <w:sz w:val="24"/>
          <w:szCs w:val="24"/>
        </w:rPr>
        <w:t xml:space="preserve"> was granted</w:t>
      </w:r>
      <w:r w:rsidRPr="00D269E9">
        <w:rPr>
          <w:bCs/>
          <w:color w:val="000000"/>
          <w:sz w:val="24"/>
          <w:szCs w:val="24"/>
        </w:rPr>
        <w:t>.</w:t>
      </w:r>
    </w:p>
    <w:p w:rsidR="0069128C" w:rsidRDefault="0069128C" w:rsidP="00D269E9">
      <w:pPr>
        <w:widowControl w:val="0"/>
        <w:adjustRightInd w:val="0"/>
        <w:spacing w:line="360" w:lineRule="auto"/>
        <w:ind w:firstLine="1440"/>
        <w:rPr>
          <w:bCs/>
          <w:color w:val="000000"/>
          <w:sz w:val="24"/>
          <w:szCs w:val="24"/>
        </w:rPr>
      </w:pPr>
    </w:p>
    <w:p w:rsidR="0069128C" w:rsidRDefault="0069128C" w:rsidP="00D269E9">
      <w:pPr>
        <w:autoSpaceDE/>
        <w:autoSpaceDN/>
        <w:spacing w:line="360" w:lineRule="auto"/>
        <w:ind w:firstLine="1440"/>
        <w:rPr>
          <w:sz w:val="24"/>
          <w:szCs w:val="24"/>
        </w:rPr>
      </w:pPr>
      <w:r>
        <w:rPr>
          <w:bCs/>
          <w:color w:val="000000"/>
          <w:sz w:val="24"/>
          <w:szCs w:val="24"/>
        </w:rPr>
        <w:t>Of note, o</w:t>
      </w:r>
      <w:r w:rsidR="00D269E9" w:rsidRPr="00D269E9">
        <w:rPr>
          <w:bCs/>
          <w:color w:val="000000"/>
          <w:sz w:val="24"/>
          <w:szCs w:val="24"/>
        </w:rPr>
        <w:t>n August 25, 2014, an Initial Prehearing Conference was convened in the case involving the OCA/OAG Complaint.  Following the Initial Prehearing Conference, Procedural Order #2 was issued</w:t>
      </w:r>
      <w:r w:rsidR="00D269E9">
        <w:rPr>
          <w:bCs/>
          <w:color w:val="000000"/>
          <w:sz w:val="24"/>
          <w:szCs w:val="24"/>
        </w:rPr>
        <w:t xml:space="preserve"> memorializing various procedural matters that had been agreed to.</w:t>
      </w:r>
      <w:r>
        <w:rPr>
          <w:bCs/>
          <w:color w:val="000000"/>
          <w:sz w:val="24"/>
          <w:szCs w:val="24"/>
        </w:rPr>
        <w:t xml:space="preserve">  Also of note, o</w:t>
      </w:r>
      <w:r w:rsidRPr="00D269E9">
        <w:rPr>
          <w:bCs/>
          <w:color w:val="000000"/>
          <w:sz w:val="24"/>
          <w:szCs w:val="24"/>
        </w:rPr>
        <w:t>n October 24, 2014, pursuant to Procedural Order #2, the Joint Complainants submitted written direct testimony of approximately two hundred (200) consumers, comprising more than 1100 pages of testimony and exhibits.</w:t>
      </w:r>
      <w:r>
        <w:rPr>
          <w:bCs/>
          <w:color w:val="000000"/>
          <w:sz w:val="24"/>
          <w:szCs w:val="24"/>
        </w:rPr>
        <w:t xml:space="preserve">  </w:t>
      </w:r>
      <w:r w:rsidRPr="00D269E9">
        <w:rPr>
          <w:sz w:val="24"/>
          <w:szCs w:val="24"/>
        </w:rPr>
        <w:t xml:space="preserve">On December 22, 2014, </w:t>
      </w:r>
      <w:r w:rsidRPr="00DF545D">
        <w:rPr>
          <w:sz w:val="24"/>
          <w:szCs w:val="24"/>
        </w:rPr>
        <w:t>Respond filed a letter indicating that it intends to cross-examine all of the consumer witnesses that pre-served written direct testimony on October 24, 2014.</w:t>
      </w:r>
      <w:r>
        <w:rPr>
          <w:sz w:val="24"/>
          <w:szCs w:val="24"/>
        </w:rPr>
        <w:t xml:space="preserve">  </w:t>
      </w:r>
      <w:r>
        <w:rPr>
          <w:bCs/>
          <w:color w:val="000000"/>
          <w:sz w:val="24"/>
          <w:szCs w:val="24"/>
        </w:rPr>
        <w:t xml:space="preserve">Two Motions for Continuance of the evidentiary hearings have been made and granted, most recently by Order dated December 29, 2014 in which </w:t>
      </w:r>
      <w:r w:rsidR="00DF545D" w:rsidRPr="00DF545D">
        <w:rPr>
          <w:sz w:val="24"/>
          <w:szCs w:val="24"/>
        </w:rPr>
        <w:t>evidentiary hearings scheduled for January 26-30, 2015 were cancelled and rescheduled for March 9-13, 2015</w:t>
      </w:r>
      <w:r>
        <w:rPr>
          <w:sz w:val="24"/>
          <w:szCs w:val="24"/>
        </w:rPr>
        <w:t xml:space="preserve"> and t</w:t>
      </w:r>
      <w:r w:rsidR="00DF545D" w:rsidRPr="00DF545D">
        <w:rPr>
          <w:sz w:val="24"/>
          <w:szCs w:val="24"/>
        </w:rPr>
        <w:t xml:space="preserve">he Further Prehearing Conference scheduled for February 20, 2015 was cancelled and rescheduled for January 27, 2015.  </w:t>
      </w:r>
    </w:p>
    <w:p w:rsidR="00FA6CB2" w:rsidRDefault="00FA6CB2" w:rsidP="00D269E9">
      <w:pPr>
        <w:autoSpaceDE/>
        <w:autoSpaceDN/>
        <w:spacing w:line="360" w:lineRule="auto"/>
        <w:ind w:firstLine="1440"/>
        <w:rPr>
          <w:sz w:val="24"/>
          <w:szCs w:val="24"/>
        </w:rPr>
      </w:pPr>
    </w:p>
    <w:p w:rsidR="003551D8" w:rsidRDefault="00FA6CB2" w:rsidP="00D269E9">
      <w:pPr>
        <w:autoSpaceDE/>
        <w:autoSpaceDN/>
        <w:spacing w:line="360" w:lineRule="auto"/>
        <w:ind w:firstLine="1440"/>
        <w:rPr>
          <w:sz w:val="24"/>
          <w:szCs w:val="24"/>
        </w:rPr>
      </w:pPr>
      <w:r>
        <w:rPr>
          <w:sz w:val="24"/>
          <w:szCs w:val="24"/>
        </w:rPr>
        <w:t xml:space="preserve">On January 9, 2015, a Further Prehearing Conference Order was issued </w:t>
      </w:r>
      <w:r w:rsidR="003551D8" w:rsidRPr="00067AA0">
        <w:rPr>
          <w:sz w:val="24"/>
          <w:szCs w:val="24"/>
        </w:rPr>
        <w:t>to confirm the establishment of the Further Prehearing Conference for Tuesday, January 27, 2015 at 10:00 and to advise the parties that</w:t>
      </w:r>
      <w:r w:rsidR="00067AA0" w:rsidRPr="00067AA0">
        <w:rPr>
          <w:sz w:val="24"/>
          <w:szCs w:val="24"/>
        </w:rPr>
        <w:t>, the remaining schedule for this proceeding will be established during this Further Prehearing Conference, including dates for the submission of pre-served written expert testimon</w:t>
      </w:r>
      <w:r w:rsidR="00067AA0" w:rsidRPr="008103F7">
        <w:rPr>
          <w:sz w:val="24"/>
          <w:szCs w:val="24"/>
        </w:rPr>
        <w:t xml:space="preserve">y, hearings for the admission of that pre-served expert testimony, subject to cross-examination and any timely motions, and the submission of Main and Reply Briefs.  </w:t>
      </w:r>
      <w:r>
        <w:rPr>
          <w:sz w:val="24"/>
          <w:szCs w:val="24"/>
        </w:rPr>
        <w:t xml:space="preserve">The parties were further advised that </w:t>
      </w:r>
      <w:r w:rsidR="008103F7" w:rsidRPr="008103F7">
        <w:rPr>
          <w:sz w:val="24"/>
          <w:szCs w:val="24"/>
        </w:rPr>
        <w:t xml:space="preserve">a discussion </w:t>
      </w:r>
      <w:r>
        <w:rPr>
          <w:sz w:val="24"/>
          <w:szCs w:val="24"/>
        </w:rPr>
        <w:t xml:space="preserve">would </w:t>
      </w:r>
      <w:r w:rsidR="008103F7" w:rsidRPr="008103F7">
        <w:rPr>
          <w:sz w:val="24"/>
          <w:szCs w:val="24"/>
        </w:rPr>
        <w:t xml:space="preserve">be held regarding the most efficient means for admitting the pre-served consumer testimony into the record, including entering into any Stipulations or waiving the need to cross-examine any witnesses and </w:t>
      </w:r>
      <w:r w:rsidR="00A82EF8">
        <w:rPr>
          <w:sz w:val="24"/>
          <w:szCs w:val="24"/>
        </w:rPr>
        <w:t xml:space="preserve">engaging </w:t>
      </w:r>
      <w:r w:rsidR="008103F7" w:rsidRPr="008103F7">
        <w:rPr>
          <w:sz w:val="24"/>
          <w:szCs w:val="24"/>
        </w:rPr>
        <w:t>in any other activity that will help expedite the evidentiary hearings now scheduled for March 9-13, 2015.</w:t>
      </w:r>
    </w:p>
    <w:p w:rsidR="00FA6CB2" w:rsidRDefault="00FA6CB2" w:rsidP="00D269E9">
      <w:pPr>
        <w:autoSpaceDE/>
        <w:autoSpaceDN/>
        <w:spacing w:line="360" w:lineRule="auto"/>
        <w:ind w:firstLine="1440"/>
        <w:rPr>
          <w:sz w:val="24"/>
          <w:szCs w:val="24"/>
        </w:rPr>
      </w:pPr>
    </w:p>
    <w:p w:rsidR="00D90B13" w:rsidRDefault="00D90B13" w:rsidP="002750F9">
      <w:pPr>
        <w:autoSpaceDE/>
        <w:autoSpaceDN/>
        <w:spacing w:line="360" w:lineRule="auto"/>
        <w:ind w:firstLine="1440"/>
        <w:rPr>
          <w:sz w:val="24"/>
          <w:szCs w:val="24"/>
        </w:rPr>
      </w:pPr>
      <w:r>
        <w:rPr>
          <w:sz w:val="24"/>
          <w:szCs w:val="24"/>
        </w:rPr>
        <w:t>The purpose of this Procedural Order #4 is to memorialize those matters agreed to during the Further Prehearing Conference held on January 27, 2015.</w:t>
      </w:r>
    </w:p>
    <w:p w:rsidR="00D90B13" w:rsidRDefault="00D90B13" w:rsidP="002750F9">
      <w:pPr>
        <w:autoSpaceDE/>
        <w:autoSpaceDN/>
        <w:spacing w:line="360" w:lineRule="auto"/>
        <w:ind w:firstLine="1440"/>
        <w:rPr>
          <w:sz w:val="24"/>
          <w:szCs w:val="24"/>
        </w:rPr>
      </w:pPr>
    </w:p>
    <w:p w:rsidR="002750F9" w:rsidRPr="002750F9" w:rsidRDefault="002750F9" w:rsidP="002750F9">
      <w:pPr>
        <w:autoSpaceDE/>
        <w:autoSpaceDN/>
        <w:spacing w:line="360" w:lineRule="auto"/>
        <w:ind w:firstLine="1440"/>
        <w:rPr>
          <w:sz w:val="24"/>
          <w:szCs w:val="24"/>
        </w:rPr>
      </w:pPr>
      <w:r w:rsidRPr="002750F9">
        <w:rPr>
          <w:sz w:val="24"/>
          <w:szCs w:val="24"/>
        </w:rPr>
        <w:t xml:space="preserve">With regard to the evidentiary hearings scheduled for </w:t>
      </w:r>
      <w:r w:rsidRPr="008103F7">
        <w:rPr>
          <w:sz w:val="24"/>
          <w:szCs w:val="24"/>
        </w:rPr>
        <w:t>March 9-13</w:t>
      </w:r>
      <w:r w:rsidRPr="002750F9">
        <w:rPr>
          <w:sz w:val="24"/>
          <w:szCs w:val="24"/>
        </w:rPr>
        <w:t>, 2015, an extensive discussion was held regarding the process for the admission of pre-served, written consumer testimony, subject to cross-examination and timely motions in an efficient and expeditious manner.  The parties were advised that it is our intention, at this point, to hear from every consumer who has pre-served written testimony that is not admitted via stipulation or stricken.  As a result, the parties were advised to consider scheduling consumer witnesses to testify beginning at 9:00 a.m. and continuing to 6:00 p.m.  The parties were also advised to consider stipulating to the admission of transcripts of third party verification recordings and disclosure statements where possible.  The parties were directed to ensure that consumers are scheduled to testify in a manner to ensure that there is no delay between consumers testifying so as to increase the number of consumers providing testimony each day.</w:t>
      </w:r>
      <w:r w:rsidR="00D13544">
        <w:rPr>
          <w:sz w:val="24"/>
          <w:szCs w:val="24"/>
        </w:rPr>
        <w:t xml:space="preserve">  Finally, a schedule was established for the submission of Memorandum of Law regarding “pattern and practice” as previously raised by the Joint Complainants.</w:t>
      </w:r>
    </w:p>
    <w:p w:rsidR="002750F9" w:rsidRPr="002750F9" w:rsidRDefault="002750F9" w:rsidP="002750F9">
      <w:pPr>
        <w:autoSpaceDE/>
        <w:autoSpaceDN/>
        <w:spacing w:line="360" w:lineRule="auto"/>
        <w:ind w:firstLine="1440"/>
        <w:rPr>
          <w:sz w:val="24"/>
          <w:szCs w:val="24"/>
        </w:rPr>
      </w:pPr>
    </w:p>
    <w:p w:rsidR="002750F9" w:rsidRPr="002750F9" w:rsidRDefault="002750F9" w:rsidP="002750F9">
      <w:pPr>
        <w:autoSpaceDE/>
        <w:autoSpaceDN/>
        <w:spacing w:line="360" w:lineRule="auto"/>
        <w:ind w:firstLine="1440"/>
        <w:rPr>
          <w:sz w:val="24"/>
          <w:szCs w:val="24"/>
        </w:rPr>
      </w:pPr>
      <w:r w:rsidRPr="002750F9">
        <w:rPr>
          <w:sz w:val="24"/>
          <w:szCs w:val="24"/>
        </w:rPr>
        <w:t>With regard to the schedule for the remainder of this case, the following schedule will be adopted:</w:t>
      </w:r>
    </w:p>
    <w:p w:rsidR="002750F9" w:rsidRPr="002750F9" w:rsidRDefault="002750F9" w:rsidP="002750F9">
      <w:pPr>
        <w:autoSpaceDE/>
        <w:autoSpaceDN/>
        <w:spacing w:line="360" w:lineRule="auto"/>
        <w:rPr>
          <w:sz w:val="24"/>
          <w:szCs w:val="24"/>
        </w:rPr>
      </w:pPr>
    </w:p>
    <w:tbl>
      <w:tblPr>
        <w:tblStyle w:val="TableGrid"/>
        <w:tblW w:w="0" w:type="auto"/>
        <w:tblInd w:w="648" w:type="dxa"/>
        <w:tblLook w:val="04A0" w:firstRow="1" w:lastRow="0" w:firstColumn="1" w:lastColumn="0" w:noHBand="0" w:noVBand="1"/>
      </w:tblPr>
      <w:tblGrid>
        <w:gridCol w:w="3780"/>
        <w:gridCol w:w="3420"/>
      </w:tblGrid>
      <w:tr w:rsidR="002750F9" w:rsidRPr="002750F9" w:rsidTr="00E21DAE">
        <w:tc>
          <w:tcPr>
            <w:tcW w:w="3780" w:type="dxa"/>
          </w:tcPr>
          <w:p w:rsidR="002750F9" w:rsidRPr="002750F9" w:rsidRDefault="002750F9" w:rsidP="002750F9">
            <w:pPr>
              <w:autoSpaceDE/>
              <w:autoSpaceDN/>
              <w:spacing w:line="360" w:lineRule="auto"/>
              <w:rPr>
                <w:sz w:val="24"/>
                <w:szCs w:val="24"/>
              </w:rPr>
            </w:pPr>
            <w:r w:rsidRPr="002750F9">
              <w:rPr>
                <w:sz w:val="24"/>
                <w:szCs w:val="24"/>
              </w:rPr>
              <w:t>Complainant Direct Testimony</w:t>
            </w:r>
          </w:p>
        </w:tc>
        <w:tc>
          <w:tcPr>
            <w:tcW w:w="3420" w:type="dxa"/>
          </w:tcPr>
          <w:p w:rsidR="002750F9" w:rsidRPr="002750F9" w:rsidRDefault="002750F9" w:rsidP="002750F9">
            <w:pPr>
              <w:autoSpaceDE/>
              <w:autoSpaceDN/>
              <w:spacing w:line="360" w:lineRule="auto"/>
              <w:rPr>
                <w:sz w:val="24"/>
                <w:szCs w:val="24"/>
              </w:rPr>
            </w:pPr>
            <w:r>
              <w:rPr>
                <w:sz w:val="24"/>
                <w:szCs w:val="24"/>
              </w:rPr>
              <w:t>May 8</w:t>
            </w:r>
            <w:r w:rsidRPr="002750F9">
              <w:rPr>
                <w:sz w:val="24"/>
                <w:szCs w:val="24"/>
              </w:rPr>
              <w:t>, 2015</w:t>
            </w:r>
          </w:p>
        </w:tc>
      </w:tr>
      <w:tr w:rsidR="002750F9" w:rsidRPr="002750F9" w:rsidTr="00E21DAE">
        <w:tc>
          <w:tcPr>
            <w:tcW w:w="3780" w:type="dxa"/>
          </w:tcPr>
          <w:p w:rsidR="002750F9" w:rsidRPr="002750F9" w:rsidRDefault="002750F9" w:rsidP="002750F9">
            <w:pPr>
              <w:autoSpaceDE/>
              <w:autoSpaceDN/>
              <w:spacing w:line="360" w:lineRule="auto"/>
              <w:rPr>
                <w:sz w:val="24"/>
                <w:szCs w:val="24"/>
              </w:rPr>
            </w:pPr>
            <w:r>
              <w:rPr>
                <w:sz w:val="24"/>
                <w:szCs w:val="24"/>
              </w:rPr>
              <w:t xml:space="preserve">Respond </w:t>
            </w:r>
            <w:r w:rsidRPr="002750F9">
              <w:rPr>
                <w:sz w:val="24"/>
                <w:szCs w:val="24"/>
              </w:rPr>
              <w:t>Rebuttal Testimony</w:t>
            </w:r>
          </w:p>
        </w:tc>
        <w:tc>
          <w:tcPr>
            <w:tcW w:w="3420" w:type="dxa"/>
          </w:tcPr>
          <w:p w:rsidR="002750F9" w:rsidRPr="002750F9" w:rsidRDefault="002750F9" w:rsidP="002750F9">
            <w:pPr>
              <w:autoSpaceDE/>
              <w:autoSpaceDN/>
              <w:spacing w:line="360" w:lineRule="auto"/>
              <w:rPr>
                <w:sz w:val="24"/>
                <w:szCs w:val="24"/>
              </w:rPr>
            </w:pPr>
            <w:r>
              <w:rPr>
                <w:sz w:val="24"/>
                <w:szCs w:val="24"/>
              </w:rPr>
              <w:t>July 1</w:t>
            </w:r>
            <w:r w:rsidRPr="002750F9">
              <w:rPr>
                <w:sz w:val="24"/>
                <w:szCs w:val="24"/>
              </w:rPr>
              <w:t>, 2015</w:t>
            </w:r>
          </w:p>
        </w:tc>
      </w:tr>
      <w:tr w:rsidR="002750F9" w:rsidRPr="002750F9" w:rsidTr="00E21DAE">
        <w:tc>
          <w:tcPr>
            <w:tcW w:w="3780" w:type="dxa"/>
          </w:tcPr>
          <w:p w:rsidR="002750F9" w:rsidRPr="002750F9" w:rsidRDefault="002750F9" w:rsidP="002750F9">
            <w:pPr>
              <w:autoSpaceDE/>
              <w:autoSpaceDN/>
              <w:spacing w:line="360" w:lineRule="auto"/>
              <w:rPr>
                <w:sz w:val="24"/>
                <w:szCs w:val="24"/>
              </w:rPr>
            </w:pPr>
            <w:r w:rsidRPr="002750F9">
              <w:rPr>
                <w:sz w:val="24"/>
                <w:szCs w:val="24"/>
              </w:rPr>
              <w:t>All party Surrebuttal Testimony</w:t>
            </w:r>
          </w:p>
        </w:tc>
        <w:tc>
          <w:tcPr>
            <w:tcW w:w="3420" w:type="dxa"/>
          </w:tcPr>
          <w:p w:rsidR="002750F9" w:rsidRPr="002750F9" w:rsidRDefault="002750F9" w:rsidP="002750F9">
            <w:pPr>
              <w:autoSpaceDE/>
              <w:autoSpaceDN/>
              <w:spacing w:line="360" w:lineRule="auto"/>
              <w:rPr>
                <w:sz w:val="24"/>
                <w:szCs w:val="24"/>
              </w:rPr>
            </w:pPr>
            <w:r w:rsidRPr="002750F9">
              <w:rPr>
                <w:sz w:val="24"/>
                <w:szCs w:val="24"/>
              </w:rPr>
              <w:t xml:space="preserve">July </w:t>
            </w:r>
            <w:r>
              <w:rPr>
                <w:sz w:val="24"/>
                <w:szCs w:val="24"/>
              </w:rPr>
              <w:t>3</w:t>
            </w:r>
            <w:r w:rsidRPr="002750F9">
              <w:rPr>
                <w:sz w:val="24"/>
                <w:szCs w:val="24"/>
              </w:rPr>
              <w:t>1, 2015</w:t>
            </w:r>
          </w:p>
        </w:tc>
      </w:tr>
      <w:tr w:rsidR="002750F9" w:rsidRPr="002750F9" w:rsidTr="00E21DAE">
        <w:tc>
          <w:tcPr>
            <w:tcW w:w="3780" w:type="dxa"/>
          </w:tcPr>
          <w:p w:rsidR="002750F9" w:rsidRPr="002750F9" w:rsidRDefault="002750F9" w:rsidP="002750F9">
            <w:pPr>
              <w:autoSpaceDE/>
              <w:autoSpaceDN/>
              <w:spacing w:line="360" w:lineRule="auto"/>
              <w:rPr>
                <w:sz w:val="24"/>
                <w:szCs w:val="24"/>
              </w:rPr>
            </w:pPr>
            <w:r w:rsidRPr="002750F9">
              <w:rPr>
                <w:sz w:val="24"/>
                <w:szCs w:val="24"/>
              </w:rPr>
              <w:t>Hearings</w:t>
            </w:r>
          </w:p>
        </w:tc>
        <w:tc>
          <w:tcPr>
            <w:tcW w:w="3420" w:type="dxa"/>
          </w:tcPr>
          <w:p w:rsidR="002750F9" w:rsidRPr="002750F9" w:rsidRDefault="002750F9" w:rsidP="002750F9">
            <w:pPr>
              <w:autoSpaceDE/>
              <w:autoSpaceDN/>
              <w:spacing w:line="360" w:lineRule="auto"/>
              <w:rPr>
                <w:sz w:val="24"/>
                <w:szCs w:val="24"/>
              </w:rPr>
            </w:pPr>
            <w:r>
              <w:rPr>
                <w:sz w:val="24"/>
                <w:szCs w:val="24"/>
              </w:rPr>
              <w:t>August 10-12</w:t>
            </w:r>
            <w:r w:rsidRPr="002750F9">
              <w:rPr>
                <w:sz w:val="24"/>
                <w:szCs w:val="24"/>
              </w:rPr>
              <w:t>, 2015</w:t>
            </w:r>
          </w:p>
        </w:tc>
      </w:tr>
    </w:tbl>
    <w:p w:rsidR="002750F9" w:rsidRPr="002750F9" w:rsidRDefault="002750F9" w:rsidP="002750F9">
      <w:pPr>
        <w:autoSpaceDE/>
        <w:autoSpaceDN/>
        <w:spacing w:line="360" w:lineRule="auto"/>
        <w:rPr>
          <w:sz w:val="24"/>
          <w:szCs w:val="24"/>
        </w:rPr>
      </w:pPr>
      <w:r w:rsidRPr="002750F9">
        <w:rPr>
          <w:sz w:val="24"/>
          <w:szCs w:val="24"/>
        </w:rPr>
        <w:t>All hearings will be held in a Hearing Room in the Commonwealth Keystone Building in Harrisburg.</w:t>
      </w:r>
    </w:p>
    <w:p w:rsidR="002750F9" w:rsidRPr="002750F9" w:rsidRDefault="002750F9" w:rsidP="002750F9">
      <w:pPr>
        <w:autoSpaceDE/>
        <w:autoSpaceDN/>
        <w:spacing w:line="360" w:lineRule="auto"/>
        <w:rPr>
          <w:sz w:val="24"/>
          <w:szCs w:val="24"/>
        </w:rPr>
      </w:pPr>
    </w:p>
    <w:p w:rsidR="002750F9" w:rsidRPr="002750F9" w:rsidRDefault="002750F9" w:rsidP="002750F9">
      <w:pPr>
        <w:autoSpaceDE/>
        <w:autoSpaceDN/>
        <w:spacing w:line="360" w:lineRule="auto"/>
        <w:ind w:firstLine="1440"/>
        <w:rPr>
          <w:rFonts w:eastAsiaTheme="minorEastAsia"/>
          <w:sz w:val="24"/>
          <w:szCs w:val="24"/>
        </w:rPr>
      </w:pPr>
      <w:r w:rsidRPr="002750F9">
        <w:rPr>
          <w:sz w:val="24"/>
          <w:szCs w:val="24"/>
        </w:rPr>
        <w:t xml:space="preserve">The parties are again encouraged to engage in any other activity that will help expedite the evidentiary hearings scheduled for </w:t>
      </w:r>
      <w:r w:rsidRPr="008103F7">
        <w:rPr>
          <w:sz w:val="24"/>
          <w:szCs w:val="24"/>
        </w:rPr>
        <w:t>March 9-13</w:t>
      </w:r>
      <w:r w:rsidRPr="002750F9">
        <w:rPr>
          <w:sz w:val="24"/>
          <w:szCs w:val="24"/>
        </w:rPr>
        <w:t xml:space="preserve">, 2015.  The parties are directed to coordinate the most efficient means for admitting the pre-served consumer testimony into the record, subject to cross-examination and any timely motions.  The parties are also again reminded that Commission policy promotes settlements.  52 Pa.Code § 5.231(a).  The parties are encouraged to continue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r w:rsidRPr="002750F9">
        <w:rPr>
          <w:rFonts w:eastAsiaTheme="minorEastAsia"/>
          <w:sz w:val="24"/>
          <w:szCs w:val="24"/>
        </w:rPr>
        <w:t>2 Pa.C.S. § 704.  The parties are directed to advise the Presiding Officers of all future settlement activity.</w:t>
      </w:r>
    </w:p>
    <w:p w:rsidR="002750F9" w:rsidRPr="002750F9" w:rsidRDefault="002750F9" w:rsidP="002750F9">
      <w:pPr>
        <w:spacing w:line="360" w:lineRule="auto"/>
        <w:ind w:firstLine="1440"/>
        <w:rPr>
          <w:rFonts w:asciiTheme="minorHAnsi" w:eastAsiaTheme="minorEastAsia" w:hAnsiTheme="minorHAnsi" w:cstheme="minorBidi"/>
          <w:sz w:val="22"/>
          <w:szCs w:val="22"/>
        </w:rPr>
      </w:pPr>
    </w:p>
    <w:p w:rsidR="002750F9" w:rsidRPr="002750F9" w:rsidRDefault="002750F9" w:rsidP="002750F9">
      <w:pPr>
        <w:spacing w:line="360" w:lineRule="auto"/>
        <w:jc w:val="center"/>
        <w:rPr>
          <w:sz w:val="24"/>
          <w:szCs w:val="24"/>
        </w:rPr>
      </w:pPr>
      <w:r w:rsidRPr="002750F9">
        <w:rPr>
          <w:sz w:val="24"/>
          <w:szCs w:val="24"/>
          <w:u w:val="single"/>
        </w:rPr>
        <w:t>ORDER</w:t>
      </w:r>
    </w:p>
    <w:p w:rsidR="002750F9" w:rsidRPr="002750F9" w:rsidRDefault="002750F9" w:rsidP="002750F9">
      <w:pPr>
        <w:spacing w:line="360" w:lineRule="auto"/>
        <w:rPr>
          <w:sz w:val="24"/>
          <w:szCs w:val="24"/>
        </w:rPr>
      </w:pPr>
    </w:p>
    <w:p w:rsidR="002750F9" w:rsidRPr="002750F9" w:rsidRDefault="002750F9" w:rsidP="002750F9">
      <w:pPr>
        <w:spacing w:line="360" w:lineRule="auto"/>
        <w:ind w:firstLine="1440"/>
        <w:rPr>
          <w:bCs/>
          <w:sz w:val="24"/>
          <w:szCs w:val="24"/>
        </w:rPr>
      </w:pPr>
      <w:r w:rsidRPr="002750F9">
        <w:rPr>
          <w:bCs/>
          <w:sz w:val="24"/>
          <w:szCs w:val="24"/>
        </w:rPr>
        <w:t>THEREFORE,</w:t>
      </w:r>
    </w:p>
    <w:p w:rsidR="002750F9" w:rsidRPr="002750F9" w:rsidRDefault="002750F9" w:rsidP="002750F9">
      <w:pPr>
        <w:spacing w:line="360" w:lineRule="auto"/>
        <w:ind w:firstLine="1440"/>
        <w:rPr>
          <w:sz w:val="24"/>
          <w:szCs w:val="24"/>
        </w:rPr>
      </w:pPr>
    </w:p>
    <w:p w:rsidR="002750F9" w:rsidRPr="002750F9" w:rsidRDefault="002750F9" w:rsidP="002750F9">
      <w:pPr>
        <w:spacing w:line="360" w:lineRule="auto"/>
        <w:ind w:firstLine="1440"/>
        <w:rPr>
          <w:bCs/>
          <w:sz w:val="24"/>
          <w:szCs w:val="24"/>
        </w:rPr>
      </w:pPr>
      <w:r w:rsidRPr="002750F9">
        <w:rPr>
          <w:bCs/>
          <w:sz w:val="24"/>
          <w:szCs w:val="24"/>
        </w:rPr>
        <w:t>IT IS ORDERED:</w:t>
      </w:r>
    </w:p>
    <w:p w:rsidR="002750F9" w:rsidRPr="002750F9" w:rsidRDefault="002750F9" w:rsidP="002750F9">
      <w:pPr>
        <w:spacing w:line="360" w:lineRule="auto"/>
        <w:ind w:firstLine="1440"/>
        <w:rPr>
          <w:bCs/>
          <w:sz w:val="24"/>
          <w:szCs w:val="24"/>
        </w:rPr>
      </w:pPr>
    </w:p>
    <w:p w:rsidR="002750F9" w:rsidRPr="002750F9" w:rsidRDefault="002750F9" w:rsidP="002750F9">
      <w:pPr>
        <w:numPr>
          <w:ilvl w:val="0"/>
          <w:numId w:val="3"/>
        </w:numPr>
        <w:spacing w:line="360" w:lineRule="auto"/>
        <w:ind w:left="0" w:firstLine="1440"/>
        <w:rPr>
          <w:sz w:val="24"/>
          <w:szCs w:val="24"/>
        </w:rPr>
      </w:pPr>
      <w:r w:rsidRPr="002750F9">
        <w:rPr>
          <w:sz w:val="24"/>
          <w:szCs w:val="24"/>
        </w:rPr>
        <w:t xml:space="preserve">That the parties are directed to establish a schedule and a process for the admission of pre-served, written consumer testimony, subject to cross-examination and timely motions, during the evidentiary hearings </w:t>
      </w:r>
      <w:r w:rsidRPr="00115F44">
        <w:rPr>
          <w:sz w:val="24"/>
          <w:szCs w:val="24"/>
        </w:rPr>
        <w:t>scheduled for March 9-13, 2015 in an efficient and productive manner consistent with the above discussion</w:t>
      </w:r>
      <w:r w:rsidR="00115F44" w:rsidRPr="00115F44">
        <w:rPr>
          <w:sz w:val="24"/>
          <w:szCs w:val="24"/>
        </w:rPr>
        <w:t xml:space="preserve"> and the discussion held during the Further Prehearing Conference on January 27, 2015</w:t>
      </w:r>
      <w:r w:rsidRPr="00115F44">
        <w:rPr>
          <w:sz w:val="24"/>
          <w:szCs w:val="24"/>
        </w:rPr>
        <w:t>.</w:t>
      </w:r>
    </w:p>
    <w:p w:rsidR="002750F9" w:rsidRPr="002750F9" w:rsidRDefault="002750F9" w:rsidP="002750F9">
      <w:pPr>
        <w:spacing w:line="360" w:lineRule="auto"/>
        <w:ind w:left="1440"/>
        <w:rPr>
          <w:sz w:val="24"/>
          <w:szCs w:val="24"/>
        </w:rPr>
      </w:pPr>
    </w:p>
    <w:p w:rsidR="002750F9" w:rsidRPr="002750F9" w:rsidRDefault="002750F9" w:rsidP="002750F9">
      <w:pPr>
        <w:numPr>
          <w:ilvl w:val="0"/>
          <w:numId w:val="3"/>
        </w:numPr>
        <w:spacing w:line="360" w:lineRule="auto"/>
        <w:ind w:left="0" w:firstLine="1440"/>
        <w:rPr>
          <w:sz w:val="24"/>
          <w:szCs w:val="24"/>
        </w:rPr>
      </w:pPr>
      <w:r w:rsidRPr="002750F9">
        <w:rPr>
          <w:sz w:val="24"/>
          <w:szCs w:val="24"/>
        </w:rPr>
        <w:t>That the following schedule will be adopted for the remainder of this proceeding:</w:t>
      </w:r>
    </w:p>
    <w:p w:rsidR="002750F9" w:rsidRDefault="002750F9" w:rsidP="002750F9">
      <w:pPr>
        <w:pStyle w:val="ListParagraph"/>
        <w:autoSpaceDE/>
        <w:autoSpaceDN/>
        <w:spacing w:line="360" w:lineRule="auto"/>
        <w:ind w:left="1800"/>
      </w:pPr>
    </w:p>
    <w:p w:rsidR="00305B6B" w:rsidRPr="002750F9" w:rsidRDefault="00305B6B" w:rsidP="002750F9">
      <w:pPr>
        <w:pStyle w:val="ListParagraph"/>
        <w:autoSpaceDE/>
        <w:autoSpaceDN/>
        <w:spacing w:line="360" w:lineRule="auto"/>
        <w:ind w:left="1800"/>
      </w:pPr>
    </w:p>
    <w:tbl>
      <w:tblPr>
        <w:tblStyle w:val="TableGrid"/>
        <w:tblW w:w="0" w:type="auto"/>
        <w:tblInd w:w="648" w:type="dxa"/>
        <w:tblLook w:val="04A0" w:firstRow="1" w:lastRow="0" w:firstColumn="1" w:lastColumn="0" w:noHBand="0" w:noVBand="1"/>
      </w:tblPr>
      <w:tblGrid>
        <w:gridCol w:w="3780"/>
        <w:gridCol w:w="3420"/>
      </w:tblGrid>
      <w:tr w:rsidR="002750F9" w:rsidRPr="002750F9" w:rsidTr="00E21DAE">
        <w:tc>
          <w:tcPr>
            <w:tcW w:w="3780" w:type="dxa"/>
          </w:tcPr>
          <w:p w:rsidR="002750F9" w:rsidRPr="002750F9" w:rsidRDefault="002750F9" w:rsidP="00E21DAE">
            <w:pPr>
              <w:autoSpaceDE/>
              <w:autoSpaceDN/>
              <w:spacing w:line="360" w:lineRule="auto"/>
              <w:rPr>
                <w:sz w:val="24"/>
                <w:szCs w:val="24"/>
              </w:rPr>
            </w:pPr>
            <w:r w:rsidRPr="002750F9">
              <w:rPr>
                <w:sz w:val="24"/>
                <w:szCs w:val="24"/>
              </w:rPr>
              <w:t>Complainant Direct Testimony</w:t>
            </w:r>
          </w:p>
        </w:tc>
        <w:tc>
          <w:tcPr>
            <w:tcW w:w="3420" w:type="dxa"/>
          </w:tcPr>
          <w:p w:rsidR="002750F9" w:rsidRPr="002750F9" w:rsidRDefault="002750F9" w:rsidP="00E21DAE">
            <w:pPr>
              <w:autoSpaceDE/>
              <w:autoSpaceDN/>
              <w:spacing w:line="360" w:lineRule="auto"/>
              <w:rPr>
                <w:sz w:val="24"/>
                <w:szCs w:val="24"/>
              </w:rPr>
            </w:pPr>
            <w:r>
              <w:rPr>
                <w:sz w:val="24"/>
                <w:szCs w:val="24"/>
              </w:rPr>
              <w:t>May 8</w:t>
            </w:r>
            <w:r w:rsidRPr="002750F9">
              <w:rPr>
                <w:sz w:val="24"/>
                <w:szCs w:val="24"/>
              </w:rPr>
              <w:t>, 2015</w:t>
            </w:r>
          </w:p>
        </w:tc>
      </w:tr>
      <w:tr w:rsidR="002750F9" w:rsidRPr="002750F9" w:rsidTr="00E21DAE">
        <w:tc>
          <w:tcPr>
            <w:tcW w:w="3780" w:type="dxa"/>
          </w:tcPr>
          <w:p w:rsidR="002750F9" w:rsidRPr="002750F9" w:rsidRDefault="002750F9" w:rsidP="00E21DAE">
            <w:pPr>
              <w:autoSpaceDE/>
              <w:autoSpaceDN/>
              <w:spacing w:line="360" w:lineRule="auto"/>
              <w:rPr>
                <w:sz w:val="24"/>
                <w:szCs w:val="24"/>
              </w:rPr>
            </w:pPr>
            <w:r>
              <w:rPr>
                <w:sz w:val="24"/>
                <w:szCs w:val="24"/>
              </w:rPr>
              <w:t xml:space="preserve">Respond </w:t>
            </w:r>
            <w:r w:rsidRPr="002750F9">
              <w:rPr>
                <w:sz w:val="24"/>
                <w:szCs w:val="24"/>
              </w:rPr>
              <w:t>Rebuttal Testimony</w:t>
            </w:r>
          </w:p>
        </w:tc>
        <w:tc>
          <w:tcPr>
            <w:tcW w:w="3420" w:type="dxa"/>
          </w:tcPr>
          <w:p w:rsidR="002750F9" w:rsidRPr="002750F9" w:rsidRDefault="002750F9" w:rsidP="00E21DAE">
            <w:pPr>
              <w:autoSpaceDE/>
              <w:autoSpaceDN/>
              <w:spacing w:line="360" w:lineRule="auto"/>
              <w:rPr>
                <w:sz w:val="24"/>
                <w:szCs w:val="24"/>
              </w:rPr>
            </w:pPr>
            <w:r>
              <w:rPr>
                <w:sz w:val="24"/>
                <w:szCs w:val="24"/>
              </w:rPr>
              <w:t>July 1</w:t>
            </w:r>
            <w:r w:rsidRPr="002750F9">
              <w:rPr>
                <w:sz w:val="24"/>
                <w:szCs w:val="24"/>
              </w:rPr>
              <w:t>, 2015</w:t>
            </w:r>
          </w:p>
        </w:tc>
      </w:tr>
      <w:tr w:rsidR="002750F9" w:rsidRPr="002750F9" w:rsidTr="00E21DAE">
        <w:tc>
          <w:tcPr>
            <w:tcW w:w="3780" w:type="dxa"/>
          </w:tcPr>
          <w:p w:rsidR="002750F9" w:rsidRPr="002750F9" w:rsidRDefault="002750F9" w:rsidP="00E21DAE">
            <w:pPr>
              <w:autoSpaceDE/>
              <w:autoSpaceDN/>
              <w:spacing w:line="360" w:lineRule="auto"/>
              <w:rPr>
                <w:sz w:val="24"/>
                <w:szCs w:val="24"/>
              </w:rPr>
            </w:pPr>
            <w:r w:rsidRPr="002750F9">
              <w:rPr>
                <w:sz w:val="24"/>
                <w:szCs w:val="24"/>
              </w:rPr>
              <w:t>All party Surrebuttal Testimony</w:t>
            </w:r>
          </w:p>
        </w:tc>
        <w:tc>
          <w:tcPr>
            <w:tcW w:w="3420" w:type="dxa"/>
          </w:tcPr>
          <w:p w:rsidR="002750F9" w:rsidRPr="002750F9" w:rsidRDefault="002750F9" w:rsidP="00E21DAE">
            <w:pPr>
              <w:autoSpaceDE/>
              <w:autoSpaceDN/>
              <w:spacing w:line="360" w:lineRule="auto"/>
              <w:rPr>
                <w:sz w:val="24"/>
                <w:szCs w:val="24"/>
              </w:rPr>
            </w:pPr>
            <w:r w:rsidRPr="002750F9">
              <w:rPr>
                <w:sz w:val="24"/>
                <w:szCs w:val="24"/>
              </w:rPr>
              <w:t xml:space="preserve">July </w:t>
            </w:r>
            <w:r>
              <w:rPr>
                <w:sz w:val="24"/>
                <w:szCs w:val="24"/>
              </w:rPr>
              <w:t>3</w:t>
            </w:r>
            <w:r w:rsidRPr="002750F9">
              <w:rPr>
                <w:sz w:val="24"/>
                <w:szCs w:val="24"/>
              </w:rPr>
              <w:t>1, 2015</w:t>
            </w:r>
          </w:p>
        </w:tc>
      </w:tr>
      <w:tr w:rsidR="002750F9" w:rsidRPr="002750F9" w:rsidTr="00E21DAE">
        <w:tc>
          <w:tcPr>
            <w:tcW w:w="3780" w:type="dxa"/>
          </w:tcPr>
          <w:p w:rsidR="002750F9" w:rsidRPr="002750F9" w:rsidRDefault="002750F9" w:rsidP="00E21DAE">
            <w:pPr>
              <w:autoSpaceDE/>
              <w:autoSpaceDN/>
              <w:spacing w:line="360" w:lineRule="auto"/>
              <w:rPr>
                <w:sz w:val="24"/>
                <w:szCs w:val="24"/>
              </w:rPr>
            </w:pPr>
            <w:r w:rsidRPr="002750F9">
              <w:rPr>
                <w:sz w:val="24"/>
                <w:szCs w:val="24"/>
              </w:rPr>
              <w:t>Hearings</w:t>
            </w:r>
          </w:p>
        </w:tc>
        <w:tc>
          <w:tcPr>
            <w:tcW w:w="3420" w:type="dxa"/>
          </w:tcPr>
          <w:p w:rsidR="002750F9" w:rsidRPr="002750F9" w:rsidRDefault="002750F9" w:rsidP="00E21DAE">
            <w:pPr>
              <w:autoSpaceDE/>
              <w:autoSpaceDN/>
              <w:spacing w:line="360" w:lineRule="auto"/>
              <w:rPr>
                <w:sz w:val="24"/>
                <w:szCs w:val="24"/>
              </w:rPr>
            </w:pPr>
            <w:r>
              <w:rPr>
                <w:sz w:val="24"/>
                <w:szCs w:val="24"/>
              </w:rPr>
              <w:t>August 10-12</w:t>
            </w:r>
            <w:r w:rsidRPr="002750F9">
              <w:rPr>
                <w:sz w:val="24"/>
                <w:szCs w:val="24"/>
              </w:rPr>
              <w:t>, 2015</w:t>
            </w:r>
          </w:p>
        </w:tc>
      </w:tr>
    </w:tbl>
    <w:p w:rsidR="002750F9" w:rsidRPr="002750F9" w:rsidRDefault="002750F9" w:rsidP="002750F9">
      <w:pPr>
        <w:pStyle w:val="ListParagraph"/>
        <w:autoSpaceDE/>
        <w:autoSpaceDN/>
        <w:spacing w:line="360" w:lineRule="auto"/>
        <w:ind w:left="1800"/>
      </w:pPr>
    </w:p>
    <w:p w:rsidR="002750F9" w:rsidRPr="002750F9" w:rsidRDefault="002750F9" w:rsidP="002750F9">
      <w:pPr>
        <w:numPr>
          <w:ilvl w:val="0"/>
          <w:numId w:val="3"/>
        </w:numPr>
        <w:autoSpaceDE/>
        <w:autoSpaceDN/>
        <w:spacing w:line="360" w:lineRule="auto"/>
        <w:ind w:left="0" w:firstLine="1440"/>
        <w:rPr>
          <w:sz w:val="24"/>
          <w:szCs w:val="24"/>
        </w:rPr>
      </w:pPr>
      <w:r w:rsidRPr="002750F9">
        <w:rPr>
          <w:sz w:val="24"/>
          <w:szCs w:val="24"/>
        </w:rPr>
        <w:t>That all hearings will be held in a Hearing Room in the Commonwealth Keystone Building in Harrisburg.</w:t>
      </w:r>
    </w:p>
    <w:p w:rsidR="002750F9" w:rsidRPr="002750F9" w:rsidRDefault="002750F9" w:rsidP="002750F9">
      <w:pPr>
        <w:ind w:left="1440"/>
        <w:rPr>
          <w:sz w:val="24"/>
          <w:szCs w:val="24"/>
        </w:rPr>
      </w:pPr>
    </w:p>
    <w:p w:rsidR="002750F9" w:rsidRPr="002750F9" w:rsidRDefault="002750F9" w:rsidP="002750F9">
      <w:pPr>
        <w:rPr>
          <w:sz w:val="24"/>
          <w:szCs w:val="24"/>
        </w:rPr>
      </w:pPr>
    </w:p>
    <w:p w:rsidR="002750F9" w:rsidRPr="002750F9" w:rsidRDefault="002750F9" w:rsidP="002750F9">
      <w:pPr>
        <w:rPr>
          <w:sz w:val="24"/>
          <w:szCs w:val="24"/>
        </w:rPr>
      </w:pPr>
    </w:p>
    <w:p w:rsidR="002750F9" w:rsidRPr="002750F9" w:rsidRDefault="002750F9" w:rsidP="002750F9">
      <w:pPr>
        <w:rPr>
          <w:sz w:val="24"/>
          <w:szCs w:val="24"/>
        </w:rPr>
      </w:pPr>
    </w:p>
    <w:p w:rsidR="002750F9" w:rsidRPr="002750F9" w:rsidRDefault="002750F9" w:rsidP="002750F9">
      <w:pPr>
        <w:rPr>
          <w:sz w:val="24"/>
          <w:szCs w:val="24"/>
          <w:u w:val="single"/>
        </w:rPr>
      </w:pPr>
      <w:r w:rsidRPr="002750F9">
        <w:rPr>
          <w:sz w:val="24"/>
          <w:szCs w:val="24"/>
        </w:rPr>
        <w:t xml:space="preserve">Date: </w:t>
      </w:r>
      <w:r w:rsidRPr="002750F9">
        <w:rPr>
          <w:sz w:val="24"/>
          <w:szCs w:val="24"/>
          <w:u w:val="single"/>
        </w:rPr>
        <w:t>January 29, 2015</w:t>
      </w:r>
      <w:r w:rsidRPr="002750F9">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Elizabeth Barnes</w:t>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p>
    <w:p w:rsidR="002750F9" w:rsidRPr="002750F9" w:rsidRDefault="002750F9"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p>
    <w:p w:rsidR="002750F9" w:rsidRPr="002750F9" w:rsidRDefault="002750F9" w:rsidP="002750F9">
      <w:pPr>
        <w:rPr>
          <w:sz w:val="24"/>
          <w:szCs w:val="24"/>
          <w:u w:val="single"/>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2750F9" w:rsidRP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 xml:space="preserve">Joel H. Cheskis </w:t>
      </w:r>
    </w:p>
    <w:p w:rsidR="002750F9" w:rsidRDefault="002750F9" w:rsidP="002750F9">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t>Administrative Law Judge</w:t>
      </w:r>
      <w:r w:rsidR="00305B6B">
        <w:rPr>
          <w:sz w:val="24"/>
          <w:szCs w:val="24"/>
        </w:rPr>
        <w:t xml:space="preserve"> </w:t>
      </w:r>
    </w:p>
    <w:p w:rsidR="00305B6B" w:rsidRDefault="00305B6B" w:rsidP="002750F9">
      <w:pPr>
        <w:rPr>
          <w:sz w:val="24"/>
          <w:szCs w:val="24"/>
        </w:rPr>
        <w:sectPr w:rsidR="00305B6B" w:rsidSect="00BA3167">
          <w:footerReference w:type="default" r:id="rId11"/>
          <w:pgSz w:w="12240" w:h="15840" w:code="1"/>
          <w:pgMar w:top="1440" w:right="1440" w:bottom="1440" w:left="1440" w:header="720" w:footer="720" w:gutter="0"/>
          <w:cols w:space="720"/>
          <w:docGrid w:linePitch="360"/>
        </w:sectPr>
      </w:pPr>
    </w:p>
    <w:p w:rsidR="00305B6B" w:rsidRPr="00305B6B" w:rsidRDefault="00305B6B" w:rsidP="00305B6B">
      <w:pPr>
        <w:autoSpaceDE/>
        <w:autoSpaceDN/>
        <w:rPr>
          <w:rFonts w:ascii="Microsoft Sans Serif" w:hAnsi="Microsoft Sans Serif" w:cs="Microsoft Sans Serif"/>
          <w:b/>
          <w:sz w:val="24"/>
          <w:szCs w:val="24"/>
          <w:u w:val="single"/>
        </w:rPr>
      </w:pPr>
      <w:r w:rsidRPr="00305B6B">
        <w:rPr>
          <w:rFonts w:ascii="Microsoft Sans Serif" w:hAnsi="Microsoft Sans Serif" w:cs="Microsoft Sans Serif"/>
          <w:b/>
          <w:sz w:val="24"/>
          <w:szCs w:val="24"/>
          <w:u w:val="single"/>
        </w:rPr>
        <w:t>C-2014-2427659 - ATTORNEY GENERAL PA &amp; OFFICE OF CONSUMER ADVOCATE v. RESPOND POWER LLC</w:t>
      </w:r>
      <w:r w:rsidRPr="00305B6B">
        <w:rPr>
          <w:rFonts w:ascii="Microsoft Sans Serif" w:hAnsi="Microsoft Sans Serif" w:cs="Microsoft Sans Serif"/>
          <w:b/>
          <w:sz w:val="24"/>
          <w:szCs w:val="24"/>
          <w:u w:val="single"/>
        </w:rPr>
        <w:cr/>
      </w:r>
    </w:p>
    <w:p w:rsidR="00305B6B" w:rsidRPr="00305B6B" w:rsidRDefault="00305B6B" w:rsidP="00305B6B">
      <w:pPr>
        <w:autoSpaceDE/>
        <w:autoSpaceDN/>
        <w:rPr>
          <w:rFonts w:ascii="Microsoft Sans Serif" w:hAnsi="Microsoft Sans Serif" w:cs="Microsoft Sans Serif"/>
          <w:b/>
          <w:i/>
          <w:sz w:val="24"/>
          <w:szCs w:val="24"/>
          <w:u w:val="single"/>
        </w:rPr>
      </w:pPr>
      <w:r w:rsidRPr="00305B6B">
        <w:rPr>
          <w:rFonts w:ascii="Microsoft Sans Serif" w:hAnsi="Microsoft Sans Serif" w:cs="Microsoft Sans Serif"/>
          <w:b/>
          <w:i/>
          <w:sz w:val="24"/>
          <w:szCs w:val="24"/>
          <w:u w:val="single"/>
        </w:rPr>
        <w:t>REVISED 11/18/14</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b/>
          <w:sz w:val="24"/>
          <w:szCs w:val="24"/>
          <w:u w:val="single"/>
        </w:rPr>
        <w:cr/>
      </w:r>
      <w:r w:rsidRPr="00305B6B">
        <w:rPr>
          <w:rFonts w:ascii="Microsoft Sans Serif" w:hAnsi="Microsoft Sans Serif" w:cs="Microsoft Sans Serif"/>
          <w:sz w:val="24"/>
          <w:szCs w:val="24"/>
        </w:rPr>
        <w:t>JOHN M ABEL ESQUIRE</w:t>
      </w:r>
      <w:r w:rsidRPr="00305B6B">
        <w:rPr>
          <w:rFonts w:ascii="Microsoft Sans Serif" w:hAnsi="Microsoft Sans Serif" w:cs="Microsoft Sans Serif"/>
          <w:sz w:val="24"/>
          <w:szCs w:val="24"/>
        </w:rPr>
        <w:cr/>
        <w:t>NICOLE R BECK ESQUIRE</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PA OFFICE OF ATTORNEY GENERAL</w:t>
      </w:r>
      <w:r w:rsidRPr="00305B6B">
        <w:rPr>
          <w:rFonts w:ascii="Microsoft Sans Serif" w:hAnsi="Microsoft Sans Serif" w:cs="Microsoft Sans Serif"/>
          <w:sz w:val="24"/>
          <w:szCs w:val="24"/>
        </w:rPr>
        <w:cr/>
        <w:t>BUREAU OF CONSUMER PROTECTION</w:t>
      </w:r>
      <w:r w:rsidRPr="00305B6B">
        <w:rPr>
          <w:rFonts w:ascii="Microsoft Sans Serif" w:hAnsi="Microsoft Sans Serif" w:cs="Microsoft Sans Serif"/>
          <w:sz w:val="24"/>
          <w:szCs w:val="24"/>
        </w:rPr>
        <w:cr/>
        <w:t>15</w:t>
      </w:r>
      <w:r w:rsidRPr="00305B6B">
        <w:rPr>
          <w:rFonts w:ascii="Microsoft Sans Serif" w:hAnsi="Microsoft Sans Serif" w:cs="Microsoft Sans Serif"/>
          <w:sz w:val="24"/>
          <w:szCs w:val="24"/>
          <w:vertAlign w:val="superscript"/>
        </w:rPr>
        <w:t>TH</w:t>
      </w:r>
      <w:r w:rsidRPr="00305B6B">
        <w:rPr>
          <w:rFonts w:ascii="Microsoft Sans Serif" w:hAnsi="Microsoft Sans Serif" w:cs="Microsoft Sans Serif"/>
          <w:sz w:val="24"/>
          <w:szCs w:val="24"/>
        </w:rPr>
        <w:t xml:space="preserve"> FL STRAWBERRY SQUARE</w:t>
      </w:r>
      <w:r w:rsidRPr="00305B6B">
        <w:rPr>
          <w:rFonts w:ascii="Microsoft Sans Serif" w:hAnsi="Microsoft Sans Serif" w:cs="Microsoft Sans Serif"/>
          <w:sz w:val="24"/>
          <w:szCs w:val="24"/>
        </w:rPr>
        <w:cr/>
        <w:t>HARRISBURG PA  17120</w:t>
      </w:r>
      <w:r w:rsidRPr="00305B6B">
        <w:rPr>
          <w:rFonts w:ascii="Microsoft Sans Serif" w:hAnsi="Microsoft Sans Serif" w:cs="Microsoft Sans Serif"/>
          <w:sz w:val="24"/>
          <w:szCs w:val="24"/>
        </w:rPr>
        <w:cr/>
      </w:r>
      <w:r w:rsidRPr="00305B6B">
        <w:rPr>
          <w:rFonts w:ascii="Microsoft Sans Serif" w:hAnsi="Microsoft Sans Serif" w:cs="Microsoft Sans Serif"/>
          <w:sz w:val="24"/>
          <w:szCs w:val="24"/>
        </w:rPr>
        <w:cr/>
        <w:t>CANDIS A TUNILO ESQUIRE</w:t>
      </w:r>
      <w:r w:rsidRPr="00305B6B">
        <w:rPr>
          <w:rFonts w:ascii="Microsoft Sans Serif" w:hAnsi="Microsoft Sans Serif" w:cs="Microsoft Sans Serif"/>
          <w:sz w:val="24"/>
          <w:szCs w:val="24"/>
        </w:rPr>
        <w:cr/>
        <w:t>CHRISTY APPLEBY ESQUIRE*</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KRISTINE E ROBINSON ESQUIRE</w:t>
      </w:r>
    </w:p>
    <w:p w:rsidR="00305B6B" w:rsidRPr="00305B6B" w:rsidRDefault="00305B6B" w:rsidP="00305B6B">
      <w:pPr>
        <w:autoSpaceDE/>
        <w:autoSpaceDN/>
        <w:rPr>
          <w:rFonts w:ascii="Microsoft Sans Serif" w:hAnsi="Microsoft Sans Serif" w:cs="Microsoft Sans Serif"/>
          <w:b/>
          <w:i/>
          <w:sz w:val="24"/>
          <w:szCs w:val="24"/>
          <w:u w:val="single"/>
        </w:rPr>
      </w:pPr>
      <w:r w:rsidRPr="00305B6B">
        <w:rPr>
          <w:rFonts w:ascii="Microsoft Sans Serif" w:hAnsi="Microsoft Sans Serif" w:cs="Microsoft Sans Serif"/>
          <w:sz w:val="24"/>
          <w:szCs w:val="24"/>
        </w:rPr>
        <w:t>OFFICE OF CONSUMER ADVOCATE</w:t>
      </w:r>
      <w:r w:rsidRPr="00305B6B">
        <w:rPr>
          <w:rFonts w:ascii="Microsoft Sans Serif" w:hAnsi="Microsoft Sans Serif" w:cs="Microsoft Sans Serif"/>
          <w:sz w:val="24"/>
          <w:szCs w:val="24"/>
        </w:rPr>
        <w:cr/>
        <w:t>5</w:t>
      </w:r>
      <w:r w:rsidRPr="00305B6B">
        <w:rPr>
          <w:rFonts w:ascii="Microsoft Sans Serif" w:hAnsi="Microsoft Sans Serif" w:cs="Microsoft Sans Serif"/>
          <w:sz w:val="24"/>
          <w:szCs w:val="24"/>
          <w:vertAlign w:val="superscript"/>
        </w:rPr>
        <w:t>TH</w:t>
      </w:r>
      <w:r w:rsidRPr="00305B6B">
        <w:rPr>
          <w:rFonts w:ascii="Microsoft Sans Serif" w:hAnsi="Microsoft Sans Serif" w:cs="Microsoft Sans Serif"/>
          <w:sz w:val="24"/>
          <w:szCs w:val="24"/>
        </w:rPr>
        <w:t xml:space="preserve"> FLOOR FORUM PLACE</w:t>
      </w:r>
      <w:r w:rsidRPr="00305B6B">
        <w:rPr>
          <w:rFonts w:ascii="Microsoft Sans Serif" w:hAnsi="Microsoft Sans Serif" w:cs="Microsoft Sans Serif"/>
          <w:sz w:val="24"/>
          <w:szCs w:val="24"/>
        </w:rPr>
        <w:cr/>
        <w:t>555 WALNUT STREET</w:t>
      </w:r>
      <w:r w:rsidRPr="00305B6B">
        <w:rPr>
          <w:rFonts w:ascii="Microsoft Sans Serif" w:hAnsi="Microsoft Sans Serif" w:cs="Microsoft Sans Serif"/>
          <w:sz w:val="24"/>
          <w:szCs w:val="24"/>
        </w:rPr>
        <w:cr/>
        <w:t>HARRISBURG PA  17101-1923</w:t>
      </w:r>
      <w:r w:rsidRPr="00305B6B">
        <w:rPr>
          <w:rFonts w:ascii="Microsoft Sans Serif" w:hAnsi="Microsoft Sans Serif" w:cs="Microsoft Sans Serif"/>
          <w:sz w:val="24"/>
          <w:szCs w:val="24"/>
        </w:rPr>
        <w:cr/>
        <w:t>*</w:t>
      </w:r>
      <w:r w:rsidRPr="00305B6B">
        <w:rPr>
          <w:rFonts w:ascii="Microsoft Sans Serif" w:hAnsi="Microsoft Sans Serif" w:cs="Microsoft Sans Serif"/>
          <w:b/>
          <w:i/>
          <w:sz w:val="24"/>
          <w:szCs w:val="24"/>
          <w:u w:val="single"/>
        </w:rPr>
        <w:t xml:space="preserve"> Accepts eService</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cr/>
        <w:t>SHARON WEBB ESQUIRE</w:t>
      </w:r>
      <w:r w:rsidRPr="00305B6B">
        <w:rPr>
          <w:rFonts w:ascii="Microsoft Sans Serif" w:hAnsi="Microsoft Sans Serif" w:cs="Microsoft Sans Serif"/>
          <w:sz w:val="24"/>
          <w:szCs w:val="24"/>
        </w:rPr>
        <w:cr/>
        <w:t>OFFICE OF SMALL BUSINESS ADVOCATE</w:t>
      </w:r>
      <w:r w:rsidRPr="00305B6B">
        <w:rPr>
          <w:rFonts w:ascii="Microsoft Sans Serif" w:hAnsi="Microsoft Sans Serif" w:cs="Microsoft Sans Serif"/>
          <w:sz w:val="24"/>
          <w:szCs w:val="24"/>
        </w:rPr>
        <w:cr/>
        <w:t>SUITE 202</w:t>
      </w:r>
      <w:r w:rsidRPr="00305B6B">
        <w:rPr>
          <w:rFonts w:ascii="Microsoft Sans Serif" w:hAnsi="Microsoft Sans Serif" w:cs="Microsoft Sans Serif"/>
          <w:sz w:val="24"/>
          <w:szCs w:val="24"/>
        </w:rPr>
        <w:cr/>
        <w:t>300 NORTH SECOND STREET</w:t>
      </w:r>
      <w:r w:rsidRPr="00305B6B">
        <w:rPr>
          <w:rFonts w:ascii="Microsoft Sans Serif" w:hAnsi="Microsoft Sans Serif" w:cs="Microsoft Sans Serif"/>
          <w:sz w:val="24"/>
          <w:szCs w:val="24"/>
        </w:rPr>
        <w:cr/>
        <w:t>HARRISBURG PA  17101</w:t>
      </w:r>
      <w:r w:rsidRPr="00305B6B">
        <w:rPr>
          <w:rFonts w:ascii="Microsoft Sans Serif" w:hAnsi="Microsoft Sans Serif" w:cs="Microsoft Sans Serif"/>
          <w:sz w:val="24"/>
          <w:szCs w:val="24"/>
        </w:rPr>
        <w:cr/>
        <w:t>717-783-2525</w:t>
      </w:r>
      <w:r w:rsidRPr="00305B6B">
        <w:rPr>
          <w:rFonts w:ascii="Microsoft Sans Serif" w:hAnsi="Microsoft Sans Serif" w:cs="Microsoft Sans Serif"/>
          <w:sz w:val="24"/>
          <w:szCs w:val="24"/>
        </w:rPr>
        <w:cr/>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ADAM YOUNG ESQUIRE</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MICHAEL L SWINDLER ESQUIRE</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WAYNE T SCOTT ESQUIRE</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PA PUC I&amp;E</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PO BOX 3265</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HARRISBURG PA  17105-3265</w:t>
      </w:r>
    </w:p>
    <w:p w:rsidR="00305B6B" w:rsidRPr="00305B6B" w:rsidRDefault="00305B6B" w:rsidP="00305B6B">
      <w:pPr>
        <w:autoSpaceDE/>
        <w:autoSpaceDN/>
        <w:rPr>
          <w:rFonts w:ascii="Microsoft Sans Serif" w:hAnsi="Microsoft Sans Serif" w:cs="Microsoft Sans Serif"/>
          <w:b/>
          <w:i/>
          <w:sz w:val="24"/>
          <w:szCs w:val="24"/>
          <w:u w:val="single"/>
        </w:rPr>
      </w:pPr>
      <w:r w:rsidRPr="00305B6B">
        <w:rPr>
          <w:rFonts w:ascii="Microsoft Sans Serif" w:hAnsi="Microsoft Sans Serif" w:cs="Microsoft Sans Serif"/>
          <w:b/>
          <w:i/>
          <w:sz w:val="24"/>
          <w:szCs w:val="24"/>
          <w:u w:val="single"/>
        </w:rPr>
        <w:t>Accepts eService</w:t>
      </w:r>
    </w:p>
    <w:p w:rsidR="00305B6B" w:rsidRPr="00305B6B" w:rsidRDefault="00305B6B" w:rsidP="00305B6B">
      <w:pPr>
        <w:autoSpaceDE/>
        <w:autoSpaceDN/>
        <w:rPr>
          <w:rFonts w:ascii="Microsoft Sans Serif" w:hAnsi="Microsoft Sans Serif" w:cs="Microsoft Sans Serif"/>
          <w:sz w:val="24"/>
          <w:szCs w:val="24"/>
        </w:rPr>
      </w:pP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KAREN MOURY ESQUIRE</w:t>
      </w:r>
    </w:p>
    <w:p w:rsidR="00305B6B" w:rsidRPr="00305B6B" w:rsidRDefault="00305B6B" w:rsidP="00305B6B">
      <w:pPr>
        <w:autoSpaceDE/>
        <w:autoSpaceDN/>
        <w:rPr>
          <w:rFonts w:ascii="Microsoft Sans Serif" w:hAnsi="Microsoft Sans Serif" w:cs="Microsoft Sans Serif"/>
          <w:sz w:val="24"/>
          <w:szCs w:val="24"/>
        </w:rPr>
      </w:pPr>
      <w:r w:rsidRPr="00305B6B">
        <w:rPr>
          <w:rFonts w:ascii="Microsoft Sans Serif" w:hAnsi="Microsoft Sans Serif" w:cs="Microsoft Sans Serif"/>
          <w:sz w:val="24"/>
          <w:szCs w:val="24"/>
        </w:rPr>
        <w:t>BUCHANAN INGERSOLL ROONEY PC</w:t>
      </w:r>
      <w:r w:rsidRPr="00305B6B">
        <w:rPr>
          <w:rFonts w:ascii="Microsoft Sans Serif" w:hAnsi="Microsoft Sans Serif" w:cs="Microsoft Sans Serif"/>
          <w:sz w:val="24"/>
          <w:szCs w:val="24"/>
        </w:rPr>
        <w:cr/>
        <w:t>409 NORTH SECOND STREET</w:t>
      </w:r>
      <w:r w:rsidRPr="00305B6B">
        <w:rPr>
          <w:rFonts w:ascii="Microsoft Sans Serif" w:hAnsi="Microsoft Sans Serif" w:cs="Microsoft Sans Serif"/>
          <w:sz w:val="24"/>
          <w:szCs w:val="24"/>
        </w:rPr>
        <w:cr/>
        <w:t>SUITE 500</w:t>
      </w:r>
      <w:r w:rsidRPr="00305B6B">
        <w:rPr>
          <w:rFonts w:ascii="Microsoft Sans Serif" w:hAnsi="Microsoft Sans Serif" w:cs="Microsoft Sans Serif"/>
          <w:sz w:val="24"/>
          <w:szCs w:val="24"/>
        </w:rPr>
        <w:cr/>
        <w:t>HARRISBURG PA  17101</w:t>
      </w:r>
    </w:p>
    <w:p w:rsidR="00305B6B" w:rsidRPr="00305B6B" w:rsidRDefault="00305B6B" w:rsidP="00305B6B">
      <w:pPr>
        <w:autoSpaceDE/>
        <w:autoSpaceDN/>
        <w:rPr>
          <w:rFonts w:ascii="Microsoft Sans Serif" w:hAnsi="Microsoft Sans Serif" w:cs="Microsoft Sans Serif"/>
          <w:b/>
          <w:i/>
          <w:sz w:val="24"/>
          <w:szCs w:val="24"/>
          <w:u w:val="single"/>
        </w:rPr>
      </w:pPr>
      <w:r w:rsidRPr="00305B6B">
        <w:rPr>
          <w:rFonts w:ascii="Microsoft Sans Serif" w:hAnsi="Microsoft Sans Serif" w:cs="Microsoft Sans Serif"/>
          <w:b/>
          <w:i/>
          <w:sz w:val="24"/>
          <w:szCs w:val="24"/>
          <w:u w:val="single"/>
        </w:rPr>
        <w:t>Accepts eService</w:t>
      </w:r>
    </w:p>
    <w:p w:rsidR="00305B6B" w:rsidRPr="002750F9" w:rsidRDefault="00305B6B" w:rsidP="002750F9">
      <w:pPr>
        <w:rPr>
          <w:sz w:val="24"/>
          <w:szCs w:val="24"/>
        </w:rPr>
      </w:pPr>
    </w:p>
    <w:p w:rsidR="003551D8" w:rsidRDefault="003551D8" w:rsidP="002750F9">
      <w:pPr>
        <w:autoSpaceDE/>
        <w:autoSpaceDN/>
        <w:spacing w:line="360" w:lineRule="auto"/>
        <w:ind w:firstLine="1440"/>
        <w:rPr>
          <w:sz w:val="24"/>
          <w:szCs w:val="24"/>
        </w:rPr>
      </w:pPr>
    </w:p>
    <w:sectPr w:rsidR="003551D8" w:rsidSect="00BA316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38C" w:rsidRDefault="0012238C">
      <w:r>
        <w:separator/>
      </w:r>
    </w:p>
  </w:endnote>
  <w:endnote w:type="continuationSeparator" w:id="0">
    <w:p w:rsidR="0012238C" w:rsidRDefault="0012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B6B" w:rsidRDefault="00305B6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21381"/>
      <w:docPartObj>
        <w:docPartGallery w:val="Page Numbers (Bottom of Page)"/>
        <w:docPartUnique/>
      </w:docPartObj>
    </w:sdtPr>
    <w:sdtEndPr>
      <w:rPr>
        <w:noProof/>
      </w:rPr>
    </w:sdtEndPr>
    <w:sdtContent>
      <w:p w:rsidR="00BA3167" w:rsidRDefault="00BA316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A3167" w:rsidRDefault="00BA3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360730"/>
      <w:docPartObj>
        <w:docPartGallery w:val="Page Numbers (Bottom of Page)"/>
        <w:docPartUnique/>
      </w:docPartObj>
    </w:sdtPr>
    <w:sdtEndPr>
      <w:rPr>
        <w:noProof/>
      </w:rPr>
    </w:sdtEndPr>
    <w:sdtContent>
      <w:p w:rsidR="00305B6B" w:rsidRDefault="00305B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B6B" w:rsidRDefault="00305B6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38C" w:rsidRDefault="0012238C">
      <w:r>
        <w:separator/>
      </w:r>
    </w:p>
  </w:footnote>
  <w:footnote w:type="continuationSeparator" w:id="0">
    <w:p w:rsidR="0012238C" w:rsidRDefault="00122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67AA0"/>
    <w:rsid w:val="00071F40"/>
    <w:rsid w:val="00087F9D"/>
    <w:rsid w:val="000B40DB"/>
    <w:rsid w:val="000D39CD"/>
    <w:rsid w:val="000E64D7"/>
    <w:rsid w:val="000F0E92"/>
    <w:rsid w:val="00115F44"/>
    <w:rsid w:val="00120926"/>
    <w:rsid w:val="0012238C"/>
    <w:rsid w:val="00122DFB"/>
    <w:rsid w:val="00150EB1"/>
    <w:rsid w:val="00160071"/>
    <w:rsid w:val="001600B8"/>
    <w:rsid w:val="00163C9A"/>
    <w:rsid w:val="0016688B"/>
    <w:rsid w:val="00166B0E"/>
    <w:rsid w:val="001765C3"/>
    <w:rsid w:val="001A0634"/>
    <w:rsid w:val="001B3CA8"/>
    <w:rsid w:val="001C5B6F"/>
    <w:rsid w:val="001F7F8A"/>
    <w:rsid w:val="00251B56"/>
    <w:rsid w:val="002750F9"/>
    <w:rsid w:val="002D1370"/>
    <w:rsid w:val="00305B6B"/>
    <w:rsid w:val="003112BF"/>
    <w:rsid w:val="00337F8B"/>
    <w:rsid w:val="003551D8"/>
    <w:rsid w:val="00355692"/>
    <w:rsid w:val="00361125"/>
    <w:rsid w:val="00375B1F"/>
    <w:rsid w:val="00377F83"/>
    <w:rsid w:val="0039005C"/>
    <w:rsid w:val="003A3CED"/>
    <w:rsid w:val="003A5CD9"/>
    <w:rsid w:val="003A6970"/>
    <w:rsid w:val="003F2366"/>
    <w:rsid w:val="003F308E"/>
    <w:rsid w:val="003F6F58"/>
    <w:rsid w:val="0040234D"/>
    <w:rsid w:val="00407A27"/>
    <w:rsid w:val="004602AD"/>
    <w:rsid w:val="00462D04"/>
    <w:rsid w:val="00463D5C"/>
    <w:rsid w:val="0046497E"/>
    <w:rsid w:val="00466F8B"/>
    <w:rsid w:val="00471E24"/>
    <w:rsid w:val="00496408"/>
    <w:rsid w:val="00496B51"/>
    <w:rsid w:val="004B306D"/>
    <w:rsid w:val="004E2873"/>
    <w:rsid w:val="005031B5"/>
    <w:rsid w:val="0050701F"/>
    <w:rsid w:val="0051329C"/>
    <w:rsid w:val="005414E2"/>
    <w:rsid w:val="00546E24"/>
    <w:rsid w:val="00571EDD"/>
    <w:rsid w:val="005A7648"/>
    <w:rsid w:val="005B1756"/>
    <w:rsid w:val="005B53D0"/>
    <w:rsid w:val="005E7F5F"/>
    <w:rsid w:val="00604E56"/>
    <w:rsid w:val="006327B7"/>
    <w:rsid w:val="0067197F"/>
    <w:rsid w:val="00685397"/>
    <w:rsid w:val="0069128C"/>
    <w:rsid w:val="006A18BD"/>
    <w:rsid w:val="006A75B3"/>
    <w:rsid w:val="006B08C2"/>
    <w:rsid w:val="006B3980"/>
    <w:rsid w:val="006C49F8"/>
    <w:rsid w:val="006E0F54"/>
    <w:rsid w:val="006E16E6"/>
    <w:rsid w:val="00701ABD"/>
    <w:rsid w:val="00702F40"/>
    <w:rsid w:val="00723A87"/>
    <w:rsid w:val="00726AAE"/>
    <w:rsid w:val="00736CC4"/>
    <w:rsid w:val="00770378"/>
    <w:rsid w:val="00771959"/>
    <w:rsid w:val="0077461C"/>
    <w:rsid w:val="007751E5"/>
    <w:rsid w:val="00777417"/>
    <w:rsid w:val="007C4C3B"/>
    <w:rsid w:val="007D464D"/>
    <w:rsid w:val="007E56EB"/>
    <w:rsid w:val="007E5F82"/>
    <w:rsid w:val="007E6BA7"/>
    <w:rsid w:val="007F29A5"/>
    <w:rsid w:val="008009A4"/>
    <w:rsid w:val="008011FE"/>
    <w:rsid w:val="00807CE1"/>
    <w:rsid w:val="008103F7"/>
    <w:rsid w:val="00833A51"/>
    <w:rsid w:val="00834E99"/>
    <w:rsid w:val="008675F2"/>
    <w:rsid w:val="0087075E"/>
    <w:rsid w:val="00882840"/>
    <w:rsid w:val="008D3EE7"/>
    <w:rsid w:val="008F2FCF"/>
    <w:rsid w:val="009119CA"/>
    <w:rsid w:val="009152CE"/>
    <w:rsid w:val="00925D67"/>
    <w:rsid w:val="0093282A"/>
    <w:rsid w:val="00933192"/>
    <w:rsid w:val="0094378D"/>
    <w:rsid w:val="00961DD4"/>
    <w:rsid w:val="00981D63"/>
    <w:rsid w:val="00983AC6"/>
    <w:rsid w:val="009D205E"/>
    <w:rsid w:val="009D67F1"/>
    <w:rsid w:val="00A01330"/>
    <w:rsid w:val="00A346E8"/>
    <w:rsid w:val="00A4149A"/>
    <w:rsid w:val="00A51AA0"/>
    <w:rsid w:val="00A66698"/>
    <w:rsid w:val="00A67E94"/>
    <w:rsid w:val="00A82EF8"/>
    <w:rsid w:val="00AB2A2D"/>
    <w:rsid w:val="00AB6E9E"/>
    <w:rsid w:val="00AE6262"/>
    <w:rsid w:val="00AF288A"/>
    <w:rsid w:val="00B03144"/>
    <w:rsid w:val="00B218EC"/>
    <w:rsid w:val="00B23652"/>
    <w:rsid w:val="00B33E3D"/>
    <w:rsid w:val="00B61D35"/>
    <w:rsid w:val="00B86061"/>
    <w:rsid w:val="00BA3167"/>
    <w:rsid w:val="00BB63B5"/>
    <w:rsid w:val="00BE36CD"/>
    <w:rsid w:val="00C02B4D"/>
    <w:rsid w:val="00C07D26"/>
    <w:rsid w:val="00C170D9"/>
    <w:rsid w:val="00C751CE"/>
    <w:rsid w:val="00C82AA0"/>
    <w:rsid w:val="00C851DD"/>
    <w:rsid w:val="00CA63AA"/>
    <w:rsid w:val="00CB7E48"/>
    <w:rsid w:val="00CF2C2D"/>
    <w:rsid w:val="00D13544"/>
    <w:rsid w:val="00D25A4C"/>
    <w:rsid w:val="00D269E9"/>
    <w:rsid w:val="00D52DAE"/>
    <w:rsid w:val="00D55527"/>
    <w:rsid w:val="00D651E3"/>
    <w:rsid w:val="00D90B13"/>
    <w:rsid w:val="00DA1FE4"/>
    <w:rsid w:val="00DB273F"/>
    <w:rsid w:val="00DF0230"/>
    <w:rsid w:val="00DF0E50"/>
    <w:rsid w:val="00DF545D"/>
    <w:rsid w:val="00E0098E"/>
    <w:rsid w:val="00E01DD4"/>
    <w:rsid w:val="00E04142"/>
    <w:rsid w:val="00E3299D"/>
    <w:rsid w:val="00F10EDB"/>
    <w:rsid w:val="00F2122C"/>
    <w:rsid w:val="00F25271"/>
    <w:rsid w:val="00F26904"/>
    <w:rsid w:val="00F278E4"/>
    <w:rsid w:val="00F953C0"/>
    <w:rsid w:val="00F967C6"/>
    <w:rsid w:val="00F968FF"/>
    <w:rsid w:val="00FA6CB2"/>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15B0-4B32-47DE-8928-DE627FB8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3</cp:revision>
  <cp:lastPrinted>2015-01-29T20:29:00Z</cp:lastPrinted>
  <dcterms:created xsi:type="dcterms:W3CDTF">2015-01-29T20:25:00Z</dcterms:created>
  <dcterms:modified xsi:type="dcterms:W3CDTF">2015-01-29T20:29:00Z</dcterms:modified>
</cp:coreProperties>
</file>