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DE562E" w:rsidRDefault="000F1894" w:rsidP="0081696C">
      <w:pPr>
        <w:jc w:val="center"/>
        <w:outlineLvl w:val="0"/>
        <w:rPr>
          <w:b/>
          <w:sz w:val="24"/>
          <w:szCs w:val="24"/>
        </w:rPr>
      </w:pPr>
      <w:r w:rsidRPr="00DE562E">
        <w:rPr>
          <w:b/>
          <w:sz w:val="24"/>
          <w:szCs w:val="24"/>
        </w:rPr>
        <w:t>BEFORE THE</w:t>
      </w:r>
    </w:p>
    <w:p w:rsidR="0088763C" w:rsidRPr="001027AA" w:rsidRDefault="000F1894" w:rsidP="0081696C">
      <w:pPr>
        <w:jc w:val="center"/>
        <w:outlineLvl w:val="0"/>
        <w:rPr>
          <w:b/>
          <w:sz w:val="24"/>
          <w:szCs w:val="24"/>
        </w:rPr>
      </w:pPr>
      <w:smartTag w:uri="urn:schemas-microsoft-com:office:smarttags" w:element="place">
        <w:smartTag w:uri="urn:schemas-microsoft-com:office:smarttags" w:element="State">
          <w:r w:rsidRPr="00DE562E">
            <w:rPr>
              <w:b/>
              <w:sz w:val="24"/>
              <w:szCs w:val="24"/>
            </w:rPr>
            <w:t>PENNSYLVANIA</w:t>
          </w:r>
        </w:smartTag>
      </w:smartTag>
      <w:r w:rsidRPr="00DE562E">
        <w:rPr>
          <w:b/>
          <w:sz w:val="24"/>
          <w:szCs w:val="24"/>
        </w:rPr>
        <w:t xml:space="preserve"> PUBLIC UTILITY COMMISSION</w:t>
      </w:r>
    </w:p>
    <w:p w:rsidR="000F1894" w:rsidRPr="00DE562E" w:rsidRDefault="000F1894" w:rsidP="000F1894">
      <w:pPr>
        <w:jc w:val="center"/>
        <w:rPr>
          <w:sz w:val="24"/>
          <w:szCs w:val="24"/>
        </w:rPr>
      </w:pPr>
    </w:p>
    <w:p w:rsidR="000F1894" w:rsidRDefault="000F1894" w:rsidP="000F1894">
      <w:pPr>
        <w:jc w:val="center"/>
        <w:rPr>
          <w:sz w:val="24"/>
          <w:szCs w:val="24"/>
        </w:rPr>
      </w:pPr>
    </w:p>
    <w:p w:rsidR="000F1894" w:rsidRPr="006C3226" w:rsidRDefault="000F1894" w:rsidP="000F1894">
      <w:pPr>
        <w:jc w:val="center"/>
        <w:rPr>
          <w:sz w:val="24"/>
          <w:szCs w:val="24"/>
        </w:rPr>
      </w:pPr>
    </w:p>
    <w:p w:rsidR="002E0985" w:rsidRPr="00495B88" w:rsidRDefault="00D14005" w:rsidP="008D43B6">
      <w:pPr>
        <w:tabs>
          <w:tab w:val="left" w:pos="-720"/>
        </w:tabs>
        <w:suppressAutoHyphens/>
      </w:pPr>
      <w:r w:rsidRPr="006E03A4">
        <w:rPr>
          <w:sz w:val="24"/>
          <w:szCs w:val="24"/>
        </w:rPr>
        <w:t xml:space="preserve">Margaret </w:t>
      </w:r>
      <w:r w:rsidR="005C76EB">
        <w:rPr>
          <w:sz w:val="24"/>
          <w:szCs w:val="24"/>
        </w:rPr>
        <w:t xml:space="preserve">H. </w:t>
      </w:r>
      <w:r w:rsidRPr="006E03A4">
        <w:rPr>
          <w:sz w:val="24"/>
          <w:szCs w:val="24"/>
        </w:rPr>
        <w:t>Hager, M.D.</w:t>
      </w:r>
      <w:r w:rsidR="00526B2A" w:rsidRPr="006E03A4">
        <w:rPr>
          <w:sz w:val="24"/>
          <w:szCs w:val="24"/>
        </w:rPr>
        <w:tab/>
      </w:r>
      <w:r w:rsidR="008D43B6">
        <w:tab/>
      </w:r>
      <w:r w:rsidR="006E03A4">
        <w:tab/>
      </w:r>
      <w:r w:rsidR="008D43B6" w:rsidRPr="006E03A4">
        <w:rPr>
          <w:sz w:val="24"/>
          <w:szCs w:val="24"/>
        </w:rPr>
        <w:tab/>
      </w:r>
      <w:r w:rsidR="002E0985" w:rsidRPr="006E03A4">
        <w:rPr>
          <w:sz w:val="24"/>
          <w:szCs w:val="24"/>
        </w:rPr>
        <w:t>:</w:t>
      </w:r>
      <w:r w:rsidR="002E0985" w:rsidRPr="002E0985">
        <w:tab/>
      </w:r>
    </w:p>
    <w:p w:rsidR="002E0985" w:rsidRPr="002E0985" w:rsidRDefault="002E0985" w:rsidP="002E0985">
      <w:pPr>
        <w:tabs>
          <w:tab w:val="left" w:pos="-720"/>
        </w:tabs>
        <w:suppressAutoHyphens/>
        <w:rPr>
          <w:spacing w:val="-3"/>
          <w:sz w:val="24"/>
          <w:szCs w:val="20"/>
        </w:rPr>
      </w:pPr>
      <w:r>
        <w:rPr>
          <w:spacing w:val="-3"/>
          <w:sz w:val="24"/>
          <w:szCs w:val="20"/>
        </w:rPr>
        <w:tab/>
      </w:r>
      <w:r>
        <w:rPr>
          <w:spacing w:val="-3"/>
          <w:sz w:val="24"/>
          <w:szCs w:val="20"/>
        </w:rPr>
        <w:tab/>
      </w:r>
      <w:r>
        <w:rPr>
          <w:spacing w:val="-3"/>
          <w:sz w:val="24"/>
          <w:szCs w:val="20"/>
        </w:rPr>
        <w:tab/>
      </w:r>
      <w:r>
        <w:rPr>
          <w:spacing w:val="-3"/>
          <w:sz w:val="24"/>
          <w:szCs w:val="20"/>
        </w:rPr>
        <w:tab/>
      </w:r>
      <w:r>
        <w:rPr>
          <w:spacing w:val="-3"/>
          <w:sz w:val="24"/>
          <w:szCs w:val="20"/>
        </w:rPr>
        <w:tab/>
      </w:r>
      <w:r>
        <w:rPr>
          <w:spacing w:val="-3"/>
          <w:sz w:val="24"/>
          <w:szCs w:val="20"/>
        </w:rPr>
        <w:tab/>
      </w:r>
      <w:r w:rsidR="008D43B6">
        <w:rPr>
          <w:spacing w:val="-3"/>
          <w:sz w:val="24"/>
          <w:szCs w:val="20"/>
        </w:rPr>
        <w:tab/>
      </w:r>
      <w:r>
        <w:rPr>
          <w:spacing w:val="-3"/>
          <w:sz w:val="24"/>
          <w:szCs w:val="20"/>
        </w:rPr>
        <w:t xml:space="preserve">: </w:t>
      </w:r>
      <w:r>
        <w:rPr>
          <w:spacing w:val="-3"/>
          <w:sz w:val="24"/>
          <w:szCs w:val="20"/>
        </w:rPr>
        <w:tab/>
      </w:r>
    </w:p>
    <w:p w:rsidR="002E0985" w:rsidRPr="002E0985" w:rsidRDefault="002E0985" w:rsidP="002E0985">
      <w:pPr>
        <w:tabs>
          <w:tab w:val="left" w:pos="-720"/>
        </w:tabs>
        <w:suppressAutoHyphens/>
        <w:rPr>
          <w:spacing w:val="-3"/>
          <w:sz w:val="24"/>
          <w:szCs w:val="20"/>
        </w:rPr>
      </w:pPr>
      <w:r w:rsidRPr="002E0985">
        <w:rPr>
          <w:spacing w:val="-3"/>
          <w:sz w:val="24"/>
          <w:szCs w:val="20"/>
        </w:rPr>
        <w:tab/>
      </w:r>
      <w:r w:rsidR="00D14005">
        <w:rPr>
          <w:spacing w:val="-3"/>
          <w:sz w:val="24"/>
          <w:szCs w:val="20"/>
        </w:rPr>
        <w:t>v.</w:t>
      </w:r>
      <w:r w:rsidRPr="002E0985">
        <w:rPr>
          <w:spacing w:val="-3"/>
          <w:sz w:val="24"/>
          <w:szCs w:val="20"/>
        </w:rPr>
        <w:tab/>
      </w:r>
      <w:r w:rsidRPr="002E0985">
        <w:rPr>
          <w:spacing w:val="-3"/>
          <w:sz w:val="24"/>
          <w:szCs w:val="20"/>
        </w:rPr>
        <w:tab/>
      </w:r>
      <w:r w:rsidRPr="002E0985">
        <w:rPr>
          <w:spacing w:val="-3"/>
          <w:sz w:val="24"/>
          <w:szCs w:val="20"/>
        </w:rPr>
        <w:tab/>
      </w:r>
      <w:r w:rsidR="008D43B6">
        <w:rPr>
          <w:spacing w:val="-3"/>
          <w:sz w:val="24"/>
          <w:szCs w:val="20"/>
        </w:rPr>
        <w:tab/>
      </w:r>
      <w:r w:rsidR="008D43B6">
        <w:rPr>
          <w:spacing w:val="-3"/>
          <w:sz w:val="24"/>
          <w:szCs w:val="20"/>
        </w:rPr>
        <w:tab/>
      </w:r>
      <w:r w:rsidR="008D43B6">
        <w:rPr>
          <w:spacing w:val="-3"/>
          <w:sz w:val="24"/>
          <w:szCs w:val="20"/>
        </w:rPr>
        <w:tab/>
      </w:r>
      <w:r w:rsidRPr="002E0985">
        <w:rPr>
          <w:spacing w:val="-3"/>
          <w:sz w:val="24"/>
          <w:szCs w:val="20"/>
        </w:rPr>
        <w:t>:</w:t>
      </w:r>
      <w:r w:rsidR="00D14005">
        <w:rPr>
          <w:spacing w:val="-3"/>
          <w:sz w:val="24"/>
          <w:szCs w:val="20"/>
        </w:rPr>
        <w:tab/>
      </w:r>
      <w:r w:rsidR="008D43B6">
        <w:rPr>
          <w:spacing w:val="-3"/>
          <w:sz w:val="24"/>
          <w:szCs w:val="20"/>
        </w:rPr>
        <w:tab/>
      </w:r>
      <w:r w:rsidR="00D14005">
        <w:rPr>
          <w:spacing w:val="-3"/>
          <w:sz w:val="24"/>
          <w:szCs w:val="20"/>
        </w:rPr>
        <w:t>C-2014-2444961</w:t>
      </w:r>
      <w:r w:rsidR="00354E6F">
        <w:rPr>
          <w:spacing w:val="-3"/>
          <w:sz w:val="24"/>
          <w:szCs w:val="20"/>
        </w:rPr>
        <w:tab/>
      </w:r>
      <w:r w:rsidRPr="002E0985">
        <w:rPr>
          <w:spacing w:val="-3"/>
          <w:sz w:val="24"/>
          <w:szCs w:val="20"/>
        </w:rPr>
        <w:tab/>
      </w:r>
    </w:p>
    <w:p w:rsidR="002E0985" w:rsidRDefault="002E0985" w:rsidP="002E0985">
      <w:pPr>
        <w:tabs>
          <w:tab w:val="left" w:pos="-720"/>
        </w:tabs>
        <w:suppressAutoHyphens/>
        <w:rPr>
          <w:spacing w:val="-3"/>
          <w:sz w:val="24"/>
          <w:szCs w:val="20"/>
        </w:rPr>
      </w:pPr>
      <w:r w:rsidRPr="002E0985">
        <w:rPr>
          <w:spacing w:val="-3"/>
          <w:sz w:val="24"/>
          <w:szCs w:val="20"/>
        </w:rPr>
        <w:tab/>
      </w:r>
      <w:r w:rsidRPr="002E0985">
        <w:rPr>
          <w:spacing w:val="-3"/>
          <w:sz w:val="24"/>
          <w:szCs w:val="20"/>
        </w:rPr>
        <w:tab/>
      </w:r>
      <w:r w:rsidRPr="002E0985">
        <w:rPr>
          <w:spacing w:val="-3"/>
          <w:sz w:val="24"/>
          <w:szCs w:val="20"/>
        </w:rPr>
        <w:tab/>
      </w:r>
      <w:r w:rsidRPr="002E0985">
        <w:rPr>
          <w:spacing w:val="-3"/>
          <w:sz w:val="24"/>
          <w:szCs w:val="20"/>
        </w:rPr>
        <w:tab/>
      </w:r>
      <w:r w:rsidRPr="002E0985">
        <w:rPr>
          <w:spacing w:val="-3"/>
          <w:sz w:val="24"/>
          <w:szCs w:val="20"/>
        </w:rPr>
        <w:tab/>
      </w:r>
      <w:r w:rsidRPr="002E0985">
        <w:rPr>
          <w:spacing w:val="-3"/>
          <w:sz w:val="24"/>
          <w:szCs w:val="20"/>
        </w:rPr>
        <w:tab/>
      </w:r>
      <w:r w:rsidR="008D43B6">
        <w:rPr>
          <w:spacing w:val="-3"/>
          <w:sz w:val="24"/>
          <w:szCs w:val="20"/>
        </w:rPr>
        <w:tab/>
      </w:r>
      <w:r w:rsidRPr="002E0985">
        <w:rPr>
          <w:spacing w:val="-3"/>
          <w:sz w:val="24"/>
          <w:szCs w:val="20"/>
        </w:rPr>
        <w:t>:</w:t>
      </w:r>
    </w:p>
    <w:p w:rsidR="002E0985" w:rsidRPr="002E0985" w:rsidRDefault="00D14005" w:rsidP="002E0985">
      <w:pPr>
        <w:tabs>
          <w:tab w:val="left" w:pos="-720"/>
        </w:tabs>
        <w:suppressAutoHyphens/>
        <w:rPr>
          <w:spacing w:val="-3"/>
          <w:sz w:val="24"/>
          <w:szCs w:val="20"/>
        </w:rPr>
      </w:pPr>
      <w:r>
        <w:rPr>
          <w:spacing w:val="-3"/>
          <w:sz w:val="24"/>
          <w:szCs w:val="20"/>
        </w:rPr>
        <w:t>PECO Energy Company</w:t>
      </w:r>
      <w:r w:rsidR="002E0985">
        <w:rPr>
          <w:spacing w:val="-3"/>
          <w:sz w:val="24"/>
          <w:szCs w:val="20"/>
        </w:rPr>
        <w:tab/>
      </w:r>
      <w:r w:rsidR="002E0985">
        <w:rPr>
          <w:spacing w:val="-3"/>
          <w:sz w:val="24"/>
          <w:szCs w:val="20"/>
        </w:rPr>
        <w:tab/>
      </w:r>
      <w:r w:rsidR="008D43B6">
        <w:rPr>
          <w:spacing w:val="-3"/>
          <w:sz w:val="24"/>
          <w:szCs w:val="20"/>
        </w:rPr>
        <w:tab/>
      </w:r>
      <w:r w:rsidR="008D43B6">
        <w:rPr>
          <w:spacing w:val="-3"/>
          <w:sz w:val="24"/>
          <w:szCs w:val="20"/>
        </w:rPr>
        <w:tab/>
      </w:r>
      <w:r w:rsidR="002E0985">
        <w:rPr>
          <w:spacing w:val="-3"/>
          <w:sz w:val="24"/>
          <w:szCs w:val="20"/>
        </w:rPr>
        <w:t>:</w:t>
      </w:r>
    </w:p>
    <w:p w:rsidR="005E3007" w:rsidRDefault="005E3007" w:rsidP="00CE43B4">
      <w:pPr>
        <w:tabs>
          <w:tab w:val="left" w:pos="-720"/>
        </w:tabs>
        <w:suppressAutoHyphens/>
        <w:rPr>
          <w:spacing w:val="-3"/>
          <w:sz w:val="24"/>
          <w:szCs w:val="24"/>
        </w:rPr>
      </w:pPr>
    </w:p>
    <w:p w:rsidR="005E3007" w:rsidRDefault="005E3007" w:rsidP="00CE43B4">
      <w:pPr>
        <w:tabs>
          <w:tab w:val="left" w:pos="-720"/>
        </w:tabs>
        <w:suppressAutoHyphens/>
        <w:rPr>
          <w:spacing w:val="-3"/>
          <w:sz w:val="24"/>
          <w:szCs w:val="24"/>
        </w:rPr>
      </w:pPr>
    </w:p>
    <w:p w:rsidR="005E3007" w:rsidRPr="00CE43B4" w:rsidRDefault="005E3007" w:rsidP="00CE43B4">
      <w:pPr>
        <w:tabs>
          <w:tab w:val="left" w:pos="-720"/>
        </w:tabs>
        <w:suppressAutoHyphens/>
        <w:rPr>
          <w:spacing w:val="-3"/>
          <w:sz w:val="24"/>
          <w:szCs w:val="24"/>
        </w:rPr>
      </w:pPr>
    </w:p>
    <w:p w:rsidR="00A12991" w:rsidRDefault="00526B2A" w:rsidP="000F1894">
      <w:pPr>
        <w:jc w:val="center"/>
        <w:rPr>
          <w:b/>
          <w:caps/>
          <w:sz w:val="24"/>
          <w:szCs w:val="24"/>
          <w:u w:val="single"/>
        </w:rPr>
      </w:pPr>
      <w:r>
        <w:rPr>
          <w:b/>
          <w:caps/>
          <w:sz w:val="24"/>
          <w:szCs w:val="24"/>
          <w:u w:val="single"/>
        </w:rPr>
        <w:t>initial decision</w:t>
      </w:r>
    </w:p>
    <w:p w:rsidR="00A12991" w:rsidRDefault="00A12991" w:rsidP="000F1894">
      <w:pPr>
        <w:jc w:val="center"/>
        <w:rPr>
          <w:b/>
          <w:caps/>
          <w:sz w:val="24"/>
          <w:szCs w:val="24"/>
          <w:u w:val="single"/>
        </w:rPr>
      </w:pPr>
      <w:r>
        <w:rPr>
          <w:b/>
          <w:caps/>
          <w:sz w:val="24"/>
          <w:szCs w:val="24"/>
          <w:u w:val="single"/>
        </w:rPr>
        <w:t>sustaining preliminary objection</w:t>
      </w:r>
    </w:p>
    <w:p w:rsidR="000F1894" w:rsidRPr="00E514FA" w:rsidRDefault="00A12991" w:rsidP="000F1894">
      <w:pPr>
        <w:jc w:val="center"/>
        <w:rPr>
          <w:b/>
          <w:sz w:val="24"/>
          <w:szCs w:val="24"/>
        </w:rPr>
      </w:pPr>
      <w:r>
        <w:rPr>
          <w:b/>
          <w:caps/>
          <w:sz w:val="24"/>
          <w:szCs w:val="24"/>
          <w:u w:val="single"/>
        </w:rPr>
        <w:t>and dismissing complaint</w:t>
      </w:r>
      <w:r w:rsidR="00354E6F">
        <w:rPr>
          <w:b/>
          <w:caps/>
          <w:sz w:val="24"/>
          <w:szCs w:val="24"/>
          <w:u w:val="single"/>
        </w:rPr>
        <w:t xml:space="preserve"> </w:t>
      </w:r>
    </w:p>
    <w:p w:rsidR="006A21C2" w:rsidRDefault="006A21C2" w:rsidP="000F1894">
      <w:pPr>
        <w:jc w:val="center"/>
        <w:rPr>
          <w:sz w:val="24"/>
          <w:szCs w:val="24"/>
        </w:rPr>
      </w:pPr>
    </w:p>
    <w:p w:rsidR="008D43B6" w:rsidRPr="006A21C2" w:rsidRDefault="008D43B6" w:rsidP="000F1894">
      <w:pPr>
        <w:jc w:val="center"/>
        <w:rPr>
          <w:sz w:val="24"/>
          <w:szCs w:val="24"/>
        </w:rPr>
      </w:pPr>
    </w:p>
    <w:p w:rsidR="000F1894" w:rsidRPr="00DE562E" w:rsidRDefault="000F1894" w:rsidP="0081696C">
      <w:pPr>
        <w:jc w:val="center"/>
        <w:outlineLvl w:val="0"/>
        <w:rPr>
          <w:sz w:val="24"/>
          <w:szCs w:val="24"/>
        </w:rPr>
      </w:pPr>
      <w:r w:rsidRPr="00DE562E">
        <w:rPr>
          <w:sz w:val="24"/>
          <w:szCs w:val="24"/>
        </w:rPr>
        <w:t>Before</w:t>
      </w:r>
    </w:p>
    <w:p w:rsidR="000F1894" w:rsidRPr="00DE562E" w:rsidRDefault="001F7F73" w:rsidP="000F1894">
      <w:pPr>
        <w:jc w:val="center"/>
        <w:rPr>
          <w:sz w:val="24"/>
          <w:szCs w:val="24"/>
        </w:rPr>
      </w:pPr>
      <w:r>
        <w:rPr>
          <w:sz w:val="24"/>
          <w:szCs w:val="24"/>
        </w:rPr>
        <w:t>Ember S. Jandebeur</w:t>
      </w:r>
    </w:p>
    <w:p w:rsidR="000F1894" w:rsidRDefault="000F1894" w:rsidP="000F1894">
      <w:pPr>
        <w:jc w:val="center"/>
        <w:rPr>
          <w:sz w:val="24"/>
          <w:szCs w:val="24"/>
        </w:rPr>
      </w:pPr>
      <w:r w:rsidRPr="00DE562E">
        <w:rPr>
          <w:sz w:val="24"/>
          <w:szCs w:val="24"/>
        </w:rPr>
        <w:t>Administrative Law Judge</w:t>
      </w:r>
      <w:r w:rsidR="006A21C2">
        <w:rPr>
          <w:sz w:val="24"/>
          <w:szCs w:val="24"/>
        </w:rPr>
        <w:t xml:space="preserve"> </w:t>
      </w:r>
    </w:p>
    <w:p w:rsidR="00DE2348" w:rsidRPr="006A21C2" w:rsidRDefault="00DE2348" w:rsidP="000F1894">
      <w:pPr>
        <w:jc w:val="center"/>
        <w:rPr>
          <w:b/>
          <w:sz w:val="24"/>
          <w:szCs w:val="24"/>
        </w:rPr>
      </w:pPr>
    </w:p>
    <w:p w:rsidR="000F1894" w:rsidRPr="006A21C2" w:rsidRDefault="000F1894" w:rsidP="000F1894">
      <w:pPr>
        <w:jc w:val="center"/>
        <w:rPr>
          <w:b/>
          <w:sz w:val="24"/>
          <w:szCs w:val="24"/>
        </w:rPr>
      </w:pPr>
    </w:p>
    <w:p w:rsidR="007965B0" w:rsidRDefault="000967DB" w:rsidP="00DD2411">
      <w:pPr>
        <w:spacing w:line="360" w:lineRule="auto"/>
        <w:jc w:val="center"/>
        <w:rPr>
          <w:sz w:val="24"/>
          <w:szCs w:val="24"/>
          <w:u w:val="single"/>
        </w:rPr>
      </w:pPr>
      <w:r>
        <w:rPr>
          <w:sz w:val="24"/>
          <w:szCs w:val="24"/>
          <w:u w:val="single"/>
        </w:rPr>
        <w:t>HISTORY OF THE PROCEEDINGS</w:t>
      </w:r>
    </w:p>
    <w:p w:rsidR="00D14005" w:rsidRDefault="00D14005" w:rsidP="00DD2411">
      <w:pPr>
        <w:spacing w:line="360" w:lineRule="auto"/>
        <w:jc w:val="center"/>
        <w:rPr>
          <w:sz w:val="24"/>
          <w:szCs w:val="24"/>
        </w:rPr>
      </w:pPr>
    </w:p>
    <w:p w:rsidR="00777588" w:rsidRDefault="00777588" w:rsidP="009870EF">
      <w:pPr>
        <w:tabs>
          <w:tab w:val="left" w:pos="-1440"/>
          <w:tab w:val="left" w:pos="-720"/>
        </w:tabs>
        <w:suppressAutoHyphens/>
        <w:spacing w:line="360" w:lineRule="auto"/>
        <w:ind w:firstLine="1440"/>
        <w:rPr>
          <w:sz w:val="24"/>
          <w:szCs w:val="24"/>
        </w:rPr>
      </w:pPr>
      <w:r>
        <w:rPr>
          <w:sz w:val="24"/>
          <w:szCs w:val="24"/>
        </w:rPr>
        <w:t>This Initial Decision grants the Preliminary Objection and dismisses the Formal Complaint for reasons fully explained in the paragraphs below.</w:t>
      </w:r>
    </w:p>
    <w:p w:rsidR="00777588" w:rsidRDefault="00777588" w:rsidP="009870EF">
      <w:pPr>
        <w:tabs>
          <w:tab w:val="left" w:pos="-1440"/>
          <w:tab w:val="left" w:pos="-720"/>
        </w:tabs>
        <w:suppressAutoHyphens/>
        <w:spacing w:line="360" w:lineRule="auto"/>
        <w:ind w:firstLine="1440"/>
        <w:rPr>
          <w:sz w:val="24"/>
          <w:szCs w:val="24"/>
        </w:rPr>
      </w:pPr>
    </w:p>
    <w:p w:rsidR="00F450D4" w:rsidRDefault="00D14005" w:rsidP="009870EF">
      <w:pPr>
        <w:tabs>
          <w:tab w:val="left" w:pos="-1440"/>
          <w:tab w:val="left" w:pos="-720"/>
        </w:tabs>
        <w:suppressAutoHyphens/>
        <w:spacing w:line="360" w:lineRule="auto"/>
        <w:ind w:firstLine="1440"/>
        <w:rPr>
          <w:spacing w:val="-3"/>
          <w:sz w:val="24"/>
          <w:szCs w:val="24"/>
        </w:rPr>
        <w:sectPr w:rsidR="00F450D4" w:rsidSect="005F452A">
          <w:footerReference w:type="even" r:id="rId9"/>
          <w:footerReference w:type="default" r:id="rId10"/>
          <w:pgSz w:w="12240" w:h="15840" w:code="1"/>
          <w:pgMar w:top="1440" w:right="1440" w:bottom="1440" w:left="1440" w:header="720" w:footer="720" w:gutter="0"/>
          <w:cols w:space="720"/>
          <w:titlePg/>
          <w:docGrid w:linePitch="360"/>
        </w:sectPr>
      </w:pPr>
      <w:r>
        <w:rPr>
          <w:sz w:val="24"/>
          <w:szCs w:val="24"/>
        </w:rPr>
        <w:t>On September 18, 2014</w:t>
      </w:r>
      <w:r w:rsidR="009870EF" w:rsidRPr="009870EF">
        <w:rPr>
          <w:sz w:val="24"/>
          <w:szCs w:val="24"/>
        </w:rPr>
        <w:t xml:space="preserve">, </w:t>
      </w:r>
      <w:r>
        <w:rPr>
          <w:sz w:val="24"/>
          <w:szCs w:val="24"/>
        </w:rPr>
        <w:t xml:space="preserve">Margaret </w:t>
      </w:r>
      <w:r w:rsidR="00FE45C2">
        <w:rPr>
          <w:sz w:val="24"/>
          <w:szCs w:val="24"/>
        </w:rPr>
        <w:t xml:space="preserve">H. </w:t>
      </w:r>
      <w:r>
        <w:rPr>
          <w:sz w:val="24"/>
          <w:szCs w:val="24"/>
        </w:rPr>
        <w:t>Hager, M.D.</w:t>
      </w:r>
      <w:r w:rsidR="009870EF" w:rsidRPr="009870EF">
        <w:rPr>
          <w:sz w:val="24"/>
          <w:szCs w:val="24"/>
        </w:rPr>
        <w:t xml:space="preserve"> (Complainant) filed a Formal Complaint with the Pennsylvania Public Utility Commission </w:t>
      </w:r>
      <w:r>
        <w:rPr>
          <w:sz w:val="24"/>
          <w:szCs w:val="24"/>
        </w:rPr>
        <w:t xml:space="preserve">(PUC) </w:t>
      </w:r>
      <w:r w:rsidR="009870EF" w:rsidRPr="009870EF">
        <w:rPr>
          <w:sz w:val="24"/>
          <w:szCs w:val="24"/>
        </w:rPr>
        <w:t xml:space="preserve">against </w:t>
      </w:r>
      <w:r>
        <w:rPr>
          <w:sz w:val="24"/>
          <w:szCs w:val="24"/>
        </w:rPr>
        <w:t>PECO Energy Company</w:t>
      </w:r>
      <w:r w:rsidR="009870EF" w:rsidRPr="009870EF">
        <w:rPr>
          <w:sz w:val="24"/>
          <w:szCs w:val="24"/>
        </w:rPr>
        <w:t xml:space="preserve"> (</w:t>
      </w:r>
      <w:r>
        <w:rPr>
          <w:sz w:val="24"/>
          <w:szCs w:val="24"/>
        </w:rPr>
        <w:t>PECO</w:t>
      </w:r>
      <w:r w:rsidR="009870EF" w:rsidRPr="009870EF">
        <w:rPr>
          <w:sz w:val="24"/>
          <w:szCs w:val="24"/>
        </w:rPr>
        <w:t xml:space="preserve">) alleging </w:t>
      </w:r>
      <w:r>
        <w:rPr>
          <w:sz w:val="24"/>
          <w:szCs w:val="24"/>
        </w:rPr>
        <w:t>that she wanted an “opt out” from the installation of a smart meter at her home.</w:t>
      </w:r>
      <w:r w:rsidR="009870EF" w:rsidRPr="009870EF">
        <w:rPr>
          <w:sz w:val="24"/>
          <w:szCs w:val="24"/>
        </w:rPr>
        <w:t xml:space="preserve">  On </w:t>
      </w:r>
      <w:r>
        <w:rPr>
          <w:sz w:val="24"/>
          <w:szCs w:val="24"/>
        </w:rPr>
        <w:t>October 1, 2014</w:t>
      </w:r>
      <w:r w:rsidR="009870EF" w:rsidRPr="009870EF">
        <w:rPr>
          <w:sz w:val="24"/>
          <w:szCs w:val="24"/>
        </w:rPr>
        <w:t xml:space="preserve">, </w:t>
      </w:r>
      <w:r>
        <w:rPr>
          <w:sz w:val="24"/>
          <w:szCs w:val="24"/>
        </w:rPr>
        <w:t>PECO</w:t>
      </w:r>
      <w:r w:rsidR="009870EF" w:rsidRPr="009870EF">
        <w:rPr>
          <w:sz w:val="24"/>
          <w:szCs w:val="24"/>
        </w:rPr>
        <w:t xml:space="preserve"> filed an </w:t>
      </w:r>
      <w:r w:rsidR="009870EF" w:rsidRPr="009870EF">
        <w:rPr>
          <w:spacing w:val="-3"/>
          <w:sz w:val="24"/>
          <w:szCs w:val="24"/>
        </w:rPr>
        <w:t>Answer denying the material allegations of the Complaint</w:t>
      </w:r>
      <w:r>
        <w:rPr>
          <w:spacing w:val="-3"/>
          <w:sz w:val="24"/>
          <w:szCs w:val="24"/>
        </w:rPr>
        <w:t xml:space="preserve"> and </w:t>
      </w:r>
      <w:r w:rsidR="00395230">
        <w:rPr>
          <w:spacing w:val="-3"/>
          <w:sz w:val="24"/>
          <w:szCs w:val="24"/>
        </w:rPr>
        <w:t xml:space="preserve">filed </w:t>
      </w:r>
      <w:r>
        <w:rPr>
          <w:spacing w:val="-3"/>
          <w:sz w:val="24"/>
          <w:szCs w:val="24"/>
        </w:rPr>
        <w:t xml:space="preserve">New Matter.  The New Matter contained a </w:t>
      </w:r>
      <w:bookmarkStart w:id="0" w:name="_GoBack"/>
      <w:bookmarkEnd w:id="0"/>
      <w:r>
        <w:rPr>
          <w:spacing w:val="-3"/>
          <w:sz w:val="24"/>
          <w:szCs w:val="24"/>
        </w:rPr>
        <w:t>Notice to Plead</w:t>
      </w:r>
      <w:r w:rsidR="009870EF" w:rsidRPr="009870EF">
        <w:rPr>
          <w:spacing w:val="-3"/>
          <w:sz w:val="24"/>
          <w:szCs w:val="24"/>
        </w:rPr>
        <w:t>.</w:t>
      </w:r>
      <w:r>
        <w:rPr>
          <w:rStyle w:val="FootnoteReference"/>
          <w:spacing w:val="-3"/>
          <w:sz w:val="24"/>
          <w:szCs w:val="24"/>
        </w:rPr>
        <w:footnoteReference w:id="1"/>
      </w:r>
      <w:r w:rsidR="009870EF" w:rsidRPr="009870EF">
        <w:rPr>
          <w:spacing w:val="-3"/>
          <w:sz w:val="24"/>
          <w:szCs w:val="24"/>
        </w:rPr>
        <w:t xml:space="preserve">  </w:t>
      </w:r>
      <w:r w:rsidR="00777588">
        <w:rPr>
          <w:spacing w:val="-3"/>
          <w:sz w:val="24"/>
          <w:szCs w:val="24"/>
        </w:rPr>
        <w:t>No response to the New Matter was received from the Complainant.  On October 1, 2014, PECO filed a Preliminary Objection with an attached Notice to Plead.</w:t>
      </w:r>
      <w:r w:rsidR="00777588">
        <w:rPr>
          <w:rStyle w:val="FootnoteReference"/>
          <w:spacing w:val="-3"/>
          <w:sz w:val="24"/>
          <w:szCs w:val="24"/>
        </w:rPr>
        <w:footnoteReference w:id="2"/>
      </w:r>
    </w:p>
    <w:p w:rsidR="009870EF" w:rsidRPr="009870EF" w:rsidRDefault="009870EF" w:rsidP="009870EF">
      <w:pPr>
        <w:tabs>
          <w:tab w:val="left" w:pos="2160"/>
        </w:tabs>
        <w:spacing w:line="360" w:lineRule="auto"/>
        <w:ind w:firstLine="1440"/>
        <w:rPr>
          <w:sz w:val="24"/>
          <w:szCs w:val="24"/>
        </w:rPr>
      </w:pPr>
      <w:r w:rsidRPr="009870EF">
        <w:rPr>
          <w:sz w:val="24"/>
          <w:szCs w:val="24"/>
        </w:rPr>
        <w:lastRenderedPageBreak/>
        <w:t xml:space="preserve">By </w:t>
      </w:r>
      <w:r w:rsidR="00777588">
        <w:rPr>
          <w:sz w:val="24"/>
          <w:szCs w:val="24"/>
        </w:rPr>
        <w:t xml:space="preserve">Motion Judge Assignment Notice, </w:t>
      </w:r>
      <w:r w:rsidRPr="009870EF">
        <w:rPr>
          <w:sz w:val="24"/>
          <w:szCs w:val="24"/>
        </w:rPr>
        <w:t xml:space="preserve">dated </w:t>
      </w:r>
      <w:r w:rsidR="00777588">
        <w:rPr>
          <w:sz w:val="24"/>
          <w:szCs w:val="24"/>
        </w:rPr>
        <w:t>January 12, 2015</w:t>
      </w:r>
      <w:r w:rsidRPr="009870EF">
        <w:rPr>
          <w:sz w:val="24"/>
          <w:szCs w:val="24"/>
        </w:rPr>
        <w:t xml:space="preserve">, the parties were notified that </w:t>
      </w:r>
      <w:r w:rsidR="00777588">
        <w:rPr>
          <w:sz w:val="24"/>
          <w:szCs w:val="24"/>
        </w:rPr>
        <w:t>the matter was assigned to me.</w:t>
      </w:r>
    </w:p>
    <w:p w:rsidR="009870EF" w:rsidRPr="009870EF" w:rsidRDefault="009870EF" w:rsidP="009870EF">
      <w:pPr>
        <w:spacing w:line="360" w:lineRule="auto"/>
        <w:ind w:firstLine="1440"/>
        <w:rPr>
          <w:sz w:val="24"/>
          <w:szCs w:val="24"/>
        </w:rPr>
      </w:pPr>
    </w:p>
    <w:p w:rsidR="00223E7E" w:rsidRDefault="00A7050E" w:rsidP="00A7050E">
      <w:pPr>
        <w:spacing w:line="360" w:lineRule="auto"/>
        <w:jc w:val="center"/>
        <w:rPr>
          <w:sz w:val="24"/>
          <w:szCs w:val="24"/>
          <w:u w:val="single"/>
        </w:rPr>
      </w:pPr>
      <w:r w:rsidRPr="00A7050E">
        <w:rPr>
          <w:sz w:val="24"/>
          <w:szCs w:val="24"/>
          <w:u w:val="single"/>
        </w:rPr>
        <w:t>FINDINGS OF FACT</w:t>
      </w:r>
    </w:p>
    <w:p w:rsidR="00777588" w:rsidRPr="00777588" w:rsidRDefault="00777588" w:rsidP="00A7050E">
      <w:pPr>
        <w:spacing w:line="360" w:lineRule="auto"/>
        <w:jc w:val="center"/>
        <w:rPr>
          <w:sz w:val="24"/>
          <w:szCs w:val="24"/>
        </w:rPr>
      </w:pPr>
    </w:p>
    <w:p w:rsidR="00777588" w:rsidRDefault="00777588" w:rsidP="00F450D4">
      <w:pPr>
        <w:pStyle w:val="ListParagraph"/>
        <w:numPr>
          <w:ilvl w:val="0"/>
          <w:numId w:val="26"/>
        </w:numPr>
        <w:spacing w:line="360" w:lineRule="auto"/>
        <w:ind w:left="0" w:firstLine="1440"/>
        <w:rPr>
          <w:sz w:val="24"/>
          <w:szCs w:val="24"/>
        </w:rPr>
      </w:pPr>
      <w:r w:rsidRPr="00777588">
        <w:rPr>
          <w:sz w:val="24"/>
          <w:szCs w:val="24"/>
        </w:rPr>
        <w:t xml:space="preserve">The Complainant </w:t>
      </w:r>
      <w:r>
        <w:rPr>
          <w:sz w:val="24"/>
          <w:szCs w:val="24"/>
        </w:rPr>
        <w:t xml:space="preserve">is Margaret </w:t>
      </w:r>
      <w:r w:rsidR="00DC2BE3">
        <w:rPr>
          <w:vanish/>
          <w:sz w:val="24"/>
          <w:szCs w:val="24"/>
        </w:rPr>
        <w:t>H</w:t>
      </w:r>
      <w:r w:rsidR="00DC2BE3">
        <w:rPr>
          <w:sz w:val="24"/>
          <w:szCs w:val="24"/>
        </w:rPr>
        <w:t xml:space="preserve">H. </w:t>
      </w:r>
      <w:r>
        <w:rPr>
          <w:sz w:val="24"/>
          <w:szCs w:val="24"/>
        </w:rPr>
        <w:t>Hager, M.D.  She resides at and receives service from PECO at 732 Spring Lane, Philadelphia, Pennsylvania 19128.</w:t>
      </w:r>
    </w:p>
    <w:p w:rsidR="00777588" w:rsidRDefault="00777588" w:rsidP="00F450D4">
      <w:pPr>
        <w:pStyle w:val="ListParagraph"/>
        <w:spacing w:line="360" w:lineRule="auto"/>
        <w:ind w:left="1440"/>
        <w:rPr>
          <w:sz w:val="24"/>
          <w:szCs w:val="24"/>
        </w:rPr>
      </w:pPr>
      <w:r>
        <w:rPr>
          <w:sz w:val="24"/>
          <w:szCs w:val="24"/>
        </w:rPr>
        <w:t xml:space="preserve"> </w:t>
      </w:r>
    </w:p>
    <w:p w:rsidR="00777588" w:rsidRDefault="00777588" w:rsidP="00F450D4">
      <w:pPr>
        <w:pStyle w:val="ListParagraph"/>
        <w:numPr>
          <w:ilvl w:val="0"/>
          <w:numId w:val="26"/>
        </w:numPr>
        <w:spacing w:line="360" w:lineRule="auto"/>
        <w:ind w:left="0" w:firstLine="1440"/>
        <w:rPr>
          <w:sz w:val="24"/>
          <w:szCs w:val="24"/>
        </w:rPr>
      </w:pPr>
      <w:r>
        <w:rPr>
          <w:sz w:val="24"/>
          <w:szCs w:val="24"/>
        </w:rPr>
        <w:t>The Respondent is PECO Energy Company, a jurisdictional public utility.</w:t>
      </w:r>
    </w:p>
    <w:p w:rsidR="00777588" w:rsidRPr="00777588" w:rsidRDefault="00777588" w:rsidP="00F450D4">
      <w:pPr>
        <w:pStyle w:val="ListParagraph"/>
        <w:spacing w:line="360" w:lineRule="auto"/>
        <w:rPr>
          <w:sz w:val="24"/>
          <w:szCs w:val="24"/>
        </w:rPr>
      </w:pPr>
    </w:p>
    <w:p w:rsidR="00777588" w:rsidRDefault="00777588" w:rsidP="00F450D4">
      <w:pPr>
        <w:pStyle w:val="ListParagraph"/>
        <w:numPr>
          <w:ilvl w:val="0"/>
          <w:numId w:val="26"/>
        </w:numPr>
        <w:spacing w:line="360" w:lineRule="auto"/>
        <w:ind w:left="0" w:firstLine="1440"/>
        <w:rPr>
          <w:sz w:val="24"/>
          <w:szCs w:val="24"/>
        </w:rPr>
      </w:pPr>
      <w:r>
        <w:rPr>
          <w:sz w:val="24"/>
          <w:szCs w:val="24"/>
        </w:rPr>
        <w:t>The Complainant wants to opt out of receiving a smart meter at her home.  Formal Complaint.</w:t>
      </w:r>
    </w:p>
    <w:p w:rsidR="00777588" w:rsidRPr="00777588" w:rsidRDefault="00777588" w:rsidP="00F450D4">
      <w:pPr>
        <w:pStyle w:val="ListParagraph"/>
        <w:spacing w:line="360" w:lineRule="auto"/>
        <w:rPr>
          <w:sz w:val="24"/>
          <w:szCs w:val="24"/>
        </w:rPr>
      </w:pPr>
    </w:p>
    <w:p w:rsidR="00C419F9" w:rsidRDefault="00C419F9" w:rsidP="00F450D4">
      <w:pPr>
        <w:spacing w:line="360" w:lineRule="auto"/>
        <w:jc w:val="center"/>
        <w:rPr>
          <w:sz w:val="24"/>
          <w:szCs w:val="24"/>
          <w:u w:val="single"/>
        </w:rPr>
      </w:pPr>
      <w:r>
        <w:rPr>
          <w:sz w:val="24"/>
          <w:szCs w:val="24"/>
          <w:u w:val="single"/>
        </w:rPr>
        <w:t>DISCUSSION</w:t>
      </w:r>
    </w:p>
    <w:p w:rsidR="00A470ED" w:rsidRDefault="00A470ED" w:rsidP="00F450D4">
      <w:pPr>
        <w:spacing w:line="360" w:lineRule="auto"/>
        <w:jc w:val="center"/>
        <w:rPr>
          <w:sz w:val="24"/>
          <w:szCs w:val="24"/>
          <w:u w:val="single"/>
        </w:rPr>
      </w:pPr>
    </w:p>
    <w:p w:rsidR="00777588" w:rsidRDefault="00777588" w:rsidP="00F450D4">
      <w:pPr>
        <w:spacing w:line="360" w:lineRule="auto"/>
        <w:ind w:firstLine="1440"/>
        <w:rPr>
          <w:sz w:val="24"/>
          <w:szCs w:val="24"/>
        </w:rPr>
      </w:pPr>
      <w:r>
        <w:rPr>
          <w:sz w:val="24"/>
          <w:szCs w:val="24"/>
        </w:rPr>
        <w:t>The Commission’s regulations make preliminary objections available to parties and allow for those objections to be filed in response to any pleading except a motion or prior preliminary objections.  A party filing preliminary objections must include a notice to plead, must state specifically the legal and factual grounds relied upon and limit the objections to the following:</w:t>
      </w:r>
    </w:p>
    <w:p w:rsidR="00777588" w:rsidRDefault="00777588" w:rsidP="00A864C6">
      <w:pPr>
        <w:numPr>
          <w:ilvl w:val="0"/>
          <w:numId w:val="27"/>
        </w:numPr>
        <w:ind w:firstLine="0"/>
        <w:rPr>
          <w:sz w:val="24"/>
          <w:szCs w:val="24"/>
        </w:rPr>
      </w:pPr>
      <w:r>
        <w:rPr>
          <w:sz w:val="24"/>
          <w:szCs w:val="24"/>
        </w:rPr>
        <w:t>Lack of Commission jurisdiction or improper service of the pleading initiating the proceeding.</w:t>
      </w:r>
    </w:p>
    <w:p w:rsidR="00A864C6" w:rsidRDefault="00A864C6" w:rsidP="00A864C6">
      <w:pPr>
        <w:ind w:left="1440"/>
        <w:rPr>
          <w:sz w:val="24"/>
          <w:szCs w:val="24"/>
        </w:rPr>
      </w:pPr>
    </w:p>
    <w:p w:rsidR="00777588" w:rsidRDefault="00777588" w:rsidP="00A864C6">
      <w:pPr>
        <w:numPr>
          <w:ilvl w:val="0"/>
          <w:numId w:val="27"/>
        </w:numPr>
        <w:ind w:firstLine="0"/>
        <w:rPr>
          <w:sz w:val="24"/>
          <w:szCs w:val="24"/>
        </w:rPr>
      </w:pPr>
      <w:r>
        <w:rPr>
          <w:sz w:val="24"/>
          <w:szCs w:val="24"/>
        </w:rPr>
        <w:t>Failure of a pleading to conform to Chapter 5, Title 52 of the Pennsylvania Code, or include scandalous or impertinent matter.</w:t>
      </w:r>
    </w:p>
    <w:p w:rsidR="00A864C6" w:rsidRDefault="00A864C6" w:rsidP="00A864C6">
      <w:pPr>
        <w:ind w:left="1440"/>
        <w:rPr>
          <w:sz w:val="24"/>
          <w:szCs w:val="24"/>
        </w:rPr>
      </w:pPr>
    </w:p>
    <w:p w:rsidR="00777588" w:rsidRDefault="00777588" w:rsidP="00A864C6">
      <w:pPr>
        <w:numPr>
          <w:ilvl w:val="0"/>
          <w:numId w:val="27"/>
        </w:numPr>
        <w:ind w:firstLine="0"/>
        <w:rPr>
          <w:sz w:val="24"/>
          <w:szCs w:val="24"/>
        </w:rPr>
      </w:pPr>
      <w:r>
        <w:rPr>
          <w:sz w:val="24"/>
          <w:szCs w:val="24"/>
        </w:rPr>
        <w:t>Insufficient specificity of a pleading.</w:t>
      </w:r>
    </w:p>
    <w:p w:rsidR="00A864C6" w:rsidRDefault="00A864C6" w:rsidP="00A864C6">
      <w:pPr>
        <w:ind w:left="1440"/>
        <w:rPr>
          <w:sz w:val="24"/>
          <w:szCs w:val="24"/>
        </w:rPr>
      </w:pPr>
    </w:p>
    <w:p w:rsidR="00777588" w:rsidRDefault="00777588" w:rsidP="00A864C6">
      <w:pPr>
        <w:numPr>
          <w:ilvl w:val="0"/>
          <w:numId w:val="27"/>
        </w:numPr>
        <w:ind w:firstLine="0"/>
        <w:rPr>
          <w:sz w:val="24"/>
          <w:szCs w:val="24"/>
        </w:rPr>
      </w:pPr>
      <w:r>
        <w:rPr>
          <w:sz w:val="24"/>
          <w:szCs w:val="24"/>
        </w:rPr>
        <w:t>Legal insufficiency of a pleading.</w:t>
      </w:r>
    </w:p>
    <w:p w:rsidR="00A864C6" w:rsidRDefault="00A864C6" w:rsidP="00A864C6">
      <w:pPr>
        <w:ind w:left="1440"/>
        <w:rPr>
          <w:sz w:val="24"/>
          <w:szCs w:val="24"/>
        </w:rPr>
      </w:pPr>
    </w:p>
    <w:p w:rsidR="00777588" w:rsidRDefault="00777588" w:rsidP="00A864C6">
      <w:pPr>
        <w:numPr>
          <w:ilvl w:val="0"/>
          <w:numId w:val="27"/>
        </w:numPr>
        <w:ind w:firstLine="0"/>
        <w:rPr>
          <w:sz w:val="24"/>
          <w:szCs w:val="24"/>
        </w:rPr>
      </w:pPr>
      <w:r>
        <w:rPr>
          <w:sz w:val="24"/>
          <w:szCs w:val="24"/>
        </w:rPr>
        <w:t xml:space="preserve">Lack of capacity to sue, nonjoinder of a necessary party or misjoinder of a cause of action.  </w:t>
      </w:r>
    </w:p>
    <w:p w:rsidR="00A864C6" w:rsidRDefault="00A864C6" w:rsidP="00A864C6">
      <w:pPr>
        <w:ind w:left="1440"/>
        <w:rPr>
          <w:sz w:val="24"/>
          <w:szCs w:val="24"/>
        </w:rPr>
      </w:pPr>
    </w:p>
    <w:p w:rsidR="00777588" w:rsidRDefault="00777588" w:rsidP="00A864C6">
      <w:pPr>
        <w:numPr>
          <w:ilvl w:val="0"/>
          <w:numId w:val="27"/>
        </w:numPr>
        <w:ind w:firstLine="0"/>
        <w:rPr>
          <w:sz w:val="24"/>
          <w:szCs w:val="24"/>
        </w:rPr>
      </w:pPr>
      <w:r>
        <w:rPr>
          <w:sz w:val="24"/>
          <w:szCs w:val="24"/>
        </w:rPr>
        <w:t>Pendency of a prior proceeding or agreement for alternative dispute resolution.</w:t>
      </w:r>
    </w:p>
    <w:p w:rsidR="00F450D4" w:rsidRDefault="00F450D4" w:rsidP="00A12991">
      <w:pPr>
        <w:pStyle w:val="ListParagraph"/>
        <w:rPr>
          <w:sz w:val="24"/>
          <w:szCs w:val="24"/>
        </w:rPr>
        <w:sectPr w:rsidR="00F450D4" w:rsidSect="005F452A">
          <w:footerReference w:type="first" r:id="rId11"/>
          <w:pgSz w:w="12240" w:h="15840" w:code="1"/>
          <w:pgMar w:top="1440" w:right="1440" w:bottom="1440" w:left="1440" w:header="720" w:footer="720" w:gutter="0"/>
          <w:cols w:space="720"/>
          <w:titlePg/>
          <w:docGrid w:linePitch="360"/>
        </w:sectPr>
      </w:pPr>
    </w:p>
    <w:p w:rsidR="00A12991" w:rsidRDefault="00A12991" w:rsidP="00A864C6">
      <w:pPr>
        <w:numPr>
          <w:ilvl w:val="0"/>
          <w:numId w:val="27"/>
        </w:numPr>
        <w:ind w:firstLine="0"/>
        <w:rPr>
          <w:sz w:val="24"/>
          <w:szCs w:val="24"/>
        </w:rPr>
      </w:pPr>
      <w:r>
        <w:rPr>
          <w:sz w:val="24"/>
          <w:szCs w:val="24"/>
        </w:rPr>
        <w:t>Standing of a party to participate in the proceeding.</w:t>
      </w:r>
    </w:p>
    <w:p w:rsidR="00A864C6" w:rsidRDefault="00A864C6" w:rsidP="00A864C6">
      <w:pPr>
        <w:ind w:left="1440"/>
        <w:rPr>
          <w:sz w:val="24"/>
          <w:szCs w:val="24"/>
        </w:rPr>
      </w:pPr>
    </w:p>
    <w:p w:rsidR="00777588" w:rsidRDefault="00A864C6" w:rsidP="00777588">
      <w:pPr>
        <w:spacing w:line="360" w:lineRule="auto"/>
        <w:rPr>
          <w:sz w:val="24"/>
          <w:szCs w:val="24"/>
        </w:rPr>
      </w:pPr>
      <w:r>
        <w:rPr>
          <w:sz w:val="24"/>
          <w:szCs w:val="24"/>
        </w:rPr>
        <w:t>52 Pa.</w:t>
      </w:r>
      <w:r w:rsidR="00777588">
        <w:rPr>
          <w:sz w:val="24"/>
          <w:szCs w:val="24"/>
        </w:rPr>
        <w:t>Code §</w:t>
      </w:r>
      <w:r w:rsidR="000D308B">
        <w:rPr>
          <w:sz w:val="24"/>
          <w:szCs w:val="24"/>
        </w:rPr>
        <w:t xml:space="preserve"> </w:t>
      </w:r>
      <w:r w:rsidR="00777588">
        <w:rPr>
          <w:sz w:val="24"/>
          <w:szCs w:val="24"/>
        </w:rPr>
        <w:t>5.101(a).</w:t>
      </w:r>
    </w:p>
    <w:p w:rsidR="00F450D4" w:rsidRDefault="00F450D4" w:rsidP="00777588">
      <w:pPr>
        <w:spacing w:line="360" w:lineRule="auto"/>
        <w:rPr>
          <w:sz w:val="24"/>
          <w:szCs w:val="24"/>
        </w:rPr>
      </w:pPr>
    </w:p>
    <w:p w:rsidR="00777588" w:rsidRDefault="00777588" w:rsidP="00777588">
      <w:pPr>
        <w:spacing w:line="360" w:lineRule="auto"/>
        <w:rPr>
          <w:sz w:val="24"/>
          <w:szCs w:val="24"/>
        </w:rPr>
      </w:pPr>
      <w:r>
        <w:rPr>
          <w:sz w:val="24"/>
          <w:szCs w:val="24"/>
        </w:rPr>
        <w:tab/>
      </w:r>
      <w:r>
        <w:rPr>
          <w:sz w:val="24"/>
          <w:szCs w:val="24"/>
        </w:rPr>
        <w:tab/>
        <w:t>The party against whom preliminary objections are filed may file an answer to the preliminary objections but the answer must be filed within ten days of the date of service (of the preliminary objections).  52 Pa.Code §</w:t>
      </w:r>
      <w:r w:rsidR="000D308B">
        <w:rPr>
          <w:sz w:val="24"/>
          <w:szCs w:val="24"/>
        </w:rPr>
        <w:t xml:space="preserve"> </w:t>
      </w:r>
      <w:r>
        <w:rPr>
          <w:sz w:val="24"/>
          <w:szCs w:val="24"/>
        </w:rPr>
        <w:t>5.101(f)(1).</w:t>
      </w:r>
    </w:p>
    <w:p w:rsidR="00777588" w:rsidRDefault="00777588" w:rsidP="00777588">
      <w:pPr>
        <w:spacing w:line="360" w:lineRule="auto"/>
        <w:rPr>
          <w:sz w:val="24"/>
          <w:szCs w:val="24"/>
        </w:rPr>
      </w:pPr>
    </w:p>
    <w:p w:rsidR="00777588" w:rsidRDefault="00777588" w:rsidP="00777588">
      <w:pPr>
        <w:spacing w:line="360" w:lineRule="auto"/>
        <w:rPr>
          <w:sz w:val="24"/>
          <w:szCs w:val="24"/>
        </w:rPr>
      </w:pPr>
      <w:r>
        <w:rPr>
          <w:sz w:val="24"/>
          <w:szCs w:val="24"/>
        </w:rPr>
        <w:tab/>
      </w:r>
      <w:r>
        <w:rPr>
          <w:sz w:val="24"/>
          <w:szCs w:val="24"/>
        </w:rPr>
        <w:tab/>
        <w:t>The presiding officer will decide the preliminary objections within thirty days of the date the preliminary objection is assigned to the presiding officer.  52 Pa.Code §</w:t>
      </w:r>
      <w:r w:rsidR="000D308B">
        <w:rPr>
          <w:sz w:val="24"/>
          <w:szCs w:val="24"/>
        </w:rPr>
        <w:t xml:space="preserve"> </w:t>
      </w:r>
      <w:r>
        <w:rPr>
          <w:sz w:val="24"/>
          <w:szCs w:val="24"/>
        </w:rPr>
        <w:t>5.101(g).</w:t>
      </w:r>
    </w:p>
    <w:p w:rsidR="00777588" w:rsidRDefault="00777588" w:rsidP="00777588">
      <w:pPr>
        <w:spacing w:line="360" w:lineRule="auto"/>
        <w:rPr>
          <w:sz w:val="24"/>
          <w:szCs w:val="24"/>
        </w:rPr>
      </w:pPr>
    </w:p>
    <w:p w:rsidR="00777588" w:rsidRPr="00097155" w:rsidRDefault="00777588" w:rsidP="00777588">
      <w:pPr>
        <w:spacing w:line="360" w:lineRule="auto"/>
        <w:rPr>
          <w:sz w:val="24"/>
          <w:szCs w:val="24"/>
        </w:rPr>
      </w:pPr>
      <w:r>
        <w:rPr>
          <w:sz w:val="24"/>
          <w:szCs w:val="24"/>
        </w:rPr>
        <w:tab/>
      </w:r>
      <w:r>
        <w:rPr>
          <w:sz w:val="24"/>
          <w:szCs w:val="24"/>
        </w:rPr>
        <w:tab/>
      </w:r>
      <w:r w:rsidRPr="00097155">
        <w:rPr>
          <w:sz w:val="24"/>
          <w:szCs w:val="24"/>
        </w:rPr>
        <w:t>The Commission has the discretion to “dismiss any complaint without hearing if, in its opinion, a hearing is not necessary in the public interest.”  66 Pa.C.S.A. §</w:t>
      </w:r>
      <w:r w:rsidR="000D308B">
        <w:rPr>
          <w:sz w:val="24"/>
          <w:szCs w:val="24"/>
        </w:rPr>
        <w:t xml:space="preserve"> </w:t>
      </w:r>
      <w:r w:rsidRPr="00097155">
        <w:rPr>
          <w:sz w:val="24"/>
          <w:szCs w:val="24"/>
        </w:rPr>
        <w:t xml:space="preserve">703(b).  A hearing is necessary only to resolve disputed questions of fact, and when the question presented is solely one of law, the Commission need not hold a hearing. </w:t>
      </w:r>
      <w:r w:rsidRPr="00097155">
        <w:rPr>
          <w:sz w:val="24"/>
          <w:szCs w:val="24"/>
          <w:u w:val="single"/>
        </w:rPr>
        <w:t>Lehigh Valley Power Committee</w:t>
      </w:r>
      <w:r w:rsidR="000D308B">
        <w:rPr>
          <w:sz w:val="24"/>
          <w:szCs w:val="24"/>
          <w:u w:val="single"/>
        </w:rPr>
        <w:t> </w:t>
      </w:r>
      <w:r w:rsidRPr="00097155">
        <w:rPr>
          <w:sz w:val="24"/>
          <w:szCs w:val="24"/>
          <w:u w:val="single"/>
        </w:rPr>
        <w:t>v. P</w:t>
      </w:r>
      <w:r w:rsidR="000D308B">
        <w:rPr>
          <w:sz w:val="24"/>
          <w:szCs w:val="24"/>
          <w:u w:val="single"/>
        </w:rPr>
        <w:t>a. Pub. Util. Comm’n</w:t>
      </w:r>
      <w:r w:rsidRPr="00097155">
        <w:rPr>
          <w:sz w:val="24"/>
          <w:szCs w:val="24"/>
        </w:rPr>
        <w:t>, 128 Pa.C</w:t>
      </w:r>
      <w:r w:rsidR="000D308B">
        <w:rPr>
          <w:sz w:val="24"/>
          <w:szCs w:val="24"/>
        </w:rPr>
        <w:t>mwlth</w:t>
      </w:r>
      <w:r w:rsidRPr="00097155">
        <w:rPr>
          <w:sz w:val="24"/>
          <w:szCs w:val="24"/>
        </w:rPr>
        <w:t xml:space="preserve">. 259, 563 A.2d 548 (1989).  Also </w:t>
      </w:r>
      <w:r w:rsidRPr="00097155">
        <w:rPr>
          <w:sz w:val="24"/>
          <w:szCs w:val="24"/>
          <w:u w:val="single"/>
        </w:rPr>
        <w:t>Edan Transportation Corp. v. P</w:t>
      </w:r>
      <w:r w:rsidR="000D308B">
        <w:rPr>
          <w:sz w:val="24"/>
          <w:szCs w:val="24"/>
          <w:u w:val="single"/>
        </w:rPr>
        <w:t>a. Pub. Util. Comm’n</w:t>
      </w:r>
      <w:r w:rsidRPr="00097155">
        <w:rPr>
          <w:sz w:val="24"/>
          <w:szCs w:val="24"/>
        </w:rPr>
        <w:t>, 154 Pa.C</w:t>
      </w:r>
      <w:r w:rsidR="000D308B">
        <w:rPr>
          <w:sz w:val="24"/>
          <w:szCs w:val="24"/>
        </w:rPr>
        <w:t>mwlth</w:t>
      </w:r>
      <w:r w:rsidRPr="00097155">
        <w:rPr>
          <w:sz w:val="24"/>
          <w:szCs w:val="24"/>
        </w:rPr>
        <w:t>. 21, 623 A.2d 6 (1993).</w:t>
      </w:r>
    </w:p>
    <w:p w:rsidR="00777588" w:rsidRDefault="00777588" w:rsidP="00777588">
      <w:pPr>
        <w:spacing w:line="360" w:lineRule="auto"/>
        <w:rPr>
          <w:sz w:val="24"/>
          <w:szCs w:val="24"/>
        </w:rPr>
      </w:pPr>
    </w:p>
    <w:p w:rsidR="00FF2A36" w:rsidRDefault="00FF2A36" w:rsidP="00FF2A36">
      <w:pPr>
        <w:spacing w:line="360" w:lineRule="auto"/>
        <w:rPr>
          <w:sz w:val="24"/>
          <w:szCs w:val="24"/>
        </w:rPr>
      </w:pPr>
      <w:r w:rsidRPr="004B2A90">
        <w:rPr>
          <w:sz w:val="24"/>
          <w:szCs w:val="24"/>
          <w:u w:val="single"/>
        </w:rPr>
        <w:t>Smart Meters:</w:t>
      </w:r>
      <w:r>
        <w:rPr>
          <w:sz w:val="24"/>
          <w:szCs w:val="24"/>
        </w:rPr>
        <w:t xml:space="preserve">  </w:t>
      </w:r>
    </w:p>
    <w:p w:rsidR="000D308B" w:rsidRPr="00EE6098" w:rsidRDefault="000D308B" w:rsidP="00FF2A36">
      <w:pPr>
        <w:spacing w:line="360" w:lineRule="auto"/>
        <w:rPr>
          <w:sz w:val="24"/>
          <w:szCs w:val="24"/>
        </w:rPr>
      </w:pPr>
    </w:p>
    <w:p w:rsidR="00FF2A36" w:rsidRDefault="00FF2A36" w:rsidP="00FF2A36">
      <w:pPr>
        <w:spacing w:line="360" w:lineRule="auto"/>
        <w:ind w:firstLine="1440"/>
        <w:rPr>
          <w:sz w:val="24"/>
          <w:szCs w:val="24"/>
        </w:rPr>
      </w:pPr>
      <w:r>
        <w:rPr>
          <w:sz w:val="24"/>
          <w:szCs w:val="24"/>
        </w:rPr>
        <w:t xml:space="preserve">The Public Utility Code at Section 2807 requires electric distribution companies to furnish smart meters.  66 Pa.C.S.A. § 2807(f)(2).  There is no provision to opt out.  </w:t>
      </w:r>
    </w:p>
    <w:p w:rsidR="000D308B" w:rsidRDefault="000D308B" w:rsidP="00FF2A36">
      <w:pPr>
        <w:spacing w:line="360" w:lineRule="auto"/>
        <w:ind w:firstLine="1440"/>
        <w:rPr>
          <w:sz w:val="24"/>
          <w:szCs w:val="24"/>
        </w:rPr>
      </w:pPr>
    </w:p>
    <w:p w:rsidR="00FF2A36" w:rsidRDefault="00FF2A36" w:rsidP="00FF2A36">
      <w:pPr>
        <w:spacing w:line="360" w:lineRule="auto"/>
        <w:ind w:firstLine="1440"/>
        <w:rPr>
          <w:sz w:val="24"/>
          <w:szCs w:val="24"/>
        </w:rPr>
      </w:pPr>
      <w:r>
        <w:rPr>
          <w:sz w:val="24"/>
          <w:szCs w:val="24"/>
        </w:rPr>
        <w:t>Section 2807:</w:t>
      </w:r>
    </w:p>
    <w:p w:rsidR="000D308B" w:rsidRDefault="000D308B" w:rsidP="000D308B">
      <w:pPr>
        <w:ind w:firstLine="1440"/>
        <w:rPr>
          <w:sz w:val="24"/>
          <w:szCs w:val="24"/>
        </w:rPr>
      </w:pPr>
    </w:p>
    <w:p w:rsidR="00801C05" w:rsidRPr="00C860D4" w:rsidRDefault="00801C05" w:rsidP="00801C05">
      <w:pPr>
        <w:ind w:firstLine="1440"/>
        <w:rPr>
          <w:sz w:val="24"/>
          <w:szCs w:val="24"/>
        </w:rPr>
      </w:pPr>
      <w:r w:rsidRPr="00C860D4">
        <w:rPr>
          <w:sz w:val="24"/>
          <w:szCs w:val="24"/>
        </w:rPr>
        <w:t>(f)  Smart meter technology and time of use rates –</w:t>
      </w:r>
    </w:p>
    <w:p w:rsidR="00801C05" w:rsidRDefault="00801C05" w:rsidP="00801C05">
      <w:pPr>
        <w:ind w:firstLine="1440"/>
        <w:rPr>
          <w:sz w:val="24"/>
          <w:szCs w:val="24"/>
        </w:rPr>
      </w:pPr>
    </w:p>
    <w:p w:rsidR="00801C05" w:rsidRDefault="00801C05" w:rsidP="00801C05">
      <w:pPr>
        <w:ind w:left="1440" w:firstLine="360"/>
        <w:rPr>
          <w:sz w:val="24"/>
          <w:szCs w:val="24"/>
        </w:rPr>
      </w:pPr>
      <w:r>
        <w:rPr>
          <w:sz w:val="24"/>
          <w:szCs w:val="24"/>
        </w:rPr>
        <w:t>(1) Within nine months after the effective date of this paragraph, electric distribution companies shall file a smart meter technology procurement and installation plan with the commission for approval [ ].</w:t>
      </w:r>
    </w:p>
    <w:p w:rsidR="00801C05" w:rsidRDefault="00801C05" w:rsidP="00801C05">
      <w:pPr>
        <w:ind w:firstLine="1440"/>
        <w:rPr>
          <w:sz w:val="24"/>
          <w:szCs w:val="24"/>
        </w:rPr>
      </w:pPr>
    </w:p>
    <w:p w:rsidR="00801C05" w:rsidRDefault="00801C05" w:rsidP="00801C05">
      <w:pPr>
        <w:ind w:left="1440" w:firstLine="360"/>
        <w:rPr>
          <w:sz w:val="24"/>
          <w:szCs w:val="24"/>
        </w:rPr>
      </w:pPr>
      <w:r>
        <w:rPr>
          <w:sz w:val="24"/>
          <w:szCs w:val="24"/>
        </w:rPr>
        <w:t xml:space="preserve">(2) Electric distribution companies </w:t>
      </w:r>
      <w:r w:rsidRPr="00801C05">
        <w:rPr>
          <w:sz w:val="24"/>
          <w:szCs w:val="24"/>
          <w:u w:val="single"/>
        </w:rPr>
        <w:t>shall</w:t>
      </w:r>
      <w:r>
        <w:rPr>
          <w:sz w:val="24"/>
          <w:szCs w:val="24"/>
        </w:rPr>
        <w:t xml:space="preserve"> furnish smart meter technology as follows:</w:t>
      </w:r>
    </w:p>
    <w:p w:rsidR="00801C05" w:rsidRDefault="00801C05" w:rsidP="00801C05">
      <w:pPr>
        <w:ind w:firstLine="1440"/>
        <w:rPr>
          <w:sz w:val="24"/>
          <w:szCs w:val="24"/>
        </w:rPr>
      </w:pPr>
    </w:p>
    <w:p w:rsidR="00801C05" w:rsidRDefault="00801C05" w:rsidP="00801C05">
      <w:pPr>
        <w:ind w:left="1800" w:firstLine="360"/>
        <w:rPr>
          <w:sz w:val="24"/>
          <w:szCs w:val="24"/>
        </w:rPr>
      </w:pPr>
      <w:r>
        <w:rPr>
          <w:sz w:val="24"/>
          <w:szCs w:val="24"/>
        </w:rPr>
        <w:t>(i) Upon the request of a customer that agrees to pay the cost of the smart meter at the time of the request.</w:t>
      </w:r>
    </w:p>
    <w:p w:rsidR="00801C05" w:rsidRDefault="00801C05" w:rsidP="00801C05">
      <w:pPr>
        <w:ind w:left="2250" w:hanging="540"/>
        <w:rPr>
          <w:sz w:val="24"/>
          <w:szCs w:val="24"/>
        </w:rPr>
      </w:pPr>
    </w:p>
    <w:p w:rsidR="00801C05" w:rsidRDefault="00801C05" w:rsidP="00801C05">
      <w:pPr>
        <w:ind w:left="2250" w:hanging="90"/>
        <w:rPr>
          <w:sz w:val="24"/>
          <w:szCs w:val="24"/>
        </w:rPr>
      </w:pPr>
      <w:r>
        <w:rPr>
          <w:sz w:val="24"/>
          <w:szCs w:val="24"/>
        </w:rPr>
        <w:t>(ii) In new building construction.</w:t>
      </w:r>
    </w:p>
    <w:p w:rsidR="00801C05" w:rsidRDefault="00801C05" w:rsidP="00801C05">
      <w:pPr>
        <w:ind w:left="2250" w:hanging="540"/>
        <w:rPr>
          <w:sz w:val="24"/>
          <w:szCs w:val="24"/>
        </w:rPr>
      </w:pPr>
    </w:p>
    <w:p w:rsidR="00801C05" w:rsidRDefault="00801C05" w:rsidP="00801C05">
      <w:pPr>
        <w:ind w:left="2250" w:hanging="90"/>
        <w:rPr>
          <w:sz w:val="24"/>
          <w:szCs w:val="24"/>
        </w:rPr>
      </w:pPr>
      <w:r>
        <w:rPr>
          <w:sz w:val="24"/>
          <w:szCs w:val="24"/>
        </w:rPr>
        <w:t>(iii) In accordance with a depreciation schedule not to exceed 15 years.</w:t>
      </w:r>
    </w:p>
    <w:p w:rsidR="00A77258" w:rsidRDefault="00A77258" w:rsidP="00801C05">
      <w:pPr>
        <w:ind w:left="2250" w:hanging="90"/>
        <w:rPr>
          <w:sz w:val="24"/>
          <w:szCs w:val="24"/>
        </w:rPr>
      </w:pPr>
    </w:p>
    <w:p w:rsidR="00FF2A36" w:rsidRDefault="00801C05" w:rsidP="00801C05">
      <w:pPr>
        <w:spacing w:line="360" w:lineRule="auto"/>
        <w:rPr>
          <w:sz w:val="24"/>
          <w:szCs w:val="24"/>
        </w:rPr>
      </w:pPr>
      <w:r>
        <w:rPr>
          <w:sz w:val="24"/>
          <w:szCs w:val="24"/>
        </w:rPr>
        <w:t xml:space="preserve">66 Pa.C.S.A. § 2807(f)(2). </w:t>
      </w:r>
      <w:r w:rsidR="00395230">
        <w:rPr>
          <w:sz w:val="24"/>
          <w:szCs w:val="24"/>
        </w:rPr>
        <w:t xml:space="preserve"> (Emphasis added).</w:t>
      </w:r>
    </w:p>
    <w:p w:rsidR="00801C05" w:rsidRDefault="00801C05" w:rsidP="00801C05">
      <w:pPr>
        <w:spacing w:line="360" w:lineRule="auto"/>
        <w:rPr>
          <w:sz w:val="24"/>
          <w:szCs w:val="24"/>
        </w:rPr>
      </w:pPr>
    </w:p>
    <w:p w:rsidR="00FF2A36" w:rsidRDefault="00FF2A36" w:rsidP="00FF2A36">
      <w:pPr>
        <w:spacing w:line="360" w:lineRule="auto"/>
        <w:ind w:firstLine="1440"/>
        <w:rPr>
          <w:sz w:val="24"/>
          <w:szCs w:val="24"/>
        </w:rPr>
      </w:pPr>
      <w:r>
        <w:rPr>
          <w:sz w:val="24"/>
          <w:szCs w:val="24"/>
        </w:rPr>
        <w:t>The use of the word “shall” at (2) indicates that the General Assembly intended every customer to receive a smart meter.  The statute is clear, and as noted above, there are no provisions for a customer to opt out.</w:t>
      </w:r>
    </w:p>
    <w:p w:rsidR="00FF2A36" w:rsidRDefault="00FF2A36" w:rsidP="00FF2A36">
      <w:pPr>
        <w:spacing w:line="360" w:lineRule="auto"/>
        <w:ind w:firstLine="1440"/>
        <w:rPr>
          <w:sz w:val="24"/>
          <w:szCs w:val="24"/>
        </w:rPr>
      </w:pPr>
    </w:p>
    <w:p w:rsidR="00A26DA2" w:rsidRDefault="00FF2A36" w:rsidP="00FF2A36">
      <w:pPr>
        <w:spacing w:line="360" w:lineRule="auto"/>
        <w:ind w:firstLine="1440"/>
        <w:rPr>
          <w:sz w:val="24"/>
          <w:szCs w:val="24"/>
        </w:rPr>
      </w:pPr>
      <w:r>
        <w:rPr>
          <w:sz w:val="24"/>
          <w:szCs w:val="24"/>
        </w:rPr>
        <w:t xml:space="preserve">PECO argues in its Preliminary Objection, that the Formal Complaint is legally insufficient, that there are no issues of fact, and that the Complainant does not allege the violation of any law, regulation, order or tariff.  </w:t>
      </w:r>
      <w:r w:rsidR="00192512">
        <w:rPr>
          <w:sz w:val="24"/>
          <w:szCs w:val="24"/>
        </w:rPr>
        <w:t>In its Preliminary Objection</w:t>
      </w:r>
      <w:r w:rsidR="00395230">
        <w:rPr>
          <w:sz w:val="24"/>
          <w:szCs w:val="24"/>
        </w:rPr>
        <w:t xml:space="preserve"> and in its New Matter</w:t>
      </w:r>
      <w:r w:rsidR="00192512">
        <w:rPr>
          <w:sz w:val="24"/>
          <w:szCs w:val="24"/>
        </w:rPr>
        <w:t xml:space="preserve"> PECO set out the legislative history of smart meters; it need not be repeated here.  </w:t>
      </w:r>
    </w:p>
    <w:p w:rsidR="00A26DA2" w:rsidRDefault="00A26DA2" w:rsidP="00FF2A36">
      <w:pPr>
        <w:spacing w:line="360" w:lineRule="auto"/>
        <w:ind w:firstLine="1440"/>
        <w:rPr>
          <w:sz w:val="24"/>
          <w:szCs w:val="24"/>
        </w:rPr>
      </w:pPr>
    </w:p>
    <w:p w:rsidR="00FF2A36" w:rsidRDefault="00FF2A36" w:rsidP="00FF2A36">
      <w:pPr>
        <w:spacing w:line="360" w:lineRule="auto"/>
        <w:ind w:firstLine="1440"/>
        <w:rPr>
          <w:sz w:val="24"/>
          <w:szCs w:val="24"/>
        </w:rPr>
      </w:pPr>
      <w:r>
        <w:rPr>
          <w:sz w:val="24"/>
          <w:szCs w:val="24"/>
        </w:rPr>
        <w:t>PECO</w:t>
      </w:r>
      <w:r w:rsidR="00A26DA2">
        <w:rPr>
          <w:sz w:val="24"/>
          <w:szCs w:val="24"/>
        </w:rPr>
        <w:t>’s position in its Preliminary Objection</w:t>
      </w:r>
      <w:r>
        <w:rPr>
          <w:sz w:val="24"/>
          <w:szCs w:val="24"/>
        </w:rPr>
        <w:t xml:space="preserve"> is correct</w:t>
      </w:r>
      <w:r w:rsidR="00A26DA2">
        <w:rPr>
          <w:sz w:val="24"/>
          <w:szCs w:val="24"/>
        </w:rPr>
        <w:t>.</w:t>
      </w:r>
      <w:r>
        <w:rPr>
          <w:sz w:val="24"/>
          <w:szCs w:val="24"/>
        </w:rPr>
        <w:t xml:space="preserve">  </w:t>
      </w:r>
      <w:r w:rsidR="00A26DA2">
        <w:rPr>
          <w:sz w:val="24"/>
          <w:szCs w:val="24"/>
        </w:rPr>
        <w:t>A</w:t>
      </w:r>
      <w:r>
        <w:rPr>
          <w:sz w:val="24"/>
          <w:szCs w:val="24"/>
        </w:rPr>
        <w:t xml:space="preserve">fter considering the Complainant’s allegations in the light most favorable to her, it is clear that there </w:t>
      </w:r>
      <w:r w:rsidR="00192512">
        <w:rPr>
          <w:sz w:val="24"/>
          <w:szCs w:val="24"/>
        </w:rPr>
        <w:t>are</w:t>
      </w:r>
      <w:r>
        <w:rPr>
          <w:sz w:val="24"/>
          <w:szCs w:val="24"/>
        </w:rPr>
        <w:t xml:space="preserve"> no issues of fact to be decided.  The Complainant does not want a smart meter, the law </w:t>
      </w:r>
      <w:r w:rsidRPr="00FF2A36">
        <w:rPr>
          <w:sz w:val="24"/>
          <w:szCs w:val="24"/>
          <w:u w:val="single"/>
        </w:rPr>
        <w:t>requires</w:t>
      </w:r>
      <w:r>
        <w:rPr>
          <w:sz w:val="24"/>
          <w:szCs w:val="24"/>
        </w:rPr>
        <w:t xml:space="preserve"> a smart meter and there is no opt out provision. </w:t>
      </w:r>
      <w:r w:rsidR="006C2CC2">
        <w:rPr>
          <w:sz w:val="24"/>
          <w:szCs w:val="24"/>
        </w:rPr>
        <w:t xml:space="preserve"> </w:t>
      </w:r>
      <w:r w:rsidR="0086288E">
        <w:rPr>
          <w:sz w:val="24"/>
          <w:szCs w:val="24"/>
        </w:rPr>
        <w:t xml:space="preserve">See </w:t>
      </w:r>
      <w:r w:rsidR="0086288E" w:rsidRPr="0086288E">
        <w:rPr>
          <w:sz w:val="24"/>
          <w:szCs w:val="24"/>
          <w:u w:val="single"/>
        </w:rPr>
        <w:t>Maria Povacz v. PECO Energy Co.</w:t>
      </w:r>
      <w:r w:rsidR="0086288E">
        <w:rPr>
          <w:sz w:val="24"/>
          <w:szCs w:val="24"/>
        </w:rPr>
        <w:t xml:space="preserve">, Docket No. C-2012-2317176 (Order adopted January 24, 2013). </w:t>
      </w:r>
      <w:r>
        <w:rPr>
          <w:sz w:val="24"/>
          <w:szCs w:val="24"/>
        </w:rPr>
        <w:t xml:space="preserve"> </w:t>
      </w:r>
      <w:r w:rsidR="003C31D8" w:rsidRPr="003C31D8">
        <w:rPr>
          <w:sz w:val="24"/>
          <w:szCs w:val="24"/>
          <w:u w:val="single"/>
        </w:rPr>
        <w:t>Campisi v. PECO</w:t>
      </w:r>
      <w:r w:rsidR="003C31D8">
        <w:rPr>
          <w:sz w:val="24"/>
          <w:szCs w:val="24"/>
          <w:u w:val="single"/>
        </w:rPr>
        <w:t xml:space="preserve"> Energy Co.</w:t>
      </w:r>
      <w:r w:rsidR="003C31D8">
        <w:rPr>
          <w:sz w:val="24"/>
          <w:szCs w:val="24"/>
        </w:rPr>
        <w:t xml:space="preserve">, Docket No. C-2014-2434501 (Order adopted November 5, 2014).  </w:t>
      </w:r>
      <w:r>
        <w:rPr>
          <w:sz w:val="24"/>
          <w:szCs w:val="24"/>
        </w:rPr>
        <w:t xml:space="preserve">No hearing on the matter would change that outcome. </w:t>
      </w:r>
    </w:p>
    <w:p w:rsidR="00FF2A36" w:rsidRDefault="00FF2A36" w:rsidP="00FF2A36">
      <w:pPr>
        <w:spacing w:line="360" w:lineRule="auto"/>
        <w:ind w:firstLine="1440"/>
        <w:rPr>
          <w:sz w:val="24"/>
          <w:szCs w:val="24"/>
        </w:rPr>
      </w:pPr>
    </w:p>
    <w:p w:rsidR="00FF2A36" w:rsidRDefault="00FF2A36" w:rsidP="00FF2A36">
      <w:pPr>
        <w:spacing w:line="360" w:lineRule="auto"/>
        <w:ind w:firstLine="1440"/>
        <w:rPr>
          <w:sz w:val="24"/>
          <w:szCs w:val="24"/>
        </w:rPr>
      </w:pPr>
      <w:r>
        <w:rPr>
          <w:sz w:val="24"/>
          <w:szCs w:val="24"/>
        </w:rPr>
        <w:t xml:space="preserve"> Therefore, as a matter of law, the Complainant must receive a smart meter.  The Preliminary Objection is granted.</w:t>
      </w:r>
    </w:p>
    <w:p w:rsidR="00FF2A36" w:rsidRPr="00D767AF" w:rsidRDefault="00FF2A36" w:rsidP="00FF2A36">
      <w:pPr>
        <w:spacing w:line="360" w:lineRule="auto"/>
        <w:ind w:firstLine="1440"/>
        <w:rPr>
          <w:sz w:val="24"/>
          <w:szCs w:val="24"/>
          <w:u w:val="single"/>
        </w:rPr>
      </w:pPr>
    </w:p>
    <w:p w:rsidR="00A470ED" w:rsidRDefault="00FC4DD1" w:rsidP="00A470ED">
      <w:pPr>
        <w:spacing w:line="360" w:lineRule="auto"/>
        <w:jc w:val="center"/>
        <w:rPr>
          <w:sz w:val="24"/>
          <w:szCs w:val="24"/>
          <w:u w:val="single"/>
        </w:rPr>
      </w:pPr>
      <w:r>
        <w:rPr>
          <w:sz w:val="24"/>
          <w:szCs w:val="24"/>
          <w:u w:val="single"/>
        </w:rPr>
        <w:t>CONC</w:t>
      </w:r>
      <w:r w:rsidR="00C419F9">
        <w:rPr>
          <w:sz w:val="24"/>
          <w:szCs w:val="24"/>
          <w:u w:val="single"/>
        </w:rPr>
        <w:t>LUSIONS OF LAW</w:t>
      </w:r>
    </w:p>
    <w:p w:rsidR="00FF2A36" w:rsidRDefault="00FF2A36" w:rsidP="00FF2A36">
      <w:pPr>
        <w:spacing w:line="360" w:lineRule="auto"/>
        <w:jc w:val="center"/>
        <w:rPr>
          <w:sz w:val="24"/>
          <w:szCs w:val="24"/>
          <w:u w:val="single"/>
        </w:rPr>
      </w:pPr>
    </w:p>
    <w:p w:rsidR="00A26DA2" w:rsidRPr="00F450D4" w:rsidRDefault="00A26DA2" w:rsidP="00A26DA2">
      <w:pPr>
        <w:pStyle w:val="ListParagraph"/>
        <w:numPr>
          <w:ilvl w:val="0"/>
          <w:numId w:val="28"/>
        </w:numPr>
        <w:spacing w:line="360" w:lineRule="auto"/>
        <w:ind w:left="0" w:firstLine="1440"/>
        <w:rPr>
          <w:sz w:val="24"/>
          <w:szCs w:val="24"/>
          <w:u w:val="single"/>
        </w:rPr>
      </w:pPr>
      <w:r w:rsidRPr="00F450D4">
        <w:rPr>
          <w:sz w:val="24"/>
          <w:szCs w:val="24"/>
        </w:rPr>
        <w:t xml:space="preserve">For purposes of disposing of the Preliminary Objection, the PUC must accept as true all well pleaded material facts of the nonmoving party, as well as every reasonable inference from those facts.  </w:t>
      </w:r>
      <w:r w:rsidRPr="00F450D4">
        <w:rPr>
          <w:sz w:val="24"/>
          <w:szCs w:val="24"/>
          <w:u w:val="single"/>
        </w:rPr>
        <w:t>County of Allegheny v. Commonwealth of Pennsylvania</w:t>
      </w:r>
      <w:r w:rsidRPr="00F450D4">
        <w:rPr>
          <w:sz w:val="24"/>
          <w:szCs w:val="24"/>
        </w:rPr>
        <w:t xml:space="preserve">, 490 A. 2d 401 (Pa. 1985).  </w:t>
      </w:r>
      <w:r w:rsidRPr="00F450D4">
        <w:rPr>
          <w:sz w:val="24"/>
          <w:szCs w:val="24"/>
          <w:u w:val="single"/>
        </w:rPr>
        <w:t>Commonwealth of Pennsylvania v. Bell Telephone Co. of Pennsylvania</w:t>
      </w:r>
      <w:r w:rsidRPr="00F450D4">
        <w:rPr>
          <w:sz w:val="24"/>
          <w:szCs w:val="24"/>
        </w:rPr>
        <w:t xml:space="preserve">, 551 A. 2d 602 (Pa.Cmwlth. 1988). </w:t>
      </w:r>
    </w:p>
    <w:p w:rsidR="00A26DA2" w:rsidRPr="00C42B6C" w:rsidRDefault="00A26DA2" w:rsidP="00A26DA2">
      <w:pPr>
        <w:pStyle w:val="ListParagraph"/>
        <w:numPr>
          <w:ilvl w:val="0"/>
          <w:numId w:val="28"/>
        </w:numPr>
        <w:spacing w:line="360" w:lineRule="auto"/>
        <w:ind w:left="0" w:firstLine="1440"/>
        <w:rPr>
          <w:sz w:val="24"/>
          <w:szCs w:val="24"/>
          <w:u w:val="single"/>
        </w:rPr>
      </w:pPr>
      <w:r>
        <w:rPr>
          <w:sz w:val="24"/>
          <w:szCs w:val="24"/>
        </w:rPr>
        <w:t xml:space="preserve">  The Public Utility Code at Section 2807 requires electric distribution companies to furnish smart meters.  66 Pa.C.S.A. § 2807(f)(2).</w:t>
      </w:r>
    </w:p>
    <w:p w:rsidR="00C42B6C" w:rsidRPr="00C42B6C" w:rsidRDefault="00C42B6C" w:rsidP="000B1B19">
      <w:pPr>
        <w:pStyle w:val="ListParagraph"/>
        <w:spacing w:line="360" w:lineRule="auto"/>
        <w:rPr>
          <w:sz w:val="24"/>
          <w:szCs w:val="24"/>
        </w:rPr>
      </w:pPr>
    </w:p>
    <w:p w:rsidR="00C42B6C" w:rsidRDefault="00C42B6C" w:rsidP="00A26DA2">
      <w:pPr>
        <w:pStyle w:val="ListParagraph"/>
        <w:numPr>
          <w:ilvl w:val="0"/>
          <w:numId w:val="28"/>
        </w:numPr>
        <w:spacing w:line="360" w:lineRule="auto"/>
        <w:ind w:left="0" w:firstLine="1440"/>
        <w:rPr>
          <w:sz w:val="24"/>
          <w:szCs w:val="24"/>
        </w:rPr>
      </w:pPr>
      <w:r w:rsidRPr="00C42B6C">
        <w:rPr>
          <w:sz w:val="24"/>
          <w:szCs w:val="24"/>
        </w:rPr>
        <w:t>The Commission may dismiss</w:t>
      </w:r>
      <w:r>
        <w:rPr>
          <w:sz w:val="24"/>
          <w:szCs w:val="24"/>
        </w:rPr>
        <w:t xml:space="preserve"> any complaint without a hearing if, in its opinion, a hearing is not necessary in the public interest.  66 Pa.C.S.A. § 703(b).</w:t>
      </w:r>
    </w:p>
    <w:p w:rsidR="00395230" w:rsidRPr="00395230" w:rsidRDefault="00395230" w:rsidP="000B1B19">
      <w:pPr>
        <w:pStyle w:val="ListParagraph"/>
        <w:spacing w:line="360" w:lineRule="auto"/>
        <w:rPr>
          <w:sz w:val="24"/>
          <w:szCs w:val="24"/>
        </w:rPr>
      </w:pPr>
    </w:p>
    <w:p w:rsidR="00395230" w:rsidRPr="00395230" w:rsidRDefault="00395230" w:rsidP="00395230">
      <w:pPr>
        <w:pStyle w:val="ListParagraph"/>
        <w:numPr>
          <w:ilvl w:val="0"/>
          <w:numId w:val="28"/>
        </w:numPr>
        <w:spacing w:line="360" w:lineRule="auto"/>
        <w:ind w:left="0" w:firstLine="1440"/>
        <w:rPr>
          <w:sz w:val="24"/>
          <w:szCs w:val="24"/>
        </w:rPr>
      </w:pPr>
      <w:r w:rsidRPr="00395230">
        <w:rPr>
          <w:sz w:val="24"/>
          <w:szCs w:val="24"/>
        </w:rPr>
        <w:t xml:space="preserve">A hearing is necessary only to resolve disputed questions of fact, and when the question presented is solely one of law, the Commission need not hold a hearing. </w:t>
      </w:r>
      <w:r w:rsidRPr="00395230">
        <w:rPr>
          <w:sz w:val="24"/>
          <w:szCs w:val="24"/>
          <w:u w:val="single"/>
        </w:rPr>
        <w:t>Lehigh Valley Power Committee v. P</w:t>
      </w:r>
      <w:r w:rsidR="000B1B19">
        <w:rPr>
          <w:sz w:val="24"/>
          <w:szCs w:val="24"/>
          <w:u w:val="single"/>
        </w:rPr>
        <w:t>a. Pub. Util. Comm’n</w:t>
      </w:r>
      <w:r w:rsidRPr="00395230">
        <w:rPr>
          <w:sz w:val="24"/>
          <w:szCs w:val="24"/>
        </w:rPr>
        <w:t>, 128 Pa.C</w:t>
      </w:r>
      <w:r w:rsidR="000B1B19">
        <w:rPr>
          <w:sz w:val="24"/>
          <w:szCs w:val="24"/>
        </w:rPr>
        <w:t>mwlth</w:t>
      </w:r>
      <w:r w:rsidRPr="00395230">
        <w:rPr>
          <w:sz w:val="24"/>
          <w:szCs w:val="24"/>
        </w:rPr>
        <w:t xml:space="preserve">. 259, 563 A.2d 548 (1989).  Also </w:t>
      </w:r>
      <w:r w:rsidRPr="00395230">
        <w:rPr>
          <w:sz w:val="24"/>
          <w:szCs w:val="24"/>
          <w:u w:val="single"/>
        </w:rPr>
        <w:t>Edan Transportation Corp. v. P</w:t>
      </w:r>
      <w:r w:rsidR="000B1B19">
        <w:rPr>
          <w:sz w:val="24"/>
          <w:szCs w:val="24"/>
          <w:u w:val="single"/>
        </w:rPr>
        <w:t>a. Pub. Util. Comm’n</w:t>
      </w:r>
      <w:r w:rsidRPr="00395230">
        <w:rPr>
          <w:sz w:val="24"/>
          <w:szCs w:val="24"/>
        </w:rPr>
        <w:t>, 154 Pa.C</w:t>
      </w:r>
      <w:r w:rsidR="000B1B19">
        <w:rPr>
          <w:sz w:val="24"/>
          <w:szCs w:val="24"/>
        </w:rPr>
        <w:t>mwlth</w:t>
      </w:r>
      <w:r w:rsidRPr="00395230">
        <w:rPr>
          <w:sz w:val="24"/>
          <w:szCs w:val="24"/>
        </w:rPr>
        <w:t>. 21, 623 A.2d 6 (1993).</w:t>
      </w:r>
    </w:p>
    <w:p w:rsidR="00C42B6C" w:rsidRPr="00C42B6C" w:rsidRDefault="00C42B6C" w:rsidP="000925A4">
      <w:pPr>
        <w:pStyle w:val="ListParagraph"/>
        <w:spacing w:line="360" w:lineRule="auto"/>
        <w:rPr>
          <w:sz w:val="24"/>
          <w:szCs w:val="24"/>
        </w:rPr>
      </w:pPr>
    </w:p>
    <w:p w:rsidR="009649FC" w:rsidRDefault="009649FC" w:rsidP="00A470ED">
      <w:pPr>
        <w:spacing w:line="360" w:lineRule="auto"/>
        <w:jc w:val="center"/>
        <w:rPr>
          <w:sz w:val="24"/>
          <w:szCs w:val="24"/>
          <w:u w:val="single"/>
        </w:rPr>
      </w:pPr>
      <w:r w:rsidRPr="009649FC">
        <w:rPr>
          <w:sz w:val="24"/>
          <w:szCs w:val="24"/>
          <w:u w:val="single"/>
        </w:rPr>
        <w:t>ORDER</w:t>
      </w:r>
    </w:p>
    <w:p w:rsidR="00311AD2" w:rsidRDefault="00311AD2" w:rsidP="00311AD2">
      <w:pPr>
        <w:spacing w:line="360" w:lineRule="auto"/>
        <w:ind w:right="-36" w:firstLine="1440"/>
        <w:rPr>
          <w:sz w:val="24"/>
          <w:szCs w:val="24"/>
        </w:rPr>
      </w:pPr>
    </w:p>
    <w:p w:rsidR="002F59A3" w:rsidRPr="00311AD2" w:rsidRDefault="002F59A3" w:rsidP="00311AD2">
      <w:pPr>
        <w:spacing w:line="360" w:lineRule="auto"/>
        <w:ind w:right="-36" w:firstLine="1440"/>
        <w:rPr>
          <w:sz w:val="24"/>
          <w:szCs w:val="24"/>
        </w:rPr>
      </w:pPr>
    </w:p>
    <w:p w:rsidR="00DE562E" w:rsidRDefault="00DE562E" w:rsidP="00C21F78">
      <w:pPr>
        <w:spacing w:line="360" w:lineRule="auto"/>
        <w:ind w:firstLine="1440"/>
        <w:rPr>
          <w:b/>
          <w:sz w:val="24"/>
          <w:szCs w:val="24"/>
        </w:rPr>
      </w:pPr>
      <w:r w:rsidRPr="00DE562E">
        <w:rPr>
          <w:sz w:val="24"/>
          <w:szCs w:val="24"/>
        </w:rPr>
        <w:t>THEREFORE,</w:t>
      </w:r>
      <w:r w:rsidR="00FE6157">
        <w:rPr>
          <w:sz w:val="24"/>
          <w:szCs w:val="24"/>
        </w:rPr>
        <w:t xml:space="preserve"> </w:t>
      </w:r>
    </w:p>
    <w:p w:rsidR="00BB3104" w:rsidRPr="002B19D4" w:rsidRDefault="00BB3104" w:rsidP="00BB3104">
      <w:pPr>
        <w:spacing w:line="360" w:lineRule="auto"/>
        <w:rPr>
          <w:b/>
          <w:sz w:val="24"/>
          <w:szCs w:val="24"/>
        </w:rPr>
      </w:pPr>
    </w:p>
    <w:p w:rsidR="00DE562E" w:rsidRDefault="00DE562E" w:rsidP="0081696C">
      <w:pPr>
        <w:spacing w:line="360" w:lineRule="auto"/>
        <w:ind w:firstLine="1440"/>
        <w:outlineLvl w:val="0"/>
        <w:rPr>
          <w:sz w:val="24"/>
          <w:szCs w:val="24"/>
        </w:rPr>
      </w:pPr>
      <w:r w:rsidRPr="00DE562E">
        <w:rPr>
          <w:sz w:val="24"/>
          <w:szCs w:val="24"/>
        </w:rPr>
        <w:t>IT IS ORDERED:</w:t>
      </w:r>
      <w:r w:rsidR="006D4BB7" w:rsidRPr="00DD2411">
        <w:rPr>
          <w:sz w:val="24"/>
          <w:szCs w:val="24"/>
        </w:rPr>
        <w:t xml:space="preserve"> </w:t>
      </w:r>
    </w:p>
    <w:p w:rsidR="007F7C60" w:rsidRDefault="007F7C60" w:rsidP="0081696C">
      <w:pPr>
        <w:spacing w:line="360" w:lineRule="auto"/>
        <w:ind w:firstLine="1440"/>
        <w:outlineLvl w:val="0"/>
        <w:rPr>
          <w:sz w:val="24"/>
          <w:szCs w:val="24"/>
        </w:rPr>
      </w:pPr>
    </w:p>
    <w:p w:rsidR="007F7C60" w:rsidRDefault="007F7C60" w:rsidP="007F7C60">
      <w:pPr>
        <w:pStyle w:val="ListParagraph"/>
        <w:numPr>
          <w:ilvl w:val="0"/>
          <w:numId w:val="30"/>
        </w:numPr>
        <w:spacing w:line="360" w:lineRule="auto"/>
        <w:ind w:left="0" w:firstLine="1440"/>
        <w:outlineLvl w:val="0"/>
        <w:rPr>
          <w:sz w:val="24"/>
          <w:szCs w:val="24"/>
        </w:rPr>
      </w:pPr>
      <w:r>
        <w:rPr>
          <w:sz w:val="24"/>
          <w:szCs w:val="24"/>
        </w:rPr>
        <w:t>That the Preliminary Objection filed by PECO Energy Company at Docket No. C-2014-2444961 is granted.</w:t>
      </w:r>
    </w:p>
    <w:p w:rsidR="007F7C60" w:rsidRDefault="007F7C60" w:rsidP="007F7C60">
      <w:pPr>
        <w:pStyle w:val="ListParagraph"/>
        <w:spacing w:line="360" w:lineRule="auto"/>
        <w:ind w:left="1440"/>
        <w:outlineLvl w:val="0"/>
        <w:rPr>
          <w:sz w:val="24"/>
          <w:szCs w:val="24"/>
        </w:rPr>
      </w:pPr>
      <w:r>
        <w:rPr>
          <w:sz w:val="24"/>
          <w:szCs w:val="24"/>
        </w:rPr>
        <w:t xml:space="preserve"> </w:t>
      </w:r>
    </w:p>
    <w:p w:rsidR="007F7C60" w:rsidRDefault="007F7C60" w:rsidP="007F7C60">
      <w:pPr>
        <w:pStyle w:val="ListParagraph"/>
        <w:numPr>
          <w:ilvl w:val="0"/>
          <w:numId w:val="30"/>
        </w:numPr>
        <w:spacing w:line="360" w:lineRule="auto"/>
        <w:ind w:left="0" w:firstLine="1440"/>
        <w:outlineLvl w:val="0"/>
        <w:rPr>
          <w:sz w:val="24"/>
          <w:szCs w:val="24"/>
        </w:rPr>
      </w:pPr>
      <w:r>
        <w:rPr>
          <w:sz w:val="24"/>
          <w:szCs w:val="24"/>
        </w:rPr>
        <w:t xml:space="preserve">That the Formal Complaint of Margaret </w:t>
      </w:r>
      <w:r w:rsidR="00CD70FC">
        <w:rPr>
          <w:sz w:val="24"/>
          <w:szCs w:val="24"/>
        </w:rPr>
        <w:t xml:space="preserve">H. </w:t>
      </w:r>
      <w:r>
        <w:rPr>
          <w:sz w:val="24"/>
          <w:szCs w:val="24"/>
        </w:rPr>
        <w:t>Hager, M.D. is dismissed.</w:t>
      </w:r>
    </w:p>
    <w:p w:rsidR="007F7C60" w:rsidRPr="007F7C60" w:rsidRDefault="007F7C60" w:rsidP="000B1B19">
      <w:pPr>
        <w:pStyle w:val="ListParagraph"/>
        <w:spacing w:line="360" w:lineRule="auto"/>
        <w:rPr>
          <w:sz w:val="24"/>
          <w:szCs w:val="24"/>
        </w:rPr>
      </w:pPr>
    </w:p>
    <w:p w:rsidR="007F7C60" w:rsidRPr="007F7C60" w:rsidRDefault="007F7C60" w:rsidP="007F7C60">
      <w:pPr>
        <w:pStyle w:val="ListParagraph"/>
        <w:numPr>
          <w:ilvl w:val="0"/>
          <w:numId w:val="30"/>
        </w:numPr>
        <w:spacing w:line="360" w:lineRule="auto"/>
        <w:ind w:left="0" w:firstLine="1440"/>
        <w:outlineLvl w:val="0"/>
        <w:rPr>
          <w:sz w:val="24"/>
          <w:szCs w:val="24"/>
        </w:rPr>
      </w:pPr>
      <w:r>
        <w:rPr>
          <w:sz w:val="24"/>
          <w:szCs w:val="24"/>
        </w:rPr>
        <w:t>That the Secretary’s Bureau mark Docket No. C-2014-2444961 closed.</w:t>
      </w:r>
    </w:p>
    <w:p w:rsidR="00311AD2" w:rsidRDefault="00311AD2" w:rsidP="0081696C">
      <w:pPr>
        <w:spacing w:line="360" w:lineRule="auto"/>
        <w:ind w:firstLine="1440"/>
        <w:outlineLvl w:val="0"/>
        <w:rPr>
          <w:sz w:val="24"/>
          <w:szCs w:val="24"/>
        </w:rPr>
      </w:pPr>
    </w:p>
    <w:p w:rsidR="00BB3104" w:rsidRDefault="00BB3104" w:rsidP="00CE68C6">
      <w:pPr>
        <w:spacing w:line="360" w:lineRule="auto"/>
        <w:rPr>
          <w:sz w:val="24"/>
          <w:szCs w:val="24"/>
        </w:rPr>
      </w:pPr>
    </w:p>
    <w:p w:rsidR="00606713" w:rsidRDefault="00DE562E" w:rsidP="00606713">
      <w:r w:rsidRPr="00DE562E">
        <w:rPr>
          <w:sz w:val="24"/>
          <w:szCs w:val="24"/>
        </w:rPr>
        <w:t>Date:</w:t>
      </w:r>
      <w:r w:rsidR="000B1B19">
        <w:rPr>
          <w:sz w:val="24"/>
          <w:szCs w:val="24"/>
        </w:rPr>
        <w:t xml:space="preserve">  </w:t>
      </w:r>
      <w:r w:rsidR="007F7C60" w:rsidRPr="000B1B19">
        <w:rPr>
          <w:sz w:val="24"/>
          <w:szCs w:val="24"/>
          <w:u w:val="single"/>
        </w:rPr>
        <w:t>January 16, 2015</w:t>
      </w:r>
      <w:r w:rsidR="001F7F73">
        <w:rPr>
          <w:sz w:val="24"/>
          <w:szCs w:val="24"/>
        </w:rPr>
        <w:tab/>
      </w:r>
      <w:r w:rsidR="001F7F73">
        <w:rPr>
          <w:sz w:val="24"/>
          <w:szCs w:val="24"/>
        </w:rPr>
        <w:tab/>
      </w:r>
      <w:r w:rsidR="001F7F73">
        <w:rPr>
          <w:sz w:val="24"/>
          <w:szCs w:val="24"/>
        </w:rPr>
        <w:tab/>
      </w:r>
      <w:r w:rsidR="001F7F73">
        <w:rPr>
          <w:sz w:val="24"/>
          <w:szCs w:val="24"/>
        </w:rPr>
        <w:tab/>
      </w:r>
      <w:r w:rsidR="00606713">
        <w:rPr>
          <w:sz w:val="24"/>
          <w:szCs w:val="24"/>
        </w:rPr>
        <w:tab/>
      </w:r>
      <w:r w:rsidR="00606713">
        <w:rPr>
          <w:u w:val="single"/>
        </w:rPr>
        <w:tab/>
      </w:r>
      <w:r w:rsidR="00606713">
        <w:rPr>
          <w:u w:val="single"/>
        </w:rPr>
        <w:tab/>
      </w:r>
      <w:r w:rsidR="00606713" w:rsidRPr="00606713">
        <w:rPr>
          <w:sz w:val="24"/>
          <w:szCs w:val="24"/>
          <w:u w:val="single"/>
        </w:rPr>
        <w:t>/s/</w:t>
      </w:r>
      <w:r w:rsidR="00606713" w:rsidRPr="00606713">
        <w:rPr>
          <w:sz w:val="24"/>
          <w:szCs w:val="24"/>
          <w:u w:val="single"/>
        </w:rPr>
        <w:tab/>
      </w:r>
      <w:r w:rsidR="00606713">
        <w:rPr>
          <w:u w:val="single"/>
        </w:rPr>
        <w:tab/>
      </w:r>
      <w:r w:rsidR="00606713">
        <w:rPr>
          <w:u w:val="single"/>
        </w:rPr>
        <w:tab/>
      </w:r>
    </w:p>
    <w:p w:rsidR="00DE562E" w:rsidRPr="00DE562E" w:rsidRDefault="001F7F73" w:rsidP="00DE562E">
      <w:pPr>
        <w:jc w:val="both"/>
        <w:rPr>
          <w:sz w:val="24"/>
          <w:szCs w:val="24"/>
        </w:rPr>
      </w:pPr>
      <w:r>
        <w:rPr>
          <w:sz w:val="24"/>
          <w:szCs w:val="24"/>
        </w:rPr>
        <w:tab/>
      </w:r>
      <w:r>
        <w:rPr>
          <w:sz w:val="24"/>
          <w:szCs w:val="24"/>
        </w:rPr>
        <w:tab/>
      </w:r>
      <w:r w:rsidR="00C21F78">
        <w:rPr>
          <w:b/>
          <w:sz w:val="24"/>
          <w:szCs w:val="24"/>
        </w:rPr>
        <w:tab/>
      </w:r>
      <w:r w:rsidR="00DE562E" w:rsidRPr="00DE562E">
        <w:rPr>
          <w:sz w:val="24"/>
          <w:szCs w:val="24"/>
        </w:rPr>
        <w:tab/>
      </w:r>
      <w:r w:rsidR="00DE562E" w:rsidRPr="00DE562E">
        <w:rPr>
          <w:sz w:val="24"/>
          <w:szCs w:val="24"/>
        </w:rPr>
        <w:tab/>
      </w:r>
      <w:r w:rsidR="007114E7">
        <w:rPr>
          <w:sz w:val="24"/>
          <w:szCs w:val="24"/>
        </w:rPr>
        <w:tab/>
      </w:r>
      <w:r w:rsidR="007114E7">
        <w:rPr>
          <w:sz w:val="24"/>
          <w:szCs w:val="24"/>
        </w:rPr>
        <w:tab/>
      </w:r>
      <w:r w:rsidR="00606713">
        <w:rPr>
          <w:sz w:val="24"/>
          <w:szCs w:val="24"/>
        </w:rPr>
        <w:tab/>
      </w:r>
      <w:r>
        <w:rPr>
          <w:sz w:val="24"/>
          <w:szCs w:val="24"/>
        </w:rPr>
        <w:t>Ember S. Jandebeur</w:t>
      </w:r>
    </w:p>
    <w:p w:rsidR="00D671F6" w:rsidRDefault="00DE562E" w:rsidP="00DD2411">
      <w:pPr>
        <w:jc w:val="both"/>
        <w:rPr>
          <w:sz w:val="24"/>
          <w:szCs w:val="24"/>
        </w:rPr>
      </w:pPr>
      <w:r w:rsidRPr="00DE562E">
        <w:rPr>
          <w:sz w:val="24"/>
          <w:szCs w:val="24"/>
        </w:rPr>
        <w:tab/>
      </w:r>
      <w:r w:rsidRPr="00DE562E">
        <w:rPr>
          <w:sz w:val="24"/>
          <w:szCs w:val="24"/>
        </w:rPr>
        <w:tab/>
      </w:r>
      <w:r w:rsidRPr="00DE562E">
        <w:rPr>
          <w:sz w:val="24"/>
          <w:szCs w:val="24"/>
        </w:rPr>
        <w:tab/>
      </w:r>
      <w:r w:rsidRPr="00DE562E">
        <w:rPr>
          <w:sz w:val="24"/>
          <w:szCs w:val="24"/>
        </w:rPr>
        <w:tab/>
      </w:r>
      <w:r w:rsidRPr="00DE562E">
        <w:rPr>
          <w:sz w:val="24"/>
          <w:szCs w:val="24"/>
        </w:rPr>
        <w:tab/>
      </w:r>
      <w:r w:rsidR="007114E7">
        <w:rPr>
          <w:sz w:val="24"/>
          <w:szCs w:val="24"/>
        </w:rPr>
        <w:tab/>
      </w:r>
      <w:r w:rsidR="007114E7">
        <w:rPr>
          <w:sz w:val="24"/>
          <w:szCs w:val="24"/>
        </w:rPr>
        <w:tab/>
      </w:r>
      <w:r w:rsidR="00606713">
        <w:rPr>
          <w:sz w:val="24"/>
          <w:szCs w:val="24"/>
        </w:rPr>
        <w:tab/>
      </w:r>
      <w:r w:rsidRPr="00DE562E">
        <w:rPr>
          <w:sz w:val="24"/>
          <w:szCs w:val="24"/>
        </w:rPr>
        <w:t>Administrative Law Judge</w:t>
      </w:r>
    </w:p>
    <w:p w:rsidR="00D671F6" w:rsidRDefault="00D671F6">
      <w:pPr>
        <w:rPr>
          <w:sz w:val="24"/>
          <w:szCs w:val="24"/>
        </w:rPr>
      </w:pPr>
    </w:p>
    <w:sectPr w:rsidR="00D671F6" w:rsidSect="00F450D4">
      <w:pgSz w:w="12240" w:h="15840" w:code="1"/>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D27" w:rsidRDefault="00571D27">
      <w:r>
        <w:separator/>
      </w:r>
    </w:p>
  </w:endnote>
  <w:endnote w:type="continuationSeparator" w:id="0">
    <w:p w:rsidR="00571D27" w:rsidRDefault="00571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28114B" w:rsidRDefault="005D4D0C"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00223E7E" w:rsidRPr="0028114B">
      <w:rPr>
        <w:rStyle w:val="PageNumber"/>
        <w:sz w:val="20"/>
        <w:szCs w:val="20"/>
      </w:rPr>
      <w:instrText xml:space="preserve">PAGE  </w:instrText>
    </w:r>
    <w:r w:rsidRPr="0028114B">
      <w:rPr>
        <w:rStyle w:val="PageNumber"/>
        <w:sz w:val="20"/>
        <w:szCs w:val="20"/>
      </w:rPr>
      <w:fldChar w:fldCharType="separate"/>
    </w:r>
    <w:r w:rsidR="0097141C">
      <w:rPr>
        <w:rStyle w:val="PageNumber"/>
        <w:noProof/>
        <w:sz w:val="20"/>
        <w:szCs w:val="20"/>
      </w:rPr>
      <w:t>5</w:t>
    </w:r>
    <w:r w:rsidRPr="0028114B">
      <w:rPr>
        <w:rStyle w:val="PageNumber"/>
        <w:sz w:val="20"/>
        <w:szCs w:val="20"/>
      </w:rPr>
      <w:fldChar w:fldCharType="end"/>
    </w:r>
  </w:p>
  <w:p w:rsidR="00223E7E" w:rsidRDefault="00223E7E" w:rsidP="000A001F">
    <w:pPr>
      <w:pStyle w:val="Footer"/>
      <w:jc w:val="right"/>
      <w:rPr>
        <w:rStyle w:val="PageNumbe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446915"/>
      <w:docPartObj>
        <w:docPartGallery w:val="Page Numbers (Bottom of Page)"/>
        <w:docPartUnique/>
      </w:docPartObj>
    </w:sdtPr>
    <w:sdtEndPr>
      <w:rPr>
        <w:noProof/>
        <w:sz w:val="20"/>
        <w:szCs w:val="20"/>
      </w:rPr>
    </w:sdtEndPr>
    <w:sdtContent>
      <w:p w:rsidR="00F450D4" w:rsidRPr="00F450D4" w:rsidRDefault="00F450D4">
        <w:pPr>
          <w:pStyle w:val="Footer"/>
          <w:jc w:val="center"/>
          <w:rPr>
            <w:sz w:val="20"/>
            <w:szCs w:val="20"/>
          </w:rPr>
        </w:pPr>
        <w:r w:rsidRPr="00F450D4">
          <w:rPr>
            <w:sz w:val="20"/>
            <w:szCs w:val="20"/>
          </w:rPr>
          <w:fldChar w:fldCharType="begin"/>
        </w:r>
        <w:r w:rsidRPr="00F450D4">
          <w:rPr>
            <w:sz w:val="20"/>
            <w:szCs w:val="20"/>
          </w:rPr>
          <w:instrText xml:space="preserve"> PAGE   \* MERGEFORMAT </w:instrText>
        </w:r>
        <w:r w:rsidRPr="00F450D4">
          <w:rPr>
            <w:sz w:val="20"/>
            <w:szCs w:val="20"/>
          </w:rPr>
          <w:fldChar w:fldCharType="separate"/>
        </w:r>
        <w:r w:rsidR="0097141C">
          <w:rPr>
            <w:noProof/>
            <w:sz w:val="20"/>
            <w:szCs w:val="20"/>
          </w:rPr>
          <w:t>3</w:t>
        </w:r>
        <w:r w:rsidRPr="00F450D4">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D27" w:rsidRDefault="00571D27">
      <w:r>
        <w:separator/>
      </w:r>
    </w:p>
  </w:footnote>
  <w:footnote w:type="continuationSeparator" w:id="0">
    <w:p w:rsidR="00571D27" w:rsidRDefault="00571D27">
      <w:r>
        <w:continuationSeparator/>
      </w:r>
    </w:p>
  </w:footnote>
  <w:footnote w:id="1">
    <w:p w:rsidR="00D14005" w:rsidRDefault="00D14005" w:rsidP="00F450D4">
      <w:pPr>
        <w:pStyle w:val="FootnoteText"/>
      </w:pPr>
      <w:r>
        <w:rPr>
          <w:rStyle w:val="FootnoteReference"/>
        </w:rPr>
        <w:footnoteRef/>
      </w:r>
      <w:r>
        <w:t xml:space="preserve"> The Notice to Plead contained an incorrect citation and incorrect time block by which Complainant had to respond.</w:t>
      </w:r>
    </w:p>
    <w:p w:rsidR="001F37DD" w:rsidRDefault="001F37DD" w:rsidP="00F450D4">
      <w:pPr>
        <w:pStyle w:val="FootnoteText"/>
      </w:pPr>
    </w:p>
  </w:footnote>
  <w:footnote w:id="2">
    <w:p w:rsidR="00777588" w:rsidRDefault="00777588" w:rsidP="00F450D4">
      <w:pPr>
        <w:pStyle w:val="FootnoteText"/>
      </w:pPr>
      <w:r>
        <w:rPr>
          <w:rStyle w:val="FootnoteReference"/>
        </w:rPr>
        <w:footnoteRef/>
      </w:r>
      <w:r>
        <w:t xml:space="preserve"> The Notice to Plead contained an incorrect citation and incorrect time block by which Complainant had to respond.</w:t>
      </w:r>
    </w:p>
    <w:p w:rsidR="00777588" w:rsidRDefault="00777588" w:rsidP="00777588">
      <w:pPr>
        <w:pStyle w:val="FootnoteText"/>
      </w:pPr>
    </w:p>
    <w:p w:rsidR="00777588" w:rsidRDefault="00777588">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A0B1D"/>
    <w:multiLevelType w:val="hybridMultilevel"/>
    <w:tmpl w:val="045A529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116571BB"/>
    <w:multiLevelType w:val="hybridMultilevel"/>
    <w:tmpl w:val="BFD24F9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16D34DB9"/>
    <w:multiLevelType w:val="hybridMultilevel"/>
    <w:tmpl w:val="F6C48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F522BB"/>
    <w:multiLevelType w:val="hybridMultilevel"/>
    <w:tmpl w:val="0F42AE2E"/>
    <w:lvl w:ilvl="0" w:tplc="8C041C26">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nsid w:val="37BC70D1"/>
    <w:multiLevelType w:val="hybridMultilevel"/>
    <w:tmpl w:val="3E12A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066D07"/>
    <w:multiLevelType w:val="hybridMultilevel"/>
    <w:tmpl w:val="05249E4E"/>
    <w:lvl w:ilvl="0" w:tplc="DC5066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nsid w:val="41412D37"/>
    <w:multiLevelType w:val="hybridMultilevel"/>
    <w:tmpl w:val="AFD4D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835C25"/>
    <w:multiLevelType w:val="hybridMultilevel"/>
    <w:tmpl w:val="87D68DE4"/>
    <w:lvl w:ilvl="0" w:tplc="4A3C5C98">
      <w:start w:val="1"/>
      <w:numFmt w:val="lowerLetter"/>
      <w:lvlText w:val="(%1)"/>
      <w:lvlJc w:val="left"/>
      <w:pPr>
        <w:ind w:left="894" w:hanging="444"/>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21">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2B82C7A"/>
    <w:multiLevelType w:val="hybridMultilevel"/>
    <w:tmpl w:val="D30299A8"/>
    <w:lvl w:ilvl="0" w:tplc="3BBE592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nsid w:val="704B361A"/>
    <w:multiLevelType w:val="hybridMultilevel"/>
    <w:tmpl w:val="9C029DE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72644860"/>
    <w:multiLevelType w:val="hybridMultilevel"/>
    <w:tmpl w:val="AA2CD5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9">
    <w:nsid w:val="7889787C"/>
    <w:multiLevelType w:val="hybridMultilevel"/>
    <w:tmpl w:val="555AE3FE"/>
    <w:lvl w:ilvl="0" w:tplc="DC506610">
      <w:start w:val="1"/>
      <w:numFmt w:val="decimal"/>
      <w:lvlText w:val="%1."/>
      <w:lvlJc w:val="left"/>
      <w:pPr>
        <w:ind w:left="5040" w:hanging="2160"/>
      </w:pPr>
      <w:rPr>
        <w:rFonts w:hint="default"/>
      </w:rPr>
    </w:lvl>
    <w:lvl w:ilvl="1" w:tplc="04090019" w:tentative="1">
      <w:start w:val="1"/>
      <w:numFmt w:val="lowerLetter"/>
      <w:lvlText w:val="%2."/>
      <w:lvlJc w:val="left"/>
      <w:pPr>
        <w:ind w:left="2880" w:hanging="360"/>
      </w:pPr>
    </w:lvl>
    <w:lvl w:ilvl="2" w:tplc="DA3CCC9E">
      <w:start w:val="1"/>
      <w:numFmt w:val="decimal"/>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24"/>
  </w:num>
  <w:num w:numId="3">
    <w:abstractNumId w:val="20"/>
  </w:num>
  <w:num w:numId="4">
    <w:abstractNumId w:val="3"/>
  </w:num>
  <w:num w:numId="5">
    <w:abstractNumId w:val="15"/>
  </w:num>
  <w:num w:numId="6">
    <w:abstractNumId w:val="10"/>
  </w:num>
  <w:num w:numId="7">
    <w:abstractNumId w:val="8"/>
  </w:num>
  <w:num w:numId="8">
    <w:abstractNumId w:val="1"/>
  </w:num>
  <w:num w:numId="9">
    <w:abstractNumId w:val="16"/>
  </w:num>
  <w:num w:numId="10">
    <w:abstractNumId w:val="21"/>
  </w:num>
  <w:num w:numId="11">
    <w:abstractNumId w:val="19"/>
  </w:num>
  <w:num w:numId="12">
    <w:abstractNumId w:val="30"/>
  </w:num>
  <w:num w:numId="13">
    <w:abstractNumId w:val="2"/>
  </w:num>
  <w:num w:numId="14">
    <w:abstractNumId w:val="9"/>
  </w:num>
  <w:num w:numId="15">
    <w:abstractNumId w:val="25"/>
  </w:num>
  <w:num w:numId="16">
    <w:abstractNumId w:val="28"/>
  </w:num>
  <w:num w:numId="17">
    <w:abstractNumId w:val="11"/>
  </w:num>
  <w:num w:numId="18">
    <w:abstractNumId w:val="5"/>
  </w:num>
  <w:num w:numId="19">
    <w:abstractNumId w:val="23"/>
  </w:num>
  <w:num w:numId="20">
    <w:abstractNumId w:val="4"/>
  </w:num>
  <w:num w:numId="21">
    <w:abstractNumId w:val="6"/>
  </w:num>
  <w:num w:numId="22">
    <w:abstractNumId w:val="13"/>
  </w:num>
  <w:num w:numId="23">
    <w:abstractNumId w:val="14"/>
  </w:num>
  <w:num w:numId="24">
    <w:abstractNumId w:val="29"/>
  </w:num>
  <w:num w:numId="25">
    <w:abstractNumId w:val="27"/>
  </w:num>
  <w:num w:numId="26">
    <w:abstractNumId w:val="17"/>
  </w:num>
  <w:num w:numId="27">
    <w:abstractNumId w:val="22"/>
  </w:num>
  <w:num w:numId="28">
    <w:abstractNumId w:val="0"/>
  </w:num>
  <w:num w:numId="29">
    <w:abstractNumId w:val="26"/>
  </w:num>
  <w:num w:numId="30">
    <w:abstractNumId w:val="7"/>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03ED9"/>
    <w:rsid w:val="00020AB1"/>
    <w:rsid w:val="00022997"/>
    <w:rsid w:val="00022D67"/>
    <w:rsid w:val="0002512E"/>
    <w:rsid w:val="00034A86"/>
    <w:rsid w:val="00035C05"/>
    <w:rsid w:val="00035E78"/>
    <w:rsid w:val="000376EF"/>
    <w:rsid w:val="00042626"/>
    <w:rsid w:val="00055A89"/>
    <w:rsid w:val="000573C2"/>
    <w:rsid w:val="00064F92"/>
    <w:rsid w:val="0006610A"/>
    <w:rsid w:val="0006622C"/>
    <w:rsid w:val="00070E25"/>
    <w:rsid w:val="0007126E"/>
    <w:rsid w:val="000728A4"/>
    <w:rsid w:val="00075A22"/>
    <w:rsid w:val="00082976"/>
    <w:rsid w:val="00091672"/>
    <w:rsid w:val="00091CE2"/>
    <w:rsid w:val="000925A4"/>
    <w:rsid w:val="00093DB9"/>
    <w:rsid w:val="000967DB"/>
    <w:rsid w:val="000A001F"/>
    <w:rsid w:val="000A1CB9"/>
    <w:rsid w:val="000A20A3"/>
    <w:rsid w:val="000A3674"/>
    <w:rsid w:val="000B1B19"/>
    <w:rsid w:val="000B5F6A"/>
    <w:rsid w:val="000C5828"/>
    <w:rsid w:val="000C6F32"/>
    <w:rsid w:val="000D2CE8"/>
    <w:rsid w:val="000D308B"/>
    <w:rsid w:val="000E0BD8"/>
    <w:rsid w:val="000E277A"/>
    <w:rsid w:val="000E2934"/>
    <w:rsid w:val="000E6B17"/>
    <w:rsid w:val="000F0833"/>
    <w:rsid w:val="000F1894"/>
    <w:rsid w:val="000F1F62"/>
    <w:rsid w:val="000F2F0A"/>
    <w:rsid w:val="000F6118"/>
    <w:rsid w:val="0010177F"/>
    <w:rsid w:val="001027AA"/>
    <w:rsid w:val="00110C23"/>
    <w:rsid w:val="00111EA9"/>
    <w:rsid w:val="001122A9"/>
    <w:rsid w:val="001155B6"/>
    <w:rsid w:val="00116136"/>
    <w:rsid w:val="00125871"/>
    <w:rsid w:val="00126207"/>
    <w:rsid w:val="001312A6"/>
    <w:rsid w:val="00134E8D"/>
    <w:rsid w:val="001404C5"/>
    <w:rsid w:val="00141DF5"/>
    <w:rsid w:val="00143C49"/>
    <w:rsid w:val="00144488"/>
    <w:rsid w:val="00147DEE"/>
    <w:rsid w:val="00152C6B"/>
    <w:rsid w:val="0015646C"/>
    <w:rsid w:val="001620CA"/>
    <w:rsid w:val="00162898"/>
    <w:rsid w:val="00176F82"/>
    <w:rsid w:val="0018160C"/>
    <w:rsid w:val="00187B87"/>
    <w:rsid w:val="00192512"/>
    <w:rsid w:val="001930DE"/>
    <w:rsid w:val="00193B6C"/>
    <w:rsid w:val="001A4CC0"/>
    <w:rsid w:val="001A721E"/>
    <w:rsid w:val="001B123C"/>
    <w:rsid w:val="001B3235"/>
    <w:rsid w:val="001C20B7"/>
    <w:rsid w:val="001C715B"/>
    <w:rsid w:val="001D3206"/>
    <w:rsid w:val="001D628C"/>
    <w:rsid w:val="001D6FCF"/>
    <w:rsid w:val="001E4FAC"/>
    <w:rsid w:val="001F0787"/>
    <w:rsid w:val="001F08B4"/>
    <w:rsid w:val="001F2116"/>
    <w:rsid w:val="001F37DD"/>
    <w:rsid w:val="001F6FC1"/>
    <w:rsid w:val="001F7F73"/>
    <w:rsid w:val="0020095D"/>
    <w:rsid w:val="002061B9"/>
    <w:rsid w:val="00215221"/>
    <w:rsid w:val="00220C5E"/>
    <w:rsid w:val="00223E7E"/>
    <w:rsid w:val="00234619"/>
    <w:rsid w:val="0023520D"/>
    <w:rsid w:val="00235C44"/>
    <w:rsid w:val="00236FF7"/>
    <w:rsid w:val="002416AB"/>
    <w:rsid w:val="0024496F"/>
    <w:rsid w:val="00244D86"/>
    <w:rsid w:val="00251D19"/>
    <w:rsid w:val="0025370D"/>
    <w:rsid w:val="00260D19"/>
    <w:rsid w:val="002732DC"/>
    <w:rsid w:val="0028114B"/>
    <w:rsid w:val="0028185A"/>
    <w:rsid w:val="00290918"/>
    <w:rsid w:val="002919C6"/>
    <w:rsid w:val="00293557"/>
    <w:rsid w:val="002959E3"/>
    <w:rsid w:val="002A7C1C"/>
    <w:rsid w:val="002B19D4"/>
    <w:rsid w:val="002B3489"/>
    <w:rsid w:val="002B4EAE"/>
    <w:rsid w:val="002C3FDE"/>
    <w:rsid w:val="002C486F"/>
    <w:rsid w:val="002D13C5"/>
    <w:rsid w:val="002D554B"/>
    <w:rsid w:val="002E0985"/>
    <w:rsid w:val="002F59A3"/>
    <w:rsid w:val="002F66F9"/>
    <w:rsid w:val="002F6BC1"/>
    <w:rsid w:val="00300A0A"/>
    <w:rsid w:val="00300CB7"/>
    <w:rsid w:val="00300F91"/>
    <w:rsid w:val="0030207C"/>
    <w:rsid w:val="00306B0D"/>
    <w:rsid w:val="00311AD2"/>
    <w:rsid w:val="003129F7"/>
    <w:rsid w:val="00312E1C"/>
    <w:rsid w:val="00316282"/>
    <w:rsid w:val="00317B5C"/>
    <w:rsid w:val="00323AAE"/>
    <w:rsid w:val="00324F3E"/>
    <w:rsid w:val="0033043C"/>
    <w:rsid w:val="0033647C"/>
    <w:rsid w:val="00337C53"/>
    <w:rsid w:val="00340AB8"/>
    <w:rsid w:val="003421E0"/>
    <w:rsid w:val="0034312D"/>
    <w:rsid w:val="00346E30"/>
    <w:rsid w:val="003539D2"/>
    <w:rsid w:val="00354E6F"/>
    <w:rsid w:val="0035737A"/>
    <w:rsid w:val="003657A8"/>
    <w:rsid w:val="00380450"/>
    <w:rsid w:val="00380AD7"/>
    <w:rsid w:val="00382B1A"/>
    <w:rsid w:val="003857DF"/>
    <w:rsid w:val="00386CDC"/>
    <w:rsid w:val="00387318"/>
    <w:rsid w:val="00392382"/>
    <w:rsid w:val="00394493"/>
    <w:rsid w:val="00395230"/>
    <w:rsid w:val="003959AC"/>
    <w:rsid w:val="00395E03"/>
    <w:rsid w:val="00396DE1"/>
    <w:rsid w:val="003A167D"/>
    <w:rsid w:val="003B715B"/>
    <w:rsid w:val="003C050F"/>
    <w:rsid w:val="003C0716"/>
    <w:rsid w:val="003C31D8"/>
    <w:rsid w:val="003C3664"/>
    <w:rsid w:val="003C7143"/>
    <w:rsid w:val="003D139F"/>
    <w:rsid w:val="003D15FA"/>
    <w:rsid w:val="003D7EC6"/>
    <w:rsid w:val="003E292B"/>
    <w:rsid w:val="003E594B"/>
    <w:rsid w:val="003F5796"/>
    <w:rsid w:val="003F5965"/>
    <w:rsid w:val="003F69BF"/>
    <w:rsid w:val="00402359"/>
    <w:rsid w:val="004064A8"/>
    <w:rsid w:val="004107FD"/>
    <w:rsid w:val="00417087"/>
    <w:rsid w:val="0042160A"/>
    <w:rsid w:val="0042193A"/>
    <w:rsid w:val="00422E29"/>
    <w:rsid w:val="00424A76"/>
    <w:rsid w:val="00427E73"/>
    <w:rsid w:val="004312BE"/>
    <w:rsid w:val="00431BEF"/>
    <w:rsid w:val="00442854"/>
    <w:rsid w:val="0046339D"/>
    <w:rsid w:val="00476C8A"/>
    <w:rsid w:val="00486535"/>
    <w:rsid w:val="00490174"/>
    <w:rsid w:val="004917C1"/>
    <w:rsid w:val="00491C99"/>
    <w:rsid w:val="00495450"/>
    <w:rsid w:val="00495B88"/>
    <w:rsid w:val="004A1805"/>
    <w:rsid w:val="004A5AD6"/>
    <w:rsid w:val="004A71A7"/>
    <w:rsid w:val="004C3EFA"/>
    <w:rsid w:val="004D1B54"/>
    <w:rsid w:val="004D3108"/>
    <w:rsid w:val="004D46FD"/>
    <w:rsid w:val="004D65F3"/>
    <w:rsid w:val="004E187E"/>
    <w:rsid w:val="004E20CB"/>
    <w:rsid w:val="004E2912"/>
    <w:rsid w:val="004E533F"/>
    <w:rsid w:val="004F2D3D"/>
    <w:rsid w:val="005032B5"/>
    <w:rsid w:val="00515937"/>
    <w:rsid w:val="00517AD1"/>
    <w:rsid w:val="00523780"/>
    <w:rsid w:val="00526B2A"/>
    <w:rsid w:val="00530D1B"/>
    <w:rsid w:val="00531226"/>
    <w:rsid w:val="00531409"/>
    <w:rsid w:val="00535DF7"/>
    <w:rsid w:val="00542107"/>
    <w:rsid w:val="00553EEB"/>
    <w:rsid w:val="00564C41"/>
    <w:rsid w:val="0056706A"/>
    <w:rsid w:val="00571D27"/>
    <w:rsid w:val="00582896"/>
    <w:rsid w:val="00584798"/>
    <w:rsid w:val="0059070D"/>
    <w:rsid w:val="00592C86"/>
    <w:rsid w:val="005A33D0"/>
    <w:rsid w:val="005B13B6"/>
    <w:rsid w:val="005B250B"/>
    <w:rsid w:val="005B3C00"/>
    <w:rsid w:val="005B6749"/>
    <w:rsid w:val="005B7834"/>
    <w:rsid w:val="005C28EC"/>
    <w:rsid w:val="005C76EB"/>
    <w:rsid w:val="005D19C4"/>
    <w:rsid w:val="005D2DEE"/>
    <w:rsid w:val="005D381E"/>
    <w:rsid w:val="005D4D0C"/>
    <w:rsid w:val="005E2068"/>
    <w:rsid w:val="005E3007"/>
    <w:rsid w:val="005E6321"/>
    <w:rsid w:val="005E6C27"/>
    <w:rsid w:val="005F17F5"/>
    <w:rsid w:val="005F38EC"/>
    <w:rsid w:val="005F3B50"/>
    <w:rsid w:val="005F452A"/>
    <w:rsid w:val="006034D3"/>
    <w:rsid w:val="00606713"/>
    <w:rsid w:val="0062087D"/>
    <w:rsid w:val="006215E0"/>
    <w:rsid w:val="006306EB"/>
    <w:rsid w:val="00634A5C"/>
    <w:rsid w:val="006352B9"/>
    <w:rsid w:val="00641596"/>
    <w:rsid w:val="0064329B"/>
    <w:rsid w:val="006441F5"/>
    <w:rsid w:val="00644E60"/>
    <w:rsid w:val="00645B55"/>
    <w:rsid w:val="00652C21"/>
    <w:rsid w:val="0065668F"/>
    <w:rsid w:val="0066237B"/>
    <w:rsid w:val="006656FC"/>
    <w:rsid w:val="00675607"/>
    <w:rsid w:val="00675986"/>
    <w:rsid w:val="00695694"/>
    <w:rsid w:val="006A21C2"/>
    <w:rsid w:val="006A3B47"/>
    <w:rsid w:val="006A7A0A"/>
    <w:rsid w:val="006B1DDB"/>
    <w:rsid w:val="006C1047"/>
    <w:rsid w:val="006C2CC2"/>
    <w:rsid w:val="006C3226"/>
    <w:rsid w:val="006D4BB7"/>
    <w:rsid w:val="006D75BD"/>
    <w:rsid w:val="006E03A4"/>
    <w:rsid w:val="006E4407"/>
    <w:rsid w:val="006F44F9"/>
    <w:rsid w:val="007015FC"/>
    <w:rsid w:val="007114E7"/>
    <w:rsid w:val="0071588F"/>
    <w:rsid w:val="007237B2"/>
    <w:rsid w:val="0073239A"/>
    <w:rsid w:val="0073727C"/>
    <w:rsid w:val="00744AF3"/>
    <w:rsid w:val="00747E56"/>
    <w:rsid w:val="00751672"/>
    <w:rsid w:val="0075510C"/>
    <w:rsid w:val="00766C8E"/>
    <w:rsid w:val="0077255F"/>
    <w:rsid w:val="00775593"/>
    <w:rsid w:val="00777588"/>
    <w:rsid w:val="00782A08"/>
    <w:rsid w:val="00786153"/>
    <w:rsid w:val="00790EF3"/>
    <w:rsid w:val="00791ABB"/>
    <w:rsid w:val="00792C70"/>
    <w:rsid w:val="007965B0"/>
    <w:rsid w:val="007A49B5"/>
    <w:rsid w:val="007B1672"/>
    <w:rsid w:val="007B1D2D"/>
    <w:rsid w:val="007B257D"/>
    <w:rsid w:val="007B46F9"/>
    <w:rsid w:val="007B6CFE"/>
    <w:rsid w:val="007C36CE"/>
    <w:rsid w:val="007C74E3"/>
    <w:rsid w:val="007D3E3E"/>
    <w:rsid w:val="007D6063"/>
    <w:rsid w:val="007E09E5"/>
    <w:rsid w:val="007E31DB"/>
    <w:rsid w:val="007E7871"/>
    <w:rsid w:val="007F7C60"/>
    <w:rsid w:val="00801C05"/>
    <w:rsid w:val="00801DEE"/>
    <w:rsid w:val="00803141"/>
    <w:rsid w:val="0081070B"/>
    <w:rsid w:val="008142EB"/>
    <w:rsid w:val="0081669B"/>
    <w:rsid w:val="0081696C"/>
    <w:rsid w:val="008228F3"/>
    <w:rsid w:val="00823F91"/>
    <w:rsid w:val="00824683"/>
    <w:rsid w:val="008354C5"/>
    <w:rsid w:val="0083691D"/>
    <w:rsid w:val="00840FD3"/>
    <w:rsid w:val="00841779"/>
    <w:rsid w:val="008506A0"/>
    <w:rsid w:val="00851A4F"/>
    <w:rsid w:val="0086288E"/>
    <w:rsid w:val="00866264"/>
    <w:rsid w:val="008663C0"/>
    <w:rsid w:val="008746E1"/>
    <w:rsid w:val="0087572C"/>
    <w:rsid w:val="008803F7"/>
    <w:rsid w:val="00881C76"/>
    <w:rsid w:val="0088763C"/>
    <w:rsid w:val="00893B0E"/>
    <w:rsid w:val="00893F0B"/>
    <w:rsid w:val="00894839"/>
    <w:rsid w:val="0089761B"/>
    <w:rsid w:val="008A0235"/>
    <w:rsid w:val="008A60E2"/>
    <w:rsid w:val="008B1A8B"/>
    <w:rsid w:val="008B282A"/>
    <w:rsid w:val="008B2B8B"/>
    <w:rsid w:val="008D43B6"/>
    <w:rsid w:val="008D6D09"/>
    <w:rsid w:val="008D761F"/>
    <w:rsid w:val="008E3BE1"/>
    <w:rsid w:val="008E5A53"/>
    <w:rsid w:val="008F013A"/>
    <w:rsid w:val="008F22F9"/>
    <w:rsid w:val="008F554F"/>
    <w:rsid w:val="008F6AC3"/>
    <w:rsid w:val="00904788"/>
    <w:rsid w:val="009077E3"/>
    <w:rsid w:val="00910EF2"/>
    <w:rsid w:val="00913B17"/>
    <w:rsid w:val="0091566D"/>
    <w:rsid w:val="009166DD"/>
    <w:rsid w:val="0091672D"/>
    <w:rsid w:val="00922FE6"/>
    <w:rsid w:val="009342E4"/>
    <w:rsid w:val="009445E9"/>
    <w:rsid w:val="009634B4"/>
    <w:rsid w:val="009643E3"/>
    <w:rsid w:val="009649FC"/>
    <w:rsid w:val="00965F82"/>
    <w:rsid w:val="0097141C"/>
    <w:rsid w:val="0098237A"/>
    <w:rsid w:val="00982B8E"/>
    <w:rsid w:val="009830C8"/>
    <w:rsid w:val="00983B9A"/>
    <w:rsid w:val="009870EF"/>
    <w:rsid w:val="009877CF"/>
    <w:rsid w:val="00987B98"/>
    <w:rsid w:val="00995E0A"/>
    <w:rsid w:val="009A475D"/>
    <w:rsid w:val="009A5C49"/>
    <w:rsid w:val="009B1C06"/>
    <w:rsid w:val="009C22D0"/>
    <w:rsid w:val="009D5A08"/>
    <w:rsid w:val="009E0270"/>
    <w:rsid w:val="009E69A1"/>
    <w:rsid w:val="009F24FB"/>
    <w:rsid w:val="009F4939"/>
    <w:rsid w:val="009F620C"/>
    <w:rsid w:val="009F7BD8"/>
    <w:rsid w:val="00A022C7"/>
    <w:rsid w:val="00A02D20"/>
    <w:rsid w:val="00A0627A"/>
    <w:rsid w:val="00A12991"/>
    <w:rsid w:val="00A22653"/>
    <w:rsid w:val="00A23BC5"/>
    <w:rsid w:val="00A24F45"/>
    <w:rsid w:val="00A26DA2"/>
    <w:rsid w:val="00A345AE"/>
    <w:rsid w:val="00A409B8"/>
    <w:rsid w:val="00A4383B"/>
    <w:rsid w:val="00A470ED"/>
    <w:rsid w:val="00A475EE"/>
    <w:rsid w:val="00A523A9"/>
    <w:rsid w:val="00A52E9C"/>
    <w:rsid w:val="00A67786"/>
    <w:rsid w:val="00A67C1E"/>
    <w:rsid w:val="00A7050E"/>
    <w:rsid w:val="00A761ED"/>
    <w:rsid w:val="00A76B1D"/>
    <w:rsid w:val="00A77258"/>
    <w:rsid w:val="00A864C6"/>
    <w:rsid w:val="00A86505"/>
    <w:rsid w:val="00AA00A9"/>
    <w:rsid w:val="00AA0438"/>
    <w:rsid w:val="00AA1DE2"/>
    <w:rsid w:val="00AA38E2"/>
    <w:rsid w:val="00AA6434"/>
    <w:rsid w:val="00AA7B5D"/>
    <w:rsid w:val="00AB3A78"/>
    <w:rsid w:val="00AC4DB7"/>
    <w:rsid w:val="00AC7513"/>
    <w:rsid w:val="00AC7FED"/>
    <w:rsid w:val="00AD0497"/>
    <w:rsid w:val="00AD0503"/>
    <w:rsid w:val="00AD0929"/>
    <w:rsid w:val="00AD507E"/>
    <w:rsid w:val="00AE00BA"/>
    <w:rsid w:val="00AE3E93"/>
    <w:rsid w:val="00AE6D1F"/>
    <w:rsid w:val="00AF2068"/>
    <w:rsid w:val="00AF7EAE"/>
    <w:rsid w:val="00B03092"/>
    <w:rsid w:val="00B0541E"/>
    <w:rsid w:val="00B13849"/>
    <w:rsid w:val="00B23067"/>
    <w:rsid w:val="00B2590D"/>
    <w:rsid w:val="00B276AA"/>
    <w:rsid w:val="00B32E66"/>
    <w:rsid w:val="00B34848"/>
    <w:rsid w:val="00B40E21"/>
    <w:rsid w:val="00B434DA"/>
    <w:rsid w:val="00B45676"/>
    <w:rsid w:val="00B45F71"/>
    <w:rsid w:val="00B5018B"/>
    <w:rsid w:val="00B57687"/>
    <w:rsid w:val="00B625D9"/>
    <w:rsid w:val="00B665D7"/>
    <w:rsid w:val="00B70860"/>
    <w:rsid w:val="00B71D02"/>
    <w:rsid w:val="00B73E9F"/>
    <w:rsid w:val="00B87994"/>
    <w:rsid w:val="00B922CF"/>
    <w:rsid w:val="00B94E3D"/>
    <w:rsid w:val="00BA47D2"/>
    <w:rsid w:val="00BA61F7"/>
    <w:rsid w:val="00BB3104"/>
    <w:rsid w:val="00BB352A"/>
    <w:rsid w:val="00BB7304"/>
    <w:rsid w:val="00BC2D8F"/>
    <w:rsid w:val="00BC2DE6"/>
    <w:rsid w:val="00BC7240"/>
    <w:rsid w:val="00BD42F1"/>
    <w:rsid w:val="00BE1D82"/>
    <w:rsid w:val="00BE6352"/>
    <w:rsid w:val="00BF5F04"/>
    <w:rsid w:val="00C052E4"/>
    <w:rsid w:val="00C1140C"/>
    <w:rsid w:val="00C1195C"/>
    <w:rsid w:val="00C136F0"/>
    <w:rsid w:val="00C150A5"/>
    <w:rsid w:val="00C21F78"/>
    <w:rsid w:val="00C224B0"/>
    <w:rsid w:val="00C25C02"/>
    <w:rsid w:val="00C27A38"/>
    <w:rsid w:val="00C302A8"/>
    <w:rsid w:val="00C322C5"/>
    <w:rsid w:val="00C34D87"/>
    <w:rsid w:val="00C37F96"/>
    <w:rsid w:val="00C419F9"/>
    <w:rsid w:val="00C426F5"/>
    <w:rsid w:val="00C42B6C"/>
    <w:rsid w:val="00C45D4C"/>
    <w:rsid w:val="00C477B5"/>
    <w:rsid w:val="00C546D2"/>
    <w:rsid w:val="00C61510"/>
    <w:rsid w:val="00C61561"/>
    <w:rsid w:val="00C65A1E"/>
    <w:rsid w:val="00C6634A"/>
    <w:rsid w:val="00C7068E"/>
    <w:rsid w:val="00C769EE"/>
    <w:rsid w:val="00C86201"/>
    <w:rsid w:val="00C908AD"/>
    <w:rsid w:val="00C920E5"/>
    <w:rsid w:val="00C94BB9"/>
    <w:rsid w:val="00CA1E0E"/>
    <w:rsid w:val="00CA5BA3"/>
    <w:rsid w:val="00CB0D2B"/>
    <w:rsid w:val="00CB4F5E"/>
    <w:rsid w:val="00CB6A72"/>
    <w:rsid w:val="00CC3CC1"/>
    <w:rsid w:val="00CC49DA"/>
    <w:rsid w:val="00CC5E96"/>
    <w:rsid w:val="00CD4A78"/>
    <w:rsid w:val="00CD6B6A"/>
    <w:rsid w:val="00CD70FC"/>
    <w:rsid w:val="00CE43B4"/>
    <w:rsid w:val="00CE68C6"/>
    <w:rsid w:val="00CF3BB0"/>
    <w:rsid w:val="00CF7138"/>
    <w:rsid w:val="00D02084"/>
    <w:rsid w:val="00D050DE"/>
    <w:rsid w:val="00D077EC"/>
    <w:rsid w:val="00D13B06"/>
    <w:rsid w:val="00D14005"/>
    <w:rsid w:val="00D1728D"/>
    <w:rsid w:val="00D21BFC"/>
    <w:rsid w:val="00D21D55"/>
    <w:rsid w:val="00D21EF9"/>
    <w:rsid w:val="00D22F4A"/>
    <w:rsid w:val="00D23330"/>
    <w:rsid w:val="00D32326"/>
    <w:rsid w:val="00D34B76"/>
    <w:rsid w:val="00D35F74"/>
    <w:rsid w:val="00D4029A"/>
    <w:rsid w:val="00D416A5"/>
    <w:rsid w:val="00D50C56"/>
    <w:rsid w:val="00D5488B"/>
    <w:rsid w:val="00D55074"/>
    <w:rsid w:val="00D55AA4"/>
    <w:rsid w:val="00D5720C"/>
    <w:rsid w:val="00D6261D"/>
    <w:rsid w:val="00D6598A"/>
    <w:rsid w:val="00D65F4B"/>
    <w:rsid w:val="00D671F6"/>
    <w:rsid w:val="00D71653"/>
    <w:rsid w:val="00D72436"/>
    <w:rsid w:val="00D8063C"/>
    <w:rsid w:val="00D926F9"/>
    <w:rsid w:val="00D93182"/>
    <w:rsid w:val="00D961B5"/>
    <w:rsid w:val="00DA7FD6"/>
    <w:rsid w:val="00DB1328"/>
    <w:rsid w:val="00DB7EE0"/>
    <w:rsid w:val="00DC2BE3"/>
    <w:rsid w:val="00DD2411"/>
    <w:rsid w:val="00DD3E7F"/>
    <w:rsid w:val="00DE0ECC"/>
    <w:rsid w:val="00DE2348"/>
    <w:rsid w:val="00DE3943"/>
    <w:rsid w:val="00DE562E"/>
    <w:rsid w:val="00DE6FB0"/>
    <w:rsid w:val="00DE77F8"/>
    <w:rsid w:val="00DF0138"/>
    <w:rsid w:val="00DF294A"/>
    <w:rsid w:val="00E00EAF"/>
    <w:rsid w:val="00E0236A"/>
    <w:rsid w:val="00E11739"/>
    <w:rsid w:val="00E12F72"/>
    <w:rsid w:val="00E15A2D"/>
    <w:rsid w:val="00E15B2B"/>
    <w:rsid w:val="00E23F95"/>
    <w:rsid w:val="00E267A5"/>
    <w:rsid w:val="00E30990"/>
    <w:rsid w:val="00E32DA2"/>
    <w:rsid w:val="00E35AC9"/>
    <w:rsid w:val="00E413A9"/>
    <w:rsid w:val="00E5003A"/>
    <w:rsid w:val="00E514FA"/>
    <w:rsid w:val="00E51D1F"/>
    <w:rsid w:val="00E56529"/>
    <w:rsid w:val="00E6135C"/>
    <w:rsid w:val="00E659AC"/>
    <w:rsid w:val="00E66725"/>
    <w:rsid w:val="00E67591"/>
    <w:rsid w:val="00E67A2A"/>
    <w:rsid w:val="00E728B0"/>
    <w:rsid w:val="00E75758"/>
    <w:rsid w:val="00E75BC0"/>
    <w:rsid w:val="00E85ECC"/>
    <w:rsid w:val="00E9292D"/>
    <w:rsid w:val="00EA2B0E"/>
    <w:rsid w:val="00EA319E"/>
    <w:rsid w:val="00EA56F6"/>
    <w:rsid w:val="00EA77CE"/>
    <w:rsid w:val="00EB1DAB"/>
    <w:rsid w:val="00EB1EEE"/>
    <w:rsid w:val="00EC15BD"/>
    <w:rsid w:val="00EC38D5"/>
    <w:rsid w:val="00EC41CE"/>
    <w:rsid w:val="00EC477B"/>
    <w:rsid w:val="00ED0F47"/>
    <w:rsid w:val="00EE34BE"/>
    <w:rsid w:val="00EF6C7F"/>
    <w:rsid w:val="00F2180F"/>
    <w:rsid w:val="00F26A94"/>
    <w:rsid w:val="00F31732"/>
    <w:rsid w:val="00F31F04"/>
    <w:rsid w:val="00F327E2"/>
    <w:rsid w:val="00F3450E"/>
    <w:rsid w:val="00F34A38"/>
    <w:rsid w:val="00F375FF"/>
    <w:rsid w:val="00F450D4"/>
    <w:rsid w:val="00F50C2B"/>
    <w:rsid w:val="00F566E6"/>
    <w:rsid w:val="00F702DD"/>
    <w:rsid w:val="00F721A2"/>
    <w:rsid w:val="00F72B51"/>
    <w:rsid w:val="00F734B6"/>
    <w:rsid w:val="00F76C50"/>
    <w:rsid w:val="00F84427"/>
    <w:rsid w:val="00F85050"/>
    <w:rsid w:val="00F86303"/>
    <w:rsid w:val="00F95BD7"/>
    <w:rsid w:val="00FA1741"/>
    <w:rsid w:val="00FA53B2"/>
    <w:rsid w:val="00FA6242"/>
    <w:rsid w:val="00FA643C"/>
    <w:rsid w:val="00FA7894"/>
    <w:rsid w:val="00FB314C"/>
    <w:rsid w:val="00FC4DCA"/>
    <w:rsid w:val="00FC4DD1"/>
    <w:rsid w:val="00FD1DCC"/>
    <w:rsid w:val="00FD2E3D"/>
    <w:rsid w:val="00FE45C2"/>
    <w:rsid w:val="00FE51AD"/>
    <w:rsid w:val="00FE5CAF"/>
    <w:rsid w:val="00FE6157"/>
    <w:rsid w:val="00FE74BE"/>
    <w:rsid w:val="00FF0B73"/>
    <w:rsid w:val="00FF17C7"/>
    <w:rsid w:val="00FF2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 w:type="character" w:customStyle="1" w:styleId="FooterChar">
    <w:name w:val="Footer Char"/>
    <w:basedOn w:val="DefaultParagraphFont"/>
    <w:link w:val="Footer"/>
    <w:uiPriority w:val="99"/>
    <w:rsid w:val="00F450D4"/>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 w:type="character" w:customStyle="1" w:styleId="FooterChar">
    <w:name w:val="Footer Char"/>
    <w:basedOn w:val="DefaultParagraphFont"/>
    <w:link w:val="Footer"/>
    <w:uiPriority w:val="99"/>
    <w:rsid w:val="00F450D4"/>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324476">
      <w:bodyDiv w:val="1"/>
      <w:marLeft w:val="0"/>
      <w:marRight w:val="0"/>
      <w:marTop w:val="0"/>
      <w:marBottom w:val="0"/>
      <w:divBdr>
        <w:top w:val="none" w:sz="0" w:space="0" w:color="auto"/>
        <w:left w:val="none" w:sz="0" w:space="0" w:color="auto"/>
        <w:bottom w:val="none" w:sz="0" w:space="0" w:color="auto"/>
        <w:right w:val="none" w:sz="0" w:space="0" w:color="auto"/>
      </w:divBdr>
    </w:div>
    <w:div w:id="793329562">
      <w:bodyDiv w:val="1"/>
      <w:marLeft w:val="0"/>
      <w:marRight w:val="0"/>
      <w:marTop w:val="0"/>
      <w:marBottom w:val="0"/>
      <w:divBdr>
        <w:top w:val="none" w:sz="0" w:space="0" w:color="auto"/>
        <w:left w:val="none" w:sz="0" w:space="0" w:color="auto"/>
        <w:bottom w:val="none" w:sz="0" w:space="0" w:color="auto"/>
        <w:right w:val="none" w:sz="0" w:space="0" w:color="auto"/>
      </w:divBdr>
    </w:div>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 w:id="150104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3F6E7-325C-4A31-B29A-E6D83212B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1027</Words>
  <Characters>5859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6873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shoffner</cp:lastModifiedBy>
  <cp:revision>3</cp:revision>
  <cp:lastPrinted>2015-01-29T21:08:00Z</cp:lastPrinted>
  <dcterms:created xsi:type="dcterms:W3CDTF">2015-01-29T21:07:00Z</dcterms:created>
  <dcterms:modified xsi:type="dcterms:W3CDTF">2015-01-29T21:08:00Z</dcterms:modified>
</cp:coreProperties>
</file>