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873FA1" w:rsidRDefault="000F1894" w:rsidP="000F1894">
      <w:pPr>
        <w:jc w:val="center"/>
        <w:rPr>
          <w:sz w:val="24"/>
          <w:szCs w:val="24"/>
        </w:rPr>
      </w:pPr>
    </w:p>
    <w:p w:rsidR="00CE43B4" w:rsidRPr="00354E6F" w:rsidRDefault="00873FA1" w:rsidP="00CE43B4">
      <w:pPr>
        <w:tabs>
          <w:tab w:val="left" w:pos="-720"/>
        </w:tabs>
        <w:suppressAutoHyphens/>
        <w:rPr>
          <w:spacing w:val="-3"/>
          <w:sz w:val="24"/>
          <w:szCs w:val="24"/>
        </w:rPr>
      </w:pPr>
      <w:r w:rsidRPr="00873FA1">
        <w:rPr>
          <w:bCs/>
          <w:spacing w:val="-3"/>
          <w:sz w:val="24"/>
          <w:szCs w:val="24"/>
        </w:rPr>
        <w:t>Beatriz Mallory</w:t>
      </w:r>
      <w:r w:rsidR="00A470ED">
        <w:rPr>
          <w:b/>
          <w:bCs/>
          <w:spacing w:val="-3"/>
          <w:sz w:val="24"/>
          <w:szCs w:val="24"/>
        </w:rPr>
        <w:tab/>
      </w:r>
      <w:r w:rsidR="00354E6F">
        <w:rPr>
          <w:bCs/>
          <w:spacing w:val="-3"/>
          <w:sz w:val="24"/>
          <w:szCs w:val="24"/>
        </w:rPr>
        <w:tab/>
      </w:r>
      <w:r w:rsidR="00354E6F">
        <w:rPr>
          <w:bCs/>
          <w:spacing w:val="-3"/>
          <w:sz w:val="24"/>
          <w:szCs w:val="24"/>
        </w:rPr>
        <w:tab/>
      </w:r>
      <w:r w:rsidR="009621F3">
        <w:rPr>
          <w:bCs/>
          <w:spacing w:val="-3"/>
          <w:sz w:val="24"/>
          <w:szCs w:val="24"/>
        </w:rPr>
        <w:tab/>
      </w:r>
      <w:r w:rsidR="009621F3">
        <w:rPr>
          <w:bCs/>
          <w:spacing w:val="-3"/>
          <w:sz w:val="24"/>
          <w:szCs w:val="24"/>
        </w:rPr>
        <w:tab/>
      </w:r>
      <w:r w:rsidR="00354E6F">
        <w:rPr>
          <w:bCs/>
          <w:spacing w:val="-3"/>
          <w:sz w:val="24"/>
          <w:szCs w:val="24"/>
        </w:rPr>
        <w:t xml:space="preserve">: </w:t>
      </w:r>
      <w:r w:rsidR="005E3007" w:rsidRPr="00354E6F">
        <w:rPr>
          <w:bCs/>
          <w:spacing w:val="-3"/>
          <w:sz w:val="24"/>
          <w:szCs w:val="24"/>
        </w:rPr>
        <w:tab/>
      </w:r>
      <w:r w:rsidR="00893F0B" w:rsidRPr="00354E6F">
        <w:rPr>
          <w:bCs/>
          <w:spacing w:val="-3"/>
          <w:sz w:val="24"/>
          <w:szCs w:val="24"/>
        </w:rPr>
        <w:tab/>
      </w:r>
    </w:p>
    <w:p w:rsidR="002E0985" w:rsidRPr="00495B88" w:rsidRDefault="00526B2A" w:rsidP="00495B88">
      <w:r>
        <w:tab/>
      </w:r>
      <w:r>
        <w:tab/>
      </w:r>
      <w:r w:rsidR="009A475D">
        <w:tab/>
      </w:r>
      <w:r w:rsidR="00CC3CC1">
        <w:tab/>
      </w:r>
      <w:r w:rsidR="00CC3CC1">
        <w:tab/>
      </w:r>
      <w:r w:rsidR="009621F3">
        <w:tab/>
      </w:r>
      <w:r w:rsidR="002E0985" w:rsidRPr="002E0985">
        <w:tab/>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sidR="00873FA1">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9621F3">
        <w:rPr>
          <w:spacing w:val="-3"/>
          <w:sz w:val="24"/>
          <w:szCs w:val="20"/>
        </w:rPr>
        <w:tab/>
      </w:r>
      <w:r w:rsidR="009621F3">
        <w:rPr>
          <w:spacing w:val="-3"/>
          <w:sz w:val="24"/>
          <w:szCs w:val="20"/>
        </w:rPr>
        <w:tab/>
      </w:r>
      <w:r w:rsidRPr="002E0985">
        <w:rPr>
          <w:spacing w:val="-3"/>
          <w:sz w:val="24"/>
          <w:szCs w:val="20"/>
        </w:rPr>
        <w:t>:</w:t>
      </w:r>
      <w:r w:rsidR="00873FA1">
        <w:rPr>
          <w:spacing w:val="-3"/>
          <w:sz w:val="24"/>
          <w:szCs w:val="20"/>
        </w:rPr>
        <w:tab/>
      </w:r>
      <w:r w:rsidR="009621F3">
        <w:rPr>
          <w:spacing w:val="-3"/>
          <w:sz w:val="24"/>
          <w:szCs w:val="20"/>
        </w:rPr>
        <w:tab/>
      </w:r>
      <w:r w:rsidR="00873FA1">
        <w:rPr>
          <w:spacing w:val="-3"/>
          <w:sz w:val="24"/>
          <w:szCs w:val="20"/>
        </w:rPr>
        <w:t>C-2014-2442906</w:t>
      </w:r>
      <w:r w:rsidR="00354E6F">
        <w:rPr>
          <w:spacing w:val="-3"/>
          <w:sz w:val="24"/>
          <w:szCs w:val="20"/>
        </w:rPr>
        <w:tab/>
      </w:r>
      <w:r w:rsidRPr="002E0985">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Pr>
          <w:spacing w:val="-3"/>
          <w:sz w:val="24"/>
          <w:szCs w:val="20"/>
        </w:rPr>
        <w:tab/>
        <w:t>:</w:t>
      </w:r>
    </w:p>
    <w:p w:rsidR="005E3007" w:rsidRDefault="00873FA1" w:rsidP="00CE43B4">
      <w:pPr>
        <w:tabs>
          <w:tab w:val="left" w:pos="-720"/>
        </w:tabs>
        <w:suppressAutoHyphens/>
        <w:rPr>
          <w:spacing w:val="-3"/>
          <w:sz w:val="24"/>
          <w:szCs w:val="24"/>
        </w:rPr>
      </w:pPr>
      <w:r>
        <w:rPr>
          <w:spacing w:val="-3"/>
          <w:sz w:val="24"/>
          <w:szCs w:val="20"/>
        </w:rPr>
        <w:t>PPL Electric Utilities Corporation</w:t>
      </w:r>
      <w:r w:rsidR="002E0985" w:rsidRPr="002E0985">
        <w:rPr>
          <w:spacing w:val="-3"/>
          <w:sz w:val="24"/>
          <w:szCs w:val="20"/>
        </w:rPr>
        <w:tab/>
      </w:r>
      <w:r w:rsidR="009621F3">
        <w:rPr>
          <w:spacing w:val="-3"/>
          <w:sz w:val="24"/>
          <w:szCs w:val="20"/>
        </w:rPr>
        <w:tab/>
      </w:r>
      <w:r w:rsidR="009621F3">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r w:rsidR="00354E6F">
        <w:rPr>
          <w:b/>
          <w:caps/>
          <w:sz w:val="24"/>
          <w:szCs w:val="24"/>
          <w:u w:val="single"/>
        </w:rPr>
        <w:t xml:space="preserve"> </w:t>
      </w:r>
    </w:p>
    <w:p w:rsidR="006A21C2" w:rsidRDefault="006A21C2" w:rsidP="000F1894">
      <w:pPr>
        <w:jc w:val="center"/>
        <w:rPr>
          <w:sz w:val="24"/>
          <w:szCs w:val="24"/>
        </w:rPr>
      </w:pPr>
    </w:p>
    <w:p w:rsidR="009621F3" w:rsidRPr="006A21C2" w:rsidRDefault="009621F3"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873FA1" w:rsidRPr="00873FA1" w:rsidRDefault="00873FA1" w:rsidP="00DD2411">
      <w:pPr>
        <w:spacing w:line="360" w:lineRule="auto"/>
        <w:jc w:val="center"/>
        <w:rPr>
          <w:sz w:val="24"/>
          <w:szCs w:val="24"/>
        </w:rPr>
      </w:pPr>
    </w:p>
    <w:p w:rsidR="00873FA1" w:rsidRDefault="00873FA1" w:rsidP="00873FA1">
      <w:pPr>
        <w:spacing w:line="360" w:lineRule="auto"/>
        <w:ind w:firstLine="1440"/>
        <w:rPr>
          <w:sz w:val="24"/>
          <w:szCs w:val="24"/>
        </w:rPr>
      </w:pPr>
      <w:r w:rsidRPr="00873FA1">
        <w:rPr>
          <w:sz w:val="24"/>
          <w:szCs w:val="24"/>
        </w:rPr>
        <w:t>This Initial Decision dismisses the Formal Complaint of Beatriz Mallory for the re</w:t>
      </w:r>
      <w:r>
        <w:rPr>
          <w:sz w:val="24"/>
          <w:szCs w:val="24"/>
        </w:rPr>
        <w:t>a</w:t>
      </w:r>
      <w:r w:rsidRPr="00873FA1">
        <w:rPr>
          <w:sz w:val="24"/>
          <w:szCs w:val="24"/>
        </w:rPr>
        <w:t>sons explained fully below.</w:t>
      </w:r>
    </w:p>
    <w:p w:rsidR="00873FA1" w:rsidRPr="00873FA1" w:rsidRDefault="00873FA1" w:rsidP="00873FA1">
      <w:pPr>
        <w:spacing w:line="360" w:lineRule="auto"/>
        <w:ind w:firstLine="1440"/>
        <w:rPr>
          <w:sz w:val="24"/>
          <w:szCs w:val="24"/>
        </w:rPr>
      </w:pPr>
    </w:p>
    <w:p w:rsidR="00873FA1" w:rsidRDefault="009870EF" w:rsidP="009870EF">
      <w:pPr>
        <w:tabs>
          <w:tab w:val="left" w:pos="-1440"/>
          <w:tab w:val="left" w:pos="-720"/>
        </w:tabs>
        <w:suppressAutoHyphens/>
        <w:spacing w:line="360" w:lineRule="auto"/>
        <w:ind w:firstLine="1440"/>
        <w:rPr>
          <w:sz w:val="24"/>
          <w:szCs w:val="24"/>
        </w:rPr>
      </w:pPr>
      <w:r w:rsidRPr="009870EF">
        <w:rPr>
          <w:sz w:val="24"/>
          <w:szCs w:val="24"/>
        </w:rPr>
        <w:t xml:space="preserve">On </w:t>
      </w:r>
      <w:r w:rsidR="00873FA1">
        <w:rPr>
          <w:sz w:val="24"/>
          <w:szCs w:val="24"/>
        </w:rPr>
        <w:t>September 11, 2014</w:t>
      </w:r>
      <w:r w:rsidRPr="009870EF">
        <w:rPr>
          <w:sz w:val="24"/>
          <w:szCs w:val="24"/>
        </w:rPr>
        <w:t xml:space="preserve">, </w:t>
      </w:r>
      <w:r w:rsidR="00873FA1">
        <w:rPr>
          <w:sz w:val="24"/>
          <w:szCs w:val="24"/>
        </w:rPr>
        <w:t>Beatriz Mallory</w:t>
      </w:r>
      <w:r w:rsidRPr="009870EF">
        <w:rPr>
          <w:sz w:val="24"/>
          <w:szCs w:val="24"/>
        </w:rPr>
        <w:t xml:space="preserve"> (Complainant) filed a Formal Complaint with the Pennsylvania Public Utility Commission against </w:t>
      </w:r>
      <w:r w:rsidR="00873FA1">
        <w:rPr>
          <w:sz w:val="24"/>
          <w:szCs w:val="24"/>
        </w:rPr>
        <w:t>PPL Electric Utilities Corporation</w:t>
      </w:r>
      <w:r w:rsidRPr="009870EF">
        <w:rPr>
          <w:sz w:val="24"/>
          <w:szCs w:val="24"/>
        </w:rPr>
        <w:t xml:space="preserve"> (</w:t>
      </w:r>
      <w:r w:rsidR="00873FA1">
        <w:rPr>
          <w:sz w:val="24"/>
          <w:szCs w:val="24"/>
        </w:rPr>
        <w:t>PPL</w:t>
      </w:r>
      <w:r w:rsidRPr="009870EF">
        <w:rPr>
          <w:sz w:val="24"/>
          <w:szCs w:val="24"/>
        </w:rPr>
        <w:t xml:space="preserve">) alleging an inability to pay </w:t>
      </w:r>
      <w:r w:rsidR="00873FA1">
        <w:rPr>
          <w:sz w:val="24"/>
          <w:szCs w:val="24"/>
        </w:rPr>
        <w:t>her</w:t>
      </w:r>
      <w:r w:rsidRPr="009870EF">
        <w:rPr>
          <w:sz w:val="24"/>
          <w:szCs w:val="24"/>
        </w:rPr>
        <w:t xml:space="preserve"> utility bills and requesting a lower payment arrangement.  This case is an </w:t>
      </w:r>
      <w:r w:rsidR="00C12BC2">
        <w:rPr>
          <w:sz w:val="24"/>
          <w:szCs w:val="24"/>
        </w:rPr>
        <w:t xml:space="preserve">untimely </w:t>
      </w:r>
      <w:r w:rsidRPr="009870EF">
        <w:rPr>
          <w:sz w:val="24"/>
          <w:szCs w:val="24"/>
        </w:rPr>
        <w:t>appeal from a prior informal Bureau of Consumer Services (BCS) decision</w:t>
      </w:r>
      <w:r w:rsidR="00873FA1">
        <w:rPr>
          <w:sz w:val="24"/>
          <w:szCs w:val="24"/>
        </w:rPr>
        <w:t xml:space="preserve"> at Case No. 3255117</w:t>
      </w:r>
      <w:r w:rsidRPr="009870EF">
        <w:rPr>
          <w:sz w:val="24"/>
          <w:szCs w:val="24"/>
        </w:rPr>
        <w:t>.</w:t>
      </w:r>
      <w:r w:rsidR="00873FA1">
        <w:rPr>
          <w:sz w:val="24"/>
          <w:szCs w:val="24"/>
        </w:rPr>
        <w:t xml:space="preserve">  The BCS decision determined that the Complainant must pay $328 each month plus an additional $71 each month toward her past due balance.  At the time of the BCS decision the Complainant was $4,250 behind.</w:t>
      </w:r>
    </w:p>
    <w:p w:rsidR="00873FA1" w:rsidRDefault="00873FA1" w:rsidP="009870EF">
      <w:pPr>
        <w:tabs>
          <w:tab w:val="left" w:pos="-1440"/>
          <w:tab w:val="left" w:pos="-720"/>
        </w:tabs>
        <w:suppressAutoHyphens/>
        <w:spacing w:line="360" w:lineRule="auto"/>
        <w:ind w:firstLine="1440"/>
        <w:rPr>
          <w:sz w:val="24"/>
          <w:szCs w:val="24"/>
        </w:rPr>
      </w:pPr>
    </w:p>
    <w:p w:rsidR="009870EF" w:rsidRPr="009870EF" w:rsidRDefault="009870EF" w:rsidP="009870EF">
      <w:pPr>
        <w:tabs>
          <w:tab w:val="left" w:pos="-1440"/>
          <w:tab w:val="left" w:pos="-720"/>
        </w:tabs>
        <w:suppressAutoHyphens/>
        <w:spacing w:line="360" w:lineRule="auto"/>
        <w:ind w:firstLine="1440"/>
        <w:rPr>
          <w:sz w:val="24"/>
          <w:szCs w:val="24"/>
        </w:rPr>
      </w:pPr>
      <w:r w:rsidRPr="009870EF">
        <w:rPr>
          <w:sz w:val="24"/>
          <w:szCs w:val="24"/>
        </w:rPr>
        <w:t xml:space="preserve">On </w:t>
      </w:r>
      <w:r w:rsidR="00873FA1">
        <w:rPr>
          <w:sz w:val="24"/>
          <w:szCs w:val="24"/>
        </w:rPr>
        <w:t>October 6, 2014</w:t>
      </w:r>
      <w:r w:rsidRPr="009870EF">
        <w:rPr>
          <w:sz w:val="24"/>
          <w:szCs w:val="24"/>
        </w:rPr>
        <w:t xml:space="preserve">, </w:t>
      </w:r>
      <w:r w:rsidR="00873FA1">
        <w:rPr>
          <w:sz w:val="24"/>
          <w:szCs w:val="24"/>
        </w:rPr>
        <w:t>PPL</w:t>
      </w:r>
      <w:r w:rsidRPr="009870EF">
        <w:rPr>
          <w:sz w:val="24"/>
          <w:szCs w:val="24"/>
        </w:rPr>
        <w:t xml:space="preserve"> filed an </w:t>
      </w:r>
      <w:r w:rsidRPr="009870EF">
        <w:rPr>
          <w:spacing w:val="-3"/>
          <w:sz w:val="24"/>
          <w:szCs w:val="24"/>
        </w:rPr>
        <w:t xml:space="preserve">Answer </w:t>
      </w:r>
      <w:r w:rsidR="00873FA1">
        <w:rPr>
          <w:spacing w:val="-3"/>
          <w:sz w:val="24"/>
          <w:szCs w:val="24"/>
        </w:rPr>
        <w:t>explain</w:t>
      </w:r>
      <w:r w:rsidR="00D35023">
        <w:rPr>
          <w:spacing w:val="-3"/>
          <w:sz w:val="24"/>
          <w:szCs w:val="24"/>
        </w:rPr>
        <w:t>ing</w:t>
      </w:r>
      <w:r w:rsidR="00873FA1">
        <w:rPr>
          <w:spacing w:val="-3"/>
          <w:sz w:val="24"/>
          <w:szCs w:val="24"/>
        </w:rPr>
        <w:t xml:space="preserve"> that it had provided the Complainant with the most advantageous payment arrangement to which she was entitled.</w:t>
      </w:r>
    </w:p>
    <w:p w:rsidR="009870EF" w:rsidRPr="009870EF" w:rsidRDefault="009870EF" w:rsidP="009870EF">
      <w:pPr>
        <w:tabs>
          <w:tab w:val="left" w:pos="2160"/>
        </w:tabs>
        <w:spacing w:line="360" w:lineRule="auto"/>
        <w:ind w:firstLine="1440"/>
        <w:rPr>
          <w:sz w:val="24"/>
          <w:szCs w:val="24"/>
        </w:rPr>
      </w:pPr>
    </w:p>
    <w:p w:rsidR="009870EF" w:rsidRPr="009870EF" w:rsidRDefault="009870EF" w:rsidP="009870EF">
      <w:pPr>
        <w:tabs>
          <w:tab w:val="left" w:pos="2160"/>
        </w:tabs>
        <w:spacing w:line="360" w:lineRule="auto"/>
        <w:ind w:firstLine="1440"/>
        <w:rPr>
          <w:sz w:val="24"/>
          <w:szCs w:val="24"/>
        </w:rPr>
      </w:pPr>
      <w:r w:rsidRPr="009870EF">
        <w:rPr>
          <w:sz w:val="24"/>
          <w:szCs w:val="24"/>
        </w:rPr>
        <w:lastRenderedPageBreak/>
        <w:t xml:space="preserve">By Hearing Notice dated </w:t>
      </w:r>
      <w:r w:rsidR="00873FA1">
        <w:rPr>
          <w:sz w:val="24"/>
          <w:szCs w:val="24"/>
        </w:rPr>
        <w:t>October 17, 2014</w:t>
      </w:r>
      <w:r w:rsidRPr="009870EF">
        <w:rPr>
          <w:sz w:val="24"/>
          <w:szCs w:val="24"/>
        </w:rPr>
        <w:t>, th</w:t>
      </w:r>
      <w:r w:rsidR="00873FA1">
        <w:rPr>
          <w:sz w:val="24"/>
          <w:szCs w:val="24"/>
        </w:rPr>
        <w:t xml:space="preserve">e parties were notified that an </w:t>
      </w:r>
      <w:r w:rsidRPr="009870EF">
        <w:rPr>
          <w:sz w:val="24"/>
          <w:szCs w:val="24"/>
        </w:rPr>
        <w:t xml:space="preserve">Initial Hearing in this case was scheduled for the morning of </w:t>
      </w:r>
      <w:r w:rsidR="00873FA1">
        <w:rPr>
          <w:sz w:val="24"/>
          <w:szCs w:val="24"/>
        </w:rPr>
        <w:t>December 4, 2014</w:t>
      </w:r>
      <w:r w:rsidRPr="009870EF">
        <w:rPr>
          <w:sz w:val="24"/>
          <w:szCs w:val="24"/>
        </w:rPr>
        <w:t xml:space="preserve">.  A Prehearing Order was issued on </w:t>
      </w:r>
      <w:r w:rsidR="00E5424A">
        <w:rPr>
          <w:sz w:val="24"/>
          <w:szCs w:val="24"/>
        </w:rPr>
        <w:t>October 24, 2014</w:t>
      </w:r>
      <w:r w:rsidRPr="009870EF">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9870EF" w:rsidRPr="009870EF" w:rsidRDefault="009870EF" w:rsidP="009870EF">
      <w:pPr>
        <w:spacing w:line="360" w:lineRule="auto"/>
        <w:ind w:firstLine="1440"/>
        <w:rPr>
          <w:sz w:val="24"/>
          <w:szCs w:val="24"/>
        </w:rPr>
      </w:pPr>
    </w:p>
    <w:p w:rsidR="009870EF" w:rsidRDefault="009870EF" w:rsidP="009870EF">
      <w:pPr>
        <w:tabs>
          <w:tab w:val="left" w:pos="2160"/>
        </w:tabs>
        <w:spacing w:line="360" w:lineRule="auto"/>
        <w:ind w:firstLine="1440"/>
      </w:pPr>
      <w:r w:rsidRPr="009870EF">
        <w:rPr>
          <w:sz w:val="24"/>
          <w:szCs w:val="24"/>
        </w:rPr>
        <w:t>The hearing convened as scheduled.</w:t>
      </w:r>
      <w:r w:rsidR="00E5424A">
        <w:rPr>
          <w:sz w:val="24"/>
          <w:szCs w:val="24"/>
        </w:rPr>
        <w:t xml:space="preserve">  Jerry Mallory testified on behalf of his wife </w:t>
      </w:r>
      <w:r w:rsidR="00D35023">
        <w:rPr>
          <w:sz w:val="24"/>
          <w:szCs w:val="24"/>
        </w:rPr>
        <w:t xml:space="preserve">Beatriz, </w:t>
      </w:r>
      <w:r w:rsidR="00E5424A">
        <w:rPr>
          <w:sz w:val="24"/>
          <w:szCs w:val="24"/>
        </w:rPr>
        <w:t>and himself.  PPL was represented by counsel.  The Complainant submitted no exhibits.  PPL submitted two exhibits; both were entered into the record.</w:t>
      </w:r>
      <w:r w:rsidRPr="009870EF">
        <w:rPr>
          <w:sz w:val="24"/>
          <w:szCs w:val="24"/>
        </w:rPr>
        <w:t xml:space="preserve">  </w:t>
      </w:r>
      <w:r>
        <w:t xml:space="preserve">  </w:t>
      </w:r>
    </w:p>
    <w:p w:rsidR="00E5424A" w:rsidRDefault="00E5424A" w:rsidP="007965B0">
      <w:pPr>
        <w:tabs>
          <w:tab w:val="left" w:pos="-1440"/>
          <w:tab w:val="left" w:pos="-720"/>
        </w:tabs>
        <w:suppressAutoHyphens/>
        <w:spacing w:line="360" w:lineRule="auto"/>
        <w:ind w:firstLine="1440"/>
        <w:rPr>
          <w:sz w:val="24"/>
          <w:szCs w:val="24"/>
        </w:rPr>
      </w:pPr>
    </w:p>
    <w:p w:rsidR="007965B0" w:rsidRDefault="009870EF" w:rsidP="007965B0">
      <w:pPr>
        <w:tabs>
          <w:tab w:val="left" w:pos="-1440"/>
          <w:tab w:val="left" w:pos="-720"/>
        </w:tabs>
        <w:suppressAutoHyphens/>
        <w:spacing w:line="360" w:lineRule="auto"/>
        <w:ind w:firstLine="1440"/>
        <w:rPr>
          <w:sz w:val="24"/>
          <w:szCs w:val="24"/>
        </w:rPr>
      </w:pPr>
      <w:r>
        <w:rPr>
          <w:sz w:val="24"/>
          <w:szCs w:val="24"/>
        </w:rPr>
        <w:t xml:space="preserve">The record closed on </w:t>
      </w:r>
      <w:r w:rsidR="00E5424A">
        <w:rPr>
          <w:sz w:val="24"/>
          <w:szCs w:val="24"/>
        </w:rPr>
        <w:t xml:space="preserve">December 22, 2014 with receipt of the typewritten </w:t>
      </w:r>
      <w:r w:rsidR="00F112BC">
        <w:rPr>
          <w:sz w:val="24"/>
          <w:szCs w:val="24"/>
        </w:rPr>
        <w:t>31</w:t>
      </w:r>
      <w:r w:rsidR="00E5424A">
        <w:rPr>
          <w:sz w:val="24"/>
          <w:szCs w:val="24"/>
        </w:rPr>
        <w:t>-page transcript.</w:t>
      </w:r>
      <w:r>
        <w:rPr>
          <w:sz w:val="24"/>
          <w:szCs w:val="24"/>
        </w:rPr>
        <w:t xml:space="preserve"> </w:t>
      </w:r>
    </w:p>
    <w:p w:rsidR="00E5424A" w:rsidRDefault="00E5424A" w:rsidP="00A7050E">
      <w:pPr>
        <w:spacing w:line="360" w:lineRule="auto"/>
        <w:jc w:val="center"/>
        <w:rPr>
          <w:sz w:val="24"/>
          <w:szCs w:val="24"/>
          <w:u w:val="single"/>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D35023" w:rsidRDefault="00D35023" w:rsidP="00A7050E">
      <w:pPr>
        <w:spacing w:line="360" w:lineRule="auto"/>
        <w:jc w:val="center"/>
        <w:rPr>
          <w:sz w:val="24"/>
          <w:szCs w:val="24"/>
          <w:u w:val="single"/>
        </w:rPr>
      </w:pPr>
    </w:p>
    <w:p w:rsidR="00D35023" w:rsidRDefault="00465390" w:rsidP="00D35023">
      <w:pPr>
        <w:pStyle w:val="ListParagraph"/>
        <w:numPr>
          <w:ilvl w:val="0"/>
          <w:numId w:val="26"/>
        </w:numPr>
        <w:spacing w:line="360" w:lineRule="auto"/>
        <w:ind w:left="0" w:firstLine="1440"/>
        <w:rPr>
          <w:sz w:val="24"/>
          <w:szCs w:val="24"/>
        </w:rPr>
      </w:pPr>
      <w:r w:rsidRPr="00465390">
        <w:rPr>
          <w:sz w:val="24"/>
          <w:szCs w:val="24"/>
        </w:rPr>
        <w:t>Jerry Mallory, husband of the Complainant Beatriz Mallory</w:t>
      </w:r>
      <w:r>
        <w:rPr>
          <w:sz w:val="24"/>
          <w:szCs w:val="24"/>
        </w:rPr>
        <w:t>,</w:t>
      </w:r>
      <w:r w:rsidRPr="00465390">
        <w:rPr>
          <w:sz w:val="24"/>
          <w:szCs w:val="24"/>
        </w:rPr>
        <w:t xml:space="preserve"> testified on behalf of his wife and himself.</w:t>
      </w:r>
      <w:r>
        <w:rPr>
          <w:sz w:val="24"/>
          <w:szCs w:val="24"/>
        </w:rPr>
        <w:t xml:space="preserve"> </w:t>
      </w:r>
      <w:r w:rsidR="00E31010">
        <w:rPr>
          <w:sz w:val="24"/>
          <w:szCs w:val="24"/>
        </w:rPr>
        <w:t xml:space="preserve"> </w:t>
      </w:r>
      <w:r>
        <w:rPr>
          <w:sz w:val="24"/>
          <w:szCs w:val="24"/>
        </w:rPr>
        <w:t>Tr. at 5.</w:t>
      </w:r>
    </w:p>
    <w:p w:rsidR="00465390" w:rsidRDefault="00465390" w:rsidP="00465390">
      <w:pPr>
        <w:pStyle w:val="ListParagraph"/>
        <w:spacing w:line="360" w:lineRule="auto"/>
        <w:ind w:left="1440"/>
        <w:rPr>
          <w:sz w:val="24"/>
          <w:szCs w:val="24"/>
        </w:rPr>
      </w:pPr>
      <w:r>
        <w:rPr>
          <w:sz w:val="24"/>
          <w:szCs w:val="24"/>
        </w:rPr>
        <w:t xml:space="preserve"> </w:t>
      </w:r>
    </w:p>
    <w:p w:rsidR="00465390" w:rsidRDefault="006130CB" w:rsidP="00D35023">
      <w:pPr>
        <w:pStyle w:val="ListParagraph"/>
        <w:numPr>
          <w:ilvl w:val="0"/>
          <w:numId w:val="26"/>
        </w:numPr>
        <w:spacing w:line="360" w:lineRule="auto"/>
        <w:ind w:left="0" w:firstLine="1440"/>
        <w:rPr>
          <w:sz w:val="24"/>
          <w:szCs w:val="24"/>
        </w:rPr>
      </w:pPr>
      <w:r>
        <w:rPr>
          <w:sz w:val="24"/>
          <w:szCs w:val="24"/>
        </w:rPr>
        <w:t>Jerry and Beatriz Mallory receive mail at P.O. Box 650, and reside at 19</w:t>
      </w:r>
      <w:r w:rsidR="004157D9">
        <w:rPr>
          <w:sz w:val="24"/>
          <w:szCs w:val="24"/>
        </w:rPr>
        <w:noBreakHyphen/>
      </w:r>
      <w:r>
        <w:rPr>
          <w:sz w:val="24"/>
          <w:szCs w:val="24"/>
        </w:rPr>
        <w:t>D</w:t>
      </w:r>
      <w:r w:rsidR="004157D9">
        <w:rPr>
          <w:sz w:val="24"/>
          <w:szCs w:val="24"/>
        </w:rPr>
        <w:t> </w:t>
      </w:r>
      <w:r>
        <w:rPr>
          <w:sz w:val="24"/>
          <w:szCs w:val="24"/>
        </w:rPr>
        <w:t>Hilltop Road, Newfoundland, Pennsylvania 18445.  Tr. at 5.</w:t>
      </w:r>
    </w:p>
    <w:p w:rsidR="006130CB" w:rsidRPr="006130CB" w:rsidRDefault="006130CB" w:rsidP="004157D9">
      <w:pPr>
        <w:pStyle w:val="ListParagraph"/>
        <w:spacing w:line="360" w:lineRule="auto"/>
        <w:rPr>
          <w:sz w:val="24"/>
          <w:szCs w:val="24"/>
        </w:rPr>
      </w:pPr>
    </w:p>
    <w:p w:rsidR="006130CB" w:rsidRDefault="006130CB" w:rsidP="00D35023">
      <w:pPr>
        <w:pStyle w:val="ListParagraph"/>
        <w:numPr>
          <w:ilvl w:val="0"/>
          <w:numId w:val="26"/>
        </w:numPr>
        <w:spacing w:line="360" w:lineRule="auto"/>
        <w:ind w:left="0" w:firstLine="1440"/>
        <w:rPr>
          <w:sz w:val="24"/>
          <w:szCs w:val="24"/>
        </w:rPr>
      </w:pPr>
      <w:r>
        <w:rPr>
          <w:sz w:val="24"/>
          <w:szCs w:val="24"/>
        </w:rPr>
        <w:t>PPL is a jurisdictional public utility providing electric service to Pennsylvania citizens.</w:t>
      </w:r>
    </w:p>
    <w:p w:rsidR="006130CB" w:rsidRPr="006130CB" w:rsidRDefault="006130CB" w:rsidP="004157D9">
      <w:pPr>
        <w:pStyle w:val="ListParagraph"/>
        <w:spacing w:line="360" w:lineRule="auto"/>
        <w:rPr>
          <w:sz w:val="24"/>
          <w:szCs w:val="24"/>
        </w:rPr>
      </w:pPr>
    </w:p>
    <w:p w:rsidR="006130CB" w:rsidRDefault="006130CB" w:rsidP="00D35023">
      <w:pPr>
        <w:pStyle w:val="ListParagraph"/>
        <w:numPr>
          <w:ilvl w:val="0"/>
          <w:numId w:val="26"/>
        </w:numPr>
        <w:spacing w:line="360" w:lineRule="auto"/>
        <w:ind w:left="0" w:firstLine="1440"/>
        <w:rPr>
          <w:sz w:val="24"/>
          <w:szCs w:val="24"/>
        </w:rPr>
      </w:pPr>
      <w:r>
        <w:rPr>
          <w:sz w:val="24"/>
          <w:szCs w:val="24"/>
        </w:rPr>
        <w:t>The Complainant asks for a “balloon payment.”  Tr. at 7.</w:t>
      </w:r>
    </w:p>
    <w:p w:rsidR="006130CB" w:rsidRPr="006130CB" w:rsidRDefault="006130CB" w:rsidP="004157D9">
      <w:pPr>
        <w:pStyle w:val="ListParagraph"/>
        <w:spacing w:line="360" w:lineRule="auto"/>
        <w:rPr>
          <w:sz w:val="24"/>
          <w:szCs w:val="24"/>
        </w:rPr>
      </w:pPr>
    </w:p>
    <w:p w:rsidR="006130CB" w:rsidRDefault="006130CB" w:rsidP="00D35023">
      <w:pPr>
        <w:pStyle w:val="ListParagraph"/>
        <w:numPr>
          <w:ilvl w:val="0"/>
          <w:numId w:val="26"/>
        </w:numPr>
        <w:spacing w:line="360" w:lineRule="auto"/>
        <w:ind w:left="0" w:firstLine="1440"/>
        <w:rPr>
          <w:sz w:val="24"/>
          <w:szCs w:val="24"/>
        </w:rPr>
      </w:pPr>
      <w:r>
        <w:rPr>
          <w:sz w:val="24"/>
          <w:szCs w:val="24"/>
        </w:rPr>
        <w:t>The combined income for the Complainant and Jerry Mallory is between $10,000 and $16,000 annually.  Tr. at 8, 18.</w:t>
      </w:r>
    </w:p>
    <w:p w:rsidR="006130CB" w:rsidRPr="006130CB" w:rsidRDefault="006130CB" w:rsidP="006130CB">
      <w:pPr>
        <w:pStyle w:val="ListParagraph"/>
        <w:rPr>
          <w:sz w:val="24"/>
          <w:szCs w:val="24"/>
        </w:rPr>
      </w:pPr>
    </w:p>
    <w:p w:rsidR="006130CB" w:rsidRDefault="006130CB" w:rsidP="00D35023">
      <w:pPr>
        <w:pStyle w:val="ListParagraph"/>
        <w:numPr>
          <w:ilvl w:val="0"/>
          <w:numId w:val="26"/>
        </w:numPr>
        <w:spacing w:line="360" w:lineRule="auto"/>
        <w:ind w:left="0" w:firstLine="1440"/>
        <w:rPr>
          <w:sz w:val="24"/>
          <w:szCs w:val="24"/>
        </w:rPr>
      </w:pPr>
      <w:r>
        <w:rPr>
          <w:sz w:val="24"/>
          <w:szCs w:val="24"/>
        </w:rPr>
        <w:t>The Complainant and her husband do not collect social security.  Tr.</w:t>
      </w:r>
      <w:r w:rsidR="004157D9">
        <w:rPr>
          <w:sz w:val="24"/>
          <w:szCs w:val="24"/>
        </w:rPr>
        <w:t> </w:t>
      </w:r>
      <w:r>
        <w:rPr>
          <w:sz w:val="24"/>
          <w:szCs w:val="24"/>
        </w:rPr>
        <w:t>at</w:t>
      </w:r>
      <w:r w:rsidR="004157D9">
        <w:rPr>
          <w:sz w:val="24"/>
          <w:szCs w:val="24"/>
        </w:rPr>
        <w:t> </w:t>
      </w:r>
      <w:r>
        <w:rPr>
          <w:sz w:val="24"/>
          <w:szCs w:val="24"/>
        </w:rPr>
        <w:t>8</w:t>
      </w:r>
      <w:r w:rsidR="004157D9">
        <w:rPr>
          <w:sz w:val="24"/>
          <w:szCs w:val="24"/>
        </w:rPr>
        <w:noBreakHyphen/>
      </w:r>
      <w:r>
        <w:rPr>
          <w:sz w:val="24"/>
          <w:szCs w:val="24"/>
        </w:rPr>
        <w:t>9.</w:t>
      </w:r>
    </w:p>
    <w:p w:rsidR="006130CB" w:rsidRPr="006130CB" w:rsidRDefault="006130CB" w:rsidP="006130CB">
      <w:pPr>
        <w:pStyle w:val="ListParagraph"/>
        <w:rPr>
          <w:sz w:val="24"/>
          <w:szCs w:val="24"/>
        </w:rPr>
      </w:pPr>
    </w:p>
    <w:p w:rsidR="006130CB" w:rsidRDefault="006130CB" w:rsidP="00D35023">
      <w:pPr>
        <w:pStyle w:val="ListParagraph"/>
        <w:numPr>
          <w:ilvl w:val="0"/>
          <w:numId w:val="26"/>
        </w:numPr>
        <w:spacing w:line="360" w:lineRule="auto"/>
        <w:ind w:left="0" w:firstLine="1440"/>
        <w:rPr>
          <w:sz w:val="24"/>
          <w:szCs w:val="24"/>
        </w:rPr>
      </w:pPr>
      <w:r>
        <w:rPr>
          <w:sz w:val="24"/>
          <w:szCs w:val="24"/>
        </w:rPr>
        <w:t>There are only two people in the household.  Tr. at 9.</w:t>
      </w:r>
    </w:p>
    <w:p w:rsidR="006130CB" w:rsidRPr="006130CB" w:rsidRDefault="006130CB" w:rsidP="004157D9">
      <w:pPr>
        <w:pStyle w:val="ListParagraph"/>
        <w:spacing w:line="360" w:lineRule="auto"/>
        <w:rPr>
          <w:sz w:val="24"/>
          <w:szCs w:val="24"/>
        </w:rPr>
      </w:pPr>
    </w:p>
    <w:p w:rsidR="006130CB" w:rsidRDefault="006130CB" w:rsidP="00D35023">
      <w:pPr>
        <w:pStyle w:val="ListParagraph"/>
        <w:numPr>
          <w:ilvl w:val="0"/>
          <w:numId w:val="26"/>
        </w:numPr>
        <w:spacing w:line="360" w:lineRule="auto"/>
        <w:ind w:left="0" w:firstLine="1440"/>
        <w:rPr>
          <w:sz w:val="24"/>
          <w:szCs w:val="24"/>
        </w:rPr>
      </w:pPr>
      <w:r>
        <w:rPr>
          <w:sz w:val="24"/>
          <w:szCs w:val="24"/>
        </w:rPr>
        <w:t>There are no medical issues.  Tr. at 9.</w:t>
      </w:r>
    </w:p>
    <w:p w:rsidR="006130CB" w:rsidRPr="006130CB" w:rsidRDefault="006130CB" w:rsidP="004157D9">
      <w:pPr>
        <w:pStyle w:val="ListParagraph"/>
        <w:spacing w:line="360" w:lineRule="auto"/>
        <w:rPr>
          <w:sz w:val="24"/>
          <w:szCs w:val="24"/>
        </w:rPr>
      </w:pPr>
    </w:p>
    <w:p w:rsidR="006130CB" w:rsidRDefault="006130CB" w:rsidP="00D35023">
      <w:pPr>
        <w:pStyle w:val="ListParagraph"/>
        <w:numPr>
          <w:ilvl w:val="0"/>
          <w:numId w:val="26"/>
        </w:numPr>
        <w:spacing w:line="360" w:lineRule="auto"/>
        <w:ind w:left="0" w:firstLine="1440"/>
        <w:rPr>
          <w:sz w:val="24"/>
          <w:szCs w:val="24"/>
        </w:rPr>
      </w:pPr>
      <w:r>
        <w:rPr>
          <w:sz w:val="24"/>
          <w:szCs w:val="24"/>
        </w:rPr>
        <w:t xml:space="preserve">Bridget </w:t>
      </w:r>
      <w:proofErr w:type="spellStart"/>
      <w:r>
        <w:rPr>
          <w:sz w:val="24"/>
          <w:szCs w:val="24"/>
        </w:rPr>
        <w:t>Martson</w:t>
      </w:r>
      <w:proofErr w:type="spellEnd"/>
      <w:r w:rsidR="00844338">
        <w:rPr>
          <w:rStyle w:val="FootnoteReference"/>
          <w:sz w:val="24"/>
          <w:szCs w:val="24"/>
        </w:rPr>
        <w:footnoteReference w:id="1"/>
      </w:r>
      <w:r w:rsidR="00844338">
        <w:rPr>
          <w:sz w:val="24"/>
          <w:szCs w:val="24"/>
        </w:rPr>
        <w:t xml:space="preserve">, customer service representative, </w:t>
      </w:r>
      <w:r>
        <w:rPr>
          <w:sz w:val="24"/>
          <w:szCs w:val="24"/>
        </w:rPr>
        <w:t>testified for PPL.</w:t>
      </w:r>
    </w:p>
    <w:p w:rsidR="00844338" w:rsidRPr="00844338" w:rsidRDefault="00844338" w:rsidP="004157D9">
      <w:pPr>
        <w:pStyle w:val="ListParagraph"/>
        <w:spacing w:line="360" w:lineRule="auto"/>
        <w:rPr>
          <w:sz w:val="24"/>
          <w:szCs w:val="24"/>
        </w:rPr>
      </w:pPr>
    </w:p>
    <w:p w:rsidR="00844338" w:rsidRDefault="008D06BF" w:rsidP="004157D9">
      <w:pPr>
        <w:pStyle w:val="ListParagraph"/>
        <w:numPr>
          <w:ilvl w:val="0"/>
          <w:numId w:val="26"/>
        </w:numPr>
        <w:spacing w:line="360" w:lineRule="auto"/>
        <w:ind w:left="0" w:firstLine="1440"/>
        <w:rPr>
          <w:sz w:val="24"/>
          <w:szCs w:val="24"/>
        </w:rPr>
      </w:pPr>
      <w:r>
        <w:rPr>
          <w:sz w:val="24"/>
          <w:szCs w:val="24"/>
        </w:rPr>
        <w:t>PPL Exhibit 1 is an account activity statement for the Complainant showing a past due balance of $5</w:t>
      </w:r>
      <w:r w:rsidR="009110D9">
        <w:rPr>
          <w:sz w:val="24"/>
          <w:szCs w:val="24"/>
        </w:rPr>
        <w:t>,</w:t>
      </w:r>
      <w:r>
        <w:rPr>
          <w:sz w:val="24"/>
          <w:szCs w:val="24"/>
        </w:rPr>
        <w:t>136.74.  Tr. at 15-16</w:t>
      </w:r>
      <w:r w:rsidR="0091718C">
        <w:rPr>
          <w:sz w:val="24"/>
          <w:szCs w:val="24"/>
        </w:rPr>
        <w:t>;</w:t>
      </w:r>
      <w:r>
        <w:rPr>
          <w:sz w:val="24"/>
          <w:szCs w:val="24"/>
        </w:rPr>
        <w:t xml:space="preserve"> PPL Exh. 1.</w:t>
      </w:r>
    </w:p>
    <w:p w:rsidR="008D06BF" w:rsidRPr="008D06BF" w:rsidRDefault="008D06BF" w:rsidP="004157D9">
      <w:pPr>
        <w:pStyle w:val="ListParagraph"/>
        <w:spacing w:line="360" w:lineRule="auto"/>
        <w:rPr>
          <w:sz w:val="24"/>
          <w:szCs w:val="24"/>
        </w:rPr>
      </w:pPr>
    </w:p>
    <w:p w:rsidR="008D06BF" w:rsidRDefault="008D06BF" w:rsidP="004157D9">
      <w:pPr>
        <w:pStyle w:val="ListParagraph"/>
        <w:numPr>
          <w:ilvl w:val="0"/>
          <w:numId w:val="26"/>
        </w:numPr>
        <w:spacing w:line="360" w:lineRule="auto"/>
        <w:ind w:left="0" w:firstLine="1440"/>
        <w:rPr>
          <w:sz w:val="24"/>
          <w:szCs w:val="24"/>
        </w:rPr>
      </w:pPr>
      <w:r>
        <w:rPr>
          <w:sz w:val="24"/>
          <w:szCs w:val="24"/>
        </w:rPr>
        <w:t>The Complainant made four payments for all of 2014 up to the time of the hearing.  Tr. at 16</w:t>
      </w:r>
      <w:r w:rsidR="0091718C">
        <w:rPr>
          <w:sz w:val="24"/>
          <w:szCs w:val="24"/>
        </w:rPr>
        <w:t>;</w:t>
      </w:r>
      <w:r>
        <w:rPr>
          <w:sz w:val="24"/>
          <w:szCs w:val="24"/>
        </w:rPr>
        <w:t xml:space="preserve"> PPL Exh. 1.</w:t>
      </w:r>
    </w:p>
    <w:p w:rsidR="008D06BF" w:rsidRPr="008D06BF" w:rsidRDefault="008D06BF" w:rsidP="004157D9">
      <w:pPr>
        <w:pStyle w:val="ListParagraph"/>
        <w:spacing w:line="360" w:lineRule="auto"/>
        <w:rPr>
          <w:sz w:val="24"/>
          <w:szCs w:val="24"/>
        </w:rPr>
      </w:pPr>
    </w:p>
    <w:p w:rsidR="008D06BF" w:rsidRDefault="008D06BF" w:rsidP="004157D9">
      <w:pPr>
        <w:pStyle w:val="ListParagraph"/>
        <w:numPr>
          <w:ilvl w:val="0"/>
          <w:numId w:val="26"/>
        </w:numPr>
        <w:spacing w:line="360" w:lineRule="auto"/>
        <w:ind w:left="0" w:firstLine="1440"/>
        <w:rPr>
          <w:sz w:val="24"/>
          <w:szCs w:val="24"/>
        </w:rPr>
      </w:pPr>
      <w:r>
        <w:rPr>
          <w:sz w:val="24"/>
          <w:szCs w:val="24"/>
        </w:rPr>
        <w:t>PPL Exhibit 3 is a statement showing the payment agreements made with the Complainant.  Tr. at 17</w:t>
      </w:r>
      <w:r w:rsidR="0091718C">
        <w:rPr>
          <w:sz w:val="24"/>
          <w:szCs w:val="24"/>
        </w:rPr>
        <w:t>;</w:t>
      </w:r>
      <w:r>
        <w:rPr>
          <w:sz w:val="24"/>
          <w:szCs w:val="24"/>
        </w:rPr>
        <w:t xml:space="preserve"> PPL Exh. 3.</w:t>
      </w:r>
    </w:p>
    <w:p w:rsidR="008D06BF" w:rsidRPr="008D06BF" w:rsidRDefault="008D06BF" w:rsidP="004157D9">
      <w:pPr>
        <w:pStyle w:val="ListParagraph"/>
        <w:spacing w:line="360" w:lineRule="auto"/>
        <w:rPr>
          <w:sz w:val="24"/>
          <w:szCs w:val="24"/>
        </w:rPr>
      </w:pPr>
    </w:p>
    <w:p w:rsidR="008D06BF" w:rsidRDefault="008D06BF" w:rsidP="004157D9">
      <w:pPr>
        <w:pStyle w:val="ListParagraph"/>
        <w:numPr>
          <w:ilvl w:val="0"/>
          <w:numId w:val="26"/>
        </w:numPr>
        <w:spacing w:line="360" w:lineRule="auto"/>
        <w:ind w:left="0" w:firstLine="1440"/>
        <w:rPr>
          <w:sz w:val="24"/>
          <w:szCs w:val="24"/>
        </w:rPr>
      </w:pPr>
      <w:r>
        <w:rPr>
          <w:sz w:val="24"/>
          <w:szCs w:val="24"/>
        </w:rPr>
        <w:t xml:space="preserve">The Complainant has defaulted on 26 payment agreements.  </w:t>
      </w:r>
      <w:r w:rsidR="00617D74">
        <w:rPr>
          <w:sz w:val="24"/>
          <w:szCs w:val="24"/>
        </w:rPr>
        <w:t xml:space="preserve">One was a PUC issued payment agreement.  </w:t>
      </w:r>
      <w:r>
        <w:rPr>
          <w:sz w:val="24"/>
          <w:szCs w:val="24"/>
        </w:rPr>
        <w:t>Tr. at 17</w:t>
      </w:r>
      <w:r w:rsidR="0091718C">
        <w:rPr>
          <w:sz w:val="24"/>
          <w:szCs w:val="24"/>
        </w:rPr>
        <w:t>;</w:t>
      </w:r>
      <w:r>
        <w:rPr>
          <w:sz w:val="24"/>
          <w:szCs w:val="24"/>
        </w:rPr>
        <w:t xml:space="preserve"> PPL Exh. 3.</w:t>
      </w:r>
    </w:p>
    <w:p w:rsidR="008D06BF" w:rsidRPr="008D06BF" w:rsidRDefault="008D06BF" w:rsidP="004157D9">
      <w:pPr>
        <w:pStyle w:val="ListParagraph"/>
        <w:spacing w:line="360" w:lineRule="auto"/>
        <w:rPr>
          <w:sz w:val="24"/>
          <w:szCs w:val="24"/>
        </w:rPr>
      </w:pPr>
    </w:p>
    <w:p w:rsidR="008D06BF" w:rsidRDefault="008D06BF" w:rsidP="004157D9">
      <w:pPr>
        <w:pStyle w:val="ListParagraph"/>
        <w:numPr>
          <w:ilvl w:val="0"/>
          <w:numId w:val="26"/>
        </w:numPr>
        <w:spacing w:line="360" w:lineRule="auto"/>
        <w:ind w:left="0" w:firstLine="1440"/>
        <w:rPr>
          <w:sz w:val="24"/>
          <w:szCs w:val="24"/>
        </w:rPr>
      </w:pPr>
      <w:r>
        <w:rPr>
          <w:sz w:val="24"/>
          <w:szCs w:val="24"/>
        </w:rPr>
        <w:t>PPL has not entertained a “balloon payment” as described by Jerry Mallory.</w:t>
      </w:r>
      <w:r w:rsidR="00392E88">
        <w:rPr>
          <w:sz w:val="24"/>
          <w:szCs w:val="24"/>
        </w:rPr>
        <w:t xml:space="preserve">  PPL has in the past required an up-front payment, but not a balloon payment at the end.  Tr. at 19, 24.</w:t>
      </w:r>
    </w:p>
    <w:p w:rsidR="00392E88" w:rsidRPr="00392E88" w:rsidRDefault="00392E88" w:rsidP="00392E88">
      <w:pPr>
        <w:pStyle w:val="ListParagraph"/>
        <w:rPr>
          <w:sz w:val="24"/>
          <w:szCs w:val="24"/>
        </w:rPr>
      </w:pPr>
    </w:p>
    <w:p w:rsidR="001101DE" w:rsidRDefault="001101DE" w:rsidP="00DE2348">
      <w:pPr>
        <w:spacing w:line="360" w:lineRule="auto"/>
        <w:jc w:val="center"/>
        <w:rPr>
          <w:sz w:val="24"/>
          <w:szCs w:val="24"/>
          <w:u w:val="single"/>
        </w:rPr>
      </w:pPr>
    </w:p>
    <w:p w:rsidR="001101DE" w:rsidRDefault="001101DE" w:rsidP="00DE2348">
      <w:pPr>
        <w:spacing w:line="360" w:lineRule="auto"/>
        <w:jc w:val="center"/>
        <w:rPr>
          <w:sz w:val="24"/>
          <w:szCs w:val="24"/>
          <w:u w:val="single"/>
        </w:rPr>
      </w:pPr>
    </w:p>
    <w:p w:rsidR="001101DE" w:rsidRDefault="001101DE" w:rsidP="00DE2348">
      <w:pPr>
        <w:spacing w:line="360" w:lineRule="auto"/>
        <w:jc w:val="center"/>
        <w:rPr>
          <w:sz w:val="24"/>
          <w:szCs w:val="24"/>
          <w:u w:val="single"/>
        </w:rPr>
      </w:pPr>
    </w:p>
    <w:p w:rsidR="001101DE" w:rsidRDefault="001101DE" w:rsidP="00DE2348">
      <w:pPr>
        <w:spacing w:line="360" w:lineRule="auto"/>
        <w:jc w:val="center"/>
        <w:rPr>
          <w:sz w:val="24"/>
          <w:szCs w:val="24"/>
          <w:u w:val="single"/>
        </w:rPr>
      </w:pPr>
    </w:p>
    <w:p w:rsidR="001101DE" w:rsidRDefault="001101DE" w:rsidP="00DE2348">
      <w:pPr>
        <w:spacing w:line="360" w:lineRule="auto"/>
        <w:jc w:val="center"/>
        <w:rPr>
          <w:sz w:val="24"/>
          <w:szCs w:val="24"/>
          <w:u w:val="single"/>
        </w:rPr>
      </w:pPr>
    </w:p>
    <w:p w:rsidR="00C419F9" w:rsidRDefault="00C419F9" w:rsidP="00DE2348">
      <w:pPr>
        <w:spacing w:line="360" w:lineRule="auto"/>
        <w:jc w:val="center"/>
        <w:rPr>
          <w:sz w:val="24"/>
          <w:szCs w:val="24"/>
          <w:u w:val="single"/>
        </w:rPr>
      </w:pPr>
      <w:r>
        <w:rPr>
          <w:sz w:val="24"/>
          <w:szCs w:val="24"/>
          <w:u w:val="single"/>
        </w:rPr>
        <w:t>DISCUSSION</w:t>
      </w:r>
    </w:p>
    <w:p w:rsidR="00392E88" w:rsidRDefault="00392E88" w:rsidP="00392E88">
      <w:pPr>
        <w:spacing w:line="360" w:lineRule="auto"/>
        <w:rPr>
          <w:sz w:val="24"/>
          <w:szCs w:val="24"/>
          <w:u w:val="single"/>
        </w:rPr>
      </w:pPr>
    </w:p>
    <w:p w:rsidR="00392E88" w:rsidRDefault="00392E88" w:rsidP="00392E88">
      <w:pPr>
        <w:spacing w:line="360" w:lineRule="auto"/>
        <w:rPr>
          <w:sz w:val="24"/>
          <w:szCs w:val="24"/>
          <w:u w:val="single"/>
        </w:rPr>
      </w:pPr>
      <w:r>
        <w:rPr>
          <w:sz w:val="24"/>
          <w:szCs w:val="24"/>
          <w:u w:val="single"/>
        </w:rPr>
        <w:t>Burden of Proof:</w:t>
      </w:r>
    </w:p>
    <w:p w:rsidR="001101DE" w:rsidRDefault="001101DE" w:rsidP="00392E88">
      <w:pPr>
        <w:spacing w:line="360" w:lineRule="auto"/>
        <w:rPr>
          <w:sz w:val="24"/>
          <w:szCs w:val="24"/>
          <w:u w:val="single"/>
        </w:rPr>
      </w:pPr>
    </w:p>
    <w:p w:rsidR="00392E88" w:rsidRPr="00614336" w:rsidRDefault="00392E88" w:rsidP="00392E88">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66 Pa.C.S.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614336">
        <w:rPr>
          <w:spacing w:val="-3"/>
          <w:sz w:val="24"/>
          <w:szCs w:val="24"/>
          <w:u w:val="single"/>
        </w:rPr>
        <w:t xml:space="preserve">Samuel J. Lansberry, Inc. v. Pa. </w:t>
      </w:r>
      <w:r>
        <w:rPr>
          <w:spacing w:val="-3"/>
          <w:sz w:val="24"/>
          <w:szCs w:val="24"/>
          <w:u w:val="single"/>
        </w:rPr>
        <w:t>P</w:t>
      </w:r>
      <w:r w:rsidR="001101DE">
        <w:rPr>
          <w:spacing w:val="-3"/>
          <w:sz w:val="24"/>
          <w:szCs w:val="24"/>
          <w:u w:val="single"/>
        </w:rPr>
        <w:t>ub. Util. Comm’n</w:t>
      </w:r>
      <w:r w:rsidRPr="00614336">
        <w:rPr>
          <w:spacing w:val="-3"/>
          <w:sz w:val="24"/>
          <w:szCs w:val="24"/>
        </w:rPr>
        <w:t xml:space="preserve">, 134 </w:t>
      </w:r>
      <w:proofErr w:type="spellStart"/>
      <w:r w:rsidRPr="00614336">
        <w:rPr>
          <w:spacing w:val="-3"/>
          <w:sz w:val="24"/>
          <w:szCs w:val="24"/>
        </w:rPr>
        <w:t>Pa.C</w:t>
      </w:r>
      <w:r w:rsidR="001101DE">
        <w:rPr>
          <w:spacing w:val="-3"/>
          <w:sz w:val="24"/>
          <w:szCs w:val="24"/>
        </w:rPr>
        <w:t>mwlth</w:t>
      </w:r>
      <w:proofErr w:type="spellEnd"/>
      <w:r w:rsidRPr="00614336">
        <w:rPr>
          <w:spacing w:val="-3"/>
          <w:sz w:val="24"/>
          <w:szCs w:val="24"/>
        </w:rPr>
        <w:t>. 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Additionally, any finding of fact necessary to support the Commission’s adjudication must be based upon substantial evidence.  </w:t>
      </w:r>
      <w:r>
        <w:rPr>
          <w:spacing w:val="-3"/>
          <w:sz w:val="24"/>
          <w:szCs w:val="24"/>
          <w:u w:val="single"/>
        </w:rPr>
        <w:t>Mill v. Pa. P</w:t>
      </w:r>
      <w:r w:rsidR="001101DE">
        <w:rPr>
          <w:spacing w:val="-3"/>
          <w:sz w:val="24"/>
          <w:szCs w:val="24"/>
          <w:u w:val="single"/>
        </w:rPr>
        <w:t>ub. Util. Comm’n</w:t>
      </w:r>
      <w:r w:rsidRPr="009D011B">
        <w:rPr>
          <w:spacing w:val="-3"/>
          <w:sz w:val="24"/>
          <w:szCs w:val="24"/>
        </w:rPr>
        <w:t>,</w:t>
      </w:r>
      <w:r w:rsidR="00D6737A">
        <w:rPr>
          <w:spacing w:val="-3"/>
          <w:sz w:val="24"/>
          <w:szCs w:val="24"/>
        </w:rPr>
        <w:t xml:space="preserve"> </w:t>
      </w:r>
      <w:r w:rsidRPr="00614336">
        <w:rPr>
          <w:spacing w:val="-3"/>
          <w:sz w:val="24"/>
          <w:szCs w:val="24"/>
        </w:rPr>
        <w:t xml:space="preserve">67 </w:t>
      </w:r>
      <w:proofErr w:type="spellStart"/>
      <w:r w:rsidRPr="00614336">
        <w:rPr>
          <w:spacing w:val="-3"/>
          <w:sz w:val="24"/>
          <w:szCs w:val="24"/>
        </w:rPr>
        <w:t>Pa.C</w:t>
      </w:r>
      <w:r w:rsidR="001101DE">
        <w:rPr>
          <w:spacing w:val="-3"/>
          <w:sz w:val="24"/>
          <w:szCs w:val="24"/>
        </w:rPr>
        <w:t>mwlth</w:t>
      </w:r>
      <w:proofErr w:type="spellEnd"/>
      <w:r w:rsidRPr="00614336">
        <w:rPr>
          <w:spacing w:val="-3"/>
          <w:sz w:val="24"/>
          <w:szCs w:val="24"/>
        </w:rPr>
        <w:t>. 597, 447 A.2d 1100</w:t>
      </w:r>
      <w:r>
        <w:rPr>
          <w:spacing w:val="-3"/>
          <w:sz w:val="24"/>
          <w:szCs w:val="24"/>
        </w:rPr>
        <w:t xml:space="preserve"> </w:t>
      </w:r>
      <w:r w:rsidRPr="00614336">
        <w:rPr>
          <w:spacing w:val="-3"/>
          <w:sz w:val="24"/>
          <w:szCs w:val="24"/>
        </w:rPr>
        <w:t xml:space="preserve">(1982), </w:t>
      </w:r>
      <w:r>
        <w:rPr>
          <w:spacing w:val="-3"/>
          <w:sz w:val="24"/>
          <w:szCs w:val="24"/>
          <w:u w:val="single"/>
        </w:rPr>
        <w:t>Edan Transportation Corp. v. Pa. P</w:t>
      </w:r>
      <w:r w:rsidR="001101DE">
        <w:rPr>
          <w:spacing w:val="-3"/>
          <w:sz w:val="24"/>
          <w:szCs w:val="24"/>
          <w:u w:val="single"/>
        </w:rPr>
        <w:t>ub. Util. Comm’n</w:t>
      </w:r>
      <w:r w:rsidRPr="00614336">
        <w:rPr>
          <w:spacing w:val="-3"/>
          <w:sz w:val="24"/>
          <w:szCs w:val="24"/>
        </w:rPr>
        <w:t xml:space="preserve">, 154 </w:t>
      </w:r>
      <w:proofErr w:type="spellStart"/>
      <w:r w:rsidRPr="00614336">
        <w:rPr>
          <w:spacing w:val="-3"/>
          <w:sz w:val="24"/>
          <w:szCs w:val="24"/>
        </w:rPr>
        <w:t>Pa.C</w:t>
      </w:r>
      <w:r w:rsidR="001101DE">
        <w:rPr>
          <w:spacing w:val="-3"/>
          <w:sz w:val="24"/>
          <w:szCs w:val="24"/>
        </w:rPr>
        <w:t>mwlth</w:t>
      </w:r>
      <w:proofErr w:type="spellEnd"/>
      <w:r w:rsidRPr="00614336">
        <w:rPr>
          <w:spacing w:val="-3"/>
          <w:sz w:val="24"/>
          <w:szCs w:val="24"/>
        </w:rPr>
        <w:t>. 21, 623 A.2d 6</w:t>
      </w:r>
      <w:r>
        <w:rPr>
          <w:spacing w:val="-3"/>
          <w:sz w:val="24"/>
          <w:szCs w:val="24"/>
        </w:rPr>
        <w:t xml:space="preserve"> </w:t>
      </w:r>
      <w:r w:rsidRPr="00614336">
        <w:rPr>
          <w:spacing w:val="-3"/>
          <w:sz w:val="24"/>
          <w:szCs w:val="24"/>
        </w:rPr>
        <w:t>(1993), 2 Pa.C.S. §</w:t>
      </w:r>
      <w:r w:rsidR="001101DE">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r w:rsidRPr="00614336">
        <w:rPr>
          <w:spacing w:val="-3"/>
          <w:sz w:val="24"/>
          <w:szCs w:val="24"/>
          <w:u w:val="single"/>
        </w:rPr>
        <w:t>Norfolk and Western Ry. v. Pa.</w:t>
      </w:r>
      <w:r w:rsidR="001101DE">
        <w:rPr>
          <w:spacing w:val="-3"/>
          <w:sz w:val="24"/>
          <w:szCs w:val="24"/>
          <w:u w:val="single"/>
        </w:rPr>
        <w:t xml:space="preserve"> Pub. 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 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xml:space="preserve">, 85 </w:t>
      </w:r>
      <w:proofErr w:type="spellStart"/>
      <w:r w:rsidRPr="00614336">
        <w:rPr>
          <w:spacing w:val="-3"/>
          <w:sz w:val="24"/>
          <w:szCs w:val="24"/>
        </w:rPr>
        <w:t>Pa.C</w:t>
      </w:r>
      <w:r w:rsidR="001101DE">
        <w:rPr>
          <w:spacing w:val="-3"/>
          <w:sz w:val="24"/>
          <w:szCs w:val="24"/>
        </w:rPr>
        <w:t>mwlth</w:t>
      </w:r>
      <w:proofErr w:type="spellEnd"/>
      <w:r w:rsidRPr="00614336">
        <w:rPr>
          <w:spacing w:val="-3"/>
          <w:sz w:val="24"/>
          <w:szCs w:val="24"/>
        </w:rPr>
        <w:t>. 23, 480 A.2d 382</w:t>
      </w:r>
      <w:r>
        <w:rPr>
          <w:spacing w:val="-3"/>
          <w:sz w:val="24"/>
          <w:szCs w:val="24"/>
        </w:rPr>
        <w:t xml:space="preserve"> </w:t>
      </w:r>
      <w:r w:rsidRPr="00614336">
        <w:rPr>
          <w:spacing w:val="-3"/>
          <w:sz w:val="24"/>
          <w:szCs w:val="24"/>
        </w:rPr>
        <w:t>(1984).</w:t>
      </w:r>
    </w:p>
    <w:p w:rsidR="00392E88" w:rsidRDefault="00392E88" w:rsidP="00392E88">
      <w:pPr>
        <w:rPr>
          <w:sz w:val="24"/>
          <w:szCs w:val="24"/>
          <w:u w:val="single"/>
        </w:rPr>
      </w:pPr>
    </w:p>
    <w:p w:rsidR="001101DE" w:rsidRPr="00392E88" w:rsidRDefault="001101DE" w:rsidP="00392E88">
      <w:pPr>
        <w:rPr>
          <w:sz w:val="24"/>
          <w:szCs w:val="24"/>
          <w:u w:val="single"/>
        </w:rPr>
      </w:pPr>
    </w:p>
    <w:p w:rsidR="00392E88" w:rsidRDefault="00392E88" w:rsidP="001101DE">
      <w:pPr>
        <w:spacing w:line="360" w:lineRule="auto"/>
        <w:rPr>
          <w:sz w:val="24"/>
          <w:szCs w:val="24"/>
          <w:u w:val="single"/>
        </w:rPr>
      </w:pPr>
      <w:r w:rsidRPr="00392E88">
        <w:rPr>
          <w:sz w:val="24"/>
          <w:szCs w:val="24"/>
          <w:u w:val="single"/>
        </w:rPr>
        <w:t>Ability to Pay:</w:t>
      </w:r>
    </w:p>
    <w:p w:rsidR="00392E88" w:rsidRPr="00392E88" w:rsidRDefault="00392E88" w:rsidP="00392E88">
      <w:pPr>
        <w:rPr>
          <w:sz w:val="24"/>
          <w:szCs w:val="24"/>
        </w:rPr>
      </w:pPr>
    </w:p>
    <w:p w:rsidR="00392E88" w:rsidRDefault="00392E88" w:rsidP="00B461B9">
      <w:pPr>
        <w:spacing w:line="360" w:lineRule="auto"/>
        <w:ind w:firstLine="1440"/>
        <w:rPr>
          <w:sz w:val="24"/>
          <w:szCs w:val="24"/>
        </w:rPr>
      </w:pPr>
      <w:r w:rsidRPr="00392E88">
        <w:rPr>
          <w:sz w:val="24"/>
          <w:szCs w:val="24"/>
        </w:rPr>
        <w:t>The</w:t>
      </w:r>
      <w:r>
        <w:rPr>
          <w:sz w:val="24"/>
          <w:szCs w:val="24"/>
        </w:rPr>
        <w:t xml:space="preserve"> Complainant alleges that she cannot pay </w:t>
      </w:r>
      <w:r w:rsidR="00B461B9">
        <w:rPr>
          <w:sz w:val="24"/>
          <w:szCs w:val="24"/>
        </w:rPr>
        <w:t>the budget billing amount of approximately $400</w:t>
      </w:r>
      <w:r w:rsidR="009110D9">
        <w:rPr>
          <w:sz w:val="24"/>
          <w:szCs w:val="24"/>
        </w:rPr>
        <w:t xml:space="preserve"> per month</w:t>
      </w:r>
      <w:r w:rsidR="00B461B9">
        <w:rPr>
          <w:sz w:val="24"/>
          <w:szCs w:val="24"/>
        </w:rPr>
        <w:t xml:space="preserve">.  Her husband Jerry Mallory testified for the Complainant. </w:t>
      </w:r>
      <w:r w:rsidR="00D6737A">
        <w:rPr>
          <w:sz w:val="24"/>
          <w:szCs w:val="24"/>
        </w:rPr>
        <w:t xml:space="preserve"> </w:t>
      </w:r>
      <w:r w:rsidR="00B461B9">
        <w:rPr>
          <w:sz w:val="24"/>
          <w:szCs w:val="24"/>
        </w:rPr>
        <w:t>Mr.</w:t>
      </w:r>
      <w:r w:rsidR="00D6737A">
        <w:rPr>
          <w:sz w:val="24"/>
          <w:szCs w:val="24"/>
        </w:rPr>
        <w:t> </w:t>
      </w:r>
      <w:r w:rsidR="00B461B9">
        <w:rPr>
          <w:sz w:val="24"/>
          <w:szCs w:val="24"/>
        </w:rPr>
        <w:t>Mallory testified that they would like to make regular payments and then make a balloon payment at the end of five years.  Tr. at 7.  PPL asserts that they have accepted up-front payments of a balloon nature, but not the reverse, i.e., not at the back end.  The Complainant asked to be taken off of budget billing and PPL complied.  The Complainant has defaulted on 26</w:t>
      </w:r>
      <w:r w:rsidR="001101DE">
        <w:rPr>
          <w:sz w:val="24"/>
          <w:szCs w:val="24"/>
        </w:rPr>
        <w:t> </w:t>
      </w:r>
      <w:r w:rsidR="00B461B9">
        <w:rPr>
          <w:sz w:val="24"/>
          <w:szCs w:val="24"/>
        </w:rPr>
        <w:t xml:space="preserve">payment agreements, and has made only four payments for 2014.  PPL </w:t>
      </w:r>
      <w:proofErr w:type="spellStart"/>
      <w:r w:rsidR="00B461B9">
        <w:rPr>
          <w:sz w:val="24"/>
          <w:szCs w:val="24"/>
        </w:rPr>
        <w:t>Exhs</w:t>
      </w:r>
      <w:proofErr w:type="spellEnd"/>
      <w:r w:rsidR="00B461B9">
        <w:rPr>
          <w:sz w:val="24"/>
          <w:szCs w:val="24"/>
        </w:rPr>
        <w:t>. 1 and 3.  The past due balance on the account is $5,136.74.  PPL Exh. 1.</w:t>
      </w:r>
      <w:r w:rsidR="00084FE7">
        <w:rPr>
          <w:sz w:val="24"/>
          <w:szCs w:val="24"/>
        </w:rPr>
        <w:t xml:space="preserve">  The Complainant and Jerry Mallory make between $10,000 and $16,000 annually and they are the only two in the family.  They have no medical issues and have not had a change in income.  There has been no significant change in the Complainant’s circumstances.  </w:t>
      </w:r>
    </w:p>
    <w:p w:rsidR="0090342D" w:rsidRPr="0090342D" w:rsidRDefault="0090342D" w:rsidP="00B461B9">
      <w:pPr>
        <w:spacing w:line="360" w:lineRule="auto"/>
        <w:ind w:firstLine="1440"/>
        <w:rPr>
          <w:sz w:val="24"/>
          <w:szCs w:val="24"/>
          <w:u w:val="single"/>
        </w:rPr>
      </w:pPr>
    </w:p>
    <w:p w:rsidR="00C23F98" w:rsidRDefault="0090342D" w:rsidP="0090342D">
      <w:pPr>
        <w:spacing w:line="360" w:lineRule="auto"/>
        <w:rPr>
          <w:sz w:val="24"/>
          <w:szCs w:val="24"/>
          <w:u w:val="single"/>
        </w:rPr>
      </w:pPr>
      <w:r w:rsidRPr="0090342D">
        <w:rPr>
          <w:sz w:val="24"/>
          <w:szCs w:val="24"/>
          <w:u w:val="single"/>
        </w:rPr>
        <w:t>Legal Standard</w:t>
      </w:r>
      <w:r w:rsidR="00C23F98">
        <w:rPr>
          <w:sz w:val="24"/>
          <w:szCs w:val="24"/>
          <w:u w:val="single"/>
        </w:rPr>
        <w:t>s</w:t>
      </w:r>
      <w:r w:rsidRPr="0090342D">
        <w:rPr>
          <w:sz w:val="24"/>
          <w:szCs w:val="24"/>
          <w:u w:val="single"/>
        </w:rPr>
        <w:t>:</w:t>
      </w:r>
    </w:p>
    <w:p w:rsidR="001101DE" w:rsidRDefault="001101DE" w:rsidP="0090342D">
      <w:pPr>
        <w:spacing w:line="360" w:lineRule="auto"/>
        <w:rPr>
          <w:sz w:val="24"/>
          <w:szCs w:val="24"/>
          <w:u w:val="single"/>
        </w:rPr>
      </w:pPr>
    </w:p>
    <w:p w:rsidR="0090342D" w:rsidRDefault="0090342D" w:rsidP="002A5821">
      <w:pPr>
        <w:ind w:firstLine="1440"/>
        <w:rPr>
          <w:sz w:val="24"/>
          <w:szCs w:val="24"/>
        </w:rPr>
      </w:pPr>
      <w:r w:rsidRPr="0090342D">
        <w:rPr>
          <w:sz w:val="24"/>
          <w:szCs w:val="24"/>
        </w:rPr>
        <w:t>§</w:t>
      </w:r>
      <w:r>
        <w:rPr>
          <w:sz w:val="24"/>
          <w:szCs w:val="24"/>
        </w:rPr>
        <w:t xml:space="preserve"> 1405</w:t>
      </w:r>
      <w:r w:rsidR="002A5821">
        <w:rPr>
          <w:sz w:val="24"/>
          <w:szCs w:val="24"/>
        </w:rPr>
        <w:t>.</w:t>
      </w:r>
      <w:r>
        <w:rPr>
          <w:sz w:val="24"/>
          <w:szCs w:val="24"/>
        </w:rPr>
        <w:t xml:space="preserve"> </w:t>
      </w:r>
      <w:r w:rsidR="00DC682B">
        <w:rPr>
          <w:sz w:val="24"/>
          <w:szCs w:val="24"/>
        </w:rPr>
        <w:t xml:space="preserve"> </w:t>
      </w:r>
      <w:r>
        <w:rPr>
          <w:sz w:val="24"/>
          <w:szCs w:val="24"/>
        </w:rPr>
        <w:t xml:space="preserve">Payment </w:t>
      </w:r>
      <w:r w:rsidR="002A5821">
        <w:rPr>
          <w:sz w:val="24"/>
          <w:szCs w:val="24"/>
        </w:rPr>
        <w:t>a</w:t>
      </w:r>
      <w:r>
        <w:rPr>
          <w:sz w:val="24"/>
          <w:szCs w:val="24"/>
        </w:rPr>
        <w:t>greements</w:t>
      </w:r>
    </w:p>
    <w:p w:rsidR="002A5821" w:rsidRDefault="002A5821" w:rsidP="002A5821">
      <w:pPr>
        <w:ind w:firstLine="1440"/>
        <w:rPr>
          <w:sz w:val="24"/>
          <w:szCs w:val="24"/>
        </w:rPr>
      </w:pPr>
    </w:p>
    <w:p w:rsidR="0012331B" w:rsidRDefault="0012331B" w:rsidP="00E92DBD">
      <w:pPr>
        <w:pStyle w:val="ListParagraph"/>
        <w:numPr>
          <w:ilvl w:val="0"/>
          <w:numId w:val="27"/>
        </w:numPr>
        <w:ind w:left="1530" w:firstLine="180"/>
        <w:rPr>
          <w:sz w:val="24"/>
          <w:szCs w:val="24"/>
        </w:rPr>
      </w:pPr>
      <w:r>
        <w:rPr>
          <w:sz w:val="24"/>
          <w:szCs w:val="24"/>
        </w:rPr>
        <w:t xml:space="preserve">General </w:t>
      </w:r>
      <w:r w:rsidR="00FC1BAA">
        <w:rPr>
          <w:sz w:val="24"/>
          <w:szCs w:val="24"/>
        </w:rPr>
        <w:t>r</w:t>
      </w:r>
      <w:r>
        <w:rPr>
          <w:sz w:val="24"/>
          <w:szCs w:val="24"/>
        </w:rPr>
        <w:t>ule</w:t>
      </w:r>
      <w:r w:rsidR="00FC1BAA">
        <w:rPr>
          <w:sz w:val="24"/>
          <w:szCs w:val="24"/>
        </w:rPr>
        <w:t>.</w:t>
      </w:r>
      <w:r>
        <w:rPr>
          <w:sz w:val="24"/>
          <w:szCs w:val="24"/>
        </w:rPr>
        <w:t xml:space="preserve"> </w:t>
      </w:r>
      <w:r w:rsidR="00FC1BAA">
        <w:rPr>
          <w:sz w:val="24"/>
          <w:szCs w:val="24"/>
        </w:rPr>
        <w:t>–</w:t>
      </w:r>
      <w:r>
        <w:rPr>
          <w:sz w:val="24"/>
          <w:szCs w:val="24"/>
        </w:rPr>
        <w:t xml:space="preserve"> The commission is authorized to investigate complaints regarding payment disputes between a public utility</w:t>
      </w:r>
      <w:r w:rsidR="00594214">
        <w:rPr>
          <w:sz w:val="24"/>
          <w:szCs w:val="24"/>
        </w:rPr>
        <w:t>,</w:t>
      </w:r>
      <w:r>
        <w:rPr>
          <w:sz w:val="24"/>
          <w:szCs w:val="24"/>
        </w:rPr>
        <w:t xml:space="preserve"> applicants and customers.  The commission is authorized to establish payment agreements between a public utility, customers and applicants within the limits established by this chapter.</w:t>
      </w:r>
    </w:p>
    <w:p w:rsidR="002A5821" w:rsidRDefault="002A5821" w:rsidP="002A5821">
      <w:pPr>
        <w:pStyle w:val="ListParagraph"/>
        <w:ind w:left="1890"/>
        <w:rPr>
          <w:sz w:val="24"/>
          <w:szCs w:val="24"/>
        </w:rPr>
      </w:pPr>
    </w:p>
    <w:p w:rsidR="0090342D" w:rsidRDefault="0012331B" w:rsidP="00E92DBD">
      <w:pPr>
        <w:pStyle w:val="ListParagraph"/>
        <w:numPr>
          <w:ilvl w:val="0"/>
          <w:numId w:val="27"/>
        </w:numPr>
        <w:ind w:left="1530" w:firstLine="180"/>
        <w:rPr>
          <w:sz w:val="24"/>
          <w:szCs w:val="24"/>
        </w:rPr>
      </w:pPr>
      <w:r>
        <w:rPr>
          <w:sz w:val="24"/>
          <w:szCs w:val="24"/>
        </w:rPr>
        <w:t>Length of payment agreements</w:t>
      </w:r>
      <w:r w:rsidR="00FC1BAA">
        <w:rPr>
          <w:sz w:val="24"/>
          <w:szCs w:val="24"/>
        </w:rPr>
        <w:t>.</w:t>
      </w:r>
      <w:r>
        <w:rPr>
          <w:sz w:val="24"/>
          <w:szCs w:val="24"/>
        </w:rPr>
        <w:t xml:space="preserve"> – </w:t>
      </w:r>
      <w:r w:rsidR="00FC1BAA">
        <w:rPr>
          <w:sz w:val="24"/>
          <w:szCs w:val="24"/>
        </w:rPr>
        <w:t>T</w:t>
      </w:r>
      <w:r>
        <w:rPr>
          <w:sz w:val="24"/>
          <w:szCs w:val="24"/>
        </w:rPr>
        <w:t>he length of time for a customer to resolve an unpaid balance on an account that is subject to a payment agreement that is investigated by the commission and is entered into by a public utility and a customer shall not extend beyond:</w:t>
      </w:r>
    </w:p>
    <w:p w:rsidR="002A5821" w:rsidRDefault="002A5821" w:rsidP="002A5821">
      <w:pPr>
        <w:pStyle w:val="ListParagraph"/>
        <w:ind w:left="1890"/>
        <w:rPr>
          <w:sz w:val="24"/>
          <w:szCs w:val="24"/>
        </w:rPr>
      </w:pPr>
    </w:p>
    <w:p w:rsidR="002A5821" w:rsidRPr="001E0E87" w:rsidRDefault="001E0E87" w:rsidP="001E0E87">
      <w:pPr>
        <w:pStyle w:val="ListParagraph"/>
        <w:numPr>
          <w:ilvl w:val="0"/>
          <w:numId w:val="44"/>
        </w:numPr>
        <w:rPr>
          <w:sz w:val="24"/>
          <w:szCs w:val="24"/>
        </w:rPr>
      </w:pPr>
      <w:r>
        <w:rPr>
          <w:b/>
          <w:sz w:val="24"/>
          <w:szCs w:val="24"/>
        </w:rPr>
        <w:t xml:space="preserve"> </w:t>
      </w:r>
      <w:r w:rsidR="0012331B" w:rsidRPr="001E0E87">
        <w:rPr>
          <w:b/>
          <w:sz w:val="24"/>
          <w:szCs w:val="24"/>
        </w:rPr>
        <w:t>Five years for customers with a gross monthly household income level not exceeding 150% of the federal poverty level.</w:t>
      </w:r>
      <w:r w:rsidR="0012331B" w:rsidRPr="001E0E87">
        <w:rPr>
          <w:sz w:val="24"/>
          <w:szCs w:val="24"/>
        </w:rPr>
        <w:t xml:space="preserve"> [ ]</w:t>
      </w:r>
    </w:p>
    <w:p w:rsidR="002A5821" w:rsidRPr="002A5821" w:rsidRDefault="002A5821" w:rsidP="002A5821">
      <w:pPr>
        <w:pStyle w:val="ListParagraph"/>
        <w:ind w:left="2160"/>
        <w:rPr>
          <w:sz w:val="24"/>
          <w:szCs w:val="24"/>
        </w:rPr>
      </w:pPr>
    </w:p>
    <w:p w:rsidR="000A07B4" w:rsidRDefault="000A07B4" w:rsidP="00E92DBD">
      <w:pPr>
        <w:pStyle w:val="ListParagraph"/>
        <w:numPr>
          <w:ilvl w:val="0"/>
          <w:numId w:val="27"/>
        </w:numPr>
        <w:ind w:hanging="180"/>
        <w:rPr>
          <w:sz w:val="24"/>
          <w:szCs w:val="24"/>
        </w:rPr>
      </w:pPr>
      <w:r>
        <w:rPr>
          <w:sz w:val="24"/>
          <w:szCs w:val="24"/>
        </w:rPr>
        <w:t>[ ]</w:t>
      </w:r>
    </w:p>
    <w:p w:rsidR="002A5821" w:rsidRDefault="002A5821" w:rsidP="002A5821">
      <w:pPr>
        <w:pStyle w:val="ListParagraph"/>
        <w:ind w:left="1890"/>
        <w:rPr>
          <w:sz w:val="24"/>
          <w:szCs w:val="24"/>
        </w:rPr>
      </w:pPr>
    </w:p>
    <w:p w:rsidR="0012331B" w:rsidRDefault="0012331B" w:rsidP="00E92DBD">
      <w:pPr>
        <w:pStyle w:val="ListParagraph"/>
        <w:numPr>
          <w:ilvl w:val="0"/>
          <w:numId w:val="27"/>
        </w:numPr>
        <w:ind w:left="1530" w:firstLine="180"/>
        <w:rPr>
          <w:sz w:val="24"/>
          <w:szCs w:val="24"/>
        </w:rPr>
      </w:pPr>
      <w:r w:rsidRPr="000A07B4">
        <w:rPr>
          <w:sz w:val="24"/>
          <w:szCs w:val="24"/>
        </w:rPr>
        <w:t>Number of payment agreements</w:t>
      </w:r>
      <w:r w:rsidR="00FC1BAA">
        <w:rPr>
          <w:sz w:val="24"/>
          <w:szCs w:val="24"/>
        </w:rPr>
        <w:t>.</w:t>
      </w:r>
      <w:r w:rsidRPr="000A07B4">
        <w:rPr>
          <w:sz w:val="24"/>
          <w:szCs w:val="24"/>
        </w:rPr>
        <w:t xml:space="preserve"> – Absent a change in income, </w:t>
      </w:r>
      <w:r w:rsidRPr="00C23F98">
        <w:rPr>
          <w:b/>
          <w:sz w:val="24"/>
          <w:szCs w:val="24"/>
        </w:rPr>
        <w:t>the commission shall not establish or order a public utility to establish a second or subsequent payment agreement if a customer has defaulted on a previous payment agreement.</w:t>
      </w:r>
      <w:r w:rsidRPr="000A07B4">
        <w:rPr>
          <w:sz w:val="24"/>
          <w:szCs w:val="24"/>
        </w:rPr>
        <w:t xml:space="preserve">  [ ]</w:t>
      </w:r>
    </w:p>
    <w:p w:rsidR="002A5821" w:rsidRPr="000A07B4" w:rsidRDefault="002A5821" w:rsidP="002A5821">
      <w:pPr>
        <w:pStyle w:val="ListParagraph"/>
        <w:ind w:left="1890"/>
        <w:rPr>
          <w:sz w:val="24"/>
          <w:szCs w:val="24"/>
        </w:rPr>
      </w:pPr>
    </w:p>
    <w:p w:rsidR="000A07B4" w:rsidRDefault="000A07B4" w:rsidP="00E92DBD">
      <w:pPr>
        <w:pStyle w:val="ListParagraph"/>
        <w:numPr>
          <w:ilvl w:val="0"/>
          <w:numId w:val="27"/>
        </w:numPr>
        <w:ind w:hanging="180"/>
        <w:rPr>
          <w:sz w:val="24"/>
          <w:szCs w:val="24"/>
        </w:rPr>
      </w:pPr>
      <w:r>
        <w:rPr>
          <w:sz w:val="24"/>
          <w:szCs w:val="24"/>
        </w:rPr>
        <w:t>[ ]</w:t>
      </w:r>
    </w:p>
    <w:p w:rsidR="002A5821" w:rsidRDefault="002A5821" w:rsidP="002A5821">
      <w:pPr>
        <w:pStyle w:val="ListParagraph"/>
        <w:ind w:left="1890"/>
        <w:rPr>
          <w:sz w:val="24"/>
          <w:szCs w:val="24"/>
        </w:rPr>
      </w:pPr>
    </w:p>
    <w:p w:rsidR="00F4499B" w:rsidRDefault="000A07B4" w:rsidP="00E92DBD">
      <w:pPr>
        <w:pStyle w:val="ListParagraph"/>
        <w:numPr>
          <w:ilvl w:val="0"/>
          <w:numId w:val="27"/>
        </w:numPr>
        <w:ind w:left="1530" w:firstLine="180"/>
        <w:rPr>
          <w:sz w:val="24"/>
          <w:szCs w:val="24"/>
        </w:rPr>
      </w:pPr>
      <w:r>
        <w:rPr>
          <w:sz w:val="24"/>
          <w:szCs w:val="24"/>
        </w:rPr>
        <w:t>Failure to comply with a payment agreement</w:t>
      </w:r>
      <w:r w:rsidR="00FC1BAA">
        <w:rPr>
          <w:sz w:val="24"/>
          <w:szCs w:val="24"/>
        </w:rPr>
        <w:t>.</w:t>
      </w:r>
      <w:r>
        <w:rPr>
          <w:sz w:val="24"/>
          <w:szCs w:val="24"/>
        </w:rPr>
        <w:t xml:space="preserve"> – Failure of a customer to comply with the terms of a payment agreement shall be grounds for a public utility to terminate the customer’s service.  Pending the outcome of a complaint filed with the commission, a customer shall be obligated to pay the portion of the bill which is not in dispute and subsequent bills which are not in dispute.</w:t>
      </w:r>
    </w:p>
    <w:p w:rsidR="002A5821" w:rsidRPr="00F4499B" w:rsidRDefault="002A5821" w:rsidP="002A5821">
      <w:pPr>
        <w:pStyle w:val="ListParagraph"/>
        <w:ind w:left="1890"/>
        <w:rPr>
          <w:sz w:val="24"/>
          <w:szCs w:val="24"/>
        </w:rPr>
      </w:pPr>
    </w:p>
    <w:p w:rsidR="0012331B" w:rsidRPr="00C23F98" w:rsidRDefault="00C23F98" w:rsidP="00C23F98">
      <w:pPr>
        <w:spacing w:line="360" w:lineRule="auto"/>
        <w:rPr>
          <w:sz w:val="24"/>
          <w:szCs w:val="24"/>
        </w:rPr>
      </w:pPr>
      <w:r>
        <w:rPr>
          <w:sz w:val="24"/>
          <w:szCs w:val="24"/>
        </w:rPr>
        <w:t>66 Pa.C.S.A. § 1405 (Emphasis added).</w:t>
      </w:r>
    </w:p>
    <w:p w:rsidR="0012331B" w:rsidRDefault="0012331B" w:rsidP="0012331B">
      <w:pPr>
        <w:spacing w:line="360" w:lineRule="auto"/>
        <w:rPr>
          <w:sz w:val="24"/>
          <w:szCs w:val="24"/>
        </w:rPr>
      </w:pPr>
    </w:p>
    <w:p w:rsidR="002A5821" w:rsidRDefault="002A5821" w:rsidP="0012331B">
      <w:pPr>
        <w:spacing w:line="360" w:lineRule="auto"/>
        <w:rPr>
          <w:sz w:val="24"/>
          <w:szCs w:val="24"/>
        </w:rPr>
      </w:pPr>
    </w:p>
    <w:p w:rsidR="00180493" w:rsidRDefault="00180493" w:rsidP="0012331B">
      <w:pPr>
        <w:spacing w:line="360" w:lineRule="auto"/>
        <w:rPr>
          <w:sz w:val="24"/>
          <w:szCs w:val="24"/>
        </w:rPr>
      </w:pPr>
    </w:p>
    <w:p w:rsidR="00F4499B" w:rsidRDefault="00F4499B" w:rsidP="00180493">
      <w:pPr>
        <w:ind w:firstLine="1440"/>
        <w:rPr>
          <w:sz w:val="24"/>
          <w:szCs w:val="24"/>
        </w:rPr>
      </w:pPr>
      <w:r>
        <w:rPr>
          <w:sz w:val="24"/>
          <w:szCs w:val="24"/>
        </w:rPr>
        <w:t>§ 1406</w:t>
      </w:r>
      <w:r w:rsidR="002E24E6">
        <w:rPr>
          <w:sz w:val="24"/>
          <w:szCs w:val="24"/>
        </w:rPr>
        <w:t>.</w:t>
      </w:r>
      <w:r>
        <w:rPr>
          <w:sz w:val="24"/>
          <w:szCs w:val="24"/>
        </w:rPr>
        <w:t xml:space="preserve"> </w:t>
      </w:r>
      <w:r w:rsidR="005B13EA">
        <w:rPr>
          <w:sz w:val="24"/>
          <w:szCs w:val="24"/>
        </w:rPr>
        <w:t xml:space="preserve"> </w:t>
      </w:r>
      <w:r>
        <w:rPr>
          <w:sz w:val="24"/>
          <w:szCs w:val="24"/>
        </w:rPr>
        <w:t>Termination of utility service</w:t>
      </w:r>
    </w:p>
    <w:p w:rsidR="00180493" w:rsidRDefault="00180493" w:rsidP="00180493">
      <w:pPr>
        <w:ind w:firstLine="1440"/>
        <w:rPr>
          <w:sz w:val="24"/>
          <w:szCs w:val="24"/>
        </w:rPr>
      </w:pPr>
    </w:p>
    <w:p w:rsidR="00F4499B" w:rsidRDefault="00BF3797" w:rsidP="00A066B5">
      <w:pPr>
        <w:pStyle w:val="ListParagraph"/>
        <w:numPr>
          <w:ilvl w:val="0"/>
          <w:numId w:val="36"/>
        </w:numPr>
        <w:ind w:left="1620" w:firstLine="180"/>
        <w:rPr>
          <w:sz w:val="24"/>
          <w:szCs w:val="24"/>
        </w:rPr>
      </w:pPr>
      <w:r>
        <w:rPr>
          <w:sz w:val="24"/>
          <w:szCs w:val="24"/>
        </w:rPr>
        <w:t xml:space="preserve"> </w:t>
      </w:r>
      <w:r w:rsidR="00F4499B">
        <w:rPr>
          <w:sz w:val="24"/>
          <w:szCs w:val="24"/>
        </w:rPr>
        <w:t>Authorized termination</w:t>
      </w:r>
      <w:r w:rsidR="005B13EA">
        <w:rPr>
          <w:sz w:val="24"/>
          <w:szCs w:val="24"/>
        </w:rPr>
        <w:t>.</w:t>
      </w:r>
      <w:r w:rsidR="00F4499B">
        <w:rPr>
          <w:sz w:val="24"/>
          <w:szCs w:val="24"/>
        </w:rPr>
        <w:t xml:space="preserve"> – A public utility may notify a customer and terminate service provided to a customer after notice as provided in subsection</w:t>
      </w:r>
      <w:r w:rsidR="002E24E6">
        <w:rPr>
          <w:sz w:val="24"/>
          <w:szCs w:val="24"/>
        </w:rPr>
        <w:t> </w:t>
      </w:r>
      <w:r w:rsidR="00F4499B">
        <w:rPr>
          <w:sz w:val="24"/>
          <w:szCs w:val="24"/>
        </w:rPr>
        <w:t>(b) for any of the following actions by the customer:</w:t>
      </w:r>
    </w:p>
    <w:p w:rsidR="00180493" w:rsidRDefault="00180493" w:rsidP="00180493">
      <w:pPr>
        <w:pStyle w:val="ListParagraph"/>
        <w:ind w:left="1800"/>
        <w:rPr>
          <w:sz w:val="24"/>
          <w:szCs w:val="24"/>
        </w:rPr>
      </w:pPr>
    </w:p>
    <w:p w:rsidR="00F4499B" w:rsidRPr="001E0E87" w:rsidRDefault="001E0E87" w:rsidP="001E0E87">
      <w:pPr>
        <w:pStyle w:val="ListParagraph"/>
        <w:numPr>
          <w:ilvl w:val="0"/>
          <w:numId w:val="45"/>
        </w:numPr>
        <w:rPr>
          <w:sz w:val="24"/>
          <w:szCs w:val="24"/>
        </w:rPr>
      </w:pPr>
      <w:r>
        <w:rPr>
          <w:sz w:val="24"/>
          <w:szCs w:val="24"/>
        </w:rPr>
        <w:t xml:space="preserve"> </w:t>
      </w:r>
      <w:r w:rsidR="00F4499B" w:rsidRPr="001E0E87">
        <w:rPr>
          <w:sz w:val="24"/>
          <w:szCs w:val="24"/>
        </w:rPr>
        <w:t>Nonpayment of an undisputed account.</w:t>
      </w:r>
    </w:p>
    <w:p w:rsidR="00180493" w:rsidRDefault="00180493" w:rsidP="00180493">
      <w:pPr>
        <w:pStyle w:val="ListParagraph"/>
        <w:ind w:left="2160"/>
        <w:rPr>
          <w:sz w:val="24"/>
          <w:szCs w:val="24"/>
        </w:rPr>
      </w:pPr>
    </w:p>
    <w:p w:rsidR="00F4499B" w:rsidRDefault="00180493" w:rsidP="00180493">
      <w:pPr>
        <w:ind w:left="1800"/>
        <w:rPr>
          <w:sz w:val="24"/>
          <w:szCs w:val="24"/>
        </w:rPr>
      </w:pPr>
      <w:r>
        <w:rPr>
          <w:sz w:val="24"/>
          <w:szCs w:val="24"/>
        </w:rPr>
        <w:tab/>
      </w:r>
      <w:r w:rsidR="00F4499B">
        <w:rPr>
          <w:sz w:val="24"/>
          <w:szCs w:val="24"/>
        </w:rPr>
        <w:t>[ ]</w:t>
      </w:r>
    </w:p>
    <w:p w:rsidR="00180493" w:rsidRDefault="00180493" w:rsidP="00180493">
      <w:pPr>
        <w:ind w:left="1800"/>
        <w:rPr>
          <w:sz w:val="24"/>
          <w:szCs w:val="24"/>
        </w:rPr>
      </w:pPr>
    </w:p>
    <w:p w:rsidR="00180493" w:rsidRDefault="00F4499B" w:rsidP="002E24E6">
      <w:pPr>
        <w:ind w:left="1620" w:firstLine="180"/>
        <w:rPr>
          <w:sz w:val="24"/>
          <w:szCs w:val="24"/>
        </w:rPr>
      </w:pPr>
      <w:r>
        <w:rPr>
          <w:sz w:val="24"/>
          <w:szCs w:val="24"/>
        </w:rPr>
        <w:t>(e)  Winter termination</w:t>
      </w:r>
      <w:r w:rsidR="00DC682B">
        <w:rPr>
          <w:sz w:val="24"/>
          <w:szCs w:val="24"/>
        </w:rPr>
        <w:t>.</w:t>
      </w:r>
      <w:r>
        <w:rPr>
          <w:sz w:val="24"/>
          <w:szCs w:val="24"/>
        </w:rPr>
        <w:t xml:space="preserve"> </w:t>
      </w:r>
      <w:r w:rsidR="00180493">
        <w:rPr>
          <w:sz w:val="24"/>
          <w:szCs w:val="24"/>
        </w:rPr>
        <w:t>–</w:t>
      </w:r>
      <w:r>
        <w:rPr>
          <w:sz w:val="24"/>
          <w:szCs w:val="24"/>
        </w:rPr>
        <w:t xml:space="preserve"> </w:t>
      </w:r>
    </w:p>
    <w:p w:rsidR="00180493" w:rsidRDefault="00180493" w:rsidP="00180493">
      <w:pPr>
        <w:ind w:left="1440"/>
        <w:rPr>
          <w:sz w:val="24"/>
          <w:szCs w:val="24"/>
        </w:rPr>
      </w:pPr>
    </w:p>
    <w:p w:rsidR="00180493" w:rsidRPr="001E0E87" w:rsidRDefault="001E0E87" w:rsidP="001E0E87">
      <w:pPr>
        <w:pStyle w:val="ListParagraph"/>
        <w:numPr>
          <w:ilvl w:val="0"/>
          <w:numId w:val="48"/>
        </w:numPr>
        <w:rPr>
          <w:sz w:val="24"/>
          <w:szCs w:val="24"/>
        </w:rPr>
      </w:pPr>
      <w:r>
        <w:rPr>
          <w:sz w:val="24"/>
          <w:szCs w:val="24"/>
        </w:rPr>
        <w:t xml:space="preserve"> </w:t>
      </w:r>
      <w:r w:rsidR="00F4499B" w:rsidRPr="001E0E87">
        <w:rPr>
          <w:sz w:val="24"/>
          <w:szCs w:val="24"/>
        </w:rPr>
        <w:t>Unless otherwise authorized by the commission, after November 1 and before April 1, an electric distribution utility or natural gas distribution utility shall not terminate service to customers with household incomes at or below 250% of the federal poverty level</w:t>
      </w:r>
      <w:r w:rsidR="00DE7815">
        <w:rPr>
          <w:sz w:val="24"/>
          <w:szCs w:val="24"/>
        </w:rPr>
        <w:t>.</w:t>
      </w:r>
      <w:r w:rsidR="00F4499B" w:rsidRPr="001E0E87">
        <w:rPr>
          <w:sz w:val="24"/>
          <w:szCs w:val="24"/>
        </w:rPr>
        <w:t xml:space="preserve"> </w:t>
      </w:r>
    </w:p>
    <w:p w:rsidR="00180493" w:rsidRDefault="00180493" w:rsidP="00180493">
      <w:pPr>
        <w:pStyle w:val="ListParagraph"/>
        <w:ind w:left="2160"/>
        <w:rPr>
          <w:sz w:val="24"/>
          <w:szCs w:val="24"/>
        </w:rPr>
      </w:pPr>
      <w:r>
        <w:rPr>
          <w:sz w:val="24"/>
          <w:szCs w:val="24"/>
        </w:rPr>
        <w:tab/>
      </w:r>
    </w:p>
    <w:p w:rsidR="00F4499B" w:rsidRPr="00180493" w:rsidRDefault="00F4499B" w:rsidP="00180493">
      <w:pPr>
        <w:pStyle w:val="ListParagraph"/>
        <w:ind w:left="2160"/>
        <w:rPr>
          <w:sz w:val="24"/>
          <w:szCs w:val="24"/>
        </w:rPr>
      </w:pPr>
      <w:r w:rsidRPr="00180493">
        <w:rPr>
          <w:sz w:val="24"/>
          <w:szCs w:val="24"/>
        </w:rPr>
        <w:t>[ ].</w:t>
      </w:r>
    </w:p>
    <w:p w:rsidR="0012331B" w:rsidRPr="00F4499B" w:rsidRDefault="0012331B" w:rsidP="0012331B">
      <w:pPr>
        <w:spacing w:line="360" w:lineRule="auto"/>
        <w:rPr>
          <w:sz w:val="24"/>
          <w:szCs w:val="24"/>
          <w:u w:val="single"/>
        </w:rPr>
      </w:pPr>
    </w:p>
    <w:p w:rsidR="0012331B" w:rsidRDefault="00F4499B" w:rsidP="0012331B">
      <w:pPr>
        <w:spacing w:line="360" w:lineRule="auto"/>
        <w:rPr>
          <w:sz w:val="24"/>
          <w:szCs w:val="24"/>
          <w:u w:val="single"/>
        </w:rPr>
      </w:pPr>
      <w:r w:rsidRPr="00F4499B">
        <w:rPr>
          <w:sz w:val="24"/>
          <w:szCs w:val="24"/>
          <w:u w:val="single"/>
        </w:rPr>
        <w:t>Conclusion:</w:t>
      </w:r>
    </w:p>
    <w:p w:rsidR="001101DE" w:rsidRDefault="001101DE" w:rsidP="0012331B">
      <w:pPr>
        <w:spacing w:line="360" w:lineRule="auto"/>
        <w:rPr>
          <w:sz w:val="24"/>
          <w:szCs w:val="24"/>
          <w:u w:val="single"/>
        </w:rPr>
      </w:pPr>
    </w:p>
    <w:p w:rsidR="00A470ED" w:rsidRDefault="00617D74" w:rsidP="002A04C1">
      <w:pPr>
        <w:spacing w:line="360" w:lineRule="auto"/>
        <w:ind w:firstLine="1440"/>
        <w:rPr>
          <w:sz w:val="24"/>
          <w:szCs w:val="24"/>
        </w:rPr>
      </w:pPr>
      <w:r>
        <w:rPr>
          <w:sz w:val="24"/>
          <w:szCs w:val="24"/>
        </w:rPr>
        <w:t xml:space="preserve">The PUC cannot order a payment agreement because the Complainant defaulted on the BCS issued payment agreement and has not had a change in income or a significant change in circumstances.  66 Pa.C.S. § 1405(d).  </w:t>
      </w:r>
      <w:r w:rsidR="00F4499B">
        <w:rPr>
          <w:sz w:val="24"/>
          <w:szCs w:val="24"/>
        </w:rPr>
        <w:t>Based upon the statutory language cited above, the Complainant has five years to pay off her arrearage.</w:t>
      </w:r>
      <w:r w:rsidR="002A04C1">
        <w:rPr>
          <w:sz w:val="24"/>
          <w:szCs w:val="24"/>
        </w:rPr>
        <w:t xml:space="preserve">  There is no provision for a balloon payment at the end.  Therefore, PPL is correct to afford the Complainant 60 months, or five years to pay off her arrearage.  Tr.</w:t>
      </w:r>
      <w:r w:rsidR="00E3116E">
        <w:rPr>
          <w:sz w:val="24"/>
          <w:szCs w:val="24"/>
        </w:rPr>
        <w:t> </w:t>
      </w:r>
      <w:r w:rsidR="002A04C1">
        <w:rPr>
          <w:sz w:val="24"/>
          <w:szCs w:val="24"/>
        </w:rPr>
        <w:t>at</w:t>
      </w:r>
      <w:r w:rsidR="00E3116E">
        <w:rPr>
          <w:sz w:val="24"/>
          <w:szCs w:val="24"/>
        </w:rPr>
        <w:t> </w:t>
      </w:r>
      <w:r w:rsidR="002A04C1">
        <w:rPr>
          <w:sz w:val="24"/>
          <w:szCs w:val="24"/>
        </w:rPr>
        <w:t xml:space="preserve">18.  Furthermore, PPL is correct to break the amount into equal monthly payment installments over that 60 months.  Tr. at 18.  </w:t>
      </w:r>
    </w:p>
    <w:p w:rsidR="002A04C1" w:rsidRDefault="002A04C1" w:rsidP="002A04C1">
      <w:pPr>
        <w:spacing w:line="360" w:lineRule="auto"/>
        <w:ind w:firstLine="1440"/>
        <w:rPr>
          <w:sz w:val="24"/>
          <w:szCs w:val="24"/>
          <w:u w:val="single"/>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2A04C1" w:rsidRDefault="002A04C1" w:rsidP="00A470ED">
      <w:pPr>
        <w:spacing w:line="360" w:lineRule="auto"/>
        <w:jc w:val="center"/>
        <w:rPr>
          <w:sz w:val="24"/>
          <w:szCs w:val="24"/>
          <w:u w:val="single"/>
        </w:rPr>
      </w:pPr>
    </w:p>
    <w:p w:rsidR="009110D9" w:rsidRPr="0036321F" w:rsidRDefault="002A04C1" w:rsidP="002A04C1">
      <w:pPr>
        <w:pStyle w:val="ListParagraph"/>
        <w:numPr>
          <w:ilvl w:val="0"/>
          <w:numId w:val="31"/>
        </w:numPr>
        <w:spacing w:line="360" w:lineRule="auto"/>
        <w:ind w:left="0" w:firstLine="1350"/>
        <w:rPr>
          <w:sz w:val="24"/>
          <w:szCs w:val="24"/>
          <w:u w:val="single"/>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66 Pa.C.S. §</w:t>
      </w:r>
      <w:r>
        <w:rPr>
          <w:sz w:val="24"/>
          <w:szCs w:val="24"/>
        </w:rPr>
        <w:t xml:space="preserve"> </w:t>
      </w:r>
      <w:r w:rsidRPr="00A941C5">
        <w:rPr>
          <w:sz w:val="24"/>
          <w:szCs w:val="24"/>
        </w:rPr>
        <w:t>332(a).</w:t>
      </w:r>
      <w:r>
        <w:rPr>
          <w:sz w:val="24"/>
          <w:szCs w:val="24"/>
        </w:rPr>
        <w:t xml:space="preserve"> </w:t>
      </w:r>
    </w:p>
    <w:p w:rsidR="0036321F" w:rsidRPr="0036321F" w:rsidRDefault="0036321F" w:rsidP="0036321F">
      <w:pPr>
        <w:pStyle w:val="ListParagraph"/>
        <w:spacing w:line="360" w:lineRule="auto"/>
        <w:ind w:left="1350"/>
        <w:rPr>
          <w:sz w:val="24"/>
          <w:szCs w:val="24"/>
        </w:rPr>
      </w:pPr>
      <w:r>
        <w:rPr>
          <w:sz w:val="24"/>
          <w:szCs w:val="24"/>
        </w:rPr>
        <w:t xml:space="preserve"> </w:t>
      </w:r>
    </w:p>
    <w:p w:rsidR="0036321F" w:rsidRPr="0036321F" w:rsidRDefault="0036321F" w:rsidP="002A04C1">
      <w:pPr>
        <w:pStyle w:val="ListParagraph"/>
        <w:numPr>
          <w:ilvl w:val="0"/>
          <w:numId w:val="31"/>
        </w:numPr>
        <w:spacing w:line="360" w:lineRule="auto"/>
        <w:ind w:left="0" w:firstLine="1350"/>
        <w:rPr>
          <w:sz w:val="24"/>
          <w:szCs w:val="24"/>
        </w:rPr>
      </w:pPr>
      <w:r w:rsidRPr="0036321F">
        <w:rPr>
          <w:sz w:val="24"/>
          <w:szCs w:val="24"/>
        </w:rPr>
        <w:t>The Complainant</w:t>
      </w:r>
      <w:r>
        <w:rPr>
          <w:sz w:val="24"/>
          <w:szCs w:val="24"/>
        </w:rPr>
        <w:t xml:space="preserve"> failed to meet her burden of proof.</w:t>
      </w:r>
    </w:p>
    <w:p w:rsidR="009110D9" w:rsidRPr="009110D9" w:rsidRDefault="009110D9" w:rsidP="009110D9">
      <w:pPr>
        <w:pStyle w:val="ListParagraph"/>
        <w:spacing w:line="360" w:lineRule="auto"/>
        <w:ind w:left="1350"/>
        <w:rPr>
          <w:sz w:val="24"/>
          <w:szCs w:val="24"/>
          <w:u w:val="single"/>
        </w:rPr>
      </w:pPr>
      <w:r>
        <w:rPr>
          <w:sz w:val="24"/>
          <w:szCs w:val="24"/>
        </w:rPr>
        <w:t xml:space="preserve"> </w:t>
      </w:r>
    </w:p>
    <w:p w:rsidR="002A04C1" w:rsidRPr="009110D9" w:rsidRDefault="009110D9" w:rsidP="009110D9">
      <w:pPr>
        <w:pStyle w:val="ListParagraph"/>
        <w:numPr>
          <w:ilvl w:val="0"/>
          <w:numId w:val="31"/>
        </w:numPr>
        <w:spacing w:line="360" w:lineRule="auto"/>
        <w:ind w:left="0" w:firstLine="1350"/>
        <w:rPr>
          <w:sz w:val="24"/>
          <w:szCs w:val="24"/>
          <w:u w:val="single"/>
        </w:rPr>
      </w:pPr>
      <w:r w:rsidRPr="009110D9">
        <w:rPr>
          <w:sz w:val="24"/>
          <w:szCs w:val="24"/>
        </w:rPr>
        <w:t xml:space="preserve"> The length of time for a customer to resolve an unpaid balance on an account that is subject to a payment agreement that is investigated by the commission and is entered into by a public utility and a customer shall not extend beyond</w:t>
      </w:r>
      <w:r>
        <w:rPr>
          <w:sz w:val="24"/>
          <w:szCs w:val="24"/>
        </w:rPr>
        <w:t xml:space="preserve"> f</w:t>
      </w:r>
      <w:r w:rsidRPr="009110D9">
        <w:rPr>
          <w:sz w:val="24"/>
          <w:szCs w:val="24"/>
        </w:rPr>
        <w:t>ive years for customers with a gross monthly household income level not exceeding 150% of the federal poverty level.</w:t>
      </w:r>
      <w:r>
        <w:rPr>
          <w:sz w:val="24"/>
          <w:szCs w:val="24"/>
        </w:rPr>
        <w:t xml:space="preserve">  66 Pa.C.S.A. § 1405(b)(1).</w:t>
      </w:r>
    </w:p>
    <w:p w:rsidR="009110D9" w:rsidRPr="009110D9" w:rsidRDefault="009110D9" w:rsidP="001101DE">
      <w:pPr>
        <w:pStyle w:val="ListParagraph"/>
        <w:spacing w:line="360" w:lineRule="auto"/>
        <w:rPr>
          <w:sz w:val="24"/>
          <w:szCs w:val="24"/>
          <w:u w:val="single"/>
        </w:rPr>
      </w:pPr>
      <w:bookmarkStart w:id="0" w:name="_GoBack"/>
      <w:bookmarkEnd w:id="0"/>
    </w:p>
    <w:p w:rsidR="00B63A46" w:rsidRPr="00B63A46" w:rsidRDefault="009110D9" w:rsidP="00B63A46">
      <w:pPr>
        <w:pStyle w:val="ListParagraph"/>
        <w:numPr>
          <w:ilvl w:val="0"/>
          <w:numId w:val="31"/>
        </w:numPr>
        <w:spacing w:line="360" w:lineRule="auto"/>
        <w:ind w:left="0" w:firstLine="1350"/>
        <w:rPr>
          <w:sz w:val="24"/>
          <w:szCs w:val="24"/>
          <w:u w:val="single"/>
        </w:rPr>
      </w:pPr>
      <w:r w:rsidRPr="000A07B4">
        <w:rPr>
          <w:sz w:val="24"/>
          <w:szCs w:val="24"/>
        </w:rPr>
        <w:t xml:space="preserve">Absent a change in income, </w:t>
      </w:r>
      <w:r w:rsidRPr="009110D9">
        <w:rPr>
          <w:sz w:val="24"/>
          <w:szCs w:val="24"/>
        </w:rPr>
        <w:t>the commission shall not establish or order a public utility to establish a second or subsequent payment agreement if a customer has defaulted on a previous payment agreement.</w:t>
      </w:r>
      <w:r>
        <w:rPr>
          <w:sz w:val="24"/>
          <w:szCs w:val="24"/>
        </w:rPr>
        <w:t xml:space="preserve">  66 Pa.C.S.A. § 1405(d).</w:t>
      </w:r>
    </w:p>
    <w:p w:rsidR="00A470ED" w:rsidRDefault="00A470ED" w:rsidP="00A470ED">
      <w:pPr>
        <w:spacing w:line="360" w:lineRule="auto"/>
        <w:jc w:val="center"/>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311AD2">
      <w:pPr>
        <w:spacing w:line="360" w:lineRule="auto"/>
        <w:ind w:right="-36" w:firstLine="1440"/>
        <w:rPr>
          <w:sz w:val="24"/>
          <w:szCs w:val="24"/>
        </w:rPr>
      </w:pPr>
    </w:p>
    <w:p w:rsidR="00B07C13" w:rsidRPr="00311AD2" w:rsidRDefault="00B07C13"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9110D9" w:rsidRDefault="009110D9" w:rsidP="0081696C">
      <w:pPr>
        <w:spacing w:line="360" w:lineRule="auto"/>
        <w:ind w:firstLine="1440"/>
        <w:outlineLvl w:val="0"/>
        <w:rPr>
          <w:sz w:val="24"/>
          <w:szCs w:val="24"/>
        </w:rPr>
      </w:pPr>
    </w:p>
    <w:p w:rsidR="00311AD2" w:rsidRDefault="009110D9" w:rsidP="009110D9">
      <w:pPr>
        <w:pStyle w:val="ListParagraph"/>
        <w:numPr>
          <w:ilvl w:val="0"/>
          <w:numId w:val="32"/>
        </w:numPr>
        <w:spacing w:line="360" w:lineRule="auto"/>
        <w:ind w:left="0" w:firstLine="1350"/>
        <w:outlineLvl w:val="0"/>
        <w:rPr>
          <w:sz w:val="24"/>
          <w:szCs w:val="24"/>
        </w:rPr>
      </w:pPr>
      <w:r>
        <w:rPr>
          <w:sz w:val="24"/>
          <w:szCs w:val="24"/>
        </w:rPr>
        <w:t>That the Formal Complaint of</w:t>
      </w:r>
      <w:r w:rsidR="0036321F">
        <w:rPr>
          <w:sz w:val="24"/>
          <w:szCs w:val="24"/>
        </w:rPr>
        <w:t xml:space="preserve"> Beatriz Mallory </w:t>
      </w:r>
      <w:r w:rsidR="007E4C1E">
        <w:rPr>
          <w:sz w:val="24"/>
          <w:szCs w:val="24"/>
        </w:rPr>
        <w:t xml:space="preserve">v. PPL Electric Utilities Corporation </w:t>
      </w:r>
      <w:r w:rsidR="0036321F">
        <w:rPr>
          <w:sz w:val="24"/>
          <w:szCs w:val="24"/>
        </w:rPr>
        <w:t>at Docket No. C</w:t>
      </w:r>
      <w:r>
        <w:rPr>
          <w:sz w:val="24"/>
          <w:szCs w:val="24"/>
        </w:rPr>
        <w:t>-2014-2442906</w:t>
      </w:r>
      <w:r w:rsidR="0036321F">
        <w:rPr>
          <w:sz w:val="24"/>
          <w:szCs w:val="24"/>
        </w:rPr>
        <w:t xml:space="preserve"> is denied and dismissed.</w:t>
      </w:r>
    </w:p>
    <w:p w:rsidR="0036321F" w:rsidRDefault="0036321F" w:rsidP="0036321F">
      <w:pPr>
        <w:pStyle w:val="ListParagraph"/>
        <w:spacing w:line="360" w:lineRule="auto"/>
        <w:ind w:left="1350"/>
        <w:outlineLvl w:val="0"/>
        <w:rPr>
          <w:sz w:val="24"/>
          <w:szCs w:val="24"/>
        </w:rPr>
      </w:pPr>
    </w:p>
    <w:p w:rsidR="0036321F" w:rsidRPr="009110D9" w:rsidRDefault="0036321F" w:rsidP="009110D9">
      <w:pPr>
        <w:pStyle w:val="ListParagraph"/>
        <w:numPr>
          <w:ilvl w:val="0"/>
          <w:numId w:val="32"/>
        </w:numPr>
        <w:spacing w:line="360" w:lineRule="auto"/>
        <w:ind w:left="0" w:firstLine="1350"/>
        <w:outlineLvl w:val="0"/>
        <w:rPr>
          <w:sz w:val="24"/>
          <w:szCs w:val="24"/>
        </w:rPr>
      </w:pPr>
      <w:r>
        <w:rPr>
          <w:sz w:val="24"/>
          <w:szCs w:val="24"/>
        </w:rPr>
        <w:t>That the Secretary’s Bureau shall mark Docket No. C-2014-2442906 closed.</w:t>
      </w:r>
    </w:p>
    <w:p w:rsidR="00BB3104" w:rsidRDefault="00BB3104" w:rsidP="00CE68C6">
      <w:pPr>
        <w:spacing w:line="360" w:lineRule="auto"/>
        <w:rPr>
          <w:sz w:val="24"/>
          <w:szCs w:val="24"/>
        </w:rPr>
      </w:pPr>
    </w:p>
    <w:p w:rsidR="001101DE" w:rsidRDefault="001101DE" w:rsidP="00CE68C6">
      <w:pPr>
        <w:spacing w:line="360" w:lineRule="auto"/>
        <w:rPr>
          <w:sz w:val="24"/>
          <w:szCs w:val="24"/>
        </w:rPr>
      </w:pPr>
    </w:p>
    <w:p w:rsidR="001101DE" w:rsidRDefault="001101DE" w:rsidP="00CE68C6">
      <w:pPr>
        <w:spacing w:line="360" w:lineRule="auto"/>
        <w:rPr>
          <w:sz w:val="24"/>
          <w:szCs w:val="24"/>
        </w:rPr>
      </w:pPr>
    </w:p>
    <w:p w:rsidR="001101DE" w:rsidRDefault="00DE562E" w:rsidP="001101DE">
      <w:r w:rsidRPr="00DE562E">
        <w:rPr>
          <w:sz w:val="24"/>
          <w:szCs w:val="24"/>
        </w:rPr>
        <w:t>Date:</w:t>
      </w:r>
      <w:r w:rsidR="001101DE">
        <w:rPr>
          <w:sz w:val="24"/>
          <w:szCs w:val="24"/>
        </w:rPr>
        <w:t xml:space="preserve">  </w:t>
      </w:r>
      <w:r w:rsidR="0036321F" w:rsidRPr="001101DE">
        <w:rPr>
          <w:sz w:val="24"/>
          <w:szCs w:val="24"/>
          <w:u w:val="single"/>
        </w:rPr>
        <w:t>January 20, 2015</w:t>
      </w:r>
      <w:r w:rsidR="001F7F73">
        <w:rPr>
          <w:sz w:val="24"/>
          <w:szCs w:val="24"/>
        </w:rPr>
        <w:tab/>
      </w:r>
      <w:r w:rsidR="001F7F73">
        <w:rPr>
          <w:sz w:val="24"/>
          <w:szCs w:val="24"/>
        </w:rPr>
        <w:tab/>
      </w:r>
      <w:r w:rsidR="001F7F73">
        <w:rPr>
          <w:sz w:val="24"/>
          <w:szCs w:val="24"/>
        </w:rPr>
        <w:tab/>
      </w:r>
      <w:r w:rsidR="001F7F73">
        <w:rPr>
          <w:sz w:val="24"/>
          <w:szCs w:val="24"/>
        </w:rPr>
        <w:tab/>
      </w:r>
      <w:r w:rsidR="001101DE">
        <w:rPr>
          <w:sz w:val="24"/>
          <w:szCs w:val="24"/>
        </w:rPr>
        <w:tab/>
      </w:r>
      <w:r w:rsidR="001101DE">
        <w:rPr>
          <w:u w:val="single"/>
        </w:rPr>
        <w:tab/>
      </w:r>
      <w:r w:rsidR="001101DE">
        <w:rPr>
          <w:u w:val="single"/>
        </w:rPr>
        <w:tab/>
      </w:r>
      <w:r w:rsidR="001101DE" w:rsidRPr="001101DE">
        <w:rPr>
          <w:sz w:val="24"/>
          <w:szCs w:val="24"/>
          <w:u w:val="single"/>
        </w:rPr>
        <w:t>/s/</w:t>
      </w:r>
      <w:r w:rsidR="001101DE" w:rsidRPr="001101DE">
        <w:rPr>
          <w:sz w:val="24"/>
          <w:szCs w:val="24"/>
          <w:u w:val="single"/>
        </w:rPr>
        <w:tab/>
      </w:r>
      <w:r w:rsidR="001101DE">
        <w:rPr>
          <w:u w:val="single"/>
        </w:rPr>
        <w:tab/>
      </w:r>
      <w:r w:rsidR="001101DE">
        <w:rPr>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1101DE">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1101DE">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915" w:rsidRDefault="00462915">
      <w:r>
        <w:separator/>
      </w:r>
    </w:p>
  </w:endnote>
  <w:endnote w:type="continuationSeparator" w:id="0">
    <w:p w:rsidR="00462915" w:rsidRDefault="0046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7E4C1E">
      <w:rPr>
        <w:rStyle w:val="PageNumber"/>
        <w:noProof/>
        <w:sz w:val="20"/>
        <w:szCs w:val="20"/>
      </w:rPr>
      <w:t>7</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915" w:rsidRDefault="00462915">
      <w:r>
        <w:separator/>
      </w:r>
    </w:p>
  </w:footnote>
  <w:footnote w:type="continuationSeparator" w:id="0">
    <w:p w:rsidR="00462915" w:rsidRDefault="00462915">
      <w:r>
        <w:continuationSeparator/>
      </w:r>
    </w:p>
  </w:footnote>
  <w:footnote w:id="1">
    <w:p w:rsidR="00844338" w:rsidRDefault="00844338">
      <w:pPr>
        <w:pStyle w:val="FootnoteText"/>
      </w:pPr>
      <w:r>
        <w:rPr>
          <w:rStyle w:val="FootnoteReference"/>
        </w:rPr>
        <w:footnoteRef/>
      </w:r>
      <w:r>
        <w:t xml:space="preserve"> The spelling of her name is phonetic, and so, may be incorrect.  The transcript identifies Ms. </w:t>
      </w:r>
      <w:proofErr w:type="spellStart"/>
      <w:r>
        <w:t>Martson</w:t>
      </w:r>
      <w:proofErr w:type="spellEnd"/>
      <w:r>
        <w:t xml:space="preserve"> as Brandi </w:t>
      </w:r>
      <w:proofErr w:type="spellStart"/>
      <w:r>
        <w:t>Martzn</w:t>
      </w:r>
      <w:proofErr w:type="spellEnd"/>
      <w:r>
        <w:t>, she is later referred to in the transcript as Bridget.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8A0"/>
    <w:multiLevelType w:val="hybridMultilevel"/>
    <w:tmpl w:val="E04ED2D8"/>
    <w:lvl w:ilvl="0" w:tplc="F81008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1C6E0F"/>
    <w:multiLevelType w:val="hybridMultilevel"/>
    <w:tmpl w:val="245C4318"/>
    <w:lvl w:ilvl="0" w:tplc="0394B8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D6D057E"/>
    <w:multiLevelType w:val="hybridMultilevel"/>
    <w:tmpl w:val="54FEFAF0"/>
    <w:lvl w:ilvl="0" w:tplc="29EED7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1FB51AE3"/>
    <w:multiLevelType w:val="hybridMultilevel"/>
    <w:tmpl w:val="2998F01E"/>
    <w:lvl w:ilvl="0" w:tplc="D674BA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C5390F"/>
    <w:multiLevelType w:val="hybridMultilevel"/>
    <w:tmpl w:val="DA9874EE"/>
    <w:lvl w:ilvl="0" w:tplc="FC9C885C">
      <w:start w:val="1"/>
      <w:numFmt w:val="decimal"/>
      <w:lvlText w:val="(%1)"/>
      <w:lvlJc w:val="left"/>
      <w:pPr>
        <w:ind w:left="2514" w:hanging="36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14">
    <w:nsid w:val="2E1B6ADB"/>
    <w:multiLevelType w:val="hybridMultilevel"/>
    <w:tmpl w:val="69BCE212"/>
    <w:lvl w:ilvl="0" w:tplc="AD8C85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15D1C"/>
    <w:multiLevelType w:val="hybridMultilevel"/>
    <w:tmpl w:val="4AE6A9D4"/>
    <w:lvl w:ilvl="0" w:tplc="5A4C70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DA111D2"/>
    <w:multiLevelType w:val="hybridMultilevel"/>
    <w:tmpl w:val="B1E89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3E272690"/>
    <w:multiLevelType w:val="hybridMultilevel"/>
    <w:tmpl w:val="CE540478"/>
    <w:lvl w:ilvl="0" w:tplc="A04E41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FAD1741"/>
    <w:multiLevelType w:val="hybridMultilevel"/>
    <w:tmpl w:val="3450325E"/>
    <w:lvl w:ilvl="0" w:tplc="4848443C">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1855594"/>
    <w:multiLevelType w:val="hybridMultilevel"/>
    <w:tmpl w:val="2D40357C"/>
    <w:lvl w:ilvl="0" w:tplc="17767830">
      <w:start w:val="1"/>
      <w:numFmt w:val="decimal"/>
      <w:lvlText w:val="(%1)"/>
      <w:lvlJc w:val="left"/>
      <w:pPr>
        <w:ind w:left="2514" w:hanging="36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26">
    <w:nsid w:val="42AB5121"/>
    <w:multiLevelType w:val="hybridMultilevel"/>
    <w:tmpl w:val="4D842E4A"/>
    <w:lvl w:ilvl="0" w:tplc="8888393E">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7">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9">
    <w:nsid w:val="4EE87313"/>
    <w:multiLevelType w:val="hybridMultilevel"/>
    <w:tmpl w:val="F4C0084C"/>
    <w:lvl w:ilvl="0" w:tplc="EB1C1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4F0B191D"/>
    <w:multiLevelType w:val="hybridMultilevel"/>
    <w:tmpl w:val="418E467C"/>
    <w:lvl w:ilvl="0" w:tplc="841483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4F2E6E92"/>
    <w:multiLevelType w:val="hybridMultilevel"/>
    <w:tmpl w:val="4D38EC7A"/>
    <w:lvl w:ilvl="0" w:tplc="9954BD7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B043AF"/>
    <w:multiLevelType w:val="hybridMultilevel"/>
    <w:tmpl w:val="DCF2F2DC"/>
    <w:lvl w:ilvl="0" w:tplc="E40A1996">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CF6DBE"/>
    <w:multiLevelType w:val="hybridMultilevel"/>
    <w:tmpl w:val="49DA9388"/>
    <w:lvl w:ilvl="0" w:tplc="39DC250C">
      <w:start w:val="1"/>
      <w:numFmt w:val="lowerLetter"/>
      <w:lvlText w:val="(%1)"/>
      <w:lvlJc w:val="left"/>
      <w:pPr>
        <w:ind w:left="189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C0F6EF8"/>
    <w:multiLevelType w:val="hybridMultilevel"/>
    <w:tmpl w:val="7A9AFCE6"/>
    <w:lvl w:ilvl="0" w:tplc="30A6B8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5E123548"/>
    <w:multiLevelType w:val="hybridMultilevel"/>
    <w:tmpl w:val="F59290D0"/>
    <w:lvl w:ilvl="0" w:tplc="E07A5F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nsid w:val="60061891"/>
    <w:multiLevelType w:val="hybridMultilevel"/>
    <w:tmpl w:val="BD2E0C78"/>
    <w:lvl w:ilvl="0" w:tplc="5F547C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6B48661A"/>
    <w:multiLevelType w:val="hybridMultilevel"/>
    <w:tmpl w:val="6E4A8F2C"/>
    <w:lvl w:ilvl="0" w:tplc="03C6312A">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8122301"/>
    <w:multiLevelType w:val="hybridMultilevel"/>
    <w:tmpl w:val="DB82B9F0"/>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CD71083"/>
    <w:multiLevelType w:val="hybridMultilevel"/>
    <w:tmpl w:val="B5A6268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6"/>
  </w:num>
  <w:num w:numId="2">
    <w:abstractNumId w:val="38"/>
  </w:num>
  <w:num w:numId="3">
    <w:abstractNumId w:val="28"/>
  </w:num>
  <w:num w:numId="4">
    <w:abstractNumId w:val="3"/>
  </w:num>
  <w:num w:numId="5">
    <w:abstractNumId w:val="19"/>
  </w:num>
  <w:num w:numId="6">
    <w:abstractNumId w:val="12"/>
  </w:num>
  <w:num w:numId="7">
    <w:abstractNumId w:val="8"/>
  </w:num>
  <w:num w:numId="8">
    <w:abstractNumId w:val="1"/>
  </w:num>
  <w:num w:numId="9">
    <w:abstractNumId w:val="22"/>
  </w:num>
  <w:num w:numId="10">
    <w:abstractNumId w:val="32"/>
  </w:num>
  <w:num w:numId="11">
    <w:abstractNumId w:val="27"/>
  </w:num>
  <w:num w:numId="12">
    <w:abstractNumId w:val="46"/>
  </w:num>
  <w:num w:numId="13">
    <w:abstractNumId w:val="2"/>
  </w:num>
  <w:num w:numId="14">
    <w:abstractNumId w:val="9"/>
  </w:num>
  <w:num w:numId="15">
    <w:abstractNumId w:val="39"/>
  </w:num>
  <w:num w:numId="16">
    <w:abstractNumId w:val="43"/>
  </w:num>
  <w:num w:numId="17">
    <w:abstractNumId w:val="15"/>
  </w:num>
  <w:num w:numId="18">
    <w:abstractNumId w:val="5"/>
  </w:num>
  <w:num w:numId="19">
    <w:abstractNumId w:val="34"/>
  </w:num>
  <w:num w:numId="20">
    <w:abstractNumId w:val="4"/>
  </w:num>
  <w:num w:numId="21">
    <w:abstractNumId w:val="7"/>
  </w:num>
  <w:num w:numId="22">
    <w:abstractNumId w:val="17"/>
  </w:num>
  <w:num w:numId="23">
    <w:abstractNumId w:val="18"/>
  </w:num>
  <w:num w:numId="24">
    <w:abstractNumId w:val="45"/>
  </w:num>
  <w:num w:numId="25">
    <w:abstractNumId w:val="42"/>
  </w:num>
  <w:num w:numId="26">
    <w:abstractNumId w:val="21"/>
  </w:num>
  <w:num w:numId="27">
    <w:abstractNumId w:val="35"/>
  </w:num>
  <w:num w:numId="28">
    <w:abstractNumId w:val="30"/>
  </w:num>
  <w:num w:numId="29">
    <w:abstractNumId w:val="20"/>
  </w:num>
  <w:num w:numId="30">
    <w:abstractNumId w:val="47"/>
  </w:num>
  <w:num w:numId="31">
    <w:abstractNumId w:val="31"/>
  </w:num>
  <w:num w:numId="32">
    <w:abstractNumId w:val="44"/>
  </w:num>
  <w:num w:numId="33">
    <w:abstractNumId w:val="24"/>
  </w:num>
  <w:num w:numId="34">
    <w:abstractNumId w:val="14"/>
  </w:num>
  <w:num w:numId="35">
    <w:abstractNumId w:val="40"/>
  </w:num>
  <w:num w:numId="36">
    <w:abstractNumId w:val="6"/>
  </w:num>
  <w:num w:numId="37">
    <w:abstractNumId w:val="0"/>
  </w:num>
  <w:num w:numId="38">
    <w:abstractNumId w:val="37"/>
  </w:num>
  <w:num w:numId="39">
    <w:abstractNumId w:val="11"/>
  </w:num>
  <w:num w:numId="40">
    <w:abstractNumId w:val="36"/>
  </w:num>
  <w:num w:numId="41">
    <w:abstractNumId w:val="13"/>
  </w:num>
  <w:num w:numId="42">
    <w:abstractNumId w:val="25"/>
  </w:num>
  <w:num w:numId="43">
    <w:abstractNumId w:val="26"/>
  </w:num>
  <w:num w:numId="44">
    <w:abstractNumId w:val="41"/>
  </w:num>
  <w:num w:numId="45">
    <w:abstractNumId w:val="10"/>
  </w:num>
  <w:num w:numId="46">
    <w:abstractNumId w:val="23"/>
  </w:num>
  <w:num w:numId="47">
    <w:abstractNumId w:val="33"/>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84FE7"/>
    <w:rsid w:val="00091672"/>
    <w:rsid w:val="00091CE2"/>
    <w:rsid w:val="00093DB9"/>
    <w:rsid w:val="000967DB"/>
    <w:rsid w:val="000A001F"/>
    <w:rsid w:val="000A07B4"/>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1DE"/>
    <w:rsid w:val="00110C23"/>
    <w:rsid w:val="00111EA9"/>
    <w:rsid w:val="001122A9"/>
    <w:rsid w:val="001155B6"/>
    <w:rsid w:val="00116136"/>
    <w:rsid w:val="0012331B"/>
    <w:rsid w:val="00125871"/>
    <w:rsid w:val="00126207"/>
    <w:rsid w:val="001312A6"/>
    <w:rsid w:val="00134E8D"/>
    <w:rsid w:val="001404C5"/>
    <w:rsid w:val="00141DF5"/>
    <w:rsid w:val="00143C49"/>
    <w:rsid w:val="00144488"/>
    <w:rsid w:val="00147DEE"/>
    <w:rsid w:val="00152C6B"/>
    <w:rsid w:val="0015646C"/>
    <w:rsid w:val="00157097"/>
    <w:rsid w:val="001620CA"/>
    <w:rsid w:val="00162898"/>
    <w:rsid w:val="00176F82"/>
    <w:rsid w:val="00180493"/>
    <w:rsid w:val="0018160C"/>
    <w:rsid w:val="00187B87"/>
    <w:rsid w:val="001930DE"/>
    <w:rsid w:val="00193B6C"/>
    <w:rsid w:val="001A4CC0"/>
    <w:rsid w:val="001A721E"/>
    <w:rsid w:val="001A7CD2"/>
    <w:rsid w:val="001B123C"/>
    <w:rsid w:val="001B3235"/>
    <w:rsid w:val="001C20B7"/>
    <w:rsid w:val="001C715B"/>
    <w:rsid w:val="001D3206"/>
    <w:rsid w:val="001D6FCF"/>
    <w:rsid w:val="001E0E87"/>
    <w:rsid w:val="001E4F74"/>
    <w:rsid w:val="001E4FAC"/>
    <w:rsid w:val="001F0787"/>
    <w:rsid w:val="001F08B4"/>
    <w:rsid w:val="001F2116"/>
    <w:rsid w:val="001F6FC1"/>
    <w:rsid w:val="001F7F73"/>
    <w:rsid w:val="0020095D"/>
    <w:rsid w:val="00215221"/>
    <w:rsid w:val="00220C5E"/>
    <w:rsid w:val="00223E7E"/>
    <w:rsid w:val="00234619"/>
    <w:rsid w:val="0023520D"/>
    <w:rsid w:val="00235C44"/>
    <w:rsid w:val="00236FF7"/>
    <w:rsid w:val="00241289"/>
    <w:rsid w:val="002416AB"/>
    <w:rsid w:val="0024496F"/>
    <w:rsid w:val="00244D86"/>
    <w:rsid w:val="00246F0C"/>
    <w:rsid w:val="00251D19"/>
    <w:rsid w:val="0025370D"/>
    <w:rsid w:val="00260D19"/>
    <w:rsid w:val="002732DC"/>
    <w:rsid w:val="0028114B"/>
    <w:rsid w:val="0028185A"/>
    <w:rsid w:val="00290918"/>
    <w:rsid w:val="002919C6"/>
    <w:rsid w:val="00293557"/>
    <w:rsid w:val="002959E3"/>
    <w:rsid w:val="002A04C1"/>
    <w:rsid w:val="002A4045"/>
    <w:rsid w:val="002A5821"/>
    <w:rsid w:val="002A7C1C"/>
    <w:rsid w:val="002B19D4"/>
    <w:rsid w:val="002B3489"/>
    <w:rsid w:val="002B4EAE"/>
    <w:rsid w:val="002C3FDE"/>
    <w:rsid w:val="002C486F"/>
    <w:rsid w:val="002D13C5"/>
    <w:rsid w:val="002D554B"/>
    <w:rsid w:val="002E0985"/>
    <w:rsid w:val="002E24E6"/>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321F"/>
    <w:rsid w:val="003657A8"/>
    <w:rsid w:val="00380450"/>
    <w:rsid w:val="00380AD7"/>
    <w:rsid w:val="00382B1A"/>
    <w:rsid w:val="00384F9F"/>
    <w:rsid w:val="003857DF"/>
    <w:rsid w:val="00386CDC"/>
    <w:rsid w:val="00392382"/>
    <w:rsid w:val="00392E88"/>
    <w:rsid w:val="00394493"/>
    <w:rsid w:val="003959AC"/>
    <w:rsid w:val="00395E03"/>
    <w:rsid w:val="0039644F"/>
    <w:rsid w:val="00396DE1"/>
    <w:rsid w:val="003A167D"/>
    <w:rsid w:val="003B715B"/>
    <w:rsid w:val="003C050F"/>
    <w:rsid w:val="003C0716"/>
    <w:rsid w:val="003C3664"/>
    <w:rsid w:val="003C7143"/>
    <w:rsid w:val="003D139F"/>
    <w:rsid w:val="003D15FA"/>
    <w:rsid w:val="003D7EC6"/>
    <w:rsid w:val="003E292B"/>
    <w:rsid w:val="003E594B"/>
    <w:rsid w:val="003F5796"/>
    <w:rsid w:val="003F5965"/>
    <w:rsid w:val="003F69BF"/>
    <w:rsid w:val="00402359"/>
    <w:rsid w:val="004064A8"/>
    <w:rsid w:val="004107FD"/>
    <w:rsid w:val="004157D9"/>
    <w:rsid w:val="00417087"/>
    <w:rsid w:val="0042160A"/>
    <w:rsid w:val="0042193A"/>
    <w:rsid w:val="00422E29"/>
    <w:rsid w:val="00424A76"/>
    <w:rsid w:val="00427E73"/>
    <w:rsid w:val="004312BE"/>
    <w:rsid w:val="00431BEF"/>
    <w:rsid w:val="00442854"/>
    <w:rsid w:val="00462915"/>
    <w:rsid w:val="0046339D"/>
    <w:rsid w:val="00465390"/>
    <w:rsid w:val="00476C8A"/>
    <w:rsid w:val="00486535"/>
    <w:rsid w:val="00490174"/>
    <w:rsid w:val="004917C1"/>
    <w:rsid w:val="00491C99"/>
    <w:rsid w:val="00495450"/>
    <w:rsid w:val="00495B88"/>
    <w:rsid w:val="004A1805"/>
    <w:rsid w:val="004A5AD6"/>
    <w:rsid w:val="004C3EFA"/>
    <w:rsid w:val="004D1B54"/>
    <w:rsid w:val="004D3108"/>
    <w:rsid w:val="004D46FD"/>
    <w:rsid w:val="004D65F3"/>
    <w:rsid w:val="004E187E"/>
    <w:rsid w:val="004E20CB"/>
    <w:rsid w:val="004E2912"/>
    <w:rsid w:val="004E533F"/>
    <w:rsid w:val="004F2D3D"/>
    <w:rsid w:val="005032B5"/>
    <w:rsid w:val="00515937"/>
    <w:rsid w:val="00517AD1"/>
    <w:rsid w:val="00523780"/>
    <w:rsid w:val="00526B2A"/>
    <w:rsid w:val="00530D1B"/>
    <w:rsid w:val="00531226"/>
    <w:rsid w:val="00531409"/>
    <w:rsid w:val="00535DF7"/>
    <w:rsid w:val="00542107"/>
    <w:rsid w:val="005434BC"/>
    <w:rsid w:val="00553EEB"/>
    <w:rsid w:val="00564C41"/>
    <w:rsid w:val="0056706A"/>
    <w:rsid w:val="00570830"/>
    <w:rsid w:val="00582896"/>
    <w:rsid w:val="00584798"/>
    <w:rsid w:val="0059070D"/>
    <w:rsid w:val="00592C86"/>
    <w:rsid w:val="00594214"/>
    <w:rsid w:val="005A33D0"/>
    <w:rsid w:val="005B13B6"/>
    <w:rsid w:val="005B13EA"/>
    <w:rsid w:val="005B250B"/>
    <w:rsid w:val="005B3C00"/>
    <w:rsid w:val="005B6749"/>
    <w:rsid w:val="005B7834"/>
    <w:rsid w:val="005C28EC"/>
    <w:rsid w:val="005C7469"/>
    <w:rsid w:val="005D19C4"/>
    <w:rsid w:val="005D2DEE"/>
    <w:rsid w:val="005D4D0C"/>
    <w:rsid w:val="005E2068"/>
    <w:rsid w:val="005E3007"/>
    <w:rsid w:val="005E6321"/>
    <w:rsid w:val="005E6C27"/>
    <w:rsid w:val="005F17F5"/>
    <w:rsid w:val="005F38EC"/>
    <w:rsid w:val="005F3B50"/>
    <w:rsid w:val="005F452A"/>
    <w:rsid w:val="006034D3"/>
    <w:rsid w:val="006130CB"/>
    <w:rsid w:val="00617D74"/>
    <w:rsid w:val="0062087D"/>
    <w:rsid w:val="006215E0"/>
    <w:rsid w:val="0063057B"/>
    <w:rsid w:val="006306EB"/>
    <w:rsid w:val="00634A5C"/>
    <w:rsid w:val="006352B9"/>
    <w:rsid w:val="00641596"/>
    <w:rsid w:val="0064329B"/>
    <w:rsid w:val="006441F5"/>
    <w:rsid w:val="00644E60"/>
    <w:rsid w:val="00645B55"/>
    <w:rsid w:val="00652C21"/>
    <w:rsid w:val="0065633E"/>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15FC"/>
    <w:rsid w:val="007114E7"/>
    <w:rsid w:val="0071588F"/>
    <w:rsid w:val="0073239A"/>
    <w:rsid w:val="0073727C"/>
    <w:rsid w:val="00740654"/>
    <w:rsid w:val="00744AF3"/>
    <w:rsid w:val="00747E56"/>
    <w:rsid w:val="00751672"/>
    <w:rsid w:val="0075510C"/>
    <w:rsid w:val="00755CF0"/>
    <w:rsid w:val="00766C8E"/>
    <w:rsid w:val="0077255F"/>
    <w:rsid w:val="00775593"/>
    <w:rsid w:val="00782A08"/>
    <w:rsid w:val="00786153"/>
    <w:rsid w:val="00790EF3"/>
    <w:rsid w:val="00791ABB"/>
    <w:rsid w:val="00792C70"/>
    <w:rsid w:val="007965B0"/>
    <w:rsid w:val="007A49B5"/>
    <w:rsid w:val="007B0A1B"/>
    <w:rsid w:val="007B1672"/>
    <w:rsid w:val="007B1D2D"/>
    <w:rsid w:val="007B38C9"/>
    <w:rsid w:val="007B46F9"/>
    <w:rsid w:val="007B6CFE"/>
    <w:rsid w:val="007C36CE"/>
    <w:rsid w:val="007C74E3"/>
    <w:rsid w:val="007D3E3E"/>
    <w:rsid w:val="007D46F9"/>
    <w:rsid w:val="007D5488"/>
    <w:rsid w:val="007D6063"/>
    <w:rsid w:val="007E09E5"/>
    <w:rsid w:val="007E31DB"/>
    <w:rsid w:val="007E4C1E"/>
    <w:rsid w:val="007E7871"/>
    <w:rsid w:val="00801DEE"/>
    <w:rsid w:val="00803141"/>
    <w:rsid w:val="0081070B"/>
    <w:rsid w:val="008142EB"/>
    <w:rsid w:val="00815EE8"/>
    <w:rsid w:val="0081669B"/>
    <w:rsid w:val="0081696C"/>
    <w:rsid w:val="008228F3"/>
    <w:rsid w:val="00823F91"/>
    <w:rsid w:val="00824683"/>
    <w:rsid w:val="008354C5"/>
    <w:rsid w:val="0083691D"/>
    <w:rsid w:val="00840FD3"/>
    <w:rsid w:val="00841779"/>
    <w:rsid w:val="00844338"/>
    <w:rsid w:val="008506A0"/>
    <w:rsid w:val="00851A4F"/>
    <w:rsid w:val="00866264"/>
    <w:rsid w:val="008663C0"/>
    <w:rsid w:val="0087199A"/>
    <w:rsid w:val="00873FA1"/>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D06BF"/>
    <w:rsid w:val="008D6D09"/>
    <w:rsid w:val="008D761F"/>
    <w:rsid w:val="008E28E8"/>
    <w:rsid w:val="008E3BE1"/>
    <w:rsid w:val="008E5A53"/>
    <w:rsid w:val="008F013A"/>
    <w:rsid w:val="008F22F9"/>
    <w:rsid w:val="008F554F"/>
    <w:rsid w:val="008F6AC3"/>
    <w:rsid w:val="0090342D"/>
    <w:rsid w:val="009077E3"/>
    <w:rsid w:val="00910EF2"/>
    <w:rsid w:val="009110D9"/>
    <w:rsid w:val="00913B17"/>
    <w:rsid w:val="009166DD"/>
    <w:rsid w:val="0091672D"/>
    <w:rsid w:val="0091718C"/>
    <w:rsid w:val="00922FE6"/>
    <w:rsid w:val="009342E4"/>
    <w:rsid w:val="009445E9"/>
    <w:rsid w:val="009621F3"/>
    <w:rsid w:val="009634B4"/>
    <w:rsid w:val="009643E3"/>
    <w:rsid w:val="009649FC"/>
    <w:rsid w:val="00965F82"/>
    <w:rsid w:val="0098237A"/>
    <w:rsid w:val="00982B8E"/>
    <w:rsid w:val="009830C8"/>
    <w:rsid w:val="00983B9A"/>
    <w:rsid w:val="009870EF"/>
    <w:rsid w:val="009877CF"/>
    <w:rsid w:val="00987B98"/>
    <w:rsid w:val="00994286"/>
    <w:rsid w:val="00995E0A"/>
    <w:rsid w:val="009A475D"/>
    <w:rsid w:val="009A5C49"/>
    <w:rsid w:val="009B1C06"/>
    <w:rsid w:val="009C22D0"/>
    <w:rsid w:val="009D5A08"/>
    <w:rsid w:val="009E69A1"/>
    <w:rsid w:val="009F24FB"/>
    <w:rsid w:val="009F4939"/>
    <w:rsid w:val="009F620C"/>
    <w:rsid w:val="009F7BD8"/>
    <w:rsid w:val="00A022C7"/>
    <w:rsid w:val="00A02D20"/>
    <w:rsid w:val="00A0627A"/>
    <w:rsid w:val="00A066B5"/>
    <w:rsid w:val="00A22653"/>
    <w:rsid w:val="00A23BC5"/>
    <w:rsid w:val="00A24F45"/>
    <w:rsid w:val="00A345AE"/>
    <w:rsid w:val="00A35E8A"/>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07C13"/>
    <w:rsid w:val="00B13849"/>
    <w:rsid w:val="00B23067"/>
    <w:rsid w:val="00B2590D"/>
    <w:rsid w:val="00B32E66"/>
    <w:rsid w:val="00B34848"/>
    <w:rsid w:val="00B40E21"/>
    <w:rsid w:val="00B45676"/>
    <w:rsid w:val="00B45F71"/>
    <w:rsid w:val="00B461B9"/>
    <w:rsid w:val="00B5018B"/>
    <w:rsid w:val="00B57687"/>
    <w:rsid w:val="00B625D9"/>
    <w:rsid w:val="00B63A46"/>
    <w:rsid w:val="00B665D7"/>
    <w:rsid w:val="00B70860"/>
    <w:rsid w:val="00B71D02"/>
    <w:rsid w:val="00B87994"/>
    <w:rsid w:val="00B922CF"/>
    <w:rsid w:val="00B94E3D"/>
    <w:rsid w:val="00BA47D2"/>
    <w:rsid w:val="00BA61F7"/>
    <w:rsid w:val="00BB2DA3"/>
    <w:rsid w:val="00BB3104"/>
    <w:rsid w:val="00BB352A"/>
    <w:rsid w:val="00BB7304"/>
    <w:rsid w:val="00BC2D8F"/>
    <w:rsid w:val="00BC2DE6"/>
    <w:rsid w:val="00BC7240"/>
    <w:rsid w:val="00BD42F1"/>
    <w:rsid w:val="00BE1D82"/>
    <w:rsid w:val="00BE6352"/>
    <w:rsid w:val="00BF3797"/>
    <w:rsid w:val="00BF5F04"/>
    <w:rsid w:val="00C052E4"/>
    <w:rsid w:val="00C1140C"/>
    <w:rsid w:val="00C1195C"/>
    <w:rsid w:val="00C12BC2"/>
    <w:rsid w:val="00C136F0"/>
    <w:rsid w:val="00C150A5"/>
    <w:rsid w:val="00C16059"/>
    <w:rsid w:val="00C21F78"/>
    <w:rsid w:val="00C224B0"/>
    <w:rsid w:val="00C23F98"/>
    <w:rsid w:val="00C25C02"/>
    <w:rsid w:val="00C27A38"/>
    <w:rsid w:val="00C302A8"/>
    <w:rsid w:val="00C322C5"/>
    <w:rsid w:val="00C34D87"/>
    <w:rsid w:val="00C37F96"/>
    <w:rsid w:val="00C419F9"/>
    <w:rsid w:val="00C426F5"/>
    <w:rsid w:val="00C44964"/>
    <w:rsid w:val="00C45D4C"/>
    <w:rsid w:val="00C477B5"/>
    <w:rsid w:val="00C546D2"/>
    <w:rsid w:val="00C5603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3CC1"/>
    <w:rsid w:val="00CC49DA"/>
    <w:rsid w:val="00CC5E96"/>
    <w:rsid w:val="00CD4A78"/>
    <w:rsid w:val="00CD6B6A"/>
    <w:rsid w:val="00CE43B4"/>
    <w:rsid w:val="00CE68C6"/>
    <w:rsid w:val="00CF3BB0"/>
    <w:rsid w:val="00CF7138"/>
    <w:rsid w:val="00CF7A16"/>
    <w:rsid w:val="00D02084"/>
    <w:rsid w:val="00D050DE"/>
    <w:rsid w:val="00D077EC"/>
    <w:rsid w:val="00D13B06"/>
    <w:rsid w:val="00D1728D"/>
    <w:rsid w:val="00D21BFC"/>
    <w:rsid w:val="00D21D55"/>
    <w:rsid w:val="00D21EF9"/>
    <w:rsid w:val="00D22F4A"/>
    <w:rsid w:val="00D23330"/>
    <w:rsid w:val="00D32326"/>
    <w:rsid w:val="00D34B76"/>
    <w:rsid w:val="00D35023"/>
    <w:rsid w:val="00D35F74"/>
    <w:rsid w:val="00D4029A"/>
    <w:rsid w:val="00D416A5"/>
    <w:rsid w:val="00D50C56"/>
    <w:rsid w:val="00D5488B"/>
    <w:rsid w:val="00D55074"/>
    <w:rsid w:val="00D55AA4"/>
    <w:rsid w:val="00D5720C"/>
    <w:rsid w:val="00D6261D"/>
    <w:rsid w:val="00D6598A"/>
    <w:rsid w:val="00D65F4B"/>
    <w:rsid w:val="00D671F6"/>
    <w:rsid w:val="00D6737A"/>
    <w:rsid w:val="00D71653"/>
    <w:rsid w:val="00D72436"/>
    <w:rsid w:val="00D8063C"/>
    <w:rsid w:val="00D926F9"/>
    <w:rsid w:val="00D93182"/>
    <w:rsid w:val="00D961B5"/>
    <w:rsid w:val="00DA7FD6"/>
    <w:rsid w:val="00DB1328"/>
    <w:rsid w:val="00DB7EE0"/>
    <w:rsid w:val="00DC682B"/>
    <w:rsid w:val="00DD2411"/>
    <w:rsid w:val="00DD3E7F"/>
    <w:rsid w:val="00DE0ECC"/>
    <w:rsid w:val="00DE2348"/>
    <w:rsid w:val="00DE3943"/>
    <w:rsid w:val="00DE562E"/>
    <w:rsid w:val="00DE6FB0"/>
    <w:rsid w:val="00DE77F8"/>
    <w:rsid w:val="00DE7815"/>
    <w:rsid w:val="00DF0138"/>
    <w:rsid w:val="00DF294A"/>
    <w:rsid w:val="00E00EAF"/>
    <w:rsid w:val="00E0236A"/>
    <w:rsid w:val="00E02774"/>
    <w:rsid w:val="00E11739"/>
    <w:rsid w:val="00E12F72"/>
    <w:rsid w:val="00E15A2D"/>
    <w:rsid w:val="00E15B2B"/>
    <w:rsid w:val="00E23F95"/>
    <w:rsid w:val="00E267A5"/>
    <w:rsid w:val="00E31010"/>
    <w:rsid w:val="00E3116E"/>
    <w:rsid w:val="00E32DA2"/>
    <w:rsid w:val="00E35AC9"/>
    <w:rsid w:val="00E413A9"/>
    <w:rsid w:val="00E5003A"/>
    <w:rsid w:val="00E514FA"/>
    <w:rsid w:val="00E51D1F"/>
    <w:rsid w:val="00E5424A"/>
    <w:rsid w:val="00E56529"/>
    <w:rsid w:val="00E6135C"/>
    <w:rsid w:val="00E659AC"/>
    <w:rsid w:val="00E66725"/>
    <w:rsid w:val="00E67591"/>
    <w:rsid w:val="00E67A2A"/>
    <w:rsid w:val="00E728B0"/>
    <w:rsid w:val="00E75758"/>
    <w:rsid w:val="00E75BC0"/>
    <w:rsid w:val="00E85ECC"/>
    <w:rsid w:val="00E9292D"/>
    <w:rsid w:val="00E92DBD"/>
    <w:rsid w:val="00EA2B0E"/>
    <w:rsid w:val="00EA319E"/>
    <w:rsid w:val="00EA56F6"/>
    <w:rsid w:val="00EA77CE"/>
    <w:rsid w:val="00EB1DAB"/>
    <w:rsid w:val="00EB1EEE"/>
    <w:rsid w:val="00EC15BD"/>
    <w:rsid w:val="00EC38D5"/>
    <w:rsid w:val="00EC41CE"/>
    <w:rsid w:val="00EC477B"/>
    <w:rsid w:val="00EC7F9A"/>
    <w:rsid w:val="00ED0F47"/>
    <w:rsid w:val="00EE34BE"/>
    <w:rsid w:val="00EF6C7F"/>
    <w:rsid w:val="00F112BC"/>
    <w:rsid w:val="00F13613"/>
    <w:rsid w:val="00F2180F"/>
    <w:rsid w:val="00F278DC"/>
    <w:rsid w:val="00F31732"/>
    <w:rsid w:val="00F31F04"/>
    <w:rsid w:val="00F327E2"/>
    <w:rsid w:val="00F34A38"/>
    <w:rsid w:val="00F375FF"/>
    <w:rsid w:val="00F4499B"/>
    <w:rsid w:val="00F50C2B"/>
    <w:rsid w:val="00F52CD4"/>
    <w:rsid w:val="00F566E6"/>
    <w:rsid w:val="00F702DD"/>
    <w:rsid w:val="00F721A2"/>
    <w:rsid w:val="00F72B51"/>
    <w:rsid w:val="00F734B6"/>
    <w:rsid w:val="00F76C50"/>
    <w:rsid w:val="00F84427"/>
    <w:rsid w:val="00F85050"/>
    <w:rsid w:val="00F86303"/>
    <w:rsid w:val="00F95BD7"/>
    <w:rsid w:val="00FA1741"/>
    <w:rsid w:val="00FA53B2"/>
    <w:rsid w:val="00FA6242"/>
    <w:rsid w:val="00FA643C"/>
    <w:rsid w:val="00FA7894"/>
    <w:rsid w:val="00FC1BAA"/>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24EB9-1A9A-4CB0-8004-7A889281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2015-02-03T18:41:00Z</cp:lastPrinted>
  <dcterms:created xsi:type="dcterms:W3CDTF">2015-02-03T18:34:00Z</dcterms:created>
  <dcterms:modified xsi:type="dcterms:W3CDTF">2015-02-03T18:42:00Z</dcterms:modified>
</cp:coreProperties>
</file>