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75" w:rsidRPr="005C4275" w:rsidRDefault="005C4275" w:rsidP="00C305B6">
      <w:pPr>
        <w:jc w:val="center"/>
        <w:rPr>
          <w:b/>
          <w:sz w:val="24"/>
          <w:szCs w:val="24"/>
        </w:rPr>
      </w:pPr>
      <w:r w:rsidRPr="005C4275">
        <w:rPr>
          <w:b/>
          <w:sz w:val="24"/>
          <w:szCs w:val="24"/>
        </w:rPr>
        <w:t>BEFORE THE</w:t>
      </w:r>
    </w:p>
    <w:p w:rsidR="005C4275" w:rsidRPr="005C4275" w:rsidRDefault="005C4275" w:rsidP="00C305B6">
      <w:pPr>
        <w:jc w:val="center"/>
        <w:rPr>
          <w:b/>
          <w:sz w:val="24"/>
          <w:szCs w:val="24"/>
        </w:rPr>
      </w:pPr>
      <w:r w:rsidRPr="005C4275">
        <w:rPr>
          <w:b/>
          <w:sz w:val="24"/>
          <w:szCs w:val="24"/>
        </w:rPr>
        <w:t>PENNSYLVANIA PUBLIC UTILITY COMMISSION</w:t>
      </w:r>
    </w:p>
    <w:p w:rsidR="005C4275" w:rsidRDefault="005C4275" w:rsidP="00C305B6">
      <w:pPr>
        <w:jc w:val="center"/>
        <w:rPr>
          <w:b/>
          <w:sz w:val="24"/>
          <w:szCs w:val="24"/>
        </w:rPr>
      </w:pPr>
    </w:p>
    <w:p w:rsidR="00C305B6" w:rsidRPr="005C4275" w:rsidRDefault="00C305B6" w:rsidP="00C305B6">
      <w:pPr>
        <w:jc w:val="center"/>
        <w:rPr>
          <w:b/>
          <w:sz w:val="24"/>
          <w:szCs w:val="24"/>
        </w:rPr>
      </w:pPr>
    </w:p>
    <w:p w:rsidR="005C4275" w:rsidRPr="005C4275" w:rsidRDefault="005C4275" w:rsidP="00C305B6">
      <w:pPr>
        <w:jc w:val="center"/>
        <w:rPr>
          <w:b/>
          <w:sz w:val="24"/>
          <w:szCs w:val="24"/>
        </w:rPr>
      </w:pPr>
    </w:p>
    <w:p w:rsidR="005C4275" w:rsidRPr="005C4275" w:rsidRDefault="005C4275" w:rsidP="00C305B6">
      <w:pPr>
        <w:rPr>
          <w:sz w:val="24"/>
          <w:szCs w:val="24"/>
        </w:rPr>
      </w:pPr>
      <w:proofErr w:type="spellStart"/>
      <w:r w:rsidRPr="005C4275">
        <w:rPr>
          <w:sz w:val="24"/>
          <w:szCs w:val="24"/>
        </w:rPr>
        <w:t>Manir</w:t>
      </w:r>
      <w:proofErr w:type="spellEnd"/>
      <w:r w:rsidRPr="005C4275">
        <w:rPr>
          <w:sz w:val="24"/>
          <w:szCs w:val="24"/>
        </w:rPr>
        <w:t xml:space="preserve"> Corporation</w:t>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t>:</w:t>
      </w:r>
    </w:p>
    <w:p w:rsidR="005C4275" w:rsidRPr="005C4275" w:rsidRDefault="005C4275" w:rsidP="00C305B6">
      <w:pPr>
        <w:rPr>
          <w:sz w:val="24"/>
          <w:szCs w:val="24"/>
        </w:rPr>
      </w:pP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t>:</w:t>
      </w:r>
    </w:p>
    <w:p w:rsidR="005C4275" w:rsidRPr="005C4275" w:rsidRDefault="005C4275" w:rsidP="00C305B6">
      <w:pPr>
        <w:rPr>
          <w:sz w:val="24"/>
          <w:szCs w:val="24"/>
        </w:rPr>
      </w:pPr>
      <w:r w:rsidRPr="005C4275">
        <w:rPr>
          <w:sz w:val="24"/>
          <w:szCs w:val="24"/>
        </w:rPr>
        <w:tab/>
        <w:t>v.</w:t>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t>:</w:t>
      </w:r>
      <w:r w:rsidRPr="005C4275">
        <w:rPr>
          <w:sz w:val="24"/>
          <w:szCs w:val="24"/>
        </w:rPr>
        <w:tab/>
      </w:r>
      <w:r w:rsidRPr="005C4275">
        <w:rPr>
          <w:sz w:val="24"/>
          <w:szCs w:val="24"/>
        </w:rPr>
        <w:tab/>
        <w:t>C-2014-2443015</w:t>
      </w:r>
    </w:p>
    <w:p w:rsidR="005C4275" w:rsidRPr="005C4275" w:rsidRDefault="005C4275" w:rsidP="00C305B6">
      <w:pPr>
        <w:rPr>
          <w:sz w:val="24"/>
          <w:szCs w:val="24"/>
        </w:rPr>
      </w:pP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r>
      <w:r w:rsidRPr="005C4275">
        <w:rPr>
          <w:sz w:val="24"/>
          <w:szCs w:val="24"/>
        </w:rPr>
        <w:tab/>
        <w:t>:</w:t>
      </w:r>
    </w:p>
    <w:p w:rsidR="005C4275" w:rsidRPr="005C4275" w:rsidRDefault="005C4275" w:rsidP="00C305B6">
      <w:pPr>
        <w:rPr>
          <w:sz w:val="24"/>
          <w:szCs w:val="24"/>
        </w:rPr>
      </w:pPr>
      <w:r w:rsidRPr="005C4275">
        <w:rPr>
          <w:sz w:val="24"/>
          <w:szCs w:val="24"/>
        </w:rPr>
        <w:t>PECO Energy Company</w:t>
      </w:r>
      <w:r w:rsidRPr="005C4275">
        <w:rPr>
          <w:sz w:val="24"/>
          <w:szCs w:val="24"/>
        </w:rPr>
        <w:tab/>
      </w:r>
      <w:r w:rsidRPr="005C4275">
        <w:rPr>
          <w:sz w:val="24"/>
          <w:szCs w:val="24"/>
        </w:rPr>
        <w:tab/>
      </w:r>
      <w:r w:rsidRPr="005C4275">
        <w:rPr>
          <w:sz w:val="24"/>
          <w:szCs w:val="24"/>
        </w:rPr>
        <w:tab/>
      </w:r>
      <w:r w:rsidRPr="005C4275">
        <w:rPr>
          <w:sz w:val="24"/>
          <w:szCs w:val="24"/>
        </w:rPr>
        <w:tab/>
        <w:t>:</w:t>
      </w:r>
    </w:p>
    <w:p w:rsidR="005C4275" w:rsidRDefault="005C4275" w:rsidP="00C305B6">
      <w:pPr>
        <w:rPr>
          <w:sz w:val="24"/>
          <w:szCs w:val="24"/>
        </w:rPr>
      </w:pPr>
    </w:p>
    <w:p w:rsidR="00C305B6" w:rsidRDefault="00C305B6" w:rsidP="00C305B6">
      <w:pPr>
        <w:rPr>
          <w:sz w:val="24"/>
          <w:szCs w:val="24"/>
        </w:rPr>
      </w:pPr>
    </w:p>
    <w:p w:rsidR="00C305B6" w:rsidRPr="005C4275" w:rsidRDefault="00C305B6" w:rsidP="00C305B6">
      <w:pPr>
        <w:rPr>
          <w:sz w:val="24"/>
          <w:szCs w:val="24"/>
        </w:rPr>
      </w:pPr>
    </w:p>
    <w:p w:rsidR="005C4275" w:rsidRPr="005C4275" w:rsidRDefault="005C4275" w:rsidP="00C305B6">
      <w:pPr>
        <w:jc w:val="center"/>
        <w:rPr>
          <w:b/>
          <w:sz w:val="24"/>
          <w:szCs w:val="24"/>
          <w:u w:val="single"/>
        </w:rPr>
      </w:pPr>
      <w:r w:rsidRPr="005C4275">
        <w:rPr>
          <w:b/>
          <w:sz w:val="24"/>
          <w:szCs w:val="24"/>
          <w:u w:val="single"/>
        </w:rPr>
        <w:t>ORDER</w:t>
      </w:r>
    </w:p>
    <w:p w:rsidR="005C4275" w:rsidRDefault="005C4275" w:rsidP="00C305B6">
      <w:pPr>
        <w:jc w:val="center"/>
        <w:rPr>
          <w:b/>
          <w:sz w:val="24"/>
          <w:szCs w:val="24"/>
          <w:u w:val="single"/>
        </w:rPr>
      </w:pPr>
    </w:p>
    <w:p w:rsidR="00C305B6" w:rsidRPr="005C4275" w:rsidRDefault="00C305B6" w:rsidP="00C305B6">
      <w:pPr>
        <w:jc w:val="center"/>
        <w:rPr>
          <w:b/>
          <w:sz w:val="24"/>
          <w:szCs w:val="24"/>
          <w:u w:val="single"/>
        </w:rPr>
      </w:pPr>
    </w:p>
    <w:p w:rsidR="005C4275" w:rsidRPr="005C4275" w:rsidRDefault="005C4275" w:rsidP="005C4275">
      <w:pPr>
        <w:spacing w:line="360" w:lineRule="auto"/>
        <w:rPr>
          <w:sz w:val="24"/>
          <w:szCs w:val="24"/>
        </w:rPr>
      </w:pPr>
      <w:r w:rsidRPr="005C4275">
        <w:rPr>
          <w:sz w:val="24"/>
          <w:szCs w:val="24"/>
        </w:rPr>
        <w:tab/>
      </w:r>
      <w:r w:rsidRPr="005C4275">
        <w:rPr>
          <w:sz w:val="24"/>
          <w:szCs w:val="24"/>
        </w:rPr>
        <w:tab/>
      </w:r>
      <w:proofErr w:type="gramStart"/>
      <w:r w:rsidRPr="005C4275">
        <w:rPr>
          <w:sz w:val="24"/>
          <w:szCs w:val="24"/>
        </w:rPr>
        <w:t>Order directing that the case is continued for sixty days or until the parties submit</w:t>
      </w:r>
      <w:proofErr w:type="gramEnd"/>
      <w:r w:rsidRPr="005C4275">
        <w:rPr>
          <w:sz w:val="24"/>
          <w:szCs w:val="24"/>
        </w:rPr>
        <w:t xml:space="preserve"> additional hearing dates or a certificate of satisfaction.</w:t>
      </w:r>
    </w:p>
    <w:p w:rsidR="005C4275" w:rsidRPr="005C4275" w:rsidRDefault="005C4275" w:rsidP="005C4275">
      <w:pPr>
        <w:spacing w:line="360" w:lineRule="auto"/>
        <w:rPr>
          <w:sz w:val="24"/>
          <w:szCs w:val="24"/>
        </w:rPr>
      </w:pPr>
    </w:p>
    <w:p w:rsidR="00DF03CF" w:rsidRPr="005C4275" w:rsidRDefault="00DF03CF" w:rsidP="005C4275">
      <w:pPr>
        <w:spacing w:line="360" w:lineRule="auto"/>
        <w:jc w:val="center"/>
        <w:rPr>
          <w:sz w:val="24"/>
          <w:szCs w:val="24"/>
          <w:u w:val="single"/>
        </w:rPr>
      </w:pPr>
      <w:r w:rsidRPr="005C4275">
        <w:rPr>
          <w:sz w:val="24"/>
          <w:szCs w:val="24"/>
          <w:u w:val="single"/>
        </w:rPr>
        <w:t>HISTORY OF THE PROCEEDING</w:t>
      </w:r>
    </w:p>
    <w:p w:rsidR="00DF03CF" w:rsidRPr="005C4275" w:rsidRDefault="00DF03CF" w:rsidP="005C4275">
      <w:pPr>
        <w:spacing w:line="360" w:lineRule="auto"/>
        <w:rPr>
          <w:sz w:val="24"/>
          <w:szCs w:val="24"/>
          <w:u w:val="single"/>
        </w:rPr>
      </w:pPr>
    </w:p>
    <w:p w:rsidR="00DF03CF" w:rsidRPr="005C4275" w:rsidRDefault="00DF03CF" w:rsidP="005C4275">
      <w:pPr>
        <w:spacing w:line="360" w:lineRule="auto"/>
        <w:rPr>
          <w:sz w:val="24"/>
          <w:szCs w:val="24"/>
        </w:rPr>
      </w:pPr>
      <w:r w:rsidRPr="005C4275">
        <w:rPr>
          <w:sz w:val="24"/>
          <w:szCs w:val="24"/>
        </w:rPr>
        <w:tab/>
      </w:r>
      <w:r w:rsidRPr="005C4275">
        <w:rPr>
          <w:sz w:val="24"/>
          <w:szCs w:val="24"/>
        </w:rPr>
        <w:tab/>
        <w:t xml:space="preserve">On September 2, 2014, </w:t>
      </w:r>
      <w:proofErr w:type="spellStart"/>
      <w:r w:rsidRPr="005C4275">
        <w:rPr>
          <w:sz w:val="24"/>
          <w:szCs w:val="24"/>
        </w:rPr>
        <w:t>Manir</w:t>
      </w:r>
      <w:proofErr w:type="spellEnd"/>
      <w:r w:rsidRPr="005C4275">
        <w:rPr>
          <w:sz w:val="24"/>
          <w:szCs w:val="24"/>
        </w:rPr>
        <w:t xml:space="preserve"> Corporation (Complainant) filed a formal Complaint against PECO Energy Company (PECO or Respondent or Company) alleging that from December 2013 until April 2014, its electric bill was 3 times higher than it has been for the last 20 years.  The actual kWh usage shot up from 50,000 to 123,000, which is not acceptable.  Complainant asks that the Commission direct PECO to reassess the accuracy of the meter for the time period and to refund the money.</w:t>
      </w:r>
    </w:p>
    <w:p w:rsidR="00DF03CF" w:rsidRPr="005C4275" w:rsidRDefault="00DF03CF" w:rsidP="005C4275">
      <w:pPr>
        <w:spacing w:line="360" w:lineRule="auto"/>
        <w:rPr>
          <w:sz w:val="24"/>
          <w:szCs w:val="24"/>
        </w:rPr>
      </w:pPr>
    </w:p>
    <w:p w:rsidR="00DF03CF" w:rsidRPr="005C4275" w:rsidRDefault="00DF03CF" w:rsidP="005C4275">
      <w:pPr>
        <w:spacing w:line="360" w:lineRule="auto"/>
        <w:rPr>
          <w:sz w:val="24"/>
          <w:szCs w:val="24"/>
        </w:rPr>
      </w:pPr>
      <w:r w:rsidRPr="005C4275">
        <w:rPr>
          <w:sz w:val="24"/>
          <w:szCs w:val="24"/>
        </w:rPr>
        <w:tab/>
      </w:r>
      <w:r w:rsidRPr="005C4275">
        <w:rPr>
          <w:sz w:val="24"/>
          <w:szCs w:val="24"/>
        </w:rPr>
        <w:tab/>
        <w:t>The Complaint, accompanied by a Notice to Plead, was served on the Company by the Commission's Secretary on September 17, 2014.</w:t>
      </w:r>
    </w:p>
    <w:p w:rsidR="00DF03CF" w:rsidRPr="005C4275" w:rsidRDefault="00DF03CF" w:rsidP="005C4275">
      <w:pPr>
        <w:spacing w:line="360" w:lineRule="auto"/>
        <w:rPr>
          <w:sz w:val="24"/>
          <w:szCs w:val="24"/>
        </w:rPr>
      </w:pPr>
    </w:p>
    <w:p w:rsidR="00C305B6" w:rsidRDefault="00DF03CF" w:rsidP="005C4275">
      <w:pPr>
        <w:spacing w:line="360" w:lineRule="auto"/>
        <w:rPr>
          <w:sz w:val="24"/>
          <w:szCs w:val="24"/>
        </w:rPr>
      </w:pPr>
      <w:r w:rsidRPr="005C4275">
        <w:rPr>
          <w:sz w:val="24"/>
          <w:szCs w:val="24"/>
        </w:rPr>
        <w:tab/>
      </w:r>
      <w:r w:rsidRPr="005C4275">
        <w:rPr>
          <w:sz w:val="24"/>
          <w:szCs w:val="24"/>
        </w:rPr>
        <w:tab/>
        <w:t xml:space="preserve">On October 3, 2014, PECO filed its Answer with New Matter, denying any wrongdoing.  Specifically, the Company responds that it has investigated the Complainant's meter and has found that it was operating properly and that the billing was based on actual meter </w:t>
      </w:r>
    </w:p>
    <w:p w:rsidR="00C305B6" w:rsidRDefault="00C305B6">
      <w:pPr>
        <w:spacing w:line="360" w:lineRule="auto"/>
        <w:jc w:val="center"/>
        <w:rPr>
          <w:sz w:val="24"/>
          <w:szCs w:val="24"/>
        </w:rPr>
      </w:pPr>
      <w:r>
        <w:rPr>
          <w:sz w:val="24"/>
          <w:szCs w:val="24"/>
        </w:rPr>
        <w:br w:type="page"/>
      </w:r>
    </w:p>
    <w:p w:rsidR="00DF03CF" w:rsidRPr="005C4275" w:rsidRDefault="00DF03CF" w:rsidP="005C4275">
      <w:pPr>
        <w:spacing w:line="360" w:lineRule="auto"/>
        <w:rPr>
          <w:sz w:val="24"/>
          <w:szCs w:val="24"/>
        </w:rPr>
      </w:pPr>
      <w:proofErr w:type="gramStart"/>
      <w:r w:rsidRPr="005C4275">
        <w:rPr>
          <w:sz w:val="24"/>
          <w:szCs w:val="24"/>
        </w:rPr>
        <w:lastRenderedPageBreak/>
        <w:t>readings</w:t>
      </w:r>
      <w:proofErr w:type="gramEnd"/>
      <w:r w:rsidRPr="005C4275">
        <w:rPr>
          <w:sz w:val="24"/>
          <w:szCs w:val="24"/>
        </w:rPr>
        <w:t xml:space="preserve">.  In New Matter, PECO avers that the Complainant is a commercial customer which must be represented by an attorney in adversarial proceedings. </w:t>
      </w:r>
    </w:p>
    <w:p w:rsidR="00DF03CF" w:rsidRPr="005C4275" w:rsidRDefault="00DF03CF" w:rsidP="005C4275">
      <w:pPr>
        <w:spacing w:line="360" w:lineRule="auto"/>
        <w:rPr>
          <w:sz w:val="24"/>
          <w:szCs w:val="24"/>
        </w:rPr>
      </w:pPr>
    </w:p>
    <w:p w:rsidR="00DF03CF" w:rsidRPr="005C4275" w:rsidRDefault="00DF03CF" w:rsidP="005C4275">
      <w:pPr>
        <w:spacing w:line="360" w:lineRule="auto"/>
        <w:rPr>
          <w:sz w:val="24"/>
          <w:szCs w:val="24"/>
        </w:rPr>
      </w:pPr>
      <w:r w:rsidRPr="005C4275">
        <w:rPr>
          <w:sz w:val="24"/>
          <w:szCs w:val="24"/>
        </w:rPr>
        <w:tab/>
      </w:r>
      <w:r w:rsidRPr="005C4275">
        <w:rPr>
          <w:sz w:val="24"/>
          <w:szCs w:val="24"/>
        </w:rPr>
        <w:tab/>
        <w:t xml:space="preserve">On October 24, 2014, PECO filed a Motion for Judgment on the Pleadings (MJOP) because over 20 days had passed since the service of the PECO Answer with New Matter and Complainant had not responded to the New Matter.  </w:t>
      </w:r>
      <w:proofErr w:type="gramStart"/>
      <w:r w:rsidRPr="005C4275">
        <w:rPr>
          <w:sz w:val="24"/>
          <w:szCs w:val="24"/>
        </w:rPr>
        <w:t>52 Pa.Code § 5.63.</w:t>
      </w:r>
      <w:proofErr w:type="gramEnd"/>
      <w:r w:rsidRPr="005C4275">
        <w:rPr>
          <w:sz w:val="24"/>
          <w:szCs w:val="24"/>
        </w:rPr>
        <w:t xml:space="preserve">  </w:t>
      </w:r>
    </w:p>
    <w:p w:rsidR="00DF03CF" w:rsidRPr="005C4275" w:rsidRDefault="00DF03CF" w:rsidP="005C4275">
      <w:pPr>
        <w:spacing w:line="360" w:lineRule="auto"/>
        <w:rPr>
          <w:sz w:val="24"/>
          <w:szCs w:val="24"/>
        </w:rPr>
      </w:pPr>
    </w:p>
    <w:p w:rsidR="00DF03CF" w:rsidRPr="005C4275" w:rsidRDefault="00DF03CF" w:rsidP="005C4275">
      <w:pPr>
        <w:spacing w:line="360" w:lineRule="auto"/>
        <w:rPr>
          <w:sz w:val="24"/>
          <w:szCs w:val="24"/>
        </w:rPr>
      </w:pPr>
      <w:r w:rsidRPr="005C4275">
        <w:rPr>
          <w:sz w:val="24"/>
          <w:szCs w:val="24"/>
        </w:rPr>
        <w:tab/>
      </w:r>
      <w:r w:rsidRPr="005C4275">
        <w:rPr>
          <w:sz w:val="24"/>
          <w:szCs w:val="24"/>
        </w:rPr>
        <w:tab/>
        <w:t>On October 31, 2014, Complainant filed both a Response to the Motion for Judgment on the Pleadings and Response to New Matter, this time represented by an attorney, who filed a separate Notice of Appearance as well.  Complainant asks that the Commission deny the MJOP because it is now represented by counsel.</w:t>
      </w:r>
    </w:p>
    <w:p w:rsidR="00DF03CF" w:rsidRPr="005C4275" w:rsidRDefault="00DF03CF" w:rsidP="005C4275">
      <w:pPr>
        <w:spacing w:line="360" w:lineRule="auto"/>
        <w:rPr>
          <w:sz w:val="24"/>
          <w:szCs w:val="24"/>
        </w:rPr>
      </w:pPr>
    </w:p>
    <w:p w:rsidR="00C53E2F" w:rsidRDefault="00DF03CF" w:rsidP="005C4275">
      <w:pPr>
        <w:spacing w:line="360" w:lineRule="auto"/>
        <w:rPr>
          <w:sz w:val="24"/>
          <w:szCs w:val="24"/>
        </w:rPr>
      </w:pPr>
      <w:r w:rsidRPr="005C4275">
        <w:rPr>
          <w:sz w:val="24"/>
          <w:szCs w:val="24"/>
        </w:rPr>
        <w:tab/>
      </w:r>
      <w:r w:rsidRPr="005C4275">
        <w:rPr>
          <w:sz w:val="24"/>
          <w:szCs w:val="24"/>
        </w:rPr>
        <w:tab/>
        <w:t xml:space="preserve">The MJOP </w:t>
      </w:r>
      <w:r w:rsidR="00C53E2F" w:rsidRPr="005C4275">
        <w:rPr>
          <w:sz w:val="24"/>
          <w:szCs w:val="24"/>
        </w:rPr>
        <w:t xml:space="preserve">was denied </w:t>
      </w:r>
      <w:r w:rsidR="005C4275">
        <w:rPr>
          <w:sz w:val="24"/>
          <w:szCs w:val="24"/>
        </w:rPr>
        <w:t xml:space="preserve">as moot </w:t>
      </w:r>
      <w:r w:rsidR="00C53E2F" w:rsidRPr="005C4275">
        <w:rPr>
          <w:sz w:val="24"/>
          <w:szCs w:val="24"/>
        </w:rPr>
        <w:t xml:space="preserve">by Order issued December 17, 2015, which directed that the matter be set for hearing.  A telephonic hearing was scheduled by notice dated January 5, 2015 and the hearing was scheduled for Wednesday, February 11, 2015 at 10:00 am.  I issued a prehearing order on January 5, 2015, which set forth some of the requirements for a formal proceeding before the Commission.  </w:t>
      </w:r>
    </w:p>
    <w:p w:rsidR="00C53E2F" w:rsidRPr="005C4275" w:rsidRDefault="00C53E2F" w:rsidP="005C4275">
      <w:pPr>
        <w:spacing w:line="360" w:lineRule="auto"/>
        <w:rPr>
          <w:sz w:val="24"/>
          <w:szCs w:val="24"/>
        </w:rPr>
      </w:pPr>
    </w:p>
    <w:p w:rsidR="00C53E2F" w:rsidRPr="005C4275" w:rsidRDefault="005C4275" w:rsidP="005C4275">
      <w:pPr>
        <w:spacing w:line="360" w:lineRule="auto"/>
        <w:rPr>
          <w:sz w:val="24"/>
          <w:szCs w:val="24"/>
        </w:rPr>
      </w:pPr>
      <w:r>
        <w:rPr>
          <w:sz w:val="24"/>
          <w:szCs w:val="24"/>
        </w:rPr>
        <w:tab/>
      </w:r>
      <w:r>
        <w:rPr>
          <w:sz w:val="24"/>
          <w:szCs w:val="24"/>
        </w:rPr>
        <w:tab/>
      </w:r>
      <w:r w:rsidR="00C53E2F" w:rsidRPr="005C4275">
        <w:rPr>
          <w:sz w:val="24"/>
          <w:szCs w:val="24"/>
        </w:rPr>
        <w:t>PECO submitted nine proposed exhibits in compliance with the directions in the prehearing order</w:t>
      </w:r>
      <w:r>
        <w:rPr>
          <w:sz w:val="24"/>
          <w:szCs w:val="24"/>
        </w:rPr>
        <w:t xml:space="preserve">.  </w:t>
      </w:r>
    </w:p>
    <w:p w:rsidR="00C53E2F" w:rsidRPr="005C4275" w:rsidRDefault="00C53E2F" w:rsidP="005C4275">
      <w:pPr>
        <w:spacing w:line="360" w:lineRule="auto"/>
        <w:rPr>
          <w:sz w:val="24"/>
          <w:szCs w:val="24"/>
        </w:rPr>
      </w:pPr>
    </w:p>
    <w:p w:rsidR="00C53E2F" w:rsidRDefault="005C4275" w:rsidP="005C4275">
      <w:pPr>
        <w:spacing w:line="360" w:lineRule="auto"/>
        <w:rPr>
          <w:sz w:val="24"/>
          <w:szCs w:val="24"/>
        </w:rPr>
      </w:pPr>
      <w:r>
        <w:rPr>
          <w:sz w:val="24"/>
          <w:szCs w:val="24"/>
        </w:rPr>
        <w:tab/>
      </w:r>
      <w:r>
        <w:rPr>
          <w:sz w:val="24"/>
          <w:szCs w:val="24"/>
        </w:rPr>
        <w:tab/>
        <w:t xml:space="preserve">At the time set for the hearing, </w:t>
      </w:r>
      <w:r w:rsidR="00C53E2F" w:rsidRPr="005C4275">
        <w:rPr>
          <w:sz w:val="24"/>
          <w:szCs w:val="24"/>
        </w:rPr>
        <w:t>PECO</w:t>
      </w:r>
      <w:r>
        <w:rPr>
          <w:sz w:val="24"/>
          <w:szCs w:val="24"/>
        </w:rPr>
        <w:t xml:space="preserve"> was prepared to proceed and was</w:t>
      </w:r>
      <w:r w:rsidR="00C53E2F" w:rsidRPr="005C4275">
        <w:rPr>
          <w:sz w:val="24"/>
          <w:szCs w:val="24"/>
        </w:rPr>
        <w:t xml:space="preserve"> re</w:t>
      </w:r>
      <w:r>
        <w:rPr>
          <w:sz w:val="24"/>
          <w:szCs w:val="24"/>
        </w:rPr>
        <w:t xml:space="preserve">presented by </w:t>
      </w:r>
      <w:proofErr w:type="spellStart"/>
      <w:r>
        <w:rPr>
          <w:sz w:val="24"/>
          <w:szCs w:val="24"/>
        </w:rPr>
        <w:t>Shawane</w:t>
      </w:r>
      <w:proofErr w:type="spellEnd"/>
      <w:r>
        <w:rPr>
          <w:sz w:val="24"/>
          <w:szCs w:val="24"/>
        </w:rPr>
        <w:t xml:space="preserve"> Lee, Esq.  </w:t>
      </w:r>
      <w:r w:rsidR="00C53E2F" w:rsidRPr="005C4275">
        <w:rPr>
          <w:sz w:val="24"/>
          <w:szCs w:val="24"/>
        </w:rPr>
        <w:t xml:space="preserve">Complainant was represented by William </w:t>
      </w:r>
      <w:r w:rsidR="00407E6C" w:rsidRPr="005C4275">
        <w:rPr>
          <w:sz w:val="24"/>
          <w:szCs w:val="24"/>
        </w:rPr>
        <w:t>C. MacMill</w:t>
      </w:r>
      <w:r>
        <w:rPr>
          <w:sz w:val="24"/>
          <w:szCs w:val="24"/>
        </w:rPr>
        <w:t>a</w:t>
      </w:r>
      <w:r w:rsidR="00407E6C" w:rsidRPr="005C4275">
        <w:rPr>
          <w:sz w:val="24"/>
          <w:szCs w:val="24"/>
        </w:rPr>
        <w:t xml:space="preserve">n, Esq., who </w:t>
      </w:r>
      <w:r>
        <w:rPr>
          <w:sz w:val="24"/>
          <w:szCs w:val="24"/>
        </w:rPr>
        <w:t xml:space="preserve">indicated that he was under the impression that the hearing was actually in the nature of a prehearing conference and did not have his case ready for presentation.  A review of the orders issued revealed that Mr. MacMillan had not been served with a copy of the prehearing order which explained the process.  At his request and without objection from PECO counsel, the hearing was </w:t>
      </w:r>
      <w:r w:rsidR="00AC34A4">
        <w:rPr>
          <w:sz w:val="24"/>
          <w:szCs w:val="24"/>
        </w:rPr>
        <w:t>converted to</w:t>
      </w:r>
      <w:r>
        <w:rPr>
          <w:sz w:val="24"/>
          <w:szCs w:val="24"/>
        </w:rPr>
        <w:t xml:space="preserve"> a prehearing conference.</w:t>
      </w:r>
    </w:p>
    <w:p w:rsidR="005C4275" w:rsidRDefault="005C4275" w:rsidP="005C4275">
      <w:pPr>
        <w:spacing w:line="360" w:lineRule="auto"/>
        <w:rPr>
          <w:sz w:val="24"/>
          <w:szCs w:val="24"/>
        </w:rPr>
      </w:pPr>
    </w:p>
    <w:p w:rsidR="005C4275" w:rsidRDefault="005C4275" w:rsidP="005C4275">
      <w:pPr>
        <w:spacing w:line="360" w:lineRule="auto"/>
        <w:rPr>
          <w:sz w:val="24"/>
          <w:szCs w:val="24"/>
        </w:rPr>
      </w:pPr>
      <w:r>
        <w:rPr>
          <w:sz w:val="24"/>
          <w:szCs w:val="24"/>
        </w:rPr>
        <w:tab/>
      </w:r>
      <w:r>
        <w:rPr>
          <w:sz w:val="24"/>
          <w:szCs w:val="24"/>
        </w:rPr>
        <w:tab/>
        <w:t>The parties indicated that they had not yet reached a settlement but believed that they could with additional time.  They asked that I not set another hearing date until they had an opportunity to reach an amicable resolution of the matter.</w:t>
      </w:r>
    </w:p>
    <w:p w:rsidR="005C4275" w:rsidRDefault="005C4275" w:rsidP="005C4275">
      <w:pPr>
        <w:spacing w:line="360" w:lineRule="auto"/>
        <w:rPr>
          <w:sz w:val="24"/>
          <w:szCs w:val="24"/>
        </w:rPr>
      </w:pPr>
    </w:p>
    <w:p w:rsidR="005C4275" w:rsidRDefault="005C4275" w:rsidP="005C4275">
      <w:pPr>
        <w:spacing w:line="360" w:lineRule="auto"/>
        <w:rPr>
          <w:sz w:val="24"/>
          <w:szCs w:val="24"/>
        </w:rPr>
      </w:pPr>
      <w:r>
        <w:rPr>
          <w:sz w:val="24"/>
          <w:szCs w:val="24"/>
        </w:rPr>
        <w:tab/>
      </w:r>
      <w:r>
        <w:rPr>
          <w:sz w:val="24"/>
          <w:szCs w:val="24"/>
        </w:rPr>
        <w:tab/>
        <w:t>Accordingly, the parties are afforded 60 days to negotiate.  Should they realize that another hearing is necessary, they are directed to</w:t>
      </w:r>
      <w:r w:rsidR="00AC34A4">
        <w:rPr>
          <w:sz w:val="24"/>
          <w:szCs w:val="24"/>
        </w:rPr>
        <w:t xml:space="preserve"> provide me with</w:t>
      </w:r>
      <w:r>
        <w:rPr>
          <w:sz w:val="24"/>
          <w:szCs w:val="24"/>
        </w:rPr>
        <w:t xml:space="preserve"> three possible dates for a rescheduled hearing</w:t>
      </w:r>
      <w:r w:rsidR="00AC34A4">
        <w:rPr>
          <w:sz w:val="24"/>
          <w:szCs w:val="24"/>
        </w:rPr>
        <w:t xml:space="preserve"> that they have agreed upon, if possible.  </w:t>
      </w:r>
      <w:r>
        <w:rPr>
          <w:sz w:val="24"/>
          <w:szCs w:val="24"/>
        </w:rPr>
        <w:t>If, at the end of the sixty day</w:t>
      </w:r>
      <w:r w:rsidR="00AC34A4">
        <w:rPr>
          <w:sz w:val="24"/>
          <w:szCs w:val="24"/>
        </w:rPr>
        <w:t xml:space="preserve"> period, no certificate of satisfaction has been filed and no contact from the parties indicates preferred hearing dates, another hearing will be set at the Commission's convenience.</w:t>
      </w:r>
    </w:p>
    <w:p w:rsidR="00AC34A4" w:rsidRDefault="00AC34A4" w:rsidP="005C4275">
      <w:pPr>
        <w:spacing w:line="360" w:lineRule="auto"/>
        <w:rPr>
          <w:sz w:val="24"/>
          <w:szCs w:val="24"/>
        </w:rPr>
      </w:pPr>
    </w:p>
    <w:p w:rsidR="00AC34A4" w:rsidRDefault="00AC34A4" w:rsidP="005C4275">
      <w:pPr>
        <w:spacing w:line="360" w:lineRule="auto"/>
        <w:rPr>
          <w:sz w:val="24"/>
          <w:szCs w:val="24"/>
        </w:rPr>
      </w:pPr>
      <w:r>
        <w:rPr>
          <w:sz w:val="24"/>
          <w:szCs w:val="24"/>
        </w:rPr>
        <w:tab/>
      </w:r>
      <w:r>
        <w:rPr>
          <w:sz w:val="24"/>
          <w:szCs w:val="24"/>
        </w:rPr>
        <w:tab/>
        <w:t>THEREFORE,</w:t>
      </w:r>
    </w:p>
    <w:p w:rsidR="00AC34A4" w:rsidRDefault="00AC34A4" w:rsidP="005C4275">
      <w:pPr>
        <w:spacing w:line="360" w:lineRule="auto"/>
        <w:rPr>
          <w:sz w:val="24"/>
          <w:szCs w:val="24"/>
        </w:rPr>
      </w:pPr>
    </w:p>
    <w:p w:rsidR="00AC34A4" w:rsidRDefault="00AC34A4" w:rsidP="005C4275">
      <w:pPr>
        <w:spacing w:line="360" w:lineRule="auto"/>
        <w:rPr>
          <w:sz w:val="24"/>
          <w:szCs w:val="24"/>
        </w:rPr>
      </w:pPr>
      <w:r>
        <w:rPr>
          <w:sz w:val="24"/>
          <w:szCs w:val="24"/>
        </w:rPr>
        <w:tab/>
      </w:r>
      <w:r>
        <w:rPr>
          <w:sz w:val="24"/>
          <w:szCs w:val="24"/>
        </w:rPr>
        <w:tab/>
        <w:t>IT IS ORDERED:</w:t>
      </w:r>
    </w:p>
    <w:p w:rsidR="00AC34A4" w:rsidRDefault="00AC34A4" w:rsidP="005C4275">
      <w:pPr>
        <w:spacing w:line="360" w:lineRule="auto"/>
        <w:rPr>
          <w:sz w:val="24"/>
          <w:szCs w:val="24"/>
        </w:rPr>
      </w:pPr>
    </w:p>
    <w:p w:rsidR="00AC34A4" w:rsidRDefault="00AC34A4" w:rsidP="005C4275">
      <w:pPr>
        <w:spacing w:line="360" w:lineRule="auto"/>
        <w:rPr>
          <w:sz w:val="24"/>
          <w:szCs w:val="24"/>
        </w:rPr>
      </w:pPr>
      <w:r>
        <w:rPr>
          <w:sz w:val="24"/>
          <w:szCs w:val="24"/>
        </w:rPr>
        <w:tab/>
      </w:r>
      <w:r>
        <w:rPr>
          <w:sz w:val="24"/>
          <w:szCs w:val="24"/>
        </w:rPr>
        <w:tab/>
        <w:t>1.</w:t>
      </w:r>
      <w:r>
        <w:rPr>
          <w:sz w:val="24"/>
          <w:szCs w:val="24"/>
        </w:rPr>
        <w:tab/>
        <w:t xml:space="preserve">That the case captioned </w:t>
      </w:r>
      <w:proofErr w:type="spellStart"/>
      <w:r>
        <w:rPr>
          <w:i/>
          <w:sz w:val="24"/>
          <w:szCs w:val="24"/>
        </w:rPr>
        <w:t>Manir</w:t>
      </w:r>
      <w:proofErr w:type="spellEnd"/>
      <w:r>
        <w:rPr>
          <w:i/>
          <w:sz w:val="24"/>
          <w:szCs w:val="24"/>
        </w:rPr>
        <w:t xml:space="preserve"> Corporation v. PECO Energy Company</w:t>
      </w:r>
      <w:r>
        <w:rPr>
          <w:sz w:val="24"/>
          <w:szCs w:val="24"/>
        </w:rPr>
        <w:t xml:space="preserve"> at docket no. C-2014-</w:t>
      </w:r>
      <w:proofErr w:type="gramStart"/>
      <w:r>
        <w:rPr>
          <w:sz w:val="24"/>
          <w:szCs w:val="24"/>
        </w:rPr>
        <w:t>2443015,</w:t>
      </w:r>
      <w:proofErr w:type="gramEnd"/>
      <w:r>
        <w:rPr>
          <w:sz w:val="24"/>
          <w:szCs w:val="24"/>
        </w:rPr>
        <w:t xml:space="preserve"> is continued for up to 60 days.</w:t>
      </w:r>
    </w:p>
    <w:p w:rsidR="00AC34A4" w:rsidRDefault="00AC34A4" w:rsidP="005C4275">
      <w:pPr>
        <w:spacing w:line="360" w:lineRule="auto"/>
        <w:rPr>
          <w:sz w:val="24"/>
          <w:szCs w:val="24"/>
        </w:rPr>
      </w:pPr>
    </w:p>
    <w:p w:rsidR="00AC34A4" w:rsidRDefault="00AC34A4" w:rsidP="005C4275">
      <w:pPr>
        <w:spacing w:line="360" w:lineRule="auto"/>
        <w:rPr>
          <w:sz w:val="24"/>
          <w:szCs w:val="24"/>
        </w:rPr>
      </w:pPr>
      <w:r>
        <w:rPr>
          <w:sz w:val="24"/>
          <w:szCs w:val="24"/>
        </w:rPr>
        <w:tab/>
      </w:r>
      <w:r>
        <w:rPr>
          <w:sz w:val="24"/>
          <w:szCs w:val="24"/>
        </w:rPr>
        <w:tab/>
        <w:t>2.</w:t>
      </w:r>
      <w:r>
        <w:rPr>
          <w:sz w:val="24"/>
          <w:szCs w:val="24"/>
        </w:rPr>
        <w:tab/>
        <w:t xml:space="preserve">That if the parties realize that they cannot resolve the Complaint and wish to have the evidentiary hearing rescheduled, they shall provide </w:t>
      </w:r>
      <w:r w:rsidR="00DE7708">
        <w:rPr>
          <w:sz w:val="24"/>
          <w:szCs w:val="24"/>
        </w:rPr>
        <w:t xml:space="preserve">to the administrative law judge </w:t>
      </w:r>
      <w:r>
        <w:rPr>
          <w:sz w:val="24"/>
          <w:szCs w:val="24"/>
        </w:rPr>
        <w:t>three possible days that they agree upon as available for the rescheduled hearing.</w:t>
      </w:r>
    </w:p>
    <w:p w:rsidR="00AC34A4" w:rsidRDefault="00AC34A4" w:rsidP="005C4275">
      <w:pPr>
        <w:spacing w:line="360" w:lineRule="auto"/>
        <w:rPr>
          <w:sz w:val="24"/>
          <w:szCs w:val="24"/>
        </w:rPr>
      </w:pPr>
    </w:p>
    <w:p w:rsidR="00AC34A4" w:rsidRDefault="00AC34A4" w:rsidP="005C4275">
      <w:pPr>
        <w:spacing w:line="360" w:lineRule="auto"/>
        <w:rPr>
          <w:sz w:val="24"/>
          <w:szCs w:val="24"/>
        </w:rPr>
      </w:pPr>
      <w:r>
        <w:rPr>
          <w:sz w:val="24"/>
          <w:szCs w:val="24"/>
        </w:rPr>
        <w:tab/>
      </w:r>
      <w:r>
        <w:rPr>
          <w:sz w:val="24"/>
          <w:szCs w:val="24"/>
        </w:rPr>
        <w:tab/>
        <w:t>3.</w:t>
      </w:r>
      <w:r>
        <w:rPr>
          <w:sz w:val="24"/>
          <w:szCs w:val="24"/>
        </w:rPr>
        <w:tab/>
        <w:t xml:space="preserve">That at the end of the 60-day period, if no contact is received from the parties regarding this </w:t>
      </w:r>
      <w:proofErr w:type="gramStart"/>
      <w:r>
        <w:rPr>
          <w:sz w:val="24"/>
          <w:szCs w:val="24"/>
        </w:rPr>
        <w:t>matter,</w:t>
      </w:r>
      <w:proofErr w:type="gramEnd"/>
      <w:r>
        <w:rPr>
          <w:sz w:val="24"/>
          <w:szCs w:val="24"/>
        </w:rPr>
        <w:t xml:space="preserve"> the case captioned </w:t>
      </w:r>
      <w:proofErr w:type="spellStart"/>
      <w:r>
        <w:rPr>
          <w:i/>
          <w:sz w:val="24"/>
          <w:szCs w:val="24"/>
        </w:rPr>
        <w:t>Manir</w:t>
      </w:r>
      <w:proofErr w:type="spellEnd"/>
      <w:r>
        <w:rPr>
          <w:i/>
          <w:sz w:val="24"/>
          <w:szCs w:val="24"/>
        </w:rPr>
        <w:t xml:space="preserve"> Corporation v. PECO Energy Company</w:t>
      </w:r>
      <w:r>
        <w:rPr>
          <w:sz w:val="24"/>
          <w:szCs w:val="24"/>
        </w:rPr>
        <w:t xml:space="preserve"> at docket no. C-2014-</w:t>
      </w:r>
      <w:proofErr w:type="gramStart"/>
      <w:r>
        <w:rPr>
          <w:sz w:val="24"/>
          <w:szCs w:val="24"/>
        </w:rPr>
        <w:t>2443015,</w:t>
      </w:r>
      <w:proofErr w:type="gramEnd"/>
      <w:r>
        <w:rPr>
          <w:sz w:val="24"/>
          <w:szCs w:val="24"/>
        </w:rPr>
        <w:t xml:space="preserve"> shall be set for an evidentiary hearing at the convenience of the Commission.</w:t>
      </w:r>
    </w:p>
    <w:p w:rsidR="00AC34A4" w:rsidRDefault="00AC34A4" w:rsidP="005C4275">
      <w:pPr>
        <w:spacing w:line="360" w:lineRule="auto"/>
        <w:rPr>
          <w:sz w:val="24"/>
          <w:szCs w:val="24"/>
        </w:rPr>
      </w:pPr>
    </w:p>
    <w:p w:rsidR="00AC34A4" w:rsidRDefault="00AC34A4" w:rsidP="00AC34A4">
      <w:pPr>
        <w:rPr>
          <w:sz w:val="24"/>
          <w:szCs w:val="24"/>
        </w:rPr>
      </w:pPr>
      <w:r>
        <w:rPr>
          <w:sz w:val="24"/>
          <w:szCs w:val="24"/>
        </w:rPr>
        <w:t>Dated:</w:t>
      </w:r>
      <w:r>
        <w:rPr>
          <w:sz w:val="24"/>
          <w:szCs w:val="24"/>
        </w:rPr>
        <w:tab/>
      </w:r>
      <w:r>
        <w:rPr>
          <w:sz w:val="24"/>
          <w:szCs w:val="24"/>
          <w:u w:val="single"/>
        </w:rPr>
        <w:t>February 11, 2015</w:t>
      </w:r>
      <w:r>
        <w:rPr>
          <w:sz w:val="24"/>
          <w:szCs w:val="24"/>
        </w:rPr>
        <w:tab/>
      </w:r>
      <w:r>
        <w:rPr>
          <w:sz w:val="24"/>
          <w:szCs w:val="24"/>
        </w:rPr>
        <w:tab/>
      </w:r>
      <w:r>
        <w:rPr>
          <w:sz w:val="24"/>
          <w:szCs w:val="24"/>
        </w:rPr>
        <w:tab/>
      </w:r>
      <w:r>
        <w:rPr>
          <w:sz w:val="24"/>
          <w:szCs w:val="24"/>
        </w:rPr>
        <w:tab/>
      </w:r>
      <w:r>
        <w:rPr>
          <w:sz w:val="24"/>
          <w:szCs w:val="24"/>
        </w:rPr>
        <w:tab/>
        <w:t>____________________________</w:t>
      </w:r>
    </w:p>
    <w:p w:rsidR="00AC34A4" w:rsidRDefault="00AC34A4" w:rsidP="00AC34A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DF03CF" w:rsidRDefault="00AC34A4" w:rsidP="00AC34A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F03CF" w:rsidRDefault="005C4275" w:rsidP="005C4275">
      <w:pPr>
        <w:spacing w:line="360" w:lineRule="auto"/>
      </w:pPr>
      <w:r>
        <w:t xml:space="preserve"> </w:t>
      </w:r>
    </w:p>
    <w:p w:rsidR="00373E03" w:rsidRDefault="00373E03" w:rsidP="00DF03CF">
      <w:pPr>
        <w:sectPr w:rsidR="00373E03" w:rsidSect="00AC34A4">
          <w:footerReference w:type="default" r:id="rId7"/>
          <w:pgSz w:w="12240" w:h="15840"/>
          <w:pgMar w:top="1440" w:right="1440" w:bottom="1440" w:left="1440" w:header="720" w:footer="720" w:gutter="0"/>
          <w:cols w:space="720"/>
          <w:titlePg/>
          <w:docGrid w:linePitch="360"/>
        </w:sectPr>
      </w:pPr>
    </w:p>
    <w:p w:rsidR="00373E03" w:rsidRDefault="00373E03" w:rsidP="00373E03">
      <w:pPr>
        <w:contextualSpacing/>
        <w:rPr>
          <w:rFonts w:ascii="Microsoft Sans Serif"/>
          <w:b/>
          <w:sz w:val="24"/>
          <w:u w:val="single"/>
        </w:rPr>
      </w:pPr>
      <w:r>
        <w:rPr>
          <w:rFonts w:ascii="Microsoft Sans Serif"/>
          <w:b/>
          <w:sz w:val="24"/>
          <w:u w:val="single"/>
        </w:rPr>
        <w:t>C-2014-2443015 - MANIR CORPORATION v. PECO COMPANY</w:t>
      </w:r>
    </w:p>
    <w:p w:rsidR="00373E03" w:rsidRDefault="00373E03" w:rsidP="00373E03">
      <w:pPr>
        <w:contextualSpacing/>
        <w:rPr>
          <w:rFonts w:ascii="Microsoft Sans Serif"/>
          <w:b/>
          <w:sz w:val="24"/>
          <w:u w:val="single"/>
        </w:rPr>
      </w:pPr>
    </w:p>
    <w:p w:rsidR="00373E03" w:rsidRDefault="00373E03" w:rsidP="00373E03">
      <w:pPr>
        <w:contextualSpacing/>
        <w:rPr>
          <w:rFonts w:ascii="Microsoft Sans Serif"/>
          <w:sz w:val="24"/>
        </w:rPr>
      </w:pPr>
      <w:r>
        <w:rPr>
          <w:rFonts w:ascii="Microsoft Sans Serif"/>
          <w:sz w:val="24"/>
        </w:rPr>
        <w:t xml:space="preserve"> </w:t>
      </w:r>
    </w:p>
    <w:p w:rsidR="00373E03" w:rsidRDefault="00373E03" w:rsidP="00373E03">
      <w:pPr>
        <w:contextualSpacing/>
        <w:rPr>
          <w:rFonts w:ascii="Microsoft Sans Serif"/>
          <w:sz w:val="24"/>
        </w:rPr>
      </w:pPr>
      <w:r>
        <w:rPr>
          <w:rFonts w:ascii="Microsoft Sans Serif"/>
          <w:sz w:val="24"/>
        </w:rPr>
        <w:t>MANIR CORPORATION</w:t>
      </w:r>
    </w:p>
    <w:p w:rsidR="00373E03" w:rsidRDefault="00373E03" w:rsidP="00373E03">
      <w:pPr>
        <w:contextualSpacing/>
        <w:rPr>
          <w:rFonts w:ascii="Microsoft Sans Serif"/>
          <w:sz w:val="24"/>
        </w:rPr>
      </w:pPr>
      <w:r>
        <w:rPr>
          <w:rFonts w:ascii="Microsoft Sans Serif"/>
          <w:sz w:val="24"/>
        </w:rPr>
        <w:t>285 COMMERCE DRIVE</w:t>
      </w:r>
    </w:p>
    <w:p w:rsidR="00373E03" w:rsidRDefault="00373E03" w:rsidP="00373E03">
      <w:pPr>
        <w:contextualSpacing/>
        <w:rPr>
          <w:rFonts w:ascii="Microsoft Sans Serif"/>
          <w:sz w:val="24"/>
        </w:rPr>
      </w:pPr>
      <w:r>
        <w:rPr>
          <w:rFonts w:ascii="Microsoft Sans Serif"/>
          <w:sz w:val="24"/>
        </w:rPr>
        <w:t>FORT WASHINGTON PA  19034</w:t>
      </w:r>
    </w:p>
    <w:p w:rsidR="00373E03" w:rsidRDefault="00373E03" w:rsidP="00373E03">
      <w:pPr>
        <w:contextualSpacing/>
        <w:rPr>
          <w:rFonts w:ascii="Microsoft Sans Serif"/>
          <w:sz w:val="24"/>
        </w:rPr>
      </w:pPr>
      <w:r>
        <w:rPr>
          <w:rFonts w:ascii="Microsoft Sans Serif"/>
          <w:sz w:val="24"/>
        </w:rPr>
        <w:t>215.542.7930</w:t>
      </w:r>
    </w:p>
    <w:p w:rsidR="00373E03" w:rsidRDefault="00373E03" w:rsidP="00373E03">
      <w:pPr>
        <w:contextualSpacing/>
        <w:rPr>
          <w:rFonts w:ascii="Microsoft Sans Serif"/>
          <w:sz w:val="24"/>
        </w:rPr>
      </w:pPr>
    </w:p>
    <w:p w:rsidR="00373E03" w:rsidRDefault="00373E03" w:rsidP="00373E03">
      <w:pPr>
        <w:contextualSpacing/>
        <w:rPr>
          <w:rFonts w:ascii="Microsoft Sans Serif"/>
          <w:sz w:val="24"/>
        </w:rPr>
      </w:pPr>
      <w:r>
        <w:rPr>
          <w:rFonts w:ascii="Microsoft Sans Serif"/>
          <w:sz w:val="24"/>
        </w:rPr>
        <w:t>WILLIAM C</w:t>
      </w:r>
      <w:bookmarkStart w:id="0" w:name="_GoBack"/>
      <w:bookmarkEnd w:id="0"/>
      <w:r>
        <w:rPr>
          <w:rFonts w:ascii="Microsoft Sans Serif"/>
          <w:sz w:val="24"/>
        </w:rPr>
        <w:t xml:space="preserve"> MACMILLAN ESQUIRE</w:t>
      </w:r>
    </w:p>
    <w:p w:rsidR="00373E03" w:rsidRDefault="00373E03" w:rsidP="00373E03">
      <w:pPr>
        <w:contextualSpacing/>
        <w:rPr>
          <w:rFonts w:ascii="Microsoft Sans Serif"/>
          <w:sz w:val="24"/>
        </w:rPr>
      </w:pPr>
      <w:r>
        <w:rPr>
          <w:rFonts w:ascii="Microsoft Sans Serif"/>
          <w:sz w:val="24"/>
        </w:rPr>
        <w:t>101 HOPKINS AVENUE</w:t>
      </w:r>
    </w:p>
    <w:p w:rsidR="00373E03" w:rsidRDefault="00373E03" w:rsidP="00373E03">
      <w:pPr>
        <w:contextualSpacing/>
        <w:rPr>
          <w:rFonts w:ascii="Microsoft Sans Serif"/>
          <w:sz w:val="24"/>
        </w:rPr>
      </w:pPr>
      <w:r>
        <w:rPr>
          <w:rFonts w:ascii="Microsoft Sans Serif"/>
          <w:sz w:val="24"/>
        </w:rPr>
        <w:t>PO BOX 162</w:t>
      </w:r>
    </w:p>
    <w:p w:rsidR="00373E03" w:rsidRDefault="00373E03" w:rsidP="00373E03">
      <w:pPr>
        <w:contextualSpacing/>
        <w:rPr>
          <w:rFonts w:ascii="Microsoft Sans Serif"/>
          <w:sz w:val="24"/>
        </w:rPr>
      </w:pPr>
      <w:r>
        <w:rPr>
          <w:rFonts w:ascii="Microsoft Sans Serif"/>
          <w:sz w:val="24"/>
        </w:rPr>
        <w:t>HADDONFIELD NJ 08033</w:t>
      </w:r>
    </w:p>
    <w:p w:rsidR="00373E03" w:rsidRDefault="00373E03" w:rsidP="00373E03">
      <w:pPr>
        <w:contextualSpacing/>
        <w:rPr>
          <w:rFonts w:ascii="Microsoft Sans Serif"/>
          <w:sz w:val="24"/>
        </w:rPr>
      </w:pPr>
      <w:r>
        <w:rPr>
          <w:rFonts w:ascii="Microsoft Sans Serif"/>
          <w:sz w:val="24"/>
        </w:rPr>
        <w:t>856.429.7656</w:t>
      </w:r>
    </w:p>
    <w:p w:rsidR="00373E03" w:rsidRDefault="00373E03" w:rsidP="00373E03">
      <w:pPr>
        <w:contextualSpacing/>
        <w:rPr>
          <w:rFonts w:asciiTheme="minorHAnsi"/>
          <w:sz w:val="22"/>
        </w:rPr>
      </w:pPr>
    </w:p>
    <w:p w:rsidR="00373E03" w:rsidRDefault="00373E03" w:rsidP="00373E03">
      <w:pPr>
        <w:rPr>
          <w:rFonts w:ascii="Microsoft Sans Serif" w:hAnsiTheme="minorHAnsi" w:cstheme="minorBidi"/>
          <w:sz w:val="24"/>
          <w:szCs w:val="22"/>
        </w:rPr>
      </w:pPr>
      <w:r>
        <w:rPr>
          <w:rFonts w:ascii="Microsoft Sans Serif"/>
          <w:sz w:val="24"/>
        </w:rPr>
        <w:t>SHAWANE L LEE ESQUIRE</w:t>
      </w:r>
      <w:r>
        <w:rPr>
          <w:sz w:val="24"/>
          <w:szCs w:val="24"/>
        </w:rPr>
        <w:t xml:space="preserve"> </w:t>
      </w:r>
    </w:p>
    <w:p w:rsidR="00373E03" w:rsidRDefault="00373E03" w:rsidP="00373E03">
      <w:pPr>
        <w:rPr>
          <w:rFonts w:ascii="Microsoft Sans Serif" w:hAnsiTheme="minorHAnsi" w:cstheme="minorBidi"/>
          <w:sz w:val="24"/>
          <w:szCs w:val="22"/>
        </w:rPr>
      </w:pPr>
      <w:r>
        <w:rPr>
          <w:rFonts w:ascii="Microsoft Sans Serif"/>
          <w:sz w:val="24"/>
        </w:rPr>
        <w:t>EXELON BUSINESS SERVICES</w:t>
      </w:r>
      <w:r>
        <w:rPr>
          <w:sz w:val="24"/>
          <w:szCs w:val="24"/>
        </w:rPr>
        <w:t xml:space="preserve"> </w:t>
      </w:r>
    </w:p>
    <w:p w:rsidR="00373E03" w:rsidRDefault="00373E03" w:rsidP="00373E03">
      <w:pPr>
        <w:rPr>
          <w:rFonts w:ascii="Microsoft Sans Serif" w:hAnsiTheme="minorHAnsi" w:cstheme="minorBidi"/>
          <w:sz w:val="24"/>
          <w:szCs w:val="22"/>
        </w:rPr>
      </w:pPr>
      <w:r>
        <w:rPr>
          <w:rFonts w:ascii="Microsoft Sans Serif"/>
          <w:sz w:val="24"/>
        </w:rPr>
        <w:t>2301 MARKET STREET S23-1</w:t>
      </w:r>
      <w:r>
        <w:rPr>
          <w:sz w:val="24"/>
          <w:szCs w:val="24"/>
        </w:rPr>
        <w:t xml:space="preserve"> </w:t>
      </w:r>
    </w:p>
    <w:p w:rsidR="00373E03" w:rsidRDefault="00373E03" w:rsidP="00373E03">
      <w:pPr>
        <w:rPr>
          <w:sz w:val="24"/>
          <w:szCs w:val="24"/>
        </w:rPr>
      </w:pPr>
      <w:r>
        <w:rPr>
          <w:rFonts w:ascii="Microsoft Sans Serif"/>
          <w:sz w:val="24"/>
        </w:rPr>
        <w:t>PHILADELPHIA PA  19103</w:t>
      </w:r>
      <w:r>
        <w:rPr>
          <w:sz w:val="24"/>
          <w:szCs w:val="24"/>
        </w:rPr>
        <w:t xml:space="preserve"> </w:t>
      </w:r>
    </w:p>
    <w:p w:rsidR="00373E03" w:rsidRDefault="00373E03" w:rsidP="00373E03">
      <w:pPr>
        <w:rPr>
          <w:sz w:val="24"/>
          <w:szCs w:val="24"/>
        </w:rPr>
      </w:pPr>
      <w:r>
        <w:rPr>
          <w:rFonts w:ascii="Microsoft Sans Serif"/>
          <w:sz w:val="24"/>
        </w:rPr>
        <w:t>215.841.6841</w:t>
      </w:r>
      <w:r>
        <w:rPr>
          <w:sz w:val="24"/>
          <w:szCs w:val="24"/>
        </w:rPr>
        <w:t xml:space="preserve"> </w:t>
      </w:r>
    </w:p>
    <w:p w:rsidR="00C04960" w:rsidRDefault="00373E03" w:rsidP="00373E03">
      <w:r>
        <w:rPr>
          <w:rFonts w:ascii="Microsoft Sans Serif"/>
          <w:b/>
          <w:i/>
          <w:sz w:val="24"/>
          <w:u w:val="single"/>
        </w:rPr>
        <w:t>-ACCEPTS ELECTRONIC SER</w:t>
      </w:r>
    </w:p>
    <w:sectPr w:rsidR="00C04960" w:rsidSect="00AC34A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C5" w:rsidRDefault="001126C5" w:rsidP="00AC34A4">
      <w:r>
        <w:separator/>
      </w:r>
    </w:p>
  </w:endnote>
  <w:endnote w:type="continuationSeparator" w:id="0">
    <w:p w:rsidR="001126C5" w:rsidRDefault="001126C5" w:rsidP="00AC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78019"/>
      <w:docPartObj>
        <w:docPartGallery w:val="Page Numbers (Bottom of Page)"/>
        <w:docPartUnique/>
      </w:docPartObj>
    </w:sdtPr>
    <w:sdtEndPr>
      <w:rPr>
        <w:noProof/>
      </w:rPr>
    </w:sdtEndPr>
    <w:sdtContent>
      <w:p w:rsidR="00AC34A4" w:rsidRDefault="00AC34A4">
        <w:pPr>
          <w:pStyle w:val="Footer"/>
          <w:jc w:val="center"/>
        </w:pPr>
        <w:r>
          <w:fldChar w:fldCharType="begin"/>
        </w:r>
        <w:r>
          <w:instrText xml:space="preserve"> PAGE   \* MERGEFORMAT </w:instrText>
        </w:r>
        <w:r>
          <w:fldChar w:fldCharType="separate"/>
        </w:r>
        <w:r w:rsidR="00030F88">
          <w:rPr>
            <w:noProof/>
          </w:rPr>
          <w:t>3</w:t>
        </w:r>
        <w:r>
          <w:rPr>
            <w:noProof/>
          </w:rPr>
          <w:fldChar w:fldCharType="end"/>
        </w:r>
      </w:p>
    </w:sdtContent>
  </w:sdt>
  <w:p w:rsidR="00AC34A4" w:rsidRDefault="00AC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C5" w:rsidRDefault="001126C5" w:rsidP="00AC34A4">
      <w:r>
        <w:separator/>
      </w:r>
    </w:p>
  </w:footnote>
  <w:footnote w:type="continuationSeparator" w:id="0">
    <w:p w:rsidR="001126C5" w:rsidRDefault="001126C5" w:rsidP="00AC3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C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0F88"/>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26C5"/>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31D7"/>
    <w:rsid w:val="002C4F02"/>
    <w:rsid w:val="002C60DC"/>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3E0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07E6C"/>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6A2"/>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275"/>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3B"/>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4A4"/>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D62"/>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5B6"/>
    <w:rsid w:val="00C310B8"/>
    <w:rsid w:val="00C31DBD"/>
    <w:rsid w:val="00C32633"/>
    <w:rsid w:val="00C3305D"/>
    <w:rsid w:val="00C3343C"/>
    <w:rsid w:val="00C3343E"/>
    <w:rsid w:val="00C3643C"/>
    <w:rsid w:val="00C36C29"/>
    <w:rsid w:val="00C41646"/>
    <w:rsid w:val="00C4383B"/>
    <w:rsid w:val="00C4601A"/>
    <w:rsid w:val="00C478FE"/>
    <w:rsid w:val="00C502DD"/>
    <w:rsid w:val="00C53E2F"/>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E7708"/>
    <w:rsid w:val="00DF03CF"/>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692"/>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C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A4"/>
    <w:pPr>
      <w:tabs>
        <w:tab w:val="center" w:pos="4680"/>
        <w:tab w:val="right" w:pos="9360"/>
      </w:tabs>
    </w:pPr>
  </w:style>
  <w:style w:type="character" w:customStyle="1" w:styleId="HeaderChar">
    <w:name w:val="Header Char"/>
    <w:basedOn w:val="DefaultParagraphFont"/>
    <w:link w:val="Header"/>
    <w:uiPriority w:val="99"/>
    <w:rsid w:val="00AC34A4"/>
    <w:rPr>
      <w:rFonts w:eastAsia="Times New Roman"/>
      <w:sz w:val="26"/>
      <w:szCs w:val="26"/>
    </w:rPr>
  </w:style>
  <w:style w:type="paragraph" w:styleId="Footer">
    <w:name w:val="footer"/>
    <w:basedOn w:val="Normal"/>
    <w:link w:val="FooterChar"/>
    <w:uiPriority w:val="99"/>
    <w:unhideWhenUsed/>
    <w:rsid w:val="00AC34A4"/>
    <w:pPr>
      <w:tabs>
        <w:tab w:val="center" w:pos="4680"/>
        <w:tab w:val="right" w:pos="9360"/>
      </w:tabs>
    </w:pPr>
  </w:style>
  <w:style w:type="character" w:customStyle="1" w:styleId="FooterChar">
    <w:name w:val="Footer Char"/>
    <w:basedOn w:val="DefaultParagraphFont"/>
    <w:link w:val="Footer"/>
    <w:uiPriority w:val="99"/>
    <w:rsid w:val="00AC34A4"/>
    <w:rPr>
      <w:rFonts w:eastAsia="Times New Roman"/>
      <w:sz w:val="26"/>
      <w:szCs w:val="26"/>
    </w:rPr>
  </w:style>
  <w:style w:type="paragraph" w:styleId="BalloonText">
    <w:name w:val="Balloon Text"/>
    <w:basedOn w:val="Normal"/>
    <w:link w:val="BalloonTextChar"/>
    <w:uiPriority w:val="99"/>
    <w:semiHidden/>
    <w:unhideWhenUsed/>
    <w:rsid w:val="002C60DC"/>
    <w:rPr>
      <w:rFonts w:ascii="Tahoma" w:hAnsi="Tahoma" w:cs="Tahoma"/>
      <w:sz w:val="16"/>
      <w:szCs w:val="16"/>
    </w:rPr>
  </w:style>
  <w:style w:type="character" w:customStyle="1" w:styleId="BalloonTextChar">
    <w:name w:val="Balloon Text Char"/>
    <w:basedOn w:val="DefaultParagraphFont"/>
    <w:link w:val="BalloonText"/>
    <w:uiPriority w:val="99"/>
    <w:semiHidden/>
    <w:rsid w:val="002C60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C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A4"/>
    <w:pPr>
      <w:tabs>
        <w:tab w:val="center" w:pos="4680"/>
        <w:tab w:val="right" w:pos="9360"/>
      </w:tabs>
    </w:pPr>
  </w:style>
  <w:style w:type="character" w:customStyle="1" w:styleId="HeaderChar">
    <w:name w:val="Header Char"/>
    <w:basedOn w:val="DefaultParagraphFont"/>
    <w:link w:val="Header"/>
    <w:uiPriority w:val="99"/>
    <w:rsid w:val="00AC34A4"/>
    <w:rPr>
      <w:rFonts w:eastAsia="Times New Roman"/>
      <w:sz w:val="26"/>
      <w:szCs w:val="26"/>
    </w:rPr>
  </w:style>
  <w:style w:type="paragraph" w:styleId="Footer">
    <w:name w:val="footer"/>
    <w:basedOn w:val="Normal"/>
    <w:link w:val="FooterChar"/>
    <w:uiPriority w:val="99"/>
    <w:unhideWhenUsed/>
    <w:rsid w:val="00AC34A4"/>
    <w:pPr>
      <w:tabs>
        <w:tab w:val="center" w:pos="4680"/>
        <w:tab w:val="right" w:pos="9360"/>
      </w:tabs>
    </w:pPr>
  </w:style>
  <w:style w:type="character" w:customStyle="1" w:styleId="FooterChar">
    <w:name w:val="Footer Char"/>
    <w:basedOn w:val="DefaultParagraphFont"/>
    <w:link w:val="Footer"/>
    <w:uiPriority w:val="99"/>
    <w:rsid w:val="00AC34A4"/>
    <w:rPr>
      <w:rFonts w:eastAsia="Times New Roman"/>
      <w:sz w:val="26"/>
      <w:szCs w:val="26"/>
    </w:rPr>
  </w:style>
  <w:style w:type="paragraph" w:styleId="BalloonText">
    <w:name w:val="Balloon Text"/>
    <w:basedOn w:val="Normal"/>
    <w:link w:val="BalloonTextChar"/>
    <w:uiPriority w:val="99"/>
    <w:semiHidden/>
    <w:unhideWhenUsed/>
    <w:rsid w:val="002C60DC"/>
    <w:rPr>
      <w:rFonts w:ascii="Tahoma" w:hAnsi="Tahoma" w:cs="Tahoma"/>
      <w:sz w:val="16"/>
      <w:szCs w:val="16"/>
    </w:rPr>
  </w:style>
  <w:style w:type="character" w:customStyle="1" w:styleId="BalloonTextChar">
    <w:name w:val="Balloon Text Char"/>
    <w:basedOn w:val="DefaultParagraphFont"/>
    <w:link w:val="BalloonText"/>
    <w:uiPriority w:val="99"/>
    <w:semiHidden/>
    <w:rsid w:val="002C60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2015-02-11T17:06:00Z</cp:lastPrinted>
  <dcterms:created xsi:type="dcterms:W3CDTF">2015-02-11T17:01:00Z</dcterms:created>
  <dcterms:modified xsi:type="dcterms:W3CDTF">2015-02-11T17:17:00Z</dcterms:modified>
</cp:coreProperties>
</file>