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B8608E">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B8608E">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B8608E">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45218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B8608E">
            <w:pPr>
              <w:widowControl/>
              <w:rPr>
                <w:sz w:val="26"/>
                <w:szCs w:val="26"/>
              </w:rPr>
            </w:pPr>
          </w:p>
        </w:tc>
        <w:tc>
          <w:tcPr>
            <w:tcW w:w="4500" w:type="dxa"/>
          </w:tcPr>
          <w:p w:rsidR="00F514FB" w:rsidRPr="00D365A7" w:rsidRDefault="00DD5D3F" w:rsidP="00B8608E">
            <w:pPr>
              <w:widowControl/>
              <w:jc w:val="right"/>
              <w:rPr>
                <w:sz w:val="26"/>
                <w:szCs w:val="26"/>
              </w:rPr>
            </w:pPr>
            <w:r w:rsidRPr="00D365A7">
              <w:rPr>
                <w:sz w:val="26"/>
                <w:szCs w:val="26"/>
              </w:rPr>
              <w:t xml:space="preserve">Public Meeting held </w:t>
            </w:r>
            <w:r w:rsidR="005E6C7B">
              <w:rPr>
                <w:sz w:val="26"/>
                <w:szCs w:val="26"/>
              </w:rPr>
              <w:t>January 29</w:t>
            </w:r>
            <w:r w:rsidR="000A6017">
              <w:rPr>
                <w:sz w:val="26"/>
                <w:szCs w:val="26"/>
              </w:rPr>
              <w:t>, 2015</w:t>
            </w:r>
          </w:p>
          <w:p w:rsidR="00F514FB" w:rsidRPr="00D365A7" w:rsidRDefault="00F514FB" w:rsidP="00B8608E">
            <w:pPr>
              <w:widowControl/>
              <w:jc w:val="right"/>
              <w:rPr>
                <w:sz w:val="26"/>
                <w:szCs w:val="26"/>
              </w:rPr>
            </w:pPr>
          </w:p>
        </w:tc>
      </w:tr>
      <w:tr w:rsidR="00D365A7" w:rsidRPr="00D365A7" w:rsidTr="00716C74">
        <w:tc>
          <w:tcPr>
            <w:tcW w:w="5058" w:type="dxa"/>
          </w:tcPr>
          <w:p w:rsidR="00F514FB" w:rsidRPr="00D365A7" w:rsidRDefault="00F514FB" w:rsidP="00B8608E">
            <w:pPr>
              <w:widowControl/>
              <w:rPr>
                <w:sz w:val="26"/>
                <w:szCs w:val="26"/>
              </w:rPr>
            </w:pPr>
            <w:r w:rsidRPr="00D365A7">
              <w:rPr>
                <w:sz w:val="26"/>
                <w:szCs w:val="26"/>
              </w:rPr>
              <w:t>Commissioners Present:</w:t>
            </w:r>
          </w:p>
          <w:p w:rsidR="00F514FB" w:rsidRPr="00D365A7" w:rsidRDefault="00F514FB" w:rsidP="00B8608E">
            <w:pPr>
              <w:widowControl/>
              <w:rPr>
                <w:sz w:val="26"/>
                <w:szCs w:val="26"/>
              </w:rPr>
            </w:pPr>
          </w:p>
          <w:p w:rsidR="00F514FB" w:rsidRPr="00D365A7" w:rsidRDefault="00F514FB" w:rsidP="00B8608E">
            <w:pPr>
              <w:widowControl/>
              <w:tabs>
                <w:tab w:val="left" w:pos="705"/>
              </w:tabs>
              <w:ind w:firstLine="720"/>
              <w:rPr>
                <w:sz w:val="26"/>
                <w:szCs w:val="26"/>
              </w:rPr>
            </w:pPr>
            <w:r w:rsidRPr="00D365A7">
              <w:rPr>
                <w:sz w:val="26"/>
                <w:szCs w:val="26"/>
              </w:rPr>
              <w:t>Robert F. Powelson, Chairman</w:t>
            </w:r>
          </w:p>
          <w:p w:rsidR="00F514FB" w:rsidRPr="00D365A7" w:rsidRDefault="00F514FB" w:rsidP="00B8608E">
            <w:pPr>
              <w:widowControl/>
              <w:tabs>
                <w:tab w:val="left" w:pos="705"/>
              </w:tabs>
              <w:ind w:firstLine="720"/>
              <w:rPr>
                <w:sz w:val="26"/>
                <w:szCs w:val="26"/>
              </w:rPr>
            </w:pPr>
            <w:r w:rsidRPr="00D365A7">
              <w:rPr>
                <w:sz w:val="26"/>
                <w:szCs w:val="26"/>
              </w:rPr>
              <w:t>John F. Coleman, Jr., Vice Chairman</w:t>
            </w:r>
          </w:p>
          <w:p w:rsidR="00F514FB" w:rsidRPr="00D365A7" w:rsidRDefault="00F514FB" w:rsidP="00B8608E">
            <w:pPr>
              <w:widowControl/>
              <w:tabs>
                <w:tab w:val="left" w:pos="705"/>
              </w:tabs>
              <w:ind w:firstLine="720"/>
              <w:rPr>
                <w:sz w:val="26"/>
                <w:szCs w:val="26"/>
              </w:rPr>
            </w:pPr>
            <w:r w:rsidRPr="00D365A7">
              <w:rPr>
                <w:sz w:val="26"/>
                <w:szCs w:val="26"/>
              </w:rPr>
              <w:t>James H. Cawley</w:t>
            </w:r>
          </w:p>
          <w:p w:rsidR="00F514FB" w:rsidRDefault="00F514FB" w:rsidP="00B8608E">
            <w:pPr>
              <w:widowControl/>
              <w:tabs>
                <w:tab w:val="left" w:pos="705"/>
              </w:tabs>
              <w:ind w:firstLine="720"/>
              <w:rPr>
                <w:sz w:val="26"/>
                <w:szCs w:val="26"/>
              </w:rPr>
            </w:pPr>
            <w:r w:rsidRPr="00D365A7">
              <w:rPr>
                <w:sz w:val="26"/>
                <w:szCs w:val="26"/>
              </w:rPr>
              <w:t>Pamela A. Witmer</w:t>
            </w:r>
            <w:r w:rsidR="00693AFF">
              <w:rPr>
                <w:sz w:val="26"/>
                <w:szCs w:val="26"/>
              </w:rPr>
              <w:t>, Statement</w:t>
            </w:r>
          </w:p>
          <w:p w:rsidR="00DF7069" w:rsidRPr="00D365A7" w:rsidRDefault="00DF7069" w:rsidP="00B8608E">
            <w:pPr>
              <w:widowControl/>
              <w:tabs>
                <w:tab w:val="left" w:pos="705"/>
              </w:tabs>
              <w:ind w:firstLine="720"/>
              <w:rPr>
                <w:sz w:val="26"/>
                <w:szCs w:val="26"/>
              </w:rPr>
            </w:pPr>
            <w:r>
              <w:rPr>
                <w:sz w:val="26"/>
                <w:szCs w:val="26"/>
              </w:rPr>
              <w:t>Gladys M. Brown</w:t>
            </w:r>
          </w:p>
          <w:p w:rsidR="00F514FB" w:rsidRPr="00D365A7" w:rsidRDefault="00F514FB" w:rsidP="00B8608E">
            <w:pPr>
              <w:widowControl/>
              <w:rPr>
                <w:sz w:val="26"/>
                <w:szCs w:val="26"/>
              </w:rPr>
            </w:pPr>
          </w:p>
          <w:p w:rsidR="00F514FB" w:rsidRPr="00D365A7" w:rsidRDefault="00F514FB" w:rsidP="00B8608E">
            <w:pPr>
              <w:widowControl/>
              <w:rPr>
                <w:sz w:val="26"/>
                <w:szCs w:val="26"/>
              </w:rPr>
            </w:pPr>
          </w:p>
        </w:tc>
        <w:tc>
          <w:tcPr>
            <w:tcW w:w="4500" w:type="dxa"/>
          </w:tcPr>
          <w:p w:rsidR="00F514FB" w:rsidRPr="00D365A7" w:rsidRDefault="00F514FB" w:rsidP="00B8608E">
            <w:pPr>
              <w:widowControl/>
              <w:jc w:val="right"/>
              <w:rPr>
                <w:sz w:val="26"/>
                <w:szCs w:val="26"/>
              </w:rPr>
            </w:pPr>
          </w:p>
          <w:p w:rsidR="00F514FB" w:rsidRPr="00D365A7" w:rsidRDefault="00F514FB" w:rsidP="00B8608E">
            <w:pPr>
              <w:widowControl/>
              <w:jc w:val="right"/>
              <w:rPr>
                <w:sz w:val="26"/>
                <w:szCs w:val="26"/>
              </w:rPr>
            </w:pPr>
          </w:p>
        </w:tc>
      </w:tr>
      <w:tr w:rsidR="00D365A7" w:rsidRPr="00D365A7" w:rsidTr="00716C74">
        <w:tc>
          <w:tcPr>
            <w:tcW w:w="5058" w:type="dxa"/>
          </w:tcPr>
          <w:p w:rsidR="00F514FB" w:rsidRPr="00D365A7" w:rsidRDefault="000A6017" w:rsidP="00B8608E">
            <w:pPr>
              <w:widowControl/>
              <w:rPr>
                <w:sz w:val="26"/>
                <w:szCs w:val="26"/>
              </w:rPr>
            </w:pPr>
            <w:r>
              <w:rPr>
                <w:sz w:val="26"/>
                <w:szCs w:val="26"/>
              </w:rPr>
              <w:t>Marcus Love</w:t>
            </w:r>
          </w:p>
          <w:p w:rsidR="00F514FB" w:rsidRPr="00D365A7" w:rsidRDefault="00F514FB" w:rsidP="00B8608E">
            <w:pPr>
              <w:widowControl/>
              <w:rPr>
                <w:sz w:val="26"/>
                <w:szCs w:val="26"/>
              </w:rPr>
            </w:pPr>
          </w:p>
        </w:tc>
        <w:tc>
          <w:tcPr>
            <w:tcW w:w="4500" w:type="dxa"/>
          </w:tcPr>
          <w:p w:rsidR="00F514FB" w:rsidRPr="00D365A7" w:rsidRDefault="00F514FB" w:rsidP="004064EA">
            <w:pPr>
              <w:widowControl/>
              <w:jc w:val="right"/>
              <w:rPr>
                <w:sz w:val="26"/>
                <w:szCs w:val="26"/>
              </w:rPr>
            </w:pPr>
          </w:p>
        </w:tc>
      </w:tr>
      <w:tr w:rsidR="001B7C19" w:rsidRPr="00D365A7" w:rsidTr="00716C74">
        <w:tc>
          <w:tcPr>
            <w:tcW w:w="5058" w:type="dxa"/>
          </w:tcPr>
          <w:p w:rsidR="001B7C19" w:rsidRPr="00D365A7" w:rsidRDefault="001B7C19" w:rsidP="00B8608E">
            <w:pPr>
              <w:widowControl/>
              <w:ind w:firstLine="900"/>
              <w:rPr>
                <w:sz w:val="26"/>
                <w:szCs w:val="26"/>
              </w:rPr>
            </w:pPr>
            <w:r w:rsidRPr="00D365A7">
              <w:rPr>
                <w:sz w:val="26"/>
                <w:szCs w:val="26"/>
              </w:rPr>
              <w:t>v.</w:t>
            </w:r>
          </w:p>
          <w:p w:rsidR="001B7C19" w:rsidRPr="00D365A7" w:rsidRDefault="001B7C19" w:rsidP="00B8608E">
            <w:pPr>
              <w:widowControl/>
              <w:ind w:firstLine="1440"/>
              <w:rPr>
                <w:sz w:val="26"/>
                <w:szCs w:val="26"/>
              </w:rPr>
            </w:pPr>
          </w:p>
        </w:tc>
        <w:tc>
          <w:tcPr>
            <w:tcW w:w="4500" w:type="dxa"/>
          </w:tcPr>
          <w:p w:rsidR="001B7C19" w:rsidRPr="00D365A7" w:rsidRDefault="001B7C19" w:rsidP="000A6017">
            <w:pPr>
              <w:widowControl/>
              <w:jc w:val="right"/>
              <w:rPr>
                <w:sz w:val="26"/>
                <w:szCs w:val="26"/>
              </w:rPr>
            </w:pPr>
            <w:r w:rsidRPr="00D365A7">
              <w:rPr>
                <w:sz w:val="26"/>
                <w:szCs w:val="26"/>
              </w:rPr>
              <w:t>F-201</w:t>
            </w:r>
            <w:r>
              <w:rPr>
                <w:sz w:val="26"/>
                <w:szCs w:val="26"/>
              </w:rPr>
              <w:t>3</w:t>
            </w:r>
            <w:r w:rsidRPr="00D365A7">
              <w:rPr>
                <w:sz w:val="26"/>
                <w:szCs w:val="26"/>
              </w:rPr>
              <w:t>-</w:t>
            </w:r>
            <w:r>
              <w:rPr>
                <w:sz w:val="26"/>
                <w:szCs w:val="26"/>
              </w:rPr>
              <w:t>23</w:t>
            </w:r>
            <w:r w:rsidR="000A6017">
              <w:rPr>
                <w:sz w:val="26"/>
                <w:szCs w:val="26"/>
              </w:rPr>
              <w:t>55580</w:t>
            </w:r>
          </w:p>
        </w:tc>
      </w:tr>
      <w:tr w:rsidR="001B7C19" w:rsidRPr="00D365A7" w:rsidTr="00716C74">
        <w:tc>
          <w:tcPr>
            <w:tcW w:w="5058" w:type="dxa"/>
          </w:tcPr>
          <w:p w:rsidR="001B7C19" w:rsidRPr="00D365A7" w:rsidRDefault="001B7C19" w:rsidP="00B8608E">
            <w:pPr>
              <w:widowControl/>
              <w:rPr>
                <w:sz w:val="26"/>
                <w:szCs w:val="26"/>
              </w:rPr>
            </w:pPr>
            <w:r w:rsidRPr="00D365A7">
              <w:rPr>
                <w:sz w:val="26"/>
                <w:szCs w:val="26"/>
              </w:rPr>
              <w:t>Philadelphia Gas Works</w:t>
            </w:r>
          </w:p>
        </w:tc>
        <w:tc>
          <w:tcPr>
            <w:tcW w:w="4500" w:type="dxa"/>
          </w:tcPr>
          <w:p w:rsidR="001B7C19" w:rsidRPr="00D365A7" w:rsidRDefault="001B7C19" w:rsidP="00B8608E">
            <w:pPr>
              <w:widowControl/>
              <w:rPr>
                <w:sz w:val="26"/>
                <w:szCs w:val="26"/>
              </w:rPr>
            </w:pPr>
          </w:p>
        </w:tc>
      </w:tr>
    </w:tbl>
    <w:p w:rsidR="00F514FB" w:rsidRDefault="00F514FB" w:rsidP="00B8608E">
      <w:pPr>
        <w:widowControl/>
        <w:rPr>
          <w:sz w:val="26"/>
          <w:szCs w:val="26"/>
        </w:rPr>
      </w:pPr>
    </w:p>
    <w:p w:rsidR="006E282E" w:rsidRPr="00D365A7" w:rsidRDefault="006E282E" w:rsidP="00B8608E">
      <w:pPr>
        <w:widowControl/>
        <w:rPr>
          <w:sz w:val="26"/>
          <w:szCs w:val="26"/>
        </w:rPr>
      </w:pPr>
    </w:p>
    <w:p w:rsidR="00F514FB" w:rsidRPr="00D365A7" w:rsidRDefault="00F514FB" w:rsidP="00B8608E">
      <w:pPr>
        <w:widowControl/>
        <w:jc w:val="center"/>
        <w:rPr>
          <w:b/>
          <w:sz w:val="26"/>
          <w:szCs w:val="26"/>
        </w:rPr>
      </w:pPr>
      <w:r w:rsidRPr="00D365A7">
        <w:rPr>
          <w:b/>
          <w:sz w:val="26"/>
          <w:szCs w:val="26"/>
        </w:rPr>
        <w:t>OPINION AND ORDER</w:t>
      </w:r>
    </w:p>
    <w:p w:rsidR="00F514FB" w:rsidRDefault="00F514FB" w:rsidP="00B8608E">
      <w:pPr>
        <w:widowControl/>
        <w:jc w:val="center"/>
        <w:rPr>
          <w:b/>
          <w:sz w:val="26"/>
          <w:szCs w:val="26"/>
        </w:rPr>
      </w:pPr>
    </w:p>
    <w:p w:rsidR="006E282E" w:rsidRPr="00D365A7" w:rsidRDefault="006E282E" w:rsidP="00B8608E">
      <w:pPr>
        <w:widowControl/>
        <w:jc w:val="center"/>
        <w:rPr>
          <w:b/>
          <w:sz w:val="26"/>
          <w:szCs w:val="26"/>
        </w:rPr>
      </w:pPr>
    </w:p>
    <w:p w:rsidR="00F514FB" w:rsidRPr="00D365A7" w:rsidRDefault="00F514FB" w:rsidP="00B8608E">
      <w:pPr>
        <w:widowControl/>
        <w:rPr>
          <w:b/>
          <w:sz w:val="26"/>
          <w:szCs w:val="26"/>
        </w:rPr>
      </w:pPr>
      <w:r w:rsidRPr="00D365A7">
        <w:rPr>
          <w:b/>
          <w:sz w:val="26"/>
          <w:szCs w:val="26"/>
        </w:rPr>
        <w:t>BY THE COMMISSION:</w:t>
      </w:r>
    </w:p>
    <w:p w:rsidR="00F514FB" w:rsidRPr="00D365A7" w:rsidRDefault="00F514FB" w:rsidP="00B8608E">
      <w:pPr>
        <w:widowControl/>
        <w:rPr>
          <w:sz w:val="26"/>
          <w:szCs w:val="26"/>
        </w:rPr>
      </w:pPr>
    </w:p>
    <w:p w:rsidR="000A6017" w:rsidRDefault="00CA43A5" w:rsidP="00B8608E">
      <w:pPr>
        <w:widowControl/>
        <w:spacing w:line="360" w:lineRule="auto"/>
        <w:ind w:firstLine="1440"/>
        <w:rPr>
          <w:sz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0A6017">
        <w:rPr>
          <w:sz w:val="26"/>
        </w:rPr>
        <w:t>Philadelphia Gas Works</w:t>
      </w:r>
      <w:r w:rsidR="00A16587" w:rsidRPr="00D365A7">
        <w:rPr>
          <w:sz w:val="26"/>
        </w:rPr>
        <w:t xml:space="preserve"> </w:t>
      </w:r>
      <w:r w:rsidR="00671E4C" w:rsidRPr="00D365A7">
        <w:rPr>
          <w:sz w:val="26"/>
        </w:rPr>
        <w:t>(</w:t>
      </w:r>
      <w:r w:rsidR="000A6017">
        <w:rPr>
          <w:sz w:val="26"/>
        </w:rPr>
        <w:t>Respondent or PGW</w:t>
      </w:r>
      <w:r w:rsidR="00712AD1">
        <w:rPr>
          <w:sz w:val="26"/>
        </w:rPr>
        <w:t xml:space="preserve">) filed on August </w:t>
      </w:r>
      <w:r w:rsidR="000A6017">
        <w:rPr>
          <w:sz w:val="26"/>
        </w:rPr>
        <w:t>27</w:t>
      </w:r>
      <w:r w:rsidR="00712AD1">
        <w:rPr>
          <w:sz w:val="26"/>
        </w:rPr>
        <w:t>, 2014</w:t>
      </w:r>
      <w:r w:rsidR="00671E4C" w:rsidRPr="00D365A7">
        <w:rPr>
          <w:sz w:val="26"/>
        </w:rPr>
        <w:t xml:space="preserve">, to the Initial Decision (I.D.) of Administrative </w:t>
      </w:r>
      <w:r w:rsidR="00EE2549">
        <w:rPr>
          <w:sz w:val="26"/>
        </w:rPr>
        <w:t>Law Judge (ALJ) Mart</w:t>
      </w:r>
      <w:r w:rsidR="00712AD1">
        <w:rPr>
          <w:sz w:val="26"/>
        </w:rPr>
        <w:t>a Guhl</w:t>
      </w:r>
      <w:r w:rsidR="000A6017">
        <w:rPr>
          <w:sz w:val="26"/>
        </w:rPr>
        <w:t xml:space="preserve">, </w:t>
      </w:r>
      <w:r w:rsidR="00712AD1">
        <w:rPr>
          <w:sz w:val="26"/>
        </w:rPr>
        <w:t xml:space="preserve">issued on </w:t>
      </w:r>
      <w:r w:rsidR="000A6017">
        <w:rPr>
          <w:sz w:val="26"/>
        </w:rPr>
        <w:t>August 7</w:t>
      </w:r>
      <w:r w:rsidR="00712AD1">
        <w:rPr>
          <w:sz w:val="26"/>
        </w:rPr>
        <w:t>, 2014</w:t>
      </w:r>
      <w:r w:rsidR="00671E4C" w:rsidRPr="00D365A7">
        <w:rPr>
          <w:sz w:val="26"/>
        </w:rPr>
        <w:t>, in</w:t>
      </w:r>
      <w:r w:rsidR="0035728C" w:rsidRPr="00D365A7">
        <w:rPr>
          <w:sz w:val="26"/>
        </w:rPr>
        <w:t xml:space="preserve"> the above-captioned proceeding</w:t>
      </w:r>
      <w:r w:rsidR="001B7C19">
        <w:rPr>
          <w:sz w:val="26"/>
        </w:rPr>
        <w:t>.</w:t>
      </w:r>
      <w:r w:rsidR="00671E4C" w:rsidRPr="00D365A7">
        <w:rPr>
          <w:sz w:val="26"/>
        </w:rPr>
        <w:t xml:space="preserve"> </w:t>
      </w:r>
      <w:r w:rsidR="000A6017">
        <w:rPr>
          <w:sz w:val="26"/>
        </w:rPr>
        <w:t xml:space="preserve">No </w:t>
      </w:r>
      <w:r w:rsidR="00671E4C" w:rsidRPr="00D365A7">
        <w:rPr>
          <w:sz w:val="26"/>
        </w:rPr>
        <w:t xml:space="preserve">Replies to Exceptions </w:t>
      </w:r>
      <w:r w:rsidR="00A61C8F" w:rsidRPr="00D365A7">
        <w:rPr>
          <w:sz w:val="26"/>
        </w:rPr>
        <w:t>w</w:t>
      </w:r>
      <w:r w:rsidR="00D43DC1" w:rsidRPr="00D365A7">
        <w:rPr>
          <w:sz w:val="26"/>
        </w:rPr>
        <w:t>ere filed</w:t>
      </w:r>
      <w:r w:rsidR="00671E4C" w:rsidRPr="00D365A7">
        <w:rPr>
          <w:sz w:val="26"/>
        </w:rPr>
        <w:t>.</w:t>
      </w:r>
    </w:p>
    <w:p w:rsidR="00674482" w:rsidRDefault="00671E4C" w:rsidP="00B8608E">
      <w:pPr>
        <w:widowControl/>
        <w:spacing w:line="360" w:lineRule="auto"/>
        <w:ind w:firstLine="1440"/>
        <w:rPr>
          <w:sz w:val="26"/>
        </w:rPr>
      </w:pPr>
      <w:r w:rsidRPr="00D365A7">
        <w:rPr>
          <w:sz w:val="26"/>
        </w:rPr>
        <w:t xml:space="preserve"> </w:t>
      </w:r>
    </w:p>
    <w:p w:rsidR="00CA43A5" w:rsidRPr="00D365A7" w:rsidRDefault="00CA43A5" w:rsidP="00B8608E">
      <w:pPr>
        <w:widowControl/>
        <w:spacing w:line="360" w:lineRule="auto"/>
        <w:ind w:firstLine="1440"/>
        <w:rPr>
          <w:sz w:val="26"/>
          <w:szCs w:val="26"/>
        </w:rPr>
      </w:pP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 xml:space="preserve">ll </w:t>
      </w:r>
      <w:r w:rsidR="00534F1E">
        <w:rPr>
          <w:sz w:val="26"/>
          <w:szCs w:val="26"/>
        </w:rPr>
        <w:t xml:space="preserve">deny the </w:t>
      </w:r>
      <w:r w:rsidR="000A6017">
        <w:rPr>
          <w:sz w:val="26"/>
          <w:szCs w:val="26"/>
        </w:rPr>
        <w:t>Respondent</w:t>
      </w:r>
      <w:r w:rsidR="00DA6C17" w:rsidRPr="00D365A7">
        <w:rPr>
          <w:sz w:val="26"/>
          <w:szCs w:val="26"/>
        </w:rPr>
        <w:t>’s Exceptions</w:t>
      </w:r>
      <w:r w:rsidR="005E413B">
        <w:rPr>
          <w:sz w:val="26"/>
          <w:szCs w:val="26"/>
        </w:rPr>
        <w:t>, in part,</w:t>
      </w:r>
      <w:r w:rsidR="00DA6C17" w:rsidRPr="00D365A7">
        <w:rPr>
          <w:sz w:val="26"/>
          <w:szCs w:val="26"/>
        </w:rPr>
        <w:t xml:space="preserve"> </w:t>
      </w:r>
      <w:r w:rsidR="00534F1E">
        <w:rPr>
          <w:sz w:val="26"/>
          <w:szCs w:val="26"/>
        </w:rPr>
        <w:t xml:space="preserve">grant them, in part, </w:t>
      </w:r>
      <w:r w:rsidR="001E46CC">
        <w:rPr>
          <w:sz w:val="26"/>
          <w:szCs w:val="26"/>
        </w:rPr>
        <w:t xml:space="preserve">and </w:t>
      </w:r>
      <w:r w:rsidR="00A678C8">
        <w:rPr>
          <w:sz w:val="26"/>
          <w:szCs w:val="26"/>
        </w:rPr>
        <w:t>modify</w:t>
      </w:r>
      <w:r w:rsidR="001E46CC">
        <w:rPr>
          <w:sz w:val="26"/>
          <w:szCs w:val="26"/>
        </w:rPr>
        <w:t xml:space="preserve"> </w:t>
      </w:r>
      <w:r w:rsidR="00534F1E">
        <w:rPr>
          <w:sz w:val="26"/>
          <w:szCs w:val="26"/>
        </w:rPr>
        <w:t xml:space="preserve">the Initial Decision, </w:t>
      </w:r>
      <w:r w:rsidR="008B5B84">
        <w:rPr>
          <w:sz w:val="26"/>
          <w:szCs w:val="26"/>
        </w:rPr>
        <w:t xml:space="preserve">consistent with this Opinion and Order. </w:t>
      </w:r>
    </w:p>
    <w:p w:rsidR="00CA43A5" w:rsidRPr="00D365A7" w:rsidRDefault="00CA43A5" w:rsidP="00B8608E">
      <w:pPr>
        <w:widowControl/>
        <w:spacing w:line="360" w:lineRule="auto"/>
        <w:rPr>
          <w:sz w:val="26"/>
          <w:szCs w:val="26"/>
        </w:rPr>
      </w:pPr>
    </w:p>
    <w:p w:rsidR="000C31E4" w:rsidRPr="00D365A7" w:rsidRDefault="004064EA" w:rsidP="00B8608E">
      <w:pPr>
        <w:keepNext/>
        <w:widowControl/>
        <w:spacing w:line="360" w:lineRule="auto"/>
        <w:jc w:val="center"/>
        <w:rPr>
          <w:b/>
          <w:sz w:val="26"/>
          <w:szCs w:val="26"/>
        </w:rPr>
      </w:pPr>
      <w:bookmarkStart w:id="0" w:name="OLE_LINK1"/>
      <w:bookmarkStart w:id="1" w:name="OLE_LINK2"/>
      <w:r w:rsidRPr="00D365A7">
        <w:rPr>
          <w:b/>
          <w:sz w:val="26"/>
          <w:szCs w:val="26"/>
        </w:rPr>
        <w:lastRenderedPageBreak/>
        <w:t>History of the Proceeding</w:t>
      </w:r>
    </w:p>
    <w:p w:rsidR="000C31E4" w:rsidRPr="00D365A7" w:rsidRDefault="000C31E4" w:rsidP="00B8608E">
      <w:pPr>
        <w:keepNext/>
        <w:widowControl/>
        <w:spacing w:line="360" w:lineRule="auto"/>
        <w:rPr>
          <w:sz w:val="26"/>
          <w:szCs w:val="26"/>
        </w:rPr>
      </w:pPr>
    </w:p>
    <w:p w:rsidR="0055571E" w:rsidRDefault="004765F6" w:rsidP="00FE76E3">
      <w:pPr>
        <w:widowControl/>
        <w:spacing w:line="360" w:lineRule="auto"/>
        <w:rPr>
          <w:sz w:val="26"/>
          <w:szCs w:val="26"/>
        </w:rPr>
      </w:pPr>
      <w:r w:rsidRPr="00D365A7">
        <w:rPr>
          <w:sz w:val="26"/>
          <w:szCs w:val="26"/>
        </w:rPr>
        <w:tab/>
      </w:r>
      <w:r w:rsidRPr="00D365A7">
        <w:rPr>
          <w:sz w:val="26"/>
          <w:szCs w:val="26"/>
        </w:rPr>
        <w:tab/>
      </w:r>
      <w:r w:rsidR="00766412">
        <w:rPr>
          <w:sz w:val="26"/>
          <w:szCs w:val="26"/>
        </w:rPr>
        <w:t xml:space="preserve">  </w:t>
      </w:r>
      <w:r w:rsidR="00AF617A">
        <w:rPr>
          <w:sz w:val="26"/>
          <w:szCs w:val="26"/>
        </w:rPr>
        <w:t xml:space="preserve">On </w:t>
      </w:r>
      <w:r w:rsidR="008B5B84">
        <w:rPr>
          <w:sz w:val="26"/>
          <w:szCs w:val="26"/>
        </w:rPr>
        <w:t>March 11</w:t>
      </w:r>
      <w:r w:rsidR="00AF617A">
        <w:rPr>
          <w:sz w:val="26"/>
          <w:szCs w:val="26"/>
        </w:rPr>
        <w:t>, 2013</w:t>
      </w:r>
      <w:r w:rsidRPr="00D365A7">
        <w:rPr>
          <w:sz w:val="26"/>
          <w:szCs w:val="26"/>
        </w:rPr>
        <w:t xml:space="preserve">, </w:t>
      </w:r>
      <w:r w:rsidR="008B5B84">
        <w:rPr>
          <w:sz w:val="26"/>
          <w:szCs w:val="26"/>
        </w:rPr>
        <w:t xml:space="preserve">Marcus Love (Complainant or Mr. Love) filed a </w:t>
      </w:r>
      <w:r w:rsidRPr="00D365A7">
        <w:rPr>
          <w:sz w:val="26"/>
          <w:szCs w:val="26"/>
        </w:rPr>
        <w:t xml:space="preserve">Formal Complaint </w:t>
      </w:r>
      <w:r w:rsidR="00852EB4">
        <w:rPr>
          <w:sz w:val="26"/>
          <w:szCs w:val="26"/>
        </w:rPr>
        <w:t xml:space="preserve">against PGW, </w:t>
      </w:r>
      <w:r w:rsidRPr="00D365A7">
        <w:rPr>
          <w:sz w:val="26"/>
          <w:szCs w:val="26"/>
        </w:rPr>
        <w:t xml:space="preserve">alleging that </w:t>
      </w:r>
      <w:r w:rsidR="00AF617A">
        <w:rPr>
          <w:sz w:val="26"/>
          <w:szCs w:val="26"/>
        </w:rPr>
        <w:t xml:space="preserve">there were incorrect charges on his </w:t>
      </w:r>
      <w:r w:rsidR="00852EB4">
        <w:rPr>
          <w:sz w:val="26"/>
          <w:szCs w:val="26"/>
        </w:rPr>
        <w:t xml:space="preserve">gas </w:t>
      </w:r>
      <w:r w:rsidR="00AF617A">
        <w:rPr>
          <w:sz w:val="26"/>
          <w:szCs w:val="26"/>
        </w:rPr>
        <w:t>bill</w:t>
      </w:r>
      <w:r w:rsidR="006E282E">
        <w:rPr>
          <w:sz w:val="26"/>
          <w:szCs w:val="26"/>
        </w:rPr>
        <w:t xml:space="preserve">.  </w:t>
      </w:r>
      <w:r w:rsidR="00852EB4">
        <w:rPr>
          <w:sz w:val="26"/>
          <w:szCs w:val="26"/>
        </w:rPr>
        <w:t xml:space="preserve">In addition, Mr. Love averred that PGW installed a faulty meter, did not discover the error for four years and </w:t>
      </w:r>
      <w:r w:rsidR="00E4345D">
        <w:rPr>
          <w:sz w:val="26"/>
          <w:szCs w:val="26"/>
        </w:rPr>
        <w:t>wa</w:t>
      </w:r>
      <w:r w:rsidR="00852EB4">
        <w:rPr>
          <w:sz w:val="26"/>
          <w:szCs w:val="26"/>
        </w:rPr>
        <w:t xml:space="preserve">s improperly attempting to bill him for back charges.  </w:t>
      </w:r>
      <w:r w:rsidR="006E282E">
        <w:rPr>
          <w:sz w:val="26"/>
          <w:szCs w:val="26"/>
        </w:rPr>
        <w:t>For relief, the Complainant</w:t>
      </w:r>
      <w:r w:rsidR="00AF617A">
        <w:rPr>
          <w:sz w:val="26"/>
          <w:szCs w:val="26"/>
        </w:rPr>
        <w:t xml:space="preserve"> requested removal of </w:t>
      </w:r>
      <w:r w:rsidR="00AF617A" w:rsidRPr="00D13100">
        <w:rPr>
          <w:sz w:val="26"/>
          <w:szCs w:val="26"/>
        </w:rPr>
        <w:t>th</w:t>
      </w:r>
      <w:r w:rsidR="006E282E" w:rsidRPr="00D13100">
        <w:rPr>
          <w:sz w:val="26"/>
          <w:szCs w:val="26"/>
        </w:rPr>
        <w:t xml:space="preserve">ose </w:t>
      </w:r>
      <w:r w:rsidR="00AF617A" w:rsidRPr="00D13100">
        <w:rPr>
          <w:sz w:val="26"/>
          <w:szCs w:val="26"/>
        </w:rPr>
        <w:t xml:space="preserve">charges.  </w:t>
      </w:r>
      <w:r w:rsidR="00852EB4">
        <w:rPr>
          <w:sz w:val="26"/>
          <w:szCs w:val="26"/>
        </w:rPr>
        <w:t>Complaint at 2-3.</w:t>
      </w:r>
      <w:r w:rsidR="008B5B84" w:rsidRPr="008B5B84">
        <w:rPr>
          <w:sz w:val="26"/>
          <w:szCs w:val="26"/>
        </w:rPr>
        <w:t xml:space="preserve"> </w:t>
      </w:r>
      <w:r w:rsidR="008B5B84">
        <w:rPr>
          <w:sz w:val="26"/>
          <w:szCs w:val="26"/>
        </w:rPr>
        <w:t xml:space="preserve"> </w:t>
      </w:r>
      <w:r w:rsidR="008B5B84" w:rsidRPr="00D365A7">
        <w:rPr>
          <w:sz w:val="26"/>
          <w:szCs w:val="26"/>
        </w:rPr>
        <w:t xml:space="preserve">This </w:t>
      </w:r>
      <w:r w:rsidR="008B5B84">
        <w:rPr>
          <w:sz w:val="26"/>
          <w:szCs w:val="26"/>
        </w:rPr>
        <w:t>case</w:t>
      </w:r>
      <w:r w:rsidR="008B5B84" w:rsidRPr="00D365A7">
        <w:rPr>
          <w:sz w:val="26"/>
          <w:szCs w:val="26"/>
        </w:rPr>
        <w:t xml:space="preserve"> </w:t>
      </w:r>
      <w:r w:rsidR="008B5B84">
        <w:rPr>
          <w:sz w:val="26"/>
          <w:szCs w:val="26"/>
        </w:rPr>
        <w:t xml:space="preserve">is a timely appeal of an informal decision of the Commission’s </w:t>
      </w:r>
      <w:r w:rsidR="008B5B84" w:rsidRPr="00D365A7">
        <w:rPr>
          <w:sz w:val="26"/>
          <w:szCs w:val="26"/>
        </w:rPr>
        <w:t xml:space="preserve">Bureau of Consumer Services at </w:t>
      </w:r>
      <w:r w:rsidR="008B5B84">
        <w:rPr>
          <w:sz w:val="26"/>
          <w:szCs w:val="26"/>
        </w:rPr>
        <w:t>case number 3032047</w:t>
      </w:r>
      <w:r w:rsidR="008B5B84" w:rsidRPr="00D365A7">
        <w:rPr>
          <w:sz w:val="26"/>
          <w:szCs w:val="26"/>
        </w:rPr>
        <w:t>.</w:t>
      </w:r>
    </w:p>
    <w:p w:rsidR="00361DD8" w:rsidRPr="00D365A7" w:rsidRDefault="00361DD8" w:rsidP="00FE76E3">
      <w:pPr>
        <w:widowControl/>
        <w:spacing w:line="360" w:lineRule="auto"/>
        <w:rPr>
          <w:sz w:val="26"/>
          <w:szCs w:val="26"/>
        </w:rPr>
      </w:pPr>
    </w:p>
    <w:p w:rsidR="00793855" w:rsidRDefault="00361DD8" w:rsidP="00FE76E3">
      <w:pPr>
        <w:widowControl/>
        <w:spacing w:line="360" w:lineRule="auto"/>
        <w:rPr>
          <w:sz w:val="26"/>
          <w:szCs w:val="26"/>
        </w:rPr>
      </w:pPr>
      <w:r w:rsidRPr="00D365A7">
        <w:rPr>
          <w:sz w:val="26"/>
          <w:szCs w:val="26"/>
        </w:rPr>
        <w:tab/>
      </w:r>
      <w:r w:rsidRPr="00D365A7">
        <w:rPr>
          <w:sz w:val="26"/>
          <w:szCs w:val="26"/>
        </w:rPr>
        <w:tab/>
      </w:r>
      <w:r w:rsidR="00793855">
        <w:rPr>
          <w:sz w:val="26"/>
          <w:szCs w:val="26"/>
        </w:rPr>
        <w:t xml:space="preserve">On </w:t>
      </w:r>
      <w:r w:rsidR="00852EB4">
        <w:rPr>
          <w:sz w:val="26"/>
          <w:szCs w:val="26"/>
        </w:rPr>
        <w:t xml:space="preserve">April 22, 2013, PGW filed an Answer denying the material allegations of the Complaint.  </w:t>
      </w:r>
      <w:proofErr w:type="gramStart"/>
      <w:r w:rsidR="00793855">
        <w:rPr>
          <w:sz w:val="26"/>
          <w:szCs w:val="26"/>
        </w:rPr>
        <w:t>Answer at 1-2, I.D. at 2.</w:t>
      </w:r>
      <w:proofErr w:type="gramEnd"/>
    </w:p>
    <w:p w:rsidR="00793855" w:rsidRDefault="00793855" w:rsidP="00FE76E3">
      <w:pPr>
        <w:widowControl/>
        <w:spacing w:line="360" w:lineRule="auto"/>
        <w:rPr>
          <w:sz w:val="26"/>
          <w:szCs w:val="26"/>
        </w:rPr>
      </w:pPr>
    </w:p>
    <w:p w:rsidR="00235B78" w:rsidRDefault="006C1271" w:rsidP="00FE76E3">
      <w:pPr>
        <w:widowControl/>
        <w:spacing w:line="360" w:lineRule="auto"/>
        <w:rPr>
          <w:sz w:val="26"/>
          <w:szCs w:val="26"/>
        </w:rPr>
      </w:pPr>
      <w:r w:rsidRPr="00D365A7">
        <w:rPr>
          <w:sz w:val="26"/>
          <w:szCs w:val="26"/>
        </w:rPr>
        <w:tab/>
      </w:r>
      <w:r w:rsidRPr="00D365A7">
        <w:rPr>
          <w:sz w:val="26"/>
          <w:szCs w:val="26"/>
        </w:rPr>
        <w:tab/>
      </w:r>
      <w:r w:rsidR="00793855">
        <w:rPr>
          <w:sz w:val="26"/>
          <w:szCs w:val="26"/>
        </w:rPr>
        <w:t xml:space="preserve">On </w:t>
      </w:r>
      <w:r w:rsidR="003146CD">
        <w:rPr>
          <w:sz w:val="26"/>
          <w:szCs w:val="26"/>
        </w:rPr>
        <w:t>November 26, 2013</w:t>
      </w:r>
      <w:r w:rsidRPr="00D365A7">
        <w:rPr>
          <w:sz w:val="26"/>
          <w:szCs w:val="26"/>
        </w:rPr>
        <w:t xml:space="preserve">, a hearing was held in this matter.  The Complainant </w:t>
      </w:r>
      <w:r w:rsidR="001E6885" w:rsidRPr="00D365A7">
        <w:rPr>
          <w:sz w:val="26"/>
          <w:szCs w:val="26"/>
        </w:rPr>
        <w:t xml:space="preserve">appeared </w:t>
      </w:r>
      <w:r w:rsidR="001E6885" w:rsidRPr="00D365A7">
        <w:rPr>
          <w:i/>
          <w:sz w:val="26"/>
          <w:szCs w:val="26"/>
        </w:rPr>
        <w:t xml:space="preserve">pro </w:t>
      </w:r>
      <w:r w:rsidR="001E6885" w:rsidRPr="00176529">
        <w:rPr>
          <w:i/>
          <w:sz w:val="26"/>
          <w:szCs w:val="26"/>
        </w:rPr>
        <w:t>se</w:t>
      </w:r>
      <w:r w:rsidR="003146CD">
        <w:rPr>
          <w:sz w:val="26"/>
          <w:szCs w:val="26"/>
        </w:rPr>
        <w:t xml:space="preserve">, testified </w:t>
      </w:r>
      <w:r w:rsidR="00793855">
        <w:rPr>
          <w:sz w:val="26"/>
          <w:szCs w:val="26"/>
        </w:rPr>
        <w:t xml:space="preserve">in support of his </w:t>
      </w:r>
      <w:r w:rsidR="006E73C1" w:rsidRPr="00D365A7">
        <w:rPr>
          <w:sz w:val="26"/>
          <w:szCs w:val="26"/>
        </w:rPr>
        <w:t>C</w:t>
      </w:r>
      <w:r w:rsidR="009058FA">
        <w:rPr>
          <w:sz w:val="26"/>
          <w:szCs w:val="26"/>
        </w:rPr>
        <w:t>omplaint</w:t>
      </w:r>
      <w:r w:rsidR="003146CD">
        <w:rPr>
          <w:sz w:val="26"/>
          <w:szCs w:val="26"/>
        </w:rPr>
        <w:t xml:space="preserve">, and presented three exhibits, </w:t>
      </w:r>
      <w:r w:rsidR="009058FA">
        <w:rPr>
          <w:sz w:val="26"/>
          <w:szCs w:val="26"/>
        </w:rPr>
        <w:t xml:space="preserve">which were admitted into the record.  </w:t>
      </w:r>
      <w:r w:rsidR="00235B78">
        <w:rPr>
          <w:sz w:val="26"/>
          <w:szCs w:val="26"/>
        </w:rPr>
        <w:t xml:space="preserve">Counsel appeared on behalf of </w:t>
      </w:r>
      <w:r w:rsidRPr="00D365A7">
        <w:rPr>
          <w:sz w:val="26"/>
          <w:szCs w:val="26"/>
        </w:rPr>
        <w:t>PGW</w:t>
      </w:r>
      <w:r w:rsidR="00235B78">
        <w:rPr>
          <w:sz w:val="26"/>
          <w:szCs w:val="26"/>
        </w:rPr>
        <w:t>, presented the testimony of one</w:t>
      </w:r>
      <w:r w:rsidR="009058FA">
        <w:rPr>
          <w:sz w:val="26"/>
          <w:szCs w:val="26"/>
        </w:rPr>
        <w:t xml:space="preserve"> </w:t>
      </w:r>
      <w:r w:rsidR="00235B78">
        <w:rPr>
          <w:sz w:val="26"/>
          <w:szCs w:val="26"/>
        </w:rPr>
        <w:t xml:space="preserve">witness and six exhibits, which were admitted into the record.   The hearing generated a transcript of one hundred and </w:t>
      </w:r>
      <w:r w:rsidR="006B3DB9">
        <w:rPr>
          <w:sz w:val="26"/>
          <w:szCs w:val="26"/>
        </w:rPr>
        <w:t>thirty</w:t>
      </w:r>
      <w:r w:rsidR="00235B78">
        <w:rPr>
          <w:sz w:val="26"/>
          <w:szCs w:val="26"/>
        </w:rPr>
        <w:t xml:space="preserve"> page</w:t>
      </w:r>
      <w:r w:rsidR="00212FB8">
        <w:rPr>
          <w:sz w:val="26"/>
          <w:szCs w:val="26"/>
        </w:rPr>
        <w:t>s.</w:t>
      </w:r>
    </w:p>
    <w:p w:rsidR="00235B78" w:rsidRDefault="00235B78" w:rsidP="00FE76E3">
      <w:pPr>
        <w:widowControl/>
        <w:spacing w:line="360" w:lineRule="auto"/>
        <w:rPr>
          <w:sz w:val="26"/>
          <w:szCs w:val="26"/>
        </w:rPr>
      </w:pPr>
    </w:p>
    <w:p w:rsidR="009506C2" w:rsidRDefault="00235B78" w:rsidP="008B0466">
      <w:pPr>
        <w:widowControl/>
        <w:spacing w:line="360" w:lineRule="auto"/>
        <w:ind w:firstLine="1440"/>
        <w:rPr>
          <w:sz w:val="26"/>
          <w:szCs w:val="26"/>
        </w:rPr>
      </w:pPr>
      <w:r>
        <w:rPr>
          <w:sz w:val="26"/>
          <w:szCs w:val="26"/>
        </w:rPr>
        <w:t xml:space="preserve">On </w:t>
      </w:r>
      <w:r w:rsidR="00E4345D">
        <w:rPr>
          <w:sz w:val="26"/>
          <w:szCs w:val="26"/>
        </w:rPr>
        <w:t>March 6</w:t>
      </w:r>
      <w:r>
        <w:rPr>
          <w:sz w:val="26"/>
          <w:szCs w:val="26"/>
        </w:rPr>
        <w:t>, 2014</w:t>
      </w:r>
      <w:r w:rsidR="00505FDF" w:rsidRPr="00D365A7">
        <w:rPr>
          <w:sz w:val="26"/>
          <w:szCs w:val="26"/>
        </w:rPr>
        <w:t xml:space="preserve">, </w:t>
      </w:r>
      <w:r>
        <w:rPr>
          <w:sz w:val="26"/>
          <w:szCs w:val="26"/>
        </w:rPr>
        <w:t xml:space="preserve">ALJ Guhl issued an Order reopening the record </w:t>
      </w:r>
      <w:r w:rsidR="00C70108">
        <w:rPr>
          <w:sz w:val="26"/>
          <w:szCs w:val="26"/>
        </w:rPr>
        <w:t>and directing PGW to submit late-filed exhibits to complete the record.  On April 7, 2014, PGW filed the requested exhibits.</w:t>
      </w:r>
      <w:r w:rsidR="00C70108">
        <w:rPr>
          <w:rStyle w:val="FootnoteReference"/>
          <w:sz w:val="26"/>
          <w:szCs w:val="26"/>
        </w:rPr>
        <w:footnoteReference w:id="2"/>
      </w:r>
      <w:r w:rsidR="00C70108">
        <w:rPr>
          <w:sz w:val="26"/>
          <w:szCs w:val="26"/>
        </w:rPr>
        <w:t xml:space="preserve">  </w:t>
      </w:r>
      <w:r w:rsidR="00EB29BA">
        <w:rPr>
          <w:sz w:val="26"/>
          <w:szCs w:val="26"/>
        </w:rPr>
        <w:t>In response, Mr. Love submitted</w:t>
      </w:r>
      <w:r w:rsidR="00C70108">
        <w:rPr>
          <w:sz w:val="26"/>
          <w:szCs w:val="26"/>
        </w:rPr>
        <w:t xml:space="preserve"> objections </w:t>
      </w:r>
      <w:r w:rsidR="001E2147">
        <w:rPr>
          <w:sz w:val="26"/>
          <w:szCs w:val="26"/>
        </w:rPr>
        <w:t xml:space="preserve">on April 14, 2014, </w:t>
      </w:r>
      <w:r w:rsidR="00C70108">
        <w:rPr>
          <w:sz w:val="26"/>
          <w:szCs w:val="26"/>
        </w:rPr>
        <w:t xml:space="preserve">arguing that PGW should not be allowed to strengthen its case after the hearing </w:t>
      </w:r>
    </w:p>
    <w:p w:rsidR="00505FDF" w:rsidRDefault="00C70108" w:rsidP="008B0466">
      <w:pPr>
        <w:widowControl/>
        <w:spacing w:line="360" w:lineRule="auto"/>
        <w:rPr>
          <w:sz w:val="26"/>
          <w:szCs w:val="26"/>
        </w:rPr>
      </w:pPr>
      <w:proofErr w:type="gramStart"/>
      <w:r>
        <w:rPr>
          <w:sz w:val="26"/>
          <w:szCs w:val="26"/>
        </w:rPr>
        <w:t>had</w:t>
      </w:r>
      <w:proofErr w:type="gramEnd"/>
      <w:r>
        <w:rPr>
          <w:sz w:val="26"/>
          <w:szCs w:val="26"/>
        </w:rPr>
        <w:t xml:space="preserve"> taken place.  The Complainant also alleged that the meter test results contradicted the testimony of PGW’s witness.</w:t>
      </w:r>
      <w:r w:rsidR="009642C0">
        <w:rPr>
          <w:rStyle w:val="FootnoteReference"/>
          <w:sz w:val="26"/>
          <w:szCs w:val="26"/>
        </w:rPr>
        <w:footnoteReference w:id="3"/>
      </w:r>
      <w:r>
        <w:rPr>
          <w:sz w:val="26"/>
          <w:szCs w:val="26"/>
        </w:rPr>
        <w:t xml:space="preserve">  </w:t>
      </w:r>
      <w:proofErr w:type="gramStart"/>
      <w:r w:rsidR="001E2147">
        <w:rPr>
          <w:sz w:val="26"/>
          <w:szCs w:val="26"/>
        </w:rPr>
        <w:t>I.D. at 3.</w:t>
      </w:r>
      <w:proofErr w:type="gramEnd"/>
      <w:r w:rsidR="001E2147">
        <w:rPr>
          <w:sz w:val="26"/>
          <w:szCs w:val="26"/>
        </w:rPr>
        <w:t xml:space="preserve">  </w:t>
      </w:r>
      <w:r w:rsidR="00D96E35">
        <w:rPr>
          <w:sz w:val="26"/>
          <w:szCs w:val="26"/>
        </w:rPr>
        <w:t xml:space="preserve">The </w:t>
      </w:r>
      <w:r w:rsidR="001E2147">
        <w:rPr>
          <w:sz w:val="26"/>
          <w:szCs w:val="26"/>
        </w:rPr>
        <w:t xml:space="preserve">ALJ closed the </w:t>
      </w:r>
      <w:r w:rsidR="00D96E35">
        <w:rPr>
          <w:sz w:val="26"/>
          <w:szCs w:val="26"/>
        </w:rPr>
        <w:t>record on April 2</w:t>
      </w:r>
      <w:r w:rsidR="001E2147">
        <w:rPr>
          <w:sz w:val="26"/>
          <w:szCs w:val="26"/>
        </w:rPr>
        <w:t>4</w:t>
      </w:r>
      <w:r w:rsidR="00D96E35">
        <w:rPr>
          <w:sz w:val="26"/>
          <w:szCs w:val="26"/>
        </w:rPr>
        <w:t>, 2014</w:t>
      </w:r>
      <w:r w:rsidR="00586769">
        <w:rPr>
          <w:sz w:val="26"/>
          <w:szCs w:val="26"/>
        </w:rPr>
        <w:t>.</w:t>
      </w:r>
    </w:p>
    <w:p w:rsidR="009642C0" w:rsidRPr="00D365A7" w:rsidRDefault="009642C0" w:rsidP="00235B78">
      <w:pPr>
        <w:widowControl/>
        <w:spacing w:line="360" w:lineRule="auto"/>
        <w:ind w:firstLine="1440"/>
        <w:rPr>
          <w:sz w:val="26"/>
          <w:szCs w:val="26"/>
        </w:rPr>
      </w:pPr>
    </w:p>
    <w:p w:rsidR="009573D0" w:rsidRDefault="00B7619A" w:rsidP="00FE76E3">
      <w:pPr>
        <w:widowControl/>
        <w:spacing w:line="360" w:lineRule="auto"/>
        <w:rPr>
          <w:sz w:val="26"/>
          <w:szCs w:val="26"/>
        </w:rPr>
      </w:pPr>
      <w:r w:rsidRPr="00D365A7">
        <w:rPr>
          <w:sz w:val="26"/>
          <w:szCs w:val="26"/>
        </w:rPr>
        <w:tab/>
      </w:r>
      <w:r w:rsidRPr="00D365A7">
        <w:rPr>
          <w:sz w:val="26"/>
          <w:szCs w:val="26"/>
        </w:rPr>
        <w:tab/>
      </w:r>
      <w:r w:rsidR="00E1419D" w:rsidRPr="00D365A7">
        <w:rPr>
          <w:sz w:val="26"/>
          <w:szCs w:val="26"/>
        </w:rPr>
        <w:t>In her Init</w:t>
      </w:r>
      <w:r w:rsidR="00D96E35">
        <w:rPr>
          <w:sz w:val="26"/>
          <w:szCs w:val="26"/>
        </w:rPr>
        <w:t xml:space="preserve">ial Decision, issued </w:t>
      </w:r>
      <w:r w:rsidR="001E2147">
        <w:rPr>
          <w:sz w:val="26"/>
          <w:szCs w:val="26"/>
        </w:rPr>
        <w:t>on August 7</w:t>
      </w:r>
      <w:r w:rsidR="00D96E35">
        <w:rPr>
          <w:sz w:val="26"/>
          <w:szCs w:val="26"/>
        </w:rPr>
        <w:t>, 2014</w:t>
      </w:r>
      <w:r w:rsidR="00E1419D" w:rsidRPr="00D365A7">
        <w:rPr>
          <w:sz w:val="26"/>
          <w:szCs w:val="26"/>
        </w:rPr>
        <w:t xml:space="preserve">, the ALJ </w:t>
      </w:r>
      <w:r w:rsidR="001E2147">
        <w:rPr>
          <w:sz w:val="26"/>
          <w:szCs w:val="26"/>
        </w:rPr>
        <w:t>denied</w:t>
      </w:r>
      <w:r w:rsidR="00E1419D" w:rsidRPr="00D365A7">
        <w:rPr>
          <w:sz w:val="26"/>
          <w:szCs w:val="26"/>
        </w:rPr>
        <w:t xml:space="preserve"> the Compla</w:t>
      </w:r>
      <w:r w:rsidR="00D96E35">
        <w:rPr>
          <w:sz w:val="26"/>
          <w:szCs w:val="26"/>
        </w:rPr>
        <w:t>int</w:t>
      </w:r>
      <w:r w:rsidR="00F40249">
        <w:rPr>
          <w:sz w:val="26"/>
          <w:szCs w:val="26"/>
        </w:rPr>
        <w:t>,</w:t>
      </w:r>
      <w:r w:rsidR="00D96E35">
        <w:rPr>
          <w:sz w:val="26"/>
          <w:szCs w:val="26"/>
        </w:rPr>
        <w:t xml:space="preserve"> in </w:t>
      </w:r>
      <w:r w:rsidR="001E2147">
        <w:rPr>
          <w:sz w:val="26"/>
          <w:szCs w:val="26"/>
        </w:rPr>
        <w:t xml:space="preserve">part, finding that Mr. Love is responsible for his make-up bill </w:t>
      </w:r>
      <w:r w:rsidR="00F40249">
        <w:rPr>
          <w:sz w:val="26"/>
          <w:szCs w:val="26"/>
        </w:rPr>
        <w:t xml:space="preserve">of $6,535.45 </w:t>
      </w:r>
      <w:r w:rsidR="001E2147">
        <w:rPr>
          <w:sz w:val="26"/>
          <w:szCs w:val="26"/>
        </w:rPr>
        <w:t>for previously unbilled utility service resulting from the meter failure</w:t>
      </w:r>
      <w:r w:rsidR="00D96E35">
        <w:rPr>
          <w:sz w:val="26"/>
          <w:szCs w:val="26"/>
        </w:rPr>
        <w:t xml:space="preserve">.  </w:t>
      </w:r>
      <w:r w:rsidR="001E2147">
        <w:rPr>
          <w:sz w:val="26"/>
          <w:szCs w:val="26"/>
        </w:rPr>
        <w:t>However, the ALJ sustained the Complaint, in part, ruling that Mr. Love is entitled to a twenty percent Conservation Credit</w:t>
      </w:r>
      <w:r w:rsidR="00F40249">
        <w:rPr>
          <w:sz w:val="26"/>
          <w:szCs w:val="26"/>
        </w:rPr>
        <w:t xml:space="preserve"> to reduce his remaining balance to $5,228.36.  Furthermore, the ALJ concluded that PGW should be issued a civil penalty of $1,000 </w:t>
      </w:r>
      <w:r w:rsidR="009573D0">
        <w:rPr>
          <w:sz w:val="26"/>
          <w:szCs w:val="26"/>
        </w:rPr>
        <w:t xml:space="preserve">because of repeated failures to investigate usage discrepancies.  </w:t>
      </w:r>
      <w:proofErr w:type="gramStart"/>
      <w:r w:rsidR="009573D0">
        <w:rPr>
          <w:sz w:val="26"/>
          <w:szCs w:val="26"/>
        </w:rPr>
        <w:t>I.D. at 21.</w:t>
      </w:r>
      <w:proofErr w:type="gramEnd"/>
      <w:r w:rsidR="009573D0">
        <w:rPr>
          <w:sz w:val="26"/>
          <w:szCs w:val="26"/>
        </w:rPr>
        <w:t xml:space="preserve">  </w:t>
      </w:r>
    </w:p>
    <w:p w:rsidR="009573D0" w:rsidRDefault="009573D0" w:rsidP="00FE76E3">
      <w:pPr>
        <w:widowControl/>
        <w:spacing w:line="360" w:lineRule="auto"/>
        <w:rPr>
          <w:sz w:val="26"/>
          <w:szCs w:val="26"/>
        </w:rPr>
      </w:pPr>
    </w:p>
    <w:p w:rsidR="00801C3D" w:rsidRDefault="00E1419D" w:rsidP="00801C3D">
      <w:pPr>
        <w:widowControl/>
        <w:spacing w:line="360" w:lineRule="auto"/>
        <w:ind w:firstLine="1440"/>
        <w:rPr>
          <w:sz w:val="26"/>
          <w:szCs w:val="26"/>
        </w:rPr>
      </w:pPr>
      <w:r w:rsidRPr="00D365A7">
        <w:rPr>
          <w:sz w:val="26"/>
          <w:szCs w:val="26"/>
        </w:rPr>
        <w:t>As noted</w:t>
      </w:r>
      <w:r w:rsidR="009573D0">
        <w:rPr>
          <w:sz w:val="26"/>
          <w:szCs w:val="26"/>
        </w:rPr>
        <w:t xml:space="preserve"> above</w:t>
      </w:r>
      <w:r w:rsidRPr="00D365A7">
        <w:rPr>
          <w:sz w:val="26"/>
          <w:szCs w:val="26"/>
        </w:rPr>
        <w:t xml:space="preserve">, </w:t>
      </w:r>
      <w:r w:rsidR="009573D0">
        <w:rPr>
          <w:sz w:val="26"/>
          <w:szCs w:val="26"/>
        </w:rPr>
        <w:t>PGW</w:t>
      </w:r>
      <w:r w:rsidRPr="00D365A7">
        <w:rPr>
          <w:sz w:val="26"/>
          <w:szCs w:val="26"/>
        </w:rPr>
        <w:t xml:space="preserve"> filed </w:t>
      </w:r>
      <w:r w:rsidR="009058FA">
        <w:rPr>
          <w:sz w:val="26"/>
          <w:szCs w:val="26"/>
        </w:rPr>
        <w:t>Exceptions on</w:t>
      </w:r>
      <w:r w:rsidR="009573D0">
        <w:rPr>
          <w:sz w:val="26"/>
          <w:szCs w:val="26"/>
        </w:rPr>
        <w:t xml:space="preserve"> August 27</w:t>
      </w:r>
      <w:r w:rsidR="00D96E35">
        <w:rPr>
          <w:sz w:val="26"/>
          <w:szCs w:val="26"/>
        </w:rPr>
        <w:t>, 2014</w:t>
      </w:r>
      <w:r w:rsidR="009573D0">
        <w:rPr>
          <w:sz w:val="26"/>
          <w:szCs w:val="26"/>
        </w:rPr>
        <w:t xml:space="preserve">.  The Complainant did not file </w:t>
      </w:r>
      <w:r w:rsidR="005E413B">
        <w:rPr>
          <w:sz w:val="26"/>
          <w:szCs w:val="26"/>
        </w:rPr>
        <w:t xml:space="preserve">Exceptions or </w:t>
      </w:r>
      <w:r w:rsidR="009573D0">
        <w:rPr>
          <w:sz w:val="26"/>
          <w:szCs w:val="26"/>
        </w:rPr>
        <w:t>Replies to Exceptions.</w:t>
      </w:r>
      <w:bookmarkEnd w:id="0"/>
      <w:bookmarkEnd w:id="1"/>
    </w:p>
    <w:p w:rsidR="00A365AD" w:rsidRDefault="00A365AD" w:rsidP="00801C3D">
      <w:pPr>
        <w:widowControl/>
        <w:spacing w:line="360" w:lineRule="auto"/>
        <w:ind w:firstLine="1440"/>
        <w:rPr>
          <w:sz w:val="26"/>
          <w:szCs w:val="26"/>
        </w:rPr>
      </w:pPr>
    </w:p>
    <w:p w:rsidR="00A365AD" w:rsidRDefault="00A365AD" w:rsidP="00A365AD">
      <w:pPr>
        <w:widowControl/>
        <w:spacing w:line="360" w:lineRule="auto"/>
        <w:jc w:val="center"/>
        <w:rPr>
          <w:b/>
          <w:sz w:val="26"/>
          <w:szCs w:val="26"/>
        </w:rPr>
      </w:pPr>
      <w:r>
        <w:rPr>
          <w:b/>
          <w:sz w:val="26"/>
          <w:szCs w:val="26"/>
        </w:rPr>
        <w:t>Background</w:t>
      </w:r>
    </w:p>
    <w:p w:rsidR="00A365AD" w:rsidRDefault="00A365AD" w:rsidP="00A365AD">
      <w:pPr>
        <w:widowControl/>
        <w:spacing w:line="360" w:lineRule="auto"/>
        <w:jc w:val="center"/>
        <w:rPr>
          <w:b/>
          <w:sz w:val="26"/>
          <w:szCs w:val="26"/>
        </w:rPr>
      </w:pPr>
    </w:p>
    <w:p w:rsidR="002D753B" w:rsidRDefault="00A365AD" w:rsidP="00A365AD">
      <w:pPr>
        <w:widowControl/>
        <w:spacing w:line="360" w:lineRule="auto"/>
        <w:rPr>
          <w:sz w:val="26"/>
          <w:szCs w:val="26"/>
        </w:rPr>
      </w:pPr>
      <w:r>
        <w:rPr>
          <w:sz w:val="26"/>
          <w:szCs w:val="26"/>
        </w:rPr>
        <w:tab/>
      </w:r>
      <w:r>
        <w:rPr>
          <w:sz w:val="26"/>
          <w:szCs w:val="26"/>
        </w:rPr>
        <w:tab/>
      </w:r>
      <w:r w:rsidR="001E6C40">
        <w:rPr>
          <w:sz w:val="26"/>
          <w:szCs w:val="26"/>
        </w:rPr>
        <w:t>Mr. Love</w:t>
      </w:r>
      <w:r w:rsidR="00061DF4">
        <w:rPr>
          <w:sz w:val="26"/>
          <w:szCs w:val="26"/>
        </w:rPr>
        <w:t xml:space="preserve"> obtained </w:t>
      </w:r>
      <w:r w:rsidR="005E413B">
        <w:rPr>
          <w:sz w:val="26"/>
          <w:szCs w:val="26"/>
        </w:rPr>
        <w:t xml:space="preserve">gas service </w:t>
      </w:r>
      <w:r w:rsidR="00061DF4">
        <w:rPr>
          <w:sz w:val="26"/>
          <w:szCs w:val="26"/>
        </w:rPr>
        <w:t xml:space="preserve">in his name </w:t>
      </w:r>
      <w:r w:rsidR="005E413B">
        <w:rPr>
          <w:sz w:val="26"/>
          <w:szCs w:val="26"/>
        </w:rPr>
        <w:t xml:space="preserve">at the Service Address on May 26, 2009.  However, </w:t>
      </w:r>
      <w:r w:rsidR="001E6C40">
        <w:rPr>
          <w:sz w:val="26"/>
          <w:szCs w:val="26"/>
        </w:rPr>
        <w:t>he</w:t>
      </w:r>
      <w:r w:rsidR="005E413B">
        <w:rPr>
          <w:sz w:val="26"/>
          <w:szCs w:val="26"/>
        </w:rPr>
        <w:t xml:space="preserve"> and his three daughters did not begin residing at the Service Address until August 2011.  </w:t>
      </w:r>
      <w:r w:rsidR="00FD2079">
        <w:rPr>
          <w:sz w:val="26"/>
          <w:szCs w:val="26"/>
        </w:rPr>
        <w:t xml:space="preserve">The Service Address has an Automatic Meter Reading (AMR) device.  </w:t>
      </w:r>
      <w:proofErr w:type="gramStart"/>
      <w:r w:rsidR="002D753B">
        <w:rPr>
          <w:sz w:val="26"/>
          <w:szCs w:val="26"/>
        </w:rPr>
        <w:t xml:space="preserve">Tr. at 16, 30; PGW </w:t>
      </w:r>
      <w:proofErr w:type="spellStart"/>
      <w:r w:rsidR="002D753B">
        <w:rPr>
          <w:sz w:val="26"/>
          <w:szCs w:val="26"/>
        </w:rPr>
        <w:t>Exh</w:t>
      </w:r>
      <w:proofErr w:type="spellEnd"/>
      <w:r w:rsidR="002D753B">
        <w:rPr>
          <w:sz w:val="26"/>
          <w:szCs w:val="26"/>
        </w:rPr>
        <w:t>.</w:t>
      </w:r>
      <w:proofErr w:type="gramEnd"/>
      <w:r w:rsidR="002D753B">
        <w:rPr>
          <w:sz w:val="26"/>
          <w:szCs w:val="26"/>
        </w:rPr>
        <w:t xml:space="preserve"> </w:t>
      </w:r>
      <w:proofErr w:type="gramStart"/>
      <w:r w:rsidR="002D753B">
        <w:rPr>
          <w:sz w:val="26"/>
          <w:szCs w:val="26"/>
        </w:rPr>
        <w:t>1</w:t>
      </w:r>
      <w:r w:rsidR="00C83650">
        <w:rPr>
          <w:sz w:val="26"/>
          <w:szCs w:val="26"/>
        </w:rPr>
        <w:t xml:space="preserve"> at 8</w:t>
      </w:r>
      <w:r w:rsidR="002D753B">
        <w:rPr>
          <w:sz w:val="26"/>
          <w:szCs w:val="26"/>
        </w:rPr>
        <w:t>.</w:t>
      </w:r>
      <w:proofErr w:type="gramEnd"/>
    </w:p>
    <w:p w:rsidR="002D753B" w:rsidRDefault="002D753B" w:rsidP="00A365AD">
      <w:pPr>
        <w:widowControl/>
        <w:spacing w:line="360" w:lineRule="auto"/>
        <w:rPr>
          <w:sz w:val="26"/>
          <w:szCs w:val="26"/>
        </w:rPr>
      </w:pPr>
    </w:p>
    <w:p w:rsidR="00A365AD" w:rsidRDefault="00FD2079" w:rsidP="002D753B">
      <w:pPr>
        <w:widowControl/>
        <w:spacing w:line="360" w:lineRule="auto"/>
        <w:ind w:firstLine="1440"/>
        <w:rPr>
          <w:sz w:val="26"/>
          <w:szCs w:val="26"/>
        </w:rPr>
      </w:pPr>
      <w:r>
        <w:rPr>
          <w:sz w:val="26"/>
          <w:szCs w:val="26"/>
        </w:rPr>
        <w:t>According to PGW’s witness, the Complainant’s AMR device</w:t>
      </w:r>
      <w:r w:rsidR="00C3586D">
        <w:rPr>
          <w:sz w:val="26"/>
          <w:szCs w:val="26"/>
        </w:rPr>
        <w:t xml:space="preserve"> </w:t>
      </w:r>
      <w:r>
        <w:rPr>
          <w:sz w:val="26"/>
          <w:szCs w:val="26"/>
        </w:rPr>
        <w:t xml:space="preserve">transmitted </w:t>
      </w:r>
      <w:r w:rsidR="002D753B">
        <w:rPr>
          <w:sz w:val="26"/>
          <w:szCs w:val="26"/>
        </w:rPr>
        <w:t xml:space="preserve">a </w:t>
      </w:r>
      <w:r>
        <w:rPr>
          <w:sz w:val="26"/>
          <w:szCs w:val="26"/>
        </w:rPr>
        <w:t>zero meter reading on January 25, 2012.</w:t>
      </w:r>
      <w:r>
        <w:rPr>
          <w:rStyle w:val="FootnoteReference"/>
          <w:sz w:val="26"/>
          <w:szCs w:val="26"/>
        </w:rPr>
        <w:footnoteReference w:id="4"/>
      </w:r>
      <w:r>
        <w:rPr>
          <w:sz w:val="26"/>
          <w:szCs w:val="26"/>
        </w:rPr>
        <w:t xml:space="preserve">  </w:t>
      </w:r>
      <w:r w:rsidR="00C75301">
        <w:rPr>
          <w:sz w:val="26"/>
          <w:szCs w:val="26"/>
        </w:rPr>
        <w:t xml:space="preserve">In August 2012, PGW requested access to the meter at the Service Address as part of its zero usage </w:t>
      </w:r>
      <w:proofErr w:type="gramStart"/>
      <w:r w:rsidR="00C75301">
        <w:rPr>
          <w:sz w:val="26"/>
          <w:szCs w:val="26"/>
        </w:rPr>
        <w:t>program</w:t>
      </w:r>
      <w:proofErr w:type="gramEnd"/>
      <w:r w:rsidR="00C75301">
        <w:rPr>
          <w:sz w:val="26"/>
          <w:szCs w:val="26"/>
        </w:rPr>
        <w:t>.</w:t>
      </w:r>
      <w:r>
        <w:rPr>
          <w:sz w:val="26"/>
          <w:szCs w:val="26"/>
        </w:rPr>
        <w:t xml:space="preserve">  </w:t>
      </w:r>
      <w:r w:rsidR="00C75301">
        <w:rPr>
          <w:sz w:val="26"/>
          <w:szCs w:val="26"/>
        </w:rPr>
        <w:t>On September 20, 2012, PGW</w:t>
      </w:r>
      <w:r w:rsidR="00C3586D">
        <w:rPr>
          <w:sz w:val="26"/>
          <w:szCs w:val="26"/>
        </w:rPr>
        <w:t xml:space="preserve"> </w:t>
      </w:r>
      <w:r w:rsidR="00C75301">
        <w:rPr>
          <w:sz w:val="26"/>
          <w:szCs w:val="26"/>
        </w:rPr>
        <w:t xml:space="preserve">completed an investigation and exchanged the meter.  </w:t>
      </w:r>
      <w:r w:rsidR="00C542F9">
        <w:rPr>
          <w:sz w:val="26"/>
          <w:szCs w:val="26"/>
        </w:rPr>
        <w:t xml:space="preserve">Pursuant to its investigation, PGW </w:t>
      </w:r>
      <w:r w:rsidR="00096DDC">
        <w:rPr>
          <w:sz w:val="26"/>
          <w:szCs w:val="26"/>
        </w:rPr>
        <w:t xml:space="preserve">found no evidence of theft but that the meter had forty months of zero readings at the Service Address.  </w:t>
      </w:r>
      <w:proofErr w:type="gramStart"/>
      <w:r w:rsidR="00096DDC">
        <w:rPr>
          <w:sz w:val="26"/>
          <w:szCs w:val="26"/>
        </w:rPr>
        <w:t>Tr. at 65-66, 71, 76.</w:t>
      </w:r>
      <w:proofErr w:type="gramEnd"/>
      <w:r w:rsidR="00096DDC">
        <w:rPr>
          <w:sz w:val="26"/>
          <w:szCs w:val="26"/>
        </w:rPr>
        <w:t xml:space="preserve">  </w:t>
      </w:r>
    </w:p>
    <w:p w:rsidR="005E413B" w:rsidRDefault="005E413B" w:rsidP="00A365AD">
      <w:pPr>
        <w:widowControl/>
        <w:spacing w:line="360" w:lineRule="auto"/>
        <w:rPr>
          <w:sz w:val="26"/>
          <w:szCs w:val="26"/>
        </w:rPr>
      </w:pPr>
    </w:p>
    <w:p w:rsidR="00096DDC" w:rsidRDefault="00096DDC" w:rsidP="00A365AD">
      <w:pPr>
        <w:widowControl/>
        <w:spacing w:line="360" w:lineRule="auto"/>
        <w:rPr>
          <w:sz w:val="26"/>
          <w:szCs w:val="26"/>
        </w:rPr>
      </w:pPr>
      <w:r>
        <w:rPr>
          <w:sz w:val="26"/>
          <w:szCs w:val="26"/>
        </w:rPr>
        <w:lastRenderedPageBreak/>
        <w:tab/>
      </w:r>
      <w:r>
        <w:rPr>
          <w:sz w:val="26"/>
          <w:szCs w:val="26"/>
        </w:rPr>
        <w:tab/>
        <w:t xml:space="preserve">PGW also determined that the meter index was 3880 and issued a make-up bill of $6,535.45 to the Complainant for </w:t>
      </w:r>
      <w:r w:rsidR="00F97AF2">
        <w:rPr>
          <w:sz w:val="26"/>
          <w:szCs w:val="26"/>
        </w:rPr>
        <w:t>May 26, 2009, to September 20, 2012, for the unbilled usage at the Service Address.</w:t>
      </w:r>
      <w:r w:rsidR="00A62EEE">
        <w:rPr>
          <w:sz w:val="26"/>
          <w:szCs w:val="26"/>
        </w:rPr>
        <w:t xml:space="preserve">  </w:t>
      </w:r>
      <w:proofErr w:type="gramStart"/>
      <w:r w:rsidR="00A62EEE">
        <w:rPr>
          <w:sz w:val="26"/>
          <w:szCs w:val="26"/>
        </w:rPr>
        <w:t>Tr. at 72, 81.</w:t>
      </w:r>
      <w:proofErr w:type="gramEnd"/>
      <w:r w:rsidR="00A62EEE">
        <w:rPr>
          <w:sz w:val="26"/>
          <w:szCs w:val="26"/>
        </w:rPr>
        <w:t xml:space="preserve">  </w:t>
      </w:r>
      <w:r w:rsidR="00F97AF2">
        <w:rPr>
          <w:sz w:val="26"/>
          <w:szCs w:val="26"/>
        </w:rPr>
        <w:t xml:space="preserve">  </w:t>
      </w:r>
    </w:p>
    <w:p w:rsidR="00A62EEE" w:rsidRDefault="00A62EEE" w:rsidP="00A365AD">
      <w:pPr>
        <w:widowControl/>
        <w:spacing w:line="360" w:lineRule="auto"/>
        <w:rPr>
          <w:sz w:val="26"/>
          <w:szCs w:val="26"/>
        </w:rPr>
      </w:pPr>
    </w:p>
    <w:p w:rsidR="00A62EEE" w:rsidRDefault="00A62EEE" w:rsidP="00A365AD">
      <w:pPr>
        <w:widowControl/>
        <w:spacing w:line="360" w:lineRule="auto"/>
        <w:rPr>
          <w:sz w:val="26"/>
          <w:szCs w:val="26"/>
        </w:rPr>
      </w:pPr>
      <w:r>
        <w:rPr>
          <w:sz w:val="26"/>
          <w:szCs w:val="26"/>
        </w:rPr>
        <w:tab/>
      </w:r>
      <w:r>
        <w:rPr>
          <w:sz w:val="26"/>
          <w:szCs w:val="26"/>
        </w:rPr>
        <w:tab/>
        <w:t xml:space="preserve">According to PGW, the meter failed shortly after being installed and only provided readings once or twice.  </w:t>
      </w:r>
      <w:proofErr w:type="gramStart"/>
      <w:r>
        <w:rPr>
          <w:sz w:val="26"/>
          <w:szCs w:val="26"/>
        </w:rPr>
        <w:t>Tr. at 103, 11</w:t>
      </w:r>
      <w:r w:rsidR="00212FB8">
        <w:rPr>
          <w:sz w:val="26"/>
          <w:szCs w:val="26"/>
        </w:rPr>
        <w:t>7.</w:t>
      </w:r>
      <w:proofErr w:type="gramEnd"/>
      <w:r>
        <w:rPr>
          <w:sz w:val="26"/>
          <w:szCs w:val="26"/>
        </w:rPr>
        <w:t xml:space="preserve"> </w:t>
      </w:r>
    </w:p>
    <w:p w:rsidR="00801C3D" w:rsidRPr="00801C3D" w:rsidRDefault="00801C3D" w:rsidP="00801C3D">
      <w:pPr>
        <w:widowControl/>
        <w:spacing w:line="360" w:lineRule="auto"/>
        <w:ind w:firstLine="1440"/>
        <w:rPr>
          <w:sz w:val="26"/>
          <w:szCs w:val="26"/>
        </w:rPr>
      </w:pPr>
    </w:p>
    <w:p w:rsidR="00154CB6" w:rsidRDefault="00CA43A5" w:rsidP="008B0466">
      <w:pPr>
        <w:spacing w:line="360" w:lineRule="auto"/>
        <w:jc w:val="center"/>
        <w:rPr>
          <w:b/>
          <w:sz w:val="26"/>
          <w:szCs w:val="26"/>
        </w:rPr>
      </w:pPr>
      <w:r w:rsidRPr="00D365A7">
        <w:rPr>
          <w:b/>
          <w:sz w:val="26"/>
          <w:szCs w:val="26"/>
        </w:rPr>
        <w:t>Discussion</w:t>
      </w:r>
    </w:p>
    <w:p w:rsidR="009642C0" w:rsidRDefault="009642C0" w:rsidP="008B0466">
      <w:pPr>
        <w:spacing w:line="360" w:lineRule="auto"/>
        <w:rPr>
          <w:b/>
          <w:sz w:val="26"/>
          <w:szCs w:val="26"/>
        </w:rPr>
      </w:pPr>
    </w:p>
    <w:p w:rsidR="00CB244C" w:rsidRPr="00D365A7" w:rsidRDefault="00CB244C" w:rsidP="008B0466">
      <w:pPr>
        <w:spacing w:line="360" w:lineRule="auto"/>
        <w:rPr>
          <w:b/>
          <w:sz w:val="26"/>
          <w:szCs w:val="26"/>
        </w:rPr>
      </w:pPr>
      <w:r w:rsidRPr="00D365A7">
        <w:rPr>
          <w:b/>
          <w:sz w:val="26"/>
          <w:szCs w:val="26"/>
        </w:rPr>
        <w:t>Legal Standards</w:t>
      </w:r>
    </w:p>
    <w:p w:rsidR="00CB244C" w:rsidRPr="00D365A7" w:rsidRDefault="00CB244C" w:rsidP="008B0466">
      <w:pPr>
        <w:spacing w:line="360" w:lineRule="auto"/>
        <w:rPr>
          <w:sz w:val="26"/>
          <w:szCs w:val="26"/>
        </w:rPr>
      </w:pPr>
    </w:p>
    <w:p w:rsidR="00CB244C" w:rsidRDefault="00EA6F81" w:rsidP="008B0466">
      <w:pPr>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66 Pa. C.S. § 332(a).  To establish a sufficient case and satisfy the burden of proof, the Complaina</w:t>
      </w:r>
      <w:r w:rsidR="00A02D14" w:rsidRPr="00D365A7">
        <w:rPr>
          <w:sz w:val="26"/>
          <w:szCs w:val="26"/>
        </w:rPr>
        <w:t xml:space="preserve">nt must show that </w:t>
      </w:r>
      <w:r w:rsidR="00106312" w:rsidRPr="00D365A7">
        <w:rPr>
          <w:sz w:val="26"/>
          <w:szCs w:val="26"/>
        </w:rPr>
        <w:t>PGW</w:t>
      </w:r>
      <w:r w:rsidR="00CB244C" w:rsidRPr="00D365A7">
        <w:rPr>
          <w:sz w:val="26"/>
          <w:szCs w:val="26"/>
        </w:rPr>
        <w:t xml:space="preserve"> is responsible or accountable for the probl</w:t>
      </w:r>
      <w:r w:rsidR="00D96E35">
        <w:rPr>
          <w:sz w:val="26"/>
          <w:szCs w:val="26"/>
        </w:rPr>
        <w:t>em described in the Complaint</w:t>
      </w:r>
      <w:r w:rsidR="005D67AF">
        <w:rPr>
          <w:sz w:val="26"/>
          <w:szCs w:val="26"/>
        </w:rPr>
        <w:t xml:space="preserve">. </w:t>
      </w:r>
      <w:r w:rsidR="005D67AF" w:rsidRPr="005D67AF">
        <w:rPr>
          <w:i/>
          <w:sz w:val="26"/>
          <w:szCs w:val="26"/>
        </w:rPr>
        <w:t xml:space="preserve"> </w:t>
      </w:r>
      <w:proofErr w:type="gramStart"/>
      <w:r w:rsidR="005D67AF" w:rsidRPr="00CA43A5">
        <w:rPr>
          <w:i/>
          <w:sz w:val="26"/>
          <w:szCs w:val="26"/>
        </w:rPr>
        <w:t>Patterson</w:t>
      </w:r>
      <w:r w:rsidR="00180B6F">
        <w:rPr>
          <w:i/>
          <w:sz w:val="26"/>
          <w:szCs w:val="26"/>
        </w:rPr>
        <w:t xml:space="preserve"> </w:t>
      </w:r>
      <w:r w:rsidR="005D67AF" w:rsidRPr="00CA43A5">
        <w:rPr>
          <w:i/>
          <w:sz w:val="26"/>
          <w:szCs w:val="26"/>
        </w:rPr>
        <w:t>v.</w:t>
      </w:r>
      <w:proofErr w:type="gramEnd"/>
      <w:r w:rsidR="005D67AF" w:rsidRPr="00CA43A5">
        <w:rPr>
          <w:i/>
          <w:sz w:val="26"/>
          <w:szCs w:val="26"/>
        </w:rPr>
        <w:t xml:space="preserve"> </w:t>
      </w:r>
      <w:proofErr w:type="gramStart"/>
      <w:r w:rsidR="005D67AF">
        <w:rPr>
          <w:i/>
          <w:sz w:val="26"/>
          <w:szCs w:val="26"/>
        </w:rPr>
        <w:t xml:space="preserve">The </w:t>
      </w:r>
      <w:r w:rsidR="005D67AF" w:rsidRPr="00CA43A5">
        <w:rPr>
          <w:i/>
          <w:sz w:val="26"/>
          <w:szCs w:val="26"/>
        </w:rPr>
        <w:t>Bell Telephone Company of Pennsylvania</w:t>
      </w:r>
      <w:r w:rsidR="005D67AF" w:rsidRPr="00CA43A5">
        <w:rPr>
          <w:sz w:val="26"/>
          <w:szCs w:val="26"/>
        </w:rPr>
        <w:t>, 72 Pa. P.U.C. 196 (1990)</w:t>
      </w:r>
      <w:r w:rsidR="00F1035C">
        <w:rPr>
          <w:sz w:val="26"/>
          <w:szCs w:val="26"/>
        </w:rPr>
        <w:t>.</w:t>
      </w:r>
      <w:proofErr w:type="gramEnd"/>
      <w:r w:rsidR="00F1035C">
        <w:rPr>
          <w:sz w:val="26"/>
          <w:szCs w:val="26"/>
        </w:rPr>
        <w:t xml:space="preserve">  </w:t>
      </w:r>
      <w:r w:rsidR="00CB244C" w:rsidRPr="00D365A7">
        <w:rPr>
          <w:sz w:val="26"/>
          <w:szCs w:val="26"/>
        </w:rPr>
        <w:t xml:space="preserve">Such a showing must be by a preponderance of the evidence.  </w:t>
      </w:r>
      <w:proofErr w:type="gramStart"/>
      <w:r w:rsidR="00CB244C" w:rsidRPr="00D365A7">
        <w:rPr>
          <w:i/>
          <w:iCs/>
          <w:sz w:val="26"/>
          <w:szCs w:val="26"/>
        </w:rPr>
        <w:t xml:space="preserve">Samuel J. </w:t>
      </w:r>
      <w:proofErr w:type="spellStart"/>
      <w:r w:rsidR="00CB244C" w:rsidRPr="00D365A7">
        <w:rPr>
          <w:i/>
          <w:iCs/>
          <w:sz w:val="26"/>
          <w:szCs w:val="26"/>
        </w:rPr>
        <w:t>Lansberry</w:t>
      </w:r>
      <w:proofErr w:type="spellEnd"/>
      <w:r w:rsidR="00CB244C" w:rsidRPr="00D365A7">
        <w:rPr>
          <w:i/>
          <w:iCs/>
          <w:sz w:val="26"/>
          <w:szCs w:val="26"/>
        </w:rPr>
        <w:t>, Inc. v. Pa. PUC</w:t>
      </w:r>
      <w:r w:rsidR="00CB244C" w:rsidRPr="00D365A7">
        <w:rPr>
          <w:sz w:val="26"/>
          <w:szCs w:val="26"/>
        </w:rPr>
        <w:t xml:space="preserve">, 578 A.2d 600 (Pa. </w:t>
      </w:r>
      <w:proofErr w:type="spellStart"/>
      <w:r w:rsidR="00CB244C" w:rsidRPr="00D365A7">
        <w:rPr>
          <w:sz w:val="26"/>
          <w:szCs w:val="26"/>
        </w:rPr>
        <w:t>Cmwlth</w:t>
      </w:r>
      <w:proofErr w:type="spellEnd"/>
      <w:r w:rsidR="00CB244C" w:rsidRPr="00D365A7">
        <w:rPr>
          <w:sz w:val="26"/>
          <w:szCs w:val="26"/>
        </w:rPr>
        <w:t xml:space="preserve">. 1990), </w:t>
      </w:r>
      <w:proofErr w:type="spellStart"/>
      <w:r w:rsidR="00CB244C" w:rsidRPr="00D365A7">
        <w:rPr>
          <w:i/>
          <w:sz w:val="26"/>
          <w:szCs w:val="26"/>
        </w:rPr>
        <w:t>alloc</w:t>
      </w:r>
      <w:proofErr w:type="spellEnd"/>
      <w:r w:rsidR="00CB244C" w:rsidRPr="00D365A7">
        <w:rPr>
          <w:i/>
          <w:sz w:val="26"/>
          <w:szCs w:val="26"/>
        </w:rPr>
        <w:t>.</w:t>
      </w:r>
      <w:proofErr w:type="gramEnd"/>
      <w:r w:rsidR="00CB244C" w:rsidRPr="00D365A7">
        <w:rPr>
          <w:i/>
          <w:sz w:val="26"/>
          <w:szCs w:val="26"/>
        </w:rPr>
        <w:t xml:space="preserve"> </w:t>
      </w:r>
      <w:proofErr w:type="gramStart"/>
      <w:r w:rsidR="00CB244C" w:rsidRPr="00D365A7">
        <w:rPr>
          <w:i/>
          <w:sz w:val="26"/>
          <w:szCs w:val="26"/>
        </w:rPr>
        <w:t>denied</w:t>
      </w:r>
      <w:proofErr w:type="gramEnd"/>
      <w:r w:rsidR="00CB244C" w:rsidRPr="00D365A7">
        <w:rPr>
          <w:i/>
          <w:sz w:val="26"/>
          <w:szCs w:val="26"/>
        </w:rPr>
        <w:t>,</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106312" w:rsidRPr="00D365A7">
        <w:rPr>
          <w:sz w:val="26"/>
          <w:szCs w:val="26"/>
        </w:rPr>
        <w:t xml:space="preserve"> </w:t>
      </w:r>
      <w:r w:rsidR="00FF0B5C">
        <w:rPr>
          <w:sz w:val="26"/>
          <w:szCs w:val="26"/>
        </w:rPr>
        <w:t>the Respondent</w:t>
      </w:r>
      <w:r w:rsidR="00CB244C" w:rsidRPr="00D365A7">
        <w:rPr>
          <w:sz w:val="26"/>
          <w:szCs w:val="26"/>
        </w:rPr>
        <w:t xml:space="preserve">.  </w:t>
      </w:r>
      <w:proofErr w:type="gramStart"/>
      <w:r w:rsidR="00CB244C" w:rsidRPr="00D365A7">
        <w:rPr>
          <w:i/>
          <w:sz w:val="26"/>
          <w:szCs w:val="26"/>
        </w:rPr>
        <w:t>Se-Ling Hosiery, Inc. v. Margulies</w:t>
      </w:r>
      <w:r w:rsidR="00CB244C" w:rsidRPr="00D365A7">
        <w:rPr>
          <w:sz w:val="26"/>
          <w:szCs w:val="26"/>
        </w:rPr>
        <w:t>, 364 Pa. 45, 70 A.2d 854 (1950).</w:t>
      </w:r>
      <w:proofErr w:type="gramEnd"/>
      <w:r w:rsidR="00CB244C" w:rsidRPr="00D365A7">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00CB244C" w:rsidRPr="00D365A7">
        <w:rPr>
          <w:i/>
          <w:sz w:val="26"/>
          <w:szCs w:val="26"/>
        </w:rPr>
        <w:t xml:space="preserve">Norfolk &amp; Western Ry. Co. v. Pa. PUC, </w:t>
      </w:r>
      <w:r w:rsidR="00CB244C" w:rsidRPr="00D365A7">
        <w:rPr>
          <w:sz w:val="26"/>
          <w:szCs w:val="26"/>
        </w:rPr>
        <w:t>489 Pa. 109, 413 A.2d 1037 (1980).</w:t>
      </w:r>
      <w:proofErr w:type="gramEnd"/>
    </w:p>
    <w:p w:rsidR="008B0466" w:rsidRPr="00D365A7" w:rsidRDefault="008B0466" w:rsidP="008B0466">
      <w:pPr>
        <w:spacing w:line="360" w:lineRule="auto"/>
        <w:rPr>
          <w:sz w:val="26"/>
          <w:szCs w:val="26"/>
        </w:rPr>
      </w:pPr>
    </w:p>
    <w:p w:rsidR="00CB244C" w:rsidRPr="00D365A7" w:rsidRDefault="00A02D14" w:rsidP="00B8608E">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omplainant of evidence sufficient to initially satisfy the burden of proof, the burden of going forward with the evidence to rebut the evidence of the c</w:t>
      </w:r>
      <w:r w:rsidRPr="00D365A7">
        <w:rPr>
          <w:sz w:val="26"/>
        </w:rPr>
        <w:t>ustomer shifts to PGW</w:t>
      </w:r>
      <w:r w:rsidR="00CB244C" w:rsidRPr="00D365A7">
        <w:rPr>
          <w:sz w:val="26"/>
        </w:rPr>
        <w:t xml:space="preserve">. </w:t>
      </w:r>
      <w:r w:rsidR="001D3751" w:rsidRPr="00D365A7">
        <w:rPr>
          <w:sz w:val="26"/>
        </w:rPr>
        <w:t xml:space="preserve"> </w:t>
      </w:r>
      <w:r w:rsidR="00CB244C" w:rsidRPr="00D365A7">
        <w:rPr>
          <w:sz w:val="26"/>
        </w:rPr>
        <w:t xml:space="preserve">If the evidence presented by </w:t>
      </w:r>
      <w:r w:rsidRPr="00D365A7">
        <w:rPr>
          <w:sz w:val="26"/>
        </w:rPr>
        <w:t>PGW</w:t>
      </w:r>
      <w:r w:rsidR="00E25496">
        <w:rPr>
          <w:sz w:val="26"/>
        </w:rPr>
        <w:t xml:space="preserve"> is of </w:t>
      </w:r>
      <w:r w:rsidR="00E25496">
        <w:rPr>
          <w:sz w:val="26"/>
        </w:rPr>
        <w:lastRenderedPageBreak/>
        <w:t>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Pr="00D365A7">
        <w:rPr>
          <w:sz w:val="26"/>
        </w:rPr>
        <w:t xml:space="preserve"> to rebut that of PGW</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w:t>
        </w:r>
        <w:proofErr w:type="spellStart"/>
        <w:r w:rsidR="00CB244C" w:rsidRPr="00D365A7">
          <w:rPr>
            <w:rStyle w:val="Hyperlink"/>
            <w:rFonts w:ascii="Times New (W1)" w:hAnsi="Times New (W1)"/>
            <w:iCs/>
            <w:color w:val="auto"/>
            <w:sz w:val="26"/>
            <w:u w:val="none"/>
          </w:rPr>
          <w:t>Cmwlth</w:t>
        </w:r>
        <w:proofErr w:type="spellEnd"/>
        <w:r w:rsidR="00CB244C" w:rsidRPr="00D365A7">
          <w:rPr>
            <w:rStyle w:val="Hyperlink"/>
            <w:rFonts w:ascii="Times New (W1)" w:hAnsi="Times New (W1)"/>
            <w:iCs/>
            <w:color w:val="auto"/>
            <w:sz w:val="26"/>
            <w:u w:val="none"/>
          </w:rPr>
          <w:t xml:space="preserve">. 1982), </w:t>
        </w:r>
        <w:proofErr w:type="spellStart"/>
        <w:r w:rsidR="00CB244C" w:rsidRPr="00D365A7">
          <w:rPr>
            <w:rStyle w:val="Hyperlink"/>
            <w:rFonts w:ascii="Times New (W1)" w:hAnsi="Times New (W1)"/>
            <w:i/>
            <w:iCs/>
            <w:color w:val="auto"/>
            <w:sz w:val="26"/>
            <w:u w:val="none"/>
          </w:rPr>
          <w:t>aff’d</w:t>
        </w:r>
        <w:proofErr w:type="spellEnd"/>
        <w:r w:rsidR="00CB244C" w:rsidRPr="00D365A7">
          <w:rPr>
            <w:rStyle w:val="Hyperlink"/>
            <w:rFonts w:ascii="Times New (W1)" w:hAnsi="Times New (W1)"/>
            <w:i/>
            <w:iCs/>
            <w:color w:val="auto"/>
            <w:sz w:val="26"/>
            <w:u w:val="none"/>
          </w:rPr>
          <w:t>,</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B8608E">
      <w:pPr>
        <w:widowControl/>
        <w:spacing w:line="360" w:lineRule="auto"/>
        <w:ind w:firstLine="1440"/>
        <w:rPr>
          <w:sz w:val="26"/>
        </w:rPr>
      </w:pPr>
    </w:p>
    <w:p w:rsidR="00CB244C" w:rsidRDefault="00CB244C" w:rsidP="00B8608E">
      <w:pPr>
        <w:widowControl/>
        <w:spacing w:line="360" w:lineRule="auto"/>
        <w:ind w:firstLine="1440"/>
        <w:rPr>
          <w:sz w:val="26"/>
        </w:rPr>
      </w:pPr>
      <w:r w:rsidRPr="00D365A7">
        <w:rPr>
          <w:sz w:val="26"/>
        </w:rPr>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remains on the party seeking affirmative relief from the Commission.  </w:t>
      </w:r>
      <w:proofErr w:type="spellStart"/>
      <w:proofErr w:type="gramStart"/>
      <w:r w:rsidRPr="00D365A7">
        <w:rPr>
          <w:i/>
          <w:sz w:val="26"/>
        </w:rPr>
        <w:t>Milkie</w:t>
      </w:r>
      <w:proofErr w:type="spellEnd"/>
      <w:r w:rsidRPr="00D365A7">
        <w:rPr>
          <w:i/>
          <w:sz w:val="26"/>
        </w:rPr>
        <w:t xml:space="preserve"> v. Pa. PUC, </w:t>
      </w:r>
      <w:r w:rsidRPr="00D365A7">
        <w:rPr>
          <w:sz w:val="26"/>
        </w:rPr>
        <w:t xml:space="preserve">768 A.2d 1217 (Pa. </w:t>
      </w:r>
      <w:proofErr w:type="spellStart"/>
      <w:r w:rsidRPr="00D365A7">
        <w:rPr>
          <w:sz w:val="26"/>
        </w:rPr>
        <w:t>Cmwlth</w:t>
      </w:r>
      <w:proofErr w:type="spellEnd"/>
      <w:r w:rsidRPr="00D365A7">
        <w:rPr>
          <w:sz w:val="26"/>
        </w:rPr>
        <w:t>. 2001)</w:t>
      </w:r>
      <w:r w:rsidR="00477EAD">
        <w:rPr>
          <w:sz w:val="26"/>
        </w:rPr>
        <w:t xml:space="preserve"> (</w:t>
      </w:r>
      <w:proofErr w:type="spellStart"/>
      <w:r w:rsidR="00477EAD">
        <w:rPr>
          <w:i/>
          <w:sz w:val="26"/>
        </w:rPr>
        <w:t>Milkie</w:t>
      </w:r>
      <w:proofErr w:type="spellEnd"/>
      <w:r w:rsidR="00477EAD">
        <w:rPr>
          <w:sz w:val="26"/>
        </w:rPr>
        <w:t>)</w:t>
      </w:r>
      <w:r w:rsidRPr="00D365A7">
        <w:rPr>
          <w:sz w:val="26"/>
        </w:rPr>
        <w:t>.</w:t>
      </w:r>
      <w:proofErr w:type="gramEnd"/>
    </w:p>
    <w:p w:rsidR="00801C3D" w:rsidRPr="00D365A7" w:rsidRDefault="00801C3D" w:rsidP="00B8608E">
      <w:pPr>
        <w:widowControl/>
        <w:spacing w:line="360" w:lineRule="auto"/>
        <w:ind w:firstLine="1440"/>
        <w:rPr>
          <w:sz w:val="26"/>
        </w:rPr>
      </w:pPr>
    </w:p>
    <w:p w:rsidR="00AF712A" w:rsidRPr="00D365A7" w:rsidRDefault="00006F35" w:rsidP="00EF4F82">
      <w:pPr>
        <w:widowControl/>
        <w:spacing w:line="360" w:lineRule="auto"/>
        <w:ind w:firstLine="1440"/>
        <w:rPr>
          <w:sz w:val="26"/>
          <w:szCs w:val="26"/>
        </w:rPr>
      </w:pPr>
      <w:r w:rsidRPr="00D365A7" w:rsidDel="004D1D7C">
        <w:rPr>
          <w:sz w:val="26"/>
          <w:szCs w:val="26"/>
        </w:rPr>
        <w:t xml:space="preserve">Before addressing the Exceptions, we note that any issue or Exception that we do not specifically </w:t>
      </w:r>
      <w:r w:rsidR="005D5267">
        <w:rPr>
          <w:sz w:val="26"/>
          <w:szCs w:val="26"/>
        </w:rPr>
        <w:t>address</w:t>
      </w:r>
      <w:r w:rsidRPr="00D365A7" w:rsidDel="004D1D7C">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D365A7" w:rsidDel="004D1D7C">
        <w:rPr>
          <w:sz w:val="26"/>
          <w:szCs w:val="26"/>
        </w:rPr>
        <w:t xml:space="preserve">.  </w:t>
      </w:r>
      <w:hyperlink r:id="rId10" w:history="1">
        <w:r w:rsidR="009F1A08" w:rsidRPr="00D365A7" w:rsidDel="004D1D7C">
          <w:rPr>
            <w:rStyle w:val="Emphasis"/>
            <w:sz w:val="26"/>
            <w:szCs w:val="26"/>
          </w:rPr>
          <w:t>Consolidated Rail Corp. v. Pa. </w:t>
        </w:r>
        <w:r w:rsidR="002A6750" w:rsidRPr="00D365A7" w:rsidDel="004D1D7C">
          <w:rPr>
            <w:rStyle w:val="Emphasis"/>
            <w:sz w:val="26"/>
            <w:szCs w:val="26"/>
          </w:rPr>
          <w:t xml:space="preserve">PUC, </w:t>
        </w:r>
        <w:r w:rsidR="002A6750" w:rsidRPr="00D365A7" w:rsidDel="004D1D7C">
          <w:rPr>
            <w:rStyle w:val="Hyperlink"/>
            <w:color w:val="auto"/>
            <w:sz w:val="26"/>
            <w:szCs w:val="26"/>
            <w:u w:val="none"/>
          </w:rPr>
          <w:t xml:space="preserve">625 A.2d 741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1993);</w:t>
        </w:r>
      </w:hyperlink>
      <w:r w:rsidR="002A6750" w:rsidRPr="00D365A7" w:rsidDel="004D1D7C">
        <w:rPr>
          <w:sz w:val="26"/>
          <w:szCs w:val="26"/>
        </w:rPr>
        <w:t xml:space="preserve"> </w:t>
      </w:r>
      <w:r w:rsidR="002A6750" w:rsidRPr="00D365A7" w:rsidDel="004D1D7C">
        <w:rPr>
          <w:i/>
          <w:sz w:val="26"/>
          <w:szCs w:val="26"/>
        </w:rPr>
        <w:t xml:space="preserve">also </w:t>
      </w:r>
      <w:r w:rsidR="002A6750" w:rsidRPr="00D365A7" w:rsidDel="004D1D7C">
        <w:rPr>
          <w:rStyle w:val="Emphasis"/>
          <w:sz w:val="26"/>
          <w:szCs w:val="26"/>
        </w:rPr>
        <w:t xml:space="preserve">see, generally, </w:t>
      </w:r>
      <w:hyperlink r:id="rId11" w:history="1">
        <w:r w:rsidR="002A6750" w:rsidRPr="00D365A7" w:rsidDel="004D1D7C">
          <w:rPr>
            <w:rStyle w:val="Emphasis"/>
            <w:sz w:val="26"/>
            <w:szCs w:val="26"/>
          </w:rPr>
          <w:t>University of Pennsylvania v. Pa. PUC</w:t>
        </w:r>
        <w:r w:rsidR="002A6750" w:rsidRPr="00D365A7" w:rsidDel="004D1D7C">
          <w:rPr>
            <w:rStyle w:val="Hyperlink"/>
            <w:color w:val="auto"/>
            <w:sz w:val="26"/>
            <w:szCs w:val="26"/>
            <w:u w:val="none"/>
          </w:rPr>
          <w:t xml:space="preserve">, 485 A.2d 1217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1984).</w:t>
        </w:r>
      </w:hyperlink>
      <w:r w:rsidR="00214B3E" w:rsidRPr="00D365A7" w:rsidDel="004D1D7C">
        <w:rPr>
          <w:sz w:val="26"/>
          <w:szCs w:val="26"/>
        </w:rPr>
        <w:t xml:space="preserve"> </w:t>
      </w:r>
    </w:p>
    <w:p w:rsidR="00F14B66" w:rsidRDefault="00F14B66" w:rsidP="00260A3D">
      <w:pPr>
        <w:widowControl/>
        <w:spacing w:line="360" w:lineRule="auto"/>
        <w:ind w:left="90" w:firstLine="1350"/>
        <w:rPr>
          <w:sz w:val="26"/>
          <w:szCs w:val="26"/>
        </w:rPr>
      </w:pPr>
    </w:p>
    <w:p w:rsidR="00716C74" w:rsidRPr="00D365A7" w:rsidRDefault="00716C74" w:rsidP="008B0466">
      <w:pPr>
        <w:widowControl/>
        <w:spacing w:line="360" w:lineRule="auto"/>
        <w:rPr>
          <w:b/>
          <w:sz w:val="26"/>
          <w:szCs w:val="26"/>
        </w:rPr>
      </w:pPr>
      <w:r w:rsidRPr="00D365A7">
        <w:rPr>
          <w:b/>
          <w:sz w:val="26"/>
          <w:szCs w:val="26"/>
        </w:rPr>
        <w:t>ALJ’s Initial Decision</w:t>
      </w:r>
    </w:p>
    <w:p w:rsidR="00FF0B5C" w:rsidRDefault="00FF0B5C" w:rsidP="008B0466">
      <w:pPr>
        <w:widowControl/>
        <w:spacing w:line="360" w:lineRule="auto"/>
        <w:rPr>
          <w:sz w:val="26"/>
          <w:szCs w:val="26"/>
        </w:rPr>
      </w:pPr>
    </w:p>
    <w:p w:rsidR="009506C2" w:rsidRDefault="00FF0B5C" w:rsidP="008B0466">
      <w:pPr>
        <w:widowControl/>
        <w:spacing w:line="360" w:lineRule="auto"/>
        <w:ind w:firstLine="1440"/>
        <w:rPr>
          <w:sz w:val="26"/>
          <w:szCs w:val="26"/>
        </w:rPr>
      </w:pPr>
      <w:r>
        <w:rPr>
          <w:sz w:val="26"/>
          <w:szCs w:val="26"/>
        </w:rPr>
        <w:t>ALJ Guhl made twenty-</w:t>
      </w:r>
      <w:r w:rsidR="005D5267">
        <w:rPr>
          <w:sz w:val="26"/>
          <w:szCs w:val="26"/>
        </w:rPr>
        <w:t>four</w:t>
      </w:r>
      <w:r w:rsidRPr="00D365A7">
        <w:rPr>
          <w:sz w:val="26"/>
          <w:szCs w:val="26"/>
        </w:rPr>
        <w:t xml:space="preserve"> Find</w:t>
      </w:r>
      <w:r>
        <w:rPr>
          <w:sz w:val="26"/>
          <w:szCs w:val="26"/>
        </w:rPr>
        <w:t xml:space="preserve">ings of Fact and reached </w:t>
      </w:r>
      <w:r w:rsidR="005D5267">
        <w:rPr>
          <w:sz w:val="26"/>
          <w:szCs w:val="26"/>
        </w:rPr>
        <w:t>eleven</w:t>
      </w:r>
      <w:r>
        <w:rPr>
          <w:sz w:val="26"/>
          <w:szCs w:val="26"/>
        </w:rPr>
        <w:t xml:space="preserve"> Conclusions of Law.  </w:t>
      </w:r>
      <w:r w:rsidR="005D5267">
        <w:rPr>
          <w:sz w:val="26"/>
          <w:szCs w:val="26"/>
        </w:rPr>
        <w:t>I.D. at 3-6</w:t>
      </w:r>
      <w:r w:rsidRPr="00D365A7">
        <w:rPr>
          <w:sz w:val="26"/>
          <w:szCs w:val="26"/>
        </w:rPr>
        <w:t xml:space="preserve">, </w:t>
      </w:r>
      <w:r>
        <w:rPr>
          <w:sz w:val="26"/>
          <w:szCs w:val="26"/>
        </w:rPr>
        <w:t>1</w:t>
      </w:r>
      <w:r w:rsidR="005D5267">
        <w:rPr>
          <w:sz w:val="26"/>
          <w:szCs w:val="26"/>
        </w:rPr>
        <w:t>8-19</w:t>
      </w:r>
      <w:r w:rsidRPr="00D365A7">
        <w:rPr>
          <w:sz w:val="26"/>
          <w:szCs w:val="26"/>
        </w:rPr>
        <w:t xml:space="preserve">.  The Findings of Fact and Conclusions of Law are incorporated herein by reference and are adopted without comment unless they are </w:t>
      </w:r>
    </w:p>
    <w:p w:rsidR="00716C74" w:rsidRPr="00D365A7" w:rsidRDefault="00FF0B5C" w:rsidP="008B0466">
      <w:pPr>
        <w:widowControl/>
        <w:spacing w:line="360" w:lineRule="auto"/>
        <w:rPr>
          <w:sz w:val="26"/>
          <w:szCs w:val="26"/>
        </w:rPr>
      </w:pPr>
      <w:proofErr w:type="gramStart"/>
      <w:r w:rsidRPr="00D365A7">
        <w:rPr>
          <w:sz w:val="26"/>
          <w:szCs w:val="26"/>
        </w:rPr>
        <w:t>either</w:t>
      </w:r>
      <w:proofErr w:type="gramEnd"/>
      <w:r w:rsidRPr="00D365A7">
        <w:rPr>
          <w:sz w:val="26"/>
          <w:szCs w:val="26"/>
        </w:rPr>
        <w:t xml:space="preserve"> expressly or by necessary implication rejected or modified by this</w:t>
      </w:r>
      <w:r>
        <w:rPr>
          <w:sz w:val="26"/>
          <w:szCs w:val="26"/>
        </w:rPr>
        <w:t xml:space="preserve"> </w:t>
      </w:r>
      <w:r w:rsidRPr="00D365A7">
        <w:rPr>
          <w:sz w:val="26"/>
          <w:szCs w:val="26"/>
        </w:rPr>
        <w:t>Opinion and Order.</w:t>
      </w:r>
      <w:r w:rsidR="0031471F">
        <w:rPr>
          <w:rStyle w:val="FootnoteReference"/>
          <w:sz w:val="26"/>
          <w:szCs w:val="26"/>
        </w:rPr>
        <w:footnoteReference w:id="5"/>
      </w:r>
    </w:p>
    <w:p w:rsidR="00FF0B5C" w:rsidRDefault="00FF0B5C" w:rsidP="00FD30B0">
      <w:pPr>
        <w:spacing w:line="360" w:lineRule="auto"/>
        <w:ind w:firstLine="1440"/>
        <w:rPr>
          <w:sz w:val="26"/>
          <w:szCs w:val="26"/>
        </w:rPr>
      </w:pPr>
    </w:p>
    <w:p w:rsidR="00FD30B0" w:rsidRDefault="008B0466" w:rsidP="00FD30B0">
      <w:pPr>
        <w:spacing w:line="360" w:lineRule="auto"/>
        <w:ind w:firstLine="1440"/>
        <w:rPr>
          <w:sz w:val="26"/>
          <w:szCs w:val="26"/>
        </w:rPr>
      </w:pPr>
      <w:r>
        <w:rPr>
          <w:sz w:val="26"/>
          <w:szCs w:val="26"/>
        </w:rPr>
        <w:br/>
      </w:r>
      <w:r>
        <w:rPr>
          <w:sz w:val="26"/>
          <w:szCs w:val="26"/>
        </w:rPr>
        <w:lastRenderedPageBreak/>
        <w:tab/>
      </w:r>
      <w:r>
        <w:rPr>
          <w:sz w:val="26"/>
          <w:szCs w:val="26"/>
        </w:rPr>
        <w:tab/>
      </w:r>
      <w:r w:rsidR="0087148F">
        <w:rPr>
          <w:sz w:val="26"/>
          <w:szCs w:val="26"/>
        </w:rPr>
        <w:t xml:space="preserve">In </w:t>
      </w:r>
      <w:r w:rsidR="002F112F" w:rsidRPr="00D365A7">
        <w:rPr>
          <w:sz w:val="26"/>
          <w:szCs w:val="26"/>
        </w:rPr>
        <w:t xml:space="preserve">her Initial Decision, </w:t>
      </w:r>
      <w:r w:rsidR="00B60314" w:rsidRPr="00D365A7">
        <w:rPr>
          <w:sz w:val="26"/>
          <w:szCs w:val="26"/>
        </w:rPr>
        <w:t xml:space="preserve">the </w:t>
      </w:r>
      <w:r w:rsidR="00385526" w:rsidRPr="00D365A7">
        <w:rPr>
          <w:sz w:val="26"/>
          <w:szCs w:val="26"/>
        </w:rPr>
        <w:t>ALJ</w:t>
      </w:r>
      <w:r w:rsidR="00812713">
        <w:rPr>
          <w:sz w:val="26"/>
          <w:szCs w:val="26"/>
        </w:rPr>
        <w:t xml:space="preserve"> not</w:t>
      </w:r>
      <w:r w:rsidR="00FD30B0">
        <w:rPr>
          <w:sz w:val="26"/>
          <w:szCs w:val="26"/>
        </w:rPr>
        <w:t xml:space="preserve">ed </w:t>
      </w:r>
      <w:r w:rsidR="00020DDB">
        <w:rPr>
          <w:sz w:val="26"/>
          <w:szCs w:val="26"/>
        </w:rPr>
        <w:t xml:space="preserve">that </w:t>
      </w:r>
      <w:r w:rsidR="00FD30B0">
        <w:rPr>
          <w:sz w:val="26"/>
          <w:szCs w:val="26"/>
        </w:rPr>
        <w:t xml:space="preserve">the burden of proof for “high bill” complaints has been explained in </w:t>
      </w:r>
      <w:r w:rsidR="00FD30B0" w:rsidRPr="00D96E35">
        <w:rPr>
          <w:i/>
          <w:sz w:val="26"/>
          <w:szCs w:val="26"/>
        </w:rPr>
        <w:t>Waldron v. Philadelphia Electric Company</w:t>
      </w:r>
      <w:r w:rsidR="00FD30B0">
        <w:rPr>
          <w:i/>
          <w:sz w:val="26"/>
          <w:szCs w:val="26"/>
        </w:rPr>
        <w:t>,</w:t>
      </w:r>
      <w:r w:rsidR="00FD30B0">
        <w:rPr>
          <w:sz w:val="26"/>
          <w:szCs w:val="26"/>
        </w:rPr>
        <w:t xml:space="preserve"> 54 Pa. P.U.C. 98 (1980)</w:t>
      </w:r>
      <w:r w:rsidR="00477EAD">
        <w:rPr>
          <w:sz w:val="26"/>
          <w:szCs w:val="26"/>
        </w:rPr>
        <w:t xml:space="preserve"> (</w:t>
      </w:r>
      <w:r w:rsidR="00477EAD">
        <w:rPr>
          <w:i/>
          <w:sz w:val="26"/>
          <w:szCs w:val="26"/>
        </w:rPr>
        <w:t>Waldron</w:t>
      </w:r>
      <w:r w:rsidR="00477EAD">
        <w:rPr>
          <w:sz w:val="26"/>
          <w:szCs w:val="26"/>
        </w:rPr>
        <w:t>)</w:t>
      </w:r>
      <w:r w:rsidR="00FD30B0">
        <w:rPr>
          <w:sz w:val="26"/>
          <w:szCs w:val="26"/>
        </w:rPr>
        <w:t xml:space="preserve">, and its progeny.  </w:t>
      </w:r>
      <w:r w:rsidR="009420E4">
        <w:rPr>
          <w:sz w:val="26"/>
          <w:szCs w:val="26"/>
        </w:rPr>
        <w:t>The ALJ</w:t>
      </w:r>
      <w:r w:rsidR="00F14B66">
        <w:rPr>
          <w:sz w:val="26"/>
          <w:szCs w:val="26"/>
        </w:rPr>
        <w:t xml:space="preserve"> opined that i</w:t>
      </w:r>
      <w:r w:rsidR="00FD30B0">
        <w:rPr>
          <w:sz w:val="26"/>
          <w:szCs w:val="26"/>
        </w:rPr>
        <w:t xml:space="preserve">n </w:t>
      </w:r>
      <w:r w:rsidR="00FD30B0" w:rsidRPr="00AC65B1">
        <w:rPr>
          <w:i/>
          <w:sz w:val="26"/>
          <w:szCs w:val="26"/>
        </w:rPr>
        <w:t>Waldron</w:t>
      </w:r>
      <w:r w:rsidR="00FD30B0">
        <w:rPr>
          <w:sz w:val="26"/>
          <w:szCs w:val="26"/>
        </w:rPr>
        <w:t xml:space="preserve">, the Commission stated that, while the accuracy of the meter is an important factor in resolving billing disputes, it is not the sole criterion.  </w:t>
      </w:r>
      <w:r w:rsidR="0010346C">
        <w:rPr>
          <w:sz w:val="26"/>
          <w:szCs w:val="26"/>
        </w:rPr>
        <w:t>According to the ALJ, t</w:t>
      </w:r>
      <w:r w:rsidR="00FD30B0">
        <w:rPr>
          <w:sz w:val="26"/>
          <w:szCs w:val="26"/>
        </w:rPr>
        <w:t>he Commission stated that it will also</w:t>
      </w:r>
      <w:r w:rsidR="0087148F">
        <w:rPr>
          <w:sz w:val="26"/>
          <w:szCs w:val="26"/>
        </w:rPr>
        <w:t xml:space="preserve"> consider factors like</w:t>
      </w:r>
      <w:r w:rsidR="00FD30B0">
        <w:rPr>
          <w:sz w:val="26"/>
          <w:szCs w:val="26"/>
        </w:rPr>
        <w:t xml:space="preserv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00061CE9">
        <w:rPr>
          <w:sz w:val="26"/>
          <w:szCs w:val="26"/>
        </w:rPr>
        <w:t>I.D. at 6-7</w:t>
      </w:r>
      <w:r w:rsidR="00477EAD">
        <w:rPr>
          <w:sz w:val="26"/>
          <w:szCs w:val="26"/>
        </w:rPr>
        <w:t xml:space="preserve"> (citing </w:t>
      </w:r>
      <w:r w:rsidR="00477EAD">
        <w:rPr>
          <w:i/>
          <w:sz w:val="26"/>
          <w:szCs w:val="26"/>
        </w:rPr>
        <w:t xml:space="preserve">Waldron </w:t>
      </w:r>
      <w:r w:rsidR="00477EAD">
        <w:rPr>
          <w:sz w:val="26"/>
          <w:szCs w:val="26"/>
        </w:rPr>
        <w:t>at 100)</w:t>
      </w:r>
      <w:r w:rsidR="00FD30B0">
        <w:rPr>
          <w:sz w:val="26"/>
          <w:szCs w:val="26"/>
        </w:rPr>
        <w:t>.</w:t>
      </w:r>
      <w:proofErr w:type="gramEnd"/>
      <w:r w:rsidR="00326A76">
        <w:rPr>
          <w:sz w:val="26"/>
          <w:szCs w:val="26"/>
        </w:rPr>
        <w:t xml:space="preserve">  </w:t>
      </w:r>
    </w:p>
    <w:p w:rsidR="00061CE9" w:rsidRPr="00F24CBD" w:rsidRDefault="00061CE9" w:rsidP="00061CE9">
      <w:pPr>
        <w:pStyle w:val="NoSpacing"/>
        <w:spacing w:line="360" w:lineRule="auto"/>
        <w:jc w:val="left"/>
        <w:rPr>
          <w:sz w:val="24"/>
          <w:szCs w:val="24"/>
        </w:rPr>
      </w:pPr>
    </w:p>
    <w:p w:rsidR="00A46A26" w:rsidRDefault="00061CE9" w:rsidP="00326A76">
      <w:pPr>
        <w:pStyle w:val="NoSpacing"/>
        <w:spacing w:line="360" w:lineRule="auto"/>
        <w:jc w:val="left"/>
        <w:rPr>
          <w:szCs w:val="26"/>
        </w:rPr>
      </w:pPr>
      <w:r w:rsidRPr="00F24CBD">
        <w:rPr>
          <w:sz w:val="24"/>
          <w:szCs w:val="24"/>
        </w:rPr>
        <w:tab/>
      </w:r>
      <w:r w:rsidRPr="00061CE9">
        <w:rPr>
          <w:szCs w:val="26"/>
        </w:rPr>
        <w:tab/>
      </w:r>
      <w:r w:rsidR="00DA4C81">
        <w:rPr>
          <w:szCs w:val="26"/>
        </w:rPr>
        <w:t xml:space="preserve">The ALJ concluded that the Complainant failed to carry his burden of proving that PGW improperly issued a make-up bill for the previously unbilled service.  </w:t>
      </w:r>
      <w:r w:rsidR="00927C9A">
        <w:rPr>
          <w:szCs w:val="26"/>
        </w:rPr>
        <w:t xml:space="preserve">Although </w:t>
      </w:r>
      <w:r w:rsidR="00A365AD">
        <w:rPr>
          <w:szCs w:val="26"/>
        </w:rPr>
        <w:t xml:space="preserve">the Complainant </w:t>
      </w:r>
      <w:r w:rsidR="00927C9A">
        <w:rPr>
          <w:szCs w:val="26"/>
        </w:rPr>
        <w:t xml:space="preserve">argued that he and his children </w:t>
      </w:r>
      <w:r w:rsidR="00A365AD">
        <w:rPr>
          <w:szCs w:val="26"/>
        </w:rPr>
        <w:t>did not live at the Service Address until August 2011</w:t>
      </w:r>
      <w:r w:rsidR="00927C9A">
        <w:rPr>
          <w:szCs w:val="26"/>
        </w:rPr>
        <w:t>, the ALJ noted that Mr. Love placed service in his name on May 26, 2009</w:t>
      </w:r>
      <w:r w:rsidR="00A365AD">
        <w:rPr>
          <w:szCs w:val="26"/>
        </w:rPr>
        <w:t>.</w:t>
      </w:r>
      <w:r w:rsidR="00927C9A">
        <w:rPr>
          <w:szCs w:val="26"/>
        </w:rPr>
        <w:t xml:space="preserve">  The Complainant did not provide any testimony whether the appliances were not working or were not using gas during the time period in question.  Further, the ALJ </w:t>
      </w:r>
      <w:r w:rsidR="00A46A26">
        <w:rPr>
          <w:szCs w:val="26"/>
        </w:rPr>
        <w:t>acknowledged that Mr. Love did not dispute using gas after moving into the Service Address in August 2011.  I.D. at 10-11.</w:t>
      </w:r>
    </w:p>
    <w:p w:rsidR="00A46A26" w:rsidRDefault="00A46A26" w:rsidP="00326A76">
      <w:pPr>
        <w:pStyle w:val="NoSpacing"/>
        <w:spacing w:line="360" w:lineRule="auto"/>
        <w:jc w:val="left"/>
        <w:rPr>
          <w:szCs w:val="26"/>
        </w:rPr>
      </w:pPr>
    </w:p>
    <w:p w:rsidR="00061CE9" w:rsidRDefault="00A46A26" w:rsidP="00326A76">
      <w:pPr>
        <w:pStyle w:val="NoSpacing"/>
        <w:spacing w:line="360" w:lineRule="auto"/>
        <w:jc w:val="left"/>
      </w:pPr>
      <w:r>
        <w:rPr>
          <w:szCs w:val="26"/>
        </w:rPr>
        <w:tab/>
      </w:r>
      <w:r>
        <w:rPr>
          <w:szCs w:val="26"/>
        </w:rPr>
        <w:tab/>
        <w:t xml:space="preserve">In contrast, the ALJ explained that PGW provided evidence showing the make-up bill was based on physical readings of the mechanical or manual portion of the meter and that the meter tested within the accuracy variance permitted under Section 59.22 of our Regulations, 52 Pa. Code § 59.22.  Additionally, PGW’s make-up bill was based on the meter index of 3880 for the rebill period of May 26, 2009, to September 20, 2012.  The ALJ </w:t>
      </w:r>
      <w:r w:rsidR="00554683">
        <w:rPr>
          <w:szCs w:val="26"/>
        </w:rPr>
        <w:t xml:space="preserve">also </w:t>
      </w:r>
      <w:r>
        <w:rPr>
          <w:szCs w:val="26"/>
        </w:rPr>
        <w:t xml:space="preserve">considered the make-up bill of $6,535.45 to be consistent with the historical usage at the residence.  Explaining that </w:t>
      </w:r>
      <w:r w:rsidR="00554683">
        <w:rPr>
          <w:szCs w:val="26"/>
        </w:rPr>
        <w:t>a</w:t>
      </w:r>
      <w:r>
        <w:rPr>
          <w:szCs w:val="26"/>
        </w:rPr>
        <w:t xml:space="preserve"> public utility is entitled to full payment for its utility service provided to a customer </w:t>
      </w:r>
      <w:r w:rsidR="00792072">
        <w:rPr>
          <w:szCs w:val="26"/>
        </w:rPr>
        <w:t>and is expressly permitted to issue a make-up bill under 52 Pa. Code §</w:t>
      </w:r>
      <w:r w:rsidR="00CF0D84">
        <w:rPr>
          <w:szCs w:val="26"/>
        </w:rPr>
        <w:t xml:space="preserve"> </w:t>
      </w:r>
      <w:r w:rsidR="00792072">
        <w:t xml:space="preserve">56.14, the ALJ found that PGW was authorized to issue the make-up bill and the Complainant is responsible for paying it.  </w:t>
      </w:r>
      <w:proofErr w:type="gramStart"/>
      <w:r w:rsidR="00792072">
        <w:t>I.D. at 11.</w:t>
      </w:r>
      <w:proofErr w:type="gramEnd"/>
      <w:r w:rsidR="00792072">
        <w:t xml:space="preserve">  </w:t>
      </w:r>
    </w:p>
    <w:p w:rsidR="00554683" w:rsidRDefault="00554683" w:rsidP="00326A76">
      <w:pPr>
        <w:pStyle w:val="NoSpacing"/>
        <w:spacing w:line="360" w:lineRule="auto"/>
        <w:jc w:val="left"/>
      </w:pPr>
    </w:p>
    <w:p w:rsidR="00B330D4" w:rsidRPr="004B306E" w:rsidRDefault="00554683" w:rsidP="00326A76">
      <w:pPr>
        <w:pStyle w:val="NoSpacing"/>
        <w:spacing w:line="360" w:lineRule="auto"/>
        <w:jc w:val="left"/>
      </w:pPr>
      <w:r>
        <w:tab/>
      </w:r>
      <w:r>
        <w:tab/>
        <w:t xml:space="preserve">However, the ALJ recognized the period of the meter malfunction from May 2009 to September 2012 and that the Complainant did not receive adequate price signals related to his gas consumption during this time.  The ALJ also noted </w:t>
      </w:r>
      <w:r w:rsidR="009F75C6">
        <w:t xml:space="preserve">that there was </w:t>
      </w:r>
      <w:r>
        <w:t xml:space="preserve">no record evidence to indicate that Mr. Love was at fault for the equipment malfunction.  Under the circumstances, the ALJ awarded a conservation credit to reduce the amount of the make-up bill.  </w:t>
      </w:r>
      <w:proofErr w:type="gramStart"/>
      <w:r>
        <w:t xml:space="preserve">I.D. at 12 (citing </w:t>
      </w:r>
      <w:r>
        <w:rPr>
          <w:i/>
        </w:rPr>
        <w:t>Michael Prendergast v. Philadelphia Gas Works</w:t>
      </w:r>
      <w:r>
        <w:t>, Docket No.</w:t>
      </w:r>
      <w:proofErr w:type="gramEnd"/>
      <w:r>
        <w:t xml:space="preserve"> F-2012-2317187 (Order entered February 27, 2014)).  </w:t>
      </w:r>
      <w:r w:rsidR="00B330D4">
        <w:t xml:space="preserve">Accordingly, the ALJ applied the conservation credit to reduce the remaining balance to $5,228.36.  </w:t>
      </w:r>
      <w:r w:rsidR="00B330D4">
        <w:rPr>
          <w:i/>
        </w:rPr>
        <w:t>Id</w:t>
      </w:r>
      <w:r w:rsidR="00B330D4" w:rsidRPr="004B306E">
        <w:t>.</w:t>
      </w:r>
      <w:r w:rsidR="00B330D4" w:rsidRPr="004B306E">
        <w:rPr>
          <w:rStyle w:val="FootnoteReference"/>
        </w:rPr>
        <w:footnoteReference w:id="6"/>
      </w:r>
    </w:p>
    <w:p w:rsidR="00061CE9" w:rsidRDefault="00061CE9" w:rsidP="00061CE9">
      <w:pPr>
        <w:pStyle w:val="NoSpacing"/>
        <w:spacing w:line="360" w:lineRule="auto"/>
        <w:jc w:val="left"/>
        <w:rPr>
          <w:szCs w:val="26"/>
        </w:rPr>
      </w:pPr>
    </w:p>
    <w:p w:rsidR="00FA0EEA" w:rsidRDefault="00B82C34" w:rsidP="00B82C34">
      <w:pPr>
        <w:widowControl/>
        <w:spacing w:line="360" w:lineRule="auto"/>
        <w:rPr>
          <w:rFonts w:eastAsia="Calibri"/>
          <w:sz w:val="26"/>
          <w:szCs w:val="26"/>
        </w:rPr>
      </w:pPr>
      <w:r>
        <w:rPr>
          <w:rFonts w:eastAsia="Calibri"/>
          <w:sz w:val="26"/>
          <w:szCs w:val="26"/>
        </w:rPr>
        <w:tab/>
      </w:r>
      <w:r>
        <w:rPr>
          <w:rFonts w:eastAsia="Calibri"/>
          <w:sz w:val="26"/>
          <w:szCs w:val="26"/>
        </w:rPr>
        <w:tab/>
      </w:r>
      <w:r w:rsidR="002158DE">
        <w:rPr>
          <w:rFonts w:eastAsia="Calibri"/>
          <w:sz w:val="26"/>
          <w:szCs w:val="26"/>
        </w:rPr>
        <w:t>In addition, t</w:t>
      </w:r>
      <w:r w:rsidR="0024409E" w:rsidRPr="0024409E">
        <w:rPr>
          <w:rFonts w:eastAsia="Calibri"/>
          <w:sz w:val="26"/>
          <w:szCs w:val="26"/>
        </w:rPr>
        <w:t xml:space="preserve">he ALJ </w:t>
      </w:r>
      <w:r w:rsidR="00354459">
        <w:rPr>
          <w:rFonts w:eastAsia="Calibri"/>
          <w:sz w:val="26"/>
          <w:szCs w:val="26"/>
        </w:rPr>
        <w:t xml:space="preserve">determined </w:t>
      </w:r>
      <w:r w:rsidR="0024409E" w:rsidRPr="0024409E">
        <w:rPr>
          <w:rFonts w:eastAsia="Calibri"/>
          <w:sz w:val="26"/>
          <w:szCs w:val="26"/>
        </w:rPr>
        <w:t xml:space="preserve">that a payment arrangement is required </w:t>
      </w:r>
      <w:r w:rsidR="00354459">
        <w:rPr>
          <w:rFonts w:eastAsia="Calibri"/>
          <w:sz w:val="26"/>
          <w:szCs w:val="26"/>
        </w:rPr>
        <w:t xml:space="preserve">consistent with </w:t>
      </w:r>
      <w:r w:rsidR="009B6BC6" w:rsidRPr="009B6BC6">
        <w:rPr>
          <w:rFonts w:eastAsia="Calibri"/>
          <w:sz w:val="26"/>
          <w:szCs w:val="26"/>
        </w:rPr>
        <w:t>52 Pa.</w:t>
      </w:r>
      <w:r w:rsidR="009B6BC6">
        <w:rPr>
          <w:rFonts w:eastAsia="Calibri"/>
          <w:sz w:val="26"/>
          <w:szCs w:val="26"/>
        </w:rPr>
        <w:t xml:space="preserve"> </w:t>
      </w:r>
      <w:r w:rsidR="009B6BC6" w:rsidRPr="009B6BC6">
        <w:rPr>
          <w:rFonts w:eastAsia="Calibri"/>
          <w:sz w:val="26"/>
          <w:szCs w:val="26"/>
        </w:rPr>
        <w:t>Code § 56.14, which</w:t>
      </w:r>
      <w:r w:rsidR="005778C6">
        <w:rPr>
          <w:rFonts w:eastAsia="Calibri"/>
          <w:sz w:val="26"/>
          <w:szCs w:val="26"/>
        </w:rPr>
        <w:t xml:space="preserve"> </w:t>
      </w:r>
      <w:r w:rsidR="004B306E">
        <w:rPr>
          <w:rFonts w:eastAsia="Calibri"/>
          <w:sz w:val="26"/>
          <w:szCs w:val="26"/>
        </w:rPr>
        <w:t>directs</w:t>
      </w:r>
      <w:r w:rsidR="00354459">
        <w:rPr>
          <w:rFonts w:eastAsia="Calibri"/>
          <w:sz w:val="26"/>
          <w:szCs w:val="26"/>
        </w:rPr>
        <w:t xml:space="preserve"> </w:t>
      </w:r>
      <w:r w:rsidR="00ED1266">
        <w:rPr>
          <w:rFonts w:eastAsia="Calibri"/>
          <w:sz w:val="26"/>
          <w:szCs w:val="26"/>
        </w:rPr>
        <w:t>the co</w:t>
      </w:r>
      <w:r w:rsidR="00354459" w:rsidRPr="009B6BC6">
        <w:rPr>
          <w:rFonts w:eastAsia="Calibri"/>
          <w:sz w:val="26"/>
          <w:szCs w:val="26"/>
        </w:rPr>
        <w:t xml:space="preserve">mpany </w:t>
      </w:r>
      <w:r w:rsidR="005778C6">
        <w:rPr>
          <w:rFonts w:eastAsia="Calibri"/>
          <w:sz w:val="26"/>
          <w:szCs w:val="26"/>
        </w:rPr>
        <w:t xml:space="preserve">to </w:t>
      </w:r>
      <w:r w:rsidR="00354459" w:rsidRPr="009B6BC6">
        <w:rPr>
          <w:rFonts w:eastAsia="Calibri"/>
          <w:sz w:val="26"/>
          <w:szCs w:val="26"/>
        </w:rPr>
        <w:t xml:space="preserve">enter into a payment arrangement </w:t>
      </w:r>
      <w:r w:rsidR="005778C6">
        <w:rPr>
          <w:rFonts w:eastAsia="Calibri"/>
          <w:sz w:val="26"/>
          <w:szCs w:val="26"/>
        </w:rPr>
        <w:t>if</w:t>
      </w:r>
      <w:r w:rsidR="00354459" w:rsidRPr="009B6BC6">
        <w:rPr>
          <w:rFonts w:eastAsia="Calibri"/>
          <w:sz w:val="26"/>
          <w:szCs w:val="26"/>
        </w:rPr>
        <w:t xml:space="preserve"> the under billing was the result of “utility billing error, meter failure, leakage that could not reasonably have been detected or loss of service, or four or more cons</w:t>
      </w:r>
      <w:r w:rsidR="009B6BC6" w:rsidRPr="009B6BC6">
        <w:rPr>
          <w:rFonts w:eastAsia="Calibri"/>
          <w:sz w:val="26"/>
          <w:szCs w:val="26"/>
        </w:rPr>
        <w:t xml:space="preserve">ecutive estimated bills . . .”  </w:t>
      </w:r>
      <w:r w:rsidR="005F1C8B">
        <w:rPr>
          <w:rFonts w:eastAsia="Calibri"/>
          <w:sz w:val="26"/>
          <w:szCs w:val="26"/>
        </w:rPr>
        <w:t>The</w:t>
      </w:r>
      <w:r w:rsidRPr="00B82C34">
        <w:rPr>
          <w:rFonts w:eastAsia="Calibri"/>
          <w:sz w:val="26"/>
          <w:szCs w:val="26"/>
        </w:rPr>
        <w:t xml:space="preserve"> </w:t>
      </w:r>
      <w:r w:rsidR="00C63F97" w:rsidRPr="00B82C34">
        <w:rPr>
          <w:rFonts w:eastAsia="Calibri"/>
          <w:sz w:val="26"/>
          <w:szCs w:val="26"/>
        </w:rPr>
        <w:t xml:space="preserve">ALJ </w:t>
      </w:r>
      <w:r w:rsidR="005F1C8B">
        <w:rPr>
          <w:rFonts w:eastAsia="Calibri"/>
          <w:sz w:val="26"/>
          <w:szCs w:val="26"/>
        </w:rPr>
        <w:t xml:space="preserve">calculated the make-up period as </w:t>
      </w:r>
      <w:r w:rsidR="00661AD5">
        <w:rPr>
          <w:rFonts w:eastAsia="Calibri"/>
          <w:sz w:val="26"/>
          <w:szCs w:val="26"/>
        </w:rPr>
        <w:t xml:space="preserve">accumulating over </w:t>
      </w:r>
      <w:r w:rsidR="005F1C8B">
        <w:rPr>
          <w:rFonts w:eastAsia="Calibri"/>
          <w:sz w:val="26"/>
          <w:szCs w:val="26"/>
        </w:rPr>
        <w:t xml:space="preserve">approximately forty months, from May 26, 2009, to September 20, 2012.  </w:t>
      </w:r>
      <w:r w:rsidR="00661AD5">
        <w:rPr>
          <w:rFonts w:eastAsia="Calibri"/>
          <w:sz w:val="26"/>
          <w:szCs w:val="26"/>
        </w:rPr>
        <w:t xml:space="preserve">Pursuant to 52 Pa. Code § 56.14(2), the ALJ ordered the Complainant to pay the balance of $5,228.36 in forty monthly installments of $130.71 each.  </w:t>
      </w:r>
      <w:proofErr w:type="gramStart"/>
      <w:r w:rsidR="00661AD5">
        <w:rPr>
          <w:rFonts w:eastAsia="Calibri"/>
          <w:sz w:val="26"/>
          <w:szCs w:val="26"/>
        </w:rPr>
        <w:t>I.D. at 13.</w:t>
      </w:r>
      <w:proofErr w:type="gramEnd"/>
      <w:r w:rsidR="009B6BC6">
        <w:rPr>
          <w:rStyle w:val="FootnoteReference"/>
          <w:rFonts w:eastAsia="Calibri"/>
          <w:sz w:val="26"/>
          <w:szCs w:val="26"/>
        </w:rPr>
        <w:footnoteReference w:id="7"/>
      </w:r>
      <w:r w:rsidR="009B6BC6" w:rsidRPr="00B82C34">
        <w:rPr>
          <w:rFonts w:eastAsia="Calibri"/>
          <w:sz w:val="26"/>
          <w:szCs w:val="26"/>
        </w:rPr>
        <w:t xml:space="preserve"> </w:t>
      </w:r>
    </w:p>
    <w:p w:rsidR="00474595" w:rsidRDefault="00474595" w:rsidP="00B82C34">
      <w:pPr>
        <w:widowControl/>
        <w:spacing w:line="360" w:lineRule="auto"/>
        <w:rPr>
          <w:rFonts w:eastAsia="Calibri"/>
          <w:sz w:val="26"/>
          <w:szCs w:val="26"/>
        </w:rPr>
      </w:pPr>
    </w:p>
    <w:p w:rsidR="00474595" w:rsidRPr="00B82C34" w:rsidRDefault="00474595" w:rsidP="00B82C34">
      <w:pPr>
        <w:widowControl/>
        <w:spacing w:line="360" w:lineRule="auto"/>
        <w:rPr>
          <w:rFonts w:eastAsia="Calibri"/>
          <w:sz w:val="26"/>
          <w:szCs w:val="26"/>
        </w:rPr>
      </w:pPr>
      <w:r>
        <w:rPr>
          <w:rFonts w:eastAsia="Calibri"/>
          <w:sz w:val="26"/>
          <w:szCs w:val="26"/>
        </w:rPr>
        <w:tab/>
      </w:r>
      <w:r>
        <w:rPr>
          <w:rFonts w:eastAsia="Calibri"/>
          <w:sz w:val="26"/>
          <w:szCs w:val="26"/>
        </w:rPr>
        <w:tab/>
        <w:t>Although the ALJ found that PGW is</w:t>
      </w:r>
      <w:r w:rsidR="001708BC">
        <w:rPr>
          <w:rFonts w:eastAsia="Calibri"/>
          <w:sz w:val="26"/>
          <w:szCs w:val="26"/>
        </w:rPr>
        <w:t xml:space="preserve"> authorized to issue a make-up </w:t>
      </w:r>
      <w:r>
        <w:rPr>
          <w:rFonts w:eastAsia="Calibri"/>
          <w:sz w:val="26"/>
          <w:szCs w:val="26"/>
        </w:rPr>
        <w:t xml:space="preserve">bill for the previously unbilled gas service, the ALJ explained that the Respondent is not relieved of its obligation to “furnish and maintain adequate, efficient, safe, and reasonable service and facilities…” under 66 Pa. C.S. § 1501.  </w:t>
      </w:r>
      <w:proofErr w:type="gramStart"/>
      <w:r>
        <w:rPr>
          <w:rFonts w:eastAsia="Calibri"/>
          <w:sz w:val="26"/>
          <w:szCs w:val="26"/>
        </w:rPr>
        <w:t>I.D. at 14.</w:t>
      </w:r>
      <w:proofErr w:type="gramEnd"/>
      <w:r>
        <w:rPr>
          <w:rFonts w:eastAsia="Calibri"/>
          <w:sz w:val="26"/>
          <w:szCs w:val="26"/>
        </w:rPr>
        <w:t xml:space="preserve">  </w:t>
      </w:r>
      <w:r w:rsidR="001708BC">
        <w:rPr>
          <w:rFonts w:eastAsia="Calibri"/>
          <w:sz w:val="26"/>
          <w:szCs w:val="26"/>
        </w:rPr>
        <w:t xml:space="preserve">In this case, the ALJ found PGW’s failure to detect and address the multiple consecutive zero readings in a timely </w:t>
      </w:r>
      <w:r w:rsidR="001708BC">
        <w:rPr>
          <w:rFonts w:eastAsia="Calibri"/>
          <w:sz w:val="26"/>
          <w:szCs w:val="26"/>
        </w:rPr>
        <w:lastRenderedPageBreak/>
        <w:t xml:space="preserve">fashion to be a violation of Section 1501 of the Code.  According to the ALJ, the Respondent’s failure to detect the zero readings is preventing it from collecting needed funds in a timely fashion or potentially not collecting them at all.  The ALJ applied our statement of policy under 52 Pa. Code § 69.1201(c) to determine an appropriate civil penalty.  Under the circumstances, the ALJ </w:t>
      </w:r>
      <w:r w:rsidR="00C83650">
        <w:rPr>
          <w:rFonts w:eastAsia="Calibri"/>
          <w:sz w:val="26"/>
          <w:szCs w:val="26"/>
        </w:rPr>
        <w:t>imposed</w:t>
      </w:r>
      <w:r w:rsidR="001708BC">
        <w:rPr>
          <w:rFonts w:eastAsia="Calibri"/>
          <w:sz w:val="26"/>
          <w:szCs w:val="26"/>
        </w:rPr>
        <w:t xml:space="preserve"> a civil penalty of $250 for each year the Respondent failed to investigate the zero usage readings for 2009, 2010, 2011, and 2012.  </w:t>
      </w:r>
      <w:r w:rsidR="00673D2A">
        <w:rPr>
          <w:rFonts w:eastAsia="Calibri"/>
          <w:sz w:val="26"/>
          <w:szCs w:val="26"/>
        </w:rPr>
        <w:t>Thus</w:t>
      </w:r>
      <w:r w:rsidR="00721080">
        <w:rPr>
          <w:rFonts w:eastAsia="Calibri"/>
          <w:sz w:val="26"/>
          <w:szCs w:val="26"/>
        </w:rPr>
        <w:t>, the ALJ ordered PGW to pay a civil penalty of $1,000.  I.D. at 17-18.</w:t>
      </w:r>
      <w:r w:rsidR="00721080">
        <w:rPr>
          <w:rStyle w:val="FootnoteReference"/>
          <w:rFonts w:eastAsia="Calibri"/>
          <w:sz w:val="26"/>
          <w:szCs w:val="26"/>
        </w:rPr>
        <w:footnoteReference w:id="8"/>
      </w:r>
    </w:p>
    <w:p w:rsidR="00966DD7" w:rsidRPr="00B82C34" w:rsidRDefault="00966DD7" w:rsidP="00C63F97">
      <w:pPr>
        <w:widowControl/>
        <w:spacing w:line="360" w:lineRule="auto"/>
        <w:rPr>
          <w:rFonts w:eastAsia="Calibri"/>
          <w:sz w:val="26"/>
          <w:szCs w:val="26"/>
        </w:rPr>
      </w:pPr>
    </w:p>
    <w:p w:rsidR="00006F35" w:rsidRPr="00D365A7" w:rsidRDefault="00512540" w:rsidP="0045218D">
      <w:pPr>
        <w:keepNext/>
        <w:keepLines/>
        <w:widowControl/>
        <w:spacing w:line="360" w:lineRule="auto"/>
        <w:rPr>
          <w:rFonts w:eastAsia="Calibri"/>
          <w:b/>
          <w:sz w:val="26"/>
          <w:szCs w:val="26"/>
        </w:rPr>
      </w:pPr>
      <w:r w:rsidRPr="00D365A7">
        <w:rPr>
          <w:rFonts w:eastAsia="Calibri"/>
          <w:b/>
          <w:sz w:val="26"/>
          <w:szCs w:val="26"/>
        </w:rPr>
        <w:t xml:space="preserve">Exceptions </w:t>
      </w:r>
    </w:p>
    <w:p w:rsidR="00716C74" w:rsidRPr="00D365A7" w:rsidRDefault="00716C74" w:rsidP="0045218D">
      <w:pPr>
        <w:keepNext/>
        <w:keepLines/>
        <w:widowControl/>
        <w:spacing w:line="360" w:lineRule="auto"/>
        <w:rPr>
          <w:rFonts w:eastAsia="Calibri"/>
          <w:b/>
          <w:sz w:val="26"/>
          <w:szCs w:val="26"/>
        </w:rPr>
      </w:pPr>
    </w:p>
    <w:p w:rsidR="00AB7274" w:rsidRPr="00D365A7" w:rsidRDefault="00BC55A3" w:rsidP="00FA0EEA">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 xml:space="preserve">n </w:t>
      </w:r>
      <w:r w:rsidR="00673D2A">
        <w:rPr>
          <w:rFonts w:eastAsia="Calibri"/>
          <w:sz w:val="26"/>
          <w:szCs w:val="26"/>
        </w:rPr>
        <w:t>its</w:t>
      </w:r>
      <w:r w:rsidR="0024409E">
        <w:rPr>
          <w:rFonts w:eastAsia="Calibri"/>
          <w:sz w:val="26"/>
          <w:szCs w:val="26"/>
        </w:rPr>
        <w:t xml:space="preserve"> </w:t>
      </w:r>
      <w:r w:rsidR="00E1511B">
        <w:rPr>
          <w:rFonts w:eastAsia="Calibri"/>
          <w:sz w:val="26"/>
          <w:szCs w:val="26"/>
        </w:rPr>
        <w:t xml:space="preserve">first </w:t>
      </w:r>
      <w:r w:rsidR="0024409E">
        <w:rPr>
          <w:rFonts w:eastAsia="Calibri"/>
          <w:sz w:val="26"/>
          <w:szCs w:val="26"/>
        </w:rPr>
        <w:t>Ex</w:t>
      </w:r>
      <w:r w:rsidR="00E1511B">
        <w:rPr>
          <w:rFonts w:eastAsia="Calibri"/>
          <w:sz w:val="26"/>
          <w:szCs w:val="26"/>
        </w:rPr>
        <w:t>ception</w:t>
      </w:r>
      <w:r w:rsidR="00C67DCD">
        <w:rPr>
          <w:rFonts w:eastAsia="Calibri"/>
          <w:sz w:val="26"/>
          <w:szCs w:val="26"/>
        </w:rPr>
        <w:t xml:space="preserve">, </w:t>
      </w:r>
      <w:r w:rsidR="00E1511B">
        <w:rPr>
          <w:rFonts w:eastAsia="Calibri"/>
          <w:sz w:val="26"/>
          <w:szCs w:val="26"/>
        </w:rPr>
        <w:t xml:space="preserve">PGW argues that the ALJ’s issuance of a conservation credit constitutes impermissible compensatory damages.  The Respondent contends that </w:t>
      </w:r>
      <w:r w:rsidR="00A21E46">
        <w:rPr>
          <w:rFonts w:eastAsia="Calibri"/>
          <w:sz w:val="26"/>
          <w:szCs w:val="26"/>
        </w:rPr>
        <w:t xml:space="preserve">the </w:t>
      </w:r>
      <w:r w:rsidR="00E1511B">
        <w:rPr>
          <w:rFonts w:eastAsia="Calibri"/>
          <w:sz w:val="26"/>
          <w:szCs w:val="26"/>
        </w:rPr>
        <w:t>conservation credit as applied does not represent a correction of an actual error in the bill, but is a reduction in the bill that permits the Complainant to pay less than what he actually used.  According to PGW, th</w:t>
      </w:r>
      <w:r w:rsidR="00A21E46">
        <w:rPr>
          <w:rFonts w:eastAsia="Calibri"/>
          <w:sz w:val="26"/>
          <w:szCs w:val="26"/>
        </w:rPr>
        <w:t>is typ</w:t>
      </w:r>
      <w:r w:rsidR="00E1511B">
        <w:rPr>
          <w:rFonts w:eastAsia="Calibri"/>
          <w:sz w:val="26"/>
          <w:szCs w:val="26"/>
        </w:rPr>
        <w:t xml:space="preserve">e </w:t>
      </w:r>
      <w:r w:rsidR="00A21E46">
        <w:rPr>
          <w:rFonts w:eastAsia="Calibri"/>
          <w:sz w:val="26"/>
          <w:szCs w:val="26"/>
        </w:rPr>
        <w:t>of award comp</w:t>
      </w:r>
      <w:r w:rsidR="00E1511B">
        <w:rPr>
          <w:rFonts w:eastAsia="Calibri"/>
          <w:sz w:val="26"/>
          <w:szCs w:val="26"/>
        </w:rPr>
        <w:t>ensates a customer for the missed opportunity to conserve consumption and for the inconvenience of being billed a lump sum for previously unbilled service.  PGW a</w:t>
      </w:r>
      <w:r w:rsidR="00C828E0">
        <w:rPr>
          <w:rFonts w:eastAsia="Calibri"/>
          <w:sz w:val="26"/>
          <w:szCs w:val="26"/>
        </w:rPr>
        <w:t xml:space="preserve">vers that </w:t>
      </w:r>
      <w:r w:rsidR="009C7CBE">
        <w:rPr>
          <w:rFonts w:eastAsia="Calibri"/>
          <w:sz w:val="26"/>
          <w:szCs w:val="26"/>
        </w:rPr>
        <w:t>such a</w:t>
      </w:r>
      <w:r w:rsidR="00C828E0">
        <w:rPr>
          <w:rFonts w:eastAsia="Calibri"/>
          <w:sz w:val="26"/>
          <w:szCs w:val="26"/>
        </w:rPr>
        <w:t xml:space="preserve"> remedy represents</w:t>
      </w:r>
      <w:r w:rsidR="00E1511B">
        <w:rPr>
          <w:rFonts w:eastAsia="Calibri"/>
          <w:sz w:val="26"/>
          <w:szCs w:val="26"/>
        </w:rPr>
        <w:t xml:space="preserve"> compensatory damages, which </w:t>
      </w:r>
      <w:r w:rsidR="00C828E0">
        <w:rPr>
          <w:rFonts w:eastAsia="Calibri"/>
          <w:sz w:val="26"/>
          <w:szCs w:val="26"/>
        </w:rPr>
        <w:t xml:space="preserve">the Commission </w:t>
      </w:r>
      <w:r w:rsidR="00E1511B">
        <w:rPr>
          <w:rFonts w:eastAsia="Calibri"/>
          <w:sz w:val="26"/>
          <w:szCs w:val="26"/>
        </w:rPr>
        <w:t xml:space="preserve">is not authorized </w:t>
      </w:r>
      <w:r w:rsidR="00C828E0">
        <w:rPr>
          <w:rFonts w:eastAsia="Calibri"/>
          <w:sz w:val="26"/>
          <w:szCs w:val="26"/>
        </w:rPr>
        <w:t xml:space="preserve">to award </w:t>
      </w:r>
      <w:r w:rsidR="00E1511B">
        <w:rPr>
          <w:rFonts w:eastAsia="Calibri"/>
          <w:sz w:val="26"/>
          <w:szCs w:val="26"/>
        </w:rPr>
        <w:t xml:space="preserve">under Pennsylvania law. </w:t>
      </w:r>
      <w:r w:rsidR="0024409E">
        <w:rPr>
          <w:rFonts w:eastAsia="Calibri"/>
          <w:sz w:val="26"/>
          <w:szCs w:val="26"/>
        </w:rPr>
        <w:t xml:space="preserve">  </w:t>
      </w:r>
      <w:r w:rsidR="00C828E0">
        <w:rPr>
          <w:rFonts w:eastAsia="Calibri"/>
          <w:sz w:val="26"/>
          <w:szCs w:val="26"/>
        </w:rPr>
        <w:t xml:space="preserve">In response, PGW requests that the Commission modify the Initial Decision to remove the application of the conservation credit.  </w:t>
      </w:r>
      <w:proofErr w:type="gramStart"/>
      <w:r w:rsidR="00E1511B">
        <w:rPr>
          <w:rFonts w:eastAsia="Calibri"/>
          <w:sz w:val="26"/>
          <w:szCs w:val="26"/>
        </w:rPr>
        <w:t>Exc. at 3</w:t>
      </w:r>
      <w:r w:rsidR="00C828E0">
        <w:rPr>
          <w:rFonts w:eastAsia="Calibri"/>
          <w:sz w:val="26"/>
          <w:szCs w:val="26"/>
        </w:rPr>
        <w:t>, 5</w:t>
      </w:r>
      <w:r w:rsidR="00AB7274" w:rsidRPr="00D365A7">
        <w:rPr>
          <w:rFonts w:eastAsia="Calibri"/>
          <w:sz w:val="26"/>
          <w:szCs w:val="26"/>
        </w:rPr>
        <w:t>.</w:t>
      </w:r>
      <w:proofErr w:type="gramEnd"/>
      <w:r w:rsidR="00AB7274" w:rsidRPr="00D365A7">
        <w:rPr>
          <w:rFonts w:eastAsia="Calibri"/>
          <w:sz w:val="26"/>
          <w:szCs w:val="26"/>
        </w:rPr>
        <w:t xml:space="preserve"> </w:t>
      </w:r>
    </w:p>
    <w:p w:rsidR="00AB7274" w:rsidRPr="00D365A7" w:rsidRDefault="00AB7274" w:rsidP="00B8608E">
      <w:pPr>
        <w:widowControl/>
        <w:spacing w:line="360" w:lineRule="auto"/>
        <w:rPr>
          <w:sz w:val="26"/>
          <w:szCs w:val="26"/>
        </w:rPr>
      </w:pPr>
    </w:p>
    <w:p w:rsidR="009C7CBE" w:rsidRDefault="00AB0F63" w:rsidP="00B8608E">
      <w:pPr>
        <w:widowControl/>
        <w:spacing w:line="360" w:lineRule="auto"/>
        <w:rPr>
          <w:sz w:val="26"/>
          <w:szCs w:val="26"/>
        </w:rPr>
      </w:pPr>
      <w:r w:rsidRPr="00D365A7">
        <w:rPr>
          <w:sz w:val="26"/>
          <w:szCs w:val="26"/>
        </w:rPr>
        <w:tab/>
      </w:r>
      <w:r w:rsidRPr="00D365A7">
        <w:rPr>
          <w:sz w:val="26"/>
          <w:szCs w:val="26"/>
        </w:rPr>
        <w:tab/>
        <w:t xml:space="preserve">In </w:t>
      </w:r>
      <w:r w:rsidR="000A4C38">
        <w:rPr>
          <w:sz w:val="26"/>
          <w:szCs w:val="26"/>
        </w:rPr>
        <w:t xml:space="preserve">its second Exception, PGW contends that the record in this proceeding fails to support a twenty percent conservation credit.  The Respondent argues that the Initial Decision contains no analysis of the Complainant’s hypothetical lesser usage had he been issued bills based on actual usage during the disputed period.  </w:t>
      </w:r>
      <w:r w:rsidR="00FF6E57">
        <w:rPr>
          <w:sz w:val="26"/>
          <w:szCs w:val="26"/>
        </w:rPr>
        <w:t xml:space="preserve">According to PGW, there was no evidence or discussion of Mr. Love’s usage after the meter exchange </w:t>
      </w:r>
      <w:r w:rsidR="00FF6E57">
        <w:rPr>
          <w:sz w:val="26"/>
          <w:szCs w:val="26"/>
        </w:rPr>
        <w:lastRenderedPageBreak/>
        <w:t xml:space="preserve">to determine whether the full twenty percent conservation credit is supported by </w:t>
      </w:r>
      <w:r w:rsidR="009C7CBE">
        <w:rPr>
          <w:sz w:val="26"/>
          <w:szCs w:val="26"/>
        </w:rPr>
        <w:t>a decrease in usage now that he can judiciously manage consumption.  PGW also notes that</w:t>
      </w:r>
      <w:r w:rsidR="005D5E12">
        <w:rPr>
          <w:sz w:val="26"/>
          <w:szCs w:val="26"/>
        </w:rPr>
        <w:t xml:space="preserve"> </w:t>
      </w:r>
      <w:r w:rsidR="009C7CBE">
        <w:rPr>
          <w:sz w:val="26"/>
          <w:szCs w:val="26"/>
        </w:rPr>
        <w:t xml:space="preserve">the Commission in </w:t>
      </w:r>
      <w:r w:rsidR="009C7CBE" w:rsidRPr="009C7CBE">
        <w:rPr>
          <w:i/>
          <w:sz w:val="26"/>
          <w:szCs w:val="26"/>
        </w:rPr>
        <w:t>Michael Prendergast v. Philadelphia Gas Works</w:t>
      </w:r>
      <w:r w:rsidR="009C7CBE" w:rsidRPr="009C7CBE">
        <w:rPr>
          <w:sz w:val="26"/>
          <w:szCs w:val="26"/>
        </w:rPr>
        <w:t xml:space="preserve">, Docket No. </w:t>
      </w:r>
    </w:p>
    <w:p w:rsidR="00576262" w:rsidRPr="009C7CBE" w:rsidRDefault="009C7CBE" w:rsidP="00B8608E">
      <w:pPr>
        <w:widowControl/>
        <w:spacing w:line="360" w:lineRule="auto"/>
        <w:rPr>
          <w:sz w:val="26"/>
          <w:szCs w:val="26"/>
        </w:rPr>
      </w:pPr>
      <w:r w:rsidRPr="009C7CBE">
        <w:rPr>
          <w:sz w:val="26"/>
          <w:szCs w:val="26"/>
        </w:rPr>
        <w:t>F-2012-2317187 (Order</w:t>
      </w:r>
      <w:r w:rsidR="009F75C6">
        <w:rPr>
          <w:sz w:val="26"/>
          <w:szCs w:val="26"/>
        </w:rPr>
        <w:t xml:space="preserve"> on Reconsideration</w:t>
      </w:r>
      <w:r w:rsidRPr="009C7CBE">
        <w:rPr>
          <w:sz w:val="26"/>
          <w:szCs w:val="26"/>
        </w:rPr>
        <w:t xml:space="preserve"> entered </w:t>
      </w:r>
      <w:r>
        <w:rPr>
          <w:sz w:val="26"/>
          <w:szCs w:val="26"/>
        </w:rPr>
        <w:t>August 21</w:t>
      </w:r>
      <w:r w:rsidRPr="009C7CBE">
        <w:rPr>
          <w:sz w:val="26"/>
          <w:szCs w:val="26"/>
        </w:rPr>
        <w:t>, 2014)</w:t>
      </w:r>
      <w:r>
        <w:rPr>
          <w:sz w:val="26"/>
          <w:szCs w:val="26"/>
        </w:rPr>
        <w:t xml:space="preserve"> (</w:t>
      </w:r>
      <w:r>
        <w:rPr>
          <w:i/>
          <w:sz w:val="26"/>
          <w:szCs w:val="26"/>
        </w:rPr>
        <w:t>Prendergast</w:t>
      </w:r>
      <w:r>
        <w:rPr>
          <w:sz w:val="26"/>
          <w:szCs w:val="26"/>
        </w:rPr>
        <w:t>) remanded a similar matter to the O</w:t>
      </w:r>
      <w:r w:rsidR="00721126">
        <w:rPr>
          <w:sz w:val="26"/>
          <w:szCs w:val="26"/>
        </w:rPr>
        <w:t xml:space="preserve">ffice of </w:t>
      </w:r>
      <w:r>
        <w:rPr>
          <w:sz w:val="26"/>
          <w:szCs w:val="26"/>
        </w:rPr>
        <w:t>A</w:t>
      </w:r>
      <w:r w:rsidR="00721126">
        <w:rPr>
          <w:sz w:val="26"/>
          <w:szCs w:val="26"/>
        </w:rPr>
        <w:t xml:space="preserve">dministrative </w:t>
      </w:r>
      <w:r>
        <w:rPr>
          <w:sz w:val="26"/>
          <w:szCs w:val="26"/>
        </w:rPr>
        <w:t>L</w:t>
      </w:r>
      <w:r w:rsidR="00721126">
        <w:rPr>
          <w:sz w:val="26"/>
          <w:szCs w:val="26"/>
        </w:rPr>
        <w:t xml:space="preserve">aw </w:t>
      </w:r>
      <w:r>
        <w:rPr>
          <w:sz w:val="26"/>
          <w:szCs w:val="26"/>
        </w:rPr>
        <w:t>J</w:t>
      </w:r>
      <w:r w:rsidR="00721126">
        <w:rPr>
          <w:sz w:val="26"/>
          <w:szCs w:val="26"/>
        </w:rPr>
        <w:t>udge</w:t>
      </w:r>
      <w:r>
        <w:rPr>
          <w:sz w:val="26"/>
          <w:szCs w:val="26"/>
        </w:rPr>
        <w:t xml:space="preserve"> for further hearings to determine the level of conservation credit sufficient to remedy the inaccurate price signals.  Without a similar analysis, the Respondent contends the award of a conservation credit is arbitrary and unsupported by the evidence.  As such, PGW alternatively requests that the Commission remand the matter for further hearing and determination of the appropriate application of the conservation credit.  Exc. at 4-5.</w:t>
      </w:r>
    </w:p>
    <w:p w:rsidR="009C7CBE" w:rsidRPr="00D365A7" w:rsidRDefault="009C7CBE" w:rsidP="00B8608E">
      <w:pPr>
        <w:widowControl/>
        <w:spacing w:line="360" w:lineRule="auto"/>
        <w:rPr>
          <w:sz w:val="26"/>
          <w:szCs w:val="26"/>
        </w:rPr>
      </w:pPr>
    </w:p>
    <w:p w:rsidR="00B9551C" w:rsidRPr="00D365A7" w:rsidRDefault="00B9551C" w:rsidP="00B8608E">
      <w:pPr>
        <w:keepNext/>
        <w:widowControl/>
        <w:spacing w:line="360" w:lineRule="auto"/>
        <w:rPr>
          <w:b/>
          <w:sz w:val="26"/>
          <w:szCs w:val="26"/>
        </w:rPr>
      </w:pPr>
      <w:r w:rsidRPr="00D365A7">
        <w:rPr>
          <w:b/>
          <w:sz w:val="26"/>
          <w:szCs w:val="26"/>
        </w:rPr>
        <w:t>Disposition</w:t>
      </w:r>
    </w:p>
    <w:p w:rsidR="00006F35" w:rsidRPr="00D365A7" w:rsidRDefault="00006F35" w:rsidP="00B8608E">
      <w:pPr>
        <w:widowControl/>
        <w:spacing w:line="360" w:lineRule="auto"/>
        <w:rPr>
          <w:sz w:val="26"/>
          <w:szCs w:val="26"/>
        </w:rPr>
      </w:pPr>
    </w:p>
    <w:p w:rsidR="003230D1" w:rsidRDefault="00C674CB" w:rsidP="00B062F7">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deny </w:t>
      </w:r>
      <w:r w:rsidR="005D5E12">
        <w:rPr>
          <w:sz w:val="26"/>
          <w:szCs w:val="26"/>
        </w:rPr>
        <w:t>PGW’s</w:t>
      </w:r>
      <w:r w:rsidRPr="00D365A7">
        <w:rPr>
          <w:sz w:val="26"/>
          <w:szCs w:val="26"/>
        </w:rPr>
        <w:t xml:space="preserve"> Exceptions</w:t>
      </w:r>
      <w:r w:rsidR="005D5E12">
        <w:rPr>
          <w:sz w:val="26"/>
          <w:szCs w:val="26"/>
        </w:rPr>
        <w:t>, in part, and grant them</w:t>
      </w:r>
      <w:r w:rsidR="00264A6F">
        <w:rPr>
          <w:sz w:val="26"/>
          <w:szCs w:val="26"/>
        </w:rPr>
        <w:t>,</w:t>
      </w:r>
      <w:r w:rsidR="005D5E12">
        <w:rPr>
          <w:sz w:val="26"/>
          <w:szCs w:val="26"/>
        </w:rPr>
        <w:t xml:space="preserve"> in part</w:t>
      </w:r>
      <w:r w:rsidRPr="00D365A7">
        <w:rPr>
          <w:sz w:val="26"/>
          <w:szCs w:val="26"/>
        </w:rPr>
        <w:t>.</w:t>
      </w:r>
      <w:r w:rsidR="00A53DC5">
        <w:rPr>
          <w:rStyle w:val="FootnoteReference"/>
          <w:sz w:val="26"/>
          <w:szCs w:val="26"/>
        </w:rPr>
        <w:footnoteReference w:id="9"/>
      </w:r>
      <w:r w:rsidRPr="00D365A7">
        <w:rPr>
          <w:sz w:val="26"/>
          <w:szCs w:val="26"/>
        </w:rPr>
        <w:t xml:space="preserve">  </w:t>
      </w:r>
    </w:p>
    <w:p w:rsidR="00A14842" w:rsidRDefault="00A14842" w:rsidP="008F7A79">
      <w:pPr>
        <w:widowControl/>
        <w:spacing w:line="360" w:lineRule="auto"/>
        <w:rPr>
          <w:sz w:val="26"/>
          <w:szCs w:val="26"/>
        </w:rPr>
      </w:pPr>
    </w:p>
    <w:p w:rsidR="00264A6F" w:rsidRDefault="00A14842" w:rsidP="008F7A79">
      <w:pPr>
        <w:widowControl/>
        <w:spacing w:line="360" w:lineRule="auto"/>
        <w:rPr>
          <w:sz w:val="26"/>
          <w:szCs w:val="26"/>
        </w:rPr>
      </w:pPr>
      <w:r>
        <w:rPr>
          <w:sz w:val="26"/>
          <w:szCs w:val="26"/>
        </w:rPr>
        <w:tab/>
      </w:r>
      <w:r>
        <w:rPr>
          <w:sz w:val="26"/>
          <w:szCs w:val="26"/>
        </w:rPr>
        <w:tab/>
        <w:t xml:space="preserve">In </w:t>
      </w:r>
      <w:r>
        <w:rPr>
          <w:i/>
          <w:sz w:val="26"/>
          <w:szCs w:val="26"/>
        </w:rPr>
        <w:t>Prendergast</w:t>
      </w:r>
      <w:r>
        <w:rPr>
          <w:sz w:val="26"/>
          <w:szCs w:val="26"/>
        </w:rPr>
        <w:t xml:space="preserve">, the complainant’s meter reported </w:t>
      </w:r>
      <w:r w:rsidR="00283C01">
        <w:rPr>
          <w:sz w:val="26"/>
          <w:szCs w:val="26"/>
        </w:rPr>
        <w:t xml:space="preserve">AMR readings of </w:t>
      </w:r>
      <w:r>
        <w:rPr>
          <w:sz w:val="26"/>
          <w:szCs w:val="26"/>
        </w:rPr>
        <w:t>abnormally low gas consumption on numerous occasions from 2006 th</w:t>
      </w:r>
      <w:r w:rsidR="00283C01">
        <w:rPr>
          <w:sz w:val="26"/>
          <w:szCs w:val="26"/>
        </w:rPr>
        <w:t>rou</w:t>
      </w:r>
      <w:r>
        <w:rPr>
          <w:sz w:val="26"/>
          <w:szCs w:val="26"/>
        </w:rPr>
        <w:t>gh 2012</w:t>
      </w:r>
      <w:r w:rsidR="00283C01">
        <w:rPr>
          <w:sz w:val="26"/>
          <w:szCs w:val="26"/>
        </w:rPr>
        <w:t xml:space="preserve">.  Despite these readings occurring over several years, PGW failed to recognize or identify a problem with the meter until March 2012.  In </w:t>
      </w:r>
      <w:r w:rsidR="00283C01">
        <w:rPr>
          <w:i/>
          <w:sz w:val="26"/>
          <w:szCs w:val="26"/>
        </w:rPr>
        <w:t>Prendergast</w:t>
      </w:r>
      <w:r w:rsidR="00283C01">
        <w:rPr>
          <w:sz w:val="26"/>
          <w:szCs w:val="26"/>
        </w:rPr>
        <w:t xml:space="preserve">, we </w:t>
      </w:r>
      <w:r w:rsidR="00264A6F">
        <w:rPr>
          <w:sz w:val="26"/>
          <w:szCs w:val="26"/>
        </w:rPr>
        <w:t>explained:</w:t>
      </w:r>
    </w:p>
    <w:p w:rsidR="00264A6F" w:rsidRDefault="00264A6F" w:rsidP="008F7A79">
      <w:pPr>
        <w:widowControl/>
        <w:spacing w:line="360" w:lineRule="auto"/>
        <w:rPr>
          <w:sz w:val="26"/>
          <w:szCs w:val="26"/>
        </w:rPr>
      </w:pPr>
    </w:p>
    <w:p w:rsidR="00264A6F" w:rsidRDefault="00C83650" w:rsidP="00264A6F">
      <w:pPr>
        <w:widowControl/>
        <w:ind w:left="1440" w:right="1440"/>
        <w:rPr>
          <w:sz w:val="26"/>
          <w:szCs w:val="26"/>
        </w:rPr>
      </w:pPr>
      <w:r>
        <w:rPr>
          <w:sz w:val="26"/>
          <w:szCs w:val="26"/>
        </w:rPr>
        <w:t>[A]</w:t>
      </w:r>
      <w:proofErr w:type="spellStart"/>
      <w:r>
        <w:rPr>
          <w:sz w:val="26"/>
          <w:szCs w:val="26"/>
        </w:rPr>
        <w:t>lthough</w:t>
      </w:r>
      <w:proofErr w:type="spellEnd"/>
      <w:r>
        <w:rPr>
          <w:sz w:val="26"/>
          <w:szCs w:val="26"/>
        </w:rPr>
        <w:t xml:space="preserve"> </w:t>
      </w:r>
      <w:r w:rsidR="00264A6F">
        <w:rPr>
          <w:sz w:val="26"/>
          <w:szCs w:val="26"/>
        </w:rPr>
        <w:t xml:space="preserve">Section 1303 of the Code, 66 Pa. C.S. § 1303, prohibits a public utility from demanding or receiving a rate less than that established in its applicable tariff, Section 1304 of the Code, 66 Pa. C.S. § 1304, “modifies that prohibition by providing that a utility shall not grant any </w:t>
      </w:r>
      <w:r w:rsidR="00264A6F">
        <w:rPr>
          <w:i/>
          <w:sz w:val="26"/>
          <w:szCs w:val="26"/>
        </w:rPr>
        <w:t xml:space="preserve">unreasonable </w:t>
      </w:r>
      <w:r w:rsidR="00264A6F">
        <w:rPr>
          <w:sz w:val="26"/>
          <w:szCs w:val="26"/>
        </w:rPr>
        <w:t xml:space="preserve">preference or advantage to any person.”  </w:t>
      </w:r>
      <w:proofErr w:type="gramStart"/>
      <w:r w:rsidR="00264A6F">
        <w:rPr>
          <w:i/>
          <w:sz w:val="26"/>
          <w:szCs w:val="26"/>
        </w:rPr>
        <w:t>Mill v. Pa. PUC</w:t>
      </w:r>
      <w:r w:rsidR="00264A6F">
        <w:rPr>
          <w:sz w:val="26"/>
          <w:szCs w:val="26"/>
        </w:rPr>
        <w:t xml:space="preserve">, 447 A.2d 1100, 1102 (Pa. </w:t>
      </w:r>
      <w:proofErr w:type="spellStart"/>
      <w:r w:rsidR="00264A6F">
        <w:rPr>
          <w:sz w:val="26"/>
          <w:szCs w:val="26"/>
        </w:rPr>
        <w:t>Cmwlth</w:t>
      </w:r>
      <w:proofErr w:type="spellEnd"/>
      <w:r w:rsidR="00264A6F">
        <w:rPr>
          <w:sz w:val="26"/>
          <w:szCs w:val="26"/>
        </w:rPr>
        <w:t>. 1982) (emphasis in original).</w:t>
      </w:r>
      <w:proofErr w:type="gramEnd"/>
      <w:r w:rsidR="00264A6F">
        <w:rPr>
          <w:sz w:val="26"/>
          <w:szCs w:val="26"/>
        </w:rPr>
        <w:t xml:space="preserve">  </w:t>
      </w:r>
      <w:r w:rsidR="00264A6F">
        <w:rPr>
          <w:sz w:val="26"/>
          <w:szCs w:val="26"/>
        </w:rPr>
        <w:lastRenderedPageBreak/>
        <w:t xml:space="preserve">The clear implication of the language in Section 1304 of the Code is that a rate preference for an individual is permissible so long as it is reasonable.  </w:t>
      </w:r>
      <w:r w:rsidR="00264A6F">
        <w:rPr>
          <w:i/>
          <w:sz w:val="26"/>
          <w:szCs w:val="26"/>
        </w:rPr>
        <w:t xml:space="preserve">Id.  </w:t>
      </w:r>
      <w:r w:rsidR="00264A6F">
        <w:rPr>
          <w:sz w:val="26"/>
          <w:szCs w:val="26"/>
        </w:rPr>
        <w:t xml:space="preserve">The Commonwealth Court in </w:t>
      </w:r>
      <w:r w:rsidR="00264A6F">
        <w:rPr>
          <w:i/>
          <w:sz w:val="26"/>
          <w:szCs w:val="26"/>
        </w:rPr>
        <w:t xml:space="preserve">Mill </w:t>
      </w:r>
      <w:r w:rsidR="00264A6F">
        <w:rPr>
          <w:sz w:val="26"/>
          <w:szCs w:val="26"/>
        </w:rPr>
        <w:t xml:space="preserve">concluded that the Commission has the authority “to determine under what circumstances and in what amounts such a preference would be reasonable.”  </w:t>
      </w:r>
      <w:r w:rsidR="00264A6F">
        <w:rPr>
          <w:i/>
          <w:sz w:val="26"/>
          <w:szCs w:val="26"/>
        </w:rPr>
        <w:t>Id.</w:t>
      </w:r>
      <w:r w:rsidR="00264A6F">
        <w:rPr>
          <w:sz w:val="26"/>
          <w:szCs w:val="26"/>
        </w:rPr>
        <w:t xml:space="preserve">; </w:t>
      </w:r>
      <w:r w:rsidR="00264A6F">
        <w:rPr>
          <w:i/>
          <w:sz w:val="26"/>
          <w:szCs w:val="26"/>
        </w:rPr>
        <w:t xml:space="preserve">see also C. Leslie </w:t>
      </w:r>
      <w:proofErr w:type="spellStart"/>
      <w:r w:rsidR="00264A6F">
        <w:rPr>
          <w:i/>
          <w:sz w:val="26"/>
          <w:szCs w:val="26"/>
        </w:rPr>
        <w:t>Pettko</w:t>
      </w:r>
      <w:proofErr w:type="spellEnd"/>
      <w:r w:rsidR="00264A6F">
        <w:rPr>
          <w:i/>
          <w:sz w:val="26"/>
          <w:szCs w:val="26"/>
        </w:rPr>
        <w:t xml:space="preserve"> v. Pennsylvania-American Water Company</w:t>
      </w:r>
      <w:r w:rsidR="00264A6F">
        <w:rPr>
          <w:sz w:val="26"/>
          <w:szCs w:val="26"/>
        </w:rPr>
        <w:t>, Docket No. C-2011-2226096 (Order entered February 28, 2013).</w:t>
      </w:r>
    </w:p>
    <w:p w:rsidR="00264A6F" w:rsidRDefault="00264A6F" w:rsidP="00264A6F">
      <w:pPr>
        <w:widowControl/>
        <w:ind w:left="1440" w:right="1440"/>
        <w:rPr>
          <w:sz w:val="26"/>
          <w:szCs w:val="26"/>
        </w:rPr>
      </w:pPr>
    </w:p>
    <w:p w:rsidR="00264A6F" w:rsidRDefault="00264A6F" w:rsidP="00264A6F">
      <w:pPr>
        <w:widowControl/>
        <w:spacing w:line="360" w:lineRule="auto"/>
        <w:ind w:left="1440" w:right="1440" w:hanging="1440"/>
        <w:rPr>
          <w:sz w:val="26"/>
          <w:szCs w:val="26"/>
        </w:rPr>
      </w:pPr>
      <w:proofErr w:type="gramStart"/>
      <w:r>
        <w:rPr>
          <w:i/>
          <w:sz w:val="26"/>
          <w:szCs w:val="26"/>
        </w:rPr>
        <w:t>Prendergast</w:t>
      </w:r>
      <w:r>
        <w:rPr>
          <w:sz w:val="26"/>
          <w:szCs w:val="26"/>
        </w:rPr>
        <w:t xml:space="preserve"> at 11.</w:t>
      </w:r>
      <w:proofErr w:type="gramEnd"/>
    </w:p>
    <w:p w:rsidR="00264A6F" w:rsidRDefault="00264A6F" w:rsidP="00264A6F">
      <w:pPr>
        <w:widowControl/>
        <w:spacing w:line="360" w:lineRule="auto"/>
        <w:ind w:left="1440" w:right="1440" w:hanging="1440"/>
        <w:rPr>
          <w:sz w:val="26"/>
          <w:szCs w:val="26"/>
        </w:rPr>
      </w:pPr>
    </w:p>
    <w:p w:rsidR="00264A6F" w:rsidRDefault="00264A6F" w:rsidP="00264A6F">
      <w:pPr>
        <w:widowControl/>
        <w:spacing w:line="360" w:lineRule="auto"/>
        <w:ind w:firstLine="1440"/>
        <w:rPr>
          <w:sz w:val="26"/>
          <w:szCs w:val="26"/>
        </w:rPr>
      </w:pPr>
      <w:r>
        <w:rPr>
          <w:sz w:val="26"/>
          <w:szCs w:val="26"/>
        </w:rPr>
        <w:t xml:space="preserve">Under the circumstances in </w:t>
      </w:r>
      <w:r>
        <w:rPr>
          <w:i/>
          <w:sz w:val="26"/>
          <w:szCs w:val="26"/>
        </w:rPr>
        <w:t>Prendergast</w:t>
      </w:r>
      <w:r>
        <w:rPr>
          <w:sz w:val="26"/>
          <w:szCs w:val="26"/>
        </w:rPr>
        <w:t xml:space="preserve">, we </w:t>
      </w:r>
      <w:r w:rsidR="00283C01">
        <w:rPr>
          <w:sz w:val="26"/>
          <w:szCs w:val="26"/>
        </w:rPr>
        <w:t xml:space="preserve">determined that it was reasonable to authorize a rate preference to the complainant in the form of a conservation credit.  </w:t>
      </w:r>
      <w:r>
        <w:rPr>
          <w:sz w:val="26"/>
          <w:szCs w:val="26"/>
        </w:rPr>
        <w:t xml:space="preserve">Accordingly, we rejected PGW’s argument that the conservation credit constituted compensatory damages.  </w:t>
      </w:r>
      <w:r>
        <w:rPr>
          <w:i/>
          <w:sz w:val="26"/>
          <w:szCs w:val="26"/>
        </w:rPr>
        <w:t xml:space="preserve">Id. </w:t>
      </w:r>
      <w:r>
        <w:rPr>
          <w:sz w:val="26"/>
          <w:szCs w:val="26"/>
        </w:rPr>
        <w:t xml:space="preserve">at 16-17.   </w:t>
      </w:r>
      <w:r w:rsidR="0044266E">
        <w:rPr>
          <w:sz w:val="26"/>
          <w:szCs w:val="26"/>
        </w:rPr>
        <w:t xml:space="preserve">Here, </w:t>
      </w:r>
      <w:r w:rsidR="00D832EF">
        <w:rPr>
          <w:sz w:val="26"/>
          <w:szCs w:val="26"/>
        </w:rPr>
        <w:t xml:space="preserve">PGW raises </w:t>
      </w:r>
      <w:r w:rsidR="005A5735">
        <w:rPr>
          <w:sz w:val="26"/>
          <w:szCs w:val="26"/>
        </w:rPr>
        <w:t xml:space="preserve">the </w:t>
      </w:r>
      <w:r w:rsidR="00D832EF">
        <w:rPr>
          <w:sz w:val="26"/>
          <w:szCs w:val="26"/>
        </w:rPr>
        <w:t xml:space="preserve">identical argument that a conservation credit constitutes impermissible compensatory damages.  </w:t>
      </w:r>
      <w:r w:rsidR="005A5735">
        <w:rPr>
          <w:sz w:val="26"/>
          <w:szCs w:val="26"/>
        </w:rPr>
        <w:t xml:space="preserve">We again reject PGW’s contentions and confirm that the Commission has the authority to order a conservation credit in appropriate cases.  </w:t>
      </w:r>
      <w:r w:rsidR="003A0965">
        <w:rPr>
          <w:sz w:val="26"/>
          <w:szCs w:val="26"/>
        </w:rPr>
        <w:t xml:space="preserve">  Accordingly, we </w:t>
      </w:r>
      <w:r>
        <w:rPr>
          <w:sz w:val="26"/>
          <w:szCs w:val="26"/>
        </w:rPr>
        <w:t>shall deny the Respondent</w:t>
      </w:r>
      <w:r w:rsidR="003A0965">
        <w:rPr>
          <w:sz w:val="26"/>
          <w:szCs w:val="26"/>
        </w:rPr>
        <w:t>’</w:t>
      </w:r>
      <w:r>
        <w:rPr>
          <w:sz w:val="26"/>
          <w:szCs w:val="26"/>
        </w:rPr>
        <w:t>s first Exception</w:t>
      </w:r>
      <w:r w:rsidR="005A5735">
        <w:rPr>
          <w:sz w:val="26"/>
          <w:szCs w:val="26"/>
        </w:rPr>
        <w:t>, in part</w:t>
      </w:r>
      <w:r>
        <w:rPr>
          <w:sz w:val="26"/>
          <w:szCs w:val="26"/>
        </w:rPr>
        <w:t>.</w:t>
      </w:r>
    </w:p>
    <w:p w:rsidR="005A5735" w:rsidRDefault="005A5735" w:rsidP="00264A6F">
      <w:pPr>
        <w:widowControl/>
        <w:spacing w:line="360" w:lineRule="auto"/>
        <w:ind w:firstLine="1440"/>
        <w:rPr>
          <w:sz w:val="26"/>
          <w:szCs w:val="26"/>
        </w:rPr>
      </w:pPr>
    </w:p>
    <w:p w:rsidR="00264A6F" w:rsidRDefault="005A5735" w:rsidP="00264A6F">
      <w:pPr>
        <w:widowControl/>
        <w:spacing w:line="360" w:lineRule="auto"/>
        <w:ind w:firstLine="1440"/>
        <w:rPr>
          <w:sz w:val="26"/>
          <w:szCs w:val="26"/>
        </w:rPr>
      </w:pPr>
      <w:r>
        <w:rPr>
          <w:sz w:val="26"/>
          <w:szCs w:val="26"/>
        </w:rPr>
        <w:t xml:space="preserve">However, </w:t>
      </w:r>
      <w:r w:rsidR="00B3006E">
        <w:rPr>
          <w:sz w:val="26"/>
          <w:szCs w:val="26"/>
        </w:rPr>
        <w:t xml:space="preserve">under the circumstances of this case, </w:t>
      </w:r>
      <w:r>
        <w:rPr>
          <w:sz w:val="26"/>
          <w:szCs w:val="26"/>
        </w:rPr>
        <w:t>we agree that the Complainant has failed to carry his burden of proof that the bill for the previously unbilled service should have included a conservation credit</w:t>
      </w:r>
      <w:r w:rsidR="00B3006E">
        <w:rPr>
          <w:sz w:val="26"/>
          <w:szCs w:val="26"/>
        </w:rPr>
        <w:t xml:space="preserve">. </w:t>
      </w:r>
      <w:r w:rsidR="00EB7BC6">
        <w:rPr>
          <w:sz w:val="26"/>
          <w:szCs w:val="26"/>
        </w:rPr>
        <w:t xml:space="preserve"> Thus, we shall grant PGW’s first Exception, in part.</w:t>
      </w:r>
    </w:p>
    <w:p w:rsidR="00721126" w:rsidRDefault="00721126" w:rsidP="00264A6F">
      <w:pPr>
        <w:widowControl/>
        <w:spacing w:line="360" w:lineRule="auto"/>
        <w:ind w:firstLine="1440"/>
        <w:rPr>
          <w:sz w:val="26"/>
          <w:szCs w:val="26"/>
        </w:rPr>
      </w:pPr>
    </w:p>
    <w:p w:rsidR="00721126" w:rsidRDefault="00B3006E" w:rsidP="00264A6F">
      <w:pPr>
        <w:widowControl/>
        <w:spacing w:line="360" w:lineRule="auto"/>
        <w:ind w:firstLine="1440"/>
        <w:rPr>
          <w:sz w:val="26"/>
          <w:szCs w:val="26"/>
        </w:rPr>
      </w:pPr>
      <w:r>
        <w:rPr>
          <w:sz w:val="26"/>
          <w:szCs w:val="26"/>
        </w:rPr>
        <w:t xml:space="preserve">As noted in the record, Mr. Love occupied the service location beginning in August 2011, which was thirteen months prior to the discovery of the AMR problem.  Historically, the Commission has not directed a conservation credit with under billing for </w:t>
      </w:r>
    </w:p>
    <w:p w:rsidR="00B3006E" w:rsidRDefault="00B3006E" w:rsidP="00DB3347">
      <w:pPr>
        <w:widowControl/>
        <w:spacing w:line="360" w:lineRule="auto"/>
        <w:rPr>
          <w:sz w:val="26"/>
          <w:szCs w:val="26"/>
        </w:rPr>
      </w:pPr>
      <w:proofErr w:type="gramStart"/>
      <w:r>
        <w:rPr>
          <w:sz w:val="26"/>
          <w:szCs w:val="26"/>
        </w:rPr>
        <w:lastRenderedPageBreak/>
        <w:t>this</w:t>
      </w:r>
      <w:proofErr w:type="gramEnd"/>
      <w:r>
        <w:rPr>
          <w:sz w:val="26"/>
          <w:szCs w:val="26"/>
        </w:rPr>
        <w:t xml:space="preserve"> or a similar amount of time.</w:t>
      </w:r>
      <w:r>
        <w:rPr>
          <w:rStyle w:val="FootnoteReference"/>
          <w:sz w:val="26"/>
          <w:szCs w:val="26"/>
        </w:rPr>
        <w:footnoteReference w:id="10"/>
      </w:r>
      <w:r w:rsidR="00502D71">
        <w:rPr>
          <w:sz w:val="26"/>
          <w:szCs w:val="26"/>
        </w:rPr>
        <w:t xml:space="preserve">  Moreover, for the remaining twenty-seven months of the forty-month period of zero readings, the customer did not occupy the service location and arguably was not deprived of any meaningful opportunity to conserve during this period.</w:t>
      </w:r>
      <w:r w:rsidR="00502D71">
        <w:rPr>
          <w:rStyle w:val="FootnoteReference"/>
          <w:sz w:val="26"/>
          <w:szCs w:val="26"/>
        </w:rPr>
        <w:footnoteReference w:id="11"/>
      </w:r>
    </w:p>
    <w:p w:rsidR="00EB7BC6" w:rsidRDefault="00EB7BC6" w:rsidP="00264A6F">
      <w:pPr>
        <w:widowControl/>
        <w:spacing w:line="360" w:lineRule="auto"/>
        <w:ind w:firstLine="1440"/>
        <w:rPr>
          <w:sz w:val="26"/>
          <w:szCs w:val="26"/>
        </w:rPr>
      </w:pPr>
    </w:p>
    <w:p w:rsidR="00EB7BC6" w:rsidRDefault="0090032D" w:rsidP="00DB3347">
      <w:pPr>
        <w:widowControl/>
        <w:spacing w:line="360" w:lineRule="auto"/>
        <w:ind w:firstLine="1440"/>
        <w:rPr>
          <w:sz w:val="26"/>
          <w:szCs w:val="26"/>
        </w:rPr>
      </w:pPr>
      <w:r>
        <w:rPr>
          <w:sz w:val="26"/>
          <w:szCs w:val="26"/>
        </w:rPr>
        <w:t>We will, therefore, modify the Initial Decision to remove the issuance of the $1,307.09 conservation credit.  Thus, the Complainant must pay the make-up amount of $6,535.45 in forty monthly installments of $163.39 each</w:t>
      </w:r>
      <w:r w:rsidR="001119EA">
        <w:rPr>
          <w:sz w:val="26"/>
          <w:szCs w:val="26"/>
        </w:rPr>
        <w:t xml:space="preserve"> </w:t>
      </w:r>
      <w:r w:rsidR="007275F6">
        <w:rPr>
          <w:sz w:val="26"/>
          <w:szCs w:val="26"/>
        </w:rPr>
        <w:t xml:space="preserve">month </w:t>
      </w:r>
      <w:r w:rsidR="001119EA">
        <w:rPr>
          <w:sz w:val="26"/>
          <w:szCs w:val="26"/>
        </w:rPr>
        <w:t>pursuant to</w:t>
      </w:r>
      <w:r w:rsidR="00F732C8">
        <w:rPr>
          <w:sz w:val="26"/>
          <w:szCs w:val="26"/>
        </w:rPr>
        <w:t xml:space="preserve"> </w:t>
      </w:r>
      <w:r w:rsidR="001119EA">
        <w:rPr>
          <w:rFonts w:eastAsia="Calibri"/>
          <w:sz w:val="26"/>
          <w:szCs w:val="26"/>
        </w:rPr>
        <w:t>52 Pa. Code § 56.14(2</w:t>
      </w:r>
      <w:proofErr w:type="gramStart"/>
      <w:r w:rsidR="001119EA">
        <w:rPr>
          <w:rFonts w:eastAsia="Calibri"/>
          <w:sz w:val="26"/>
          <w:szCs w:val="26"/>
        </w:rPr>
        <w:t>)</w:t>
      </w:r>
      <w:r w:rsidR="001119EA">
        <w:rPr>
          <w:sz w:val="26"/>
          <w:szCs w:val="26"/>
        </w:rPr>
        <w:t xml:space="preserve"> </w:t>
      </w:r>
      <w:r>
        <w:rPr>
          <w:sz w:val="26"/>
          <w:szCs w:val="26"/>
        </w:rPr>
        <w:t>.</w:t>
      </w:r>
      <w:proofErr w:type="gramEnd"/>
      <w:r>
        <w:rPr>
          <w:rStyle w:val="FootnoteReference"/>
          <w:sz w:val="26"/>
          <w:szCs w:val="26"/>
        </w:rPr>
        <w:footnoteReference w:id="12"/>
      </w:r>
      <w:r w:rsidR="00A678C8">
        <w:rPr>
          <w:sz w:val="26"/>
          <w:szCs w:val="26"/>
        </w:rPr>
        <w:t xml:space="preserve">  In light </w:t>
      </w:r>
      <w:r w:rsidR="001119EA">
        <w:rPr>
          <w:sz w:val="26"/>
          <w:szCs w:val="26"/>
        </w:rPr>
        <w:t>of this determination</w:t>
      </w:r>
      <w:r w:rsidR="00A678C8">
        <w:rPr>
          <w:sz w:val="26"/>
          <w:szCs w:val="26"/>
        </w:rPr>
        <w:t xml:space="preserve">, we need not address </w:t>
      </w:r>
      <w:r w:rsidR="001119EA">
        <w:rPr>
          <w:sz w:val="26"/>
          <w:szCs w:val="26"/>
        </w:rPr>
        <w:t>PGW’s</w:t>
      </w:r>
      <w:r w:rsidR="00A678C8">
        <w:rPr>
          <w:sz w:val="26"/>
          <w:szCs w:val="26"/>
        </w:rPr>
        <w:t xml:space="preserve"> second Exception.  </w:t>
      </w:r>
    </w:p>
    <w:p w:rsidR="003A1663" w:rsidRPr="003A1663" w:rsidRDefault="003A1663" w:rsidP="003A1663">
      <w:pPr>
        <w:widowControl/>
        <w:spacing w:line="360" w:lineRule="auto"/>
        <w:ind w:firstLine="1440"/>
        <w:rPr>
          <w:sz w:val="26"/>
          <w:szCs w:val="26"/>
        </w:rPr>
      </w:pPr>
    </w:p>
    <w:p w:rsidR="008251BE" w:rsidRDefault="008251BE" w:rsidP="008F7A79">
      <w:pPr>
        <w:widowControl/>
        <w:spacing w:line="360" w:lineRule="auto"/>
        <w:rPr>
          <w:sz w:val="26"/>
          <w:szCs w:val="26"/>
        </w:rPr>
      </w:pPr>
    </w:p>
    <w:p w:rsidR="00CA43A5" w:rsidRPr="004B579C" w:rsidRDefault="00CA43A5" w:rsidP="00B8608E">
      <w:pPr>
        <w:keepNext/>
        <w:widowControl/>
        <w:spacing w:line="360" w:lineRule="auto"/>
        <w:jc w:val="center"/>
        <w:rPr>
          <w:b/>
          <w:sz w:val="26"/>
          <w:szCs w:val="26"/>
        </w:rPr>
      </w:pPr>
      <w:r w:rsidRPr="004B579C">
        <w:rPr>
          <w:b/>
          <w:sz w:val="26"/>
          <w:szCs w:val="26"/>
        </w:rPr>
        <w:lastRenderedPageBreak/>
        <w:t>Conclusion</w:t>
      </w:r>
    </w:p>
    <w:p w:rsidR="00CA43A5" w:rsidRPr="004B579C" w:rsidRDefault="00CA43A5" w:rsidP="00B8608E">
      <w:pPr>
        <w:keepNext/>
        <w:widowControl/>
        <w:ind w:firstLine="1440"/>
        <w:rPr>
          <w:sz w:val="26"/>
          <w:szCs w:val="26"/>
        </w:rPr>
      </w:pPr>
    </w:p>
    <w:p w:rsidR="00CA43A5" w:rsidRPr="004B579C" w:rsidRDefault="00EB47AB" w:rsidP="00B8608E">
      <w:pPr>
        <w:keepNext/>
        <w:widowControl/>
        <w:spacing w:line="360" w:lineRule="auto"/>
        <w:ind w:firstLine="1440"/>
        <w:rPr>
          <w:sz w:val="26"/>
          <w:szCs w:val="26"/>
        </w:rPr>
      </w:pPr>
      <w:r w:rsidRPr="004B579C">
        <w:rPr>
          <w:sz w:val="26"/>
          <w:szCs w:val="26"/>
        </w:rPr>
        <w:t>Consistent with</w:t>
      </w:r>
      <w:r w:rsidR="00CA43A5" w:rsidRPr="004B579C">
        <w:rPr>
          <w:sz w:val="26"/>
          <w:szCs w:val="26"/>
        </w:rPr>
        <w:t xml:space="preserve"> the foregoing dis</w:t>
      </w:r>
      <w:r w:rsidRPr="004B579C">
        <w:rPr>
          <w:sz w:val="26"/>
          <w:szCs w:val="26"/>
        </w:rPr>
        <w:t xml:space="preserve">cussion, we shall deny the </w:t>
      </w:r>
      <w:r w:rsidR="00C850A9">
        <w:rPr>
          <w:sz w:val="26"/>
          <w:szCs w:val="26"/>
        </w:rPr>
        <w:t>Respondent</w:t>
      </w:r>
      <w:r w:rsidRPr="004B579C">
        <w:rPr>
          <w:sz w:val="26"/>
          <w:szCs w:val="26"/>
        </w:rPr>
        <w:t>’s Exceptions</w:t>
      </w:r>
      <w:r w:rsidR="00C850A9">
        <w:rPr>
          <w:sz w:val="26"/>
          <w:szCs w:val="26"/>
        </w:rPr>
        <w:t xml:space="preserve">, in part, grant them, in part, </w:t>
      </w:r>
      <w:r w:rsidR="00A678C8">
        <w:rPr>
          <w:sz w:val="26"/>
          <w:szCs w:val="26"/>
        </w:rPr>
        <w:t xml:space="preserve">and modify </w:t>
      </w:r>
      <w:r w:rsidRPr="004B579C">
        <w:rPr>
          <w:sz w:val="26"/>
          <w:szCs w:val="26"/>
        </w:rPr>
        <w:t xml:space="preserve"> t</w:t>
      </w:r>
      <w:r w:rsidR="00475D86" w:rsidRPr="004B579C">
        <w:rPr>
          <w:sz w:val="26"/>
          <w:szCs w:val="26"/>
        </w:rPr>
        <w:t>he</w:t>
      </w:r>
      <w:r w:rsidR="00BD3FCF" w:rsidRPr="004B579C">
        <w:rPr>
          <w:sz w:val="26"/>
          <w:szCs w:val="26"/>
        </w:rPr>
        <w:t xml:space="preserve"> Initial Decision of ALJ Guhl</w:t>
      </w:r>
      <w:r w:rsidR="00C850A9">
        <w:rPr>
          <w:sz w:val="26"/>
          <w:szCs w:val="26"/>
        </w:rPr>
        <w:t xml:space="preserve">, </w:t>
      </w:r>
      <w:r w:rsidR="00975D3B">
        <w:rPr>
          <w:sz w:val="26"/>
          <w:szCs w:val="26"/>
        </w:rPr>
        <w:t>consistent with this Opinion and Order</w:t>
      </w:r>
      <w:r w:rsidR="00CA43A5" w:rsidRPr="004B579C">
        <w:rPr>
          <w:sz w:val="26"/>
          <w:szCs w:val="26"/>
        </w:rPr>
        <w:t xml:space="preserve">; </w:t>
      </w:r>
      <w:r w:rsidR="00CA43A5" w:rsidRPr="004B579C">
        <w:rPr>
          <w:b/>
          <w:sz w:val="26"/>
          <w:szCs w:val="26"/>
        </w:rPr>
        <w:t>THEREFORE,</w:t>
      </w:r>
    </w:p>
    <w:p w:rsidR="00CA43A5" w:rsidRPr="004B579C" w:rsidRDefault="00CA43A5" w:rsidP="00B8608E">
      <w:pPr>
        <w:widowControl/>
        <w:spacing w:line="360" w:lineRule="auto"/>
        <w:rPr>
          <w:sz w:val="26"/>
          <w:szCs w:val="26"/>
        </w:rPr>
      </w:pPr>
    </w:p>
    <w:p w:rsidR="00CA43A5" w:rsidRPr="004B579C" w:rsidRDefault="00CA43A5" w:rsidP="00B8608E">
      <w:pPr>
        <w:keepNext/>
        <w:widowControl/>
        <w:ind w:firstLine="1440"/>
        <w:rPr>
          <w:b/>
          <w:sz w:val="26"/>
          <w:szCs w:val="26"/>
        </w:rPr>
      </w:pPr>
      <w:r w:rsidRPr="004B579C">
        <w:rPr>
          <w:b/>
          <w:sz w:val="26"/>
          <w:szCs w:val="26"/>
        </w:rPr>
        <w:t>IT IS ORDERED:</w:t>
      </w:r>
    </w:p>
    <w:p w:rsidR="00CA43A5" w:rsidRPr="004B579C" w:rsidRDefault="00CA43A5" w:rsidP="00B8608E">
      <w:pPr>
        <w:keepNext/>
        <w:widowControl/>
        <w:rPr>
          <w:sz w:val="26"/>
          <w:szCs w:val="26"/>
        </w:rPr>
      </w:pPr>
    </w:p>
    <w:p w:rsidR="009155F7" w:rsidRPr="004B579C" w:rsidRDefault="009155F7" w:rsidP="00B8608E">
      <w:pPr>
        <w:keepNext/>
        <w:widowControl/>
        <w:numPr>
          <w:ilvl w:val="0"/>
          <w:numId w:val="1"/>
        </w:numPr>
        <w:tabs>
          <w:tab w:val="clear" w:pos="2160"/>
          <w:tab w:val="num" w:pos="0"/>
        </w:tabs>
        <w:spacing w:line="360" w:lineRule="auto"/>
        <w:ind w:left="0" w:firstLine="1440"/>
        <w:rPr>
          <w:sz w:val="26"/>
          <w:szCs w:val="26"/>
        </w:rPr>
      </w:pPr>
      <w:r w:rsidRPr="004B579C">
        <w:rPr>
          <w:sz w:val="26"/>
          <w:szCs w:val="26"/>
        </w:rPr>
        <w:t>That the Exceptions of</w:t>
      </w:r>
      <w:r w:rsidR="00A13151" w:rsidRPr="004B579C">
        <w:rPr>
          <w:sz w:val="26"/>
          <w:szCs w:val="26"/>
        </w:rPr>
        <w:t xml:space="preserve"> </w:t>
      </w:r>
      <w:r w:rsidR="00086025">
        <w:rPr>
          <w:sz w:val="26"/>
          <w:szCs w:val="26"/>
        </w:rPr>
        <w:t>Philadelphia Gas Works</w:t>
      </w:r>
      <w:r w:rsidR="0010131A">
        <w:rPr>
          <w:sz w:val="26"/>
          <w:szCs w:val="26"/>
        </w:rPr>
        <w:t>, filed on August 27</w:t>
      </w:r>
      <w:r w:rsidR="00576262" w:rsidRPr="004B579C">
        <w:rPr>
          <w:sz w:val="26"/>
          <w:szCs w:val="26"/>
        </w:rPr>
        <w:t>, 201</w:t>
      </w:r>
      <w:r w:rsidR="00BD3FCF" w:rsidRPr="004B579C">
        <w:rPr>
          <w:sz w:val="26"/>
          <w:szCs w:val="26"/>
        </w:rPr>
        <w:t>4</w:t>
      </w:r>
      <w:r w:rsidR="00A13151" w:rsidRPr="004B579C">
        <w:rPr>
          <w:sz w:val="26"/>
          <w:szCs w:val="26"/>
        </w:rPr>
        <w:t>,</w:t>
      </w:r>
      <w:r w:rsidR="00251918" w:rsidRPr="004B579C">
        <w:rPr>
          <w:sz w:val="26"/>
          <w:szCs w:val="26"/>
        </w:rPr>
        <w:t xml:space="preserve"> to the Initial Decision of Administ</w:t>
      </w:r>
      <w:r w:rsidR="000A06E0" w:rsidRPr="004B579C">
        <w:rPr>
          <w:sz w:val="26"/>
          <w:szCs w:val="26"/>
        </w:rPr>
        <w:t>ra</w:t>
      </w:r>
      <w:r w:rsidR="00576262" w:rsidRPr="004B579C">
        <w:rPr>
          <w:sz w:val="26"/>
          <w:szCs w:val="26"/>
        </w:rPr>
        <w:t>tive Law Judge Marta Guhl</w:t>
      </w:r>
      <w:r w:rsidR="00251918" w:rsidRPr="004B579C">
        <w:rPr>
          <w:sz w:val="26"/>
          <w:szCs w:val="26"/>
        </w:rPr>
        <w:t xml:space="preserve"> are denied</w:t>
      </w:r>
      <w:r w:rsidR="003F51F4" w:rsidRPr="004B579C">
        <w:rPr>
          <w:sz w:val="26"/>
          <w:szCs w:val="26"/>
        </w:rPr>
        <w:t xml:space="preserve">, </w:t>
      </w:r>
      <w:r w:rsidR="0010131A">
        <w:rPr>
          <w:sz w:val="26"/>
          <w:szCs w:val="26"/>
        </w:rPr>
        <w:t xml:space="preserve">in part, and granted, in part, </w:t>
      </w:r>
      <w:r w:rsidR="003F51F4" w:rsidRPr="004B579C">
        <w:rPr>
          <w:sz w:val="26"/>
          <w:szCs w:val="26"/>
        </w:rPr>
        <w:t xml:space="preserve">consistent with this Opinion </w:t>
      </w:r>
      <w:r w:rsidR="00B80C43" w:rsidRPr="004B579C">
        <w:rPr>
          <w:sz w:val="26"/>
          <w:szCs w:val="26"/>
        </w:rPr>
        <w:t>and Order</w:t>
      </w:r>
      <w:r w:rsidRPr="004B579C">
        <w:rPr>
          <w:sz w:val="26"/>
          <w:szCs w:val="26"/>
        </w:rPr>
        <w:t>.</w:t>
      </w:r>
    </w:p>
    <w:p w:rsidR="003F51F4" w:rsidRPr="004B579C" w:rsidRDefault="003F51F4" w:rsidP="00B8608E">
      <w:pPr>
        <w:widowControl/>
        <w:spacing w:line="360" w:lineRule="auto"/>
        <w:ind w:left="1440"/>
        <w:rPr>
          <w:sz w:val="26"/>
          <w:szCs w:val="26"/>
        </w:rPr>
      </w:pPr>
    </w:p>
    <w:p w:rsidR="00CA43A5" w:rsidRPr="004B579C" w:rsidRDefault="00CA43A5" w:rsidP="00B8608E">
      <w:pPr>
        <w:widowControl/>
        <w:numPr>
          <w:ilvl w:val="0"/>
          <w:numId w:val="1"/>
        </w:numPr>
        <w:tabs>
          <w:tab w:val="clear" w:pos="2160"/>
          <w:tab w:val="num" w:pos="0"/>
        </w:tabs>
        <w:spacing w:line="360" w:lineRule="auto"/>
        <w:ind w:left="0" w:firstLine="1440"/>
        <w:rPr>
          <w:sz w:val="26"/>
          <w:szCs w:val="26"/>
        </w:rPr>
      </w:pPr>
      <w:r w:rsidRPr="004B579C">
        <w:rPr>
          <w:sz w:val="26"/>
          <w:szCs w:val="26"/>
        </w:rPr>
        <w:t>That the Initial Decision of Adm</w:t>
      </w:r>
      <w:r w:rsidR="00251918" w:rsidRPr="004B579C">
        <w:rPr>
          <w:sz w:val="26"/>
          <w:szCs w:val="26"/>
        </w:rPr>
        <w:t>inist</w:t>
      </w:r>
      <w:r w:rsidR="000A06E0" w:rsidRPr="004B579C">
        <w:rPr>
          <w:sz w:val="26"/>
          <w:szCs w:val="26"/>
        </w:rPr>
        <w:t>ra</w:t>
      </w:r>
      <w:r w:rsidR="00CE3A1B" w:rsidRPr="004B579C">
        <w:rPr>
          <w:sz w:val="26"/>
          <w:szCs w:val="26"/>
        </w:rPr>
        <w:t xml:space="preserve">tive Law </w:t>
      </w:r>
      <w:r w:rsidR="00576262" w:rsidRPr="004B579C">
        <w:rPr>
          <w:sz w:val="26"/>
          <w:szCs w:val="26"/>
        </w:rPr>
        <w:t xml:space="preserve">Judge Marta Guhl, issued </w:t>
      </w:r>
      <w:r w:rsidR="0010131A">
        <w:rPr>
          <w:sz w:val="26"/>
          <w:szCs w:val="26"/>
        </w:rPr>
        <w:t>on August 7</w:t>
      </w:r>
      <w:r w:rsidR="00576262" w:rsidRPr="004B579C">
        <w:rPr>
          <w:sz w:val="26"/>
          <w:szCs w:val="26"/>
        </w:rPr>
        <w:t>, 2014</w:t>
      </w:r>
      <w:r w:rsidR="00745E99" w:rsidRPr="004B579C">
        <w:rPr>
          <w:sz w:val="26"/>
          <w:szCs w:val="26"/>
        </w:rPr>
        <w:t>,</w:t>
      </w:r>
      <w:r w:rsidR="00251918" w:rsidRPr="004B579C">
        <w:rPr>
          <w:sz w:val="26"/>
          <w:szCs w:val="26"/>
        </w:rPr>
        <w:t xml:space="preserve"> is </w:t>
      </w:r>
      <w:r w:rsidR="00A678C8">
        <w:rPr>
          <w:sz w:val="26"/>
          <w:szCs w:val="26"/>
        </w:rPr>
        <w:t>modified</w:t>
      </w:r>
      <w:r w:rsidR="007275F6">
        <w:rPr>
          <w:sz w:val="26"/>
          <w:szCs w:val="26"/>
        </w:rPr>
        <w:t>,</w:t>
      </w:r>
      <w:r w:rsidR="00A678C8">
        <w:rPr>
          <w:sz w:val="26"/>
          <w:szCs w:val="26"/>
        </w:rPr>
        <w:t xml:space="preserve"> </w:t>
      </w:r>
      <w:r w:rsidRPr="004B579C">
        <w:rPr>
          <w:sz w:val="26"/>
          <w:szCs w:val="26"/>
        </w:rPr>
        <w:t>consistent with this Opinion and Order.</w:t>
      </w:r>
    </w:p>
    <w:p w:rsidR="00732BC8" w:rsidRPr="004B579C" w:rsidRDefault="00732BC8" w:rsidP="00DB3347">
      <w:pPr>
        <w:pStyle w:val="ListParagraph"/>
        <w:spacing w:line="360" w:lineRule="auto"/>
        <w:rPr>
          <w:sz w:val="26"/>
          <w:szCs w:val="26"/>
        </w:rPr>
      </w:pPr>
    </w:p>
    <w:p w:rsidR="001119EA" w:rsidRDefault="001119EA" w:rsidP="008B0466">
      <w:pPr>
        <w:widowControl/>
        <w:spacing w:line="360" w:lineRule="auto"/>
        <w:ind w:firstLine="1440"/>
        <w:rPr>
          <w:sz w:val="26"/>
          <w:szCs w:val="26"/>
        </w:rPr>
      </w:pPr>
      <w:r>
        <w:rPr>
          <w:sz w:val="26"/>
          <w:szCs w:val="26"/>
        </w:rPr>
        <w:t>3.</w:t>
      </w:r>
      <w:r>
        <w:rPr>
          <w:sz w:val="26"/>
          <w:szCs w:val="26"/>
        </w:rPr>
        <w:tab/>
        <w:t xml:space="preserve">That the Formal Complaint filed by Marcus Love on March 11, 2013, against Philadelphia Gas Works at Docket No. F-2013-2355580 is </w:t>
      </w:r>
      <w:r w:rsidR="007275F6">
        <w:rPr>
          <w:sz w:val="26"/>
          <w:szCs w:val="26"/>
        </w:rPr>
        <w:t xml:space="preserve">sustained, in part, and </w:t>
      </w:r>
      <w:r>
        <w:rPr>
          <w:sz w:val="26"/>
          <w:szCs w:val="26"/>
        </w:rPr>
        <w:t xml:space="preserve">denied, </w:t>
      </w:r>
      <w:r w:rsidR="007275F6">
        <w:rPr>
          <w:sz w:val="26"/>
          <w:szCs w:val="26"/>
        </w:rPr>
        <w:t xml:space="preserve">in part, </w:t>
      </w:r>
      <w:r>
        <w:rPr>
          <w:sz w:val="26"/>
          <w:szCs w:val="26"/>
        </w:rPr>
        <w:t>consistent with this Opinion and Order.</w:t>
      </w:r>
    </w:p>
    <w:p w:rsidR="001119EA" w:rsidRDefault="001119EA" w:rsidP="008B0466">
      <w:pPr>
        <w:widowControl/>
        <w:spacing w:line="360" w:lineRule="auto"/>
        <w:ind w:firstLine="1440"/>
        <w:rPr>
          <w:sz w:val="26"/>
          <w:szCs w:val="26"/>
        </w:rPr>
      </w:pPr>
    </w:p>
    <w:p w:rsidR="001119EA" w:rsidRDefault="001119EA" w:rsidP="008B0466">
      <w:pPr>
        <w:widowControl/>
        <w:spacing w:line="360" w:lineRule="auto"/>
        <w:ind w:firstLine="1440"/>
        <w:rPr>
          <w:sz w:val="26"/>
          <w:szCs w:val="26"/>
        </w:rPr>
      </w:pPr>
      <w:r>
        <w:rPr>
          <w:sz w:val="26"/>
          <w:szCs w:val="26"/>
        </w:rPr>
        <w:t>4.</w:t>
      </w:r>
      <w:r>
        <w:rPr>
          <w:sz w:val="26"/>
          <w:szCs w:val="26"/>
        </w:rPr>
        <w:tab/>
        <w:t xml:space="preserve">That Marcus Love </w:t>
      </w:r>
      <w:r w:rsidR="00CB76C9">
        <w:rPr>
          <w:sz w:val="26"/>
          <w:szCs w:val="26"/>
        </w:rPr>
        <w:t xml:space="preserve">is entitled to a payment arrangement over a period of forty (40) months, which is comprised of the monthly billed amount </w:t>
      </w:r>
      <w:r w:rsidR="00AB0E6B">
        <w:rPr>
          <w:sz w:val="26"/>
          <w:szCs w:val="26"/>
        </w:rPr>
        <w:t xml:space="preserve">for his actual usage plus </w:t>
      </w:r>
      <w:r w:rsidR="00CB76C9">
        <w:rPr>
          <w:sz w:val="26"/>
          <w:szCs w:val="26"/>
        </w:rPr>
        <w:t xml:space="preserve">$163.39 </w:t>
      </w:r>
      <w:r w:rsidR="00AB0E6B">
        <w:rPr>
          <w:sz w:val="26"/>
          <w:szCs w:val="26"/>
        </w:rPr>
        <w:t xml:space="preserve">per month toward the arrears, consistent with this </w:t>
      </w:r>
      <w:r w:rsidR="00CB76C9">
        <w:rPr>
          <w:sz w:val="26"/>
          <w:szCs w:val="26"/>
        </w:rPr>
        <w:t>Opinion and Order.</w:t>
      </w:r>
    </w:p>
    <w:p w:rsidR="00CB76C9" w:rsidRDefault="00CB76C9" w:rsidP="008B0466">
      <w:pPr>
        <w:widowControl/>
        <w:spacing w:line="360" w:lineRule="auto"/>
        <w:ind w:firstLine="1440"/>
        <w:rPr>
          <w:sz w:val="26"/>
          <w:szCs w:val="26"/>
        </w:rPr>
      </w:pPr>
    </w:p>
    <w:p w:rsidR="00CB76C9" w:rsidRDefault="00CB76C9" w:rsidP="008B0466">
      <w:pPr>
        <w:widowControl/>
        <w:spacing w:line="360" w:lineRule="auto"/>
        <w:ind w:firstLine="1440"/>
        <w:rPr>
          <w:sz w:val="26"/>
          <w:szCs w:val="26"/>
        </w:rPr>
      </w:pPr>
      <w:r>
        <w:rPr>
          <w:sz w:val="26"/>
          <w:szCs w:val="26"/>
        </w:rPr>
        <w:t xml:space="preserve">5. </w:t>
      </w:r>
      <w:r>
        <w:rPr>
          <w:sz w:val="26"/>
          <w:szCs w:val="26"/>
        </w:rPr>
        <w:tab/>
      </w:r>
      <w:r w:rsidR="00AB0E6B">
        <w:rPr>
          <w:sz w:val="26"/>
          <w:szCs w:val="26"/>
        </w:rPr>
        <w:t>That as long as Marcus Love adheres to the terms of the payment arrangement in Ordering Paragraph No. 4, Philadelphia Gas Works shall not assess any late payment charges or interest charges on the make-up amount.</w:t>
      </w:r>
    </w:p>
    <w:p w:rsidR="00F732C8" w:rsidRDefault="00F732C8" w:rsidP="008B0466">
      <w:pPr>
        <w:widowControl/>
        <w:spacing w:line="360" w:lineRule="auto"/>
        <w:ind w:firstLine="1440"/>
        <w:rPr>
          <w:sz w:val="26"/>
          <w:szCs w:val="26"/>
        </w:rPr>
      </w:pPr>
    </w:p>
    <w:p w:rsidR="00F732C8" w:rsidRDefault="00AB0E6B" w:rsidP="008B0466">
      <w:pPr>
        <w:widowControl/>
        <w:spacing w:line="360" w:lineRule="auto"/>
        <w:ind w:firstLine="1440"/>
        <w:rPr>
          <w:sz w:val="26"/>
          <w:szCs w:val="26"/>
        </w:rPr>
      </w:pPr>
      <w:r>
        <w:rPr>
          <w:sz w:val="26"/>
          <w:szCs w:val="26"/>
        </w:rPr>
        <w:t>6.</w:t>
      </w:r>
      <w:r>
        <w:rPr>
          <w:sz w:val="26"/>
          <w:szCs w:val="26"/>
        </w:rPr>
        <w:tab/>
        <w:t xml:space="preserve">That Philadelphia Gas Works is hereby directed to pay a civil penalty of $1,000.00 pursuant to Sections 3301 and 3315 of the Public Utility Code, </w:t>
      </w:r>
    </w:p>
    <w:p w:rsidR="00AB0E6B" w:rsidRDefault="00AB0E6B" w:rsidP="00F732C8">
      <w:pPr>
        <w:widowControl/>
        <w:spacing w:line="360" w:lineRule="auto"/>
        <w:rPr>
          <w:sz w:val="26"/>
          <w:szCs w:val="26"/>
        </w:rPr>
      </w:pPr>
      <w:r>
        <w:rPr>
          <w:sz w:val="26"/>
          <w:szCs w:val="26"/>
        </w:rPr>
        <w:lastRenderedPageBreak/>
        <w:t xml:space="preserve">66 Pa. C.S. §§ 3301 and 3315, payable by certified </w:t>
      </w:r>
      <w:r w:rsidR="007C1B25">
        <w:rPr>
          <w:sz w:val="26"/>
          <w:szCs w:val="26"/>
        </w:rPr>
        <w:t>check or money order</w:t>
      </w:r>
      <w:r>
        <w:rPr>
          <w:sz w:val="26"/>
          <w:szCs w:val="26"/>
        </w:rPr>
        <w:t xml:space="preserve">, to </w:t>
      </w:r>
      <w:r w:rsidR="007C1B25">
        <w:rPr>
          <w:sz w:val="26"/>
          <w:szCs w:val="26"/>
        </w:rPr>
        <w:t>“</w:t>
      </w:r>
      <w:r>
        <w:rPr>
          <w:sz w:val="26"/>
          <w:szCs w:val="26"/>
        </w:rPr>
        <w:t>Commonwealth of Pennsylvania</w:t>
      </w:r>
      <w:r w:rsidR="007C1B25">
        <w:rPr>
          <w:sz w:val="26"/>
          <w:szCs w:val="26"/>
        </w:rPr>
        <w:t>” and sent to:</w:t>
      </w:r>
      <w:r>
        <w:rPr>
          <w:sz w:val="26"/>
          <w:szCs w:val="26"/>
        </w:rPr>
        <w:t xml:space="preserve"> </w:t>
      </w:r>
    </w:p>
    <w:p w:rsidR="007C1B25" w:rsidRDefault="007C1B25" w:rsidP="008B0466">
      <w:pPr>
        <w:widowControl/>
        <w:spacing w:line="360" w:lineRule="auto"/>
        <w:ind w:firstLine="1440"/>
        <w:rPr>
          <w:sz w:val="26"/>
          <w:szCs w:val="26"/>
        </w:rPr>
      </w:pPr>
    </w:p>
    <w:p w:rsidR="007C1B25" w:rsidRDefault="007C1B25" w:rsidP="000F5744">
      <w:pPr>
        <w:widowControl/>
        <w:ind w:firstLine="1440"/>
        <w:rPr>
          <w:sz w:val="26"/>
          <w:szCs w:val="26"/>
        </w:rPr>
      </w:pPr>
      <w:r>
        <w:rPr>
          <w:sz w:val="26"/>
          <w:szCs w:val="26"/>
        </w:rPr>
        <w:tab/>
        <w:t>Secretary</w:t>
      </w:r>
    </w:p>
    <w:p w:rsidR="007C1B25" w:rsidRDefault="007C1B25" w:rsidP="000F5744">
      <w:pPr>
        <w:widowControl/>
        <w:ind w:firstLine="1440"/>
        <w:rPr>
          <w:sz w:val="26"/>
          <w:szCs w:val="26"/>
        </w:rPr>
      </w:pPr>
      <w:r>
        <w:rPr>
          <w:sz w:val="26"/>
          <w:szCs w:val="26"/>
        </w:rPr>
        <w:tab/>
        <w:t>Pennsylvania Public Utility Commission</w:t>
      </w:r>
    </w:p>
    <w:p w:rsidR="007C1B25" w:rsidRDefault="007C1B25" w:rsidP="000F5744">
      <w:pPr>
        <w:widowControl/>
        <w:ind w:firstLine="1440"/>
        <w:rPr>
          <w:sz w:val="26"/>
          <w:szCs w:val="26"/>
        </w:rPr>
      </w:pPr>
      <w:r>
        <w:rPr>
          <w:sz w:val="26"/>
          <w:szCs w:val="26"/>
        </w:rPr>
        <w:tab/>
        <w:t>P.O. Box 3265</w:t>
      </w:r>
    </w:p>
    <w:p w:rsidR="007C1B25" w:rsidRDefault="007C1B25" w:rsidP="000F5744">
      <w:pPr>
        <w:widowControl/>
        <w:ind w:firstLine="1440"/>
        <w:rPr>
          <w:sz w:val="26"/>
          <w:szCs w:val="26"/>
        </w:rPr>
      </w:pPr>
      <w:r>
        <w:rPr>
          <w:sz w:val="26"/>
          <w:szCs w:val="26"/>
        </w:rPr>
        <w:tab/>
        <w:t>Harrisburg, PA 17105-3265</w:t>
      </w:r>
    </w:p>
    <w:p w:rsidR="007C1B25" w:rsidRDefault="007C1B25" w:rsidP="008B0466">
      <w:pPr>
        <w:widowControl/>
        <w:spacing w:line="360" w:lineRule="auto"/>
        <w:ind w:firstLine="1440"/>
        <w:rPr>
          <w:sz w:val="26"/>
          <w:szCs w:val="26"/>
        </w:rPr>
      </w:pPr>
    </w:p>
    <w:p w:rsidR="007C1B25" w:rsidRPr="00330B90" w:rsidRDefault="007C1B25" w:rsidP="008B0466">
      <w:pPr>
        <w:widowControl/>
        <w:spacing w:line="360" w:lineRule="auto"/>
        <w:ind w:firstLine="1440"/>
        <w:rPr>
          <w:i/>
          <w:sz w:val="26"/>
          <w:szCs w:val="26"/>
        </w:rPr>
      </w:pPr>
      <w:r>
        <w:rPr>
          <w:sz w:val="26"/>
          <w:szCs w:val="26"/>
        </w:rPr>
        <w:t>7.</w:t>
      </w:r>
      <w:r w:rsidR="00613219">
        <w:rPr>
          <w:sz w:val="26"/>
          <w:szCs w:val="26"/>
        </w:rPr>
        <w:tab/>
        <w:t xml:space="preserve">That Philadelphia Gas Works cease and desist from further violations of the Public Utility Code, 66 Pa. C.S. §§ 101, </w:t>
      </w:r>
      <w:r w:rsidR="00613219">
        <w:rPr>
          <w:i/>
          <w:sz w:val="26"/>
          <w:szCs w:val="26"/>
        </w:rPr>
        <w:t>et seq.</w:t>
      </w:r>
      <w:r w:rsidR="005B24EB">
        <w:rPr>
          <w:i/>
          <w:sz w:val="26"/>
          <w:szCs w:val="26"/>
        </w:rPr>
        <w:t>,</w:t>
      </w:r>
      <w:r w:rsidR="005B24EB">
        <w:rPr>
          <w:sz w:val="26"/>
          <w:szCs w:val="26"/>
        </w:rPr>
        <w:t xml:space="preserve"> and the Regulations of this Commission, 52 Pa. Code §§ 1.1, </w:t>
      </w:r>
      <w:r w:rsidR="005B24EB">
        <w:rPr>
          <w:i/>
          <w:sz w:val="26"/>
          <w:szCs w:val="26"/>
        </w:rPr>
        <w:t>et seq.</w:t>
      </w:r>
    </w:p>
    <w:p w:rsidR="00613219" w:rsidRDefault="00613219" w:rsidP="008B0466">
      <w:pPr>
        <w:widowControl/>
        <w:spacing w:line="360" w:lineRule="auto"/>
        <w:ind w:firstLine="1440"/>
        <w:rPr>
          <w:sz w:val="26"/>
          <w:szCs w:val="26"/>
        </w:rPr>
      </w:pPr>
    </w:p>
    <w:p w:rsidR="00613219" w:rsidRDefault="00613219" w:rsidP="008B0466">
      <w:pPr>
        <w:widowControl/>
        <w:spacing w:line="360" w:lineRule="auto"/>
        <w:ind w:firstLine="1440"/>
        <w:rPr>
          <w:sz w:val="26"/>
          <w:szCs w:val="26"/>
        </w:rPr>
      </w:pPr>
      <w:r>
        <w:rPr>
          <w:sz w:val="26"/>
          <w:szCs w:val="26"/>
        </w:rPr>
        <w:t>8.</w:t>
      </w:r>
      <w:r>
        <w:rPr>
          <w:sz w:val="26"/>
          <w:szCs w:val="26"/>
        </w:rPr>
        <w:tab/>
        <w:t>That a copy of this Opinion and Order shall be served upon the Financial and Assessment Chief, Office of Administrative Services.</w:t>
      </w:r>
    </w:p>
    <w:p w:rsidR="00613219" w:rsidRDefault="00613219" w:rsidP="008B0466">
      <w:pPr>
        <w:widowControl/>
        <w:spacing w:line="360" w:lineRule="auto"/>
        <w:ind w:firstLine="1440"/>
        <w:rPr>
          <w:sz w:val="26"/>
          <w:szCs w:val="26"/>
        </w:rPr>
      </w:pPr>
    </w:p>
    <w:p w:rsidR="00613219" w:rsidRPr="00613219" w:rsidRDefault="00613219" w:rsidP="008B0466">
      <w:pPr>
        <w:widowControl/>
        <w:spacing w:line="360" w:lineRule="auto"/>
        <w:ind w:firstLine="1440"/>
        <w:rPr>
          <w:sz w:val="26"/>
          <w:szCs w:val="26"/>
        </w:rPr>
      </w:pPr>
      <w:r>
        <w:rPr>
          <w:sz w:val="26"/>
          <w:szCs w:val="26"/>
        </w:rPr>
        <w:t>9.</w:t>
      </w:r>
      <w:r>
        <w:rPr>
          <w:sz w:val="26"/>
          <w:szCs w:val="26"/>
        </w:rPr>
        <w:tab/>
        <w:t>That this proceeding be marked closed.</w:t>
      </w:r>
    </w:p>
    <w:p w:rsidR="00CA43A5" w:rsidRPr="004B579C" w:rsidRDefault="00CA43A5" w:rsidP="008B0466">
      <w:pPr>
        <w:keepNext/>
        <w:widowControl/>
        <w:spacing w:line="360" w:lineRule="auto"/>
        <w:rPr>
          <w:sz w:val="26"/>
          <w:szCs w:val="26"/>
        </w:rPr>
      </w:pPr>
    </w:p>
    <w:p w:rsidR="00CA43A5" w:rsidRPr="004B579C" w:rsidRDefault="006A6178" w:rsidP="00B8608E">
      <w:pPr>
        <w:keepNext/>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56AA08A7" wp14:editId="541AC968">
            <wp:simplePos x="0" y="0"/>
            <wp:positionH relativeFrom="column">
              <wp:posOffset>2771140</wp:posOffset>
            </wp:positionH>
            <wp:positionV relativeFrom="paragraph">
              <wp:posOffset>54610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4B579C">
        <w:rPr>
          <w:b/>
          <w:sz w:val="26"/>
          <w:szCs w:val="26"/>
        </w:rPr>
        <w:t>BY THE COMMISSION,</w:t>
      </w:r>
    </w:p>
    <w:p w:rsidR="00CA43A5" w:rsidRPr="004B579C" w:rsidRDefault="00CA43A5" w:rsidP="00B8608E">
      <w:pPr>
        <w:widowControl/>
        <w:tabs>
          <w:tab w:val="left" w:pos="-720"/>
        </w:tabs>
        <w:rPr>
          <w:sz w:val="26"/>
          <w:szCs w:val="26"/>
        </w:rPr>
      </w:pPr>
    </w:p>
    <w:p w:rsidR="00CA43A5" w:rsidRPr="004B579C" w:rsidRDefault="00CA43A5" w:rsidP="00B8608E">
      <w:pPr>
        <w:widowControl/>
        <w:tabs>
          <w:tab w:val="left" w:pos="-720"/>
        </w:tabs>
        <w:rPr>
          <w:sz w:val="26"/>
          <w:szCs w:val="26"/>
        </w:rPr>
      </w:pPr>
    </w:p>
    <w:p w:rsidR="008F7A79" w:rsidRPr="004B579C" w:rsidRDefault="008F7A79" w:rsidP="00B8608E">
      <w:pPr>
        <w:widowControl/>
        <w:tabs>
          <w:tab w:val="left" w:pos="-720"/>
        </w:tabs>
        <w:rPr>
          <w:sz w:val="26"/>
          <w:szCs w:val="26"/>
        </w:rPr>
      </w:pPr>
    </w:p>
    <w:p w:rsidR="00CA43A5" w:rsidRPr="004B579C" w:rsidRDefault="00CA43A5" w:rsidP="00B8608E">
      <w:pPr>
        <w:widowControl/>
        <w:tabs>
          <w:tab w:val="left" w:pos="-720"/>
        </w:tabs>
        <w:rPr>
          <w:sz w:val="26"/>
          <w:szCs w:val="26"/>
        </w:rPr>
      </w:pPr>
    </w:p>
    <w:p w:rsidR="00CA43A5" w:rsidRPr="004B579C" w:rsidRDefault="00564565" w:rsidP="00B8608E">
      <w:pPr>
        <w:widowControl/>
        <w:tabs>
          <w:tab w:val="left" w:pos="-720"/>
        </w:tabs>
        <w:ind w:firstLine="5040"/>
        <w:rPr>
          <w:b/>
          <w:sz w:val="26"/>
          <w:szCs w:val="26"/>
        </w:rPr>
      </w:pPr>
      <w:r w:rsidRPr="004B579C">
        <w:rPr>
          <w:sz w:val="26"/>
          <w:szCs w:val="26"/>
        </w:rPr>
        <w:t>Rosemary Chiavetta</w:t>
      </w:r>
    </w:p>
    <w:p w:rsidR="00CA43A5" w:rsidRPr="004B579C" w:rsidRDefault="00CA43A5" w:rsidP="00B8608E">
      <w:pPr>
        <w:widowControl/>
        <w:tabs>
          <w:tab w:val="left" w:pos="-720"/>
        </w:tabs>
        <w:ind w:firstLine="5040"/>
        <w:rPr>
          <w:sz w:val="26"/>
          <w:szCs w:val="26"/>
        </w:rPr>
      </w:pPr>
      <w:r w:rsidRPr="004B579C">
        <w:rPr>
          <w:sz w:val="26"/>
          <w:szCs w:val="26"/>
        </w:rPr>
        <w:t>Secretary</w:t>
      </w:r>
    </w:p>
    <w:p w:rsidR="00CA43A5" w:rsidRPr="004B579C" w:rsidRDefault="00CA43A5" w:rsidP="00B8608E">
      <w:pPr>
        <w:widowControl/>
        <w:tabs>
          <w:tab w:val="left" w:pos="-720"/>
        </w:tabs>
        <w:rPr>
          <w:sz w:val="26"/>
          <w:szCs w:val="26"/>
        </w:rPr>
      </w:pPr>
    </w:p>
    <w:p w:rsidR="008F7A79" w:rsidRPr="004B579C" w:rsidRDefault="008F7A79" w:rsidP="00B8608E">
      <w:pPr>
        <w:widowControl/>
        <w:tabs>
          <w:tab w:val="left" w:pos="-720"/>
        </w:tabs>
        <w:rPr>
          <w:sz w:val="26"/>
          <w:szCs w:val="26"/>
        </w:rPr>
      </w:pPr>
    </w:p>
    <w:p w:rsidR="00CA43A5" w:rsidRPr="004B579C" w:rsidRDefault="00CA43A5" w:rsidP="00B8608E">
      <w:pPr>
        <w:widowControl/>
        <w:tabs>
          <w:tab w:val="left" w:pos="-720"/>
        </w:tabs>
        <w:rPr>
          <w:sz w:val="26"/>
          <w:szCs w:val="26"/>
        </w:rPr>
      </w:pPr>
      <w:r w:rsidRPr="004B579C">
        <w:rPr>
          <w:sz w:val="26"/>
          <w:szCs w:val="26"/>
        </w:rPr>
        <w:t>(SEAL)</w:t>
      </w:r>
    </w:p>
    <w:p w:rsidR="00CA43A5" w:rsidRPr="004B579C" w:rsidRDefault="00CA43A5" w:rsidP="00B8608E">
      <w:pPr>
        <w:widowControl/>
        <w:tabs>
          <w:tab w:val="left" w:pos="-720"/>
        </w:tabs>
        <w:rPr>
          <w:sz w:val="26"/>
          <w:szCs w:val="26"/>
        </w:rPr>
      </w:pPr>
    </w:p>
    <w:p w:rsidR="008F7A79" w:rsidRPr="004B579C" w:rsidRDefault="008F7A79" w:rsidP="00B8608E">
      <w:pPr>
        <w:widowControl/>
        <w:tabs>
          <w:tab w:val="left" w:pos="-720"/>
        </w:tabs>
        <w:rPr>
          <w:sz w:val="26"/>
          <w:szCs w:val="26"/>
        </w:rPr>
      </w:pPr>
    </w:p>
    <w:p w:rsidR="00CA43A5" w:rsidRPr="004B579C" w:rsidRDefault="00CA43A5" w:rsidP="00B8608E">
      <w:pPr>
        <w:widowControl/>
        <w:tabs>
          <w:tab w:val="left" w:pos="-720"/>
        </w:tabs>
        <w:rPr>
          <w:sz w:val="26"/>
          <w:szCs w:val="26"/>
        </w:rPr>
      </w:pPr>
      <w:r w:rsidRPr="004B579C">
        <w:rPr>
          <w:sz w:val="26"/>
          <w:szCs w:val="26"/>
        </w:rPr>
        <w:t xml:space="preserve">ORDER ADOPTED: </w:t>
      </w:r>
      <w:r w:rsidR="00667AF8">
        <w:rPr>
          <w:sz w:val="26"/>
          <w:szCs w:val="26"/>
        </w:rPr>
        <w:t xml:space="preserve">January </w:t>
      </w:r>
      <w:r w:rsidR="005E6C7B">
        <w:rPr>
          <w:sz w:val="26"/>
          <w:szCs w:val="26"/>
        </w:rPr>
        <w:t>29</w:t>
      </w:r>
      <w:r w:rsidR="00667AF8">
        <w:rPr>
          <w:sz w:val="26"/>
          <w:szCs w:val="26"/>
        </w:rPr>
        <w:t>, 2015</w:t>
      </w:r>
    </w:p>
    <w:p w:rsidR="00857172" w:rsidRPr="004B579C" w:rsidRDefault="00857172" w:rsidP="00B8608E">
      <w:pPr>
        <w:widowControl/>
        <w:tabs>
          <w:tab w:val="left" w:pos="-720"/>
        </w:tabs>
        <w:rPr>
          <w:sz w:val="26"/>
          <w:szCs w:val="26"/>
        </w:rPr>
      </w:pPr>
    </w:p>
    <w:p w:rsidR="00344804" w:rsidRPr="004B579C" w:rsidRDefault="00CA43A5" w:rsidP="00B8608E">
      <w:pPr>
        <w:widowControl/>
        <w:tabs>
          <w:tab w:val="left" w:pos="-720"/>
        </w:tabs>
        <w:rPr>
          <w:sz w:val="26"/>
          <w:szCs w:val="26"/>
        </w:rPr>
      </w:pPr>
      <w:r w:rsidRPr="004B579C">
        <w:rPr>
          <w:sz w:val="26"/>
          <w:szCs w:val="26"/>
        </w:rPr>
        <w:t xml:space="preserve">ORDER ENTERED:  </w:t>
      </w:r>
      <w:r w:rsidR="006A6178">
        <w:rPr>
          <w:sz w:val="26"/>
          <w:szCs w:val="26"/>
        </w:rPr>
        <w:t>February 18, 2015</w:t>
      </w:r>
    </w:p>
    <w:sectPr w:rsidR="00344804" w:rsidRPr="004B579C"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9D" w:rsidRDefault="00BE039D" w:rsidP="00F7174B">
      <w:r>
        <w:separator/>
      </w:r>
    </w:p>
  </w:endnote>
  <w:endnote w:type="continuationSeparator" w:id="0">
    <w:p w:rsidR="00BE039D" w:rsidRDefault="00BE039D" w:rsidP="00F7174B">
      <w:r>
        <w:continuationSeparator/>
      </w:r>
    </w:p>
  </w:endnote>
  <w:endnote w:type="continuationNotice" w:id="1">
    <w:p w:rsidR="00BE039D" w:rsidRDefault="00BE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86625" w:rsidRPr="009F1A08" w:rsidRDefault="00D86625">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6A6178">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9D" w:rsidRDefault="00BE039D" w:rsidP="00F7174B">
      <w:r>
        <w:separator/>
      </w:r>
    </w:p>
  </w:footnote>
  <w:footnote w:type="continuationSeparator" w:id="0">
    <w:p w:rsidR="00BE039D" w:rsidRDefault="00BE039D" w:rsidP="00F7174B">
      <w:r>
        <w:continuationSeparator/>
      </w:r>
    </w:p>
  </w:footnote>
  <w:footnote w:type="continuationNotice" w:id="1">
    <w:p w:rsidR="00BE039D" w:rsidRDefault="00BE039D"/>
  </w:footnote>
  <w:footnote w:id="2">
    <w:p w:rsidR="00D86625" w:rsidRPr="00C70108" w:rsidRDefault="00D86625" w:rsidP="00C70108">
      <w:pPr>
        <w:pStyle w:val="FootnoteText"/>
        <w:ind w:firstLine="720"/>
        <w:rPr>
          <w:sz w:val="26"/>
          <w:szCs w:val="26"/>
        </w:rPr>
      </w:pPr>
      <w:r w:rsidRPr="00C70108">
        <w:rPr>
          <w:rStyle w:val="FootnoteReference"/>
          <w:sz w:val="26"/>
          <w:szCs w:val="26"/>
        </w:rPr>
        <w:footnoteRef/>
      </w:r>
      <w:r w:rsidRPr="00C70108">
        <w:rPr>
          <w:sz w:val="26"/>
          <w:szCs w:val="26"/>
        </w:rPr>
        <w:t xml:space="preserve"> </w:t>
      </w:r>
      <w:r>
        <w:rPr>
          <w:sz w:val="26"/>
          <w:szCs w:val="26"/>
        </w:rPr>
        <w:tab/>
        <w:t xml:space="preserve">The late-filed exhibits are testing results from the meter removed from the Complainant’s Service Address, a document describing the adjustments in PGW’s make-up bill to the Complainant, and a copy of PGW’s zero usage procedure.  </w:t>
      </w:r>
    </w:p>
  </w:footnote>
  <w:footnote w:id="3">
    <w:p w:rsidR="00D86625" w:rsidRPr="008B0466" w:rsidRDefault="00D86625">
      <w:pPr>
        <w:pStyle w:val="FootnoteText"/>
        <w:rPr>
          <w:sz w:val="26"/>
          <w:szCs w:val="26"/>
        </w:rPr>
      </w:pPr>
      <w:r w:rsidRPr="008B0466">
        <w:rPr>
          <w:sz w:val="26"/>
          <w:szCs w:val="26"/>
        </w:rPr>
        <w:tab/>
      </w:r>
      <w:r w:rsidRPr="008B0466">
        <w:rPr>
          <w:rStyle w:val="FootnoteReference"/>
          <w:sz w:val="26"/>
          <w:szCs w:val="26"/>
        </w:rPr>
        <w:footnoteRef/>
      </w:r>
      <w:r w:rsidRPr="009506C2">
        <w:rPr>
          <w:sz w:val="26"/>
          <w:szCs w:val="26"/>
        </w:rPr>
        <w:t xml:space="preserve"> </w:t>
      </w:r>
      <w:r w:rsidRPr="009506C2">
        <w:rPr>
          <w:sz w:val="26"/>
          <w:szCs w:val="26"/>
        </w:rPr>
        <w:tab/>
      </w:r>
      <w:r>
        <w:rPr>
          <w:sz w:val="26"/>
          <w:szCs w:val="26"/>
        </w:rPr>
        <w:t>T</w:t>
      </w:r>
      <w:r w:rsidRPr="008B0466">
        <w:rPr>
          <w:sz w:val="26"/>
          <w:szCs w:val="26"/>
        </w:rPr>
        <w:t>he ALJ ruled on these objections in her Initial Decision.</w:t>
      </w:r>
    </w:p>
  </w:footnote>
  <w:footnote w:id="4">
    <w:p w:rsidR="00D86625" w:rsidRPr="00FD2079" w:rsidRDefault="00D86625" w:rsidP="00FD2079">
      <w:pPr>
        <w:pStyle w:val="FootnoteText"/>
        <w:ind w:firstLine="720"/>
        <w:rPr>
          <w:sz w:val="26"/>
          <w:szCs w:val="26"/>
        </w:rPr>
      </w:pPr>
      <w:r w:rsidRPr="00FD2079">
        <w:rPr>
          <w:rStyle w:val="FootnoteReference"/>
          <w:sz w:val="26"/>
          <w:szCs w:val="26"/>
        </w:rPr>
        <w:footnoteRef/>
      </w:r>
      <w:r w:rsidRPr="00FD2079">
        <w:rPr>
          <w:sz w:val="26"/>
          <w:szCs w:val="26"/>
        </w:rPr>
        <w:t xml:space="preserve"> </w:t>
      </w:r>
      <w:r>
        <w:rPr>
          <w:sz w:val="26"/>
          <w:szCs w:val="26"/>
        </w:rPr>
        <w:tab/>
        <w:t xml:space="preserve">PGW’s Customer Account Comments indicate a zero reading on the Complainant’s AMR device on November 10, 2010, and a need for PGW to access the Service Address to check the meter.  PGW Exh. 1 at 8.  </w:t>
      </w:r>
    </w:p>
  </w:footnote>
  <w:footnote w:id="5">
    <w:p w:rsidR="00D86625" w:rsidRPr="0031471F" w:rsidRDefault="00D86625" w:rsidP="0031471F">
      <w:pPr>
        <w:pStyle w:val="FootnoteText"/>
        <w:ind w:firstLine="720"/>
        <w:rPr>
          <w:sz w:val="26"/>
          <w:szCs w:val="26"/>
        </w:rPr>
      </w:pPr>
      <w:r w:rsidRPr="0031471F">
        <w:rPr>
          <w:rStyle w:val="FootnoteReference"/>
          <w:sz w:val="26"/>
          <w:szCs w:val="26"/>
        </w:rPr>
        <w:footnoteRef/>
      </w:r>
      <w:r w:rsidRPr="0031471F">
        <w:rPr>
          <w:sz w:val="26"/>
          <w:szCs w:val="26"/>
        </w:rPr>
        <w:t xml:space="preserve"> </w:t>
      </w:r>
      <w:r>
        <w:rPr>
          <w:sz w:val="26"/>
          <w:szCs w:val="26"/>
        </w:rPr>
        <w:tab/>
        <w:t>Initially, the ALJ considered the Complainant’s objections to the admission of PGW’s late-filed exhibits.  The ALJ determined that the meter test results do not directly contradict the testimony of PGW’s witness and overruled the objections.  I.D. at 7.</w:t>
      </w:r>
    </w:p>
  </w:footnote>
  <w:footnote w:id="6">
    <w:p w:rsidR="00D86625" w:rsidRDefault="00D86625" w:rsidP="00B330D4">
      <w:pPr>
        <w:pStyle w:val="FootnoteText"/>
        <w:ind w:firstLine="720"/>
        <w:rPr>
          <w:sz w:val="26"/>
          <w:szCs w:val="26"/>
        </w:rPr>
      </w:pPr>
      <w:r w:rsidRPr="00B330D4">
        <w:rPr>
          <w:rStyle w:val="FootnoteReference"/>
          <w:sz w:val="26"/>
          <w:szCs w:val="26"/>
        </w:rPr>
        <w:footnoteRef/>
      </w:r>
      <w:r w:rsidRPr="00B330D4">
        <w:rPr>
          <w:sz w:val="26"/>
          <w:szCs w:val="26"/>
        </w:rPr>
        <w:t xml:space="preserve"> </w:t>
      </w:r>
      <w:r>
        <w:rPr>
          <w:sz w:val="26"/>
          <w:szCs w:val="26"/>
        </w:rPr>
        <w:tab/>
        <w:t>The ALJ calculated the credit as follows:</w:t>
      </w:r>
    </w:p>
    <w:p w:rsidR="00D86625" w:rsidRDefault="00D86625" w:rsidP="00B330D4">
      <w:pPr>
        <w:pStyle w:val="FootnoteText"/>
        <w:ind w:firstLine="720"/>
        <w:rPr>
          <w:sz w:val="26"/>
          <w:szCs w:val="26"/>
        </w:rPr>
      </w:pPr>
      <w:r>
        <w:rPr>
          <w:sz w:val="26"/>
          <w:szCs w:val="26"/>
        </w:rPr>
        <w:tab/>
      </w:r>
      <w:r>
        <w:rPr>
          <w:sz w:val="26"/>
          <w:szCs w:val="26"/>
        </w:rPr>
        <w:tab/>
        <w:t>Make-up bill of $6,535.45 x 20% = $1,307.09 conservation credit;</w:t>
      </w:r>
    </w:p>
    <w:p w:rsidR="00D86625" w:rsidRPr="00B330D4" w:rsidRDefault="00D86625" w:rsidP="00B330D4">
      <w:pPr>
        <w:pStyle w:val="FootnoteText"/>
        <w:ind w:firstLine="720"/>
        <w:rPr>
          <w:sz w:val="26"/>
          <w:szCs w:val="26"/>
        </w:rPr>
      </w:pPr>
      <w:r>
        <w:rPr>
          <w:sz w:val="26"/>
          <w:szCs w:val="26"/>
        </w:rPr>
        <w:tab/>
      </w:r>
      <w:r>
        <w:rPr>
          <w:sz w:val="26"/>
          <w:szCs w:val="26"/>
        </w:rPr>
        <w:tab/>
        <w:t>Make-up bill of $6,535.45 - $1,307.09 = $5,228.36.</w:t>
      </w:r>
    </w:p>
  </w:footnote>
  <w:footnote w:id="7">
    <w:p w:rsidR="00D86625" w:rsidRDefault="00D86625" w:rsidP="009B6BC6">
      <w:pPr>
        <w:pStyle w:val="FootnoteText"/>
      </w:pPr>
      <w:r>
        <w:tab/>
      </w:r>
      <w:r>
        <w:rPr>
          <w:rStyle w:val="FootnoteReference"/>
        </w:rPr>
        <w:footnoteRef/>
      </w:r>
      <w:r>
        <w:t xml:space="preserve"> </w:t>
      </w:r>
      <w:r>
        <w:tab/>
      </w:r>
      <w:r w:rsidRPr="00D81975">
        <w:rPr>
          <w:sz w:val="26"/>
          <w:szCs w:val="26"/>
        </w:rPr>
        <w:t>$</w:t>
      </w:r>
      <w:r>
        <w:rPr>
          <w:sz w:val="26"/>
          <w:szCs w:val="26"/>
        </w:rPr>
        <w:t xml:space="preserve">5,228.36/40 </w:t>
      </w:r>
      <w:r w:rsidRPr="00D81975">
        <w:rPr>
          <w:sz w:val="26"/>
          <w:szCs w:val="26"/>
        </w:rPr>
        <w:t>=</w:t>
      </w:r>
      <w:r>
        <w:rPr>
          <w:sz w:val="26"/>
          <w:szCs w:val="26"/>
        </w:rPr>
        <w:t xml:space="preserve"> </w:t>
      </w:r>
      <w:r w:rsidRPr="00D81975">
        <w:rPr>
          <w:sz w:val="26"/>
          <w:szCs w:val="26"/>
        </w:rPr>
        <w:t>$</w:t>
      </w:r>
      <w:r>
        <w:rPr>
          <w:sz w:val="26"/>
          <w:szCs w:val="26"/>
        </w:rPr>
        <w:t>130.71.</w:t>
      </w:r>
    </w:p>
  </w:footnote>
  <w:footnote w:id="8">
    <w:p w:rsidR="00D86625" w:rsidRPr="00721080" w:rsidRDefault="00D86625" w:rsidP="00721080">
      <w:pPr>
        <w:pStyle w:val="FootnoteText"/>
        <w:ind w:firstLine="720"/>
        <w:rPr>
          <w:sz w:val="26"/>
          <w:szCs w:val="26"/>
        </w:rPr>
      </w:pPr>
      <w:r w:rsidRPr="00721080">
        <w:rPr>
          <w:rStyle w:val="FootnoteReference"/>
          <w:sz w:val="26"/>
          <w:szCs w:val="26"/>
        </w:rPr>
        <w:footnoteRef/>
      </w:r>
      <w:r w:rsidRPr="00721080">
        <w:rPr>
          <w:sz w:val="26"/>
          <w:szCs w:val="26"/>
        </w:rPr>
        <w:t xml:space="preserve"> </w:t>
      </w:r>
      <w:r>
        <w:rPr>
          <w:sz w:val="26"/>
          <w:szCs w:val="26"/>
        </w:rPr>
        <w:tab/>
        <w:t>For a discussion of the application of the civil penalty factors and standards, see pages 14-18 of the Initial Decision.</w:t>
      </w:r>
    </w:p>
  </w:footnote>
  <w:footnote w:id="9">
    <w:p w:rsidR="00D86625" w:rsidRPr="00A53DC5" w:rsidRDefault="00D86625" w:rsidP="00A53DC5">
      <w:pPr>
        <w:pStyle w:val="FootnoteText"/>
        <w:ind w:firstLine="720"/>
        <w:rPr>
          <w:sz w:val="26"/>
          <w:szCs w:val="26"/>
        </w:rPr>
      </w:pPr>
      <w:r w:rsidRPr="00A53DC5">
        <w:rPr>
          <w:rStyle w:val="FootnoteReference"/>
          <w:sz w:val="26"/>
          <w:szCs w:val="26"/>
        </w:rPr>
        <w:footnoteRef/>
      </w:r>
      <w:r w:rsidRPr="00A53DC5">
        <w:rPr>
          <w:sz w:val="26"/>
          <w:szCs w:val="26"/>
        </w:rPr>
        <w:t xml:space="preserve"> </w:t>
      </w:r>
      <w:r>
        <w:rPr>
          <w:sz w:val="26"/>
          <w:szCs w:val="26"/>
        </w:rPr>
        <w:tab/>
        <w:t xml:space="preserve">PGW did not file Exceptions to the assessment of a civil penalty of $1,000.  Upon review, we agree with the ALJ that the imposition of the civil penalty is appropriate under the circumstances of this case.    </w:t>
      </w:r>
    </w:p>
  </w:footnote>
  <w:footnote w:id="10">
    <w:p w:rsidR="00D86625" w:rsidRPr="00B3006E" w:rsidRDefault="00D86625" w:rsidP="00B3006E">
      <w:pPr>
        <w:pStyle w:val="FootnoteText"/>
        <w:ind w:firstLine="720"/>
        <w:rPr>
          <w:sz w:val="26"/>
          <w:szCs w:val="26"/>
        </w:rPr>
      </w:pPr>
      <w:r w:rsidRPr="00B3006E">
        <w:rPr>
          <w:rStyle w:val="FootnoteReference"/>
          <w:sz w:val="26"/>
          <w:szCs w:val="26"/>
        </w:rPr>
        <w:footnoteRef/>
      </w:r>
      <w:r w:rsidRPr="00B3006E">
        <w:rPr>
          <w:sz w:val="26"/>
          <w:szCs w:val="26"/>
        </w:rPr>
        <w:t xml:space="preserve"> </w:t>
      </w:r>
      <w:r>
        <w:rPr>
          <w:sz w:val="26"/>
          <w:szCs w:val="26"/>
        </w:rPr>
        <w:tab/>
      </w:r>
      <w:proofErr w:type="gramStart"/>
      <w:r>
        <w:rPr>
          <w:i/>
          <w:sz w:val="26"/>
          <w:szCs w:val="26"/>
        </w:rPr>
        <w:t>See, e.g., Szczepanski-Galindez v. PGW</w:t>
      </w:r>
      <w:r>
        <w:rPr>
          <w:sz w:val="26"/>
          <w:szCs w:val="26"/>
        </w:rPr>
        <w:t>, Docket No.</w:t>
      </w:r>
      <w:proofErr w:type="gramEnd"/>
      <w:r>
        <w:rPr>
          <w:sz w:val="26"/>
          <w:szCs w:val="26"/>
        </w:rPr>
        <w:t xml:space="preserve"> F-2011-2279555 (Order entered February 6, 2014) (the customer was under billed for approximately two and one-half years due to a faulty AMR device).</w:t>
      </w:r>
    </w:p>
  </w:footnote>
  <w:footnote w:id="11">
    <w:p w:rsidR="00D86625" w:rsidRDefault="00D86625" w:rsidP="00502D71">
      <w:pPr>
        <w:pStyle w:val="FootnoteText"/>
        <w:ind w:firstLine="720"/>
        <w:rPr>
          <w:sz w:val="26"/>
          <w:szCs w:val="26"/>
        </w:rPr>
      </w:pPr>
      <w:r w:rsidRPr="00502D71">
        <w:rPr>
          <w:rStyle w:val="FootnoteReference"/>
          <w:sz w:val="26"/>
          <w:szCs w:val="26"/>
        </w:rPr>
        <w:footnoteRef/>
      </w:r>
      <w:r w:rsidRPr="00502D71">
        <w:rPr>
          <w:sz w:val="26"/>
          <w:szCs w:val="26"/>
        </w:rPr>
        <w:t xml:space="preserve"> </w:t>
      </w:r>
      <w:r>
        <w:rPr>
          <w:sz w:val="26"/>
          <w:szCs w:val="26"/>
        </w:rPr>
        <w:tab/>
        <w:t xml:space="preserve">In contrast, the complainant in </w:t>
      </w:r>
      <w:r>
        <w:rPr>
          <w:i/>
          <w:sz w:val="26"/>
          <w:szCs w:val="26"/>
        </w:rPr>
        <w:t>Prendergast</w:t>
      </w:r>
      <w:r>
        <w:rPr>
          <w:sz w:val="26"/>
          <w:szCs w:val="26"/>
        </w:rPr>
        <w:t xml:space="preserve"> occupied the service address during the entire period of the meter malfunction which was over five years (from June 2006 to March 2012).  </w:t>
      </w:r>
      <w:r>
        <w:rPr>
          <w:i/>
          <w:sz w:val="26"/>
          <w:szCs w:val="26"/>
        </w:rPr>
        <w:t xml:space="preserve">Prendergast </w:t>
      </w:r>
      <w:r>
        <w:rPr>
          <w:sz w:val="26"/>
          <w:szCs w:val="26"/>
        </w:rPr>
        <w:t>at 6, 13-16.</w:t>
      </w:r>
    </w:p>
    <w:p w:rsidR="00D86625" w:rsidRPr="00965A0B" w:rsidRDefault="009B50B7" w:rsidP="00DB3347">
      <w:pPr>
        <w:pStyle w:val="FootnoteText"/>
        <w:ind w:firstLine="1440"/>
        <w:rPr>
          <w:sz w:val="26"/>
          <w:szCs w:val="26"/>
        </w:rPr>
      </w:pPr>
      <w:r>
        <w:rPr>
          <w:sz w:val="26"/>
          <w:szCs w:val="26"/>
        </w:rPr>
        <w:t>We also note that i</w:t>
      </w:r>
      <w:r w:rsidR="00D86625">
        <w:rPr>
          <w:sz w:val="26"/>
          <w:szCs w:val="26"/>
        </w:rPr>
        <w:t xml:space="preserve">n </w:t>
      </w:r>
      <w:r w:rsidR="00D86625">
        <w:rPr>
          <w:i/>
          <w:sz w:val="26"/>
          <w:szCs w:val="26"/>
        </w:rPr>
        <w:t>William Edney v. Philadelphia Gas Works</w:t>
      </w:r>
      <w:r w:rsidR="00D86625">
        <w:rPr>
          <w:sz w:val="26"/>
          <w:szCs w:val="26"/>
        </w:rPr>
        <w:t>, Docket No. F-2013-2393858 (Tentative Order entered December 18, 2014) (</w:t>
      </w:r>
      <w:r w:rsidR="00D86625">
        <w:rPr>
          <w:i/>
          <w:sz w:val="26"/>
          <w:szCs w:val="26"/>
        </w:rPr>
        <w:t>Edney</w:t>
      </w:r>
      <w:r w:rsidR="00D86625">
        <w:rPr>
          <w:sz w:val="26"/>
          <w:szCs w:val="26"/>
        </w:rPr>
        <w:t xml:space="preserve">), the complainant’s meter reported AMR readings lower than the actual readings for gas consumption for several years (from approximately 2007 to 2013).  Although the complainant in </w:t>
      </w:r>
      <w:r w:rsidR="00D86625">
        <w:rPr>
          <w:i/>
          <w:sz w:val="26"/>
          <w:szCs w:val="26"/>
        </w:rPr>
        <w:t xml:space="preserve">Edney </w:t>
      </w:r>
      <w:r w:rsidR="00D86625">
        <w:rPr>
          <w:sz w:val="26"/>
          <w:szCs w:val="26"/>
        </w:rPr>
        <w:t xml:space="preserve">had service transferred to his name in 2007, he did not begin residing at the service address until January 2014. </w:t>
      </w:r>
      <w:r>
        <w:rPr>
          <w:sz w:val="26"/>
          <w:szCs w:val="26"/>
        </w:rPr>
        <w:t xml:space="preserve"> </w:t>
      </w:r>
      <w:r w:rsidR="00D86625">
        <w:rPr>
          <w:sz w:val="26"/>
          <w:szCs w:val="26"/>
        </w:rPr>
        <w:t xml:space="preserve">However, an analysis of usage during a six-year period indicated that once the complainant began receiving accurate usage signals after the meter was exchanged in May 2013, he began to significantly conserve usage over a nine-month period (from July 2013 to March 2014).  Under these circumstances, we directed the issuance of a conservation credit pursuant to a Tentative Order entered on December 18, 2014, and provided PGW the opportunity to file objections within ten days.  PGW did not file objections to the Tentative Order, which became final on December 29, 2014.  </w:t>
      </w:r>
      <w:r w:rsidR="00D86625">
        <w:rPr>
          <w:i/>
          <w:sz w:val="26"/>
          <w:szCs w:val="26"/>
        </w:rPr>
        <w:t xml:space="preserve">Edney </w:t>
      </w:r>
      <w:r w:rsidR="00D86625">
        <w:rPr>
          <w:sz w:val="26"/>
          <w:szCs w:val="26"/>
        </w:rPr>
        <w:t xml:space="preserve">at 11-19.  Thereafter, PGW notified Commission Staff that it issued the conservation credit to the complainant in </w:t>
      </w:r>
      <w:proofErr w:type="spellStart"/>
      <w:r w:rsidR="00D86625">
        <w:rPr>
          <w:i/>
          <w:sz w:val="26"/>
          <w:szCs w:val="26"/>
        </w:rPr>
        <w:t>Edney</w:t>
      </w:r>
      <w:proofErr w:type="spellEnd"/>
      <w:r w:rsidR="00D86625">
        <w:rPr>
          <w:i/>
          <w:sz w:val="26"/>
          <w:szCs w:val="26"/>
        </w:rPr>
        <w:t xml:space="preserve"> </w:t>
      </w:r>
      <w:r w:rsidR="00D86625">
        <w:rPr>
          <w:sz w:val="26"/>
          <w:szCs w:val="26"/>
        </w:rPr>
        <w:t xml:space="preserve">on January 7, 2015. </w:t>
      </w:r>
    </w:p>
  </w:footnote>
  <w:footnote w:id="12">
    <w:p w:rsidR="00D86625" w:rsidRPr="0090032D" w:rsidRDefault="00D86625" w:rsidP="0090032D">
      <w:pPr>
        <w:pStyle w:val="FootnoteText"/>
        <w:ind w:firstLine="720"/>
        <w:rPr>
          <w:sz w:val="26"/>
          <w:szCs w:val="26"/>
        </w:rPr>
      </w:pPr>
      <w:r w:rsidRPr="0090032D">
        <w:rPr>
          <w:rStyle w:val="FootnoteReference"/>
          <w:sz w:val="26"/>
          <w:szCs w:val="26"/>
        </w:rPr>
        <w:footnoteRef/>
      </w:r>
      <w:r w:rsidRPr="0090032D">
        <w:rPr>
          <w:sz w:val="26"/>
          <w:szCs w:val="26"/>
        </w:rPr>
        <w:t xml:space="preserve"> </w:t>
      </w:r>
      <w:r>
        <w:rPr>
          <w:sz w:val="26"/>
          <w:szCs w:val="26"/>
        </w:rPr>
        <w:tab/>
        <w:t>$6,535.45/40 months = $163.39 per month.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DDB"/>
    <w:rsid w:val="00020EF6"/>
    <w:rsid w:val="0002111A"/>
    <w:rsid w:val="00021E46"/>
    <w:rsid w:val="00022B74"/>
    <w:rsid w:val="0002315D"/>
    <w:rsid w:val="000244E7"/>
    <w:rsid w:val="00024F85"/>
    <w:rsid w:val="0002501D"/>
    <w:rsid w:val="0002524C"/>
    <w:rsid w:val="00025F3F"/>
    <w:rsid w:val="00026CD2"/>
    <w:rsid w:val="00030F6D"/>
    <w:rsid w:val="00033512"/>
    <w:rsid w:val="000338FE"/>
    <w:rsid w:val="00033D2F"/>
    <w:rsid w:val="00034FAE"/>
    <w:rsid w:val="000359E1"/>
    <w:rsid w:val="00035A3B"/>
    <w:rsid w:val="00036A83"/>
    <w:rsid w:val="00037341"/>
    <w:rsid w:val="00037FC0"/>
    <w:rsid w:val="00040A8E"/>
    <w:rsid w:val="00040AEA"/>
    <w:rsid w:val="00041ADC"/>
    <w:rsid w:val="000441C7"/>
    <w:rsid w:val="00044CDF"/>
    <w:rsid w:val="00045800"/>
    <w:rsid w:val="00045AE7"/>
    <w:rsid w:val="00047874"/>
    <w:rsid w:val="00047F4A"/>
    <w:rsid w:val="0005113F"/>
    <w:rsid w:val="000523D1"/>
    <w:rsid w:val="00052B8F"/>
    <w:rsid w:val="0005346D"/>
    <w:rsid w:val="000536BC"/>
    <w:rsid w:val="00054612"/>
    <w:rsid w:val="0005572E"/>
    <w:rsid w:val="00056286"/>
    <w:rsid w:val="00060ADE"/>
    <w:rsid w:val="000612FD"/>
    <w:rsid w:val="00061CE9"/>
    <w:rsid w:val="00061DF4"/>
    <w:rsid w:val="000623C6"/>
    <w:rsid w:val="0006356A"/>
    <w:rsid w:val="000642AA"/>
    <w:rsid w:val="000649EC"/>
    <w:rsid w:val="00065D0D"/>
    <w:rsid w:val="00066EE5"/>
    <w:rsid w:val="00067260"/>
    <w:rsid w:val="000715E8"/>
    <w:rsid w:val="0007209F"/>
    <w:rsid w:val="00072808"/>
    <w:rsid w:val="0007301A"/>
    <w:rsid w:val="0007521D"/>
    <w:rsid w:val="000753F6"/>
    <w:rsid w:val="00076F35"/>
    <w:rsid w:val="00081416"/>
    <w:rsid w:val="0008152C"/>
    <w:rsid w:val="00083125"/>
    <w:rsid w:val="00084573"/>
    <w:rsid w:val="0008490E"/>
    <w:rsid w:val="00084AF9"/>
    <w:rsid w:val="00086025"/>
    <w:rsid w:val="00086EC2"/>
    <w:rsid w:val="00087033"/>
    <w:rsid w:val="00087299"/>
    <w:rsid w:val="000878C9"/>
    <w:rsid w:val="000918D4"/>
    <w:rsid w:val="00093164"/>
    <w:rsid w:val="00094851"/>
    <w:rsid w:val="0009612D"/>
    <w:rsid w:val="00096DDC"/>
    <w:rsid w:val="00097504"/>
    <w:rsid w:val="000A013F"/>
    <w:rsid w:val="000A06E0"/>
    <w:rsid w:val="000A1358"/>
    <w:rsid w:val="000A35C0"/>
    <w:rsid w:val="000A365D"/>
    <w:rsid w:val="000A443E"/>
    <w:rsid w:val="000A4C38"/>
    <w:rsid w:val="000A6017"/>
    <w:rsid w:val="000A76C2"/>
    <w:rsid w:val="000B216D"/>
    <w:rsid w:val="000B2755"/>
    <w:rsid w:val="000B363C"/>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C7BA0"/>
    <w:rsid w:val="000D008C"/>
    <w:rsid w:val="000D02FE"/>
    <w:rsid w:val="000D0A77"/>
    <w:rsid w:val="000D29C8"/>
    <w:rsid w:val="000D3CAA"/>
    <w:rsid w:val="000D3E1C"/>
    <w:rsid w:val="000D6E1E"/>
    <w:rsid w:val="000D79D4"/>
    <w:rsid w:val="000E0295"/>
    <w:rsid w:val="000E6DC6"/>
    <w:rsid w:val="000F179E"/>
    <w:rsid w:val="000F1DC2"/>
    <w:rsid w:val="000F27FE"/>
    <w:rsid w:val="000F2DE3"/>
    <w:rsid w:val="000F3794"/>
    <w:rsid w:val="000F4307"/>
    <w:rsid w:val="000F5744"/>
    <w:rsid w:val="001006A8"/>
    <w:rsid w:val="00100A7C"/>
    <w:rsid w:val="00100F06"/>
    <w:rsid w:val="0010131A"/>
    <w:rsid w:val="00101387"/>
    <w:rsid w:val="0010147F"/>
    <w:rsid w:val="0010158F"/>
    <w:rsid w:val="001017F6"/>
    <w:rsid w:val="00101F51"/>
    <w:rsid w:val="00101F7F"/>
    <w:rsid w:val="0010235A"/>
    <w:rsid w:val="001026CA"/>
    <w:rsid w:val="0010346C"/>
    <w:rsid w:val="001035AF"/>
    <w:rsid w:val="00103797"/>
    <w:rsid w:val="0010425F"/>
    <w:rsid w:val="00104D61"/>
    <w:rsid w:val="00104D9B"/>
    <w:rsid w:val="00105C8E"/>
    <w:rsid w:val="001062CD"/>
    <w:rsid w:val="00106312"/>
    <w:rsid w:val="001071EF"/>
    <w:rsid w:val="00107388"/>
    <w:rsid w:val="001106DA"/>
    <w:rsid w:val="001119EA"/>
    <w:rsid w:val="001129F3"/>
    <w:rsid w:val="00112E9E"/>
    <w:rsid w:val="00112FDA"/>
    <w:rsid w:val="001138D3"/>
    <w:rsid w:val="00114656"/>
    <w:rsid w:val="0011757D"/>
    <w:rsid w:val="00117A05"/>
    <w:rsid w:val="00117CB2"/>
    <w:rsid w:val="00120AB2"/>
    <w:rsid w:val="00120B39"/>
    <w:rsid w:val="00120B8F"/>
    <w:rsid w:val="00120CC2"/>
    <w:rsid w:val="00120D10"/>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374E1"/>
    <w:rsid w:val="001400A9"/>
    <w:rsid w:val="0014096A"/>
    <w:rsid w:val="001414CD"/>
    <w:rsid w:val="00142A69"/>
    <w:rsid w:val="00142CF7"/>
    <w:rsid w:val="00142E02"/>
    <w:rsid w:val="001447A0"/>
    <w:rsid w:val="0014497F"/>
    <w:rsid w:val="00144F43"/>
    <w:rsid w:val="00145197"/>
    <w:rsid w:val="00145734"/>
    <w:rsid w:val="0014580A"/>
    <w:rsid w:val="00146DDD"/>
    <w:rsid w:val="00146E58"/>
    <w:rsid w:val="00147145"/>
    <w:rsid w:val="001476D4"/>
    <w:rsid w:val="00150096"/>
    <w:rsid w:val="0015089E"/>
    <w:rsid w:val="001508E4"/>
    <w:rsid w:val="001515A8"/>
    <w:rsid w:val="001526C2"/>
    <w:rsid w:val="00152DFB"/>
    <w:rsid w:val="0015380A"/>
    <w:rsid w:val="00153A46"/>
    <w:rsid w:val="001542D1"/>
    <w:rsid w:val="00154CB6"/>
    <w:rsid w:val="00155118"/>
    <w:rsid w:val="00156329"/>
    <w:rsid w:val="00156F04"/>
    <w:rsid w:val="001574D5"/>
    <w:rsid w:val="001607CC"/>
    <w:rsid w:val="00163D79"/>
    <w:rsid w:val="001645C9"/>
    <w:rsid w:val="00164D32"/>
    <w:rsid w:val="00164DA4"/>
    <w:rsid w:val="00166298"/>
    <w:rsid w:val="001663C8"/>
    <w:rsid w:val="001708BC"/>
    <w:rsid w:val="0017211B"/>
    <w:rsid w:val="001728FC"/>
    <w:rsid w:val="00172A96"/>
    <w:rsid w:val="00172AB2"/>
    <w:rsid w:val="00174D3D"/>
    <w:rsid w:val="00174E3F"/>
    <w:rsid w:val="00176529"/>
    <w:rsid w:val="0017682B"/>
    <w:rsid w:val="00177F78"/>
    <w:rsid w:val="00180B6F"/>
    <w:rsid w:val="001810B0"/>
    <w:rsid w:val="00181222"/>
    <w:rsid w:val="00182478"/>
    <w:rsid w:val="00182607"/>
    <w:rsid w:val="0018274A"/>
    <w:rsid w:val="001831AC"/>
    <w:rsid w:val="0018480F"/>
    <w:rsid w:val="0018583E"/>
    <w:rsid w:val="00185B0D"/>
    <w:rsid w:val="00186A97"/>
    <w:rsid w:val="00187930"/>
    <w:rsid w:val="00190992"/>
    <w:rsid w:val="00191763"/>
    <w:rsid w:val="00194940"/>
    <w:rsid w:val="00194E02"/>
    <w:rsid w:val="0019530E"/>
    <w:rsid w:val="00195C58"/>
    <w:rsid w:val="00195D34"/>
    <w:rsid w:val="00195F2E"/>
    <w:rsid w:val="00196F6D"/>
    <w:rsid w:val="001A16F3"/>
    <w:rsid w:val="001A280F"/>
    <w:rsid w:val="001B0C7B"/>
    <w:rsid w:val="001B1151"/>
    <w:rsid w:val="001B1DB4"/>
    <w:rsid w:val="001B2603"/>
    <w:rsid w:val="001B4CC3"/>
    <w:rsid w:val="001B5865"/>
    <w:rsid w:val="001B59F0"/>
    <w:rsid w:val="001B7C19"/>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147"/>
    <w:rsid w:val="001E2949"/>
    <w:rsid w:val="001E46CC"/>
    <w:rsid w:val="001E60EE"/>
    <w:rsid w:val="001E6885"/>
    <w:rsid w:val="001E6C40"/>
    <w:rsid w:val="001F0509"/>
    <w:rsid w:val="001F285E"/>
    <w:rsid w:val="001F2D64"/>
    <w:rsid w:val="001F43D6"/>
    <w:rsid w:val="001F4BCA"/>
    <w:rsid w:val="001F4F29"/>
    <w:rsid w:val="001F67C2"/>
    <w:rsid w:val="00200AE5"/>
    <w:rsid w:val="00202524"/>
    <w:rsid w:val="00202A4F"/>
    <w:rsid w:val="00202B57"/>
    <w:rsid w:val="00203F94"/>
    <w:rsid w:val="0020580B"/>
    <w:rsid w:val="0020644D"/>
    <w:rsid w:val="00206592"/>
    <w:rsid w:val="00206B2F"/>
    <w:rsid w:val="00207A51"/>
    <w:rsid w:val="00210736"/>
    <w:rsid w:val="00210F81"/>
    <w:rsid w:val="00211622"/>
    <w:rsid w:val="002127D0"/>
    <w:rsid w:val="00212FB8"/>
    <w:rsid w:val="00213C5D"/>
    <w:rsid w:val="00214B3E"/>
    <w:rsid w:val="00214E5F"/>
    <w:rsid w:val="002158DE"/>
    <w:rsid w:val="00215C08"/>
    <w:rsid w:val="0021693E"/>
    <w:rsid w:val="0021698B"/>
    <w:rsid w:val="00216A86"/>
    <w:rsid w:val="002177F0"/>
    <w:rsid w:val="0022004A"/>
    <w:rsid w:val="00221533"/>
    <w:rsid w:val="00221BF0"/>
    <w:rsid w:val="00221F1A"/>
    <w:rsid w:val="002237D5"/>
    <w:rsid w:val="00223CD5"/>
    <w:rsid w:val="00225B75"/>
    <w:rsid w:val="0022698E"/>
    <w:rsid w:val="002276B4"/>
    <w:rsid w:val="00227912"/>
    <w:rsid w:val="002305D8"/>
    <w:rsid w:val="00230B15"/>
    <w:rsid w:val="002311C3"/>
    <w:rsid w:val="002311EE"/>
    <w:rsid w:val="002317D4"/>
    <w:rsid w:val="00233488"/>
    <w:rsid w:val="00235B78"/>
    <w:rsid w:val="002370F5"/>
    <w:rsid w:val="00237E48"/>
    <w:rsid w:val="0024007E"/>
    <w:rsid w:val="0024088A"/>
    <w:rsid w:val="00240ACA"/>
    <w:rsid w:val="00240D7B"/>
    <w:rsid w:val="00241299"/>
    <w:rsid w:val="00242B89"/>
    <w:rsid w:val="0024399A"/>
    <w:rsid w:val="00244094"/>
    <w:rsid w:val="0024409E"/>
    <w:rsid w:val="00244EBA"/>
    <w:rsid w:val="00246C59"/>
    <w:rsid w:val="00251918"/>
    <w:rsid w:val="00254995"/>
    <w:rsid w:val="00255462"/>
    <w:rsid w:val="0025566A"/>
    <w:rsid w:val="00256233"/>
    <w:rsid w:val="0025675F"/>
    <w:rsid w:val="00256BA9"/>
    <w:rsid w:val="00257D32"/>
    <w:rsid w:val="00260244"/>
    <w:rsid w:val="00260957"/>
    <w:rsid w:val="00260A3D"/>
    <w:rsid w:val="00262D9F"/>
    <w:rsid w:val="002643F9"/>
    <w:rsid w:val="00264646"/>
    <w:rsid w:val="00264A6F"/>
    <w:rsid w:val="00266D46"/>
    <w:rsid w:val="00267188"/>
    <w:rsid w:val="00267B63"/>
    <w:rsid w:val="002707A1"/>
    <w:rsid w:val="00270DFB"/>
    <w:rsid w:val="00271BBD"/>
    <w:rsid w:val="0027232D"/>
    <w:rsid w:val="00272BD5"/>
    <w:rsid w:val="00274D0F"/>
    <w:rsid w:val="00275037"/>
    <w:rsid w:val="00277500"/>
    <w:rsid w:val="00277BF4"/>
    <w:rsid w:val="002800B9"/>
    <w:rsid w:val="0028125E"/>
    <w:rsid w:val="002818FA"/>
    <w:rsid w:val="00281A5F"/>
    <w:rsid w:val="00283539"/>
    <w:rsid w:val="00283C01"/>
    <w:rsid w:val="00283F3D"/>
    <w:rsid w:val="00285073"/>
    <w:rsid w:val="002859FB"/>
    <w:rsid w:val="00285A8E"/>
    <w:rsid w:val="0028701F"/>
    <w:rsid w:val="00287681"/>
    <w:rsid w:val="00287EF7"/>
    <w:rsid w:val="00291F2F"/>
    <w:rsid w:val="00291F68"/>
    <w:rsid w:val="0029235E"/>
    <w:rsid w:val="00293B8B"/>
    <w:rsid w:val="00294BD5"/>
    <w:rsid w:val="0029672A"/>
    <w:rsid w:val="00296998"/>
    <w:rsid w:val="00297B94"/>
    <w:rsid w:val="002A060A"/>
    <w:rsid w:val="002A2BEB"/>
    <w:rsid w:val="002A3F0C"/>
    <w:rsid w:val="002A4450"/>
    <w:rsid w:val="002A60F1"/>
    <w:rsid w:val="002A6750"/>
    <w:rsid w:val="002B2296"/>
    <w:rsid w:val="002B28A9"/>
    <w:rsid w:val="002B3040"/>
    <w:rsid w:val="002B333B"/>
    <w:rsid w:val="002B4407"/>
    <w:rsid w:val="002B5384"/>
    <w:rsid w:val="002B67B7"/>
    <w:rsid w:val="002C0429"/>
    <w:rsid w:val="002C0955"/>
    <w:rsid w:val="002C16BE"/>
    <w:rsid w:val="002C19E4"/>
    <w:rsid w:val="002C1CCB"/>
    <w:rsid w:val="002C257A"/>
    <w:rsid w:val="002C3676"/>
    <w:rsid w:val="002C4049"/>
    <w:rsid w:val="002C4962"/>
    <w:rsid w:val="002C6CC4"/>
    <w:rsid w:val="002C6F76"/>
    <w:rsid w:val="002C7166"/>
    <w:rsid w:val="002C7582"/>
    <w:rsid w:val="002D13C4"/>
    <w:rsid w:val="002D1791"/>
    <w:rsid w:val="002D275E"/>
    <w:rsid w:val="002D2A1D"/>
    <w:rsid w:val="002D2B52"/>
    <w:rsid w:val="002D313F"/>
    <w:rsid w:val="002D5265"/>
    <w:rsid w:val="002D5320"/>
    <w:rsid w:val="002D6357"/>
    <w:rsid w:val="002D73BA"/>
    <w:rsid w:val="002D753B"/>
    <w:rsid w:val="002D7584"/>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662D"/>
    <w:rsid w:val="002F7249"/>
    <w:rsid w:val="002F750E"/>
    <w:rsid w:val="00300AD2"/>
    <w:rsid w:val="00300C2E"/>
    <w:rsid w:val="0030176D"/>
    <w:rsid w:val="003018AA"/>
    <w:rsid w:val="00303B99"/>
    <w:rsid w:val="00305C0A"/>
    <w:rsid w:val="0030714F"/>
    <w:rsid w:val="003073E2"/>
    <w:rsid w:val="00307742"/>
    <w:rsid w:val="00307DDF"/>
    <w:rsid w:val="003134B2"/>
    <w:rsid w:val="00313706"/>
    <w:rsid w:val="003146CD"/>
    <w:rsid w:val="0031471F"/>
    <w:rsid w:val="00314A43"/>
    <w:rsid w:val="00315102"/>
    <w:rsid w:val="00315A0E"/>
    <w:rsid w:val="003169F2"/>
    <w:rsid w:val="00320FE4"/>
    <w:rsid w:val="00322040"/>
    <w:rsid w:val="003230D1"/>
    <w:rsid w:val="00323FE3"/>
    <w:rsid w:val="003240B8"/>
    <w:rsid w:val="00325422"/>
    <w:rsid w:val="003258AF"/>
    <w:rsid w:val="003268C2"/>
    <w:rsid w:val="00326A76"/>
    <w:rsid w:val="00330B90"/>
    <w:rsid w:val="003315AD"/>
    <w:rsid w:val="00331EB6"/>
    <w:rsid w:val="00332F21"/>
    <w:rsid w:val="00333FDA"/>
    <w:rsid w:val="003340DE"/>
    <w:rsid w:val="00334887"/>
    <w:rsid w:val="003359B5"/>
    <w:rsid w:val="00336277"/>
    <w:rsid w:val="0033657E"/>
    <w:rsid w:val="00340115"/>
    <w:rsid w:val="00340D19"/>
    <w:rsid w:val="00342956"/>
    <w:rsid w:val="00343EC0"/>
    <w:rsid w:val="00344804"/>
    <w:rsid w:val="00345B1E"/>
    <w:rsid w:val="003468E7"/>
    <w:rsid w:val="00346C09"/>
    <w:rsid w:val="00346C47"/>
    <w:rsid w:val="00347A1F"/>
    <w:rsid w:val="003510FF"/>
    <w:rsid w:val="003518C8"/>
    <w:rsid w:val="00352BC7"/>
    <w:rsid w:val="00352D03"/>
    <w:rsid w:val="0035338B"/>
    <w:rsid w:val="003533B5"/>
    <w:rsid w:val="00353CE3"/>
    <w:rsid w:val="003542D3"/>
    <w:rsid w:val="00354459"/>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677BB"/>
    <w:rsid w:val="003701A8"/>
    <w:rsid w:val="003708B3"/>
    <w:rsid w:val="0037352F"/>
    <w:rsid w:val="00374099"/>
    <w:rsid w:val="003743C4"/>
    <w:rsid w:val="003755FB"/>
    <w:rsid w:val="0037577C"/>
    <w:rsid w:val="003768A2"/>
    <w:rsid w:val="00377862"/>
    <w:rsid w:val="00377A3A"/>
    <w:rsid w:val="0038188D"/>
    <w:rsid w:val="00382138"/>
    <w:rsid w:val="00382EFA"/>
    <w:rsid w:val="003841E8"/>
    <w:rsid w:val="0038447F"/>
    <w:rsid w:val="00384AEA"/>
    <w:rsid w:val="00385502"/>
    <w:rsid w:val="00385526"/>
    <w:rsid w:val="003857E9"/>
    <w:rsid w:val="003863E7"/>
    <w:rsid w:val="003866CA"/>
    <w:rsid w:val="003904F7"/>
    <w:rsid w:val="0039085E"/>
    <w:rsid w:val="0039176D"/>
    <w:rsid w:val="00391A43"/>
    <w:rsid w:val="00391CAA"/>
    <w:rsid w:val="003933D9"/>
    <w:rsid w:val="00396541"/>
    <w:rsid w:val="003A0965"/>
    <w:rsid w:val="003A0A0B"/>
    <w:rsid w:val="003A1663"/>
    <w:rsid w:val="003A1A55"/>
    <w:rsid w:val="003A1FEB"/>
    <w:rsid w:val="003A2E65"/>
    <w:rsid w:val="003A31BD"/>
    <w:rsid w:val="003A3C44"/>
    <w:rsid w:val="003A534F"/>
    <w:rsid w:val="003A5623"/>
    <w:rsid w:val="003A5ED0"/>
    <w:rsid w:val="003A7E3A"/>
    <w:rsid w:val="003B0611"/>
    <w:rsid w:val="003B0D66"/>
    <w:rsid w:val="003B0D72"/>
    <w:rsid w:val="003B206B"/>
    <w:rsid w:val="003B2CB6"/>
    <w:rsid w:val="003B3617"/>
    <w:rsid w:val="003B42D9"/>
    <w:rsid w:val="003B57B6"/>
    <w:rsid w:val="003B7849"/>
    <w:rsid w:val="003C06D8"/>
    <w:rsid w:val="003C29DA"/>
    <w:rsid w:val="003C3140"/>
    <w:rsid w:val="003C3E02"/>
    <w:rsid w:val="003C3FE8"/>
    <w:rsid w:val="003C73F9"/>
    <w:rsid w:val="003D15C8"/>
    <w:rsid w:val="003D2152"/>
    <w:rsid w:val="003D330B"/>
    <w:rsid w:val="003D3B24"/>
    <w:rsid w:val="003D3FE9"/>
    <w:rsid w:val="003D5663"/>
    <w:rsid w:val="003D5F07"/>
    <w:rsid w:val="003D69C7"/>
    <w:rsid w:val="003D6AB5"/>
    <w:rsid w:val="003E02E7"/>
    <w:rsid w:val="003E071C"/>
    <w:rsid w:val="003E3FF5"/>
    <w:rsid w:val="003E4B34"/>
    <w:rsid w:val="003E5354"/>
    <w:rsid w:val="003E5C36"/>
    <w:rsid w:val="003F1DFE"/>
    <w:rsid w:val="003F2DF5"/>
    <w:rsid w:val="003F2E5F"/>
    <w:rsid w:val="003F3E0A"/>
    <w:rsid w:val="003F51F4"/>
    <w:rsid w:val="003F52C6"/>
    <w:rsid w:val="003F558E"/>
    <w:rsid w:val="003F6692"/>
    <w:rsid w:val="003F683A"/>
    <w:rsid w:val="003F7285"/>
    <w:rsid w:val="003F7B70"/>
    <w:rsid w:val="00403D6E"/>
    <w:rsid w:val="00405083"/>
    <w:rsid w:val="004064EA"/>
    <w:rsid w:val="00407AC0"/>
    <w:rsid w:val="004103FF"/>
    <w:rsid w:val="00411814"/>
    <w:rsid w:val="00412E30"/>
    <w:rsid w:val="00413B67"/>
    <w:rsid w:val="00413BEB"/>
    <w:rsid w:val="00413FA9"/>
    <w:rsid w:val="00414907"/>
    <w:rsid w:val="00415341"/>
    <w:rsid w:val="00415B78"/>
    <w:rsid w:val="004166BD"/>
    <w:rsid w:val="004168D1"/>
    <w:rsid w:val="004169A6"/>
    <w:rsid w:val="00416B4E"/>
    <w:rsid w:val="004170AF"/>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5CB0"/>
    <w:rsid w:val="00436217"/>
    <w:rsid w:val="0044061D"/>
    <w:rsid w:val="004411B9"/>
    <w:rsid w:val="00441207"/>
    <w:rsid w:val="00441462"/>
    <w:rsid w:val="004416D0"/>
    <w:rsid w:val="004422CA"/>
    <w:rsid w:val="0044266E"/>
    <w:rsid w:val="00443044"/>
    <w:rsid w:val="00443807"/>
    <w:rsid w:val="004449AC"/>
    <w:rsid w:val="004462F7"/>
    <w:rsid w:val="0045218D"/>
    <w:rsid w:val="00454F06"/>
    <w:rsid w:val="0045650D"/>
    <w:rsid w:val="0046019D"/>
    <w:rsid w:val="00463604"/>
    <w:rsid w:val="00464536"/>
    <w:rsid w:val="0046514E"/>
    <w:rsid w:val="00465716"/>
    <w:rsid w:val="0046623C"/>
    <w:rsid w:val="00467739"/>
    <w:rsid w:val="00470D0C"/>
    <w:rsid w:val="00474595"/>
    <w:rsid w:val="00474E22"/>
    <w:rsid w:val="00475D86"/>
    <w:rsid w:val="0047608F"/>
    <w:rsid w:val="004762EF"/>
    <w:rsid w:val="00476554"/>
    <w:rsid w:val="004765F6"/>
    <w:rsid w:val="004770D4"/>
    <w:rsid w:val="0047739F"/>
    <w:rsid w:val="00477EAD"/>
    <w:rsid w:val="0048064F"/>
    <w:rsid w:val="004813D4"/>
    <w:rsid w:val="00482DB7"/>
    <w:rsid w:val="00483108"/>
    <w:rsid w:val="00484093"/>
    <w:rsid w:val="00485279"/>
    <w:rsid w:val="004912CE"/>
    <w:rsid w:val="00491D91"/>
    <w:rsid w:val="0049232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B0043"/>
    <w:rsid w:val="004B1052"/>
    <w:rsid w:val="004B306E"/>
    <w:rsid w:val="004B35AF"/>
    <w:rsid w:val="004B579C"/>
    <w:rsid w:val="004B604A"/>
    <w:rsid w:val="004B6A8C"/>
    <w:rsid w:val="004B6B14"/>
    <w:rsid w:val="004C07BB"/>
    <w:rsid w:val="004C3390"/>
    <w:rsid w:val="004C4E4F"/>
    <w:rsid w:val="004C68A0"/>
    <w:rsid w:val="004C748A"/>
    <w:rsid w:val="004D1201"/>
    <w:rsid w:val="004D1D7C"/>
    <w:rsid w:val="004D227B"/>
    <w:rsid w:val="004D2D46"/>
    <w:rsid w:val="004D4E45"/>
    <w:rsid w:val="004D5894"/>
    <w:rsid w:val="004D5D68"/>
    <w:rsid w:val="004D5EDC"/>
    <w:rsid w:val="004E47EC"/>
    <w:rsid w:val="004E514F"/>
    <w:rsid w:val="004E6E06"/>
    <w:rsid w:val="004E6F37"/>
    <w:rsid w:val="004E737F"/>
    <w:rsid w:val="004E7D5B"/>
    <w:rsid w:val="004F03DE"/>
    <w:rsid w:val="004F1674"/>
    <w:rsid w:val="004F22DA"/>
    <w:rsid w:val="004F2512"/>
    <w:rsid w:val="004F2B86"/>
    <w:rsid w:val="004F38DD"/>
    <w:rsid w:val="004F547D"/>
    <w:rsid w:val="00500E33"/>
    <w:rsid w:val="00502165"/>
    <w:rsid w:val="00502D71"/>
    <w:rsid w:val="00503BED"/>
    <w:rsid w:val="00504834"/>
    <w:rsid w:val="00504C7A"/>
    <w:rsid w:val="00505A45"/>
    <w:rsid w:val="00505AEE"/>
    <w:rsid w:val="00505FDF"/>
    <w:rsid w:val="0050632E"/>
    <w:rsid w:val="00506C4C"/>
    <w:rsid w:val="0050752D"/>
    <w:rsid w:val="0051132E"/>
    <w:rsid w:val="00511EF3"/>
    <w:rsid w:val="00512540"/>
    <w:rsid w:val="00512613"/>
    <w:rsid w:val="00513441"/>
    <w:rsid w:val="0051380C"/>
    <w:rsid w:val="00513C84"/>
    <w:rsid w:val="00513F50"/>
    <w:rsid w:val="00514507"/>
    <w:rsid w:val="005148C2"/>
    <w:rsid w:val="005153F5"/>
    <w:rsid w:val="0051670B"/>
    <w:rsid w:val="00521350"/>
    <w:rsid w:val="00521E9B"/>
    <w:rsid w:val="0052565B"/>
    <w:rsid w:val="00525849"/>
    <w:rsid w:val="005269E6"/>
    <w:rsid w:val="00530BFA"/>
    <w:rsid w:val="00530EE7"/>
    <w:rsid w:val="0053112A"/>
    <w:rsid w:val="00531CD9"/>
    <w:rsid w:val="00532271"/>
    <w:rsid w:val="00534F1E"/>
    <w:rsid w:val="00535197"/>
    <w:rsid w:val="005351B9"/>
    <w:rsid w:val="00536011"/>
    <w:rsid w:val="00537F9D"/>
    <w:rsid w:val="00543C89"/>
    <w:rsid w:val="0054427A"/>
    <w:rsid w:val="0054498C"/>
    <w:rsid w:val="00545DB1"/>
    <w:rsid w:val="00547606"/>
    <w:rsid w:val="005500C7"/>
    <w:rsid w:val="00550B79"/>
    <w:rsid w:val="0055150B"/>
    <w:rsid w:val="005519A7"/>
    <w:rsid w:val="0055315B"/>
    <w:rsid w:val="005532F9"/>
    <w:rsid w:val="0055440B"/>
    <w:rsid w:val="00554683"/>
    <w:rsid w:val="0055571E"/>
    <w:rsid w:val="0055708D"/>
    <w:rsid w:val="00557A3A"/>
    <w:rsid w:val="00560BD7"/>
    <w:rsid w:val="00561CA6"/>
    <w:rsid w:val="00562087"/>
    <w:rsid w:val="005624BD"/>
    <w:rsid w:val="00562E45"/>
    <w:rsid w:val="00562F0D"/>
    <w:rsid w:val="00563A02"/>
    <w:rsid w:val="00564565"/>
    <w:rsid w:val="00564751"/>
    <w:rsid w:val="005647BE"/>
    <w:rsid w:val="00564A12"/>
    <w:rsid w:val="00565FD3"/>
    <w:rsid w:val="00566299"/>
    <w:rsid w:val="00566B47"/>
    <w:rsid w:val="00571A60"/>
    <w:rsid w:val="00571B4B"/>
    <w:rsid w:val="005722F6"/>
    <w:rsid w:val="005725F6"/>
    <w:rsid w:val="005749CC"/>
    <w:rsid w:val="00574DB8"/>
    <w:rsid w:val="00575E15"/>
    <w:rsid w:val="00576197"/>
    <w:rsid w:val="00576262"/>
    <w:rsid w:val="005778C6"/>
    <w:rsid w:val="005802AF"/>
    <w:rsid w:val="005829DD"/>
    <w:rsid w:val="00583C85"/>
    <w:rsid w:val="00586769"/>
    <w:rsid w:val="00586817"/>
    <w:rsid w:val="00586D92"/>
    <w:rsid w:val="00586FB7"/>
    <w:rsid w:val="00587507"/>
    <w:rsid w:val="00587939"/>
    <w:rsid w:val="00593071"/>
    <w:rsid w:val="00593755"/>
    <w:rsid w:val="0059458B"/>
    <w:rsid w:val="00595D46"/>
    <w:rsid w:val="00596A0B"/>
    <w:rsid w:val="00596E05"/>
    <w:rsid w:val="00596F85"/>
    <w:rsid w:val="005970FA"/>
    <w:rsid w:val="005A0176"/>
    <w:rsid w:val="005A088E"/>
    <w:rsid w:val="005A139C"/>
    <w:rsid w:val="005A2298"/>
    <w:rsid w:val="005A28C1"/>
    <w:rsid w:val="005A3309"/>
    <w:rsid w:val="005A547B"/>
    <w:rsid w:val="005A5735"/>
    <w:rsid w:val="005A72FC"/>
    <w:rsid w:val="005B0388"/>
    <w:rsid w:val="005B109A"/>
    <w:rsid w:val="005B197F"/>
    <w:rsid w:val="005B24EB"/>
    <w:rsid w:val="005B28C5"/>
    <w:rsid w:val="005B2B09"/>
    <w:rsid w:val="005B4219"/>
    <w:rsid w:val="005B4A9A"/>
    <w:rsid w:val="005B5D1F"/>
    <w:rsid w:val="005B6E15"/>
    <w:rsid w:val="005C0E58"/>
    <w:rsid w:val="005C2FD5"/>
    <w:rsid w:val="005C31EB"/>
    <w:rsid w:val="005C399D"/>
    <w:rsid w:val="005C3F5A"/>
    <w:rsid w:val="005C4EFD"/>
    <w:rsid w:val="005C5378"/>
    <w:rsid w:val="005D2AB9"/>
    <w:rsid w:val="005D30B3"/>
    <w:rsid w:val="005D34E2"/>
    <w:rsid w:val="005D4178"/>
    <w:rsid w:val="005D496E"/>
    <w:rsid w:val="005D4B0B"/>
    <w:rsid w:val="005D4CDC"/>
    <w:rsid w:val="005D5267"/>
    <w:rsid w:val="005D56DA"/>
    <w:rsid w:val="005D5E12"/>
    <w:rsid w:val="005D67AF"/>
    <w:rsid w:val="005D7C20"/>
    <w:rsid w:val="005E0C1B"/>
    <w:rsid w:val="005E0DCB"/>
    <w:rsid w:val="005E19AF"/>
    <w:rsid w:val="005E2EDE"/>
    <w:rsid w:val="005E413B"/>
    <w:rsid w:val="005E47FB"/>
    <w:rsid w:val="005E49A6"/>
    <w:rsid w:val="005E5108"/>
    <w:rsid w:val="005E6960"/>
    <w:rsid w:val="005E6C7B"/>
    <w:rsid w:val="005E6E51"/>
    <w:rsid w:val="005E7D93"/>
    <w:rsid w:val="005E7EB8"/>
    <w:rsid w:val="005F184F"/>
    <w:rsid w:val="005F18D6"/>
    <w:rsid w:val="005F1C8B"/>
    <w:rsid w:val="005F2BA8"/>
    <w:rsid w:val="005F3582"/>
    <w:rsid w:val="005F3FFE"/>
    <w:rsid w:val="005F4434"/>
    <w:rsid w:val="005F4AE9"/>
    <w:rsid w:val="005F50DF"/>
    <w:rsid w:val="005F59F5"/>
    <w:rsid w:val="005F6362"/>
    <w:rsid w:val="00600D34"/>
    <w:rsid w:val="00601089"/>
    <w:rsid w:val="00601DC7"/>
    <w:rsid w:val="00602C1D"/>
    <w:rsid w:val="00603024"/>
    <w:rsid w:val="00605F3F"/>
    <w:rsid w:val="00606F81"/>
    <w:rsid w:val="00607374"/>
    <w:rsid w:val="006075A4"/>
    <w:rsid w:val="00607D3A"/>
    <w:rsid w:val="00607F85"/>
    <w:rsid w:val="006102C2"/>
    <w:rsid w:val="0061079B"/>
    <w:rsid w:val="00611041"/>
    <w:rsid w:val="00611196"/>
    <w:rsid w:val="006116E3"/>
    <w:rsid w:val="00611AFF"/>
    <w:rsid w:val="00613219"/>
    <w:rsid w:val="00613A81"/>
    <w:rsid w:val="00614C2C"/>
    <w:rsid w:val="00614E10"/>
    <w:rsid w:val="00615EF4"/>
    <w:rsid w:val="00616D53"/>
    <w:rsid w:val="00616FF1"/>
    <w:rsid w:val="00617B95"/>
    <w:rsid w:val="00620B76"/>
    <w:rsid w:val="00622A43"/>
    <w:rsid w:val="0062402E"/>
    <w:rsid w:val="00624400"/>
    <w:rsid w:val="00624E51"/>
    <w:rsid w:val="006258C9"/>
    <w:rsid w:val="00625ACD"/>
    <w:rsid w:val="00626162"/>
    <w:rsid w:val="00627A9E"/>
    <w:rsid w:val="006304E4"/>
    <w:rsid w:val="00630927"/>
    <w:rsid w:val="00630C2A"/>
    <w:rsid w:val="00631D5D"/>
    <w:rsid w:val="00631FEE"/>
    <w:rsid w:val="006343F9"/>
    <w:rsid w:val="00634719"/>
    <w:rsid w:val="00635923"/>
    <w:rsid w:val="00635B87"/>
    <w:rsid w:val="00636B09"/>
    <w:rsid w:val="00640939"/>
    <w:rsid w:val="00640C34"/>
    <w:rsid w:val="0064106B"/>
    <w:rsid w:val="0064134E"/>
    <w:rsid w:val="0064586F"/>
    <w:rsid w:val="00647E2D"/>
    <w:rsid w:val="006503E8"/>
    <w:rsid w:val="00650570"/>
    <w:rsid w:val="00652143"/>
    <w:rsid w:val="00652747"/>
    <w:rsid w:val="00653A6C"/>
    <w:rsid w:val="00653BBE"/>
    <w:rsid w:val="00654A4A"/>
    <w:rsid w:val="0065545A"/>
    <w:rsid w:val="00656D2A"/>
    <w:rsid w:val="00661AD5"/>
    <w:rsid w:val="00662A6B"/>
    <w:rsid w:val="00663613"/>
    <w:rsid w:val="00664A6C"/>
    <w:rsid w:val="00664DAC"/>
    <w:rsid w:val="00666184"/>
    <w:rsid w:val="006661CF"/>
    <w:rsid w:val="006668F8"/>
    <w:rsid w:val="00667AF8"/>
    <w:rsid w:val="00667FE2"/>
    <w:rsid w:val="00670BFD"/>
    <w:rsid w:val="00670DC6"/>
    <w:rsid w:val="00671E4C"/>
    <w:rsid w:val="0067299B"/>
    <w:rsid w:val="00673D2A"/>
    <w:rsid w:val="00674295"/>
    <w:rsid w:val="006743AB"/>
    <w:rsid w:val="00674482"/>
    <w:rsid w:val="00674D90"/>
    <w:rsid w:val="00674F2E"/>
    <w:rsid w:val="00675300"/>
    <w:rsid w:val="006770DB"/>
    <w:rsid w:val="00677350"/>
    <w:rsid w:val="0068139E"/>
    <w:rsid w:val="006818A8"/>
    <w:rsid w:val="00681A51"/>
    <w:rsid w:val="00682424"/>
    <w:rsid w:val="00682469"/>
    <w:rsid w:val="0068337B"/>
    <w:rsid w:val="00683D97"/>
    <w:rsid w:val="00684FCA"/>
    <w:rsid w:val="00685E4A"/>
    <w:rsid w:val="00686B5C"/>
    <w:rsid w:val="00686F01"/>
    <w:rsid w:val="00692850"/>
    <w:rsid w:val="0069347D"/>
    <w:rsid w:val="00693AFF"/>
    <w:rsid w:val="0069418C"/>
    <w:rsid w:val="00694FE9"/>
    <w:rsid w:val="00696997"/>
    <w:rsid w:val="006A02D6"/>
    <w:rsid w:val="006A1FE8"/>
    <w:rsid w:val="006A22B6"/>
    <w:rsid w:val="006A314A"/>
    <w:rsid w:val="006A37FF"/>
    <w:rsid w:val="006A4295"/>
    <w:rsid w:val="006A6178"/>
    <w:rsid w:val="006A6375"/>
    <w:rsid w:val="006A6D0E"/>
    <w:rsid w:val="006A758C"/>
    <w:rsid w:val="006B1D18"/>
    <w:rsid w:val="006B2718"/>
    <w:rsid w:val="006B3DB9"/>
    <w:rsid w:val="006B4493"/>
    <w:rsid w:val="006B4BA8"/>
    <w:rsid w:val="006B72FB"/>
    <w:rsid w:val="006C0744"/>
    <w:rsid w:val="006C0BAC"/>
    <w:rsid w:val="006C0F46"/>
    <w:rsid w:val="006C1271"/>
    <w:rsid w:val="006C1EEC"/>
    <w:rsid w:val="006C2313"/>
    <w:rsid w:val="006C352C"/>
    <w:rsid w:val="006C3FEA"/>
    <w:rsid w:val="006C65E9"/>
    <w:rsid w:val="006C69E7"/>
    <w:rsid w:val="006D10AE"/>
    <w:rsid w:val="006D1E54"/>
    <w:rsid w:val="006D24DC"/>
    <w:rsid w:val="006D2850"/>
    <w:rsid w:val="006D29F2"/>
    <w:rsid w:val="006D4CAB"/>
    <w:rsid w:val="006D62F8"/>
    <w:rsid w:val="006D6F85"/>
    <w:rsid w:val="006D71F9"/>
    <w:rsid w:val="006D7CA2"/>
    <w:rsid w:val="006E025F"/>
    <w:rsid w:val="006E065B"/>
    <w:rsid w:val="006E09D3"/>
    <w:rsid w:val="006E1692"/>
    <w:rsid w:val="006E1E6C"/>
    <w:rsid w:val="006E20CB"/>
    <w:rsid w:val="006E282E"/>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4E41"/>
    <w:rsid w:val="006F531B"/>
    <w:rsid w:val="006F56B6"/>
    <w:rsid w:val="006F60DF"/>
    <w:rsid w:val="006F62BC"/>
    <w:rsid w:val="006F70BD"/>
    <w:rsid w:val="0070023A"/>
    <w:rsid w:val="00700288"/>
    <w:rsid w:val="00702493"/>
    <w:rsid w:val="007034D1"/>
    <w:rsid w:val="007039F5"/>
    <w:rsid w:val="0070644E"/>
    <w:rsid w:val="00706A77"/>
    <w:rsid w:val="0071035D"/>
    <w:rsid w:val="0071132F"/>
    <w:rsid w:val="007122F9"/>
    <w:rsid w:val="00712AD1"/>
    <w:rsid w:val="00714190"/>
    <w:rsid w:val="00714652"/>
    <w:rsid w:val="00714A8A"/>
    <w:rsid w:val="00714F3B"/>
    <w:rsid w:val="007166F7"/>
    <w:rsid w:val="00716AEF"/>
    <w:rsid w:val="00716B51"/>
    <w:rsid w:val="00716C74"/>
    <w:rsid w:val="00717076"/>
    <w:rsid w:val="00717296"/>
    <w:rsid w:val="007172CB"/>
    <w:rsid w:val="00721080"/>
    <w:rsid w:val="00721126"/>
    <w:rsid w:val="00721591"/>
    <w:rsid w:val="00722E4E"/>
    <w:rsid w:val="007253B2"/>
    <w:rsid w:val="007253FF"/>
    <w:rsid w:val="00727370"/>
    <w:rsid w:val="007275F6"/>
    <w:rsid w:val="007313D5"/>
    <w:rsid w:val="007320A9"/>
    <w:rsid w:val="007326A9"/>
    <w:rsid w:val="00732A29"/>
    <w:rsid w:val="00732BC8"/>
    <w:rsid w:val="007339F8"/>
    <w:rsid w:val="00735D9E"/>
    <w:rsid w:val="007364C2"/>
    <w:rsid w:val="007374D3"/>
    <w:rsid w:val="00740561"/>
    <w:rsid w:val="0074109C"/>
    <w:rsid w:val="00742335"/>
    <w:rsid w:val="00742842"/>
    <w:rsid w:val="0074492D"/>
    <w:rsid w:val="00745986"/>
    <w:rsid w:val="00745E99"/>
    <w:rsid w:val="0074620D"/>
    <w:rsid w:val="00753376"/>
    <w:rsid w:val="00753909"/>
    <w:rsid w:val="007543B0"/>
    <w:rsid w:val="007568A9"/>
    <w:rsid w:val="00756DEC"/>
    <w:rsid w:val="007612D7"/>
    <w:rsid w:val="00761514"/>
    <w:rsid w:val="0076267A"/>
    <w:rsid w:val="00763C22"/>
    <w:rsid w:val="00763CE7"/>
    <w:rsid w:val="00766412"/>
    <w:rsid w:val="00767793"/>
    <w:rsid w:val="00767B7F"/>
    <w:rsid w:val="00770127"/>
    <w:rsid w:val="00771830"/>
    <w:rsid w:val="00772177"/>
    <w:rsid w:val="0077229D"/>
    <w:rsid w:val="0077265F"/>
    <w:rsid w:val="00772B76"/>
    <w:rsid w:val="0077576E"/>
    <w:rsid w:val="00775C65"/>
    <w:rsid w:val="0077639A"/>
    <w:rsid w:val="007800AF"/>
    <w:rsid w:val="0078100C"/>
    <w:rsid w:val="0078157F"/>
    <w:rsid w:val="0078185E"/>
    <w:rsid w:val="00782799"/>
    <w:rsid w:val="00784242"/>
    <w:rsid w:val="00784FFE"/>
    <w:rsid w:val="00786F48"/>
    <w:rsid w:val="0078772C"/>
    <w:rsid w:val="00787866"/>
    <w:rsid w:val="007878E4"/>
    <w:rsid w:val="0079090E"/>
    <w:rsid w:val="00792072"/>
    <w:rsid w:val="00792289"/>
    <w:rsid w:val="0079267C"/>
    <w:rsid w:val="00793855"/>
    <w:rsid w:val="007963BD"/>
    <w:rsid w:val="007A0505"/>
    <w:rsid w:val="007A1190"/>
    <w:rsid w:val="007A2779"/>
    <w:rsid w:val="007A3D83"/>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1B25"/>
    <w:rsid w:val="007C20B1"/>
    <w:rsid w:val="007C3003"/>
    <w:rsid w:val="007C45A3"/>
    <w:rsid w:val="007C5923"/>
    <w:rsid w:val="007C66BC"/>
    <w:rsid w:val="007C6B60"/>
    <w:rsid w:val="007C6F85"/>
    <w:rsid w:val="007C7B99"/>
    <w:rsid w:val="007C7D88"/>
    <w:rsid w:val="007D03EF"/>
    <w:rsid w:val="007D16CC"/>
    <w:rsid w:val="007D23B3"/>
    <w:rsid w:val="007D3AA0"/>
    <w:rsid w:val="007D3B71"/>
    <w:rsid w:val="007D3FE2"/>
    <w:rsid w:val="007D4359"/>
    <w:rsid w:val="007D4EC2"/>
    <w:rsid w:val="007D5690"/>
    <w:rsid w:val="007D6057"/>
    <w:rsid w:val="007D69FA"/>
    <w:rsid w:val="007D75E9"/>
    <w:rsid w:val="007D7CC9"/>
    <w:rsid w:val="007E1600"/>
    <w:rsid w:val="007E4641"/>
    <w:rsid w:val="007E7598"/>
    <w:rsid w:val="007F02C3"/>
    <w:rsid w:val="007F03E8"/>
    <w:rsid w:val="007F0CE1"/>
    <w:rsid w:val="007F1ABA"/>
    <w:rsid w:val="007F2A03"/>
    <w:rsid w:val="007F3616"/>
    <w:rsid w:val="007F4847"/>
    <w:rsid w:val="007F4D92"/>
    <w:rsid w:val="007F77B2"/>
    <w:rsid w:val="007F7883"/>
    <w:rsid w:val="008001AC"/>
    <w:rsid w:val="00800499"/>
    <w:rsid w:val="00801C3D"/>
    <w:rsid w:val="008029DB"/>
    <w:rsid w:val="00802CA3"/>
    <w:rsid w:val="0080303B"/>
    <w:rsid w:val="008039D6"/>
    <w:rsid w:val="008072D7"/>
    <w:rsid w:val="00810603"/>
    <w:rsid w:val="00811145"/>
    <w:rsid w:val="00811263"/>
    <w:rsid w:val="00812713"/>
    <w:rsid w:val="00812B83"/>
    <w:rsid w:val="00812C2D"/>
    <w:rsid w:val="00813813"/>
    <w:rsid w:val="00813C03"/>
    <w:rsid w:val="0081427F"/>
    <w:rsid w:val="00814283"/>
    <w:rsid w:val="00816C67"/>
    <w:rsid w:val="00820209"/>
    <w:rsid w:val="00820F35"/>
    <w:rsid w:val="00820FEC"/>
    <w:rsid w:val="0082393D"/>
    <w:rsid w:val="008239D1"/>
    <w:rsid w:val="00823DE0"/>
    <w:rsid w:val="00824BFC"/>
    <w:rsid w:val="00824FAC"/>
    <w:rsid w:val="008251BE"/>
    <w:rsid w:val="00830821"/>
    <w:rsid w:val="00832177"/>
    <w:rsid w:val="0083324D"/>
    <w:rsid w:val="008342AA"/>
    <w:rsid w:val="00836411"/>
    <w:rsid w:val="0083659F"/>
    <w:rsid w:val="00840600"/>
    <w:rsid w:val="0084126A"/>
    <w:rsid w:val="00841733"/>
    <w:rsid w:val="00842484"/>
    <w:rsid w:val="00843447"/>
    <w:rsid w:val="00844D38"/>
    <w:rsid w:val="00844D85"/>
    <w:rsid w:val="0084563E"/>
    <w:rsid w:val="00846B28"/>
    <w:rsid w:val="00850E71"/>
    <w:rsid w:val="00851B6E"/>
    <w:rsid w:val="008524BE"/>
    <w:rsid w:val="0085269A"/>
    <w:rsid w:val="00852EB4"/>
    <w:rsid w:val="0085306F"/>
    <w:rsid w:val="00853243"/>
    <w:rsid w:val="00853BC2"/>
    <w:rsid w:val="00853C7E"/>
    <w:rsid w:val="00854278"/>
    <w:rsid w:val="00856063"/>
    <w:rsid w:val="008566B2"/>
    <w:rsid w:val="00857172"/>
    <w:rsid w:val="00860DE4"/>
    <w:rsid w:val="0086236A"/>
    <w:rsid w:val="0086569A"/>
    <w:rsid w:val="0086581C"/>
    <w:rsid w:val="00867A36"/>
    <w:rsid w:val="00867C3F"/>
    <w:rsid w:val="00867F98"/>
    <w:rsid w:val="00870002"/>
    <w:rsid w:val="008702A8"/>
    <w:rsid w:val="0087035A"/>
    <w:rsid w:val="00870FD4"/>
    <w:rsid w:val="0087148F"/>
    <w:rsid w:val="008721C3"/>
    <w:rsid w:val="00872B3E"/>
    <w:rsid w:val="0087347D"/>
    <w:rsid w:val="00873CA1"/>
    <w:rsid w:val="00876F90"/>
    <w:rsid w:val="00877B0B"/>
    <w:rsid w:val="00880121"/>
    <w:rsid w:val="00882DAD"/>
    <w:rsid w:val="00883F7F"/>
    <w:rsid w:val="0088404C"/>
    <w:rsid w:val="008843F5"/>
    <w:rsid w:val="00884F32"/>
    <w:rsid w:val="00885263"/>
    <w:rsid w:val="008868A8"/>
    <w:rsid w:val="00886EAF"/>
    <w:rsid w:val="008902F2"/>
    <w:rsid w:val="00890D93"/>
    <w:rsid w:val="0089232E"/>
    <w:rsid w:val="00892DA5"/>
    <w:rsid w:val="00892FA4"/>
    <w:rsid w:val="00893AAE"/>
    <w:rsid w:val="008949B1"/>
    <w:rsid w:val="00896DA2"/>
    <w:rsid w:val="00896E2B"/>
    <w:rsid w:val="0089713E"/>
    <w:rsid w:val="008972AA"/>
    <w:rsid w:val="008A05C6"/>
    <w:rsid w:val="008A10F3"/>
    <w:rsid w:val="008A28FA"/>
    <w:rsid w:val="008A306A"/>
    <w:rsid w:val="008A4D60"/>
    <w:rsid w:val="008A53EE"/>
    <w:rsid w:val="008A5C0F"/>
    <w:rsid w:val="008A67B2"/>
    <w:rsid w:val="008A714C"/>
    <w:rsid w:val="008B012A"/>
    <w:rsid w:val="008B0466"/>
    <w:rsid w:val="008B1596"/>
    <w:rsid w:val="008B1B37"/>
    <w:rsid w:val="008B2D16"/>
    <w:rsid w:val="008B4062"/>
    <w:rsid w:val="008B5977"/>
    <w:rsid w:val="008B5B84"/>
    <w:rsid w:val="008B7385"/>
    <w:rsid w:val="008B7A43"/>
    <w:rsid w:val="008C09C4"/>
    <w:rsid w:val="008C1598"/>
    <w:rsid w:val="008C1F44"/>
    <w:rsid w:val="008C646F"/>
    <w:rsid w:val="008D0B2C"/>
    <w:rsid w:val="008D18EC"/>
    <w:rsid w:val="008D2AC2"/>
    <w:rsid w:val="008D48FF"/>
    <w:rsid w:val="008D50EA"/>
    <w:rsid w:val="008D61A7"/>
    <w:rsid w:val="008E0007"/>
    <w:rsid w:val="008E0374"/>
    <w:rsid w:val="008E1426"/>
    <w:rsid w:val="008E16B0"/>
    <w:rsid w:val="008E1AA7"/>
    <w:rsid w:val="008E2844"/>
    <w:rsid w:val="008E3E4B"/>
    <w:rsid w:val="008E43A6"/>
    <w:rsid w:val="008E4923"/>
    <w:rsid w:val="008E4E39"/>
    <w:rsid w:val="008E4EF9"/>
    <w:rsid w:val="008E4FF3"/>
    <w:rsid w:val="008E62F5"/>
    <w:rsid w:val="008E6A96"/>
    <w:rsid w:val="008E6DFC"/>
    <w:rsid w:val="008E7710"/>
    <w:rsid w:val="008F2795"/>
    <w:rsid w:val="008F485A"/>
    <w:rsid w:val="008F520A"/>
    <w:rsid w:val="008F7A79"/>
    <w:rsid w:val="008F7DB1"/>
    <w:rsid w:val="0090032D"/>
    <w:rsid w:val="00900D4D"/>
    <w:rsid w:val="009012FC"/>
    <w:rsid w:val="00901D76"/>
    <w:rsid w:val="00902D59"/>
    <w:rsid w:val="0090380F"/>
    <w:rsid w:val="00903F34"/>
    <w:rsid w:val="009056DA"/>
    <w:rsid w:val="009058FA"/>
    <w:rsid w:val="00905C0A"/>
    <w:rsid w:val="00906028"/>
    <w:rsid w:val="00906B32"/>
    <w:rsid w:val="00911B2E"/>
    <w:rsid w:val="009122F8"/>
    <w:rsid w:val="009124CB"/>
    <w:rsid w:val="00912568"/>
    <w:rsid w:val="00912915"/>
    <w:rsid w:val="00913870"/>
    <w:rsid w:val="00913A0B"/>
    <w:rsid w:val="009154B5"/>
    <w:rsid w:val="00915520"/>
    <w:rsid w:val="009155DC"/>
    <w:rsid w:val="009155F7"/>
    <w:rsid w:val="00917AA0"/>
    <w:rsid w:val="0092075A"/>
    <w:rsid w:val="009207A6"/>
    <w:rsid w:val="00921131"/>
    <w:rsid w:val="009238F7"/>
    <w:rsid w:val="00923C63"/>
    <w:rsid w:val="00924605"/>
    <w:rsid w:val="009247F5"/>
    <w:rsid w:val="00924966"/>
    <w:rsid w:val="00925717"/>
    <w:rsid w:val="00926AB2"/>
    <w:rsid w:val="009279D6"/>
    <w:rsid w:val="00927C5C"/>
    <w:rsid w:val="00927C9A"/>
    <w:rsid w:val="00927CEF"/>
    <w:rsid w:val="00932B80"/>
    <w:rsid w:val="0093409F"/>
    <w:rsid w:val="009340D9"/>
    <w:rsid w:val="009356BA"/>
    <w:rsid w:val="009373D3"/>
    <w:rsid w:val="009407FE"/>
    <w:rsid w:val="00941E3E"/>
    <w:rsid w:val="009420E4"/>
    <w:rsid w:val="00942436"/>
    <w:rsid w:val="009425B7"/>
    <w:rsid w:val="00943263"/>
    <w:rsid w:val="009479D1"/>
    <w:rsid w:val="009506C2"/>
    <w:rsid w:val="009535DE"/>
    <w:rsid w:val="0095361B"/>
    <w:rsid w:val="00953D70"/>
    <w:rsid w:val="00954A61"/>
    <w:rsid w:val="00956F14"/>
    <w:rsid w:val="009573D0"/>
    <w:rsid w:val="00957603"/>
    <w:rsid w:val="009579A2"/>
    <w:rsid w:val="00957A1D"/>
    <w:rsid w:val="00957BC0"/>
    <w:rsid w:val="00960369"/>
    <w:rsid w:val="009607A2"/>
    <w:rsid w:val="00961671"/>
    <w:rsid w:val="00961AC1"/>
    <w:rsid w:val="009642C0"/>
    <w:rsid w:val="0096487B"/>
    <w:rsid w:val="00965A0B"/>
    <w:rsid w:val="00965CD1"/>
    <w:rsid w:val="00966DD7"/>
    <w:rsid w:val="00970460"/>
    <w:rsid w:val="0097088A"/>
    <w:rsid w:val="00971B48"/>
    <w:rsid w:val="00972ECE"/>
    <w:rsid w:val="009734B3"/>
    <w:rsid w:val="009757D1"/>
    <w:rsid w:val="00975D3B"/>
    <w:rsid w:val="00975EB9"/>
    <w:rsid w:val="0097702F"/>
    <w:rsid w:val="00980754"/>
    <w:rsid w:val="00981535"/>
    <w:rsid w:val="00981C21"/>
    <w:rsid w:val="009825C8"/>
    <w:rsid w:val="00983531"/>
    <w:rsid w:val="0098409F"/>
    <w:rsid w:val="00984A55"/>
    <w:rsid w:val="00985537"/>
    <w:rsid w:val="00985C01"/>
    <w:rsid w:val="009861EE"/>
    <w:rsid w:val="009903BA"/>
    <w:rsid w:val="00990709"/>
    <w:rsid w:val="009911B1"/>
    <w:rsid w:val="00991698"/>
    <w:rsid w:val="009917E7"/>
    <w:rsid w:val="00991AE2"/>
    <w:rsid w:val="00991C17"/>
    <w:rsid w:val="00992D1E"/>
    <w:rsid w:val="00992D66"/>
    <w:rsid w:val="00993C16"/>
    <w:rsid w:val="00994D1A"/>
    <w:rsid w:val="00997EB2"/>
    <w:rsid w:val="009A036C"/>
    <w:rsid w:val="009A06F5"/>
    <w:rsid w:val="009A0788"/>
    <w:rsid w:val="009A0E92"/>
    <w:rsid w:val="009A17EC"/>
    <w:rsid w:val="009A25D3"/>
    <w:rsid w:val="009A542E"/>
    <w:rsid w:val="009B03DF"/>
    <w:rsid w:val="009B07E8"/>
    <w:rsid w:val="009B1BFD"/>
    <w:rsid w:val="009B3192"/>
    <w:rsid w:val="009B50B7"/>
    <w:rsid w:val="009B6AF0"/>
    <w:rsid w:val="009B6BC6"/>
    <w:rsid w:val="009C09F3"/>
    <w:rsid w:val="009C128C"/>
    <w:rsid w:val="009C292D"/>
    <w:rsid w:val="009C5F0C"/>
    <w:rsid w:val="009C67C0"/>
    <w:rsid w:val="009C6C4B"/>
    <w:rsid w:val="009C7CBE"/>
    <w:rsid w:val="009C7E46"/>
    <w:rsid w:val="009D092D"/>
    <w:rsid w:val="009D1035"/>
    <w:rsid w:val="009D13D0"/>
    <w:rsid w:val="009D1B09"/>
    <w:rsid w:val="009D2068"/>
    <w:rsid w:val="009D7D33"/>
    <w:rsid w:val="009E01FC"/>
    <w:rsid w:val="009E0355"/>
    <w:rsid w:val="009E1999"/>
    <w:rsid w:val="009E237C"/>
    <w:rsid w:val="009E324D"/>
    <w:rsid w:val="009E4DD4"/>
    <w:rsid w:val="009E4E3F"/>
    <w:rsid w:val="009E5B49"/>
    <w:rsid w:val="009E698B"/>
    <w:rsid w:val="009E6ADB"/>
    <w:rsid w:val="009E7C2F"/>
    <w:rsid w:val="009E7EBE"/>
    <w:rsid w:val="009F0BB6"/>
    <w:rsid w:val="009F0BED"/>
    <w:rsid w:val="009F0FBE"/>
    <w:rsid w:val="009F1547"/>
    <w:rsid w:val="009F1A08"/>
    <w:rsid w:val="009F47E8"/>
    <w:rsid w:val="009F4ABA"/>
    <w:rsid w:val="009F55FF"/>
    <w:rsid w:val="009F67A9"/>
    <w:rsid w:val="009F710C"/>
    <w:rsid w:val="009F71BE"/>
    <w:rsid w:val="009F722E"/>
    <w:rsid w:val="009F75C6"/>
    <w:rsid w:val="009F7706"/>
    <w:rsid w:val="00A00317"/>
    <w:rsid w:val="00A02D14"/>
    <w:rsid w:val="00A04DEE"/>
    <w:rsid w:val="00A04DEF"/>
    <w:rsid w:val="00A0598C"/>
    <w:rsid w:val="00A066AE"/>
    <w:rsid w:val="00A06EA7"/>
    <w:rsid w:val="00A10DD9"/>
    <w:rsid w:val="00A11D21"/>
    <w:rsid w:val="00A12651"/>
    <w:rsid w:val="00A12C6B"/>
    <w:rsid w:val="00A12E41"/>
    <w:rsid w:val="00A13151"/>
    <w:rsid w:val="00A13339"/>
    <w:rsid w:val="00A13525"/>
    <w:rsid w:val="00A13E8A"/>
    <w:rsid w:val="00A14117"/>
    <w:rsid w:val="00A14757"/>
    <w:rsid w:val="00A14842"/>
    <w:rsid w:val="00A149FA"/>
    <w:rsid w:val="00A16587"/>
    <w:rsid w:val="00A16849"/>
    <w:rsid w:val="00A17630"/>
    <w:rsid w:val="00A17DF0"/>
    <w:rsid w:val="00A20F78"/>
    <w:rsid w:val="00A218F1"/>
    <w:rsid w:val="00A21E46"/>
    <w:rsid w:val="00A22250"/>
    <w:rsid w:val="00A22E57"/>
    <w:rsid w:val="00A258FB"/>
    <w:rsid w:val="00A2605D"/>
    <w:rsid w:val="00A27DEE"/>
    <w:rsid w:val="00A31B93"/>
    <w:rsid w:val="00A323A2"/>
    <w:rsid w:val="00A32EB7"/>
    <w:rsid w:val="00A34C4D"/>
    <w:rsid w:val="00A34E06"/>
    <w:rsid w:val="00A34FFC"/>
    <w:rsid w:val="00A35D32"/>
    <w:rsid w:val="00A365AD"/>
    <w:rsid w:val="00A375EF"/>
    <w:rsid w:val="00A4342E"/>
    <w:rsid w:val="00A45ABF"/>
    <w:rsid w:val="00A465C1"/>
    <w:rsid w:val="00A46A26"/>
    <w:rsid w:val="00A46E98"/>
    <w:rsid w:val="00A517B6"/>
    <w:rsid w:val="00A528C2"/>
    <w:rsid w:val="00A53BEB"/>
    <w:rsid w:val="00A53DC5"/>
    <w:rsid w:val="00A5433A"/>
    <w:rsid w:val="00A54AFD"/>
    <w:rsid w:val="00A54E69"/>
    <w:rsid w:val="00A57043"/>
    <w:rsid w:val="00A61B06"/>
    <w:rsid w:val="00A61C8F"/>
    <w:rsid w:val="00A62113"/>
    <w:rsid w:val="00A62EEE"/>
    <w:rsid w:val="00A630BE"/>
    <w:rsid w:val="00A63774"/>
    <w:rsid w:val="00A65B15"/>
    <w:rsid w:val="00A65EE2"/>
    <w:rsid w:val="00A6759C"/>
    <w:rsid w:val="00A678C8"/>
    <w:rsid w:val="00A67923"/>
    <w:rsid w:val="00A7015E"/>
    <w:rsid w:val="00A713ED"/>
    <w:rsid w:val="00A714B8"/>
    <w:rsid w:val="00A7194B"/>
    <w:rsid w:val="00A71DE0"/>
    <w:rsid w:val="00A72227"/>
    <w:rsid w:val="00A72CE7"/>
    <w:rsid w:val="00A74901"/>
    <w:rsid w:val="00A75031"/>
    <w:rsid w:val="00A7511A"/>
    <w:rsid w:val="00A75733"/>
    <w:rsid w:val="00A76308"/>
    <w:rsid w:val="00A776C7"/>
    <w:rsid w:val="00A77C08"/>
    <w:rsid w:val="00A80ACB"/>
    <w:rsid w:val="00A81527"/>
    <w:rsid w:val="00A81FBC"/>
    <w:rsid w:val="00A82058"/>
    <w:rsid w:val="00A84AE7"/>
    <w:rsid w:val="00A84C87"/>
    <w:rsid w:val="00A84E8D"/>
    <w:rsid w:val="00A86576"/>
    <w:rsid w:val="00A8668D"/>
    <w:rsid w:val="00A869B0"/>
    <w:rsid w:val="00A90420"/>
    <w:rsid w:val="00A91051"/>
    <w:rsid w:val="00A910CB"/>
    <w:rsid w:val="00A9191A"/>
    <w:rsid w:val="00A91DC1"/>
    <w:rsid w:val="00A9289F"/>
    <w:rsid w:val="00A929FD"/>
    <w:rsid w:val="00A92C1D"/>
    <w:rsid w:val="00A92CAE"/>
    <w:rsid w:val="00A93633"/>
    <w:rsid w:val="00A95617"/>
    <w:rsid w:val="00A96685"/>
    <w:rsid w:val="00A9774D"/>
    <w:rsid w:val="00AA0C77"/>
    <w:rsid w:val="00AA1D27"/>
    <w:rsid w:val="00AA1D4D"/>
    <w:rsid w:val="00AA204C"/>
    <w:rsid w:val="00AA2D57"/>
    <w:rsid w:val="00AA3941"/>
    <w:rsid w:val="00AA538E"/>
    <w:rsid w:val="00AA56D0"/>
    <w:rsid w:val="00AA588E"/>
    <w:rsid w:val="00AA610F"/>
    <w:rsid w:val="00AB0C9F"/>
    <w:rsid w:val="00AB0E6B"/>
    <w:rsid w:val="00AB0F63"/>
    <w:rsid w:val="00AB0FE6"/>
    <w:rsid w:val="00AB143A"/>
    <w:rsid w:val="00AB155C"/>
    <w:rsid w:val="00AB26BF"/>
    <w:rsid w:val="00AB4718"/>
    <w:rsid w:val="00AB68F9"/>
    <w:rsid w:val="00AB717A"/>
    <w:rsid w:val="00AB7274"/>
    <w:rsid w:val="00AB7E96"/>
    <w:rsid w:val="00AC003B"/>
    <w:rsid w:val="00AC003C"/>
    <w:rsid w:val="00AC0103"/>
    <w:rsid w:val="00AC011A"/>
    <w:rsid w:val="00AC1404"/>
    <w:rsid w:val="00AC1F12"/>
    <w:rsid w:val="00AC2596"/>
    <w:rsid w:val="00AC2F9A"/>
    <w:rsid w:val="00AC31EA"/>
    <w:rsid w:val="00AC4881"/>
    <w:rsid w:val="00AC65B1"/>
    <w:rsid w:val="00AD039F"/>
    <w:rsid w:val="00AD0F88"/>
    <w:rsid w:val="00AD3902"/>
    <w:rsid w:val="00AD3C07"/>
    <w:rsid w:val="00AD57F8"/>
    <w:rsid w:val="00AD5833"/>
    <w:rsid w:val="00AD6010"/>
    <w:rsid w:val="00AE33FF"/>
    <w:rsid w:val="00AE4B14"/>
    <w:rsid w:val="00AE5E94"/>
    <w:rsid w:val="00AE7A30"/>
    <w:rsid w:val="00AF026B"/>
    <w:rsid w:val="00AF06D5"/>
    <w:rsid w:val="00AF0779"/>
    <w:rsid w:val="00AF09DD"/>
    <w:rsid w:val="00AF246B"/>
    <w:rsid w:val="00AF31C3"/>
    <w:rsid w:val="00AF5B2F"/>
    <w:rsid w:val="00AF617A"/>
    <w:rsid w:val="00AF712A"/>
    <w:rsid w:val="00AF7DB4"/>
    <w:rsid w:val="00B01A94"/>
    <w:rsid w:val="00B02655"/>
    <w:rsid w:val="00B05102"/>
    <w:rsid w:val="00B06130"/>
    <w:rsid w:val="00B062F7"/>
    <w:rsid w:val="00B079F9"/>
    <w:rsid w:val="00B10263"/>
    <w:rsid w:val="00B10376"/>
    <w:rsid w:val="00B10D36"/>
    <w:rsid w:val="00B11C26"/>
    <w:rsid w:val="00B11DEE"/>
    <w:rsid w:val="00B12661"/>
    <w:rsid w:val="00B1348E"/>
    <w:rsid w:val="00B142AA"/>
    <w:rsid w:val="00B14BD1"/>
    <w:rsid w:val="00B14BDB"/>
    <w:rsid w:val="00B151DE"/>
    <w:rsid w:val="00B162B9"/>
    <w:rsid w:val="00B16A34"/>
    <w:rsid w:val="00B2042B"/>
    <w:rsid w:val="00B213F2"/>
    <w:rsid w:val="00B217D6"/>
    <w:rsid w:val="00B24891"/>
    <w:rsid w:val="00B24FAF"/>
    <w:rsid w:val="00B25453"/>
    <w:rsid w:val="00B25E56"/>
    <w:rsid w:val="00B25ED6"/>
    <w:rsid w:val="00B3006E"/>
    <w:rsid w:val="00B3057E"/>
    <w:rsid w:val="00B30A49"/>
    <w:rsid w:val="00B31B9C"/>
    <w:rsid w:val="00B330D4"/>
    <w:rsid w:val="00B33653"/>
    <w:rsid w:val="00B34D6C"/>
    <w:rsid w:val="00B35559"/>
    <w:rsid w:val="00B3559C"/>
    <w:rsid w:val="00B3725B"/>
    <w:rsid w:val="00B40D0F"/>
    <w:rsid w:val="00B4118A"/>
    <w:rsid w:val="00B4186F"/>
    <w:rsid w:val="00B44619"/>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2C34"/>
    <w:rsid w:val="00B836F5"/>
    <w:rsid w:val="00B85B4E"/>
    <w:rsid w:val="00B8608E"/>
    <w:rsid w:val="00B868E2"/>
    <w:rsid w:val="00B87B6D"/>
    <w:rsid w:val="00B87E7C"/>
    <w:rsid w:val="00B905F8"/>
    <w:rsid w:val="00B91530"/>
    <w:rsid w:val="00B9355C"/>
    <w:rsid w:val="00B9366D"/>
    <w:rsid w:val="00B93FE5"/>
    <w:rsid w:val="00B94786"/>
    <w:rsid w:val="00B9551C"/>
    <w:rsid w:val="00B9607E"/>
    <w:rsid w:val="00BA0AC0"/>
    <w:rsid w:val="00BA0D64"/>
    <w:rsid w:val="00BA19C6"/>
    <w:rsid w:val="00BA202C"/>
    <w:rsid w:val="00BA2B9C"/>
    <w:rsid w:val="00BA4324"/>
    <w:rsid w:val="00BA44ED"/>
    <w:rsid w:val="00BA68A6"/>
    <w:rsid w:val="00BA7631"/>
    <w:rsid w:val="00BA7678"/>
    <w:rsid w:val="00BA7715"/>
    <w:rsid w:val="00BA774F"/>
    <w:rsid w:val="00BA78B6"/>
    <w:rsid w:val="00BA79B5"/>
    <w:rsid w:val="00BA7DE9"/>
    <w:rsid w:val="00BB0FE5"/>
    <w:rsid w:val="00BB205D"/>
    <w:rsid w:val="00BB20BA"/>
    <w:rsid w:val="00BB26AD"/>
    <w:rsid w:val="00BB3392"/>
    <w:rsid w:val="00BB3D25"/>
    <w:rsid w:val="00BB6D2B"/>
    <w:rsid w:val="00BB79BD"/>
    <w:rsid w:val="00BC10E6"/>
    <w:rsid w:val="00BC2057"/>
    <w:rsid w:val="00BC3516"/>
    <w:rsid w:val="00BC393B"/>
    <w:rsid w:val="00BC55A3"/>
    <w:rsid w:val="00BC5776"/>
    <w:rsid w:val="00BC666B"/>
    <w:rsid w:val="00BC7208"/>
    <w:rsid w:val="00BD0B48"/>
    <w:rsid w:val="00BD1E24"/>
    <w:rsid w:val="00BD1FF0"/>
    <w:rsid w:val="00BD2A0A"/>
    <w:rsid w:val="00BD3653"/>
    <w:rsid w:val="00BD3FCF"/>
    <w:rsid w:val="00BD4364"/>
    <w:rsid w:val="00BD462E"/>
    <w:rsid w:val="00BD476A"/>
    <w:rsid w:val="00BD4CE7"/>
    <w:rsid w:val="00BD5D0F"/>
    <w:rsid w:val="00BD75BA"/>
    <w:rsid w:val="00BD761A"/>
    <w:rsid w:val="00BD7C68"/>
    <w:rsid w:val="00BE039D"/>
    <w:rsid w:val="00BE08AA"/>
    <w:rsid w:val="00BE0CC9"/>
    <w:rsid w:val="00BE15B2"/>
    <w:rsid w:val="00BE1CBC"/>
    <w:rsid w:val="00BE1F49"/>
    <w:rsid w:val="00BE29DC"/>
    <w:rsid w:val="00BE5393"/>
    <w:rsid w:val="00BE5C7D"/>
    <w:rsid w:val="00BE61D0"/>
    <w:rsid w:val="00BE6BD1"/>
    <w:rsid w:val="00BF11EE"/>
    <w:rsid w:val="00BF1EA0"/>
    <w:rsid w:val="00BF4E1D"/>
    <w:rsid w:val="00BF697A"/>
    <w:rsid w:val="00BF6ADB"/>
    <w:rsid w:val="00BF6D5A"/>
    <w:rsid w:val="00C0223F"/>
    <w:rsid w:val="00C02AFD"/>
    <w:rsid w:val="00C03776"/>
    <w:rsid w:val="00C03E66"/>
    <w:rsid w:val="00C04B9F"/>
    <w:rsid w:val="00C074D9"/>
    <w:rsid w:val="00C0753E"/>
    <w:rsid w:val="00C10A86"/>
    <w:rsid w:val="00C1164F"/>
    <w:rsid w:val="00C12078"/>
    <w:rsid w:val="00C13821"/>
    <w:rsid w:val="00C13A14"/>
    <w:rsid w:val="00C14051"/>
    <w:rsid w:val="00C15F73"/>
    <w:rsid w:val="00C175E3"/>
    <w:rsid w:val="00C2037B"/>
    <w:rsid w:val="00C22FF7"/>
    <w:rsid w:val="00C23DC9"/>
    <w:rsid w:val="00C25F93"/>
    <w:rsid w:val="00C27A2F"/>
    <w:rsid w:val="00C27F75"/>
    <w:rsid w:val="00C27F76"/>
    <w:rsid w:val="00C30DA4"/>
    <w:rsid w:val="00C32160"/>
    <w:rsid w:val="00C33D7F"/>
    <w:rsid w:val="00C3586D"/>
    <w:rsid w:val="00C36603"/>
    <w:rsid w:val="00C3788C"/>
    <w:rsid w:val="00C37C97"/>
    <w:rsid w:val="00C41D24"/>
    <w:rsid w:val="00C427CE"/>
    <w:rsid w:val="00C4337B"/>
    <w:rsid w:val="00C44719"/>
    <w:rsid w:val="00C44A9B"/>
    <w:rsid w:val="00C4690E"/>
    <w:rsid w:val="00C46EDD"/>
    <w:rsid w:val="00C47F43"/>
    <w:rsid w:val="00C50108"/>
    <w:rsid w:val="00C51610"/>
    <w:rsid w:val="00C51E37"/>
    <w:rsid w:val="00C51F6A"/>
    <w:rsid w:val="00C5211B"/>
    <w:rsid w:val="00C541AE"/>
    <w:rsid w:val="00C542F9"/>
    <w:rsid w:val="00C560BC"/>
    <w:rsid w:val="00C56133"/>
    <w:rsid w:val="00C57857"/>
    <w:rsid w:val="00C57D74"/>
    <w:rsid w:val="00C60128"/>
    <w:rsid w:val="00C60ED4"/>
    <w:rsid w:val="00C61FDC"/>
    <w:rsid w:val="00C63A70"/>
    <w:rsid w:val="00C63F97"/>
    <w:rsid w:val="00C6572C"/>
    <w:rsid w:val="00C672C4"/>
    <w:rsid w:val="00C674CB"/>
    <w:rsid w:val="00C67AC4"/>
    <w:rsid w:val="00C67DCD"/>
    <w:rsid w:val="00C70108"/>
    <w:rsid w:val="00C708F7"/>
    <w:rsid w:val="00C70CFF"/>
    <w:rsid w:val="00C71A6A"/>
    <w:rsid w:val="00C7297E"/>
    <w:rsid w:val="00C74092"/>
    <w:rsid w:val="00C75301"/>
    <w:rsid w:val="00C75655"/>
    <w:rsid w:val="00C75D4E"/>
    <w:rsid w:val="00C761FB"/>
    <w:rsid w:val="00C7672B"/>
    <w:rsid w:val="00C7691A"/>
    <w:rsid w:val="00C76AF3"/>
    <w:rsid w:val="00C76C36"/>
    <w:rsid w:val="00C77A1F"/>
    <w:rsid w:val="00C804C7"/>
    <w:rsid w:val="00C80CA5"/>
    <w:rsid w:val="00C819B7"/>
    <w:rsid w:val="00C81DE1"/>
    <w:rsid w:val="00C8207E"/>
    <w:rsid w:val="00C8255A"/>
    <w:rsid w:val="00C828E0"/>
    <w:rsid w:val="00C82FC8"/>
    <w:rsid w:val="00C83650"/>
    <w:rsid w:val="00C837C3"/>
    <w:rsid w:val="00C84497"/>
    <w:rsid w:val="00C850A9"/>
    <w:rsid w:val="00C868F6"/>
    <w:rsid w:val="00C86953"/>
    <w:rsid w:val="00C90D64"/>
    <w:rsid w:val="00C9137C"/>
    <w:rsid w:val="00C91644"/>
    <w:rsid w:val="00C930D3"/>
    <w:rsid w:val="00C9443A"/>
    <w:rsid w:val="00C9663B"/>
    <w:rsid w:val="00CA011D"/>
    <w:rsid w:val="00CA1356"/>
    <w:rsid w:val="00CA269E"/>
    <w:rsid w:val="00CA2E99"/>
    <w:rsid w:val="00CA35C7"/>
    <w:rsid w:val="00CA3669"/>
    <w:rsid w:val="00CA43A5"/>
    <w:rsid w:val="00CA454D"/>
    <w:rsid w:val="00CA5FDE"/>
    <w:rsid w:val="00CA740C"/>
    <w:rsid w:val="00CA7C0B"/>
    <w:rsid w:val="00CA7F1D"/>
    <w:rsid w:val="00CB0A94"/>
    <w:rsid w:val="00CB0C94"/>
    <w:rsid w:val="00CB18EB"/>
    <w:rsid w:val="00CB18FC"/>
    <w:rsid w:val="00CB2039"/>
    <w:rsid w:val="00CB21D2"/>
    <w:rsid w:val="00CB2301"/>
    <w:rsid w:val="00CB244C"/>
    <w:rsid w:val="00CB33AE"/>
    <w:rsid w:val="00CB555B"/>
    <w:rsid w:val="00CB56AB"/>
    <w:rsid w:val="00CB6416"/>
    <w:rsid w:val="00CB65BF"/>
    <w:rsid w:val="00CB6E2B"/>
    <w:rsid w:val="00CB6FF7"/>
    <w:rsid w:val="00CB7302"/>
    <w:rsid w:val="00CB76C9"/>
    <w:rsid w:val="00CB792D"/>
    <w:rsid w:val="00CC1E9F"/>
    <w:rsid w:val="00CC4158"/>
    <w:rsid w:val="00CC5896"/>
    <w:rsid w:val="00CC6F89"/>
    <w:rsid w:val="00CD045F"/>
    <w:rsid w:val="00CD12FE"/>
    <w:rsid w:val="00CD2B54"/>
    <w:rsid w:val="00CD4158"/>
    <w:rsid w:val="00CD50AF"/>
    <w:rsid w:val="00CD5A0D"/>
    <w:rsid w:val="00CD6A2A"/>
    <w:rsid w:val="00CE0C35"/>
    <w:rsid w:val="00CE3810"/>
    <w:rsid w:val="00CE3A1B"/>
    <w:rsid w:val="00CE4315"/>
    <w:rsid w:val="00CE52B4"/>
    <w:rsid w:val="00CE59BB"/>
    <w:rsid w:val="00CE5DCD"/>
    <w:rsid w:val="00CE69CC"/>
    <w:rsid w:val="00CE6E0B"/>
    <w:rsid w:val="00CE701C"/>
    <w:rsid w:val="00CE7599"/>
    <w:rsid w:val="00CF0D84"/>
    <w:rsid w:val="00CF2095"/>
    <w:rsid w:val="00CF414A"/>
    <w:rsid w:val="00CF47E1"/>
    <w:rsid w:val="00CF4892"/>
    <w:rsid w:val="00CF4FF0"/>
    <w:rsid w:val="00CF57B0"/>
    <w:rsid w:val="00CF5B47"/>
    <w:rsid w:val="00CF607B"/>
    <w:rsid w:val="00CF6869"/>
    <w:rsid w:val="00D013CF"/>
    <w:rsid w:val="00D04FDD"/>
    <w:rsid w:val="00D06704"/>
    <w:rsid w:val="00D07911"/>
    <w:rsid w:val="00D079B4"/>
    <w:rsid w:val="00D104F9"/>
    <w:rsid w:val="00D12DD6"/>
    <w:rsid w:val="00D13100"/>
    <w:rsid w:val="00D14323"/>
    <w:rsid w:val="00D1581D"/>
    <w:rsid w:val="00D15D9F"/>
    <w:rsid w:val="00D16008"/>
    <w:rsid w:val="00D166D4"/>
    <w:rsid w:val="00D2099C"/>
    <w:rsid w:val="00D20D57"/>
    <w:rsid w:val="00D214F9"/>
    <w:rsid w:val="00D22631"/>
    <w:rsid w:val="00D241FB"/>
    <w:rsid w:val="00D263ED"/>
    <w:rsid w:val="00D2656C"/>
    <w:rsid w:val="00D30254"/>
    <w:rsid w:val="00D33768"/>
    <w:rsid w:val="00D33D87"/>
    <w:rsid w:val="00D34A8B"/>
    <w:rsid w:val="00D34C7A"/>
    <w:rsid w:val="00D34F4A"/>
    <w:rsid w:val="00D35077"/>
    <w:rsid w:val="00D35A6E"/>
    <w:rsid w:val="00D365A7"/>
    <w:rsid w:val="00D408A8"/>
    <w:rsid w:val="00D40B27"/>
    <w:rsid w:val="00D40B57"/>
    <w:rsid w:val="00D4104A"/>
    <w:rsid w:val="00D41458"/>
    <w:rsid w:val="00D415D6"/>
    <w:rsid w:val="00D41844"/>
    <w:rsid w:val="00D41A9C"/>
    <w:rsid w:val="00D43D51"/>
    <w:rsid w:val="00D43DC1"/>
    <w:rsid w:val="00D443C9"/>
    <w:rsid w:val="00D44A7C"/>
    <w:rsid w:val="00D45204"/>
    <w:rsid w:val="00D45DD3"/>
    <w:rsid w:val="00D4605D"/>
    <w:rsid w:val="00D4647A"/>
    <w:rsid w:val="00D46DAE"/>
    <w:rsid w:val="00D4749A"/>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1D34"/>
    <w:rsid w:val="00D623C4"/>
    <w:rsid w:val="00D62932"/>
    <w:rsid w:val="00D62CE8"/>
    <w:rsid w:val="00D669D3"/>
    <w:rsid w:val="00D66E9C"/>
    <w:rsid w:val="00D70501"/>
    <w:rsid w:val="00D7065C"/>
    <w:rsid w:val="00D7085E"/>
    <w:rsid w:val="00D71B53"/>
    <w:rsid w:val="00D722DF"/>
    <w:rsid w:val="00D72A2E"/>
    <w:rsid w:val="00D741FF"/>
    <w:rsid w:val="00D75606"/>
    <w:rsid w:val="00D769B9"/>
    <w:rsid w:val="00D77699"/>
    <w:rsid w:val="00D807D4"/>
    <w:rsid w:val="00D81975"/>
    <w:rsid w:val="00D81C1D"/>
    <w:rsid w:val="00D8223C"/>
    <w:rsid w:val="00D832EF"/>
    <w:rsid w:val="00D83F48"/>
    <w:rsid w:val="00D84675"/>
    <w:rsid w:val="00D8526A"/>
    <w:rsid w:val="00D86252"/>
    <w:rsid w:val="00D86625"/>
    <w:rsid w:val="00D86CCE"/>
    <w:rsid w:val="00D86EDF"/>
    <w:rsid w:val="00D86EF5"/>
    <w:rsid w:val="00D87CC5"/>
    <w:rsid w:val="00D917F3"/>
    <w:rsid w:val="00D95091"/>
    <w:rsid w:val="00D95CB0"/>
    <w:rsid w:val="00D96D38"/>
    <w:rsid w:val="00D96E35"/>
    <w:rsid w:val="00D973B2"/>
    <w:rsid w:val="00D97BAA"/>
    <w:rsid w:val="00DA0435"/>
    <w:rsid w:val="00DA0773"/>
    <w:rsid w:val="00DA1902"/>
    <w:rsid w:val="00DA3AF3"/>
    <w:rsid w:val="00DA495A"/>
    <w:rsid w:val="00DA4C31"/>
    <w:rsid w:val="00DA4C81"/>
    <w:rsid w:val="00DA544F"/>
    <w:rsid w:val="00DA5455"/>
    <w:rsid w:val="00DA57F0"/>
    <w:rsid w:val="00DA5C2B"/>
    <w:rsid w:val="00DA648B"/>
    <w:rsid w:val="00DA6C17"/>
    <w:rsid w:val="00DA6F07"/>
    <w:rsid w:val="00DB1369"/>
    <w:rsid w:val="00DB169E"/>
    <w:rsid w:val="00DB3347"/>
    <w:rsid w:val="00DB3E83"/>
    <w:rsid w:val="00DB422A"/>
    <w:rsid w:val="00DB4754"/>
    <w:rsid w:val="00DB5EFB"/>
    <w:rsid w:val="00DB6EF1"/>
    <w:rsid w:val="00DB6F95"/>
    <w:rsid w:val="00DB7732"/>
    <w:rsid w:val="00DC0893"/>
    <w:rsid w:val="00DC19BB"/>
    <w:rsid w:val="00DC2172"/>
    <w:rsid w:val="00DC4D3A"/>
    <w:rsid w:val="00DC5574"/>
    <w:rsid w:val="00DC6404"/>
    <w:rsid w:val="00DC72B1"/>
    <w:rsid w:val="00DC7B30"/>
    <w:rsid w:val="00DD008C"/>
    <w:rsid w:val="00DD113B"/>
    <w:rsid w:val="00DD215C"/>
    <w:rsid w:val="00DD2CC2"/>
    <w:rsid w:val="00DD3D8D"/>
    <w:rsid w:val="00DD4237"/>
    <w:rsid w:val="00DD4818"/>
    <w:rsid w:val="00DD57B3"/>
    <w:rsid w:val="00DD5848"/>
    <w:rsid w:val="00DD5D3F"/>
    <w:rsid w:val="00DD613D"/>
    <w:rsid w:val="00DD64C5"/>
    <w:rsid w:val="00DD701A"/>
    <w:rsid w:val="00DD7ABC"/>
    <w:rsid w:val="00DD7FDF"/>
    <w:rsid w:val="00DE0776"/>
    <w:rsid w:val="00DE0B09"/>
    <w:rsid w:val="00DE1703"/>
    <w:rsid w:val="00DE25AC"/>
    <w:rsid w:val="00DE6744"/>
    <w:rsid w:val="00DF03CC"/>
    <w:rsid w:val="00DF212C"/>
    <w:rsid w:val="00DF2791"/>
    <w:rsid w:val="00DF27D4"/>
    <w:rsid w:val="00DF568D"/>
    <w:rsid w:val="00DF67D2"/>
    <w:rsid w:val="00DF7069"/>
    <w:rsid w:val="00E0055D"/>
    <w:rsid w:val="00E00C1D"/>
    <w:rsid w:val="00E00CCB"/>
    <w:rsid w:val="00E03206"/>
    <w:rsid w:val="00E0324B"/>
    <w:rsid w:val="00E042C7"/>
    <w:rsid w:val="00E0781A"/>
    <w:rsid w:val="00E10B7B"/>
    <w:rsid w:val="00E10FAD"/>
    <w:rsid w:val="00E11475"/>
    <w:rsid w:val="00E116C5"/>
    <w:rsid w:val="00E12A46"/>
    <w:rsid w:val="00E13E04"/>
    <w:rsid w:val="00E1419D"/>
    <w:rsid w:val="00E14749"/>
    <w:rsid w:val="00E149C5"/>
    <w:rsid w:val="00E1511B"/>
    <w:rsid w:val="00E15C62"/>
    <w:rsid w:val="00E164A5"/>
    <w:rsid w:val="00E167D3"/>
    <w:rsid w:val="00E175A7"/>
    <w:rsid w:val="00E20168"/>
    <w:rsid w:val="00E20740"/>
    <w:rsid w:val="00E20E92"/>
    <w:rsid w:val="00E245DA"/>
    <w:rsid w:val="00E24645"/>
    <w:rsid w:val="00E24817"/>
    <w:rsid w:val="00E24A2B"/>
    <w:rsid w:val="00E25496"/>
    <w:rsid w:val="00E260C5"/>
    <w:rsid w:val="00E26C14"/>
    <w:rsid w:val="00E27101"/>
    <w:rsid w:val="00E27177"/>
    <w:rsid w:val="00E274B5"/>
    <w:rsid w:val="00E31BCB"/>
    <w:rsid w:val="00E32963"/>
    <w:rsid w:val="00E337BC"/>
    <w:rsid w:val="00E350CD"/>
    <w:rsid w:val="00E354A2"/>
    <w:rsid w:val="00E372A9"/>
    <w:rsid w:val="00E4001B"/>
    <w:rsid w:val="00E43094"/>
    <w:rsid w:val="00E4345D"/>
    <w:rsid w:val="00E43E14"/>
    <w:rsid w:val="00E4448C"/>
    <w:rsid w:val="00E45A4C"/>
    <w:rsid w:val="00E461C0"/>
    <w:rsid w:val="00E47262"/>
    <w:rsid w:val="00E50B9E"/>
    <w:rsid w:val="00E50E3D"/>
    <w:rsid w:val="00E50F64"/>
    <w:rsid w:val="00E51E10"/>
    <w:rsid w:val="00E51FDE"/>
    <w:rsid w:val="00E534B2"/>
    <w:rsid w:val="00E5659E"/>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6D0"/>
    <w:rsid w:val="00E71839"/>
    <w:rsid w:val="00E71A89"/>
    <w:rsid w:val="00E71DE5"/>
    <w:rsid w:val="00E71FC7"/>
    <w:rsid w:val="00E724E0"/>
    <w:rsid w:val="00E7694D"/>
    <w:rsid w:val="00E770B5"/>
    <w:rsid w:val="00E77197"/>
    <w:rsid w:val="00E77A3E"/>
    <w:rsid w:val="00E77E13"/>
    <w:rsid w:val="00E81B1A"/>
    <w:rsid w:val="00E81DD4"/>
    <w:rsid w:val="00E84FB3"/>
    <w:rsid w:val="00E8636D"/>
    <w:rsid w:val="00E86A3E"/>
    <w:rsid w:val="00E87037"/>
    <w:rsid w:val="00E93E09"/>
    <w:rsid w:val="00E940E0"/>
    <w:rsid w:val="00E944DF"/>
    <w:rsid w:val="00E95E9E"/>
    <w:rsid w:val="00E96D70"/>
    <w:rsid w:val="00E9767C"/>
    <w:rsid w:val="00EA0F03"/>
    <w:rsid w:val="00EA1EF9"/>
    <w:rsid w:val="00EA2CA0"/>
    <w:rsid w:val="00EA3031"/>
    <w:rsid w:val="00EA3C3F"/>
    <w:rsid w:val="00EA60B4"/>
    <w:rsid w:val="00EA6F81"/>
    <w:rsid w:val="00EA7237"/>
    <w:rsid w:val="00EB055B"/>
    <w:rsid w:val="00EB0A51"/>
    <w:rsid w:val="00EB0DC2"/>
    <w:rsid w:val="00EB112A"/>
    <w:rsid w:val="00EB29BA"/>
    <w:rsid w:val="00EB2FE6"/>
    <w:rsid w:val="00EB47AB"/>
    <w:rsid w:val="00EB57D6"/>
    <w:rsid w:val="00EB5931"/>
    <w:rsid w:val="00EB6050"/>
    <w:rsid w:val="00EB67F6"/>
    <w:rsid w:val="00EB7AFB"/>
    <w:rsid w:val="00EB7BC6"/>
    <w:rsid w:val="00EC103A"/>
    <w:rsid w:val="00EC1212"/>
    <w:rsid w:val="00EC1D3D"/>
    <w:rsid w:val="00EC2922"/>
    <w:rsid w:val="00EC3151"/>
    <w:rsid w:val="00EC3331"/>
    <w:rsid w:val="00EC518F"/>
    <w:rsid w:val="00EC5B5B"/>
    <w:rsid w:val="00EC677E"/>
    <w:rsid w:val="00EC7071"/>
    <w:rsid w:val="00EC7D34"/>
    <w:rsid w:val="00EC7E67"/>
    <w:rsid w:val="00ED0903"/>
    <w:rsid w:val="00ED0DF3"/>
    <w:rsid w:val="00ED1266"/>
    <w:rsid w:val="00ED1F5D"/>
    <w:rsid w:val="00ED3143"/>
    <w:rsid w:val="00ED3E97"/>
    <w:rsid w:val="00ED3F10"/>
    <w:rsid w:val="00ED4CE6"/>
    <w:rsid w:val="00ED5536"/>
    <w:rsid w:val="00ED56CF"/>
    <w:rsid w:val="00ED5B5C"/>
    <w:rsid w:val="00ED6630"/>
    <w:rsid w:val="00ED6B5A"/>
    <w:rsid w:val="00ED70BD"/>
    <w:rsid w:val="00ED7278"/>
    <w:rsid w:val="00ED7934"/>
    <w:rsid w:val="00EE0B3E"/>
    <w:rsid w:val="00EE1FD6"/>
    <w:rsid w:val="00EE2549"/>
    <w:rsid w:val="00EE37BB"/>
    <w:rsid w:val="00EE37C3"/>
    <w:rsid w:val="00EF183F"/>
    <w:rsid w:val="00EF2AAC"/>
    <w:rsid w:val="00EF3F1B"/>
    <w:rsid w:val="00EF4058"/>
    <w:rsid w:val="00EF4099"/>
    <w:rsid w:val="00EF4F82"/>
    <w:rsid w:val="00EF6BDC"/>
    <w:rsid w:val="00F0190F"/>
    <w:rsid w:val="00F01C4C"/>
    <w:rsid w:val="00F02786"/>
    <w:rsid w:val="00F0434F"/>
    <w:rsid w:val="00F05D0A"/>
    <w:rsid w:val="00F0670F"/>
    <w:rsid w:val="00F0692E"/>
    <w:rsid w:val="00F07FA6"/>
    <w:rsid w:val="00F1035C"/>
    <w:rsid w:val="00F11A64"/>
    <w:rsid w:val="00F11BB3"/>
    <w:rsid w:val="00F13036"/>
    <w:rsid w:val="00F13540"/>
    <w:rsid w:val="00F14B66"/>
    <w:rsid w:val="00F15C3C"/>
    <w:rsid w:val="00F1674F"/>
    <w:rsid w:val="00F172AE"/>
    <w:rsid w:val="00F2127D"/>
    <w:rsid w:val="00F215DE"/>
    <w:rsid w:val="00F21D1A"/>
    <w:rsid w:val="00F22865"/>
    <w:rsid w:val="00F244C9"/>
    <w:rsid w:val="00F24D75"/>
    <w:rsid w:val="00F261E3"/>
    <w:rsid w:val="00F30EB3"/>
    <w:rsid w:val="00F32E80"/>
    <w:rsid w:val="00F34B2F"/>
    <w:rsid w:val="00F34F33"/>
    <w:rsid w:val="00F366D8"/>
    <w:rsid w:val="00F36D1F"/>
    <w:rsid w:val="00F3769E"/>
    <w:rsid w:val="00F40249"/>
    <w:rsid w:val="00F40F06"/>
    <w:rsid w:val="00F41172"/>
    <w:rsid w:val="00F412BD"/>
    <w:rsid w:val="00F42669"/>
    <w:rsid w:val="00F4374F"/>
    <w:rsid w:val="00F46A6E"/>
    <w:rsid w:val="00F47128"/>
    <w:rsid w:val="00F4749B"/>
    <w:rsid w:val="00F514FB"/>
    <w:rsid w:val="00F523E8"/>
    <w:rsid w:val="00F528EC"/>
    <w:rsid w:val="00F52B73"/>
    <w:rsid w:val="00F52EF3"/>
    <w:rsid w:val="00F54F4B"/>
    <w:rsid w:val="00F56A79"/>
    <w:rsid w:val="00F56CE9"/>
    <w:rsid w:val="00F60793"/>
    <w:rsid w:val="00F61151"/>
    <w:rsid w:val="00F63723"/>
    <w:rsid w:val="00F64E44"/>
    <w:rsid w:val="00F64ECE"/>
    <w:rsid w:val="00F67B6E"/>
    <w:rsid w:val="00F7174B"/>
    <w:rsid w:val="00F72A85"/>
    <w:rsid w:val="00F732C8"/>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924"/>
    <w:rsid w:val="00F937D3"/>
    <w:rsid w:val="00F9388B"/>
    <w:rsid w:val="00F945ED"/>
    <w:rsid w:val="00F951A5"/>
    <w:rsid w:val="00F95989"/>
    <w:rsid w:val="00F97AF2"/>
    <w:rsid w:val="00FA0EEA"/>
    <w:rsid w:val="00FA320A"/>
    <w:rsid w:val="00FA5C88"/>
    <w:rsid w:val="00FA6372"/>
    <w:rsid w:val="00FA6845"/>
    <w:rsid w:val="00FA72D9"/>
    <w:rsid w:val="00FA7C8B"/>
    <w:rsid w:val="00FB0249"/>
    <w:rsid w:val="00FB3CE5"/>
    <w:rsid w:val="00FB6425"/>
    <w:rsid w:val="00FB793A"/>
    <w:rsid w:val="00FC0B12"/>
    <w:rsid w:val="00FC0E31"/>
    <w:rsid w:val="00FC2DFD"/>
    <w:rsid w:val="00FC2E19"/>
    <w:rsid w:val="00FC5915"/>
    <w:rsid w:val="00FC598D"/>
    <w:rsid w:val="00FC5D6D"/>
    <w:rsid w:val="00FC6961"/>
    <w:rsid w:val="00FD07DD"/>
    <w:rsid w:val="00FD2079"/>
    <w:rsid w:val="00FD2233"/>
    <w:rsid w:val="00FD30B0"/>
    <w:rsid w:val="00FD5BDD"/>
    <w:rsid w:val="00FD6657"/>
    <w:rsid w:val="00FD689A"/>
    <w:rsid w:val="00FD7187"/>
    <w:rsid w:val="00FD7B20"/>
    <w:rsid w:val="00FE015F"/>
    <w:rsid w:val="00FE0276"/>
    <w:rsid w:val="00FE35AE"/>
    <w:rsid w:val="00FE5873"/>
    <w:rsid w:val="00FE6027"/>
    <w:rsid w:val="00FE61B0"/>
    <w:rsid w:val="00FE6527"/>
    <w:rsid w:val="00FE6ADE"/>
    <w:rsid w:val="00FE7045"/>
    <w:rsid w:val="00FE76E3"/>
    <w:rsid w:val="00FF0584"/>
    <w:rsid w:val="00FF0B5C"/>
    <w:rsid w:val="00FF1695"/>
    <w:rsid w:val="00FF1A54"/>
    <w:rsid w:val="00FF4D4A"/>
    <w:rsid w:val="00FF5E09"/>
    <w:rsid w:val="00FF659E"/>
    <w:rsid w:val="00FF6B55"/>
    <w:rsid w:val="00FF6E5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061CE9"/>
    <w:pPr>
      <w:spacing w:after="0" w:line="240" w:lineRule="auto"/>
      <w:jc w:val="both"/>
    </w:pPr>
    <w:rPr>
      <w:rFonts w:ascii="Times New Roman" w:eastAsia="Times New Roman" w:hAnsi="Times New Roman" w:cs="Times New Roman"/>
      <w:sz w:val="26"/>
      <w:szCs w:val="20"/>
    </w:rPr>
  </w:style>
  <w:style w:type="paragraph" w:styleId="Revision">
    <w:name w:val="Revision"/>
    <w:hidden/>
    <w:uiPriority w:val="99"/>
    <w:semiHidden/>
    <w:rsid w:val="00142A6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061CE9"/>
    <w:pPr>
      <w:spacing w:after="0" w:line="240" w:lineRule="auto"/>
      <w:jc w:val="both"/>
    </w:pPr>
    <w:rPr>
      <w:rFonts w:ascii="Times New Roman" w:eastAsia="Times New Roman" w:hAnsi="Times New Roman" w:cs="Times New Roman"/>
      <w:sz w:val="26"/>
      <w:szCs w:val="20"/>
    </w:rPr>
  </w:style>
  <w:style w:type="paragraph" w:styleId="Revision">
    <w:name w:val="Revision"/>
    <w:hidden/>
    <w:uiPriority w:val="99"/>
    <w:semiHidden/>
    <w:rsid w:val="00142A6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9370-2A94-431D-BE5E-A639ACC1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2015-02-18T17:59:00Z</cp:lastPrinted>
  <dcterms:created xsi:type="dcterms:W3CDTF">2015-02-18T17:01:00Z</dcterms:created>
  <dcterms:modified xsi:type="dcterms:W3CDTF">2015-02-18T17:59:00Z</dcterms:modified>
</cp:coreProperties>
</file>