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E19" w:rsidRPr="00B62BE4" w:rsidRDefault="00376307" w:rsidP="00786E19">
      <w:pPr>
        <w:tabs>
          <w:tab w:val="left" w:pos="0"/>
        </w:tabs>
        <w:spacing w:after="0" w:line="240" w:lineRule="auto"/>
        <w:jc w:val="center"/>
        <w:rPr>
          <w:b/>
        </w:rPr>
      </w:pPr>
      <w:r>
        <w:rPr>
          <w:b/>
        </w:rPr>
        <w:t xml:space="preserve"> </w:t>
      </w:r>
      <w:r w:rsidR="00786E19" w:rsidRPr="00B62BE4">
        <w:rPr>
          <w:b/>
        </w:rPr>
        <w:t>BEFORE THE</w:t>
      </w:r>
    </w:p>
    <w:p w:rsidR="00786E19" w:rsidRPr="00B62BE4" w:rsidRDefault="00786E19" w:rsidP="00786E19">
      <w:pPr>
        <w:tabs>
          <w:tab w:val="left" w:pos="0"/>
        </w:tabs>
        <w:spacing w:after="0" w:line="240" w:lineRule="auto"/>
        <w:jc w:val="center"/>
        <w:rPr>
          <w:b/>
        </w:rPr>
      </w:pPr>
      <w:smartTag w:uri="urn:schemas-microsoft-com:office:smarttags" w:element="place">
        <w:smartTag w:uri="urn:schemas-microsoft-com:office:smarttags" w:element="State">
          <w:r w:rsidRPr="00B62BE4">
            <w:rPr>
              <w:b/>
            </w:rPr>
            <w:t>PENNSYLVANIA</w:t>
          </w:r>
        </w:smartTag>
      </w:smartTag>
      <w:r w:rsidRPr="00B62BE4">
        <w:rPr>
          <w:b/>
        </w:rPr>
        <w:t xml:space="preserve"> PUBLIC UTILITY COMMISSION</w:t>
      </w:r>
    </w:p>
    <w:p w:rsidR="00786E19" w:rsidRPr="00B62BE4" w:rsidRDefault="00786E19" w:rsidP="00786E19">
      <w:pPr>
        <w:tabs>
          <w:tab w:val="left" w:pos="0"/>
        </w:tabs>
        <w:spacing w:after="0" w:line="240" w:lineRule="auto"/>
        <w:jc w:val="both"/>
        <w:rPr>
          <w:b/>
        </w:rPr>
      </w:pPr>
    </w:p>
    <w:p w:rsidR="00786E19" w:rsidRPr="00B62BE4" w:rsidRDefault="00786E19" w:rsidP="00786E19">
      <w:pPr>
        <w:tabs>
          <w:tab w:val="left" w:pos="0"/>
        </w:tabs>
        <w:spacing w:after="0" w:line="240" w:lineRule="auto"/>
        <w:jc w:val="both"/>
        <w:rPr>
          <w:b/>
        </w:rPr>
      </w:pPr>
    </w:p>
    <w:p w:rsidR="00786E19" w:rsidRPr="00B62BE4" w:rsidRDefault="00786E19" w:rsidP="00786E19">
      <w:pPr>
        <w:tabs>
          <w:tab w:val="left" w:pos="0"/>
        </w:tabs>
        <w:spacing w:after="0" w:line="240" w:lineRule="auto"/>
        <w:jc w:val="both"/>
        <w:rPr>
          <w:b/>
        </w:rPr>
      </w:pPr>
    </w:p>
    <w:p w:rsidR="00786E19" w:rsidRPr="00B62BE4" w:rsidRDefault="00786E19" w:rsidP="00786E19">
      <w:pPr>
        <w:tabs>
          <w:tab w:val="left" w:pos="0"/>
        </w:tabs>
        <w:spacing w:after="0" w:line="240" w:lineRule="auto"/>
        <w:jc w:val="both"/>
      </w:pPr>
      <w:r>
        <w:t>Danielle Friedman</w:t>
      </w:r>
      <w:r>
        <w:tab/>
      </w:r>
      <w:r>
        <w:tab/>
      </w:r>
      <w:r>
        <w:tab/>
      </w:r>
      <w:r w:rsidRPr="00B62BE4">
        <w:tab/>
      </w:r>
      <w:r w:rsidRPr="00B62BE4">
        <w:tab/>
        <w:t>:</w:t>
      </w:r>
    </w:p>
    <w:p w:rsidR="00786E19" w:rsidRPr="00B62BE4" w:rsidRDefault="00786E19" w:rsidP="00786E19">
      <w:pPr>
        <w:tabs>
          <w:tab w:val="left" w:pos="0"/>
        </w:tabs>
        <w:spacing w:after="0" w:line="240" w:lineRule="auto"/>
        <w:jc w:val="both"/>
        <w:rPr>
          <w:b/>
        </w:rPr>
      </w:pPr>
      <w:r>
        <w:tab/>
      </w:r>
      <w:r>
        <w:tab/>
      </w:r>
      <w:r>
        <w:tab/>
      </w:r>
      <w:r>
        <w:tab/>
      </w:r>
      <w:r w:rsidRPr="00B62BE4">
        <w:tab/>
      </w:r>
      <w:r w:rsidRPr="00B62BE4">
        <w:tab/>
        <w:t>:</w:t>
      </w:r>
    </w:p>
    <w:p w:rsidR="00786E19" w:rsidRPr="00B62BE4" w:rsidRDefault="007679FA" w:rsidP="007679FA">
      <w:pPr>
        <w:tabs>
          <w:tab w:val="clear" w:pos="1440"/>
          <w:tab w:val="left" w:pos="0"/>
          <w:tab w:val="left" w:pos="720"/>
        </w:tabs>
        <w:spacing w:after="0" w:line="240" w:lineRule="auto"/>
        <w:jc w:val="both"/>
      </w:pPr>
      <w:r>
        <w:rPr>
          <w:b/>
        </w:rPr>
        <w:tab/>
        <w:t>v.</w:t>
      </w:r>
      <w:r w:rsidR="00786E19">
        <w:rPr>
          <w:b/>
        </w:rPr>
        <w:tab/>
      </w:r>
      <w:r w:rsidR="00786E19" w:rsidRPr="00B62BE4">
        <w:tab/>
      </w:r>
      <w:r w:rsidR="00786E19" w:rsidRPr="00B62BE4">
        <w:tab/>
      </w:r>
      <w:r w:rsidR="00786E19" w:rsidRPr="00B62BE4">
        <w:tab/>
      </w:r>
      <w:r w:rsidR="00786E19">
        <w:tab/>
      </w:r>
      <w:r>
        <w:tab/>
      </w:r>
      <w:r w:rsidR="00786E19" w:rsidRPr="00B62BE4">
        <w:t>:</w:t>
      </w:r>
      <w:r w:rsidR="00786E19" w:rsidRPr="00B62BE4">
        <w:rPr>
          <w:b/>
        </w:rPr>
        <w:tab/>
      </w:r>
      <w:r w:rsidR="00786E19" w:rsidRPr="00B62BE4">
        <w:rPr>
          <w:b/>
        </w:rPr>
        <w:tab/>
      </w:r>
      <w:r w:rsidR="00786E19" w:rsidRPr="00B62BE4">
        <w:t>C-</w:t>
      </w:r>
      <w:r w:rsidR="00786E19">
        <w:t>2014-2444131</w:t>
      </w:r>
    </w:p>
    <w:p w:rsidR="00786E19" w:rsidRPr="00B62BE4" w:rsidRDefault="00786E19" w:rsidP="00786E19">
      <w:pPr>
        <w:tabs>
          <w:tab w:val="left" w:pos="0"/>
        </w:tabs>
        <w:spacing w:after="0" w:line="240" w:lineRule="auto"/>
        <w:jc w:val="both"/>
      </w:pPr>
      <w:r w:rsidRPr="00B62BE4">
        <w:tab/>
      </w:r>
      <w:r w:rsidRPr="00B62BE4">
        <w:tab/>
      </w:r>
      <w:r w:rsidRPr="00B62BE4">
        <w:tab/>
      </w:r>
      <w:r w:rsidRPr="00B62BE4">
        <w:tab/>
      </w:r>
      <w:r w:rsidRPr="00B62BE4">
        <w:tab/>
      </w:r>
      <w:r w:rsidRPr="00B62BE4">
        <w:tab/>
        <w:t>:</w:t>
      </w:r>
    </w:p>
    <w:p w:rsidR="00786E19" w:rsidRDefault="00786E19" w:rsidP="00786E19">
      <w:pPr>
        <w:tabs>
          <w:tab w:val="left" w:pos="0"/>
        </w:tabs>
        <w:spacing w:after="0" w:line="240" w:lineRule="auto"/>
        <w:jc w:val="both"/>
      </w:pPr>
      <w:r>
        <w:t>Uber Technologies, Inc.</w:t>
      </w:r>
      <w:r>
        <w:tab/>
      </w:r>
      <w:r w:rsidRPr="00B62BE4">
        <w:tab/>
      </w:r>
      <w:r w:rsidRPr="00B62BE4">
        <w:tab/>
      </w:r>
      <w:r w:rsidRPr="00B62BE4">
        <w:tab/>
        <w:t>:</w:t>
      </w:r>
    </w:p>
    <w:p w:rsidR="00F143CA" w:rsidRPr="00B62BE4" w:rsidRDefault="00F143CA" w:rsidP="00786E19">
      <w:pPr>
        <w:tabs>
          <w:tab w:val="left" w:pos="0"/>
        </w:tabs>
        <w:spacing w:after="0" w:line="240" w:lineRule="auto"/>
        <w:jc w:val="both"/>
      </w:pPr>
    </w:p>
    <w:p w:rsidR="00786E19" w:rsidRPr="00B62BE4" w:rsidRDefault="00786E19" w:rsidP="00786E19">
      <w:pPr>
        <w:tabs>
          <w:tab w:val="left" w:pos="0"/>
        </w:tabs>
        <w:spacing w:after="0" w:line="240" w:lineRule="auto"/>
        <w:jc w:val="both"/>
      </w:pPr>
    </w:p>
    <w:p w:rsidR="00786E19" w:rsidRDefault="00F143CA" w:rsidP="00786E19">
      <w:pPr>
        <w:spacing w:after="0" w:line="240" w:lineRule="auto"/>
        <w:jc w:val="center"/>
        <w:rPr>
          <w:b/>
        </w:rPr>
      </w:pPr>
      <w:r>
        <w:rPr>
          <w:b/>
        </w:rPr>
        <w:t xml:space="preserve"> </w:t>
      </w:r>
    </w:p>
    <w:p w:rsidR="00150A22" w:rsidRPr="007C0397" w:rsidRDefault="00150A22" w:rsidP="007C0397">
      <w:pPr>
        <w:tabs>
          <w:tab w:val="left" w:pos="2520"/>
        </w:tabs>
        <w:spacing w:after="0" w:line="240" w:lineRule="auto"/>
        <w:jc w:val="center"/>
        <w:rPr>
          <w:b/>
        </w:rPr>
      </w:pPr>
      <w:r w:rsidRPr="007C0397">
        <w:rPr>
          <w:b/>
        </w:rPr>
        <w:t>INITIAL DECISION</w:t>
      </w:r>
    </w:p>
    <w:p w:rsidR="00150A22" w:rsidRDefault="00B444CC" w:rsidP="00CF4DC4">
      <w:pPr>
        <w:spacing w:after="0" w:line="240" w:lineRule="auto"/>
        <w:jc w:val="center"/>
        <w:rPr>
          <w:b/>
          <w:u w:val="single"/>
        </w:rPr>
      </w:pPr>
      <w:r>
        <w:rPr>
          <w:b/>
          <w:u w:val="single"/>
        </w:rPr>
        <w:t xml:space="preserve">GRANTING </w:t>
      </w:r>
      <w:r w:rsidR="00150A22" w:rsidRPr="007C0397">
        <w:rPr>
          <w:b/>
          <w:u w:val="single"/>
        </w:rPr>
        <w:t xml:space="preserve"> PRELIMINARY OBJECTION</w:t>
      </w:r>
      <w:r w:rsidR="00850FC1">
        <w:rPr>
          <w:b/>
          <w:u w:val="single"/>
        </w:rPr>
        <w:t xml:space="preserve"> AND DISMISSING COMPLAINT</w:t>
      </w:r>
      <w:bookmarkStart w:id="0" w:name="_GoBack"/>
      <w:bookmarkEnd w:id="0"/>
    </w:p>
    <w:p w:rsidR="00CF4DC4" w:rsidRPr="007C0397" w:rsidRDefault="00CF4DC4" w:rsidP="00CF4DC4">
      <w:pPr>
        <w:spacing w:after="0" w:line="240" w:lineRule="auto"/>
        <w:jc w:val="center"/>
        <w:rPr>
          <w:b/>
          <w:u w:val="single"/>
        </w:rPr>
      </w:pPr>
    </w:p>
    <w:p w:rsidR="007C0397" w:rsidRPr="00CF4DC4" w:rsidRDefault="007C0397" w:rsidP="00CF4DC4">
      <w:pPr>
        <w:spacing w:after="0"/>
        <w:rPr>
          <w:i/>
        </w:rPr>
      </w:pPr>
    </w:p>
    <w:p w:rsidR="007C0397" w:rsidRPr="00CF4DC4" w:rsidRDefault="007C0397" w:rsidP="007C0397">
      <w:pPr>
        <w:spacing w:after="0" w:line="240" w:lineRule="auto"/>
        <w:jc w:val="center"/>
      </w:pPr>
      <w:r w:rsidRPr="00CF4DC4">
        <w:t>Before</w:t>
      </w:r>
    </w:p>
    <w:p w:rsidR="007C0397" w:rsidRDefault="007C0397" w:rsidP="007C0397">
      <w:pPr>
        <w:spacing w:after="0" w:line="240" w:lineRule="auto"/>
        <w:jc w:val="center"/>
      </w:pPr>
      <w:r>
        <w:t>Mary D. Long</w:t>
      </w:r>
    </w:p>
    <w:p w:rsidR="007C0397" w:rsidRDefault="007C0397" w:rsidP="00A31482">
      <w:pPr>
        <w:spacing w:after="0" w:line="240" w:lineRule="auto"/>
        <w:jc w:val="center"/>
      </w:pPr>
      <w:r>
        <w:t>Administrative Law Judge</w:t>
      </w:r>
    </w:p>
    <w:p w:rsidR="007C0397" w:rsidRDefault="007C0397" w:rsidP="00A31482"/>
    <w:p w:rsidR="00150A22" w:rsidRDefault="007C0397" w:rsidP="00A31482">
      <w:pPr>
        <w:spacing w:after="0"/>
      </w:pPr>
      <w:r>
        <w:tab/>
      </w:r>
      <w:r w:rsidR="00150A22">
        <w:t>The formal complaint of an individual against a transportation network company is dismiss</w:t>
      </w:r>
      <w:r w:rsidR="006D0205">
        <w:t>ed</w:t>
      </w:r>
      <w:r w:rsidR="00150A22">
        <w:t xml:space="preserve">.  The complaint does not allege any facts </w:t>
      </w:r>
      <w:r w:rsidR="005133DE">
        <w:t>that articulate a</w:t>
      </w:r>
      <w:r w:rsidR="004561B6">
        <w:t xml:space="preserve"> specific harm </w:t>
      </w:r>
      <w:r w:rsidR="00FE5D17">
        <w:t xml:space="preserve">to </w:t>
      </w:r>
      <w:r w:rsidR="004561B6">
        <w:t xml:space="preserve">the </w:t>
      </w:r>
      <w:r w:rsidR="00150A22">
        <w:t>complainant.  Therefore, the complainant lacks standing and the complaint must be dismissed.</w:t>
      </w:r>
    </w:p>
    <w:p w:rsidR="00A31482" w:rsidRDefault="00A31482" w:rsidP="00A31482">
      <w:pPr>
        <w:spacing w:after="0"/>
      </w:pPr>
    </w:p>
    <w:p w:rsidR="00150A22" w:rsidRDefault="00150A22" w:rsidP="00536F90">
      <w:pPr>
        <w:spacing w:after="0"/>
        <w:jc w:val="center"/>
        <w:rPr>
          <w:u w:val="single"/>
        </w:rPr>
      </w:pPr>
      <w:r w:rsidRPr="007C0397">
        <w:rPr>
          <w:u w:val="single"/>
        </w:rPr>
        <w:t>PROCEDURAL HISTORY</w:t>
      </w:r>
    </w:p>
    <w:p w:rsidR="00536F90" w:rsidRPr="007C0397" w:rsidRDefault="00536F90" w:rsidP="00536F90">
      <w:pPr>
        <w:spacing w:after="0"/>
        <w:jc w:val="center"/>
        <w:rPr>
          <w:u w:val="single"/>
        </w:rPr>
      </w:pPr>
    </w:p>
    <w:p w:rsidR="00150A22" w:rsidRDefault="00150A22" w:rsidP="00BF1BED">
      <w:pPr>
        <w:spacing w:after="0"/>
      </w:pPr>
      <w:r>
        <w:tab/>
        <w:t>Danielle Friedman (Complainant) filed a formal complaint against Uber Technologies, Inc. (Uber) and unnamed paratransit providers in Philadelphia on September 23, 2014.  She alleges that Uber has entered into agreements with unknown paratransit companies to offer transportation services</w:t>
      </w:r>
      <w:r w:rsidR="00044A59">
        <w:t xml:space="preserve"> in wheelchair vehicles</w:t>
      </w:r>
      <w:r>
        <w:t>.  In her view, the partnership is in violation of Commission regulations.  She also contends that the tariffs used by Uber have not been approve</w:t>
      </w:r>
      <w:r w:rsidR="004561B6">
        <w:t>d by the Commission.  As relief, she</w:t>
      </w:r>
      <w:r>
        <w:t xml:space="preserve"> requests the Commission to fine the participating paratransit companies and preclude both these companies and Uber from offering transportation services.</w:t>
      </w:r>
    </w:p>
    <w:p w:rsidR="00BF1BED" w:rsidRDefault="00BF1BED" w:rsidP="00BF1BED">
      <w:pPr>
        <w:spacing w:after="0"/>
      </w:pPr>
    </w:p>
    <w:p w:rsidR="00150A22" w:rsidRDefault="00150A22" w:rsidP="00BF1BED">
      <w:pPr>
        <w:spacing w:after="0"/>
      </w:pPr>
      <w:r>
        <w:lastRenderedPageBreak/>
        <w:tab/>
        <w:t xml:space="preserve">Uber filed a timely answer on </w:t>
      </w:r>
      <w:r w:rsidR="00944DAF">
        <w:t>October 14, 2014, denying the mat</w:t>
      </w:r>
      <w:r w:rsidR="00F143CA">
        <w:t>erial allegations of the complai</w:t>
      </w:r>
      <w:r w:rsidR="00944DAF">
        <w:t>nt.  Uber also filed</w:t>
      </w:r>
      <w:r w:rsidR="004561B6">
        <w:t xml:space="preserve"> a preliminary objection</w:t>
      </w:r>
      <w:r w:rsidR="00944DAF">
        <w:t xml:space="preserve"> seeking dismissal of the complaint alleging that the Complainant is not a customer of Uber</w:t>
      </w:r>
      <w:r w:rsidR="007C0397">
        <w:t>, has not alleged a specific injury</w:t>
      </w:r>
      <w:r w:rsidR="00944DAF">
        <w:t xml:space="preserve"> and therefore has no standing to complain.</w:t>
      </w:r>
      <w:r w:rsidR="007C0397">
        <w:t xml:space="preserve">  The Complainant filed an answer to the preliminary objection which admits that she is not a customer of Uber, but claims that she is a shareholder in a dispatch company in Philadelphia.</w:t>
      </w:r>
    </w:p>
    <w:p w:rsidR="00A31482" w:rsidRDefault="00A31482" w:rsidP="00A31482">
      <w:pPr>
        <w:spacing w:after="0"/>
      </w:pPr>
    </w:p>
    <w:p w:rsidR="00150A22" w:rsidRDefault="00150A22" w:rsidP="00A31482">
      <w:pPr>
        <w:spacing w:after="0"/>
        <w:jc w:val="center"/>
        <w:rPr>
          <w:u w:val="single"/>
        </w:rPr>
      </w:pPr>
      <w:r w:rsidRPr="00701B44">
        <w:rPr>
          <w:u w:val="single"/>
        </w:rPr>
        <w:t>DISCUSSION</w:t>
      </w:r>
    </w:p>
    <w:p w:rsidR="00A31482" w:rsidRPr="00701B44" w:rsidRDefault="00A31482" w:rsidP="00A31482">
      <w:pPr>
        <w:spacing w:after="0"/>
        <w:jc w:val="center"/>
        <w:rPr>
          <w:u w:val="single"/>
        </w:rPr>
      </w:pPr>
    </w:p>
    <w:p w:rsidR="00150A22" w:rsidRDefault="00150A22" w:rsidP="00A31482">
      <w:pPr>
        <w:spacing w:after="0"/>
      </w:pPr>
      <w:r>
        <w:tab/>
        <w:t>Preliminary objection practice before the Commission is similar to Pennsylvania civil practice respecting preliminary objections.</w:t>
      </w:r>
      <w:r>
        <w:rPr>
          <w:rStyle w:val="FootnoteReference"/>
        </w:rPr>
        <w:footnoteReference w:id="1"/>
      </w:r>
      <w:r>
        <w:t xml:space="preserve">  A preliminary objection which seeks dismissal of a pleading will only be granted where relief is clearly warranted and free from doubt.</w:t>
      </w:r>
      <w:r>
        <w:rPr>
          <w:rStyle w:val="FootnoteReference"/>
        </w:rPr>
        <w:footnoteReference w:id="2"/>
      </w:r>
      <w:r>
        <w:t xml:space="preserve">  The moving party may not rely on its own factual assertions, but must accept for the purpose of disposition of the motion, all well-pleaded material facts of the other party, as well as every inference fairly deducible from those facts.</w:t>
      </w:r>
      <w:r>
        <w:rPr>
          <w:rStyle w:val="FootnoteReference"/>
        </w:rPr>
        <w:footnoteReference w:id="3"/>
      </w:r>
      <w:r>
        <w:t xml:space="preserve">  Therefore, in ruling on a preliminary objection, the Commission must assume, for decisional purposes only, that the factual allegations of the complaint are true.</w:t>
      </w:r>
      <w:r>
        <w:rPr>
          <w:rStyle w:val="FootnoteReference"/>
        </w:rPr>
        <w:footnoteReference w:id="4"/>
      </w:r>
    </w:p>
    <w:p w:rsidR="00A31482" w:rsidRDefault="00A31482" w:rsidP="00A31482">
      <w:pPr>
        <w:spacing w:after="0"/>
      </w:pPr>
    </w:p>
    <w:p w:rsidR="00150A22" w:rsidRDefault="00150A22" w:rsidP="00150A22">
      <w:r>
        <w:tab/>
        <w:t xml:space="preserve">The grounds for preliminary objection, under the Commission’s rules, are limited: </w:t>
      </w:r>
    </w:p>
    <w:p w:rsidR="00150A22" w:rsidRDefault="00150A22" w:rsidP="00150A22">
      <w:pPr>
        <w:pStyle w:val="Quote"/>
        <w:spacing w:after="240" w:line="360" w:lineRule="auto"/>
        <w:ind w:firstLine="720"/>
      </w:pPr>
      <w:r>
        <w:t xml:space="preserve">§ 5.101.  </w:t>
      </w:r>
      <w:proofErr w:type="gramStart"/>
      <w:r>
        <w:t>Preliminary objections.</w:t>
      </w:r>
      <w:proofErr w:type="gramEnd"/>
    </w:p>
    <w:p w:rsidR="00A11CB7" w:rsidRDefault="00150A22" w:rsidP="00150A22">
      <w:pPr>
        <w:pStyle w:val="Quote"/>
        <w:spacing w:after="240"/>
        <w:ind w:left="1440" w:right="1440"/>
      </w:pPr>
      <w:r>
        <w:t>(a)</w:t>
      </w:r>
      <w:r>
        <w:tab/>
        <w:t xml:space="preserve">Grounds.  Preliminary objections are available to parties and may be filed in response to a pleading except motions and prior preliminary objections.  Preliminary objections must be </w:t>
      </w:r>
    </w:p>
    <w:p w:rsidR="00A11CB7" w:rsidRPr="00A11CB7" w:rsidRDefault="00A11CB7" w:rsidP="00A11CB7"/>
    <w:p w:rsidR="00150A22" w:rsidRDefault="00150A22" w:rsidP="00150A22">
      <w:pPr>
        <w:pStyle w:val="Quote"/>
        <w:spacing w:after="240"/>
        <w:ind w:left="1440" w:right="1440"/>
      </w:pPr>
      <w:r>
        <w:lastRenderedPageBreak/>
        <w:t>accompanied by a notice to plead, must state specifically the legal and factual grounds relied upon and be limited to the following:</w:t>
      </w:r>
    </w:p>
    <w:p w:rsidR="00150A22" w:rsidRDefault="00150A22" w:rsidP="00150A22">
      <w:pPr>
        <w:pStyle w:val="Quote"/>
        <w:ind w:left="1440" w:right="1440" w:firstLine="720"/>
      </w:pPr>
      <w:r>
        <w:t>(1)</w:t>
      </w:r>
      <w:r>
        <w:tab/>
        <w:t>Lack of Commission jurisdiction or improper service of the pleading initiating the proceeding.</w:t>
      </w:r>
    </w:p>
    <w:p w:rsidR="00150A22" w:rsidRDefault="00150A22" w:rsidP="00150A22">
      <w:pPr>
        <w:pStyle w:val="Quote"/>
        <w:ind w:left="1440" w:right="1440" w:firstLine="720"/>
      </w:pPr>
      <w:r>
        <w:t>(2)</w:t>
      </w:r>
      <w:r>
        <w:tab/>
        <w:t>Failure of a pleading to conform to this chapter or the inclusion of scandalous or impertinent matter.</w:t>
      </w:r>
    </w:p>
    <w:p w:rsidR="00150A22" w:rsidRDefault="00150A22" w:rsidP="00150A22">
      <w:pPr>
        <w:pStyle w:val="Quote"/>
        <w:ind w:left="1440" w:right="1440" w:firstLine="720"/>
      </w:pPr>
      <w:r>
        <w:t>(3)</w:t>
      </w:r>
      <w:r>
        <w:tab/>
        <w:t>Insufficient specificity of a pleading.</w:t>
      </w:r>
    </w:p>
    <w:p w:rsidR="00150A22" w:rsidRDefault="00150A22" w:rsidP="00150A22">
      <w:pPr>
        <w:pStyle w:val="Quote"/>
        <w:ind w:left="1440" w:right="1440" w:firstLine="720"/>
      </w:pPr>
      <w:r>
        <w:t>(4)</w:t>
      </w:r>
      <w:r>
        <w:tab/>
        <w:t>Legal insufficiency of a pleading.</w:t>
      </w:r>
    </w:p>
    <w:p w:rsidR="00150A22" w:rsidRDefault="00150A22" w:rsidP="00150A22">
      <w:pPr>
        <w:pStyle w:val="Quote"/>
        <w:ind w:left="1440" w:right="1440" w:firstLine="720"/>
      </w:pPr>
      <w:r>
        <w:t>(5)</w:t>
      </w:r>
      <w:r>
        <w:tab/>
        <w:t>Lack of capacity to sue, nonjoinder of a necessary party or misjoinder of a cause of action.</w:t>
      </w:r>
    </w:p>
    <w:p w:rsidR="00150A22" w:rsidRDefault="00150A22" w:rsidP="00150A22">
      <w:pPr>
        <w:pStyle w:val="Quote"/>
        <w:ind w:left="1440" w:right="1440" w:firstLine="720"/>
      </w:pPr>
      <w:r>
        <w:t>(6)</w:t>
      </w:r>
      <w:r>
        <w:tab/>
        <w:t>Pendency of a prior proceeding or agreement for alternative dispute resolution.</w:t>
      </w:r>
    </w:p>
    <w:p w:rsidR="00150A22" w:rsidRDefault="00150A22" w:rsidP="003E1C37">
      <w:pPr>
        <w:spacing w:after="0"/>
      </w:pPr>
      <w:r>
        <w:tab/>
      </w:r>
      <w:r>
        <w:tab/>
        <w:t xml:space="preserve">(7) </w:t>
      </w:r>
      <w:r>
        <w:tab/>
        <w:t>Standing of a party to participate in the proceeding.</w:t>
      </w:r>
    </w:p>
    <w:p w:rsidR="00150A22" w:rsidRDefault="00150A22" w:rsidP="003E1C37">
      <w:pPr>
        <w:spacing w:after="0"/>
      </w:pPr>
      <w:r>
        <w:tab/>
      </w:r>
    </w:p>
    <w:p w:rsidR="00150A22" w:rsidRDefault="00150A22" w:rsidP="00BF1BED">
      <w:pPr>
        <w:spacing w:after="0"/>
      </w:pPr>
      <w:r>
        <w:tab/>
        <w:t>Uber contends that the complaint should be dismissed because the complaint does not demonstrate that the Complainant has standing</w:t>
      </w:r>
      <w:r w:rsidR="009974D3">
        <w:t>.</w:t>
      </w:r>
      <w:r>
        <w:t xml:space="preserve">  </w:t>
      </w:r>
      <w:r w:rsidR="005133DE">
        <w:t xml:space="preserve">In her answer, the </w:t>
      </w:r>
      <w:r>
        <w:t xml:space="preserve">Complainant denies this allegation </w:t>
      </w:r>
      <w:r w:rsidR="009974D3">
        <w:t>by stating that she is a shareholder in a dispatch company authorized by the Philadelphia Parking Authority to dispatch taxicabs, including wheelchair accessible vehicles</w:t>
      </w:r>
      <w:r>
        <w:t>.</w:t>
      </w:r>
      <w:r w:rsidR="006E4E53">
        <w:t xml:space="preserve">  She states that the arrangement between Uber and the unnamed paratransit carriers is having an adverse impact on her business.</w:t>
      </w:r>
      <w:r w:rsidR="00044A59">
        <w:t xml:space="preserve"> </w:t>
      </w:r>
    </w:p>
    <w:p w:rsidR="003E1C37" w:rsidRDefault="003E1C37" w:rsidP="00BF1BED">
      <w:pPr>
        <w:spacing w:after="0"/>
      </w:pPr>
    </w:p>
    <w:p w:rsidR="003E1C37" w:rsidRDefault="00150A22" w:rsidP="003E1C37">
      <w:pPr>
        <w:spacing w:after="0"/>
      </w:pPr>
      <w:r>
        <w:tab/>
      </w:r>
      <w:r w:rsidRPr="00952398">
        <w:t>Determining whether someone has a cognizable interest in an administrative proceeding is akin to deciding the legal principle of “standing” in a civil court.  To have standing in civil practice, a party must have a substantial interest in the subject matter of the litigation, the interest must be direct, and the interest must be immediate and not a remote consequence.</w:t>
      </w:r>
      <w:r>
        <w:rPr>
          <w:rStyle w:val="FootnoteReference"/>
        </w:rPr>
        <w:footnoteReference w:id="5"/>
      </w:r>
      <w:r w:rsidRPr="00952398">
        <w:t xml:space="preserve">  The core concept of the question of “standing” is that a person, who is not adversely affected in any way by the matter he/she seeks to challenge, is not “aggrieved” thereby and has no standing to obtain a judicial resolution of his/her challenge.</w:t>
      </w:r>
      <w:r>
        <w:rPr>
          <w:rStyle w:val="FootnoteReference"/>
        </w:rPr>
        <w:footnoteReference w:id="6"/>
      </w:r>
      <w:r w:rsidRPr="00952398">
        <w:t xml:space="preserve">  The requirement of a “substantial” interest means the litigant must have some discernible adverse effect upon some interest other than the </w:t>
      </w:r>
      <w:r w:rsidRPr="00952398">
        <w:lastRenderedPageBreak/>
        <w:t>abstract interest of all citizens in havi</w:t>
      </w:r>
      <w:r>
        <w:t>ng others comply with the law.</w:t>
      </w:r>
      <w:r>
        <w:rPr>
          <w:rStyle w:val="FootnoteReference"/>
        </w:rPr>
        <w:footnoteReference w:id="7"/>
      </w:r>
      <w:r w:rsidRPr="00952398">
        <w:t xml:space="preserve">  The requirement that the litigant’s interest be “direct” simply means the person claiming to be aggrieved must show causation of the harm to his/her interest as a matter of which he/she complains.</w:t>
      </w:r>
      <w:r>
        <w:rPr>
          <w:rStyle w:val="FootnoteReference"/>
        </w:rPr>
        <w:footnoteReference w:id="8"/>
      </w:r>
      <w:r w:rsidRPr="00952398">
        <w:t xml:space="preserve">  The interest sought to be protected must be “immediate” and “not a remote </w:t>
      </w:r>
      <w:r>
        <w:t>consequence of the judgment.”</w:t>
      </w:r>
      <w:r>
        <w:rPr>
          <w:rStyle w:val="FootnoteReference"/>
        </w:rPr>
        <w:footnoteReference w:id="9"/>
      </w:r>
      <w:r>
        <w:t xml:space="preserve"> </w:t>
      </w:r>
    </w:p>
    <w:p w:rsidR="003E1C37" w:rsidRDefault="003E1C37" w:rsidP="003E1C37">
      <w:pPr>
        <w:spacing w:after="0"/>
      </w:pPr>
    </w:p>
    <w:p w:rsidR="00675C79" w:rsidRDefault="007978AE" w:rsidP="003E1C37">
      <w:pPr>
        <w:spacing w:after="0"/>
      </w:pPr>
      <w:r>
        <w:tab/>
        <w:t>I reject the notion set forth by Uber, that one must be a customer in order to lodge a complaint alleging a violation of Commission regulati</w:t>
      </w:r>
      <w:r w:rsidR="006F206A">
        <w:t xml:space="preserve">ons by a transportation company.  However, </w:t>
      </w:r>
      <w:r>
        <w:t>the Complainant has only alleged a general interest in compliance with the law rather than a specific harm to her directly arising from the violation of the law.</w:t>
      </w:r>
      <w:r w:rsidR="006F206A">
        <w:t xml:space="preserve">  She simply observes that she believes that Uber and other </w:t>
      </w:r>
      <w:r w:rsidR="004724BC">
        <w:t>unnamed motor carriers</w:t>
      </w:r>
      <w:r w:rsidR="006F206A">
        <w:t xml:space="preserve"> are engaged in brokering transportation services in wheelchair accessible vehicles</w:t>
      </w:r>
      <w:r w:rsidR="004724BC">
        <w:t xml:space="preserve"> in violation of Commission regulations</w:t>
      </w:r>
      <w:r w:rsidR="006F206A">
        <w:t xml:space="preserve">.  Her complaint does not in any way describe how this conduct is a harm specific to her or an interest of hers, or even the service territory where this conduct is occurring.  </w:t>
      </w:r>
    </w:p>
    <w:p w:rsidR="003E1C37" w:rsidRDefault="003E1C37" w:rsidP="003E1C37">
      <w:pPr>
        <w:spacing w:after="0"/>
      </w:pPr>
    </w:p>
    <w:p w:rsidR="007978AE" w:rsidRDefault="00675C79" w:rsidP="00BF1BED">
      <w:pPr>
        <w:spacing w:after="0"/>
      </w:pPr>
      <w:r>
        <w:tab/>
      </w:r>
      <w:r w:rsidR="004724BC">
        <w:t>Further, a</w:t>
      </w:r>
      <w:r>
        <w:t>s explained above, only the facts alleged i</w:t>
      </w:r>
      <w:r w:rsidR="004724BC">
        <w:t>n the complaint may be considered</w:t>
      </w:r>
      <w:r>
        <w:t xml:space="preserve"> when ruling on preliminary objections.  Here, the Complainant raised new facts in her answer to Uber’s preliminary objection, but did not file an amended complaint to properly plead those facts.  Even if I considered the facts alleged in her answer, she states that her authority is from the Philadelphia Parking Authority, not the Public Utility Commission.  </w:t>
      </w:r>
      <w:r w:rsidR="004724BC">
        <w:t>She does not allege an impact to her operation</w:t>
      </w:r>
      <w:r>
        <w:t xml:space="preserve"> in territory subject to the Commission’s regulations.  </w:t>
      </w:r>
      <w:r w:rsidR="006F206A">
        <w:t xml:space="preserve">Therefore, I must find that the complaint fails to state a claim that the Complainant has standing to </w:t>
      </w:r>
      <w:r w:rsidR="00342C2A">
        <w:t>pursue</w:t>
      </w:r>
      <w:r w:rsidR="004724BC">
        <w:t xml:space="preserve"> before the Commission.  I will therefore grant Uber’s preliminary</w:t>
      </w:r>
      <w:r w:rsidR="006F206A">
        <w:t xml:space="preserve"> objection and dismiss the complaint.</w:t>
      </w:r>
    </w:p>
    <w:p w:rsidR="003E1C37" w:rsidRDefault="003E1C37" w:rsidP="00BF1BED">
      <w:pPr>
        <w:spacing w:after="0"/>
      </w:pPr>
    </w:p>
    <w:p w:rsidR="006F206A" w:rsidRDefault="006F206A" w:rsidP="003E1C37">
      <w:pPr>
        <w:spacing w:after="0"/>
        <w:jc w:val="center"/>
        <w:rPr>
          <w:u w:val="single"/>
        </w:rPr>
      </w:pPr>
      <w:r w:rsidRPr="001859C9">
        <w:rPr>
          <w:u w:val="single"/>
        </w:rPr>
        <w:t>CONCLUSIONS OF LAW</w:t>
      </w:r>
    </w:p>
    <w:p w:rsidR="003E1C37" w:rsidRPr="001859C9" w:rsidRDefault="003E1C37" w:rsidP="003E1C37">
      <w:pPr>
        <w:spacing w:after="0"/>
        <w:jc w:val="center"/>
        <w:rPr>
          <w:u w:val="single"/>
        </w:rPr>
      </w:pPr>
    </w:p>
    <w:p w:rsidR="006F206A" w:rsidRDefault="006F206A" w:rsidP="003E1C37">
      <w:pPr>
        <w:spacing w:after="0"/>
      </w:pPr>
      <w:r>
        <w:tab/>
        <w:t>1.</w:t>
      </w:r>
      <w:r>
        <w:tab/>
      </w:r>
      <w:r w:rsidRPr="00F255F5">
        <w:t xml:space="preserve">The Commission has jurisdiction over the parties and the subject matter </w:t>
      </w:r>
      <w:r>
        <w:t xml:space="preserve">of this dispute.  </w:t>
      </w:r>
      <w:proofErr w:type="gramStart"/>
      <w:r>
        <w:t>66 Pa.C.S</w:t>
      </w:r>
      <w:r w:rsidRPr="00F255F5">
        <w:t>.</w:t>
      </w:r>
      <w:proofErr w:type="gramEnd"/>
      <w:r w:rsidRPr="00F255F5">
        <w:t xml:space="preserve"> §</w:t>
      </w:r>
      <w:r>
        <w:t xml:space="preserve"> </w:t>
      </w:r>
      <w:r w:rsidRPr="00F255F5">
        <w:t>701.</w:t>
      </w:r>
    </w:p>
    <w:p w:rsidR="006F206A" w:rsidRDefault="006F206A" w:rsidP="0026506B">
      <w:pPr>
        <w:spacing w:after="0"/>
        <w:rPr>
          <w:szCs w:val="24"/>
        </w:rPr>
      </w:pPr>
      <w:r>
        <w:rPr>
          <w:szCs w:val="24"/>
        </w:rPr>
        <w:lastRenderedPageBreak/>
        <w:tab/>
      </w:r>
      <w:r w:rsidRPr="00F255F5">
        <w:rPr>
          <w:szCs w:val="24"/>
        </w:rPr>
        <w:t>2.</w:t>
      </w:r>
      <w:r w:rsidRPr="00F255F5">
        <w:rPr>
          <w:szCs w:val="24"/>
        </w:rPr>
        <w:tab/>
      </w:r>
      <w:r>
        <w:t>The Complainant has</w:t>
      </w:r>
      <w:r w:rsidRPr="00F67099">
        <w:t xml:space="preserve"> failed to demonstrate that </w:t>
      </w:r>
      <w:r w:rsidR="004561B6">
        <w:t>she</w:t>
      </w:r>
      <w:r>
        <w:t xml:space="preserve"> possess</w:t>
      </w:r>
      <w:r w:rsidR="004561B6">
        <w:t>es</w:t>
      </w:r>
      <w:r w:rsidRPr="00F67099">
        <w:t xml:space="preserve"> any interest in the subject matter of this proceeding which is direct, immediate, and substantial.</w:t>
      </w:r>
      <w:r>
        <w:t xml:space="preserve">  52 </w:t>
      </w:r>
      <w:proofErr w:type="spellStart"/>
      <w:r>
        <w:t>Pa.Code</w:t>
      </w:r>
      <w:proofErr w:type="spellEnd"/>
      <w:r>
        <w:rPr>
          <w:szCs w:val="24"/>
        </w:rPr>
        <w:t xml:space="preserve"> 5.101(a)(7).</w:t>
      </w:r>
    </w:p>
    <w:p w:rsidR="0026506B" w:rsidRPr="00F255F5" w:rsidRDefault="0026506B" w:rsidP="0026506B">
      <w:pPr>
        <w:spacing w:after="0"/>
        <w:rPr>
          <w:szCs w:val="24"/>
        </w:rPr>
      </w:pPr>
    </w:p>
    <w:p w:rsidR="006F206A" w:rsidRDefault="006F206A" w:rsidP="00D7496C">
      <w:pPr>
        <w:spacing w:after="0"/>
      </w:pPr>
      <w:r>
        <w:tab/>
        <w:t>3</w:t>
      </w:r>
      <w:r w:rsidRPr="00F255F5">
        <w:t>.</w:t>
      </w:r>
      <w:r w:rsidRPr="00F255F5">
        <w:tab/>
        <w:t>It is just, reasonable</w:t>
      </w:r>
      <w:r w:rsidR="00C620BD">
        <w:t xml:space="preserve">, </w:t>
      </w:r>
      <w:r w:rsidRPr="00F255F5">
        <w:t>and in the public inter</w:t>
      </w:r>
      <w:r>
        <w:t xml:space="preserve">est that the complaint filed </w:t>
      </w:r>
      <w:r w:rsidRPr="00F255F5">
        <w:t>be dismissed</w:t>
      </w:r>
      <w:r>
        <w:t xml:space="preserve"> without a hearing</w:t>
      </w:r>
      <w:r w:rsidRPr="00F255F5">
        <w:t>.</w:t>
      </w:r>
      <w:r>
        <w:t xml:space="preserve">  </w:t>
      </w:r>
      <w:proofErr w:type="gramStart"/>
      <w:r>
        <w:t>66 Pa.C.S.</w:t>
      </w:r>
      <w:proofErr w:type="gramEnd"/>
      <w:r>
        <w:t xml:space="preserve"> § 703(b).</w:t>
      </w:r>
    </w:p>
    <w:p w:rsidR="00A31482" w:rsidRDefault="00A31482" w:rsidP="00D7496C">
      <w:pPr>
        <w:spacing w:after="0"/>
      </w:pPr>
    </w:p>
    <w:p w:rsidR="006F206A" w:rsidRDefault="006F206A" w:rsidP="006F206A">
      <w:pPr>
        <w:spacing w:after="0"/>
        <w:jc w:val="center"/>
        <w:rPr>
          <w:u w:val="single"/>
        </w:rPr>
      </w:pPr>
      <w:r w:rsidRPr="0008387D">
        <w:rPr>
          <w:u w:val="single"/>
        </w:rPr>
        <w:t>ORDER</w:t>
      </w:r>
    </w:p>
    <w:p w:rsidR="00A31482" w:rsidRDefault="00A31482" w:rsidP="006F206A">
      <w:pPr>
        <w:spacing w:after="0"/>
        <w:jc w:val="center"/>
        <w:rPr>
          <w:u w:val="single"/>
        </w:rPr>
      </w:pPr>
    </w:p>
    <w:p w:rsidR="00A31482" w:rsidRDefault="00A31482" w:rsidP="006F206A">
      <w:pPr>
        <w:spacing w:after="0"/>
        <w:jc w:val="center"/>
        <w:rPr>
          <w:u w:val="single"/>
        </w:rPr>
      </w:pPr>
    </w:p>
    <w:p w:rsidR="006F206A" w:rsidRDefault="006F206A" w:rsidP="006F206A">
      <w:pPr>
        <w:spacing w:after="0"/>
      </w:pPr>
      <w:r>
        <w:tab/>
        <w:t>THEREFORE,</w:t>
      </w:r>
    </w:p>
    <w:p w:rsidR="00A31482" w:rsidRDefault="00A31482" w:rsidP="006F206A">
      <w:pPr>
        <w:spacing w:after="0"/>
      </w:pPr>
    </w:p>
    <w:p w:rsidR="006F206A" w:rsidRDefault="006F206A" w:rsidP="006F206A">
      <w:pPr>
        <w:spacing w:after="0"/>
      </w:pPr>
      <w:r>
        <w:tab/>
        <w:t>IT IS ORDERED:</w:t>
      </w:r>
    </w:p>
    <w:p w:rsidR="006F206A" w:rsidRDefault="006F206A" w:rsidP="006F206A">
      <w:pPr>
        <w:spacing w:after="0"/>
      </w:pPr>
    </w:p>
    <w:p w:rsidR="006F206A" w:rsidRDefault="006F206A" w:rsidP="00A31482">
      <w:pPr>
        <w:spacing w:after="0"/>
      </w:pPr>
      <w:r>
        <w:tab/>
        <w:t>1.</w:t>
      </w:r>
      <w:r>
        <w:tab/>
        <w:t xml:space="preserve">That the preliminary objection of Uber Technologies, Inc. to dismiss the complaint of </w:t>
      </w:r>
      <w:r w:rsidR="009A5548">
        <w:t>Danielle Friedman at PUC Docket No. C-2014-2444131</w:t>
      </w:r>
      <w:r>
        <w:t xml:space="preserve"> is granted.</w:t>
      </w:r>
    </w:p>
    <w:p w:rsidR="00A31482" w:rsidRDefault="00A31482" w:rsidP="00A31482">
      <w:pPr>
        <w:spacing w:after="0"/>
      </w:pPr>
    </w:p>
    <w:p w:rsidR="006F206A" w:rsidRDefault="006F206A" w:rsidP="00A616EF">
      <w:pPr>
        <w:spacing w:after="0"/>
      </w:pPr>
      <w:r>
        <w:tab/>
        <w:t>2.</w:t>
      </w:r>
      <w:r>
        <w:tab/>
        <w:t xml:space="preserve">That the complaint of </w:t>
      </w:r>
      <w:r w:rsidR="009A5548">
        <w:t xml:space="preserve">Danielle Friedman at PUC Docket No. C-2014-2444131 </w:t>
      </w:r>
      <w:r>
        <w:t>is dismissed.</w:t>
      </w:r>
    </w:p>
    <w:p w:rsidR="00A33D58" w:rsidRDefault="00A33D58" w:rsidP="00A616EF">
      <w:pPr>
        <w:spacing w:after="0"/>
      </w:pPr>
    </w:p>
    <w:p w:rsidR="00A33D58" w:rsidRDefault="00A33D58" w:rsidP="00A616EF">
      <w:pPr>
        <w:spacing w:after="0"/>
      </w:pPr>
    </w:p>
    <w:p w:rsidR="00A33D58" w:rsidRDefault="00A33D58" w:rsidP="00A616EF">
      <w:pPr>
        <w:spacing w:after="0"/>
      </w:pPr>
    </w:p>
    <w:p w:rsidR="007B341C" w:rsidRDefault="00A33D58" w:rsidP="007B341C">
      <w:pPr>
        <w:spacing w:after="0" w:line="240" w:lineRule="auto"/>
      </w:pPr>
      <w:r w:rsidRPr="003E3C8D">
        <w:rPr>
          <w:szCs w:val="24"/>
        </w:rPr>
        <w:t xml:space="preserve">Date:  </w:t>
      </w:r>
      <w:r w:rsidR="00A31482">
        <w:rPr>
          <w:szCs w:val="24"/>
          <w:u w:val="single"/>
        </w:rPr>
        <w:t>February 5</w:t>
      </w:r>
      <w:r>
        <w:rPr>
          <w:szCs w:val="24"/>
          <w:u w:val="single"/>
        </w:rPr>
        <w:t>, 2015</w:t>
      </w:r>
      <w:r w:rsidRPr="003E3C8D">
        <w:rPr>
          <w:szCs w:val="24"/>
        </w:rPr>
        <w:tab/>
      </w:r>
      <w:r w:rsidRPr="003E3C8D">
        <w:rPr>
          <w:szCs w:val="24"/>
        </w:rPr>
        <w:tab/>
      </w:r>
      <w:r w:rsidRPr="003E3C8D">
        <w:rPr>
          <w:szCs w:val="24"/>
        </w:rPr>
        <w:tab/>
      </w:r>
      <w:r w:rsidRPr="003E3C8D">
        <w:rPr>
          <w:szCs w:val="24"/>
        </w:rPr>
        <w:tab/>
      </w:r>
      <w:r>
        <w:rPr>
          <w:szCs w:val="24"/>
        </w:rPr>
        <w:tab/>
      </w:r>
      <w:r w:rsidR="007B341C">
        <w:rPr>
          <w:u w:val="single"/>
        </w:rPr>
        <w:tab/>
      </w:r>
      <w:r w:rsidR="007B341C">
        <w:rPr>
          <w:u w:val="single"/>
        </w:rPr>
        <w:tab/>
        <w:t>/s/</w:t>
      </w:r>
      <w:r w:rsidR="007B341C">
        <w:rPr>
          <w:u w:val="single"/>
        </w:rPr>
        <w:tab/>
      </w:r>
      <w:r w:rsidR="007B341C">
        <w:rPr>
          <w:u w:val="single"/>
        </w:rPr>
        <w:tab/>
      </w:r>
      <w:r w:rsidR="007B341C">
        <w:rPr>
          <w:u w:val="single"/>
        </w:rPr>
        <w:tab/>
      </w:r>
    </w:p>
    <w:p w:rsidR="00A33D58" w:rsidRPr="003E3C8D" w:rsidRDefault="00A33D58" w:rsidP="007B341C">
      <w:pPr>
        <w:tabs>
          <w:tab w:val="left" w:pos="0"/>
        </w:tabs>
        <w:spacing w:after="0" w:line="240" w:lineRule="auto"/>
        <w:jc w:val="both"/>
        <w:rPr>
          <w:szCs w:val="24"/>
        </w:rPr>
      </w:pPr>
      <w:r>
        <w:rPr>
          <w:szCs w:val="24"/>
        </w:rPr>
        <w:t xml:space="preserve"> </w:t>
      </w:r>
      <w:r w:rsidRPr="003E3C8D">
        <w:rPr>
          <w:szCs w:val="24"/>
        </w:rPr>
        <w:tab/>
      </w:r>
      <w:r w:rsidRPr="003E3C8D">
        <w:rPr>
          <w:szCs w:val="24"/>
        </w:rPr>
        <w:tab/>
      </w:r>
      <w:r w:rsidRPr="003E3C8D">
        <w:rPr>
          <w:szCs w:val="24"/>
        </w:rPr>
        <w:tab/>
      </w:r>
      <w:r w:rsidRPr="003E3C8D">
        <w:rPr>
          <w:szCs w:val="24"/>
        </w:rPr>
        <w:tab/>
      </w:r>
      <w:r w:rsidRPr="003E3C8D">
        <w:rPr>
          <w:szCs w:val="24"/>
        </w:rPr>
        <w:tab/>
      </w:r>
      <w:r w:rsidRPr="003E3C8D">
        <w:rPr>
          <w:szCs w:val="24"/>
        </w:rPr>
        <w:tab/>
      </w:r>
      <w:r w:rsidR="007B341C">
        <w:rPr>
          <w:szCs w:val="24"/>
        </w:rPr>
        <w:tab/>
      </w:r>
      <w:r w:rsidRPr="003E3C8D">
        <w:rPr>
          <w:szCs w:val="24"/>
        </w:rPr>
        <w:t>Mary D. Long</w:t>
      </w:r>
    </w:p>
    <w:p w:rsidR="00A33D58" w:rsidRDefault="00A33D58" w:rsidP="007B341C">
      <w:pPr>
        <w:tabs>
          <w:tab w:val="left" w:pos="0"/>
        </w:tabs>
        <w:spacing w:after="0" w:line="240" w:lineRule="auto"/>
        <w:jc w:val="both"/>
        <w:rPr>
          <w:szCs w:val="24"/>
        </w:rPr>
      </w:pPr>
      <w:r w:rsidRPr="003E3C8D">
        <w:rPr>
          <w:szCs w:val="24"/>
        </w:rPr>
        <w:tab/>
      </w:r>
      <w:r w:rsidRPr="003E3C8D">
        <w:rPr>
          <w:szCs w:val="24"/>
        </w:rPr>
        <w:tab/>
      </w:r>
      <w:r w:rsidRPr="003E3C8D">
        <w:rPr>
          <w:szCs w:val="24"/>
        </w:rPr>
        <w:tab/>
      </w:r>
      <w:r w:rsidRPr="003E3C8D">
        <w:rPr>
          <w:szCs w:val="24"/>
        </w:rPr>
        <w:tab/>
      </w:r>
      <w:r w:rsidRPr="003E3C8D">
        <w:rPr>
          <w:szCs w:val="24"/>
        </w:rPr>
        <w:tab/>
      </w:r>
      <w:r w:rsidRPr="003E3C8D">
        <w:rPr>
          <w:szCs w:val="24"/>
        </w:rPr>
        <w:tab/>
      </w:r>
      <w:r w:rsidRPr="003E3C8D">
        <w:rPr>
          <w:szCs w:val="24"/>
        </w:rPr>
        <w:tab/>
        <w:t>Administrative Law Judge</w:t>
      </w:r>
    </w:p>
    <w:p w:rsidR="00A33D58" w:rsidRDefault="00A33D58" w:rsidP="007B341C">
      <w:pPr>
        <w:spacing w:after="0" w:line="240" w:lineRule="auto"/>
      </w:pPr>
    </w:p>
    <w:sectPr w:rsidR="00A33D58" w:rsidSect="0045719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6D" w:rsidRDefault="00F43A6D" w:rsidP="00150A22">
      <w:pPr>
        <w:spacing w:after="0" w:line="240" w:lineRule="auto"/>
      </w:pPr>
      <w:r>
        <w:separator/>
      </w:r>
    </w:p>
  </w:endnote>
  <w:endnote w:type="continuationSeparator" w:id="0">
    <w:p w:rsidR="00F43A6D" w:rsidRDefault="00F43A6D" w:rsidP="0015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708899"/>
      <w:docPartObj>
        <w:docPartGallery w:val="Page Numbers (Bottom of Page)"/>
        <w:docPartUnique/>
      </w:docPartObj>
    </w:sdtPr>
    <w:sdtEndPr>
      <w:rPr>
        <w:noProof/>
        <w:sz w:val="20"/>
      </w:rPr>
    </w:sdtEndPr>
    <w:sdtContent>
      <w:p w:rsidR="00457195" w:rsidRPr="00A31482" w:rsidRDefault="00457195">
        <w:pPr>
          <w:pStyle w:val="Footer"/>
          <w:jc w:val="center"/>
          <w:rPr>
            <w:sz w:val="20"/>
          </w:rPr>
        </w:pPr>
        <w:r w:rsidRPr="00A31482">
          <w:rPr>
            <w:sz w:val="20"/>
          </w:rPr>
          <w:fldChar w:fldCharType="begin"/>
        </w:r>
        <w:r w:rsidRPr="00A31482">
          <w:rPr>
            <w:sz w:val="20"/>
          </w:rPr>
          <w:instrText xml:space="preserve"> PAGE   \* MERGEFORMAT </w:instrText>
        </w:r>
        <w:r w:rsidRPr="00A31482">
          <w:rPr>
            <w:sz w:val="20"/>
          </w:rPr>
          <w:fldChar w:fldCharType="separate"/>
        </w:r>
        <w:r w:rsidR="007679FA">
          <w:rPr>
            <w:noProof/>
            <w:sz w:val="20"/>
          </w:rPr>
          <w:t>5</w:t>
        </w:r>
        <w:r w:rsidRPr="00A31482">
          <w:rPr>
            <w:noProof/>
            <w:sz w:val="20"/>
          </w:rPr>
          <w:fldChar w:fldCharType="end"/>
        </w:r>
      </w:p>
    </w:sdtContent>
  </w:sdt>
  <w:p w:rsidR="00457195" w:rsidRDefault="00457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6D" w:rsidRDefault="00F43A6D" w:rsidP="00150A22">
      <w:pPr>
        <w:spacing w:after="0" w:line="240" w:lineRule="auto"/>
      </w:pPr>
      <w:r>
        <w:separator/>
      </w:r>
    </w:p>
  </w:footnote>
  <w:footnote w:type="continuationSeparator" w:id="0">
    <w:p w:rsidR="00F43A6D" w:rsidRDefault="00F43A6D" w:rsidP="00150A22">
      <w:pPr>
        <w:spacing w:after="0" w:line="240" w:lineRule="auto"/>
      </w:pPr>
      <w:r>
        <w:continuationSeparator/>
      </w:r>
    </w:p>
  </w:footnote>
  <w:footnote w:id="1">
    <w:p w:rsidR="00150A22" w:rsidRDefault="00150A22" w:rsidP="003E1C37">
      <w:pPr>
        <w:pStyle w:val="FootnoteText"/>
        <w:spacing w:after="0"/>
        <w:ind w:firstLine="720"/>
      </w:pPr>
      <w:r>
        <w:rPr>
          <w:rStyle w:val="FootnoteReference"/>
        </w:rPr>
        <w:footnoteRef/>
      </w:r>
      <w:r>
        <w:t xml:space="preserve"> </w:t>
      </w:r>
      <w:r>
        <w:tab/>
      </w:r>
      <w:r w:rsidRPr="000E2B4C">
        <w:rPr>
          <w:i/>
        </w:rPr>
        <w:t>Equitable Small Transportation Intervenors v. Equitable Gas Company</w:t>
      </w:r>
      <w:r>
        <w:t xml:space="preserve">, 1994 Pa. PUC LEXIS 69, Docket No. </w:t>
      </w:r>
      <w:proofErr w:type="gramStart"/>
      <w:r>
        <w:t>C-00935435 (July 18, 1994).</w:t>
      </w:r>
      <w:proofErr w:type="gramEnd"/>
      <w:r>
        <w:t xml:space="preserve">  </w:t>
      </w:r>
    </w:p>
    <w:p w:rsidR="00150A22" w:rsidRDefault="00150A22" w:rsidP="003E1C37">
      <w:pPr>
        <w:pStyle w:val="FootnoteText"/>
        <w:spacing w:after="0"/>
        <w:ind w:firstLine="720"/>
      </w:pPr>
    </w:p>
  </w:footnote>
  <w:footnote w:id="2">
    <w:p w:rsidR="00150A22" w:rsidRDefault="00150A22" w:rsidP="003E1C37">
      <w:pPr>
        <w:pStyle w:val="FootnoteText"/>
        <w:spacing w:after="0"/>
        <w:ind w:firstLine="720"/>
      </w:pPr>
      <w:r>
        <w:rPr>
          <w:rStyle w:val="FootnoteReference"/>
        </w:rPr>
        <w:footnoteRef/>
      </w:r>
      <w:r>
        <w:t xml:space="preserve">  </w:t>
      </w:r>
      <w:r>
        <w:tab/>
      </w:r>
      <w:proofErr w:type="gramStart"/>
      <w:r>
        <w:rPr>
          <w:i/>
        </w:rPr>
        <w:t>Interstate Traveller Services, Inc. v. Pa. Department of Environmental Resources</w:t>
      </w:r>
      <w:r>
        <w:t xml:space="preserve">, 406 A.2d 1020 (Pa. 1979); </w:t>
      </w:r>
      <w:r>
        <w:rPr>
          <w:i/>
        </w:rPr>
        <w:t>Application of K&amp;F Medical Transport, LLC,</w:t>
      </w:r>
      <w:r>
        <w:t xml:space="preserve"> PUC Docket No.</w:t>
      </w:r>
      <w:proofErr w:type="gramEnd"/>
      <w:r>
        <w:t xml:space="preserve"> A-2008-2020353 (Initial Decision dated April 25, 2008).</w:t>
      </w:r>
    </w:p>
    <w:p w:rsidR="00150A22" w:rsidRPr="00297F80" w:rsidRDefault="00150A22" w:rsidP="003E1C37">
      <w:pPr>
        <w:pStyle w:val="FootnoteText"/>
        <w:spacing w:after="0"/>
        <w:ind w:firstLine="720"/>
      </w:pPr>
    </w:p>
  </w:footnote>
  <w:footnote w:id="3">
    <w:p w:rsidR="00150A22" w:rsidRDefault="00150A22" w:rsidP="003E1C37">
      <w:pPr>
        <w:pStyle w:val="FootnoteText"/>
        <w:spacing w:after="0"/>
        <w:ind w:firstLine="720"/>
      </w:pPr>
      <w:r>
        <w:rPr>
          <w:rStyle w:val="FootnoteReference"/>
        </w:rPr>
        <w:footnoteRef/>
      </w:r>
      <w:r>
        <w:t xml:space="preserve">  </w:t>
      </w:r>
      <w:r>
        <w:tab/>
      </w:r>
      <w:proofErr w:type="gramStart"/>
      <w:r>
        <w:rPr>
          <w:i/>
        </w:rPr>
        <w:t>County of Allegheny v. Commonwealth of Pennsylvania</w:t>
      </w:r>
      <w:r>
        <w:t>, 490 A.2d 402 (Pa. 1985).</w:t>
      </w:r>
      <w:proofErr w:type="gramEnd"/>
    </w:p>
    <w:p w:rsidR="00150A22" w:rsidRPr="00512CEC" w:rsidRDefault="00150A22" w:rsidP="003E1C37">
      <w:pPr>
        <w:pStyle w:val="FootnoteText"/>
        <w:spacing w:after="0"/>
        <w:ind w:firstLine="720"/>
      </w:pPr>
    </w:p>
  </w:footnote>
  <w:footnote w:id="4">
    <w:p w:rsidR="00150A22" w:rsidRPr="00512CEC" w:rsidRDefault="00150A22" w:rsidP="003E1C37">
      <w:pPr>
        <w:pStyle w:val="FootnoteText"/>
        <w:spacing w:after="0"/>
        <w:ind w:firstLine="720"/>
        <w:rPr>
          <w:i/>
        </w:rPr>
      </w:pPr>
      <w:r>
        <w:rPr>
          <w:rStyle w:val="FootnoteReference"/>
        </w:rPr>
        <w:footnoteRef/>
      </w:r>
      <w:r>
        <w:t xml:space="preserve">  </w:t>
      </w:r>
      <w:r>
        <w:tab/>
      </w:r>
      <w:r>
        <w:rPr>
          <w:i/>
        </w:rPr>
        <w:t>Id.</w:t>
      </w:r>
    </w:p>
  </w:footnote>
  <w:footnote w:id="5">
    <w:p w:rsidR="00150A22" w:rsidRDefault="00150A22" w:rsidP="003E1C37">
      <w:pPr>
        <w:pStyle w:val="FootnoteText"/>
        <w:spacing w:after="0"/>
        <w:ind w:firstLine="720"/>
      </w:pPr>
      <w:r>
        <w:rPr>
          <w:rStyle w:val="FootnoteReference"/>
        </w:rPr>
        <w:footnoteRef/>
      </w:r>
      <w:r>
        <w:t xml:space="preserve">  </w:t>
      </w:r>
      <w:r>
        <w:tab/>
      </w:r>
      <w:proofErr w:type="gramStart"/>
      <w:r w:rsidRPr="00952398">
        <w:rPr>
          <w:i/>
        </w:rPr>
        <w:t>Franklin Twp. v. Pa. Dept. of Environmental Resources</w:t>
      </w:r>
      <w:r w:rsidRPr="00952398">
        <w:t>, 452 A.2d 718 (</w:t>
      </w:r>
      <w:r>
        <w:t xml:space="preserve">Pa. </w:t>
      </w:r>
      <w:r w:rsidRPr="00952398">
        <w:t>1982).</w:t>
      </w:r>
      <w:proofErr w:type="gramEnd"/>
      <w:r w:rsidRPr="00952398">
        <w:t xml:space="preserve">  </w:t>
      </w:r>
    </w:p>
    <w:p w:rsidR="003E1C37" w:rsidRDefault="003E1C37" w:rsidP="003E1C37">
      <w:pPr>
        <w:pStyle w:val="FootnoteText"/>
        <w:spacing w:after="0"/>
        <w:ind w:firstLine="720"/>
      </w:pPr>
    </w:p>
  </w:footnote>
  <w:footnote w:id="6">
    <w:p w:rsidR="00150A22" w:rsidRDefault="00150A22" w:rsidP="003E1C37">
      <w:pPr>
        <w:pStyle w:val="FootnoteText"/>
        <w:spacing w:after="0"/>
        <w:ind w:firstLine="720"/>
      </w:pPr>
      <w:r>
        <w:rPr>
          <w:rStyle w:val="FootnoteReference"/>
        </w:rPr>
        <w:footnoteRef/>
      </w:r>
      <w:r>
        <w:t xml:space="preserve">  </w:t>
      </w:r>
      <w:r>
        <w:tab/>
      </w:r>
      <w:proofErr w:type="gramStart"/>
      <w:r w:rsidRPr="00952398">
        <w:rPr>
          <w:i/>
        </w:rPr>
        <w:t>Wm. Penn Parking Garage, Inc. v. City of Pittsburgh</w:t>
      </w:r>
      <w:r w:rsidRPr="00952398">
        <w:t>, 346 A.2d 269 (</w:t>
      </w:r>
      <w:r>
        <w:t xml:space="preserve">Pa. </w:t>
      </w:r>
      <w:r w:rsidRPr="00952398">
        <w:t>1975).</w:t>
      </w:r>
      <w:proofErr w:type="gramEnd"/>
    </w:p>
    <w:p w:rsidR="003E1C37" w:rsidRDefault="003E1C37" w:rsidP="003E1C37">
      <w:pPr>
        <w:pStyle w:val="FootnoteText"/>
        <w:spacing w:after="0"/>
        <w:ind w:firstLine="720"/>
      </w:pPr>
    </w:p>
  </w:footnote>
  <w:footnote w:id="7">
    <w:p w:rsidR="00150A22" w:rsidRDefault="00150A22" w:rsidP="003E1C37">
      <w:pPr>
        <w:pStyle w:val="FootnoteText"/>
        <w:spacing w:after="0"/>
        <w:ind w:firstLine="720"/>
        <w:rPr>
          <w:i/>
        </w:rPr>
      </w:pPr>
      <w:r>
        <w:rPr>
          <w:rStyle w:val="FootnoteReference"/>
        </w:rPr>
        <w:footnoteRef/>
      </w:r>
      <w:r>
        <w:t xml:space="preserve"> </w:t>
      </w:r>
      <w:r>
        <w:tab/>
        <w:t xml:space="preserve"> </w:t>
      </w:r>
      <w:r>
        <w:rPr>
          <w:i/>
        </w:rPr>
        <w:t>Id.</w:t>
      </w:r>
    </w:p>
    <w:p w:rsidR="003E1C37" w:rsidRPr="00952398" w:rsidRDefault="003E1C37" w:rsidP="003E1C37">
      <w:pPr>
        <w:pStyle w:val="FootnoteText"/>
        <w:spacing w:after="0"/>
        <w:ind w:firstLine="720"/>
        <w:rPr>
          <w:i/>
        </w:rPr>
      </w:pPr>
    </w:p>
  </w:footnote>
  <w:footnote w:id="8">
    <w:p w:rsidR="00150A22" w:rsidRDefault="00150A22" w:rsidP="0026506B">
      <w:pPr>
        <w:pStyle w:val="FootnoteText"/>
        <w:spacing w:after="0"/>
        <w:ind w:firstLine="720"/>
        <w:rPr>
          <w:i/>
        </w:rPr>
      </w:pPr>
      <w:r>
        <w:rPr>
          <w:rStyle w:val="FootnoteReference"/>
        </w:rPr>
        <w:footnoteRef/>
      </w:r>
      <w:r>
        <w:t xml:space="preserve"> </w:t>
      </w:r>
      <w:r>
        <w:tab/>
        <w:t xml:space="preserve"> </w:t>
      </w:r>
      <w:r>
        <w:rPr>
          <w:i/>
        </w:rPr>
        <w:t>Id.</w:t>
      </w:r>
    </w:p>
    <w:p w:rsidR="003E1C37" w:rsidRPr="00952398" w:rsidRDefault="003E1C37" w:rsidP="0026506B">
      <w:pPr>
        <w:pStyle w:val="FootnoteText"/>
        <w:spacing w:after="0"/>
        <w:ind w:firstLine="720"/>
        <w:rPr>
          <w:i/>
        </w:rPr>
      </w:pPr>
    </w:p>
  </w:footnote>
  <w:footnote w:id="9">
    <w:p w:rsidR="00150A22" w:rsidRPr="00952398" w:rsidRDefault="00150A22" w:rsidP="0026506B">
      <w:pPr>
        <w:pStyle w:val="FootnoteText"/>
        <w:spacing w:after="0"/>
        <w:ind w:firstLine="720"/>
        <w:rPr>
          <w:i/>
        </w:rPr>
      </w:pPr>
      <w:r>
        <w:rPr>
          <w:rStyle w:val="FootnoteReference"/>
        </w:rPr>
        <w:footnoteRef/>
      </w:r>
      <w:r>
        <w:t xml:space="preserve"> </w:t>
      </w:r>
      <w:r>
        <w:tab/>
        <w:t xml:space="preserve"> </w:t>
      </w:r>
      <w:r>
        <w:rPr>
          <w:i/>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D5134"/>
    <w:multiLevelType w:val="hybridMultilevel"/>
    <w:tmpl w:val="130E6982"/>
    <w:lvl w:ilvl="0" w:tplc="F8684FE4">
      <w:start w:val="1"/>
      <w:numFmt w:val="decimal"/>
      <w:pStyle w:val="ListParagraph"/>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9"/>
  </w:num>
  <w:num w:numId="4">
    <w:abstractNumId w:val="13"/>
  </w:num>
  <w:num w:numId="5">
    <w:abstractNumId w:val="3"/>
  </w:num>
  <w:num w:numId="6">
    <w:abstractNumId w:val="2"/>
  </w:num>
  <w:num w:numId="7">
    <w:abstractNumId w:val="1"/>
  </w:num>
  <w:num w:numId="8">
    <w:abstractNumId w:val="12"/>
  </w:num>
  <w:num w:numId="9">
    <w:abstractNumId w:val="0"/>
  </w:num>
  <w:num w:numId="10">
    <w:abstractNumId w:val="6"/>
  </w:num>
  <w:num w:numId="11">
    <w:abstractNumId w:val="8"/>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A22"/>
    <w:rsid w:val="00004C37"/>
    <w:rsid w:val="00044A59"/>
    <w:rsid w:val="000651B1"/>
    <w:rsid w:val="000739A9"/>
    <w:rsid w:val="00121A8C"/>
    <w:rsid w:val="00150A22"/>
    <w:rsid w:val="001906CF"/>
    <w:rsid w:val="001B1CBA"/>
    <w:rsid w:val="00213167"/>
    <w:rsid w:val="002512F9"/>
    <w:rsid w:val="0026506B"/>
    <w:rsid w:val="00342C2A"/>
    <w:rsid w:val="00376307"/>
    <w:rsid w:val="00393C92"/>
    <w:rsid w:val="003E1C37"/>
    <w:rsid w:val="00437C5A"/>
    <w:rsid w:val="00441982"/>
    <w:rsid w:val="004561B6"/>
    <w:rsid w:val="00457195"/>
    <w:rsid w:val="004724BC"/>
    <w:rsid w:val="004D523C"/>
    <w:rsid w:val="005133DE"/>
    <w:rsid w:val="00536F90"/>
    <w:rsid w:val="005A1C17"/>
    <w:rsid w:val="005A2ABA"/>
    <w:rsid w:val="0061775F"/>
    <w:rsid w:val="00675C79"/>
    <w:rsid w:val="006A3E57"/>
    <w:rsid w:val="006D0205"/>
    <w:rsid w:val="006E4E53"/>
    <w:rsid w:val="006F0329"/>
    <w:rsid w:val="006F206A"/>
    <w:rsid w:val="00712E58"/>
    <w:rsid w:val="007679FA"/>
    <w:rsid w:val="00786E19"/>
    <w:rsid w:val="00792796"/>
    <w:rsid w:val="007978AE"/>
    <w:rsid w:val="007B341C"/>
    <w:rsid w:val="007C0397"/>
    <w:rsid w:val="007E6779"/>
    <w:rsid w:val="00820B4C"/>
    <w:rsid w:val="00850FC1"/>
    <w:rsid w:val="008529D2"/>
    <w:rsid w:val="00944DAF"/>
    <w:rsid w:val="00950D3F"/>
    <w:rsid w:val="00952CB2"/>
    <w:rsid w:val="009974D3"/>
    <w:rsid w:val="009A5548"/>
    <w:rsid w:val="009E6B38"/>
    <w:rsid w:val="00A11CB7"/>
    <w:rsid w:val="00A13346"/>
    <w:rsid w:val="00A31482"/>
    <w:rsid w:val="00A33D58"/>
    <w:rsid w:val="00A616EF"/>
    <w:rsid w:val="00A770CF"/>
    <w:rsid w:val="00AA2EC5"/>
    <w:rsid w:val="00AB4C73"/>
    <w:rsid w:val="00AE238E"/>
    <w:rsid w:val="00AE6F47"/>
    <w:rsid w:val="00B444CC"/>
    <w:rsid w:val="00B76818"/>
    <w:rsid w:val="00BC6B21"/>
    <w:rsid w:val="00BF1BED"/>
    <w:rsid w:val="00C30633"/>
    <w:rsid w:val="00C620BD"/>
    <w:rsid w:val="00C87E57"/>
    <w:rsid w:val="00C966B6"/>
    <w:rsid w:val="00CF4DC4"/>
    <w:rsid w:val="00D7496C"/>
    <w:rsid w:val="00DD5C37"/>
    <w:rsid w:val="00EC1CBA"/>
    <w:rsid w:val="00EE7801"/>
    <w:rsid w:val="00F143CA"/>
    <w:rsid w:val="00F16554"/>
    <w:rsid w:val="00F43A6D"/>
    <w:rsid w:val="00F544E1"/>
    <w:rsid w:val="00FA70EE"/>
    <w:rsid w:val="00FC2A70"/>
    <w:rsid w:val="00FD5C10"/>
    <w:rsid w:val="00FE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22"/>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50A22"/>
    <w:rPr>
      <w:rFonts w:ascii="Times New Roman" w:hAnsi="Times New Roman"/>
      <w:vertAlign w:val="superscript"/>
    </w:rPr>
  </w:style>
  <w:style w:type="paragraph" w:styleId="Quote">
    <w:name w:val="Quote"/>
    <w:basedOn w:val="Normal"/>
    <w:next w:val="Normal"/>
    <w:link w:val="QuoteChar"/>
    <w:uiPriority w:val="29"/>
    <w:qFormat/>
    <w:rsid w:val="00150A22"/>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150A22"/>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45719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7195"/>
    <w:rPr>
      <w:rFonts w:ascii="Times New Roman" w:hAnsi="Times New Roman" w:cs="Times New Roman"/>
      <w:sz w:val="24"/>
      <w:szCs w:val="20"/>
    </w:rPr>
  </w:style>
  <w:style w:type="paragraph" w:styleId="Footer">
    <w:name w:val="footer"/>
    <w:basedOn w:val="Normal"/>
    <w:link w:val="FooterChar"/>
    <w:uiPriority w:val="99"/>
    <w:unhideWhenUsed/>
    <w:rsid w:val="0045719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719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F4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22"/>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EE7801"/>
    <w:pPr>
      <w:numPr>
        <w:numId w:val="14"/>
      </w:numPr>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character" w:styleId="FootnoteReference">
    <w:name w:val="footnote reference"/>
    <w:basedOn w:val="DefaultParagraphFont"/>
    <w:uiPriority w:val="99"/>
    <w:unhideWhenUsed/>
    <w:rsid w:val="00150A22"/>
    <w:rPr>
      <w:rFonts w:ascii="Times New Roman" w:hAnsi="Times New Roman"/>
      <w:vertAlign w:val="superscript"/>
    </w:rPr>
  </w:style>
  <w:style w:type="paragraph" w:styleId="Quote">
    <w:name w:val="Quote"/>
    <w:basedOn w:val="Normal"/>
    <w:next w:val="Normal"/>
    <w:link w:val="QuoteChar"/>
    <w:uiPriority w:val="29"/>
    <w:qFormat/>
    <w:rsid w:val="00150A22"/>
    <w:pPr>
      <w:tabs>
        <w:tab w:val="clear" w:pos="1440"/>
      </w:tabs>
      <w:spacing w:line="240" w:lineRule="auto"/>
    </w:pPr>
    <w:rPr>
      <w:iCs/>
      <w:color w:val="000000" w:themeColor="text1"/>
    </w:rPr>
  </w:style>
  <w:style w:type="character" w:customStyle="1" w:styleId="QuoteChar">
    <w:name w:val="Quote Char"/>
    <w:basedOn w:val="DefaultParagraphFont"/>
    <w:link w:val="Quote"/>
    <w:uiPriority w:val="29"/>
    <w:rsid w:val="00150A22"/>
    <w:rPr>
      <w:rFonts w:ascii="Times New Roman" w:hAnsi="Times New Roman" w:cs="Times New Roman"/>
      <w:iCs/>
      <w:color w:val="000000" w:themeColor="text1"/>
      <w:sz w:val="24"/>
      <w:szCs w:val="20"/>
    </w:rPr>
  </w:style>
  <w:style w:type="paragraph" w:styleId="Header">
    <w:name w:val="header"/>
    <w:basedOn w:val="Normal"/>
    <w:link w:val="HeaderChar"/>
    <w:uiPriority w:val="99"/>
    <w:unhideWhenUsed/>
    <w:rsid w:val="00457195"/>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457195"/>
    <w:rPr>
      <w:rFonts w:ascii="Times New Roman" w:hAnsi="Times New Roman" w:cs="Times New Roman"/>
      <w:sz w:val="24"/>
      <w:szCs w:val="20"/>
    </w:rPr>
  </w:style>
  <w:style w:type="paragraph" w:styleId="Footer">
    <w:name w:val="footer"/>
    <w:basedOn w:val="Normal"/>
    <w:link w:val="FooterChar"/>
    <w:uiPriority w:val="99"/>
    <w:unhideWhenUsed/>
    <w:rsid w:val="00457195"/>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457195"/>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CF4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25</cp:revision>
  <cp:lastPrinted>2015-02-05T15:56:00Z</cp:lastPrinted>
  <dcterms:created xsi:type="dcterms:W3CDTF">2015-02-04T13:36:00Z</dcterms:created>
  <dcterms:modified xsi:type="dcterms:W3CDTF">2015-02-10T20:50:00Z</dcterms:modified>
</cp:coreProperties>
</file>