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862A17" w:rsidP="009C7DE1">
      <w:pPr>
        <w:tabs>
          <w:tab w:val="left" w:pos="-720"/>
        </w:tabs>
        <w:suppressAutoHyphens/>
      </w:pPr>
      <w:proofErr w:type="spellStart"/>
      <w:r w:rsidRPr="00862A17">
        <w:rPr>
          <w:sz w:val="24"/>
          <w:szCs w:val="24"/>
        </w:rPr>
        <w:t>Binh</w:t>
      </w:r>
      <w:proofErr w:type="spellEnd"/>
      <w:r w:rsidRPr="00862A17">
        <w:rPr>
          <w:sz w:val="24"/>
          <w:szCs w:val="24"/>
        </w:rPr>
        <w:t xml:space="preserve"> Tran</w:t>
      </w:r>
      <w:r w:rsidR="009A475D">
        <w:tab/>
      </w:r>
      <w:r w:rsidR="00CC3CC1">
        <w:tab/>
      </w:r>
      <w:r w:rsidR="00CC3CC1">
        <w:tab/>
      </w:r>
      <w:r w:rsidR="002E0985" w:rsidRPr="002E0985">
        <w:tab/>
      </w:r>
      <w:r w:rsidR="009C7DE1">
        <w:tab/>
      </w:r>
      <w:r w:rsidR="00E55E0C">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9C7DE1">
        <w:rPr>
          <w:spacing w:val="-3"/>
          <w:sz w:val="24"/>
          <w:szCs w:val="20"/>
        </w:rPr>
        <w:tab/>
      </w:r>
      <w:r>
        <w:rPr>
          <w:spacing w:val="-3"/>
          <w:sz w:val="24"/>
          <w:szCs w:val="20"/>
        </w:rPr>
        <w:t xml:space="preserve">: </w:t>
      </w:r>
      <w:r>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E73684">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C7DE1">
        <w:rPr>
          <w:spacing w:val="-3"/>
          <w:sz w:val="24"/>
          <w:szCs w:val="20"/>
        </w:rPr>
        <w:tab/>
      </w:r>
      <w:r w:rsidR="00E55E0C">
        <w:rPr>
          <w:spacing w:val="-3"/>
          <w:sz w:val="24"/>
          <w:szCs w:val="20"/>
        </w:rPr>
        <w:tab/>
      </w:r>
      <w:r w:rsidRPr="002E0985">
        <w:rPr>
          <w:spacing w:val="-3"/>
          <w:sz w:val="24"/>
          <w:szCs w:val="20"/>
        </w:rPr>
        <w:t>:</w:t>
      </w:r>
      <w:r w:rsidR="00354E6F">
        <w:rPr>
          <w:spacing w:val="-3"/>
          <w:sz w:val="24"/>
          <w:szCs w:val="20"/>
        </w:rPr>
        <w:tab/>
      </w:r>
      <w:r w:rsidR="009C7DE1">
        <w:rPr>
          <w:spacing w:val="-3"/>
          <w:sz w:val="24"/>
          <w:szCs w:val="20"/>
        </w:rPr>
        <w:tab/>
      </w:r>
      <w:r w:rsidR="00E73684">
        <w:rPr>
          <w:spacing w:val="-3"/>
          <w:sz w:val="24"/>
          <w:szCs w:val="20"/>
        </w:rPr>
        <w:t>C-2014-2417540</w:t>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C7DE1">
        <w:rPr>
          <w:spacing w:val="-3"/>
          <w:sz w:val="24"/>
          <w:szCs w:val="20"/>
        </w:rPr>
        <w:tab/>
      </w:r>
      <w:r w:rsidRPr="002E0985">
        <w:rPr>
          <w:spacing w:val="-3"/>
          <w:sz w:val="24"/>
          <w:szCs w:val="20"/>
        </w:rPr>
        <w:t>:</w:t>
      </w:r>
    </w:p>
    <w:p w:rsidR="002E0985" w:rsidRPr="002E0985" w:rsidRDefault="00E73684" w:rsidP="002E0985">
      <w:pPr>
        <w:tabs>
          <w:tab w:val="left" w:pos="-720"/>
        </w:tabs>
        <w:suppressAutoHyphens/>
        <w:rPr>
          <w:spacing w:val="-3"/>
          <w:sz w:val="24"/>
          <w:szCs w:val="20"/>
        </w:rPr>
      </w:pPr>
      <w:r>
        <w:rPr>
          <w:spacing w:val="-3"/>
          <w:sz w:val="24"/>
          <w:szCs w:val="20"/>
        </w:rPr>
        <w:t>Major Energy, LLC/Respond Power, LLC</w:t>
      </w:r>
      <w:r w:rsidR="009C7DE1">
        <w:rPr>
          <w:spacing w:val="-3"/>
          <w:sz w:val="24"/>
          <w:szCs w:val="20"/>
        </w:rPr>
        <w:tab/>
      </w:r>
      <w:r w:rsidR="00E55E0C">
        <w:rPr>
          <w:spacing w:val="-3"/>
          <w:sz w:val="24"/>
          <w:szCs w:val="20"/>
        </w:rPr>
        <w:tab/>
      </w:r>
      <w:r w:rsidR="002E0985">
        <w:rPr>
          <w:spacing w:val="-3"/>
          <w:sz w:val="24"/>
          <w:szCs w:val="20"/>
        </w:rPr>
        <w:t>:</w:t>
      </w:r>
    </w:p>
    <w:p w:rsidR="005E3007" w:rsidRDefault="00CC3CC1" w:rsidP="00CE43B4">
      <w:pPr>
        <w:tabs>
          <w:tab w:val="left" w:pos="-720"/>
        </w:tabs>
        <w:suppressAutoHyphens/>
        <w:rPr>
          <w:spacing w:val="-3"/>
          <w:sz w:val="24"/>
          <w:szCs w:val="24"/>
        </w:rPr>
      </w:pPr>
      <w:r>
        <w:rPr>
          <w:spacing w:val="-3"/>
          <w:sz w:val="24"/>
          <w:szCs w:val="20"/>
        </w:rPr>
        <w:tab/>
      </w:r>
      <w:r>
        <w:rPr>
          <w:spacing w:val="-3"/>
          <w:sz w:val="24"/>
          <w:szCs w:val="20"/>
        </w:rPr>
        <w:tab/>
      </w:r>
      <w:r>
        <w:rPr>
          <w:spacing w:val="-3"/>
          <w:sz w:val="24"/>
          <w:szCs w:val="20"/>
        </w:rPr>
        <w:tab/>
      </w:r>
      <w:r w:rsidR="00526B2A">
        <w:rPr>
          <w:spacing w:val="-3"/>
          <w:sz w:val="24"/>
          <w:szCs w:val="20"/>
        </w:rPr>
        <w:tab/>
      </w:r>
      <w:r w:rsidR="002E0985" w:rsidRPr="002E0985">
        <w:rPr>
          <w:spacing w:val="-3"/>
          <w:sz w:val="24"/>
          <w:szCs w:val="20"/>
        </w:rPr>
        <w:tab/>
      </w:r>
      <w:r w:rsidR="002E0985" w:rsidRPr="002E0985">
        <w:rPr>
          <w:spacing w:val="-3"/>
          <w:sz w:val="24"/>
          <w:szCs w:val="20"/>
        </w:rPr>
        <w:tab/>
      </w:r>
      <w:r w:rsidR="009C7DE1">
        <w:rPr>
          <w:spacing w:val="-3"/>
          <w:sz w:val="24"/>
          <w:szCs w:val="20"/>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9C7DE1" w:rsidRPr="006A21C2" w:rsidRDefault="009C7DE1"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E73684" w:rsidRDefault="00E73684" w:rsidP="00DD2411">
      <w:pPr>
        <w:spacing w:line="360" w:lineRule="auto"/>
        <w:jc w:val="center"/>
        <w:rPr>
          <w:sz w:val="24"/>
          <w:szCs w:val="24"/>
        </w:rPr>
      </w:pPr>
    </w:p>
    <w:p w:rsidR="008C6412" w:rsidRDefault="008C6412" w:rsidP="009870EF">
      <w:pPr>
        <w:tabs>
          <w:tab w:val="left" w:pos="-1440"/>
          <w:tab w:val="left" w:pos="-720"/>
        </w:tabs>
        <w:suppressAutoHyphens/>
        <w:spacing w:line="360" w:lineRule="auto"/>
        <w:ind w:firstLine="1440"/>
        <w:rPr>
          <w:sz w:val="24"/>
          <w:szCs w:val="24"/>
        </w:rPr>
      </w:pPr>
      <w:r>
        <w:rPr>
          <w:sz w:val="24"/>
          <w:szCs w:val="24"/>
        </w:rPr>
        <w:t>This Initial Decision grant</w:t>
      </w:r>
      <w:r w:rsidR="00F5627E">
        <w:rPr>
          <w:sz w:val="24"/>
          <w:szCs w:val="24"/>
        </w:rPr>
        <w:t>s</w:t>
      </w:r>
      <w:r>
        <w:rPr>
          <w:sz w:val="24"/>
          <w:szCs w:val="24"/>
        </w:rPr>
        <w:t xml:space="preserve"> the Formal Complaint of </w:t>
      </w:r>
      <w:proofErr w:type="spellStart"/>
      <w:r>
        <w:rPr>
          <w:sz w:val="24"/>
          <w:szCs w:val="24"/>
        </w:rPr>
        <w:t>Bi</w:t>
      </w:r>
      <w:r w:rsidR="00F5627E">
        <w:rPr>
          <w:sz w:val="24"/>
          <w:szCs w:val="24"/>
        </w:rPr>
        <w:t>n</w:t>
      </w:r>
      <w:r>
        <w:rPr>
          <w:sz w:val="24"/>
          <w:szCs w:val="24"/>
        </w:rPr>
        <w:t>h</w:t>
      </w:r>
      <w:proofErr w:type="spellEnd"/>
      <w:r>
        <w:rPr>
          <w:sz w:val="24"/>
          <w:szCs w:val="24"/>
        </w:rPr>
        <w:t xml:space="preserve"> Tran </w:t>
      </w:r>
      <w:r w:rsidR="001940ED">
        <w:rPr>
          <w:sz w:val="24"/>
          <w:szCs w:val="24"/>
        </w:rPr>
        <w:t>because the change of his EGS was invalid.</w:t>
      </w:r>
    </w:p>
    <w:p w:rsidR="008C6412" w:rsidRDefault="008C6412" w:rsidP="009870EF">
      <w:pPr>
        <w:tabs>
          <w:tab w:val="left" w:pos="-1440"/>
          <w:tab w:val="left" w:pos="-720"/>
        </w:tabs>
        <w:suppressAutoHyphens/>
        <w:spacing w:line="360" w:lineRule="auto"/>
        <w:ind w:firstLine="1440"/>
        <w:rPr>
          <w:sz w:val="24"/>
          <w:szCs w:val="24"/>
        </w:rPr>
      </w:pPr>
    </w:p>
    <w:p w:rsidR="009870EF" w:rsidRPr="009870EF" w:rsidRDefault="008C6412" w:rsidP="009870EF">
      <w:pPr>
        <w:tabs>
          <w:tab w:val="left" w:pos="-1440"/>
          <w:tab w:val="left" w:pos="-720"/>
        </w:tabs>
        <w:suppressAutoHyphens/>
        <w:spacing w:line="360" w:lineRule="auto"/>
        <w:ind w:firstLine="1440"/>
        <w:rPr>
          <w:sz w:val="24"/>
          <w:szCs w:val="24"/>
        </w:rPr>
      </w:pPr>
      <w:r>
        <w:rPr>
          <w:sz w:val="24"/>
          <w:szCs w:val="24"/>
        </w:rPr>
        <w:t xml:space="preserve"> </w:t>
      </w:r>
      <w:r w:rsidR="009870EF" w:rsidRPr="009870EF">
        <w:rPr>
          <w:sz w:val="24"/>
          <w:szCs w:val="24"/>
        </w:rPr>
        <w:t xml:space="preserve">On </w:t>
      </w:r>
      <w:r w:rsidR="00E73684">
        <w:rPr>
          <w:sz w:val="24"/>
          <w:szCs w:val="24"/>
        </w:rPr>
        <w:t xml:space="preserve">March 31, 2014, </w:t>
      </w:r>
      <w:proofErr w:type="spellStart"/>
      <w:r w:rsidR="00E73684">
        <w:rPr>
          <w:sz w:val="24"/>
          <w:szCs w:val="24"/>
        </w:rPr>
        <w:t>Binh</w:t>
      </w:r>
      <w:proofErr w:type="spellEnd"/>
      <w:r w:rsidR="00E73684">
        <w:rPr>
          <w:sz w:val="24"/>
          <w:szCs w:val="24"/>
        </w:rPr>
        <w:t xml:space="preserve"> Tran</w:t>
      </w:r>
      <w:r w:rsidR="009870EF" w:rsidRPr="009870EF">
        <w:rPr>
          <w:sz w:val="24"/>
          <w:szCs w:val="24"/>
        </w:rPr>
        <w:t xml:space="preserve"> (Complainant) filed a Formal Complaint with the Pennsylvania Public Utility Commission </w:t>
      </w:r>
      <w:r w:rsidR="00E73684">
        <w:rPr>
          <w:sz w:val="24"/>
          <w:szCs w:val="24"/>
        </w:rPr>
        <w:t xml:space="preserve">(Commission) </w:t>
      </w:r>
      <w:r w:rsidR="009870EF" w:rsidRPr="009870EF">
        <w:rPr>
          <w:sz w:val="24"/>
          <w:szCs w:val="24"/>
        </w:rPr>
        <w:t xml:space="preserve">against </w:t>
      </w:r>
      <w:r w:rsidR="00E73684">
        <w:rPr>
          <w:sz w:val="24"/>
          <w:szCs w:val="24"/>
        </w:rPr>
        <w:t>Major Energy, LLC/Respond Power, LLC</w:t>
      </w:r>
      <w:r w:rsidR="009870EF" w:rsidRPr="009870EF">
        <w:rPr>
          <w:sz w:val="24"/>
          <w:szCs w:val="24"/>
        </w:rPr>
        <w:t xml:space="preserve"> (Respondent) alleging </w:t>
      </w:r>
      <w:r w:rsidR="00E73684">
        <w:rPr>
          <w:sz w:val="24"/>
          <w:szCs w:val="24"/>
        </w:rPr>
        <w:t>that the Respondent was price gouging him and that he never agreed to switch from PECO</w:t>
      </w:r>
      <w:r w:rsidR="000B702D">
        <w:rPr>
          <w:sz w:val="24"/>
          <w:szCs w:val="24"/>
        </w:rPr>
        <w:t xml:space="preserve"> Energy Company (PECO)</w:t>
      </w:r>
      <w:r w:rsidR="00E73684">
        <w:rPr>
          <w:sz w:val="24"/>
          <w:szCs w:val="24"/>
        </w:rPr>
        <w:t xml:space="preserve"> to Respond Power</w:t>
      </w:r>
      <w:r w:rsidR="009870EF" w:rsidRPr="009870EF">
        <w:rPr>
          <w:sz w:val="24"/>
          <w:szCs w:val="24"/>
        </w:rPr>
        <w:t>.</w:t>
      </w:r>
      <w:r w:rsidR="00E73684">
        <w:rPr>
          <w:sz w:val="24"/>
          <w:szCs w:val="24"/>
        </w:rPr>
        <w:t xml:space="preserve">  </w:t>
      </w:r>
      <w:proofErr w:type="gramStart"/>
      <w:r w:rsidR="00E73684">
        <w:rPr>
          <w:sz w:val="24"/>
          <w:szCs w:val="24"/>
        </w:rPr>
        <w:t>Formal Complaint.</w:t>
      </w:r>
      <w:proofErr w:type="gramEnd"/>
      <w:r w:rsidR="00E73684">
        <w:rPr>
          <w:sz w:val="24"/>
          <w:szCs w:val="24"/>
        </w:rPr>
        <w:t xml:space="preserve"> </w:t>
      </w:r>
      <w:r w:rsidR="009870EF" w:rsidRPr="009870EF">
        <w:rPr>
          <w:sz w:val="24"/>
          <w:szCs w:val="24"/>
        </w:rPr>
        <w:t xml:space="preserve"> On </w:t>
      </w:r>
      <w:r w:rsidR="00E73684">
        <w:rPr>
          <w:sz w:val="24"/>
          <w:szCs w:val="24"/>
        </w:rPr>
        <w:t>June 2, 2014</w:t>
      </w:r>
      <w:r w:rsidR="009870EF" w:rsidRPr="009870EF">
        <w:rPr>
          <w:sz w:val="24"/>
          <w:szCs w:val="24"/>
        </w:rPr>
        <w:t xml:space="preserve">, Respondent filed an </w:t>
      </w:r>
      <w:r w:rsidR="009870EF" w:rsidRPr="009870EF">
        <w:rPr>
          <w:spacing w:val="-3"/>
          <w:sz w:val="24"/>
          <w:szCs w:val="24"/>
        </w:rPr>
        <w:t>Answer denying the material allegations of the Complaint</w:t>
      </w:r>
      <w:r w:rsidR="00E73684">
        <w:rPr>
          <w:spacing w:val="-3"/>
          <w:sz w:val="24"/>
          <w:szCs w:val="24"/>
        </w:rPr>
        <w:t xml:space="preserve"> and asserted that the Complainant enrolled in a variable rate plan with the company on March 12, 2013 via telephone.</w:t>
      </w:r>
      <w:r w:rsidR="009870EF" w:rsidRPr="009870EF">
        <w:rPr>
          <w:spacing w:val="-3"/>
          <w:sz w:val="24"/>
          <w:szCs w:val="24"/>
        </w:rPr>
        <w:t xml:space="preserve">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 xml:space="preserve">By Hearing Notice dated </w:t>
      </w:r>
      <w:r w:rsidR="00C876A4">
        <w:rPr>
          <w:sz w:val="24"/>
          <w:szCs w:val="24"/>
        </w:rPr>
        <w:t>October 8, 2014</w:t>
      </w:r>
      <w:r w:rsidRPr="009870EF">
        <w:rPr>
          <w:sz w:val="24"/>
          <w:szCs w:val="24"/>
        </w:rPr>
        <w:t xml:space="preserve">, the parties were notified that an Initial </w:t>
      </w:r>
      <w:r w:rsidR="00C876A4">
        <w:rPr>
          <w:sz w:val="24"/>
          <w:szCs w:val="24"/>
        </w:rPr>
        <w:t xml:space="preserve">Telephonic </w:t>
      </w:r>
      <w:r w:rsidRPr="009870EF">
        <w:rPr>
          <w:sz w:val="24"/>
          <w:szCs w:val="24"/>
        </w:rPr>
        <w:t xml:space="preserve">Hearing in this case was scheduled for the morning of </w:t>
      </w:r>
      <w:r w:rsidR="00C876A4">
        <w:rPr>
          <w:sz w:val="24"/>
          <w:szCs w:val="24"/>
        </w:rPr>
        <w:t>November 19, 2014</w:t>
      </w:r>
      <w:r w:rsidRPr="009870EF">
        <w:rPr>
          <w:sz w:val="24"/>
          <w:szCs w:val="24"/>
        </w:rPr>
        <w:t>.  A Prehe</w:t>
      </w:r>
      <w:r w:rsidR="00C876A4">
        <w:rPr>
          <w:sz w:val="24"/>
          <w:szCs w:val="24"/>
        </w:rPr>
        <w:t>aring Order was issued on October 14, 2014</w:t>
      </w:r>
      <w:r w:rsidRPr="009870EF">
        <w:rPr>
          <w:sz w:val="24"/>
          <w:szCs w:val="24"/>
        </w:rPr>
        <w:t xml:space="preserve">, stating the date and time of the scheduled hearing and advising the parties that the case could be dismissed if they failed to obtain a </w:t>
      </w:r>
      <w:r w:rsidRPr="009870EF">
        <w:rPr>
          <w:sz w:val="24"/>
          <w:szCs w:val="24"/>
        </w:rPr>
        <w:lastRenderedPageBreak/>
        <w:t xml:space="preserve">continuance and failed to appear for the hearing.  The Prehearing Order also advised the parties of applicable procedural rules. </w:t>
      </w:r>
      <w:r w:rsidR="00C876A4">
        <w:rPr>
          <w:sz w:val="24"/>
          <w:szCs w:val="24"/>
        </w:rPr>
        <w:t>The hearing date was rescheduled to December 18, 2014.</w:t>
      </w:r>
    </w:p>
    <w:p w:rsidR="009870EF" w:rsidRPr="009870EF" w:rsidRDefault="009870EF" w:rsidP="009870EF">
      <w:pPr>
        <w:spacing w:line="360" w:lineRule="auto"/>
        <w:ind w:firstLine="1440"/>
        <w:rPr>
          <w:sz w:val="24"/>
          <w:szCs w:val="24"/>
        </w:rPr>
      </w:pPr>
    </w:p>
    <w:p w:rsidR="009870EF" w:rsidRDefault="009870EF" w:rsidP="009870EF">
      <w:pPr>
        <w:tabs>
          <w:tab w:val="left" w:pos="2160"/>
        </w:tabs>
        <w:spacing w:line="360" w:lineRule="auto"/>
        <w:ind w:firstLine="1440"/>
      </w:pPr>
      <w:r w:rsidRPr="009870EF">
        <w:rPr>
          <w:sz w:val="24"/>
          <w:szCs w:val="24"/>
        </w:rPr>
        <w:t xml:space="preserve">The hearing convened as scheduled.  </w:t>
      </w:r>
      <w:r w:rsidR="00C876A4">
        <w:rPr>
          <w:sz w:val="24"/>
          <w:szCs w:val="24"/>
        </w:rPr>
        <w:t xml:space="preserve">The Complainant appeared on his own behalf.  The Respondent was represented by counsel.  </w:t>
      </w:r>
      <w:r w:rsidR="004070D6">
        <w:rPr>
          <w:sz w:val="24"/>
          <w:szCs w:val="24"/>
        </w:rPr>
        <w:t>The Complainant proffered no exhibits.  The Respondent proffered one exhibit that was entered into the record.</w:t>
      </w:r>
      <w:r>
        <w:t xml:space="preserve">  </w:t>
      </w:r>
    </w:p>
    <w:p w:rsidR="004070D6" w:rsidRDefault="004070D6" w:rsidP="009870EF">
      <w:pPr>
        <w:tabs>
          <w:tab w:val="left" w:pos="2160"/>
        </w:tabs>
        <w:spacing w:line="360" w:lineRule="auto"/>
        <w:ind w:firstLine="1440"/>
      </w:pPr>
    </w:p>
    <w:p w:rsidR="004070D6" w:rsidRDefault="0074275B" w:rsidP="007965B0">
      <w:pPr>
        <w:tabs>
          <w:tab w:val="left" w:pos="-1440"/>
          <w:tab w:val="left" w:pos="-720"/>
        </w:tabs>
        <w:suppressAutoHyphens/>
        <w:spacing w:line="360" w:lineRule="auto"/>
        <w:ind w:firstLine="1440"/>
        <w:rPr>
          <w:sz w:val="24"/>
          <w:szCs w:val="24"/>
        </w:rPr>
      </w:pPr>
      <w:r>
        <w:rPr>
          <w:sz w:val="24"/>
          <w:szCs w:val="24"/>
        </w:rPr>
        <w:t xml:space="preserve">The record closed on </w:t>
      </w:r>
      <w:r w:rsidR="004070D6">
        <w:rPr>
          <w:sz w:val="24"/>
          <w:szCs w:val="24"/>
        </w:rPr>
        <w:t>January 21, 2015 with receipt of the typewritten transcript comprising 22 pages.  This matter is now ready for decision.</w:t>
      </w:r>
    </w:p>
    <w:p w:rsidR="007965B0" w:rsidRDefault="009870EF" w:rsidP="007965B0">
      <w:pPr>
        <w:tabs>
          <w:tab w:val="left" w:pos="-1440"/>
          <w:tab w:val="left" w:pos="-720"/>
        </w:tabs>
        <w:suppressAutoHyphens/>
        <w:spacing w:line="360" w:lineRule="auto"/>
        <w:ind w:firstLine="1440"/>
        <w:rPr>
          <w:sz w:val="24"/>
          <w:szCs w:val="24"/>
        </w:rPr>
      </w:pPr>
      <w:r>
        <w:rPr>
          <w:sz w:val="24"/>
          <w:szCs w:val="24"/>
        </w:rPr>
        <w:t xml:space="preserve"> </w:t>
      </w:r>
    </w:p>
    <w:p w:rsidR="00223E7E" w:rsidRDefault="00A7050E" w:rsidP="00A7050E">
      <w:pPr>
        <w:spacing w:line="360" w:lineRule="auto"/>
        <w:jc w:val="center"/>
        <w:rPr>
          <w:sz w:val="24"/>
          <w:szCs w:val="24"/>
          <w:u w:val="single"/>
        </w:rPr>
      </w:pPr>
      <w:r w:rsidRPr="00A7050E">
        <w:rPr>
          <w:sz w:val="24"/>
          <w:szCs w:val="24"/>
          <w:u w:val="single"/>
        </w:rPr>
        <w:t>FINDINGS OF FACT</w:t>
      </w:r>
    </w:p>
    <w:p w:rsidR="0074275B" w:rsidRPr="0074275B" w:rsidRDefault="0074275B" w:rsidP="00A7050E">
      <w:pPr>
        <w:spacing w:line="360" w:lineRule="auto"/>
        <w:jc w:val="center"/>
        <w:rPr>
          <w:sz w:val="24"/>
          <w:szCs w:val="24"/>
        </w:rPr>
      </w:pPr>
    </w:p>
    <w:p w:rsidR="0074275B" w:rsidRDefault="0074275B" w:rsidP="001F0B9A">
      <w:pPr>
        <w:pStyle w:val="ListParagraph"/>
        <w:numPr>
          <w:ilvl w:val="0"/>
          <w:numId w:val="26"/>
        </w:numPr>
        <w:spacing w:line="360" w:lineRule="auto"/>
        <w:ind w:left="0" w:firstLine="1350"/>
        <w:rPr>
          <w:sz w:val="24"/>
          <w:szCs w:val="24"/>
        </w:rPr>
      </w:pPr>
      <w:r w:rsidRPr="0074275B">
        <w:rPr>
          <w:sz w:val="24"/>
          <w:szCs w:val="24"/>
        </w:rPr>
        <w:t>The</w:t>
      </w:r>
      <w:r>
        <w:rPr>
          <w:sz w:val="24"/>
          <w:szCs w:val="24"/>
        </w:rPr>
        <w:t xml:space="preserve"> Complainant is </w:t>
      </w:r>
      <w:proofErr w:type="spellStart"/>
      <w:r>
        <w:rPr>
          <w:sz w:val="24"/>
          <w:szCs w:val="24"/>
        </w:rPr>
        <w:t>Binh</w:t>
      </w:r>
      <w:proofErr w:type="spellEnd"/>
      <w:r>
        <w:rPr>
          <w:sz w:val="24"/>
          <w:szCs w:val="24"/>
        </w:rPr>
        <w:t xml:space="preserve"> Tran.  He receives electric service at 248</w:t>
      </w:r>
      <w:r w:rsidR="00673C69">
        <w:rPr>
          <w:sz w:val="24"/>
          <w:szCs w:val="24"/>
        </w:rPr>
        <w:t> </w:t>
      </w:r>
      <w:r>
        <w:rPr>
          <w:sz w:val="24"/>
          <w:szCs w:val="24"/>
        </w:rPr>
        <w:t>Flourtown Road, Lafayette Hill, Pennsylvania 19444.</w:t>
      </w:r>
    </w:p>
    <w:p w:rsidR="0074275B" w:rsidRDefault="0074275B" w:rsidP="001F0B9A">
      <w:pPr>
        <w:pStyle w:val="ListParagraph"/>
        <w:spacing w:line="360" w:lineRule="auto"/>
        <w:ind w:left="1350"/>
        <w:rPr>
          <w:sz w:val="24"/>
          <w:szCs w:val="24"/>
        </w:rPr>
      </w:pPr>
      <w:r>
        <w:rPr>
          <w:sz w:val="24"/>
          <w:szCs w:val="24"/>
        </w:rPr>
        <w:t xml:space="preserve"> </w:t>
      </w:r>
    </w:p>
    <w:p w:rsidR="0074275B" w:rsidRDefault="0074275B" w:rsidP="001F0B9A">
      <w:pPr>
        <w:pStyle w:val="ListParagraph"/>
        <w:numPr>
          <w:ilvl w:val="0"/>
          <w:numId w:val="26"/>
        </w:numPr>
        <w:spacing w:line="360" w:lineRule="auto"/>
        <w:ind w:left="0" w:firstLine="1350"/>
        <w:rPr>
          <w:sz w:val="24"/>
          <w:szCs w:val="24"/>
        </w:rPr>
      </w:pPr>
      <w:r>
        <w:rPr>
          <w:sz w:val="24"/>
          <w:szCs w:val="24"/>
        </w:rPr>
        <w:t>The Respondent is Respond Power, LLC.</w:t>
      </w:r>
    </w:p>
    <w:p w:rsidR="0074275B" w:rsidRPr="0074275B" w:rsidRDefault="0074275B" w:rsidP="001F0B9A">
      <w:pPr>
        <w:pStyle w:val="ListParagraph"/>
        <w:spacing w:line="360" w:lineRule="auto"/>
        <w:rPr>
          <w:sz w:val="24"/>
          <w:szCs w:val="24"/>
        </w:rPr>
      </w:pPr>
    </w:p>
    <w:p w:rsidR="0074275B" w:rsidRDefault="0074275B" w:rsidP="001F0B9A">
      <w:pPr>
        <w:pStyle w:val="ListParagraph"/>
        <w:numPr>
          <w:ilvl w:val="0"/>
          <w:numId w:val="26"/>
        </w:numPr>
        <w:spacing w:line="360" w:lineRule="auto"/>
        <w:ind w:left="0" w:firstLine="1350"/>
        <w:rPr>
          <w:sz w:val="24"/>
          <w:szCs w:val="24"/>
        </w:rPr>
      </w:pPr>
      <w:r>
        <w:rPr>
          <w:sz w:val="24"/>
          <w:szCs w:val="24"/>
        </w:rPr>
        <w:t>The Complainant’s sister changed the Complainant’s account from PECO Energy Company to Respond Power, LLC</w:t>
      </w:r>
      <w:r w:rsidR="00794A8B">
        <w:rPr>
          <w:sz w:val="24"/>
          <w:szCs w:val="24"/>
        </w:rPr>
        <w:t xml:space="preserve"> on March 12, 2013</w:t>
      </w:r>
      <w:r>
        <w:rPr>
          <w:sz w:val="24"/>
          <w:szCs w:val="24"/>
        </w:rPr>
        <w:t>.</w:t>
      </w:r>
      <w:r w:rsidR="00794A8B">
        <w:rPr>
          <w:sz w:val="24"/>
          <w:szCs w:val="24"/>
        </w:rPr>
        <w:t xml:space="preserve">  Tr. at 6, 8, 10, 15.</w:t>
      </w:r>
    </w:p>
    <w:p w:rsidR="00794A8B" w:rsidRPr="00794A8B" w:rsidRDefault="00794A8B" w:rsidP="001F0B9A">
      <w:pPr>
        <w:pStyle w:val="ListParagraph"/>
        <w:spacing w:line="360" w:lineRule="auto"/>
        <w:rPr>
          <w:sz w:val="24"/>
          <w:szCs w:val="24"/>
        </w:rPr>
      </w:pPr>
    </w:p>
    <w:p w:rsidR="00794A8B" w:rsidRDefault="00794A8B" w:rsidP="001F0B9A">
      <w:pPr>
        <w:pStyle w:val="ListParagraph"/>
        <w:numPr>
          <w:ilvl w:val="0"/>
          <w:numId w:val="26"/>
        </w:numPr>
        <w:spacing w:line="360" w:lineRule="auto"/>
        <w:ind w:left="0" w:firstLine="1350"/>
        <w:rPr>
          <w:sz w:val="24"/>
          <w:szCs w:val="24"/>
        </w:rPr>
      </w:pPr>
      <w:r>
        <w:rPr>
          <w:sz w:val="24"/>
          <w:szCs w:val="24"/>
        </w:rPr>
        <w:t>The Complainant was on a variable rate plan.  Tr. at 15</w:t>
      </w:r>
      <w:r w:rsidR="00C958B8">
        <w:rPr>
          <w:sz w:val="24"/>
          <w:szCs w:val="24"/>
        </w:rPr>
        <w:t>, 17</w:t>
      </w:r>
      <w:r>
        <w:rPr>
          <w:sz w:val="24"/>
          <w:szCs w:val="24"/>
        </w:rPr>
        <w:t>.</w:t>
      </w:r>
    </w:p>
    <w:p w:rsidR="00794A8B" w:rsidRPr="00794A8B" w:rsidRDefault="00794A8B" w:rsidP="001F0B9A">
      <w:pPr>
        <w:pStyle w:val="ListParagraph"/>
        <w:spacing w:line="360" w:lineRule="auto"/>
        <w:rPr>
          <w:sz w:val="24"/>
          <w:szCs w:val="24"/>
        </w:rPr>
      </w:pPr>
    </w:p>
    <w:p w:rsidR="00794A8B" w:rsidRDefault="00F5627E" w:rsidP="001F0B9A">
      <w:pPr>
        <w:pStyle w:val="ListParagraph"/>
        <w:numPr>
          <w:ilvl w:val="0"/>
          <w:numId w:val="26"/>
        </w:numPr>
        <w:spacing w:line="360" w:lineRule="auto"/>
        <w:ind w:left="0" w:firstLine="1350"/>
        <w:rPr>
          <w:sz w:val="24"/>
          <w:szCs w:val="24"/>
        </w:rPr>
      </w:pPr>
      <w:r>
        <w:rPr>
          <w:sz w:val="24"/>
          <w:szCs w:val="24"/>
        </w:rPr>
        <w:t xml:space="preserve">In </w:t>
      </w:r>
      <w:r w:rsidR="00794A8B">
        <w:rPr>
          <w:sz w:val="24"/>
          <w:szCs w:val="24"/>
        </w:rPr>
        <w:t>February, March and April 2014, the Complainant’s rates went up significantly.  Tr. at 7.</w:t>
      </w:r>
    </w:p>
    <w:p w:rsidR="00794A8B" w:rsidRPr="00794A8B" w:rsidRDefault="00794A8B" w:rsidP="001F0B9A">
      <w:pPr>
        <w:pStyle w:val="ListParagraph"/>
        <w:spacing w:line="360" w:lineRule="auto"/>
        <w:rPr>
          <w:sz w:val="24"/>
          <w:szCs w:val="24"/>
        </w:rPr>
      </w:pPr>
    </w:p>
    <w:p w:rsidR="00794A8B" w:rsidRDefault="00794A8B" w:rsidP="001F0B9A">
      <w:pPr>
        <w:pStyle w:val="ListParagraph"/>
        <w:numPr>
          <w:ilvl w:val="0"/>
          <w:numId w:val="26"/>
        </w:numPr>
        <w:spacing w:line="360" w:lineRule="auto"/>
        <w:ind w:left="0" w:firstLine="1350"/>
        <w:rPr>
          <w:sz w:val="24"/>
          <w:szCs w:val="24"/>
        </w:rPr>
      </w:pPr>
      <w:r>
        <w:rPr>
          <w:sz w:val="24"/>
          <w:szCs w:val="24"/>
        </w:rPr>
        <w:t>In May 2014, the Complainant changed his provider to PECO.  Tr. at 7-8.</w:t>
      </w:r>
    </w:p>
    <w:p w:rsidR="00794A8B" w:rsidRPr="00794A8B" w:rsidRDefault="00794A8B" w:rsidP="001F0B9A">
      <w:pPr>
        <w:pStyle w:val="ListParagraph"/>
        <w:spacing w:line="360" w:lineRule="auto"/>
        <w:rPr>
          <w:sz w:val="24"/>
          <w:szCs w:val="24"/>
        </w:rPr>
      </w:pPr>
    </w:p>
    <w:p w:rsidR="00794A8B" w:rsidRDefault="00794A8B" w:rsidP="001F0B9A">
      <w:pPr>
        <w:pStyle w:val="ListParagraph"/>
        <w:numPr>
          <w:ilvl w:val="0"/>
          <w:numId w:val="26"/>
        </w:numPr>
        <w:spacing w:line="360" w:lineRule="auto"/>
        <w:ind w:left="0" w:firstLine="1350"/>
        <w:rPr>
          <w:sz w:val="24"/>
          <w:szCs w:val="24"/>
        </w:rPr>
      </w:pPr>
      <w:r>
        <w:rPr>
          <w:sz w:val="24"/>
          <w:szCs w:val="24"/>
        </w:rPr>
        <w:t>The Complainant did not understand he had a variable rate.  Tr. at 8.</w:t>
      </w:r>
    </w:p>
    <w:p w:rsidR="00794A8B" w:rsidRPr="00794A8B" w:rsidRDefault="00794A8B" w:rsidP="001F0B9A">
      <w:pPr>
        <w:pStyle w:val="ListParagraph"/>
        <w:spacing w:line="360" w:lineRule="auto"/>
        <w:rPr>
          <w:sz w:val="24"/>
          <w:szCs w:val="24"/>
        </w:rPr>
      </w:pPr>
    </w:p>
    <w:p w:rsidR="00794A8B" w:rsidRDefault="00794A8B" w:rsidP="001F0B9A">
      <w:pPr>
        <w:pStyle w:val="ListParagraph"/>
        <w:numPr>
          <w:ilvl w:val="0"/>
          <w:numId w:val="26"/>
        </w:numPr>
        <w:spacing w:line="360" w:lineRule="auto"/>
        <w:ind w:left="0" w:firstLine="1350"/>
        <w:rPr>
          <w:sz w:val="24"/>
          <w:szCs w:val="24"/>
        </w:rPr>
      </w:pPr>
      <w:r>
        <w:rPr>
          <w:sz w:val="24"/>
          <w:szCs w:val="24"/>
        </w:rPr>
        <w:t>The Complainant knew the rate was going up when he received the bills in February and March of 2014.  Tr. at 12.</w:t>
      </w:r>
    </w:p>
    <w:p w:rsidR="00794A8B" w:rsidRDefault="00794A8B" w:rsidP="001F0B9A">
      <w:pPr>
        <w:pStyle w:val="ListParagraph"/>
        <w:numPr>
          <w:ilvl w:val="0"/>
          <w:numId w:val="26"/>
        </w:numPr>
        <w:spacing w:line="360" w:lineRule="auto"/>
        <w:ind w:left="0" w:firstLine="1350"/>
        <w:rPr>
          <w:sz w:val="24"/>
          <w:szCs w:val="24"/>
        </w:rPr>
      </w:pPr>
      <w:r>
        <w:rPr>
          <w:sz w:val="24"/>
          <w:szCs w:val="24"/>
        </w:rPr>
        <w:t>Scott Foreman-Murray, in-house counsel, testified on behalf of the Respondent.  Tr. at 13.</w:t>
      </w:r>
    </w:p>
    <w:p w:rsidR="00794A8B" w:rsidRPr="00794A8B" w:rsidRDefault="00794A8B" w:rsidP="001F0B9A">
      <w:pPr>
        <w:pStyle w:val="ListParagraph"/>
        <w:spacing w:line="360" w:lineRule="auto"/>
        <w:rPr>
          <w:sz w:val="24"/>
          <w:szCs w:val="24"/>
        </w:rPr>
      </w:pPr>
    </w:p>
    <w:p w:rsidR="00794A8B" w:rsidRDefault="00C958B8" w:rsidP="001F0B9A">
      <w:pPr>
        <w:pStyle w:val="ListParagraph"/>
        <w:numPr>
          <w:ilvl w:val="0"/>
          <w:numId w:val="26"/>
        </w:numPr>
        <w:spacing w:line="360" w:lineRule="auto"/>
        <w:ind w:left="0" w:firstLine="1350"/>
        <w:rPr>
          <w:sz w:val="24"/>
          <w:szCs w:val="24"/>
        </w:rPr>
      </w:pPr>
      <w:r>
        <w:rPr>
          <w:sz w:val="24"/>
          <w:szCs w:val="24"/>
        </w:rPr>
        <w:t>The Respondent sent the Complainant a disclosure statement.  Tr. at 15</w:t>
      </w:r>
      <w:r w:rsidR="00F5627E">
        <w:rPr>
          <w:sz w:val="24"/>
          <w:szCs w:val="24"/>
        </w:rPr>
        <w:t>;</w:t>
      </w:r>
      <w:r>
        <w:rPr>
          <w:sz w:val="24"/>
          <w:szCs w:val="24"/>
        </w:rPr>
        <w:t xml:space="preserve"> R.</w:t>
      </w:r>
      <w:r w:rsidR="005A10F2">
        <w:rPr>
          <w:sz w:val="24"/>
          <w:szCs w:val="24"/>
        </w:rPr>
        <w:t> </w:t>
      </w:r>
      <w:r>
        <w:rPr>
          <w:sz w:val="24"/>
          <w:szCs w:val="24"/>
        </w:rPr>
        <w:t>Exh. 2.</w:t>
      </w:r>
    </w:p>
    <w:p w:rsidR="00C958B8" w:rsidRPr="00C958B8" w:rsidRDefault="00C958B8" w:rsidP="001F0B9A">
      <w:pPr>
        <w:pStyle w:val="ListParagraph"/>
        <w:spacing w:line="360" w:lineRule="auto"/>
        <w:rPr>
          <w:sz w:val="24"/>
          <w:szCs w:val="24"/>
        </w:rPr>
      </w:pPr>
    </w:p>
    <w:p w:rsidR="00C958B8" w:rsidRDefault="00C958B8" w:rsidP="001F0B9A">
      <w:pPr>
        <w:pStyle w:val="ListParagraph"/>
        <w:numPr>
          <w:ilvl w:val="0"/>
          <w:numId w:val="26"/>
        </w:numPr>
        <w:spacing w:line="360" w:lineRule="auto"/>
        <w:ind w:left="0" w:firstLine="1350"/>
        <w:rPr>
          <w:sz w:val="24"/>
          <w:szCs w:val="24"/>
        </w:rPr>
      </w:pPr>
      <w:r>
        <w:rPr>
          <w:sz w:val="24"/>
          <w:szCs w:val="24"/>
        </w:rPr>
        <w:t>The Respondent incurred costs sometimes more than 10 times the typical cost during the winter of 2014.  Tr. at 16.</w:t>
      </w:r>
    </w:p>
    <w:p w:rsidR="00C958B8" w:rsidRPr="00C958B8" w:rsidRDefault="00C958B8" w:rsidP="001F0B9A">
      <w:pPr>
        <w:pStyle w:val="ListParagraph"/>
        <w:spacing w:line="360" w:lineRule="auto"/>
        <w:rPr>
          <w:sz w:val="24"/>
          <w:szCs w:val="24"/>
        </w:rPr>
      </w:pPr>
    </w:p>
    <w:p w:rsidR="00C958B8" w:rsidRDefault="00C958B8" w:rsidP="001F0B9A">
      <w:pPr>
        <w:pStyle w:val="ListParagraph"/>
        <w:numPr>
          <w:ilvl w:val="0"/>
          <w:numId w:val="26"/>
        </w:numPr>
        <w:spacing w:line="360" w:lineRule="auto"/>
        <w:ind w:left="0" w:firstLine="1350"/>
        <w:rPr>
          <w:sz w:val="24"/>
          <w:szCs w:val="24"/>
        </w:rPr>
      </w:pPr>
      <w:r>
        <w:rPr>
          <w:sz w:val="24"/>
          <w:szCs w:val="24"/>
        </w:rPr>
        <w:t>The Respondent passed the increased costs of the winter of 2014 onto its customers.  Tr. at 16.</w:t>
      </w:r>
    </w:p>
    <w:p w:rsidR="00C958B8" w:rsidRPr="00C958B8" w:rsidRDefault="00C958B8" w:rsidP="001F0B9A">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958B8" w:rsidRDefault="00C958B8" w:rsidP="00DE2348">
      <w:pPr>
        <w:spacing w:line="360" w:lineRule="auto"/>
        <w:jc w:val="center"/>
        <w:rPr>
          <w:sz w:val="24"/>
          <w:szCs w:val="24"/>
          <w:u w:val="single"/>
        </w:rPr>
      </w:pPr>
    </w:p>
    <w:p w:rsidR="00C958B8" w:rsidRDefault="00C958B8" w:rsidP="00C958B8">
      <w:pPr>
        <w:spacing w:line="360" w:lineRule="auto"/>
        <w:rPr>
          <w:sz w:val="24"/>
          <w:szCs w:val="24"/>
          <w:u w:val="single"/>
        </w:rPr>
      </w:pPr>
      <w:r>
        <w:rPr>
          <w:sz w:val="24"/>
          <w:szCs w:val="24"/>
          <w:u w:val="single"/>
        </w:rPr>
        <w:t>Burden of proof:</w:t>
      </w:r>
    </w:p>
    <w:p w:rsidR="00C958B8" w:rsidRDefault="00C958B8" w:rsidP="00C958B8">
      <w:pPr>
        <w:spacing w:line="360" w:lineRule="auto"/>
        <w:rPr>
          <w:sz w:val="24"/>
          <w:szCs w:val="24"/>
          <w:u w:val="single"/>
        </w:rPr>
      </w:pPr>
    </w:p>
    <w:p w:rsidR="00C958B8" w:rsidRDefault="00C958B8" w:rsidP="00C958B8">
      <w:pPr>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614336">
        <w:rPr>
          <w:spacing w:val="-3"/>
          <w:sz w:val="24"/>
          <w:szCs w:val="24"/>
          <w:u w:val="single"/>
        </w:rPr>
        <w:t xml:space="preserve">Samuel J. Lansberry, Inc. v. Pa. </w:t>
      </w:r>
      <w:r>
        <w:rPr>
          <w:spacing w:val="-3"/>
          <w:sz w:val="24"/>
          <w:szCs w:val="24"/>
          <w:u w:val="single"/>
        </w:rPr>
        <w:t>P</w:t>
      </w:r>
      <w:r w:rsidR="00F5627E">
        <w:rPr>
          <w:spacing w:val="-3"/>
          <w:sz w:val="24"/>
          <w:szCs w:val="24"/>
          <w:u w:val="single"/>
        </w:rPr>
        <w:t>ub.</w:t>
      </w:r>
      <w:proofErr w:type="gramEnd"/>
      <w:r w:rsidR="00F5627E">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F5627E">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p>
    <w:p w:rsidR="00C958B8" w:rsidRPr="00C958B8" w:rsidRDefault="00C958B8" w:rsidP="00C958B8">
      <w:pPr>
        <w:spacing w:line="360" w:lineRule="auto"/>
        <w:ind w:firstLine="1440"/>
        <w:rPr>
          <w:spacing w:val="-3"/>
          <w:sz w:val="24"/>
          <w:szCs w:val="24"/>
          <w:u w:val="single"/>
        </w:rPr>
      </w:pPr>
    </w:p>
    <w:p w:rsidR="00C958B8" w:rsidRDefault="00C958B8" w:rsidP="00C958B8">
      <w:pPr>
        <w:spacing w:line="360" w:lineRule="auto"/>
        <w:rPr>
          <w:spacing w:val="-3"/>
          <w:sz w:val="24"/>
          <w:szCs w:val="24"/>
          <w:u w:val="single"/>
        </w:rPr>
      </w:pPr>
      <w:r w:rsidRPr="00C958B8">
        <w:rPr>
          <w:spacing w:val="-3"/>
          <w:sz w:val="24"/>
          <w:szCs w:val="24"/>
          <w:u w:val="single"/>
        </w:rPr>
        <w:t>Legal Standard:</w:t>
      </w:r>
    </w:p>
    <w:p w:rsidR="00C958B8" w:rsidRDefault="00C958B8" w:rsidP="00C958B8">
      <w:pPr>
        <w:spacing w:line="360" w:lineRule="auto"/>
        <w:rPr>
          <w:spacing w:val="-3"/>
          <w:sz w:val="24"/>
          <w:szCs w:val="24"/>
          <w:u w:val="single"/>
        </w:rPr>
      </w:pPr>
    </w:p>
    <w:p w:rsidR="00780E7F" w:rsidRDefault="00A62ED3" w:rsidP="00C958B8">
      <w:pPr>
        <w:spacing w:line="360" w:lineRule="auto"/>
        <w:ind w:firstLine="1440"/>
        <w:rPr>
          <w:spacing w:val="-3"/>
          <w:sz w:val="24"/>
          <w:szCs w:val="24"/>
        </w:rPr>
      </w:pPr>
      <w:r>
        <w:rPr>
          <w:spacing w:val="-3"/>
          <w:sz w:val="24"/>
          <w:szCs w:val="24"/>
        </w:rPr>
        <w:t>Subchapter M of the Public Utility Code regulations entitled “Standards for changing a customer’s electricity generation supplier” defines “customer” as “a purchaser of electric power in whose name a service account exists with either an EDC</w:t>
      </w:r>
      <w:r>
        <w:rPr>
          <w:rStyle w:val="FootnoteReference"/>
          <w:spacing w:val="-3"/>
          <w:sz w:val="24"/>
          <w:szCs w:val="24"/>
        </w:rPr>
        <w:footnoteReference w:id="1"/>
      </w:r>
      <w:r>
        <w:rPr>
          <w:spacing w:val="-3"/>
          <w:sz w:val="24"/>
          <w:szCs w:val="24"/>
        </w:rPr>
        <w:t xml:space="preserve"> or an EGS</w:t>
      </w:r>
      <w:r>
        <w:rPr>
          <w:rStyle w:val="FootnoteReference"/>
          <w:spacing w:val="-3"/>
          <w:sz w:val="24"/>
          <w:szCs w:val="24"/>
        </w:rPr>
        <w:footnoteReference w:id="2"/>
      </w:r>
      <w:r>
        <w:rPr>
          <w:spacing w:val="-3"/>
          <w:sz w:val="24"/>
          <w:szCs w:val="24"/>
        </w:rPr>
        <w:t xml:space="preserve">.  The term includes all persons authorized to act on a customer’s behalf.”  </w:t>
      </w:r>
      <w:proofErr w:type="gramStart"/>
      <w:r>
        <w:rPr>
          <w:spacing w:val="-3"/>
          <w:sz w:val="24"/>
          <w:szCs w:val="24"/>
        </w:rPr>
        <w:t>52 Pa.Code § 57.171.</w:t>
      </w:r>
      <w:proofErr w:type="gramEnd"/>
      <w:r>
        <w:rPr>
          <w:spacing w:val="-3"/>
          <w:sz w:val="24"/>
          <w:szCs w:val="24"/>
        </w:rPr>
        <w:t xml:space="preserve"> </w:t>
      </w:r>
    </w:p>
    <w:p w:rsidR="008C6412" w:rsidRDefault="008C6412" w:rsidP="00C958B8">
      <w:pPr>
        <w:spacing w:line="360" w:lineRule="auto"/>
        <w:ind w:firstLine="1440"/>
        <w:rPr>
          <w:spacing w:val="-3"/>
          <w:sz w:val="24"/>
          <w:szCs w:val="24"/>
        </w:rPr>
      </w:pPr>
    </w:p>
    <w:p w:rsidR="00780E7F" w:rsidRDefault="00A62ED3" w:rsidP="00C958B8">
      <w:pPr>
        <w:spacing w:line="360" w:lineRule="auto"/>
        <w:ind w:firstLine="1440"/>
        <w:rPr>
          <w:spacing w:val="-3"/>
          <w:sz w:val="24"/>
          <w:szCs w:val="24"/>
        </w:rPr>
      </w:pPr>
      <w:r>
        <w:rPr>
          <w:spacing w:val="-3"/>
          <w:sz w:val="24"/>
          <w:szCs w:val="24"/>
        </w:rPr>
        <w:t xml:space="preserve">Section 57.175 states: </w:t>
      </w:r>
      <w:r w:rsidR="00EA35F5">
        <w:rPr>
          <w:spacing w:val="-3"/>
          <w:sz w:val="24"/>
          <w:szCs w:val="24"/>
        </w:rPr>
        <w:t xml:space="preserve"> </w:t>
      </w:r>
      <w:r>
        <w:rPr>
          <w:spacing w:val="-3"/>
          <w:sz w:val="24"/>
          <w:szCs w:val="24"/>
        </w:rPr>
        <w:t xml:space="preserve">“A customer may identify persons authorized to make changes to the customer’s account.  To accomplish this, the customer </w:t>
      </w:r>
      <w:r w:rsidRPr="00B76D4F">
        <w:rPr>
          <w:spacing w:val="-3"/>
          <w:sz w:val="24"/>
          <w:szCs w:val="24"/>
          <w:u w:val="single"/>
        </w:rPr>
        <w:t>shall</w:t>
      </w:r>
      <w:r>
        <w:rPr>
          <w:spacing w:val="-3"/>
          <w:sz w:val="24"/>
          <w:szCs w:val="24"/>
        </w:rPr>
        <w:t xml:space="preserve"> provide the EDC with a signed document identifying by name those persons who have authority to initiate change of the customer’s EGS.”  </w:t>
      </w:r>
      <w:proofErr w:type="gramStart"/>
      <w:r>
        <w:rPr>
          <w:spacing w:val="-3"/>
          <w:sz w:val="24"/>
          <w:szCs w:val="24"/>
        </w:rPr>
        <w:t>52 Pa.Code § 57</w:t>
      </w:r>
      <w:r w:rsidR="00780E7F">
        <w:rPr>
          <w:spacing w:val="-3"/>
          <w:sz w:val="24"/>
          <w:szCs w:val="24"/>
        </w:rPr>
        <w:t>.</w:t>
      </w:r>
      <w:r>
        <w:rPr>
          <w:spacing w:val="-3"/>
          <w:sz w:val="24"/>
          <w:szCs w:val="24"/>
        </w:rPr>
        <w:t>175</w:t>
      </w:r>
      <w:r w:rsidR="00780E7F">
        <w:rPr>
          <w:spacing w:val="-3"/>
          <w:sz w:val="24"/>
          <w:szCs w:val="24"/>
        </w:rPr>
        <w:t>.</w:t>
      </w:r>
      <w:proofErr w:type="gramEnd"/>
      <w:r w:rsidR="00B76D4F">
        <w:rPr>
          <w:spacing w:val="-3"/>
          <w:sz w:val="24"/>
          <w:szCs w:val="24"/>
        </w:rPr>
        <w:t xml:space="preserve">  (Emphasis added).</w:t>
      </w:r>
    </w:p>
    <w:p w:rsidR="00780E7F" w:rsidRDefault="00780E7F" w:rsidP="00C958B8">
      <w:pPr>
        <w:spacing w:line="360" w:lineRule="auto"/>
        <w:ind w:firstLine="1440"/>
        <w:rPr>
          <w:spacing w:val="-3"/>
          <w:sz w:val="24"/>
          <w:szCs w:val="24"/>
        </w:rPr>
      </w:pPr>
    </w:p>
    <w:p w:rsidR="00780E7F" w:rsidRDefault="00780E7F" w:rsidP="00C958B8">
      <w:pPr>
        <w:spacing w:line="360" w:lineRule="auto"/>
        <w:ind w:firstLine="1440"/>
        <w:rPr>
          <w:spacing w:val="-3"/>
          <w:sz w:val="24"/>
          <w:szCs w:val="24"/>
        </w:rPr>
      </w:pPr>
      <w:r>
        <w:rPr>
          <w:spacing w:val="-3"/>
          <w:sz w:val="24"/>
          <w:szCs w:val="24"/>
        </w:rPr>
        <w:t xml:space="preserve">Section 57.177(c) states: </w:t>
      </w:r>
      <w:r w:rsidR="00EA35F5">
        <w:rPr>
          <w:spacing w:val="-3"/>
          <w:sz w:val="24"/>
          <w:szCs w:val="24"/>
        </w:rPr>
        <w:t xml:space="preserve"> </w:t>
      </w:r>
      <w:r>
        <w:rPr>
          <w:spacing w:val="-3"/>
          <w:sz w:val="24"/>
          <w:szCs w:val="24"/>
        </w:rPr>
        <w:t xml:space="preserve">“A customer who has had an EGS changed without having consented to that change shall be switched back to the original EGS for no additional fee.  Any charges involved in the switch back to the prior EGS are the responsibility of the company that initiated the change without the customer’s consent.”  </w:t>
      </w:r>
      <w:proofErr w:type="gramStart"/>
      <w:r>
        <w:rPr>
          <w:spacing w:val="-3"/>
          <w:sz w:val="24"/>
          <w:szCs w:val="24"/>
        </w:rPr>
        <w:t>52 Pa.Code § 57.177(c).</w:t>
      </w:r>
      <w:proofErr w:type="gramEnd"/>
    </w:p>
    <w:p w:rsidR="005D0307" w:rsidRDefault="005D0307" w:rsidP="00C958B8">
      <w:pPr>
        <w:spacing w:line="360" w:lineRule="auto"/>
        <w:ind w:firstLine="1440"/>
        <w:rPr>
          <w:spacing w:val="-3"/>
          <w:sz w:val="24"/>
          <w:szCs w:val="24"/>
        </w:rPr>
      </w:pPr>
    </w:p>
    <w:p w:rsidR="005D0307" w:rsidRPr="005D0307" w:rsidRDefault="005D0307" w:rsidP="00C958B8">
      <w:pPr>
        <w:spacing w:line="360" w:lineRule="auto"/>
        <w:ind w:firstLine="1440"/>
        <w:rPr>
          <w:spacing w:val="-3"/>
          <w:sz w:val="24"/>
          <w:szCs w:val="24"/>
        </w:rPr>
      </w:pPr>
      <w:r w:rsidRPr="005D0307">
        <w:rPr>
          <w:rStyle w:val="Hyperlink"/>
          <w:color w:val="000000"/>
          <w:sz w:val="24"/>
          <w:szCs w:val="24"/>
        </w:rPr>
        <w:t xml:space="preserve">“It is important to note that we </w:t>
      </w:r>
      <w:proofErr w:type="gramStart"/>
      <w:r w:rsidRPr="005D0307">
        <w:rPr>
          <w:rStyle w:val="Hyperlink"/>
          <w:color w:val="000000"/>
          <w:sz w:val="24"/>
          <w:szCs w:val="24"/>
        </w:rPr>
        <w:t>[</w:t>
      </w:r>
      <w:r>
        <w:rPr>
          <w:rStyle w:val="Hyperlink"/>
          <w:color w:val="000000"/>
          <w:sz w:val="24"/>
          <w:szCs w:val="24"/>
        </w:rPr>
        <w:t xml:space="preserve"> the</w:t>
      </w:r>
      <w:proofErr w:type="gramEnd"/>
      <w:r>
        <w:rPr>
          <w:rStyle w:val="Hyperlink"/>
          <w:color w:val="000000"/>
          <w:sz w:val="24"/>
          <w:szCs w:val="24"/>
        </w:rPr>
        <w:t xml:space="preserve"> </w:t>
      </w:r>
      <w:r w:rsidRPr="005D0307">
        <w:rPr>
          <w:rStyle w:val="Hyperlink"/>
          <w:color w:val="000000"/>
          <w:sz w:val="24"/>
          <w:szCs w:val="24"/>
        </w:rPr>
        <w:t xml:space="preserve">Commission] have interpreted Section 2807(d)(1) of the Public </w:t>
      </w:r>
      <w:r w:rsidR="005E39C6">
        <w:rPr>
          <w:rStyle w:val="Hyperlink"/>
          <w:color w:val="000000"/>
          <w:sz w:val="24"/>
          <w:szCs w:val="24"/>
        </w:rPr>
        <w:t>Utility Code, 66 Pa.C.S. § 2807</w:t>
      </w:r>
      <w:r w:rsidRPr="005D0307">
        <w:rPr>
          <w:rStyle w:val="Hyperlink"/>
          <w:color w:val="000000"/>
          <w:sz w:val="24"/>
          <w:szCs w:val="24"/>
        </w:rPr>
        <w:t>(d</w:t>
      </w:r>
      <w:proofErr w:type="gramStart"/>
      <w:r w:rsidRPr="005D0307">
        <w:rPr>
          <w:rStyle w:val="Hyperlink"/>
          <w:color w:val="000000"/>
          <w:sz w:val="24"/>
          <w:szCs w:val="24"/>
        </w:rPr>
        <w:t>)(</w:t>
      </w:r>
      <w:proofErr w:type="gramEnd"/>
      <w:r w:rsidRPr="005D0307">
        <w:rPr>
          <w:rStyle w:val="Hyperlink"/>
          <w:color w:val="000000"/>
          <w:sz w:val="24"/>
          <w:szCs w:val="24"/>
        </w:rPr>
        <w:t xml:space="preserve">1), to find that a refund is an appropriate remedy when a customer’s supplier has been changed without the customer’s affirmative consent.  Additionally, our Regulations require an EGS to provide a full refund to customers of all generation charges resulting from an unauthorized switch.  </w:t>
      </w:r>
      <w:proofErr w:type="gramStart"/>
      <w:r w:rsidRPr="005D0307">
        <w:rPr>
          <w:rStyle w:val="Hyperlink"/>
          <w:color w:val="000000"/>
          <w:sz w:val="24"/>
          <w:szCs w:val="24"/>
        </w:rPr>
        <w:t>52 Pa. Code § 57.177.</w:t>
      </w:r>
      <w:proofErr w:type="gramEnd"/>
      <w:r w:rsidRPr="005D0307">
        <w:rPr>
          <w:rStyle w:val="Hyperlink"/>
          <w:color w:val="000000"/>
          <w:sz w:val="24"/>
          <w:szCs w:val="24"/>
        </w:rPr>
        <w:t xml:space="preserve">  This Regulation, which was approved by the Independent Regulatory Review Commission, has been in effect since 1998 and has the presumption of reasonableness.  Accordingly, while we find that we lack the authority to regulate EGS rates, we conclude that we may require EGSs to provide refunds to retail customers in appropriate circumstances.”  </w:t>
      </w:r>
      <w:proofErr w:type="spellStart"/>
      <w:r w:rsidRPr="005D0307">
        <w:rPr>
          <w:rStyle w:val="Hyperlink"/>
          <w:color w:val="000000"/>
          <w:sz w:val="24"/>
          <w:szCs w:val="24"/>
          <w:u w:val="single"/>
        </w:rPr>
        <w:t>Nadav</w:t>
      </w:r>
      <w:proofErr w:type="spellEnd"/>
      <w:r w:rsidRPr="005D0307">
        <w:rPr>
          <w:rStyle w:val="Hyperlink"/>
          <w:color w:val="000000"/>
          <w:sz w:val="24"/>
          <w:szCs w:val="24"/>
          <w:u w:val="single"/>
        </w:rPr>
        <w:t xml:space="preserve"> v. Respond Power, LLC</w:t>
      </w:r>
      <w:r w:rsidRPr="005D0307">
        <w:rPr>
          <w:rStyle w:val="Hyperlink"/>
          <w:color w:val="000000"/>
          <w:sz w:val="24"/>
          <w:szCs w:val="24"/>
        </w:rPr>
        <w:t>,</w:t>
      </w:r>
      <w:r>
        <w:rPr>
          <w:rStyle w:val="Hyperlink"/>
          <w:color w:val="000000"/>
          <w:sz w:val="24"/>
          <w:szCs w:val="24"/>
        </w:rPr>
        <w:t xml:space="preserve"> Docket No. C-2014-2429159, Order entered December 19, 2014.</w:t>
      </w:r>
    </w:p>
    <w:p w:rsidR="00FB7367" w:rsidRPr="005D0307" w:rsidRDefault="00FB7367" w:rsidP="00C958B8">
      <w:pPr>
        <w:spacing w:line="360" w:lineRule="auto"/>
        <w:ind w:firstLine="1440"/>
        <w:rPr>
          <w:spacing w:val="-3"/>
          <w:sz w:val="24"/>
          <w:szCs w:val="24"/>
        </w:rPr>
      </w:pPr>
    </w:p>
    <w:p w:rsidR="00FB7367" w:rsidRDefault="00FB7367" w:rsidP="00FB7367">
      <w:pPr>
        <w:spacing w:line="360" w:lineRule="auto"/>
        <w:rPr>
          <w:spacing w:val="-3"/>
          <w:sz w:val="24"/>
          <w:szCs w:val="24"/>
        </w:rPr>
      </w:pPr>
      <w:r w:rsidRPr="00FB7367">
        <w:rPr>
          <w:spacing w:val="-3"/>
          <w:sz w:val="24"/>
          <w:szCs w:val="24"/>
          <w:u w:val="single"/>
        </w:rPr>
        <w:t>Conclusion</w:t>
      </w:r>
      <w:r>
        <w:rPr>
          <w:spacing w:val="-3"/>
          <w:sz w:val="24"/>
          <w:szCs w:val="24"/>
        </w:rPr>
        <w:t>:</w:t>
      </w:r>
    </w:p>
    <w:p w:rsidR="00FB7367" w:rsidRDefault="00FB7367" w:rsidP="00C958B8">
      <w:pPr>
        <w:spacing w:line="360" w:lineRule="auto"/>
        <w:ind w:firstLine="1440"/>
        <w:rPr>
          <w:spacing w:val="-3"/>
          <w:sz w:val="24"/>
          <w:szCs w:val="24"/>
        </w:rPr>
      </w:pPr>
    </w:p>
    <w:p w:rsidR="00B76D4F" w:rsidRDefault="00B76D4F" w:rsidP="00C958B8">
      <w:pPr>
        <w:spacing w:line="360" w:lineRule="auto"/>
        <w:ind w:firstLine="1440"/>
        <w:rPr>
          <w:spacing w:val="-3"/>
          <w:sz w:val="24"/>
          <w:szCs w:val="24"/>
        </w:rPr>
      </w:pPr>
      <w:r>
        <w:rPr>
          <w:spacing w:val="-3"/>
          <w:sz w:val="24"/>
          <w:szCs w:val="24"/>
        </w:rPr>
        <w:t xml:space="preserve">The parties in this case are in agreement that the Complainant’s sister changed the EGS.  However, the sister is not </w:t>
      </w:r>
      <w:r w:rsidR="00922595">
        <w:rPr>
          <w:spacing w:val="-3"/>
          <w:sz w:val="24"/>
          <w:szCs w:val="24"/>
        </w:rPr>
        <w:t xml:space="preserve">a customer and is not </w:t>
      </w:r>
      <w:r>
        <w:rPr>
          <w:spacing w:val="-3"/>
          <w:sz w:val="24"/>
          <w:szCs w:val="24"/>
        </w:rPr>
        <w:t xml:space="preserve">authorized to make changes to the Complainant’s account.  The Respondent should have followed the regulations and secured a signed document from the </w:t>
      </w:r>
      <w:r w:rsidR="00922595">
        <w:rPr>
          <w:spacing w:val="-3"/>
          <w:sz w:val="24"/>
          <w:szCs w:val="24"/>
        </w:rPr>
        <w:t>EDC</w:t>
      </w:r>
      <w:r>
        <w:rPr>
          <w:spacing w:val="-3"/>
          <w:sz w:val="24"/>
          <w:szCs w:val="24"/>
        </w:rPr>
        <w:t xml:space="preserve"> identifying those persons who have authority to initiate changes of </w:t>
      </w:r>
      <w:r w:rsidR="00EA35F5">
        <w:rPr>
          <w:spacing w:val="-3"/>
          <w:sz w:val="24"/>
          <w:szCs w:val="24"/>
        </w:rPr>
        <w:t xml:space="preserve">the Complainant’s EGS.   </w:t>
      </w:r>
      <w:proofErr w:type="gramStart"/>
      <w:r w:rsidR="00EA35F5">
        <w:rPr>
          <w:spacing w:val="-3"/>
          <w:sz w:val="24"/>
          <w:szCs w:val="24"/>
        </w:rPr>
        <w:t>52 Pa.Code § 57.175.</w:t>
      </w:r>
      <w:proofErr w:type="gramEnd"/>
      <w:r w:rsidR="00EA35F5">
        <w:rPr>
          <w:spacing w:val="-3"/>
          <w:sz w:val="24"/>
          <w:szCs w:val="24"/>
        </w:rPr>
        <w:t xml:space="preserve">  </w:t>
      </w:r>
      <w:r>
        <w:rPr>
          <w:spacing w:val="-3"/>
          <w:sz w:val="24"/>
          <w:szCs w:val="24"/>
        </w:rPr>
        <w:t xml:space="preserve">Without </w:t>
      </w:r>
      <w:r w:rsidR="00922595">
        <w:rPr>
          <w:spacing w:val="-3"/>
          <w:sz w:val="24"/>
          <w:szCs w:val="24"/>
        </w:rPr>
        <w:t xml:space="preserve">the sister being a customer, and without </w:t>
      </w:r>
      <w:r>
        <w:rPr>
          <w:spacing w:val="-3"/>
          <w:sz w:val="24"/>
          <w:szCs w:val="24"/>
        </w:rPr>
        <w:t>a signed document</w:t>
      </w:r>
      <w:r w:rsidR="005D0307">
        <w:rPr>
          <w:spacing w:val="-3"/>
          <w:sz w:val="24"/>
          <w:szCs w:val="24"/>
        </w:rPr>
        <w:t xml:space="preserve"> providing the sister’s authority</w:t>
      </w:r>
      <w:r>
        <w:rPr>
          <w:spacing w:val="-3"/>
          <w:sz w:val="24"/>
          <w:szCs w:val="24"/>
        </w:rPr>
        <w:t xml:space="preserve">, the change was invalid.  Therefore, the Respondent must put the Complainant back where he was before the sister agreed to any changes. </w:t>
      </w:r>
    </w:p>
    <w:p w:rsidR="00B76D4F" w:rsidRDefault="00B76D4F" w:rsidP="00C958B8">
      <w:pPr>
        <w:spacing w:line="360" w:lineRule="auto"/>
        <w:ind w:firstLine="1440"/>
        <w:rPr>
          <w:spacing w:val="-3"/>
          <w:sz w:val="24"/>
          <w:szCs w:val="24"/>
        </w:rPr>
      </w:pPr>
    </w:p>
    <w:p w:rsidR="00C958B8" w:rsidRPr="00C958B8" w:rsidRDefault="00B76D4F" w:rsidP="00C958B8">
      <w:pPr>
        <w:spacing w:line="360" w:lineRule="auto"/>
        <w:ind w:firstLine="1440"/>
        <w:rPr>
          <w:sz w:val="24"/>
          <w:szCs w:val="24"/>
        </w:rPr>
      </w:pPr>
      <w:r>
        <w:rPr>
          <w:spacing w:val="-3"/>
          <w:sz w:val="24"/>
          <w:szCs w:val="24"/>
        </w:rPr>
        <w:t xml:space="preserve">Because the Complainant has already returned to PECO, the Respondent must calculate the difference between its rate and the PECO rate for </w:t>
      </w:r>
      <w:r w:rsidRPr="00FE6E99">
        <w:rPr>
          <w:spacing w:val="-3"/>
          <w:sz w:val="24"/>
          <w:szCs w:val="24"/>
          <w:u w:val="single"/>
        </w:rPr>
        <w:t>all</w:t>
      </w:r>
      <w:r>
        <w:rPr>
          <w:spacing w:val="-3"/>
          <w:sz w:val="24"/>
          <w:szCs w:val="24"/>
        </w:rPr>
        <w:t xml:space="preserve"> of the months that the Complainant was </w:t>
      </w:r>
      <w:r w:rsidR="00FE6E99">
        <w:rPr>
          <w:spacing w:val="-3"/>
          <w:sz w:val="24"/>
          <w:szCs w:val="24"/>
        </w:rPr>
        <w:t>enrolled, albeit, unauthorized, with</w:t>
      </w:r>
      <w:r>
        <w:rPr>
          <w:spacing w:val="-3"/>
          <w:sz w:val="24"/>
          <w:szCs w:val="24"/>
        </w:rPr>
        <w:t xml:space="preserve"> Respond Power</w:t>
      </w:r>
      <w:r w:rsidR="005D0307">
        <w:rPr>
          <w:spacing w:val="-3"/>
          <w:sz w:val="24"/>
          <w:szCs w:val="24"/>
        </w:rPr>
        <w:t>, LLC</w:t>
      </w:r>
      <w:r>
        <w:rPr>
          <w:spacing w:val="-3"/>
          <w:sz w:val="24"/>
          <w:szCs w:val="24"/>
        </w:rPr>
        <w:t xml:space="preserve"> and refund that amount. </w:t>
      </w:r>
      <w:r w:rsidR="00A62ED3">
        <w:rPr>
          <w:spacing w:val="-3"/>
          <w:sz w:val="24"/>
          <w:szCs w:val="24"/>
        </w:rPr>
        <w:t xml:space="preserve"> </w:t>
      </w:r>
      <w:r w:rsidR="00FE6E99">
        <w:rPr>
          <w:spacing w:val="-3"/>
          <w:sz w:val="24"/>
          <w:szCs w:val="24"/>
        </w:rPr>
        <w:t xml:space="preserve">The </w:t>
      </w:r>
      <w:r w:rsidR="008C6412">
        <w:rPr>
          <w:spacing w:val="-3"/>
          <w:sz w:val="24"/>
          <w:szCs w:val="24"/>
        </w:rPr>
        <w:t xml:space="preserve">change in the EGS by the sister </w:t>
      </w:r>
      <w:r w:rsidR="00FE6E99">
        <w:rPr>
          <w:spacing w:val="-3"/>
          <w:sz w:val="24"/>
          <w:szCs w:val="24"/>
        </w:rPr>
        <w:t>was</w:t>
      </w:r>
      <w:r w:rsidR="005D0307">
        <w:rPr>
          <w:spacing w:val="-3"/>
          <w:sz w:val="24"/>
          <w:szCs w:val="24"/>
        </w:rPr>
        <w:t xml:space="preserve"> unauthorized and therefore, in</w:t>
      </w:r>
      <w:r w:rsidR="00FE6E99">
        <w:rPr>
          <w:spacing w:val="-3"/>
          <w:sz w:val="24"/>
          <w:szCs w:val="24"/>
        </w:rPr>
        <w:t>valid.</w:t>
      </w:r>
    </w:p>
    <w:p w:rsidR="00A470ED" w:rsidRDefault="00A470ED" w:rsidP="00DE2348">
      <w:pPr>
        <w:spacing w:line="360" w:lineRule="auto"/>
        <w:jc w:val="center"/>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FE6E99" w:rsidRDefault="00FE6E99" w:rsidP="00A470ED">
      <w:pPr>
        <w:spacing w:line="360" w:lineRule="auto"/>
        <w:jc w:val="center"/>
        <w:rPr>
          <w:sz w:val="24"/>
          <w:szCs w:val="24"/>
          <w:u w:val="single"/>
        </w:rPr>
      </w:pPr>
    </w:p>
    <w:p w:rsidR="00FE6E99" w:rsidRDefault="00FE6E99" w:rsidP="00FE6E99">
      <w:pPr>
        <w:pStyle w:val="ListParagraph"/>
        <w:numPr>
          <w:ilvl w:val="0"/>
          <w:numId w:val="27"/>
        </w:numPr>
        <w:spacing w:line="360" w:lineRule="auto"/>
        <w:ind w:left="0" w:firstLine="1440"/>
        <w:rPr>
          <w:sz w:val="24"/>
          <w:szCs w:val="24"/>
        </w:rPr>
      </w:pPr>
      <w:r w:rsidRPr="00FE6E99">
        <w:rPr>
          <w:sz w:val="24"/>
          <w:szCs w:val="24"/>
        </w:rPr>
        <w:t>The Commission has jurisdiction over the parties and subject matter of this For</w:t>
      </w:r>
      <w:r w:rsidR="00EA35F5">
        <w:rPr>
          <w:sz w:val="24"/>
          <w:szCs w:val="24"/>
        </w:rPr>
        <w:t>mal</w:t>
      </w:r>
      <w:r w:rsidRPr="00FE6E99">
        <w:rPr>
          <w:sz w:val="24"/>
          <w:szCs w:val="24"/>
        </w:rPr>
        <w:t xml:space="preserve"> Complaint.</w:t>
      </w:r>
      <w:r>
        <w:rPr>
          <w:sz w:val="24"/>
          <w:szCs w:val="24"/>
        </w:rPr>
        <w:t xml:space="preserve">  </w:t>
      </w:r>
      <w:proofErr w:type="gramStart"/>
      <w:r>
        <w:rPr>
          <w:sz w:val="24"/>
          <w:szCs w:val="24"/>
        </w:rPr>
        <w:t>66 Pa.C.S.</w:t>
      </w:r>
      <w:proofErr w:type="gramEnd"/>
      <w:r>
        <w:rPr>
          <w:sz w:val="24"/>
          <w:szCs w:val="24"/>
        </w:rPr>
        <w:t xml:space="preserve"> § 2807.</w:t>
      </w:r>
    </w:p>
    <w:p w:rsidR="00553D7D" w:rsidRDefault="00553D7D" w:rsidP="00553D7D">
      <w:pPr>
        <w:pStyle w:val="ListParagraph"/>
        <w:spacing w:line="360" w:lineRule="auto"/>
        <w:ind w:left="1440"/>
        <w:rPr>
          <w:sz w:val="24"/>
          <w:szCs w:val="24"/>
        </w:rPr>
      </w:pPr>
    </w:p>
    <w:p w:rsidR="00FE6E99" w:rsidRDefault="00FE6E99" w:rsidP="003F25C2">
      <w:pPr>
        <w:pStyle w:val="ListParagraph"/>
        <w:numPr>
          <w:ilvl w:val="0"/>
          <w:numId w:val="27"/>
        </w:numPr>
        <w:spacing w:line="360" w:lineRule="auto"/>
        <w:ind w:left="0" w:firstLine="1440"/>
        <w:rPr>
          <w:sz w:val="24"/>
          <w:szCs w:val="24"/>
        </w:rPr>
      </w:pPr>
      <w:r>
        <w:rPr>
          <w:sz w:val="24"/>
          <w:szCs w:val="24"/>
        </w:rPr>
        <w:t xml:space="preserve">The Complainant bears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p>
    <w:p w:rsidR="00FE6E99" w:rsidRPr="00FE6E99" w:rsidRDefault="00FE6E99" w:rsidP="003F25C2">
      <w:pPr>
        <w:pStyle w:val="ListParagraph"/>
        <w:spacing w:line="360" w:lineRule="auto"/>
        <w:rPr>
          <w:sz w:val="24"/>
          <w:szCs w:val="24"/>
        </w:rPr>
      </w:pPr>
    </w:p>
    <w:p w:rsidR="00FE6E99" w:rsidRPr="00FE6E99" w:rsidRDefault="00FE6E99" w:rsidP="003F25C2">
      <w:pPr>
        <w:pStyle w:val="ListParagraph"/>
        <w:numPr>
          <w:ilvl w:val="0"/>
          <w:numId w:val="27"/>
        </w:numPr>
        <w:spacing w:line="360" w:lineRule="auto"/>
        <w:ind w:left="0" w:firstLine="1440"/>
        <w:rPr>
          <w:sz w:val="24"/>
          <w:szCs w:val="24"/>
        </w:rPr>
      </w:pPr>
      <w:r>
        <w:rPr>
          <w:sz w:val="24"/>
          <w:szCs w:val="24"/>
        </w:rPr>
        <w:t xml:space="preserve"> A</w:t>
      </w:r>
      <w:r>
        <w:rPr>
          <w:spacing w:val="-3"/>
          <w:sz w:val="24"/>
          <w:szCs w:val="24"/>
        </w:rPr>
        <w:t xml:space="preserve"> “customer” is a purchaser of electric power in whose name a service account exists with either an EDC or an EGS.  The term includes all persons authorized to act on a customer’s behalf.  52 Pa.Code § 57.171.</w:t>
      </w:r>
    </w:p>
    <w:p w:rsidR="00FE6E99" w:rsidRPr="00FE6E99" w:rsidRDefault="00FE6E99" w:rsidP="003F25C2">
      <w:pPr>
        <w:pStyle w:val="ListParagraph"/>
        <w:spacing w:line="360" w:lineRule="auto"/>
        <w:rPr>
          <w:sz w:val="24"/>
          <w:szCs w:val="24"/>
        </w:rPr>
      </w:pPr>
    </w:p>
    <w:p w:rsidR="00FE6E99" w:rsidRPr="00FE6E99" w:rsidRDefault="00FE6E99" w:rsidP="003F25C2">
      <w:pPr>
        <w:pStyle w:val="ListParagraph"/>
        <w:numPr>
          <w:ilvl w:val="0"/>
          <w:numId w:val="27"/>
        </w:numPr>
        <w:spacing w:line="360" w:lineRule="auto"/>
        <w:ind w:left="0" w:firstLine="1440"/>
        <w:rPr>
          <w:sz w:val="24"/>
          <w:szCs w:val="24"/>
        </w:rPr>
      </w:pPr>
      <w:r>
        <w:rPr>
          <w:spacing w:val="-3"/>
          <w:sz w:val="24"/>
          <w:szCs w:val="24"/>
        </w:rPr>
        <w:t xml:space="preserve">A customer may identify persons authorized to make changes to the customer’s account.  To accomplish this, the customer </w:t>
      </w:r>
      <w:r w:rsidRPr="00FE6E99">
        <w:rPr>
          <w:spacing w:val="-3"/>
          <w:sz w:val="24"/>
          <w:szCs w:val="24"/>
        </w:rPr>
        <w:t>shall</w:t>
      </w:r>
      <w:r>
        <w:rPr>
          <w:spacing w:val="-3"/>
          <w:sz w:val="24"/>
          <w:szCs w:val="24"/>
        </w:rPr>
        <w:t xml:space="preserve"> provide the EDC with a signed document identifying by name those persons who have authority to initiate change of the customer’s EGS.  52 Pa.Code § 57.175.</w:t>
      </w:r>
    </w:p>
    <w:p w:rsidR="00FE6E99" w:rsidRPr="00FE6E99" w:rsidRDefault="00FE6E99" w:rsidP="003F25C2">
      <w:pPr>
        <w:pStyle w:val="ListParagraph"/>
        <w:spacing w:line="360" w:lineRule="auto"/>
        <w:rPr>
          <w:sz w:val="24"/>
          <w:szCs w:val="24"/>
        </w:rPr>
      </w:pPr>
    </w:p>
    <w:p w:rsidR="00FE6E99" w:rsidRPr="00FE6E99" w:rsidRDefault="00FE6E99" w:rsidP="003F25C2">
      <w:pPr>
        <w:pStyle w:val="ListParagraph"/>
        <w:numPr>
          <w:ilvl w:val="0"/>
          <w:numId w:val="27"/>
        </w:numPr>
        <w:spacing w:line="360" w:lineRule="auto"/>
        <w:ind w:left="0" w:firstLine="1440"/>
        <w:rPr>
          <w:sz w:val="24"/>
          <w:szCs w:val="24"/>
        </w:rPr>
      </w:pPr>
      <w:r>
        <w:rPr>
          <w:spacing w:val="-3"/>
          <w:sz w:val="24"/>
          <w:szCs w:val="24"/>
        </w:rPr>
        <w:t>A customer who has had an EGS changed without having consented to that change shall be switched back to the original EGS for no additional fee.  Any charges involved in the switch back to the prior EGS are the responsibility of the company that initiated the change without the customer’s consent.  52 Pa.Code § 57.177(c).</w:t>
      </w:r>
    </w:p>
    <w:p w:rsidR="00FE6E99" w:rsidRPr="00FE6E99" w:rsidRDefault="00FE6E99" w:rsidP="003F25C2">
      <w:pPr>
        <w:pStyle w:val="ListParagraph"/>
        <w:spacing w:line="360" w:lineRule="auto"/>
        <w:rPr>
          <w:sz w:val="24"/>
          <w:szCs w:val="24"/>
        </w:rPr>
      </w:pPr>
    </w:p>
    <w:p w:rsidR="00FE6E99" w:rsidRPr="00FE6E99" w:rsidRDefault="00FE6E99" w:rsidP="003F25C2">
      <w:pPr>
        <w:pStyle w:val="ListParagraph"/>
        <w:numPr>
          <w:ilvl w:val="0"/>
          <w:numId w:val="27"/>
        </w:numPr>
        <w:spacing w:line="360" w:lineRule="auto"/>
        <w:ind w:left="0" w:firstLine="1440"/>
        <w:rPr>
          <w:sz w:val="24"/>
          <w:szCs w:val="24"/>
        </w:rPr>
      </w:pPr>
      <w:r>
        <w:rPr>
          <w:spacing w:val="-3"/>
          <w:sz w:val="24"/>
          <w:szCs w:val="24"/>
        </w:rPr>
        <w:t>The</w:t>
      </w:r>
      <w:r w:rsidRPr="00614336">
        <w:rPr>
          <w:spacing w:val="-3"/>
          <w:sz w:val="24"/>
          <w:szCs w:val="24"/>
        </w:rPr>
        <w:t xml:space="preserve"> </w:t>
      </w:r>
      <w:r>
        <w:rPr>
          <w:spacing w:val="-3"/>
          <w:sz w:val="24"/>
          <w:szCs w:val="24"/>
        </w:rPr>
        <w:t>Complainant</w:t>
      </w:r>
      <w:r w:rsidRPr="00614336">
        <w:rPr>
          <w:spacing w:val="-3"/>
          <w:sz w:val="24"/>
          <w:szCs w:val="24"/>
        </w:rPr>
        <w:t xml:space="preserve"> </w:t>
      </w:r>
      <w:r>
        <w:rPr>
          <w:spacing w:val="-3"/>
          <w:sz w:val="24"/>
          <w:szCs w:val="24"/>
        </w:rPr>
        <w:t>successfully</w:t>
      </w:r>
      <w:r w:rsidRPr="00614336">
        <w:rPr>
          <w:spacing w:val="-3"/>
          <w:sz w:val="24"/>
          <w:szCs w:val="24"/>
        </w:rPr>
        <w:t xml:space="preserve"> show</w:t>
      </w:r>
      <w:r>
        <w:rPr>
          <w:spacing w:val="-3"/>
          <w:sz w:val="24"/>
          <w:szCs w:val="24"/>
        </w:rPr>
        <w:t>ed</w:t>
      </w:r>
      <w:r w:rsidRPr="00614336">
        <w:rPr>
          <w:spacing w:val="-3"/>
          <w:sz w:val="24"/>
          <w:szCs w:val="24"/>
        </w:rPr>
        <w:t xml:space="preserve">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 xml:space="preserve">Patterson v. Bell Telephone Company of </w:t>
      </w:r>
      <w:smartTag w:uri="urn:schemas-microsoft-com:office:smarttags" w:element="place">
        <w:smartTag w:uri="urn:schemas-microsoft-com:office:smarttags" w:element="State">
          <w:r w:rsidRPr="00614336">
            <w:rPr>
              <w:spacing w:val="-3"/>
              <w:sz w:val="24"/>
              <w:szCs w:val="24"/>
              <w:u w:val="single"/>
            </w:rPr>
            <w:t>Pennsylvania</w:t>
          </w:r>
        </w:smartTag>
      </w:smartTag>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
    <w:p w:rsidR="00FE6E99" w:rsidRPr="00FE6E99" w:rsidRDefault="00FE6E99" w:rsidP="003F25C2">
      <w:pPr>
        <w:pStyle w:val="ListParagraph"/>
        <w:spacing w:line="360" w:lineRule="auto"/>
        <w:rPr>
          <w:sz w:val="24"/>
          <w:szCs w:val="24"/>
        </w:rPr>
      </w:pPr>
    </w:p>
    <w:p w:rsidR="00FE6E99" w:rsidRPr="00FE6E99" w:rsidRDefault="00FE6E99" w:rsidP="003F25C2">
      <w:pPr>
        <w:pStyle w:val="ListParagraph"/>
        <w:numPr>
          <w:ilvl w:val="0"/>
          <w:numId w:val="27"/>
        </w:numPr>
        <w:spacing w:line="360" w:lineRule="auto"/>
        <w:ind w:left="0" w:firstLine="1440"/>
        <w:rPr>
          <w:sz w:val="24"/>
          <w:szCs w:val="24"/>
        </w:rPr>
      </w:pPr>
      <w:r>
        <w:rPr>
          <w:sz w:val="24"/>
          <w:szCs w:val="24"/>
        </w:rPr>
        <w:t>The</w:t>
      </w:r>
      <w:r w:rsidR="007A05D4">
        <w:rPr>
          <w:sz w:val="24"/>
          <w:szCs w:val="24"/>
        </w:rPr>
        <w:t xml:space="preserve"> Complainant </w:t>
      </w:r>
      <w:r>
        <w:rPr>
          <w:sz w:val="24"/>
          <w:szCs w:val="24"/>
        </w:rPr>
        <w:t>met his burden of proof.</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B429B7" w:rsidRPr="00311AD2" w:rsidRDefault="00B429B7"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8C6412" w:rsidRDefault="00DE562E" w:rsidP="0081696C">
      <w:pPr>
        <w:spacing w:line="360" w:lineRule="auto"/>
        <w:ind w:firstLine="1440"/>
        <w:outlineLvl w:val="0"/>
        <w:rPr>
          <w:sz w:val="24"/>
          <w:szCs w:val="24"/>
        </w:rPr>
      </w:pPr>
      <w:r w:rsidRPr="00DE562E">
        <w:rPr>
          <w:sz w:val="24"/>
          <w:szCs w:val="24"/>
        </w:rPr>
        <w:t>IT IS ORDERED:</w:t>
      </w:r>
    </w:p>
    <w:p w:rsidR="00DE562E" w:rsidRDefault="006D4BB7" w:rsidP="0081696C">
      <w:pPr>
        <w:spacing w:line="360" w:lineRule="auto"/>
        <w:ind w:firstLine="1440"/>
        <w:outlineLvl w:val="0"/>
        <w:rPr>
          <w:sz w:val="24"/>
          <w:szCs w:val="24"/>
        </w:rPr>
      </w:pPr>
      <w:r w:rsidRPr="00DD2411">
        <w:rPr>
          <w:sz w:val="24"/>
          <w:szCs w:val="24"/>
        </w:rPr>
        <w:t xml:space="preserve"> </w:t>
      </w:r>
    </w:p>
    <w:p w:rsidR="008C6412" w:rsidRDefault="008C6412" w:rsidP="008C6412">
      <w:pPr>
        <w:pStyle w:val="ListParagraph"/>
        <w:numPr>
          <w:ilvl w:val="0"/>
          <w:numId w:val="28"/>
        </w:numPr>
        <w:spacing w:line="360" w:lineRule="auto"/>
        <w:ind w:left="0" w:firstLine="1440"/>
        <w:outlineLvl w:val="0"/>
        <w:rPr>
          <w:sz w:val="24"/>
          <w:szCs w:val="24"/>
        </w:rPr>
      </w:pPr>
      <w:r>
        <w:rPr>
          <w:sz w:val="24"/>
          <w:szCs w:val="24"/>
        </w:rPr>
        <w:t xml:space="preserve">That the Formal Complaint of </w:t>
      </w:r>
      <w:proofErr w:type="spellStart"/>
      <w:r>
        <w:rPr>
          <w:sz w:val="24"/>
          <w:szCs w:val="24"/>
        </w:rPr>
        <w:t>Binh</w:t>
      </w:r>
      <w:proofErr w:type="spellEnd"/>
      <w:r>
        <w:rPr>
          <w:sz w:val="24"/>
          <w:szCs w:val="24"/>
        </w:rPr>
        <w:t xml:space="preserve"> Tran is granted.</w:t>
      </w:r>
    </w:p>
    <w:p w:rsidR="008C6412" w:rsidRDefault="008C6412" w:rsidP="008C6412">
      <w:pPr>
        <w:pStyle w:val="ListParagraph"/>
        <w:spacing w:line="360" w:lineRule="auto"/>
        <w:ind w:left="1440"/>
        <w:outlineLvl w:val="0"/>
        <w:rPr>
          <w:sz w:val="24"/>
          <w:szCs w:val="24"/>
        </w:rPr>
      </w:pPr>
      <w:r>
        <w:rPr>
          <w:sz w:val="24"/>
          <w:szCs w:val="24"/>
        </w:rPr>
        <w:t xml:space="preserve"> </w:t>
      </w:r>
    </w:p>
    <w:p w:rsidR="008C6412" w:rsidRPr="008C6412" w:rsidRDefault="008C6412" w:rsidP="008C6412">
      <w:pPr>
        <w:pStyle w:val="ListParagraph"/>
        <w:numPr>
          <w:ilvl w:val="0"/>
          <w:numId w:val="28"/>
        </w:numPr>
        <w:spacing w:line="360" w:lineRule="auto"/>
        <w:ind w:left="0" w:firstLine="1440"/>
        <w:outlineLvl w:val="0"/>
        <w:rPr>
          <w:sz w:val="24"/>
          <w:szCs w:val="24"/>
        </w:rPr>
      </w:pPr>
      <w:r>
        <w:rPr>
          <w:sz w:val="24"/>
          <w:szCs w:val="24"/>
        </w:rPr>
        <w:t>That Respond Power, LLC shall refund to the Complainant the difference between its rate and the PECO</w:t>
      </w:r>
      <w:r w:rsidR="00E37AFF">
        <w:rPr>
          <w:sz w:val="24"/>
          <w:szCs w:val="24"/>
        </w:rPr>
        <w:t xml:space="preserve"> Energy Company</w:t>
      </w:r>
      <w:r>
        <w:rPr>
          <w:sz w:val="24"/>
          <w:szCs w:val="24"/>
        </w:rPr>
        <w:t xml:space="preserve"> rate for all of the months that the Complainant was invalidly enrolled with Respond Power, LLC</w:t>
      </w:r>
      <w:r w:rsidR="001012FE">
        <w:rPr>
          <w:sz w:val="24"/>
          <w:szCs w:val="24"/>
        </w:rPr>
        <w:t>.</w:t>
      </w:r>
      <w:r>
        <w:rPr>
          <w:sz w:val="24"/>
          <w:szCs w:val="24"/>
        </w:rPr>
        <w:t xml:space="preserve"> </w:t>
      </w:r>
    </w:p>
    <w:p w:rsidR="00311AD2" w:rsidRDefault="00311AD2" w:rsidP="0081696C">
      <w:pPr>
        <w:spacing w:line="360" w:lineRule="auto"/>
        <w:ind w:firstLine="1440"/>
        <w:outlineLvl w:val="0"/>
        <w:rPr>
          <w:sz w:val="24"/>
          <w:szCs w:val="24"/>
        </w:rPr>
      </w:pPr>
    </w:p>
    <w:p w:rsidR="00464D41" w:rsidRDefault="00464D41" w:rsidP="00464D41">
      <w:pPr>
        <w:pStyle w:val="ListParagraph"/>
        <w:numPr>
          <w:ilvl w:val="0"/>
          <w:numId w:val="28"/>
        </w:numPr>
        <w:spacing w:line="360" w:lineRule="auto"/>
        <w:ind w:left="0" w:firstLine="1440"/>
        <w:outlineLvl w:val="0"/>
        <w:rPr>
          <w:sz w:val="24"/>
          <w:szCs w:val="24"/>
        </w:rPr>
      </w:pPr>
      <w:r>
        <w:rPr>
          <w:sz w:val="24"/>
          <w:szCs w:val="24"/>
        </w:rPr>
        <w:t xml:space="preserve">That the Secretary’s Bureau shall mark Docket No. </w:t>
      </w:r>
      <w:r w:rsidR="000B702D">
        <w:rPr>
          <w:sz w:val="24"/>
          <w:szCs w:val="24"/>
        </w:rPr>
        <w:t>C</w:t>
      </w:r>
      <w:r>
        <w:rPr>
          <w:sz w:val="24"/>
          <w:szCs w:val="24"/>
        </w:rPr>
        <w:t>-2014-2417540 closed.</w:t>
      </w:r>
    </w:p>
    <w:p w:rsidR="00464D41" w:rsidRPr="00DD2411" w:rsidRDefault="00464D41" w:rsidP="0081696C">
      <w:pPr>
        <w:spacing w:line="360" w:lineRule="auto"/>
        <w:ind w:firstLine="1440"/>
        <w:outlineLvl w:val="0"/>
        <w:rPr>
          <w:sz w:val="24"/>
          <w:szCs w:val="24"/>
        </w:rPr>
      </w:pPr>
    </w:p>
    <w:p w:rsidR="00BB3104" w:rsidRDefault="00BB3104" w:rsidP="00CE68C6">
      <w:pPr>
        <w:spacing w:line="360" w:lineRule="auto"/>
        <w:rPr>
          <w:sz w:val="24"/>
          <w:szCs w:val="24"/>
        </w:rPr>
      </w:pPr>
    </w:p>
    <w:p w:rsidR="00DE562E" w:rsidRPr="00DE562E" w:rsidRDefault="00DE562E" w:rsidP="00DE562E">
      <w:pPr>
        <w:jc w:val="both"/>
        <w:rPr>
          <w:sz w:val="24"/>
          <w:szCs w:val="24"/>
        </w:rPr>
      </w:pPr>
      <w:r w:rsidRPr="00DE562E">
        <w:rPr>
          <w:sz w:val="24"/>
          <w:szCs w:val="24"/>
        </w:rPr>
        <w:t>Date:</w:t>
      </w:r>
      <w:r w:rsidR="008D60B6">
        <w:rPr>
          <w:sz w:val="24"/>
          <w:szCs w:val="24"/>
        </w:rPr>
        <w:t xml:space="preserve">  </w:t>
      </w:r>
      <w:r w:rsidR="008C6412" w:rsidRPr="008D60B6">
        <w:rPr>
          <w:sz w:val="24"/>
          <w:szCs w:val="24"/>
          <w:u w:val="single"/>
        </w:rPr>
        <w:t>January 2</w:t>
      </w:r>
      <w:r w:rsidR="002C5DCA">
        <w:rPr>
          <w:sz w:val="24"/>
          <w:szCs w:val="24"/>
          <w:u w:val="single"/>
        </w:rPr>
        <w:t>8</w:t>
      </w:r>
      <w:r w:rsidR="008C6412" w:rsidRPr="008D60B6">
        <w:rPr>
          <w:sz w:val="24"/>
          <w:szCs w:val="24"/>
          <w:u w:val="single"/>
        </w:rPr>
        <w:t>, 2015</w:t>
      </w:r>
      <w:r w:rsidR="001F7F73">
        <w:rPr>
          <w:sz w:val="24"/>
          <w:szCs w:val="24"/>
        </w:rPr>
        <w:tab/>
      </w:r>
      <w:r w:rsidR="001F7F73">
        <w:rPr>
          <w:sz w:val="24"/>
          <w:szCs w:val="24"/>
        </w:rPr>
        <w:tab/>
      </w:r>
      <w:r w:rsidR="001F7F73">
        <w:rPr>
          <w:sz w:val="24"/>
          <w:szCs w:val="24"/>
        </w:rPr>
        <w:tab/>
      </w:r>
      <w:r w:rsidR="001F7F73">
        <w:rPr>
          <w:sz w:val="24"/>
          <w:szCs w:val="24"/>
        </w:rPr>
        <w:tab/>
      </w:r>
      <w:r w:rsidR="00F556C2">
        <w:rPr>
          <w:sz w:val="24"/>
          <w:szCs w:val="24"/>
        </w:rPr>
        <w:tab/>
      </w:r>
      <w:r w:rsidR="00F556C2" w:rsidRPr="00F556C2">
        <w:rPr>
          <w:sz w:val="24"/>
          <w:szCs w:val="24"/>
          <w:u w:val="single"/>
        </w:rPr>
        <w:tab/>
      </w:r>
      <w:r w:rsidR="00F556C2" w:rsidRPr="00F556C2">
        <w:rPr>
          <w:sz w:val="24"/>
          <w:szCs w:val="24"/>
          <w:u w:val="single"/>
        </w:rPr>
        <w:tab/>
        <w:t>/s/</w:t>
      </w:r>
      <w:r w:rsidR="00F556C2" w:rsidRPr="00F556C2">
        <w:rPr>
          <w:sz w:val="24"/>
          <w:szCs w:val="24"/>
          <w:u w:val="single"/>
        </w:rPr>
        <w:tab/>
      </w:r>
      <w:r w:rsidR="00F556C2" w:rsidRPr="00F556C2">
        <w:rPr>
          <w:sz w:val="24"/>
          <w:szCs w:val="24"/>
          <w:u w:val="single"/>
        </w:rPr>
        <w:tab/>
      </w:r>
      <w:r w:rsidR="00F556C2" w:rsidRPr="00F556C2">
        <w:rPr>
          <w:sz w:val="24"/>
          <w:szCs w:val="24"/>
          <w:u w:val="single"/>
        </w:rPr>
        <w:tab/>
      </w:r>
      <w:r w:rsidR="001F7F73">
        <w:rPr>
          <w:sz w:val="24"/>
          <w:szCs w:val="24"/>
        </w:rPr>
        <w:tab/>
      </w:r>
      <w:r w:rsidR="001F7F73">
        <w:rPr>
          <w:sz w:val="24"/>
          <w:szCs w:val="24"/>
        </w:rPr>
        <w:tab/>
      </w:r>
      <w:r w:rsidR="00C21F78">
        <w:rPr>
          <w:b/>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F556C2">
        <w:rPr>
          <w:sz w:val="24"/>
          <w:szCs w:val="24"/>
        </w:rPr>
        <w:tab/>
      </w:r>
      <w:r w:rsidR="001F7F73">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F556C2">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19" w:rsidRDefault="00422A19">
      <w:r>
        <w:separator/>
      </w:r>
    </w:p>
  </w:endnote>
  <w:endnote w:type="continuationSeparator" w:id="0">
    <w:p w:rsidR="00422A19" w:rsidRDefault="0042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E39C6">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19" w:rsidRDefault="00422A19">
      <w:r>
        <w:separator/>
      </w:r>
    </w:p>
  </w:footnote>
  <w:footnote w:type="continuationSeparator" w:id="0">
    <w:p w:rsidR="00422A19" w:rsidRDefault="00422A19">
      <w:r>
        <w:continuationSeparator/>
      </w:r>
    </w:p>
  </w:footnote>
  <w:footnote w:id="1">
    <w:p w:rsidR="00A62ED3" w:rsidRDefault="00A62ED3">
      <w:pPr>
        <w:pStyle w:val="FootnoteText"/>
      </w:pPr>
      <w:r>
        <w:rPr>
          <w:rStyle w:val="FootnoteReference"/>
        </w:rPr>
        <w:footnoteRef/>
      </w:r>
      <w:r>
        <w:t xml:space="preserve"> Electric Distribution Company</w:t>
      </w:r>
      <w:r w:rsidR="00EA35F5">
        <w:t>.</w:t>
      </w:r>
    </w:p>
    <w:p w:rsidR="00215241" w:rsidRDefault="00215241">
      <w:pPr>
        <w:pStyle w:val="FootnoteText"/>
      </w:pPr>
    </w:p>
  </w:footnote>
  <w:footnote w:id="2">
    <w:p w:rsidR="00A62ED3" w:rsidRDefault="00A62ED3">
      <w:pPr>
        <w:pStyle w:val="FootnoteText"/>
      </w:pPr>
      <w:r>
        <w:rPr>
          <w:rStyle w:val="FootnoteReference"/>
        </w:rPr>
        <w:footnoteRef/>
      </w:r>
      <w:r>
        <w:t xml:space="preserve"> </w:t>
      </w:r>
      <w:proofErr w:type="gramStart"/>
      <w:r>
        <w:t>Electric Generation Supplier</w:t>
      </w:r>
      <w:r w:rsidR="00EA35F5">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7E8"/>
    <w:multiLevelType w:val="hybridMultilevel"/>
    <w:tmpl w:val="EEEEA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C4E3A28"/>
    <w:multiLevelType w:val="hybridMultilevel"/>
    <w:tmpl w:val="92E4C036"/>
    <w:lvl w:ilvl="0" w:tplc="FC18D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C09"/>
    <w:multiLevelType w:val="hybridMultilevel"/>
    <w:tmpl w:val="D81AF894"/>
    <w:lvl w:ilvl="0" w:tplc="5DC48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6A6A2B1D"/>
    <w:multiLevelType w:val="hybridMultilevel"/>
    <w:tmpl w:val="5D26D7B4"/>
    <w:lvl w:ilvl="0" w:tplc="A4FCD4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827287"/>
    <w:multiLevelType w:val="hybridMultilevel"/>
    <w:tmpl w:val="94F629A2"/>
    <w:lvl w:ilvl="0" w:tplc="16063250">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2"/>
  </w:num>
  <w:num w:numId="3">
    <w:abstractNumId w:val="19"/>
  </w:num>
  <w:num w:numId="4">
    <w:abstractNumId w:val="3"/>
  </w:num>
  <w:num w:numId="5">
    <w:abstractNumId w:val="16"/>
  </w:num>
  <w:num w:numId="6">
    <w:abstractNumId w:val="11"/>
  </w:num>
  <w:num w:numId="7">
    <w:abstractNumId w:val="9"/>
  </w:num>
  <w:num w:numId="8">
    <w:abstractNumId w:val="1"/>
  </w:num>
  <w:num w:numId="9">
    <w:abstractNumId w:val="17"/>
  </w:num>
  <w:num w:numId="10">
    <w:abstractNumId w:val="20"/>
  </w:num>
  <w:num w:numId="11">
    <w:abstractNumId w:val="18"/>
  </w:num>
  <w:num w:numId="12">
    <w:abstractNumId w:val="29"/>
  </w:num>
  <w:num w:numId="13">
    <w:abstractNumId w:val="2"/>
  </w:num>
  <w:num w:numId="14">
    <w:abstractNumId w:val="10"/>
  </w:num>
  <w:num w:numId="15">
    <w:abstractNumId w:val="23"/>
  </w:num>
  <w:num w:numId="16">
    <w:abstractNumId w:val="27"/>
  </w:num>
  <w:num w:numId="17">
    <w:abstractNumId w:val="12"/>
  </w:num>
  <w:num w:numId="18">
    <w:abstractNumId w:val="7"/>
  </w:num>
  <w:num w:numId="19">
    <w:abstractNumId w:val="21"/>
  </w:num>
  <w:num w:numId="20">
    <w:abstractNumId w:val="6"/>
  </w:num>
  <w:num w:numId="21">
    <w:abstractNumId w:val="8"/>
  </w:num>
  <w:num w:numId="22">
    <w:abstractNumId w:val="14"/>
  </w:num>
  <w:num w:numId="23">
    <w:abstractNumId w:val="15"/>
  </w:num>
  <w:num w:numId="24">
    <w:abstractNumId w:val="28"/>
  </w:num>
  <w:num w:numId="25">
    <w:abstractNumId w:val="26"/>
  </w:num>
  <w:num w:numId="26">
    <w:abstractNumId w:val="0"/>
  </w:num>
  <w:num w:numId="27">
    <w:abstractNumId w:val="5"/>
  </w:num>
  <w:num w:numId="28">
    <w:abstractNumId w:val="4"/>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52564"/>
    <w:rsid w:val="00055A89"/>
    <w:rsid w:val="000573C2"/>
    <w:rsid w:val="00064F92"/>
    <w:rsid w:val="0006610A"/>
    <w:rsid w:val="0006622C"/>
    <w:rsid w:val="00070E25"/>
    <w:rsid w:val="0007126E"/>
    <w:rsid w:val="000728A4"/>
    <w:rsid w:val="00075A22"/>
    <w:rsid w:val="00082976"/>
    <w:rsid w:val="000833F2"/>
    <w:rsid w:val="00091672"/>
    <w:rsid w:val="00091CE2"/>
    <w:rsid w:val="00093DB9"/>
    <w:rsid w:val="000967DB"/>
    <w:rsid w:val="000A001F"/>
    <w:rsid w:val="000A1CB9"/>
    <w:rsid w:val="000A20A3"/>
    <w:rsid w:val="000B5F6A"/>
    <w:rsid w:val="000B702D"/>
    <w:rsid w:val="000C6F32"/>
    <w:rsid w:val="000D2CE8"/>
    <w:rsid w:val="000E0BD8"/>
    <w:rsid w:val="000E277A"/>
    <w:rsid w:val="000E2934"/>
    <w:rsid w:val="000E6B17"/>
    <w:rsid w:val="000F0833"/>
    <w:rsid w:val="000F1894"/>
    <w:rsid w:val="000F1F62"/>
    <w:rsid w:val="000F2F0A"/>
    <w:rsid w:val="000F6118"/>
    <w:rsid w:val="001012FE"/>
    <w:rsid w:val="0010136B"/>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940ED"/>
    <w:rsid w:val="001A4CC0"/>
    <w:rsid w:val="001A721E"/>
    <w:rsid w:val="001B123C"/>
    <w:rsid w:val="001B3235"/>
    <w:rsid w:val="001C20B7"/>
    <w:rsid w:val="001C715B"/>
    <w:rsid w:val="001D3206"/>
    <w:rsid w:val="001D6FCF"/>
    <w:rsid w:val="001E4FAC"/>
    <w:rsid w:val="001F0787"/>
    <w:rsid w:val="001F08B4"/>
    <w:rsid w:val="001F0B9A"/>
    <w:rsid w:val="001F2116"/>
    <w:rsid w:val="001F6FC1"/>
    <w:rsid w:val="001F7F73"/>
    <w:rsid w:val="0020095D"/>
    <w:rsid w:val="00215221"/>
    <w:rsid w:val="0021524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1AD"/>
    <w:rsid w:val="002B3489"/>
    <w:rsid w:val="002B4EAE"/>
    <w:rsid w:val="002C248F"/>
    <w:rsid w:val="002C3FDE"/>
    <w:rsid w:val="002C486F"/>
    <w:rsid w:val="002C5DCA"/>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4A1F"/>
    <w:rsid w:val="003D7EC6"/>
    <w:rsid w:val="003E292B"/>
    <w:rsid w:val="003E594B"/>
    <w:rsid w:val="003F25C2"/>
    <w:rsid w:val="003F5796"/>
    <w:rsid w:val="003F5965"/>
    <w:rsid w:val="003F69BF"/>
    <w:rsid w:val="00402359"/>
    <w:rsid w:val="004064A8"/>
    <w:rsid w:val="004070D6"/>
    <w:rsid w:val="004107FD"/>
    <w:rsid w:val="00417087"/>
    <w:rsid w:val="0042160A"/>
    <w:rsid w:val="0042193A"/>
    <w:rsid w:val="00422A19"/>
    <w:rsid w:val="00422E29"/>
    <w:rsid w:val="00424A76"/>
    <w:rsid w:val="00427E73"/>
    <w:rsid w:val="004312BE"/>
    <w:rsid w:val="00431BEF"/>
    <w:rsid w:val="00442854"/>
    <w:rsid w:val="0046339D"/>
    <w:rsid w:val="00464D41"/>
    <w:rsid w:val="00476C8A"/>
    <w:rsid w:val="00486535"/>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2D3D"/>
    <w:rsid w:val="005022E0"/>
    <w:rsid w:val="005032B5"/>
    <w:rsid w:val="00504A7D"/>
    <w:rsid w:val="00515937"/>
    <w:rsid w:val="00517AD1"/>
    <w:rsid w:val="00523780"/>
    <w:rsid w:val="00526B2A"/>
    <w:rsid w:val="00530D1B"/>
    <w:rsid w:val="00531226"/>
    <w:rsid w:val="00531409"/>
    <w:rsid w:val="0053203C"/>
    <w:rsid w:val="00535DF7"/>
    <w:rsid w:val="00542107"/>
    <w:rsid w:val="00553D7D"/>
    <w:rsid w:val="00553EEB"/>
    <w:rsid w:val="00564C41"/>
    <w:rsid w:val="0056706A"/>
    <w:rsid w:val="00582896"/>
    <w:rsid w:val="00584798"/>
    <w:rsid w:val="0059070D"/>
    <w:rsid w:val="00592C86"/>
    <w:rsid w:val="005A10F2"/>
    <w:rsid w:val="005A33D0"/>
    <w:rsid w:val="005B13B6"/>
    <w:rsid w:val="005B250B"/>
    <w:rsid w:val="005B3C00"/>
    <w:rsid w:val="005B6749"/>
    <w:rsid w:val="005B7834"/>
    <w:rsid w:val="005C28EC"/>
    <w:rsid w:val="005D0307"/>
    <w:rsid w:val="005D19C4"/>
    <w:rsid w:val="005D2DEE"/>
    <w:rsid w:val="005D4D0C"/>
    <w:rsid w:val="005E2068"/>
    <w:rsid w:val="005E3007"/>
    <w:rsid w:val="005E39C6"/>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3C69"/>
    <w:rsid w:val="00675607"/>
    <w:rsid w:val="00675986"/>
    <w:rsid w:val="00695694"/>
    <w:rsid w:val="006A21C2"/>
    <w:rsid w:val="006A3B47"/>
    <w:rsid w:val="006A7A0A"/>
    <w:rsid w:val="006C1047"/>
    <w:rsid w:val="006C3226"/>
    <w:rsid w:val="006D4BB7"/>
    <w:rsid w:val="006D75BD"/>
    <w:rsid w:val="006E4407"/>
    <w:rsid w:val="006F44F9"/>
    <w:rsid w:val="007015FC"/>
    <w:rsid w:val="00704EFA"/>
    <w:rsid w:val="007114E7"/>
    <w:rsid w:val="0071588F"/>
    <w:rsid w:val="0073239A"/>
    <w:rsid w:val="0073727C"/>
    <w:rsid w:val="0074275B"/>
    <w:rsid w:val="00744AF3"/>
    <w:rsid w:val="00747E56"/>
    <w:rsid w:val="00751672"/>
    <w:rsid w:val="0075510C"/>
    <w:rsid w:val="00766C8E"/>
    <w:rsid w:val="0077255F"/>
    <w:rsid w:val="00775593"/>
    <w:rsid w:val="00780E7F"/>
    <w:rsid w:val="00782A08"/>
    <w:rsid w:val="00786153"/>
    <w:rsid w:val="00790EF3"/>
    <w:rsid w:val="00791ABB"/>
    <w:rsid w:val="00792C70"/>
    <w:rsid w:val="00794A8B"/>
    <w:rsid w:val="007965B0"/>
    <w:rsid w:val="007A05D4"/>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12E2"/>
    <w:rsid w:val="00862A17"/>
    <w:rsid w:val="00866264"/>
    <w:rsid w:val="008663C0"/>
    <w:rsid w:val="008746E1"/>
    <w:rsid w:val="0087572C"/>
    <w:rsid w:val="008803F7"/>
    <w:rsid w:val="00881C76"/>
    <w:rsid w:val="0088763C"/>
    <w:rsid w:val="00890A5C"/>
    <w:rsid w:val="00893B0E"/>
    <w:rsid w:val="00893F0B"/>
    <w:rsid w:val="00894839"/>
    <w:rsid w:val="0089761B"/>
    <w:rsid w:val="008A0235"/>
    <w:rsid w:val="008A60E2"/>
    <w:rsid w:val="008B1A8B"/>
    <w:rsid w:val="008B282A"/>
    <w:rsid w:val="008B2B8B"/>
    <w:rsid w:val="008C6412"/>
    <w:rsid w:val="008D60B6"/>
    <w:rsid w:val="008D6D09"/>
    <w:rsid w:val="008D761F"/>
    <w:rsid w:val="008E3BE1"/>
    <w:rsid w:val="008E5A53"/>
    <w:rsid w:val="008F013A"/>
    <w:rsid w:val="008F22F9"/>
    <w:rsid w:val="008F554F"/>
    <w:rsid w:val="008F6AC3"/>
    <w:rsid w:val="009077E3"/>
    <w:rsid w:val="00910EF2"/>
    <w:rsid w:val="00913B17"/>
    <w:rsid w:val="009166DD"/>
    <w:rsid w:val="0091672D"/>
    <w:rsid w:val="00922595"/>
    <w:rsid w:val="00922FE6"/>
    <w:rsid w:val="009342E4"/>
    <w:rsid w:val="009445E9"/>
    <w:rsid w:val="009634B4"/>
    <w:rsid w:val="009643E3"/>
    <w:rsid w:val="009649FC"/>
    <w:rsid w:val="00965F82"/>
    <w:rsid w:val="0098237A"/>
    <w:rsid w:val="00982B8E"/>
    <w:rsid w:val="009830C8"/>
    <w:rsid w:val="00983B9A"/>
    <w:rsid w:val="009870EF"/>
    <w:rsid w:val="009877CF"/>
    <w:rsid w:val="00987B98"/>
    <w:rsid w:val="00990AA8"/>
    <w:rsid w:val="00995E0A"/>
    <w:rsid w:val="009A475D"/>
    <w:rsid w:val="009A5C49"/>
    <w:rsid w:val="009B1C06"/>
    <w:rsid w:val="009C22D0"/>
    <w:rsid w:val="009C7DE1"/>
    <w:rsid w:val="009D5A08"/>
    <w:rsid w:val="009E69A1"/>
    <w:rsid w:val="009F24FB"/>
    <w:rsid w:val="009F4939"/>
    <w:rsid w:val="009F620C"/>
    <w:rsid w:val="009F7BD8"/>
    <w:rsid w:val="00A022C7"/>
    <w:rsid w:val="00A02D20"/>
    <w:rsid w:val="00A0627A"/>
    <w:rsid w:val="00A22653"/>
    <w:rsid w:val="00A23BC5"/>
    <w:rsid w:val="00A24F45"/>
    <w:rsid w:val="00A345AE"/>
    <w:rsid w:val="00A409B8"/>
    <w:rsid w:val="00A4383B"/>
    <w:rsid w:val="00A470ED"/>
    <w:rsid w:val="00A475EE"/>
    <w:rsid w:val="00A523A9"/>
    <w:rsid w:val="00A52E9C"/>
    <w:rsid w:val="00A62ED3"/>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2473"/>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29B7"/>
    <w:rsid w:val="00B43FC6"/>
    <w:rsid w:val="00B45676"/>
    <w:rsid w:val="00B45F71"/>
    <w:rsid w:val="00B5018B"/>
    <w:rsid w:val="00B57687"/>
    <w:rsid w:val="00B625D9"/>
    <w:rsid w:val="00B665D7"/>
    <w:rsid w:val="00B70860"/>
    <w:rsid w:val="00B71D02"/>
    <w:rsid w:val="00B76D4F"/>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876A4"/>
    <w:rsid w:val="00C908AD"/>
    <w:rsid w:val="00C920E5"/>
    <w:rsid w:val="00C94BB9"/>
    <w:rsid w:val="00C958B8"/>
    <w:rsid w:val="00CA1E0E"/>
    <w:rsid w:val="00CA5BA3"/>
    <w:rsid w:val="00CB0D2B"/>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97BA6"/>
    <w:rsid w:val="00DA7FD6"/>
    <w:rsid w:val="00DB1328"/>
    <w:rsid w:val="00DB7EE0"/>
    <w:rsid w:val="00DC66FE"/>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5A9"/>
    <w:rsid w:val="00E15A2D"/>
    <w:rsid w:val="00E15B2B"/>
    <w:rsid w:val="00E23F95"/>
    <w:rsid w:val="00E267A5"/>
    <w:rsid w:val="00E32DA2"/>
    <w:rsid w:val="00E35AC9"/>
    <w:rsid w:val="00E37AFF"/>
    <w:rsid w:val="00E413A9"/>
    <w:rsid w:val="00E5003A"/>
    <w:rsid w:val="00E514FA"/>
    <w:rsid w:val="00E51D1F"/>
    <w:rsid w:val="00E55E0C"/>
    <w:rsid w:val="00E56529"/>
    <w:rsid w:val="00E6135C"/>
    <w:rsid w:val="00E659AC"/>
    <w:rsid w:val="00E66725"/>
    <w:rsid w:val="00E67591"/>
    <w:rsid w:val="00E67A2A"/>
    <w:rsid w:val="00E728B0"/>
    <w:rsid w:val="00E73684"/>
    <w:rsid w:val="00E75758"/>
    <w:rsid w:val="00E75BC0"/>
    <w:rsid w:val="00E85ECC"/>
    <w:rsid w:val="00E9292D"/>
    <w:rsid w:val="00EA2B0E"/>
    <w:rsid w:val="00EA319E"/>
    <w:rsid w:val="00EA35F5"/>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56C2"/>
    <w:rsid w:val="00F5627E"/>
    <w:rsid w:val="00F566E6"/>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B7367"/>
    <w:rsid w:val="00FC4DCA"/>
    <w:rsid w:val="00FC4DD1"/>
    <w:rsid w:val="00FD1DCC"/>
    <w:rsid w:val="00FD2E3D"/>
    <w:rsid w:val="00FE51AD"/>
    <w:rsid w:val="00FE5CAF"/>
    <w:rsid w:val="00FE6157"/>
    <w:rsid w:val="00FE6E99"/>
    <w:rsid w:val="00FE74BE"/>
    <w:rsid w:val="00FF0B73"/>
    <w:rsid w:val="00FF17C7"/>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A1D3-6314-4360-AD26-3BED45BD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2015-02-19T14:34:00Z</cp:lastPrinted>
  <dcterms:created xsi:type="dcterms:W3CDTF">2015-02-19T14:35:00Z</dcterms:created>
  <dcterms:modified xsi:type="dcterms:W3CDTF">2015-02-19T14:35:00Z</dcterms:modified>
</cp:coreProperties>
</file>