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4788"/>
        <w:gridCol w:w="360"/>
        <w:gridCol w:w="4428"/>
      </w:tblGrid>
      <w:tr w:rsidR="003A6031" w:rsidRPr="003A6031" w:rsidTr="008B0164">
        <w:tc>
          <w:tcPr>
            <w:tcW w:w="5000" w:type="pct"/>
            <w:gridSpan w:val="3"/>
          </w:tcPr>
          <w:p w:rsidR="003A6031" w:rsidRPr="003A6031" w:rsidRDefault="003A6031" w:rsidP="003A6031">
            <w:pPr>
              <w:spacing w:line="240" w:lineRule="auto"/>
              <w:jc w:val="center"/>
              <w:rPr>
                <w:rFonts w:ascii="Times New Roman" w:hAnsi="Times New Roman"/>
                <w:b/>
                <w:sz w:val="26"/>
                <w:szCs w:val="24"/>
              </w:rPr>
            </w:pPr>
            <w:r w:rsidRPr="003A6031">
              <w:rPr>
                <w:rFonts w:ascii="Times New Roman" w:hAnsi="Times New Roman"/>
                <w:b/>
                <w:sz w:val="26"/>
                <w:szCs w:val="24"/>
              </w:rPr>
              <w:t>PENNSYLVANIA</w:t>
            </w:r>
          </w:p>
          <w:p w:rsidR="003A6031" w:rsidRPr="003A6031" w:rsidRDefault="003A6031" w:rsidP="003A6031">
            <w:pPr>
              <w:spacing w:line="240" w:lineRule="auto"/>
              <w:jc w:val="center"/>
              <w:rPr>
                <w:rFonts w:ascii="Times New Roman" w:hAnsi="Times New Roman"/>
                <w:b/>
                <w:sz w:val="26"/>
                <w:szCs w:val="24"/>
              </w:rPr>
            </w:pPr>
            <w:r w:rsidRPr="003A6031">
              <w:rPr>
                <w:rFonts w:ascii="Times New Roman" w:hAnsi="Times New Roman"/>
                <w:b/>
                <w:sz w:val="26"/>
                <w:szCs w:val="24"/>
              </w:rPr>
              <w:t>PUBLIC UTILITY COMMISSION</w:t>
            </w:r>
          </w:p>
          <w:p w:rsidR="003A6031" w:rsidRPr="003A6031" w:rsidRDefault="003A6031" w:rsidP="003A6031">
            <w:pPr>
              <w:spacing w:line="240" w:lineRule="auto"/>
              <w:jc w:val="center"/>
              <w:rPr>
                <w:rFonts w:ascii="Times New Roman" w:hAnsi="Times New Roman"/>
                <w:b/>
                <w:sz w:val="26"/>
                <w:szCs w:val="24"/>
              </w:rPr>
            </w:pPr>
            <w:r w:rsidRPr="003A6031">
              <w:rPr>
                <w:rFonts w:ascii="Times New Roman" w:hAnsi="Times New Roman"/>
                <w:b/>
                <w:sz w:val="26"/>
                <w:szCs w:val="24"/>
              </w:rPr>
              <w:t>Harrisburg, PA  17105-3265</w:t>
            </w:r>
          </w:p>
          <w:p w:rsidR="003A6031" w:rsidRPr="003A6031" w:rsidRDefault="003A6031" w:rsidP="003A6031">
            <w:pPr>
              <w:spacing w:line="240" w:lineRule="auto"/>
              <w:rPr>
                <w:rFonts w:ascii="Times New Roman" w:hAnsi="Times New Roman"/>
                <w:sz w:val="26"/>
                <w:szCs w:val="24"/>
              </w:rPr>
            </w:pPr>
          </w:p>
          <w:p w:rsidR="003A6031" w:rsidRPr="003A6031" w:rsidRDefault="003A6031" w:rsidP="003A6031">
            <w:pPr>
              <w:spacing w:line="240" w:lineRule="auto"/>
              <w:rPr>
                <w:rFonts w:ascii="Times New Roman" w:hAnsi="Times New Roman"/>
                <w:sz w:val="26"/>
                <w:szCs w:val="24"/>
              </w:rPr>
            </w:pPr>
          </w:p>
        </w:tc>
      </w:tr>
      <w:tr w:rsidR="003A6031" w:rsidRPr="003A6031" w:rsidTr="008B0164">
        <w:tc>
          <w:tcPr>
            <w:tcW w:w="2500" w:type="pct"/>
          </w:tcPr>
          <w:p w:rsidR="003A6031" w:rsidRPr="003A6031" w:rsidRDefault="003A6031" w:rsidP="003A6031">
            <w:pPr>
              <w:spacing w:line="240" w:lineRule="auto"/>
              <w:rPr>
                <w:rFonts w:ascii="Times New Roman" w:hAnsi="Times New Roman"/>
                <w:sz w:val="26"/>
                <w:szCs w:val="24"/>
              </w:rPr>
            </w:pPr>
          </w:p>
        </w:tc>
        <w:tc>
          <w:tcPr>
            <w:tcW w:w="2500" w:type="pct"/>
            <w:gridSpan w:val="2"/>
          </w:tcPr>
          <w:p w:rsidR="003A6031" w:rsidRPr="003A6031" w:rsidRDefault="003A6031" w:rsidP="003A6031">
            <w:pPr>
              <w:spacing w:line="240" w:lineRule="auto"/>
              <w:jc w:val="right"/>
              <w:rPr>
                <w:rFonts w:ascii="Times New Roman" w:hAnsi="Times New Roman"/>
                <w:sz w:val="26"/>
                <w:szCs w:val="24"/>
              </w:rPr>
            </w:pPr>
            <w:r w:rsidRPr="003A6031">
              <w:rPr>
                <w:rFonts w:ascii="Times New Roman" w:hAnsi="Times New Roman"/>
                <w:sz w:val="26"/>
                <w:szCs w:val="24"/>
              </w:rPr>
              <w:t xml:space="preserve">Public Meeting held </w:t>
            </w:r>
            <w:r w:rsidR="00477A99">
              <w:rPr>
                <w:rFonts w:ascii="Times New Roman" w:hAnsi="Times New Roman"/>
                <w:sz w:val="26"/>
                <w:szCs w:val="24"/>
              </w:rPr>
              <w:t>February 26</w:t>
            </w:r>
            <w:r>
              <w:rPr>
                <w:rFonts w:ascii="Times New Roman" w:hAnsi="Times New Roman"/>
                <w:sz w:val="26"/>
                <w:szCs w:val="24"/>
              </w:rPr>
              <w:t>, 2015</w:t>
            </w:r>
          </w:p>
          <w:p w:rsidR="003A6031" w:rsidRPr="003A6031" w:rsidRDefault="003A6031" w:rsidP="003A6031">
            <w:pPr>
              <w:spacing w:line="240" w:lineRule="auto"/>
              <w:jc w:val="right"/>
              <w:rPr>
                <w:rFonts w:ascii="Times New Roman" w:hAnsi="Times New Roman"/>
                <w:sz w:val="26"/>
                <w:szCs w:val="24"/>
              </w:rPr>
            </w:pPr>
          </w:p>
        </w:tc>
      </w:tr>
      <w:tr w:rsidR="003A6031" w:rsidRPr="003A6031" w:rsidTr="008B0164">
        <w:tc>
          <w:tcPr>
            <w:tcW w:w="5000" w:type="pct"/>
            <w:gridSpan w:val="3"/>
          </w:tcPr>
          <w:p w:rsidR="003A6031" w:rsidRPr="003A6031" w:rsidRDefault="003A6031" w:rsidP="003A6031">
            <w:pPr>
              <w:spacing w:line="240" w:lineRule="auto"/>
              <w:ind w:right="1080"/>
              <w:rPr>
                <w:rFonts w:ascii="Times New Roman" w:hAnsi="Times New Roman"/>
                <w:sz w:val="26"/>
                <w:szCs w:val="24"/>
              </w:rPr>
            </w:pPr>
            <w:r w:rsidRPr="003A6031">
              <w:rPr>
                <w:rFonts w:ascii="Times New Roman" w:hAnsi="Times New Roman"/>
                <w:sz w:val="26"/>
                <w:szCs w:val="24"/>
              </w:rPr>
              <w:t>Commissioners Present:</w:t>
            </w:r>
          </w:p>
          <w:p w:rsidR="003A6031" w:rsidRPr="003A6031" w:rsidRDefault="003A6031" w:rsidP="003A6031">
            <w:pPr>
              <w:spacing w:line="240" w:lineRule="auto"/>
              <w:ind w:right="1080"/>
              <w:rPr>
                <w:rFonts w:ascii="Times New Roman" w:hAnsi="Times New Roman"/>
                <w:sz w:val="26"/>
                <w:szCs w:val="24"/>
              </w:rPr>
            </w:pPr>
          </w:p>
          <w:p w:rsidR="003A6031" w:rsidRPr="003A6031" w:rsidRDefault="003A6031" w:rsidP="003A6031">
            <w:pPr>
              <w:spacing w:line="240" w:lineRule="auto"/>
              <w:ind w:firstLine="540"/>
              <w:rPr>
                <w:rFonts w:ascii="Times New Roman" w:hAnsi="Times New Roman"/>
                <w:sz w:val="26"/>
                <w:szCs w:val="24"/>
              </w:rPr>
            </w:pPr>
            <w:r w:rsidRPr="003A6031">
              <w:rPr>
                <w:rFonts w:ascii="Times New Roman" w:hAnsi="Times New Roman"/>
                <w:sz w:val="26"/>
                <w:szCs w:val="24"/>
              </w:rPr>
              <w:t xml:space="preserve">Robert F. </w:t>
            </w:r>
            <w:proofErr w:type="spellStart"/>
            <w:r w:rsidRPr="003A6031">
              <w:rPr>
                <w:rFonts w:ascii="Times New Roman" w:hAnsi="Times New Roman"/>
                <w:sz w:val="26"/>
                <w:szCs w:val="24"/>
              </w:rPr>
              <w:t>Powelson</w:t>
            </w:r>
            <w:proofErr w:type="spellEnd"/>
            <w:r w:rsidRPr="003A6031">
              <w:rPr>
                <w:rFonts w:ascii="Times New Roman" w:hAnsi="Times New Roman"/>
                <w:sz w:val="26"/>
                <w:szCs w:val="24"/>
              </w:rPr>
              <w:t>, Chairman</w:t>
            </w:r>
          </w:p>
          <w:p w:rsidR="003A6031" w:rsidRPr="003A6031" w:rsidRDefault="003A6031" w:rsidP="003A6031">
            <w:pPr>
              <w:spacing w:line="240" w:lineRule="auto"/>
              <w:ind w:firstLine="540"/>
              <w:rPr>
                <w:rFonts w:ascii="Times New Roman" w:hAnsi="Times New Roman"/>
                <w:sz w:val="26"/>
                <w:szCs w:val="24"/>
              </w:rPr>
            </w:pPr>
            <w:r w:rsidRPr="003A6031">
              <w:rPr>
                <w:rFonts w:ascii="Times New Roman" w:hAnsi="Times New Roman"/>
                <w:sz w:val="26"/>
                <w:szCs w:val="24"/>
              </w:rPr>
              <w:t>John F. Coleman, Jr., Vice Chairman</w:t>
            </w:r>
          </w:p>
          <w:p w:rsidR="003A6031" w:rsidRPr="003A6031" w:rsidRDefault="003A6031" w:rsidP="003A6031">
            <w:pPr>
              <w:spacing w:line="240" w:lineRule="auto"/>
              <w:ind w:firstLine="540"/>
              <w:rPr>
                <w:rFonts w:ascii="Times New Roman" w:hAnsi="Times New Roman"/>
                <w:sz w:val="26"/>
                <w:szCs w:val="24"/>
              </w:rPr>
            </w:pPr>
            <w:r w:rsidRPr="003A6031">
              <w:rPr>
                <w:rFonts w:ascii="Times New Roman" w:hAnsi="Times New Roman"/>
                <w:sz w:val="26"/>
                <w:szCs w:val="24"/>
              </w:rPr>
              <w:t xml:space="preserve">James H. </w:t>
            </w:r>
            <w:proofErr w:type="spellStart"/>
            <w:r w:rsidRPr="003A6031">
              <w:rPr>
                <w:rFonts w:ascii="Times New Roman" w:hAnsi="Times New Roman"/>
                <w:sz w:val="26"/>
                <w:szCs w:val="24"/>
              </w:rPr>
              <w:t>Cawley</w:t>
            </w:r>
            <w:proofErr w:type="spellEnd"/>
          </w:p>
          <w:p w:rsidR="003A6031" w:rsidRPr="003A6031" w:rsidRDefault="003A6031" w:rsidP="003A6031">
            <w:pPr>
              <w:spacing w:line="240" w:lineRule="auto"/>
              <w:ind w:firstLine="540"/>
              <w:rPr>
                <w:rFonts w:ascii="Times New Roman" w:hAnsi="Times New Roman"/>
                <w:sz w:val="26"/>
                <w:szCs w:val="24"/>
              </w:rPr>
            </w:pPr>
            <w:r w:rsidRPr="003A6031">
              <w:rPr>
                <w:rFonts w:ascii="Times New Roman" w:hAnsi="Times New Roman"/>
                <w:sz w:val="26"/>
                <w:szCs w:val="24"/>
              </w:rPr>
              <w:t xml:space="preserve">Pamela A. </w:t>
            </w:r>
            <w:proofErr w:type="spellStart"/>
            <w:r w:rsidRPr="003A6031">
              <w:rPr>
                <w:rFonts w:ascii="Times New Roman" w:hAnsi="Times New Roman"/>
                <w:sz w:val="26"/>
                <w:szCs w:val="24"/>
              </w:rPr>
              <w:t>Witmer</w:t>
            </w:r>
            <w:proofErr w:type="spellEnd"/>
          </w:p>
          <w:p w:rsidR="003A6031" w:rsidRPr="003A6031" w:rsidRDefault="003A6031" w:rsidP="003A6031">
            <w:pPr>
              <w:spacing w:line="240" w:lineRule="auto"/>
              <w:ind w:firstLine="540"/>
              <w:rPr>
                <w:rFonts w:ascii="Times New Roman" w:hAnsi="Times New Roman"/>
                <w:sz w:val="26"/>
                <w:szCs w:val="24"/>
              </w:rPr>
            </w:pPr>
            <w:r w:rsidRPr="003A6031">
              <w:rPr>
                <w:rFonts w:ascii="Times New Roman" w:hAnsi="Times New Roman"/>
                <w:sz w:val="26"/>
                <w:szCs w:val="24"/>
              </w:rPr>
              <w:t>Gladys M. Brown</w:t>
            </w:r>
            <w:r w:rsidR="003A3CCA">
              <w:rPr>
                <w:rFonts w:ascii="Times New Roman" w:hAnsi="Times New Roman"/>
                <w:sz w:val="26"/>
                <w:szCs w:val="24"/>
              </w:rPr>
              <w:t>, Statement</w:t>
            </w:r>
          </w:p>
          <w:p w:rsidR="003A6031" w:rsidRPr="003A6031" w:rsidRDefault="003A6031" w:rsidP="003A6031">
            <w:pPr>
              <w:spacing w:line="240" w:lineRule="auto"/>
              <w:rPr>
                <w:rFonts w:ascii="Times New Roman" w:hAnsi="Times New Roman"/>
                <w:sz w:val="26"/>
                <w:szCs w:val="24"/>
              </w:rPr>
            </w:pPr>
          </w:p>
          <w:p w:rsidR="003A6031" w:rsidRPr="003A6031" w:rsidRDefault="003A6031" w:rsidP="003A6031">
            <w:pPr>
              <w:spacing w:line="240" w:lineRule="auto"/>
              <w:rPr>
                <w:rFonts w:ascii="Times New Roman" w:hAnsi="Times New Roman"/>
                <w:sz w:val="26"/>
                <w:szCs w:val="24"/>
              </w:rPr>
            </w:pPr>
          </w:p>
        </w:tc>
      </w:tr>
      <w:tr w:rsidR="003A6031" w:rsidRPr="003A6031" w:rsidTr="00991C93">
        <w:tc>
          <w:tcPr>
            <w:tcW w:w="2688" w:type="pct"/>
            <w:gridSpan w:val="2"/>
          </w:tcPr>
          <w:p w:rsidR="003A6031" w:rsidRPr="00353491" w:rsidRDefault="003A6031" w:rsidP="003A6031">
            <w:pPr>
              <w:spacing w:line="240" w:lineRule="auto"/>
              <w:rPr>
                <w:rFonts w:ascii="Times New Roman" w:hAnsi="Times New Roman"/>
                <w:sz w:val="26"/>
                <w:szCs w:val="24"/>
              </w:rPr>
            </w:pPr>
            <w:r>
              <w:rPr>
                <w:rFonts w:ascii="Times New Roman" w:hAnsi="Times New Roman"/>
                <w:sz w:val="26"/>
                <w:szCs w:val="24"/>
              </w:rPr>
              <w:t xml:space="preserve">Petition of PPL Electric Utilities </w:t>
            </w:r>
            <w:r w:rsidR="00991C93">
              <w:rPr>
                <w:rFonts w:ascii="Times New Roman" w:hAnsi="Times New Roman"/>
                <w:sz w:val="26"/>
                <w:szCs w:val="24"/>
              </w:rPr>
              <w:t>C</w:t>
            </w:r>
            <w:r>
              <w:rPr>
                <w:rFonts w:ascii="Times New Roman" w:hAnsi="Times New Roman"/>
                <w:sz w:val="26"/>
                <w:szCs w:val="24"/>
              </w:rPr>
              <w:t>orporation for Approval of a Default Service Program and Procurement Plan for the Period June 1, 2015 Through May 31, 2017</w:t>
            </w:r>
          </w:p>
          <w:p w:rsidR="003A6031" w:rsidRPr="003A6031" w:rsidRDefault="003A6031" w:rsidP="003A6031">
            <w:pPr>
              <w:spacing w:line="240" w:lineRule="auto"/>
              <w:rPr>
                <w:rFonts w:ascii="Times New Roman" w:hAnsi="Times New Roman"/>
                <w:sz w:val="26"/>
                <w:szCs w:val="24"/>
              </w:rPr>
            </w:pPr>
          </w:p>
        </w:tc>
        <w:tc>
          <w:tcPr>
            <w:tcW w:w="2312" w:type="pct"/>
          </w:tcPr>
          <w:p w:rsidR="003A6031" w:rsidRPr="003A6031" w:rsidRDefault="003A6031" w:rsidP="003A6031">
            <w:pPr>
              <w:spacing w:line="240" w:lineRule="auto"/>
              <w:jc w:val="right"/>
              <w:rPr>
                <w:rFonts w:ascii="Times New Roman" w:hAnsi="Times New Roman"/>
                <w:bCs/>
                <w:sz w:val="26"/>
                <w:szCs w:val="26"/>
              </w:rPr>
            </w:pPr>
            <w:r>
              <w:rPr>
                <w:rFonts w:ascii="Times New Roman" w:hAnsi="Times New Roman"/>
                <w:bCs/>
                <w:sz w:val="26"/>
                <w:szCs w:val="26"/>
              </w:rPr>
              <w:t>P-2014-2417907</w:t>
            </w:r>
          </w:p>
          <w:p w:rsidR="003A6031" w:rsidRPr="003A6031" w:rsidRDefault="003A6031" w:rsidP="003A6031">
            <w:pPr>
              <w:spacing w:line="240" w:lineRule="auto"/>
              <w:jc w:val="right"/>
              <w:rPr>
                <w:rFonts w:ascii="Times New Roman" w:hAnsi="Times New Roman"/>
                <w:sz w:val="26"/>
                <w:szCs w:val="24"/>
              </w:rPr>
            </w:pPr>
          </w:p>
        </w:tc>
      </w:tr>
    </w:tbl>
    <w:p w:rsidR="00E15B98" w:rsidRPr="00155E75" w:rsidRDefault="00E15B98" w:rsidP="00D26D41">
      <w:pPr>
        <w:rPr>
          <w:rFonts w:ascii="Times New Roman" w:hAnsi="Times New Roman"/>
          <w:sz w:val="26"/>
          <w:szCs w:val="26"/>
        </w:rPr>
      </w:pPr>
    </w:p>
    <w:p w:rsidR="00BE3149" w:rsidRPr="00155E75" w:rsidRDefault="00BE3149" w:rsidP="00D26D41"/>
    <w:p w:rsidR="00E15B98" w:rsidRPr="00155E75" w:rsidRDefault="00E15B98" w:rsidP="00D26D41">
      <w:pPr>
        <w:jc w:val="center"/>
        <w:rPr>
          <w:rFonts w:ascii="Times New Roman" w:hAnsi="Times New Roman"/>
          <w:b/>
          <w:sz w:val="26"/>
          <w:szCs w:val="26"/>
        </w:rPr>
      </w:pPr>
      <w:r w:rsidRPr="00155E75">
        <w:rPr>
          <w:rFonts w:ascii="Times New Roman" w:hAnsi="Times New Roman"/>
          <w:b/>
          <w:sz w:val="26"/>
          <w:szCs w:val="26"/>
        </w:rPr>
        <w:t>OPINION AND ORDER</w:t>
      </w:r>
    </w:p>
    <w:p w:rsidR="00E15B98" w:rsidRPr="00155E75" w:rsidRDefault="00E15B98" w:rsidP="00D26D41">
      <w:pPr>
        <w:jc w:val="center"/>
        <w:rPr>
          <w:rFonts w:ascii="Times New Roman" w:hAnsi="Times New Roman"/>
          <w:b/>
          <w:sz w:val="26"/>
          <w:szCs w:val="26"/>
        </w:rPr>
      </w:pPr>
    </w:p>
    <w:p w:rsidR="00E15B98" w:rsidRPr="00155E75" w:rsidRDefault="00E15B98" w:rsidP="00D26D41">
      <w:pPr>
        <w:pStyle w:val="BodyTextIndent"/>
        <w:keepNext/>
        <w:spacing w:after="0"/>
        <w:ind w:left="0"/>
        <w:rPr>
          <w:rFonts w:ascii="Times New Roman" w:hAnsi="Times New Roman"/>
          <w:b/>
          <w:sz w:val="26"/>
          <w:szCs w:val="26"/>
        </w:rPr>
      </w:pPr>
      <w:r w:rsidRPr="00155E75">
        <w:rPr>
          <w:rFonts w:ascii="Times New Roman" w:hAnsi="Times New Roman"/>
          <w:b/>
          <w:sz w:val="26"/>
          <w:szCs w:val="26"/>
        </w:rPr>
        <w:t>BY THE COMMISSION:</w:t>
      </w:r>
    </w:p>
    <w:p w:rsidR="00E15B98" w:rsidRPr="00155E75" w:rsidRDefault="00E15B98" w:rsidP="00D26D41">
      <w:pPr>
        <w:pStyle w:val="BodyTextIndent"/>
        <w:keepNext/>
        <w:spacing w:after="0"/>
        <w:ind w:left="0"/>
        <w:rPr>
          <w:rFonts w:ascii="Times New Roman" w:hAnsi="Times New Roman"/>
          <w:b/>
          <w:sz w:val="26"/>
          <w:szCs w:val="26"/>
        </w:rPr>
      </w:pPr>
    </w:p>
    <w:p w:rsidR="00992C07" w:rsidRDefault="00992C07" w:rsidP="00992C07">
      <w:pPr>
        <w:tabs>
          <w:tab w:val="left" w:pos="-720"/>
        </w:tabs>
        <w:suppressAutoHyphens/>
        <w:ind w:firstLine="1440"/>
        <w:rPr>
          <w:rFonts w:ascii="Times New Roman" w:hAnsi="Times New Roman"/>
          <w:sz w:val="26"/>
        </w:rPr>
      </w:pPr>
      <w:r w:rsidRPr="00992C07">
        <w:rPr>
          <w:rFonts w:ascii="Times New Roman" w:hAnsi="Times New Roman"/>
          <w:sz w:val="26"/>
        </w:rPr>
        <w:t>Before the Pennsylvania Public Utility Commission (Commission) for consideration and disposition is the Petition for Reconsideration (Petition), filed by the Office of Small Business Advocate</w:t>
      </w:r>
      <w:r w:rsidR="00AC25B9">
        <w:rPr>
          <w:rFonts w:ascii="Times New Roman" w:hAnsi="Times New Roman"/>
          <w:sz w:val="26"/>
        </w:rPr>
        <w:t xml:space="preserve"> (OSBA)</w:t>
      </w:r>
      <w:r w:rsidRPr="00992C07">
        <w:rPr>
          <w:rFonts w:ascii="Times New Roman" w:hAnsi="Times New Roman"/>
          <w:sz w:val="26"/>
          <w:szCs w:val="26"/>
        </w:rPr>
        <w:t>,</w:t>
      </w:r>
      <w:r w:rsidRPr="00992C07">
        <w:rPr>
          <w:rFonts w:ascii="Times New Roman" w:hAnsi="Times New Roman"/>
          <w:sz w:val="26"/>
        </w:rPr>
        <w:t xml:space="preserve"> on </w:t>
      </w:r>
      <w:r w:rsidR="007D428C">
        <w:rPr>
          <w:rFonts w:ascii="Times New Roman" w:hAnsi="Times New Roman"/>
          <w:sz w:val="26"/>
        </w:rPr>
        <w:t>January 30, 2015</w:t>
      </w:r>
      <w:r w:rsidRPr="00992C07">
        <w:rPr>
          <w:rFonts w:ascii="Times New Roman" w:hAnsi="Times New Roman"/>
          <w:sz w:val="26"/>
        </w:rPr>
        <w:t xml:space="preserve">, seeking reconsideration of the Opinion and Order entered </w:t>
      </w:r>
      <w:r w:rsidR="007D428C">
        <w:rPr>
          <w:rFonts w:ascii="Times New Roman" w:hAnsi="Times New Roman"/>
          <w:sz w:val="26"/>
        </w:rPr>
        <w:t>January 15, 2015</w:t>
      </w:r>
      <w:r w:rsidR="00FA27E5">
        <w:rPr>
          <w:rFonts w:ascii="Times New Roman" w:hAnsi="Times New Roman"/>
          <w:sz w:val="26"/>
        </w:rPr>
        <w:t xml:space="preserve"> (</w:t>
      </w:r>
      <w:r w:rsidR="00353491">
        <w:rPr>
          <w:rFonts w:ascii="Times New Roman" w:hAnsi="Times New Roman"/>
          <w:i/>
          <w:sz w:val="26"/>
        </w:rPr>
        <w:t>January 2015 Order</w:t>
      </w:r>
      <w:r w:rsidR="00FA27E5">
        <w:rPr>
          <w:rFonts w:ascii="Times New Roman" w:hAnsi="Times New Roman"/>
          <w:sz w:val="26"/>
        </w:rPr>
        <w:t>)</w:t>
      </w:r>
      <w:r w:rsidRPr="00992C07">
        <w:rPr>
          <w:rFonts w:ascii="Times New Roman" w:hAnsi="Times New Roman"/>
          <w:sz w:val="26"/>
        </w:rPr>
        <w:t>, relative to</w:t>
      </w:r>
      <w:r w:rsidR="00AC25B9">
        <w:rPr>
          <w:rFonts w:ascii="Times New Roman" w:hAnsi="Times New Roman"/>
          <w:sz w:val="26"/>
        </w:rPr>
        <w:t xml:space="preserve"> the above-captioned proceeding</w:t>
      </w:r>
      <w:r w:rsidRPr="00992C07">
        <w:rPr>
          <w:rFonts w:ascii="Times New Roman" w:hAnsi="Times New Roman"/>
          <w:sz w:val="26"/>
        </w:rPr>
        <w:t>.</w:t>
      </w:r>
      <w:r w:rsidR="00FA27E5">
        <w:rPr>
          <w:rFonts w:ascii="Times New Roman" w:hAnsi="Times New Roman"/>
          <w:sz w:val="26"/>
        </w:rPr>
        <w:t xml:space="preserve">  Answers to the Petition were filed</w:t>
      </w:r>
      <w:r w:rsidR="00AC25B9">
        <w:rPr>
          <w:rFonts w:ascii="Times New Roman" w:hAnsi="Times New Roman"/>
          <w:sz w:val="26"/>
        </w:rPr>
        <w:t xml:space="preserve"> on February 9, 2015,</w:t>
      </w:r>
      <w:r w:rsidR="00FA27E5">
        <w:rPr>
          <w:rFonts w:ascii="Times New Roman" w:hAnsi="Times New Roman"/>
          <w:sz w:val="26"/>
        </w:rPr>
        <w:t xml:space="preserve"> by PPL Electric Utilities Corporation (PPL) and the Retail Energy Supply Associ</w:t>
      </w:r>
      <w:r w:rsidR="00AC25B9">
        <w:rPr>
          <w:rFonts w:ascii="Times New Roman" w:hAnsi="Times New Roman"/>
          <w:sz w:val="26"/>
        </w:rPr>
        <w:t>ation (RESA)</w:t>
      </w:r>
      <w:r w:rsidR="00FA27E5">
        <w:rPr>
          <w:rFonts w:ascii="Times New Roman" w:hAnsi="Times New Roman"/>
          <w:sz w:val="26"/>
        </w:rPr>
        <w:t>.  For the reasons stated below, we shall deny the Petition.</w:t>
      </w:r>
    </w:p>
    <w:p w:rsidR="00D0053D" w:rsidRDefault="00D0053D" w:rsidP="00D0053D">
      <w:pPr>
        <w:tabs>
          <w:tab w:val="left" w:pos="-720"/>
        </w:tabs>
        <w:suppressAutoHyphens/>
        <w:rPr>
          <w:rFonts w:ascii="Times New Roman" w:hAnsi="Times New Roman"/>
          <w:sz w:val="26"/>
        </w:rPr>
      </w:pPr>
    </w:p>
    <w:p w:rsidR="00D0053D" w:rsidRPr="003B5796" w:rsidRDefault="003B5796" w:rsidP="00492719">
      <w:pPr>
        <w:keepNext/>
        <w:tabs>
          <w:tab w:val="left" w:pos="-720"/>
        </w:tabs>
        <w:suppressAutoHyphens/>
        <w:jc w:val="center"/>
        <w:rPr>
          <w:rFonts w:ascii="Times New Roman" w:hAnsi="Times New Roman"/>
          <w:b/>
          <w:sz w:val="26"/>
        </w:rPr>
      </w:pPr>
      <w:r w:rsidRPr="003B5796">
        <w:rPr>
          <w:rFonts w:ascii="Times New Roman" w:hAnsi="Times New Roman"/>
          <w:b/>
          <w:sz w:val="26"/>
        </w:rPr>
        <w:lastRenderedPageBreak/>
        <w:t>History of the Proceeding</w:t>
      </w:r>
    </w:p>
    <w:p w:rsidR="00492719" w:rsidRPr="00CC11F7" w:rsidRDefault="00492719" w:rsidP="00492719">
      <w:pPr>
        <w:keepNext/>
      </w:pPr>
    </w:p>
    <w:p w:rsidR="00492719" w:rsidRPr="00CC11F7" w:rsidRDefault="00492719" w:rsidP="00492719">
      <w:pPr>
        <w:keepNext/>
        <w:rPr>
          <w:rFonts w:ascii="Times New Roman" w:hAnsi="Times New Roman"/>
          <w:sz w:val="26"/>
          <w:szCs w:val="26"/>
        </w:rPr>
      </w:pPr>
      <w:r w:rsidRPr="00CC11F7">
        <w:rPr>
          <w:rFonts w:ascii="Times New Roman" w:hAnsi="Times New Roman"/>
          <w:sz w:val="26"/>
          <w:szCs w:val="26"/>
        </w:rPr>
        <w:tab/>
      </w:r>
      <w:r w:rsidRPr="00CC11F7">
        <w:rPr>
          <w:rFonts w:ascii="Times New Roman" w:hAnsi="Times New Roman"/>
          <w:sz w:val="26"/>
          <w:szCs w:val="26"/>
        </w:rPr>
        <w:tab/>
        <w:t>On April 18, 2014, PPL filed its Petition for approval of a Default Service Program and Procurement Plan (DSP III) for the period from June 1, 2015</w:t>
      </w:r>
      <w:r>
        <w:rPr>
          <w:rFonts w:ascii="Times New Roman" w:hAnsi="Times New Roman"/>
          <w:sz w:val="26"/>
          <w:szCs w:val="26"/>
        </w:rPr>
        <w:t>,</w:t>
      </w:r>
      <w:r w:rsidRPr="00CC11F7">
        <w:rPr>
          <w:rFonts w:ascii="Times New Roman" w:hAnsi="Times New Roman"/>
          <w:sz w:val="26"/>
          <w:szCs w:val="26"/>
        </w:rPr>
        <w:t xml:space="preserve"> through May</w:t>
      </w:r>
      <w:r>
        <w:rPr>
          <w:rFonts w:ascii="Times New Roman" w:hAnsi="Times New Roman"/>
          <w:sz w:val="26"/>
          <w:szCs w:val="26"/>
        </w:rPr>
        <w:t> </w:t>
      </w:r>
      <w:r w:rsidRPr="00CC11F7">
        <w:rPr>
          <w:rFonts w:ascii="Times New Roman" w:hAnsi="Times New Roman"/>
          <w:sz w:val="26"/>
          <w:szCs w:val="26"/>
        </w:rPr>
        <w:t>31, 2017.  The Company served the Petition on the public advocates and the electric generation suppliers</w:t>
      </w:r>
      <w:r>
        <w:rPr>
          <w:rFonts w:ascii="Times New Roman" w:hAnsi="Times New Roman"/>
          <w:sz w:val="26"/>
          <w:szCs w:val="26"/>
        </w:rPr>
        <w:t xml:space="preserve"> (EGSs)</w:t>
      </w:r>
      <w:r w:rsidRPr="00CC11F7">
        <w:rPr>
          <w:rFonts w:ascii="Times New Roman" w:hAnsi="Times New Roman"/>
          <w:sz w:val="26"/>
          <w:szCs w:val="26"/>
        </w:rPr>
        <w:t xml:space="preserve"> doing business in its territory. </w:t>
      </w:r>
    </w:p>
    <w:p w:rsidR="00492719" w:rsidRPr="003E06A6" w:rsidRDefault="00492719" w:rsidP="00492719">
      <w:pPr>
        <w:rPr>
          <w:rFonts w:ascii="Times New Roman" w:hAnsi="Times New Roman"/>
          <w:sz w:val="26"/>
          <w:szCs w:val="26"/>
        </w:rPr>
      </w:pPr>
      <w:r w:rsidRPr="00CC11F7">
        <w:rPr>
          <w:rFonts w:ascii="Times New Roman" w:hAnsi="Times New Roman"/>
          <w:sz w:val="26"/>
          <w:szCs w:val="26"/>
        </w:rPr>
        <w:t xml:space="preserve"> </w:t>
      </w:r>
    </w:p>
    <w:p w:rsidR="00492719" w:rsidRDefault="00492719" w:rsidP="00492719">
      <w:pPr>
        <w:rPr>
          <w:rFonts w:ascii="Times New Roman" w:hAnsi="Times New Roman"/>
          <w:sz w:val="26"/>
          <w:szCs w:val="26"/>
        </w:rPr>
      </w:pPr>
      <w:r w:rsidRPr="00876459">
        <w:rPr>
          <w:rFonts w:ascii="Times New Roman" w:hAnsi="Times New Roman"/>
          <w:sz w:val="26"/>
          <w:szCs w:val="26"/>
        </w:rPr>
        <w:tab/>
      </w:r>
      <w:r w:rsidRPr="00876459">
        <w:rPr>
          <w:rFonts w:ascii="Times New Roman" w:hAnsi="Times New Roman"/>
          <w:sz w:val="26"/>
          <w:szCs w:val="26"/>
        </w:rPr>
        <w:tab/>
      </w:r>
      <w:r w:rsidR="00AC25B9" w:rsidRPr="00AB4C04">
        <w:rPr>
          <w:rFonts w:ascii="Times New Roman" w:hAnsi="Times New Roman"/>
          <w:sz w:val="26"/>
          <w:szCs w:val="26"/>
        </w:rPr>
        <w:t>A Notice of Appearance was filed by the Commission</w:t>
      </w:r>
      <w:r w:rsidR="00AC25B9">
        <w:rPr>
          <w:rFonts w:ascii="Times New Roman" w:hAnsi="Times New Roman"/>
          <w:sz w:val="26"/>
          <w:szCs w:val="26"/>
        </w:rPr>
        <w:t>’</w:t>
      </w:r>
      <w:r w:rsidR="00AC25B9" w:rsidRPr="00AB4C04">
        <w:rPr>
          <w:rFonts w:ascii="Times New Roman" w:hAnsi="Times New Roman"/>
          <w:sz w:val="26"/>
          <w:szCs w:val="26"/>
        </w:rPr>
        <w:t>s Bureau of Investigation and E</w:t>
      </w:r>
      <w:r w:rsidR="00AC25B9">
        <w:rPr>
          <w:rFonts w:ascii="Times New Roman" w:hAnsi="Times New Roman"/>
          <w:sz w:val="26"/>
          <w:szCs w:val="26"/>
        </w:rPr>
        <w:t>nforcement (I&amp;E).  T</w:t>
      </w:r>
      <w:r w:rsidR="00AC25B9" w:rsidRPr="00AB4C04">
        <w:rPr>
          <w:rFonts w:ascii="Times New Roman" w:hAnsi="Times New Roman"/>
          <w:sz w:val="26"/>
          <w:szCs w:val="26"/>
        </w:rPr>
        <w:t>he Office of C</w:t>
      </w:r>
      <w:r w:rsidR="00AC25B9">
        <w:rPr>
          <w:rFonts w:ascii="Times New Roman" w:hAnsi="Times New Roman"/>
          <w:sz w:val="26"/>
          <w:szCs w:val="26"/>
        </w:rPr>
        <w:t>onsumer Advocate (OCA) and the OSBA each filed a</w:t>
      </w:r>
      <w:r w:rsidR="00AC25B9" w:rsidRPr="00AB4C04">
        <w:rPr>
          <w:rFonts w:ascii="Times New Roman" w:hAnsi="Times New Roman"/>
          <w:sz w:val="26"/>
          <w:szCs w:val="26"/>
        </w:rPr>
        <w:t xml:space="preserve"> Notice of Intervention and </w:t>
      </w:r>
      <w:r w:rsidR="00AC25B9">
        <w:rPr>
          <w:rFonts w:ascii="Times New Roman" w:hAnsi="Times New Roman"/>
          <w:sz w:val="26"/>
          <w:szCs w:val="26"/>
        </w:rPr>
        <w:t xml:space="preserve">an Answer to PPL’s DSP III Petition.  </w:t>
      </w:r>
      <w:r w:rsidRPr="00876459">
        <w:rPr>
          <w:rFonts w:ascii="Times New Roman" w:hAnsi="Times New Roman"/>
          <w:sz w:val="26"/>
          <w:szCs w:val="26"/>
        </w:rPr>
        <w:t>Timely petitio</w:t>
      </w:r>
      <w:r>
        <w:rPr>
          <w:rFonts w:ascii="Times New Roman" w:hAnsi="Times New Roman"/>
          <w:sz w:val="26"/>
          <w:szCs w:val="26"/>
        </w:rPr>
        <w:t xml:space="preserve">ns to intervene were filed by: </w:t>
      </w:r>
      <w:r w:rsidRPr="00876459">
        <w:rPr>
          <w:rFonts w:ascii="Times New Roman" w:hAnsi="Times New Roman"/>
          <w:sz w:val="26"/>
          <w:szCs w:val="26"/>
        </w:rPr>
        <w:t>(1)</w:t>
      </w:r>
      <w:r>
        <w:rPr>
          <w:rFonts w:ascii="Times New Roman" w:hAnsi="Times New Roman"/>
          <w:sz w:val="26"/>
          <w:szCs w:val="26"/>
        </w:rPr>
        <w:t xml:space="preserve"> RESA; (2)</w:t>
      </w:r>
      <w:r w:rsidR="00AC25B9">
        <w:rPr>
          <w:rFonts w:ascii="Times New Roman" w:hAnsi="Times New Roman"/>
          <w:sz w:val="26"/>
          <w:szCs w:val="26"/>
        </w:rPr>
        <w:t xml:space="preserve"> the PP&amp;L Industrial Customer Alliance</w:t>
      </w:r>
      <w:r w:rsidRPr="00876459">
        <w:rPr>
          <w:rFonts w:ascii="Times New Roman" w:hAnsi="Times New Roman"/>
          <w:sz w:val="26"/>
          <w:szCs w:val="26"/>
        </w:rPr>
        <w:t xml:space="preserve"> </w:t>
      </w:r>
      <w:r w:rsidR="00AC25B9">
        <w:rPr>
          <w:rFonts w:ascii="Times New Roman" w:hAnsi="Times New Roman"/>
          <w:sz w:val="26"/>
          <w:szCs w:val="26"/>
        </w:rPr>
        <w:t>(</w:t>
      </w:r>
      <w:r>
        <w:rPr>
          <w:rFonts w:ascii="Times New Roman" w:hAnsi="Times New Roman"/>
          <w:sz w:val="26"/>
          <w:szCs w:val="26"/>
        </w:rPr>
        <w:t>PPLICA</w:t>
      </w:r>
      <w:r w:rsidR="00AC25B9">
        <w:rPr>
          <w:rFonts w:ascii="Times New Roman" w:hAnsi="Times New Roman"/>
          <w:sz w:val="26"/>
          <w:szCs w:val="26"/>
        </w:rPr>
        <w:t>)</w:t>
      </w:r>
      <w:r>
        <w:rPr>
          <w:rFonts w:ascii="Times New Roman" w:hAnsi="Times New Roman"/>
          <w:sz w:val="26"/>
          <w:szCs w:val="26"/>
        </w:rPr>
        <w:t>; (3) </w:t>
      </w:r>
      <w:r w:rsidRPr="00876459">
        <w:rPr>
          <w:rFonts w:ascii="Times New Roman" w:hAnsi="Times New Roman"/>
          <w:sz w:val="26"/>
          <w:szCs w:val="26"/>
        </w:rPr>
        <w:t>Citizens for Pen</w:t>
      </w:r>
      <w:r>
        <w:rPr>
          <w:rFonts w:ascii="Times New Roman" w:hAnsi="Times New Roman"/>
          <w:sz w:val="26"/>
          <w:szCs w:val="26"/>
        </w:rPr>
        <w:t>nsylvania’s Future (</w:t>
      </w:r>
      <w:proofErr w:type="spellStart"/>
      <w:r>
        <w:rPr>
          <w:rFonts w:ascii="Times New Roman" w:hAnsi="Times New Roman"/>
          <w:sz w:val="26"/>
          <w:szCs w:val="26"/>
        </w:rPr>
        <w:t>PennFuture</w:t>
      </w:r>
      <w:proofErr w:type="spellEnd"/>
      <w:r>
        <w:rPr>
          <w:rFonts w:ascii="Times New Roman" w:hAnsi="Times New Roman"/>
          <w:sz w:val="26"/>
          <w:szCs w:val="26"/>
        </w:rPr>
        <w:t>); (4</w:t>
      </w:r>
      <w:r w:rsidRPr="00876459">
        <w:rPr>
          <w:rFonts w:ascii="Times New Roman" w:hAnsi="Times New Roman"/>
          <w:sz w:val="26"/>
          <w:szCs w:val="26"/>
        </w:rPr>
        <w:t>) the Coalition for Affordable Utility Services and Energy Effici</w:t>
      </w:r>
      <w:r>
        <w:rPr>
          <w:rFonts w:ascii="Times New Roman" w:hAnsi="Times New Roman"/>
          <w:sz w:val="26"/>
          <w:szCs w:val="26"/>
        </w:rPr>
        <w:t>ency in Pennsylvania (CAUSE-PA); (5</w:t>
      </w:r>
      <w:r w:rsidRPr="00876459">
        <w:rPr>
          <w:rFonts w:ascii="Times New Roman" w:hAnsi="Times New Roman"/>
          <w:sz w:val="26"/>
          <w:szCs w:val="26"/>
        </w:rPr>
        <w:t xml:space="preserve">) Direct Energy Services, LLC </w:t>
      </w:r>
      <w:r>
        <w:rPr>
          <w:rFonts w:ascii="Times New Roman" w:hAnsi="Times New Roman"/>
          <w:sz w:val="26"/>
          <w:szCs w:val="26"/>
        </w:rPr>
        <w:t>(Direct Energy); (6</w:t>
      </w:r>
      <w:r w:rsidRPr="00876459">
        <w:rPr>
          <w:rFonts w:ascii="Times New Roman" w:hAnsi="Times New Roman"/>
          <w:sz w:val="26"/>
          <w:szCs w:val="26"/>
        </w:rPr>
        <w:t xml:space="preserve">) Exelon </w:t>
      </w:r>
      <w:r>
        <w:rPr>
          <w:rFonts w:ascii="Times New Roman" w:hAnsi="Times New Roman"/>
          <w:sz w:val="26"/>
          <w:szCs w:val="26"/>
        </w:rPr>
        <w:t>Generation Company, LLC (</w:t>
      </w:r>
      <w:proofErr w:type="spellStart"/>
      <w:r>
        <w:rPr>
          <w:rFonts w:ascii="Times New Roman" w:hAnsi="Times New Roman"/>
          <w:sz w:val="26"/>
          <w:szCs w:val="26"/>
        </w:rPr>
        <w:t>ExGen</w:t>
      </w:r>
      <w:proofErr w:type="spellEnd"/>
      <w:r>
        <w:rPr>
          <w:rFonts w:ascii="Times New Roman" w:hAnsi="Times New Roman"/>
          <w:sz w:val="26"/>
          <w:szCs w:val="26"/>
        </w:rPr>
        <w:t>); (7) </w:t>
      </w:r>
      <w:r w:rsidRPr="00876459">
        <w:rPr>
          <w:rFonts w:ascii="Times New Roman" w:hAnsi="Times New Roman"/>
          <w:sz w:val="26"/>
          <w:szCs w:val="26"/>
        </w:rPr>
        <w:t>FirstEnergy Solutions Cor</w:t>
      </w:r>
      <w:r>
        <w:rPr>
          <w:rFonts w:ascii="Times New Roman" w:hAnsi="Times New Roman"/>
          <w:sz w:val="26"/>
          <w:szCs w:val="26"/>
        </w:rPr>
        <w:t>poration (FES); (8</w:t>
      </w:r>
      <w:r w:rsidRPr="00876459">
        <w:rPr>
          <w:rFonts w:ascii="Times New Roman" w:hAnsi="Times New Roman"/>
          <w:sz w:val="26"/>
          <w:szCs w:val="26"/>
        </w:rPr>
        <w:t xml:space="preserve">) </w:t>
      </w:r>
      <w:proofErr w:type="spellStart"/>
      <w:r w:rsidRPr="00876459">
        <w:rPr>
          <w:rFonts w:ascii="Times New Roman" w:hAnsi="Times New Roman"/>
          <w:sz w:val="26"/>
          <w:szCs w:val="26"/>
        </w:rPr>
        <w:t>NextEra</w:t>
      </w:r>
      <w:proofErr w:type="spellEnd"/>
      <w:r w:rsidRPr="00876459">
        <w:rPr>
          <w:rFonts w:ascii="Times New Roman" w:hAnsi="Times New Roman"/>
          <w:sz w:val="26"/>
          <w:szCs w:val="26"/>
        </w:rPr>
        <w:t xml:space="preserve"> Energy Power Marketing, LLC (</w:t>
      </w:r>
      <w:proofErr w:type="spellStart"/>
      <w:r w:rsidRPr="00876459">
        <w:rPr>
          <w:rFonts w:ascii="Times New Roman" w:hAnsi="Times New Roman"/>
          <w:sz w:val="26"/>
          <w:szCs w:val="26"/>
        </w:rPr>
        <w:t>NextEra</w:t>
      </w:r>
      <w:proofErr w:type="spellEnd"/>
      <w:r w:rsidRPr="00876459">
        <w:rPr>
          <w:rFonts w:ascii="Times New Roman" w:hAnsi="Times New Roman"/>
          <w:sz w:val="26"/>
          <w:szCs w:val="26"/>
        </w:rPr>
        <w:t>)</w:t>
      </w:r>
      <w:r>
        <w:rPr>
          <w:rFonts w:ascii="Times New Roman" w:hAnsi="Times New Roman"/>
          <w:sz w:val="26"/>
          <w:szCs w:val="26"/>
        </w:rPr>
        <w:t>; (9</w:t>
      </w:r>
      <w:r w:rsidRPr="00876459">
        <w:rPr>
          <w:rFonts w:ascii="Times New Roman" w:hAnsi="Times New Roman"/>
          <w:sz w:val="26"/>
          <w:szCs w:val="26"/>
        </w:rPr>
        <w:t>) Noble Americas Energy Solutions, LLC (Noble Americas)</w:t>
      </w:r>
      <w:r>
        <w:rPr>
          <w:rFonts w:ascii="Times New Roman" w:hAnsi="Times New Roman"/>
          <w:sz w:val="26"/>
          <w:szCs w:val="26"/>
        </w:rPr>
        <w:t>; and (10</w:t>
      </w:r>
      <w:r w:rsidRPr="0019237F">
        <w:rPr>
          <w:rFonts w:ascii="Times New Roman" w:hAnsi="Times New Roman"/>
          <w:sz w:val="26"/>
          <w:szCs w:val="26"/>
        </w:rPr>
        <w:t xml:space="preserve">) the Sustainable </w:t>
      </w:r>
      <w:r>
        <w:rPr>
          <w:rFonts w:ascii="Times New Roman" w:hAnsi="Times New Roman"/>
          <w:sz w:val="26"/>
          <w:szCs w:val="26"/>
        </w:rPr>
        <w:t>Energy Fund (SEF)</w:t>
      </w:r>
      <w:r w:rsidRPr="0019237F">
        <w:rPr>
          <w:rFonts w:ascii="Times New Roman" w:hAnsi="Times New Roman"/>
          <w:sz w:val="26"/>
          <w:szCs w:val="26"/>
        </w:rPr>
        <w:t>.</w:t>
      </w:r>
    </w:p>
    <w:p w:rsidR="00492719" w:rsidRPr="00076EF7" w:rsidRDefault="00492719" w:rsidP="00492719">
      <w:pPr>
        <w:rPr>
          <w:rFonts w:ascii="Times New Roman" w:hAnsi="Times New Roman"/>
          <w:sz w:val="26"/>
          <w:szCs w:val="26"/>
        </w:rPr>
      </w:pPr>
    </w:p>
    <w:p w:rsidR="00492719" w:rsidRPr="006A09A9" w:rsidRDefault="00492719" w:rsidP="00492719">
      <w:pPr>
        <w:rPr>
          <w:rFonts w:ascii="Times New Roman" w:hAnsi="Times New Roman"/>
          <w:sz w:val="26"/>
          <w:szCs w:val="26"/>
          <w:highlight w:val="cyan"/>
        </w:rPr>
      </w:pPr>
      <w:r w:rsidRPr="00076EF7">
        <w:rPr>
          <w:rFonts w:ascii="Times New Roman" w:hAnsi="Times New Roman"/>
          <w:sz w:val="26"/>
          <w:szCs w:val="26"/>
        </w:rPr>
        <w:tab/>
      </w:r>
      <w:r w:rsidRPr="00076EF7">
        <w:rPr>
          <w:rFonts w:ascii="Times New Roman" w:hAnsi="Times New Roman"/>
          <w:sz w:val="26"/>
          <w:szCs w:val="26"/>
        </w:rPr>
        <w:tab/>
        <w:t xml:space="preserve">The </w:t>
      </w:r>
      <w:r>
        <w:rPr>
          <w:rFonts w:ascii="Times New Roman" w:hAnsi="Times New Roman"/>
          <w:sz w:val="26"/>
          <w:szCs w:val="26"/>
        </w:rPr>
        <w:t>P</w:t>
      </w:r>
      <w:r w:rsidRPr="00076EF7">
        <w:rPr>
          <w:rFonts w:ascii="Times New Roman" w:hAnsi="Times New Roman"/>
          <w:sz w:val="26"/>
          <w:szCs w:val="26"/>
        </w:rPr>
        <w:t>arties submitted prepared testimony according to the schedule set forth in the Scheduling Order</w:t>
      </w:r>
      <w:r w:rsidR="0036464E" w:rsidRPr="0036464E">
        <w:rPr>
          <w:rFonts w:ascii="Times New Roman" w:hAnsi="Times New Roman"/>
          <w:sz w:val="26"/>
          <w:szCs w:val="26"/>
        </w:rPr>
        <w:t xml:space="preserve"> </w:t>
      </w:r>
      <w:r w:rsidR="0036464E" w:rsidRPr="0019237F">
        <w:rPr>
          <w:rFonts w:ascii="Times New Roman" w:hAnsi="Times New Roman"/>
          <w:sz w:val="26"/>
          <w:szCs w:val="26"/>
        </w:rPr>
        <w:t xml:space="preserve">issued </w:t>
      </w:r>
      <w:r w:rsidR="00000A96">
        <w:rPr>
          <w:rFonts w:ascii="Times New Roman" w:hAnsi="Times New Roman"/>
          <w:sz w:val="26"/>
          <w:szCs w:val="26"/>
        </w:rPr>
        <w:t>by Administrative Law Judge (ALJ) Susan D. Cowell</w:t>
      </w:r>
      <w:r w:rsidR="0036464E">
        <w:rPr>
          <w:rFonts w:ascii="Times New Roman" w:hAnsi="Times New Roman"/>
          <w:sz w:val="26"/>
          <w:szCs w:val="26"/>
        </w:rPr>
        <w:t xml:space="preserve"> </w:t>
      </w:r>
      <w:r w:rsidR="0036464E" w:rsidRPr="0019237F">
        <w:rPr>
          <w:rFonts w:ascii="Times New Roman" w:hAnsi="Times New Roman"/>
          <w:sz w:val="26"/>
          <w:szCs w:val="26"/>
        </w:rPr>
        <w:t>on June 6, 2014</w:t>
      </w:r>
      <w:r w:rsidRPr="00076EF7">
        <w:rPr>
          <w:rFonts w:ascii="Times New Roman" w:hAnsi="Times New Roman"/>
          <w:sz w:val="26"/>
          <w:szCs w:val="26"/>
        </w:rPr>
        <w:t xml:space="preserve">.  Shortly before the scheduled hearing, the </w:t>
      </w:r>
      <w:r>
        <w:rPr>
          <w:rFonts w:ascii="Times New Roman" w:hAnsi="Times New Roman"/>
          <w:sz w:val="26"/>
          <w:szCs w:val="26"/>
        </w:rPr>
        <w:t>P</w:t>
      </w:r>
      <w:r w:rsidRPr="00076EF7">
        <w:rPr>
          <w:rFonts w:ascii="Times New Roman" w:hAnsi="Times New Roman"/>
          <w:sz w:val="26"/>
          <w:szCs w:val="26"/>
        </w:rPr>
        <w:t>arties informed the ALJ</w:t>
      </w:r>
      <w:r>
        <w:rPr>
          <w:rFonts w:ascii="Times New Roman" w:hAnsi="Times New Roman"/>
          <w:sz w:val="26"/>
          <w:szCs w:val="26"/>
        </w:rPr>
        <w:t xml:space="preserve"> that they had achieved a </w:t>
      </w:r>
      <w:r w:rsidRPr="00076EF7">
        <w:rPr>
          <w:rFonts w:ascii="Times New Roman" w:hAnsi="Times New Roman"/>
          <w:sz w:val="26"/>
          <w:szCs w:val="26"/>
        </w:rPr>
        <w:t>settlem</w:t>
      </w:r>
      <w:r>
        <w:rPr>
          <w:rFonts w:ascii="Times New Roman" w:hAnsi="Times New Roman"/>
          <w:sz w:val="26"/>
          <w:szCs w:val="26"/>
        </w:rPr>
        <w:t>ent on almost all issues.  All P</w:t>
      </w:r>
      <w:r w:rsidRPr="00076EF7">
        <w:rPr>
          <w:rFonts w:ascii="Times New Roman" w:hAnsi="Times New Roman"/>
          <w:sz w:val="26"/>
          <w:szCs w:val="26"/>
        </w:rPr>
        <w:t>arties waived cross-exam</w:t>
      </w:r>
      <w:r w:rsidR="00000A96">
        <w:rPr>
          <w:rFonts w:ascii="Times New Roman" w:hAnsi="Times New Roman"/>
          <w:sz w:val="26"/>
          <w:szCs w:val="26"/>
        </w:rPr>
        <w:t>ination of all witnesses and a</w:t>
      </w:r>
      <w:r w:rsidRPr="00076EF7">
        <w:rPr>
          <w:rFonts w:ascii="Times New Roman" w:hAnsi="Times New Roman"/>
          <w:sz w:val="26"/>
          <w:szCs w:val="26"/>
        </w:rPr>
        <w:t xml:space="preserve"> hearing was held</w:t>
      </w:r>
      <w:r>
        <w:rPr>
          <w:rFonts w:ascii="Times New Roman" w:hAnsi="Times New Roman"/>
          <w:sz w:val="26"/>
          <w:szCs w:val="26"/>
        </w:rPr>
        <w:t xml:space="preserve"> on August 19, 2014,</w:t>
      </w:r>
      <w:r w:rsidRPr="00076EF7">
        <w:rPr>
          <w:rFonts w:ascii="Times New Roman" w:hAnsi="Times New Roman"/>
          <w:sz w:val="26"/>
          <w:szCs w:val="26"/>
        </w:rPr>
        <w:t xml:space="preserve"> to accept th</w:t>
      </w:r>
      <w:r>
        <w:rPr>
          <w:rFonts w:ascii="Times New Roman" w:hAnsi="Times New Roman"/>
          <w:sz w:val="26"/>
          <w:szCs w:val="26"/>
        </w:rPr>
        <w:t xml:space="preserve">e prepared testimony, exhibits, </w:t>
      </w:r>
      <w:r w:rsidRPr="00076EF7">
        <w:rPr>
          <w:rFonts w:ascii="Times New Roman" w:hAnsi="Times New Roman"/>
          <w:sz w:val="26"/>
          <w:szCs w:val="26"/>
        </w:rPr>
        <w:t>and verifications or affidav</w:t>
      </w:r>
      <w:r>
        <w:rPr>
          <w:rFonts w:ascii="Times New Roman" w:hAnsi="Times New Roman"/>
          <w:sz w:val="26"/>
          <w:szCs w:val="26"/>
        </w:rPr>
        <w:t>its into the record.</w:t>
      </w:r>
      <w:r w:rsidRPr="006A09A9">
        <w:rPr>
          <w:rFonts w:ascii="Times New Roman" w:hAnsi="Times New Roman"/>
          <w:sz w:val="26"/>
          <w:szCs w:val="26"/>
          <w:highlight w:val="cyan"/>
        </w:rPr>
        <w:t xml:space="preserve"> </w:t>
      </w:r>
    </w:p>
    <w:p w:rsidR="00492719" w:rsidRPr="00173DED" w:rsidRDefault="00492719" w:rsidP="00492719">
      <w:pPr>
        <w:rPr>
          <w:rFonts w:ascii="Times New Roman" w:hAnsi="Times New Roman"/>
          <w:sz w:val="26"/>
          <w:szCs w:val="26"/>
        </w:rPr>
      </w:pPr>
    </w:p>
    <w:p w:rsidR="00492719" w:rsidRDefault="00492719" w:rsidP="00492719">
      <w:pPr>
        <w:rPr>
          <w:rFonts w:ascii="Times New Roman" w:hAnsi="Times New Roman"/>
          <w:sz w:val="26"/>
          <w:szCs w:val="26"/>
        </w:rPr>
      </w:pPr>
      <w:r w:rsidRPr="00173DED">
        <w:rPr>
          <w:rFonts w:ascii="Times New Roman" w:hAnsi="Times New Roman"/>
          <w:sz w:val="26"/>
          <w:szCs w:val="26"/>
        </w:rPr>
        <w:tab/>
      </w:r>
      <w:r w:rsidRPr="00173DED">
        <w:rPr>
          <w:rFonts w:ascii="Times New Roman" w:hAnsi="Times New Roman"/>
          <w:sz w:val="26"/>
          <w:szCs w:val="26"/>
        </w:rPr>
        <w:tab/>
        <w:t>On</w:t>
      </w:r>
      <w:r>
        <w:rPr>
          <w:rFonts w:ascii="Times New Roman" w:hAnsi="Times New Roman"/>
          <w:sz w:val="26"/>
          <w:szCs w:val="26"/>
        </w:rPr>
        <w:t xml:space="preserve"> September 12, 2014, a Joint Petition for Approval of Partial Settlement (Partial Settlement) was filed by PPL, OCA, OSBA, PPLICA, CAUSE-PA, SEF, </w:t>
      </w:r>
      <w:proofErr w:type="spellStart"/>
      <w:r>
        <w:rPr>
          <w:rFonts w:ascii="Times New Roman" w:hAnsi="Times New Roman"/>
          <w:sz w:val="26"/>
          <w:szCs w:val="26"/>
        </w:rPr>
        <w:t>PennFuture</w:t>
      </w:r>
      <w:proofErr w:type="spellEnd"/>
      <w:r>
        <w:rPr>
          <w:rFonts w:ascii="Times New Roman" w:hAnsi="Times New Roman"/>
          <w:sz w:val="26"/>
          <w:szCs w:val="26"/>
        </w:rPr>
        <w:t xml:space="preserve">, </w:t>
      </w:r>
      <w:proofErr w:type="spellStart"/>
      <w:r>
        <w:rPr>
          <w:rFonts w:ascii="Times New Roman" w:hAnsi="Times New Roman"/>
          <w:sz w:val="26"/>
          <w:szCs w:val="26"/>
        </w:rPr>
        <w:t>NextEra</w:t>
      </w:r>
      <w:proofErr w:type="spellEnd"/>
      <w:r>
        <w:rPr>
          <w:rFonts w:ascii="Times New Roman" w:hAnsi="Times New Roman"/>
          <w:sz w:val="26"/>
          <w:szCs w:val="26"/>
        </w:rPr>
        <w:t xml:space="preserve">, RESA, and </w:t>
      </w:r>
      <w:proofErr w:type="spellStart"/>
      <w:r>
        <w:rPr>
          <w:rFonts w:ascii="Times New Roman" w:hAnsi="Times New Roman"/>
          <w:sz w:val="26"/>
          <w:szCs w:val="26"/>
        </w:rPr>
        <w:t>ExGen</w:t>
      </w:r>
      <w:proofErr w:type="spellEnd"/>
      <w:r>
        <w:rPr>
          <w:rFonts w:ascii="Times New Roman" w:hAnsi="Times New Roman"/>
          <w:sz w:val="26"/>
          <w:szCs w:val="26"/>
        </w:rPr>
        <w:t xml:space="preserve"> (collectively, Signatory Parties).  The Signatory </w:t>
      </w:r>
      <w:r>
        <w:rPr>
          <w:rFonts w:ascii="Times New Roman" w:hAnsi="Times New Roman"/>
          <w:sz w:val="26"/>
          <w:szCs w:val="26"/>
        </w:rPr>
        <w:lastRenderedPageBreak/>
        <w:t>Parties also filed individual Statements in Support of the Partial Settlement, which were attached to the Partial Settlement as Appendices B through K.</w:t>
      </w:r>
      <w:r>
        <w:rPr>
          <w:rStyle w:val="FootnoteReference"/>
          <w:rFonts w:ascii="Times New Roman" w:hAnsi="Times New Roman"/>
          <w:sz w:val="26"/>
          <w:szCs w:val="26"/>
        </w:rPr>
        <w:footnoteReference w:id="1"/>
      </w:r>
    </w:p>
    <w:p w:rsidR="00492719" w:rsidRDefault="00492719" w:rsidP="00492719">
      <w:pPr>
        <w:rPr>
          <w:rFonts w:ascii="Times New Roman" w:hAnsi="Times New Roman"/>
          <w:sz w:val="26"/>
          <w:szCs w:val="26"/>
        </w:rPr>
      </w:pPr>
    </w:p>
    <w:p w:rsidR="00492719" w:rsidRDefault="00492719" w:rsidP="00492719">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Also on September 12, 2014, Main Briefs on the outstanding issues were filed by PPL, OSBA, PPLICA</w:t>
      </w:r>
      <w:r w:rsidRPr="00E1211C">
        <w:rPr>
          <w:rFonts w:ascii="Times New Roman" w:hAnsi="Times New Roman"/>
          <w:sz w:val="26"/>
          <w:szCs w:val="26"/>
        </w:rPr>
        <w:t xml:space="preserve">, RESA, and Noble Americas.  Reply Briefs were filed on September 26, 2014 by PPL, OSBA, PPLICA, RESA, and </w:t>
      </w:r>
      <w:proofErr w:type="spellStart"/>
      <w:r w:rsidRPr="00E1211C">
        <w:rPr>
          <w:rFonts w:ascii="Times New Roman" w:hAnsi="Times New Roman"/>
          <w:sz w:val="26"/>
          <w:szCs w:val="26"/>
        </w:rPr>
        <w:t>ExGen</w:t>
      </w:r>
      <w:proofErr w:type="spellEnd"/>
      <w:r>
        <w:rPr>
          <w:rFonts w:ascii="Times New Roman" w:hAnsi="Times New Roman"/>
          <w:sz w:val="26"/>
          <w:szCs w:val="26"/>
        </w:rPr>
        <w:t>.  The record closed with the filing of the Reply Briefs.</w:t>
      </w:r>
    </w:p>
    <w:p w:rsidR="00492719" w:rsidRDefault="00492719" w:rsidP="00492719">
      <w:pPr>
        <w:rPr>
          <w:rFonts w:ascii="Times New Roman" w:hAnsi="Times New Roman"/>
          <w:sz w:val="26"/>
          <w:szCs w:val="26"/>
        </w:rPr>
      </w:pPr>
    </w:p>
    <w:p w:rsidR="00492719" w:rsidRPr="003355C9" w:rsidRDefault="00492719" w:rsidP="00492719">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On October 30, 2014, the </w:t>
      </w:r>
      <w:r w:rsidRPr="003355C9">
        <w:rPr>
          <w:rFonts w:ascii="Times New Roman" w:hAnsi="Times New Roman"/>
          <w:sz w:val="26"/>
          <w:szCs w:val="26"/>
        </w:rPr>
        <w:t xml:space="preserve">Commission issued the Recommended Decision of ALJ Colwell, which recommended, </w:t>
      </w:r>
      <w:r w:rsidRPr="003355C9">
        <w:rPr>
          <w:rFonts w:ascii="Times New Roman" w:hAnsi="Times New Roman"/>
          <w:i/>
          <w:sz w:val="26"/>
          <w:szCs w:val="26"/>
        </w:rPr>
        <w:t>inter alia</w:t>
      </w:r>
      <w:r w:rsidRPr="00E428E5">
        <w:rPr>
          <w:rFonts w:ascii="Times New Roman" w:hAnsi="Times New Roman"/>
          <w:sz w:val="26"/>
          <w:szCs w:val="26"/>
        </w:rPr>
        <w:t>:</w:t>
      </w:r>
      <w:r w:rsidRPr="003355C9">
        <w:rPr>
          <w:rFonts w:ascii="Times New Roman" w:hAnsi="Times New Roman"/>
          <w:sz w:val="26"/>
          <w:szCs w:val="26"/>
        </w:rPr>
        <w:t xml:space="preserve"> 1) approval of  PPL</w:t>
      </w:r>
      <w:r>
        <w:rPr>
          <w:rFonts w:ascii="Times New Roman" w:hAnsi="Times New Roman"/>
          <w:sz w:val="26"/>
          <w:szCs w:val="26"/>
        </w:rPr>
        <w:t>’</w:t>
      </w:r>
      <w:r w:rsidRPr="003355C9">
        <w:rPr>
          <w:rFonts w:ascii="Times New Roman" w:hAnsi="Times New Roman"/>
          <w:sz w:val="26"/>
          <w:szCs w:val="26"/>
        </w:rPr>
        <w:t>s DSP III as modified by the Partial Settlement; (2) denial of PPL</w:t>
      </w:r>
      <w:r>
        <w:rPr>
          <w:rFonts w:ascii="Times New Roman" w:hAnsi="Times New Roman"/>
          <w:sz w:val="26"/>
          <w:szCs w:val="26"/>
        </w:rPr>
        <w:t>’</w:t>
      </w:r>
      <w:r w:rsidRPr="003355C9">
        <w:rPr>
          <w:rFonts w:ascii="Times New Roman" w:hAnsi="Times New Roman"/>
          <w:sz w:val="26"/>
          <w:szCs w:val="26"/>
        </w:rPr>
        <w:t>s proposal to change the customer size demarcation between Small Commercial and Industrial</w:t>
      </w:r>
      <w:r>
        <w:rPr>
          <w:rFonts w:ascii="Times New Roman" w:hAnsi="Times New Roman"/>
          <w:sz w:val="26"/>
          <w:szCs w:val="26"/>
        </w:rPr>
        <w:t xml:space="preserve"> (Small C&amp;I)</w:t>
      </w:r>
      <w:r w:rsidRPr="003355C9">
        <w:rPr>
          <w:rFonts w:ascii="Times New Roman" w:hAnsi="Times New Roman"/>
          <w:sz w:val="26"/>
          <w:szCs w:val="26"/>
        </w:rPr>
        <w:t xml:space="preserve"> and Large Commercial and Industrial </w:t>
      </w:r>
      <w:r>
        <w:rPr>
          <w:rFonts w:ascii="Times New Roman" w:hAnsi="Times New Roman"/>
          <w:sz w:val="26"/>
          <w:szCs w:val="26"/>
        </w:rPr>
        <w:t xml:space="preserve">(Large C&amp;I) </w:t>
      </w:r>
      <w:r w:rsidRPr="003355C9">
        <w:rPr>
          <w:rFonts w:ascii="Times New Roman" w:hAnsi="Times New Roman"/>
          <w:sz w:val="26"/>
          <w:szCs w:val="26"/>
        </w:rPr>
        <w:t xml:space="preserve">customers; and (3) </w:t>
      </w:r>
      <w:r w:rsidRPr="003B331B">
        <w:rPr>
          <w:rFonts w:ascii="Times New Roman" w:hAnsi="Times New Roman"/>
          <w:sz w:val="26"/>
          <w:szCs w:val="26"/>
        </w:rPr>
        <w:t>denial of a proposal to require PPL to assume responsibility for non-market-based (NMB) transmission-related</w:t>
      </w:r>
      <w:r>
        <w:rPr>
          <w:rFonts w:ascii="Times New Roman" w:hAnsi="Times New Roman"/>
          <w:sz w:val="26"/>
          <w:szCs w:val="26"/>
        </w:rPr>
        <w:t xml:space="preserve"> costs for</w:t>
      </w:r>
      <w:r w:rsidRPr="003B331B">
        <w:rPr>
          <w:rFonts w:ascii="Times New Roman" w:hAnsi="Times New Roman"/>
          <w:sz w:val="26"/>
          <w:szCs w:val="26"/>
        </w:rPr>
        <w:t xml:space="preserve"> all load on its system, and to recover those costs through a</w:t>
      </w:r>
      <w:r w:rsidRPr="003355C9">
        <w:rPr>
          <w:rFonts w:ascii="Times New Roman" w:hAnsi="Times New Roman"/>
          <w:sz w:val="26"/>
          <w:szCs w:val="26"/>
        </w:rPr>
        <w:t xml:space="preserve"> non-</w:t>
      </w:r>
      <w:proofErr w:type="spellStart"/>
      <w:r w:rsidRPr="003355C9">
        <w:rPr>
          <w:rFonts w:ascii="Times New Roman" w:hAnsi="Times New Roman"/>
          <w:sz w:val="26"/>
          <w:szCs w:val="26"/>
        </w:rPr>
        <w:t>bypassable</w:t>
      </w:r>
      <w:proofErr w:type="spellEnd"/>
      <w:r w:rsidRPr="003355C9">
        <w:rPr>
          <w:rFonts w:ascii="Times New Roman" w:hAnsi="Times New Roman"/>
          <w:sz w:val="26"/>
          <w:szCs w:val="26"/>
        </w:rPr>
        <w:t xml:space="preserve"> surcharge from all distribution customers.  </w:t>
      </w:r>
      <w:proofErr w:type="gramStart"/>
      <w:r w:rsidRPr="003355C9">
        <w:rPr>
          <w:rFonts w:ascii="Times New Roman" w:hAnsi="Times New Roman"/>
          <w:sz w:val="26"/>
          <w:szCs w:val="26"/>
        </w:rPr>
        <w:t>R.D. at 55.</w:t>
      </w:r>
      <w:proofErr w:type="gramEnd"/>
    </w:p>
    <w:p w:rsidR="00492719" w:rsidRPr="00051CC3" w:rsidRDefault="00492719" w:rsidP="00492719">
      <w:pPr>
        <w:rPr>
          <w:rFonts w:ascii="Times New Roman" w:hAnsi="Times New Roman"/>
          <w:sz w:val="26"/>
          <w:szCs w:val="26"/>
        </w:rPr>
      </w:pPr>
    </w:p>
    <w:p w:rsidR="00492719" w:rsidRDefault="00492719" w:rsidP="00492719">
      <w:pPr>
        <w:rPr>
          <w:rFonts w:ascii="Times New Roman" w:hAnsi="Times New Roman"/>
          <w:sz w:val="26"/>
          <w:szCs w:val="26"/>
        </w:rPr>
      </w:pPr>
      <w:r w:rsidRPr="00051CC3">
        <w:rPr>
          <w:rFonts w:ascii="Times New Roman" w:hAnsi="Times New Roman"/>
          <w:sz w:val="26"/>
          <w:szCs w:val="26"/>
        </w:rPr>
        <w:tab/>
      </w:r>
      <w:r w:rsidRPr="00051CC3">
        <w:rPr>
          <w:rFonts w:ascii="Times New Roman" w:hAnsi="Times New Roman"/>
          <w:sz w:val="26"/>
          <w:szCs w:val="26"/>
        </w:rPr>
        <w:tab/>
      </w:r>
      <w:r w:rsidRPr="0095323E">
        <w:rPr>
          <w:rFonts w:ascii="Times New Roman" w:hAnsi="Times New Roman"/>
          <w:sz w:val="26"/>
          <w:szCs w:val="26"/>
        </w:rPr>
        <w:t>Exceptions</w:t>
      </w:r>
      <w:r w:rsidR="0036464E">
        <w:rPr>
          <w:rFonts w:ascii="Times New Roman" w:hAnsi="Times New Roman"/>
          <w:sz w:val="26"/>
          <w:szCs w:val="26"/>
        </w:rPr>
        <w:t xml:space="preserve"> to the Recommended Decision</w:t>
      </w:r>
      <w:r w:rsidRPr="0095323E">
        <w:rPr>
          <w:rFonts w:ascii="Times New Roman" w:hAnsi="Times New Roman"/>
          <w:sz w:val="26"/>
          <w:szCs w:val="26"/>
        </w:rPr>
        <w:t xml:space="preserve"> were filed by PPL and RESA on November 19, 2014.  Replies to Exceptions were filed by PPL, OSBA, and PPLICA on December 1, 2014.</w:t>
      </w:r>
    </w:p>
    <w:p w:rsidR="00D21FDA" w:rsidRDefault="00D21FDA" w:rsidP="00492719">
      <w:pPr>
        <w:rPr>
          <w:rFonts w:ascii="Times New Roman" w:hAnsi="Times New Roman"/>
          <w:sz w:val="26"/>
          <w:szCs w:val="26"/>
        </w:rPr>
      </w:pPr>
    </w:p>
    <w:p w:rsidR="00492719" w:rsidRDefault="00D21FDA" w:rsidP="00492719">
      <w:pPr>
        <w:rPr>
          <w:sz w:val="26"/>
          <w:szCs w:val="26"/>
        </w:rPr>
      </w:pPr>
      <w:r>
        <w:rPr>
          <w:rFonts w:ascii="Times New Roman" w:hAnsi="Times New Roman"/>
          <w:sz w:val="26"/>
          <w:szCs w:val="26"/>
        </w:rPr>
        <w:tab/>
      </w:r>
      <w:r>
        <w:rPr>
          <w:rFonts w:ascii="Times New Roman" w:hAnsi="Times New Roman"/>
          <w:sz w:val="26"/>
          <w:szCs w:val="26"/>
        </w:rPr>
        <w:tab/>
        <w:t xml:space="preserve">In our </w:t>
      </w:r>
      <w:r w:rsidR="00353491">
        <w:rPr>
          <w:rFonts w:ascii="Times New Roman" w:hAnsi="Times New Roman"/>
          <w:i/>
          <w:sz w:val="26"/>
          <w:szCs w:val="26"/>
        </w:rPr>
        <w:t>January 2015 Order</w:t>
      </w:r>
      <w:r>
        <w:rPr>
          <w:rFonts w:ascii="Times New Roman" w:hAnsi="Times New Roman"/>
          <w:sz w:val="26"/>
          <w:szCs w:val="26"/>
        </w:rPr>
        <w:t>, we</w:t>
      </w:r>
      <w:r w:rsidR="00F2176E">
        <w:rPr>
          <w:rFonts w:ascii="Times New Roman" w:hAnsi="Times New Roman"/>
          <w:sz w:val="26"/>
          <w:szCs w:val="26"/>
        </w:rPr>
        <w:t>:</w:t>
      </w:r>
      <w:r w:rsidR="00F2176E" w:rsidRPr="001656AB">
        <w:rPr>
          <w:rFonts w:ascii="Times New Roman" w:hAnsi="Times New Roman"/>
          <w:sz w:val="26"/>
          <w:szCs w:val="26"/>
        </w:rPr>
        <w:t xml:space="preserve"> (1) grant</w:t>
      </w:r>
      <w:r w:rsidR="00F2176E">
        <w:rPr>
          <w:rFonts w:ascii="Times New Roman" w:hAnsi="Times New Roman"/>
          <w:sz w:val="26"/>
          <w:szCs w:val="26"/>
        </w:rPr>
        <w:t>ed</w:t>
      </w:r>
      <w:r w:rsidR="00F2176E" w:rsidRPr="001656AB">
        <w:rPr>
          <w:rFonts w:ascii="Times New Roman" w:hAnsi="Times New Roman"/>
          <w:sz w:val="26"/>
          <w:szCs w:val="26"/>
        </w:rPr>
        <w:t xml:space="preserve"> the Exceptions of PPL</w:t>
      </w:r>
      <w:r w:rsidR="00F2176E">
        <w:rPr>
          <w:rFonts w:ascii="Times New Roman" w:hAnsi="Times New Roman"/>
          <w:sz w:val="26"/>
          <w:szCs w:val="26"/>
        </w:rPr>
        <w:t>; (2)</w:t>
      </w:r>
      <w:r w:rsidR="008D2FBE">
        <w:rPr>
          <w:rFonts w:ascii="Times New Roman" w:hAnsi="Times New Roman"/>
          <w:sz w:val="26"/>
          <w:szCs w:val="26"/>
        </w:rPr>
        <w:t> </w:t>
      </w:r>
      <w:r w:rsidR="00F2176E">
        <w:rPr>
          <w:rFonts w:ascii="Times New Roman" w:hAnsi="Times New Roman"/>
          <w:sz w:val="26"/>
          <w:szCs w:val="26"/>
        </w:rPr>
        <w:t>granted, in part, and denied</w:t>
      </w:r>
      <w:r w:rsidR="00F2176E" w:rsidRPr="001656AB">
        <w:rPr>
          <w:rFonts w:ascii="Times New Roman" w:hAnsi="Times New Roman"/>
          <w:sz w:val="26"/>
          <w:szCs w:val="26"/>
        </w:rPr>
        <w:t>, in pa</w:t>
      </w:r>
      <w:r w:rsidR="008D2FBE">
        <w:rPr>
          <w:rFonts w:ascii="Times New Roman" w:hAnsi="Times New Roman"/>
          <w:sz w:val="26"/>
          <w:szCs w:val="26"/>
        </w:rPr>
        <w:t>rt, the Exceptions of RESA; (3)</w:t>
      </w:r>
      <w:r w:rsidR="00F2176E" w:rsidRPr="001656AB">
        <w:rPr>
          <w:rFonts w:ascii="Times New Roman" w:hAnsi="Times New Roman"/>
          <w:sz w:val="26"/>
          <w:szCs w:val="26"/>
        </w:rPr>
        <w:t xml:space="preserve"> </w:t>
      </w:r>
      <w:r w:rsidR="00F2176E">
        <w:rPr>
          <w:rFonts w:ascii="Times New Roman" w:hAnsi="Times New Roman"/>
          <w:sz w:val="26"/>
          <w:szCs w:val="26"/>
        </w:rPr>
        <w:t xml:space="preserve">adopted, in part, and </w:t>
      </w:r>
      <w:r w:rsidR="00F2176E">
        <w:rPr>
          <w:rFonts w:ascii="Times New Roman" w:hAnsi="Times New Roman"/>
          <w:sz w:val="26"/>
          <w:szCs w:val="26"/>
        </w:rPr>
        <w:lastRenderedPageBreak/>
        <w:t>modified, in part, the ALJ’s Recommended Decision; (4) approved the Partial Settle</w:t>
      </w:r>
      <w:r w:rsidR="00255002">
        <w:rPr>
          <w:rFonts w:ascii="Times New Roman" w:hAnsi="Times New Roman"/>
          <w:sz w:val="26"/>
          <w:szCs w:val="26"/>
        </w:rPr>
        <w:t>ment without modification; (5) </w:t>
      </w:r>
      <w:r w:rsidR="00F2176E">
        <w:rPr>
          <w:rFonts w:ascii="Times New Roman" w:hAnsi="Times New Roman"/>
          <w:sz w:val="26"/>
          <w:szCs w:val="26"/>
        </w:rPr>
        <w:t xml:space="preserve">adopted PPL’s proposal </w:t>
      </w:r>
      <w:r w:rsidR="00F2176E">
        <w:rPr>
          <w:sz w:val="26"/>
          <w:szCs w:val="26"/>
        </w:rPr>
        <w:t xml:space="preserve">to reduce the peak demand threshold for Large C&amp;I customers from 500 kW to 100 kW; (6) rejected the proposals of RESA and </w:t>
      </w:r>
      <w:proofErr w:type="spellStart"/>
      <w:r w:rsidR="00F2176E">
        <w:rPr>
          <w:sz w:val="26"/>
          <w:szCs w:val="26"/>
        </w:rPr>
        <w:t>ExGen</w:t>
      </w:r>
      <w:proofErr w:type="spellEnd"/>
      <w:r w:rsidR="00F2176E">
        <w:rPr>
          <w:sz w:val="26"/>
          <w:szCs w:val="26"/>
        </w:rPr>
        <w:t xml:space="preserve"> regarding </w:t>
      </w:r>
      <w:r w:rsidR="006760F3">
        <w:rPr>
          <w:sz w:val="26"/>
          <w:szCs w:val="26"/>
        </w:rPr>
        <w:t>NMB</w:t>
      </w:r>
      <w:r w:rsidR="00F2176E">
        <w:rPr>
          <w:sz w:val="26"/>
          <w:szCs w:val="26"/>
        </w:rPr>
        <w:t xml:space="preserve"> costs</w:t>
      </w:r>
      <w:r w:rsidR="00647682">
        <w:rPr>
          <w:sz w:val="26"/>
          <w:szCs w:val="26"/>
        </w:rPr>
        <w:t>;</w:t>
      </w:r>
      <w:r w:rsidR="00F2176E">
        <w:rPr>
          <w:sz w:val="26"/>
          <w:szCs w:val="26"/>
        </w:rPr>
        <w:t xml:space="preserve"> and (7) approve</w:t>
      </w:r>
      <w:r w:rsidR="00647682">
        <w:rPr>
          <w:sz w:val="26"/>
          <w:szCs w:val="26"/>
        </w:rPr>
        <w:t>d</w:t>
      </w:r>
      <w:r w:rsidR="00F2176E">
        <w:rPr>
          <w:sz w:val="26"/>
          <w:szCs w:val="26"/>
        </w:rPr>
        <w:t xml:space="preserve"> PPL’s Petition for approval of its DSP III program, consistent with the Partial Settlement and our disposition of the litigated issues</w:t>
      </w:r>
      <w:r w:rsidR="00647682">
        <w:rPr>
          <w:sz w:val="26"/>
          <w:szCs w:val="26"/>
        </w:rPr>
        <w:t>.</w:t>
      </w:r>
    </w:p>
    <w:p w:rsidR="00D43CDA" w:rsidRDefault="00D43CDA" w:rsidP="00492719">
      <w:pPr>
        <w:rPr>
          <w:sz w:val="26"/>
          <w:szCs w:val="26"/>
        </w:rPr>
      </w:pPr>
    </w:p>
    <w:p w:rsidR="00D43CDA" w:rsidRDefault="00D43CDA" w:rsidP="00492719">
      <w:pPr>
        <w:rPr>
          <w:rFonts w:ascii="Times New Roman" w:hAnsi="Times New Roman"/>
          <w:sz w:val="26"/>
        </w:rPr>
      </w:pPr>
      <w:r>
        <w:rPr>
          <w:sz w:val="26"/>
          <w:szCs w:val="26"/>
        </w:rPr>
        <w:tab/>
      </w:r>
      <w:r>
        <w:rPr>
          <w:sz w:val="26"/>
          <w:szCs w:val="26"/>
        </w:rPr>
        <w:tab/>
        <w:t>As previously noted, the OSBA filed the instant Petition on January 30, 2015.  By Opinion and Order entered February 12, 2015, we granted the Petition</w:t>
      </w:r>
      <w:r>
        <w:rPr>
          <w:rFonts w:ascii="Times New Roman" w:hAnsi="Times New Roman"/>
          <w:sz w:val="26"/>
        </w:rPr>
        <w:t>, pending</w:t>
      </w:r>
      <w:r w:rsidRPr="00992C07">
        <w:rPr>
          <w:rFonts w:ascii="Times New Roman" w:hAnsi="Times New Roman"/>
          <w:sz w:val="26"/>
        </w:rPr>
        <w:t xml:space="preserve"> review of, and consideration on, the merits of the Petition</w:t>
      </w:r>
      <w:r w:rsidR="008D2FBE">
        <w:rPr>
          <w:rFonts w:ascii="Times New Roman" w:hAnsi="Times New Roman"/>
          <w:sz w:val="26"/>
        </w:rPr>
        <w:t>, which we shall now address below</w:t>
      </w:r>
      <w:r>
        <w:rPr>
          <w:rFonts w:ascii="Times New Roman" w:hAnsi="Times New Roman"/>
          <w:sz w:val="26"/>
        </w:rPr>
        <w:t>.</w:t>
      </w:r>
    </w:p>
    <w:p w:rsidR="00D43CDA" w:rsidRDefault="00D43CDA" w:rsidP="00492719">
      <w:pPr>
        <w:rPr>
          <w:rFonts w:ascii="Times New Roman" w:hAnsi="Times New Roman"/>
          <w:sz w:val="26"/>
        </w:rPr>
      </w:pPr>
    </w:p>
    <w:p w:rsidR="00B10E7E" w:rsidRPr="0098242E" w:rsidRDefault="00B10E7E" w:rsidP="00B10E7E">
      <w:pPr>
        <w:jc w:val="center"/>
        <w:rPr>
          <w:rFonts w:ascii="Times New Roman" w:hAnsi="Times New Roman"/>
          <w:b/>
          <w:sz w:val="26"/>
          <w:szCs w:val="26"/>
        </w:rPr>
      </w:pPr>
      <w:r w:rsidRPr="0098242E">
        <w:rPr>
          <w:rFonts w:ascii="Times New Roman" w:hAnsi="Times New Roman"/>
          <w:b/>
          <w:sz w:val="26"/>
          <w:szCs w:val="26"/>
        </w:rPr>
        <w:t>Discussion</w:t>
      </w:r>
    </w:p>
    <w:p w:rsidR="00B10E7E" w:rsidRPr="00774A94" w:rsidRDefault="00B10E7E" w:rsidP="00774A94">
      <w:pPr>
        <w:rPr>
          <w:rFonts w:ascii="Times New Roman" w:hAnsi="Times New Roman"/>
          <w:sz w:val="26"/>
          <w:szCs w:val="26"/>
        </w:rPr>
      </w:pPr>
    </w:p>
    <w:p w:rsidR="00A82566" w:rsidRPr="00C442CA" w:rsidRDefault="00A82566" w:rsidP="00A82566">
      <w:pPr>
        <w:contextualSpacing/>
        <w:rPr>
          <w:rFonts w:ascii="Times New Roman" w:hAnsi="Times New Roman"/>
          <w:sz w:val="26"/>
          <w:szCs w:val="26"/>
        </w:rPr>
      </w:pPr>
      <w:r>
        <w:rPr>
          <w:rFonts w:ascii="Times New (W1)" w:hAnsi="Times New (W1)"/>
          <w:sz w:val="26"/>
        </w:rPr>
        <w:tab/>
      </w:r>
      <w:r>
        <w:rPr>
          <w:rFonts w:ascii="Times New (W1)" w:hAnsi="Times New (W1)"/>
          <w:sz w:val="26"/>
        </w:rPr>
        <w:tab/>
      </w:r>
      <w:r w:rsidR="00774A94" w:rsidRPr="00774A94">
        <w:rPr>
          <w:rFonts w:ascii="Times New (W1)" w:hAnsi="Times New (W1)"/>
          <w:sz w:val="26"/>
        </w:rPr>
        <w:t xml:space="preserve">Before addressing the Petition, we note that any issue not specifically discussed shall be deemed to have been duly considered and denied without further discussion.  The Commission is not required to consider expressly or at length each contention or argument raised by the parties.  </w:t>
      </w:r>
      <w:proofErr w:type="gramStart"/>
      <w:r w:rsidR="00774A94" w:rsidRPr="00774A94">
        <w:rPr>
          <w:rFonts w:ascii="Times New (W1)" w:hAnsi="Times New (W1)"/>
          <w:i/>
          <w:sz w:val="26"/>
        </w:rPr>
        <w:t xml:space="preserve">Consolidated Rail Corp. v. Pennsylvania Public Utility Commission, </w:t>
      </w:r>
      <w:r w:rsidR="00774A94" w:rsidRPr="00774A94">
        <w:rPr>
          <w:rFonts w:ascii="Times New (W1)" w:hAnsi="Times New (W1)"/>
          <w:sz w:val="26"/>
        </w:rPr>
        <w:t xml:space="preserve">625 A.2d 741 (Pa. </w:t>
      </w:r>
      <w:proofErr w:type="spellStart"/>
      <w:r w:rsidR="00774A94" w:rsidRPr="00774A94">
        <w:rPr>
          <w:rFonts w:ascii="Times New (W1)" w:hAnsi="Times New (W1)"/>
          <w:sz w:val="26"/>
        </w:rPr>
        <w:t>Cmwlth</w:t>
      </w:r>
      <w:proofErr w:type="spellEnd"/>
      <w:r w:rsidR="00774A94" w:rsidRPr="00774A94">
        <w:rPr>
          <w:rFonts w:ascii="Times New (W1)" w:hAnsi="Times New (W1)"/>
          <w:sz w:val="26"/>
        </w:rPr>
        <w:t xml:space="preserve">. </w:t>
      </w:r>
      <w:r>
        <w:rPr>
          <w:rFonts w:ascii="Times New (W1)" w:hAnsi="Times New (W1)"/>
          <w:sz w:val="26"/>
        </w:rPr>
        <w:t xml:space="preserve">1993); </w:t>
      </w:r>
      <w:r w:rsidRPr="00C442CA">
        <w:rPr>
          <w:rFonts w:ascii="Times New Roman" w:hAnsi="Times New Roman"/>
          <w:i/>
          <w:sz w:val="26"/>
          <w:szCs w:val="26"/>
        </w:rPr>
        <w:t>see also, generally, University of Pennsylvania v. Pa. PUC</w:t>
      </w:r>
      <w:r w:rsidRPr="00C442CA">
        <w:rPr>
          <w:rFonts w:ascii="Times New Roman" w:hAnsi="Times New Roman"/>
          <w:sz w:val="26"/>
          <w:szCs w:val="26"/>
        </w:rPr>
        <w:t xml:space="preserve">, 485 A.2d 1217 (Pa. </w:t>
      </w:r>
      <w:proofErr w:type="spellStart"/>
      <w:r w:rsidRPr="00C442CA">
        <w:rPr>
          <w:rFonts w:ascii="Times New Roman" w:hAnsi="Times New Roman"/>
          <w:sz w:val="26"/>
          <w:szCs w:val="26"/>
        </w:rPr>
        <w:t>Cmwlth</w:t>
      </w:r>
      <w:proofErr w:type="spellEnd"/>
      <w:r w:rsidRPr="00C442CA">
        <w:rPr>
          <w:rFonts w:ascii="Times New Roman" w:hAnsi="Times New Roman"/>
          <w:sz w:val="26"/>
          <w:szCs w:val="26"/>
        </w:rPr>
        <w:t>. 1984).</w:t>
      </w:r>
      <w:proofErr w:type="gramEnd"/>
    </w:p>
    <w:p w:rsidR="00931D14" w:rsidRDefault="00931D14" w:rsidP="00931D14">
      <w:pPr>
        <w:contextualSpacing/>
        <w:rPr>
          <w:rFonts w:ascii="Times New Roman" w:hAnsi="Times New Roman"/>
          <w:sz w:val="26"/>
          <w:szCs w:val="26"/>
        </w:rPr>
      </w:pPr>
    </w:p>
    <w:p w:rsidR="00931D14" w:rsidRPr="00931D14" w:rsidRDefault="00353491" w:rsidP="00931D14">
      <w:pPr>
        <w:contextualSpacing/>
        <w:rPr>
          <w:rFonts w:ascii="Times New Roman" w:hAnsi="Times New Roman"/>
          <w:b/>
          <w:i/>
          <w:sz w:val="26"/>
          <w:szCs w:val="26"/>
        </w:rPr>
      </w:pPr>
      <w:r>
        <w:rPr>
          <w:rFonts w:ascii="Times New Roman" w:hAnsi="Times New Roman"/>
          <w:b/>
          <w:i/>
          <w:sz w:val="26"/>
          <w:szCs w:val="26"/>
        </w:rPr>
        <w:t>January 2015 Order</w:t>
      </w:r>
    </w:p>
    <w:p w:rsidR="00931D14" w:rsidRDefault="00931D14" w:rsidP="00931D14">
      <w:pPr>
        <w:contextualSpacing/>
        <w:rPr>
          <w:rFonts w:ascii="Times New Roman" w:hAnsi="Times New Roman"/>
          <w:sz w:val="26"/>
          <w:szCs w:val="26"/>
        </w:rPr>
      </w:pPr>
    </w:p>
    <w:p w:rsidR="00931D14" w:rsidRDefault="00BA54ED" w:rsidP="00931D14">
      <w:pPr>
        <w:contextualSpacing/>
        <w:rPr>
          <w:sz w:val="26"/>
          <w:szCs w:val="26"/>
        </w:rPr>
      </w:pPr>
      <w:r>
        <w:rPr>
          <w:rFonts w:ascii="Times New Roman" w:hAnsi="Times New Roman"/>
          <w:sz w:val="26"/>
          <w:szCs w:val="26"/>
        </w:rPr>
        <w:tab/>
      </w:r>
      <w:r>
        <w:rPr>
          <w:rFonts w:ascii="Times New Roman" w:hAnsi="Times New Roman"/>
          <w:sz w:val="26"/>
          <w:szCs w:val="26"/>
        </w:rPr>
        <w:tab/>
        <w:t xml:space="preserve">In our </w:t>
      </w:r>
      <w:r w:rsidR="00353491">
        <w:rPr>
          <w:rFonts w:ascii="Times New Roman" w:hAnsi="Times New Roman"/>
          <w:i/>
          <w:sz w:val="26"/>
          <w:szCs w:val="26"/>
        </w:rPr>
        <w:t>January 2015 Order</w:t>
      </w:r>
      <w:r>
        <w:rPr>
          <w:rFonts w:ascii="Times New Roman" w:hAnsi="Times New Roman"/>
          <w:sz w:val="26"/>
          <w:szCs w:val="26"/>
        </w:rPr>
        <w:t xml:space="preserve">, we adopted the ALJ’s recommendation to approve the Partial Settlement without modification.  </w:t>
      </w:r>
      <w:proofErr w:type="gramStart"/>
      <w:r w:rsidR="00353491">
        <w:rPr>
          <w:rFonts w:ascii="Times New Roman" w:hAnsi="Times New Roman"/>
          <w:i/>
          <w:sz w:val="26"/>
          <w:szCs w:val="26"/>
        </w:rPr>
        <w:t>January 2015 Order</w:t>
      </w:r>
      <w:r>
        <w:rPr>
          <w:rFonts w:ascii="Times New Roman" w:hAnsi="Times New Roman"/>
          <w:i/>
          <w:sz w:val="26"/>
          <w:szCs w:val="26"/>
        </w:rPr>
        <w:t xml:space="preserve"> </w:t>
      </w:r>
      <w:r>
        <w:rPr>
          <w:rFonts w:ascii="Times New Roman" w:hAnsi="Times New Roman"/>
          <w:sz w:val="26"/>
          <w:szCs w:val="26"/>
        </w:rPr>
        <w:t>at 29.</w:t>
      </w:r>
      <w:proofErr w:type="gramEnd"/>
      <w:r>
        <w:rPr>
          <w:rFonts w:ascii="Times New Roman" w:hAnsi="Times New Roman"/>
          <w:sz w:val="26"/>
          <w:szCs w:val="26"/>
        </w:rPr>
        <w:t xml:space="preserve">  However, </w:t>
      </w:r>
      <w:r w:rsidR="006760F3">
        <w:rPr>
          <w:rFonts w:ascii="Times New Roman" w:hAnsi="Times New Roman"/>
          <w:sz w:val="26"/>
          <w:szCs w:val="26"/>
        </w:rPr>
        <w:t xml:space="preserve">two issues were reserved for litigation and were addressed separately.  The first of these issues involved </w:t>
      </w:r>
      <w:r w:rsidR="006760F3" w:rsidRPr="004114B0">
        <w:rPr>
          <w:sz w:val="26"/>
          <w:szCs w:val="26"/>
        </w:rPr>
        <w:t>PPL</w:t>
      </w:r>
      <w:r w:rsidR="006760F3">
        <w:rPr>
          <w:sz w:val="26"/>
          <w:szCs w:val="26"/>
        </w:rPr>
        <w:t>’</w:t>
      </w:r>
      <w:r w:rsidR="006760F3" w:rsidRPr="004114B0">
        <w:rPr>
          <w:sz w:val="26"/>
          <w:szCs w:val="26"/>
        </w:rPr>
        <w:t>s proposal to change the customer size demarcation between</w:t>
      </w:r>
      <w:r w:rsidR="006760F3">
        <w:rPr>
          <w:sz w:val="26"/>
          <w:szCs w:val="26"/>
        </w:rPr>
        <w:t xml:space="preserve"> Small </w:t>
      </w:r>
      <w:proofErr w:type="gramStart"/>
      <w:r w:rsidR="006760F3">
        <w:rPr>
          <w:sz w:val="26"/>
          <w:szCs w:val="26"/>
        </w:rPr>
        <w:t>C&amp;I</w:t>
      </w:r>
      <w:r w:rsidR="006760F3" w:rsidRPr="004114B0">
        <w:rPr>
          <w:sz w:val="26"/>
          <w:szCs w:val="26"/>
        </w:rPr>
        <w:t xml:space="preserve"> and</w:t>
      </w:r>
      <w:r w:rsidR="006760F3">
        <w:rPr>
          <w:sz w:val="26"/>
          <w:szCs w:val="26"/>
        </w:rPr>
        <w:t xml:space="preserve"> Large C&amp;I</w:t>
      </w:r>
      <w:proofErr w:type="gramEnd"/>
      <w:r w:rsidR="006760F3" w:rsidRPr="004114B0">
        <w:rPr>
          <w:sz w:val="26"/>
          <w:szCs w:val="26"/>
        </w:rPr>
        <w:t xml:space="preserve"> customers from a peak demand of 500 kW to </w:t>
      </w:r>
      <w:r w:rsidR="006760F3">
        <w:rPr>
          <w:sz w:val="26"/>
          <w:szCs w:val="26"/>
        </w:rPr>
        <w:t xml:space="preserve">a </w:t>
      </w:r>
      <w:r w:rsidR="006760F3">
        <w:rPr>
          <w:sz w:val="26"/>
          <w:szCs w:val="26"/>
        </w:rPr>
        <w:lastRenderedPageBreak/>
        <w:t>peak demand of 100 kW.  The second litigated</w:t>
      </w:r>
      <w:r w:rsidR="006760F3" w:rsidRPr="004114B0">
        <w:rPr>
          <w:sz w:val="26"/>
          <w:szCs w:val="26"/>
        </w:rPr>
        <w:t xml:space="preserve"> issue </w:t>
      </w:r>
      <w:r w:rsidR="006760F3">
        <w:rPr>
          <w:sz w:val="26"/>
          <w:szCs w:val="26"/>
        </w:rPr>
        <w:t xml:space="preserve">involved the question </w:t>
      </w:r>
      <w:r w:rsidR="006760F3" w:rsidRPr="004114B0">
        <w:rPr>
          <w:sz w:val="26"/>
          <w:szCs w:val="26"/>
        </w:rPr>
        <w:t xml:space="preserve">of </w:t>
      </w:r>
      <w:r w:rsidR="006760F3" w:rsidRPr="00734424">
        <w:rPr>
          <w:sz w:val="26"/>
          <w:szCs w:val="26"/>
        </w:rPr>
        <w:t xml:space="preserve">cost responsibility for </w:t>
      </w:r>
      <w:r w:rsidR="006760F3">
        <w:rPr>
          <w:sz w:val="26"/>
          <w:szCs w:val="26"/>
        </w:rPr>
        <w:t>NMB transmission-related costs</w:t>
      </w:r>
      <w:r w:rsidR="006760F3" w:rsidRPr="00734424">
        <w:rPr>
          <w:sz w:val="26"/>
          <w:szCs w:val="26"/>
        </w:rPr>
        <w:t xml:space="preserve">.  </w:t>
      </w:r>
      <w:r w:rsidR="006577B4">
        <w:rPr>
          <w:sz w:val="26"/>
          <w:szCs w:val="26"/>
        </w:rPr>
        <w:t>The instant Petition filed by the OSBA seeks reconsideration of our disposition with regard to the first issue involving PPL’s proposed change to the Small and Large C&amp;I demand split.</w:t>
      </w:r>
    </w:p>
    <w:p w:rsidR="006760F3" w:rsidRDefault="006760F3" w:rsidP="00931D14">
      <w:pPr>
        <w:contextualSpacing/>
        <w:rPr>
          <w:sz w:val="26"/>
          <w:szCs w:val="26"/>
        </w:rPr>
      </w:pPr>
    </w:p>
    <w:p w:rsidR="002C6207" w:rsidRDefault="006760F3" w:rsidP="00FA57F5">
      <w:pPr>
        <w:pStyle w:val="OutlineL2"/>
        <w:numPr>
          <w:ilvl w:val="0"/>
          <w:numId w:val="0"/>
        </w:numPr>
        <w:tabs>
          <w:tab w:val="left" w:pos="0"/>
        </w:tabs>
        <w:spacing w:after="0" w:line="360" w:lineRule="auto"/>
        <w:rPr>
          <w:sz w:val="26"/>
          <w:szCs w:val="26"/>
        </w:rPr>
      </w:pPr>
      <w:r>
        <w:rPr>
          <w:sz w:val="26"/>
          <w:szCs w:val="26"/>
        </w:rPr>
        <w:tab/>
      </w:r>
      <w:r>
        <w:rPr>
          <w:sz w:val="26"/>
          <w:szCs w:val="26"/>
        </w:rPr>
        <w:tab/>
      </w:r>
      <w:r w:rsidR="00734D77" w:rsidRPr="00734D77">
        <w:rPr>
          <w:sz w:val="26"/>
          <w:szCs w:val="26"/>
        </w:rPr>
        <w:t>PPL proffered three primary r</w:t>
      </w:r>
      <w:r w:rsidR="00315AD3">
        <w:rPr>
          <w:sz w:val="26"/>
          <w:szCs w:val="26"/>
        </w:rPr>
        <w:t>easons for its proposal to</w:t>
      </w:r>
      <w:r w:rsidR="00315AD3" w:rsidRPr="00315AD3">
        <w:rPr>
          <w:sz w:val="26"/>
          <w:szCs w:val="26"/>
        </w:rPr>
        <w:t xml:space="preserve"> </w:t>
      </w:r>
      <w:r w:rsidR="00315AD3" w:rsidRPr="00734D77">
        <w:rPr>
          <w:sz w:val="26"/>
          <w:szCs w:val="26"/>
        </w:rPr>
        <w:t xml:space="preserve">lower the peak demand threshold for the </w:t>
      </w:r>
      <w:r w:rsidR="00315AD3">
        <w:rPr>
          <w:sz w:val="26"/>
          <w:szCs w:val="26"/>
        </w:rPr>
        <w:t>separation of Small C&amp;I</w:t>
      </w:r>
      <w:r w:rsidR="00315AD3" w:rsidRPr="00734D77">
        <w:rPr>
          <w:sz w:val="26"/>
          <w:szCs w:val="26"/>
        </w:rPr>
        <w:t xml:space="preserve"> </w:t>
      </w:r>
      <w:r w:rsidR="00315AD3">
        <w:rPr>
          <w:sz w:val="26"/>
          <w:szCs w:val="26"/>
        </w:rPr>
        <w:t xml:space="preserve">and </w:t>
      </w:r>
      <w:r w:rsidR="00315AD3" w:rsidRPr="00734D77">
        <w:rPr>
          <w:sz w:val="26"/>
          <w:szCs w:val="26"/>
        </w:rPr>
        <w:t>Large C&amp;I customers from</w:t>
      </w:r>
      <w:r w:rsidR="00315AD3">
        <w:rPr>
          <w:sz w:val="26"/>
          <w:szCs w:val="26"/>
        </w:rPr>
        <w:t xml:space="preserve"> 500 kW to 100 </w:t>
      </w:r>
      <w:r w:rsidR="005114F0">
        <w:rPr>
          <w:sz w:val="26"/>
          <w:szCs w:val="26"/>
        </w:rPr>
        <w:t>kW.</w:t>
      </w:r>
      <w:r w:rsidR="00734D77" w:rsidRPr="00734D77">
        <w:rPr>
          <w:sz w:val="26"/>
          <w:szCs w:val="26"/>
        </w:rPr>
        <w:t xml:space="preserve">  First, PPL asserted that in</w:t>
      </w:r>
      <w:r w:rsidR="00734D77">
        <w:rPr>
          <w:sz w:val="26"/>
          <w:szCs w:val="26"/>
        </w:rPr>
        <w:t xml:space="preserve"> </w:t>
      </w:r>
      <w:r w:rsidR="00734D77" w:rsidRPr="00734D77">
        <w:rPr>
          <w:i/>
          <w:sz w:val="26"/>
          <w:szCs w:val="26"/>
        </w:rPr>
        <w:t xml:space="preserve">Investigation of Pennsylvania’s Retail Electricity Market: End State of Default Service, </w:t>
      </w:r>
      <w:r w:rsidR="00734D77" w:rsidRPr="00734D77">
        <w:rPr>
          <w:sz w:val="26"/>
          <w:szCs w:val="26"/>
        </w:rPr>
        <w:t>Docket No. I-2011-2237952</w:t>
      </w:r>
      <w:r w:rsidR="00734D77" w:rsidRPr="00FB6F38">
        <w:rPr>
          <w:sz w:val="26"/>
          <w:szCs w:val="26"/>
        </w:rPr>
        <w:t xml:space="preserve"> (Order entered February 15, 2013)</w:t>
      </w:r>
      <w:r w:rsidR="00734D77" w:rsidRPr="00FB6F38">
        <w:rPr>
          <w:i/>
          <w:sz w:val="26"/>
          <w:szCs w:val="26"/>
        </w:rPr>
        <w:t xml:space="preserve"> (End State Order</w:t>
      </w:r>
      <w:r w:rsidR="00734D77" w:rsidRPr="00840AFA">
        <w:rPr>
          <w:i/>
          <w:sz w:val="26"/>
          <w:szCs w:val="26"/>
        </w:rPr>
        <w:t>),</w:t>
      </w:r>
      <w:r w:rsidR="00734D77" w:rsidRPr="00840AFA">
        <w:rPr>
          <w:sz w:val="26"/>
          <w:szCs w:val="26"/>
        </w:rPr>
        <w:t xml:space="preserve"> the Commission stated that it expected electric distribution companies (EDCs) to implement a 100 kW </w:t>
      </w:r>
      <w:r w:rsidR="00734D77" w:rsidRPr="00EB2D5D">
        <w:rPr>
          <w:sz w:val="26"/>
          <w:szCs w:val="26"/>
        </w:rPr>
        <w:t xml:space="preserve">demand split for commercial and industrial customers.  </w:t>
      </w:r>
      <w:r w:rsidR="00840AFA" w:rsidRPr="00EB2D5D">
        <w:rPr>
          <w:sz w:val="26"/>
          <w:szCs w:val="26"/>
        </w:rPr>
        <w:t xml:space="preserve">Second, </w:t>
      </w:r>
      <w:r w:rsidR="00734D77" w:rsidRPr="00EB2D5D">
        <w:rPr>
          <w:sz w:val="26"/>
          <w:szCs w:val="26"/>
        </w:rPr>
        <w:t>PPL stated that in its DSP II proceeding</w:t>
      </w:r>
      <w:r w:rsidR="00840AFA" w:rsidRPr="00EB2D5D">
        <w:rPr>
          <w:sz w:val="26"/>
          <w:szCs w:val="26"/>
        </w:rPr>
        <w:t xml:space="preserve"> at</w:t>
      </w:r>
      <w:r w:rsidR="001B3C40" w:rsidRPr="00EB2D5D">
        <w:rPr>
          <w:i/>
          <w:sz w:val="26"/>
          <w:szCs w:val="26"/>
        </w:rPr>
        <w:t xml:space="preserve"> Petition of PPL Electric Utilities Corporation </w:t>
      </w:r>
      <w:proofErr w:type="gramStart"/>
      <w:r w:rsidR="001B3C40" w:rsidRPr="00EB2D5D">
        <w:rPr>
          <w:i/>
          <w:sz w:val="26"/>
          <w:szCs w:val="26"/>
        </w:rPr>
        <w:t>For</w:t>
      </w:r>
      <w:proofErr w:type="gramEnd"/>
      <w:r w:rsidR="001B3C40" w:rsidRPr="00EB2D5D">
        <w:rPr>
          <w:i/>
          <w:sz w:val="26"/>
          <w:szCs w:val="26"/>
        </w:rPr>
        <w:t xml:space="preserve"> Approval of a Default Service Program and Procurement Plan</w:t>
      </w:r>
      <w:r w:rsidR="00EB2D5D" w:rsidRPr="00EB2D5D">
        <w:rPr>
          <w:sz w:val="26"/>
          <w:szCs w:val="26"/>
        </w:rPr>
        <w:t xml:space="preserve">, Docket No. P-2012-2302074, </w:t>
      </w:r>
      <w:r w:rsidR="001B3C40" w:rsidRPr="00EB2D5D">
        <w:rPr>
          <w:sz w:val="26"/>
          <w:szCs w:val="26"/>
        </w:rPr>
        <w:t>(Opinion and Order entered January 24, 2013) (</w:t>
      </w:r>
      <w:r w:rsidR="00EB2D5D" w:rsidRPr="00EB2D5D">
        <w:rPr>
          <w:i/>
          <w:sz w:val="26"/>
          <w:szCs w:val="26"/>
        </w:rPr>
        <w:t>PPL DSP II</w:t>
      </w:r>
      <w:r w:rsidR="001B3C40" w:rsidRPr="00EB2D5D">
        <w:rPr>
          <w:sz w:val="26"/>
          <w:szCs w:val="26"/>
        </w:rPr>
        <w:t xml:space="preserve">) the Company </w:t>
      </w:r>
      <w:r w:rsidR="00734D77" w:rsidRPr="00EB2D5D">
        <w:rPr>
          <w:sz w:val="26"/>
          <w:szCs w:val="26"/>
        </w:rPr>
        <w:t>committed to reducing the</w:t>
      </w:r>
      <w:r w:rsidR="00734D77" w:rsidRPr="001B3C40">
        <w:rPr>
          <w:sz w:val="26"/>
          <w:szCs w:val="26"/>
        </w:rPr>
        <w:t xml:space="preserve"> peak demand limitation for the Small C&amp;I class in its DSP</w:t>
      </w:r>
      <w:r w:rsidR="001B3C40" w:rsidRPr="001B3C40">
        <w:rPr>
          <w:sz w:val="26"/>
          <w:szCs w:val="26"/>
        </w:rPr>
        <w:t xml:space="preserve"> III program.  </w:t>
      </w:r>
      <w:r w:rsidR="00734D77" w:rsidRPr="001B3C40">
        <w:rPr>
          <w:sz w:val="26"/>
          <w:szCs w:val="26"/>
        </w:rPr>
        <w:t>Third, PPL averred that the number of default service customers impacted by this change, as of May </w:t>
      </w:r>
      <w:r w:rsidR="001B3C40" w:rsidRPr="001B3C40">
        <w:rPr>
          <w:sz w:val="26"/>
          <w:szCs w:val="26"/>
        </w:rPr>
        <w:t>2014, was</w:t>
      </w:r>
      <w:r w:rsidR="00734D77" w:rsidRPr="001B3C40">
        <w:rPr>
          <w:sz w:val="26"/>
          <w:szCs w:val="26"/>
        </w:rPr>
        <w:t xml:space="preserve"> very small at approximately 430 customers,</w:t>
      </w:r>
      <w:r w:rsidR="001B3C40" w:rsidRPr="001B3C40">
        <w:rPr>
          <w:sz w:val="26"/>
          <w:szCs w:val="26"/>
        </w:rPr>
        <w:t xml:space="preserve"> which was</w:t>
      </w:r>
      <w:r w:rsidR="00734D77" w:rsidRPr="001B3C40">
        <w:rPr>
          <w:sz w:val="26"/>
          <w:szCs w:val="26"/>
        </w:rPr>
        <w:t xml:space="preserve"> only 0.4% of all default service commercial</w:t>
      </w:r>
      <w:r w:rsidR="001B3C40" w:rsidRPr="001B3C40">
        <w:rPr>
          <w:sz w:val="26"/>
          <w:szCs w:val="26"/>
        </w:rPr>
        <w:t xml:space="preserve"> and industrial customers.  </w:t>
      </w:r>
      <w:proofErr w:type="gramStart"/>
      <w:r w:rsidR="00353491">
        <w:rPr>
          <w:i/>
          <w:sz w:val="26"/>
          <w:szCs w:val="26"/>
        </w:rPr>
        <w:t>January 2015 Order</w:t>
      </w:r>
      <w:r w:rsidR="00840AFA">
        <w:rPr>
          <w:sz w:val="26"/>
          <w:szCs w:val="26"/>
        </w:rPr>
        <w:t xml:space="preserve"> at 30 (citing PPL M.B. at 13-14).</w:t>
      </w:r>
      <w:proofErr w:type="gramEnd"/>
      <w:r w:rsidR="005B0BC7">
        <w:rPr>
          <w:sz w:val="26"/>
          <w:szCs w:val="26"/>
        </w:rPr>
        <w:t xml:space="preserve">  In addition, PPL </w:t>
      </w:r>
      <w:r w:rsidR="002C6207">
        <w:rPr>
          <w:sz w:val="26"/>
          <w:szCs w:val="26"/>
        </w:rPr>
        <w:t>stated that all of its 3,200 commercial and industrial customers with deman</w:t>
      </w:r>
      <w:r w:rsidR="005B0BC7">
        <w:rPr>
          <w:sz w:val="26"/>
          <w:szCs w:val="26"/>
        </w:rPr>
        <w:t>d between 100 kW and 500 kW had</w:t>
      </w:r>
      <w:r w:rsidR="002C6207">
        <w:rPr>
          <w:sz w:val="26"/>
          <w:szCs w:val="26"/>
        </w:rPr>
        <w:t xml:space="preserve"> demand meters installed, and</w:t>
      </w:r>
      <w:r w:rsidR="005B0BC7">
        <w:rPr>
          <w:sz w:val="26"/>
          <w:szCs w:val="26"/>
        </w:rPr>
        <w:t xml:space="preserve"> </w:t>
      </w:r>
      <w:r w:rsidR="008E71F9">
        <w:rPr>
          <w:sz w:val="26"/>
          <w:szCs w:val="26"/>
        </w:rPr>
        <w:t>that 88% of these customers were</w:t>
      </w:r>
      <w:r w:rsidR="005B0BC7">
        <w:rPr>
          <w:sz w:val="26"/>
          <w:szCs w:val="26"/>
        </w:rPr>
        <w:t xml:space="preserve"> currently shopping.  </w:t>
      </w:r>
      <w:proofErr w:type="gramStart"/>
      <w:r w:rsidR="00353491">
        <w:rPr>
          <w:i/>
          <w:sz w:val="26"/>
          <w:szCs w:val="26"/>
        </w:rPr>
        <w:t>January 2015 Order</w:t>
      </w:r>
      <w:r w:rsidR="005B0BC7">
        <w:rPr>
          <w:sz w:val="26"/>
          <w:szCs w:val="26"/>
        </w:rPr>
        <w:t xml:space="preserve"> at 30-31 (citing PPL M.B. at 14; R.B. at 5).</w:t>
      </w:r>
      <w:proofErr w:type="gramEnd"/>
      <w:r w:rsidR="005B0BC7">
        <w:rPr>
          <w:sz w:val="26"/>
          <w:szCs w:val="26"/>
        </w:rPr>
        <w:t xml:space="preserve">  </w:t>
      </w:r>
    </w:p>
    <w:p w:rsidR="00FA57F5" w:rsidRDefault="00FA57F5" w:rsidP="005B0BC7">
      <w:pPr>
        <w:pStyle w:val="OutlineL2"/>
        <w:keepNext/>
        <w:keepLines/>
        <w:numPr>
          <w:ilvl w:val="0"/>
          <w:numId w:val="0"/>
        </w:numPr>
        <w:tabs>
          <w:tab w:val="left" w:pos="0"/>
        </w:tabs>
        <w:spacing w:after="0" w:line="360" w:lineRule="auto"/>
        <w:rPr>
          <w:sz w:val="26"/>
          <w:szCs w:val="26"/>
        </w:rPr>
      </w:pPr>
    </w:p>
    <w:p w:rsidR="000D61E0" w:rsidRDefault="00FA57F5" w:rsidP="000D61E0">
      <w:pPr>
        <w:pStyle w:val="OutlineL2"/>
        <w:numPr>
          <w:ilvl w:val="0"/>
          <w:numId w:val="0"/>
        </w:numPr>
        <w:tabs>
          <w:tab w:val="left" w:pos="0"/>
        </w:tabs>
        <w:spacing w:after="0" w:line="360" w:lineRule="auto"/>
        <w:rPr>
          <w:sz w:val="26"/>
          <w:szCs w:val="26"/>
        </w:rPr>
      </w:pPr>
      <w:r>
        <w:rPr>
          <w:sz w:val="26"/>
          <w:szCs w:val="26"/>
        </w:rPr>
        <w:tab/>
      </w:r>
      <w:r>
        <w:rPr>
          <w:sz w:val="26"/>
          <w:szCs w:val="26"/>
        </w:rPr>
        <w:tab/>
        <w:t>RESA was supportive of PPL’s proposal to reduce the peak demand demarcation between Small C&amp;I and Large C&amp;I customers</w:t>
      </w:r>
      <w:r w:rsidR="00ED42C9">
        <w:rPr>
          <w:sz w:val="26"/>
          <w:szCs w:val="26"/>
        </w:rPr>
        <w:t xml:space="preserve"> from 500 kW to 100 kW, but</w:t>
      </w:r>
      <w:r>
        <w:rPr>
          <w:sz w:val="26"/>
          <w:szCs w:val="26"/>
        </w:rPr>
        <w:t xml:space="preserve"> the OSBA objected to this proposal.  </w:t>
      </w:r>
      <w:proofErr w:type="gramStart"/>
      <w:r w:rsidR="00353491">
        <w:rPr>
          <w:i/>
          <w:sz w:val="26"/>
          <w:szCs w:val="26"/>
        </w:rPr>
        <w:t>January 2015 Order</w:t>
      </w:r>
      <w:r>
        <w:rPr>
          <w:sz w:val="26"/>
          <w:szCs w:val="26"/>
        </w:rPr>
        <w:t xml:space="preserve"> at 31-33.</w:t>
      </w:r>
      <w:proofErr w:type="gramEnd"/>
      <w:r w:rsidR="000D61E0">
        <w:rPr>
          <w:sz w:val="26"/>
          <w:szCs w:val="26"/>
        </w:rPr>
        <w:t xml:space="preserve">  The OSBA argued that moving 430 small business customers from the Small C&amp;I to the Large C&amp;I class would cause these customers to be removed from their current, more stable fixed-price </w:t>
      </w:r>
      <w:r w:rsidR="000D61E0">
        <w:rPr>
          <w:sz w:val="26"/>
          <w:szCs w:val="26"/>
        </w:rPr>
        <w:lastRenderedPageBreak/>
        <w:t xml:space="preserve">default service at rates charged under </w:t>
      </w:r>
      <w:r w:rsidR="003D616E">
        <w:rPr>
          <w:sz w:val="26"/>
          <w:szCs w:val="26"/>
        </w:rPr>
        <w:t xml:space="preserve"> PPL’s Generation Supply Charge-1 (GSC-1), </w:t>
      </w:r>
      <w:r w:rsidR="000D61E0">
        <w:rPr>
          <w:sz w:val="26"/>
          <w:szCs w:val="26"/>
        </w:rPr>
        <w:t>and to be transferred to hourly spot-market-priced service under</w:t>
      </w:r>
      <w:r w:rsidR="003D616E">
        <w:rPr>
          <w:sz w:val="26"/>
          <w:szCs w:val="26"/>
        </w:rPr>
        <w:t xml:space="preserve"> the</w:t>
      </w:r>
      <w:r w:rsidR="003D616E" w:rsidRPr="003D616E">
        <w:rPr>
          <w:sz w:val="26"/>
          <w:szCs w:val="26"/>
        </w:rPr>
        <w:t xml:space="preserve"> </w:t>
      </w:r>
      <w:r w:rsidR="003D616E">
        <w:rPr>
          <w:sz w:val="26"/>
          <w:szCs w:val="26"/>
        </w:rPr>
        <w:t>Generation Supply Charge-2 (GSC-2)</w:t>
      </w:r>
      <w:r w:rsidR="000D61E0">
        <w:rPr>
          <w:sz w:val="26"/>
          <w:szCs w:val="26"/>
        </w:rPr>
        <w:t>.  The OSBA contended that this result would be contrary to</w:t>
      </w:r>
      <w:r w:rsidR="00B245AC">
        <w:rPr>
          <w:sz w:val="26"/>
          <w:szCs w:val="26"/>
        </w:rPr>
        <w:t xml:space="preserve"> 66 Pa. C.S. </w:t>
      </w:r>
      <w:r w:rsidR="00B245AC" w:rsidRPr="008077CB">
        <w:rPr>
          <w:sz w:val="26"/>
          <w:szCs w:val="26"/>
        </w:rPr>
        <w:t>§§</w:t>
      </w:r>
      <w:r w:rsidR="00B245AC">
        <w:rPr>
          <w:sz w:val="26"/>
          <w:szCs w:val="26"/>
        </w:rPr>
        <w:t xml:space="preserve"> 2807(e</w:t>
      </w:r>
      <w:proofErr w:type="gramStart"/>
      <w:r w:rsidR="00B245AC">
        <w:rPr>
          <w:sz w:val="26"/>
          <w:szCs w:val="26"/>
        </w:rPr>
        <w:t>)(</w:t>
      </w:r>
      <w:proofErr w:type="gramEnd"/>
      <w:r w:rsidR="00B245AC">
        <w:rPr>
          <w:sz w:val="26"/>
          <w:szCs w:val="26"/>
        </w:rPr>
        <w:t xml:space="preserve">3.2) and (3.4), which require </w:t>
      </w:r>
      <w:r w:rsidR="000D61E0">
        <w:rPr>
          <w:sz w:val="26"/>
          <w:szCs w:val="26"/>
        </w:rPr>
        <w:t>that a prudent mix of contracts be procured to ensure ad</w:t>
      </w:r>
      <w:r w:rsidR="00621BFF">
        <w:rPr>
          <w:sz w:val="26"/>
          <w:szCs w:val="26"/>
        </w:rPr>
        <w:t>equate and reliable service at</w:t>
      </w:r>
      <w:r w:rsidR="000D61E0">
        <w:rPr>
          <w:sz w:val="26"/>
          <w:szCs w:val="26"/>
        </w:rPr>
        <w:t xml:space="preserve"> least cost to the customer over time.</w:t>
      </w:r>
      <w:r w:rsidR="00B245AC">
        <w:rPr>
          <w:sz w:val="26"/>
          <w:szCs w:val="26"/>
        </w:rPr>
        <w:t xml:space="preserve"> </w:t>
      </w:r>
      <w:r w:rsidR="00B245AC" w:rsidRPr="00B245AC">
        <w:rPr>
          <w:i/>
          <w:sz w:val="26"/>
          <w:szCs w:val="26"/>
        </w:rPr>
        <w:t xml:space="preserve"> </w:t>
      </w:r>
      <w:proofErr w:type="gramStart"/>
      <w:r w:rsidR="00353491">
        <w:rPr>
          <w:i/>
          <w:sz w:val="26"/>
          <w:szCs w:val="26"/>
        </w:rPr>
        <w:t>January 2015 Order</w:t>
      </w:r>
      <w:r w:rsidR="00B245AC">
        <w:rPr>
          <w:i/>
          <w:sz w:val="26"/>
          <w:szCs w:val="26"/>
        </w:rPr>
        <w:t xml:space="preserve"> </w:t>
      </w:r>
      <w:r w:rsidR="00B245AC">
        <w:rPr>
          <w:sz w:val="26"/>
          <w:szCs w:val="26"/>
        </w:rPr>
        <w:t>at 31 (citing OSBA M.B. at 3-5).</w:t>
      </w:r>
      <w:proofErr w:type="gramEnd"/>
      <w:r w:rsidR="00F75512">
        <w:rPr>
          <w:sz w:val="26"/>
          <w:szCs w:val="26"/>
        </w:rPr>
        <w:t xml:space="preserve">  </w:t>
      </w:r>
      <w:r w:rsidR="000D61E0">
        <w:rPr>
          <w:sz w:val="26"/>
          <w:szCs w:val="26"/>
        </w:rPr>
        <w:t xml:space="preserve">The OSBA </w:t>
      </w:r>
      <w:r w:rsidR="00F75512">
        <w:rPr>
          <w:sz w:val="26"/>
          <w:szCs w:val="26"/>
        </w:rPr>
        <w:t xml:space="preserve">also objected to PPL’s reliance on the </w:t>
      </w:r>
      <w:r w:rsidR="000D61E0" w:rsidRPr="00071D36">
        <w:rPr>
          <w:i/>
          <w:sz w:val="26"/>
          <w:szCs w:val="26"/>
        </w:rPr>
        <w:t>End State Order</w:t>
      </w:r>
      <w:r w:rsidR="00F75512">
        <w:rPr>
          <w:sz w:val="26"/>
          <w:szCs w:val="26"/>
        </w:rPr>
        <w:t xml:space="preserve"> to support its proposal, asserting that</w:t>
      </w:r>
      <w:r w:rsidR="000D61E0">
        <w:rPr>
          <w:sz w:val="26"/>
          <w:szCs w:val="26"/>
        </w:rPr>
        <w:t xml:space="preserve"> the </w:t>
      </w:r>
      <w:r w:rsidR="000D61E0" w:rsidRPr="00753329">
        <w:rPr>
          <w:i/>
          <w:sz w:val="26"/>
          <w:szCs w:val="26"/>
        </w:rPr>
        <w:t>End State Order</w:t>
      </w:r>
      <w:r w:rsidR="000D61E0">
        <w:rPr>
          <w:sz w:val="26"/>
          <w:szCs w:val="26"/>
        </w:rPr>
        <w:t xml:space="preserve"> </w:t>
      </w:r>
      <w:r w:rsidR="00F75512">
        <w:rPr>
          <w:sz w:val="26"/>
          <w:szCs w:val="26"/>
        </w:rPr>
        <w:t>did not represent a legal mandate for the Company to move</w:t>
      </w:r>
      <w:r w:rsidR="000D61E0">
        <w:rPr>
          <w:sz w:val="26"/>
          <w:szCs w:val="26"/>
        </w:rPr>
        <w:t xml:space="preserve"> medium </w:t>
      </w:r>
      <w:proofErr w:type="gramStart"/>
      <w:r w:rsidR="000D61E0">
        <w:rPr>
          <w:sz w:val="26"/>
          <w:szCs w:val="26"/>
        </w:rPr>
        <w:t>C&amp;I</w:t>
      </w:r>
      <w:proofErr w:type="gramEnd"/>
      <w:r w:rsidR="000D61E0">
        <w:rPr>
          <w:sz w:val="26"/>
          <w:szCs w:val="26"/>
        </w:rPr>
        <w:t xml:space="preserve"> customers from stable-rate default service to</w:t>
      </w:r>
      <w:r w:rsidR="00621BFF">
        <w:rPr>
          <w:sz w:val="26"/>
          <w:szCs w:val="26"/>
        </w:rPr>
        <w:t xml:space="preserve"> hourly-priced</w:t>
      </w:r>
      <w:r w:rsidR="000D61E0">
        <w:rPr>
          <w:sz w:val="26"/>
          <w:szCs w:val="26"/>
        </w:rPr>
        <w:t xml:space="preserve"> service</w:t>
      </w:r>
      <w:r w:rsidR="00F75512">
        <w:rPr>
          <w:sz w:val="26"/>
          <w:szCs w:val="26"/>
        </w:rPr>
        <w:t xml:space="preserve">. </w:t>
      </w:r>
      <w:r w:rsidR="00F75512" w:rsidRPr="00F75512">
        <w:rPr>
          <w:i/>
          <w:sz w:val="26"/>
          <w:szCs w:val="26"/>
        </w:rPr>
        <w:t xml:space="preserve"> </w:t>
      </w:r>
      <w:proofErr w:type="gramStart"/>
      <w:r w:rsidR="00353491">
        <w:rPr>
          <w:i/>
          <w:sz w:val="26"/>
          <w:szCs w:val="26"/>
        </w:rPr>
        <w:t>January 2015 Order</w:t>
      </w:r>
      <w:r w:rsidR="00F75512">
        <w:rPr>
          <w:i/>
          <w:sz w:val="26"/>
          <w:szCs w:val="26"/>
        </w:rPr>
        <w:t xml:space="preserve"> </w:t>
      </w:r>
      <w:r w:rsidR="00F75512">
        <w:rPr>
          <w:sz w:val="26"/>
          <w:szCs w:val="26"/>
        </w:rPr>
        <w:t>at 32 (citing OSBA M.B. at 8-9)</w:t>
      </w:r>
      <w:r w:rsidR="000F2DA6">
        <w:rPr>
          <w:sz w:val="26"/>
          <w:szCs w:val="26"/>
        </w:rPr>
        <w:t>.</w:t>
      </w:r>
      <w:proofErr w:type="gramEnd"/>
    </w:p>
    <w:p w:rsidR="000F2DA6" w:rsidRDefault="000F2DA6" w:rsidP="000D61E0">
      <w:pPr>
        <w:pStyle w:val="OutlineL2"/>
        <w:numPr>
          <w:ilvl w:val="0"/>
          <w:numId w:val="0"/>
        </w:numPr>
        <w:tabs>
          <w:tab w:val="left" w:pos="0"/>
        </w:tabs>
        <w:spacing w:after="0" w:line="360" w:lineRule="auto"/>
        <w:rPr>
          <w:sz w:val="26"/>
          <w:szCs w:val="26"/>
        </w:rPr>
      </w:pPr>
    </w:p>
    <w:p w:rsidR="00EC4B06" w:rsidRDefault="000F2DA6" w:rsidP="00EC4B06">
      <w:pPr>
        <w:rPr>
          <w:rFonts w:ascii="Times New Roman" w:hAnsi="Times New Roman"/>
          <w:sz w:val="26"/>
          <w:szCs w:val="26"/>
        </w:rPr>
      </w:pPr>
      <w:r>
        <w:rPr>
          <w:sz w:val="26"/>
          <w:szCs w:val="26"/>
        </w:rPr>
        <w:tab/>
      </w:r>
      <w:r>
        <w:rPr>
          <w:sz w:val="26"/>
          <w:szCs w:val="26"/>
        </w:rPr>
        <w:tab/>
        <w:t xml:space="preserve">In her Recommended Decision, the ALJ agreed with the OSBA that the </w:t>
      </w:r>
      <w:r w:rsidRPr="000F2DA6">
        <w:rPr>
          <w:i/>
          <w:sz w:val="26"/>
          <w:szCs w:val="26"/>
        </w:rPr>
        <w:t>End State Order</w:t>
      </w:r>
      <w:r>
        <w:rPr>
          <w:sz w:val="26"/>
          <w:szCs w:val="26"/>
        </w:rPr>
        <w:t xml:space="preserve"> did not represent a proper legal basis </w:t>
      </w:r>
      <w:r w:rsidR="00820E16">
        <w:rPr>
          <w:sz w:val="26"/>
          <w:szCs w:val="26"/>
        </w:rPr>
        <w:t>up</w:t>
      </w:r>
      <w:r>
        <w:rPr>
          <w:sz w:val="26"/>
          <w:szCs w:val="26"/>
        </w:rPr>
        <w:t xml:space="preserve">on which to support a proposal that would result in 430 </w:t>
      </w:r>
      <w:r w:rsidR="00EC4B06">
        <w:rPr>
          <w:sz w:val="26"/>
          <w:szCs w:val="26"/>
        </w:rPr>
        <w:t>additional</w:t>
      </w:r>
      <w:r>
        <w:rPr>
          <w:sz w:val="26"/>
          <w:szCs w:val="26"/>
        </w:rPr>
        <w:t xml:space="preserve"> C&amp;I customers </w:t>
      </w:r>
      <w:r w:rsidR="00EC4B06">
        <w:rPr>
          <w:sz w:val="26"/>
          <w:szCs w:val="26"/>
        </w:rPr>
        <w:t>receiving hourly-priced default service supply.  The ALJ found that such a proposal was not consistent with the “prudent mix” standard of the Competition Act,</w:t>
      </w:r>
      <w:r w:rsidR="00700AC4">
        <w:rPr>
          <w:rStyle w:val="FootnoteReference"/>
          <w:sz w:val="26"/>
          <w:szCs w:val="26"/>
        </w:rPr>
        <w:footnoteReference w:id="2"/>
      </w:r>
      <w:r w:rsidR="00EC4B06">
        <w:rPr>
          <w:sz w:val="26"/>
          <w:szCs w:val="26"/>
        </w:rPr>
        <w:t xml:space="preserve"> as set forth at </w:t>
      </w:r>
      <w:r w:rsidR="00EC4B06">
        <w:rPr>
          <w:rFonts w:ascii="Times New Roman" w:hAnsi="Times New Roman"/>
          <w:sz w:val="26"/>
          <w:szCs w:val="26"/>
        </w:rPr>
        <w:t xml:space="preserve">66 Pa. C.S. </w:t>
      </w:r>
      <w:r w:rsidR="00EC4B06" w:rsidRPr="00C0570C">
        <w:rPr>
          <w:rFonts w:ascii="Times New Roman" w:hAnsi="Times New Roman"/>
          <w:sz w:val="26"/>
          <w:szCs w:val="26"/>
        </w:rPr>
        <w:t>§</w:t>
      </w:r>
      <w:r w:rsidR="00EC4B06">
        <w:rPr>
          <w:rFonts w:ascii="Times New Roman" w:hAnsi="Times New Roman"/>
          <w:sz w:val="26"/>
          <w:szCs w:val="26"/>
        </w:rPr>
        <w:t>§ 2807(e</w:t>
      </w:r>
      <w:proofErr w:type="gramStart"/>
      <w:r w:rsidR="00EC4B06">
        <w:rPr>
          <w:rFonts w:ascii="Times New Roman" w:hAnsi="Times New Roman"/>
          <w:sz w:val="26"/>
          <w:szCs w:val="26"/>
        </w:rPr>
        <w:t>)(</w:t>
      </w:r>
      <w:proofErr w:type="gramEnd"/>
      <w:r w:rsidR="00EC4B06">
        <w:rPr>
          <w:rFonts w:ascii="Times New Roman" w:hAnsi="Times New Roman"/>
          <w:sz w:val="26"/>
          <w:szCs w:val="26"/>
        </w:rPr>
        <w:t>3.1) and</w:t>
      </w:r>
      <w:r w:rsidR="00EC4B06" w:rsidRPr="00C0570C">
        <w:rPr>
          <w:rFonts w:ascii="Times New Roman" w:hAnsi="Times New Roman"/>
          <w:sz w:val="26"/>
          <w:szCs w:val="26"/>
        </w:rPr>
        <w:t xml:space="preserve"> (3.2)</w:t>
      </w:r>
      <w:r w:rsidR="00603C7C">
        <w:rPr>
          <w:rFonts w:ascii="Times New Roman" w:hAnsi="Times New Roman"/>
          <w:sz w:val="26"/>
          <w:szCs w:val="26"/>
        </w:rPr>
        <w:t>, or with the</w:t>
      </w:r>
      <w:r w:rsidR="005B26B2" w:rsidRPr="005B26B2">
        <w:rPr>
          <w:sz w:val="26"/>
          <w:szCs w:val="26"/>
        </w:rPr>
        <w:t xml:space="preserve"> </w:t>
      </w:r>
      <w:r w:rsidR="005B26B2">
        <w:rPr>
          <w:sz w:val="26"/>
          <w:szCs w:val="26"/>
        </w:rPr>
        <w:t>Commissi</w:t>
      </w:r>
      <w:r w:rsidR="00603C7C">
        <w:rPr>
          <w:sz w:val="26"/>
          <w:szCs w:val="26"/>
        </w:rPr>
        <w:t xml:space="preserve">on’s Policy Statement </w:t>
      </w:r>
      <w:r w:rsidR="005B26B2">
        <w:rPr>
          <w:sz w:val="26"/>
          <w:szCs w:val="26"/>
        </w:rPr>
        <w:t xml:space="preserve">at 52 Pa. Code </w:t>
      </w:r>
      <w:r w:rsidR="005B26B2">
        <w:rPr>
          <w:rFonts w:ascii="Times New Roman" w:hAnsi="Times New Roman"/>
          <w:sz w:val="26"/>
          <w:szCs w:val="26"/>
        </w:rPr>
        <w:t>§</w:t>
      </w:r>
      <w:r w:rsidR="00AB54F2">
        <w:rPr>
          <w:sz w:val="26"/>
          <w:szCs w:val="26"/>
        </w:rPr>
        <w:t xml:space="preserve"> 69.1805</w:t>
      </w:r>
      <w:r w:rsidR="00EC4B06">
        <w:rPr>
          <w:rFonts w:ascii="Times New Roman" w:hAnsi="Times New Roman"/>
          <w:sz w:val="26"/>
          <w:szCs w:val="26"/>
        </w:rPr>
        <w:t>.</w:t>
      </w:r>
      <w:r w:rsidR="001463E8">
        <w:rPr>
          <w:rFonts w:ascii="Times New Roman" w:hAnsi="Times New Roman"/>
          <w:sz w:val="26"/>
          <w:szCs w:val="26"/>
        </w:rPr>
        <w:t xml:space="preserve">  Therefore, the ALJ recommended that PPL’s proposal to lower the peak demand demarcation </w:t>
      </w:r>
      <w:r w:rsidR="007A3156">
        <w:rPr>
          <w:rFonts w:ascii="Times New Roman" w:hAnsi="Times New Roman"/>
          <w:sz w:val="26"/>
          <w:szCs w:val="26"/>
        </w:rPr>
        <w:t xml:space="preserve">between Small C&amp;I and Large C&amp;I customers from 500 kW to 100 kW be rejected.  </w:t>
      </w:r>
      <w:proofErr w:type="gramStart"/>
      <w:r w:rsidR="00353491">
        <w:rPr>
          <w:rFonts w:ascii="Times New Roman" w:hAnsi="Times New Roman"/>
          <w:i/>
          <w:sz w:val="26"/>
          <w:szCs w:val="26"/>
        </w:rPr>
        <w:t>January 2015 Order</w:t>
      </w:r>
      <w:r w:rsidR="007A3156">
        <w:rPr>
          <w:rFonts w:ascii="Times New Roman" w:hAnsi="Times New Roman"/>
          <w:sz w:val="26"/>
          <w:szCs w:val="26"/>
        </w:rPr>
        <w:t xml:space="preserve"> at 33-35 (citing R.D. at 41-45).</w:t>
      </w:r>
      <w:proofErr w:type="gramEnd"/>
    </w:p>
    <w:p w:rsidR="00A77F49" w:rsidRDefault="00A77F49" w:rsidP="00EC4B06">
      <w:pPr>
        <w:rPr>
          <w:rFonts w:ascii="Times New Roman" w:hAnsi="Times New Roman"/>
          <w:sz w:val="26"/>
          <w:szCs w:val="26"/>
        </w:rPr>
      </w:pPr>
    </w:p>
    <w:p w:rsidR="00715826" w:rsidRPr="00AF21CC" w:rsidRDefault="00A77F49" w:rsidP="00D80E94">
      <w:pPr>
        <w:ind w:firstLine="1440"/>
        <w:rPr>
          <w:rFonts w:ascii="Times New Roman" w:hAnsi="Times New Roman"/>
          <w:sz w:val="26"/>
          <w:szCs w:val="26"/>
        </w:rPr>
      </w:pPr>
      <w:r w:rsidRPr="00234785">
        <w:rPr>
          <w:rFonts w:ascii="Times New Roman" w:hAnsi="Times New Roman"/>
          <w:sz w:val="26"/>
          <w:szCs w:val="26"/>
        </w:rPr>
        <w:t xml:space="preserve">In its </w:t>
      </w:r>
      <w:r w:rsidRPr="000404BA">
        <w:rPr>
          <w:rFonts w:ascii="Times New Roman" w:hAnsi="Times New Roman"/>
          <w:sz w:val="26"/>
          <w:szCs w:val="26"/>
        </w:rPr>
        <w:t>Exceptions, PPL</w:t>
      </w:r>
      <w:r w:rsidR="00F90340">
        <w:rPr>
          <w:rFonts w:ascii="Times New Roman" w:hAnsi="Times New Roman"/>
          <w:sz w:val="26"/>
          <w:szCs w:val="26"/>
        </w:rPr>
        <w:t xml:space="preserve"> argued that </w:t>
      </w:r>
      <w:r>
        <w:rPr>
          <w:rFonts w:ascii="Times New Roman" w:hAnsi="Times New Roman"/>
          <w:sz w:val="26"/>
          <w:szCs w:val="26"/>
        </w:rPr>
        <w:t>Section 2807</w:t>
      </w:r>
      <w:r w:rsidRPr="000404BA">
        <w:rPr>
          <w:rFonts w:ascii="Times New Roman" w:hAnsi="Times New Roman"/>
          <w:sz w:val="26"/>
          <w:szCs w:val="26"/>
        </w:rPr>
        <w:t>(e)(3.2) of the</w:t>
      </w:r>
      <w:r w:rsidR="005B1B94">
        <w:rPr>
          <w:rFonts w:ascii="Times New Roman" w:hAnsi="Times New Roman"/>
          <w:sz w:val="26"/>
          <w:szCs w:val="26"/>
        </w:rPr>
        <w:t xml:space="preserve"> Public Utility Code</w:t>
      </w:r>
      <w:r w:rsidRPr="000404BA">
        <w:rPr>
          <w:rFonts w:ascii="Times New Roman" w:hAnsi="Times New Roman"/>
          <w:sz w:val="26"/>
          <w:szCs w:val="26"/>
        </w:rPr>
        <w:t xml:space="preserve"> </w:t>
      </w:r>
      <w:r w:rsidR="005B1B94">
        <w:rPr>
          <w:rFonts w:ascii="Times New Roman" w:hAnsi="Times New Roman"/>
          <w:sz w:val="26"/>
          <w:szCs w:val="26"/>
        </w:rPr>
        <w:t>(</w:t>
      </w:r>
      <w:r w:rsidRPr="000404BA">
        <w:rPr>
          <w:rFonts w:ascii="Times New Roman" w:hAnsi="Times New Roman"/>
          <w:sz w:val="26"/>
          <w:szCs w:val="26"/>
        </w:rPr>
        <w:t>Code</w:t>
      </w:r>
      <w:r w:rsidR="005B1B94">
        <w:rPr>
          <w:rFonts w:ascii="Times New Roman" w:hAnsi="Times New Roman"/>
          <w:sz w:val="26"/>
          <w:szCs w:val="26"/>
        </w:rPr>
        <w:t>)</w:t>
      </w:r>
      <w:r w:rsidRPr="000404BA">
        <w:rPr>
          <w:rFonts w:ascii="Times New Roman" w:hAnsi="Times New Roman"/>
          <w:sz w:val="26"/>
          <w:szCs w:val="26"/>
        </w:rPr>
        <w:t xml:space="preserve"> does not require a default service provider to procure multiple default service products for each customer class (or a subset of a customer class in this case), but rather, provides for a default service plan that includes a </w:t>
      </w:r>
      <w:r>
        <w:rPr>
          <w:rFonts w:ascii="Times New Roman" w:hAnsi="Times New Roman"/>
          <w:sz w:val="26"/>
          <w:szCs w:val="26"/>
        </w:rPr>
        <w:t>“</w:t>
      </w:r>
      <w:r w:rsidRPr="000404BA">
        <w:rPr>
          <w:rFonts w:ascii="Times New Roman" w:hAnsi="Times New Roman"/>
          <w:sz w:val="26"/>
          <w:szCs w:val="26"/>
        </w:rPr>
        <w:t>prudent mix</w:t>
      </w:r>
      <w:r>
        <w:rPr>
          <w:rFonts w:ascii="Times New Roman" w:hAnsi="Times New Roman"/>
          <w:sz w:val="26"/>
          <w:szCs w:val="26"/>
        </w:rPr>
        <w:t>”</w:t>
      </w:r>
      <w:r w:rsidRPr="000404BA">
        <w:rPr>
          <w:rFonts w:ascii="Times New Roman" w:hAnsi="Times New Roman"/>
          <w:sz w:val="26"/>
          <w:szCs w:val="26"/>
        </w:rPr>
        <w:t xml:space="preserve"> of products.  According to PPL, its DSP III program</w:t>
      </w:r>
      <w:r w:rsidR="00F90340">
        <w:rPr>
          <w:rFonts w:ascii="Times New Roman" w:hAnsi="Times New Roman"/>
          <w:sz w:val="26"/>
          <w:szCs w:val="26"/>
        </w:rPr>
        <w:t xml:space="preserve">, as a whole, </w:t>
      </w:r>
      <w:r w:rsidRPr="000404BA">
        <w:rPr>
          <w:rFonts w:ascii="Times New Roman" w:hAnsi="Times New Roman"/>
          <w:sz w:val="26"/>
          <w:szCs w:val="26"/>
        </w:rPr>
        <w:t>include</w:t>
      </w:r>
      <w:r w:rsidR="00F90340">
        <w:rPr>
          <w:rFonts w:ascii="Times New Roman" w:hAnsi="Times New Roman"/>
          <w:sz w:val="26"/>
          <w:szCs w:val="26"/>
        </w:rPr>
        <w:t>d</w:t>
      </w:r>
      <w:r w:rsidRPr="000404BA">
        <w:rPr>
          <w:rFonts w:ascii="Times New Roman" w:hAnsi="Times New Roman"/>
          <w:sz w:val="26"/>
          <w:szCs w:val="26"/>
        </w:rPr>
        <w:t xml:space="preserve"> a prudent mix of default </w:t>
      </w:r>
      <w:r w:rsidRPr="000404BA">
        <w:rPr>
          <w:rFonts w:ascii="Times New Roman" w:hAnsi="Times New Roman"/>
          <w:sz w:val="26"/>
          <w:szCs w:val="26"/>
        </w:rPr>
        <w:lastRenderedPageBreak/>
        <w:t>service products.</w:t>
      </w:r>
      <w:r w:rsidR="00F90340">
        <w:rPr>
          <w:rFonts w:ascii="Times New Roman" w:hAnsi="Times New Roman"/>
          <w:sz w:val="26"/>
          <w:szCs w:val="26"/>
        </w:rPr>
        <w:t xml:space="preserve">  </w:t>
      </w:r>
      <w:r w:rsidRPr="008B056C">
        <w:rPr>
          <w:rFonts w:ascii="Times New Roman" w:hAnsi="Times New Roman"/>
          <w:sz w:val="26"/>
          <w:szCs w:val="26"/>
        </w:rPr>
        <w:t xml:space="preserve">PPL also </w:t>
      </w:r>
      <w:r w:rsidR="00F90340">
        <w:rPr>
          <w:rFonts w:ascii="Times New Roman" w:hAnsi="Times New Roman"/>
          <w:sz w:val="26"/>
          <w:szCs w:val="26"/>
        </w:rPr>
        <w:t>cited</w:t>
      </w:r>
      <w:r w:rsidRPr="008B056C">
        <w:rPr>
          <w:rFonts w:ascii="Times New Roman" w:hAnsi="Times New Roman"/>
          <w:sz w:val="26"/>
          <w:szCs w:val="26"/>
        </w:rPr>
        <w:t xml:space="preserve"> to </w:t>
      </w:r>
      <w:proofErr w:type="spellStart"/>
      <w:r w:rsidRPr="008B056C">
        <w:rPr>
          <w:rFonts w:ascii="Times New Roman" w:hAnsi="Times New Roman"/>
          <w:i/>
          <w:sz w:val="26"/>
          <w:szCs w:val="26"/>
        </w:rPr>
        <w:t>Popowsky</w:t>
      </w:r>
      <w:proofErr w:type="spellEnd"/>
      <w:r w:rsidRPr="008B056C">
        <w:rPr>
          <w:rFonts w:ascii="Times New Roman" w:hAnsi="Times New Roman"/>
          <w:i/>
          <w:sz w:val="26"/>
          <w:szCs w:val="26"/>
        </w:rPr>
        <w:t xml:space="preserve"> v. Pa. PUC</w:t>
      </w:r>
      <w:r w:rsidRPr="008B056C">
        <w:rPr>
          <w:rFonts w:ascii="Times New Roman" w:hAnsi="Times New Roman"/>
          <w:sz w:val="26"/>
          <w:szCs w:val="26"/>
        </w:rPr>
        <w:t xml:space="preserve">, 71 A.3d 1112 (Pa. </w:t>
      </w:r>
      <w:proofErr w:type="spellStart"/>
      <w:r w:rsidRPr="008B056C">
        <w:rPr>
          <w:rFonts w:ascii="Times New Roman" w:hAnsi="Times New Roman"/>
          <w:sz w:val="26"/>
          <w:szCs w:val="26"/>
        </w:rPr>
        <w:t>Cmwlth</w:t>
      </w:r>
      <w:proofErr w:type="spellEnd"/>
      <w:r w:rsidRPr="008B056C">
        <w:rPr>
          <w:rFonts w:ascii="Times New Roman" w:hAnsi="Times New Roman"/>
          <w:sz w:val="26"/>
          <w:szCs w:val="26"/>
        </w:rPr>
        <w:t xml:space="preserve">. 2013), </w:t>
      </w:r>
      <w:r w:rsidRPr="008B056C">
        <w:rPr>
          <w:rFonts w:ascii="Times New Roman" w:hAnsi="Times New Roman"/>
          <w:i/>
          <w:sz w:val="26"/>
          <w:szCs w:val="26"/>
        </w:rPr>
        <w:t>appeal denied</w:t>
      </w:r>
      <w:r w:rsidRPr="008B056C">
        <w:rPr>
          <w:rFonts w:ascii="Times New Roman" w:hAnsi="Times New Roman"/>
          <w:sz w:val="26"/>
          <w:szCs w:val="26"/>
        </w:rPr>
        <w:t>, 83 A.3d 416 (2013)</w:t>
      </w:r>
      <w:r>
        <w:rPr>
          <w:rFonts w:ascii="Times New Roman" w:hAnsi="Times New Roman"/>
          <w:sz w:val="26"/>
          <w:szCs w:val="26"/>
        </w:rPr>
        <w:t xml:space="preserve"> (</w:t>
      </w:r>
      <w:proofErr w:type="spellStart"/>
      <w:r w:rsidRPr="008B056C">
        <w:rPr>
          <w:rFonts w:ascii="Times New Roman" w:hAnsi="Times New Roman"/>
          <w:i/>
          <w:sz w:val="26"/>
          <w:szCs w:val="26"/>
        </w:rPr>
        <w:t>Popowsky</w:t>
      </w:r>
      <w:proofErr w:type="spellEnd"/>
      <w:r>
        <w:rPr>
          <w:rFonts w:ascii="Times New Roman" w:hAnsi="Times New Roman"/>
          <w:sz w:val="26"/>
          <w:szCs w:val="26"/>
        </w:rPr>
        <w:t>)</w:t>
      </w:r>
      <w:r w:rsidRPr="008B056C">
        <w:rPr>
          <w:rFonts w:ascii="Times New Roman" w:hAnsi="Times New Roman"/>
          <w:sz w:val="26"/>
          <w:szCs w:val="26"/>
        </w:rPr>
        <w:t>, in which the Commonwealth Court upheld the Commission</w:t>
      </w:r>
      <w:r>
        <w:rPr>
          <w:rFonts w:ascii="Times New Roman" w:hAnsi="Times New Roman"/>
          <w:sz w:val="26"/>
          <w:szCs w:val="26"/>
        </w:rPr>
        <w:t>’</w:t>
      </w:r>
      <w:r w:rsidRPr="008B056C">
        <w:rPr>
          <w:rFonts w:ascii="Times New Roman" w:hAnsi="Times New Roman"/>
          <w:sz w:val="26"/>
          <w:szCs w:val="26"/>
        </w:rPr>
        <w:t>s approval</w:t>
      </w:r>
      <w:r>
        <w:rPr>
          <w:rFonts w:ascii="Times New Roman" w:hAnsi="Times New Roman"/>
          <w:sz w:val="26"/>
          <w:szCs w:val="26"/>
        </w:rPr>
        <w:t xml:space="preserve"> of</w:t>
      </w:r>
      <w:r w:rsidRPr="008B056C">
        <w:rPr>
          <w:rFonts w:ascii="Times New Roman" w:hAnsi="Times New Roman"/>
          <w:sz w:val="26"/>
          <w:szCs w:val="26"/>
        </w:rPr>
        <w:t xml:space="preserve"> a default</w:t>
      </w:r>
      <w:r w:rsidRPr="00CA24AD">
        <w:rPr>
          <w:rFonts w:ascii="Times New Roman" w:hAnsi="Times New Roman"/>
          <w:sz w:val="26"/>
          <w:szCs w:val="26"/>
        </w:rPr>
        <w:t xml:space="preserve"> service plan for Pike County Light &amp; Power Company (Pike County) that contained only spot market</w:t>
      </w:r>
      <w:r w:rsidR="00F90340">
        <w:rPr>
          <w:rFonts w:ascii="Times New Roman" w:hAnsi="Times New Roman"/>
          <w:sz w:val="26"/>
          <w:szCs w:val="26"/>
        </w:rPr>
        <w:t xml:space="preserve"> purchases.  PPL noted</w:t>
      </w:r>
      <w:r w:rsidRPr="00CA24AD">
        <w:rPr>
          <w:rFonts w:ascii="Times New Roman" w:hAnsi="Times New Roman"/>
          <w:sz w:val="26"/>
          <w:szCs w:val="26"/>
        </w:rPr>
        <w:t xml:space="preserve"> that</w:t>
      </w:r>
      <w:r>
        <w:rPr>
          <w:rFonts w:ascii="Times New Roman" w:hAnsi="Times New Roman"/>
          <w:sz w:val="26"/>
          <w:szCs w:val="26"/>
        </w:rPr>
        <w:t xml:space="preserve"> in that proceeding, the </w:t>
      </w:r>
      <w:r w:rsidRPr="00CA24AD">
        <w:rPr>
          <w:rFonts w:ascii="Times New Roman" w:hAnsi="Times New Roman"/>
          <w:sz w:val="26"/>
          <w:szCs w:val="26"/>
        </w:rPr>
        <w:t>Court rejected the OCA</w:t>
      </w:r>
      <w:r>
        <w:rPr>
          <w:rFonts w:ascii="Times New Roman" w:hAnsi="Times New Roman"/>
          <w:sz w:val="26"/>
          <w:szCs w:val="26"/>
        </w:rPr>
        <w:t>’</w:t>
      </w:r>
      <w:r w:rsidRPr="00CA24AD">
        <w:rPr>
          <w:rFonts w:ascii="Times New Roman" w:hAnsi="Times New Roman"/>
          <w:sz w:val="26"/>
          <w:szCs w:val="26"/>
        </w:rPr>
        <w:t xml:space="preserve">s </w:t>
      </w:r>
      <w:r w:rsidRPr="008B056C">
        <w:rPr>
          <w:rFonts w:ascii="Times New Roman" w:hAnsi="Times New Roman"/>
          <w:sz w:val="26"/>
          <w:szCs w:val="26"/>
        </w:rPr>
        <w:t>argument, on appeal, that a default service plan must include at least two of the sources enumerated in Section 2807 (e)(3.2)(</w:t>
      </w:r>
      <w:proofErr w:type="spellStart"/>
      <w:r w:rsidRPr="008B056C">
        <w:rPr>
          <w:rFonts w:ascii="Times New Roman" w:hAnsi="Times New Roman"/>
          <w:sz w:val="26"/>
          <w:szCs w:val="26"/>
        </w:rPr>
        <w:t>i</w:t>
      </w:r>
      <w:proofErr w:type="spellEnd"/>
      <w:r w:rsidRPr="008B056C">
        <w:rPr>
          <w:rFonts w:ascii="Times New Roman" w:hAnsi="Times New Roman"/>
          <w:sz w:val="26"/>
          <w:szCs w:val="26"/>
        </w:rPr>
        <w:t xml:space="preserve">)-(iii) </w:t>
      </w:r>
      <w:r w:rsidR="00AF21CC">
        <w:rPr>
          <w:rFonts w:ascii="Times New Roman" w:hAnsi="Times New Roman"/>
          <w:sz w:val="26"/>
          <w:szCs w:val="26"/>
        </w:rPr>
        <w:t xml:space="preserve">of the Code </w:t>
      </w:r>
      <w:r w:rsidRPr="008B056C">
        <w:rPr>
          <w:rFonts w:ascii="Times New Roman" w:hAnsi="Times New Roman"/>
          <w:sz w:val="26"/>
          <w:szCs w:val="26"/>
        </w:rPr>
        <w:t xml:space="preserve">to be considered a </w:t>
      </w:r>
      <w:r>
        <w:rPr>
          <w:rFonts w:ascii="Times New Roman" w:hAnsi="Times New Roman"/>
          <w:sz w:val="26"/>
          <w:szCs w:val="26"/>
        </w:rPr>
        <w:t>“</w:t>
      </w:r>
      <w:r w:rsidRPr="008B056C">
        <w:rPr>
          <w:rFonts w:ascii="Times New Roman" w:hAnsi="Times New Roman"/>
          <w:sz w:val="26"/>
          <w:szCs w:val="26"/>
        </w:rPr>
        <w:t>prudent mix.</w:t>
      </w:r>
      <w:r>
        <w:rPr>
          <w:rFonts w:ascii="Times New Roman" w:hAnsi="Times New Roman"/>
          <w:sz w:val="26"/>
          <w:szCs w:val="26"/>
        </w:rPr>
        <w:t>”</w:t>
      </w:r>
      <w:r w:rsidRPr="008B056C">
        <w:rPr>
          <w:rFonts w:ascii="Times New Roman" w:hAnsi="Times New Roman"/>
          <w:sz w:val="26"/>
          <w:szCs w:val="26"/>
        </w:rPr>
        <w:t xml:space="preserve">  </w:t>
      </w:r>
      <w:r w:rsidR="00715826">
        <w:rPr>
          <w:rFonts w:ascii="Times New Roman" w:hAnsi="Times New Roman"/>
          <w:sz w:val="26"/>
          <w:szCs w:val="26"/>
        </w:rPr>
        <w:t>PPL also argued</w:t>
      </w:r>
      <w:r w:rsidRPr="00655ED4">
        <w:rPr>
          <w:rFonts w:ascii="Times New Roman" w:hAnsi="Times New Roman"/>
          <w:sz w:val="26"/>
          <w:szCs w:val="26"/>
        </w:rPr>
        <w:t xml:space="preserve"> that the Commission</w:t>
      </w:r>
      <w:r>
        <w:rPr>
          <w:rFonts w:ascii="Times New Roman" w:hAnsi="Times New Roman"/>
          <w:sz w:val="26"/>
          <w:szCs w:val="26"/>
        </w:rPr>
        <w:t>’</w:t>
      </w:r>
      <w:r w:rsidRPr="00655ED4">
        <w:rPr>
          <w:rFonts w:ascii="Times New Roman" w:hAnsi="Times New Roman"/>
          <w:sz w:val="26"/>
          <w:szCs w:val="26"/>
        </w:rPr>
        <w:t xml:space="preserve">s expectation in the </w:t>
      </w:r>
      <w:r w:rsidRPr="00655ED4">
        <w:rPr>
          <w:rFonts w:ascii="Times New Roman" w:hAnsi="Times New Roman"/>
          <w:i/>
          <w:sz w:val="26"/>
          <w:szCs w:val="26"/>
        </w:rPr>
        <w:t>End State Order</w:t>
      </w:r>
      <w:r w:rsidRPr="00655ED4">
        <w:rPr>
          <w:rFonts w:ascii="Times New Roman" w:hAnsi="Times New Roman"/>
          <w:sz w:val="26"/>
          <w:szCs w:val="26"/>
        </w:rPr>
        <w:t xml:space="preserve"> that EDCs implement a 100 kW demand split for commercial and industrial customers is in ac</w:t>
      </w:r>
      <w:r>
        <w:rPr>
          <w:rFonts w:ascii="Times New Roman" w:hAnsi="Times New Roman"/>
          <w:sz w:val="26"/>
          <w:szCs w:val="26"/>
        </w:rPr>
        <w:t xml:space="preserve">cordance with the </w:t>
      </w:r>
      <w:r w:rsidRPr="00AF21CC">
        <w:rPr>
          <w:rFonts w:ascii="Times New Roman" w:hAnsi="Times New Roman"/>
          <w:sz w:val="26"/>
          <w:szCs w:val="26"/>
        </w:rPr>
        <w:t xml:space="preserve">Commission’s Policy Statement at 52 Pa. Code § 69.1805.  </w:t>
      </w:r>
      <w:proofErr w:type="gramStart"/>
      <w:r w:rsidR="00353491" w:rsidRPr="00AF21CC">
        <w:rPr>
          <w:rFonts w:ascii="Times New Roman" w:hAnsi="Times New Roman"/>
          <w:i/>
          <w:sz w:val="26"/>
          <w:szCs w:val="26"/>
        </w:rPr>
        <w:t>January 2015 Order</w:t>
      </w:r>
      <w:r w:rsidR="00070A9D" w:rsidRPr="00AF21CC">
        <w:rPr>
          <w:rFonts w:ascii="Times New Roman" w:hAnsi="Times New Roman"/>
          <w:sz w:val="26"/>
          <w:szCs w:val="26"/>
        </w:rPr>
        <w:t xml:space="preserve"> at 36-38 (citing PPL Exc. at 4-7).</w:t>
      </w:r>
      <w:proofErr w:type="gramEnd"/>
      <w:r w:rsidR="00070A9D" w:rsidRPr="00AF21CC">
        <w:rPr>
          <w:rFonts w:ascii="Times New Roman" w:hAnsi="Times New Roman"/>
          <w:sz w:val="26"/>
          <w:szCs w:val="26"/>
        </w:rPr>
        <w:t xml:space="preserve">  </w:t>
      </w:r>
    </w:p>
    <w:p w:rsidR="002C6953" w:rsidRPr="00AF21CC" w:rsidRDefault="002C6953" w:rsidP="002C6953">
      <w:pPr>
        <w:rPr>
          <w:rFonts w:ascii="Times New Roman" w:hAnsi="Times New Roman"/>
          <w:sz w:val="26"/>
          <w:szCs w:val="26"/>
        </w:rPr>
      </w:pPr>
    </w:p>
    <w:p w:rsidR="00A77F49" w:rsidRPr="005A2128" w:rsidRDefault="002C5073" w:rsidP="00A77F49">
      <w:pPr>
        <w:rPr>
          <w:rFonts w:ascii="Times New Roman" w:hAnsi="Times New Roman"/>
          <w:sz w:val="26"/>
          <w:szCs w:val="26"/>
        </w:rPr>
      </w:pPr>
      <w:r w:rsidRPr="00AF21CC">
        <w:rPr>
          <w:rFonts w:ascii="Times New Roman" w:hAnsi="Times New Roman"/>
          <w:sz w:val="26"/>
          <w:szCs w:val="26"/>
        </w:rPr>
        <w:tab/>
      </w:r>
      <w:r w:rsidRPr="00AF21CC">
        <w:rPr>
          <w:rFonts w:ascii="Times New Roman" w:hAnsi="Times New Roman"/>
          <w:sz w:val="26"/>
          <w:szCs w:val="26"/>
        </w:rPr>
        <w:tab/>
        <w:t>In its Exceptions, RESA argued that in addition to the</w:t>
      </w:r>
      <w:r>
        <w:rPr>
          <w:rFonts w:ascii="Times New Roman" w:hAnsi="Times New Roman"/>
          <w:sz w:val="26"/>
          <w:szCs w:val="26"/>
        </w:rPr>
        <w:t xml:space="preserve"> “prudent mix” requirement, the Competition Act also requires a </w:t>
      </w:r>
      <w:r w:rsidRPr="004F6686">
        <w:rPr>
          <w:rFonts w:ascii="Times New Roman" w:eastAsia="Calibri" w:hAnsi="Times New Roman"/>
          <w:sz w:val="26"/>
          <w:szCs w:val="26"/>
        </w:rPr>
        <w:t>default service plan</w:t>
      </w:r>
      <w:r w:rsidR="005E74EA">
        <w:rPr>
          <w:rFonts w:ascii="Times New Roman" w:eastAsia="Calibri" w:hAnsi="Times New Roman"/>
          <w:sz w:val="26"/>
          <w:szCs w:val="26"/>
        </w:rPr>
        <w:t xml:space="preserve"> to promote</w:t>
      </w:r>
      <w:r w:rsidRPr="004F6686">
        <w:rPr>
          <w:rFonts w:ascii="Times New Roman" w:eastAsia="Calibri" w:hAnsi="Times New Roman"/>
          <w:sz w:val="26"/>
          <w:szCs w:val="26"/>
        </w:rPr>
        <w:t xml:space="preserve"> the development of a workably</w:t>
      </w:r>
      <w:r w:rsidRPr="00D14EE1">
        <w:rPr>
          <w:rFonts w:ascii="Times New Roman" w:eastAsia="Calibri" w:hAnsi="Times New Roman"/>
          <w:sz w:val="26"/>
          <w:szCs w:val="26"/>
        </w:rPr>
        <w:t xml:space="preserve"> competi</w:t>
      </w:r>
      <w:r w:rsidR="00B67FBB">
        <w:rPr>
          <w:rFonts w:ascii="Times New Roman" w:eastAsia="Calibri" w:hAnsi="Times New Roman"/>
          <w:sz w:val="26"/>
          <w:szCs w:val="26"/>
        </w:rPr>
        <w:t xml:space="preserve">tive retail generation market, which PPL’s proposal does, according to RESA.  RESA also contended that there is nothing illegal about the </w:t>
      </w:r>
      <w:r w:rsidR="00B67FBB" w:rsidRPr="006B5AD8">
        <w:rPr>
          <w:rFonts w:ascii="Times New Roman" w:eastAsia="Calibri" w:hAnsi="Times New Roman"/>
          <w:i/>
          <w:sz w:val="26"/>
          <w:szCs w:val="26"/>
        </w:rPr>
        <w:t>End State Order</w:t>
      </w:r>
      <w:r w:rsidR="00B67FBB">
        <w:rPr>
          <w:rFonts w:ascii="Times New Roman" w:eastAsia="Calibri" w:hAnsi="Times New Roman"/>
          <w:i/>
          <w:sz w:val="26"/>
          <w:szCs w:val="26"/>
        </w:rPr>
        <w:t>,</w:t>
      </w:r>
      <w:r w:rsidR="00B67FBB">
        <w:rPr>
          <w:rFonts w:ascii="Times New Roman" w:eastAsia="Calibri" w:hAnsi="Times New Roman"/>
          <w:sz w:val="26"/>
          <w:szCs w:val="26"/>
        </w:rPr>
        <w:t xml:space="preserve"> and </w:t>
      </w:r>
      <w:r w:rsidR="00B67FBB" w:rsidRPr="00AF21CC">
        <w:rPr>
          <w:rFonts w:ascii="Times New Roman" w:eastAsia="Calibri" w:hAnsi="Times New Roman"/>
          <w:sz w:val="26"/>
          <w:szCs w:val="26"/>
        </w:rPr>
        <w:t xml:space="preserve">nothing to justify the ALJ’s recommendation that it be disregarded.  </w:t>
      </w:r>
      <w:proofErr w:type="gramStart"/>
      <w:r w:rsidR="00353491" w:rsidRPr="00AF21CC">
        <w:rPr>
          <w:rFonts w:ascii="Times New Roman" w:eastAsia="Calibri" w:hAnsi="Times New Roman"/>
          <w:i/>
          <w:sz w:val="26"/>
          <w:szCs w:val="26"/>
        </w:rPr>
        <w:t>January 2015 Order</w:t>
      </w:r>
      <w:r w:rsidR="00B67FBB" w:rsidRPr="00AF21CC">
        <w:rPr>
          <w:rFonts w:ascii="Times New Roman" w:eastAsia="Calibri" w:hAnsi="Times New Roman"/>
          <w:sz w:val="26"/>
          <w:szCs w:val="26"/>
        </w:rPr>
        <w:t xml:space="preserve"> at 38-40 (citing RESA Exc. at 5-9).</w:t>
      </w:r>
      <w:proofErr w:type="gramEnd"/>
    </w:p>
    <w:p w:rsidR="00A77F49" w:rsidRDefault="00A77F49" w:rsidP="00A77F49">
      <w:pPr>
        <w:rPr>
          <w:rFonts w:ascii="Times New Roman" w:hAnsi="Times New Roman"/>
          <w:sz w:val="26"/>
          <w:szCs w:val="26"/>
        </w:rPr>
      </w:pPr>
    </w:p>
    <w:p w:rsidR="00180DFE" w:rsidRDefault="006D5B40" w:rsidP="00805E55">
      <w:pPr>
        <w:rPr>
          <w:sz w:val="26"/>
          <w:szCs w:val="26"/>
        </w:rPr>
      </w:pPr>
      <w:r>
        <w:rPr>
          <w:rFonts w:ascii="Times New Roman" w:hAnsi="Times New Roman"/>
          <w:sz w:val="26"/>
          <w:szCs w:val="26"/>
        </w:rPr>
        <w:tab/>
      </w:r>
      <w:r>
        <w:rPr>
          <w:rFonts w:ascii="Times New Roman" w:hAnsi="Times New Roman"/>
          <w:sz w:val="26"/>
          <w:szCs w:val="26"/>
        </w:rPr>
        <w:tab/>
        <w:t>After careful consideration of the Parties’ arguments, the record evidence, and applicable law, we reversed the ALJ’s recommendation on this issue and adopted PPL’s proposal</w:t>
      </w:r>
      <w:r w:rsidR="00805E55" w:rsidRPr="00805E55">
        <w:rPr>
          <w:rFonts w:ascii="Times New Roman" w:hAnsi="Times New Roman"/>
          <w:sz w:val="26"/>
          <w:szCs w:val="26"/>
        </w:rPr>
        <w:t xml:space="preserve"> </w:t>
      </w:r>
      <w:r w:rsidR="00805E55">
        <w:rPr>
          <w:rFonts w:ascii="Times New Roman" w:hAnsi="Times New Roman"/>
          <w:sz w:val="26"/>
          <w:szCs w:val="26"/>
        </w:rPr>
        <w:t>to lower the peak demand demarcation between Small C&amp;I and Large C&amp;I customers from 500 kW to 100 kW</w:t>
      </w:r>
      <w:r>
        <w:rPr>
          <w:rFonts w:ascii="Times New Roman" w:hAnsi="Times New Roman"/>
          <w:sz w:val="26"/>
          <w:szCs w:val="26"/>
        </w:rPr>
        <w:t xml:space="preserve">.  </w:t>
      </w:r>
      <w:r w:rsidR="00805E55">
        <w:rPr>
          <w:rFonts w:ascii="Times New Roman" w:hAnsi="Times New Roman"/>
          <w:sz w:val="26"/>
          <w:szCs w:val="26"/>
        </w:rPr>
        <w:t>Contrary to the ALJ’s conclusion that such a proposal was not consistent with the Competition</w:t>
      </w:r>
      <w:r w:rsidR="000065B8">
        <w:rPr>
          <w:rFonts w:ascii="Times New Roman" w:hAnsi="Times New Roman"/>
          <w:sz w:val="26"/>
          <w:szCs w:val="26"/>
        </w:rPr>
        <w:t xml:space="preserve"> Act</w:t>
      </w:r>
      <w:r w:rsidR="00805E55">
        <w:rPr>
          <w:rFonts w:ascii="Times New Roman" w:hAnsi="Times New Roman"/>
          <w:sz w:val="26"/>
          <w:szCs w:val="26"/>
        </w:rPr>
        <w:t>, we foun</w:t>
      </w:r>
      <w:r>
        <w:rPr>
          <w:rFonts w:ascii="Times New Roman" w:hAnsi="Times New Roman"/>
          <w:sz w:val="26"/>
          <w:szCs w:val="26"/>
        </w:rPr>
        <w:t xml:space="preserve">d the proposal to be consistent with the Competition Act’s goals of promoting a competitive marketplace for electricity, and ensuring that customers receive adequate and reliable service at the least cost over time.  </w:t>
      </w:r>
      <w:r w:rsidR="00353491">
        <w:rPr>
          <w:rFonts w:ascii="Times New Roman" w:hAnsi="Times New Roman"/>
          <w:i/>
          <w:sz w:val="26"/>
          <w:szCs w:val="26"/>
        </w:rPr>
        <w:t>January 2015 Order</w:t>
      </w:r>
      <w:r w:rsidR="00805E55">
        <w:rPr>
          <w:rFonts w:ascii="Times New Roman" w:hAnsi="Times New Roman"/>
          <w:sz w:val="26"/>
          <w:szCs w:val="26"/>
        </w:rPr>
        <w:t xml:space="preserve"> at 42-43 (citing</w:t>
      </w:r>
      <w:r>
        <w:rPr>
          <w:rFonts w:ascii="Times New Roman" w:hAnsi="Times New Roman"/>
          <w:sz w:val="26"/>
          <w:szCs w:val="26"/>
        </w:rPr>
        <w:t xml:space="preserve"> 66 Pa. C.S. §§ 2802(7) and </w:t>
      </w:r>
      <w:r w:rsidRPr="00387868">
        <w:rPr>
          <w:sz w:val="26"/>
          <w:szCs w:val="26"/>
        </w:rPr>
        <w:t>2807(e</w:t>
      </w:r>
      <w:proofErr w:type="gramStart"/>
      <w:r w:rsidRPr="00387868">
        <w:rPr>
          <w:sz w:val="26"/>
          <w:szCs w:val="26"/>
        </w:rPr>
        <w:t>)(</w:t>
      </w:r>
      <w:proofErr w:type="gramEnd"/>
      <w:r w:rsidRPr="00387868">
        <w:rPr>
          <w:sz w:val="26"/>
          <w:szCs w:val="26"/>
        </w:rPr>
        <w:t>3.4)</w:t>
      </w:r>
      <w:r w:rsidR="00805E55">
        <w:rPr>
          <w:sz w:val="26"/>
          <w:szCs w:val="26"/>
        </w:rPr>
        <w:t>)</w:t>
      </w:r>
      <w:r>
        <w:rPr>
          <w:sz w:val="26"/>
          <w:szCs w:val="26"/>
        </w:rPr>
        <w:t xml:space="preserve">.  </w:t>
      </w:r>
    </w:p>
    <w:p w:rsidR="00180DFE" w:rsidRDefault="00180DFE" w:rsidP="00805E55">
      <w:pPr>
        <w:rPr>
          <w:sz w:val="26"/>
          <w:szCs w:val="26"/>
        </w:rPr>
      </w:pPr>
    </w:p>
    <w:p w:rsidR="006D5B40" w:rsidRDefault="00180DFE" w:rsidP="00805E55">
      <w:pPr>
        <w:rPr>
          <w:sz w:val="26"/>
          <w:szCs w:val="26"/>
        </w:rPr>
      </w:pPr>
      <w:r>
        <w:rPr>
          <w:sz w:val="26"/>
          <w:szCs w:val="26"/>
        </w:rPr>
        <w:lastRenderedPageBreak/>
        <w:tab/>
      </w:r>
      <w:r>
        <w:rPr>
          <w:sz w:val="26"/>
          <w:szCs w:val="26"/>
        </w:rPr>
        <w:tab/>
        <w:t>In addition, w</w:t>
      </w:r>
      <w:r w:rsidR="00805E55">
        <w:rPr>
          <w:sz w:val="26"/>
          <w:szCs w:val="26"/>
        </w:rPr>
        <w:t xml:space="preserve">e </w:t>
      </w:r>
      <w:r>
        <w:rPr>
          <w:sz w:val="26"/>
          <w:szCs w:val="26"/>
        </w:rPr>
        <w:t>pointed out</w:t>
      </w:r>
      <w:r w:rsidR="00805E55">
        <w:rPr>
          <w:sz w:val="26"/>
          <w:szCs w:val="26"/>
        </w:rPr>
        <w:t xml:space="preserve"> that </w:t>
      </w:r>
      <w:r w:rsidR="006D5B40">
        <w:rPr>
          <w:sz w:val="26"/>
          <w:szCs w:val="26"/>
        </w:rPr>
        <w:t xml:space="preserve">in the </w:t>
      </w:r>
      <w:r w:rsidR="006D5B40" w:rsidRPr="004E7932">
        <w:rPr>
          <w:i/>
          <w:sz w:val="26"/>
          <w:szCs w:val="26"/>
        </w:rPr>
        <w:t>End State Order</w:t>
      </w:r>
      <w:r w:rsidR="006D5B40" w:rsidRPr="004E7932">
        <w:rPr>
          <w:sz w:val="26"/>
          <w:szCs w:val="26"/>
        </w:rPr>
        <w:t>, we expressed our support for the threshold of 100 kW for purposes of determining medium and large C&amp;I customers, but stated our expectation that EDCs would</w:t>
      </w:r>
      <w:r w:rsidR="00805E55">
        <w:rPr>
          <w:sz w:val="26"/>
          <w:szCs w:val="26"/>
        </w:rPr>
        <w:t xml:space="preserve"> </w:t>
      </w:r>
      <w:r w:rsidR="006D5B40">
        <w:rPr>
          <w:sz w:val="26"/>
          <w:szCs w:val="26"/>
        </w:rPr>
        <w:t>“</w:t>
      </w:r>
      <w:r w:rsidR="006D5B40" w:rsidRPr="004E7932">
        <w:rPr>
          <w:sz w:val="26"/>
          <w:szCs w:val="26"/>
        </w:rPr>
        <w:t xml:space="preserve">offer hourly LMP </w:t>
      </w:r>
      <w:r w:rsidR="00464365">
        <w:rPr>
          <w:sz w:val="26"/>
          <w:szCs w:val="26"/>
        </w:rPr>
        <w:t xml:space="preserve">[locational marginal pricing] </w:t>
      </w:r>
      <w:r w:rsidR="006D5B40" w:rsidRPr="004E7932">
        <w:rPr>
          <w:sz w:val="26"/>
          <w:szCs w:val="26"/>
        </w:rPr>
        <w:t>products only to the customers above that demand level who have interval meters.</w:t>
      </w:r>
      <w:r w:rsidR="006D5B40">
        <w:rPr>
          <w:sz w:val="26"/>
          <w:szCs w:val="26"/>
        </w:rPr>
        <w:t>”</w:t>
      </w:r>
      <w:r w:rsidR="00805E55">
        <w:rPr>
          <w:sz w:val="26"/>
          <w:szCs w:val="26"/>
        </w:rPr>
        <w:t xml:space="preserve"> </w:t>
      </w:r>
      <w:proofErr w:type="gramStart"/>
      <w:r w:rsidR="00353491">
        <w:rPr>
          <w:i/>
          <w:sz w:val="26"/>
          <w:szCs w:val="26"/>
        </w:rPr>
        <w:t>January 2015 Order</w:t>
      </w:r>
      <w:r w:rsidR="00805E55">
        <w:rPr>
          <w:sz w:val="26"/>
          <w:szCs w:val="26"/>
        </w:rPr>
        <w:t xml:space="preserve"> at 43 (quoting </w:t>
      </w:r>
      <w:r w:rsidR="006D5B40" w:rsidRPr="004E7932">
        <w:rPr>
          <w:i/>
          <w:sz w:val="26"/>
          <w:szCs w:val="26"/>
        </w:rPr>
        <w:t>End State Order</w:t>
      </w:r>
      <w:r w:rsidR="006D5B40" w:rsidRPr="004E7932">
        <w:rPr>
          <w:sz w:val="26"/>
          <w:szCs w:val="26"/>
        </w:rPr>
        <w:t xml:space="preserve"> at 31</w:t>
      </w:r>
      <w:r>
        <w:rPr>
          <w:sz w:val="26"/>
          <w:szCs w:val="26"/>
        </w:rPr>
        <w:t>).</w:t>
      </w:r>
      <w:proofErr w:type="gramEnd"/>
      <w:r>
        <w:rPr>
          <w:sz w:val="26"/>
          <w:szCs w:val="26"/>
        </w:rPr>
        <w:t xml:space="preserve">  We noted </w:t>
      </w:r>
      <w:r w:rsidR="006D5B40" w:rsidRPr="004E7932">
        <w:rPr>
          <w:sz w:val="26"/>
          <w:szCs w:val="26"/>
        </w:rPr>
        <w:t>PP</w:t>
      </w:r>
      <w:r>
        <w:rPr>
          <w:sz w:val="26"/>
          <w:szCs w:val="26"/>
        </w:rPr>
        <w:t>L’s assertion in this proceeding</w:t>
      </w:r>
      <w:r w:rsidR="006D5B40" w:rsidRPr="004E7932">
        <w:rPr>
          <w:sz w:val="26"/>
          <w:szCs w:val="26"/>
        </w:rPr>
        <w:t xml:space="preserve"> that all of the customers affected by its proposal to lower the demand threshold to 100 kW for the Large C&amp;I class are equipped with demand </w:t>
      </w:r>
      <w:r>
        <w:rPr>
          <w:sz w:val="26"/>
          <w:szCs w:val="26"/>
        </w:rPr>
        <w:t>meters, and</w:t>
      </w:r>
      <w:r w:rsidR="006D5B40" w:rsidRPr="004E7932">
        <w:rPr>
          <w:sz w:val="26"/>
          <w:szCs w:val="26"/>
        </w:rPr>
        <w:t xml:space="preserve"> that 88% of these customers are curren</w:t>
      </w:r>
      <w:r>
        <w:rPr>
          <w:sz w:val="26"/>
          <w:szCs w:val="26"/>
        </w:rPr>
        <w:t xml:space="preserve">tly shopping.  </w:t>
      </w:r>
      <w:r w:rsidR="006D5B40" w:rsidRPr="004E7932">
        <w:rPr>
          <w:sz w:val="26"/>
          <w:szCs w:val="26"/>
        </w:rPr>
        <w:t>Thus, we agree</w:t>
      </w:r>
      <w:r>
        <w:rPr>
          <w:sz w:val="26"/>
          <w:szCs w:val="26"/>
        </w:rPr>
        <w:t>d</w:t>
      </w:r>
      <w:r w:rsidR="006D5B40" w:rsidRPr="004E7932">
        <w:rPr>
          <w:sz w:val="26"/>
          <w:szCs w:val="26"/>
        </w:rPr>
        <w:t xml:space="preserve"> with the Company that these customers </w:t>
      </w:r>
      <w:r w:rsidR="006D5B40">
        <w:rPr>
          <w:sz w:val="26"/>
          <w:szCs w:val="26"/>
        </w:rPr>
        <w:t>“</w:t>
      </w:r>
      <w:r w:rsidR="006D5B40" w:rsidRPr="004E7932">
        <w:rPr>
          <w:sz w:val="26"/>
          <w:szCs w:val="26"/>
        </w:rPr>
        <w:t xml:space="preserve">are well-equipped and educated to manage their </w:t>
      </w:r>
      <w:r w:rsidR="006D5B40" w:rsidRPr="000065B8">
        <w:rPr>
          <w:sz w:val="26"/>
          <w:szCs w:val="26"/>
        </w:rPr>
        <w:t>commodity costs in an hourly spot market default service environment.”</w:t>
      </w:r>
      <w:r w:rsidR="00ED42C9" w:rsidRPr="000065B8">
        <w:rPr>
          <w:sz w:val="26"/>
          <w:szCs w:val="26"/>
        </w:rPr>
        <w:t xml:space="preserve">  </w:t>
      </w:r>
      <w:proofErr w:type="gramStart"/>
      <w:r w:rsidR="00353491" w:rsidRPr="000065B8">
        <w:rPr>
          <w:i/>
          <w:sz w:val="26"/>
          <w:szCs w:val="26"/>
        </w:rPr>
        <w:t>January 2015 Order</w:t>
      </w:r>
      <w:r w:rsidR="00ED42C9" w:rsidRPr="000065B8">
        <w:rPr>
          <w:sz w:val="26"/>
          <w:szCs w:val="26"/>
        </w:rPr>
        <w:t xml:space="preserve"> at 43 (quoting PPL M.B. at 14).</w:t>
      </w:r>
      <w:proofErr w:type="gramEnd"/>
      <w:r w:rsidR="006D5B40" w:rsidRPr="000065B8">
        <w:rPr>
          <w:sz w:val="26"/>
          <w:szCs w:val="26"/>
        </w:rPr>
        <w:t xml:space="preserve">  As for the OSBA’s concern that customers affected by PPL’s proposal </w:t>
      </w:r>
      <w:r w:rsidR="00E82F06" w:rsidRPr="000065B8">
        <w:rPr>
          <w:sz w:val="26"/>
          <w:szCs w:val="26"/>
        </w:rPr>
        <w:t>would</w:t>
      </w:r>
      <w:r w:rsidR="006D5B40" w:rsidRPr="000065B8">
        <w:rPr>
          <w:sz w:val="26"/>
          <w:szCs w:val="26"/>
        </w:rPr>
        <w:t xml:space="preserve"> be deprived of fixed-price service that may provide greater price stability</w:t>
      </w:r>
      <w:r w:rsidR="006D5B40">
        <w:rPr>
          <w:sz w:val="26"/>
          <w:szCs w:val="26"/>
        </w:rPr>
        <w:t xml:space="preserve">, we </w:t>
      </w:r>
      <w:r w:rsidR="00E82F06">
        <w:rPr>
          <w:sz w:val="26"/>
          <w:szCs w:val="26"/>
        </w:rPr>
        <w:t xml:space="preserve">stated our belief </w:t>
      </w:r>
      <w:r w:rsidR="006D5B40">
        <w:rPr>
          <w:sz w:val="26"/>
          <w:szCs w:val="26"/>
        </w:rPr>
        <w:t>that C&amp;I customers’ desire for fixed-price products can be adequately addressed though the competitive offerings of EGSs.</w:t>
      </w:r>
      <w:r w:rsidR="00E82F06">
        <w:rPr>
          <w:sz w:val="26"/>
          <w:szCs w:val="26"/>
        </w:rPr>
        <w:t xml:space="preserve">  </w:t>
      </w:r>
      <w:proofErr w:type="gramStart"/>
      <w:r w:rsidR="00353491">
        <w:rPr>
          <w:i/>
          <w:sz w:val="26"/>
          <w:szCs w:val="26"/>
        </w:rPr>
        <w:t>January 2015 Order</w:t>
      </w:r>
      <w:r w:rsidR="00E82F06">
        <w:rPr>
          <w:sz w:val="26"/>
          <w:szCs w:val="26"/>
        </w:rPr>
        <w:t xml:space="preserve"> at 43.</w:t>
      </w:r>
      <w:proofErr w:type="gramEnd"/>
    </w:p>
    <w:p w:rsidR="00160E76" w:rsidRDefault="00160E76" w:rsidP="00805E55">
      <w:pPr>
        <w:rPr>
          <w:sz w:val="26"/>
          <w:szCs w:val="26"/>
        </w:rPr>
      </w:pPr>
    </w:p>
    <w:p w:rsidR="006D5B40" w:rsidRPr="00A1610D" w:rsidRDefault="009F525A" w:rsidP="006D5B40">
      <w:pPr>
        <w:rPr>
          <w:rFonts w:ascii="Times New Roman" w:hAnsi="Times New Roman"/>
          <w:sz w:val="26"/>
          <w:szCs w:val="26"/>
        </w:rPr>
      </w:pPr>
      <w:r>
        <w:rPr>
          <w:sz w:val="26"/>
          <w:szCs w:val="26"/>
        </w:rPr>
        <w:tab/>
      </w:r>
      <w:r>
        <w:rPr>
          <w:sz w:val="26"/>
          <w:szCs w:val="26"/>
        </w:rPr>
        <w:tab/>
        <w:t>W</w:t>
      </w:r>
      <w:r w:rsidR="00160E76">
        <w:rPr>
          <w:sz w:val="26"/>
          <w:szCs w:val="26"/>
        </w:rPr>
        <w:t>e</w:t>
      </w:r>
      <w:r>
        <w:rPr>
          <w:sz w:val="26"/>
          <w:szCs w:val="26"/>
        </w:rPr>
        <w:t xml:space="preserve"> also</w:t>
      </w:r>
      <w:r w:rsidR="00160E76">
        <w:rPr>
          <w:sz w:val="26"/>
          <w:szCs w:val="26"/>
        </w:rPr>
        <w:t xml:space="preserve"> agreed with PPL that</w:t>
      </w:r>
      <w:r w:rsidR="006D5B40">
        <w:rPr>
          <w:rFonts w:ascii="Times New Roman" w:hAnsi="Times New Roman"/>
          <w:sz w:val="26"/>
          <w:szCs w:val="26"/>
        </w:rPr>
        <w:t xml:space="preserve"> the Competition Act does not require that multiple products necessarily be procured for each customer class of a default service provider, but rather, requires that a default service plan </w:t>
      </w:r>
      <w:r w:rsidR="006D5B40" w:rsidRPr="00CE1C6F">
        <w:rPr>
          <w:rFonts w:ascii="Times New Roman" w:hAnsi="Times New Roman"/>
          <w:sz w:val="26"/>
          <w:szCs w:val="26"/>
        </w:rPr>
        <w:t>as a whole include a prudent mix of spot market purchases, short-term products, and long-term purchase contracts</w:t>
      </w:r>
      <w:r w:rsidR="006D5B40">
        <w:rPr>
          <w:rFonts w:ascii="Times New Roman" w:hAnsi="Times New Roman"/>
          <w:sz w:val="26"/>
          <w:szCs w:val="26"/>
        </w:rPr>
        <w:t xml:space="preserve"> as necessary to ensure adequate and reliable service to customers at the least cost over time</w:t>
      </w:r>
      <w:r w:rsidR="006D5B40" w:rsidRPr="00CE1C6F">
        <w:rPr>
          <w:rFonts w:ascii="Times New Roman" w:hAnsi="Times New Roman"/>
          <w:sz w:val="26"/>
          <w:szCs w:val="26"/>
        </w:rPr>
        <w:t xml:space="preserve">.  </w:t>
      </w:r>
      <w:r w:rsidR="00353491">
        <w:rPr>
          <w:rFonts w:ascii="Times New Roman" w:hAnsi="Times New Roman"/>
          <w:i/>
          <w:sz w:val="26"/>
          <w:szCs w:val="26"/>
        </w:rPr>
        <w:t>January 2015 Order</w:t>
      </w:r>
      <w:r w:rsidR="00160E76">
        <w:rPr>
          <w:rFonts w:ascii="Times New Roman" w:hAnsi="Times New Roman"/>
          <w:sz w:val="26"/>
          <w:szCs w:val="26"/>
        </w:rPr>
        <w:t xml:space="preserve"> at 43-44 (citing </w:t>
      </w:r>
      <w:r w:rsidR="006D5B40">
        <w:rPr>
          <w:rFonts w:ascii="Times New Roman" w:hAnsi="Times New Roman"/>
          <w:sz w:val="26"/>
          <w:szCs w:val="26"/>
        </w:rPr>
        <w:t>66 Pa. C.S. §§ 2802(e</w:t>
      </w:r>
      <w:proofErr w:type="gramStart"/>
      <w:r w:rsidR="006D5B40">
        <w:rPr>
          <w:rFonts w:ascii="Times New Roman" w:hAnsi="Times New Roman"/>
          <w:sz w:val="26"/>
          <w:szCs w:val="26"/>
        </w:rPr>
        <w:t>)(</w:t>
      </w:r>
      <w:proofErr w:type="gramEnd"/>
      <w:r w:rsidR="006D5B40">
        <w:rPr>
          <w:rFonts w:ascii="Times New Roman" w:hAnsi="Times New Roman"/>
          <w:sz w:val="26"/>
          <w:szCs w:val="26"/>
        </w:rPr>
        <w:t xml:space="preserve">3.2) and </w:t>
      </w:r>
      <w:r w:rsidR="006D5B40" w:rsidRPr="00387868">
        <w:rPr>
          <w:sz w:val="26"/>
          <w:szCs w:val="26"/>
        </w:rPr>
        <w:t>2807(e)(3.4)</w:t>
      </w:r>
      <w:r w:rsidR="00160E76">
        <w:rPr>
          <w:sz w:val="26"/>
          <w:szCs w:val="26"/>
        </w:rPr>
        <w:t>)</w:t>
      </w:r>
      <w:r w:rsidR="006D5B40">
        <w:rPr>
          <w:sz w:val="26"/>
          <w:szCs w:val="26"/>
        </w:rPr>
        <w:t>.</w:t>
      </w:r>
      <w:r w:rsidR="006D5B40">
        <w:rPr>
          <w:rFonts w:ascii="Times New Roman" w:hAnsi="Times New Roman"/>
          <w:sz w:val="26"/>
          <w:szCs w:val="26"/>
        </w:rPr>
        <w:t xml:space="preserve"> </w:t>
      </w:r>
      <w:r w:rsidR="0045735A">
        <w:rPr>
          <w:rFonts w:ascii="Times New Roman" w:hAnsi="Times New Roman"/>
          <w:sz w:val="26"/>
          <w:szCs w:val="26"/>
        </w:rPr>
        <w:t xml:space="preserve"> Moreover, we noted that</w:t>
      </w:r>
      <w:r w:rsidR="006D5B40" w:rsidRPr="00CE1C6F">
        <w:rPr>
          <w:rFonts w:ascii="Times New Roman" w:hAnsi="Times New Roman"/>
          <w:sz w:val="26"/>
          <w:szCs w:val="26"/>
        </w:rPr>
        <w:t xml:space="preserve"> the Commonwealth Court recently upheld the Commission</w:t>
      </w:r>
      <w:r w:rsidR="006D5B40">
        <w:rPr>
          <w:rFonts w:ascii="Times New Roman" w:hAnsi="Times New Roman"/>
          <w:sz w:val="26"/>
          <w:szCs w:val="26"/>
        </w:rPr>
        <w:t>’</w:t>
      </w:r>
      <w:r w:rsidR="006D5B40" w:rsidRPr="00CE1C6F">
        <w:rPr>
          <w:rFonts w:ascii="Times New Roman" w:hAnsi="Times New Roman"/>
          <w:sz w:val="26"/>
          <w:szCs w:val="26"/>
        </w:rPr>
        <w:t>s approval of a default service plan for Pike County that</w:t>
      </w:r>
      <w:r w:rsidR="006D5B40">
        <w:rPr>
          <w:rFonts w:ascii="Times New Roman" w:hAnsi="Times New Roman"/>
          <w:sz w:val="26"/>
          <w:szCs w:val="26"/>
        </w:rPr>
        <w:t xml:space="preserve"> included only spot market purchases, finding that the Commission properly determined that a “prudent mix” of products may include only one of the sources enumerated in 66 Pa. C.S. 2807(e</w:t>
      </w:r>
      <w:proofErr w:type="gramStart"/>
      <w:r w:rsidR="006D5B40">
        <w:rPr>
          <w:rFonts w:ascii="Times New Roman" w:hAnsi="Times New Roman"/>
          <w:sz w:val="26"/>
          <w:szCs w:val="26"/>
        </w:rPr>
        <w:t>)(</w:t>
      </w:r>
      <w:proofErr w:type="gramEnd"/>
      <w:r w:rsidR="006D5B40">
        <w:rPr>
          <w:rFonts w:ascii="Times New Roman" w:hAnsi="Times New Roman"/>
          <w:sz w:val="26"/>
          <w:szCs w:val="26"/>
        </w:rPr>
        <w:t xml:space="preserve">3.2) when this is the most prudent course and is likely to incur the least cost over time.  </w:t>
      </w:r>
      <w:proofErr w:type="gramStart"/>
      <w:r w:rsidR="00353491">
        <w:rPr>
          <w:rFonts w:ascii="Times New Roman" w:hAnsi="Times New Roman"/>
          <w:i/>
          <w:sz w:val="26"/>
          <w:szCs w:val="26"/>
        </w:rPr>
        <w:t>January 2015 Order</w:t>
      </w:r>
      <w:r w:rsidR="0045735A">
        <w:rPr>
          <w:rFonts w:ascii="Times New Roman" w:hAnsi="Times New Roman"/>
          <w:sz w:val="26"/>
          <w:szCs w:val="26"/>
        </w:rPr>
        <w:t xml:space="preserve"> at 44 (citing </w:t>
      </w:r>
      <w:proofErr w:type="spellStart"/>
      <w:r w:rsidR="006D5B40">
        <w:rPr>
          <w:rFonts w:ascii="Times New Roman" w:hAnsi="Times New Roman"/>
          <w:i/>
          <w:sz w:val="26"/>
          <w:szCs w:val="26"/>
        </w:rPr>
        <w:t>Popowsky</w:t>
      </w:r>
      <w:proofErr w:type="spellEnd"/>
      <w:r w:rsidR="006D5B40">
        <w:rPr>
          <w:rFonts w:ascii="Times New Roman" w:hAnsi="Times New Roman"/>
          <w:i/>
          <w:sz w:val="26"/>
          <w:szCs w:val="26"/>
        </w:rPr>
        <w:t xml:space="preserve"> </w:t>
      </w:r>
      <w:r w:rsidR="006D5B40" w:rsidRPr="008B056C">
        <w:rPr>
          <w:rFonts w:ascii="Times New Roman" w:hAnsi="Times New Roman"/>
          <w:sz w:val="26"/>
          <w:szCs w:val="26"/>
        </w:rPr>
        <w:t xml:space="preserve">at </w:t>
      </w:r>
      <w:r w:rsidR="006D5B40">
        <w:rPr>
          <w:rFonts w:ascii="Times New Roman" w:hAnsi="Times New Roman"/>
          <w:sz w:val="26"/>
          <w:szCs w:val="26"/>
        </w:rPr>
        <w:t>1116</w:t>
      </w:r>
      <w:r w:rsidR="006D5B40">
        <w:rPr>
          <w:rFonts w:ascii="Times New Roman" w:hAnsi="Times New Roman"/>
          <w:sz w:val="26"/>
          <w:szCs w:val="26"/>
        </w:rPr>
        <w:noBreakHyphen/>
      </w:r>
      <w:r w:rsidR="006D5B40" w:rsidRPr="008B056C">
        <w:rPr>
          <w:rFonts w:ascii="Times New Roman" w:hAnsi="Times New Roman"/>
          <w:sz w:val="26"/>
          <w:szCs w:val="26"/>
        </w:rPr>
        <w:t>1117</w:t>
      </w:r>
      <w:r w:rsidR="0045735A">
        <w:rPr>
          <w:rFonts w:ascii="Times New Roman" w:hAnsi="Times New Roman"/>
          <w:sz w:val="26"/>
          <w:szCs w:val="26"/>
        </w:rPr>
        <w:t>)</w:t>
      </w:r>
      <w:r w:rsidR="006D5B40">
        <w:rPr>
          <w:rFonts w:ascii="Times New Roman" w:hAnsi="Times New Roman"/>
          <w:sz w:val="26"/>
          <w:szCs w:val="26"/>
        </w:rPr>
        <w:t>.</w:t>
      </w:r>
      <w:proofErr w:type="gramEnd"/>
      <w:r w:rsidR="00122EB8">
        <w:rPr>
          <w:rFonts w:ascii="Times New Roman" w:hAnsi="Times New Roman"/>
          <w:sz w:val="26"/>
          <w:szCs w:val="26"/>
        </w:rPr>
        <w:t xml:space="preserve">  We noted further that</w:t>
      </w:r>
      <w:r w:rsidR="006D5B40">
        <w:rPr>
          <w:rFonts w:ascii="Times New Roman" w:hAnsi="Times New Roman"/>
          <w:sz w:val="26"/>
          <w:szCs w:val="26"/>
        </w:rPr>
        <w:t xml:space="preserve"> this </w:t>
      </w:r>
      <w:r w:rsidR="006D5B40">
        <w:rPr>
          <w:rFonts w:ascii="Times New Roman" w:hAnsi="Times New Roman"/>
          <w:sz w:val="26"/>
          <w:szCs w:val="26"/>
        </w:rPr>
        <w:lastRenderedPageBreak/>
        <w:t xml:space="preserve">Commission has approved hourly pricing for </w:t>
      </w:r>
      <w:proofErr w:type="gramStart"/>
      <w:r w:rsidR="006D5B40">
        <w:rPr>
          <w:rFonts w:ascii="Times New Roman" w:hAnsi="Times New Roman"/>
          <w:sz w:val="26"/>
          <w:szCs w:val="26"/>
        </w:rPr>
        <w:t>C&amp;I</w:t>
      </w:r>
      <w:proofErr w:type="gramEnd"/>
      <w:r w:rsidR="006D5B40">
        <w:rPr>
          <w:rFonts w:ascii="Times New Roman" w:hAnsi="Times New Roman"/>
          <w:sz w:val="26"/>
          <w:szCs w:val="26"/>
        </w:rPr>
        <w:t xml:space="preserve"> customers on a number of prior occasions.</w:t>
      </w:r>
      <w:r w:rsidR="00122EB8">
        <w:rPr>
          <w:rFonts w:ascii="Times New Roman" w:hAnsi="Times New Roman"/>
          <w:sz w:val="26"/>
          <w:szCs w:val="26"/>
        </w:rPr>
        <w:t xml:space="preserve">  </w:t>
      </w:r>
      <w:r w:rsidR="00353491" w:rsidRPr="00CB2BFA">
        <w:rPr>
          <w:rFonts w:ascii="Times New Roman" w:hAnsi="Times New Roman"/>
          <w:i/>
          <w:sz w:val="26"/>
          <w:szCs w:val="26"/>
        </w:rPr>
        <w:t>January 2015 Order</w:t>
      </w:r>
      <w:r w:rsidR="00122EB8">
        <w:rPr>
          <w:rFonts w:ascii="Times New Roman" w:hAnsi="Times New Roman"/>
          <w:sz w:val="26"/>
          <w:szCs w:val="26"/>
        </w:rPr>
        <w:t xml:space="preserve"> at 44 (citing </w:t>
      </w:r>
      <w:r w:rsidR="006D5B40" w:rsidRPr="00594452">
        <w:rPr>
          <w:rFonts w:ascii="Times New Roman" w:hAnsi="Times New Roman"/>
          <w:i/>
          <w:sz w:val="26"/>
          <w:szCs w:val="26"/>
        </w:rPr>
        <w:t>PPL DSP II</w:t>
      </w:r>
      <w:r w:rsidR="006D5B40">
        <w:rPr>
          <w:rFonts w:ascii="Times New Roman" w:hAnsi="Times New Roman"/>
          <w:sz w:val="26"/>
          <w:szCs w:val="26"/>
        </w:rPr>
        <w:t xml:space="preserve">; </w:t>
      </w:r>
      <w:r w:rsidR="006D5B40" w:rsidRPr="008F74FD">
        <w:rPr>
          <w:rFonts w:ascii="Times New Roman" w:hAnsi="Times New Roman"/>
          <w:i/>
          <w:sz w:val="26"/>
          <w:szCs w:val="26"/>
        </w:rPr>
        <w:t xml:space="preserve">Joint Petition of Metropolitan Edison Company, Pennsylvania Electric Company, Pennsylvania Power Company, and West Penn Power Company for Approval of their Default Service Programs, </w:t>
      </w:r>
      <w:r w:rsidR="006D5B40" w:rsidRPr="008F74FD">
        <w:rPr>
          <w:rFonts w:ascii="Times New Roman" w:hAnsi="Times New Roman"/>
          <w:sz w:val="26"/>
          <w:szCs w:val="26"/>
        </w:rPr>
        <w:t>Docket Nos. P</w:t>
      </w:r>
      <w:r w:rsidR="006D5B40" w:rsidRPr="008F74FD">
        <w:rPr>
          <w:rFonts w:ascii="Times New Roman" w:hAnsi="Times New Roman"/>
          <w:sz w:val="26"/>
          <w:szCs w:val="26"/>
        </w:rPr>
        <w:noBreakHyphen/>
      </w:r>
      <w:r w:rsidR="006D5B40">
        <w:rPr>
          <w:rFonts w:ascii="Times New Roman" w:hAnsi="Times New Roman"/>
          <w:sz w:val="26"/>
          <w:szCs w:val="26"/>
        </w:rPr>
        <w:t>2013-2391368, P-2013-2391372, P</w:t>
      </w:r>
      <w:r w:rsidR="006D5B40">
        <w:rPr>
          <w:rFonts w:ascii="Times New Roman" w:hAnsi="Times New Roman"/>
          <w:sz w:val="26"/>
          <w:szCs w:val="26"/>
        </w:rPr>
        <w:noBreakHyphen/>
      </w:r>
      <w:r w:rsidR="006D5B40" w:rsidRPr="008F74FD">
        <w:rPr>
          <w:rFonts w:ascii="Times New Roman" w:hAnsi="Times New Roman"/>
          <w:sz w:val="26"/>
          <w:szCs w:val="26"/>
        </w:rPr>
        <w:t>2013-2391375, P-2013-2391378(Opinion an</w:t>
      </w:r>
      <w:r w:rsidR="00CB2BFA">
        <w:rPr>
          <w:rFonts w:ascii="Times New Roman" w:hAnsi="Times New Roman"/>
          <w:sz w:val="26"/>
          <w:szCs w:val="26"/>
        </w:rPr>
        <w:t>d Order entered July 24, 2014)</w:t>
      </w:r>
      <w:r w:rsidR="006D5B40">
        <w:rPr>
          <w:rFonts w:ascii="Times New Roman" w:hAnsi="Times New Roman"/>
          <w:sz w:val="26"/>
          <w:szCs w:val="26"/>
        </w:rPr>
        <w:t xml:space="preserve">; </w:t>
      </w:r>
      <w:r w:rsidR="006D5B40" w:rsidRPr="00677FC6">
        <w:rPr>
          <w:rFonts w:ascii="Times New Roman" w:hAnsi="Times New Roman"/>
          <w:i/>
          <w:sz w:val="26"/>
          <w:szCs w:val="26"/>
        </w:rPr>
        <w:t>Petitio</w:t>
      </w:r>
      <w:r w:rsidR="006D5B40">
        <w:rPr>
          <w:rFonts w:ascii="Times New Roman" w:hAnsi="Times New Roman"/>
          <w:i/>
          <w:sz w:val="26"/>
          <w:szCs w:val="26"/>
        </w:rPr>
        <w:t>n of PECO Energy Company f</w:t>
      </w:r>
      <w:r w:rsidR="006D5B40" w:rsidRPr="00677FC6">
        <w:rPr>
          <w:rFonts w:ascii="Times New Roman" w:hAnsi="Times New Roman"/>
          <w:i/>
          <w:sz w:val="26"/>
          <w:szCs w:val="26"/>
        </w:rPr>
        <w:t xml:space="preserve">or Approval of its Default Service Program </w:t>
      </w:r>
      <w:r w:rsidR="006D5B40" w:rsidRPr="00A1610D">
        <w:rPr>
          <w:rFonts w:ascii="Times New Roman" w:hAnsi="Times New Roman"/>
          <w:i/>
          <w:sz w:val="26"/>
          <w:szCs w:val="26"/>
        </w:rPr>
        <w:t>for the period from June 1, 2015 through</w:t>
      </w:r>
      <w:r w:rsidR="00CB2BFA">
        <w:rPr>
          <w:rFonts w:ascii="Times New Roman" w:hAnsi="Times New Roman"/>
          <w:i/>
          <w:sz w:val="26"/>
          <w:szCs w:val="26"/>
        </w:rPr>
        <w:t xml:space="preserve"> </w:t>
      </w:r>
      <w:r w:rsidR="006D5B40" w:rsidRPr="00A1610D">
        <w:rPr>
          <w:rFonts w:ascii="Times New Roman" w:hAnsi="Times New Roman"/>
          <w:i/>
          <w:sz w:val="26"/>
          <w:szCs w:val="26"/>
        </w:rPr>
        <w:t>May 31, 2017</w:t>
      </w:r>
      <w:r w:rsidR="006D5B40">
        <w:rPr>
          <w:rFonts w:ascii="Times New Roman" w:hAnsi="Times New Roman"/>
          <w:sz w:val="26"/>
          <w:szCs w:val="26"/>
        </w:rPr>
        <w:t>, Docket No. P</w:t>
      </w:r>
      <w:r w:rsidR="006D5B40">
        <w:rPr>
          <w:rFonts w:ascii="Times New Roman" w:hAnsi="Times New Roman"/>
          <w:sz w:val="26"/>
          <w:szCs w:val="26"/>
        </w:rPr>
        <w:noBreakHyphen/>
        <w:t xml:space="preserve">2014-2409362 </w:t>
      </w:r>
      <w:r w:rsidR="006D5B40" w:rsidRPr="00677FC6">
        <w:rPr>
          <w:rFonts w:ascii="Times New Roman" w:hAnsi="Times New Roman"/>
          <w:sz w:val="26"/>
          <w:szCs w:val="26"/>
        </w:rPr>
        <w:t>(Opinion an</w:t>
      </w:r>
      <w:r w:rsidR="006D5B40">
        <w:rPr>
          <w:rFonts w:ascii="Times New Roman" w:hAnsi="Times New Roman"/>
          <w:sz w:val="26"/>
          <w:szCs w:val="26"/>
        </w:rPr>
        <w:t>d Order entered December 4, 2014</w:t>
      </w:r>
      <w:r w:rsidR="006D5B40" w:rsidRPr="00677FC6">
        <w:rPr>
          <w:rFonts w:ascii="Times New Roman" w:hAnsi="Times New Roman"/>
          <w:sz w:val="26"/>
          <w:szCs w:val="26"/>
        </w:rPr>
        <w:t>)</w:t>
      </w:r>
      <w:r w:rsidR="00122EB8">
        <w:rPr>
          <w:rFonts w:ascii="Times New Roman" w:hAnsi="Times New Roman"/>
          <w:sz w:val="26"/>
          <w:szCs w:val="26"/>
        </w:rPr>
        <w:t>)</w:t>
      </w:r>
      <w:r w:rsidR="006D5B40">
        <w:rPr>
          <w:rFonts w:ascii="Times New Roman" w:hAnsi="Times New Roman"/>
          <w:sz w:val="26"/>
          <w:szCs w:val="26"/>
        </w:rPr>
        <w:t>.</w:t>
      </w:r>
    </w:p>
    <w:p w:rsidR="006D5B40" w:rsidRDefault="006D5B40" w:rsidP="006D5B40">
      <w:pPr>
        <w:rPr>
          <w:rFonts w:ascii="Times New Roman" w:hAnsi="Times New Roman"/>
          <w:sz w:val="26"/>
          <w:szCs w:val="26"/>
        </w:rPr>
      </w:pPr>
    </w:p>
    <w:p w:rsidR="006D5B40" w:rsidRDefault="006D5B40" w:rsidP="006D5B40">
      <w:pPr>
        <w:rPr>
          <w:sz w:val="26"/>
          <w:szCs w:val="26"/>
        </w:rPr>
      </w:pPr>
      <w:r>
        <w:rPr>
          <w:rFonts w:ascii="Times New Roman" w:hAnsi="Times New Roman"/>
          <w:sz w:val="26"/>
          <w:szCs w:val="26"/>
        </w:rPr>
        <w:tab/>
      </w:r>
      <w:r>
        <w:rPr>
          <w:rFonts w:ascii="Times New Roman" w:hAnsi="Times New Roman"/>
          <w:sz w:val="26"/>
          <w:szCs w:val="26"/>
        </w:rPr>
        <w:tab/>
        <w:t>Finally, we</w:t>
      </w:r>
      <w:r w:rsidR="001142CA">
        <w:rPr>
          <w:rFonts w:ascii="Times New Roman" w:hAnsi="Times New Roman"/>
          <w:sz w:val="26"/>
          <w:szCs w:val="26"/>
        </w:rPr>
        <w:t xml:space="preserve"> stated that we</w:t>
      </w:r>
      <w:r>
        <w:rPr>
          <w:rFonts w:ascii="Times New Roman" w:hAnsi="Times New Roman"/>
          <w:sz w:val="26"/>
          <w:szCs w:val="26"/>
        </w:rPr>
        <w:t xml:space="preserve"> do not agree with arguments suggesting that we are precluded from permitting EDCs to expand the availability of hourly-priced products to </w:t>
      </w:r>
      <w:proofErr w:type="gramStart"/>
      <w:r>
        <w:rPr>
          <w:rFonts w:ascii="Times New Roman" w:hAnsi="Times New Roman"/>
          <w:sz w:val="26"/>
          <w:szCs w:val="26"/>
        </w:rPr>
        <w:t>C&amp;I</w:t>
      </w:r>
      <w:proofErr w:type="gramEnd"/>
      <w:r>
        <w:rPr>
          <w:rFonts w:ascii="Times New Roman" w:hAnsi="Times New Roman"/>
          <w:sz w:val="26"/>
          <w:szCs w:val="26"/>
        </w:rPr>
        <w:t xml:space="preserve"> customers with demand between 100 kW and 500 kW because of certain pronouncements we made in the </w:t>
      </w:r>
      <w:r w:rsidRPr="00E52881">
        <w:rPr>
          <w:rFonts w:ascii="Times New Roman" w:hAnsi="Times New Roman"/>
          <w:i/>
          <w:sz w:val="26"/>
          <w:szCs w:val="26"/>
        </w:rPr>
        <w:t>End State Order</w:t>
      </w:r>
      <w:r>
        <w:rPr>
          <w:rFonts w:ascii="Times New Roman" w:hAnsi="Times New Roman"/>
          <w:sz w:val="26"/>
          <w:szCs w:val="26"/>
        </w:rPr>
        <w:t xml:space="preserve">.  </w:t>
      </w:r>
      <w:r w:rsidR="001142CA">
        <w:rPr>
          <w:rFonts w:ascii="Times New Roman" w:hAnsi="Times New Roman"/>
          <w:sz w:val="26"/>
          <w:szCs w:val="26"/>
        </w:rPr>
        <w:t>We pointed out that w</w:t>
      </w:r>
      <w:r>
        <w:rPr>
          <w:rFonts w:ascii="Times New Roman" w:hAnsi="Times New Roman"/>
          <w:sz w:val="26"/>
          <w:szCs w:val="26"/>
        </w:rPr>
        <w:t>hile we expressed a preference for legislative amendments that would provide the authority to approve</w:t>
      </w:r>
      <w:r w:rsidR="001142CA">
        <w:rPr>
          <w:rFonts w:ascii="Times New Roman" w:hAnsi="Times New Roman"/>
          <w:sz w:val="26"/>
          <w:szCs w:val="26"/>
        </w:rPr>
        <w:t xml:space="preserve"> </w:t>
      </w:r>
      <w:r w:rsidRPr="008733F7">
        <w:rPr>
          <w:rFonts w:ascii="Times New Roman" w:hAnsi="Times New Roman"/>
          <w:sz w:val="26"/>
          <w:szCs w:val="26"/>
        </w:rPr>
        <w:t>defau</w:t>
      </w:r>
      <w:r>
        <w:rPr>
          <w:rFonts w:ascii="Times New Roman" w:hAnsi="Times New Roman"/>
          <w:sz w:val="26"/>
          <w:szCs w:val="26"/>
        </w:rPr>
        <w:t xml:space="preserve">lt service plans containing more market-based products, we also stated our belief that “the Commission </w:t>
      </w:r>
      <w:r w:rsidRPr="008733F7">
        <w:rPr>
          <w:rFonts w:ascii="Times New Roman" w:hAnsi="Times New Roman"/>
          <w:sz w:val="26"/>
          <w:szCs w:val="26"/>
        </w:rPr>
        <w:t xml:space="preserve">appears </w:t>
      </w:r>
      <w:r w:rsidRPr="008733F7">
        <w:rPr>
          <w:rFonts w:ascii="Times New Roman" w:hAnsi="Times New Roman"/>
          <w:i/>
          <w:sz w:val="26"/>
          <w:szCs w:val="26"/>
        </w:rPr>
        <w:t>currently</w:t>
      </w:r>
      <w:r w:rsidRPr="008733F7">
        <w:rPr>
          <w:rFonts w:ascii="Times New Roman" w:hAnsi="Times New Roman"/>
          <w:sz w:val="26"/>
          <w:szCs w:val="26"/>
        </w:rPr>
        <w:t xml:space="preserve"> to have authority to establish shorter-term default service products that are more reflective of market conditions than existing products.</w:t>
      </w:r>
      <w:r>
        <w:rPr>
          <w:rFonts w:ascii="Times New Roman" w:hAnsi="Times New Roman"/>
          <w:sz w:val="26"/>
          <w:szCs w:val="26"/>
        </w:rPr>
        <w:t>”</w:t>
      </w:r>
      <w:r w:rsidR="001142CA">
        <w:rPr>
          <w:rFonts w:ascii="Times New Roman" w:hAnsi="Times New Roman"/>
          <w:sz w:val="26"/>
          <w:szCs w:val="26"/>
        </w:rPr>
        <w:t xml:space="preserve"> </w:t>
      </w:r>
      <w:r w:rsidR="00353491">
        <w:rPr>
          <w:rFonts w:ascii="Times New Roman" w:hAnsi="Times New Roman"/>
          <w:i/>
          <w:sz w:val="26"/>
          <w:szCs w:val="26"/>
        </w:rPr>
        <w:t>January 2015 Order</w:t>
      </w:r>
      <w:r w:rsidR="001142CA">
        <w:rPr>
          <w:rFonts w:ascii="Times New Roman" w:hAnsi="Times New Roman"/>
          <w:sz w:val="26"/>
          <w:szCs w:val="26"/>
        </w:rPr>
        <w:t xml:space="preserve"> at 45 (citing </w:t>
      </w:r>
      <w:r w:rsidRPr="002223A8">
        <w:rPr>
          <w:rFonts w:ascii="Times New Roman" w:hAnsi="Times New Roman"/>
          <w:i/>
          <w:sz w:val="26"/>
          <w:szCs w:val="26"/>
        </w:rPr>
        <w:t>End State Order</w:t>
      </w:r>
      <w:r>
        <w:rPr>
          <w:rFonts w:ascii="Times New Roman" w:hAnsi="Times New Roman"/>
          <w:sz w:val="26"/>
          <w:szCs w:val="26"/>
        </w:rPr>
        <w:t xml:space="preserve"> at 45-46 (emphasis added)</w:t>
      </w:r>
      <w:r w:rsidR="001142CA">
        <w:rPr>
          <w:rFonts w:ascii="Times New Roman" w:hAnsi="Times New Roman"/>
          <w:sz w:val="26"/>
          <w:szCs w:val="26"/>
        </w:rPr>
        <w:t>)</w:t>
      </w:r>
      <w:r>
        <w:rPr>
          <w:rFonts w:ascii="Times New Roman" w:hAnsi="Times New Roman"/>
          <w:sz w:val="26"/>
          <w:szCs w:val="26"/>
        </w:rPr>
        <w:t>.</w:t>
      </w:r>
      <w:r w:rsidR="001142CA">
        <w:rPr>
          <w:rFonts w:ascii="Times New Roman" w:hAnsi="Times New Roman"/>
          <w:sz w:val="26"/>
          <w:szCs w:val="26"/>
        </w:rPr>
        <w:t xml:space="preserve">  We stated that in this proceeding, we were</w:t>
      </w:r>
      <w:r>
        <w:rPr>
          <w:rFonts w:ascii="Times New Roman" w:hAnsi="Times New Roman"/>
          <w:sz w:val="26"/>
          <w:szCs w:val="26"/>
        </w:rPr>
        <w:t xml:space="preserve"> not attempting to revise what the General Assembly </w:t>
      </w:r>
      <w:r w:rsidR="001142CA">
        <w:rPr>
          <w:rFonts w:ascii="Times New Roman" w:hAnsi="Times New Roman"/>
          <w:sz w:val="26"/>
          <w:szCs w:val="26"/>
        </w:rPr>
        <w:t>had</w:t>
      </w:r>
      <w:r>
        <w:rPr>
          <w:rFonts w:ascii="Times New Roman" w:hAnsi="Times New Roman"/>
          <w:sz w:val="26"/>
          <w:szCs w:val="26"/>
        </w:rPr>
        <w:t xml:space="preserve"> determined to constitute a prudent mix of products as enumerated in 66 Pa. C.</w:t>
      </w:r>
      <w:r w:rsidR="001142CA">
        <w:rPr>
          <w:rFonts w:ascii="Times New Roman" w:hAnsi="Times New Roman"/>
          <w:sz w:val="26"/>
          <w:szCs w:val="26"/>
        </w:rPr>
        <w:t>S. 2807(e)(3.2).  Rather, we were</w:t>
      </w:r>
      <w:r>
        <w:rPr>
          <w:rFonts w:ascii="Times New Roman" w:hAnsi="Times New Roman"/>
          <w:sz w:val="26"/>
          <w:szCs w:val="26"/>
        </w:rPr>
        <w:t xml:space="preserve"> simply approving the proposed expansion of hourly-priced default service to an additional group of C&amp;I cu</w:t>
      </w:r>
      <w:r w:rsidR="006E02F0">
        <w:rPr>
          <w:rFonts w:ascii="Times New Roman" w:hAnsi="Times New Roman"/>
          <w:sz w:val="26"/>
          <w:szCs w:val="26"/>
        </w:rPr>
        <w:t xml:space="preserve">stomers who </w:t>
      </w:r>
      <w:r>
        <w:rPr>
          <w:rFonts w:ascii="Times New Roman" w:hAnsi="Times New Roman"/>
          <w:sz w:val="26"/>
          <w:szCs w:val="26"/>
        </w:rPr>
        <w:t>appear</w:t>
      </w:r>
      <w:r w:rsidR="001142CA">
        <w:rPr>
          <w:rFonts w:ascii="Times New Roman" w:hAnsi="Times New Roman"/>
          <w:sz w:val="26"/>
          <w:szCs w:val="26"/>
        </w:rPr>
        <w:t>ed</w:t>
      </w:r>
      <w:r>
        <w:rPr>
          <w:rFonts w:ascii="Times New Roman" w:hAnsi="Times New Roman"/>
          <w:sz w:val="26"/>
          <w:szCs w:val="26"/>
        </w:rPr>
        <w:t xml:space="preserve"> to be “</w:t>
      </w:r>
      <w:r>
        <w:rPr>
          <w:sz w:val="26"/>
          <w:szCs w:val="26"/>
        </w:rPr>
        <w:t>well-equipped and educated to manage their commodity costs in an hourly spot market default service environment,” and who we believe</w:t>
      </w:r>
      <w:r w:rsidR="001142CA">
        <w:rPr>
          <w:sz w:val="26"/>
          <w:szCs w:val="26"/>
        </w:rPr>
        <w:t>d would</w:t>
      </w:r>
      <w:r>
        <w:rPr>
          <w:sz w:val="26"/>
          <w:szCs w:val="26"/>
        </w:rPr>
        <w:t xml:space="preserve"> receive the benefits of reliable service at the least cost over time as a result, in accordance with </w:t>
      </w:r>
      <w:r w:rsidRPr="00387868">
        <w:rPr>
          <w:sz w:val="26"/>
          <w:szCs w:val="26"/>
        </w:rPr>
        <w:t>2807(e</w:t>
      </w:r>
      <w:proofErr w:type="gramStart"/>
      <w:r w:rsidRPr="00387868">
        <w:rPr>
          <w:sz w:val="26"/>
          <w:szCs w:val="26"/>
        </w:rPr>
        <w:t>)(</w:t>
      </w:r>
      <w:proofErr w:type="gramEnd"/>
      <w:r w:rsidRPr="00387868">
        <w:rPr>
          <w:sz w:val="26"/>
          <w:szCs w:val="26"/>
        </w:rPr>
        <w:t>3.4)</w:t>
      </w:r>
      <w:r>
        <w:rPr>
          <w:sz w:val="26"/>
          <w:szCs w:val="26"/>
        </w:rPr>
        <w:t>.</w:t>
      </w:r>
      <w:r w:rsidR="001142CA">
        <w:rPr>
          <w:sz w:val="26"/>
          <w:szCs w:val="26"/>
        </w:rPr>
        <w:t xml:space="preserve">  </w:t>
      </w:r>
      <w:proofErr w:type="gramStart"/>
      <w:r w:rsidR="00353491">
        <w:rPr>
          <w:i/>
          <w:sz w:val="26"/>
          <w:szCs w:val="26"/>
        </w:rPr>
        <w:t>January 2015 Order</w:t>
      </w:r>
      <w:r w:rsidR="001142CA">
        <w:rPr>
          <w:sz w:val="26"/>
          <w:szCs w:val="26"/>
        </w:rPr>
        <w:t xml:space="preserve"> at 45.</w:t>
      </w:r>
      <w:proofErr w:type="gramEnd"/>
      <w:r w:rsidR="001142CA">
        <w:rPr>
          <w:sz w:val="26"/>
          <w:szCs w:val="26"/>
        </w:rPr>
        <w:t xml:space="preserve">  </w:t>
      </w:r>
    </w:p>
    <w:p w:rsidR="006D5B40" w:rsidRDefault="006D5B40" w:rsidP="006D5B40">
      <w:pPr>
        <w:rPr>
          <w:sz w:val="26"/>
          <w:szCs w:val="26"/>
        </w:rPr>
      </w:pPr>
    </w:p>
    <w:p w:rsidR="006D5B40" w:rsidRDefault="006D5B40" w:rsidP="006D5B40">
      <w:pPr>
        <w:rPr>
          <w:sz w:val="26"/>
          <w:szCs w:val="26"/>
        </w:rPr>
      </w:pPr>
      <w:r>
        <w:rPr>
          <w:sz w:val="26"/>
          <w:szCs w:val="26"/>
        </w:rPr>
        <w:lastRenderedPageBreak/>
        <w:tab/>
      </w:r>
      <w:r>
        <w:rPr>
          <w:sz w:val="26"/>
          <w:szCs w:val="26"/>
        </w:rPr>
        <w:tab/>
      </w:r>
      <w:r w:rsidR="001142CA">
        <w:rPr>
          <w:sz w:val="26"/>
          <w:szCs w:val="26"/>
        </w:rPr>
        <w:t>For these reasons</w:t>
      </w:r>
      <w:r>
        <w:rPr>
          <w:sz w:val="26"/>
          <w:szCs w:val="26"/>
        </w:rPr>
        <w:t>, we</w:t>
      </w:r>
      <w:r w:rsidR="001142CA">
        <w:rPr>
          <w:sz w:val="26"/>
          <w:szCs w:val="26"/>
        </w:rPr>
        <w:t xml:space="preserve"> </w:t>
      </w:r>
      <w:r>
        <w:rPr>
          <w:sz w:val="26"/>
          <w:szCs w:val="26"/>
        </w:rPr>
        <w:t>grant</w:t>
      </w:r>
      <w:r w:rsidR="001142CA">
        <w:rPr>
          <w:sz w:val="26"/>
          <w:szCs w:val="26"/>
        </w:rPr>
        <w:t>ed</w:t>
      </w:r>
      <w:r>
        <w:rPr>
          <w:sz w:val="26"/>
          <w:szCs w:val="26"/>
        </w:rPr>
        <w:t xml:space="preserve"> the Exceptions of PPL and RESA on this issue</w:t>
      </w:r>
      <w:r w:rsidR="001142CA">
        <w:rPr>
          <w:sz w:val="26"/>
          <w:szCs w:val="26"/>
        </w:rPr>
        <w:t xml:space="preserve">, and we </w:t>
      </w:r>
      <w:r>
        <w:rPr>
          <w:sz w:val="26"/>
          <w:szCs w:val="26"/>
        </w:rPr>
        <w:t>reverse</w:t>
      </w:r>
      <w:r w:rsidR="001142CA">
        <w:rPr>
          <w:sz w:val="26"/>
          <w:szCs w:val="26"/>
        </w:rPr>
        <w:t>d</w:t>
      </w:r>
      <w:r>
        <w:rPr>
          <w:sz w:val="26"/>
          <w:szCs w:val="26"/>
        </w:rPr>
        <w:t xml:space="preserve"> the ALJ’s recommendation and approve</w:t>
      </w:r>
      <w:r w:rsidR="001142CA">
        <w:rPr>
          <w:sz w:val="26"/>
          <w:szCs w:val="26"/>
        </w:rPr>
        <w:t>d</w:t>
      </w:r>
      <w:r>
        <w:rPr>
          <w:sz w:val="26"/>
          <w:szCs w:val="26"/>
        </w:rPr>
        <w:t xml:space="preserve"> PPL’s proposal to reduce the peak demand threshold for Large C&amp;I customers from 500 kW to 100 kW.</w:t>
      </w:r>
      <w:r w:rsidR="001142CA">
        <w:rPr>
          <w:sz w:val="26"/>
          <w:szCs w:val="26"/>
        </w:rPr>
        <w:t xml:space="preserve">  </w:t>
      </w:r>
      <w:proofErr w:type="gramStart"/>
      <w:r w:rsidR="00353491" w:rsidRPr="004065A4">
        <w:rPr>
          <w:i/>
          <w:sz w:val="26"/>
          <w:szCs w:val="26"/>
        </w:rPr>
        <w:t>January 2015 Order</w:t>
      </w:r>
      <w:r w:rsidR="001142CA">
        <w:rPr>
          <w:sz w:val="26"/>
          <w:szCs w:val="26"/>
        </w:rPr>
        <w:t xml:space="preserve"> at 45, 67.</w:t>
      </w:r>
      <w:proofErr w:type="gramEnd"/>
    </w:p>
    <w:p w:rsidR="00464D02" w:rsidRDefault="00464D02" w:rsidP="006D5B40">
      <w:pPr>
        <w:rPr>
          <w:sz w:val="26"/>
          <w:szCs w:val="26"/>
        </w:rPr>
      </w:pPr>
    </w:p>
    <w:p w:rsidR="00464D02" w:rsidRPr="0098242E" w:rsidRDefault="0078650D" w:rsidP="00C64BAE">
      <w:pPr>
        <w:keepNext/>
        <w:rPr>
          <w:rFonts w:ascii="Times New Roman" w:hAnsi="Times New Roman"/>
          <w:b/>
          <w:sz w:val="26"/>
          <w:szCs w:val="26"/>
        </w:rPr>
      </w:pPr>
      <w:r w:rsidRPr="0098242E">
        <w:rPr>
          <w:rFonts w:ascii="Times New Roman" w:hAnsi="Times New Roman"/>
          <w:b/>
          <w:sz w:val="26"/>
          <w:szCs w:val="26"/>
        </w:rPr>
        <w:t>OSBA’s Petition</w:t>
      </w:r>
    </w:p>
    <w:p w:rsidR="00464D02" w:rsidRDefault="00464D02" w:rsidP="00C64BAE">
      <w:pPr>
        <w:keepNext/>
        <w:rPr>
          <w:sz w:val="26"/>
          <w:szCs w:val="26"/>
        </w:rPr>
      </w:pPr>
    </w:p>
    <w:p w:rsidR="00464D02" w:rsidRDefault="004E26B2" w:rsidP="00C64BAE">
      <w:pPr>
        <w:keepNext/>
        <w:rPr>
          <w:sz w:val="26"/>
          <w:szCs w:val="26"/>
        </w:rPr>
      </w:pPr>
      <w:r>
        <w:rPr>
          <w:rFonts w:ascii="Times New Roman" w:hAnsi="Times New Roman"/>
          <w:sz w:val="26"/>
          <w:szCs w:val="26"/>
        </w:rPr>
        <w:tab/>
      </w:r>
      <w:r>
        <w:rPr>
          <w:rFonts w:ascii="Times New Roman" w:hAnsi="Times New Roman"/>
          <w:sz w:val="26"/>
          <w:szCs w:val="26"/>
        </w:rPr>
        <w:tab/>
        <w:t>Through its Petition, the OSBA seeks reconsideration of our d</w:t>
      </w:r>
      <w:r w:rsidR="001109B9">
        <w:rPr>
          <w:rFonts w:ascii="Times New Roman" w:hAnsi="Times New Roman"/>
          <w:sz w:val="26"/>
          <w:szCs w:val="26"/>
        </w:rPr>
        <w:t>isposition</w:t>
      </w:r>
      <w:r>
        <w:rPr>
          <w:rFonts w:ascii="Times New Roman" w:hAnsi="Times New Roman"/>
          <w:sz w:val="26"/>
          <w:szCs w:val="26"/>
        </w:rPr>
        <w:t xml:space="preserve"> regarding PPL’s proposal</w:t>
      </w:r>
      <w:r>
        <w:rPr>
          <w:sz w:val="26"/>
          <w:szCs w:val="26"/>
        </w:rPr>
        <w:t xml:space="preserve"> to reduce the peak demand threshold for Large C&amp;I customers from 500 kW to 100 kW as set forth in our </w:t>
      </w:r>
      <w:r w:rsidR="00353491">
        <w:rPr>
          <w:i/>
          <w:sz w:val="26"/>
          <w:szCs w:val="26"/>
        </w:rPr>
        <w:t>January 2015 Order</w:t>
      </w:r>
      <w:r>
        <w:rPr>
          <w:sz w:val="26"/>
          <w:szCs w:val="26"/>
        </w:rPr>
        <w:t xml:space="preserve">.  </w:t>
      </w:r>
      <w:r w:rsidR="001109B9">
        <w:rPr>
          <w:sz w:val="26"/>
          <w:szCs w:val="26"/>
        </w:rPr>
        <w:t xml:space="preserve">In its Petition, the OSBA takes issue </w:t>
      </w:r>
      <w:r w:rsidR="000712DD">
        <w:rPr>
          <w:sz w:val="26"/>
          <w:szCs w:val="26"/>
        </w:rPr>
        <w:t>with our determination that PPL’s</w:t>
      </w:r>
      <w:r w:rsidR="001109B9">
        <w:rPr>
          <w:sz w:val="26"/>
          <w:szCs w:val="26"/>
        </w:rPr>
        <w:t xml:space="preserve"> proposal will promote a competitive marketplace for electricity, asserting that we overlooked the fact that there already exists a competitive marketplace for PPL’s Small C&amp;I customers.  The OSBA states that shopping for these customers has been as high as 55.2% on a customer basis and 90% on a load basis in 2014.  </w:t>
      </w:r>
      <w:proofErr w:type="gramStart"/>
      <w:r w:rsidR="001109B9">
        <w:rPr>
          <w:sz w:val="26"/>
          <w:szCs w:val="26"/>
        </w:rPr>
        <w:t>Petition at 4.</w:t>
      </w:r>
      <w:proofErr w:type="gramEnd"/>
      <w:r w:rsidR="006E6CD9">
        <w:rPr>
          <w:sz w:val="26"/>
          <w:szCs w:val="26"/>
        </w:rPr>
        <w:t xml:space="preserve">  The OSBA also takes issue with our determination that Small C&amp;I customers can obtain the fixed-price products they desire through the competitive offerings of EGS, </w:t>
      </w:r>
      <w:r w:rsidR="0009760A">
        <w:rPr>
          <w:sz w:val="26"/>
          <w:szCs w:val="26"/>
        </w:rPr>
        <w:t xml:space="preserve">arguing that “[t]he legislature never intended the Competition Act to be a requirement that customers shop even when they choose not to in a fully functioning and competitive marketplace.”  </w:t>
      </w:r>
      <w:r w:rsidR="0009760A" w:rsidRPr="0009760A">
        <w:rPr>
          <w:i/>
          <w:sz w:val="26"/>
          <w:szCs w:val="26"/>
        </w:rPr>
        <w:t>Id</w:t>
      </w:r>
      <w:r w:rsidR="0009760A">
        <w:rPr>
          <w:sz w:val="26"/>
          <w:szCs w:val="26"/>
        </w:rPr>
        <w:t>.</w:t>
      </w:r>
    </w:p>
    <w:p w:rsidR="003B731D" w:rsidRDefault="003B731D" w:rsidP="006D5B40">
      <w:pPr>
        <w:rPr>
          <w:sz w:val="26"/>
          <w:szCs w:val="26"/>
        </w:rPr>
      </w:pPr>
    </w:p>
    <w:p w:rsidR="003B731D" w:rsidRDefault="003B731D" w:rsidP="006D5B40">
      <w:pPr>
        <w:rPr>
          <w:rFonts w:ascii="Times New Roman" w:hAnsi="Times New Roman"/>
          <w:sz w:val="26"/>
          <w:szCs w:val="26"/>
        </w:rPr>
      </w:pPr>
      <w:r>
        <w:rPr>
          <w:sz w:val="26"/>
          <w:szCs w:val="26"/>
        </w:rPr>
        <w:tab/>
      </w:r>
      <w:r>
        <w:rPr>
          <w:sz w:val="26"/>
          <w:szCs w:val="26"/>
        </w:rPr>
        <w:tab/>
        <w:t xml:space="preserve">The OSBA also asserts that “ALJ Colwell brilliantly sets forth the inconsistencies of the Commission’s policy on what </w:t>
      </w:r>
      <w:r w:rsidRPr="003B731D">
        <w:rPr>
          <w:i/>
          <w:sz w:val="26"/>
          <w:szCs w:val="26"/>
        </w:rPr>
        <w:t>is</w:t>
      </w:r>
      <w:r>
        <w:rPr>
          <w:sz w:val="26"/>
          <w:szCs w:val="26"/>
        </w:rPr>
        <w:t xml:space="preserve"> a ‘prudent mix’ [of default service products] for Small </w:t>
      </w:r>
      <w:proofErr w:type="gramStart"/>
      <w:r>
        <w:rPr>
          <w:sz w:val="26"/>
          <w:szCs w:val="26"/>
        </w:rPr>
        <w:t>C&amp;I</w:t>
      </w:r>
      <w:proofErr w:type="gramEnd"/>
      <w:r>
        <w:rPr>
          <w:sz w:val="26"/>
          <w:szCs w:val="26"/>
        </w:rPr>
        <w:t xml:space="preserve"> customers.”  </w:t>
      </w:r>
      <w:proofErr w:type="gramStart"/>
      <w:r w:rsidRPr="003B731D">
        <w:rPr>
          <w:i/>
          <w:sz w:val="26"/>
          <w:szCs w:val="26"/>
        </w:rPr>
        <w:t>Id</w:t>
      </w:r>
      <w:r>
        <w:rPr>
          <w:sz w:val="26"/>
          <w:szCs w:val="26"/>
        </w:rPr>
        <w:t xml:space="preserve">. </w:t>
      </w:r>
      <w:r w:rsidR="00667ED5">
        <w:rPr>
          <w:sz w:val="26"/>
          <w:szCs w:val="26"/>
        </w:rPr>
        <w:t>a</w:t>
      </w:r>
      <w:r>
        <w:rPr>
          <w:sz w:val="26"/>
          <w:szCs w:val="26"/>
        </w:rPr>
        <w:t>t 5.</w:t>
      </w:r>
      <w:proofErr w:type="gramEnd"/>
      <w:r>
        <w:rPr>
          <w:sz w:val="26"/>
          <w:szCs w:val="26"/>
        </w:rPr>
        <w:t xml:space="preserve">  </w:t>
      </w:r>
      <w:r w:rsidR="005B26B2">
        <w:rPr>
          <w:sz w:val="26"/>
          <w:szCs w:val="26"/>
        </w:rPr>
        <w:t>The OSBA noted the ALJ’</w:t>
      </w:r>
      <w:r w:rsidR="000712DD">
        <w:rPr>
          <w:sz w:val="26"/>
          <w:szCs w:val="26"/>
        </w:rPr>
        <w:t>s explanation of what she believed was</w:t>
      </w:r>
      <w:r w:rsidR="005B26B2">
        <w:rPr>
          <w:sz w:val="26"/>
          <w:szCs w:val="26"/>
        </w:rPr>
        <w:t xml:space="preserve"> a conflict between the “pruden</w:t>
      </w:r>
      <w:r w:rsidR="00667ED5">
        <w:rPr>
          <w:sz w:val="26"/>
          <w:szCs w:val="26"/>
        </w:rPr>
        <w:t xml:space="preserve">t mix” standard espoused in our Policy Statement at 52 Pa. Code </w:t>
      </w:r>
      <w:r w:rsidR="00667ED5">
        <w:rPr>
          <w:rFonts w:ascii="Times New Roman" w:hAnsi="Times New Roman"/>
          <w:sz w:val="26"/>
          <w:szCs w:val="26"/>
        </w:rPr>
        <w:t>§</w:t>
      </w:r>
      <w:r w:rsidR="00667ED5">
        <w:rPr>
          <w:sz w:val="26"/>
          <w:szCs w:val="26"/>
        </w:rPr>
        <w:t xml:space="preserve"> 69.1805, and</w:t>
      </w:r>
      <w:r w:rsidR="00C65C14">
        <w:rPr>
          <w:sz w:val="26"/>
          <w:szCs w:val="26"/>
        </w:rPr>
        <w:t xml:space="preserve"> our support for hourly</w:t>
      </w:r>
      <w:r w:rsidR="00667ED5">
        <w:rPr>
          <w:sz w:val="26"/>
          <w:szCs w:val="26"/>
        </w:rPr>
        <w:t xml:space="preserve"> </w:t>
      </w:r>
      <w:r w:rsidR="00464365">
        <w:rPr>
          <w:sz w:val="26"/>
          <w:szCs w:val="26"/>
        </w:rPr>
        <w:t>locational marginal pricing (</w:t>
      </w:r>
      <w:r w:rsidR="00C65C14">
        <w:rPr>
          <w:sz w:val="26"/>
          <w:szCs w:val="26"/>
        </w:rPr>
        <w:t>LMP</w:t>
      </w:r>
      <w:r w:rsidR="00464365">
        <w:rPr>
          <w:sz w:val="26"/>
          <w:szCs w:val="26"/>
        </w:rPr>
        <w:t>)</w:t>
      </w:r>
      <w:r w:rsidR="00C65C14">
        <w:rPr>
          <w:sz w:val="26"/>
          <w:szCs w:val="26"/>
        </w:rPr>
        <w:t xml:space="preserve"> service as discussed in the </w:t>
      </w:r>
      <w:r w:rsidR="00C65C14" w:rsidRPr="00C65C14">
        <w:rPr>
          <w:i/>
          <w:sz w:val="26"/>
          <w:szCs w:val="26"/>
        </w:rPr>
        <w:t>End State Order</w:t>
      </w:r>
      <w:r w:rsidR="00C65C14">
        <w:rPr>
          <w:sz w:val="26"/>
          <w:szCs w:val="26"/>
        </w:rPr>
        <w:t>.</w:t>
      </w:r>
      <w:r w:rsidR="00DF7A47">
        <w:rPr>
          <w:sz w:val="26"/>
          <w:szCs w:val="26"/>
        </w:rPr>
        <w:t xml:space="preserve">  </w:t>
      </w:r>
      <w:proofErr w:type="gramStart"/>
      <w:r w:rsidR="00DF7A47">
        <w:rPr>
          <w:sz w:val="26"/>
          <w:szCs w:val="26"/>
        </w:rPr>
        <w:t>Petition at 5-6 (citing R.D. at 44).</w:t>
      </w:r>
      <w:proofErr w:type="gramEnd"/>
      <w:r w:rsidR="00DF7A47">
        <w:rPr>
          <w:sz w:val="26"/>
          <w:szCs w:val="26"/>
        </w:rPr>
        <w:t xml:space="preserve">  According to the OSBA, the </w:t>
      </w:r>
      <w:r w:rsidR="00353491">
        <w:rPr>
          <w:i/>
          <w:sz w:val="26"/>
          <w:szCs w:val="26"/>
        </w:rPr>
        <w:t>January 2015 Order</w:t>
      </w:r>
      <w:r w:rsidR="00DF7A47">
        <w:rPr>
          <w:sz w:val="26"/>
          <w:szCs w:val="26"/>
        </w:rPr>
        <w:t xml:space="preserve"> “made no attempt to address the legal defects demonstrated by the ALJ in her RD.”  </w:t>
      </w:r>
      <w:proofErr w:type="gramStart"/>
      <w:r w:rsidR="00DF7A47">
        <w:rPr>
          <w:sz w:val="26"/>
          <w:szCs w:val="26"/>
        </w:rPr>
        <w:t>Petition at 6.</w:t>
      </w:r>
      <w:proofErr w:type="gramEnd"/>
    </w:p>
    <w:p w:rsidR="00A77F49" w:rsidRPr="006F7289" w:rsidRDefault="00A77F49" w:rsidP="00A77F49">
      <w:pPr>
        <w:rPr>
          <w:rFonts w:ascii="Times New Roman" w:hAnsi="Times New Roman"/>
          <w:sz w:val="26"/>
          <w:szCs w:val="26"/>
        </w:rPr>
      </w:pPr>
    </w:p>
    <w:p w:rsidR="000F2DA6" w:rsidRDefault="00112DF3" w:rsidP="009127A6">
      <w:pPr>
        <w:rPr>
          <w:rFonts w:ascii="Times New Roman" w:eastAsia="Calibri" w:hAnsi="Times New Roman"/>
          <w:sz w:val="26"/>
          <w:szCs w:val="26"/>
        </w:rPr>
      </w:pPr>
      <w:r>
        <w:rPr>
          <w:rFonts w:ascii="Times New Roman" w:eastAsia="Calibri" w:hAnsi="Times New Roman"/>
          <w:sz w:val="26"/>
          <w:szCs w:val="26"/>
        </w:rPr>
        <w:tab/>
      </w:r>
      <w:r>
        <w:rPr>
          <w:rFonts w:ascii="Times New Roman" w:eastAsia="Calibri" w:hAnsi="Times New Roman"/>
          <w:sz w:val="26"/>
          <w:szCs w:val="26"/>
        </w:rPr>
        <w:tab/>
        <w:t xml:space="preserve">The OSBA also </w:t>
      </w:r>
      <w:r w:rsidR="009127A6">
        <w:rPr>
          <w:rFonts w:ascii="Times New Roman" w:eastAsia="Calibri" w:hAnsi="Times New Roman"/>
          <w:sz w:val="26"/>
          <w:szCs w:val="26"/>
        </w:rPr>
        <w:t>believes there is</w:t>
      </w:r>
      <w:r>
        <w:rPr>
          <w:rFonts w:ascii="Times New Roman" w:eastAsia="Calibri" w:hAnsi="Times New Roman"/>
          <w:sz w:val="26"/>
          <w:szCs w:val="26"/>
        </w:rPr>
        <w:t xml:space="preserve"> an inconsistency between our statement of concern</w:t>
      </w:r>
      <w:r w:rsidR="00A616FB">
        <w:rPr>
          <w:rFonts w:ascii="Times New Roman" w:eastAsia="Calibri" w:hAnsi="Times New Roman"/>
          <w:sz w:val="26"/>
          <w:szCs w:val="26"/>
        </w:rPr>
        <w:t>,</w:t>
      </w:r>
      <w:r w:rsidR="00A616FB" w:rsidRPr="00A616FB">
        <w:rPr>
          <w:rFonts w:ascii="Times New Roman" w:eastAsia="Calibri" w:hAnsi="Times New Roman"/>
          <w:sz w:val="26"/>
          <w:szCs w:val="26"/>
        </w:rPr>
        <w:t xml:space="preserve"> </w:t>
      </w:r>
      <w:r w:rsidR="00A616FB">
        <w:rPr>
          <w:rFonts w:ascii="Times New Roman" w:eastAsia="Calibri" w:hAnsi="Times New Roman"/>
          <w:sz w:val="26"/>
          <w:szCs w:val="26"/>
        </w:rPr>
        <w:t xml:space="preserve">as set forth in the </w:t>
      </w:r>
      <w:r w:rsidR="00A616FB" w:rsidRPr="00112DF3">
        <w:rPr>
          <w:rFonts w:ascii="Times New Roman" w:eastAsia="Calibri" w:hAnsi="Times New Roman"/>
          <w:i/>
          <w:sz w:val="26"/>
          <w:szCs w:val="26"/>
        </w:rPr>
        <w:t>End State Order</w:t>
      </w:r>
      <w:r w:rsidR="00A616FB">
        <w:rPr>
          <w:rFonts w:ascii="Times New Roman" w:eastAsia="Calibri" w:hAnsi="Times New Roman"/>
          <w:i/>
          <w:sz w:val="26"/>
          <w:szCs w:val="26"/>
        </w:rPr>
        <w:t>,</w:t>
      </w:r>
      <w:r>
        <w:rPr>
          <w:rFonts w:ascii="Times New Roman" w:eastAsia="Calibri" w:hAnsi="Times New Roman"/>
          <w:i/>
          <w:sz w:val="26"/>
          <w:szCs w:val="26"/>
        </w:rPr>
        <w:t xml:space="preserve"> </w:t>
      </w:r>
      <w:r w:rsidRPr="00112DF3">
        <w:rPr>
          <w:rFonts w:ascii="Times New Roman" w:eastAsia="Calibri" w:hAnsi="Times New Roman"/>
          <w:sz w:val="26"/>
          <w:szCs w:val="26"/>
        </w:rPr>
        <w:t>regarding</w:t>
      </w:r>
      <w:r>
        <w:rPr>
          <w:rFonts w:ascii="Times New Roman" w:eastAsia="Calibri" w:hAnsi="Times New Roman"/>
          <w:sz w:val="26"/>
          <w:szCs w:val="26"/>
        </w:rPr>
        <w:t xml:space="preserve"> our authority to direct the use of LMP products for medium C&amp;I customers, and our expressed belief that </w:t>
      </w:r>
      <w:r w:rsidR="009127A6">
        <w:rPr>
          <w:rFonts w:ascii="Times New Roman" w:eastAsia="Calibri" w:hAnsi="Times New Roman"/>
          <w:sz w:val="26"/>
          <w:szCs w:val="26"/>
        </w:rPr>
        <w:t>we currently have</w:t>
      </w:r>
      <w:r w:rsidR="009127A6">
        <w:rPr>
          <w:rFonts w:ascii="Times New Roman" w:hAnsi="Times New Roman"/>
          <w:sz w:val="26"/>
          <w:szCs w:val="26"/>
        </w:rPr>
        <w:t xml:space="preserve"> the</w:t>
      </w:r>
      <w:r w:rsidRPr="008733F7">
        <w:rPr>
          <w:rFonts w:ascii="Times New Roman" w:hAnsi="Times New Roman"/>
          <w:sz w:val="26"/>
          <w:szCs w:val="26"/>
        </w:rPr>
        <w:t xml:space="preserve"> authority to establish shorter-term default service products that are more reflective of market co</w:t>
      </w:r>
      <w:r w:rsidR="009127A6">
        <w:rPr>
          <w:rFonts w:ascii="Times New Roman" w:hAnsi="Times New Roman"/>
          <w:sz w:val="26"/>
          <w:szCs w:val="26"/>
        </w:rPr>
        <w:t>nditions than existing products</w:t>
      </w:r>
      <w:r w:rsidR="009127A6">
        <w:rPr>
          <w:rFonts w:ascii="Times New Roman" w:eastAsia="Calibri" w:hAnsi="Times New Roman"/>
          <w:sz w:val="26"/>
          <w:szCs w:val="26"/>
        </w:rPr>
        <w:t>,</w:t>
      </w:r>
      <w:r w:rsidR="009127A6" w:rsidRPr="00112DF3">
        <w:rPr>
          <w:rFonts w:ascii="Times New Roman" w:eastAsia="Calibri" w:hAnsi="Times New Roman"/>
          <w:sz w:val="26"/>
          <w:szCs w:val="26"/>
        </w:rPr>
        <w:t xml:space="preserve"> </w:t>
      </w:r>
      <w:r w:rsidR="009127A6">
        <w:rPr>
          <w:rFonts w:ascii="Times New Roman" w:eastAsia="Calibri" w:hAnsi="Times New Roman"/>
          <w:sz w:val="26"/>
          <w:szCs w:val="26"/>
        </w:rPr>
        <w:t xml:space="preserve">as </w:t>
      </w:r>
      <w:r w:rsidR="00A616FB">
        <w:rPr>
          <w:rFonts w:ascii="Times New Roman" w:eastAsia="Calibri" w:hAnsi="Times New Roman"/>
          <w:sz w:val="26"/>
          <w:szCs w:val="26"/>
        </w:rPr>
        <w:t>we stated</w:t>
      </w:r>
      <w:r w:rsidR="009127A6">
        <w:rPr>
          <w:rFonts w:ascii="Times New Roman" w:eastAsia="Calibri" w:hAnsi="Times New Roman"/>
          <w:sz w:val="26"/>
          <w:szCs w:val="26"/>
        </w:rPr>
        <w:t xml:space="preserve"> in the </w:t>
      </w:r>
      <w:r w:rsidR="009127A6" w:rsidRPr="00112DF3">
        <w:rPr>
          <w:rFonts w:ascii="Times New Roman" w:eastAsia="Calibri" w:hAnsi="Times New Roman"/>
          <w:i/>
          <w:sz w:val="26"/>
          <w:szCs w:val="26"/>
        </w:rPr>
        <w:t>End State Order</w:t>
      </w:r>
      <w:r w:rsidR="009127A6">
        <w:rPr>
          <w:rFonts w:ascii="Times New Roman" w:eastAsia="Calibri" w:hAnsi="Times New Roman"/>
          <w:i/>
          <w:sz w:val="26"/>
          <w:szCs w:val="26"/>
        </w:rPr>
        <w:t xml:space="preserve"> </w:t>
      </w:r>
      <w:r w:rsidR="009127A6" w:rsidRPr="009127A6">
        <w:rPr>
          <w:rFonts w:ascii="Times New Roman" w:eastAsia="Calibri" w:hAnsi="Times New Roman"/>
          <w:sz w:val="26"/>
          <w:szCs w:val="26"/>
        </w:rPr>
        <w:t xml:space="preserve">and </w:t>
      </w:r>
      <w:r w:rsidR="00A616FB">
        <w:rPr>
          <w:rFonts w:ascii="Times New Roman" w:eastAsia="Calibri" w:hAnsi="Times New Roman"/>
          <w:sz w:val="26"/>
          <w:szCs w:val="26"/>
        </w:rPr>
        <w:t>reiterated</w:t>
      </w:r>
      <w:r w:rsidR="009127A6" w:rsidRPr="009127A6">
        <w:rPr>
          <w:rFonts w:ascii="Times New Roman" w:eastAsia="Calibri" w:hAnsi="Times New Roman"/>
          <w:sz w:val="26"/>
          <w:szCs w:val="26"/>
        </w:rPr>
        <w:t xml:space="preserve"> in the</w:t>
      </w:r>
      <w:r w:rsidR="009127A6">
        <w:rPr>
          <w:rFonts w:ascii="Times New Roman" w:eastAsia="Calibri" w:hAnsi="Times New Roman"/>
          <w:i/>
          <w:sz w:val="26"/>
          <w:szCs w:val="26"/>
        </w:rPr>
        <w:t xml:space="preserve"> </w:t>
      </w:r>
      <w:r w:rsidR="00353491">
        <w:rPr>
          <w:rFonts w:ascii="Times New Roman" w:eastAsia="Calibri" w:hAnsi="Times New Roman"/>
          <w:i/>
          <w:sz w:val="26"/>
          <w:szCs w:val="26"/>
        </w:rPr>
        <w:t>January 2015 Order</w:t>
      </w:r>
      <w:r w:rsidR="009127A6">
        <w:rPr>
          <w:rFonts w:ascii="Times New Roman" w:eastAsia="Calibri" w:hAnsi="Times New Roman"/>
          <w:i/>
          <w:sz w:val="26"/>
          <w:szCs w:val="26"/>
        </w:rPr>
        <w:t>.</w:t>
      </w:r>
      <w:r w:rsidR="009127A6">
        <w:rPr>
          <w:rFonts w:ascii="Times New Roman" w:eastAsia="Calibri" w:hAnsi="Times New Roman"/>
          <w:sz w:val="26"/>
          <w:szCs w:val="26"/>
        </w:rPr>
        <w:t xml:space="preserve">  </w:t>
      </w:r>
      <w:r w:rsidR="00A616FB">
        <w:rPr>
          <w:rFonts w:ascii="Times New Roman" w:eastAsia="Calibri" w:hAnsi="Times New Roman"/>
          <w:sz w:val="26"/>
          <w:szCs w:val="26"/>
        </w:rPr>
        <w:t xml:space="preserve">Petition at 6-7 (citing </w:t>
      </w:r>
      <w:r w:rsidR="00A616FB" w:rsidRPr="00A616FB">
        <w:rPr>
          <w:rFonts w:ascii="Times New Roman" w:eastAsia="Calibri" w:hAnsi="Times New Roman"/>
          <w:i/>
          <w:sz w:val="26"/>
          <w:szCs w:val="26"/>
        </w:rPr>
        <w:t>End State Order</w:t>
      </w:r>
      <w:r w:rsidR="00A616FB">
        <w:rPr>
          <w:rFonts w:ascii="Times New Roman" w:eastAsia="Calibri" w:hAnsi="Times New Roman"/>
          <w:sz w:val="26"/>
          <w:szCs w:val="26"/>
        </w:rPr>
        <w:t xml:space="preserve"> at 45; </w:t>
      </w:r>
      <w:r w:rsidR="00353491">
        <w:rPr>
          <w:rFonts w:ascii="Times New Roman" w:eastAsia="Calibri" w:hAnsi="Times New Roman"/>
          <w:i/>
          <w:sz w:val="26"/>
          <w:szCs w:val="26"/>
        </w:rPr>
        <w:t>January 2015 Order</w:t>
      </w:r>
      <w:r w:rsidR="00A616FB">
        <w:rPr>
          <w:rFonts w:ascii="Times New Roman" w:eastAsia="Calibri" w:hAnsi="Times New Roman"/>
          <w:sz w:val="26"/>
          <w:szCs w:val="26"/>
        </w:rPr>
        <w:t xml:space="preserve"> at 45).  </w:t>
      </w:r>
      <w:r w:rsidR="009127A6">
        <w:rPr>
          <w:rFonts w:ascii="Times New Roman" w:eastAsia="Calibri" w:hAnsi="Times New Roman"/>
          <w:sz w:val="26"/>
          <w:szCs w:val="26"/>
        </w:rPr>
        <w:t xml:space="preserve">According to the OSBA, </w:t>
      </w:r>
      <w:r w:rsidR="00A616FB">
        <w:rPr>
          <w:rFonts w:ascii="Times New Roman" w:eastAsia="Calibri" w:hAnsi="Times New Roman"/>
          <w:sz w:val="26"/>
          <w:szCs w:val="26"/>
        </w:rPr>
        <w:t xml:space="preserve">this alleged inconsistency represents “an entirely new, novel, and quite broad legal standard for administrative agencies to adopt across the Commonwealth.”  </w:t>
      </w:r>
      <w:proofErr w:type="gramStart"/>
      <w:r w:rsidR="00A616FB">
        <w:rPr>
          <w:rFonts w:ascii="Times New Roman" w:eastAsia="Calibri" w:hAnsi="Times New Roman"/>
          <w:sz w:val="26"/>
          <w:szCs w:val="26"/>
        </w:rPr>
        <w:t>Petition at 7.</w:t>
      </w:r>
      <w:proofErr w:type="gramEnd"/>
    </w:p>
    <w:p w:rsidR="00A616FB" w:rsidRDefault="00A616FB" w:rsidP="009127A6">
      <w:pPr>
        <w:rPr>
          <w:rFonts w:ascii="Times New Roman" w:eastAsia="Calibri" w:hAnsi="Times New Roman"/>
          <w:sz w:val="26"/>
          <w:szCs w:val="26"/>
        </w:rPr>
      </w:pPr>
    </w:p>
    <w:p w:rsidR="00A616FB" w:rsidRDefault="00A616FB" w:rsidP="009127A6">
      <w:pPr>
        <w:rPr>
          <w:rFonts w:ascii="Times New Roman" w:eastAsia="Calibri" w:hAnsi="Times New Roman"/>
          <w:sz w:val="26"/>
          <w:szCs w:val="26"/>
        </w:rPr>
      </w:pPr>
      <w:r>
        <w:rPr>
          <w:rFonts w:ascii="Times New Roman" w:eastAsia="Calibri" w:hAnsi="Times New Roman"/>
          <w:sz w:val="26"/>
          <w:szCs w:val="26"/>
        </w:rPr>
        <w:tab/>
      </w:r>
      <w:r>
        <w:rPr>
          <w:rFonts w:ascii="Times New Roman" w:eastAsia="Calibri" w:hAnsi="Times New Roman"/>
          <w:sz w:val="26"/>
          <w:szCs w:val="26"/>
        </w:rPr>
        <w:tab/>
        <w:t xml:space="preserve">For these reasons, the OSBA requests that we reverse our determination set forth in the </w:t>
      </w:r>
      <w:r w:rsidR="00353491">
        <w:rPr>
          <w:rFonts w:ascii="Times New Roman" w:eastAsia="Calibri" w:hAnsi="Times New Roman"/>
          <w:i/>
          <w:sz w:val="26"/>
          <w:szCs w:val="26"/>
        </w:rPr>
        <w:t>January 2015 Order</w:t>
      </w:r>
      <w:r>
        <w:rPr>
          <w:rFonts w:ascii="Times New Roman" w:eastAsia="Calibri" w:hAnsi="Times New Roman"/>
          <w:sz w:val="26"/>
          <w:szCs w:val="26"/>
        </w:rPr>
        <w:t xml:space="preserve">, and reject PPL’s proposal to change the size limit of Small C&amp;I customers from 500 kW to 100 kW.  </w:t>
      </w:r>
      <w:proofErr w:type="gramStart"/>
      <w:r w:rsidRPr="00A616FB">
        <w:rPr>
          <w:rFonts w:ascii="Times New Roman" w:eastAsia="Calibri" w:hAnsi="Times New Roman"/>
          <w:i/>
          <w:sz w:val="26"/>
          <w:szCs w:val="26"/>
        </w:rPr>
        <w:t>Id</w:t>
      </w:r>
      <w:r>
        <w:rPr>
          <w:rFonts w:ascii="Times New Roman" w:eastAsia="Calibri" w:hAnsi="Times New Roman"/>
          <w:sz w:val="26"/>
          <w:szCs w:val="26"/>
        </w:rPr>
        <w:t>. at 8.</w:t>
      </w:r>
      <w:proofErr w:type="gramEnd"/>
    </w:p>
    <w:p w:rsidR="0078650D" w:rsidRDefault="0078650D" w:rsidP="009127A6">
      <w:pPr>
        <w:rPr>
          <w:rFonts w:ascii="Times New Roman" w:eastAsia="Calibri" w:hAnsi="Times New Roman"/>
          <w:sz w:val="26"/>
          <w:szCs w:val="26"/>
        </w:rPr>
      </w:pPr>
    </w:p>
    <w:p w:rsidR="0078650D" w:rsidRPr="0078650D" w:rsidRDefault="0078650D" w:rsidP="009127A6">
      <w:pPr>
        <w:rPr>
          <w:rFonts w:ascii="Times New Roman" w:eastAsia="Calibri" w:hAnsi="Times New Roman"/>
          <w:b/>
          <w:sz w:val="26"/>
          <w:szCs w:val="26"/>
        </w:rPr>
      </w:pPr>
      <w:r w:rsidRPr="0078650D">
        <w:rPr>
          <w:rFonts w:ascii="Times New Roman" w:eastAsia="Calibri" w:hAnsi="Times New Roman"/>
          <w:b/>
          <w:sz w:val="26"/>
          <w:szCs w:val="26"/>
        </w:rPr>
        <w:t>PPL’s Answer to OSBA’s Petition</w:t>
      </w:r>
    </w:p>
    <w:p w:rsidR="0078650D" w:rsidRDefault="0078650D" w:rsidP="009127A6">
      <w:pPr>
        <w:rPr>
          <w:rFonts w:ascii="Times New Roman" w:eastAsia="Calibri" w:hAnsi="Times New Roman"/>
          <w:sz w:val="26"/>
          <w:szCs w:val="26"/>
        </w:rPr>
      </w:pPr>
    </w:p>
    <w:p w:rsidR="006241B6" w:rsidRDefault="006241B6" w:rsidP="009127A6">
      <w:pPr>
        <w:rPr>
          <w:rFonts w:ascii="Times New Roman" w:eastAsia="Calibri" w:hAnsi="Times New Roman"/>
          <w:sz w:val="26"/>
          <w:szCs w:val="26"/>
        </w:rPr>
      </w:pPr>
      <w:r>
        <w:rPr>
          <w:rFonts w:ascii="Times New Roman" w:eastAsia="Calibri" w:hAnsi="Times New Roman"/>
          <w:sz w:val="26"/>
          <w:szCs w:val="26"/>
        </w:rPr>
        <w:tab/>
      </w:r>
      <w:r>
        <w:rPr>
          <w:rFonts w:ascii="Times New Roman" w:eastAsia="Calibri" w:hAnsi="Times New Roman"/>
          <w:sz w:val="26"/>
          <w:szCs w:val="26"/>
        </w:rPr>
        <w:tab/>
        <w:t>In its Answer, PPL contends that the OSBA’s Petition does not meet the standards set forth in</w:t>
      </w:r>
      <w:r w:rsidR="0053338C" w:rsidRPr="0053338C">
        <w:rPr>
          <w:i/>
          <w:sz w:val="26"/>
        </w:rPr>
        <w:t xml:space="preserve"> </w:t>
      </w:r>
      <w:proofErr w:type="spellStart"/>
      <w:r w:rsidR="0053338C" w:rsidRPr="00116593">
        <w:rPr>
          <w:i/>
          <w:sz w:val="26"/>
        </w:rPr>
        <w:t>Duick</w:t>
      </w:r>
      <w:proofErr w:type="spellEnd"/>
      <w:r w:rsidR="0053338C" w:rsidRPr="00116593">
        <w:rPr>
          <w:i/>
          <w:sz w:val="26"/>
        </w:rPr>
        <w:t> v. Pennsylvania Gas and Water Company</w:t>
      </w:r>
      <w:r w:rsidR="0053338C" w:rsidRPr="00116593">
        <w:rPr>
          <w:sz w:val="26"/>
        </w:rPr>
        <w:t xml:space="preserve">, </w:t>
      </w:r>
      <w:r w:rsidR="0053338C" w:rsidRPr="00116593">
        <w:rPr>
          <w:sz w:val="26"/>
          <w:szCs w:val="24"/>
        </w:rPr>
        <w:t>56 Pa. P.U.C. 553</w:t>
      </w:r>
      <w:r w:rsidR="0053338C" w:rsidRPr="00116593">
        <w:rPr>
          <w:sz w:val="26"/>
        </w:rPr>
        <w:t xml:space="preserve"> (1982)</w:t>
      </w:r>
      <w:r w:rsidR="0053338C">
        <w:rPr>
          <w:sz w:val="26"/>
        </w:rPr>
        <w:t xml:space="preserve"> (</w:t>
      </w:r>
      <w:proofErr w:type="spellStart"/>
      <w:r w:rsidR="0053338C">
        <w:rPr>
          <w:i/>
          <w:sz w:val="26"/>
        </w:rPr>
        <w:t>Duick</w:t>
      </w:r>
      <w:proofErr w:type="spellEnd"/>
      <w:r w:rsidR="0053338C">
        <w:rPr>
          <w:sz w:val="26"/>
        </w:rPr>
        <w:t>)</w:t>
      </w:r>
      <w:r w:rsidR="0053338C">
        <w:rPr>
          <w:rFonts w:ascii="Times New Roman" w:eastAsia="Calibri" w:hAnsi="Times New Roman"/>
          <w:sz w:val="26"/>
          <w:szCs w:val="26"/>
        </w:rPr>
        <w:t xml:space="preserve"> </w:t>
      </w:r>
      <w:r>
        <w:rPr>
          <w:rFonts w:ascii="Times New Roman" w:eastAsia="Calibri" w:hAnsi="Times New Roman"/>
          <w:sz w:val="26"/>
          <w:szCs w:val="26"/>
        </w:rPr>
        <w:t xml:space="preserve">for granting reconsideration, because it does not raise new or novel arguments or issues that were not considered by the Commission.  PPL Answer at 5-6.  PPL asserts that the </w:t>
      </w:r>
      <w:r w:rsidR="00353491">
        <w:rPr>
          <w:rFonts w:ascii="Times New Roman" w:eastAsia="Calibri" w:hAnsi="Times New Roman"/>
          <w:i/>
          <w:sz w:val="26"/>
          <w:szCs w:val="26"/>
        </w:rPr>
        <w:t>January 2015 Order</w:t>
      </w:r>
      <w:r>
        <w:rPr>
          <w:rFonts w:ascii="Times New Roman" w:eastAsia="Calibri" w:hAnsi="Times New Roman"/>
          <w:sz w:val="26"/>
          <w:szCs w:val="26"/>
        </w:rPr>
        <w:t xml:space="preserve"> fully addressed the OSBA’s argument that there already exists a competitive marketplace for the Company’s Small C&amp;I customers, as well as its argument that PPL’s proposal does not meet the “prudent mix” requirement of the Competition Act.  </w:t>
      </w:r>
      <w:r w:rsidRPr="006241B6">
        <w:rPr>
          <w:rFonts w:ascii="Times New Roman" w:eastAsia="Calibri" w:hAnsi="Times New Roman"/>
          <w:i/>
          <w:sz w:val="26"/>
          <w:szCs w:val="26"/>
        </w:rPr>
        <w:t>Id</w:t>
      </w:r>
      <w:r>
        <w:rPr>
          <w:rFonts w:ascii="Times New Roman" w:eastAsia="Calibri" w:hAnsi="Times New Roman"/>
          <w:sz w:val="26"/>
          <w:szCs w:val="26"/>
        </w:rPr>
        <w:t xml:space="preserve">. at 6-8.  PPL also asserts that the </w:t>
      </w:r>
      <w:r w:rsidR="00353491">
        <w:rPr>
          <w:rFonts w:ascii="Times New Roman" w:eastAsia="Calibri" w:hAnsi="Times New Roman"/>
          <w:i/>
          <w:sz w:val="26"/>
          <w:szCs w:val="26"/>
        </w:rPr>
        <w:t>January 2015 Order</w:t>
      </w:r>
      <w:r>
        <w:rPr>
          <w:rFonts w:ascii="Times New Roman" w:eastAsia="Calibri" w:hAnsi="Times New Roman"/>
          <w:sz w:val="26"/>
          <w:szCs w:val="26"/>
        </w:rPr>
        <w:t xml:space="preserve"> fully addressed the OSBA’</w:t>
      </w:r>
      <w:r w:rsidR="00135318">
        <w:rPr>
          <w:rFonts w:ascii="Times New Roman" w:eastAsia="Calibri" w:hAnsi="Times New Roman"/>
          <w:sz w:val="26"/>
          <w:szCs w:val="26"/>
        </w:rPr>
        <w:t>s contention that we lack</w:t>
      </w:r>
      <w:r>
        <w:rPr>
          <w:rFonts w:ascii="Times New Roman" w:eastAsia="Calibri" w:hAnsi="Times New Roman"/>
          <w:sz w:val="26"/>
          <w:szCs w:val="26"/>
        </w:rPr>
        <w:t xml:space="preserve"> the authority to</w:t>
      </w:r>
      <w:r w:rsidR="0053338C">
        <w:rPr>
          <w:rFonts w:ascii="Times New Roman" w:eastAsia="Calibri" w:hAnsi="Times New Roman"/>
          <w:sz w:val="26"/>
          <w:szCs w:val="26"/>
        </w:rPr>
        <w:t xml:space="preserve"> approve</w:t>
      </w:r>
      <w:r>
        <w:rPr>
          <w:rFonts w:ascii="Times New Roman" w:eastAsia="Calibri" w:hAnsi="Times New Roman"/>
          <w:sz w:val="26"/>
          <w:szCs w:val="26"/>
        </w:rPr>
        <w:t xml:space="preserve"> the Company’s proposal.  </w:t>
      </w:r>
      <w:r w:rsidRPr="006241B6">
        <w:rPr>
          <w:rFonts w:ascii="Times New Roman" w:eastAsia="Calibri" w:hAnsi="Times New Roman"/>
          <w:i/>
          <w:sz w:val="26"/>
          <w:szCs w:val="26"/>
        </w:rPr>
        <w:t>Id</w:t>
      </w:r>
      <w:r w:rsidR="00335F7B">
        <w:rPr>
          <w:rFonts w:ascii="Times New Roman" w:eastAsia="Calibri" w:hAnsi="Times New Roman"/>
          <w:sz w:val="26"/>
          <w:szCs w:val="26"/>
        </w:rPr>
        <w:t>. at 8-9.  Thus, PPL states</w:t>
      </w:r>
      <w:r w:rsidR="00135318">
        <w:rPr>
          <w:rFonts w:ascii="Times New Roman" w:eastAsia="Calibri" w:hAnsi="Times New Roman"/>
          <w:sz w:val="26"/>
          <w:szCs w:val="26"/>
        </w:rPr>
        <w:t xml:space="preserve"> that we</w:t>
      </w:r>
      <w:r>
        <w:rPr>
          <w:rFonts w:ascii="Times New Roman" w:eastAsia="Calibri" w:hAnsi="Times New Roman"/>
          <w:sz w:val="26"/>
          <w:szCs w:val="26"/>
        </w:rPr>
        <w:t xml:space="preserve"> should deny the OSBA’s request for reconsideration of the </w:t>
      </w:r>
      <w:r w:rsidR="00353491">
        <w:rPr>
          <w:rFonts w:ascii="Times New Roman" w:eastAsia="Calibri" w:hAnsi="Times New Roman"/>
          <w:i/>
          <w:sz w:val="26"/>
          <w:szCs w:val="26"/>
        </w:rPr>
        <w:t>January 2015 Order</w:t>
      </w:r>
      <w:r>
        <w:rPr>
          <w:rFonts w:ascii="Times New Roman" w:eastAsia="Calibri" w:hAnsi="Times New Roman"/>
          <w:sz w:val="26"/>
          <w:szCs w:val="26"/>
        </w:rPr>
        <w:t xml:space="preserve">.  </w:t>
      </w:r>
      <w:r w:rsidRPr="00335F7B">
        <w:rPr>
          <w:rFonts w:ascii="Times New Roman" w:eastAsia="Calibri" w:hAnsi="Times New Roman"/>
          <w:i/>
          <w:sz w:val="26"/>
          <w:szCs w:val="26"/>
        </w:rPr>
        <w:t>Id</w:t>
      </w:r>
      <w:r>
        <w:rPr>
          <w:rFonts w:ascii="Times New Roman" w:eastAsia="Calibri" w:hAnsi="Times New Roman"/>
          <w:sz w:val="26"/>
          <w:szCs w:val="26"/>
        </w:rPr>
        <w:t>. at 9-10.</w:t>
      </w:r>
    </w:p>
    <w:p w:rsidR="0078650D" w:rsidRPr="009127A6" w:rsidRDefault="0078650D" w:rsidP="009127A6">
      <w:pPr>
        <w:rPr>
          <w:rFonts w:ascii="Times New Roman" w:eastAsia="Calibri" w:hAnsi="Times New Roman"/>
          <w:sz w:val="26"/>
          <w:szCs w:val="26"/>
        </w:rPr>
      </w:pPr>
    </w:p>
    <w:p w:rsidR="000D61E0" w:rsidRDefault="0050760A" w:rsidP="000D61E0">
      <w:pPr>
        <w:pStyle w:val="OutlineL2"/>
        <w:numPr>
          <w:ilvl w:val="0"/>
          <w:numId w:val="0"/>
        </w:numPr>
        <w:tabs>
          <w:tab w:val="left" w:pos="0"/>
        </w:tabs>
        <w:spacing w:after="0" w:line="360" w:lineRule="auto"/>
        <w:rPr>
          <w:sz w:val="26"/>
          <w:szCs w:val="26"/>
        </w:rPr>
      </w:pPr>
      <w:r>
        <w:rPr>
          <w:sz w:val="26"/>
          <w:szCs w:val="26"/>
        </w:rPr>
        <w:lastRenderedPageBreak/>
        <w:tab/>
      </w:r>
      <w:r>
        <w:rPr>
          <w:sz w:val="26"/>
          <w:szCs w:val="26"/>
        </w:rPr>
        <w:tab/>
        <w:t xml:space="preserve">PPL also contends that only a relatively small number of customers, representing about 0.4% of all default service load commercial and industrial customers, would be impacted by its proposal to reduce the demand level limit for Small C&amp;I customers from 500 kW to 100 kW.  </w:t>
      </w:r>
      <w:r w:rsidRPr="0050760A">
        <w:rPr>
          <w:i/>
          <w:sz w:val="26"/>
          <w:szCs w:val="26"/>
        </w:rPr>
        <w:t>Id</w:t>
      </w:r>
      <w:r>
        <w:rPr>
          <w:sz w:val="26"/>
          <w:szCs w:val="26"/>
        </w:rPr>
        <w:t xml:space="preserve">. at 10-11.  </w:t>
      </w:r>
      <w:r w:rsidR="00FD5AD4">
        <w:rPr>
          <w:sz w:val="26"/>
          <w:szCs w:val="26"/>
        </w:rPr>
        <w:t>In addition</w:t>
      </w:r>
      <w:r>
        <w:rPr>
          <w:sz w:val="26"/>
          <w:szCs w:val="26"/>
        </w:rPr>
        <w:t xml:space="preserve">, PPL argues that </w:t>
      </w:r>
      <w:r w:rsidR="00FD5AD4">
        <w:rPr>
          <w:sz w:val="26"/>
          <w:szCs w:val="26"/>
        </w:rPr>
        <w:t xml:space="preserve">the fact that there already exists a competitive marketplace for its Small C&amp;I customers does not mean that additional measures designed to further promote competition should not be implemented.  Moreover, PPL contends that under its proposal, Small C&amp;I customers with demand between 100 kW and 500 kW will still have the option of taking hourly spot market default service supply from PPL, or receiving competitive fixed-price service from an EGS.  </w:t>
      </w:r>
      <w:r w:rsidR="00FD5AD4" w:rsidRPr="00FD5AD4">
        <w:rPr>
          <w:i/>
          <w:sz w:val="26"/>
          <w:szCs w:val="26"/>
        </w:rPr>
        <w:t>Id</w:t>
      </w:r>
      <w:r w:rsidR="00FD5AD4">
        <w:rPr>
          <w:sz w:val="26"/>
          <w:szCs w:val="26"/>
        </w:rPr>
        <w:t>. at 12-13.</w:t>
      </w:r>
    </w:p>
    <w:p w:rsidR="00AC5D4A" w:rsidRDefault="00AC5D4A" w:rsidP="000D61E0">
      <w:pPr>
        <w:pStyle w:val="OutlineL2"/>
        <w:numPr>
          <w:ilvl w:val="0"/>
          <w:numId w:val="0"/>
        </w:numPr>
        <w:tabs>
          <w:tab w:val="left" w:pos="0"/>
        </w:tabs>
        <w:spacing w:after="0" w:line="360" w:lineRule="auto"/>
        <w:rPr>
          <w:sz w:val="26"/>
          <w:szCs w:val="26"/>
        </w:rPr>
      </w:pPr>
    </w:p>
    <w:p w:rsidR="00492719" w:rsidRDefault="00AC5D4A" w:rsidP="00AC5D4A">
      <w:pPr>
        <w:pStyle w:val="OutlineL2"/>
        <w:numPr>
          <w:ilvl w:val="0"/>
          <w:numId w:val="0"/>
        </w:numPr>
        <w:tabs>
          <w:tab w:val="left" w:pos="0"/>
        </w:tabs>
        <w:spacing w:after="0" w:line="360" w:lineRule="auto"/>
        <w:rPr>
          <w:sz w:val="26"/>
          <w:szCs w:val="26"/>
        </w:rPr>
      </w:pPr>
      <w:r>
        <w:rPr>
          <w:sz w:val="26"/>
          <w:szCs w:val="26"/>
        </w:rPr>
        <w:tab/>
      </w:r>
      <w:r>
        <w:rPr>
          <w:sz w:val="26"/>
          <w:szCs w:val="26"/>
        </w:rPr>
        <w:tab/>
      </w:r>
      <w:r w:rsidR="00AB114A">
        <w:rPr>
          <w:sz w:val="26"/>
          <w:szCs w:val="26"/>
        </w:rPr>
        <w:t>PPL</w:t>
      </w:r>
      <w:r w:rsidR="004648D5">
        <w:rPr>
          <w:sz w:val="26"/>
          <w:szCs w:val="26"/>
        </w:rPr>
        <w:t xml:space="preserve"> also</w:t>
      </w:r>
      <w:r>
        <w:rPr>
          <w:sz w:val="26"/>
          <w:szCs w:val="26"/>
        </w:rPr>
        <w:t xml:space="preserve"> reiterates its argument that Section 2807(e)(3.2) of the Code does not </w:t>
      </w:r>
      <w:r w:rsidRPr="000404BA">
        <w:rPr>
          <w:sz w:val="26"/>
          <w:szCs w:val="26"/>
        </w:rPr>
        <w:t xml:space="preserve">require a default service provider to procure multiple default service products for each customer class (or a subset of a customer class in this case), but rather, provides for a default service plan that includes a </w:t>
      </w:r>
      <w:r>
        <w:rPr>
          <w:sz w:val="26"/>
          <w:szCs w:val="26"/>
        </w:rPr>
        <w:t>“</w:t>
      </w:r>
      <w:r w:rsidRPr="000404BA">
        <w:rPr>
          <w:sz w:val="26"/>
          <w:szCs w:val="26"/>
        </w:rPr>
        <w:t>prudent mix</w:t>
      </w:r>
      <w:r>
        <w:rPr>
          <w:sz w:val="26"/>
          <w:szCs w:val="26"/>
        </w:rPr>
        <w:t>”</w:t>
      </w:r>
      <w:r w:rsidRPr="000404BA">
        <w:rPr>
          <w:sz w:val="26"/>
          <w:szCs w:val="26"/>
        </w:rPr>
        <w:t xml:space="preserve"> of products.</w:t>
      </w:r>
      <w:r w:rsidR="00A3216B">
        <w:rPr>
          <w:sz w:val="26"/>
          <w:szCs w:val="26"/>
        </w:rPr>
        <w:t xml:space="preserve">  </w:t>
      </w:r>
      <w:proofErr w:type="gramStart"/>
      <w:r w:rsidR="00A3216B" w:rsidRPr="00A3216B">
        <w:rPr>
          <w:i/>
          <w:sz w:val="26"/>
          <w:szCs w:val="26"/>
        </w:rPr>
        <w:t>Id</w:t>
      </w:r>
      <w:r w:rsidR="00A3216B">
        <w:rPr>
          <w:sz w:val="26"/>
          <w:szCs w:val="26"/>
        </w:rPr>
        <w:t>. at 14.</w:t>
      </w:r>
      <w:proofErr w:type="gramEnd"/>
      <w:r w:rsidR="00A3216B">
        <w:rPr>
          <w:sz w:val="26"/>
          <w:szCs w:val="26"/>
        </w:rPr>
        <w:t xml:space="preserve">  PPL asserts that “the Commission and the appellate courts have clearly recognized that a single product can be a ‘prudent mix’ for certain customer classes under appropriate circumstances and within the Commission’s reasonable discretion.”  </w:t>
      </w:r>
      <w:proofErr w:type="gramStart"/>
      <w:r w:rsidR="00A3216B" w:rsidRPr="00A3216B">
        <w:rPr>
          <w:i/>
          <w:sz w:val="26"/>
          <w:szCs w:val="26"/>
        </w:rPr>
        <w:t>Id</w:t>
      </w:r>
      <w:r w:rsidR="00A3216B">
        <w:rPr>
          <w:sz w:val="26"/>
          <w:szCs w:val="26"/>
        </w:rPr>
        <w:t>. at 15.</w:t>
      </w:r>
      <w:proofErr w:type="gramEnd"/>
      <w:r w:rsidR="00EF1880">
        <w:rPr>
          <w:sz w:val="26"/>
          <w:szCs w:val="26"/>
        </w:rPr>
        <w:t xml:space="preserve">  Acco</w:t>
      </w:r>
      <w:r w:rsidR="00135318">
        <w:rPr>
          <w:sz w:val="26"/>
          <w:szCs w:val="26"/>
        </w:rPr>
        <w:t>rding to PPL, the Commission has</w:t>
      </w:r>
      <w:r w:rsidR="00EF1880">
        <w:rPr>
          <w:sz w:val="26"/>
          <w:szCs w:val="26"/>
        </w:rPr>
        <w:t xml:space="preserve"> the</w:t>
      </w:r>
      <w:r w:rsidR="00135318">
        <w:rPr>
          <w:sz w:val="26"/>
          <w:szCs w:val="26"/>
        </w:rPr>
        <w:t xml:space="preserve"> discretion, consistent with the</w:t>
      </w:r>
      <w:r w:rsidR="00EF1880">
        <w:rPr>
          <w:sz w:val="26"/>
          <w:szCs w:val="26"/>
        </w:rPr>
        <w:t xml:space="preserve"> Po</w:t>
      </w:r>
      <w:r w:rsidR="00135318">
        <w:rPr>
          <w:sz w:val="26"/>
          <w:szCs w:val="26"/>
        </w:rPr>
        <w:t>licy Statement at 52 Pa. Code § </w:t>
      </w:r>
      <w:r w:rsidR="00EF1880">
        <w:rPr>
          <w:sz w:val="26"/>
          <w:szCs w:val="26"/>
        </w:rPr>
        <w:t xml:space="preserve">69.1805, to redefine the parameters of the Large C&amp;I customer class to include additional customers that demonstrate shopping characteristics similar to the existing Large C&amp;I class.  </w:t>
      </w:r>
      <w:proofErr w:type="gramStart"/>
      <w:r w:rsidR="00EF1880" w:rsidRPr="00EF1880">
        <w:rPr>
          <w:i/>
          <w:sz w:val="26"/>
          <w:szCs w:val="26"/>
        </w:rPr>
        <w:t>Id</w:t>
      </w:r>
      <w:r w:rsidR="00EF1880">
        <w:rPr>
          <w:sz w:val="26"/>
          <w:szCs w:val="26"/>
        </w:rPr>
        <w:t>. at 16.</w:t>
      </w:r>
      <w:proofErr w:type="gramEnd"/>
    </w:p>
    <w:p w:rsidR="00AB114A" w:rsidRDefault="00AB114A" w:rsidP="00AC5D4A">
      <w:pPr>
        <w:pStyle w:val="OutlineL2"/>
        <w:numPr>
          <w:ilvl w:val="0"/>
          <w:numId w:val="0"/>
        </w:numPr>
        <w:tabs>
          <w:tab w:val="left" w:pos="0"/>
        </w:tabs>
        <w:spacing w:after="0" w:line="360" w:lineRule="auto"/>
        <w:rPr>
          <w:sz w:val="26"/>
          <w:szCs w:val="26"/>
        </w:rPr>
      </w:pPr>
    </w:p>
    <w:p w:rsidR="00AB114A" w:rsidRDefault="00AB114A" w:rsidP="00AC5D4A">
      <w:pPr>
        <w:pStyle w:val="OutlineL2"/>
        <w:numPr>
          <w:ilvl w:val="0"/>
          <w:numId w:val="0"/>
        </w:numPr>
        <w:tabs>
          <w:tab w:val="left" w:pos="0"/>
        </w:tabs>
        <w:spacing w:after="0" w:line="360" w:lineRule="auto"/>
        <w:rPr>
          <w:sz w:val="26"/>
          <w:szCs w:val="26"/>
        </w:rPr>
      </w:pPr>
      <w:r>
        <w:rPr>
          <w:sz w:val="26"/>
          <w:szCs w:val="26"/>
        </w:rPr>
        <w:tab/>
      </w:r>
      <w:r>
        <w:rPr>
          <w:sz w:val="26"/>
          <w:szCs w:val="26"/>
        </w:rPr>
        <w:tab/>
        <w:t>PPL next disputes the OSBA’</w:t>
      </w:r>
      <w:r w:rsidR="0020321E">
        <w:rPr>
          <w:sz w:val="26"/>
          <w:szCs w:val="26"/>
        </w:rPr>
        <w:t>s contention that we lack</w:t>
      </w:r>
      <w:r>
        <w:rPr>
          <w:sz w:val="26"/>
          <w:szCs w:val="26"/>
        </w:rPr>
        <w:t xml:space="preserve"> the authority to approve PPL’s proposal to lower the peak demand threshold for </w:t>
      </w:r>
      <w:r w:rsidR="004648D5">
        <w:rPr>
          <w:sz w:val="26"/>
          <w:szCs w:val="26"/>
        </w:rPr>
        <w:t xml:space="preserve">Large C&amp;I customers, and that </w:t>
      </w:r>
      <w:r w:rsidR="0020321E">
        <w:rPr>
          <w:sz w:val="26"/>
          <w:szCs w:val="26"/>
        </w:rPr>
        <w:t>we</w:t>
      </w:r>
      <w:r>
        <w:rPr>
          <w:sz w:val="26"/>
          <w:szCs w:val="26"/>
        </w:rPr>
        <w:t xml:space="preserve"> recognized</w:t>
      </w:r>
      <w:r w:rsidR="004648D5">
        <w:rPr>
          <w:sz w:val="26"/>
          <w:szCs w:val="26"/>
        </w:rPr>
        <w:t xml:space="preserve"> this lack of authority in </w:t>
      </w:r>
      <w:r w:rsidR="0020321E">
        <w:rPr>
          <w:sz w:val="26"/>
          <w:szCs w:val="26"/>
        </w:rPr>
        <w:t>our</w:t>
      </w:r>
      <w:r>
        <w:rPr>
          <w:sz w:val="26"/>
          <w:szCs w:val="26"/>
        </w:rPr>
        <w:t xml:space="preserve"> </w:t>
      </w:r>
      <w:r w:rsidRPr="00AB114A">
        <w:rPr>
          <w:i/>
          <w:sz w:val="26"/>
          <w:szCs w:val="26"/>
        </w:rPr>
        <w:t>End State Order</w:t>
      </w:r>
      <w:r>
        <w:rPr>
          <w:sz w:val="26"/>
          <w:szCs w:val="26"/>
        </w:rPr>
        <w:t xml:space="preserve">.  PPL submits that while we acknowledged concerns regarding the legality of a </w:t>
      </w:r>
      <w:r w:rsidR="00C272FB">
        <w:rPr>
          <w:sz w:val="26"/>
          <w:szCs w:val="26"/>
        </w:rPr>
        <w:t>“</w:t>
      </w:r>
      <w:r>
        <w:rPr>
          <w:sz w:val="26"/>
          <w:szCs w:val="26"/>
        </w:rPr>
        <w:t>general pronouncement</w:t>
      </w:r>
      <w:r w:rsidR="00C272FB">
        <w:rPr>
          <w:sz w:val="26"/>
          <w:szCs w:val="26"/>
        </w:rPr>
        <w:t>”</w:t>
      </w:r>
      <w:r>
        <w:rPr>
          <w:sz w:val="26"/>
          <w:szCs w:val="26"/>
        </w:rPr>
        <w:t xml:space="preserve"> requiring all C&amp;I customers</w:t>
      </w:r>
      <w:r w:rsidR="00C272FB">
        <w:rPr>
          <w:sz w:val="26"/>
          <w:szCs w:val="26"/>
        </w:rPr>
        <w:t xml:space="preserve"> in Pennsylvania</w:t>
      </w:r>
      <w:r>
        <w:rPr>
          <w:sz w:val="26"/>
          <w:szCs w:val="26"/>
        </w:rPr>
        <w:t xml:space="preserve"> </w:t>
      </w:r>
      <w:r w:rsidR="004648D5">
        <w:rPr>
          <w:sz w:val="26"/>
          <w:szCs w:val="26"/>
        </w:rPr>
        <w:t xml:space="preserve">with over 100 kW </w:t>
      </w:r>
      <w:r w:rsidR="00C272FB">
        <w:rPr>
          <w:sz w:val="26"/>
          <w:szCs w:val="26"/>
        </w:rPr>
        <w:t xml:space="preserve">demand to receive hourly-priced default service supply absent further legislation, there is nothing in the </w:t>
      </w:r>
      <w:r w:rsidR="00C272FB" w:rsidRPr="004648D5">
        <w:rPr>
          <w:i/>
          <w:sz w:val="26"/>
          <w:szCs w:val="26"/>
        </w:rPr>
        <w:t xml:space="preserve">End </w:t>
      </w:r>
      <w:r w:rsidR="00C272FB" w:rsidRPr="004648D5">
        <w:rPr>
          <w:i/>
          <w:sz w:val="26"/>
          <w:szCs w:val="26"/>
        </w:rPr>
        <w:lastRenderedPageBreak/>
        <w:t>State Order</w:t>
      </w:r>
      <w:r w:rsidR="00C272FB">
        <w:rPr>
          <w:sz w:val="26"/>
          <w:szCs w:val="26"/>
        </w:rPr>
        <w:t xml:space="preserve"> or the Co</w:t>
      </w:r>
      <w:r w:rsidR="0020321E">
        <w:rPr>
          <w:sz w:val="26"/>
          <w:szCs w:val="26"/>
        </w:rPr>
        <w:t>de that prohibits us</w:t>
      </w:r>
      <w:r w:rsidR="00C272FB">
        <w:rPr>
          <w:sz w:val="26"/>
          <w:szCs w:val="26"/>
        </w:rPr>
        <w:t xml:space="preserve"> from approving PPL’s proposal to reduce the demand level for Small C&amp;I customers based on current facts and circumstances.  </w:t>
      </w:r>
      <w:proofErr w:type="gramStart"/>
      <w:r w:rsidR="00C272FB" w:rsidRPr="00C272FB">
        <w:rPr>
          <w:i/>
          <w:sz w:val="26"/>
          <w:szCs w:val="26"/>
        </w:rPr>
        <w:t>Id</w:t>
      </w:r>
      <w:r w:rsidR="00C272FB">
        <w:rPr>
          <w:sz w:val="26"/>
          <w:szCs w:val="26"/>
        </w:rPr>
        <w:t>.</w:t>
      </w:r>
      <w:r w:rsidR="00464365">
        <w:rPr>
          <w:sz w:val="26"/>
          <w:szCs w:val="26"/>
        </w:rPr>
        <w:t> </w:t>
      </w:r>
      <w:r w:rsidR="00C272FB">
        <w:rPr>
          <w:sz w:val="26"/>
          <w:szCs w:val="26"/>
        </w:rPr>
        <w:t>at</w:t>
      </w:r>
      <w:r w:rsidR="00464365">
        <w:rPr>
          <w:sz w:val="26"/>
          <w:szCs w:val="26"/>
        </w:rPr>
        <w:t> </w:t>
      </w:r>
      <w:r w:rsidR="00C272FB">
        <w:rPr>
          <w:sz w:val="26"/>
          <w:szCs w:val="26"/>
        </w:rPr>
        <w:t>17.</w:t>
      </w:r>
      <w:proofErr w:type="gramEnd"/>
      <w:r w:rsidR="00C272FB">
        <w:rPr>
          <w:sz w:val="26"/>
          <w:szCs w:val="26"/>
        </w:rPr>
        <w:t xml:space="preserve">  </w:t>
      </w:r>
    </w:p>
    <w:p w:rsidR="00627BE9" w:rsidRDefault="00627BE9" w:rsidP="00AC5D4A">
      <w:pPr>
        <w:pStyle w:val="OutlineL2"/>
        <w:numPr>
          <w:ilvl w:val="0"/>
          <w:numId w:val="0"/>
        </w:numPr>
        <w:tabs>
          <w:tab w:val="left" w:pos="0"/>
        </w:tabs>
        <w:spacing w:after="0" w:line="360" w:lineRule="auto"/>
        <w:rPr>
          <w:sz w:val="26"/>
          <w:szCs w:val="26"/>
        </w:rPr>
      </w:pPr>
    </w:p>
    <w:p w:rsidR="00627BE9" w:rsidRDefault="00627BE9" w:rsidP="00AC5D4A">
      <w:pPr>
        <w:pStyle w:val="OutlineL2"/>
        <w:numPr>
          <w:ilvl w:val="0"/>
          <w:numId w:val="0"/>
        </w:numPr>
        <w:tabs>
          <w:tab w:val="left" w:pos="0"/>
        </w:tabs>
        <w:spacing w:after="0" w:line="360" w:lineRule="auto"/>
        <w:rPr>
          <w:sz w:val="26"/>
          <w:szCs w:val="26"/>
        </w:rPr>
      </w:pPr>
      <w:r>
        <w:rPr>
          <w:sz w:val="26"/>
          <w:szCs w:val="26"/>
        </w:rPr>
        <w:tab/>
      </w:r>
      <w:r>
        <w:rPr>
          <w:sz w:val="26"/>
          <w:szCs w:val="26"/>
        </w:rPr>
        <w:tab/>
        <w:t>Finally, PPL notes that under the terms of its Commission-</w:t>
      </w:r>
      <w:r w:rsidR="00766FEA">
        <w:rPr>
          <w:sz w:val="26"/>
          <w:szCs w:val="26"/>
        </w:rPr>
        <w:t>approved DSP </w:t>
      </w:r>
      <w:r>
        <w:rPr>
          <w:sz w:val="26"/>
          <w:szCs w:val="26"/>
        </w:rPr>
        <w:t>III program, as modified by the Partial Settlement, its first default service procurement will occur on or about April 14, 2015.</w:t>
      </w:r>
      <w:r w:rsidR="0085379C">
        <w:rPr>
          <w:sz w:val="26"/>
          <w:szCs w:val="26"/>
        </w:rPr>
        <w:t xml:space="preserve">  Thus, in order to facilitate a successful procurement of default service supply for the Small and Large C&amp;I customers on that date, </w:t>
      </w:r>
      <w:r w:rsidR="00766FEA">
        <w:rPr>
          <w:sz w:val="26"/>
          <w:szCs w:val="26"/>
        </w:rPr>
        <w:t>PPL requests that we</w:t>
      </w:r>
      <w:r w:rsidR="0085379C">
        <w:rPr>
          <w:sz w:val="26"/>
          <w:szCs w:val="26"/>
        </w:rPr>
        <w:t xml:space="preserve"> decide the OSBA’s Petition and approve the Company’s DSP III program compliance filing and procurement plan prior to the end of February 2015.</w:t>
      </w:r>
      <w:r w:rsidR="00C264E8">
        <w:rPr>
          <w:rStyle w:val="FootnoteReference"/>
          <w:sz w:val="26"/>
          <w:szCs w:val="26"/>
        </w:rPr>
        <w:footnoteReference w:id="3"/>
      </w:r>
      <w:r w:rsidR="0085379C">
        <w:rPr>
          <w:sz w:val="26"/>
          <w:szCs w:val="26"/>
        </w:rPr>
        <w:t xml:space="preserve">  PPL avers that it cannot issue the</w:t>
      </w:r>
      <w:r w:rsidR="008104EE" w:rsidRPr="008104EE">
        <w:rPr>
          <w:sz w:val="26"/>
          <w:szCs w:val="26"/>
        </w:rPr>
        <w:t xml:space="preserve"> </w:t>
      </w:r>
      <w:r w:rsidR="008104EE">
        <w:rPr>
          <w:sz w:val="26"/>
          <w:szCs w:val="26"/>
        </w:rPr>
        <w:t>request for proposals</w:t>
      </w:r>
      <w:r w:rsidR="0085379C">
        <w:rPr>
          <w:sz w:val="26"/>
          <w:szCs w:val="26"/>
        </w:rPr>
        <w:t xml:space="preserve"> </w:t>
      </w:r>
      <w:r w:rsidR="008104EE">
        <w:rPr>
          <w:sz w:val="26"/>
          <w:szCs w:val="26"/>
        </w:rPr>
        <w:t>(</w:t>
      </w:r>
      <w:r w:rsidR="0085379C">
        <w:rPr>
          <w:sz w:val="26"/>
          <w:szCs w:val="26"/>
        </w:rPr>
        <w:t>RFP</w:t>
      </w:r>
      <w:r w:rsidR="008104EE">
        <w:rPr>
          <w:sz w:val="26"/>
          <w:szCs w:val="26"/>
        </w:rPr>
        <w:t>)</w:t>
      </w:r>
      <w:r w:rsidR="0085379C">
        <w:rPr>
          <w:sz w:val="26"/>
          <w:szCs w:val="26"/>
        </w:rPr>
        <w:t xml:space="preserve"> for either the Small or Large C&amp;I default service load and provide adequate notice to wholesale suppliers unless and until the Commission approves its DSP III compliance filing and procurement plan, which requires that</w:t>
      </w:r>
      <w:r w:rsidR="008104EE">
        <w:rPr>
          <w:sz w:val="26"/>
          <w:szCs w:val="26"/>
        </w:rPr>
        <w:t xml:space="preserve"> the issue of</w:t>
      </w:r>
      <w:r w:rsidR="0085379C">
        <w:rPr>
          <w:sz w:val="26"/>
          <w:szCs w:val="26"/>
        </w:rPr>
        <w:t xml:space="preserve"> the demand split for the Small and Large C&amp;I customer classes be resolved.  PPL further asserts that a resolution of the OSBA’s Petition and the Company’s compliance filing will be critical to wholesale suppliers in determining whether, and at what price, to submit bids for the Small and Large C&amp;I class default service loads.  </w:t>
      </w:r>
      <w:r w:rsidR="0085379C" w:rsidRPr="0085379C">
        <w:rPr>
          <w:i/>
          <w:sz w:val="26"/>
          <w:szCs w:val="26"/>
        </w:rPr>
        <w:t>Id</w:t>
      </w:r>
      <w:r w:rsidR="0085379C">
        <w:rPr>
          <w:sz w:val="26"/>
          <w:szCs w:val="26"/>
        </w:rPr>
        <w:t>. at 19-21.</w:t>
      </w:r>
    </w:p>
    <w:p w:rsidR="0066517A" w:rsidRDefault="0066517A" w:rsidP="00AC5D4A">
      <w:pPr>
        <w:pStyle w:val="OutlineL2"/>
        <w:numPr>
          <w:ilvl w:val="0"/>
          <w:numId w:val="0"/>
        </w:numPr>
        <w:tabs>
          <w:tab w:val="left" w:pos="0"/>
        </w:tabs>
        <w:spacing w:after="0" w:line="360" w:lineRule="auto"/>
        <w:rPr>
          <w:sz w:val="26"/>
          <w:szCs w:val="26"/>
        </w:rPr>
      </w:pPr>
    </w:p>
    <w:p w:rsidR="0066517A" w:rsidRPr="0066517A" w:rsidRDefault="0066517A" w:rsidP="00AC5D4A">
      <w:pPr>
        <w:pStyle w:val="OutlineL2"/>
        <w:numPr>
          <w:ilvl w:val="0"/>
          <w:numId w:val="0"/>
        </w:numPr>
        <w:tabs>
          <w:tab w:val="left" w:pos="0"/>
        </w:tabs>
        <w:spacing w:after="0" w:line="360" w:lineRule="auto"/>
        <w:rPr>
          <w:b/>
          <w:sz w:val="26"/>
          <w:szCs w:val="26"/>
        </w:rPr>
      </w:pPr>
      <w:r w:rsidRPr="0066517A">
        <w:rPr>
          <w:b/>
          <w:sz w:val="26"/>
          <w:szCs w:val="26"/>
        </w:rPr>
        <w:t>RESA’s Answer to OSBA’s Petition</w:t>
      </w:r>
    </w:p>
    <w:p w:rsidR="00492719" w:rsidRDefault="00492719" w:rsidP="003B5796">
      <w:pPr>
        <w:widowControl w:val="0"/>
        <w:rPr>
          <w:rFonts w:ascii="Times New Roman" w:hAnsi="Times New Roman"/>
          <w:sz w:val="26"/>
          <w:szCs w:val="26"/>
        </w:rPr>
      </w:pPr>
    </w:p>
    <w:p w:rsidR="00492719" w:rsidRDefault="005E7796" w:rsidP="0054167B">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Like PPL, RESA also contends that the </w:t>
      </w:r>
      <w:r w:rsidR="00353491" w:rsidRPr="00434C4C">
        <w:rPr>
          <w:rFonts w:ascii="Times New Roman" w:hAnsi="Times New Roman"/>
          <w:i/>
          <w:sz w:val="26"/>
          <w:szCs w:val="26"/>
        </w:rPr>
        <w:t>January 2015 Order</w:t>
      </w:r>
      <w:r w:rsidR="0036088A">
        <w:rPr>
          <w:rFonts w:ascii="Times New Roman" w:hAnsi="Times New Roman"/>
          <w:sz w:val="26"/>
          <w:szCs w:val="26"/>
        </w:rPr>
        <w:t xml:space="preserve"> already addressed and properly rejected the arguments set forth in the OSBA’</w:t>
      </w:r>
      <w:r w:rsidR="00DF440A">
        <w:rPr>
          <w:rFonts w:ascii="Times New Roman" w:hAnsi="Times New Roman"/>
          <w:sz w:val="26"/>
          <w:szCs w:val="26"/>
        </w:rPr>
        <w:t>s Petition.  RESA stated that “</w:t>
      </w:r>
      <w:r w:rsidR="0036088A">
        <w:rPr>
          <w:rFonts w:ascii="Times New Roman" w:hAnsi="Times New Roman"/>
          <w:sz w:val="26"/>
          <w:szCs w:val="26"/>
        </w:rPr>
        <w:t xml:space="preserve">[t]he Commission’s decision is solidly rooted in the Competition Act and, therefore, OSBA’s Petition for Reconsideration must be denied.”  </w:t>
      </w:r>
      <w:proofErr w:type="gramStart"/>
      <w:r w:rsidR="0036088A">
        <w:rPr>
          <w:rFonts w:ascii="Times New Roman" w:hAnsi="Times New Roman"/>
          <w:sz w:val="26"/>
          <w:szCs w:val="26"/>
        </w:rPr>
        <w:t>RESA Answer at 2.</w:t>
      </w:r>
      <w:proofErr w:type="gramEnd"/>
    </w:p>
    <w:p w:rsidR="0036088A" w:rsidRDefault="0036088A" w:rsidP="003B5796">
      <w:pPr>
        <w:widowControl w:val="0"/>
        <w:rPr>
          <w:rFonts w:ascii="Times New Roman" w:hAnsi="Times New Roman"/>
          <w:sz w:val="26"/>
          <w:szCs w:val="26"/>
        </w:rPr>
      </w:pPr>
    </w:p>
    <w:p w:rsidR="0036088A" w:rsidRDefault="00DF440A" w:rsidP="0054167B">
      <w:pPr>
        <w:rPr>
          <w:rFonts w:ascii="Times New Roman" w:hAnsi="Times New Roman"/>
          <w:sz w:val="26"/>
          <w:szCs w:val="26"/>
        </w:rPr>
      </w:pPr>
      <w:r>
        <w:rPr>
          <w:rFonts w:ascii="Times New Roman" w:hAnsi="Times New Roman"/>
          <w:sz w:val="26"/>
          <w:szCs w:val="26"/>
        </w:rPr>
        <w:lastRenderedPageBreak/>
        <w:tab/>
      </w:r>
      <w:r>
        <w:rPr>
          <w:rFonts w:ascii="Times New Roman" w:hAnsi="Times New Roman"/>
          <w:sz w:val="26"/>
          <w:szCs w:val="26"/>
        </w:rPr>
        <w:tab/>
        <w:t>RESA also disputes</w:t>
      </w:r>
      <w:r w:rsidR="0036088A">
        <w:rPr>
          <w:rFonts w:ascii="Times New Roman" w:hAnsi="Times New Roman"/>
          <w:sz w:val="26"/>
          <w:szCs w:val="26"/>
        </w:rPr>
        <w:t xml:space="preserve"> the OSBA’</w:t>
      </w:r>
      <w:r w:rsidR="0013522F">
        <w:rPr>
          <w:rFonts w:ascii="Times New Roman" w:hAnsi="Times New Roman"/>
          <w:sz w:val="26"/>
          <w:szCs w:val="26"/>
        </w:rPr>
        <w:t>s contention that we</w:t>
      </w:r>
      <w:r w:rsidR="0036088A">
        <w:rPr>
          <w:rFonts w:ascii="Times New Roman" w:hAnsi="Times New Roman"/>
          <w:sz w:val="26"/>
          <w:szCs w:val="26"/>
        </w:rPr>
        <w:t xml:space="preserve"> recognized in the </w:t>
      </w:r>
      <w:r w:rsidR="0036088A" w:rsidRPr="0036088A">
        <w:rPr>
          <w:rFonts w:ascii="Times New Roman" w:hAnsi="Times New Roman"/>
          <w:i/>
          <w:sz w:val="26"/>
          <w:szCs w:val="26"/>
        </w:rPr>
        <w:t>End State Order</w:t>
      </w:r>
      <w:r w:rsidR="0013522F">
        <w:rPr>
          <w:rFonts w:ascii="Times New Roman" w:hAnsi="Times New Roman"/>
          <w:sz w:val="26"/>
          <w:szCs w:val="26"/>
        </w:rPr>
        <w:t xml:space="preserve"> that we</w:t>
      </w:r>
      <w:r w:rsidR="0036088A">
        <w:rPr>
          <w:rFonts w:ascii="Times New Roman" w:hAnsi="Times New Roman"/>
          <w:sz w:val="26"/>
          <w:szCs w:val="26"/>
        </w:rPr>
        <w:t xml:space="preserve"> did not have the authority to lower the demand th</w:t>
      </w:r>
      <w:r>
        <w:rPr>
          <w:rFonts w:ascii="Times New Roman" w:hAnsi="Times New Roman"/>
          <w:sz w:val="26"/>
          <w:szCs w:val="26"/>
        </w:rPr>
        <w:t xml:space="preserve">reshold for Large </w:t>
      </w:r>
      <w:proofErr w:type="gramStart"/>
      <w:r>
        <w:rPr>
          <w:rFonts w:ascii="Times New Roman" w:hAnsi="Times New Roman"/>
          <w:sz w:val="26"/>
          <w:szCs w:val="26"/>
        </w:rPr>
        <w:t>C&amp;I</w:t>
      </w:r>
      <w:proofErr w:type="gramEnd"/>
      <w:r>
        <w:rPr>
          <w:rFonts w:ascii="Times New Roman" w:hAnsi="Times New Roman"/>
          <w:sz w:val="26"/>
          <w:szCs w:val="26"/>
        </w:rPr>
        <w:t xml:space="preserve"> </w:t>
      </w:r>
      <w:r w:rsidRPr="00DF440A">
        <w:rPr>
          <w:rFonts w:ascii="Times New Roman" w:hAnsi="Times New Roman"/>
          <w:sz w:val="26"/>
          <w:szCs w:val="26"/>
        </w:rPr>
        <w:t>customers.</w:t>
      </w:r>
      <w:r w:rsidR="0036088A" w:rsidRPr="00DF440A">
        <w:rPr>
          <w:rFonts w:ascii="Times New Roman" w:hAnsi="Times New Roman"/>
          <w:sz w:val="26"/>
          <w:szCs w:val="26"/>
        </w:rPr>
        <w:t xml:space="preserve"> </w:t>
      </w:r>
      <w:r w:rsidRPr="00DF440A">
        <w:rPr>
          <w:rFonts w:ascii="Times New Roman" w:hAnsi="Times New Roman"/>
          <w:sz w:val="26"/>
          <w:szCs w:val="26"/>
        </w:rPr>
        <w:t xml:space="preserve"> </w:t>
      </w:r>
      <w:r w:rsidR="0013522F">
        <w:rPr>
          <w:rFonts w:ascii="Times New Roman" w:hAnsi="Times New Roman"/>
          <w:sz w:val="26"/>
          <w:szCs w:val="26"/>
        </w:rPr>
        <w:t>RESA asserts that while we</w:t>
      </w:r>
      <w:r w:rsidR="0036088A" w:rsidRPr="00DF440A">
        <w:rPr>
          <w:rFonts w:ascii="Times New Roman" w:hAnsi="Times New Roman"/>
          <w:sz w:val="26"/>
          <w:szCs w:val="26"/>
        </w:rPr>
        <w:t xml:space="preserve"> expressed a preference for legislative amendments</w:t>
      </w:r>
      <w:r w:rsidRPr="00DF440A">
        <w:rPr>
          <w:rFonts w:ascii="Times New Roman" w:hAnsi="Times New Roman"/>
          <w:sz w:val="26"/>
          <w:szCs w:val="26"/>
        </w:rPr>
        <w:t xml:space="preserve"> in the </w:t>
      </w:r>
      <w:r w:rsidRPr="00DF440A">
        <w:rPr>
          <w:rFonts w:ascii="Times New Roman" w:hAnsi="Times New Roman"/>
          <w:i/>
          <w:sz w:val="26"/>
          <w:szCs w:val="26"/>
        </w:rPr>
        <w:t>End State Order</w:t>
      </w:r>
      <w:r w:rsidR="0013522F">
        <w:rPr>
          <w:rFonts w:ascii="Times New Roman" w:hAnsi="Times New Roman"/>
          <w:sz w:val="26"/>
          <w:szCs w:val="26"/>
        </w:rPr>
        <w:t>, we also stated our belief that we have</w:t>
      </w:r>
      <w:r w:rsidR="0036088A" w:rsidRPr="00DF440A">
        <w:rPr>
          <w:rFonts w:ascii="Times New Roman" w:hAnsi="Times New Roman"/>
          <w:sz w:val="26"/>
          <w:szCs w:val="26"/>
        </w:rPr>
        <w:t xml:space="preserve"> the authority to lower the threshold for hourly-priced service.</w:t>
      </w:r>
      <w:r w:rsidR="00615E8B" w:rsidRPr="00DF440A">
        <w:rPr>
          <w:rFonts w:ascii="Times New Roman" w:hAnsi="Times New Roman"/>
          <w:sz w:val="26"/>
          <w:szCs w:val="26"/>
        </w:rPr>
        <w:t xml:space="preserve">  </w:t>
      </w:r>
      <w:proofErr w:type="gramStart"/>
      <w:r w:rsidR="00615E8B" w:rsidRPr="00DF440A">
        <w:rPr>
          <w:rFonts w:ascii="Times New Roman" w:hAnsi="Times New Roman"/>
          <w:i/>
          <w:sz w:val="26"/>
          <w:szCs w:val="26"/>
        </w:rPr>
        <w:t>Id</w:t>
      </w:r>
      <w:r w:rsidR="00615E8B" w:rsidRPr="00DF440A">
        <w:rPr>
          <w:rFonts w:ascii="Times New Roman" w:hAnsi="Times New Roman"/>
          <w:sz w:val="26"/>
          <w:szCs w:val="26"/>
        </w:rPr>
        <w:t xml:space="preserve">. at 3 (citing </w:t>
      </w:r>
      <w:r w:rsidR="00353491" w:rsidRPr="00434C4C">
        <w:rPr>
          <w:rFonts w:ascii="Times New Roman" w:hAnsi="Times New Roman"/>
          <w:i/>
          <w:sz w:val="26"/>
          <w:szCs w:val="26"/>
        </w:rPr>
        <w:t>January 2015 Order</w:t>
      </w:r>
      <w:r w:rsidR="00615E8B" w:rsidRPr="00DF440A">
        <w:rPr>
          <w:rFonts w:ascii="Times New Roman" w:hAnsi="Times New Roman"/>
          <w:sz w:val="26"/>
          <w:szCs w:val="26"/>
        </w:rPr>
        <w:t xml:space="preserve"> at 45).</w:t>
      </w:r>
      <w:proofErr w:type="gramEnd"/>
      <w:r w:rsidR="00615E8B" w:rsidRPr="00DF440A">
        <w:rPr>
          <w:rFonts w:ascii="Times New Roman" w:hAnsi="Times New Roman"/>
          <w:sz w:val="26"/>
          <w:szCs w:val="26"/>
        </w:rPr>
        <w:t xml:space="preserve">  Moreover, RESA asserts that “even if one were to accept OSBA’s flawed premise that the</w:t>
      </w:r>
      <w:r w:rsidR="00615E8B">
        <w:rPr>
          <w:rFonts w:ascii="Times New Roman" w:hAnsi="Times New Roman"/>
          <w:sz w:val="26"/>
          <w:szCs w:val="26"/>
        </w:rPr>
        <w:t xml:space="preserve"> Commission </w:t>
      </w:r>
      <w:r w:rsidR="00615E8B" w:rsidRPr="00615E8B">
        <w:rPr>
          <w:rFonts w:ascii="Times New Roman" w:hAnsi="Times New Roman"/>
          <w:i/>
          <w:sz w:val="26"/>
          <w:szCs w:val="26"/>
        </w:rPr>
        <w:t>only</w:t>
      </w:r>
      <w:r w:rsidR="00615E8B">
        <w:rPr>
          <w:rFonts w:ascii="Times New Roman" w:hAnsi="Times New Roman"/>
          <w:sz w:val="26"/>
          <w:szCs w:val="26"/>
        </w:rPr>
        <w:t xml:space="preserve"> expressed concerns about its enabling authority, any such concerns were put to rest by the </w:t>
      </w:r>
      <w:r w:rsidR="001C0A0B">
        <w:rPr>
          <w:rFonts w:ascii="Times New Roman" w:hAnsi="Times New Roman"/>
          <w:sz w:val="26"/>
          <w:szCs w:val="26"/>
        </w:rPr>
        <w:t>[</w:t>
      </w:r>
      <w:proofErr w:type="spellStart"/>
      <w:r w:rsidR="001C0A0B">
        <w:rPr>
          <w:rFonts w:ascii="Times New Roman" w:hAnsi="Times New Roman"/>
          <w:i/>
          <w:sz w:val="26"/>
          <w:szCs w:val="26"/>
        </w:rPr>
        <w:t>Popowsky</w:t>
      </w:r>
      <w:proofErr w:type="spellEnd"/>
      <w:r w:rsidR="001C0A0B">
        <w:rPr>
          <w:rFonts w:ascii="Times New Roman" w:hAnsi="Times New Roman"/>
          <w:sz w:val="26"/>
          <w:szCs w:val="26"/>
        </w:rPr>
        <w:t>]</w:t>
      </w:r>
      <w:r w:rsidR="00615E8B">
        <w:rPr>
          <w:rFonts w:ascii="Times New Roman" w:hAnsi="Times New Roman"/>
          <w:sz w:val="26"/>
          <w:szCs w:val="26"/>
        </w:rPr>
        <w:t xml:space="preserve"> decision . . .”  RESA Answer at 3.</w:t>
      </w:r>
    </w:p>
    <w:p w:rsidR="00F62399" w:rsidRDefault="00F62399" w:rsidP="003B5796">
      <w:pPr>
        <w:widowControl w:val="0"/>
        <w:rPr>
          <w:rFonts w:ascii="Times New Roman" w:hAnsi="Times New Roman"/>
          <w:sz w:val="26"/>
          <w:szCs w:val="26"/>
        </w:rPr>
      </w:pPr>
    </w:p>
    <w:p w:rsidR="00F62399" w:rsidRDefault="00F62399" w:rsidP="0054167B">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In addition, RESA </w:t>
      </w:r>
      <w:r w:rsidR="00715717">
        <w:rPr>
          <w:rFonts w:ascii="Times New Roman" w:hAnsi="Times New Roman"/>
          <w:sz w:val="26"/>
          <w:szCs w:val="26"/>
        </w:rPr>
        <w:t>disputes</w:t>
      </w:r>
      <w:r w:rsidR="003C001E">
        <w:rPr>
          <w:rFonts w:ascii="Times New Roman" w:hAnsi="Times New Roman"/>
          <w:sz w:val="26"/>
          <w:szCs w:val="26"/>
        </w:rPr>
        <w:t xml:space="preserve"> the OSBA’s assertion that the ALJ rightly noted </w:t>
      </w:r>
      <w:r>
        <w:rPr>
          <w:rFonts w:ascii="Times New Roman" w:hAnsi="Times New Roman"/>
          <w:sz w:val="26"/>
          <w:szCs w:val="26"/>
        </w:rPr>
        <w:t xml:space="preserve">inconsistencies </w:t>
      </w:r>
      <w:r w:rsidR="0013522F">
        <w:rPr>
          <w:rFonts w:ascii="Times New Roman" w:hAnsi="Times New Roman"/>
          <w:sz w:val="26"/>
          <w:szCs w:val="26"/>
        </w:rPr>
        <w:t>regarding our</w:t>
      </w:r>
      <w:r>
        <w:rPr>
          <w:rFonts w:ascii="Times New Roman" w:hAnsi="Times New Roman"/>
          <w:sz w:val="26"/>
          <w:szCs w:val="26"/>
        </w:rPr>
        <w:t xml:space="preserve"> policy on what </w:t>
      </w:r>
      <w:r w:rsidR="003C001E">
        <w:rPr>
          <w:rFonts w:ascii="Times New Roman" w:hAnsi="Times New Roman"/>
          <w:sz w:val="26"/>
          <w:szCs w:val="26"/>
        </w:rPr>
        <w:t>constitutes a “prudent mix” of default service products, stating that</w:t>
      </w:r>
      <w:r>
        <w:rPr>
          <w:rFonts w:ascii="Times New Roman" w:hAnsi="Times New Roman"/>
          <w:sz w:val="26"/>
          <w:szCs w:val="26"/>
        </w:rPr>
        <w:t xml:space="preserve"> the ALJ’s legal reasoning was fundamentally flawed.</w:t>
      </w:r>
      <w:r w:rsidR="00405B86">
        <w:rPr>
          <w:rFonts w:ascii="Times New Roman" w:hAnsi="Times New Roman"/>
          <w:sz w:val="26"/>
          <w:szCs w:val="26"/>
        </w:rPr>
        <w:t xml:space="preserve">  </w:t>
      </w:r>
      <w:r w:rsidR="003C001E">
        <w:rPr>
          <w:rFonts w:ascii="Times New Roman" w:hAnsi="Times New Roman"/>
          <w:sz w:val="26"/>
          <w:szCs w:val="26"/>
        </w:rPr>
        <w:t xml:space="preserve">RESA contends that the Commission has always been clear that </w:t>
      </w:r>
      <w:r w:rsidR="00405B86">
        <w:rPr>
          <w:rFonts w:ascii="Times New Roman" w:hAnsi="Times New Roman"/>
          <w:sz w:val="26"/>
          <w:szCs w:val="26"/>
        </w:rPr>
        <w:t xml:space="preserve">it expected the default service plan for C&amp;I customers to increase reliance on short-term contracts and spot market purchases over time, and that it has maintained its ability to provide guidance regarding procurement practices as markets evolved.  </w:t>
      </w:r>
      <w:proofErr w:type="gramStart"/>
      <w:r w:rsidR="00405B86" w:rsidRPr="00405B86">
        <w:rPr>
          <w:rFonts w:ascii="Times New Roman" w:hAnsi="Times New Roman"/>
          <w:i/>
          <w:sz w:val="26"/>
          <w:szCs w:val="26"/>
        </w:rPr>
        <w:t>Id</w:t>
      </w:r>
      <w:r w:rsidR="00405B86">
        <w:rPr>
          <w:rFonts w:ascii="Times New Roman" w:hAnsi="Times New Roman"/>
          <w:sz w:val="26"/>
          <w:szCs w:val="26"/>
        </w:rPr>
        <w:t>. at 4.</w:t>
      </w:r>
      <w:proofErr w:type="gramEnd"/>
    </w:p>
    <w:p w:rsidR="00405B86" w:rsidRDefault="00405B86" w:rsidP="003B5796">
      <w:pPr>
        <w:widowControl w:val="0"/>
        <w:rPr>
          <w:rFonts w:ascii="Times New Roman" w:hAnsi="Times New Roman"/>
          <w:sz w:val="26"/>
          <w:szCs w:val="26"/>
        </w:rPr>
      </w:pPr>
    </w:p>
    <w:p w:rsidR="00405B86" w:rsidRPr="00405B86" w:rsidRDefault="00405B86" w:rsidP="003B5796">
      <w:pPr>
        <w:widowControl w:val="0"/>
        <w:rPr>
          <w:rFonts w:ascii="Times New Roman" w:hAnsi="Times New Roman"/>
          <w:b/>
          <w:sz w:val="26"/>
          <w:szCs w:val="26"/>
        </w:rPr>
      </w:pPr>
      <w:r w:rsidRPr="00405B86">
        <w:rPr>
          <w:rFonts w:ascii="Times New Roman" w:hAnsi="Times New Roman"/>
          <w:b/>
          <w:sz w:val="26"/>
          <w:szCs w:val="26"/>
        </w:rPr>
        <w:t>Disposition</w:t>
      </w:r>
    </w:p>
    <w:p w:rsidR="00405B86" w:rsidRDefault="00405B86" w:rsidP="003B5796">
      <w:pPr>
        <w:widowControl w:val="0"/>
        <w:rPr>
          <w:rFonts w:ascii="Times New Roman" w:hAnsi="Times New Roman"/>
          <w:sz w:val="26"/>
          <w:szCs w:val="26"/>
        </w:rPr>
      </w:pPr>
    </w:p>
    <w:p w:rsidR="00774A94" w:rsidRPr="00116593" w:rsidRDefault="005B1B94" w:rsidP="00774A94">
      <w:pPr>
        <w:ind w:firstLine="1440"/>
        <w:rPr>
          <w:sz w:val="26"/>
        </w:rPr>
      </w:pPr>
      <w:r>
        <w:rPr>
          <w:sz w:val="26"/>
        </w:rPr>
        <w:t>The</w:t>
      </w:r>
      <w:r w:rsidR="00774A94">
        <w:rPr>
          <w:sz w:val="26"/>
        </w:rPr>
        <w:t xml:space="preserve"> </w:t>
      </w:r>
      <w:r w:rsidR="00774A94" w:rsidRPr="00116593">
        <w:rPr>
          <w:sz w:val="26"/>
        </w:rPr>
        <w:t>Code establishes a party’s right to seek relief following the issuance of our final decisions pursuant to Subsections 703(f) and (g), 66 Pa. C.S. §</w:t>
      </w:r>
      <w:r w:rsidR="00774A94" w:rsidRPr="000427ED">
        <w:rPr>
          <w:sz w:val="26"/>
        </w:rPr>
        <w:t>§</w:t>
      </w:r>
      <w:r w:rsidR="00774A94" w:rsidRPr="00116593">
        <w:rPr>
          <w:sz w:val="26"/>
        </w:rPr>
        <w:t xml:space="preserve"> 703(f) and (g), relating to </w:t>
      </w:r>
      <w:proofErr w:type="spellStart"/>
      <w:r w:rsidR="00774A94" w:rsidRPr="00116593">
        <w:rPr>
          <w:sz w:val="26"/>
        </w:rPr>
        <w:t>rehearings</w:t>
      </w:r>
      <w:proofErr w:type="spellEnd"/>
      <w:r w:rsidR="00774A94" w:rsidRPr="00116593">
        <w:rPr>
          <w:sz w:val="26"/>
        </w:rPr>
        <w:t xml:space="preserve">, as well as the rescission and amendment of orders.  Such requests for relief must be consistent with Section 5.572 of our Regulations, 52 Pa. Code § 5.572, relating to petitions for relief following the issuance of a final decision.  </w:t>
      </w:r>
    </w:p>
    <w:p w:rsidR="00774A94" w:rsidRPr="00116593" w:rsidRDefault="00774A94" w:rsidP="00774A94">
      <w:pPr>
        <w:rPr>
          <w:sz w:val="26"/>
        </w:rPr>
      </w:pPr>
    </w:p>
    <w:p w:rsidR="00774A94" w:rsidRPr="005B1B94" w:rsidRDefault="00774A94" w:rsidP="00774A94">
      <w:pPr>
        <w:ind w:firstLine="1440"/>
        <w:rPr>
          <w:sz w:val="26"/>
        </w:rPr>
      </w:pPr>
      <w:r w:rsidRPr="00116593">
        <w:rPr>
          <w:sz w:val="26"/>
        </w:rPr>
        <w:t xml:space="preserve">The standards for granting a Petition for Reconsideration were set forth in </w:t>
      </w:r>
      <w:proofErr w:type="spellStart"/>
      <w:r w:rsidR="005B1B94">
        <w:rPr>
          <w:i/>
          <w:sz w:val="26"/>
        </w:rPr>
        <w:t>Duick</w:t>
      </w:r>
      <w:proofErr w:type="spellEnd"/>
      <w:r w:rsidR="005B1B94">
        <w:rPr>
          <w:i/>
          <w:sz w:val="26"/>
        </w:rPr>
        <w:t> </w:t>
      </w:r>
      <w:r w:rsidR="005B1B94" w:rsidRPr="005B1B94">
        <w:rPr>
          <w:sz w:val="26"/>
        </w:rPr>
        <w:t>as follows</w:t>
      </w:r>
      <w:r w:rsidRPr="005B1B94">
        <w:rPr>
          <w:sz w:val="26"/>
        </w:rPr>
        <w:t xml:space="preserve">:  </w:t>
      </w:r>
    </w:p>
    <w:p w:rsidR="00774A94" w:rsidRPr="00116593" w:rsidRDefault="00774A94" w:rsidP="00774A94">
      <w:pPr>
        <w:rPr>
          <w:sz w:val="26"/>
        </w:rPr>
      </w:pPr>
    </w:p>
    <w:p w:rsidR="00774A94" w:rsidRPr="00116593" w:rsidRDefault="00774A94" w:rsidP="005B1B94">
      <w:pPr>
        <w:spacing w:line="240" w:lineRule="auto"/>
        <w:ind w:left="1440" w:right="1440"/>
        <w:rPr>
          <w:sz w:val="26"/>
        </w:rPr>
      </w:pPr>
      <w:r w:rsidRPr="00116593">
        <w:rPr>
          <w:sz w:val="26"/>
        </w:rPr>
        <w:lastRenderedPageBreak/>
        <w:t xml:space="preserve">A Petition for Reconsideration, under the provisions of </w:t>
      </w:r>
    </w:p>
    <w:p w:rsidR="00774A94" w:rsidRPr="00116593" w:rsidRDefault="00774A94" w:rsidP="005B1B94">
      <w:pPr>
        <w:spacing w:line="240" w:lineRule="auto"/>
        <w:ind w:left="1440" w:right="1440"/>
        <w:rPr>
          <w:sz w:val="26"/>
        </w:rPr>
      </w:pPr>
      <w:r w:rsidRPr="00116593">
        <w:rPr>
          <w:sz w:val="26"/>
        </w:rPr>
        <w:t xml:space="preserve">66 Pa. C.S. § 703(g), may properly raise any matters designed to convince the Commission that it should exercise its discretion under this code section to rescind or amend a prior order in whole or in part.  </w:t>
      </w:r>
    </w:p>
    <w:p w:rsidR="00774A94" w:rsidRPr="00116593" w:rsidRDefault="00774A94" w:rsidP="00774A94">
      <w:pPr>
        <w:ind w:left="1440" w:right="1440"/>
        <w:rPr>
          <w:sz w:val="26"/>
        </w:rPr>
      </w:pPr>
    </w:p>
    <w:p w:rsidR="00774A94" w:rsidRPr="00116593" w:rsidRDefault="00774A94" w:rsidP="00774A94">
      <w:pPr>
        <w:spacing w:line="240" w:lineRule="auto"/>
        <w:ind w:left="1440" w:right="1440"/>
        <w:rPr>
          <w:sz w:val="26"/>
        </w:rPr>
      </w:pPr>
      <w:r w:rsidRPr="00116593">
        <w:rPr>
          <w:sz w:val="26"/>
        </w:rPr>
        <w:tab/>
        <w:t xml:space="preserve">In this regard we agree with the court in the </w:t>
      </w:r>
      <w:r w:rsidRPr="0087004F">
        <w:rPr>
          <w:i/>
          <w:sz w:val="26"/>
        </w:rPr>
        <w:t>Pennsyl</w:t>
      </w:r>
      <w:r w:rsidRPr="0087004F">
        <w:rPr>
          <w:i/>
          <w:sz w:val="26"/>
        </w:rPr>
        <w:softHyphen/>
        <w:t>vania Railroad Company</w:t>
      </w:r>
      <w:r w:rsidRPr="00116593">
        <w:rPr>
          <w:sz w:val="26"/>
        </w:rPr>
        <w:t xml:space="preserve"> case, wherein it was stated that:  </w:t>
      </w:r>
    </w:p>
    <w:p w:rsidR="00774A94" w:rsidRPr="00116593" w:rsidRDefault="00774A94" w:rsidP="00774A94">
      <w:pPr>
        <w:spacing w:line="240" w:lineRule="auto"/>
        <w:ind w:left="2160" w:right="2160"/>
        <w:rPr>
          <w:sz w:val="26"/>
        </w:rPr>
      </w:pPr>
    </w:p>
    <w:p w:rsidR="00774A94" w:rsidRPr="00116593" w:rsidRDefault="00774A94" w:rsidP="00774A94">
      <w:pPr>
        <w:tabs>
          <w:tab w:val="left" w:pos="-720"/>
        </w:tabs>
        <w:spacing w:line="240" w:lineRule="auto"/>
        <w:ind w:left="2160" w:right="2160"/>
        <w:rPr>
          <w:sz w:val="26"/>
        </w:rPr>
      </w:pPr>
      <w:r w:rsidRPr="00116593">
        <w:rPr>
          <w:sz w:val="26"/>
        </w:rPr>
        <w:tab/>
        <w:t>Parties . . . cannot be permitted by a second motion to review and reconsider, to raise the same questions which were specifically decided against them . . . what we expect to see raised in such petitions are new and novel arguments, not previously heard, or considera</w:t>
      </w:r>
      <w:r w:rsidRPr="00116593">
        <w:rPr>
          <w:sz w:val="26"/>
        </w:rPr>
        <w:softHyphen/>
        <w:t xml:space="preserve">tions which appear to have been overlooked by the Commission.  </w:t>
      </w:r>
    </w:p>
    <w:p w:rsidR="00774A94" w:rsidRPr="00116593" w:rsidRDefault="00774A94" w:rsidP="00774A94">
      <w:pPr>
        <w:tabs>
          <w:tab w:val="left" w:pos="-720"/>
        </w:tabs>
        <w:ind w:left="2160" w:right="2160"/>
        <w:rPr>
          <w:sz w:val="26"/>
        </w:rPr>
      </w:pPr>
    </w:p>
    <w:p w:rsidR="00774A94" w:rsidRPr="00116593" w:rsidRDefault="00774A94" w:rsidP="00774A94">
      <w:pPr>
        <w:rPr>
          <w:sz w:val="26"/>
          <w:szCs w:val="24"/>
        </w:rPr>
      </w:pPr>
      <w:proofErr w:type="spellStart"/>
      <w:r w:rsidRPr="00116593">
        <w:rPr>
          <w:i/>
          <w:sz w:val="26"/>
        </w:rPr>
        <w:t>Duick</w:t>
      </w:r>
      <w:proofErr w:type="spellEnd"/>
      <w:r w:rsidRPr="00116593">
        <w:rPr>
          <w:i/>
          <w:sz w:val="26"/>
        </w:rPr>
        <w:t>,</w:t>
      </w:r>
      <w:r w:rsidR="005B1B94">
        <w:rPr>
          <w:i/>
          <w:sz w:val="26"/>
        </w:rPr>
        <w:t xml:space="preserve"> </w:t>
      </w:r>
      <w:r w:rsidRPr="00116593">
        <w:rPr>
          <w:sz w:val="26"/>
          <w:szCs w:val="24"/>
        </w:rPr>
        <w:t xml:space="preserve">56 Pa. P.U.C. at 559 (quoting </w:t>
      </w:r>
      <w:r w:rsidRPr="00116593">
        <w:rPr>
          <w:i/>
          <w:sz w:val="26"/>
          <w:szCs w:val="24"/>
        </w:rPr>
        <w:t>Pennsylvania Railroad Co. v. Pennsylvania Public Service Commission</w:t>
      </w:r>
      <w:r w:rsidRPr="00116593">
        <w:rPr>
          <w:sz w:val="26"/>
          <w:szCs w:val="24"/>
        </w:rPr>
        <w:t xml:space="preserve">, 179 A. 850, 854 (Pa. Super. </w:t>
      </w:r>
      <w:proofErr w:type="gramStart"/>
      <w:r w:rsidRPr="00116593">
        <w:rPr>
          <w:sz w:val="26"/>
          <w:szCs w:val="24"/>
        </w:rPr>
        <w:t>Ct. 1935)).</w:t>
      </w:r>
      <w:proofErr w:type="gramEnd"/>
      <w:r w:rsidRPr="00116593">
        <w:rPr>
          <w:sz w:val="26"/>
          <w:szCs w:val="24"/>
        </w:rPr>
        <w:t xml:space="preserve">  </w:t>
      </w:r>
    </w:p>
    <w:p w:rsidR="00774A94" w:rsidRPr="00116593" w:rsidRDefault="00774A94" w:rsidP="00774A94">
      <w:pPr>
        <w:rPr>
          <w:sz w:val="26"/>
        </w:rPr>
      </w:pPr>
    </w:p>
    <w:p w:rsidR="00774A94" w:rsidRPr="00774A94" w:rsidRDefault="00774A94" w:rsidP="00774A94">
      <w:pPr>
        <w:suppressAutoHyphens/>
        <w:rPr>
          <w:color w:val="000000"/>
          <w:spacing w:val="-3"/>
          <w:sz w:val="26"/>
          <w:u w:color="000000"/>
        </w:rPr>
      </w:pPr>
      <w:r w:rsidRPr="00116593">
        <w:rPr>
          <w:color w:val="000000"/>
          <w:spacing w:val="-3"/>
          <w:sz w:val="26"/>
          <w:u w:color="000000"/>
        </w:rPr>
        <w:tab/>
      </w:r>
      <w:r w:rsidRPr="00116593">
        <w:rPr>
          <w:color w:val="000000"/>
          <w:spacing w:val="-3"/>
          <w:sz w:val="26"/>
          <w:u w:color="000000"/>
        </w:rPr>
        <w:tab/>
        <w:t xml:space="preserve">Under the standards of </w:t>
      </w:r>
      <w:proofErr w:type="spellStart"/>
      <w:r w:rsidRPr="00116593">
        <w:rPr>
          <w:i/>
          <w:color w:val="000000"/>
          <w:spacing w:val="-3"/>
          <w:sz w:val="26"/>
          <w:u w:color="000000"/>
        </w:rPr>
        <w:t>Duick</w:t>
      </w:r>
      <w:proofErr w:type="spellEnd"/>
      <w:r w:rsidRPr="00116593">
        <w:rPr>
          <w:color w:val="000000"/>
          <w:spacing w:val="-3"/>
          <w:sz w:val="26"/>
          <w:u w:color="000000"/>
        </w:rPr>
        <w:t xml:space="preserve">, a </w:t>
      </w:r>
      <w:r>
        <w:rPr>
          <w:color w:val="000000"/>
          <w:spacing w:val="-3"/>
          <w:sz w:val="26"/>
          <w:u w:color="000000"/>
        </w:rPr>
        <w:t>P</w:t>
      </w:r>
      <w:r w:rsidRPr="00116593">
        <w:rPr>
          <w:color w:val="000000"/>
          <w:spacing w:val="-3"/>
          <w:sz w:val="26"/>
          <w:u w:color="000000"/>
        </w:rPr>
        <w:t xml:space="preserve">etition for </w:t>
      </w:r>
      <w:r>
        <w:rPr>
          <w:color w:val="000000"/>
          <w:spacing w:val="-3"/>
          <w:sz w:val="26"/>
          <w:u w:color="000000"/>
        </w:rPr>
        <w:t>R</w:t>
      </w:r>
      <w:r w:rsidRPr="00116593">
        <w:rPr>
          <w:color w:val="000000"/>
          <w:spacing w:val="-3"/>
          <w:sz w:val="26"/>
          <w:u w:color="000000"/>
        </w:rPr>
        <w:t xml:space="preserve">econsideration may properly raise any matter designed to convince this Commission that we should exercise our discretion to amend or rescind a prior Order, in whole or in part.  Such petitions are likely to succeed only when they raise “new and novel arguments” not previously heard or considerations which appear to have been overlooked or not addressed by the Commission.  </w:t>
      </w:r>
      <w:proofErr w:type="spellStart"/>
      <w:proofErr w:type="gramStart"/>
      <w:r w:rsidRPr="00116593">
        <w:rPr>
          <w:i/>
          <w:color w:val="000000"/>
          <w:spacing w:val="-3"/>
          <w:sz w:val="26"/>
          <w:u w:color="000000"/>
        </w:rPr>
        <w:t>Duick</w:t>
      </w:r>
      <w:proofErr w:type="spellEnd"/>
      <w:r w:rsidRPr="00116593">
        <w:rPr>
          <w:color w:val="000000"/>
          <w:spacing w:val="-3"/>
          <w:sz w:val="26"/>
          <w:u w:color="000000"/>
        </w:rPr>
        <w:t>, 56 Pa. P.U.C. at 559.</w:t>
      </w:r>
      <w:proofErr w:type="gramEnd"/>
      <w:r w:rsidRPr="00116593">
        <w:rPr>
          <w:color w:val="000000"/>
          <w:spacing w:val="-3"/>
          <w:sz w:val="26"/>
          <w:u w:color="000000"/>
        </w:rPr>
        <w:t xml:space="preserve"> </w:t>
      </w:r>
    </w:p>
    <w:p w:rsidR="00774A94" w:rsidRDefault="00774A94" w:rsidP="003B5796">
      <w:pPr>
        <w:widowControl w:val="0"/>
        <w:rPr>
          <w:rFonts w:ascii="Times New Roman" w:hAnsi="Times New Roman"/>
          <w:sz w:val="26"/>
          <w:szCs w:val="26"/>
        </w:rPr>
      </w:pPr>
    </w:p>
    <w:p w:rsidR="00774A94" w:rsidRPr="00774A94" w:rsidRDefault="00864EF1" w:rsidP="00774A94">
      <w:pPr>
        <w:suppressAutoHyphens/>
        <w:rPr>
          <w:rFonts w:ascii="Times New Roman" w:hAnsi="Times New Roman"/>
          <w:color w:val="000000"/>
          <w:spacing w:val="-3"/>
          <w:sz w:val="26"/>
          <w:u w:color="000000"/>
        </w:rPr>
      </w:pPr>
      <w:r>
        <w:rPr>
          <w:rFonts w:ascii="Times New Roman" w:hAnsi="Times New Roman"/>
          <w:color w:val="000000"/>
          <w:spacing w:val="-3"/>
          <w:sz w:val="26"/>
          <w:u w:color="000000"/>
        </w:rPr>
        <w:tab/>
      </w:r>
      <w:r>
        <w:rPr>
          <w:rFonts w:ascii="Times New Roman" w:hAnsi="Times New Roman"/>
          <w:color w:val="000000"/>
          <w:spacing w:val="-3"/>
          <w:sz w:val="26"/>
          <w:u w:color="000000"/>
        </w:rPr>
        <w:tab/>
      </w:r>
      <w:r w:rsidR="00774A94" w:rsidRPr="00774A94">
        <w:rPr>
          <w:rFonts w:ascii="Times New Roman" w:hAnsi="Times New Roman"/>
          <w:color w:val="000000"/>
          <w:spacing w:val="-3"/>
          <w:sz w:val="26"/>
          <w:u w:color="000000"/>
        </w:rPr>
        <w:t xml:space="preserve">Based on our review of the OSBA’s Petition and the Answers thereto, and in light of the record as described in the proceeding, we find that the OSBA has failed to allege any “new or novel arguments” such as would persuade us to reverse, modify or amend our </w:t>
      </w:r>
      <w:r w:rsidR="001E258D">
        <w:rPr>
          <w:rFonts w:ascii="Times New Roman" w:hAnsi="Times New Roman"/>
          <w:i/>
          <w:sz w:val="26"/>
        </w:rPr>
        <w:t>January 2015</w:t>
      </w:r>
      <w:r w:rsidR="00774A94" w:rsidRPr="00774A94">
        <w:rPr>
          <w:rFonts w:ascii="Times New Roman" w:hAnsi="Times New Roman"/>
          <w:i/>
          <w:sz w:val="26"/>
        </w:rPr>
        <w:t xml:space="preserve"> Order</w:t>
      </w:r>
      <w:r w:rsidR="00774A94" w:rsidRPr="00774A94">
        <w:rPr>
          <w:rFonts w:ascii="Times New Roman" w:hAnsi="Times New Roman"/>
          <w:sz w:val="26"/>
        </w:rPr>
        <w:t xml:space="preserve">. We conclude that the Petition does not meet the standards for reconsideration established pursuant to </w:t>
      </w:r>
      <w:proofErr w:type="spellStart"/>
      <w:r w:rsidR="00774A94" w:rsidRPr="00774A94">
        <w:rPr>
          <w:rFonts w:ascii="Times New Roman" w:hAnsi="Times New Roman"/>
          <w:i/>
          <w:sz w:val="26"/>
        </w:rPr>
        <w:t>Duick</w:t>
      </w:r>
      <w:proofErr w:type="spellEnd"/>
      <w:r w:rsidR="00371DE0">
        <w:rPr>
          <w:rFonts w:ascii="Times New Roman" w:hAnsi="Times New Roman"/>
          <w:i/>
          <w:sz w:val="26"/>
        </w:rPr>
        <w:t>, supra</w:t>
      </w:r>
      <w:r w:rsidR="00774A94" w:rsidRPr="00774A94">
        <w:rPr>
          <w:rFonts w:ascii="Times New Roman" w:hAnsi="Times New Roman"/>
          <w:i/>
          <w:sz w:val="26"/>
        </w:rPr>
        <w:t xml:space="preserve">.  </w:t>
      </w:r>
      <w:r w:rsidR="00774A94" w:rsidRPr="00774A94">
        <w:rPr>
          <w:rFonts w:ascii="Times New Roman" w:hAnsi="Times New Roman"/>
          <w:sz w:val="26"/>
        </w:rPr>
        <w:t>On this poin</w:t>
      </w:r>
      <w:r w:rsidR="001E258D">
        <w:rPr>
          <w:rFonts w:ascii="Times New Roman" w:hAnsi="Times New Roman"/>
          <w:sz w:val="26"/>
        </w:rPr>
        <w:t xml:space="preserve">t, we are in agreement </w:t>
      </w:r>
      <w:r w:rsidR="001E258D">
        <w:rPr>
          <w:rFonts w:ascii="Times New Roman" w:hAnsi="Times New Roman"/>
          <w:sz w:val="26"/>
        </w:rPr>
        <w:lastRenderedPageBreak/>
        <w:t>with PPL</w:t>
      </w:r>
      <w:r w:rsidR="00774A94" w:rsidRPr="00774A94">
        <w:rPr>
          <w:rFonts w:ascii="Times New Roman" w:hAnsi="Times New Roman"/>
          <w:sz w:val="26"/>
        </w:rPr>
        <w:t xml:space="preserve"> and RESA that the OSBA’s Petition raises no new or novel arguments and raises no arguments that have not already been considered and rejected.  Also, the Petition fails to raise any arguments that have been overlooked by the Commission.  We find that each of the arguments raised by the OSBA in its Petition were addressed, considered and rejected in our </w:t>
      </w:r>
      <w:r w:rsidR="001E258D">
        <w:rPr>
          <w:rFonts w:ascii="Times New Roman" w:hAnsi="Times New Roman"/>
          <w:i/>
          <w:sz w:val="26"/>
        </w:rPr>
        <w:t>January 2015</w:t>
      </w:r>
      <w:r w:rsidR="00774A94" w:rsidRPr="00774A94">
        <w:rPr>
          <w:rFonts w:ascii="Times New Roman" w:hAnsi="Times New Roman"/>
          <w:i/>
          <w:sz w:val="26"/>
        </w:rPr>
        <w:t xml:space="preserve"> Order. </w:t>
      </w:r>
      <w:r w:rsidR="00774A94" w:rsidRPr="00774A94">
        <w:rPr>
          <w:rFonts w:ascii="Times New Roman" w:hAnsi="Times New Roman"/>
          <w:sz w:val="26"/>
        </w:rPr>
        <w:t xml:space="preserve"> Accordingly, we decline to reconsider our prior Order and shall deny the OSBA’s Petition.</w:t>
      </w:r>
    </w:p>
    <w:p w:rsidR="00492719" w:rsidRPr="00992C07" w:rsidRDefault="00492719" w:rsidP="003B5796">
      <w:pPr>
        <w:widowControl w:val="0"/>
        <w:rPr>
          <w:rFonts w:ascii="Times New Roman" w:hAnsi="Times New Roman"/>
          <w:sz w:val="26"/>
          <w:szCs w:val="26"/>
        </w:rPr>
      </w:pPr>
    </w:p>
    <w:p w:rsidR="003B5796" w:rsidRPr="003B5796" w:rsidRDefault="003B5796" w:rsidP="003B5796">
      <w:pPr>
        <w:suppressAutoHyphens/>
        <w:jc w:val="center"/>
        <w:rPr>
          <w:rFonts w:ascii="Times New Roman" w:hAnsi="Times New Roman"/>
          <w:b/>
          <w:color w:val="000000"/>
          <w:spacing w:val="-3"/>
          <w:sz w:val="26"/>
          <w:u w:color="000000"/>
        </w:rPr>
      </w:pPr>
      <w:r w:rsidRPr="003B5796">
        <w:rPr>
          <w:rFonts w:ascii="Times New Roman" w:hAnsi="Times New Roman"/>
          <w:b/>
          <w:color w:val="000000"/>
          <w:spacing w:val="-3"/>
          <w:sz w:val="26"/>
          <w:u w:color="000000"/>
        </w:rPr>
        <w:t>Conclusion</w:t>
      </w:r>
    </w:p>
    <w:p w:rsidR="003B5796" w:rsidRPr="003B5796" w:rsidRDefault="003B5796" w:rsidP="003B5796">
      <w:pPr>
        <w:widowControl w:val="0"/>
        <w:ind w:firstLine="1440"/>
        <w:rPr>
          <w:rFonts w:ascii="Times New Roman" w:hAnsi="Times New Roman"/>
          <w:sz w:val="26"/>
          <w:szCs w:val="26"/>
        </w:rPr>
      </w:pPr>
    </w:p>
    <w:p w:rsidR="003B5796" w:rsidRPr="00FC45DB" w:rsidRDefault="003B5796" w:rsidP="003B5796">
      <w:pPr>
        <w:widowControl w:val="0"/>
        <w:ind w:firstLine="1440"/>
        <w:rPr>
          <w:rFonts w:ascii="Times New Roman" w:hAnsi="Times New Roman"/>
          <w:sz w:val="26"/>
          <w:szCs w:val="26"/>
        </w:rPr>
      </w:pPr>
      <w:r w:rsidRPr="00FC45DB">
        <w:rPr>
          <w:rFonts w:ascii="Times New Roman" w:hAnsi="Times New Roman"/>
          <w:sz w:val="26"/>
        </w:rPr>
        <w:t xml:space="preserve">Based on the foregoing discussion, we shall deny the Petition for Reconsideration filed by the OSBA; </w:t>
      </w:r>
      <w:r w:rsidRPr="00FC45DB">
        <w:rPr>
          <w:rFonts w:ascii="Times New Roman" w:hAnsi="Times New Roman"/>
          <w:b/>
          <w:sz w:val="26"/>
        </w:rPr>
        <w:t>THEREFORE,</w:t>
      </w:r>
    </w:p>
    <w:p w:rsidR="003B5796" w:rsidRPr="00FC45DB" w:rsidRDefault="003B5796" w:rsidP="003B5796">
      <w:pPr>
        <w:widowControl w:val="0"/>
        <w:ind w:firstLine="1440"/>
        <w:rPr>
          <w:rFonts w:ascii="Times New Roman" w:hAnsi="Times New Roman"/>
          <w:sz w:val="26"/>
          <w:szCs w:val="26"/>
        </w:rPr>
      </w:pPr>
    </w:p>
    <w:p w:rsidR="003B5796" w:rsidRPr="00FC45DB" w:rsidRDefault="003B5796" w:rsidP="003B5796">
      <w:pPr>
        <w:widowControl w:val="0"/>
        <w:ind w:firstLine="1440"/>
        <w:rPr>
          <w:rFonts w:ascii="Times New Roman" w:hAnsi="Times New Roman"/>
          <w:sz w:val="26"/>
        </w:rPr>
      </w:pPr>
      <w:r w:rsidRPr="00FC45DB">
        <w:rPr>
          <w:rFonts w:ascii="Times New Roman" w:hAnsi="Times New Roman"/>
          <w:b/>
          <w:sz w:val="26"/>
          <w:szCs w:val="26"/>
        </w:rPr>
        <w:t>IT IS ORDERED:</w:t>
      </w:r>
      <w:r w:rsidRPr="00FC45DB">
        <w:rPr>
          <w:rFonts w:ascii="Times New Roman" w:hAnsi="Times New Roman"/>
          <w:sz w:val="26"/>
        </w:rPr>
        <w:t xml:space="preserve">  </w:t>
      </w:r>
    </w:p>
    <w:p w:rsidR="003B5796" w:rsidRPr="00FC45DB" w:rsidRDefault="003B5796" w:rsidP="003B5796">
      <w:pPr>
        <w:widowControl w:val="0"/>
        <w:ind w:firstLine="1440"/>
        <w:rPr>
          <w:rFonts w:ascii="Times New Roman" w:hAnsi="Times New Roman"/>
          <w:sz w:val="26"/>
        </w:rPr>
      </w:pPr>
    </w:p>
    <w:p w:rsidR="003B5796" w:rsidRPr="00FC45DB" w:rsidRDefault="003B5796" w:rsidP="003B5796">
      <w:pPr>
        <w:widowControl w:val="0"/>
        <w:ind w:firstLine="1440"/>
        <w:rPr>
          <w:rFonts w:ascii="Times New Roman" w:hAnsi="Times New Roman"/>
          <w:sz w:val="26"/>
          <w:szCs w:val="26"/>
        </w:rPr>
      </w:pPr>
      <w:r w:rsidRPr="00FC45DB">
        <w:rPr>
          <w:rFonts w:ascii="Times New Roman" w:hAnsi="Times New Roman"/>
          <w:sz w:val="26"/>
        </w:rPr>
        <w:t>1.</w:t>
      </w:r>
      <w:r w:rsidRPr="00FC45DB">
        <w:rPr>
          <w:rFonts w:ascii="Times New Roman" w:hAnsi="Times New Roman"/>
          <w:sz w:val="26"/>
        </w:rPr>
        <w:tab/>
      </w:r>
      <w:r w:rsidRPr="00FC45DB">
        <w:rPr>
          <w:rFonts w:ascii="Times New Roman" w:hAnsi="Times New Roman"/>
          <w:sz w:val="26"/>
          <w:szCs w:val="26"/>
        </w:rPr>
        <w:t>That the Petition for Reco</w:t>
      </w:r>
      <w:r w:rsidR="00FC45DB" w:rsidRPr="00FC45DB">
        <w:rPr>
          <w:rFonts w:ascii="Times New Roman" w:hAnsi="Times New Roman"/>
          <w:sz w:val="26"/>
          <w:szCs w:val="26"/>
        </w:rPr>
        <w:t>nsideration filed on January 30, 2015</w:t>
      </w:r>
      <w:r w:rsidRPr="00FC45DB">
        <w:rPr>
          <w:rFonts w:ascii="Times New Roman" w:hAnsi="Times New Roman"/>
          <w:sz w:val="26"/>
          <w:szCs w:val="26"/>
        </w:rPr>
        <w:t>, by the Office of Small Business Advocate, relative to the Opinion and Order en</w:t>
      </w:r>
      <w:r w:rsidR="00FC45DB" w:rsidRPr="00FC45DB">
        <w:rPr>
          <w:rFonts w:ascii="Times New Roman" w:hAnsi="Times New Roman"/>
          <w:sz w:val="26"/>
          <w:szCs w:val="26"/>
        </w:rPr>
        <w:t>tered herein on January 15, 2015</w:t>
      </w:r>
      <w:r w:rsidRPr="00FC45DB">
        <w:rPr>
          <w:rFonts w:ascii="Times New Roman" w:hAnsi="Times New Roman"/>
          <w:sz w:val="26"/>
          <w:szCs w:val="26"/>
        </w:rPr>
        <w:t>, is hereby denied, consistent with the discussion in the body of this Opinion and Order.</w:t>
      </w:r>
    </w:p>
    <w:p w:rsidR="003B5796" w:rsidRPr="00FC45DB" w:rsidRDefault="003B5796" w:rsidP="003B5796">
      <w:pPr>
        <w:widowControl w:val="0"/>
        <w:ind w:firstLine="1440"/>
        <w:rPr>
          <w:rFonts w:ascii="Times New Roman" w:hAnsi="Times New Roman"/>
          <w:sz w:val="26"/>
          <w:szCs w:val="26"/>
        </w:rPr>
      </w:pPr>
    </w:p>
    <w:p w:rsidR="003B5796" w:rsidRPr="00FC45DB" w:rsidRDefault="003B5796" w:rsidP="003B5796">
      <w:pPr>
        <w:widowControl w:val="0"/>
        <w:ind w:firstLine="1440"/>
        <w:rPr>
          <w:rFonts w:ascii="Times New Roman" w:hAnsi="Times New Roman"/>
          <w:sz w:val="26"/>
          <w:szCs w:val="26"/>
        </w:rPr>
      </w:pPr>
      <w:r w:rsidRPr="00FC45DB">
        <w:rPr>
          <w:rFonts w:ascii="Times New Roman" w:hAnsi="Times New Roman"/>
          <w:sz w:val="26"/>
          <w:szCs w:val="26"/>
        </w:rPr>
        <w:t>2.</w:t>
      </w:r>
      <w:r w:rsidRPr="00FC45DB">
        <w:rPr>
          <w:rFonts w:ascii="Times New Roman" w:hAnsi="Times New Roman"/>
          <w:sz w:val="26"/>
          <w:szCs w:val="26"/>
        </w:rPr>
        <w:tab/>
        <w:t>That the record in this proceeding shall be marked closed.</w:t>
      </w:r>
    </w:p>
    <w:p w:rsidR="003211D9" w:rsidRPr="00FC45DB" w:rsidRDefault="00DD4DF6" w:rsidP="00CC5F55">
      <w:pPr>
        <w:keepNext/>
        <w:rPr>
          <w:szCs w:val="24"/>
        </w:rPr>
      </w:pPr>
      <w:r>
        <w:rPr>
          <w:noProof/>
        </w:rPr>
        <w:drawing>
          <wp:anchor distT="0" distB="0" distL="114300" distR="114300" simplePos="0" relativeHeight="251658240" behindDoc="1" locked="0" layoutInCell="1" allowOverlap="1" wp14:anchorId="4550A357" wp14:editId="41971AD2">
            <wp:simplePos x="0" y="0"/>
            <wp:positionH relativeFrom="column">
              <wp:posOffset>3112135</wp:posOffset>
            </wp:positionH>
            <wp:positionV relativeFrom="paragraph">
              <wp:posOffset>242570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D56D28" w:rsidRPr="00FC45DB" w:rsidRDefault="000B647C" w:rsidP="00CC5F55">
      <w:pPr>
        <w:keepNext/>
        <w:rPr>
          <w:rFonts w:ascii="Times New Roman" w:hAnsi="Times New Roman"/>
          <w:b/>
          <w:sz w:val="26"/>
          <w:szCs w:val="26"/>
        </w:rPr>
      </w:pPr>
      <w:r w:rsidRPr="00FC45DB">
        <w:rPr>
          <w:szCs w:val="24"/>
        </w:rPr>
        <w:tab/>
      </w:r>
      <w:r w:rsidRPr="00FC45DB">
        <w:rPr>
          <w:szCs w:val="24"/>
        </w:rPr>
        <w:tab/>
      </w:r>
      <w:r w:rsidR="00AD6F9C" w:rsidRPr="00FC45DB">
        <w:rPr>
          <w:rFonts w:ascii="Times New Roman" w:hAnsi="Times New Roman"/>
          <w:b/>
          <w:sz w:val="26"/>
          <w:szCs w:val="26"/>
        </w:rPr>
        <w:tab/>
      </w:r>
      <w:r w:rsidR="00AD6F9C" w:rsidRPr="00FC45DB">
        <w:rPr>
          <w:rFonts w:ascii="Times New Roman" w:hAnsi="Times New Roman"/>
          <w:b/>
          <w:sz w:val="26"/>
          <w:szCs w:val="26"/>
        </w:rPr>
        <w:tab/>
      </w:r>
      <w:r w:rsidR="00AD6F9C" w:rsidRPr="00FC45DB">
        <w:rPr>
          <w:rFonts w:ascii="Times New Roman" w:hAnsi="Times New Roman"/>
          <w:b/>
          <w:sz w:val="26"/>
          <w:szCs w:val="26"/>
        </w:rPr>
        <w:tab/>
      </w:r>
      <w:r w:rsidR="00AD6F9C" w:rsidRPr="00FC45DB">
        <w:rPr>
          <w:rFonts w:ascii="Times New Roman" w:hAnsi="Times New Roman"/>
          <w:b/>
          <w:sz w:val="26"/>
          <w:szCs w:val="26"/>
        </w:rPr>
        <w:tab/>
      </w:r>
      <w:r w:rsidR="00AD6F9C" w:rsidRPr="00FC45DB">
        <w:rPr>
          <w:rFonts w:ascii="Times New Roman" w:hAnsi="Times New Roman"/>
          <w:b/>
          <w:sz w:val="26"/>
          <w:szCs w:val="26"/>
        </w:rPr>
        <w:tab/>
      </w:r>
      <w:r w:rsidR="00D56D28" w:rsidRPr="00FC45DB">
        <w:rPr>
          <w:rFonts w:ascii="Times New Roman" w:hAnsi="Times New Roman"/>
          <w:b/>
          <w:sz w:val="26"/>
          <w:szCs w:val="26"/>
        </w:rPr>
        <w:tab/>
      </w:r>
      <w:r w:rsidR="00AD6F9C" w:rsidRPr="00FC45DB">
        <w:rPr>
          <w:rFonts w:ascii="Times New Roman" w:hAnsi="Times New Roman"/>
          <w:b/>
          <w:sz w:val="26"/>
          <w:szCs w:val="26"/>
        </w:rPr>
        <w:t>BY THE COMMISSION,</w:t>
      </w:r>
    </w:p>
    <w:p w:rsidR="00F93588" w:rsidRPr="00FC45DB" w:rsidRDefault="00F93588" w:rsidP="005870F2">
      <w:pPr>
        <w:spacing w:line="240" w:lineRule="auto"/>
      </w:pPr>
    </w:p>
    <w:p w:rsidR="00D56D28" w:rsidRPr="00FC45DB" w:rsidRDefault="00D56D28" w:rsidP="005870F2">
      <w:pPr>
        <w:keepNext/>
        <w:spacing w:line="240" w:lineRule="auto"/>
        <w:rPr>
          <w:rFonts w:ascii="Times New Roman" w:hAnsi="Times New Roman"/>
          <w:b/>
          <w:sz w:val="26"/>
          <w:szCs w:val="26"/>
        </w:rPr>
      </w:pPr>
    </w:p>
    <w:p w:rsidR="00D56D28" w:rsidRPr="00FC45DB" w:rsidRDefault="00D56D28" w:rsidP="005870F2">
      <w:pPr>
        <w:keepNext/>
        <w:spacing w:line="240" w:lineRule="auto"/>
        <w:rPr>
          <w:rFonts w:ascii="Times New Roman" w:hAnsi="Times New Roman"/>
          <w:b/>
          <w:sz w:val="26"/>
          <w:szCs w:val="26"/>
        </w:rPr>
      </w:pPr>
    </w:p>
    <w:p w:rsidR="005870F2" w:rsidRPr="00FC45DB" w:rsidRDefault="005870F2" w:rsidP="005870F2">
      <w:pPr>
        <w:keepNext/>
        <w:spacing w:line="240" w:lineRule="auto"/>
        <w:rPr>
          <w:rFonts w:ascii="Times New Roman" w:hAnsi="Times New Roman"/>
          <w:b/>
          <w:sz w:val="26"/>
          <w:szCs w:val="26"/>
        </w:rPr>
      </w:pPr>
    </w:p>
    <w:p w:rsidR="00D56D28" w:rsidRDefault="00AD6F9C" w:rsidP="00CC5F55">
      <w:pPr>
        <w:keepNext/>
        <w:spacing w:line="240" w:lineRule="auto"/>
        <w:rPr>
          <w:rFonts w:ascii="Times New Roman" w:hAnsi="Times New Roman"/>
          <w:sz w:val="26"/>
          <w:szCs w:val="26"/>
        </w:rPr>
      </w:pPr>
      <w:r w:rsidRPr="00FC45DB">
        <w:rPr>
          <w:rFonts w:ascii="Times New Roman" w:hAnsi="Times New Roman"/>
          <w:sz w:val="26"/>
          <w:szCs w:val="26"/>
        </w:rPr>
        <w:tab/>
      </w:r>
      <w:r w:rsidRPr="00FC45DB">
        <w:rPr>
          <w:rFonts w:ascii="Times New Roman" w:hAnsi="Times New Roman"/>
          <w:sz w:val="26"/>
          <w:szCs w:val="26"/>
        </w:rPr>
        <w:tab/>
      </w:r>
      <w:r w:rsidRPr="00FC45DB">
        <w:rPr>
          <w:rFonts w:ascii="Times New Roman" w:hAnsi="Times New Roman"/>
          <w:sz w:val="26"/>
          <w:szCs w:val="26"/>
        </w:rPr>
        <w:tab/>
      </w:r>
      <w:r w:rsidRPr="00FC45DB">
        <w:rPr>
          <w:rFonts w:ascii="Times New Roman" w:hAnsi="Times New Roman"/>
          <w:sz w:val="26"/>
          <w:szCs w:val="26"/>
        </w:rPr>
        <w:tab/>
      </w:r>
      <w:bookmarkStart w:id="0" w:name="_GoBack"/>
      <w:bookmarkEnd w:id="0"/>
      <w:r w:rsidRPr="00FC45DB">
        <w:rPr>
          <w:rFonts w:ascii="Times New Roman" w:hAnsi="Times New Roman"/>
          <w:sz w:val="26"/>
          <w:szCs w:val="26"/>
        </w:rPr>
        <w:tab/>
      </w:r>
      <w:r w:rsidRPr="00FC45DB">
        <w:rPr>
          <w:rFonts w:ascii="Times New Roman" w:hAnsi="Times New Roman"/>
          <w:sz w:val="26"/>
          <w:szCs w:val="26"/>
        </w:rPr>
        <w:tab/>
      </w:r>
      <w:r w:rsidRPr="00FC45DB">
        <w:rPr>
          <w:rFonts w:ascii="Times New Roman" w:hAnsi="Times New Roman"/>
          <w:sz w:val="26"/>
          <w:szCs w:val="26"/>
        </w:rPr>
        <w:tab/>
      </w:r>
      <w:r w:rsidRPr="00FC45DB">
        <w:rPr>
          <w:rFonts w:ascii="Times New Roman" w:hAnsi="Times New Roman"/>
          <w:sz w:val="26"/>
          <w:szCs w:val="26"/>
        </w:rPr>
        <w:tab/>
        <w:t xml:space="preserve">Rosemary </w:t>
      </w:r>
      <w:proofErr w:type="spellStart"/>
      <w:r w:rsidRPr="00FC45DB">
        <w:rPr>
          <w:rFonts w:ascii="Times New Roman" w:hAnsi="Times New Roman"/>
          <w:sz w:val="26"/>
          <w:szCs w:val="26"/>
        </w:rPr>
        <w:t>Chiavetta</w:t>
      </w:r>
      <w:proofErr w:type="spellEnd"/>
    </w:p>
    <w:p w:rsidR="00AD6F9C" w:rsidRDefault="00D56D28" w:rsidP="00CC5F55">
      <w:pPr>
        <w:keepNext/>
        <w:spacing w:line="24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AD6F9C" w:rsidRPr="004D6C56">
        <w:rPr>
          <w:rFonts w:ascii="Times New Roman" w:hAnsi="Times New Roman"/>
          <w:sz w:val="26"/>
          <w:szCs w:val="26"/>
        </w:rPr>
        <w:tab/>
      </w:r>
      <w:r w:rsidR="00AD6F9C" w:rsidRPr="004D6C56">
        <w:rPr>
          <w:rFonts w:ascii="Times New Roman" w:hAnsi="Times New Roman"/>
          <w:sz w:val="26"/>
          <w:szCs w:val="26"/>
        </w:rPr>
        <w:tab/>
      </w:r>
      <w:r w:rsidR="00AD6F9C" w:rsidRPr="004D6C56">
        <w:rPr>
          <w:rFonts w:ascii="Times New Roman" w:hAnsi="Times New Roman"/>
          <w:sz w:val="26"/>
          <w:szCs w:val="26"/>
        </w:rPr>
        <w:tab/>
      </w:r>
      <w:r w:rsidR="00AD6F9C" w:rsidRPr="004D6C56">
        <w:rPr>
          <w:rFonts w:ascii="Times New Roman" w:hAnsi="Times New Roman"/>
          <w:sz w:val="26"/>
          <w:szCs w:val="26"/>
        </w:rPr>
        <w:tab/>
      </w:r>
      <w:r w:rsidR="00AD6F9C" w:rsidRPr="004D6C56">
        <w:rPr>
          <w:rFonts w:ascii="Times New Roman" w:hAnsi="Times New Roman"/>
          <w:sz w:val="26"/>
          <w:szCs w:val="26"/>
        </w:rPr>
        <w:tab/>
        <w:t>Secretary</w:t>
      </w:r>
    </w:p>
    <w:p w:rsidR="005111CA" w:rsidRPr="004D6C56" w:rsidRDefault="005111CA" w:rsidP="00CC5F55">
      <w:pPr>
        <w:keepNext/>
        <w:spacing w:line="240" w:lineRule="auto"/>
        <w:rPr>
          <w:rFonts w:ascii="Times New Roman" w:hAnsi="Times New Roman"/>
          <w:sz w:val="26"/>
          <w:szCs w:val="26"/>
        </w:rPr>
      </w:pPr>
    </w:p>
    <w:p w:rsidR="00AD6F9C" w:rsidRPr="004D6C56" w:rsidRDefault="00AD6F9C" w:rsidP="00CC5F55">
      <w:pPr>
        <w:keepNext/>
        <w:keepLines/>
        <w:tabs>
          <w:tab w:val="left" w:pos="-720"/>
        </w:tabs>
        <w:suppressAutoHyphens/>
        <w:rPr>
          <w:rFonts w:ascii="Times New Roman" w:hAnsi="Times New Roman"/>
          <w:sz w:val="26"/>
          <w:szCs w:val="26"/>
        </w:rPr>
      </w:pPr>
      <w:r w:rsidRPr="004D6C56">
        <w:rPr>
          <w:rFonts w:ascii="Times New Roman" w:hAnsi="Times New Roman"/>
          <w:sz w:val="26"/>
          <w:szCs w:val="26"/>
        </w:rPr>
        <w:t>(SEAL)</w:t>
      </w:r>
    </w:p>
    <w:p w:rsidR="00AD6F9C" w:rsidRPr="004D6C56" w:rsidRDefault="00992C07" w:rsidP="00CC5F55">
      <w:pPr>
        <w:keepNext/>
        <w:keepLines/>
        <w:tabs>
          <w:tab w:val="left" w:pos="-720"/>
        </w:tabs>
        <w:suppressAutoHyphens/>
        <w:rPr>
          <w:rFonts w:ascii="Times New Roman" w:hAnsi="Times New Roman"/>
          <w:sz w:val="26"/>
          <w:szCs w:val="26"/>
        </w:rPr>
      </w:pPr>
      <w:r>
        <w:rPr>
          <w:rFonts w:ascii="Times New Roman" w:hAnsi="Times New Roman"/>
          <w:sz w:val="26"/>
          <w:szCs w:val="26"/>
        </w:rPr>
        <w:t xml:space="preserve">ORDER </w:t>
      </w:r>
      <w:r w:rsidR="00477A99">
        <w:rPr>
          <w:rFonts w:ascii="Times New Roman" w:hAnsi="Times New Roman"/>
          <w:sz w:val="26"/>
          <w:szCs w:val="26"/>
        </w:rPr>
        <w:t>ADOPTED:  February 26</w:t>
      </w:r>
      <w:r>
        <w:rPr>
          <w:rFonts w:ascii="Times New Roman" w:hAnsi="Times New Roman"/>
          <w:sz w:val="26"/>
          <w:szCs w:val="26"/>
        </w:rPr>
        <w:t>, 2015</w:t>
      </w:r>
    </w:p>
    <w:p w:rsidR="00AD6F9C" w:rsidRPr="004D6C56" w:rsidRDefault="00AD6F9C" w:rsidP="00CC5F55">
      <w:pPr>
        <w:keepNext/>
        <w:keepLines/>
        <w:tabs>
          <w:tab w:val="left" w:pos="-720"/>
        </w:tabs>
        <w:suppressAutoHyphens/>
        <w:rPr>
          <w:rFonts w:ascii="Times New Roman" w:hAnsi="Times New Roman"/>
          <w:sz w:val="26"/>
          <w:szCs w:val="26"/>
        </w:rPr>
      </w:pPr>
      <w:r w:rsidRPr="004D6C56">
        <w:rPr>
          <w:rFonts w:ascii="Times New Roman" w:hAnsi="Times New Roman"/>
          <w:sz w:val="26"/>
          <w:szCs w:val="26"/>
        </w:rPr>
        <w:t xml:space="preserve">ORDER ENTERED:  </w:t>
      </w:r>
      <w:r w:rsidR="00992C07">
        <w:rPr>
          <w:rFonts w:ascii="Times New Roman" w:hAnsi="Times New Roman"/>
          <w:sz w:val="26"/>
          <w:szCs w:val="26"/>
        </w:rPr>
        <w:t xml:space="preserve"> </w:t>
      </w:r>
      <w:r w:rsidR="00DD4DF6">
        <w:rPr>
          <w:rFonts w:ascii="Times New Roman" w:hAnsi="Times New Roman"/>
          <w:sz w:val="26"/>
          <w:szCs w:val="26"/>
        </w:rPr>
        <w:t>February 26, 2015</w:t>
      </w:r>
    </w:p>
    <w:sectPr w:rsidR="00AD6F9C" w:rsidRPr="004D6C56" w:rsidSect="00D26D41">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E9E" w:rsidRDefault="00856E9E" w:rsidP="00335C54">
      <w:pPr>
        <w:spacing w:line="240" w:lineRule="auto"/>
      </w:pPr>
      <w:r>
        <w:separator/>
      </w:r>
    </w:p>
  </w:endnote>
  <w:endnote w:type="continuationSeparator" w:id="0">
    <w:p w:rsidR="00856E9E" w:rsidRDefault="00856E9E" w:rsidP="00335C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3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0526243"/>
      <w:docPartObj>
        <w:docPartGallery w:val="Page Numbers (Bottom of Page)"/>
        <w:docPartUnique/>
      </w:docPartObj>
    </w:sdtPr>
    <w:sdtEndPr>
      <w:rPr>
        <w:noProof/>
      </w:rPr>
    </w:sdtEndPr>
    <w:sdtContent>
      <w:p w:rsidR="0036088A" w:rsidRDefault="00000C97">
        <w:pPr>
          <w:pStyle w:val="Footer"/>
          <w:jc w:val="center"/>
        </w:pPr>
        <w:r>
          <w:fldChar w:fldCharType="begin"/>
        </w:r>
        <w:r>
          <w:instrText xml:space="preserve"> PAGE   \* MERGEFORMAT </w:instrText>
        </w:r>
        <w:r>
          <w:fldChar w:fldCharType="separate"/>
        </w:r>
        <w:r w:rsidR="00DD4DF6">
          <w:rPr>
            <w:noProof/>
          </w:rPr>
          <w:t>17</w:t>
        </w:r>
        <w:r>
          <w:rPr>
            <w:noProof/>
          </w:rPr>
          <w:fldChar w:fldCharType="end"/>
        </w:r>
      </w:p>
    </w:sdtContent>
  </w:sdt>
  <w:p w:rsidR="0036088A" w:rsidRDefault="003608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E9E" w:rsidRDefault="00856E9E" w:rsidP="00335C54">
      <w:pPr>
        <w:spacing w:line="240" w:lineRule="auto"/>
      </w:pPr>
      <w:r>
        <w:separator/>
      </w:r>
    </w:p>
  </w:footnote>
  <w:footnote w:type="continuationSeparator" w:id="0">
    <w:p w:rsidR="00856E9E" w:rsidRDefault="00856E9E" w:rsidP="00335C54">
      <w:pPr>
        <w:spacing w:line="240" w:lineRule="auto"/>
      </w:pPr>
      <w:r>
        <w:continuationSeparator/>
      </w:r>
    </w:p>
  </w:footnote>
  <w:footnote w:id="1">
    <w:p w:rsidR="0036088A" w:rsidRDefault="0036088A" w:rsidP="00492719">
      <w:pPr>
        <w:pStyle w:val="FootnoteText"/>
        <w:keepLines/>
        <w:widowControl/>
      </w:pPr>
      <w:r>
        <w:tab/>
      </w:r>
      <w:r w:rsidRPr="0059191F">
        <w:rPr>
          <w:rStyle w:val="FootnoteReference"/>
        </w:rPr>
        <w:footnoteRef/>
      </w:r>
      <w:r w:rsidRPr="0059191F">
        <w:tab/>
        <w:t xml:space="preserve">The Partial Settlement </w:t>
      </w:r>
      <w:r>
        <w:rPr>
          <w:szCs w:val="26"/>
        </w:rPr>
        <w:t>indicated</w:t>
      </w:r>
      <w:r w:rsidRPr="0059191F">
        <w:rPr>
          <w:szCs w:val="26"/>
        </w:rPr>
        <w:t xml:space="preserve"> that I&amp;E, FES, Noble</w:t>
      </w:r>
      <w:r>
        <w:rPr>
          <w:szCs w:val="26"/>
        </w:rPr>
        <w:t xml:space="preserve"> Americas, and Direct Energy were</w:t>
      </w:r>
      <w:r w:rsidRPr="0059191F">
        <w:rPr>
          <w:szCs w:val="26"/>
        </w:rPr>
        <w:t xml:space="preserve"> not parties t</w:t>
      </w:r>
      <w:r>
        <w:rPr>
          <w:szCs w:val="26"/>
        </w:rPr>
        <w:t>o the Partial Settlement, but did</w:t>
      </w:r>
      <w:r w:rsidRPr="0059191F">
        <w:rPr>
          <w:szCs w:val="26"/>
        </w:rPr>
        <w:t xml:space="preserve"> not oppose it.  </w:t>
      </w:r>
      <w:proofErr w:type="gramStart"/>
      <w:r>
        <w:rPr>
          <w:szCs w:val="26"/>
        </w:rPr>
        <w:t>Partial Settlement at 2, n.1.</w:t>
      </w:r>
      <w:proofErr w:type="gramEnd"/>
      <w:r>
        <w:rPr>
          <w:szCs w:val="26"/>
        </w:rPr>
        <w:t xml:space="preserve">  Also, s</w:t>
      </w:r>
      <w:r w:rsidRPr="0059191F">
        <w:rPr>
          <w:szCs w:val="26"/>
        </w:rPr>
        <w:t>pecific letters indicating non-opposition to the Partial Settlement were filed by FES and Direct Energy</w:t>
      </w:r>
      <w:r>
        <w:rPr>
          <w:szCs w:val="26"/>
        </w:rPr>
        <w:t>, and were attached to the Settlement as Appendices L and M, respectively.  In addition, Noble Americas filed a letter stating that it did not oppose the Partial Settlement, provided that its understanding of the Partial Settlement, as described in the letter, was correct.</w:t>
      </w:r>
    </w:p>
  </w:footnote>
  <w:footnote w:id="2">
    <w:p w:rsidR="0036088A" w:rsidRPr="00700AC4" w:rsidRDefault="0036088A" w:rsidP="00700AC4">
      <w:pPr>
        <w:pStyle w:val="FootnoteText"/>
        <w:ind w:firstLine="720"/>
      </w:pPr>
      <w:r>
        <w:rPr>
          <w:rStyle w:val="FootnoteReference"/>
        </w:rPr>
        <w:footnoteRef/>
      </w:r>
      <w:r>
        <w:tab/>
      </w:r>
      <w:r w:rsidRPr="00700AC4">
        <w:rPr>
          <w:i/>
        </w:rPr>
        <w:t>Electricity Generation Customer Choice and Competition Act</w:t>
      </w:r>
      <w:r w:rsidRPr="00700AC4">
        <w:t>, Ac</w:t>
      </w:r>
      <w:r>
        <w:t xml:space="preserve">t 138 of 1996, </w:t>
      </w:r>
      <w:r w:rsidRPr="00700AC4">
        <w:t xml:space="preserve">as amended by Act 129 of 2008, codified at 66 Pa. C.S. § 2801, </w:t>
      </w:r>
      <w:r w:rsidRPr="00700AC4">
        <w:rPr>
          <w:i/>
        </w:rPr>
        <w:t>et seq</w:t>
      </w:r>
      <w:r w:rsidRPr="00700AC4">
        <w:t>.</w:t>
      </w:r>
    </w:p>
    <w:p w:rsidR="0036088A" w:rsidRDefault="0036088A" w:rsidP="00700AC4">
      <w:pPr>
        <w:pStyle w:val="FootnoteText"/>
        <w:ind w:firstLine="720"/>
      </w:pPr>
    </w:p>
  </w:footnote>
  <w:footnote w:id="3">
    <w:p w:rsidR="00C264E8" w:rsidRDefault="00C264E8">
      <w:pPr>
        <w:pStyle w:val="FootnoteText"/>
      </w:pPr>
      <w:r>
        <w:tab/>
      </w:r>
      <w:r>
        <w:rPr>
          <w:rStyle w:val="FootnoteReference"/>
        </w:rPr>
        <w:footnoteRef/>
      </w:r>
      <w:r>
        <w:tab/>
        <w:t xml:space="preserve">PPL’s </w:t>
      </w:r>
      <w:r>
        <w:rPr>
          <w:szCs w:val="26"/>
        </w:rPr>
        <w:t>DSP III program compliance filing was filed on January 30, 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36CA"/>
    <w:multiLevelType w:val="hybridMultilevel"/>
    <w:tmpl w:val="0910F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3F18A9"/>
    <w:multiLevelType w:val="hybridMultilevel"/>
    <w:tmpl w:val="3392F868"/>
    <w:lvl w:ilvl="0" w:tplc="7A06CC56">
      <w:start w:val="1"/>
      <w:numFmt w:val="upperRoman"/>
      <w:pStyle w:val="Heading1"/>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684825"/>
    <w:multiLevelType w:val="hybridMultilevel"/>
    <w:tmpl w:val="E0665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2B730BAE"/>
    <w:multiLevelType w:val="hybridMultilevel"/>
    <w:tmpl w:val="A92A4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6B629B"/>
    <w:multiLevelType w:val="multilevel"/>
    <w:tmpl w:val="B8869C40"/>
    <w:name w:val="zzmpPleading2||Pleading2|2|1|1|1|0|45||1|0|32||1|0|32||1|0|32||1|0|32||1|0|32||1|0|32||1|0|32||1|0|32||"/>
    <w:lvl w:ilvl="0">
      <w:start w:val="1"/>
      <w:numFmt w:val="upperRoman"/>
      <w:pStyle w:val="Pleading2L1"/>
      <w:lvlText w:val="%1."/>
      <w:lvlJc w:val="left"/>
      <w:pPr>
        <w:tabs>
          <w:tab w:val="num" w:pos="0"/>
        </w:tabs>
        <w:ind w:left="0" w:firstLine="0"/>
      </w:pPr>
      <w:rPr>
        <w:rFonts w:ascii="Times New Roman" w:hAnsi="Times New Roman"/>
        <w:b/>
        <w:i w:val="0"/>
        <w:caps w:val="0"/>
        <w:smallCaps w:val="0"/>
        <w:strike w:val="0"/>
        <w:dstrike w:val="0"/>
        <w:vanish w:val="0"/>
        <w:color w:val="000000"/>
        <w:sz w:val="24"/>
        <w:u w:val="none"/>
        <w:vertAlign w:val="baseline"/>
      </w:rPr>
    </w:lvl>
    <w:lvl w:ilvl="1">
      <w:start w:val="1"/>
      <w:numFmt w:val="upperLetter"/>
      <w:pStyle w:val="Pleading2L2"/>
      <w:lvlText w:val="%2."/>
      <w:lvlJc w:val="left"/>
      <w:pPr>
        <w:tabs>
          <w:tab w:val="num" w:pos="2250"/>
        </w:tabs>
        <w:ind w:left="1530" w:hanging="720"/>
      </w:pPr>
      <w:rPr>
        <w:rFonts w:ascii="Times New Roman" w:hAnsi="Times New Roman"/>
        <w:b w:val="0"/>
        <w:i w:val="0"/>
        <w:caps w:val="0"/>
        <w:smallCaps w:val="0"/>
        <w:strike w:val="0"/>
        <w:dstrike w:val="0"/>
        <w:vanish w:val="0"/>
        <w:color w:val="000000"/>
        <w:sz w:val="24"/>
        <w:u w:val="none"/>
        <w:vertAlign w:val="baseline"/>
      </w:rPr>
    </w:lvl>
    <w:lvl w:ilvl="2">
      <w:start w:val="1"/>
      <w:numFmt w:val="decimal"/>
      <w:lvlRestart w:val="0"/>
      <w:pStyle w:val="Pleading2L3"/>
      <w:lvlText w:val="%3."/>
      <w:lvlJc w:val="left"/>
      <w:pPr>
        <w:tabs>
          <w:tab w:val="num" w:pos="2970"/>
        </w:tabs>
        <w:ind w:left="2250" w:hanging="720"/>
      </w:pPr>
      <w:rPr>
        <w:rFonts w:ascii="Times New Roman" w:hAnsi="Times New Roman"/>
        <w:b w:val="0"/>
        <w:i w:val="0"/>
        <w:caps w:val="0"/>
        <w:smallCaps w:val="0"/>
        <w:strike w:val="0"/>
        <w:dstrike w:val="0"/>
        <w:vanish w:val="0"/>
        <w:color w:val="000000"/>
        <w:sz w:val="24"/>
        <w:u w:val="none"/>
        <w:vertAlign w:val="baseline"/>
      </w:rPr>
    </w:lvl>
    <w:lvl w:ilvl="3">
      <w:start w:val="1"/>
      <w:numFmt w:val="lowerLetter"/>
      <w:pStyle w:val="Pleading2L4"/>
      <w:lvlText w:val="%4."/>
      <w:lvlJc w:val="left"/>
      <w:pPr>
        <w:tabs>
          <w:tab w:val="num" w:pos="2880"/>
        </w:tabs>
        <w:ind w:left="2160" w:hanging="720"/>
      </w:pPr>
      <w:rPr>
        <w:rFonts w:ascii="Times New Roman" w:hAnsi="Times New Roman"/>
        <w:b w:val="0"/>
        <w:i w:val="0"/>
        <w:caps w:val="0"/>
        <w:smallCaps w:val="0"/>
        <w:strike w:val="0"/>
        <w:dstrike w:val="0"/>
        <w:vanish w:val="0"/>
        <w:color w:val="000000"/>
        <w:sz w:val="24"/>
        <w:u w:val="none"/>
        <w:vertAlign w:val="baseline"/>
      </w:rPr>
    </w:lvl>
    <w:lvl w:ilvl="4">
      <w:start w:val="1"/>
      <w:numFmt w:val="decimal"/>
      <w:pStyle w:val="Pleading2L5"/>
      <w:lvlText w:val="(%5)"/>
      <w:lvlJc w:val="left"/>
      <w:pPr>
        <w:tabs>
          <w:tab w:val="num" w:pos="2880"/>
        </w:tabs>
        <w:ind w:left="2880" w:hanging="720"/>
      </w:pPr>
      <w:rPr>
        <w:rFonts w:ascii="Times New Roman" w:hAnsi="Times New Roman"/>
        <w:caps w:val="0"/>
        <w:smallCaps w:val="0"/>
        <w:strike w:val="0"/>
        <w:dstrike w:val="0"/>
        <w:vanish w:val="0"/>
        <w:color w:val="000000"/>
        <w:sz w:val="24"/>
        <w:u w:val="none"/>
        <w:vertAlign w:val="baseline"/>
      </w:rPr>
    </w:lvl>
    <w:lvl w:ilvl="5">
      <w:start w:val="1"/>
      <w:numFmt w:val="lowerLetter"/>
      <w:pStyle w:val="Pleading2L6"/>
      <w:lvlText w:val="(%6)"/>
      <w:lvlJc w:val="left"/>
      <w:pPr>
        <w:tabs>
          <w:tab w:val="num" w:pos="3600"/>
        </w:tabs>
        <w:ind w:left="3600" w:hanging="720"/>
      </w:pPr>
      <w:rPr>
        <w:rFonts w:ascii="Times New Roman" w:hAnsi="Times New Roman"/>
        <w:b w:val="0"/>
        <w:i w:val="0"/>
        <w:caps w:val="0"/>
        <w:smallCaps w:val="0"/>
        <w:strike w:val="0"/>
        <w:dstrike w:val="0"/>
        <w:vanish w:val="0"/>
        <w:color w:val="000000"/>
        <w:sz w:val="24"/>
        <w:u w:val="none"/>
        <w:vertAlign w:val="baseline"/>
      </w:rPr>
    </w:lvl>
    <w:lvl w:ilvl="6">
      <w:start w:val="1"/>
      <w:numFmt w:val="lowerRoman"/>
      <w:pStyle w:val="Pleading2L7"/>
      <w:lvlText w:val="(%7)"/>
      <w:lvlJc w:val="left"/>
      <w:pPr>
        <w:tabs>
          <w:tab w:val="num" w:pos="4320"/>
        </w:tabs>
        <w:ind w:left="4320" w:hanging="720"/>
      </w:pPr>
      <w:rPr>
        <w:rFonts w:ascii="Times New Roman" w:hAnsi="Times New Roman"/>
        <w:b w:val="0"/>
        <w:i w:val="0"/>
        <w:caps w:val="0"/>
        <w:smallCaps w:val="0"/>
        <w:strike w:val="0"/>
        <w:dstrike w:val="0"/>
        <w:vanish w:val="0"/>
        <w:color w:val="000000"/>
        <w:sz w:val="24"/>
        <w:u w:val="none"/>
        <w:vertAlign w:val="baseline"/>
      </w:rPr>
    </w:lvl>
    <w:lvl w:ilvl="7">
      <w:start w:val="1"/>
      <w:numFmt w:val="lowerLetter"/>
      <w:pStyle w:val="Pleading2L8"/>
      <w:lvlText w:val="%8)"/>
      <w:lvlJc w:val="left"/>
      <w:pPr>
        <w:tabs>
          <w:tab w:val="num" w:pos="5040"/>
        </w:tabs>
        <w:ind w:left="5040" w:hanging="720"/>
      </w:pPr>
      <w:rPr>
        <w:rFonts w:ascii="Times New Roman" w:hAnsi="Times New Roman"/>
        <w:b w:val="0"/>
        <w:i w:val="0"/>
        <w:caps w:val="0"/>
        <w:smallCaps w:val="0"/>
        <w:strike w:val="0"/>
        <w:dstrike w:val="0"/>
        <w:vanish w:val="0"/>
        <w:color w:val="000000"/>
        <w:sz w:val="24"/>
        <w:u w:val="none"/>
        <w:vertAlign w:val="baseline"/>
      </w:rPr>
    </w:lvl>
    <w:lvl w:ilvl="8">
      <w:start w:val="1"/>
      <w:numFmt w:val="lowerRoman"/>
      <w:pStyle w:val="Pleading2L9"/>
      <w:lvlText w:val="%9)"/>
      <w:lvlJc w:val="left"/>
      <w:pPr>
        <w:tabs>
          <w:tab w:val="num" w:pos="5760"/>
        </w:tabs>
        <w:ind w:left="5760" w:hanging="720"/>
      </w:pPr>
      <w:rPr>
        <w:rFonts w:ascii="Times New Roman" w:hAnsi="Times New Roman"/>
        <w:b w:val="0"/>
        <w:i w:val="0"/>
        <w:caps w:val="0"/>
        <w:smallCaps w:val="0"/>
        <w:strike w:val="0"/>
        <w:dstrike w:val="0"/>
        <w:vanish w:val="0"/>
        <w:color w:val="000000"/>
        <w:sz w:val="24"/>
        <w:u w:val="none"/>
        <w:vertAlign w:val="baseline"/>
      </w:rPr>
    </w:lvl>
  </w:abstractNum>
  <w:abstractNum w:abstractNumId="6">
    <w:nsid w:val="4B6B03D4"/>
    <w:multiLevelType w:val="multilevel"/>
    <w:tmpl w:val="A5240054"/>
    <w:name w:val="zzmpOutline||Outline|2|3|1|1|2|41||1|4|0||1|4|0||1|4|1||1|4|0||1|4|9||1|4|0||1|4|0||1|4|0||"/>
    <w:lvl w:ilvl="0">
      <w:start w:val="1"/>
      <w:numFmt w:val="upperRoman"/>
      <w:pStyle w:val="OutlineL1"/>
      <w:lvlText w:val="%1."/>
      <w:lvlJc w:val="left"/>
      <w:pPr>
        <w:tabs>
          <w:tab w:val="num" w:pos="720"/>
        </w:tabs>
        <w:ind w:left="0" w:firstLine="0"/>
      </w:pPr>
      <w:rPr>
        <w:rFonts w:ascii="Times New Roman" w:hAnsi="Times New Roman" w:cs="Times New Roman" w:hint="default"/>
        <w:b/>
        <w:i w:val="0"/>
        <w:caps/>
        <w:smallCaps w:val="0"/>
        <w:strike w:val="0"/>
        <w:dstrike w:val="0"/>
        <w:sz w:val="24"/>
        <w:u w:val="none"/>
        <w:effect w:val="none"/>
      </w:rPr>
    </w:lvl>
    <w:lvl w:ilvl="1">
      <w:start w:val="11"/>
      <w:numFmt w:val="decimal"/>
      <w:lvlRestart w:val="0"/>
      <w:pStyle w:val="OutlineL2"/>
      <w:lvlText w:val="%2."/>
      <w:lvlJc w:val="left"/>
      <w:pPr>
        <w:tabs>
          <w:tab w:val="num" w:pos="1800"/>
        </w:tabs>
        <w:ind w:left="360" w:firstLine="720"/>
      </w:pPr>
      <w:rPr>
        <w:rFonts w:ascii="Times New Roman" w:hAnsi="Times New Roman" w:cs="Times New Roman" w:hint="default"/>
        <w:b w:val="0"/>
        <w:i w:val="0"/>
        <w:caps w:val="0"/>
        <w:strike w:val="0"/>
        <w:dstrike w:val="0"/>
        <w:sz w:val="24"/>
        <w:u w:val="none"/>
        <w:effect w:val="none"/>
      </w:rPr>
    </w:lvl>
    <w:lvl w:ilvl="2">
      <w:start w:val="1"/>
      <w:numFmt w:val="upperLetter"/>
      <w:pStyle w:val="OutlineL3"/>
      <w:lvlText w:val="%3."/>
      <w:lvlJc w:val="left"/>
      <w:pPr>
        <w:tabs>
          <w:tab w:val="num" w:pos="2160"/>
        </w:tabs>
        <w:ind w:left="0" w:firstLine="1440"/>
      </w:pPr>
      <w:rPr>
        <w:rFonts w:ascii="Times New Roman" w:hAnsi="Times New Roman" w:cs="Times New Roman" w:hint="default"/>
        <w:b w:val="0"/>
        <w:i w:val="0"/>
        <w:caps w:val="0"/>
        <w:strike w:val="0"/>
        <w:dstrike w:val="0"/>
        <w:sz w:val="24"/>
        <w:u w:val="none"/>
        <w:effect w:val="none"/>
      </w:rPr>
    </w:lvl>
    <w:lvl w:ilvl="3">
      <w:start w:val="1"/>
      <w:numFmt w:val="decimal"/>
      <w:lvlRestart w:val="0"/>
      <w:pStyle w:val="OutlineL4"/>
      <w:lvlText w:val="(%4)"/>
      <w:lvlJc w:val="left"/>
      <w:pPr>
        <w:tabs>
          <w:tab w:val="num" w:pos="2880"/>
        </w:tabs>
        <w:ind w:left="0" w:firstLine="2160"/>
      </w:pPr>
      <w:rPr>
        <w:rFonts w:ascii="Times New Roman" w:hAnsi="Times New Roman" w:cs="Times New Roman" w:hint="default"/>
        <w:b w:val="0"/>
        <w:i w:val="0"/>
        <w:caps w:val="0"/>
        <w:strike w:val="0"/>
        <w:dstrike w:val="0"/>
        <w:sz w:val="24"/>
        <w:u w:val="none"/>
        <w:effect w:val="none"/>
      </w:rPr>
    </w:lvl>
    <w:lvl w:ilvl="4">
      <w:start w:val="1"/>
      <w:numFmt w:val="lowerLetter"/>
      <w:pStyle w:val="OutlineL5"/>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upperLetter"/>
      <w:lvlRestart w:val="0"/>
      <w:pStyle w:val="OutlineL6"/>
      <w:lvlText w:val="APPENDIX %6"/>
      <w:lvlJc w:val="left"/>
      <w:pPr>
        <w:tabs>
          <w:tab w:val="num" w:pos="2880"/>
        </w:tabs>
        <w:ind w:left="0" w:firstLine="0"/>
      </w:pPr>
      <w:rPr>
        <w:rFonts w:ascii="Times New Roman" w:hAnsi="Times New Roman" w:cs="Times New Roman" w:hint="default"/>
        <w:b/>
        <w:i w:val="0"/>
        <w:caps w:val="0"/>
        <w:strike w:val="0"/>
        <w:dstrike w:val="0"/>
        <w:sz w:val="24"/>
        <w:u w:val="none"/>
        <w:effect w:val="none"/>
      </w:rPr>
    </w:lvl>
    <w:lvl w:ilvl="6">
      <w:start w:val="1"/>
      <w:numFmt w:val="decimal"/>
      <w:pStyle w:val="OutlineL7"/>
      <w:lvlText w:val="(%7)"/>
      <w:lvlJc w:val="left"/>
      <w:pPr>
        <w:tabs>
          <w:tab w:val="num" w:pos="5040"/>
        </w:tabs>
        <w:ind w:left="0" w:firstLine="4320"/>
      </w:pPr>
      <w:rPr>
        <w:rFonts w:ascii="Times New Roman" w:hAnsi="Times New Roman" w:cs="Times New Roman" w:hint="default"/>
        <w:b w:val="0"/>
        <w:i w:val="0"/>
        <w:caps w:val="0"/>
        <w:strike w:val="0"/>
        <w:dstrike w:val="0"/>
        <w:sz w:val="24"/>
        <w:u w:val="none"/>
        <w:effect w:val="none"/>
      </w:rPr>
    </w:lvl>
    <w:lvl w:ilvl="7">
      <w:start w:val="1"/>
      <w:numFmt w:val="lowerRoman"/>
      <w:pStyle w:val="OutlineL8"/>
      <w:lvlText w:val="%8)"/>
      <w:lvlJc w:val="left"/>
      <w:pPr>
        <w:tabs>
          <w:tab w:val="num" w:pos="5760"/>
        </w:tabs>
        <w:ind w:left="0" w:firstLine="5040"/>
      </w:pPr>
      <w:rPr>
        <w:rFonts w:ascii="Times New Roman" w:hAnsi="Times New Roman" w:cs="Times New Roman" w:hint="default"/>
        <w:b w:val="0"/>
        <w:i w:val="0"/>
        <w:caps w:val="0"/>
        <w:strike w:val="0"/>
        <w:dstrike w:val="0"/>
        <w:sz w:val="24"/>
        <w:u w:val="none"/>
        <w:effect w:val="none"/>
      </w:rPr>
    </w:lvl>
    <w:lvl w:ilvl="8">
      <w:start w:val="1"/>
      <w:numFmt w:val="lowerLetter"/>
      <w:pStyle w:val="OutlineL9"/>
      <w:lvlText w:val="%9)"/>
      <w:lvlJc w:val="left"/>
      <w:pPr>
        <w:tabs>
          <w:tab w:val="num" w:pos="6480"/>
        </w:tabs>
        <w:ind w:left="0" w:firstLine="5760"/>
      </w:pPr>
      <w:rPr>
        <w:rFonts w:ascii="Times New Roman" w:hAnsi="Times New Roman" w:cs="Times New Roman" w:hint="default"/>
        <w:b w:val="0"/>
        <w:i w:val="0"/>
        <w:caps w:val="0"/>
        <w:strike w:val="0"/>
        <w:dstrike w:val="0"/>
        <w:sz w:val="24"/>
        <w:u w:val="none"/>
        <w:effect w:val="none"/>
      </w:rPr>
    </w:lvl>
  </w:abstractNum>
  <w:abstractNum w:abstractNumId="7">
    <w:nsid w:val="7278290C"/>
    <w:multiLevelType w:val="hybridMultilevel"/>
    <w:tmpl w:val="E2D6B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2"/>
  </w:num>
  <w:num w:numId="5">
    <w:abstractNumId w:val="3"/>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B98"/>
    <w:rsid w:val="00000A96"/>
    <w:rsid w:val="00000C97"/>
    <w:rsid w:val="00000D7D"/>
    <w:rsid w:val="00003261"/>
    <w:rsid w:val="000034F6"/>
    <w:rsid w:val="00005FB3"/>
    <w:rsid w:val="00006419"/>
    <w:rsid w:val="000065B8"/>
    <w:rsid w:val="00006D3A"/>
    <w:rsid w:val="00010EB4"/>
    <w:rsid w:val="00011009"/>
    <w:rsid w:val="0001435F"/>
    <w:rsid w:val="00014D71"/>
    <w:rsid w:val="00014F98"/>
    <w:rsid w:val="000172F3"/>
    <w:rsid w:val="0001778A"/>
    <w:rsid w:val="0002097E"/>
    <w:rsid w:val="000223A1"/>
    <w:rsid w:val="00022ED0"/>
    <w:rsid w:val="000249A7"/>
    <w:rsid w:val="00025BFE"/>
    <w:rsid w:val="00026AF9"/>
    <w:rsid w:val="00031790"/>
    <w:rsid w:val="00031C33"/>
    <w:rsid w:val="0003333C"/>
    <w:rsid w:val="00034340"/>
    <w:rsid w:val="00035D55"/>
    <w:rsid w:val="00036705"/>
    <w:rsid w:val="0003767C"/>
    <w:rsid w:val="000376DC"/>
    <w:rsid w:val="00040276"/>
    <w:rsid w:val="000404BA"/>
    <w:rsid w:val="00042D56"/>
    <w:rsid w:val="00043791"/>
    <w:rsid w:val="00044AE1"/>
    <w:rsid w:val="00051CC3"/>
    <w:rsid w:val="0005322B"/>
    <w:rsid w:val="0005345B"/>
    <w:rsid w:val="0005452E"/>
    <w:rsid w:val="00054AEE"/>
    <w:rsid w:val="000558B0"/>
    <w:rsid w:val="00063EFC"/>
    <w:rsid w:val="000646AA"/>
    <w:rsid w:val="0006762E"/>
    <w:rsid w:val="00067AF0"/>
    <w:rsid w:val="00070411"/>
    <w:rsid w:val="00070A9D"/>
    <w:rsid w:val="000712DD"/>
    <w:rsid w:val="00071D36"/>
    <w:rsid w:val="000769EB"/>
    <w:rsid w:val="00076EF7"/>
    <w:rsid w:val="00080077"/>
    <w:rsid w:val="00081456"/>
    <w:rsid w:val="000821ED"/>
    <w:rsid w:val="0008325C"/>
    <w:rsid w:val="000850A9"/>
    <w:rsid w:val="000857B2"/>
    <w:rsid w:val="00086FA7"/>
    <w:rsid w:val="00087B40"/>
    <w:rsid w:val="00091B8C"/>
    <w:rsid w:val="000931B5"/>
    <w:rsid w:val="00097304"/>
    <w:rsid w:val="0009760A"/>
    <w:rsid w:val="000A2C1B"/>
    <w:rsid w:val="000A371F"/>
    <w:rsid w:val="000A601F"/>
    <w:rsid w:val="000A7BF0"/>
    <w:rsid w:val="000B1D69"/>
    <w:rsid w:val="000B38F5"/>
    <w:rsid w:val="000B4B64"/>
    <w:rsid w:val="000B647C"/>
    <w:rsid w:val="000C2784"/>
    <w:rsid w:val="000C2E6C"/>
    <w:rsid w:val="000C3D10"/>
    <w:rsid w:val="000C4CE0"/>
    <w:rsid w:val="000C4FB5"/>
    <w:rsid w:val="000C609A"/>
    <w:rsid w:val="000D1122"/>
    <w:rsid w:val="000D18E3"/>
    <w:rsid w:val="000D3485"/>
    <w:rsid w:val="000D61E0"/>
    <w:rsid w:val="000D6E38"/>
    <w:rsid w:val="000E32D0"/>
    <w:rsid w:val="000E4357"/>
    <w:rsid w:val="000F0CCA"/>
    <w:rsid w:val="000F2DA6"/>
    <w:rsid w:val="000F46A6"/>
    <w:rsid w:val="000F4BF1"/>
    <w:rsid w:val="000F6B5F"/>
    <w:rsid w:val="000F6E64"/>
    <w:rsid w:val="00100C3A"/>
    <w:rsid w:val="00100C95"/>
    <w:rsid w:val="0010319C"/>
    <w:rsid w:val="0010496F"/>
    <w:rsid w:val="001055E1"/>
    <w:rsid w:val="00106091"/>
    <w:rsid w:val="001100FF"/>
    <w:rsid w:val="001109B9"/>
    <w:rsid w:val="0011210F"/>
    <w:rsid w:val="0011266C"/>
    <w:rsid w:val="00112DF3"/>
    <w:rsid w:val="00113BA0"/>
    <w:rsid w:val="001142CA"/>
    <w:rsid w:val="001152A2"/>
    <w:rsid w:val="00115F19"/>
    <w:rsid w:val="0011729B"/>
    <w:rsid w:val="00117EDA"/>
    <w:rsid w:val="0012122D"/>
    <w:rsid w:val="00121527"/>
    <w:rsid w:val="00121C40"/>
    <w:rsid w:val="00122EB8"/>
    <w:rsid w:val="00123F10"/>
    <w:rsid w:val="00125691"/>
    <w:rsid w:val="00126B64"/>
    <w:rsid w:val="00131361"/>
    <w:rsid w:val="00131939"/>
    <w:rsid w:val="00131B3D"/>
    <w:rsid w:val="001336F0"/>
    <w:rsid w:val="0013522F"/>
    <w:rsid w:val="00135318"/>
    <w:rsid w:val="001356BE"/>
    <w:rsid w:val="001363EB"/>
    <w:rsid w:val="001427F5"/>
    <w:rsid w:val="0014312D"/>
    <w:rsid w:val="0014347F"/>
    <w:rsid w:val="001446B2"/>
    <w:rsid w:val="001463E8"/>
    <w:rsid w:val="0015067C"/>
    <w:rsid w:val="00151EE9"/>
    <w:rsid w:val="00155A39"/>
    <w:rsid w:val="00155E75"/>
    <w:rsid w:val="00156368"/>
    <w:rsid w:val="00157120"/>
    <w:rsid w:val="00160E76"/>
    <w:rsid w:val="00163EC0"/>
    <w:rsid w:val="001640C8"/>
    <w:rsid w:val="001641B6"/>
    <w:rsid w:val="001648B5"/>
    <w:rsid w:val="001656AB"/>
    <w:rsid w:val="00167890"/>
    <w:rsid w:val="0017111C"/>
    <w:rsid w:val="001733AB"/>
    <w:rsid w:val="00173DED"/>
    <w:rsid w:val="00174D6B"/>
    <w:rsid w:val="00174FA6"/>
    <w:rsid w:val="00177BB7"/>
    <w:rsid w:val="001804EB"/>
    <w:rsid w:val="00180DFE"/>
    <w:rsid w:val="0018149A"/>
    <w:rsid w:val="00181E29"/>
    <w:rsid w:val="00181E9C"/>
    <w:rsid w:val="00184CCE"/>
    <w:rsid w:val="00185F52"/>
    <w:rsid w:val="001901EF"/>
    <w:rsid w:val="0019237F"/>
    <w:rsid w:val="00193C12"/>
    <w:rsid w:val="001951C2"/>
    <w:rsid w:val="0019796D"/>
    <w:rsid w:val="00197AAE"/>
    <w:rsid w:val="001A10D4"/>
    <w:rsid w:val="001A58D0"/>
    <w:rsid w:val="001A6D9B"/>
    <w:rsid w:val="001B01A4"/>
    <w:rsid w:val="001B24BF"/>
    <w:rsid w:val="001B2752"/>
    <w:rsid w:val="001B2B87"/>
    <w:rsid w:val="001B3C40"/>
    <w:rsid w:val="001B7B0E"/>
    <w:rsid w:val="001C0A0B"/>
    <w:rsid w:val="001D0982"/>
    <w:rsid w:val="001D29AA"/>
    <w:rsid w:val="001D35C5"/>
    <w:rsid w:val="001D4B32"/>
    <w:rsid w:val="001D4F5A"/>
    <w:rsid w:val="001D5313"/>
    <w:rsid w:val="001D598A"/>
    <w:rsid w:val="001D78BA"/>
    <w:rsid w:val="001D7B58"/>
    <w:rsid w:val="001E258D"/>
    <w:rsid w:val="001E4F6E"/>
    <w:rsid w:val="001E5319"/>
    <w:rsid w:val="001E5B6F"/>
    <w:rsid w:val="001E7136"/>
    <w:rsid w:val="001E7AEB"/>
    <w:rsid w:val="001F0327"/>
    <w:rsid w:val="001F3105"/>
    <w:rsid w:val="001F3E54"/>
    <w:rsid w:val="001F4485"/>
    <w:rsid w:val="001F494A"/>
    <w:rsid w:val="001F71F3"/>
    <w:rsid w:val="001F7F09"/>
    <w:rsid w:val="0020067E"/>
    <w:rsid w:val="002022B7"/>
    <w:rsid w:val="0020321E"/>
    <w:rsid w:val="00204737"/>
    <w:rsid w:val="0020592F"/>
    <w:rsid w:val="00207A98"/>
    <w:rsid w:val="0021158E"/>
    <w:rsid w:val="0021230A"/>
    <w:rsid w:val="002123A0"/>
    <w:rsid w:val="0021300D"/>
    <w:rsid w:val="0021743A"/>
    <w:rsid w:val="00217BC6"/>
    <w:rsid w:val="00221473"/>
    <w:rsid w:val="002222F4"/>
    <w:rsid w:val="002223A8"/>
    <w:rsid w:val="00222585"/>
    <w:rsid w:val="0022278C"/>
    <w:rsid w:val="0022333A"/>
    <w:rsid w:val="00223858"/>
    <w:rsid w:val="002241B9"/>
    <w:rsid w:val="00224F4F"/>
    <w:rsid w:val="0022703E"/>
    <w:rsid w:val="0023100D"/>
    <w:rsid w:val="002333E3"/>
    <w:rsid w:val="00234785"/>
    <w:rsid w:val="00235356"/>
    <w:rsid w:val="00235605"/>
    <w:rsid w:val="0023660E"/>
    <w:rsid w:val="00236BB0"/>
    <w:rsid w:val="00240486"/>
    <w:rsid w:val="00240E3E"/>
    <w:rsid w:val="002417F0"/>
    <w:rsid w:val="0024439D"/>
    <w:rsid w:val="0024527D"/>
    <w:rsid w:val="00246C9D"/>
    <w:rsid w:val="002518E1"/>
    <w:rsid w:val="00251C6C"/>
    <w:rsid w:val="00251E25"/>
    <w:rsid w:val="0025306C"/>
    <w:rsid w:val="002545A8"/>
    <w:rsid w:val="00255002"/>
    <w:rsid w:val="00256165"/>
    <w:rsid w:val="00256B71"/>
    <w:rsid w:val="00261D0D"/>
    <w:rsid w:val="00262429"/>
    <w:rsid w:val="002719CB"/>
    <w:rsid w:val="002731CA"/>
    <w:rsid w:val="00273BB3"/>
    <w:rsid w:val="00274005"/>
    <w:rsid w:val="0027463A"/>
    <w:rsid w:val="00275168"/>
    <w:rsid w:val="00275E16"/>
    <w:rsid w:val="002766F2"/>
    <w:rsid w:val="00277530"/>
    <w:rsid w:val="00280478"/>
    <w:rsid w:val="0028318B"/>
    <w:rsid w:val="00283612"/>
    <w:rsid w:val="00284711"/>
    <w:rsid w:val="002854A2"/>
    <w:rsid w:val="002858E1"/>
    <w:rsid w:val="0028595E"/>
    <w:rsid w:val="002869C5"/>
    <w:rsid w:val="00290AD9"/>
    <w:rsid w:val="00291678"/>
    <w:rsid w:val="002916BB"/>
    <w:rsid w:val="00291754"/>
    <w:rsid w:val="0029636B"/>
    <w:rsid w:val="00296F02"/>
    <w:rsid w:val="00297B70"/>
    <w:rsid w:val="002A16DC"/>
    <w:rsid w:val="002A293E"/>
    <w:rsid w:val="002A3073"/>
    <w:rsid w:val="002B082D"/>
    <w:rsid w:val="002B151F"/>
    <w:rsid w:val="002B17E3"/>
    <w:rsid w:val="002C44E5"/>
    <w:rsid w:val="002C5073"/>
    <w:rsid w:val="002C6207"/>
    <w:rsid w:val="002C630A"/>
    <w:rsid w:val="002C6953"/>
    <w:rsid w:val="002D321F"/>
    <w:rsid w:val="002D6801"/>
    <w:rsid w:val="002E1927"/>
    <w:rsid w:val="002E25E7"/>
    <w:rsid w:val="002F15DC"/>
    <w:rsid w:val="002F18CA"/>
    <w:rsid w:val="002F2529"/>
    <w:rsid w:val="002F5F4A"/>
    <w:rsid w:val="002F71E4"/>
    <w:rsid w:val="002F7A9D"/>
    <w:rsid w:val="002F7E89"/>
    <w:rsid w:val="00305691"/>
    <w:rsid w:val="00306AB4"/>
    <w:rsid w:val="00307F29"/>
    <w:rsid w:val="00310777"/>
    <w:rsid w:val="00310DC0"/>
    <w:rsid w:val="003113F2"/>
    <w:rsid w:val="00311EB6"/>
    <w:rsid w:val="00312592"/>
    <w:rsid w:val="00315AD3"/>
    <w:rsid w:val="0031679C"/>
    <w:rsid w:val="00317170"/>
    <w:rsid w:val="003211D9"/>
    <w:rsid w:val="00321702"/>
    <w:rsid w:val="00321A3B"/>
    <w:rsid w:val="00324134"/>
    <w:rsid w:val="00326747"/>
    <w:rsid w:val="00327F48"/>
    <w:rsid w:val="003316B2"/>
    <w:rsid w:val="00332E2E"/>
    <w:rsid w:val="003355C9"/>
    <w:rsid w:val="00335C54"/>
    <w:rsid w:val="00335CC9"/>
    <w:rsid w:val="00335F7B"/>
    <w:rsid w:val="00340008"/>
    <w:rsid w:val="00340661"/>
    <w:rsid w:val="003415C2"/>
    <w:rsid w:val="00342CD9"/>
    <w:rsid w:val="00343232"/>
    <w:rsid w:val="00343588"/>
    <w:rsid w:val="003460A9"/>
    <w:rsid w:val="00347314"/>
    <w:rsid w:val="0034779A"/>
    <w:rsid w:val="00353491"/>
    <w:rsid w:val="00360066"/>
    <w:rsid w:val="0036088A"/>
    <w:rsid w:val="0036251C"/>
    <w:rsid w:val="003626E6"/>
    <w:rsid w:val="003645BA"/>
    <w:rsid w:val="0036464E"/>
    <w:rsid w:val="003649A0"/>
    <w:rsid w:val="00364ABC"/>
    <w:rsid w:val="00365F12"/>
    <w:rsid w:val="00367703"/>
    <w:rsid w:val="00367E31"/>
    <w:rsid w:val="00371133"/>
    <w:rsid w:val="00371DE0"/>
    <w:rsid w:val="00373320"/>
    <w:rsid w:val="00373BC9"/>
    <w:rsid w:val="00376F73"/>
    <w:rsid w:val="00380143"/>
    <w:rsid w:val="00380FC3"/>
    <w:rsid w:val="00381BD1"/>
    <w:rsid w:val="00381C08"/>
    <w:rsid w:val="00382263"/>
    <w:rsid w:val="00385E16"/>
    <w:rsid w:val="003868BF"/>
    <w:rsid w:val="00387640"/>
    <w:rsid w:val="003878E3"/>
    <w:rsid w:val="00393F8D"/>
    <w:rsid w:val="003943B3"/>
    <w:rsid w:val="00394EE9"/>
    <w:rsid w:val="00395410"/>
    <w:rsid w:val="00395B0D"/>
    <w:rsid w:val="003A090D"/>
    <w:rsid w:val="003A264D"/>
    <w:rsid w:val="003A2B41"/>
    <w:rsid w:val="003A3CCA"/>
    <w:rsid w:val="003A4DB4"/>
    <w:rsid w:val="003A5A37"/>
    <w:rsid w:val="003A5FAD"/>
    <w:rsid w:val="003A6031"/>
    <w:rsid w:val="003A7FA5"/>
    <w:rsid w:val="003B1BDD"/>
    <w:rsid w:val="003B1F03"/>
    <w:rsid w:val="003B31D9"/>
    <w:rsid w:val="003B331B"/>
    <w:rsid w:val="003B408E"/>
    <w:rsid w:val="003B55AB"/>
    <w:rsid w:val="003B5796"/>
    <w:rsid w:val="003B5973"/>
    <w:rsid w:val="003B5C33"/>
    <w:rsid w:val="003B653C"/>
    <w:rsid w:val="003B731D"/>
    <w:rsid w:val="003B7DA4"/>
    <w:rsid w:val="003C001E"/>
    <w:rsid w:val="003C1824"/>
    <w:rsid w:val="003C3B7C"/>
    <w:rsid w:val="003C4F1A"/>
    <w:rsid w:val="003C5F70"/>
    <w:rsid w:val="003C6BFD"/>
    <w:rsid w:val="003C7C96"/>
    <w:rsid w:val="003D0A21"/>
    <w:rsid w:val="003D3FC6"/>
    <w:rsid w:val="003D616E"/>
    <w:rsid w:val="003D6300"/>
    <w:rsid w:val="003D6CD6"/>
    <w:rsid w:val="003E029A"/>
    <w:rsid w:val="003E06A6"/>
    <w:rsid w:val="003E372D"/>
    <w:rsid w:val="003E5663"/>
    <w:rsid w:val="003E6044"/>
    <w:rsid w:val="003E65CE"/>
    <w:rsid w:val="003E712E"/>
    <w:rsid w:val="003F1469"/>
    <w:rsid w:val="003F2C24"/>
    <w:rsid w:val="003F7804"/>
    <w:rsid w:val="00401D8C"/>
    <w:rsid w:val="0040502A"/>
    <w:rsid w:val="00405B86"/>
    <w:rsid w:val="004065A4"/>
    <w:rsid w:val="00407555"/>
    <w:rsid w:val="004078C1"/>
    <w:rsid w:val="00407D72"/>
    <w:rsid w:val="00410355"/>
    <w:rsid w:val="004114B0"/>
    <w:rsid w:val="004122F2"/>
    <w:rsid w:val="004130FC"/>
    <w:rsid w:val="004168D7"/>
    <w:rsid w:val="00416DAE"/>
    <w:rsid w:val="00422618"/>
    <w:rsid w:val="00424926"/>
    <w:rsid w:val="00424BC1"/>
    <w:rsid w:val="00425541"/>
    <w:rsid w:val="004261D6"/>
    <w:rsid w:val="00427828"/>
    <w:rsid w:val="00427AE9"/>
    <w:rsid w:val="00431FDE"/>
    <w:rsid w:val="00433A81"/>
    <w:rsid w:val="00433B77"/>
    <w:rsid w:val="00434C4C"/>
    <w:rsid w:val="0043674F"/>
    <w:rsid w:val="0044038D"/>
    <w:rsid w:val="00450811"/>
    <w:rsid w:val="004527D8"/>
    <w:rsid w:val="0045367B"/>
    <w:rsid w:val="00454F4C"/>
    <w:rsid w:val="00456A22"/>
    <w:rsid w:val="0045735A"/>
    <w:rsid w:val="00460DE0"/>
    <w:rsid w:val="004614C2"/>
    <w:rsid w:val="00464063"/>
    <w:rsid w:val="00464365"/>
    <w:rsid w:val="004648D5"/>
    <w:rsid w:val="00464D02"/>
    <w:rsid w:val="00464EEA"/>
    <w:rsid w:val="0046536C"/>
    <w:rsid w:val="0046551A"/>
    <w:rsid w:val="00466307"/>
    <w:rsid w:val="00466546"/>
    <w:rsid w:val="004673F2"/>
    <w:rsid w:val="0046790A"/>
    <w:rsid w:val="00467C6A"/>
    <w:rsid w:val="00467D86"/>
    <w:rsid w:val="00471D83"/>
    <w:rsid w:val="00472FBA"/>
    <w:rsid w:val="004762EA"/>
    <w:rsid w:val="00476321"/>
    <w:rsid w:val="00477A99"/>
    <w:rsid w:val="00481C3D"/>
    <w:rsid w:val="0048433E"/>
    <w:rsid w:val="00484536"/>
    <w:rsid w:val="0048600D"/>
    <w:rsid w:val="004912E6"/>
    <w:rsid w:val="00492719"/>
    <w:rsid w:val="00494AE5"/>
    <w:rsid w:val="00494D35"/>
    <w:rsid w:val="00494F2C"/>
    <w:rsid w:val="00495078"/>
    <w:rsid w:val="00495749"/>
    <w:rsid w:val="004979C4"/>
    <w:rsid w:val="00497C9A"/>
    <w:rsid w:val="00497F28"/>
    <w:rsid w:val="004A1361"/>
    <w:rsid w:val="004A5177"/>
    <w:rsid w:val="004A565D"/>
    <w:rsid w:val="004B1DA8"/>
    <w:rsid w:val="004B1FBB"/>
    <w:rsid w:val="004B3E09"/>
    <w:rsid w:val="004B5A6D"/>
    <w:rsid w:val="004B5C01"/>
    <w:rsid w:val="004B740C"/>
    <w:rsid w:val="004B7E70"/>
    <w:rsid w:val="004C0549"/>
    <w:rsid w:val="004C24EF"/>
    <w:rsid w:val="004C3B6B"/>
    <w:rsid w:val="004C3B90"/>
    <w:rsid w:val="004C4001"/>
    <w:rsid w:val="004C4A3F"/>
    <w:rsid w:val="004C51BA"/>
    <w:rsid w:val="004C630F"/>
    <w:rsid w:val="004D0680"/>
    <w:rsid w:val="004D127F"/>
    <w:rsid w:val="004D19AE"/>
    <w:rsid w:val="004D34B5"/>
    <w:rsid w:val="004D405C"/>
    <w:rsid w:val="004D4264"/>
    <w:rsid w:val="004D70F4"/>
    <w:rsid w:val="004D7940"/>
    <w:rsid w:val="004E0167"/>
    <w:rsid w:val="004E26B2"/>
    <w:rsid w:val="004E609E"/>
    <w:rsid w:val="004E65EF"/>
    <w:rsid w:val="004E7932"/>
    <w:rsid w:val="004E79BD"/>
    <w:rsid w:val="004F2DC2"/>
    <w:rsid w:val="004F3B78"/>
    <w:rsid w:val="004F4497"/>
    <w:rsid w:val="004F4847"/>
    <w:rsid w:val="004F6686"/>
    <w:rsid w:val="004F71B6"/>
    <w:rsid w:val="00505782"/>
    <w:rsid w:val="0050760A"/>
    <w:rsid w:val="00510262"/>
    <w:rsid w:val="005109AE"/>
    <w:rsid w:val="005111CA"/>
    <w:rsid w:val="005114F0"/>
    <w:rsid w:val="00512381"/>
    <w:rsid w:val="005140AA"/>
    <w:rsid w:val="005165A7"/>
    <w:rsid w:val="00517152"/>
    <w:rsid w:val="0051735C"/>
    <w:rsid w:val="005208F3"/>
    <w:rsid w:val="00524D4D"/>
    <w:rsid w:val="00525396"/>
    <w:rsid w:val="005269EE"/>
    <w:rsid w:val="00531AF4"/>
    <w:rsid w:val="00531CC7"/>
    <w:rsid w:val="0053338C"/>
    <w:rsid w:val="00534701"/>
    <w:rsid w:val="00534804"/>
    <w:rsid w:val="00534BD8"/>
    <w:rsid w:val="00541279"/>
    <w:rsid w:val="00541348"/>
    <w:rsid w:val="0054167B"/>
    <w:rsid w:val="00546C43"/>
    <w:rsid w:val="00550AB4"/>
    <w:rsid w:val="00550EC9"/>
    <w:rsid w:val="00551379"/>
    <w:rsid w:val="005519C4"/>
    <w:rsid w:val="005523C5"/>
    <w:rsid w:val="00552B8B"/>
    <w:rsid w:val="00555CF3"/>
    <w:rsid w:val="00560901"/>
    <w:rsid w:val="0056315A"/>
    <w:rsid w:val="00563D95"/>
    <w:rsid w:val="0056431B"/>
    <w:rsid w:val="00565AC1"/>
    <w:rsid w:val="00566403"/>
    <w:rsid w:val="005665F0"/>
    <w:rsid w:val="0057420C"/>
    <w:rsid w:val="00576E5E"/>
    <w:rsid w:val="00580A0C"/>
    <w:rsid w:val="005821FC"/>
    <w:rsid w:val="00586A91"/>
    <w:rsid w:val="005870F2"/>
    <w:rsid w:val="0059191F"/>
    <w:rsid w:val="005943A3"/>
    <w:rsid w:val="00594452"/>
    <w:rsid w:val="00597C68"/>
    <w:rsid w:val="005A2128"/>
    <w:rsid w:val="005A2229"/>
    <w:rsid w:val="005A3ED9"/>
    <w:rsid w:val="005A511A"/>
    <w:rsid w:val="005B0BC7"/>
    <w:rsid w:val="005B1253"/>
    <w:rsid w:val="005B148F"/>
    <w:rsid w:val="005B1B94"/>
    <w:rsid w:val="005B26B2"/>
    <w:rsid w:val="005B38D9"/>
    <w:rsid w:val="005B40BC"/>
    <w:rsid w:val="005B69CA"/>
    <w:rsid w:val="005B71CC"/>
    <w:rsid w:val="005B74ED"/>
    <w:rsid w:val="005B7D60"/>
    <w:rsid w:val="005C211C"/>
    <w:rsid w:val="005C32E8"/>
    <w:rsid w:val="005C45B8"/>
    <w:rsid w:val="005D0ACC"/>
    <w:rsid w:val="005D42EB"/>
    <w:rsid w:val="005D785E"/>
    <w:rsid w:val="005D7D93"/>
    <w:rsid w:val="005E24A4"/>
    <w:rsid w:val="005E29B6"/>
    <w:rsid w:val="005E3595"/>
    <w:rsid w:val="005E46AB"/>
    <w:rsid w:val="005E74EA"/>
    <w:rsid w:val="005E7796"/>
    <w:rsid w:val="005E7917"/>
    <w:rsid w:val="005F0E81"/>
    <w:rsid w:val="005F1166"/>
    <w:rsid w:val="005F1FCE"/>
    <w:rsid w:val="005F3057"/>
    <w:rsid w:val="005F3918"/>
    <w:rsid w:val="005F46CC"/>
    <w:rsid w:val="005F520F"/>
    <w:rsid w:val="005F732A"/>
    <w:rsid w:val="005F73DA"/>
    <w:rsid w:val="00600BB4"/>
    <w:rsid w:val="0060113C"/>
    <w:rsid w:val="00603C7C"/>
    <w:rsid w:val="0060609D"/>
    <w:rsid w:val="00606307"/>
    <w:rsid w:val="00613C74"/>
    <w:rsid w:val="00614024"/>
    <w:rsid w:val="00614113"/>
    <w:rsid w:val="0061512E"/>
    <w:rsid w:val="006157FB"/>
    <w:rsid w:val="00615E8B"/>
    <w:rsid w:val="00621BFF"/>
    <w:rsid w:val="006241B6"/>
    <w:rsid w:val="006267FC"/>
    <w:rsid w:val="00627BE9"/>
    <w:rsid w:val="00635B58"/>
    <w:rsid w:val="00635CAA"/>
    <w:rsid w:val="00636309"/>
    <w:rsid w:val="00636931"/>
    <w:rsid w:val="006408DC"/>
    <w:rsid w:val="0064099A"/>
    <w:rsid w:val="00642AF9"/>
    <w:rsid w:val="0064550D"/>
    <w:rsid w:val="00647682"/>
    <w:rsid w:val="0065141C"/>
    <w:rsid w:val="006530F1"/>
    <w:rsid w:val="00653724"/>
    <w:rsid w:val="006555B5"/>
    <w:rsid w:val="006557DE"/>
    <w:rsid w:val="00655ED4"/>
    <w:rsid w:val="006577B4"/>
    <w:rsid w:val="00657D1B"/>
    <w:rsid w:val="00661ADB"/>
    <w:rsid w:val="00662B85"/>
    <w:rsid w:val="0066517A"/>
    <w:rsid w:val="00666B89"/>
    <w:rsid w:val="00666DD7"/>
    <w:rsid w:val="00667446"/>
    <w:rsid w:val="00667E2E"/>
    <w:rsid w:val="00667ED5"/>
    <w:rsid w:val="006701D4"/>
    <w:rsid w:val="00671843"/>
    <w:rsid w:val="00671CEC"/>
    <w:rsid w:val="00675204"/>
    <w:rsid w:val="00675E53"/>
    <w:rsid w:val="006760F3"/>
    <w:rsid w:val="0067710C"/>
    <w:rsid w:val="00677FC6"/>
    <w:rsid w:val="00680730"/>
    <w:rsid w:val="0068343C"/>
    <w:rsid w:val="006838C9"/>
    <w:rsid w:val="00684E76"/>
    <w:rsid w:val="006851D4"/>
    <w:rsid w:val="00687FFD"/>
    <w:rsid w:val="0069121A"/>
    <w:rsid w:val="006937BD"/>
    <w:rsid w:val="006938F0"/>
    <w:rsid w:val="006967FA"/>
    <w:rsid w:val="006A038D"/>
    <w:rsid w:val="006A09A9"/>
    <w:rsid w:val="006A1D55"/>
    <w:rsid w:val="006A23BD"/>
    <w:rsid w:val="006A36E3"/>
    <w:rsid w:val="006B149A"/>
    <w:rsid w:val="006B520B"/>
    <w:rsid w:val="006B5AD8"/>
    <w:rsid w:val="006B5EE9"/>
    <w:rsid w:val="006B6300"/>
    <w:rsid w:val="006B77E4"/>
    <w:rsid w:val="006B7A69"/>
    <w:rsid w:val="006C0576"/>
    <w:rsid w:val="006C07C2"/>
    <w:rsid w:val="006C10D2"/>
    <w:rsid w:val="006C4783"/>
    <w:rsid w:val="006C6ABD"/>
    <w:rsid w:val="006C6EB6"/>
    <w:rsid w:val="006D5B40"/>
    <w:rsid w:val="006D7CD1"/>
    <w:rsid w:val="006E00F0"/>
    <w:rsid w:val="006E02F0"/>
    <w:rsid w:val="006E101A"/>
    <w:rsid w:val="006E478F"/>
    <w:rsid w:val="006E5C77"/>
    <w:rsid w:val="006E6CD9"/>
    <w:rsid w:val="006E6DA8"/>
    <w:rsid w:val="006E6DB3"/>
    <w:rsid w:val="006F181E"/>
    <w:rsid w:val="006F69C4"/>
    <w:rsid w:val="006F6C11"/>
    <w:rsid w:val="006F7154"/>
    <w:rsid w:val="006F7289"/>
    <w:rsid w:val="00700AC4"/>
    <w:rsid w:val="00700AD1"/>
    <w:rsid w:val="00700CC5"/>
    <w:rsid w:val="00700D39"/>
    <w:rsid w:val="00701498"/>
    <w:rsid w:val="00702F15"/>
    <w:rsid w:val="0070665C"/>
    <w:rsid w:val="00712745"/>
    <w:rsid w:val="00713B61"/>
    <w:rsid w:val="00714B11"/>
    <w:rsid w:val="00715717"/>
    <w:rsid w:val="00715826"/>
    <w:rsid w:val="00720F52"/>
    <w:rsid w:val="007241F9"/>
    <w:rsid w:val="00725A15"/>
    <w:rsid w:val="00726D1C"/>
    <w:rsid w:val="00726EF4"/>
    <w:rsid w:val="00727F44"/>
    <w:rsid w:val="00731C7C"/>
    <w:rsid w:val="00734424"/>
    <w:rsid w:val="00734D77"/>
    <w:rsid w:val="0073508D"/>
    <w:rsid w:val="00735D92"/>
    <w:rsid w:val="007403B3"/>
    <w:rsid w:val="007447B1"/>
    <w:rsid w:val="00744A98"/>
    <w:rsid w:val="007458AE"/>
    <w:rsid w:val="00745CC1"/>
    <w:rsid w:val="0074799C"/>
    <w:rsid w:val="007507BA"/>
    <w:rsid w:val="00750BF6"/>
    <w:rsid w:val="00751C42"/>
    <w:rsid w:val="00753329"/>
    <w:rsid w:val="007551C9"/>
    <w:rsid w:val="00756CE8"/>
    <w:rsid w:val="00762AF3"/>
    <w:rsid w:val="00763CAA"/>
    <w:rsid w:val="00766FEA"/>
    <w:rsid w:val="0076775F"/>
    <w:rsid w:val="00770185"/>
    <w:rsid w:val="00770281"/>
    <w:rsid w:val="007707C0"/>
    <w:rsid w:val="0077147B"/>
    <w:rsid w:val="00771CA0"/>
    <w:rsid w:val="00772671"/>
    <w:rsid w:val="0077474B"/>
    <w:rsid w:val="00774A94"/>
    <w:rsid w:val="0077563B"/>
    <w:rsid w:val="00776853"/>
    <w:rsid w:val="00777297"/>
    <w:rsid w:val="007836D3"/>
    <w:rsid w:val="00784998"/>
    <w:rsid w:val="00784A5A"/>
    <w:rsid w:val="00784FAD"/>
    <w:rsid w:val="0078650D"/>
    <w:rsid w:val="00786791"/>
    <w:rsid w:val="00786BE9"/>
    <w:rsid w:val="0079019D"/>
    <w:rsid w:val="00791111"/>
    <w:rsid w:val="007978C9"/>
    <w:rsid w:val="007A1A40"/>
    <w:rsid w:val="007A3156"/>
    <w:rsid w:val="007B1CF2"/>
    <w:rsid w:val="007B1DAE"/>
    <w:rsid w:val="007B2984"/>
    <w:rsid w:val="007B7C8E"/>
    <w:rsid w:val="007C18B8"/>
    <w:rsid w:val="007C1C7A"/>
    <w:rsid w:val="007D1209"/>
    <w:rsid w:val="007D423A"/>
    <w:rsid w:val="007D428C"/>
    <w:rsid w:val="007D4563"/>
    <w:rsid w:val="007D5857"/>
    <w:rsid w:val="007E03F8"/>
    <w:rsid w:val="007E059C"/>
    <w:rsid w:val="007E1541"/>
    <w:rsid w:val="007E2ED1"/>
    <w:rsid w:val="007E37C4"/>
    <w:rsid w:val="007E3D5B"/>
    <w:rsid w:val="007F0110"/>
    <w:rsid w:val="007F5E66"/>
    <w:rsid w:val="007F71AC"/>
    <w:rsid w:val="007F76D8"/>
    <w:rsid w:val="00803C65"/>
    <w:rsid w:val="00805E55"/>
    <w:rsid w:val="008077CB"/>
    <w:rsid w:val="00807F0A"/>
    <w:rsid w:val="008104EE"/>
    <w:rsid w:val="008130A7"/>
    <w:rsid w:val="00814AB2"/>
    <w:rsid w:val="00815E34"/>
    <w:rsid w:val="00816D62"/>
    <w:rsid w:val="00817E69"/>
    <w:rsid w:val="00820E16"/>
    <w:rsid w:val="00820E51"/>
    <w:rsid w:val="00822910"/>
    <w:rsid w:val="00822BF4"/>
    <w:rsid w:val="008279BA"/>
    <w:rsid w:val="00832516"/>
    <w:rsid w:val="008349F1"/>
    <w:rsid w:val="00834CD6"/>
    <w:rsid w:val="00836B74"/>
    <w:rsid w:val="008379E7"/>
    <w:rsid w:val="00840AFA"/>
    <w:rsid w:val="008420D0"/>
    <w:rsid w:val="0084257D"/>
    <w:rsid w:val="00844669"/>
    <w:rsid w:val="008447F9"/>
    <w:rsid w:val="00845BB4"/>
    <w:rsid w:val="0084663A"/>
    <w:rsid w:val="00847574"/>
    <w:rsid w:val="00847D3A"/>
    <w:rsid w:val="008516E9"/>
    <w:rsid w:val="0085379C"/>
    <w:rsid w:val="00854489"/>
    <w:rsid w:val="00854733"/>
    <w:rsid w:val="00854754"/>
    <w:rsid w:val="00856D63"/>
    <w:rsid w:val="00856E9E"/>
    <w:rsid w:val="0086214D"/>
    <w:rsid w:val="00863483"/>
    <w:rsid w:val="008637FA"/>
    <w:rsid w:val="00864EF1"/>
    <w:rsid w:val="00867730"/>
    <w:rsid w:val="0087074A"/>
    <w:rsid w:val="00872AE4"/>
    <w:rsid w:val="0087317E"/>
    <w:rsid w:val="008733F7"/>
    <w:rsid w:val="00873A9B"/>
    <w:rsid w:val="00876459"/>
    <w:rsid w:val="008776A1"/>
    <w:rsid w:val="00880637"/>
    <w:rsid w:val="00880A70"/>
    <w:rsid w:val="00881BE0"/>
    <w:rsid w:val="00881E29"/>
    <w:rsid w:val="0088379E"/>
    <w:rsid w:val="00885187"/>
    <w:rsid w:val="00887450"/>
    <w:rsid w:val="00887C56"/>
    <w:rsid w:val="00891939"/>
    <w:rsid w:val="0089197B"/>
    <w:rsid w:val="008935E5"/>
    <w:rsid w:val="00894201"/>
    <w:rsid w:val="00894E08"/>
    <w:rsid w:val="008A0D93"/>
    <w:rsid w:val="008A1E65"/>
    <w:rsid w:val="008A29D2"/>
    <w:rsid w:val="008A2B95"/>
    <w:rsid w:val="008A320D"/>
    <w:rsid w:val="008A655F"/>
    <w:rsid w:val="008A6D72"/>
    <w:rsid w:val="008B0164"/>
    <w:rsid w:val="008B056C"/>
    <w:rsid w:val="008B2040"/>
    <w:rsid w:val="008B2A13"/>
    <w:rsid w:val="008B495B"/>
    <w:rsid w:val="008B539F"/>
    <w:rsid w:val="008B615D"/>
    <w:rsid w:val="008C39C9"/>
    <w:rsid w:val="008D2065"/>
    <w:rsid w:val="008D2FBE"/>
    <w:rsid w:val="008D4283"/>
    <w:rsid w:val="008D4813"/>
    <w:rsid w:val="008D4AA7"/>
    <w:rsid w:val="008D53D9"/>
    <w:rsid w:val="008D5A96"/>
    <w:rsid w:val="008D7B28"/>
    <w:rsid w:val="008E1889"/>
    <w:rsid w:val="008E2DFD"/>
    <w:rsid w:val="008E71F9"/>
    <w:rsid w:val="008F2288"/>
    <w:rsid w:val="008F28A1"/>
    <w:rsid w:val="008F33B6"/>
    <w:rsid w:val="008F3BF5"/>
    <w:rsid w:val="008F4E42"/>
    <w:rsid w:val="008F607E"/>
    <w:rsid w:val="008F74FD"/>
    <w:rsid w:val="008F799E"/>
    <w:rsid w:val="0090146D"/>
    <w:rsid w:val="00901B87"/>
    <w:rsid w:val="0090219E"/>
    <w:rsid w:val="00902870"/>
    <w:rsid w:val="00902E89"/>
    <w:rsid w:val="0090327A"/>
    <w:rsid w:val="0090361B"/>
    <w:rsid w:val="00907DB2"/>
    <w:rsid w:val="00907E2A"/>
    <w:rsid w:val="00910E4F"/>
    <w:rsid w:val="009127A6"/>
    <w:rsid w:val="009149CD"/>
    <w:rsid w:val="0091530E"/>
    <w:rsid w:val="00916301"/>
    <w:rsid w:val="009173F9"/>
    <w:rsid w:val="00917A09"/>
    <w:rsid w:val="00922B1D"/>
    <w:rsid w:val="00922DB3"/>
    <w:rsid w:val="009300FA"/>
    <w:rsid w:val="009314E2"/>
    <w:rsid w:val="00931D14"/>
    <w:rsid w:val="00932D05"/>
    <w:rsid w:val="00932E7C"/>
    <w:rsid w:val="00935235"/>
    <w:rsid w:val="00935F7E"/>
    <w:rsid w:val="00936155"/>
    <w:rsid w:val="009361BB"/>
    <w:rsid w:val="009363AE"/>
    <w:rsid w:val="00940AFD"/>
    <w:rsid w:val="00942C30"/>
    <w:rsid w:val="00945C17"/>
    <w:rsid w:val="00945FE9"/>
    <w:rsid w:val="0094797D"/>
    <w:rsid w:val="0095181B"/>
    <w:rsid w:val="0095182A"/>
    <w:rsid w:val="00951A85"/>
    <w:rsid w:val="00953180"/>
    <w:rsid w:val="0095323E"/>
    <w:rsid w:val="0095413F"/>
    <w:rsid w:val="0095581F"/>
    <w:rsid w:val="00955C52"/>
    <w:rsid w:val="00955CAC"/>
    <w:rsid w:val="00956BBB"/>
    <w:rsid w:val="009610FA"/>
    <w:rsid w:val="00964847"/>
    <w:rsid w:val="009648B2"/>
    <w:rsid w:val="00964B16"/>
    <w:rsid w:val="009702CD"/>
    <w:rsid w:val="009710D1"/>
    <w:rsid w:val="00972294"/>
    <w:rsid w:val="00972420"/>
    <w:rsid w:val="0097473B"/>
    <w:rsid w:val="00974C43"/>
    <w:rsid w:val="00976D55"/>
    <w:rsid w:val="009771E1"/>
    <w:rsid w:val="0097779C"/>
    <w:rsid w:val="00977BAE"/>
    <w:rsid w:val="00980074"/>
    <w:rsid w:val="0098242E"/>
    <w:rsid w:val="009827D5"/>
    <w:rsid w:val="009833CD"/>
    <w:rsid w:val="009837A1"/>
    <w:rsid w:val="00983C3E"/>
    <w:rsid w:val="00983E58"/>
    <w:rsid w:val="00984C7C"/>
    <w:rsid w:val="009858AC"/>
    <w:rsid w:val="00986248"/>
    <w:rsid w:val="0098695E"/>
    <w:rsid w:val="00987801"/>
    <w:rsid w:val="00987EDC"/>
    <w:rsid w:val="009901CE"/>
    <w:rsid w:val="00990C44"/>
    <w:rsid w:val="00990C46"/>
    <w:rsid w:val="00991C93"/>
    <w:rsid w:val="00991D24"/>
    <w:rsid w:val="00992C07"/>
    <w:rsid w:val="00993D90"/>
    <w:rsid w:val="00993F05"/>
    <w:rsid w:val="009942D3"/>
    <w:rsid w:val="0099574D"/>
    <w:rsid w:val="00995C41"/>
    <w:rsid w:val="009A1A7F"/>
    <w:rsid w:val="009A24B3"/>
    <w:rsid w:val="009A2695"/>
    <w:rsid w:val="009A2D80"/>
    <w:rsid w:val="009A3950"/>
    <w:rsid w:val="009A4792"/>
    <w:rsid w:val="009A4B1E"/>
    <w:rsid w:val="009A4BE2"/>
    <w:rsid w:val="009A7955"/>
    <w:rsid w:val="009A7CD7"/>
    <w:rsid w:val="009B2379"/>
    <w:rsid w:val="009B2F44"/>
    <w:rsid w:val="009C0478"/>
    <w:rsid w:val="009C40F1"/>
    <w:rsid w:val="009C4650"/>
    <w:rsid w:val="009C6E0E"/>
    <w:rsid w:val="009D0B17"/>
    <w:rsid w:val="009D1540"/>
    <w:rsid w:val="009D2EF6"/>
    <w:rsid w:val="009D528E"/>
    <w:rsid w:val="009D5BCB"/>
    <w:rsid w:val="009D5E9F"/>
    <w:rsid w:val="009E10EF"/>
    <w:rsid w:val="009E11A3"/>
    <w:rsid w:val="009E1601"/>
    <w:rsid w:val="009E4B6E"/>
    <w:rsid w:val="009E59BA"/>
    <w:rsid w:val="009E651C"/>
    <w:rsid w:val="009E6EF7"/>
    <w:rsid w:val="009F07B9"/>
    <w:rsid w:val="009F10F1"/>
    <w:rsid w:val="009F4346"/>
    <w:rsid w:val="009F4782"/>
    <w:rsid w:val="009F525A"/>
    <w:rsid w:val="009F729A"/>
    <w:rsid w:val="009F7EE5"/>
    <w:rsid w:val="00A02912"/>
    <w:rsid w:val="00A06EC8"/>
    <w:rsid w:val="00A073C7"/>
    <w:rsid w:val="00A109E3"/>
    <w:rsid w:val="00A10B1F"/>
    <w:rsid w:val="00A127AA"/>
    <w:rsid w:val="00A13097"/>
    <w:rsid w:val="00A14339"/>
    <w:rsid w:val="00A1610D"/>
    <w:rsid w:val="00A16458"/>
    <w:rsid w:val="00A17C59"/>
    <w:rsid w:val="00A20DF3"/>
    <w:rsid w:val="00A21E07"/>
    <w:rsid w:val="00A24BA1"/>
    <w:rsid w:val="00A24CFA"/>
    <w:rsid w:val="00A2567A"/>
    <w:rsid w:val="00A273F2"/>
    <w:rsid w:val="00A30117"/>
    <w:rsid w:val="00A31037"/>
    <w:rsid w:val="00A317E7"/>
    <w:rsid w:val="00A3216B"/>
    <w:rsid w:val="00A33044"/>
    <w:rsid w:val="00A33DC5"/>
    <w:rsid w:val="00A347F4"/>
    <w:rsid w:val="00A36842"/>
    <w:rsid w:val="00A3688A"/>
    <w:rsid w:val="00A3706D"/>
    <w:rsid w:val="00A371E2"/>
    <w:rsid w:val="00A4009C"/>
    <w:rsid w:val="00A40E02"/>
    <w:rsid w:val="00A41EFE"/>
    <w:rsid w:val="00A420FD"/>
    <w:rsid w:val="00A42292"/>
    <w:rsid w:val="00A435BC"/>
    <w:rsid w:val="00A43B35"/>
    <w:rsid w:val="00A45D75"/>
    <w:rsid w:val="00A463CA"/>
    <w:rsid w:val="00A47FFA"/>
    <w:rsid w:val="00A50D0C"/>
    <w:rsid w:val="00A5680D"/>
    <w:rsid w:val="00A57C12"/>
    <w:rsid w:val="00A616FB"/>
    <w:rsid w:val="00A62258"/>
    <w:rsid w:val="00A624D7"/>
    <w:rsid w:val="00A62E7F"/>
    <w:rsid w:val="00A66CC8"/>
    <w:rsid w:val="00A70E5E"/>
    <w:rsid w:val="00A711B2"/>
    <w:rsid w:val="00A7266D"/>
    <w:rsid w:val="00A7382E"/>
    <w:rsid w:val="00A74F7F"/>
    <w:rsid w:val="00A751F6"/>
    <w:rsid w:val="00A77F49"/>
    <w:rsid w:val="00A80C83"/>
    <w:rsid w:val="00A82566"/>
    <w:rsid w:val="00A82A90"/>
    <w:rsid w:val="00A83FC5"/>
    <w:rsid w:val="00A84152"/>
    <w:rsid w:val="00A942FD"/>
    <w:rsid w:val="00A9593A"/>
    <w:rsid w:val="00A95B32"/>
    <w:rsid w:val="00A96C56"/>
    <w:rsid w:val="00A96DEA"/>
    <w:rsid w:val="00A97F59"/>
    <w:rsid w:val="00AA4180"/>
    <w:rsid w:val="00AA4AE5"/>
    <w:rsid w:val="00AA597C"/>
    <w:rsid w:val="00AB114A"/>
    <w:rsid w:val="00AB3DE6"/>
    <w:rsid w:val="00AB4AB0"/>
    <w:rsid w:val="00AB4C04"/>
    <w:rsid w:val="00AB54F2"/>
    <w:rsid w:val="00AB6008"/>
    <w:rsid w:val="00AB6677"/>
    <w:rsid w:val="00AB70B8"/>
    <w:rsid w:val="00AB7126"/>
    <w:rsid w:val="00AB758D"/>
    <w:rsid w:val="00AC12E2"/>
    <w:rsid w:val="00AC25B9"/>
    <w:rsid w:val="00AC4FF5"/>
    <w:rsid w:val="00AC5D4A"/>
    <w:rsid w:val="00AC5F82"/>
    <w:rsid w:val="00AD08F5"/>
    <w:rsid w:val="00AD29F0"/>
    <w:rsid w:val="00AD3BBB"/>
    <w:rsid w:val="00AD47F7"/>
    <w:rsid w:val="00AD5F08"/>
    <w:rsid w:val="00AD6F9C"/>
    <w:rsid w:val="00AE0174"/>
    <w:rsid w:val="00AE6FD5"/>
    <w:rsid w:val="00AF117B"/>
    <w:rsid w:val="00AF21CC"/>
    <w:rsid w:val="00AF3092"/>
    <w:rsid w:val="00AF4D56"/>
    <w:rsid w:val="00AF5308"/>
    <w:rsid w:val="00AF53B8"/>
    <w:rsid w:val="00AF727D"/>
    <w:rsid w:val="00AF7D83"/>
    <w:rsid w:val="00B008A1"/>
    <w:rsid w:val="00B01F3F"/>
    <w:rsid w:val="00B02C45"/>
    <w:rsid w:val="00B03B7D"/>
    <w:rsid w:val="00B071EA"/>
    <w:rsid w:val="00B07643"/>
    <w:rsid w:val="00B10E61"/>
    <w:rsid w:val="00B10E7E"/>
    <w:rsid w:val="00B11743"/>
    <w:rsid w:val="00B11C67"/>
    <w:rsid w:val="00B12C23"/>
    <w:rsid w:val="00B15E90"/>
    <w:rsid w:val="00B245AC"/>
    <w:rsid w:val="00B306F4"/>
    <w:rsid w:val="00B30B8C"/>
    <w:rsid w:val="00B32233"/>
    <w:rsid w:val="00B3226F"/>
    <w:rsid w:val="00B32D3B"/>
    <w:rsid w:val="00B33AEA"/>
    <w:rsid w:val="00B3671F"/>
    <w:rsid w:val="00B37185"/>
    <w:rsid w:val="00B402F7"/>
    <w:rsid w:val="00B409DC"/>
    <w:rsid w:val="00B40E0B"/>
    <w:rsid w:val="00B435CE"/>
    <w:rsid w:val="00B4360E"/>
    <w:rsid w:val="00B4391A"/>
    <w:rsid w:val="00B45F85"/>
    <w:rsid w:val="00B46630"/>
    <w:rsid w:val="00B47E90"/>
    <w:rsid w:val="00B50224"/>
    <w:rsid w:val="00B521A0"/>
    <w:rsid w:val="00B53BD7"/>
    <w:rsid w:val="00B5696F"/>
    <w:rsid w:val="00B6080D"/>
    <w:rsid w:val="00B60833"/>
    <w:rsid w:val="00B631DA"/>
    <w:rsid w:val="00B63B31"/>
    <w:rsid w:val="00B67155"/>
    <w:rsid w:val="00B67FBB"/>
    <w:rsid w:val="00B7018C"/>
    <w:rsid w:val="00B71642"/>
    <w:rsid w:val="00B72863"/>
    <w:rsid w:val="00B72AB0"/>
    <w:rsid w:val="00B77F44"/>
    <w:rsid w:val="00B80530"/>
    <w:rsid w:val="00B826F5"/>
    <w:rsid w:val="00B82A7C"/>
    <w:rsid w:val="00B838A7"/>
    <w:rsid w:val="00B83A17"/>
    <w:rsid w:val="00B83E47"/>
    <w:rsid w:val="00B84BD3"/>
    <w:rsid w:val="00B90B7C"/>
    <w:rsid w:val="00B928B2"/>
    <w:rsid w:val="00B93E7F"/>
    <w:rsid w:val="00B94624"/>
    <w:rsid w:val="00B9600A"/>
    <w:rsid w:val="00B97565"/>
    <w:rsid w:val="00BA0007"/>
    <w:rsid w:val="00BA0727"/>
    <w:rsid w:val="00BA0E94"/>
    <w:rsid w:val="00BA3540"/>
    <w:rsid w:val="00BA4D89"/>
    <w:rsid w:val="00BA54ED"/>
    <w:rsid w:val="00BA5D69"/>
    <w:rsid w:val="00BA63D7"/>
    <w:rsid w:val="00BA72E6"/>
    <w:rsid w:val="00BA7BD3"/>
    <w:rsid w:val="00BB1539"/>
    <w:rsid w:val="00BB15E1"/>
    <w:rsid w:val="00BB3839"/>
    <w:rsid w:val="00BB4399"/>
    <w:rsid w:val="00BB48E6"/>
    <w:rsid w:val="00BB5A8E"/>
    <w:rsid w:val="00BB647F"/>
    <w:rsid w:val="00BB7406"/>
    <w:rsid w:val="00BB7B98"/>
    <w:rsid w:val="00BB7C0B"/>
    <w:rsid w:val="00BB7DDC"/>
    <w:rsid w:val="00BC09B7"/>
    <w:rsid w:val="00BC2098"/>
    <w:rsid w:val="00BC28A2"/>
    <w:rsid w:val="00BC2900"/>
    <w:rsid w:val="00BD0609"/>
    <w:rsid w:val="00BD13ED"/>
    <w:rsid w:val="00BD1A5D"/>
    <w:rsid w:val="00BD20D0"/>
    <w:rsid w:val="00BD288F"/>
    <w:rsid w:val="00BD2E89"/>
    <w:rsid w:val="00BD3279"/>
    <w:rsid w:val="00BD3AD0"/>
    <w:rsid w:val="00BD3DAF"/>
    <w:rsid w:val="00BD594D"/>
    <w:rsid w:val="00BE2811"/>
    <w:rsid w:val="00BE29D1"/>
    <w:rsid w:val="00BE2E1E"/>
    <w:rsid w:val="00BE3149"/>
    <w:rsid w:val="00BE3750"/>
    <w:rsid w:val="00BE3B32"/>
    <w:rsid w:val="00BE3E85"/>
    <w:rsid w:val="00BE6DCD"/>
    <w:rsid w:val="00BF13B4"/>
    <w:rsid w:val="00BF145F"/>
    <w:rsid w:val="00BF1E0D"/>
    <w:rsid w:val="00BF30A3"/>
    <w:rsid w:val="00BF4790"/>
    <w:rsid w:val="00BF53AF"/>
    <w:rsid w:val="00BF7424"/>
    <w:rsid w:val="00BF78C0"/>
    <w:rsid w:val="00C00A98"/>
    <w:rsid w:val="00C01BE2"/>
    <w:rsid w:val="00C03361"/>
    <w:rsid w:val="00C0570C"/>
    <w:rsid w:val="00C06315"/>
    <w:rsid w:val="00C0705B"/>
    <w:rsid w:val="00C077E4"/>
    <w:rsid w:val="00C12B6B"/>
    <w:rsid w:val="00C1331E"/>
    <w:rsid w:val="00C13786"/>
    <w:rsid w:val="00C209E2"/>
    <w:rsid w:val="00C20A49"/>
    <w:rsid w:val="00C20D76"/>
    <w:rsid w:val="00C21EC9"/>
    <w:rsid w:val="00C2278B"/>
    <w:rsid w:val="00C22E05"/>
    <w:rsid w:val="00C22F82"/>
    <w:rsid w:val="00C2315A"/>
    <w:rsid w:val="00C24095"/>
    <w:rsid w:val="00C264E8"/>
    <w:rsid w:val="00C272FB"/>
    <w:rsid w:val="00C3131F"/>
    <w:rsid w:val="00C31325"/>
    <w:rsid w:val="00C32399"/>
    <w:rsid w:val="00C37337"/>
    <w:rsid w:val="00C40654"/>
    <w:rsid w:val="00C41370"/>
    <w:rsid w:val="00C416D3"/>
    <w:rsid w:val="00C41D86"/>
    <w:rsid w:val="00C422D5"/>
    <w:rsid w:val="00C43C67"/>
    <w:rsid w:val="00C442CA"/>
    <w:rsid w:val="00C45DFB"/>
    <w:rsid w:val="00C4678D"/>
    <w:rsid w:val="00C510FE"/>
    <w:rsid w:val="00C51ED8"/>
    <w:rsid w:val="00C53793"/>
    <w:rsid w:val="00C54680"/>
    <w:rsid w:val="00C556E0"/>
    <w:rsid w:val="00C57FA4"/>
    <w:rsid w:val="00C62EEB"/>
    <w:rsid w:val="00C64874"/>
    <w:rsid w:val="00C64BAE"/>
    <w:rsid w:val="00C64CCA"/>
    <w:rsid w:val="00C65C14"/>
    <w:rsid w:val="00C65C8A"/>
    <w:rsid w:val="00C70657"/>
    <w:rsid w:val="00C75DE8"/>
    <w:rsid w:val="00C760A1"/>
    <w:rsid w:val="00C818E8"/>
    <w:rsid w:val="00C81B35"/>
    <w:rsid w:val="00C8358B"/>
    <w:rsid w:val="00C8395A"/>
    <w:rsid w:val="00C84930"/>
    <w:rsid w:val="00C85DA8"/>
    <w:rsid w:val="00C9149A"/>
    <w:rsid w:val="00C918A5"/>
    <w:rsid w:val="00C928E7"/>
    <w:rsid w:val="00C9345A"/>
    <w:rsid w:val="00C93FBB"/>
    <w:rsid w:val="00C95326"/>
    <w:rsid w:val="00C96168"/>
    <w:rsid w:val="00C979CF"/>
    <w:rsid w:val="00CA24AD"/>
    <w:rsid w:val="00CA34E9"/>
    <w:rsid w:val="00CA36D0"/>
    <w:rsid w:val="00CA3880"/>
    <w:rsid w:val="00CA7E6C"/>
    <w:rsid w:val="00CB22C7"/>
    <w:rsid w:val="00CB29BB"/>
    <w:rsid w:val="00CB2BFA"/>
    <w:rsid w:val="00CB4993"/>
    <w:rsid w:val="00CB51A3"/>
    <w:rsid w:val="00CC11F7"/>
    <w:rsid w:val="00CC1BBC"/>
    <w:rsid w:val="00CC1C06"/>
    <w:rsid w:val="00CC25B6"/>
    <w:rsid w:val="00CC2BF7"/>
    <w:rsid w:val="00CC3755"/>
    <w:rsid w:val="00CC3BB0"/>
    <w:rsid w:val="00CC511E"/>
    <w:rsid w:val="00CC57B1"/>
    <w:rsid w:val="00CC5F55"/>
    <w:rsid w:val="00CC7057"/>
    <w:rsid w:val="00CD0FE8"/>
    <w:rsid w:val="00CD2568"/>
    <w:rsid w:val="00CD262A"/>
    <w:rsid w:val="00CD561C"/>
    <w:rsid w:val="00CD7EE1"/>
    <w:rsid w:val="00CE1C6F"/>
    <w:rsid w:val="00CE2DB0"/>
    <w:rsid w:val="00CE5358"/>
    <w:rsid w:val="00CE6136"/>
    <w:rsid w:val="00CF0B9D"/>
    <w:rsid w:val="00CF16A7"/>
    <w:rsid w:val="00CF2DD3"/>
    <w:rsid w:val="00CF394C"/>
    <w:rsid w:val="00CF5942"/>
    <w:rsid w:val="00CF5F09"/>
    <w:rsid w:val="00D0053D"/>
    <w:rsid w:val="00D03A55"/>
    <w:rsid w:val="00D0542B"/>
    <w:rsid w:val="00D075A2"/>
    <w:rsid w:val="00D079BD"/>
    <w:rsid w:val="00D10552"/>
    <w:rsid w:val="00D13373"/>
    <w:rsid w:val="00D1368B"/>
    <w:rsid w:val="00D14DB0"/>
    <w:rsid w:val="00D14EAA"/>
    <w:rsid w:val="00D14EE1"/>
    <w:rsid w:val="00D17416"/>
    <w:rsid w:val="00D17FB3"/>
    <w:rsid w:val="00D21FDA"/>
    <w:rsid w:val="00D249B9"/>
    <w:rsid w:val="00D255D8"/>
    <w:rsid w:val="00D25667"/>
    <w:rsid w:val="00D26D41"/>
    <w:rsid w:val="00D30994"/>
    <w:rsid w:val="00D30E42"/>
    <w:rsid w:val="00D34ED9"/>
    <w:rsid w:val="00D34EF4"/>
    <w:rsid w:val="00D3562D"/>
    <w:rsid w:val="00D357F6"/>
    <w:rsid w:val="00D378CF"/>
    <w:rsid w:val="00D43CDA"/>
    <w:rsid w:val="00D4444B"/>
    <w:rsid w:val="00D5077A"/>
    <w:rsid w:val="00D540FE"/>
    <w:rsid w:val="00D56D28"/>
    <w:rsid w:val="00D57C4B"/>
    <w:rsid w:val="00D6070F"/>
    <w:rsid w:val="00D61152"/>
    <w:rsid w:val="00D614A5"/>
    <w:rsid w:val="00D615BC"/>
    <w:rsid w:val="00D664C0"/>
    <w:rsid w:val="00D666DA"/>
    <w:rsid w:val="00D701A0"/>
    <w:rsid w:val="00D7062D"/>
    <w:rsid w:val="00D74F0A"/>
    <w:rsid w:val="00D7748F"/>
    <w:rsid w:val="00D77798"/>
    <w:rsid w:val="00D77AE2"/>
    <w:rsid w:val="00D80E94"/>
    <w:rsid w:val="00D81233"/>
    <w:rsid w:val="00D82058"/>
    <w:rsid w:val="00D8252E"/>
    <w:rsid w:val="00D854A3"/>
    <w:rsid w:val="00D856F5"/>
    <w:rsid w:val="00D87EE0"/>
    <w:rsid w:val="00D90269"/>
    <w:rsid w:val="00D910FA"/>
    <w:rsid w:val="00D94914"/>
    <w:rsid w:val="00D94E71"/>
    <w:rsid w:val="00D97A9B"/>
    <w:rsid w:val="00DA2318"/>
    <w:rsid w:val="00DA4D09"/>
    <w:rsid w:val="00DA5783"/>
    <w:rsid w:val="00DA79B6"/>
    <w:rsid w:val="00DB1515"/>
    <w:rsid w:val="00DB1A35"/>
    <w:rsid w:val="00DB1CE7"/>
    <w:rsid w:val="00DB3C37"/>
    <w:rsid w:val="00DB3E81"/>
    <w:rsid w:val="00DB4E50"/>
    <w:rsid w:val="00DB5484"/>
    <w:rsid w:val="00DB55CF"/>
    <w:rsid w:val="00DB57D2"/>
    <w:rsid w:val="00DC0D3B"/>
    <w:rsid w:val="00DC3155"/>
    <w:rsid w:val="00DC3815"/>
    <w:rsid w:val="00DC59CB"/>
    <w:rsid w:val="00DC6386"/>
    <w:rsid w:val="00DC73E3"/>
    <w:rsid w:val="00DC75F7"/>
    <w:rsid w:val="00DC7A5F"/>
    <w:rsid w:val="00DD22CE"/>
    <w:rsid w:val="00DD33C2"/>
    <w:rsid w:val="00DD4249"/>
    <w:rsid w:val="00DD4DF6"/>
    <w:rsid w:val="00DD508F"/>
    <w:rsid w:val="00DE01A1"/>
    <w:rsid w:val="00DE361B"/>
    <w:rsid w:val="00DE4654"/>
    <w:rsid w:val="00DE4D43"/>
    <w:rsid w:val="00DE531F"/>
    <w:rsid w:val="00DE7CED"/>
    <w:rsid w:val="00DF0643"/>
    <w:rsid w:val="00DF072B"/>
    <w:rsid w:val="00DF3E25"/>
    <w:rsid w:val="00DF440A"/>
    <w:rsid w:val="00DF64AB"/>
    <w:rsid w:val="00DF6B71"/>
    <w:rsid w:val="00DF7A47"/>
    <w:rsid w:val="00E00F8A"/>
    <w:rsid w:val="00E0127F"/>
    <w:rsid w:val="00E01A96"/>
    <w:rsid w:val="00E01FF3"/>
    <w:rsid w:val="00E05A65"/>
    <w:rsid w:val="00E06ED2"/>
    <w:rsid w:val="00E10D32"/>
    <w:rsid w:val="00E111F1"/>
    <w:rsid w:val="00E1211C"/>
    <w:rsid w:val="00E15B98"/>
    <w:rsid w:val="00E20ADA"/>
    <w:rsid w:val="00E2478B"/>
    <w:rsid w:val="00E24F7B"/>
    <w:rsid w:val="00E25837"/>
    <w:rsid w:val="00E26B82"/>
    <w:rsid w:val="00E2770C"/>
    <w:rsid w:val="00E30A7D"/>
    <w:rsid w:val="00E31077"/>
    <w:rsid w:val="00E31DBF"/>
    <w:rsid w:val="00E324C1"/>
    <w:rsid w:val="00E35405"/>
    <w:rsid w:val="00E35A32"/>
    <w:rsid w:val="00E36ECA"/>
    <w:rsid w:val="00E372FA"/>
    <w:rsid w:val="00E40015"/>
    <w:rsid w:val="00E428E5"/>
    <w:rsid w:val="00E43FCD"/>
    <w:rsid w:val="00E44C18"/>
    <w:rsid w:val="00E477A1"/>
    <w:rsid w:val="00E51F71"/>
    <w:rsid w:val="00E52493"/>
    <w:rsid w:val="00E526B8"/>
    <w:rsid w:val="00E52881"/>
    <w:rsid w:val="00E54709"/>
    <w:rsid w:val="00E551D3"/>
    <w:rsid w:val="00E56D9C"/>
    <w:rsid w:val="00E6292D"/>
    <w:rsid w:val="00E632DF"/>
    <w:rsid w:val="00E64786"/>
    <w:rsid w:val="00E70136"/>
    <w:rsid w:val="00E703FF"/>
    <w:rsid w:val="00E727CD"/>
    <w:rsid w:val="00E74D0B"/>
    <w:rsid w:val="00E7586F"/>
    <w:rsid w:val="00E76E05"/>
    <w:rsid w:val="00E77A74"/>
    <w:rsid w:val="00E805DC"/>
    <w:rsid w:val="00E826E6"/>
    <w:rsid w:val="00E82F06"/>
    <w:rsid w:val="00E904DC"/>
    <w:rsid w:val="00E942B2"/>
    <w:rsid w:val="00E94833"/>
    <w:rsid w:val="00E95FBE"/>
    <w:rsid w:val="00EA2D53"/>
    <w:rsid w:val="00EA4E2C"/>
    <w:rsid w:val="00EA6981"/>
    <w:rsid w:val="00EA6CDA"/>
    <w:rsid w:val="00EA6FE8"/>
    <w:rsid w:val="00EA782F"/>
    <w:rsid w:val="00EA7E9E"/>
    <w:rsid w:val="00EB1966"/>
    <w:rsid w:val="00EB271B"/>
    <w:rsid w:val="00EB2D5D"/>
    <w:rsid w:val="00EB3EBC"/>
    <w:rsid w:val="00EB6E5D"/>
    <w:rsid w:val="00EB740F"/>
    <w:rsid w:val="00EB7635"/>
    <w:rsid w:val="00EC18D0"/>
    <w:rsid w:val="00EC2EBD"/>
    <w:rsid w:val="00EC4B06"/>
    <w:rsid w:val="00EC5372"/>
    <w:rsid w:val="00EC5A63"/>
    <w:rsid w:val="00EC72C6"/>
    <w:rsid w:val="00EC7C2C"/>
    <w:rsid w:val="00ED2020"/>
    <w:rsid w:val="00ED2974"/>
    <w:rsid w:val="00ED3FE4"/>
    <w:rsid w:val="00ED42C9"/>
    <w:rsid w:val="00ED4325"/>
    <w:rsid w:val="00ED631A"/>
    <w:rsid w:val="00ED68F1"/>
    <w:rsid w:val="00ED7B87"/>
    <w:rsid w:val="00EE05A1"/>
    <w:rsid w:val="00EE0FA4"/>
    <w:rsid w:val="00EE289B"/>
    <w:rsid w:val="00EE338C"/>
    <w:rsid w:val="00EE55DE"/>
    <w:rsid w:val="00EE5822"/>
    <w:rsid w:val="00EE6626"/>
    <w:rsid w:val="00EE7B9B"/>
    <w:rsid w:val="00EF1880"/>
    <w:rsid w:val="00EF424C"/>
    <w:rsid w:val="00EF661F"/>
    <w:rsid w:val="00EF72D9"/>
    <w:rsid w:val="00F00945"/>
    <w:rsid w:val="00F0189E"/>
    <w:rsid w:val="00F02041"/>
    <w:rsid w:val="00F02428"/>
    <w:rsid w:val="00F04502"/>
    <w:rsid w:val="00F04F0E"/>
    <w:rsid w:val="00F056DD"/>
    <w:rsid w:val="00F06A04"/>
    <w:rsid w:val="00F10027"/>
    <w:rsid w:val="00F1119A"/>
    <w:rsid w:val="00F12378"/>
    <w:rsid w:val="00F13750"/>
    <w:rsid w:val="00F14063"/>
    <w:rsid w:val="00F16770"/>
    <w:rsid w:val="00F168A8"/>
    <w:rsid w:val="00F2176E"/>
    <w:rsid w:val="00F220BA"/>
    <w:rsid w:val="00F22BB0"/>
    <w:rsid w:val="00F22CBF"/>
    <w:rsid w:val="00F24984"/>
    <w:rsid w:val="00F25C60"/>
    <w:rsid w:val="00F25F26"/>
    <w:rsid w:val="00F26037"/>
    <w:rsid w:val="00F26224"/>
    <w:rsid w:val="00F318C9"/>
    <w:rsid w:val="00F33253"/>
    <w:rsid w:val="00F34F63"/>
    <w:rsid w:val="00F400A7"/>
    <w:rsid w:val="00F44528"/>
    <w:rsid w:val="00F453E4"/>
    <w:rsid w:val="00F476DB"/>
    <w:rsid w:val="00F5038B"/>
    <w:rsid w:val="00F50F90"/>
    <w:rsid w:val="00F517DB"/>
    <w:rsid w:val="00F53F57"/>
    <w:rsid w:val="00F55D32"/>
    <w:rsid w:val="00F616A8"/>
    <w:rsid w:val="00F61E44"/>
    <w:rsid w:val="00F62399"/>
    <w:rsid w:val="00F62A45"/>
    <w:rsid w:val="00F62A87"/>
    <w:rsid w:val="00F62BE3"/>
    <w:rsid w:val="00F63BB3"/>
    <w:rsid w:val="00F67997"/>
    <w:rsid w:val="00F717B7"/>
    <w:rsid w:val="00F72675"/>
    <w:rsid w:val="00F744E3"/>
    <w:rsid w:val="00F74664"/>
    <w:rsid w:val="00F753B0"/>
    <w:rsid w:val="00F75512"/>
    <w:rsid w:val="00F760A4"/>
    <w:rsid w:val="00F77702"/>
    <w:rsid w:val="00F83678"/>
    <w:rsid w:val="00F84BBA"/>
    <w:rsid w:val="00F85EEB"/>
    <w:rsid w:val="00F87886"/>
    <w:rsid w:val="00F87A52"/>
    <w:rsid w:val="00F90340"/>
    <w:rsid w:val="00F91624"/>
    <w:rsid w:val="00F92113"/>
    <w:rsid w:val="00F93588"/>
    <w:rsid w:val="00F94BC9"/>
    <w:rsid w:val="00FA0800"/>
    <w:rsid w:val="00FA27E5"/>
    <w:rsid w:val="00FA3BA1"/>
    <w:rsid w:val="00FA57F5"/>
    <w:rsid w:val="00FA5FEE"/>
    <w:rsid w:val="00FA65A0"/>
    <w:rsid w:val="00FA7543"/>
    <w:rsid w:val="00FB0169"/>
    <w:rsid w:val="00FB0765"/>
    <w:rsid w:val="00FB17D4"/>
    <w:rsid w:val="00FB20FB"/>
    <w:rsid w:val="00FB2786"/>
    <w:rsid w:val="00FB27B3"/>
    <w:rsid w:val="00FB370A"/>
    <w:rsid w:val="00FB54E0"/>
    <w:rsid w:val="00FB6F38"/>
    <w:rsid w:val="00FB7FAA"/>
    <w:rsid w:val="00FC25AB"/>
    <w:rsid w:val="00FC40BB"/>
    <w:rsid w:val="00FC45DB"/>
    <w:rsid w:val="00FC672F"/>
    <w:rsid w:val="00FD384B"/>
    <w:rsid w:val="00FD450F"/>
    <w:rsid w:val="00FD45A6"/>
    <w:rsid w:val="00FD52C0"/>
    <w:rsid w:val="00FD5AD4"/>
    <w:rsid w:val="00FD5CE3"/>
    <w:rsid w:val="00FD6E65"/>
    <w:rsid w:val="00FD79F0"/>
    <w:rsid w:val="00FE0464"/>
    <w:rsid w:val="00FE1138"/>
    <w:rsid w:val="00FE1E59"/>
    <w:rsid w:val="00FE2051"/>
    <w:rsid w:val="00FE3EE7"/>
    <w:rsid w:val="00FE5538"/>
    <w:rsid w:val="00FE558E"/>
    <w:rsid w:val="00FE5D70"/>
    <w:rsid w:val="00FE6838"/>
    <w:rsid w:val="00FE71FD"/>
    <w:rsid w:val="00FF1B0A"/>
    <w:rsid w:val="00FF4594"/>
    <w:rsid w:val="00FF59B1"/>
    <w:rsid w:val="00FF6DD1"/>
    <w:rsid w:val="00FF7050"/>
    <w:rsid w:val="00FF7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B98"/>
    <w:pPr>
      <w:spacing w:after="0" w:line="360" w:lineRule="auto"/>
    </w:pPr>
    <w:rPr>
      <w:rFonts w:ascii="CG Times" w:eastAsia="Times New Roman" w:hAnsi="CG Times" w:cs="Times New Roman"/>
      <w:sz w:val="24"/>
      <w:szCs w:val="20"/>
    </w:rPr>
  </w:style>
  <w:style w:type="paragraph" w:styleId="Heading1">
    <w:name w:val="heading 1"/>
    <w:basedOn w:val="ListParagraph"/>
    <w:next w:val="Normal"/>
    <w:link w:val="Heading1Char"/>
    <w:uiPriority w:val="9"/>
    <w:qFormat/>
    <w:rsid w:val="00E15B98"/>
    <w:pPr>
      <w:numPr>
        <w:numId w:val="1"/>
      </w:numPr>
      <w:ind w:left="0" w:firstLine="0"/>
      <w:contextualSpacing w:val="0"/>
      <w:jc w:val="center"/>
      <w:outlineLvl w:val="0"/>
    </w:pPr>
    <w:rPr>
      <w:rFonts w:ascii="Times New Roman" w:hAnsi="Times New Roman"/>
      <w:b/>
      <w:sz w:val="26"/>
      <w:szCs w:val="26"/>
    </w:rPr>
  </w:style>
  <w:style w:type="paragraph" w:styleId="Heading2">
    <w:name w:val="heading 2"/>
    <w:basedOn w:val="Normal"/>
    <w:next w:val="Normal"/>
    <w:link w:val="Heading2Char"/>
    <w:uiPriority w:val="9"/>
    <w:semiHidden/>
    <w:unhideWhenUsed/>
    <w:qFormat/>
    <w:rsid w:val="00D9026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E15B98"/>
    <w:pPr>
      <w:spacing w:line="240" w:lineRule="auto"/>
      <w:jc w:val="center"/>
    </w:pPr>
    <w:rPr>
      <w:b/>
    </w:rPr>
  </w:style>
  <w:style w:type="character" w:customStyle="1" w:styleId="SubtitleChar">
    <w:name w:val="Subtitle Char"/>
    <w:basedOn w:val="DefaultParagraphFont"/>
    <w:link w:val="Subtitle"/>
    <w:rsid w:val="00E15B98"/>
    <w:rPr>
      <w:rFonts w:ascii="CG Times" w:eastAsia="Times New Roman" w:hAnsi="CG Times" w:cs="Times New Roman"/>
      <w:b/>
      <w:sz w:val="24"/>
      <w:szCs w:val="20"/>
    </w:rPr>
  </w:style>
  <w:style w:type="character" w:customStyle="1" w:styleId="Heading1Char">
    <w:name w:val="Heading 1 Char"/>
    <w:basedOn w:val="DefaultParagraphFont"/>
    <w:link w:val="Heading1"/>
    <w:uiPriority w:val="9"/>
    <w:rsid w:val="00E15B98"/>
    <w:rPr>
      <w:rFonts w:ascii="Times New Roman" w:eastAsia="Times New Roman" w:hAnsi="Times New Roman" w:cs="Times New Roman"/>
      <w:b/>
      <w:sz w:val="26"/>
      <w:szCs w:val="26"/>
    </w:rPr>
  </w:style>
  <w:style w:type="paragraph" w:styleId="BodyTextIndent">
    <w:name w:val="Body Text Indent"/>
    <w:basedOn w:val="Normal"/>
    <w:link w:val="BodyTextIndentChar"/>
    <w:uiPriority w:val="99"/>
    <w:unhideWhenUsed/>
    <w:rsid w:val="00E15B98"/>
    <w:pPr>
      <w:spacing w:after="120"/>
      <w:ind w:left="360"/>
    </w:pPr>
  </w:style>
  <w:style w:type="character" w:customStyle="1" w:styleId="BodyTextIndentChar">
    <w:name w:val="Body Text Indent Char"/>
    <w:basedOn w:val="DefaultParagraphFont"/>
    <w:link w:val="BodyTextIndent"/>
    <w:uiPriority w:val="99"/>
    <w:rsid w:val="00E15B98"/>
    <w:rPr>
      <w:rFonts w:ascii="CG Times" w:eastAsia="Times New Roman" w:hAnsi="CG Times" w:cs="Times New Roman"/>
      <w:sz w:val="24"/>
      <w:szCs w:val="20"/>
    </w:rPr>
  </w:style>
  <w:style w:type="paragraph" w:styleId="ListParagraph">
    <w:name w:val="List Paragraph"/>
    <w:basedOn w:val="Normal"/>
    <w:uiPriority w:val="34"/>
    <w:qFormat/>
    <w:rsid w:val="00E15B98"/>
    <w:pPr>
      <w:ind w:left="720"/>
      <w:contextualSpacing/>
    </w:pPr>
  </w:style>
  <w:style w:type="paragraph" w:styleId="BodyText">
    <w:name w:val="Body Text"/>
    <w:basedOn w:val="Normal"/>
    <w:link w:val="BodyTextChar"/>
    <w:uiPriority w:val="99"/>
    <w:unhideWhenUsed/>
    <w:rsid w:val="00335C54"/>
    <w:pPr>
      <w:spacing w:after="120"/>
    </w:pPr>
  </w:style>
  <w:style w:type="character" w:customStyle="1" w:styleId="BodyTextChar">
    <w:name w:val="Body Text Char"/>
    <w:basedOn w:val="DefaultParagraphFont"/>
    <w:link w:val="BodyText"/>
    <w:uiPriority w:val="99"/>
    <w:rsid w:val="00335C54"/>
    <w:rPr>
      <w:rFonts w:ascii="CG Times" w:eastAsia="Times New Roman" w:hAnsi="CG Times" w:cs="Times New Roman"/>
      <w:sz w:val="24"/>
      <w:szCs w:val="20"/>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 Char2"/>
    <w:basedOn w:val="Normal"/>
    <w:link w:val="FootnoteTextChar"/>
    <w:uiPriority w:val="99"/>
    <w:qFormat/>
    <w:rsid w:val="00335C54"/>
    <w:pPr>
      <w:widowControl w:val="0"/>
      <w:spacing w:line="240" w:lineRule="auto"/>
    </w:pPr>
    <w:rPr>
      <w:rFonts w:ascii="Times New Roman" w:hAnsi="Times New Roman"/>
      <w:sz w:val="26"/>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335C54"/>
    <w:rPr>
      <w:rFonts w:ascii="Times New Roman" w:eastAsia="Times New Roman" w:hAnsi="Times New Roman" w:cs="Times New Roman"/>
      <w:sz w:val="26"/>
      <w:szCs w:val="20"/>
    </w:rPr>
  </w:style>
  <w:style w:type="character" w:styleId="FootnoteReference">
    <w:name w:val="footnote reference"/>
    <w:aliases w:val="footnote text,o,fr,Style 42,Style 13,Style 12,Style 28,(NECG) Footnote Reference,Style 11,Style 9,Style 16,Style 15,Style 17,Style 20,o1,fr1,o2,fr2,o3,fr3,Style 8,Style 7,Style 19"/>
    <w:uiPriority w:val="99"/>
    <w:rsid w:val="00335C54"/>
    <w:rPr>
      <w:vertAlign w:val="superscript"/>
    </w:rPr>
  </w:style>
  <w:style w:type="paragraph" w:customStyle="1" w:styleId="OutlineL1">
    <w:name w:val="Outline_L1"/>
    <w:basedOn w:val="Normal"/>
    <w:next w:val="FootnoteText"/>
    <w:rsid w:val="00335C54"/>
    <w:pPr>
      <w:keepNext/>
      <w:numPr>
        <w:numId w:val="2"/>
      </w:numPr>
      <w:spacing w:after="240" w:line="240" w:lineRule="auto"/>
      <w:jc w:val="center"/>
      <w:outlineLvl w:val="0"/>
    </w:pPr>
    <w:rPr>
      <w:rFonts w:ascii="Times New Roman Bold" w:hAnsi="Times New Roman Bold"/>
      <w:b/>
      <w:caps/>
    </w:rPr>
  </w:style>
  <w:style w:type="paragraph" w:customStyle="1" w:styleId="OutlineL2">
    <w:name w:val="Outline_L2"/>
    <w:basedOn w:val="OutlineL1"/>
    <w:rsid w:val="00335C54"/>
    <w:pPr>
      <w:keepNext w:val="0"/>
      <w:numPr>
        <w:ilvl w:val="1"/>
      </w:numPr>
      <w:spacing w:line="480" w:lineRule="auto"/>
      <w:jc w:val="left"/>
      <w:outlineLvl w:val="1"/>
    </w:pPr>
    <w:rPr>
      <w:rFonts w:ascii="Times New Roman" w:hAnsi="Times New Roman"/>
      <w:b w:val="0"/>
      <w:caps w:val="0"/>
    </w:rPr>
  </w:style>
  <w:style w:type="paragraph" w:customStyle="1" w:styleId="OutlineL3">
    <w:name w:val="Outline_L3"/>
    <w:basedOn w:val="OutlineL2"/>
    <w:rsid w:val="00335C54"/>
    <w:pPr>
      <w:numPr>
        <w:ilvl w:val="2"/>
      </w:numPr>
      <w:spacing w:after="120"/>
      <w:outlineLvl w:val="2"/>
    </w:pPr>
  </w:style>
  <w:style w:type="paragraph" w:customStyle="1" w:styleId="OutlineL4">
    <w:name w:val="Outline_L4"/>
    <w:basedOn w:val="OutlineL3"/>
    <w:rsid w:val="00335C54"/>
    <w:pPr>
      <w:numPr>
        <w:ilvl w:val="3"/>
      </w:numPr>
      <w:outlineLvl w:val="3"/>
    </w:pPr>
  </w:style>
  <w:style w:type="paragraph" w:customStyle="1" w:styleId="OutlineL5">
    <w:name w:val="Outline_L5"/>
    <w:basedOn w:val="OutlineL4"/>
    <w:rsid w:val="00335C54"/>
    <w:pPr>
      <w:numPr>
        <w:ilvl w:val="4"/>
      </w:numPr>
      <w:spacing w:line="240" w:lineRule="auto"/>
      <w:outlineLvl w:val="4"/>
    </w:pPr>
  </w:style>
  <w:style w:type="paragraph" w:customStyle="1" w:styleId="OutlineL6">
    <w:name w:val="Outline_L6"/>
    <w:basedOn w:val="OutlineL5"/>
    <w:rsid w:val="00335C54"/>
    <w:pPr>
      <w:numPr>
        <w:ilvl w:val="5"/>
      </w:numPr>
      <w:spacing w:after="240"/>
      <w:outlineLvl w:val="5"/>
    </w:pPr>
    <w:rPr>
      <w:szCs w:val="24"/>
    </w:rPr>
  </w:style>
  <w:style w:type="paragraph" w:customStyle="1" w:styleId="OutlineL7">
    <w:name w:val="Outline_L7"/>
    <w:basedOn w:val="OutlineL6"/>
    <w:rsid w:val="00335C54"/>
    <w:pPr>
      <w:numPr>
        <w:ilvl w:val="6"/>
      </w:numPr>
      <w:outlineLvl w:val="6"/>
    </w:pPr>
    <w:rPr>
      <w:rFonts w:ascii="Times New Roman Bold" w:hAnsi="Times New Roman Bold"/>
      <w:b/>
    </w:rPr>
  </w:style>
  <w:style w:type="paragraph" w:customStyle="1" w:styleId="OutlineL8">
    <w:name w:val="Outline_L8"/>
    <w:basedOn w:val="OutlineL7"/>
    <w:rsid w:val="00335C54"/>
    <w:pPr>
      <w:numPr>
        <w:ilvl w:val="7"/>
      </w:numPr>
      <w:outlineLvl w:val="7"/>
    </w:pPr>
  </w:style>
  <w:style w:type="paragraph" w:customStyle="1" w:styleId="OutlineL9">
    <w:name w:val="Outline_L9"/>
    <w:basedOn w:val="OutlineL8"/>
    <w:rsid w:val="00335C54"/>
    <w:pPr>
      <w:numPr>
        <w:ilvl w:val="8"/>
      </w:numPr>
      <w:outlineLvl w:val="8"/>
    </w:pPr>
  </w:style>
  <w:style w:type="paragraph" w:styleId="NoSpacing">
    <w:name w:val="No Spacing"/>
    <w:uiPriority w:val="1"/>
    <w:qFormat/>
    <w:rsid w:val="00335C54"/>
    <w:pPr>
      <w:spacing w:after="0" w:line="240" w:lineRule="auto"/>
    </w:pPr>
    <w:rPr>
      <w:rFonts w:ascii="Times New Roman" w:eastAsia="Times New Roman" w:hAnsi="Times New Roman" w:cs="Times New Roman"/>
      <w:sz w:val="26"/>
      <w:szCs w:val="20"/>
    </w:rPr>
  </w:style>
  <w:style w:type="character" w:customStyle="1" w:styleId="Heading2Char">
    <w:name w:val="Heading 2 Char"/>
    <w:basedOn w:val="DefaultParagraphFont"/>
    <w:link w:val="Heading2"/>
    <w:uiPriority w:val="9"/>
    <w:semiHidden/>
    <w:rsid w:val="00D9026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131B3D"/>
    <w:pPr>
      <w:tabs>
        <w:tab w:val="center" w:pos="4680"/>
        <w:tab w:val="right" w:pos="9360"/>
      </w:tabs>
      <w:spacing w:line="240" w:lineRule="auto"/>
    </w:pPr>
  </w:style>
  <w:style w:type="character" w:customStyle="1" w:styleId="HeaderChar">
    <w:name w:val="Header Char"/>
    <w:basedOn w:val="DefaultParagraphFont"/>
    <w:link w:val="Header"/>
    <w:uiPriority w:val="99"/>
    <w:rsid w:val="00131B3D"/>
    <w:rPr>
      <w:rFonts w:ascii="CG Times" w:eastAsia="Times New Roman" w:hAnsi="CG Times" w:cs="Times New Roman"/>
      <w:sz w:val="24"/>
      <w:szCs w:val="20"/>
    </w:rPr>
  </w:style>
  <w:style w:type="paragraph" w:styleId="Footer">
    <w:name w:val="footer"/>
    <w:basedOn w:val="Normal"/>
    <w:link w:val="FooterChar"/>
    <w:uiPriority w:val="99"/>
    <w:unhideWhenUsed/>
    <w:rsid w:val="00131B3D"/>
    <w:pPr>
      <w:tabs>
        <w:tab w:val="center" w:pos="4680"/>
        <w:tab w:val="right" w:pos="9360"/>
      </w:tabs>
      <w:spacing w:line="240" w:lineRule="auto"/>
    </w:pPr>
  </w:style>
  <w:style w:type="character" w:customStyle="1" w:styleId="FooterChar">
    <w:name w:val="Footer Char"/>
    <w:basedOn w:val="DefaultParagraphFont"/>
    <w:link w:val="Footer"/>
    <w:uiPriority w:val="99"/>
    <w:rsid w:val="00131B3D"/>
    <w:rPr>
      <w:rFonts w:ascii="CG Times" w:eastAsia="Times New Roman" w:hAnsi="CG Times" w:cs="Times New Roman"/>
      <w:sz w:val="24"/>
      <w:szCs w:val="20"/>
    </w:rPr>
  </w:style>
  <w:style w:type="paragraph" w:styleId="BodyText2">
    <w:name w:val="Body Text 2"/>
    <w:basedOn w:val="Normal"/>
    <w:link w:val="BodyText2Char"/>
    <w:uiPriority w:val="99"/>
    <w:unhideWhenUsed/>
    <w:rsid w:val="007E37C4"/>
    <w:pPr>
      <w:spacing w:after="120" w:line="480" w:lineRule="auto"/>
    </w:pPr>
  </w:style>
  <w:style w:type="character" w:customStyle="1" w:styleId="BodyText2Char">
    <w:name w:val="Body Text 2 Char"/>
    <w:basedOn w:val="DefaultParagraphFont"/>
    <w:link w:val="BodyText2"/>
    <w:uiPriority w:val="99"/>
    <w:rsid w:val="007E37C4"/>
    <w:rPr>
      <w:rFonts w:ascii="CG Times" w:eastAsia="Times New Roman" w:hAnsi="CG Times" w:cs="Times New Roman"/>
      <w:sz w:val="24"/>
      <w:szCs w:val="20"/>
    </w:rPr>
  </w:style>
  <w:style w:type="character" w:customStyle="1" w:styleId="NormalChar">
    <w:name w:val="Normal Char"/>
    <w:link w:val="Normal1"/>
    <w:locked/>
    <w:rsid w:val="00011009"/>
    <w:rPr>
      <w:sz w:val="24"/>
      <w:szCs w:val="24"/>
    </w:rPr>
  </w:style>
  <w:style w:type="paragraph" w:customStyle="1" w:styleId="Normal1">
    <w:name w:val="Normal1"/>
    <w:basedOn w:val="Normal"/>
    <w:link w:val="NormalChar"/>
    <w:qFormat/>
    <w:rsid w:val="00011009"/>
    <w:pPr>
      <w:spacing w:line="480" w:lineRule="auto"/>
      <w:ind w:firstLine="720"/>
    </w:pPr>
    <w:rPr>
      <w:rFonts w:asciiTheme="minorHAnsi" w:eastAsiaTheme="minorHAnsi" w:hAnsiTheme="minorHAnsi" w:cstheme="minorBidi"/>
      <w:szCs w:val="24"/>
    </w:rPr>
  </w:style>
  <w:style w:type="paragraph" w:styleId="BalloonText">
    <w:name w:val="Balloon Text"/>
    <w:basedOn w:val="Normal"/>
    <w:link w:val="BalloonTextChar"/>
    <w:uiPriority w:val="99"/>
    <w:semiHidden/>
    <w:unhideWhenUsed/>
    <w:rsid w:val="007F5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E66"/>
    <w:rPr>
      <w:rFonts w:ascii="Tahoma" w:eastAsia="Times New Roman" w:hAnsi="Tahoma" w:cs="Tahoma"/>
      <w:sz w:val="16"/>
      <w:szCs w:val="16"/>
    </w:rPr>
  </w:style>
  <w:style w:type="paragraph" w:customStyle="1" w:styleId="Pleading2L1">
    <w:name w:val="Pleading2_L1"/>
    <w:basedOn w:val="Normal"/>
    <w:next w:val="BodyText"/>
    <w:rsid w:val="00C13786"/>
    <w:pPr>
      <w:numPr>
        <w:numId w:val="8"/>
      </w:numPr>
      <w:spacing w:after="240"/>
      <w:jc w:val="center"/>
      <w:outlineLvl w:val="0"/>
    </w:pPr>
    <w:rPr>
      <w:rFonts w:ascii="Times New Roman" w:hAnsi="Times New Roman"/>
      <w:b/>
      <w:caps/>
      <w:u w:val="single"/>
    </w:rPr>
  </w:style>
  <w:style w:type="paragraph" w:customStyle="1" w:styleId="Pleading2L2">
    <w:name w:val="Pleading2_L2"/>
    <w:basedOn w:val="Pleading2L1"/>
    <w:rsid w:val="00C13786"/>
    <w:pPr>
      <w:numPr>
        <w:ilvl w:val="1"/>
      </w:numPr>
      <w:spacing w:after="0" w:line="480" w:lineRule="auto"/>
      <w:jc w:val="left"/>
      <w:outlineLvl w:val="1"/>
    </w:pPr>
    <w:rPr>
      <w:b w:val="0"/>
      <w:caps w:val="0"/>
      <w:u w:val="none"/>
    </w:rPr>
  </w:style>
  <w:style w:type="paragraph" w:customStyle="1" w:styleId="Pleading2L3">
    <w:name w:val="Pleading2_L3"/>
    <w:basedOn w:val="Pleading2L2"/>
    <w:rsid w:val="00C13786"/>
    <w:pPr>
      <w:numPr>
        <w:ilvl w:val="2"/>
      </w:numPr>
      <w:outlineLvl w:val="2"/>
    </w:pPr>
  </w:style>
  <w:style w:type="paragraph" w:customStyle="1" w:styleId="Pleading2L4">
    <w:name w:val="Pleading2_L4"/>
    <w:basedOn w:val="Pleading2L3"/>
    <w:rsid w:val="00C13786"/>
    <w:pPr>
      <w:numPr>
        <w:ilvl w:val="3"/>
      </w:numPr>
      <w:outlineLvl w:val="3"/>
    </w:pPr>
  </w:style>
  <w:style w:type="paragraph" w:customStyle="1" w:styleId="Pleading2L5">
    <w:name w:val="Pleading2_L5"/>
    <w:basedOn w:val="Pleading2L4"/>
    <w:rsid w:val="00C13786"/>
    <w:pPr>
      <w:keepNext/>
      <w:keepLines/>
      <w:widowControl w:val="0"/>
      <w:numPr>
        <w:ilvl w:val="4"/>
      </w:numPr>
      <w:spacing w:after="240" w:line="240" w:lineRule="auto"/>
      <w:outlineLvl w:val="4"/>
    </w:pPr>
  </w:style>
  <w:style w:type="paragraph" w:customStyle="1" w:styleId="Pleading2L6">
    <w:name w:val="Pleading2_L6"/>
    <w:basedOn w:val="Pleading2L5"/>
    <w:rsid w:val="00C13786"/>
    <w:pPr>
      <w:numPr>
        <w:ilvl w:val="5"/>
      </w:numPr>
      <w:outlineLvl w:val="5"/>
    </w:pPr>
  </w:style>
  <w:style w:type="paragraph" w:customStyle="1" w:styleId="Pleading2L7">
    <w:name w:val="Pleading2_L7"/>
    <w:basedOn w:val="Pleading2L6"/>
    <w:rsid w:val="00C13786"/>
    <w:pPr>
      <w:numPr>
        <w:ilvl w:val="6"/>
      </w:numPr>
      <w:outlineLvl w:val="6"/>
    </w:pPr>
  </w:style>
  <w:style w:type="paragraph" w:customStyle="1" w:styleId="Pleading2L8">
    <w:name w:val="Pleading2_L8"/>
    <w:basedOn w:val="Pleading2L7"/>
    <w:rsid w:val="00C13786"/>
    <w:pPr>
      <w:numPr>
        <w:ilvl w:val="7"/>
      </w:numPr>
      <w:outlineLvl w:val="7"/>
    </w:pPr>
  </w:style>
  <w:style w:type="paragraph" w:customStyle="1" w:styleId="Pleading2L9">
    <w:name w:val="Pleading2_L9"/>
    <w:basedOn w:val="Pleading2L8"/>
    <w:rsid w:val="00C13786"/>
    <w:pPr>
      <w:numPr>
        <w:ilvl w:val="8"/>
      </w:numPr>
      <w:outlineLvl w:val="8"/>
    </w:pPr>
  </w:style>
  <w:style w:type="character" w:styleId="CommentReference">
    <w:name w:val="annotation reference"/>
    <w:basedOn w:val="DefaultParagraphFont"/>
    <w:uiPriority w:val="99"/>
    <w:semiHidden/>
    <w:unhideWhenUsed/>
    <w:rsid w:val="00DE4654"/>
    <w:rPr>
      <w:sz w:val="16"/>
      <w:szCs w:val="16"/>
    </w:rPr>
  </w:style>
  <w:style w:type="paragraph" w:styleId="CommentText">
    <w:name w:val="annotation text"/>
    <w:basedOn w:val="Normal"/>
    <w:link w:val="CommentTextChar"/>
    <w:uiPriority w:val="99"/>
    <w:semiHidden/>
    <w:unhideWhenUsed/>
    <w:rsid w:val="00DE4654"/>
    <w:pPr>
      <w:spacing w:line="240" w:lineRule="auto"/>
    </w:pPr>
    <w:rPr>
      <w:sz w:val="20"/>
    </w:rPr>
  </w:style>
  <w:style w:type="character" w:customStyle="1" w:styleId="CommentTextChar">
    <w:name w:val="Comment Text Char"/>
    <w:basedOn w:val="DefaultParagraphFont"/>
    <w:link w:val="CommentText"/>
    <w:uiPriority w:val="99"/>
    <w:semiHidden/>
    <w:rsid w:val="00DE4654"/>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DE4654"/>
    <w:rPr>
      <w:b/>
      <w:bCs/>
    </w:rPr>
  </w:style>
  <w:style w:type="character" w:customStyle="1" w:styleId="CommentSubjectChar">
    <w:name w:val="Comment Subject Char"/>
    <w:basedOn w:val="CommentTextChar"/>
    <w:link w:val="CommentSubject"/>
    <w:uiPriority w:val="99"/>
    <w:semiHidden/>
    <w:rsid w:val="00DE4654"/>
    <w:rPr>
      <w:rFonts w:ascii="CG Times" w:eastAsia="Times New Roman" w:hAnsi="CG Time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B98"/>
    <w:pPr>
      <w:spacing w:after="0" w:line="360" w:lineRule="auto"/>
    </w:pPr>
    <w:rPr>
      <w:rFonts w:ascii="CG Times" w:eastAsia="Times New Roman" w:hAnsi="CG Times" w:cs="Times New Roman"/>
      <w:sz w:val="24"/>
      <w:szCs w:val="20"/>
    </w:rPr>
  </w:style>
  <w:style w:type="paragraph" w:styleId="Heading1">
    <w:name w:val="heading 1"/>
    <w:basedOn w:val="ListParagraph"/>
    <w:next w:val="Normal"/>
    <w:link w:val="Heading1Char"/>
    <w:uiPriority w:val="9"/>
    <w:qFormat/>
    <w:rsid w:val="00E15B98"/>
    <w:pPr>
      <w:numPr>
        <w:numId w:val="1"/>
      </w:numPr>
      <w:ind w:left="0" w:firstLine="0"/>
      <w:contextualSpacing w:val="0"/>
      <w:jc w:val="center"/>
      <w:outlineLvl w:val="0"/>
    </w:pPr>
    <w:rPr>
      <w:rFonts w:ascii="Times New Roman" w:hAnsi="Times New Roman"/>
      <w:b/>
      <w:sz w:val="26"/>
      <w:szCs w:val="26"/>
    </w:rPr>
  </w:style>
  <w:style w:type="paragraph" w:styleId="Heading2">
    <w:name w:val="heading 2"/>
    <w:basedOn w:val="Normal"/>
    <w:next w:val="Normal"/>
    <w:link w:val="Heading2Char"/>
    <w:uiPriority w:val="9"/>
    <w:semiHidden/>
    <w:unhideWhenUsed/>
    <w:qFormat/>
    <w:rsid w:val="00D9026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E15B98"/>
    <w:pPr>
      <w:spacing w:line="240" w:lineRule="auto"/>
      <w:jc w:val="center"/>
    </w:pPr>
    <w:rPr>
      <w:b/>
    </w:rPr>
  </w:style>
  <w:style w:type="character" w:customStyle="1" w:styleId="SubtitleChar">
    <w:name w:val="Subtitle Char"/>
    <w:basedOn w:val="DefaultParagraphFont"/>
    <w:link w:val="Subtitle"/>
    <w:rsid w:val="00E15B98"/>
    <w:rPr>
      <w:rFonts w:ascii="CG Times" w:eastAsia="Times New Roman" w:hAnsi="CG Times" w:cs="Times New Roman"/>
      <w:b/>
      <w:sz w:val="24"/>
      <w:szCs w:val="20"/>
    </w:rPr>
  </w:style>
  <w:style w:type="character" w:customStyle="1" w:styleId="Heading1Char">
    <w:name w:val="Heading 1 Char"/>
    <w:basedOn w:val="DefaultParagraphFont"/>
    <w:link w:val="Heading1"/>
    <w:uiPriority w:val="9"/>
    <w:rsid w:val="00E15B98"/>
    <w:rPr>
      <w:rFonts w:ascii="Times New Roman" w:eastAsia="Times New Roman" w:hAnsi="Times New Roman" w:cs="Times New Roman"/>
      <w:b/>
      <w:sz w:val="26"/>
      <w:szCs w:val="26"/>
    </w:rPr>
  </w:style>
  <w:style w:type="paragraph" w:styleId="BodyTextIndent">
    <w:name w:val="Body Text Indent"/>
    <w:basedOn w:val="Normal"/>
    <w:link w:val="BodyTextIndentChar"/>
    <w:uiPriority w:val="99"/>
    <w:unhideWhenUsed/>
    <w:rsid w:val="00E15B98"/>
    <w:pPr>
      <w:spacing w:after="120"/>
      <w:ind w:left="360"/>
    </w:pPr>
  </w:style>
  <w:style w:type="character" w:customStyle="1" w:styleId="BodyTextIndentChar">
    <w:name w:val="Body Text Indent Char"/>
    <w:basedOn w:val="DefaultParagraphFont"/>
    <w:link w:val="BodyTextIndent"/>
    <w:uiPriority w:val="99"/>
    <w:rsid w:val="00E15B98"/>
    <w:rPr>
      <w:rFonts w:ascii="CG Times" w:eastAsia="Times New Roman" w:hAnsi="CG Times" w:cs="Times New Roman"/>
      <w:sz w:val="24"/>
      <w:szCs w:val="20"/>
    </w:rPr>
  </w:style>
  <w:style w:type="paragraph" w:styleId="ListParagraph">
    <w:name w:val="List Paragraph"/>
    <w:basedOn w:val="Normal"/>
    <w:uiPriority w:val="34"/>
    <w:qFormat/>
    <w:rsid w:val="00E15B98"/>
    <w:pPr>
      <w:ind w:left="720"/>
      <w:contextualSpacing/>
    </w:pPr>
  </w:style>
  <w:style w:type="paragraph" w:styleId="BodyText">
    <w:name w:val="Body Text"/>
    <w:basedOn w:val="Normal"/>
    <w:link w:val="BodyTextChar"/>
    <w:uiPriority w:val="99"/>
    <w:unhideWhenUsed/>
    <w:rsid w:val="00335C54"/>
    <w:pPr>
      <w:spacing w:after="120"/>
    </w:pPr>
  </w:style>
  <w:style w:type="character" w:customStyle="1" w:styleId="BodyTextChar">
    <w:name w:val="Body Text Char"/>
    <w:basedOn w:val="DefaultParagraphFont"/>
    <w:link w:val="BodyText"/>
    <w:uiPriority w:val="99"/>
    <w:rsid w:val="00335C54"/>
    <w:rPr>
      <w:rFonts w:ascii="CG Times" w:eastAsia="Times New Roman" w:hAnsi="CG Times" w:cs="Times New Roman"/>
      <w:sz w:val="24"/>
      <w:szCs w:val="20"/>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 Char2"/>
    <w:basedOn w:val="Normal"/>
    <w:link w:val="FootnoteTextChar"/>
    <w:uiPriority w:val="99"/>
    <w:qFormat/>
    <w:rsid w:val="00335C54"/>
    <w:pPr>
      <w:widowControl w:val="0"/>
      <w:spacing w:line="240" w:lineRule="auto"/>
    </w:pPr>
    <w:rPr>
      <w:rFonts w:ascii="Times New Roman" w:hAnsi="Times New Roman"/>
      <w:sz w:val="26"/>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335C54"/>
    <w:rPr>
      <w:rFonts w:ascii="Times New Roman" w:eastAsia="Times New Roman" w:hAnsi="Times New Roman" w:cs="Times New Roman"/>
      <w:sz w:val="26"/>
      <w:szCs w:val="20"/>
    </w:rPr>
  </w:style>
  <w:style w:type="character" w:styleId="FootnoteReference">
    <w:name w:val="footnote reference"/>
    <w:aliases w:val="footnote text,o,fr,Style 42,Style 13,Style 12,Style 28,(NECG) Footnote Reference,Style 11,Style 9,Style 16,Style 15,Style 17,Style 20,o1,fr1,o2,fr2,o3,fr3,Style 8,Style 7,Style 19"/>
    <w:uiPriority w:val="99"/>
    <w:rsid w:val="00335C54"/>
    <w:rPr>
      <w:vertAlign w:val="superscript"/>
    </w:rPr>
  </w:style>
  <w:style w:type="paragraph" w:customStyle="1" w:styleId="OutlineL1">
    <w:name w:val="Outline_L1"/>
    <w:basedOn w:val="Normal"/>
    <w:next w:val="FootnoteText"/>
    <w:rsid w:val="00335C54"/>
    <w:pPr>
      <w:keepNext/>
      <w:numPr>
        <w:numId w:val="2"/>
      </w:numPr>
      <w:spacing w:after="240" w:line="240" w:lineRule="auto"/>
      <w:jc w:val="center"/>
      <w:outlineLvl w:val="0"/>
    </w:pPr>
    <w:rPr>
      <w:rFonts w:ascii="Times New Roman Bold" w:hAnsi="Times New Roman Bold"/>
      <w:b/>
      <w:caps/>
    </w:rPr>
  </w:style>
  <w:style w:type="paragraph" w:customStyle="1" w:styleId="OutlineL2">
    <w:name w:val="Outline_L2"/>
    <w:basedOn w:val="OutlineL1"/>
    <w:rsid w:val="00335C54"/>
    <w:pPr>
      <w:keepNext w:val="0"/>
      <w:numPr>
        <w:ilvl w:val="1"/>
      </w:numPr>
      <w:spacing w:line="480" w:lineRule="auto"/>
      <w:jc w:val="left"/>
      <w:outlineLvl w:val="1"/>
    </w:pPr>
    <w:rPr>
      <w:rFonts w:ascii="Times New Roman" w:hAnsi="Times New Roman"/>
      <w:b w:val="0"/>
      <w:caps w:val="0"/>
    </w:rPr>
  </w:style>
  <w:style w:type="paragraph" w:customStyle="1" w:styleId="OutlineL3">
    <w:name w:val="Outline_L3"/>
    <w:basedOn w:val="OutlineL2"/>
    <w:rsid w:val="00335C54"/>
    <w:pPr>
      <w:numPr>
        <w:ilvl w:val="2"/>
      </w:numPr>
      <w:spacing w:after="120"/>
      <w:outlineLvl w:val="2"/>
    </w:pPr>
  </w:style>
  <w:style w:type="paragraph" w:customStyle="1" w:styleId="OutlineL4">
    <w:name w:val="Outline_L4"/>
    <w:basedOn w:val="OutlineL3"/>
    <w:rsid w:val="00335C54"/>
    <w:pPr>
      <w:numPr>
        <w:ilvl w:val="3"/>
      </w:numPr>
      <w:outlineLvl w:val="3"/>
    </w:pPr>
  </w:style>
  <w:style w:type="paragraph" w:customStyle="1" w:styleId="OutlineL5">
    <w:name w:val="Outline_L5"/>
    <w:basedOn w:val="OutlineL4"/>
    <w:rsid w:val="00335C54"/>
    <w:pPr>
      <w:numPr>
        <w:ilvl w:val="4"/>
      </w:numPr>
      <w:spacing w:line="240" w:lineRule="auto"/>
      <w:outlineLvl w:val="4"/>
    </w:pPr>
  </w:style>
  <w:style w:type="paragraph" w:customStyle="1" w:styleId="OutlineL6">
    <w:name w:val="Outline_L6"/>
    <w:basedOn w:val="OutlineL5"/>
    <w:rsid w:val="00335C54"/>
    <w:pPr>
      <w:numPr>
        <w:ilvl w:val="5"/>
      </w:numPr>
      <w:spacing w:after="240"/>
      <w:outlineLvl w:val="5"/>
    </w:pPr>
    <w:rPr>
      <w:szCs w:val="24"/>
    </w:rPr>
  </w:style>
  <w:style w:type="paragraph" w:customStyle="1" w:styleId="OutlineL7">
    <w:name w:val="Outline_L7"/>
    <w:basedOn w:val="OutlineL6"/>
    <w:rsid w:val="00335C54"/>
    <w:pPr>
      <w:numPr>
        <w:ilvl w:val="6"/>
      </w:numPr>
      <w:outlineLvl w:val="6"/>
    </w:pPr>
    <w:rPr>
      <w:rFonts w:ascii="Times New Roman Bold" w:hAnsi="Times New Roman Bold"/>
      <w:b/>
    </w:rPr>
  </w:style>
  <w:style w:type="paragraph" w:customStyle="1" w:styleId="OutlineL8">
    <w:name w:val="Outline_L8"/>
    <w:basedOn w:val="OutlineL7"/>
    <w:rsid w:val="00335C54"/>
    <w:pPr>
      <w:numPr>
        <w:ilvl w:val="7"/>
      </w:numPr>
      <w:outlineLvl w:val="7"/>
    </w:pPr>
  </w:style>
  <w:style w:type="paragraph" w:customStyle="1" w:styleId="OutlineL9">
    <w:name w:val="Outline_L9"/>
    <w:basedOn w:val="OutlineL8"/>
    <w:rsid w:val="00335C54"/>
    <w:pPr>
      <w:numPr>
        <w:ilvl w:val="8"/>
      </w:numPr>
      <w:outlineLvl w:val="8"/>
    </w:pPr>
  </w:style>
  <w:style w:type="paragraph" w:styleId="NoSpacing">
    <w:name w:val="No Spacing"/>
    <w:uiPriority w:val="1"/>
    <w:qFormat/>
    <w:rsid w:val="00335C54"/>
    <w:pPr>
      <w:spacing w:after="0" w:line="240" w:lineRule="auto"/>
    </w:pPr>
    <w:rPr>
      <w:rFonts w:ascii="Times New Roman" w:eastAsia="Times New Roman" w:hAnsi="Times New Roman" w:cs="Times New Roman"/>
      <w:sz w:val="26"/>
      <w:szCs w:val="20"/>
    </w:rPr>
  </w:style>
  <w:style w:type="character" w:customStyle="1" w:styleId="Heading2Char">
    <w:name w:val="Heading 2 Char"/>
    <w:basedOn w:val="DefaultParagraphFont"/>
    <w:link w:val="Heading2"/>
    <w:uiPriority w:val="9"/>
    <w:semiHidden/>
    <w:rsid w:val="00D9026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131B3D"/>
    <w:pPr>
      <w:tabs>
        <w:tab w:val="center" w:pos="4680"/>
        <w:tab w:val="right" w:pos="9360"/>
      </w:tabs>
      <w:spacing w:line="240" w:lineRule="auto"/>
    </w:pPr>
  </w:style>
  <w:style w:type="character" w:customStyle="1" w:styleId="HeaderChar">
    <w:name w:val="Header Char"/>
    <w:basedOn w:val="DefaultParagraphFont"/>
    <w:link w:val="Header"/>
    <w:uiPriority w:val="99"/>
    <w:rsid w:val="00131B3D"/>
    <w:rPr>
      <w:rFonts w:ascii="CG Times" w:eastAsia="Times New Roman" w:hAnsi="CG Times" w:cs="Times New Roman"/>
      <w:sz w:val="24"/>
      <w:szCs w:val="20"/>
    </w:rPr>
  </w:style>
  <w:style w:type="paragraph" w:styleId="Footer">
    <w:name w:val="footer"/>
    <w:basedOn w:val="Normal"/>
    <w:link w:val="FooterChar"/>
    <w:uiPriority w:val="99"/>
    <w:unhideWhenUsed/>
    <w:rsid w:val="00131B3D"/>
    <w:pPr>
      <w:tabs>
        <w:tab w:val="center" w:pos="4680"/>
        <w:tab w:val="right" w:pos="9360"/>
      </w:tabs>
      <w:spacing w:line="240" w:lineRule="auto"/>
    </w:pPr>
  </w:style>
  <w:style w:type="character" w:customStyle="1" w:styleId="FooterChar">
    <w:name w:val="Footer Char"/>
    <w:basedOn w:val="DefaultParagraphFont"/>
    <w:link w:val="Footer"/>
    <w:uiPriority w:val="99"/>
    <w:rsid w:val="00131B3D"/>
    <w:rPr>
      <w:rFonts w:ascii="CG Times" w:eastAsia="Times New Roman" w:hAnsi="CG Times" w:cs="Times New Roman"/>
      <w:sz w:val="24"/>
      <w:szCs w:val="20"/>
    </w:rPr>
  </w:style>
  <w:style w:type="paragraph" w:styleId="BodyText2">
    <w:name w:val="Body Text 2"/>
    <w:basedOn w:val="Normal"/>
    <w:link w:val="BodyText2Char"/>
    <w:uiPriority w:val="99"/>
    <w:unhideWhenUsed/>
    <w:rsid w:val="007E37C4"/>
    <w:pPr>
      <w:spacing w:after="120" w:line="480" w:lineRule="auto"/>
    </w:pPr>
  </w:style>
  <w:style w:type="character" w:customStyle="1" w:styleId="BodyText2Char">
    <w:name w:val="Body Text 2 Char"/>
    <w:basedOn w:val="DefaultParagraphFont"/>
    <w:link w:val="BodyText2"/>
    <w:uiPriority w:val="99"/>
    <w:rsid w:val="007E37C4"/>
    <w:rPr>
      <w:rFonts w:ascii="CG Times" w:eastAsia="Times New Roman" w:hAnsi="CG Times" w:cs="Times New Roman"/>
      <w:sz w:val="24"/>
      <w:szCs w:val="20"/>
    </w:rPr>
  </w:style>
  <w:style w:type="character" w:customStyle="1" w:styleId="NormalChar">
    <w:name w:val="Normal Char"/>
    <w:link w:val="Normal1"/>
    <w:locked/>
    <w:rsid w:val="00011009"/>
    <w:rPr>
      <w:sz w:val="24"/>
      <w:szCs w:val="24"/>
    </w:rPr>
  </w:style>
  <w:style w:type="paragraph" w:customStyle="1" w:styleId="Normal1">
    <w:name w:val="Normal1"/>
    <w:basedOn w:val="Normal"/>
    <w:link w:val="NormalChar"/>
    <w:qFormat/>
    <w:rsid w:val="00011009"/>
    <w:pPr>
      <w:spacing w:line="480" w:lineRule="auto"/>
      <w:ind w:firstLine="720"/>
    </w:pPr>
    <w:rPr>
      <w:rFonts w:asciiTheme="minorHAnsi" w:eastAsiaTheme="minorHAnsi" w:hAnsiTheme="minorHAnsi" w:cstheme="minorBidi"/>
      <w:szCs w:val="24"/>
    </w:rPr>
  </w:style>
  <w:style w:type="paragraph" w:styleId="BalloonText">
    <w:name w:val="Balloon Text"/>
    <w:basedOn w:val="Normal"/>
    <w:link w:val="BalloonTextChar"/>
    <w:uiPriority w:val="99"/>
    <w:semiHidden/>
    <w:unhideWhenUsed/>
    <w:rsid w:val="007F5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E66"/>
    <w:rPr>
      <w:rFonts w:ascii="Tahoma" w:eastAsia="Times New Roman" w:hAnsi="Tahoma" w:cs="Tahoma"/>
      <w:sz w:val="16"/>
      <w:szCs w:val="16"/>
    </w:rPr>
  </w:style>
  <w:style w:type="paragraph" w:customStyle="1" w:styleId="Pleading2L1">
    <w:name w:val="Pleading2_L1"/>
    <w:basedOn w:val="Normal"/>
    <w:next w:val="BodyText"/>
    <w:rsid w:val="00C13786"/>
    <w:pPr>
      <w:numPr>
        <w:numId w:val="8"/>
      </w:numPr>
      <w:spacing w:after="240"/>
      <w:jc w:val="center"/>
      <w:outlineLvl w:val="0"/>
    </w:pPr>
    <w:rPr>
      <w:rFonts w:ascii="Times New Roman" w:hAnsi="Times New Roman"/>
      <w:b/>
      <w:caps/>
      <w:u w:val="single"/>
    </w:rPr>
  </w:style>
  <w:style w:type="paragraph" w:customStyle="1" w:styleId="Pleading2L2">
    <w:name w:val="Pleading2_L2"/>
    <w:basedOn w:val="Pleading2L1"/>
    <w:rsid w:val="00C13786"/>
    <w:pPr>
      <w:numPr>
        <w:ilvl w:val="1"/>
      </w:numPr>
      <w:spacing w:after="0" w:line="480" w:lineRule="auto"/>
      <w:jc w:val="left"/>
      <w:outlineLvl w:val="1"/>
    </w:pPr>
    <w:rPr>
      <w:b w:val="0"/>
      <w:caps w:val="0"/>
      <w:u w:val="none"/>
    </w:rPr>
  </w:style>
  <w:style w:type="paragraph" w:customStyle="1" w:styleId="Pleading2L3">
    <w:name w:val="Pleading2_L3"/>
    <w:basedOn w:val="Pleading2L2"/>
    <w:rsid w:val="00C13786"/>
    <w:pPr>
      <w:numPr>
        <w:ilvl w:val="2"/>
      </w:numPr>
      <w:outlineLvl w:val="2"/>
    </w:pPr>
  </w:style>
  <w:style w:type="paragraph" w:customStyle="1" w:styleId="Pleading2L4">
    <w:name w:val="Pleading2_L4"/>
    <w:basedOn w:val="Pleading2L3"/>
    <w:rsid w:val="00C13786"/>
    <w:pPr>
      <w:numPr>
        <w:ilvl w:val="3"/>
      </w:numPr>
      <w:outlineLvl w:val="3"/>
    </w:pPr>
  </w:style>
  <w:style w:type="paragraph" w:customStyle="1" w:styleId="Pleading2L5">
    <w:name w:val="Pleading2_L5"/>
    <w:basedOn w:val="Pleading2L4"/>
    <w:rsid w:val="00C13786"/>
    <w:pPr>
      <w:keepNext/>
      <w:keepLines/>
      <w:widowControl w:val="0"/>
      <w:numPr>
        <w:ilvl w:val="4"/>
      </w:numPr>
      <w:spacing w:after="240" w:line="240" w:lineRule="auto"/>
      <w:outlineLvl w:val="4"/>
    </w:pPr>
  </w:style>
  <w:style w:type="paragraph" w:customStyle="1" w:styleId="Pleading2L6">
    <w:name w:val="Pleading2_L6"/>
    <w:basedOn w:val="Pleading2L5"/>
    <w:rsid w:val="00C13786"/>
    <w:pPr>
      <w:numPr>
        <w:ilvl w:val="5"/>
      </w:numPr>
      <w:outlineLvl w:val="5"/>
    </w:pPr>
  </w:style>
  <w:style w:type="paragraph" w:customStyle="1" w:styleId="Pleading2L7">
    <w:name w:val="Pleading2_L7"/>
    <w:basedOn w:val="Pleading2L6"/>
    <w:rsid w:val="00C13786"/>
    <w:pPr>
      <w:numPr>
        <w:ilvl w:val="6"/>
      </w:numPr>
      <w:outlineLvl w:val="6"/>
    </w:pPr>
  </w:style>
  <w:style w:type="paragraph" w:customStyle="1" w:styleId="Pleading2L8">
    <w:name w:val="Pleading2_L8"/>
    <w:basedOn w:val="Pleading2L7"/>
    <w:rsid w:val="00C13786"/>
    <w:pPr>
      <w:numPr>
        <w:ilvl w:val="7"/>
      </w:numPr>
      <w:outlineLvl w:val="7"/>
    </w:pPr>
  </w:style>
  <w:style w:type="paragraph" w:customStyle="1" w:styleId="Pleading2L9">
    <w:name w:val="Pleading2_L9"/>
    <w:basedOn w:val="Pleading2L8"/>
    <w:rsid w:val="00C13786"/>
    <w:pPr>
      <w:numPr>
        <w:ilvl w:val="8"/>
      </w:numPr>
      <w:outlineLvl w:val="8"/>
    </w:pPr>
  </w:style>
  <w:style w:type="character" w:styleId="CommentReference">
    <w:name w:val="annotation reference"/>
    <w:basedOn w:val="DefaultParagraphFont"/>
    <w:uiPriority w:val="99"/>
    <w:semiHidden/>
    <w:unhideWhenUsed/>
    <w:rsid w:val="00DE4654"/>
    <w:rPr>
      <w:sz w:val="16"/>
      <w:szCs w:val="16"/>
    </w:rPr>
  </w:style>
  <w:style w:type="paragraph" w:styleId="CommentText">
    <w:name w:val="annotation text"/>
    <w:basedOn w:val="Normal"/>
    <w:link w:val="CommentTextChar"/>
    <w:uiPriority w:val="99"/>
    <w:semiHidden/>
    <w:unhideWhenUsed/>
    <w:rsid w:val="00DE4654"/>
    <w:pPr>
      <w:spacing w:line="240" w:lineRule="auto"/>
    </w:pPr>
    <w:rPr>
      <w:sz w:val="20"/>
    </w:rPr>
  </w:style>
  <w:style w:type="character" w:customStyle="1" w:styleId="CommentTextChar">
    <w:name w:val="Comment Text Char"/>
    <w:basedOn w:val="DefaultParagraphFont"/>
    <w:link w:val="CommentText"/>
    <w:uiPriority w:val="99"/>
    <w:semiHidden/>
    <w:rsid w:val="00DE4654"/>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DE4654"/>
    <w:rPr>
      <w:b/>
      <w:bCs/>
    </w:rPr>
  </w:style>
  <w:style w:type="character" w:customStyle="1" w:styleId="CommentSubjectChar">
    <w:name w:val="Comment Subject Char"/>
    <w:basedOn w:val="CommentTextChar"/>
    <w:link w:val="CommentSubject"/>
    <w:uiPriority w:val="99"/>
    <w:semiHidden/>
    <w:rsid w:val="00DE4654"/>
    <w:rPr>
      <w:rFonts w:ascii="CG Times" w:eastAsia="Times New Roman" w:hAnsi="CG Time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62382-EF93-4CE4-82A3-6F969A801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4259</Words>
  <Characters>24279</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28482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rocarran</dc:creator>
  <cp:lastModifiedBy>Hinds, Margaret</cp:lastModifiedBy>
  <cp:revision>3</cp:revision>
  <cp:lastPrinted>2015-02-26T16:39:00Z</cp:lastPrinted>
  <dcterms:created xsi:type="dcterms:W3CDTF">2015-02-19T20:10:00Z</dcterms:created>
  <dcterms:modified xsi:type="dcterms:W3CDTF">2015-02-26T16:39:00Z</dcterms:modified>
</cp:coreProperties>
</file>